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890E6F" w:rsidRDefault="00B55C69" w:rsidP="001A4314">
      <w:pPr>
        <w:jc w:val="right"/>
        <w:rPr>
          <w:rFonts w:ascii="Arial" w:eastAsia="Calibri" w:hAnsi="Arial" w:cs="Arial"/>
          <w:b/>
          <w:sz w:val="20"/>
          <w:szCs w:val="20"/>
          <w:lang w:val="es-ES_tradnl"/>
        </w:rPr>
      </w:pPr>
      <w:bookmarkStart w:id="0" w:name="_Hlk28946138"/>
      <w:bookmarkStart w:id="1" w:name="_Hlk29548183"/>
      <w:r w:rsidRPr="00890E6F">
        <w:rPr>
          <w:rFonts w:ascii="Arial" w:hAnsi="Arial" w:cs="Arial"/>
          <w:bCs/>
          <w:sz w:val="16"/>
          <w:szCs w:val="16"/>
          <w:lang w:val="es-ES_tradnl" w:eastAsia="es-ES"/>
        </w:rPr>
        <w:t>CCE-DES-FM-17</w:t>
      </w:r>
      <w:bookmarkEnd w:id="0"/>
      <w:bookmarkEnd w:id="1"/>
    </w:p>
    <w:p w14:paraId="55FBD910" w14:textId="77777777" w:rsidR="008536BB" w:rsidRPr="00890E6F" w:rsidRDefault="008536BB" w:rsidP="00B95C30">
      <w:pPr>
        <w:spacing w:line="276" w:lineRule="auto"/>
        <w:jc w:val="both"/>
        <w:rPr>
          <w:rFonts w:ascii="Arial" w:hAnsi="Arial" w:cs="Arial"/>
          <w:noProof/>
          <w:sz w:val="22"/>
          <w:lang w:val="es-ES_tradnl"/>
        </w:rPr>
      </w:pPr>
    </w:p>
    <w:p w14:paraId="410CC6BA" w14:textId="77777777" w:rsidR="004C76AA" w:rsidRPr="00890E6F" w:rsidRDefault="004C76AA" w:rsidP="004C76AA">
      <w:pPr>
        <w:jc w:val="both"/>
        <w:rPr>
          <w:rFonts w:ascii="Arial" w:eastAsia="Calibri" w:hAnsi="Arial" w:cs="Arial"/>
          <w:b/>
          <w:sz w:val="22"/>
          <w:szCs w:val="22"/>
          <w:lang w:val="es-ES_tradnl"/>
        </w:rPr>
      </w:pPr>
      <w:bookmarkStart w:id="2" w:name="_Hlk67491171"/>
      <w:r w:rsidRPr="00890E6F">
        <w:rPr>
          <w:rFonts w:ascii="Arial" w:eastAsia="Calibri" w:hAnsi="Arial" w:cs="Arial"/>
          <w:b/>
          <w:sz w:val="22"/>
          <w:szCs w:val="22"/>
          <w:lang w:val="es-ES_tradnl"/>
        </w:rPr>
        <w:t>SELECCIÓN OBJETIVA – Contratación estatal – Concepto</w:t>
      </w:r>
    </w:p>
    <w:bookmarkEnd w:id="2"/>
    <w:p w14:paraId="2230B041" w14:textId="77777777" w:rsidR="004C76AA" w:rsidRPr="00890E6F" w:rsidRDefault="004C76AA" w:rsidP="004C76AA">
      <w:pPr>
        <w:tabs>
          <w:tab w:val="left" w:pos="2235"/>
        </w:tabs>
        <w:jc w:val="both"/>
        <w:rPr>
          <w:rFonts w:ascii="Arial" w:eastAsia="Calibri" w:hAnsi="Arial" w:cs="Arial"/>
          <w:b/>
          <w:lang w:val="es-ES_tradnl"/>
        </w:rPr>
      </w:pPr>
      <w:r w:rsidRPr="00890E6F">
        <w:rPr>
          <w:rFonts w:ascii="Arial" w:eastAsia="Calibri" w:hAnsi="Arial" w:cs="Arial"/>
          <w:b/>
          <w:lang w:val="es-ES_tradnl"/>
        </w:rPr>
        <w:tab/>
      </w:r>
    </w:p>
    <w:p w14:paraId="40E6698E" w14:textId="77777777" w:rsidR="004C76AA" w:rsidRPr="00890E6F" w:rsidRDefault="004C76AA" w:rsidP="004C76AA">
      <w:pPr>
        <w:jc w:val="both"/>
        <w:rPr>
          <w:rFonts w:ascii="Arial" w:eastAsia="Calibri" w:hAnsi="Arial" w:cs="Arial"/>
          <w:sz w:val="20"/>
          <w:szCs w:val="20"/>
          <w:lang w:val="es-ES_tradnl"/>
        </w:rPr>
      </w:pPr>
      <w:r w:rsidRPr="00890E6F">
        <w:rPr>
          <w:rFonts w:ascii="Arial" w:eastAsia="Calibri" w:hAnsi="Arial" w:cs="Arial"/>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890E6F">
        <w:rPr>
          <w:rFonts w:ascii="Arial" w:eastAsia="Calibri" w:hAnsi="Arial" w:cs="Arial"/>
          <w:sz w:val="20"/>
          <w:szCs w:val="20"/>
          <w:lang w:val="es-ES_tradnl"/>
        </w:rPr>
        <w:t>equivalentes,</w:t>
      </w:r>
      <w:proofErr w:type="gramEnd"/>
      <w:r w:rsidRPr="00890E6F">
        <w:rPr>
          <w:rFonts w:ascii="Arial" w:eastAsia="Calibri" w:hAnsi="Arial" w:cs="Arial"/>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p>
    <w:p w14:paraId="626C5269" w14:textId="77777777" w:rsidR="004C76AA" w:rsidRPr="00890E6F" w:rsidRDefault="004C76AA" w:rsidP="004C76AA">
      <w:pPr>
        <w:jc w:val="both"/>
        <w:rPr>
          <w:rFonts w:ascii="Arial" w:eastAsia="Calibri" w:hAnsi="Arial" w:cs="Arial"/>
          <w:b/>
          <w:lang w:val="es-ES_tradnl"/>
        </w:rPr>
      </w:pPr>
    </w:p>
    <w:p w14:paraId="70A28093" w14:textId="77777777" w:rsidR="004C76AA" w:rsidRPr="00890E6F" w:rsidRDefault="004C76AA" w:rsidP="004C76AA">
      <w:pPr>
        <w:jc w:val="both"/>
        <w:rPr>
          <w:rFonts w:ascii="Arial" w:eastAsia="Calibri" w:hAnsi="Arial" w:cs="Arial"/>
          <w:b/>
          <w:sz w:val="22"/>
          <w:szCs w:val="22"/>
          <w:lang w:val="es-ES_tradnl"/>
        </w:rPr>
      </w:pPr>
      <w:bookmarkStart w:id="3" w:name="_Hlk67491186"/>
      <w:r w:rsidRPr="00890E6F">
        <w:rPr>
          <w:rFonts w:ascii="Arial" w:eastAsia="Calibri" w:hAnsi="Arial" w:cs="Arial"/>
          <w:b/>
          <w:sz w:val="22"/>
          <w:szCs w:val="22"/>
          <w:lang w:val="es-ES_tradnl"/>
        </w:rPr>
        <w:t>EMPATE – Procedimiento de selección – Concepto</w:t>
      </w:r>
    </w:p>
    <w:bookmarkEnd w:id="3"/>
    <w:p w14:paraId="252B7FF7" w14:textId="77777777" w:rsidR="004C76AA" w:rsidRPr="00890E6F" w:rsidRDefault="004C76AA" w:rsidP="004C76AA">
      <w:pPr>
        <w:jc w:val="both"/>
        <w:rPr>
          <w:rFonts w:ascii="Arial" w:eastAsia="Calibri" w:hAnsi="Arial" w:cs="Arial"/>
          <w:b/>
          <w:lang w:val="es-ES_tradnl"/>
        </w:rPr>
      </w:pPr>
    </w:p>
    <w:p w14:paraId="10D8E440" w14:textId="77777777" w:rsidR="004C76AA" w:rsidRPr="00890E6F" w:rsidRDefault="004C76AA" w:rsidP="004C76AA">
      <w:pPr>
        <w:jc w:val="both"/>
        <w:rPr>
          <w:rFonts w:ascii="Arial" w:eastAsia="Calibri" w:hAnsi="Arial" w:cs="Arial"/>
          <w:sz w:val="20"/>
          <w:szCs w:val="20"/>
          <w:lang w:val="es-ES_tradnl"/>
        </w:rPr>
      </w:pPr>
      <w:r w:rsidRPr="00890E6F">
        <w:rPr>
          <w:rFonts w:ascii="Arial" w:eastAsia="Calibri" w:hAnsi="Arial" w:cs="Arial"/>
          <w:sz w:val="20"/>
          <w:szCs w:val="20"/>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6BB92398" w14:textId="77777777" w:rsidR="004C76AA" w:rsidRPr="00890E6F" w:rsidRDefault="004C76AA" w:rsidP="004C76AA">
      <w:pPr>
        <w:spacing w:line="276" w:lineRule="auto"/>
        <w:jc w:val="both"/>
        <w:rPr>
          <w:rFonts w:ascii="Arial" w:hAnsi="Arial" w:cs="Arial"/>
          <w:noProof/>
          <w:lang w:val="es-ES_tradnl"/>
        </w:rPr>
      </w:pPr>
    </w:p>
    <w:p w14:paraId="38976ED6" w14:textId="77777777" w:rsidR="004C76AA" w:rsidRPr="00890E6F" w:rsidRDefault="004C76AA" w:rsidP="004C76AA">
      <w:pPr>
        <w:jc w:val="both"/>
        <w:rPr>
          <w:rFonts w:ascii="Arial" w:eastAsia="Calibri" w:hAnsi="Arial" w:cs="Arial"/>
          <w:b/>
          <w:sz w:val="22"/>
          <w:szCs w:val="22"/>
          <w:lang w:val="es-ES_tradnl"/>
        </w:rPr>
      </w:pPr>
      <w:bookmarkStart w:id="4" w:name="_Hlk67491199"/>
      <w:r w:rsidRPr="00890E6F">
        <w:rPr>
          <w:rFonts w:ascii="Arial" w:eastAsia="Calibri" w:hAnsi="Arial" w:cs="Arial"/>
          <w:b/>
          <w:sz w:val="22"/>
          <w:szCs w:val="22"/>
          <w:lang w:val="es-ES_tradnl"/>
        </w:rPr>
        <w:t>FACTORES DE DESEMPATE – Características – Límites</w:t>
      </w:r>
    </w:p>
    <w:bookmarkEnd w:id="4"/>
    <w:p w14:paraId="2483E1E2" w14:textId="77777777" w:rsidR="004C76AA" w:rsidRPr="00890E6F" w:rsidRDefault="004C76AA" w:rsidP="004C76AA">
      <w:pPr>
        <w:spacing w:line="276" w:lineRule="auto"/>
        <w:jc w:val="both"/>
        <w:rPr>
          <w:rFonts w:ascii="Arial" w:hAnsi="Arial" w:cs="Arial"/>
          <w:noProof/>
          <w:lang w:val="es-ES_tradnl"/>
        </w:rPr>
      </w:pPr>
    </w:p>
    <w:p w14:paraId="727D6248" w14:textId="77777777" w:rsidR="004C76AA" w:rsidRPr="00890E6F" w:rsidRDefault="004C76AA" w:rsidP="004C76AA">
      <w:pPr>
        <w:jc w:val="both"/>
        <w:rPr>
          <w:rFonts w:ascii="Arial" w:eastAsia="Calibri" w:hAnsi="Arial" w:cs="Arial"/>
          <w:sz w:val="20"/>
          <w:szCs w:val="20"/>
          <w:lang w:val="es-ES_tradnl"/>
        </w:rPr>
      </w:pPr>
      <w:r w:rsidRPr="00890E6F">
        <w:rPr>
          <w:rFonts w:ascii="Arial" w:eastAsia="Calibri" w:hAnsi="Arial" w:cs="Arial"/>
          <w:sz w:val="20"/>
          <w:szCs w:val="20"/>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14:paraId="4F30536D" w14:textId="77777777" w:rsidR="004C76AA" w:rsidRPr="00890E6F" w:rsidRDefault="004C76AA" w:rsidP="004C76AA">
      <w:pPr>
        <w:spacing w:before="120"/>
        <w:jc w:val="both"/>
        <w:rPr>
          <w:rFonts w:ascii="Arial" w:eastAsia="Calibri" w:hAnsi="Arial" w:cs="Arial"/>
          <w:sz w:val="20"/>
          <w:szCs w:val="20"/>
          <w:lang w:val="es-ES_tradnl"/>
        </w:rPr>
      </w:pPr>
      <w:r w:rsidRPr="00890E6F">
        <w:rPr>
          <w:rFonts w:ascii="Arial" w:eastAsia="Calibri" w:hAnsi="Arial" w:cs="Arial"/>
          <w:sz w:val="20"/>
          <w:szCs w:val="20"/>
          <w:lang w:val="es-ES_tradnl"/>
        </w:rPr>
        <w:t xml:space="preserve">En tal sentido, la Corte Constitucional explica que cuando la ley establece factores de desempate obligatorios, las entidades estatales no pueden </w:t>
      </w:r>
      <w:proofErr w:type="spellStart"/>
      <w:r w:rsidRPr="00890E6F">
        <w:rPr>
          <w:rFonts w:ascii="Arial" w:eastAsia="Calibri" w:hAnsi="Arial" w:cs="Arial"/>
          <w:sz w:val="20"/>
          <w:szCs w:val="20"/>
          <w:lang w:val="es-ES_tradnl"/>
        </w:rPr>
        <w:t>inaplicarlos</w:t>
      </w:r>
      <w:proofErr w:type="spellEnd"/>
      <w:r w:rsidRPr="00890E6F">
        <w:rPr>
          <w:rFonts w:ascii="Arial" w:eastAsia="Calibri" w:hAnsi="Arial" w:cs="Arial"/>
          <w:sz w:val="20"/>
          <w:szCs w:val="20"/>
          <w:lang w:val="es-ES_tradnl"/>
        </w:rPr>
        <w:t>,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p>
    <w:p w14:paraId="0BFD4C66" w14:textId="689B7ADC" w:rsidR="004C76AA" w:rsidRPr="00890E6F" w:rsidRDefault="004C76AA" w:rsidP="004C76AA">
      <w:pPr>
        <w:jc w:val="both"/>
        <w:rPr>
          <w:rFonts w:ascii="Arial" w:eastAsia="Calibri" w:hAnsi="Arial" w:cs="Arial"/>
          <w:b/>
          <w:lang w:val="es-ES_tradnl"/>
        </w:rPr>
      </w:pPr>
    </w:p>
    <w:p w14:paraId="2FC52C01" w14:textId="3A35F349" w:rsidR="00186155" w:rsidRPr="00890E6F" w:rsidRDefault="00186155" w:rsidP="004C76AA">
      <w:pPr>
        <w:jc w:val="both"/>
        <w:rPr>
          <w:rFonts w:ascii="Arial" w:eastAsia="Calibri" w:hAnsi="Arial" w:cs="Arial"/>
          <w:b/>
          <w:lang w:val="es-ES_tradnl"/>
        </w:rPr>
      </w:pPr>
    </w:p>
    <w:p w14:paraId="42C317F4" w14:textId="77777777" w:rsidR="00186155" w:rsidRPr="00890E6F" w:rsidRDefault="00186155" w:rsidP="004C76AA">
      <w:pPr>
        <w:jc w:val="both"/>
        <w:rPr>
          <w:rFonts w:ascii="Arial" w:eastAsia="Calibri" w:hAnsi="Arial" w:cs="Arial"/>
          <w:b/>
          <w:lang w:val="es-ES_tradnl"/>
        </w:rPr>
      </w:pPr>
    </w:p>
    <w:p w14:paraId="0F68A9B1" w14:textId="77777777" w:rsidR="004C76AA" w:rsidRPr="00890E6F" w:rsidRDefault="004C76AA" w:rsidP="004C76AA">
      <w:pPr>
        <w:jc w:val="both"/>
        <w:rPr>
          <w:rFonts w:ascii="Arial" w:eastAsia="Calibri" w:hAnsi="Arial" w:cs="Arial"/>
          <w:b/>
          <w:sz w:val="22"/>
          <w:szCs w:val="22"/>
          <w:lang w:val="es-ES_tradnl"/>
        </w:rPr>
      </w:pPr>
      <w:bookmarkStart w:id="5" w:name="_Hlk67491213"/>
      <w:r w:rsidRPr="00890E6F">
        <w:rPr>
          <w:rFonts w:ascii="Arial" w:eastAsia="Calibri" w:hAnsi="Arial" w:cs="Arial"/>
          <w:b/>
          <w:sz w:val="22"/>
          <w:szCs w:val="22"/>
          <w:lang w:val="es-ES_tradnl"/>
        </w:rPr>
        <w:lastRenderedPageBreak/>
        <w:t xml:space="preserve">LEY DE EMPRENDIMIENTO – Ley 2069 de 2020 – Vigencia </w:t>
      </w:r>
    </w:p>
    <w:bookmarkEnd w:id="5"/>
    <w:p w14:paraId="3D42AD77" w14:textId="77777777" w:rsidR="004C76AA" w:rsidRPr="00890E6F" w:rsidRDefault="004C76AA" w:rsidP="004C76AA">
      <w:pPr>
        <w:jc w:val="both"/>
        <w:rPr>
          <w:rFonts w:ascii="Arial" w:eastAsia="Calibri" w:hAnsi="Arial" w:cs="Arial"/>
          <w:b/>
          <w:lang w:val="es-ES_tradnl"/>
        </w:rPr>
      </w:pPr>
    </w:p>
    <w:p w14:paraId="4205709E" w14:textId="77777777" w:rsidR="004C76AA" w:rsidRPr="00890E6F" w:rsidRDefault="004C76AA" w:rsidP="004C76AA">
      <w:pPr>
        <w:spacing w:after="120"/>
        <w:jc w:val="both"/>
        <w:rPr>
          <w:rFonts w:ascii="Arial" w:eastAsia="Calibri" w:hAnsi="Arial" w:cs="Arial"/>
          <w:sz w:val="20"/>
          <w:szCs w:val="20"/>
          <w:lang w:val="es-ES_tradnl"/>
        </w:rPr>
      </w:pPr>
      <w:r w:rsidRPr="00890E6F">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7220464F" w14:textId="65BE34B0" w:rsidR="004C76AA" w:rsidRPr="00890E6F" w:rsidRDefault="004C76AA" w:rsidP="004C76AA">
      <w:pPr>
        <w:jc w:val="both"/>
        <w:rPr>
          <w:rFonts w:ascii="Arial" w:eastAsia="Calibri" w:hAnsi="Arial" w:cs="Arial"/>
          <w:b/>
          <w:sz w:val="22"/>
          <w:lang w:val="es-ES_tradnl"/>
        </w:rPr>
      </w:pPr>
      <w:r w:rsidRPr="00890E6F">
        <w:rPr>
          <w:rFonts w:ascii="Arial" w:eastAsia="Calibri" w:hAnsi="Arial" w:cs="Arial"/>
          <w:sz w:val="20"/>
          <w:szCs w:val="20"/>
          <w:lang w:val="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890E6F">
        <w:rPr>
          <w:rFonts w:ascii="Arial" w:eastAsia="Calibri" w:hAnsi="Arial" w:cs="Arial"/>
          <w:sz w:val="20"/>
          <w:szCs w:val="20"/>
          <w:lang w:val="es-ES_tradnl"/>
        </w:rPr>
        <w:t>de acuerdo a</w:t>
      </w:r>
      <w:proofErr w:type="gramEnd"/>
      <w:r w:rsidRPr="00890E6F">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890E6F">
        <w:rPr>
          <w:rFonts w:ascii="Arial" w:eastAsia="Calibri" w:hAnsi="Arial" w:cs="Arial"/>
          <w:sz w:val="20"/>
          <w:szCs w:val="20"/>
          <w:lang w:val="es-ES_tradnl"/>
        </w:rPr>
        <w:t>mipymes</w:t>
      </w:r>
      <w:proofErr w:type="spellEnd"/>
      <w:r w:rsidRPr="00890E6F">
        <w:rPr>
          <w:rFonts w:ascii="Arial" w:eastAsia="Calibri" w:hAnsi="Arial" w:cs="Arial"/>
          <w:sz w:val="20"/>
          <w:szCs w:val="20"/>
          <w:lang w:val="es-ES_tradnl"/>
        </w:rPr>
        <w:t>–, mediante la racionalización y simplificación de los trámites y tarifas, así como incentivos a favor de aquellas dentro del sistema de compras y contratación pública. De igual forma, se consagran mecanismos de acceso al financiamiento, se unifican las fuentes de emprendimiento y de desarrollo empresarial, para fortalecer y promover los distintos sectores de la economía y se prevén medidas de educación para</w:t>
      </w:r>
    </w:p>
    <w:p w14:paraId="48215027" w14:textId="77777777" w:rsidR="004C76AA" w:rsidRPr="00890E6F" w:rsidRDefault="004C76AA" w:rsidP="00EC224E">
      <w:pPr>
        <w:jc w:val="both"/>
        <w:rPr>
          <w:rFonts w:ascii="Arial" w:eastAsia="Calibri" w:hAnsi="Arial" w:cs="Arial"/>
          <w:b/>
          <w:sz w:val="22"/>
          <w:lang w:val="es-ES_tradnl"/>
        </w:rPr>
      </w:pPr>
    </w:p>
    <w:p w14:paraId="0C1F0ABD" w14:textId="77777777" w:rsidR="00186155" w:rsidRPr="00890E6F" w:rsidRDefault="00186155" w:rsidP="00186155">
      <w:pPr>
        <w:jc w:val="both"/>
        <w:rPr>
          <w:rFonts w:ascii="Arial" w:eastAsia="Calibri" w:hAnsi="Arial" w:cs="Arial"/>
          <w:b/>
          <w:sz w:val="22"/>
          <w:szCs w:val="22"/>
          <w:lang w:val="es-ES_tradnl"/>
        </w:rPr>
      </w:pPr>
      <w:bookmarkStart w:id="6" w:name="_Hlk67491223"/>
      <w:r w:rsidRPr="00890E6F">
        <w:rPr>
          <w:rFonts w:ascii="Arial" w:eastAsia="Calibri" w:hAnsi="Arial" w:cs="Arial"/>
          <w:b/>
          <w:sz w:val="22"/>
          <w:szCs w:val="22"/>
          <w:lang w:val="es-ES_tradnl"/>
        </w:rPr>
        <w:t>DECRETO 1082 DE 2015 – Artículo 2.2.1.1.2.2.9. – Derogatoria – Decaimiento</w:t>
      </w:r>
    </w:p>
    <w:bookmarkEnd w:id="6"/>
    <w:p w14:paraId="1DEB9A34" w14:textId="77777777" w:rsidR="00186155" w:rsidRPr="00890E6F" w:rsidRDefault="00186155" w:rsidP="00186155">
      <w:pPr>
        <w:spacing w:line="276" w:lineRule="auto"/>
        <w:jc w:val="both"/>
        <w:rPr>
          <w:rFonts w:ascii="Arial" w:hAnsi="Arial" w:cs="Arial"/>
          <w:noProof/>
          <w:lang w:val="es-ES_tradnl"/>
        </w:rPr>
      </w:pPr>
    </w:p>
    <w:p w14:paraId="72877070" w14:textId="77777777" w:rsidR="00186155" w:rsidRPr="00890E6F" w:rsidRDefault="00186155" w:rsidP="00186155">
      <w:pPr>
        <w:spacing w:after="120"/>
        <w:jc w:val="both"/>
        <w:rPr>
          <w:rFonts w:ascii="Arial" w:hAnsi="Arial" w:cs="Arial"/>
          <w:sz w:val="20"/>
          <w:szCs w:val="20"/>
          <w:lang w:val="es-ES_tradnl"/>
        </w:rPr>
      </w:pPr>
      <w:r w:rsidRPr="00890E6F">
        <w:rPr>
          <w:rFonts w:ascii="Arial" w:hAnsi="Arial" w:cs="Arial"/>
          <w:sz w:val="20"/>
          <w:szCs w:val="20"/>
          <w:lang w:val="es-ES_tradnl"/>
        </w:rPr>
        <w:t xml:space="preserve">Ahora bien, hasta la promulgación de la Ley 2069 de 2020, el artículo 2.2.1.1.2.2.9. del Decreto 1082 de 2015 regulaba los factores de desempate que debían aplicarse en los procesos de selección. En criterio de esta Agencia, dicha norma debe entenderse derogada por el artículo 35 de la Ley 2069 de 2020. Ello no solo porque el artículo 84 dispone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 </w:t>
      </w:r>
    </w:p>
    <w:p w14:paraId="50F177B1" w14:textId="77777777" w:rsidR="00186155" w:rsidRPr="00890E6F" w:rsidRDefault="00186155" w:rsidP="00186155">
      <w:pPr>
        <w:jc w:val="both"/>
        <w:rPr>
          <w:rFonts w:ascii="Arial" w:hAnsi="Arial" w:cs="Arial"/>
          <w:sz w:val="20"/>
          <w:szCs w:val="20"/>
          <w:lang w:val="es-ES_tradnl"/>
        </w:rPr>
      </w:pPr>
      <w:r w:rsidRPr="00890E6F">
        <w:rPr>
          <w:rFonts w:ascii="Arial" w:hAnsi="Arial" w:cs="Arial"/>
          <w:sz w:val="20"/>
          <w:szCs w:val="20"/>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Dado que el Decreto 1082 de 2015 es un reglamento </w:t>
      </w:r>
      <w:proofErr w:type="spellStart"/>
      <w:r w:rsidRPr="00890E6F">
        <w:rPr>
          <w:rFonts w:ascii="Arial" w:hAnsi="Arial" w:cs="Arial"/>
          <w:i/>
          <w:iCs/>
          <w:sz w:val="20"/>
          <w:szCs w:val="20"/>
          <w:lang w:val="es-ES_tradnl"/>
        </w:rPr>
        <w:t>secundum</w:t>
      </w:r>
      <w:proofErr w:type="spellEnd"/>
      <w:r w:rsidRPr="00890E6F">
        <w:rPr>
          <w:rFonts w:ascii="Arial" w:hAnsi="Arial" w:cs="Arial"/>
          <w:i/>
          <w:iCs/>
          <w:sz w:val="20"/>
          <w:szCs w:val="20"/>
          <w:lang w:val="es-ES_tradnl"/>
        </w:rPr>
        <w:t xml:space="preserve"> </w:t>
      </w:r>
      <w:proofErr w:type="spellStart"/>
      <w:r w:rsidRPr="00890E6F">
        <w:rPr>
          <w:rFonts w:ascii="Arial" w:hAnsi="Arial" w:cs="Arial"/>
          <w:i/>
          <w:iCs/>
          <w:sz w:val="20"/>
          <w:szCs w:val="20"/>
          <w:lang w:val="es-ES_tradnl"/>
        </w:rPr>
        <w:t>legem</w:t>
      </w:r>
      <w:proofErr w:type="spellEnd"/>
      <w:r w:rsidRPr="00890E6F">
        <w:rPr>
          <w:rFonts w:ascii="Arial" w:hAnsi="Arial" w:cs="Arial"/>
          <w:sz w:val="20"/>
          <w:szCs w:val="20"/>
          <w:lang w:val="es-ES_tradnl"/>
        </w:rPr>
        <w:t xml:space="preserve"> –es decir, que desarrolla una norma de mayor jerarquía–, la expedición de una ley en sentido formal –es decir, una fuente que condiciona el contenido de este último–, hace que la disposición reglamentaria decaiga.   </w:t>
      </w:r>
    </w:p>
    <w:p w14:paraId="6CC52CFE" w14:textId="4FB998BF" w:rsidR="00C61863" w:rsidRPr="00890E6F" w:rsidRDefault="005E04C5" w:rsidP="00C61863">
      <w:pPr>
        <w:tabs>
          <w:tab w:val="left" w:pos="709"/>
        </w:tabs>
        <w:spacing w:line="276" w:lineRule="auto"/>
        <w:jc w:val="both"/>
        <w:rPr>
          <w:rFonts w:ascii="Arial" w:eastAsia="Calibri" w:hAnsi="Arial" w:cs="Arial"/>
          <w:sz w:val="22"/>
          <w:szCs w:val="22"/>
          <w:lang w:val="es-ES_tradnl"/>
        </w:rPr>
      </w:pPr>
      <w:r w:rsidRPr="00890E6F">
        <w:rPr>
          <w:rFonts w:ascii="Arial" w:eastAsia="Calibri" w:hAnsi="Arial" w:cs="Arial"/>
          <w:sz w:val="22"/>
          <w:szCs w:val="22"/>
          <w:lang w:val="es-ES_tradnl"/>
        </w:rPr>
        <w:tab/>
      </w:r>
    </w:p>
    <w:p w14:paraId="5A5F7171" w14:textId="62191BE8" w:rsidR="00C61863" w:rsidRPr="00890E6F" w:rsidRDefault="00C61863" w:rsidP="00C61863">
      <w:pPr>
        <w:spacing w:line="276" w:lineRule="auto"/>
        <w:jc w:val="both"/>
        <w:rPr>
          <w:rFonts w:ascii="Arial" w:hAnsi="Arial" w:cs="Arial"/>
          <w:b/>
          <w:bCs/>
          <w:noProof/>
          <w:sz w:val="22"/>
          <w:lang w:val="es-ES_tradnl"/>
        </w:rPr>
      </w:pPr>
      <w:r w:rsidRPr="00890E6F">
        <w:rPr>
          <w:rFonts w:ascii="Arial" w:hAnsi="Arial" w:cs="Arial"/>
          <w:b/>
          <w:bCs/>
          <w:noProof/>
          <w:sz w:val="22"/>
          <w:lang w:val="es-ES_tradnl"/>
        </w:rPr>
        <w:t xml:space="preserve">FACTORES DE DESEMPATE </w:t>
      </w:r>
      <w:r w:rsidRPr="00890E6F">
        <w:rPr>
          <w:rFonts w:ascii="Arial" w:hAnsi="Arial" w:cs="Arial"/>
          <w:b/>
          <w:bCs/>
          <w:noProof/>
          <w:sz w:val="22"/>
          <w:lang w:val="es-ES_tradnl"/>
        </w:rPr>
        <w:softHyphen/>
        <w:t>– Mínima cuantía –</w:t>
      </w:r>
      <w:r w:rsidR="00681C78" w:rsidRPr="00890E6F">
        <w:rPr>
          <w:rFonts w:ascii="Arial" w:hAnsi="Arial" w:cs="Arial"/>
          <w:b/>
          <w:bCs/>
          <w:noProof/>
          <w:sz w:val="22"/>
          <w:lang w:val="es-ES_tradnl"/>
        </w:rPr>
        <w:t xml:space="preserve"> </w:t>
      </w:r>
      <w:r w:rsidR="005416CA" w:rsidRPr="00890E6F">
        <w:rPr>
          <w:rFonts w:ascii="Arial" w:hAnsi="Arial" w:cs="Arial"/>
          <w:b/>
          <w:bCs/>
          <w:noProof/>
          <w:sz w:val="22"/>
          <w:lang w:val="es-ES_tradnl"/>
        </w:rPr>
        <w:t xml:space="preserve">Subasta inversa – </w:t>
      </w:r>
      <w:r w:rsidRPr="00890E6F">
        <w:rPr>
          <w:rFonts w:ascii="Arial" w:hAnsi="Arial" w:cs="Arial"/>
          <w:b/>
          <w:bCs/>
          <w:noProof/>
          <w:sz w:val="22"/>
          <w:lang w:val="es-ES_tradnl"/>
        </w:rPr>
        <w:t xml:space="preserve">Ley 2069 de 2020 </w:t>
      </w:r>
      <w:r w:rsidR="00186155" w:rsidRPr="00890E6F">
        <w:rPr>
          <w:rFonts w:ascii="Arial" w:hAnsi="Arial" w:cs="Arial"/>
          <w:b/>
          <w:bCs/>
          <w:noProof/>
          <w:sz w:val="22"/>
          <w:lang w:val="es-ES_tradnl"/>
        </w:rPr>
        <w:t xml:space="preserve">– Artículo 35 </w:t>
      </w:r>
      <w:r w:rsidRPr="00890E6F">
        <w:rPr>
          <w:rFonts w:ascii="Arial" w:hAnsi="Arial" w:cs="Arial"/>
          <w:b/>
          <w:bCs/>
          <w:noProof/>
          <w:sz w:val="22"/>
          <w:lang w:val="es-ES_tradnl"/>
        </w:rPr>
        <w:t xml:space="preserve">– Factores de desempate – Aplicación – Puntaje </w:t>
      </w:r>
    </w:p>
    <w:p w14:paraId="5AC533C2" w14:textId="77777777" w:rsidR="00C61863" w:rsidRPr="00890E6F" w:rsidRDefault="00C61863" w:rsidP="00C61863">
      <w:pPr>
        <w:tabs>
          <w:tab w:val="left" w:pos="709"/>
        </w:tabs>
        <w:spacing w:line="276" w:lineRule="auto"/>
        <w:jc w:val="both"/>
        <w:rPr>
          <w:rFonts w:ascii="Arial" w:eastAsia="Calibri" w:hAnsi="Arial" w:cs="Arial"/>
          <w:sz w:val="22"/>
          <w:szCs w:val="22"/>
          <w:lang w:val="es-ES_tradnl"/>
        </w:rPr>
      </w:pPr>
    </w:p>
    <w:p w14:paraId="55F1A991" w14:textId="7ED37FA5" w:rsidR="005416CA" w:rsidRPr="00890E6F" w:rsidRDefault="005416CA" w:rsidP="005416CA">
      <w:pPr>
        <w:tabs>
          <w:tab w:val="left" w:pos="709"/>
        </w:tabs>
        <w:jc w:val="both"/>
        <w:rPr>
          <w:rFonts w:ascii="Arial" w:eastAsia="Calibri" w:hAnsi="Arial" w:cs="Arial"/>
          <w:sz w:val="20"/>
          <w:szCs w:val="20"/>
          <w:lang w:val="es-ES_tradnl"/>
        </w:rPr>
      </w:pPr>
      <w:r w:rsidRPr="00890E6F">
        <w:rPr>
          <w:rFonts w:ascii="Arial" w:eastAsia="Calibri" w:hAnsi="Arial" w:cs="Arial"/>
          <w:sz w:val="20"/>
          <w:szCs w:val="20"/>
          <w:lang w:val="es-ES_tradnl"/>
        </w:rPr>
        <w:t xml:space="preserve">El artículo 35 de la Ley 2069 de 2020, que modifica el régimen de los factores de desempate en la contratación estatal, se encuentra vigente y goza de aplicación directa desde la fecha de su promulgación, es decir, no requiere de una reglamentación previa como presupuesto para su eficacia. Estos criterios de desempate actualmente son aplicables a todas las entidades estatales, independientemente de su régimen de contratación. Ahora bien, hasta la promulgación de la Ley </w:t>
      </w:r>
      <w:r w:rsidRPr="00890E6F">
        <w:rPr>
          <w:rFonts w:ascii="Arial" w:eastAsia="Calibri" w:hAnsi="Arial" w:cs="Arial"/>
          <w:sz w:val="20"/>
          <w:szCs w:val="20"/>
          <w:lang w:val="es-ES_tradnl"/>
        </w:rPr>
        <w:lastRenderedPageBreak/>
        <w:t xml:space="preserve">2069 de 2020, el artículo 2.2.1.1.2.2.9. del Decreto 1082 de 2015 regulaba los factores de desempate que debían aplicarse en los procesos de selección. En criterio de esta Agencia, dicha norma debe entenderse derogada por el artículo 35 de la Ley 2069 de 2020. Ello no solo porque el artículo 84 de esta Ley dice que «rige a partir del momento de su promulgación», es decir, desde el 31 de diciembre de 2020, sino además porque la misma disposición señala que la Ley 2069 de 2020 deroga «[…] todas las disposiciones que le sean contrarias». 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890E6F">
        <w:rPr>
          <w:rFonts w:ascii="Arial" w:eastAsia="Calibri" w:hAnsi="Arial" w:cs="Arial"/>
          <w:sz w:val="20"/>
          <w:szCs w:val="20"/>
          <w:lang w:val="es-ES_tradnl"/>
        </w:rPr>
        <w:t>secundum</w:t>
      </w:r>
      <w:proofErr w:type="spellEnd"/>
      <w:r w:rsidRPr="00890E6F">
        <w:rPr>
          <w:rFonts w:ascii="Arial" w:eastAsia="Calibri" w:hAnsi="Arial" w:cs="Arial"/>
          <w:sz w:val="20"/>
          <w:szCs w:val="20"/>
          <w:lang w:val="es-ES_tradnl"/>
        </w:rPr>
        <w:t xml:space="preserve"> </w:t>
      </w:r>
      <w:proofErr w:type="spellStart"/>
      <w:r w:rsidRPr="00890E6F">
        <w:rPr>
          <w:rFonts w:ascii="Arial" w:eastAsia="Calibri" w:hAnsi="Arial" w:cs="Arial"/>
          <w:sz w:val="20"/>
          <w:szCs w:val="20"/>
          <w:lang w:val="es-ES_tradnl"/>
        </w:rPr>
        <w:t>legem</w:t>
      </w:r>
      <w:proofErr w:type="spellEnd"/>
      <w:r w:rsidRPr="00890E6F">
        <w:rPr>
          <w:rFonts w:ascii="Arial" w:eastAsia="Calibri" w:hAnsi="Arial" w:cs="Arial"/>
          <w:sz w:val="20"/>
          <w:szCs w:val="20"/>
          <w:lang w:val="es-ES_tradnl"/>
        </w:rPr>
        <w:t xml:space="preserve"> –es decir, que desarrolla una norma de mayor jerarquía–, la expedición de una ley en sentido formal –es decir, una fuente que condiciona el contenido de este último–, hace que la disposición reglamentaria decaiga.  </w:t>
      </w:r>
    </w:p>
    <w:p w14:paraId="4CCD1553" w14:textId="77777777" w:rsidR="005416CA" w:rsidRPr="00890E6F" w:rsidRDefault="005416CA" w:rsidP="005416CA">
      <w:pPr>
        <w:tabs>
          <w:tab w:val="left" w:pos="709"/>
        </w:tabs>
        <w:jc w:val="both"/>
        <w:rPr>
          <w:rFonts w:ascii="Arial" w:eastAsia="Calibri" w:hAnsi="Arial" w:cs="Arial"/>
          <w:sz w:val="20"/>
          <w:szCs w:val="20"/>
          <w:lang w:val="es-ES_tradnl"/>
        </w:rPr>
      </w:pPr>
    </w:p>
    <w:p w14:paraId="5BF0DB7F" w14:textId="22D304EF" w:rsidR="00C61863" w:rsidRPr="00890E6F" w:rsidRDefault="005416CA" w:rsidP="005416CA">
      <w:pPr>
        <w:tabs>
          <w:tab w:val="left" w:pos="709"/>
        </w:tabs>
        <w:jc w:val="both"/>
        <w:rPr>
          <w:rFonts w:ascii="Arial" w:hAnsi="Arial" w:cs="Arial"/>
          <w:sz w:val="22"/>
          <w:szCs w:val="22"/>
          <w:lang w:val="es-ES_tradnl"/>
        </w:rPr>
      </w:pPr>
      <w:r w:rsidRPr="00890E6F">
        <w:rPr>
          <w:rFonts w:ascii="Arial" w:eastAsia="Calibri" w:hAnsi="Arial" w:cs="Arial"/>
          <w:sz w:val="20"/>
          <w:szCs w:val="20"/>
          <w:lang w:val="es-ES_tradnl"/>
        </w:rPr>
        <w:t xml:space="preserve">Lo explicado en los párrafos precedentes también aplica mutatis mutandis a los factores de desempate previstos en el Decreto Único Reglamentario del Sector Administrativo de Planeación Nacional para los procedimientos de subasta inversa–adelantados en el marco de la modalidad de selección abreviada– y mínima cuantía. A pesar de que numeral 9 del artículo 2.2.1.2.1.2.2 y el 7 del artículo 2.2.1.2.1.5.2 del Decreto 1082 de 2015 establecían unas reglas especiales para el desempate entre ofertas para los referidos procedimientos, ya que el primer inciso del artículo 35 de la Ley 2069 de 2020 no distingue modalidades de selección y regula la institución de los factores de desempate en los procesos de contratación estatal de manera integral. En consecuencia, por tratarse de una norma transversal al sistema de compras y contratación pública, el artículo 35 de la Ley 2069 de 2020 es aplicable a los procedimientos de procedimientos de subasta inversa y mínima cuantía, presentándose tanto la derogación como el decaimiento de los criterios de desempate previstos en los numerales 9 del artículo 2.2.1.2.1.2.2 y 7 del artículo 2.2.1.2.1.5.2 del Decreto 1082 de 2015, para estos procedimientos de selección.             </w:t>
      </w:r>
    </w:p>
    <w:p w14:paraId="666856BF" w14:textId="17495162" w:rsidR="00004173" w:rsidRPr="00890E6F" w:rsidRDefault="00004173" w:rsidP="005E04C5">
      <w:pPr>
        <w:jc w:val="both"/>
        <w:rPr>
          <w:rFonts w:ascii="Arial" w:hAnsi="Arial" w:cs="Arial"/>
          <w:noProof/>
          <w:sz w:val="22"/>
          <w:lang w:val="es-ES_tradnl"/>
        </w:rPr>
      </w:pPr>
    </w:p>
    <w:p w14:paraId="559444FF" w14:textId="3427D45D" w:rsidR="006D58F2" w:rsidRPr="00890E6F" w:rsidRDefault="006D58F2" w:rsidP="00B95C30">
      <w:pPr>
        <w:spacing w:line="276" w:lineRule="auto"/>
        <w:jc w:val="both"/>
        <w:rPr>
          <w:rFonts w:ascii="Arial" w:hAnsi="Arial" w:cs="Arial"/>
          <w:noProof/>
          <w:sz w:val="22"/>
          <w:lang w:val="es-ES_tradnl"/>
        </w:rPr>
      </w:pPr>
    </w:p>
    <w:p w14:paraId="770AB292" w14:textId="7071937B" w:rsidR="006D58F2" w:rsidRPr="00890E6F" w:rsidRDefault="006D58F2" w:rsidP="00B95C30">
      <w:pPr>
        <w:spacing w:line="276" w:lineRule="auto"/>
        <w:jc w:val="both"/>
        <w:rPr>
          <w:rFonts w:ascii="Arial" w:hAnsi="Arial" w:cs="Arial"/>
          <w:noProof/>
          <w:sz w:val="22"/>
          <w:lang w:val="es-ES_tradnl"/>
        </w:rPr>
      </w:pPr>
    </w:p>
    <w:p w14:paraId="5033CD0B" w14:textId="6E4E0678" w:rsidR="006D58F2" w:rsidRPr="00890E6F" w:rsidRDefault="006D58F2" w:rsidP="00B95C30">
      <w:pPr>
        <w:spacing w:line="276" w:lineRule="auto"/>
        <w:jc w:val="both"/>
        <w:rPr>
          <w:rFonts w:ascii="Arial" w:hAnsi="Arial" w:cs="Arial"/>
          <w:noProof/>
          <w:sz w:val="22"/>
          <w:lang w:val="es-ES_tradnl"/>
        </w:rPr>
      </w:pPr>
    </w:p>
    <w:p w14:paraId="425B23E0" w14:textId="77777777" w:rsidR="006D58F2" w:rsidRPr="00890E6F" w:rsidRDefault="006D58F2" w:rsidP="00B95C30">
      <w:pPr>
        <w:spacing w:line="276" w:lineRule="auto"/>
        <w:jc w:val="both"/>
        <w:rPr>
          <w:rFonts w:ascii="Arial" w:hAnsi="Arial" w:cs="Arial"/>
          <w:noProof/>
          <w:sz w:val="22"/>
          <w:lang w:val="es-ES_tradnl"/>
        </w:rPr>
      </w:pPr>
    </w:p>
    <w:p w14:paraId="24A88D3F" w14:textId="692A56A9" w:rsidR="00F53F4F" w:rsidRPr="00890E6F" w:rsidRDefault="00F53F4F" w:rsidP="00B95C30">
      <w:pPr>
        <w:jc w:val="both"/>
        <w:rPr>
          <w:rFonts w:ascii="Arial" w:hAnsi="Arial" w:cs="Arial"/>
          <w:b/>
          <w:sz w:val="22"/>
          <w:lang w:val="es-ES_tradnl"/>
        </w:rPr>
      </w:pPr>
    </w:p>
    <w:p w14:paraId="184B7488" w14:textId="6DBCC181" w:rsidR="00097F53" w:rsidRPr="00890E6F" w:rsidRDefault="00097F53" w:rsidP="00B95C30">
      <w:pPr>
        <w:jc w:val="both"/>
        <w:rPr>
          <w:rFonts w:ascii="Arial" w:hAnsi="Arial" w:cs="Arial"/>
          <w:b/>
          <w:sz w:val="22"/>
          <w:lang w:val="es-ES_tradnl"/>
        </w:rPr>
      </w:pPr>
    </w:p>
    <w:p w14:paraId="7D585357" w14:textId="40823CF2" w:rsidR="00BE3700" w:rsidRPr="00890E6F" w:rsidRDefault="00BE3700" w:rsidP="00B95C30">
      <w:pPr>
        <w:jc w:val="both"/>
        <w:rPr>
          <w:rFonts w:ascii="Arial" w:hAnsi="Arial" w:cs="Arial"/>
          <w:b/>
          <w:sz w:val="22"/>
          <w:lang w:val="es-ES_tradnl"/>
        </w:rPr>
      </w:pPr>
    </w:p>
    <w:p w14:paraId="5F68F1FE" w14:textId="5818948F" w:rsidR="00BE3700" w:rsidRPr="00890E6F" w:rsidRDefault="00BE3700" w:rsidP="00B95C30">
      <w:pPr>
        <w:jc w:val="both"/>
        <w:rPr>
          <w:rFonts w:ascii="Arial" w:hAnsi="Arial" w:cs="Arial"/>
          <w:b/>
          <w:sz w:val="22"/>
          <w:lang w:val="es-ES_tradnl"/>
        </w:rPr>
      </w:pPr>
    </w:p>
    <w:p w14:paraId="42081262" w14:textId="4AB60AAC" w:rsidR="00BE3700" w:rsidRPr="00890E6F" w:rsidRDefault="00BE3700" w:rsidP="00B95C30">
      <w:pPr>
        <w:jc w:val="both"/>
        <w:rPr>
          <w:rFonts w:ascii="Arial" w:hAnsi="Arial" w:cs="Arial"/>
          <w:b/>
          <w:sz w:val="22"/>
          <w:lang w:val="es-ES_tradnl"/>
        </w:rPr>
      </w:pPr>
    </w:p>
    <w:p w14:paraId="44C456DB" w14:textId="3B44D864" w:rsidR="00BE3700" w:rsidRPr="00890E6F" w:rsidRDefault="00BE3700" w:rsidP="00B95C30">
      <w:pPr>
        <w:jc w:val="both"/>
        <w:rPr>
          <w:rFonts w:ascii="Arial" w:hAnsi="Arial" w:cs="Arial"/>
          <w:b/>
          <w:sz w:val="22"/>
          <w:lang w:val="es-ES_tradnl"/>
        </w:rPr>
      </w:pPr>
    </w:p>
    <w:p w14:paraId="5B2E3D15" w14:textId="17EA36C8" w:rsidR="00BE3700" w:rsidRPr="00890E6F" w:rsidRDefault="00BE3700" w:rsidP="00B95C30">
      <w:pPr>
        <w:jc w:val="both"/>
        <w:rPr>
          <w:rFonts w:ascii="Arial" w:hAnsi="Arial" w:cs="Arial"/>
          <w:b/>
          <w:sz w:val="22"/>
          <w:lang w:val="es-ES_tradnl"/>
        </w:rPr>
      </w:pPr>
    </w:p>
    <w:p w14:paraId="0F445C91" w14:textId="4C9FEC35" w:rsidR="00BE3700" w:rsidRPr="00890E6F" w:rsidRDefault="00BE3700" w:rsidP="00B95C30">
      <w:pPr>
        <w:jc w:val="both"/>
        <w:rPr>
          <w:rFonts w:ascii="Arial" w:hAnsi="Arial" w:cs="Arial"/>
          <w:b/>
          <w:sz w:val="22"/>
          <w:lang w:val="es-ES_tradnl"/>
        </w:rPr>
      </w:pPr>
    </w:p>
    <w:p w14:paraId="2E359CAC" w14:textId="59C85025" w:rsidR="00BE3700" w:rsidRPr="00890E6F" w:rsidRDefault="00BE3700" w:rsidP="00B95C30">
      <w:pPr>
        <w:jc w:val="both"/>
        <w:rPr>
          <w:rFonts w:ascii="Arial" w:hAnsi="Arial" w:cs="Arial"/>
          <w:b/>
          <w:sz w:val="22"/>
          <w:lang w:val="es-ES_tradnl"/>
        </w:rPr>
      </w:pPr>
    </w:p>
    <w:p w14:paraId="74B7773A" w14:textId="3D65D977" w:rsidR="00BE3700" w:rsidRPr="00890E6F" w:rsidRDefault="00BE3700" w:rsidP="00B95C30">
      <w:pPr>
        <w:jc w:val="both"/>
        <w:rPr>
          <w:rFonts w:ascii="Arial" w:hAnsi="Arial" w:cs="Arial"/>
          <w:b/>
          <w:sz w:val="22"/>
          <w:lang w:val="es-ES_tradnl"/>
        </w:rPr>
      </w:pPr>
    </w:p>
    <w:p w14:paraId="07548B91" w14:textId="517AEB47" w:rsidR="00BE3700" w:rsidRPr="00890E6F" w:rsidRDefault="00BE3700" w:rsidP="00B95C30">
      <w:pPr>
        <w:jc w:val="both"/>
        <w:rPr>
          <w:rFonts w:ascii="Arial" w:hAnsi="Arial" w:cs="Arial"/>
          <w:b/>
          <w:sz w:val="22"/>
          <w:lang w:val="es-ES_tradnl"/>
        </w:rPr>
      </w:pPr>
    </w:p>
    <w:p w14:paraId="73A0E612" w14:textId="7EA7343A" w:rsidR="00BE3700" w:rsidRPr="00890E6F" w:rsidRDefault="00BE3700" w:rsidP="00B95C30">
      <w:pPr>
        <w:jc w:val="both"/>
        <w:rPr>
          <w:rFonts w:ascii="Arial" w:hAnsi="Arial" w:cs="Arial"/>
          <w:b/>
          <w:sz w:val="22"/>
          <w:lang w:val="es-ES_tradnl"/>
        </w:rPr>
      </w:pPr>
    </w:p>
    <w:p w14:paraId="6F8B804A" w14:textId="55C59463" w:rsidR="00BE3700" w:rsidRPr="00890E6F" w:rsidRDefault="00BE3700" w:rsidP="00B95C30">
      <w:pPr>
        <w:jc w:val="both"/>
        <w:rPr>
          <w:rFonts w:ascii="Arial" w:hAnsi="Arial" w:cs="Arial"/>
          <w:b/>
          <w:sz w:val="22"/>
          <w:lang w:val="es-ES_tradnl"/>
        </w:rPr>
      </w:pPr>
    </w:p>
    <w:p w14:paraId="17DA7D66" w14:textId="340966F5" w:rsidR="00BE3700" w:rsidRPr="00890E6F" w:rsidRDefault="00BE3700" w:rsidP="00B95C30">
      <w:pPr>
        <w:jc w:val="both"/>
        <w:rPr>
          <w:rFonts w:ascii="Arial" w:hAnsi="Arial" w:cs="Arial"/>
          <w:b/>
          <w:sz w:val="22"/>
          <w:lang w:val="es-ES_tradnl"/>
        </w:rPr>
      </w:pPr>
    </w:p>
    <w:p w14:paraId="67BF819E" w14:textId="38DC8894" w:rsidR="00BE3700" w:rsidRPr="00890E6F" w:rsidRDefault="00BE3700" w:rsidP="00B95C30">
      <w:pPr>
        <w:jc w:val="both"/>
        <w:rPr>
          <w:rFonts w:ascii="Arial" w:hAnsi="Arial" w:cs="Arial"/>
          <w:b/>
          <w:sz w:val="22"/>
          <w:lang w:val="es-ES_tradnl"/>
        </w:rPr>
      </w:pPr>
    </w:p>
    <w:p w14:paraId="7F706B1B" w14:textId="16C9E6BE" w:rsidR="00BE3700" w:rsidRPr="00890E6F" w:rsidRDefault="00BE3700" w:rsidP="00B95C30">
      <w:pPr>
        <w:jc w:val="both"/>
        <w:rPr>
          <w:rFonts w:ascii="Arial" w:hAnsi="Arial" w:cs="Arial"/>
          <w:b/>
          <w:sz w:val="22"/>
          <w:lang w:val="es-ES_tradnl"/>
        </w:rPr>
      </w:pPr>
    </w:p>
    <w:p w14:paraId="5AA5CB48" w14:textId="25747534" w:rsidR="00BE3700" w:rsidRPr="00890E6F" w:rsidRDefault="00BE3700" w:rsidP="00B95C30">
      <w:pPr>
        <w:jc w:val="both"/>
        <w:rPr>
          <w:rFonts w:ascii="Arial" w:hAnsi="Arial" w:cs="Arial"/>
          <w:b/>
          <w:sz w:val="22"/>
          <w:lang w:val="es-ES_tradnl"/>
        </w:rPr>
      </w:pPr>
    </w:p>
    <w:p w14:paraId="7FC122E1" w14:textId="2F640D85" w:rsidR="00BE3700" w:rsidRPr="00890E6F" w:rsidRDefault="00BE3700" w:rsidP="00B95C30">
      <w:pPr>
        <w:jc w:val="both"/>
        <w:rPr>
          <w:rFonts w:ascii="Arial" w:hAnsi="Arial" w:cs="Arial"/>
          <w:b/>
          <w:sz w:val="22"/>
          <w:lang w:val="es-ES_tradnl"/>
        </w:rPr>
      </w:pPr>
    </w:p>
    <w:p w14:paraId="1DD9E0DB" w14:textId="5360FF49" w:rsidR="00C61863" w:rsidRDefault="005111FA" w:rsidP="005111FA">
      <w:pPr>
        <w:jc w:val="right"/>
        <w:rPr>
          <w:rFonts w:ascii="Arial" w:hAnsi="Arial" w:cs="Arial"/>
          <w:b/>
          <w:sz w:val="22"/>
          <w:lang w:val="es-ES_tradnl"/>
        </w:rPr>
      </w:pPr>
      <w:r w:rsidRPr="005111FA">
        <w:rPr>
          <w:rFonts w:ascii="Arial" w:hAnsi="Arial" w:cs="Arial"/>
          <w:b/>
          <w:sz w:val="22"/>
          <w:lang w:val="es-ES_tradnl"/>
        </w:rPr>
        <w:lastRenderedPageBreak/>
        <w:drawing>
          <wp:inline distT="0" distB="0" distL="0" distR="0" wp14:anchorId="4B2E7873" wp14:editId="6E779C67">
            <wp:extent cx="2505425" cy="676369"/>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505425" cy="676369"/>
                    </a:xfrm>
                    <a:prstGeom prst="rect">
                      <a:avLst/>
                    </a:prstGeom>
                  </pic:spPr>
                </pic:pic>
              </a:graphicData>
            </a:graphic>
          </wp:inline>
        </w:drawing>
      </w:r>
    </w:p>
    <w:p w14:paraId="01E3C0CD" w14:textId="77777777" w:rsidR="00DE2DF1" w:rsidRPr="00890E6F" w:rsidRDefault="00DE2DF1" w:rsidP="00B95C30">
      <w:pPr>
        <w:jc w:val="both"/>
        <w:rPr>
          <w:rFonts w:ascii="Arial" w:hAnsi="Arial" w:cs="Arial"/>
          <w:b/>
          <w:sz w:val="22"/>
          <w:lang w:val="es-ES_tradnl"/>
        </w:rPr>
      </w:pPr>
    </w:p>
    <w:p w14:paraId="5F5AE9EF" w14:textId="7DE57BE7" w:rsidR="00B95C30" w:rsidRPr="00890E6F" w:rsidRDefault="00541381" w:rsidP="00EB2ED0">
      <w:pPr>
        <w:jc w:val="both"/>
        <w:rPr>
          <w:rFonts w:ascii="Arial" w:eastAsia="Calibri" w:hAnsi="Arial" w:cs="Arial"/>
          <w:sz w:val="22"/>
          <w:lang w:val="es-ES_tradnl"/>
        </w:rPr>
      </w:pPr>
      <w:bookmarkStart w:id="7" w:name="_Hlk79395594"/>
      <w:r w:rsidRPr="00890E6F">
        <w:rPr>
          <w:rFonts w:ascii="Arial" w:eastAsia="Calibri" w:hAnsi="Arial" w:cs="Arial"/>
          <w:sz w:val="22"/>
          <w:lang w:val="es-ES_tradnl"/>
        </w:rPr>
        <w:t>Señor</w:t>
      </w:r>
    </w:p>
    <w:p w14:paraId="4C0289FC" w14:textId="3AB5A5BE" w:rsidR="00541381" w:rsidRPr="00890E6F" w:rsidRDefault="00541381" w:rsidP="00940DBD">
      <w:pPr>
        <w:jc w:val="both"/>
        <w:rPr>
          <w:rFonts w:ascii="Arial" w:hAnsi="Arial" w:cs="Arial"/>
          <w:b/>
          <w:bCs/>
          <w:sz w:val="22"/>
          <w:szCs w:val="22"/>
        </w:rPr>
      </w:pPr>
      <w:r w:rsidRPr="00890E6F">
        <w:rPr>
          <w:rFonts w:ascii="Arial" w:hAnsi="Arial" w:cs="Arial"/>
          <w:b/>
          <w:bCs/>
          <w:sz w:val="22"/>
          <w:szCs w:val="22"/>
        </w:rPr>
        <w:t xml:space="preserve">Oliver </w:t>
      </w:r>
      <w:proofErr w:type="spellStart"/>
      <w:r w:rsidRPr="00890E6F">
        <w:rPr>
          <w:rFonts w:ascii="Arial" w:hAnsi="Arial" w:cs="Arial"/>
          <w:b/>
          <w:bCs/>
          <w:sz w:val="22"/>
          <w:szCs w:val="22"/>
        </w:rPr>
        <w:t>Tellez</w:t>
      </w:r>
      <w:proofErr w:type="spellEnd"/>
      <w:r w:rsidRPr="00890E6F">
        <w:rPr>
          <w:rFonts w:ascii="Arial" w:hAnsi="Arial" w:cs="Arial"/>
          <w:b/>
          <w:bCs/>
          <w:sz w:val="22"/>
          <w:szCs w:val="22"/>
        </w:rPr>
        <w:t xml:space="preserve"> </w:t>
      </w:r>
    </w:p>
    <w:p w14:paraId="09D4AEA8" w14:textId="62B1A724" w:rsidR="00B95C30" w:rsidRPr="00890E6F" w:rsidRDefault="00903679" w:rsidP="00EB2ED0">
      <w:pPr>
        <w:jc w:val="both"/>
        <w:rPr>
          <w:rFonts w:ascii="Arial" w:eastAsia="Calibri" w:hAnsi="Arial" w:cs="Arial"/>
          <w:sz w:val="22"/>
          <w:lang w:val="es-ES_tradnl"/>
        </w:rPr>
      </w:pPr>
      <w:r w:rsidRPr="00890E6F">
        <w:rPr>
          <w:rFonts w:ascii="Arial" w:eastAsia="Calibri" w:hAnsi="Arial" w:cs="Arial"/>
          <w:sz w:val="22"/>
          <w:lang w:val="es-ES_tradnl"/>
        </w:rPr>
        <w:t>Bogotá D.C.</w:t>
      </w:r>
    </w:p>
    <w:p w14:paraId="48E36FCF" w14:textId="26F8F950" w:rsidR="00F53F4F" w:rsidRPr="00890E6F" w:rsidRDefault="00F53F4F" w:rsidP="00EB2ED0">
      <w:pPr>
        <w:jc w:val="both"/>
        <w:rPr>
          <w:rFonts w:ascii="Arial" w:eastAsia="Calibri" w:hAnsi="Arial" w:cs="Arial"/>
          <w:sz w:val="22"/>
          <w:lang w:val="es-ES_tradnl"/>
        </w:rPr>
      </w:pPr>
    </w:p>
    <w:p w14:paraId="38813101" w14:textId="77777777" w:rsidR="00D274C5" w:rsidRPr="00890E6F" w:rsidRDefault="00D274C5" w:rsidP="00EB2ED0">
      <w:pPr>
        <w:jc w:val="both"/>
        <w:rPr>
          <w:rFonts w:ascii="Arial" w:eastAsia="Calibri" w:hAnsi="Arial" w:cs="Arial"/>
          <w:sz w:val="22"/>
          <w:lang w:val="es-ES_tradnl"/>
        </w:rPr>
      </w:pPr>
    </w:p>
    <w:p w14:paraId="12E66182" w14:textId="52E53B4A" w:rsidR="00B95C30" w:rsidRPr="00890E6F" w:rsidRDefault="00F53F4F" w:rsidP="00EB2ED0">
      <w:pPr>
        <w:rPr>
          <w:rFonts w:ascii="Arial" w:eastAsia="Calibri" w:hAnsi="Arial" w:cs="Arial"/>
          <w:b/>
          <w:bCs/>
          <w:sz w:val="22"/>
          <w:lang w:val="es-ES_tradnl"/>
        </w:rPr>
      </w:pPr>
      <w:r w:rsidRPr="00890E6F">
        <w:rPr>
          <w:rFonts w:ascii="Arial" w:eastAsia="Calibri" w:hAnsi="Arial" w:cs="Arial"/>
          <w:b/>
          <w:bCs/>
          <w:sz w:val="22"/>
          <w:lang w:val="es-ES_tradnl"/>
        </w:rPr>
        <w:t xml:space="preserve">                                            </w:t>
      </w:r>
      <w:r w:rsidR="00B95C30" w:rsidRPr="00890E6F">
        <w:rPr>
          <w:rFonts w:ascii="Arial" w:eastAsia="Calibri" w:hAnsi="Arial" w:cs="Arial"/>
          <w:b/>
          <w:bCs/>
          <w:sz w:val="22"/>
          <w:lang w:val="es-ES_tradnl"/>
        </w:rPr>
        <w:t xml:space="preserve">Concepto C ‒ </w:t>
      </w:r>
      <w:r w:rsidR="00B4220B" w:rsidRPr="00890E6F">
        <w:rPr>
          <w:rFonts w:ascii="Arial" w:eastAsia="Calibri" w:hAnsi="Arial" w:cs="Arial"/>
          <w:b/>
          <w:bCs/>
          <w:sz w:val="22"/>
          <w:lang w:val="es-ES_tradnl"/>
        </w:rPr>
        <w:t>422</w:t>
      </w:r>
      <w:r w:rsidR="00B95C30" w:rsidRPr="00890E6F">
        <w:rPr>
          <w:rFonts w:ascii="Arial" w:eastAsia="Calibri" w:hAnsi="Arial" w:cs="Arial"/>
          <w:b/>
          <w:bCs/>
          <w:sz w:val="22"/>
          <w:lang w:val="es-ES_tradnl"/>
        </w:rPr>
        <w:t xml:space="preserve"> de 202</w:t>
      </w:r>
      <w:r w:rsidR="005E781C" w:rsidRPr="00890E6F">
        <w:rPr>
          <w:rFonts w:ascii="Arial" w:eastAsia="Calibri" w:hAnsi="Arial" w:cs="Arial"/>
          <w:b/>
          <w:bCs/>
          <w:sz w:val="22"/>
          <w:lang w:val="es-ES_tradnl"/>
        </w:rPr>
        <w:t>1</w:t>
      </w:r>
    </w:p>
    <w:p w14:paraId="1BD594F9" w14:textId="77777777" w:rsidR="00B95C30" w:rsidRPr="00890E6F" w:rsidRDefault="00B95C30" w:rsidP="00EB2ED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90E6F" w:rsidRPr="00890E6F" w14:paraId="19DFC051" w14:textId="77777777" w:rsidTr="008F4163">
        <w:tc>
          <w:tcPr>
            <w:tcW w:w="2689" w:type="dxa"/>
          </w:tcPr>
          <w:p w14:paraId="6BC0D1AC" w14:textId="77777777" w:rsidR="00B95C30" w:rsidRPr="00890E6F" w:rsidRDefault="00B95C30" w:rsidP="00EB2ED0">
            <w:pPr>
              <w:jc w:val="both"/>
              <w:rPr>
                <w:rFonts w:ascii="Arial" w:eastAsia="Calibri" w:hAnsi="Arial" w:cs="Arial"/>
                <w:sz w:val="22"/>
                <w:lang w:val="es-ES_tradnl"/>
              </w:rPr>
            </w:pPr>
            <w:r w:rsidRPr="00890E6F">
              <w:rPr>
                <w:rFonts w:ascii="Arial" w:eastAsia="Calibri" w:hAnsi="Arial" w:cs="Arial"/>
                <w:b/>
                <w:sz w:val="22"/>
                <w:lang w:val="es-ES_tradnl"/>
              </w:rPr>
              <w:t>Temas:</w:t>
            </w:r>
            <w:r w:rsidRPr="00890E6F">
              <w:rPr>
                <w:rFonts w:ascii="Arial" w:eastAsia="Calibri" w:hAnsi="Arial" w:cs="Arial"/>
                <w:sz w:val="22"/>
                <w:lang w:val="es-ES_tradnl"/>
              </w:rPr>
              <w:t xml:space="preserve">                                      </w:t>
            </w:r>
          </w:p>
        </w:tc>
        <w:tc>
          <w:tcPr>
            <w:tcW w:w="6237" w:type="dxa"/>
          </w:tcPr>
          <w:p w14:paraId="5F389CAF" w14:textId="1E237A22" w:rsidR="00B95C30" w:rsidRPr="00890E6F" w:rsidRDefault="00186155" w:rsidP="00EB2ED0">
            <w:pPr>
              <w:jc w:val="both"/>
              <w:rPr>
                <w:rFonts w:ascii="Arial" w:eastAsia="Calibri" w:hAnsi="Arial" w:cs="Arial"/>
                <w:sz w:val="22"/>
                <w:lang w:val="es-ES_tradnl"/>
              </w:rPr>
            </w:pPr>
            <w:r w:rsidRPr="00890E6F">
              <w:rPr>
                <w:rFonts w:ascii="Arial" w:eastAsia="Calibri" w:hAnsi="Arial" w:cs="Arial"/>
                <w:bCs/>
                <w:sz w:val="22"/>
                <w:lang w:val="es-ES_tradnl"/>
              </w:rPr>
              <w:t>SELECCIÓN OBJETIVA – Contratación estatal – Concepto / EMPATE – Procedimiento de selección – Concepto / FACTORES DE DESEMPATE – Características – Límites / LEY DE EMPRENDIMIENTO – Ley 2069 de 2020 – Vigencia / DECRETO 1082 DE 2015 – Artículo 2.2.1.1.2.2.9. – Derogatoria – Decaimiento / FACTORES DE DESEMPATE ¬– Mínima cuantía – Subasta inversa – Ley 2069 de 2020 – Artículo 35 – Factores de desempate – Aplicación – Puntaje</w:t>
            </w:r>
          </w:p>
        </w:tc>
      </w:tr>
      <w:tr w:rsidR="00A572F4" w:rsidRPr="00890E6F" w14:paraId="27CD52AB" w14:textId="77777777" w:rsidTr="008F4163">
        <w:tc>
          <w:tcPr>
            <w:tcW w:w="2689" w:type="dxa"/>
          </w:tcPr>
          <w:p w14:paraId="37E195A1" w14:textId="1BA218D5" w:rsidR="00B95C30" w:rsidRPr="00890E6F" w:rsidRDefault="00B95C30" w:rsidP="00EB2ED0">
            <w:pPr>
              <w:spacing w:before="120"/>
              <w:jc w:val="both"/>
              <w:rPr>
                <w:rFonts w:ascii="Arial" w:eastAsia="Calibri" w:hAnsi="Arial" w:cs="Arial"/>
                <w:b/>
                <w:sz w:val="22"/>
                <w:lang w:val="es-ES_tradnl"/>
              </w:rPr>
            </w:pPr>
            <w:r w:rsidRPr="00890E6F">
              <w:rPr>
                <w:rFonts w:ascii="Arial" w:eastAsia="Calibri" w:hAnsi="Arial" w:cs="Arial"/>
                <w:b/>
                <w:sz w:val="22"/>
                <w:lang w:val="es-ES_tradnl"/>
              </w:rPr>
              <w:t>Radicación:</w:t>
            </w:r>
            <w:r w:rsidRPr="00890E6F">
              <w:rPr>
                <w:rFonts w:ascii="Arial" w:eastAsia="Calibri" w:hAnsi="Arial" w:cs="Arial"/>
                <w:sz w:val="22"/>
                <w:lang w:val="es-ES_tradnl"/>
              </w:rPr>
              <w:t xml:space="preserve">                              </w:t>
            </w:r>
          </w:p>
        </w:tc>
        <w:tc>
          <w:tcPr>
            <w:tcW w:w="6237" w:type="dxa"/>
          </w:tcPr>
          <w:p w14:paraId="09088B1B" w14:textId="14C4EF80" w:rsidR="00B95C30" w:rsidRPr="00890E6F" w:rsidRDefault="00B95C30" w:rsidP="00EB2ED0">
            <w:pPr>
              <w:spacing w:before="120"/>
              <w:jc w:val="both"/>
              <w:rPr>
                <w:rFonts w:ascii="Arial" w:eastAsia="Calibri" w:hAnsi="Arial" w:cs="Arial"/>
                <w:sz w:val="22"/>
                <w:lang w:val="es-ES_tradnl"/>
              </w:rPr>
            </w:pPr>
            <w:r w:rsidRPr="00890E6F">
              <w:rPr>
                <w:rFonts w:ascii="Arial" w:eastAsia="Calibri" w:hAnsi="Arial" w:cs="Arial"/>
                <w:sz w:val="22"/>
                <w:lang w:val="es-ES_tradnl"/>
              </w:rPr>
              <w:t xml:space="preserve">Respuesta a consulta # </w:t>
            </w:r>
            <w:r w:rsidR="003E27F5" w:rsidRPr="00890E6F">
              <w:rPr>
                <w:rFonts w:ascii="Arial" w:eastAsia="Calibri" w:hAnsi="Arial" w:cs="Arial"/>
                <w:sz w:val="22"/>
                <w:lang w:val="es-ES_tradnl"/>
              </w:rPr>
              <w:t>P20210704005865</w:t>
            </w:r>
          </w:p>
        </w:tc>
      </w:tr>
    </w:tbl>
    <w:p w14:paraId="61B55CA4" w14:textId="77777777" w:rsidR="00716BB0" w:rsidRPr="00890E6F" w:rsidRDefault="00716BB0" w:rsidP="00EB2ED0">
      <w:pPr>
        <w:jc w:val="both"/>
        <w:rPr>
          <w:rFonts w:ascii="Arial" w:eastAsia="Calibri" w:hAnsi="Arial" w:cs="Arial"/>
          <w:sz w:val="22"/>
          <w:lang w:val="es-ES_tradnl"/>
        </w:rPr>
      </w:pPr>
    </w:p>
    <w:p w14:paraId="4B9B5156" w14:textId="77777777" w:rsidR="00716BB0" w:rsidRPr="00890E6F" w:rsidRDefault="00716BB0" w:rsidP="00EB2ED0">
      <w:pPr>
        <w:jc w:val="both"/>
        <w:rPr>
          <w:rFonts w:ascii="Arial" w:eastAsia="Calibri" w:hAnsi="Arial" w:cs="Arial"/>
          <w:sz w:val="22"/>
          <w:lang w:val="es-ES_tradnl"/>
        </w:rPr>
      </w:pPr>
    </w:p>
    <w:p w14:paraId="1CF4AEA0" w14:textId="0519CC53" w:rsidR="003C3339" w:rsidRPr="00890E6F" w:rsidRDefault="003C3339" w:rsidP="00EB2ED0">
      <w:pPr>
        <w:jc w:val="both"/>
        <w:rPr>
          <w:rFonts w:ascii="Arial" w:eastAsia="Calibri" w:hAnsi="Arial" w:cs="Arial"/>
          <w:sz w:val="22"/>
          <w:lang w:val="es-ES_tradnl"/>
        </w:rPr>
      </w:pPr>
      <w:r w:rsidRPr="00890E6F">
        <w:rPr>
          <w:rFonts w:ascii="Arial" w:eastAsia="Calibri" w:hAnsi="Arial" w:cs="Arial"/>
          <w:sz w:val="22"/>
          <w:lang w:val="es-ES_tradnl"/>
        </w:rPr>
        <w:t>Estimad</w:t>
      </w:r>
      <w:r w:rsidR="00940DBD" w:rsidRPr="00890E6F">
        <w:rPr>
          <w:rFonts w:ascii="Arial" w:eastAsia="Calibri" w:hAnsi="Arial" w:cs="Arial"/>
          <w:sz w:val="22"/>
          <w:lang w:val="es-ES_tradnl"/>
        </w:rPr>
        <w:t>o</w:t>
      </w:r>
      <w:r w:rsidRPr="00890E6F">
        <w:rPr>
          <w:rFonts w:ascii="Arial" w:eastAsia="Calibri" w:hAnsi="Arial" w:cs="Arial"/>
          <w:sz w:val="22"/>
          <w:lang w:val="es-ES_tradnl"/>
        </w:rPr>
        <w:t xml:space="preserve"> </w:t>
      </w:r>
      <w:r w:rsidR="003E27F5" w:rsidRPr="00890E6F">
        <w:rPr>
          <w:rFonts w:ascii="Arial" w:eastAsia="Calibri" w:hAnsi="Arial" w:cs="Arial"/>
          <w:sz w:val="22"/>
          <w:lang w:val="es-ES_tradnl"/>
        </w:rPr>
        <w:t>señor</w:t>
      </w:r>
      <w:r w:rsidR="00BE4FBF" w:rsidRPr="00890E6F">
        <w:rPr>
          <w:rFonts w:ascii="Arial" w:eastAsia="Calibri" w:hAnsi="Arial" w:cs="Arial"/>
          <w:sz w:val="22"/>
          <w:lang w:val="es-ES_tradnl"/>
        </w:rPr>
        <w:t xml:space="preserve"> </w:t>
      </w:r>
      <w:r w:rsidR="00D05FBF" w:rsidRPr="00890E6F">
        <w:rPr>
          <w:rFonts w:ascii="Arial" w:eastAsia="Calibri" w:hAnsi="Arial" w:cs="Arial"/>
          <w:sz w:val="22"/>
          <w:lang w:val="es-ES_tradnl"/>
        </w:rPr>
        <w:t>Téllez</w:t>
      </w:r>
      <w:r w:rsidRPr="00890E6F">
        <w:rPr>
          <w:rFonts w:ascii="Arial" w:eastAsia="Calibri" w:hAnsi="Arial" w:cs="Arial"/>
          <w:sz w:val="22"/>
          <w:lang w:val="es-ES_tradnl"/>
        </w:rPr>
        <w:t>:</w:t>
      </w:r>
    </w:p>
    <w:p w14:paraId="1EAE5543" w14:textId="77777777" w:rsidR="00DD5B04" w:rsidRPr="00890E6F" w:rsidRDefault="00DD5B04" w:rsidP="00EB2ED0">
      <w:pPr>
        <w:jc w:val="both"/>
        <w:rPr>
          <w:rFonts w:ascii="Arial" w:eastAsia="Calibri" w:hAnsi="Arial" w:cs="Arial"/>
          <w:sz w:val="22"/>
          <w:lang w:val="es-ES_tradnl"/>
        </w:rPr>
      </w:pPr>
    </w:p>
    <w:p w14:paraId="2109B2D3" w14:textId="70AEC5A3" w:rsidR="00DD5B04" w:rsidRPr="00890E6F" w:rsidRDefault="00DD5B04" w:rsidP="00EB2ED0">
      <w:pPr>
        <w:spacing w:line="276" w:lineRule="auto"/>
        <w:jc w:val="both"/>
        <w:rPr>
          <w:rFonts w:ascii="Arial" w:eastAsia="Calibri" w:hAnsi="Arial" w:cs="Arial"/>
          <w:sz w:val="22"/>
          <w:lang w:val="es-ES_tradnl"/>
        </w:rPr>
      </w:pPr>
      <w:r w:rsidRPr="00890E6F">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890E6F">
        <w:rPr>
          <w:rFonts w:ascii="Arial" w:eastAsia="Calibri" w:hAnsi="Arial" w:cs="Arial"/>
          <w:sz w:val="22"/>
          <w:lang w:val="es-ES_tradnl"/>
        </w:rPr>
        <w:t xml:space="preserve"> </w:t>
      </w:r>
      <w:r w:rsidRPr="00890E6F">
        <w:rPr>
          <w:rFonts w:ascii="Arial" w:eastAsia="Calibri" w:hAnsi="Arial" w:cs="Arial"/>
          <w:sz w:val="22"/>
          <w:lang w:val="es-ES_tradnl"/>
        </w:rPr>
        <w:t xml:space="preserve">responde su consulta del </w:t>
      </w:r>
      <w:r w:rsidR="00D05FBF" w:rsidRPr="00890E6F">
        <w:rPr>
          <w:rFonts w:ascii="Arial" w:eastAsia="Calibri" w:hAnsi="Arial" w:cs="Arial"/>
          <w:sz w:val="22"/>
          <w:lang w:val="es-ES_tradnl"/>
        </w:rPr>
        <w:t xml:space="preserve">3 </w:t>
      </w:r>
      <w:r w:rsidR="00FD4AF3" w:rsidRPr="00890E6F">
        <w:rPr>
          <w:rFonts w:ascii="Arial" w:eastAsia="Calibri" w:hAnsi="Arial" w:cs="Arial"/>
          <w:sz w:val="22"/>
          <w:lang w:val="es-ES_tradnl"/>
        </w:rPr>
        <w:t xml:space="preserve">de </w:t>
      </w:r>
      <w:r w:rsidR="00940DBD" w:rsidRPr="00890E6F">
        <w:rPr>
          <w:rFonts w:ascii="Arial" w:eastAsia="Calibri" w:hAnsi="Arial" w:cs="Arial"/>
          <w:sz w:val="22"/>
          <w:lang w:val="es-ES_tradnl"/>
        </w:rPr>
        <w:t>ju</w:t>
      </w:r>
      <w:r w:rsidR="00D05FBF" w:rsidRPr="00890E6F">
        <w:rPr>
          <w:rFonts w:ascii="Arial" w:eastAsia="Calibri" w:hAnsi="Arial" w:cs="Arial"/>
          <w:sz w:val="22"/>
          <w:lang w:val="es-ES_tradnl"/>
        </w:rPr>
        <w:t>l</w:t>
      </w:r>
      <w:r w:rsidR="00940DBD" w:rsidRPr="00890E6F">
        <w:rPr>
          <w:rFonts w:ascii="Arial" w:eastAsia="Calibri" w:hAnsi="Arial" w:cs="Arial"/>
          <w:sz w:val="22"/>
          <w:lang w:val="es-ES_tradnl"/>
        </w:rPr>
        <w:t>io</w:t>
      </w:r>
      <w:r w:rsidRPr="00890E6F">
        <w:rPr>
          <w:rFonts w:ascii="Arial" w:eastAsia="Calibri" w:hAnsi="Arial" w:cs="Arial"/>
          <w:sz w:val="22"/>
          <w:lang w:val="es-ES_tradnl"/>
        </w:rPr>
        <w:t xml:space="preserve"> de</w:t>
      </w:r>
      <w:r w:rsidR="007E74BF" w:rsidRPr="00890E6F">
        <w:rPr>
          <w:rFonts w:ascii="Arial" w:eastAsia="Calibri" w:hAnsi="Arial" w:cs="Arial"/>
          <w:sz w:val="22"/>
          <w:lang w:val="es-ES_tradnl"/>
        </w:rPr>
        <w:t xml:space="preserve"> </w:t>
      </w:r>
      <w:r w:rsidRPr="00890E6F">
        <w:rPr>
          <w:rFonts w:ascii="Arial" w:eastAsia="Calibri" w:hAnsi="Arial" w:cs="Arial"/>
          <w:sz w:val="22"/>
          <w:lang w:val="es-ES_tradnl"/>
        </w:rPr>
        <w:t>202</w:t>
      </w:r>
      <w:r w:rsidR="00FB0880" w:rsidRPr="00890E6F">
        <w:rPr>
          <w:rFonts w:ascii="Arial" w:eastAsia="Calibri" w:hAnsi="Arial" w:cs="Arial"/>
          <w:sz w:val="22"/>
          <w:lang w:val="es-ES_tradnl"/>
        </w:rPr>
        <w:t>1</w:t>
      </w:r>
      <w:r w:rsidR="008C3C57" w:rsidRPr="00890E6F">
        <w:rPr>
          <w:rFonts w:ascii="Arial" w:eastAsia="Calibri" w:hAnsi="Arial" w:cs="Arial"/>
          <w:sz w:val="22"/>
          <w:lang w:val="es-ES_tradnl"/>
        </w:rPr>
        <w:t>.</w:t>
      </w:r>
      <w:r w:rsidR="009013B8" w:rsidRPr="00890E6F">
        <w:rPr>
          <w:rFonts w:ascii="Arial" w:eastAsia="Calibri" w:hAnsi="Arial" w:cs="Arial"/>
          <w:sz w:val="22"/>
          <w:lang w:val="es-ES_tradnl"/>
        </w:rPr>
        <w:t xml:space="preserve"> </w:t>
      </w:r>
    </w:p>
    <w:p w14:paraId="0C1E0712" w14:textId="77777777" w:rsidR="00DD5B04" w:rsidRPr="00890E6F" w:rsidRDefault="00DD5B04" w:rsidP="00EB2ED0">
      <w:pPr>
        <w:jc w:val="both"/>
        <w:rPr>
          <w:rFonts w:ascii="Arial" w:eastAsia="Calibri" w:hAnsi="Arial" w:cs="Arial"/>
          <w:bCs/>
          <w:sz w:val="22"/>
          <w:lang w:val="es-ES_tradnl"/>
        </w:rPr>
      </w:pPr>
    </w:p>
    <w:p w14:paraId="7701FCC7" w14:textId="77777777" w:rsidR="00DD5B04" w:rsidRPr="00890E6F" w:rsidRDefault="00DD5B04" w:rsidP="00EB2ED0">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890E6F">
        <w:rPr>
          <w:rFonts w:ascii="Arial" w:eastAsia="Calibri" w:hAnsi="Arial" w:cs="Arial"/>
          <w:b/>
          <w:sz w:val="22"/>
          <w:lang w:val="es-ES_tradnl"/>
        </w:rPr>
        <w:t xml:space="preserve">Problema planteado </w:t>
      </w:r>
    </w:p>
    <w:p w14:paraId="224B43D3" w14:textId="77777777" w:rsidR="00DD5B04" w:rsidRPr="00890E6F" w:rsidRDefault="00DD5B04" w:rsidP="00EB2ED0">
      <w:pPr>
        <w:tabs>
          <w:tab w:val="left" w:pos="426"/>
        </w:tabs>
        <w:jc w:val="both"/>
        <w:rPr>
          <w:rFonts w:ascii="Arial" w:eastAsia="Calibri" w:hAnsi="Arial" w:cs="Arial"/>
          <w:bCs/>
          <w:sz w:val="22"/>
          <w:lang w:val="es-ES_tradnl"/>
        </w:rPr>
      </w:pPr>
    </w:p>
    <w:p w14:paraId="61BDE6CD" w14:textId="6AC25670" w:rsidR="009E2103" w:rsidRPr="00890E6F" w:rsidRDefault="00825B01" w:rsidP="00950A54">
      <w:pPr>
        <w:autoSpaceDE w:val="0"/>
        <w:autoSpaceDN w:val="0"/>
        <w:adjustRightInd w:val="0"/>
        <w:spacing w:line="276" w:lineRule="auto"/>
        <w:jc w:val="both"/>
        <w:rPr>
          <w:rFonts w:ascii="Arial" w:hAnsi="Arial" w:cs="Arial"/>
          <w:sz w:val="22"/>
          <w:szCs w:val="22"/>
          <w:lang w:val="es-ES_tradnl"/>
        </w:rPr>
      </w:pPr>
      <w:r w:rsidRPr="00890E6F">
        <w:rPr>
          <w:rFonts w:ascii="Arial" w:hAnsi="Arial" w:cs="Arial"/>
          <w:sz w:val="22"/>
          <w:szCs w:val="22"/>
          <w:lang w:val="es-ES_tradnl"/>
        </w:rPr>
        <w:t>Usted realiza la siguiente consulta relativa a la interpretación de</w:t>
      </w:r>
      <w:r w:rsidR="008C5115" w:rsidRPr="00890E6F">
        <w:rPr>
          <w:rFonts w:ascii="Arial" w:hAnsi="Arial" w:cs="Arial"/>
          <w:sz w:val="22"/>
          <w:szCs w:val="22"/>
          <w:lang w:val="es-ES_tradnl"/>
        </w:rPr>
        <w:t xml:space="preserve"> la expresión</w:t>
      </w:r>
      <w:r w:rsidR="008C5115" w:rsidRPr="00890E6F">
        <w:t xml:space="preserve"> </w:t>
      </w:r>
      <w:r w:rsidR="00E70FB9" w:rsidRPr="00890E6F">
        <w:t>«</w:t>
      </w:r>
      <w:r w:rsidR="008C5115" w:rsidRPr="00890E6F">
        <w:rPr>
          <w:rFonts w:ascii="Arial" w:hAnsi="Arial" w:cs="Arial"/>
          <w:i/>
          <w:iCs/>
          <w:sz w:val="22"/>
          <w:szCs w:val="22"/>
          <w:lang w:val="es-ES_tradnl"/>
        </w:rPr>
        <w:t xml:space="preserve">En caso de empate en el </w:t>
      </w:r>
      <w:r w:rsidR="008C5115" w:rsidRPr="00890E6F">
        <w:rPr>
          <w:rFonts w:ascii="Arial" w:hAnsi="Arial" w:cs="Arial"/>
          <w:b/>
          <w:bCs/>
          <w:i/>
          <w:iCs/>
          <w:sz w:val="22"/>
          <w:szCs w:val="22"/>
          <w:lang w:val="es-ES_tradnl"/>
        </w:rPr>
        <w:t>puntaje total</w:t>
      </w:r>
      <w:r w:rsidR="008C5115" w:rsidRPr="00890E6F">
        <w:rPr>
          <w:rFonts w:ascii="Arial" w:hAnsi="Arial" w:cs="Arial"/>
          <w:i/>
          <w:iCs/>
          <w:sz w:val="22"/>
          <w:szCs w:val="22"/>
          <w:lang w:val="es-ES_tradnl"/>
        </w:rPr>
        <w:t xml:space="preserve"> de dos o más ofertas</w:t>
      </w:r>
      <w:r w:rsidR="00950A54" w:rsidRPr="00890E6F">
        <w:rPr>
          <w:rFonts w:ascii="Arial" w:hAnsi="Arial" w:cs="Arial"/>
          <w:i/>
          <w:iCs/>
          <w:sz w:val="22"/>
          <w:szCs w:val="22"/>
          <w:lang w:val="es-ES_tradnl"/>
        </w:rPr>
        <w:t>»</w:t>
      </w:r>
      <w:r w:rsidRPr="00890E6F">
        <w:rPr>
          <w:rFonts w:ascii="Arial" w:hAnsi="Arial" w:cs="Arial"/>
          <w:sz w:val="22"/>
          <w:szCs w:val="22"/>
          <w:lang w:val="es-ES_tradnl"/>
        </w:rPr>
        <w:t xml:space="preserve"> </w:t>
      </w:r>
      <w:r w:rsidR="00950A54" w:rsidRPr="00890E6F">
        <w:rPr>
          <w:rFonts w:ascii="Arial" w:hAnsi="Arial" w:cs="Arial"/>
          <w:sz w:val="22"/>
          <w:szCs w:val="22"/>
          <w:lang w:val="es-ES_tradnl"/>
        </w:rPr>
        <w:t>contenida en el artículo 35 de</w:t>
      </w:r>
      <w:r w:rsidR="00D03AD6" w:rsidRPr="00890E6F">
        <w:rPr>
          <w:rFonts w:ascii="Arial" w:hAnsi="Arial" w:cs="Arial"/>
          <w:sz w:val="22"/>
          <w:szCs w:val="22"/>
          <w:lang w:val="es-ES_tradnl"/>
        </w:rPr>
        <w:t xml:space="preserve"> </w:t>
      </w:r>
      <w:r w:rsidR="00950A54" w:rsidRPr="00890E6F">
        <w:rPr>
          <w:rFonts w:ascii="Arial" w:hAnsi="Arial" w:cs="Arial"/>
          <w:sz w:val="22"/>
          <w:szCs w:val="22"/>
          <w:lang w:val="es-ES_tradnl"/>
        </w:rPr>
        <w:t>l</w:t>
      </w:r>
      <w:r w:rsidR="00D03AD6" w:rsidRPr="00890E6F">
        <w:rPr>
          <w:rFonts w:ascii="Arial" w:hAnsi="Arial" w:cs="Arial"/>
          <w:sz w:val="22"/>
          <w:szCs w:val="22"/>
          <w:lang w:val="es-ES_tradnl"/>
        </w:rPr>
        <w:t>a la</w:t>
      </w:r>
      <w:r w:rsidR="00940DBD" w:rsidRPr="00890E6F">
        <w:rPr>
          <w:rFonts w:ascii="Arial" w:hAnsi="Arial" w:cs="Arial"/>
          <w:sz w:val="22"/>
          <w:szCs w:val="22"/>
          <w:lang w:val="es-ES_tradnl"/>
        </w:rPr>
        <w:t xml:space="preserve"> Ley 2069 de 2020</w:t>
      </w:r>
      <w:r w:rsidR="00950A54" w:rsidRPr="00890E6F">
        <w:rPr>
          <w:rFonts w:ascii="Arial" w:hAnsi="Arial" w:cs="Arial"/>
          <w:sz w:val="22"/>
          <w:szCs w:val="22"/>
          <w:lang w:val="es-ES_tradnl"/>
        </w:rPr>
        <w:t xml:space="preserve">. </w:t>
      </w:r>
      <w:r w:rsidR="000B56F9" w:rsidRPr="00890E6F">
        <w:rPr>
          <w:rFonts w:ascii="Arial" w:hAnsi="Arial" w:cs="Arial"/>
          <w:sz w:val="22"/>
          <w:szCs w:val="22"/>
          <w:lang w:val="es-ES_tradnl"/>
        </w:rPr>
        <w:t xml:space="preserve"> </w:t>
      </w:r>
    </w:p>
    <w:p w14:paraId="7D52454A" w14:textId="77777777" w:rsidR="009E2103" w:rsidRPr="00890E6F" w:rsidRDefault="009E2103" w:rsidP="00EB2ED0">
      <w:pPr>
        <w:autoSpaceDE w:val="0"/>
        <w:autoSpaceDN w:val="0"/>
        <w:adjustRightInd w:val="0"/>
        <w:jc w:val="both"/>
        <w:rPr>
          <w:rFonts w:ascii="Arial" w:hAnsi="Arial" w:cs="Arial"/>
          <w:sz w:val="22"/>
          <w:szCs w:val="22"/>
          <w:lang w:val="es-ES_tradnl"/>
        </w:rPr>
      </w:pPr>
    </w:p>
    <w:p w14:paraId="3B975975" w14:textId="61087710" w:rsidR="00E70FB9" w:rsidRPr="00890E6F" w:rsidRDefault="000B56F9" w:rsidP="00E70FB9">
      <w:pPr>
        <w:pStyle w:val="Default"/>
        <w:ind w:left="709" w:right="709"/>
        <w:jc w:val="both"/>
        <w:rPr>
          <w:color w:val="auto"/>
          <w:sz w:val="21"/>
          <w:szCs w:val="21"/>
        </w:rPr>
      </w:pPr>
      <w:r w:rsidRPr="00890E6F">
        <w:rPr>
          <w:color w:val="auto"/>
          <w:sz w:val="21"/>
          <w:szCs w:val="21"/>
          <w:lang w:val="es-ES_tradnl"/>
        </w:rPr>
        <w:t>«</w:t>
      </w:r>
      <w:r w:rsidR="00E70FB9" w:rsidRPr="00890E6F">
        <w:rPr>
          <w:color w:val="auto"/>
          <w:sz w:val="21"/>
          <w:szCs w:val="21"/>
          <w:lang w:val="es-ES_tradnl"/>
        </w:rPr>
        <w:t xml:space="preserve">[…] </w:t>
      </w:r>
      <w:r w:rsidR="00E70FB9" w:rsidRPr="00890E6F">
        <w:rPr>
          <w:color w:val="auto"/>
          <w:sz w:val="21"/>
          <w:szCs w:val="21"/>
        </w:rPr>
        <w:t xml:space="preserve"> teniendo en cuenta que las palabras de la ley se entenderán en su sentido natural y obvio, se debe entender que los factores de desempate establecidos en el artículo 35 de la Ley 2069 de 2021 no pueden emplearse en los procesos de selección que no asignan puntajes, entre ellos: </w:t>
      </w:r>
    </w:p>
    <w:p w14:paraId="1CCC8239" w14:textId="77777777" w:rsidR="00E70FB9" w:rsidRPr="00890E6F" w:rsidRDefault="00E70FB9" w:rsidP="00E70FB9">
      <w:pPr>
        <w:pStyle w:val="Default"/>
        <w:ind w:left="709" w:right="709"/>
        <w:jc w:val="both"/>
        <w:rPr>
          <w:color w:val="auto"/>
          <w:sz w:val="21"/>
          <w:szCs w:val="21"/>
        </w:rPr>
      </w:pPr>
    </w:p>
    <w:p w14:paraId="384FA104" w14:textId="77777777" w:rsidR="00E70FB9" w:rsidRPr="00E70FB9" w:rsidRDefault="00E70FB9" w:rsidP="00E70FB9">
      <w:pPr>
        <w:autoSpaceDE w:val="0"/>
        <w:autoSpaceDN w:val="0"/>
        <w:adjustRightInd w:val="0"/>
        <w:ind w:left="1134" w:right="709"/>
        <w:jc w:val="both"/>
        <w:rPr>
          <w:rFonts w:ascii="Arial" w:eastAsiaTheme="minorHAnsi" w:hAnsi="Arial" w:cs="Arial"/>
          <w:sz w:val="21"/>
          <w:szCs w:val="21"/>
          <w:lang w:eastAsia="en-US"/>
        </w:rPr>
      </w:pPr>
      <w:r w:rsidRPr="00E70FB9">
        <w:rPr>
          <w:rFonts w:ascii="Arial" w:eastAsiaTheme="minorHAnsi" w:hAnsi="Arial" w:cs="Arial"/>
          <w:sz w:val="21"/>
          <w:szCs w:val="21"/>
          <w:lang w:eastAsia="en-US"/>
        </w:rPr>
        <w:t>• Las subastas inversas, los instrumentos de compra por catálogo derivados de acuerdos marco de precios y los procedimientos de adquisición en bolsas de productos (Ley 1150 de 2007, artículo 5.3: “</w:t>
      </w:r>
      <w:r w:rsidRPr="00E70FB9">
        <w:rPr>
          <w:rFonts w:ascii="Arial" w:eastAsiaTheme="minorHAnsi" w:hAnsi="Arial" w:cs="Arial"/>
          <w:i/>
          <w:iCs/>
          <w:sz w:val="21"/>
          <w:szCs w:val="21"/>
          <w:lang w:eastAsia="en-US"/>
        </w:rPr>
        <w:t xml:space="preserve">Sin perjuicio de lo previsto en el numeral 1 del presente artículo, en los pliegos de condiciones para las contrataciones cuyo objeto sea la adquisición o suministro de </w:t>
      </w:r>
      <w:r w:rsidRPr="00E70FB9">
        <w:rPr>
          <w:rFonts w:ascii="Arial" w:eastAsiaTheme="minorHAnsi" w:hAnsi="Arial" w:cs="Arial"/>
          <w:i/>
          <w:iCs/>
          <w:sz w:val="21"/>
          <w:szCs w:val="21"/>
          <w:lang w:eastAsia="en-US"/>
        </w:rPr>
        <w:lastRenderedPageBreak/>
        <w:t>bienes y servicios de características técnicas uniformes y común utilización, las entidades estatales incluirán como único factor de evaluación el menor precio ofrecido</w:t>
      </w:r>
      <w:r w:rsidRPr="00E70FB9">
        <w:rPr>
          <w:rFonts w:ascii="Arial" w:eastAsiaTheme="minorHAnsi" w:hAnsi="Arial" w:cs="Arial"/>
          <w:sz w:val="21"/>
          <w:szCs w:val="21"/>
          <w:lang w:eastAsia="en-US"/>
        </w:rPr>
        <w:t xml:space="preserve">.”); y </w:t>
      </w:r>
    </w:p>
    <w:p w14:paraId="61E0E32E" w14:textId="77777777" w:rsidR="00E70FB9" w:rsidRPr="00E70FB9" w:rsidRDefault="00E70FB9" w:rsidP="00E70FB9">
      <w:pPr>
        <w:autoSpaceDE w:val="0"/>
        <w:autoSpaceDN w:val="0"/>
        <w:adjustRightInd w:val="0"/>
        <w:ind w:left="1134" w:right="709"/>
        <w:jc w:val="both"/>
        <w:rPr>
          <w:rFonts w:ascii="Arial" w:eastAsiaTheme="minorHAnsi" w:hAnsi="Arial" w:cs="Arial"/>
          <w:sz w:val="21"/>
          <w:szCs w:val="21"/>
          <w:lang w:eastAsia="en-US"/>
        </w:rPr>
      </w:pPr>
    </w:p>
    <w:p w14:paraId="0B78358E" w14:textId="77777777" w:rsidR="00E70FB9" w:rsidRPr="00E70FB9" w:rsidRDefault="00E70FB9" w:rsidP="00E70FB9">
      <w:pPr>
        <w:autoSpaceDE w:val="0"/>
        <w:autoSpaceDN w:val="0"/>
        <w:adjustRightInd w:val="0"/>
        <w:ind w:left="1134" w:right="709"/>
        <w:jc w:val="both"/>
        <w:rPr>
          <w:rFonts w:ascii="Arial" w:eastAsiaTheme="minorHAnsi" w:hAnsi="Arial" w:cs="Arial"/>
          <w:sz w:val="21"/>
          <w:szCs w:val="21"/>
          <w:lang w:eastAsia="en-US"/>
        </w:rPr>
      </w:pPr>
      <w:r w:rsidRPr="00E70FB9">
        <w:rPr>
          <w:rFonts w:ascii="Arial" w:eastAsiaTheme="minorHAnsi" w:hAnsi="Arial" w:cs="Arial"/>
          <w:sz w:val="21"/>
          <w:szCs w:val="21"/>
          <w:lang w:eastAsia="en-US"/>
        </w:rPr>
        <w:t>• La mínima cuantía (Ley 1150 de 2007, articulo 2.5., ordinal b: “</w:t>
      </w:r>
      <w:r w:rsidRPr="00E70FB9">
        <w:rPr>
          <w:rFonts w:ascii="Arial" w:eastAsiaTheme="minorHAnsi" w:hAnsi="Arial" w:cs="Arial"/>
          <w:i/>
          <w:iCs/>
          <w:sz w:val="21"/>
          <w:szCs w:val="21"/>
          <w:lang w:eastAsia="en-US"/>
        </w:rPr>
        <w:t>La entidad seleccionará, mediante comunicación de aceptación de la oferta, la propuesta con el menor precio, siempre y cuando cumpla con las condiciones exigidas”</w:t>
      </w:r>
      <w:r w:rsidRPr="00E70FB9">
        <w:rPr>
          <w:rFonts w:ascii="Arial" w:eastAsiaTheme="minorHAnsi" w:hAnsi="Arial" w:cs="Arial"/>
          <w:sz w:val="21"/>
          <w:szCs w:val="21"/>
          <w:lang w:eastAsia="en-US"/>
        </w:rPr>
        <w:t xml:space="preserve">). </w:t>
      </w:r>
    </w:p>
    <w:p w14:paraId="1DAB33E6" w14:textId="77777777" w:rsidR="00E70FB9" w:rsidRPr="00E70FB9" w:rsidRDefault="00E70FB9" w:rsidP="00E70FB9">
      <w:pPr>
        <w:autoSpaceDE w:val="0"/>
        <w:autoSpaceDN w:val="0"/>
        <w:adjustRightInd w:val="0"/>
        <w:ind w:left="709" w:right="709"/>
        <w:jc w:val="both"/>
        <w:rPr>
          <w:rFonts w:ascii="Arial" w:eastAsiaTheme="minorHAnsi" w:hAnsi="Arial" w:cs="Arial"/>
          <w:sz w:val="21"/>
          <w:szCs w:val="21"/>
          <w:lang w:eastAsia="en-US"/>
        </w:rPr>
      </w:pPr>
    </w:p>
    <w:p w14:paraId="4BF2B195" w14:textId="35DE1514" w:rsidR="00E70FB9" w:rsidRPr="00890E6F" w:rsidRDefault="00E70FB9" w:rsidP="00E70FB9">
      <w:pPr>
        <w:autoSpaceDE w:val="0"/>
        <w:autoSpaceDN w:val="0"/>
        <w:adjustRightInd w:val="0"/>
        <w:ind w:left="709" w:right="709"/>
        <w:jc w:val="both"/>
        <w:rPr>
          <w:rFonts w:ascii="Arial" w:eastAsiaTheme="minorHAnsi" w:hAnsi="Arial" w:cs="Arial"/>
          <w:sz w:val="21"/>
          <w:szCs w:val="21"/>
          <w:lang w:eastAsia="en-US"/>
        </w:rPr>
      </w:pPr>
      <w:r w:rsidRPr="00E70FB9">
        <w:rPr>
          <w:rFonts w:ascii="Arial" w:eastAsiaTheme="minorHAnsi" w:hAnsi="Arial" w:cs="Arial"/>
          <w:sz w:val="21"/>
          <w:szCs w:val="21"/>
          <w:lang w:eastAsia="en-US"/>
        </w:rPr>
        <w:t xml:space="preserve">¿Es correcta nuestra apreciación? </w:t>
      </w:r>
    </w:p>
    <w:p w14:paraId="23DB66ED" w14:textId="77777777" w:rsidR="00E70FB9" w:rsidRPr="00E70FB9" w:rsidRDefault="00E70FB9" w:rsidP="00E70FB9">
      <w:pPr>
        <w:autoSpaceDE w:val="0"/>
        <w:autoSpaceDN w:val="0"/>
        <w:adjustRightInd w:val="0"/>
        <w:ind w:left="709" w:right="709"/>
        <w:jc w:val="both"/>
        <w:rPr>
          <w:rFonts w:ascii="Arial" w:eastAsiaTheme="minorHAnsi" w:hAnsi="Arial" w:cs="Arial"/>
          <w:sz w:val="21"/>
          <w:szCs w:val="21"/>
          <w:lang w:eastAsia="en-US"/>
        </w:rPr>
      </w:pPr>
    </w:p>
    <w:p w14:paraId="38936F5B" w14:textId="52F96F9F" w:rsidR="00E70FB9" w:rsidRPr="00890E6F" w:rsidRDefault="00E70FB9" w:rsidP="00E70FB9">
      <w:pPr>
        <w:autoSpaceDE w:val="0"/>
        <w:autoSpaceDN w:val="0"/>
        <w:adjustRightInd w:val="0"/>
        <w:ind w:left="709" w:right="709"/>
        <w:jc w:val="both"/>
        <w:rPr>
          <w:rFonts w:ascii="Arial" w:eastAsiaTheme="minorHAnsi" w:hAnsi="Arial" w:cs="Arial"/>
          <w:sz w:val="21"/>
          <w:szCs w:val="21"/>
          <w:lang w:eastAsia="en-US"/>
        </w:rPr>
      </w:pPr>
      <w:r w:rsidRPr="00E70FB9">
        <w:rPr>
          <w:rFonts w:ascii="Arial" w:eastAsiaTheme="minorHAnsi" w:hAnsi="Arial" w:cs="Arial"/>
          <w:sz w:val="21"/>
          <w:szCs w:val="21"/>
          <w:lang w:eastAsia="en-US"/>
        </w:rPr>
        <w:t>En el caso que la respuesta sea positiva, solicito me indiquen que factores de desempate deben aplicarse en las subastas inversas teniendo en cuenta que la Ley 2069 de 2021 no contiene ninguna regla similar o equivalente a la contemplada en el Decreto 1082 de 2015, articulo 2.2.1.2.1.2.2. Procedimiento para la subasta inversa, numeral 9 (“</w:t>
      </w:r>
      <w:r w:rsidRPr="00E70FB9">
        <w:rPr>
          <w:rFonts w:ascii="Arial" w:eastAsiaTheme="minorHAnsi" w:hAnsi="Arial" w:cs="Arial"/>
          <w:i/>
          <w:iCs/>
          <w:sz w:val="21"/>
          <w:szCs w:val="21"/>
          <w:lang w:eastAsia="en-US"/>
        </w:rPr>
        <w:t>Si al terminar la subasta inversa hay empate, la Entidad Estatal debe seleccionar al oferente que presentó el menor precio inicial. En caso de persistir el empate la Entidad Estatal debe aplicar las reglas del numeral 1 al 5 del artículo 2.2.1.1.2.2.9 del presente decreto</w:t>
      </w:r>
      <w:r w:rsidRPr="00E70FB9">
        <w:rPr>
          <w:rFonts w:ascii="Arial" w:eastAsiaTheme="minorHAnsi" w:hAnsi="Arial" w:cs="Arial"/>
          <w:sz w:val="21"/>
          <w:szCs w:val="21"/>
          <w:lang w:eastAsia="en-US"/>
        </w:rPr>
        <w:t xml:space="preserve">”) </w:t>
      </w:r>
    </w:p>
    <w:p w14:paraId="463C04CC" w14:textId="77777777" w:rsidR="00E70FB9" w:rsidRPr="00E70FB9" w:rsidRDefault="00E70FB9" w:rsidP="00E70FB9">
      <w:pPr>
        <w:autoSpaceDE w:val="0"/>
        <w:autoSpaceDN w:val="0"/>
        <w:adjustRightInd w:val="0"/>
        <w:ind w:left="709" w:right="709"/>
        <w:jc w:val="both"/>
        <w:rPr>
          <w:rFonts w:ascii="Arial" w:eastAsiaTheme="minorHAnsi" w:hAnsi="Arial" w:cs="Arial"/>
          <w:sz w:val="21"/>
          <w:szCs w:val="21"/>
          <w:lang w:eastAsia="en-US"/>
        </w:rPr>
      </w:pPr>
    </w:p>
    <w:p w14:paraId="79D0132C" w14:textId="0ABF851E" w:rsidR="004275A7" w:rsidRPr="00890E6F" w:rsidRDefault="00E70FB9" w:rsidP="00E70FB9">
      <w:pPr>
        <w:pStyle w:val="Default"/>
        <w:ind w:left="709" w:right="709"/>
        <w:jc w:val="both"/>
        <w:rPr>
          <w:color w:val="auto"/>
          <w:sz w:val="21"/>
          <w:szCs w:val="21"/>
          <w:lang w:val="es-ES_tradnl"/>
        </w:rPr>
      </w:pPr>
      <w:r w:rsidRPr="00890E6F">
        <w:rPr>
          <w:color w:val="auto"/>
          <w:sz w:val="21"/>
          <w:szCs w:val="21"/>
        </w:rPr>
        <w:t xml:space="preserve">Y en el caso que la respuesta sea negativa, solicito me expongan las razones de derecho de </w:t>
      </w:r>
      <w:proofErr w:type="gramStart"/>
      <w:r w:rsidRPr="00890E6F">
        <w:rPr>
          <w:color w:val="auto"/>
          <w:sz w:val="21"/>
          <w:szCs w:val="21"/>
        </w:rPr>
        <w:t>la misma</w:t>
      </w:r>
      <w:proofErr w:type="gramEnd"/>
      <w:r w:rsidR="00940DBD" w:rsidRPr="00890E6F">
        <w:rPr>
          <w:color w:val="auto"/>
          <w:sz w:val="21"/>
          <w:szCs w:val="21"/>
        </w:rPr>
        <w:t>»</w:t>
      </w:r>
      <w:r w:rsidR="00055A41" w:rsidRPr="00890E6F">
        <w:rPr>
          <w:color w:val="auto"/>
          <w:sz w:val="21"/>
          <w:szCs w:val="21"/>
        </w:rPr>
        <w:t>.</w:t>
      </w:r>
    </w:p>
    <w:p w14:paraId="3830C92C" w14:textId="77777777" w:rsidR="00507066" w:rsidRPr="00890E6F" w:rsidRDefault="00507066" w:rsidP="00EB2ED0">
      <w:pPr>
        <w:spacing w:line="276" w:lineRule="auto"/>
        <w:ind w:left="709" w:right="709"/>
        <w:jc w:val="both"/>
        <w:rPr>
          <w:rFonts w:ascii="Arial" w:hAnsi="Arial" w:cs="Arial"/>
          <w:sz w:val="22"/>
          <w:szCs w:val="22"/>
          <w:lang w:val="es-ES_tradnl"/>
        </w:rPr>
      </w:pPr>
    </w:p>
    <w:p w14:paraId="124D2DCA" w14:textId="77777777" w:rsidR="00DD5B04" w:rsidRPr="00890E6F" w:rsidRDefault="00DD5B04" w:rsidP="00EB2ED0">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890E6F">
        <w:rPr>
          <w:rFonts w:ascii="Arial" w:eastAsia="Calibri" w:hAnsi="Arial" w:cs="Arial"/>
          <w:b/>
          <w:sz w:val="22"/>
          <w:lang w:val="es-ES_tradnl"/>
        </w:rPr>
        <w:t>Consideraciones</w:t>
      </w:r>
    </w:p>
    <w:p w14:paraId="7D050D2E" w14:textId="77777777" w:rsidR="00435703" w:rsidRPr="00890E6F" w:rsidRDefault="00435703" w:rsidP="00EB2ED0">
      <w:pPr>
        <w:jc w:val="both"/>
        <w:rPr>
          <w:rFonts w:ascii="Arial" w:eastAsia="Calibri" w:hAnsi="Arial" w:cs="Arial"/>
          <w:sz w:val="22"/>
          <w:szCs w:val="22"/>
          <w:lang w:val="es-ES_tradnl"/>
        </w:rPr>
      </w:pPr>
    </w:p>
    <w:p w14:paraId="78B9C34C" w14:textId="49B8F5D4" w:rsidR="002638F4" w:rsidRPr="00890E6F" w:rsidRDefault="002638F4" w:rsidP="00F0026C">
      <w:pPr>
        <w:spacing w:before="120" w:line="276" w:lineRule="auto"/>
        <w:jc w:val="both"/>
        <w:rPr>
          <w:rFonts w:ascii="Arial" w:eastAsia="Calibri" w:hAnsi="Arial" w:cs="Arial"/>
          <w:sz w:val="22"/>
          <w:szCs w:val="22"/>
          <w:lang w:val="es-ES_tradnl"/>
        </w:rPr>
      </w:pPr>
      <w:r w:rsidRPr="00890E6F">
        <w:rPr>
          <w:rFonts w:ascii="Arial" w:eastAsia="Calibri" w:hAnsi="Arial" w:cs="Arial"/>
          <w:sz w:val="22"/>
          <w:szCs w:val="22"/>
          <w:lang w:val="es-ES_tradnl"/>
        </w:rPr>
        <w:t>Es importante destacar que esta Agencia ha estudiado, en términos generales, los factores de desempate en los procedimientos de contratación estatal, en los conceptos C-285 del 4 de mayo de 2020, C-481 del 27 de julio de 2020, C-514 y C-535 del 26 de agosto de 2020 y C-556 del 31 de agosto de 2020. De igual manera,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entre otros</w:t>
      </w:r>
      <w:r w:rsidRPr="00890E6F">
        <w:rPr>
          <w:rStyle w:val="Refdenotaalpie"/>
          <w:rFonts w:ascii="Arial" w:eastAsia="Calibri" w:hAnsi="Arial" w:cs="Arial"/>
          <w:sz w:val="22"/>
          <w:szCs w:val="22"/>
          <w:lang w:val="es-ES_tradnl"/>
        </w:rPr>
        <w:footnoteReference w:id="2"/>
      </w:r>
      <w:r w:rsidRPr="00890E6F">
        <w:rPr>
          <w:rFonts w:ascii="Arial" w:eastAsia="Calibri" w:hAnsi="Arial" w:cs="Arial"/>
          <w:sz w:val="22"/>
          <w:szCs w:val="22"/>
          <w:lang w:val="es-ES_tradnl"/>
        </w:rPr>
        <w:t>. Algunas de las consideraciones de estos conceptos se reiteran a continuación.</w:t>
      </w:r>
    </w:p>
    <w:p w14:paraId="57BB9BBC" w14:textId="77777777" w:rsidR="00E85980" w:rsidRPr="00890E6F" w:rsidRDefault="00E85980" w:rsidP="00E85980">
      <w:pPr>
        <w:spacing w:line="276" w:lineRule="auto"/>
        <w:ind w:firstLine="709"/>
        <w:jc w:val="both"/>
        <w:rPr>
          <w:rFonts w:ascii="Arial" w:eastAsia="Calibri" w:hAnsi="Arial" w:cs="Arial"/>
          <w:sz w:val="22"/>
          <w:szCs w:val="22"/>
          <w:lang w:val="es-ES_tradnl"/>
        </w:rPr>
      </w:pPr>
    </w:p>
    <w:p w14:paraId="08FD9001" w14:textId="77777777" w:rsidR="00E85980" w:rsidRPr="00E85980" w:rsidRDefault="00E85980" w:rsidP="00E85980">
      <w:pPr>
        <w:spacing w:line="276" w:lineRule="auto"/>
        <w:jc w:val="both"/>
        <w:rPr>
          <w:rFonts w:ascii="Arial" w:eastAsia="Calibri" w:hAnsi="Arial" w:cs="Arial"/>
          <w:b/>
          <w:bCs/>
          <w:sz w:val="22"/>
          <w:szCs w:val="22"/>
          <w:lang w:val="es-ES_tradnl"/>
        </w:rPr>
      </w:pPr>
      <w:r w:rsidRPr="00E85980">
        <w:rPr>
          <w:rFonts w:ascii="Arial" w:eastAsia="Calibri" w:hAnsi="Arial" w:cs="Arial"/>
          <w:b/>
          <w:bCs/>
          <w:sz w:val="22"/>
          <w:szCs w:val="22"/>
          <w:lang w:val="es-ES_tradnl"/>
        </w:rPr>
        <w:t>2.1. Factores de desempate en la contratación estatal: concepto y características</w:t>
      </w:r>
    </w:p>
    <w:p w14:paraId="028A190F" w14:textId="77777777" w:rsidR="00E85980" w:rsidRPr="00E85980" w:rsidRDefault="00E85980" w:rsidP="00E85980">
      <w:pPr>
        <w:spacing w:line="276" w:lineRule="auto"/>
        <w:jc w:val="both"/>
        <w:rPr>
          <w:rFonts w:ascii="Arial" w:eastAsia="Calibri" w:hAnsi="Arial" w:cs="Arial"/>
          <w:sz w:val="22"/>
          <w:szCs w:val="22"/>
          <w:lang w:val="es-ES_tradnl"/>
        </w:rPr>
      </w:pPr>
    </w:p>
    <w:p w14:paraId="06F00BC0" w14:textId="77777777" w:rsidR="00E85980" w:rsidRPr="00E85980" w:rsidRDefault="00E85980" w:rsidP="00E85980">
      <w:pPr>
        <w:spacing w:line="276" w:lineRule="auto"/>
        <w:jc w:val="both"/>
        <w:rPr>
          <w:rFonts w:ascii="Arial" w:eastAsia="Calibri" w:hAnsi="Arial" w:cs="Arial"/>
          <w:sz w:val="22"/>
          <w:szCs w:val="22"/>
          <w:lang w:val="es-ES_tradnl"/>
        </w:rPr>
      </w:pPr>
      <w:r w:rsidRPr="00E85980">
        <w:rPr>
          <w:rFonts w:ascii="Arial" w:eastAsia="Calibri" w:hAnsi="Arial" w:cs="Arial"/>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E85980">
        <w:rPr>
          <w:rFonts w:ascii="Arial" w:eastAsia="Calibri" w:hAnsi="Arial" w:cs="Arial"/>
          <w:sz w:val="22"/>
          <w:szCs w:val="22"/>
          <w:lang w:val="es-ES_tradnl"/>
        </w:rPr>
        <w:t>equivalentes,</w:t>
      </w:r>
      <w:proofErr w:type="gramEnd"/>
      <w:r w:rsidRPr="00E85980">
        <w:rPr>
          <w:rFonts w:ascii="Arial" w:eastAsia="Calibri" w:hAnsi="Arial" w:cs="Arial"/>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41FF7A2D" w14:textId="77777777" w:rsidR="00E85980" w:rsidRPr="00E85980" w:rsidRDefault="00E85980" w:rsidP="00E85980">
      <w:pPr>
        <w:spacing w:before="120" w:line="276" w:lineRule="auto"/>
        <w:ind w:firstLine="709"/>
        <w:jc w:val="both"/>
        <w:rPr>
          <w:rFonts w:ascii="Arial" w:eastAsia="Calibri" w:hAnsi="Arial" w:cs="Arial"/>
          <w:sz w:val="22"/>
          <w:szCs w:val="22"/>
          <w:lang w:val="es-ES_tradnl"/>
        </w:rPr>
      </w:pPr>
      <w:r w:rsidRPr="00E85980">
        <w:rPr>
          <w:rFonts w:ascii="Arial" w:eastAsia="Calibri" w:hAnsi="Arial" w:cs="Arial"/>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00FEEE61" w14:textId="77777777" w:rsidR="00E85980" w:rsidRPr="00E85980" w:rsidRDefault="00E85980" w:rsidP="00E85980">
      <w:pPr>
        <w:spacing w:before="120" w:line="276" w:lineRule="auto"/>
        <w:ind w:firstLine="709"/>
        <w:jc w:val="both"/>
        <w:rPr>
          <w:rFonts w:ascii="Arial" w:eastAsia="Calibri" w:hAnsi="Arial" w:cs="Arial"/>
          <w:sz w:val="22"/>
          <w:szCs w:val="22"/>
          <w:lang w:val="es-ES_tradnl"/>
        </w:rPr>
      </w:pPr>
      <w:r w:rsidRPr="00E85980">
        <w:rPr>
          <w:rFonts w:ascii="Arial" w:eastAsia="Calibri" w:hAnsi="Arial" w:cs="Arial"/>
          <w:sz w:val="22"/>
          <w:szCs w:val="22"/>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w:t>
      </w:r>
      <w:r w:rsidRPr="00E85980">
        <w:rPr>
          <w:rFonts w:ascii="Arial" w:eastAsia="Calibri" w:hAnsi="Arial" w:cs="Arial"/>
          <w:sz w:val="22"/>
          <w:szCs w:val="22"/>
          <w:lang w:val="es-ES_tradnl"/>
        </w:rPr>
        <w:lastRenderedPageBreak/>
        <w:t>desempate deben estar establecidos de antemano y constituyen un límite a la discrecionalidad administrativa en los procedimientos de selección</w:t>
      </w:r>
      <w:r w:rsidRPr="00E85980">
        <w:rPr>
          <w:rFonts w:ascii="Arial" w:hAnsi="Arial" w:cs="Arial"/>
          <w:sz w:val="21"/>
          <w:szCs w:val="21"/>
          <w:vertAlign w:val="superscript"/>
          <w:lang w:val="es-ES_tradnl"/>
        </w:rPr>
        <w:footnoteReference w:id="3"/>
      </w:r>
      <w:r w:rsidRPr="00E85980">
        <w:rPr>
          <w:rFonts w:ascii="Arial" w:eastAsia="Calibri" w:hAnsi="Arial" w:cs="Arial"/>
          <w:sz w:val="22"/>
          <w:szCs w:val="22"/>
          <w:lang w:val="es-ES_tradnl"/>
        </w:rPr>
        <w:t xml:space="preserve">. </w:t>
      </w:r>
    </w:p>
    <w:p w14:paraId="4F0BA1DB" w14:textId="77777777" w:rsidR="00E85980" w:rsidRPr="00E85980" w:rsidRDefault="00E85980" w:rsidP="00E85980">
      <w:pPr>
        <w:spacing w:before="120" w:line="276" w:lineRule="auto"/>
        <w:ind w:firstLine="709"/>
        <w:jc w:val="both"/>
        <w:rPr>
          <w:rFonts w:ascii="Arial" w:eastAsia="Calibri" w:hAnsi="Arial" w:cs="Arial"/>
          <w:sz w:val="22"/>
          <w:szCs w:val="22"/>
          <w:lang w:val="es-ES_tradnl"/>
        </w:rPr>
      </w:pPr>
      <w:r w:rsidRPr="00E85980">
        <w:rPr>
          <w:rFonts w:ascii="Arial" w:eastAsia="Calibri" w:hAnsi="Arial" w:cs="Arial"/>
          <w:sz w:val="22"/>
          <w:szCs w:val="22"/>
          <w:lang w:val="es-ES_tradnl"/>
        </w:rPr>
        <w:t xml:space="preserve">En tal sentido, la Corte Constitucional explica que cuando la ley establece factores de desempate obligatorios, las entidades estatales no pueden </w:t>
      </w:r>
      <w:proofErr w:type="spellStart"/>
      <w:r w:rsidRPr="00E85980">
        <w:rPr>
          <w:rFonts w:ascii="Arial" w:eastAsia="Calibri" w:hAnsi="Arial" w:cs="Arial"/>
          <w:sz w:val="22"/>
          <w:szCs w:val="22"/>
          <w:lang w:val="es-ES_tradnl"/>
        </w:rPr>
        <w:t>inaplicarlos</w:t>
      </w:r>
      <w:proofErr w:type="spellEnd"/>
      <w:r w:rsidRPr="00E85980">
        <w:rPr>
          <w:rFonts w:ascii="Arial" w:eastAsia="Calibri" w:hAnsi="Arial" w:cs="Arial"/>
          <w:sz w:val="22"/>
          <w:szCs w:val="22"/>
          <w:lang w:val="es-ES_tradnl"/>
        </w:rPr>
        <w:t>, porque ello podría vulnerar el principio de igualdad, especialmente, cuando algunos de estos criterios surgen como acciones afirmativas para ciertos sectores de la población</w:t>
      </w:r>
      <w:r w:rsidRPr="00E85980">
        <w:rPr>
          <w:rFonts w:ascii="Arial" w:eastAsia="Calibri" w:hAnsi="Arial" w:cs="Arial"/>
          <w:sz w:val="22"/>
          <w:szCs w:val="22"/>
          <w:vertAlign w:val="superscript"/>
          <w:lang w:val="es-ES_tradnl"/>
        </w:rPr>
        <w:footnoteReference w:id="4"/>
      </w:r>
      <w:r w:rsidRPr="00E85980">
        <w:rPr>
          <w:rFonts w:ascii="Arial" w:eastAsia="Calibri" w:hAnsi="Arial" w:cs="Arial"/>
          <w:sz w:val="22"/>
          <w:szCs w:val="22"/>
          <w:lang w:val="es-ES_tradnl"/>
        </w:rPr>
        <w:t>. Más aún, el Consejo de Estado ha señalado que contrariar los factores de desempate genera la nulidad del contrato, conforme al artículo 44, inciso 1º de la Ley 80 de 1993</w:t>
      </w:r>
      <w:r w:rsidRPr="00E85980">
        <w:rPr>
          <w:rFonts w:ascii="Arial" w:eastAsia="Calibri" w:hAnsi="Arial" w:cs="Arial"/>
          <w:sz w:val="22"/>
          <w:szCs w:val="22"/>
          <w:vertAlign w:val="superscript"/>
          <w:lang w:val="es-ES_tradnl"/>
        </w:rPr>
        <w:footnoteReference w:id="5"/>
      </w:r>
      <w:r w:rsidRPr="00E85980">
        <w:rPr>
          <w:rFonts w:ascii="Arial" w:eastAsia="Calibri" w:hAnsi="Arial" w:cs="Arial"/>
          <w:sz w:val="22"/>
          <w:szCs w:val="22"/>
          <w:lang w:val="es-ES_tradnl"/>
        </w:rPr>
        <w:t>.</w:t>
      </w:r>
    </w:p>
    <w:p w14:paraId="0C4D2541" w14:textId="77777777" w:rsidR="00E85980" w:rsidRPr="00E85980" w:rsidRDefault="00E85980" w:rsidP="00E85980">
      <w:pPr>
        <w:spacing w:before="120" w:line="276" w:lineRule="auto"/>
        <w:ind w:firstLine="709"/>
        <w:jc w:val="both"/>
        <w:rPr>
          <w:rFonts w:ascii="Arial" w:eastAsia="Calibri" w:hAnsi="Arial" w:cs="Arial"/>
          <w:sz w:val="22"/>
          <w:szCs w:val="22"/>
          <w:lang w:val="es-ES_tradnl"/>
        </w:rPr>
      </w:pPr>
      <w:r w:rsidRPr="00E85980">
        <w:rPr>
          <w:rFonts w:ascii="Arial" w:eastAsia="Calibri" w:hAnsi="Arial" w:cs="Arial"/>
          <w:sz w:val="22"/>
          <w:szCs w:val="22"/>
          <w:lang w:val="es-ES_tradnl"/>
        </w:rPr>
        <w:t xml:space="preserve">Ahora bien, en cumplimiento de los principios de reciprocidad y de </w:t>
      </w:r>
      <w:r w:rsidRPr="00E85980">
        <w:rPr>
          <w:rFonts w:ascii="Arial" w:eastAsia="Calibri" w:hAnsi="Arial" w:cs="Arial"/>
          <w:i/>
          <w:iCs/>
          <w:sz w:val="22"/>
          <w:szCs w:val="22"/>
          <w:lang w:val="es-ES_tradnl"/>
        </w:rPr>
        <w:t xml:space="preserve">pacta sunt </w:t>
      </w:r>
      <w:proofErr w:type="spellStart"/>
      <w:r w:rsidRPr="00E85980">
        <w:rPr>
          <w:rFonts w:ascii="Arial" w:eastAsia="Calibri" w:hAnsi="Arial" w:cs="Arial"/>
          <w:i/>
          <w:iCs/>
          <w:sz w:val="22"/>
          <w:szCs w:val="22"/>
          <w:lang w:val="es-ES_tradnl"/>
        </w:rPr>
        <w:t>servanda</w:t>
      </w:r>
      <w:proofErr w:type="spellEnd"/>
      <w:r w:rsidRPr="00E85980">
        <w:rPr>
          <w:rFonts w:ascii="Arial" w:eastAsia="Calibri" w:hAnsi="Arial" w:cs="Arial"/>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0EE99E12" w14:textId="77777777" w:rsidR="00E85980" w:rsidRPr="00890E6F" w:rsidRDefault="00E85980" w:rsidP="00AC6B7E">
      <w:pPr>
        <w:spacing w:line="276" w:lineRule="auto"/>
        <w:jc w:val="both"/>
        <w:rPr>
          <w:rFonts w:ascii="Arial" w:eastAsia="Calibri" w:hAnsi="Arial" w:cs="Arial"/>
          <w:b/>
          <w:bCs/>
          <w:sz w:val="22"/>
          <w:szCs w:val="22"/>
          <w:lang w:val="es-ES_tradnl"/>
        </w:rPr>
      </w:pPr>
    </w:p>
    <w:p w14:paraId="273C508A" w14:textId="4A16048A" w:rsidR="00AC6B7E" w:rsidRPr="00890E6F" w:rsidRDefault="00AC6B7E" w:rsidP="00AC6B7E">
      <w:pPr>
        <w:spacing w:line="276" w:lineRule="auto"/>
        <w:jc w:val="both"/>
        <w:rPr>
          <w:rFonts w:ascii="Arial" w:eastAsia="Calibri" w:hAnsi="Arial" w:cs="Arial"/>
          <w:b/>
          <w:bCs/>
          <w:sz w:val="22"/>
          <w:szCs w:val="22"/>
          <w:lang w:val="es-ES_tradnl"/>
        </w:rPr>
      </w:pPr>
      <w:r w:rsidRPr="00890E6F">
        <w:rPr>
          <w:rFonts w:ascii="Arial" w:eastAsia="Calibri" w:hAnsi="Arial" w:cs="Arial"/>
          <w:b/>
          <w:bCs/>
          <w:sz w:val="22"/>
          <w:szCs w:val="22"/>
          <w:lang w:val="es-ES_tradnl"/>
        </w:rPr>
        <w:t>2.</w:t>
      </w:r>
      <w:r w:rsidR="00E85980" w:rsidRPr="00890E6F">
        <w:rPr>
          <w:rFonts w:ascii="Arial" w:eastAsia="Calibri" w:hAnsi="Arial" w:cs="Arial"/>
          <w:b/>
          <w:bCs/>
          <w:sz w:val="22"/>
          <w:szCs w:val="22"/>
          <w:lang w:val="es-ES_tradnl"/>
        </w:rPr>
        <w:t>2</w:t>
      </w:r>
      <w:r w:rsidRPr="00890E6F">
        <w:rPr>
          <w:rFonts w:ascii="Arial" w:eastAsia="Calibri" w:hAnsi="Arial" w:cs="Arial"/>
          <w:b/>
          <w:bCs/>
          <w:sz w:val="22"/>
          <w:szCs w:val="22"/>
          <w:lang w:val="es-ES_tradnl"/>
        </w:rPr>
        <w:t>. Vigencia y ámbito de aplicación de la Ley 2069 de 2020: impacto sobre la contratación estatal</w:t>
      </w:r>
    </w:p>
    <w:p w14:paraId="4FEA9294" w14:textId="77777777" w:rsidR="00AC6B7E" w:rsidRPr="00890E6F" w:rsidRDefault="00AC6B7E" w:rsidP="00AC6B7E">
      <w:pPr>
        <w:spacing w:line="276" w:lineRule="auto"/>
        <w:jc w:val="both"/>
        <w:rPr>
          <w:rFonts w:ascii="Arial" w:eastAsia="Calibri" w:hAnsi="Arial" w:cs="Arial"/>
          <w:sz w:val="22"/>
          <w:szCs w:val="22"/>
          <w:lang w:val="es-ES_tradnl"/>
        </w:rPr>
      </w:pPr>
    </w:p>
    <w:p w14:paraId="75060670" w14:textId="77777777" w:rsidR="00AC6B7E" w:rsidRPr="00890E6F" w:rsidRDefault="00AC6B7E" w:rsidP="00AC6B7E">
      <w:pPr>
        <w:spacing w:line="276" w:lineRule="auto"/>
        <w:jc w:val="both"/>
        <w:rPr>
          <w:rFonts w:ascii="Arial" w:eastAsia="Calibri" w:hAnsi="Arial" w:cs="Arial"/>
          <w:sz w:val="22"/>
          <w:szCs w:val="22"/>
          <w:lang w:val="es-ES_tradnl"/>
        </w:rPr>
      </w:pPr>
      <w:r w:rsidRPr="00890E6F">
        <w:rPr>
          <w:rFonts w:ascii="Arial" w:eastAsia="Calibri" w:hAnsi="Arial" w:cs="Arial"/>
          <w:sz w:val="22"/>
          <w:szCs w:val="22"/>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del artículo 189.11 de la Constitución Política, expida el decreto correspondiente que permita la cumplida ejecución de esta Ley.</w:t>
      </w:r>
    </w:p>
    <w:p w14:paraId="0331EC41" w14:textId="77777777" w:rsidR="00AC6B7E" w:rsidRPr="00890E6F" w:rsidRDefault="00AC6B7E" w:rsidP="00AC6B7E">
      <w:pPr>
        <w:spacing w:before="120" w:line="276" w:lineRule="auto"/>
        <w:ind w:firstLine="709"/>
        <w:jc w:val="both"/>
        <w:rPr>
          <w:rFonts w:ascii="Arial" w:eastAsia="Calibri" w:hAnsi="Arial" w:cs="Arial"/>
          <w:sz w:val="22"/>
          <w:szCs w:val="22"/>
          <w:lang w:val="es-ES_tradnl"/>
        </w:rPr>
      </w:pPr>
      <w:r w:rsidRPr="00890E6F">
        <w:rPr>
          <w:rFonts w:ascii="Arial" w:eastAsia="Calibri" w:hAnsi="Arial" w:cs="Arial"/>
          <w:sz w:val="22"/>
          <w:szCs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w:t>
      </w:r>
      <w:r w:rsidRPr="00890E6F">
        <w:rPr>
          <w:rFonts w:ascii="Arial" w:eastAsia="Calibri" w:hAnsi="Arial" w:cs="Arial"/>
          <w:sz w:val="22"/>
          <w:szCs w:val="22"/>
          <w:lang w:val="es-ES_tradnl"/>
        </w:rPr>
        <w:lastRenderedPageBreak/>
        <w:t xml:space="preserve">bienestar social y generar equidad». Esto a partir de «[…] un enfoque regionalizado </w:t>
      </w:r>
      <w:proofErr w:type="gramStart"/>
      <w:r w:rsidRPr="00890E6F">
        <w:rPr>
          <w:rFonts w:ascii="Arial" w:eastAsia="Calibri" w:hAnsi="Arial" w:cs="Arial"/>
          <w:sz w:val="22"/>
          <w:szCs w:val="22"/>
          <w:lang w:val="es-ES_tradnl"/>
        </w:rPr>
        <w:t>de acuerdo a</w:t>
      </w:r>
      <w:proofErr w:type="gramEnd"/>
      <w:r w:rsidRPr="00890E6F">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890E6F">
        <w:rPr>
          <w:rFonts w:ascii="Arial" w:eastAsia="Calibri" w:hAnsi="Arial" w:cs="Arial"/>
          <w:sz w:val="22"/>
          <w:szCs w:val="22"/>
          <w:lang w:val="es-ES_tradnl"/>
        </w:rPr>
        <w:t>mipymes</w:t>
      </w:r>
      <w:proofErr w:type="spellEnd"/>
      <w:r w:rsidRPr="00890E6F">
        <w:rPr>
          <w:rFonts w:ascii="Arial" w:eastAsia="Calibri" w:hAnsi="Arial" w:cs="Arial"/>
          <w:sz w:val="22"/>
          <w:szCs w:val="22"/>
          <w:lang w:val="es-ES_tradnl"/>
        </w:rPr>
        <w:t>–, mediante la racionalización y simplificación de los trámites y tarifas</w:t>
      </w:r>
      <w:r w:rsidRPr="00890E6F">
        <w:rPr>
          <w:rStyle w:val="Refdenotaalpie"/>
          <w:rFonts w:ascii="Arial" w:eastAsia="Calibri" w:hAnsi="Arial" w:cs="Arial"/>
          <w:sz w:val="22"/>
          <w:szCs w:val="22"/>
          <w:lang w:val="es-ES_tradnl"/>
        </w:rPr>
        <w:footnoteReference w:id="6"/>
      </w:r>
      <w:r w:rsidRPr="00890E6F">
        <w:rPr>
          <w:rFonts w:ascii="Arial" w:eastAsia="Calibri" w:hAnsi="Arial" w:cs="Arial"/>
          <w:sz w:val="22"/>
          <w:szCs w:val="22"/>
          <w:lang w:val="es-ES_tradnl"/>
        </w:rPr>
        <w:t>, así como incentivos a favor de aquellas dentro del sistema de compras y contratación pública</w:t>
      </w:r>
      <w:r w:rsidRPr="00890E6F">
        <w:rPr>
          <w:rStyle w:val="Refdenotaalpie"/>
          <w:rFonts w:ascii="Arial" w:eastAsia="Calibri" w:hAnsi="Arial" w:cs="Arial"/>
          <w:sz w:val="22"/>
          <w:szCs w:val="22"/>
          <w:lang w:val="es-ES_tradnl"/>
        </w:rPr>
        <w:footnoteReference w:id="7"/>
      </w:r>
      <w:r w:rsidRPr="00890E6F">
        <w:rPr>
          <w:rFonts w:ascii="Arial" w:eastAsia="Calibri" w:hAnsi="Arial" w:cs="Arial"/>
          <w:sz w:val="22"/>
          <w:szCs w:val="22"/>
          <w:lang w:val="es-ES_tradnl"/>
        </w:rPr>
        <w:t>. También se consagran mecanismos de acceso al financiamiento</w:t>
      </w:r>
      <w:r w:rsidRPr="00890E6F">
        <w:rPr>
          <w:rStyle w:val="Refdenotaalpie"/>
          <w:rFonts w:ascii="Arial" w:eastAsia="Calibri" w:hAnsi="Arial" w:cs="Arial"/>
          <w:sz w:val="22"/>
          <w:szCs w:val="22"/>
          <w:lang w:val="es-ES_tradnl"/>
        </w:rPr>
        <w:footnoteReference w:id="8"/>
      </w:r>
      <w:r w:rsidRPr="00890E6F">
        <w:rPr>
          <w:rFonts w:ascii="Arial" w:eastAsia="Calibri" w:hAnsi="Arial" w:cs="Arial"/>
          <w:sz w:val="22"/>
          <w:szCs w:val="22"/>
          <w:lang w:val="es-ES_tradnl"/>
        </w:rPr>
        <w:t>, se unifican las fuentes de emprendimiento y de desarrollo empresarial, para fortalecer y promover los distintos sectores de la economía</w:t>
      </w:r>
      <w:r w:rsidRPr="00890E6F">
        <w:rPr>
          <w:rStyle w:val="Refdenotaalpie"/>
          <w:rFonts w:ascii="Arial" w:eastAsia="Calibri" w:hAnsi="Arial" w:cs="Arial"/>
          <w:sz w:val="22"/>
          <w:szCs w:val="22"/>
          <w:lang w:val="es-ES_tradnl"/>
        </w:rPr>
        <w:footnoteReference w:id="9"/>
      </w:r>
      <w:r w:rsidRPr="00890E6F">
        <w:rPr>
          <w:rFonts w:ascii="Arial" w:eastAsia="Calibri" w:hAnsi="Arial" w:cs="Arial"/>
          <w:sz w:val="22"/>
          <w:szCs w:val="22"/>
          <w:lang w:val="es-ES_tradnl"/>
        </w:rPr>
        <w:t xml:space="preserve"> y se prevén medidas de educación para el emprendimiento y la innovación</w:t>
      </w:r>
      <w:r w:rsidRPr="00890E6F">
        <w:rPr>
          <w:rStyle w:val="Refdenotaalpie"/>
          <w:rFonts w:ascii="Arial" w:eastAsia="Calibri" w:hAnsi="Arial" w:cs="Arial"/>
          <w:sz w:val="22"/>
          <w:szCs w:val="22"/>
          <w:lang w:val="es-ES_tradnl"/>
        </w:rPr>
        <w:footnoteReference w:id="10"/>
      </w:r>
      <w:r w:rsidRPr="00890E6F">
        <w:rPr>
          <w:rFonts w:ascii="Arial" w:eastAsia="Calibri" w:hAnsi="Arial" w:cs="Arial"/>
          <w:sz w:val="22"/>
          <w:szCs w:val="22"/>
          <w:lang w:val="es-ES_tradnl"/>
        </w:rPr>
        <w:t>.</w:t>
      </w:r>
    </w:p>
    <w:p w14:paraId="2D412CF1" w14:textId="77777777" w:rsidR="00AC6B7E" w:rsidRPr="00890E6F" w:rsidRDefault="00AC6B7E" w:rsidP="00AC6B7E">
      <w:pPr>
        <w:spacing w:before="120" w:line="276" w:lineRule="auto"/>
        <w:ind w:firstLine="709"/>
        <w:jc w:val="both"/>
        <w:rPr>
          <w:rFonts w:ascii="Arial" w:eastAsia="Calibri" w:hAnsi="Arial" w:cs="Arial"/>
          <w:sz w:val="22"/>
          <w:szCs w:val="22"/>
          <w:lang w:val="es-ES_tradnl"/>
        </w:rPr>
      </w:pPr>
      <w:bookmarkStart w:id="8" w:name="_Hlk63883948"/>
      <w:r w:rsidRPr="00890E6F">
        <w:rPr>
          <w:rFonts w:ascii="Arial" w:eastAsia="Calibri" w:hAnsi="Arial" w:cs="Arial"/>
          <w:sz w:val="22"/>
          <w:szCs w:val="22"/>
          <w:lang w:val="es-ES_tradnl"/>
        </w:rPr>
        <w:t xml:space="preserve">La Ley 2069 de 2020 guarda </w:t>
      </w:r>
      <w:r w:rsidRPr="00890E6F">
        <w:rPr>
          <w:rFonts w:ascii="Arial" w:eastAsia="Calibri" w:hAnsi="Arial" w:cs="Arial"/>
          <w:bCs/>
          <w:sz w:val="22"/>
        </w:rPr>
        <w:t xml:space="preserve">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w:t>
      </w:r>
      <w:bookmarkStart w:id="9" w:name="_Hlk63692496"/>
      <w:r w:rsidRPr="00890E6F">
        <w:rPr>
          <w:rFonts w:ascii="Arial" w:eastAsia="Calibri" w:hAnsi="Arial" w:cs="Arial"/>
          <w:bCs/>
          <w:sz w:val="22"/>
        </w:rPr>
        <w:t>«Política de formalización empresarial»</w:t>
      </w:r>
      <w:bookmarkEnd w:id="9"/>
      <w:r w:rsidRPr="00890E6F">
        <w:rPr>
          <w:rFonts w:ascii="Arial" w:eastAsia="Calibri" w:hAnsi="Arial" w:cs="Arial"/>
          <w:bCs/>
          <w:sz w:val="22"/>
        </w:rPr>
        <w:t xml:space="preserve"> del Documento CONPES 3956 del 8 de enero de 2019</w:t>
      </w:r>
      <w:r w:rsidRPr="00890E6F">
        <w:rPr>
          <w:rStyle w:val="Refdenotaalpie"/>
          <w:rFonts w:ascii="Arial" w:eastAsia="Calibri" w:hAnsi="Arial" w:cs="Arial"/>
          <w:bCs/>
          <w:sz w:val="22"/>
        </w:rPr>
        <w:footnoteReference w:id="11"/>
      </w:r>
      <w:r w:rsidRPr="00890E6F">
        <w:rPr>
          <w:rFonts w:ascii="Arial" w:eastAsia="Calibri" w:hAnsi="Arial" w:cs="Arial"/>
          <w:bCs/>
          <w:sz w:val="22"/>
        </w:rPr>
        <w:t>.</w:t>
      </w:r>
      <w:bookmarkEnd w:id="8"/>
    </w:p>
    <w:p w14:paraId="3865DD4A" w14:textId="77777777" w:rsidR="00AC6B7E" w:rsidRPr="00890E6F" w:rsidRDefault="00AC6B7E" w:rsidP="00AC6B7E">
      <w:pPr>
        <w:tabs>
          <w:tab w:val="left" w:pos="709"/>
        </w:tabs>
        <w:spacing w:before="120" w:after="120" w:line="276" w:lineRule="auto"/>
        <w:jc w:val="both"/>
        <w:rPr>
          <w:rFonts w:ascii="Arial" w:eastAsia="Calibri" w:hAnsi="Arial" w:cs="Arial"/>
          <w:bCs/>
          <w:sz w:val="22"/>
        </w:rPr>
      </w:pPr>
      <w:r w:rsidRPr="00890E6F">
        <w:rPr>
          <w:rFonts w:ascii="Arial" w:eastAsia="Calibri" w:hAnsi="Arial" w:cs="Arial"/>
          <w:bCs/>
          <w:sz w:val="22"/>
        </w:rPr>
        <w:lastRenderedPageBreak/>
        <w:tab/>
        <w:t xml:space="preserve">De esta manera, la ley impulsa medidas para i) reducir cargas y trámites para los emprendedores del país, </w:t>
      </w:r>
      <w:proofErr w:type="spellStart"/>
      <w:r w:rsidRPr="00890E6F">
        <w:rPr>
          <w:rFonts w:ascii="Arial" w:eastAsia="Calibri" w:hAnsi="Arial" w:cs="Arial"/>
          <w:bCs/>
          <w:sz w:val="22"/>
        </w:rPr>
        <w:t>ii</w:t>
      </w:r>
      <w:proofErr w:type="spellEnd"/>
      <w:r w:rsidRPr="00890E6F">
        <w:rPr>
          <w:rFonts w:ascii="Arial" w:eastAsia="Calibri" w:hAnsi="Arial" w:cs="Arial"/>
          <w:bCs/>
          <w:sz w:val="22"/>
        </w:rPr>
        <w:t xml:space="preserve">) facilitar su acceso al sistema de compras y contratación pública, </w:t>
      </w:r>
      <w:proofErr w:type="spellStart"/>
      <w:r w:rsidRPr="00890E6F">
        <w:rPr>
          <w:rFonts w:ascii="Arial" w:eastAsia="Calibri" w:hAnsi="Arial" w:cs="Arial"/>
          <w:bCs/>
          <w:sz w:val="22"/>
        </w:rPr>
        <w:t>iii</w:t>
      </w:r>
      <w:proofErr w:type="spellEnd"/>
      <w:r w:rsidRPr="00890E6F">
        <w:rPr>
          <w:rFonts w:ascii="Arial" w:eastAsia="Calibri" w:hAnsi="Arial" w:cs="Arial"/>
          <w:bCs/>
          <w:sz w:val="22"/>
        </w:rPr>
        <w:t xml:space="preserve">) incentivar el crecimiento económico con la llegada de más actores al ecosistema de inversión y financiación, </w:t>
      </w:r>
      <w:proofErr w:type="spellStart"/>
      <w:r w:rsidRPr="00890E6F">
        <w:rPr>
          <w:rFonts w:ascii="Arial" w:eastAsia="Calibri" w:hAnsi="Arial" w:cs="Arial"/>
          <w:bCs/>
          <w:sz w:val="22"/>
        </w:rPr>
        <w:t>iv</w:t>
      </w:r>
      <w:proofErr w:type="spellEnd"/>
      <w:r w:rsidRPr="00890E6F">
        <w:rPr>
          <w:rFonts w:ascii="Arial" w:eastAsia="Calibri" w:hAnsi="Arial" w:cs="Arial"/>
          <w:bCs/>
          <w:sz w:val="22"/>
        </w:rPr>
        <w:t>)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890E6F">
        <w:rPr>
          <w:rStyle w:val="Refdenotaalpie"/>
          <w:rFonts w:ascii="Arial" w:eastAsia="Calibri" w:hAnsi="Arial" w:cs="Arial"/>
          <w:bCs/>
          <w:sz w:val="22"/>
        </w:rPr>
        <w:footnoteReference w:id="12"/>
      </w:r>
      <w:r w:rsidRPr="00890E6F">
        <w:rPr>
          <w:rFonts w:ascii="Arial" w:eastAsia="Calibri" w:hAnsi="Arial" w:cs="Arial"/>
          <w:bCs/>
          <w:sz w:val="22"/>
        </w:rPr>
        <w:t>.</w:t>
      </w:r>
    </w:p>
    <w:p w14:paraId="36E73228" w14:textId="77777777" w:rsidR="00AC6B7E" w:rsidRPr="00890E6F" w:rsidRDefault="00AC6B7E" w:rsidP="00AC6B7E">
      <w:pPr>
        <w:spacing w:before="120" w:line="276" w:lineRule="auto"/>
        <w:ind w:firstLine="709"/>
        <w:jc w:val="both"/>
        <w:rPr>
          <w:rFonts w:ascii="Arial" w:eastAsia="Calibri" w:hAnsi="Arial" w:cs="Arial"/>
          <w:sz w:val="22"/>
          <w:szCs w:val="22"/>
          <w:lang w:val="es-ES_tradnl"/>
        </w:rPr>
      </w:pPr>
      <w:r w:rsidRPr="00890E6F">
        <w:rPr>
          <w:rFonts w:ascii="Arial" w:eastAsia="Calibri" w:hAnsi="Arial" w:cs="Arial"/>
          <w:sz w:val="22"/>
          <w:szCs w:val="22"/>
          <w:lang w:val="es-ES_tradnl"/>
        </w:rPr>
        <w:t xml:space="preserve">Además,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890E6F">
        <w:rPr>
          <w:rFonts w:ascii="Arial" w:eastAsia="Calibri" w:hAnsi="Arial" w:cs="Arial"/>
          <w:sz w:val="22"/>
          <w:szCs w:val="22"/>
          <w:lang w:val="es-ES_tradnl"/>
        </w:rPr>
        <w:t>mipymes</w:t>
      </w:r>
      <w:proofErr w:type="spellEnd"/>
      <w:r w:rsidRPr="00890E6F">
        <w:rPr>
          <w:rFonts w:ascii="Arial" w:eastAsia="Calibri" w:hAnsi="Arial" w:cs="Arial"/>
          <w:sz w:val="22"/>
          <w:szCs w:val="22"/>
          <w:lang w:val="es-ES_tradnl"/>
        </w:rPr>
        <w:t xml:space="preserve"> en el procedimiento de mínima cuantía, </w:t>
      </w:r>
      <w:proofErr w:type="spellStart"/>
      <w:r w:rsidRPr="00890E6F">
        <w:rPr>
          <w:rFonts w:ascii="Arial" w:eastAsia="Calibri" w:hAnsi="Arial" w:cs="Arial"/>
          <w:sz w:val="22"/>
          <w:szCs w:val="22"/>
          <w:lang w:val="es-ES_tradnl"/>
        </w:rPr>
        <w:t>ii</w:t>
      </w:r>
      <w:proofErr w:type="spellEnd"/>
      <w:r w:rsidRPr="00890E6F">
        <w:rPr>
          <w:rFonts w:ascii="Arial" w:eastAsia="Calibri" w:hAnsi="Arial" w:cs="Arial"/>
          <w:sz w:val="22"/>
          <w:szCs w:val="22"/>
          <w:lang w:val="es-ES_tradnl"/>
        </w:rPr>
        <w:t xml:space="preserve">) criterios diferenciales para </w:t>
      </w:r>
      <w:proofErr w:type="spellStart"/>
      <w:r w:rsidRPr="00890E6F">
        <w:rPr>
          <w:rFonts w:ascii="Arial" w:eastAsia="Calibri" w:hAnsi="Arial" w:cs="Arial"/>
          <w:sz w:val="22"/>
          <w:szCs w:val="22"/>
          <w:lang w:val="es-ES_tradnl"/>
        </w:rPr>
        <w:t>mipymes</w:t>
      </w:r>
      <w:proofErr w:type="spellEnd"/>
      <w:r w:rsidRPr="00890E6F">
        <w:rPr>
          <w:rFonts w:ascii="Arial" w:eastAsia="Calibri" w:hAnsi="Arial" w:cs="Arial"/>
          <w:sz w:val="22"/>
          <w:szCs w:val="22"/>
          <w:lang w:val="es-ES_tradnl"/>
        </w:rPr>
        <w:t xml:space="preserve"> en el sistema de compras públicas, </w:t>
      </w:r>
      <w:proofErr w:type="spellStart"/>
      <w:r w:rsidRPr="00890E6F">
        <w:rPr>
          <w:rFonts w:ascii="Arial" w:eastAsia="Calibri" w:hAnsi="Arial" w:cs="Arial"/>
          <w:sz w:val="22"/>
          <w:szCs w:val="22"/>
          <w:lang w:val="es-ES_tradnl"/>
        </w:rPr>
        <w:t>iii</w:t>
      </w:r>
      <w:proofErr w:type="spellEnd"/>
      <w:r w:rsidRPr="00890E6F">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890E6F">
        <w:rPr>
          <w:rFonts w:ascii="Arial" w:eastAsia="Calibri" w:hAnsi="Arial" w:cs="Arial"/>
          <w:sz w:val="22"/>
          <w:szCs w:val="22"/>
          <w:lang w:val="es-ES_tradnl"/>
        </w:rPr>
        <w:t>iv</w:t>
      </w:r>
      <w:proofErr w:type="spellEnd"/>
      <w:r w:rsidRPr="00890E6F">
        <w:rPr>
          <w:rFonts w:ascii="Arial" w:eastAsia="Calibri" w:hAnsi="Arial" w:cs="Arial"/>
          <w:sz w:val="22"/>
          <w:szCs w:val="22"/>
          <w:lang w:val="es-ES_tradnl"/>
        </w:rPr>
        <w:t xml:space="preserve">) promoción del acceso de las </w:t>
      </w:r>
      <w:proofErr w:type="spellStart"/>
      <w:r w:rsidRPr="00890E6F">
        <w:rPr>
          <w:rFonts w:ascii="Arial" w:eastAsia="Calibri" w:hAnsi="Arial" w:cs="Arial"/>
          <w:sz w:val="22"/>
          <w:szCs w:val="22"/>
          <w:lang w:val="es-ES_tradnl"/>
        </w:rPr>
        <w:t>mipymes</w:t>
      </w:r>
      <w:proofErr w:type="spellEnd"/>
      <w:r w:rsidRPr="00890E6F">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4A51CD05" w14:textId="77777777" w:rsidR="00A237CD" w:rsidRPr="00890E6F" w:rsidRDefault="00A237CD" w:rsidP="00A237CD">
      <w:pPr>
        <w:spacing w:line="276" w:lineRule="auto"/>
        <w:ind w:firstLine="709"/>
        <w:jc w:val="both"/>
        <w:rPr>
          <w:rFonts w:ascii="Arial" w:eastAsia="Calibri" w:hAnsi="Arial" w:cs="Arial"/>
          <w:sz w:val="22"/>
          <w:szCs w:val="22"/>
          <w:lang w:val="es-ES_tradnl"/>
        </w:rPr>
      </w:pPr>
    </w:p>
    <w:p w14:paraId="24D691C6" w14:textId="6BE644AA" w:rsidR="004F5634" w:rsidRPr="00890E6F" w:rsidRDefault="004F5634" w:rsidP="00A237CD">
      <w:pPr>
        <w:spacing w:line="276" w:lineRule="auto"/>
        <w:rPr>
          <w:rFonts w:ascii="Arial" w:eastAsia="Calibri" w:hAnsi="Arial" w:cs="Arial"/>
          <w:b/>
          <w:bCs/>
          <w:sz w:val="22"/>
          <w:szCs w:val="22"/>
          <w:lang w:val="es-ES_tradnl"/>
        </w:rPr>
      </w:pPr>
      <w:r w:rsidRPr="00890E6F">
        <w:rPr>
          <w:rFonts w:ascii="Arial" w:eastAsia="Calibri" w:hAnsi="Arial" w:cs="Arial"/>
          <w:b/>
          <w:bCs/>
          <w:sz w:val="22"/>
          <w:szCs w:val="22"/>
          <w:lang w:val="es-ES_tradnl"/>
        </w:rPr>
        <w:t>2.3. Los factores de desempate del artículo 35 de la Ley 2069 de 2020</w:t>
      </w:r>
    </w:p>
    <w:p w14:paraId="7BE52B42" w14:textId="77777777" w:rsidR="00F5684C" w:rsidRPr="00890E6F" w:rsidRDefault="00F5684C" w:rsidP="00F5684C">
      <w:pPr>
        <w:spacing w:line="276" w:lineRule="auto"/>
        <w:jc w:val="both"/>
        <w:rPr>
          <w:rFonts w:ascii="Arial" w:eastAsia="Calibri" w:hAnsi="Arial" w:cs="Arial"/>
          <w:b/>
          <w:bCs/>
          <w:sz w:val="22"/>
          <w:szCs w:val="22"/>
          <w:lang w:val="es-ES_tradnl"/>
        </w:rPr>
      </w:pPr>
    </w:p>
    <w:p w14:paraId="6C4CF7D0" w14:textId="77777777" w:rsidR="00F5684C" w:rsidRPr="00F5684C" w:rsidRDefault="00F5684C" w:rsidP="00F5684C">
      <w:pPr>
        <w:spacing w:line="276" w:lineRule="auto"/>
        <w:jc w:val="both"/>
        <w:rPr>
          <w:rFonts w:ascii="Arial" w:eastAsia="Calibri" w:hAnsi="Arial" w:cs="Arial"/>
          <w:sz w:val="22"/>
          <w:szCs w:val="22"/>
          <w:lang w:val="es-ES_tradnl"/>
        </w:rPr>
      </w:pPr>
      <w:r w:rsidRPr="00F5684C">
        <w:rPr>
          <w:rFonts w:ascii="Arial" w:eastAsia="Calibri" w:hAnsi="Arial" w:cs="Arial"/>
          <w:sz w:val="22"/>
          <w:szCs w:val="22"/>
          <w:lang w:val="es-ES_tradnl"/>
        </w:rPr>
        <w:t>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la aplicación de dicho artículo a los procesos de selección abreviada por subasta inversa y los procedimientos de mínima cuantía, la Agencia se pronunciará sobre el alcance que otorga a tales disposiciones, sin pasar por alto la novedad de la Ley 2069 de 2020 –dada su reciente entrada en vigencia– y la ausencia de pronunciamientos jurisprudenciales o estudios doctrinarios sobre el tema, que seguramente contribuirán a decantar la interpretación de las normas en comento.</w:t>
      </w:r>
    </w:p>
    <w:p w14:paraId="5FCBCD83" w14:textId="77777777" w:rsidR="00F5684C" w:rsidRPr="00F5684C" w:rsidRDefault="00F5684C" w:rsidP="00F5684C">
      <w:pPr>
        <w:spacing w:before="120" w:line="276" w:lineRule="auto"/>
        <w:ind w:firstLine="709"/>
        <w:jc w:val="both"/>
        <w:rPr>
          <w:rFonts w:ascii="Arial" w:eastAsia="Calibri" w:hAnsi="Arial" w:cs="Arial"/>
          <w:sz w:val="22"/>
          <w:szCs w:val="22"/>
          <w:lang w:val="es-ES_tradnl"/>
        </w:rPr>
      </w:pPr>
      <w:r w:rsidRPr="00F5684C">
        <w:rPr>
          <w:rFonts w:ascii="Arial" w:eastAsia="Calibri" w:hAnsi="Arial" w:cs="Arial"/>
          <w:sz w:val="22"/>
          <w:szCs w:val="22"/>
          <w:lang w:val="es-ES_tradnl"/>
        </w:rPr>
        <w:t xml:space="preserve">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w:t>
      </w:r>
      <w:r w:rsidRPr="00F5684C">
        <w:rPr>
          <w:rFonts w:ascii="Arial" w:eastAsia="Calibri" w:hAnsi="Arial" w:cs="Arial"/>
          <w:sz w:val="22"/>
          <w:szCs w:val="22"/>
          <w:lang w:val="es-ES_tradnl"/>
        </w:rPr>
        <w:lastRenderedPageBreak/>
        <w:t xml:space="preserve">la Ley bajo análisis establecen un mandato de reglamentación, dirigido al gobierno nacional, como condición para aplicar lo dispuesto en dicha ley. </w:t>
      </w:r>
    </w:p>
    <w:p w14:paraId="28980A9C" w14:textId="77777777" w:rsidR="00F5684C" w:rsidRPr="00F5684C" w:rsidRDefault="00F5684C" w:rsidP="00F5684C">
      <w:pPr>
        <w:spacing w:before="120" w:line="276" w:lineRule="auto"/>
        <w:ind w:firstLine="709"/>
        <w:jc w:val="both"/>
        <w:rPr>
          <w:rFonts w:ascii="Arial" w:eastAsia="Calibri" w:hAnsi="Arial" w:cs="Arial"/>
          <w:sz w:val="22"/>
          <w:szCs w:val="22"/>
          <w:lang w:val="es-ES_tradnl"/>
        </w:rPr>
      </w:pPr>
      <w:r w:rsidRPr="00F5684C">
        <w:rPr>
          <w:rFonts w:ascii="Arial" w:eastAsia="Calibri" w:hAnsi="Arial" w:cs="Arial"/>
          <w:sz w:val="22"/>
          <w:szCs w:val="22"/>
          <w:lang w:val="es-ES_tradnl"/>
        </w:rPr>
        <w:t xml:space="preserve">Por ejemplo, en lo que a las compras públicas se refiere, el parágrafo primero del artículo 30, que alude a la participación de </w:t>
      </w:r>
      <w:proofErr w:type="spellStart"/>
      <w:r w:rsidRPr="00F5684C">
        <w:rPr>
          <w:rFonts w:ascii="Arial" w:eastAsia="Calibri" w:hAnsi="Arial" w:cs="Arial"/>
          <w:sz w:val="22"/>
          <w:szCs w:val="22"/>
          <w:lang w:val="es-ES_tradnl"/>
        </w:rPr>
        <w:t>mipymes</w:t>
      </w:r>
      <w:proofErr w:type="spellEnd"/>
      <w:r w:rsidRPr="00F5684C">
        <w:rPr>
          <w:rFonts w:ascii="Arial" w:eastAsia="Calibri" w:hAnsi="Arial" w:cs="Arial"/>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F5684C">
        <w:rPr>
          <w:rFonts w:ascii="Arial" w:eastAsia="Calibri" w:hAnsi="Arial" w:cs="Arial"/>
          <w:sz w:val="22"/>
          <w:szCs w:val="22"/>
          <w:lang w:val="es-ES_tradnl"/>
        </w:rPr>
        <w:t>Mipymes</w:t>
      </w:r>
      <w:proofErr w:type="spellEnd"/>
      <w:r w:rsidRPr="00F5684C">
        <w:rPr>
          <w:rFonts w:ascii="Arial" w:eastAsia="Calibri" w:hAnsi="Arial" w:cs="Arial"/>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6BDBCB5A" w14:textId="77777777" w:rsidR="00F5684C" w:rsidRPr="00F5684C" w:rsidRDefault="00F5684C" w:rsidP="00F5684C">
      <w:pPr>
        <w:spacing w:before="120" w:line="276" w:lineRule="auto"/>
        <w:ind w:firstLine="709"/>
        <w:jc w:val="both"/>
        <w:rPr>
          <w:rFonts w:ascii="Arial" w:eastAsia="Calibri" w:hAnsi="Arial" w:cs="Arial"/>
          <w:sz w:val="22"/>
          <w:szCs w:val="22"/>
          <w:lang w:val="es-ES_tradnl"/>
        </w:rPr>
      </w:pPr>
      <w:r w:rsidRPr="00F5684C">
        <w:rPr>
          <w:rFonts w:ascii="Arial" w:eastAsia="Calibri" w:hAnsi="Arial" w:cs="Arial"/>
          <w:sz w:val="22"/>
          <w:szCs w:val="22"/>
          <w:lang w:val="es-ES_tradnl"/>
        </w:rPr>
        <w:t>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6A151CE0" w14:textId="77777777" w:rsidR="00F5684C" w:rsidRPr="00F5684C" w:rsidRDefault="00F5684C" w:rsidP="00F5684C">
      <w:pPr>
        <w:spacing w:before="120" w:line="276" w:lineRule="auto"/>
        <w:ind w:firstLine="708"/>
        <w:jc w:val="both"/>
        <w:rPr>
          <w:rFonts w:ascii="Arial" w:eastAsia="Calibri" w:hAnsi="Arial" w:cs="Arial"/>
          <w:sz w:val="22"/>
          <w:szCs w:val="22"/>
          <w:lang w:val="es-ES_tradnl"/>
        </w:rPr>
      </w:pPr>
      <w:r w:rsidRPr="00F5684C">
        <w:rPr>
          <w:rFonts w:ascii="Arial" w:eastAsia="Calibri" w:hAnsi="Arial" w:cs="Arial"/>
          <w:sz w:val="22"/>
          <w:szCs w:val="22"/>
          <w:lang w:val="es-ES_tradnl"/>
        </w:rPr>
        <w:t xml:space="preserve">Lo mismo no sucede con el artículo 35. En efecto, </w:t>
      </w:r>
      <w:r w:rsidRPr="00F5684C">
        <w:rPr>
          <w:rFonts w:ascii="Arial" w:hAnsi="Arial" w:cs="Arial"/>
          <w:sz w:val="22"/>
          <w:szCs w:val="22"/>
          <w:lang w:val="es-ES_tradnl"/>
        </w:rPr>
        <w:t>si bien los factores de desempate regulados en el artículo 35 deben aplicarse «</w:t>
      </w:r>
      <w:r w:rsidRPr="00F5684C">
        <w:rPr>
          <w:rFonts w:ascii="Arial" w:hAnsi="Arial" w:cs="Arial"/>
          <w:lang w:val="es-ES_tradnl"/>
        </w:rPr>
        <w:t xml:space="preserve">[…] </w:t>
      </w:r>
      <w:r w:rsidRPr="00F5684C">
        <w:rPr>
          <w:rFonts w:ascii="Arial" w:hAnsi="Arial" w:cs="Arial"/>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F5684C">
        <w:rPr>
          <w:rFonts w:ascii="Arial" w:eastAsia="Calibri" w:hAnsi="Arial" w:cs="Arial"/>
          <w:sz w:val="22"/>
          <w:szCs w:val="22"/>
          <w:lang w:val="es-ES_tradnl"/>
        </w:rPr>
        <w:t xml:space="preserve"> </w:t>
      </w:r>
    </w:p>
    <w:p w14:paraId="4701ADD8" w14:textId="77777777" w:rsidR="00F5684C" w:rsidRPr="00F5684C" w:rsidRDefault="00F5684C" w:rsidP="00F5684C">
      <w:pPr>
        <w:spacing w:before="120" w:line="276" w:lineRule="auto"/>
        <w:ind w:firstLine="709"/>
        <w:jc w:val="both"/>
        <w:rPr>
          <w:rFonts w:ascii="Arial" w:eastAsia="Calibri" w:hAnsi="Arial" w:cs="Arial"/>
          <w:sz w:val="22"/>
          <w:szCs w:val="22"/>
          <w:lang w:val="es-ES_tradnl"/>
        </w:rPr>
      </w:pPr>
      <w:r w:rsidRPr="00F5684C">
        <w:rPr>
          <w:rFonts w:ascii="Arial" w:eastAsia="Calibri" w:hAnsi="Arial" w:cs="Arial"/>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F5684C">
        <w:rPr>
          <w:rFonts w:ascii="Arial" w:eastAsia="Calibri" w:hAnsi="Arial" w:cs="Arial"/>
          <w:i/>
          <w:iCs/>
          <w:sz w:val="22"/>
          <w:szCs w:val="22"/>
          <w:lang w:val="es-ES_tradnl"/>
        </w:rPr>
        <w:t>podrá reglamentar</w:t>
      </w:r>
      <w:r w:rsidRPr="00F5684C">
        <w:rPr>
          <w:rFonts w:ascii="Arial" w:eastAsia="Calibri" w:hAnsi="Arial" w:cs="Arial"/>
          <w:sz w:val="22"/>
          <w:szCs w:val="22"/>
          <w:lang w:val="es-ES_tradnl"/>
        </w:rPr>
        <w:t xml:space="preserve"> la aplicación de factores de desempate en casos en que concurran dos o más de los factores aquí previstos» (Énfasis fuera de texto).</w:t>
      </w:r>
    </w:p>
    <w:p w14:paraId="26770399" w14:textId="77777777" w:rsidR="00F5684C" w:rsidRPr="00F5684C" w:rsidRDefault="00F5684C" w:rsidP="00F5684C">
      <w:pPr>
        <w:spacing w:before="120" w:line="276" w:lineRule="auto"/>
        <w:ind w:firstLine="709"/>
        <w:jc w:val="both"/>
        <w:rPr>
          <w:rFonts w:ascii="Arial" w:eastAsia="Calibri" w:hAnsi="Arial" w:cs="Arial"/>
          <w:sz w:val="22"/>
          <w:szCs w:val="22"/>
          <w:lang w:val="es-ES_tradnl"/>
        </w:rPr>
      </w:pPr>
      <w:r w:rsidRPr="00F5684C">
        <w:rPr>
          <w:rFonts w:ascii="Arial" w:eastAsia="Calibri" w:hAnsi="Arial" w:cs="Arial"/>
          <w:sz w:val="22"/>
          <w:szCs w:val="22"/>
          <w:lang w:val="es-ES_tradnl"/>
        </w:rPr>
        <w:t xml:space="preserve">Como se observa se trata de una competencia que, en concordancia con el artículo 189.11 superior, el gobierno nacional puede ejercer discrecionalmente para la ejecución de </w:t>
      </w:r>
      <w:r w:rsidRPr="00F5684C">
        <w:rPr>
          <w:rFonts w:ascii="Arial" w:eastAsia="Calibri" w:hAnsi="Arial" w:cs="Arial"/>
          <w:sz w:val="22"/>
          <w:szCs w:val="22"/>
          <w:lang w:val="es-ES_tradnl"/>
        </w:rPr>
        <w:lastRenderedPageBreak/>
        <w:t>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3ED1CD0A" w14:textId="62DAB55A" w:rsidR="00F5684C" w:rsidRPr="00890E6F" w:rsidRDefault="00F5684C" w:rsidP="00F5684C">
      <w:pPr>
        <w:spacing w:before="120" w:line="276" w:lineRule="auto"/>
        <w:ind w:firstLine="709"/>
        <w:jc w:val="both"/>
        <w:rPr>
          <w:rFonts w:ascii="Arial" w:hAnsi="Arial" w:cs="Arial"/>
          <w:sz w:val="22"/>
          <w:szCs w:val="22"/>
          <w:lang w:val="es-ES_tradnl"/>
        </w:rPr>
      </w:pPr>
      <w:r w:rsidRPr="00F5684C">
        <w:rPr>
          <w:rFonts w:ascii="Arial" w:hAnsi="Arial" w:cs="Arial"/>
          <w:sz w:val="22"/>
          <w:szCs w:val="22"/>
          <w:lang w:val="es-ES_tradnl"/>
        </w:rPr>
        <w:t>Además, si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2069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14:paraId="1FB08274" w14:textId="315ACF86" w:rsidR="009755CA" w:rsidRPr="00890E6F" w:rsidRDefault="009755CA" w:rsidP="009755CA">
      <w:pPr>
        <w:spacing w:before="120" w:line="276" w:lineRule="auto"/>
        <w:ind w:firstLine="709"/>
        <w:jc w:val="both"/>
        <w:rPr>
          <w:rFonts w:ascii="Arial" w:hAnsi="Arial" w:cs="Arial"/>
          <w:sz w:val="22"/>
          <w:szCs w:val="22"/>
          <w:lang w:val="es-ES_tradnl"/>
        </w:rPr>
      </w:pPr>
      <w:r w:rsidRPr="00890E6F">
        <w:rPr>
          <w:rFonts w:ascii="Arial" w:hAnsi="Arial" w:cs="Arial"/>
          <w:sz w:val="22"/>
          <w:szCs w:val="22"/>
          <w:lang w:val="es-ES_tradnl"/>
        </w:rPr>
        <w:t xml:space="preserve">Ahora bien, hasta la promulgación de la Ley 2069 de 2020, el artículo 2.2.1.1.2.2.9. del Decreto 1082 de 2015 regulaba los factores de desempate que debían aplicarse en los procesos de selección. En criterio de esta Agencia, dicha norma debe entenderse derogada por el artículo 35 de la Ley 2069 de 2020. Ello no solo porque el artículo 84 dispone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 </w:t>
      </w:r>
    </w:p>
    <w:p w14:paraId="7B6C3008" w14:textId="1EE104C0" w:rsidR="009755CA" w:rsidRPr="00890E6F" w:rsidRDefault="009755CA" w:rsidP="009755CA">
      <w:pPr>
        <w:spacing w:before="120" w:line="276" w:lineRule="auto"/>
        <w:ind w:firstLine="709"/>
        <w:jc w:val="both"/>
        <w:rPr>
          <w:rFonts w:ascii="Arial" w:hAnsi="Arial" w:cs="Arial"/>
          <w:sz w:val="22"/>
          <w:szCs w:val="22"/>
          <w:lang w:val="es-ES_tradnl"/>
        </w:rPr>
      </w:pPr>
      <w:r w:rsidRPr="00890E6F">
        <w:rPr>
          <w:rFonts w:ascii="Arial" w:hAnsi="Arial" w:cs="Arial"/>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Dado que el Decreto 1082 de 2015 es un reglamento </w:t>
      </w:r>
      <w:proofErr w:type="spellStart"/>
      <w:r w:rsidRPr="00890E6F">
        <w:rPr>
          <w:rFonts w:ascii="Arial" w:hAnsi="Arial" w:cs="Arial"/>
          <w:i/>
          <w:iCs/>
          <w:sz w:val="22"/>
          <w:szCs w:val="22"/>
          <w:lang w:val="es-ES_tradnl"/>
        </w:rPr>
        <w:t>secundum</w:t>
      </w:r>
      <w:proofErr w:type="spellEnd"/>
      <w:r w:rsidRPr="00890E6F">
        <w:rPr>
          <w:rFonts w:ascii="Arial" w:hAnsi="Arial" w:cs="Arial"/>
          <w:i/>
          <w:iCs/>
          <w:sz w:val="22"/>
          <w:szCs w:val="22"/>
          <w:lang w:val="es-ES_tradnl"/>
        </w:rPr>
        <w:t xml:space="preserve"> </w:t>
      </w:r>
      <w:proofErr w:type="spellStart"/>
      <w:r w:rsidRPr="00890E6F">
        <w:rPr>
          <w:rFonts w:ascii="Arial" w:hAnsi="Arial" w:cs="Arial"/>
          <w:i/>
          <w:iCs/>
          <w:sz w:val="22"/>
          <w:szCs w:val="22"/>
          <w:lang w:val="es-ES_tradnl"/>
        </w:rPr>
        <w:t>legem</w:t>
      </w:r>
      <w:proofErr w:type="spellEnd"/>
      <w:r w:rsidRPr="00890E6F">
        <w:rPr>
          <w:rFonts w:ascii="Arial" w:hAnsi="Arial" w:cs="Arial"/>
          <w:i/>
          <w:iCs/>
          <w:sz w:val="22"/>
          <w:szCs w:val="22"/>
          <w:lang w:val="es-ES_tradnl"/>
        </w:rPr>
        <w:t xml:space="preserve"> –</w:t>
      </w:r>
      <w:r w:rsidRPr="00890E6F">
        <w:rPr>
          <w:rFonts w:ascii="Arial" w:hAnsi="Arial" w:cs="Arial"/>
          <w:sz w:val="22"/>
          <w:szCs w:val="22"/>
          <w:lang w:val="es-ES_tradnl"/>
        </w:rPr>
        <w:t xml:space="preserve">es decir, que desarrolla una norma de mayor jerarquía–, la expedición de una ley en sentido formal –es decir, una fuente que condiciona el contenido de este último–, hace que la disposición reglamentaria decaiga.   </w:t>
      </w:r>
    </w:p>
    <w:p w14:paraId="4712F150" w14:textId="77777777" w:rsidR="00AD1B10" w:rsidRPr="00890E6F" w:rsidRDefault="00AD1B10" w:rsidP="00EB2ED0">
      <w:pPr>
        <w:tabs>
          <w:tab w:val="left" w:pos="709"/>
        </w:tabs>
        <w:spacing w:line="276" w:lineRule="auto"/>
        <w:jc w:val="both"/>
        <w:rPr>
          <w:rFonts w:ascii="Arial" w:eastAsia="Calibri" w:hAnsi="Arial" w:cs="Arial"/>
          <w:b/>
          <w:sz w:val="22"/>
        </w:rPr>
      </w:pPr>
      <w:bookmarkStart w:id="11" w:name="_Hlk64292850"/>
    </w:p>
    <w:bookmarkEnd w:id="11"/>
    <w:p w14:paraId="0B4D89AB" w14:textId="43149785" w:rsidR="00DF071C" w:rsidRPr="00890E6F" w:rsidRDefault="00DF071C" w:rsidP="00EB2ED0">
      <w:pPr>
        <w:pStyle w:val="NormalWeb"/>
        <w:spacing w:before="0" w:beforeAutospacing="0" w:after="0" w:afterAutospacing="0" w:line="276" w:lineRule="auto"/>
        <w:jc w:val="both"/>
        <w:rPr>
          <w:rFonts w:ascii="Arial" w:eastAsia="Calibri" w:hAnsi="Arial" w:cs="Arial"/>
          <w:b/>
          <w:bCs/>
          <w:sz w:val="22"/>
          <w:szCs w:val="22"/>
          <w:lang w:val="es-ES_tradnl"/>
        </w:rPr>
      </w:pPr>
      <w:r w:rsidRPr="00890E6F">
        <w:rPr>
          <w:rFonts w:ascii="Arial" w:eastAsia="Calibri" w:hAnsi="Arial" w:cs="Arial"/>
          <w:b/>
          <w:bCs/>
          <w:sz w:val="22"/>
          <w:szCs w:val="22"/>
          <w:lang w:val="es-ES_tradnl"/>
        </w:rPr>
        <w:lastRenderedPageBreak/>
        <w:t>2.</w:t>
      </w:r>
      <w:r w:rsidR="008B087A" w:rsidRPr="00890E6F">
        <w:rPr>
          <w:rFonts w:ascii="Arial" w:eastAsia="Calibri" w:hAnsi="Arial" w:cs="Arial"/>
          <w:b/>
          <w:bCs/>
          <w:sz w:val="22"/>
          <w:szCs w:val="22"/>
          <w:lang w:val="es-ES_tradnl"/>
        </w:rPr>
        <w:t>3</w:t>
      </w:r>
      <w:r w:rsidRPr="00890E6F">
        <w:rPr>
          <w:rFonts w:ascii="Arial" w:eastAsia="Calibri" w:hAnsi="Arial" w:cs="Arial"/>
          <w:b/>
          <w:bCs/>
          <w:sz w:val="22"/>
          <w:szCs w:val="22"/>
          <w:lang w:val="es-ES_tradnl"/>
        </w:rPr>
        <w:t>.</w:t>
      </w:r>
      <w:r w:rsidR="002456B2" w:rsidRPr="00890E6F">
        <w:rPr>
          <w:rFonts w:ascii="Arial" w:eastAsia="Calibri" w:hAnsi="Arial" w:cs="Arial"/>
          <w:b/>
          <w:bCs/>
          <w:sz w:val="22"/>
          <w:szCs w:val="22"/>
          <w:lang w:val="es-ES_tradnl"/>
        </w:rPr>
        <w:t>1.</w:t>
      </w:r>
      <w:r w:rsidR="004B3152" w:rsidRPr="00890E6F">
        <w:rPr>
          <w:rFonts w:ascii="Arial" w:eastAsia="Calibri" w:hAnsi="Arial" w:cs="Arial"/>
          <w:sz w:val="22"/>
          <w:szCs w:val="22"/>
          <w:lang w:val="es-ES_tradnl"/>
        </w:rPr>
        <w:t xml:space="preserve"> </w:t>
      </w:r>
      <w:r w:rsidR="00F64CE7" w:rsidRPr="00890E6F">
        <w:rPr>
          <w:rFonts w:ascii="Arial" w:eastAsia="Calibri" w:hAnsi="Arial" w:cs="Arial"/>
          <w:b/>
          <w:bCs/>
          <w:sz w:val="22"/>
          <w:szCs w:val="22"/>
          <w:lang w:val="es-ES_tradnl"/>
        </w:rPr>
        <w:t>Aplicabilidad de los factores de desempate del artículo 35 de la Ley 2069 de 2015 a</w:t>
      </w:r>
      <w:r w:rsidR="00175DC6" w:rsidRPr="00890E6F">
        <w:rPr>
          <w:rFonts w:ascii="Arial" w:eastAsia="Calibri" w:hAnsi="Arial" w:cs="Arial"/>
          <w:b/>
          <w:bCs/>
          <w:sz w:val="22"/>
          <w:szCs w:val="22"/>
          <w:lang w:val="es-ES_tradnl"/>
        </w:rPr>
        <w:t xml:space="preserve"> </w:t>
      </w:r>
      <w:r w:rsidR="00F64CE7" w:rsidRPr="00890E6F">
        <w:rPr>
          <w:rFonts w:ascii="Arial" w:eastAsia="Calibri" w:hAnsi="Arial" w:cs="Arial"/>
          <w:b/>
          <w:bCs/>
          <w:sz w:val="22"/>
          <w:szCs w:val="22"/>
          <w:lang w:val="es-ES_tradnl"/>
        </w:rPr>
        <w:t>l</w:t>
      </w:r>
      <w:r w:rsidR="00175DC6" w:rsidRPr="00890E6F">
        <w:rPr>
          <w:rFonts w:ascii="Arial" w:eastAsia="Calibri" w:hAnsi="Arial" w:cs="Arial"/>
          <w:b/>
          <w:bCs/>
          <w:sz w:val="22"/>
          <w:szCs w:val="22"/>
          <w:lang w:val="es-ES_tradnl"/>
        </w:rPr>
        <w:t>os</w:t>
      </w:r>
      <w:r w:rsidR="00F64CE7" w:rsidRPr="00890E6F">
        <w:rPr>
          <w:rFonts w:ascii="Arial" w:eastAsia="Calibri" w:hAnsi="Arial" w:cs="Arial"/>
          <w:b/>
          <w:bCs/>
          <w:sz w:val="22"/>
          <w:szCs w:val="22"/>
          <w:lang w:val="es-ES_tradnl"/>
        </w:rPr>
        <w:t xml:space="preserve"> </w:t>
      </w:r>
      <w:r w:rsidR="00FA4B97" w:rsidRPr="00890E6F">
        <w:rPr>
          <w:rFonts w:ascii="Arial" w:eastAsia="Calibri" w:hAnsi="Arial" w:cs="Arial"/>
          <w:b/>
          <w:bCs/>
          <w:sz w:val="22"/>
          <w:szCs w:val="22"/>
          <w:lang w:val="es-ES_tradnl"/>
        </w:rPr>
        <w:t>procedimiento</w:t>
      </w:r>
      <w:r w:rsidR="00175DC6" w:rsidRPr="00890E6F">
        <w:rPr>
          <w:rFonts w:ascii="Arial" w:eastAsia="Calibri" w:hAnsi="Arial" w:cs="Arial"/>
          <w:b/>
          <w:bCs/>
          <w:sz w:val="22"/>
          <w:szCs w:val="22"/>
          <w:lang w:val="es-ES_tradnl"/>
        </w:rPr>
        <w:t>s</w:t>
      </w:r>
      <w:r w:rsidR="00FA4B97" w:rsidRPr="00890E6F">
        <w:rPr>
          <w:rFonts w:ascii="Arial" w:eastAsia="Calibri" w:hAnsi="Arial" w:cs="Arial"/>
          <w:b/>
          <w:bCs/>
          <w:sz w:val="22"/>
          <w:szCs w:val="22"/>
          <w:lang w:val="es-ES_tradnl"/>
        </w:rPr>
        <w:t xml:space="preserve"> de</w:t>
      </w:r>
      <w:r w:rsidR="00175DC6" w:rsidRPr="00890E6F">
        <w:rPr>
          <w:rFonts w:ascii="Arial" w:eastAsia="Calibri" w:hAnsi="Arial" w:cs="Arial"/>
          <w:b/>
          <w:bCs/>
          <w:sz w:val="22"/>
          <w:szCs w:val="22"/>
          <w:lang w:val="es-ES_tradnl"/>
        </w:rPr>
        <w:t xml:space="preserve"> subasta inversa y</w:t>
      </w:r>
      <w:r w:rsidR="00FA4B97" w:rsidRPr="00890E6F">
        <w:rPr>
          <w:rFonts w:ascii="Arial" w:eastAsia="Calibri" w:hAnsi="Arial" w:cs="Arial"/>
          <w:b/>
          <w:bCs/>
          <w:sz w:val="22"/>
          <w:szCs w:val="22"/>
          <w:lang w:val="es-ES_tradnl"/>
        </w:rPr>
        <w:t xml:space="preserve"> mínima cuantía</w:t>
      </w:r>
      <w:r w:rsidR="00175DC6" w:rsidRPr="00890E6F">
        <w:rPr>
          <w:rFonts w:ascii="Arial" w:eastAsia="Calibri" w:hAnsi="Arial" w:cs="Arial"/>
          <w:b/>
          <w:bCs/>
          <w:sz w:val="22"/>
          <w:szCs w:val="22"/>
          <w:lang w:val="es-ES_tradnl"/>
        </w:rPr>
        <w:t>.</w:t>
      </w:r>
      <w:r w:rsidR="005502B3" w:rsidRPr="00890E6F">
        <w:rPr>
          <w:rFonts w:ascii="Arial" w:eastAsia="Calibri" w:hAnsi="Arial" w:cs="Arial"/>
          <w:b/>
          <w:bCs/>
          <w:sz w:val="22"/>
          <w:szCs w:val="22"/>
          <w:lang w:val="es-ES_tradnl"/>
        </w:rPr>
        <w:t xml:space="preserve"> </w:t>
      </w:r>
    </w:p>
    <w:p w14:paraId="6EC2C74A" w14:textId="77777777" w:rsidR="00502E86" w:rsidRDefault="00502E86" w:rsidP="00502E86">
      <w:pPr>
        <w:spacing w:line="276" w:lineRule="auto"/>
        <w:jc w:val="both"/>
        <w:rPr>
          <w:rFonts w:ascii="Arial" w:hAnsi="Arial" w:cs="Arial"/>
          <w:sz w:val="22"/>
          <w:szCs w:val="22"/>
          <w:lang w:val="es-ES_tradnl"/>
        </w:rPr>
      </w:pPr>
    </w:p>
    <w:p w14:paraId="5A5132B6" w14:textId="65A42DAF" w:rsidR="0020156E" w:rsidRPr="00890E6F" w:rsidRDefault="0020156E" w:rsidP="009717AE">
      <w:pPr>
        <w:spacing w:after="120" w:line="276" w:lineRule="auto"/>
        <w:jc w:val="both"/>
        <w:rPr>
          <w:rFonts w:ascii="Arial" w:hAnsi="Arial" w:cs="Arial"/>
          <w:sz w:val="22"/>
          <w:szCs w:val="22"/>
          <w:lang w:val="es-ES_tradnl"/>
        </w:rPr>
      </w:pPr>
      <w:r w:rsidRPr="00890E6F">
        <w:rPr>
          <w:rFonts w:ascii="Arial" w:hAnsi="Arial" w:cs="Arial"/>
          <w:sz w:val="22"/>
          <w:szCs w:val="22"/>
          <w:lang w:val="es-ES_tradnl"/>
        </w:rPr>
        <w:t xml:space="preserve">Lo explicado en los párrafos precedentes también aplica </w:t>
      </w:r>
      <w:r w:rsidRPr="00890E6F">
        <w:rPr>
          <w:rFonts w:ascii="Arial" w:hAnsi="Arial" w:cs="Arial"/>
          <w:i/>
          <w:iCs/>
          <w:sz w:val="22"/>
          <w:szCs w:val="22"/>
          <w:lang w:val="es-ES_tradnl"/>
        </w:rPr>
        <w:t>mutatis mutandis</w:t>
      </w:r>
      <w:r w:rsidRPr="00890E6F">
        <w:rPr>
          <w:rFonts w:ascii="Arial" w:hAnsi="Arial" w:cs="Arial"/>
          <w:sz w:val="22"/>
          <w:szCs w:val="22"/>
          <w:lang w:val="es-ES_tradnl"/>
        </w:rPr>
        <w:t xml:space="preserve"> a los factores de desempate previstos en el Decreto Único Reglamentario del Sector Administrativo de Planeación Nacional para la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w:t>
      </w:r>
    </w:p>
    <w:p w14:paraId="6341A596" w14:textId="7C5579FF" w:rsidR="00A62B6D" w:rsidRPr="00890E6F" w:rsidRDefault="007D12EC" w:rsidP="00D93A79">
      <w:pPr>
        <w:spacing w:after="120" w:line="276" w:lineRule="auto"/>
        <w:ind w:firstLine="708"/>
        <w:jc w:val="both"/>
        <w:rPr>
          <w:rFonts w:ascii="Arial" w:eastAsia="Calibri" w:hAnsi="Arial" w:cs="Arial"/>
          <w:sz w:val="22"/>
          <w:szCs w:val="22"/>
          <w:lang w:val="es-ES_tradnl"/>
        </w:rPr>
      </w:pPr>
      <w:r w:rsidRPr="00890E6F">
        <w:rPr>
          <w:rFonts w:ascii="Arial" w:eastAsia="Calibri" w:hAnsi="Arial" w:cs="Arial"/>
          <w:sz w:val="22"/>
          <w:szCs w:val="22"/>
          <w:lang w:val="es-ES_tradnl"/>
        </w:rPr>
        <w:t xml:space="preserve">El artículo 2.2.1.2.1.2.2 del Decreto 1082 de 2015 regula el procedimiento aplicable para el mecanismo de subasta inversa, en el marco de la modalidad de selección abreviada para la </w:t>
      </w:r>
      <w:r w:rsidRPr="00890E6F">
        <w:rPr>
          <w:rFonts w:ascii="Arial" w:eastAsia="Calibri" w:hAnsi="Arial" w:cs="Arial"/>
          <w:sz w:val="22"/>
          <w:szCs w:val="22"/>
          <w:lang w:val="es-ES_tradnl" w:eastAsia="es-CO"/>
        </w:rPr>
        <w:t>adquisición de bienes y servicios de características técnicas uniformes, regulando en su numeral 9 un factor de desempate aplicable a este procedimiento, según el cual debe preferirse al oferente que presentó el menor precio inicial</w:t>
      </w:r>
      <w:r w:rsidR="00B97B5E" w:rsidRPr="00890E6F">
        <w:rPr>
          <w:rFonts w:ascii="Arial" w:eastAsia="Calibri" w:hAnsi="Arial" w:cs="Arial"/>
          <w:sz w:val="22"/>
          <w:szCs w:val="22"/>
          <w:lang w:val="es-ES_tradnl" w:eastAsia="es-CO"/>
        </w:rPr>
        <w:t xml:space="preserve">, y de persistir el empate se deben aplicarse los factores de desempate de los numerales 1 a 5 del artículo 2.2.1.1.2.2.9 del Decreto 1082 de 2015. Por su parte, </w:t>
      </w:r>
      <w:r w:rsidR="00B97B5E" w:rsidRPr="00890E6F">
        <w:rPr>
          <w:rFonts w:ascii="Arial" w:eastAsia="Calibri" w:hAnsi="Arial" w:cs="Arial"/>
          <w:sz w:val="22"/>
          <w:szCs w:val="22"/>
          <w:lang w:val="es-ES_tradnl"/>
        </w:rPr>
        <w:t>e</w:t>
      </w:r>
      <w:r w:rsidR="000C1D5C" w:rsidRPr="00890E6F">
        <w:rPr>
          <w:rFonts w:ascii="Arial" w:eastAsia="Calibri" w:hAnsi="Arial" w:cs="Arial"/>
          <w:sz w:val="22"/>
          <w:szCs w:val="22"/>
          <w:lang w:val="es-ES_tradnl"/>
        </w:rPr>
        <w:t>l numeral 7 del artículo 2.2.1.2.1.5.2 del Decreto 1082 de 2015</w:t>
      </w:r>
      <w:r w:rsidR="00B97B5E" w:rsidRPr="00890E6F">
        <w:rPr>
          <w:rFonts w:ascii="Arial" w:eastAsia="Calibri" w:hAnsi="Arial" w:cs="Arial"/>
          <w:sz w:val="22"/>
          <w:szCs w:val="22"/>
          <w:lang w:val="es-ES_tradnl"/>
        </w:rPr>
        <w:t>,</w:t>
      </w:r>
      <w:r w:rsidR="000C1D5C" w:rsidRPr="00890E6F">
        <w:rPr>
          <w:rFonts w:ascii="Arial" w:eastAsia="Calibri" w:hAnsi="Arial" w:cs="Arial"/>
          <w:sz w:val="22"/>
          <w:szCs w:val="22"/>
          <w:lang w:val="es-ES_tradnl"/>
        </w:rPr>
        <w:t xml:space="preserve"> consagra un criterio de desempate especial para la modalidad de selección de mínima cuantía, </w:t>
      </w:r>
      <w:r w:rsidR="001E2452" w:rsidRPr="00890E6F">
        <w:rPr>
          <w:rFonts w:ascii="Arial" w:eastAsia="Calibri" w:hAnsi="Arial" w:cs="Arial"/>
          <w:sz w:val="22"/>
          <w:szCs w:val="22"/>
          <w:lang w:val="es-ES_tradnl"/>
        </w:rPr>
        <w:t xml:space="preserve">el cual </w:t>
      </w:r>
      <w:r w:rsidR="000C1D5C" w:rsidRPr="00890E6F">
        <w:rPr>
          <w:rFonts w:ascii="Arial" w:eastAsia="Calibri" w:hAnsi="Arial" w:cs="Arial"/>
          <w:sz w:val="22"/>
          <w:szCs w:val="22"/>
          <w:lang w:val="es-ES_tradnl"/>
        </w:rPr>
        <w:t>consiste en el deber de preferir</w:t>
      </w:r>
      <w:r w:rsidR="001E2452" w:rsidRPr="00890E6F">
        <w:rPr>
          <w:rFonts w:ascii="Arial" w:eastAsia="Calibri" w:hAnsi="Arial" w:cs="Arial"/>
          <w:sz w:val="22"/>
          <w:szCs w:val="22"/>
          <w:lang w:val="es-ES_tradnl"/>
        </w:rPr>
        <w:t xml:space="preserve"> </w:t>
      </w:r>
      <w:r w:rsidR="000C1D5C" w:rsidRPr="00890E6F">
        <w:rPr>
          <w:rFonts w:ascii="Arial" w:eastAsia="Calibri" w:hAnsi="Arial" w:cs="Arial"/>
          <w:sz w:val="22"/>
          <w:szCs w:val="22"/>
          <w:lang w:val="es-ES_tradnl"/>
        </w:rPr>
        <w:t xml:space="preserve">la oferta </w:t>
      </w:r>
      <w:r w:rsidR="00C7541F" w:rsidRPr="00890E6F">
        <w:rPr>
          <w:rFonts w:ascii="Arial" w:eastAsia="Calibri" w:hAnsi="Arial" w:cs="Arial"/>
          <w:sz w:val="22"/>
          <w:szCs w:val="22"/>
          <w:lang w:val="es-ES_tradnl"/>
        </w:rPr>
        <w:t>que presentada primero en el tiempo</w:t>
      </w:r>
      <w:r w:rsidR="000C1D5C" w:rsidRPr="00890E6F">
        <w:rPr>
          <w:rFonts w:ascii="Arial" w:eastAsia="Calibri" w:hAnsi="Arial" w:cs="Arial"/>
          <w:sz w:val="22"/>
          <w:szCs w:val="22"/>
          <w:lang w:val="es-ES_tradnl"/>
        </w:rPr>
        <w:t>.</w:t>
      </w:r>
      <w:r w:rsidR="00A62B6D" w:rsidRPr="00890E6F">
        <w:rPr>
          <w:rFonts w:ascii="Arial" w:eastAsia="Calibri" w:hAnsi="Arial" w:cs="Arial"/>
          <w:sz w:val="22"/>
          <w:szCs w:val="22"/>
          <w:lang w:val="es-ES_tradnl"/>
        </w:rPr>
        <w:t xml:space="preserve"> </w:t>
      </w:r>
      <w:r w:rsidR="00465F67" w:rsidRPr="00890E6F">
        <w:rPr>
          <w:rFonts w:ascii="Arial" w:eastAsia="Calibri" w:hAnsi="Arial" w:cs="Arial"/>
          <w:sz w:val="22"/>
          <w:szCs w:val="22"/>
          <w:lang w:val="es-ES_tradnl"/>
        </w:rPr>
        <w:t xml:space="preserve">Para </w:t>
      </w:r>
      <w:r w:rsidR="00C7541F" w:rsidRPr="00890E6F">
        <w:rPr>
          <w:rFonts w:ascii="Arial" w:eastAsia="Calibri" w:hAnsi="Arial" w:cs="Arial"/>
          <w:sz w:val="22"/>
          <w:szCs w:val="22"/>
          <w:lang w:val="es-ES_tradnl"/>
        </w:rPr>
        <w:t>determinar si está</w:t>
      </w:r>
      <w:r w:rsidR="00170D2F" w:rsidRPr="00890E6F">
        <w:rPr>
          <w:rFonts w:ascii="Arial" w:eastAsia="Calibri" w:hAnsi="Arial" w:cs="Arial"/>
          <w:sz w:val="22"/>
          <w:szCs w:val="22"/>
          <w:lang w:val="es-ES_tradnl"/>
        </w:rPr>
        <w:t>n</w:t>
      </w:r>
      <w:r w:rsidR="00C7541F" w:rsidRPr="00890E6F">
        <w:rPr>
          <w:rFonts w:ascii="Arial" w:eastAsia="Calibri" w:hAnsi="Arial" w:cs="Arial"/>
          <w:sz w:val="22"/>
          <w:szCs w:val="22"/>
          <w:lang w:val="es-ES_tradnl"/>
        </w:rPr>
        <w:t xml:space="preserve"> vigente</w:t>
      </w:r>
      <w:r w:rsidR="00170D2F" w:rsidRPr="00890E6F">
        <w:rPr>
          <w:rFonts w:ascii="Arial" w:eastAsia="Calibri" w:hAnsi="Arial" w:cs="Arial"/>
          <w:sz w:val="22"/>
          <w:szCs w:val="22"/>
          <w:lang w:val="es-ES_tradnl"/>
        </w:rPr>
        <w:t>s</w:t>
      </w:r>
      <w:r w:rsidR="00C7541F" w:rsidRPr="00890E6F">
        <w:rPr>
          <w:rFonts w:ascii="Arial" w:eastAsia="Calibri" w:hAnsi="Arial" w:cs="Arial"/>
          <w:sz w:val="22"/>
          <w:szCs w:val="22"/>
          <w:lang w:val="es-ES_tradnl"/>
        </w:rPr>
        <w:t xml:space="preserve"> est</w:t>
      </w:r>
      <w:r w:rsidR="00170D2F" w:rsidRPr="00890E6F">
        <w:rPr>
          <w:rFonts w:ascii="Arial" w:eastAsia="Calibri" w:hAnsi="Arial" w:cs="Arial"/>
          <w:sz w:val="22"/>
          <w:szCs w:val="22"/>
          <w:lang w:val="es-ES_tradnl"/>
        </w:rPr>
        <w:t>os</w:t>
      </w:r>
      <w:r w:rsidR="00465F67" w:rsidRPr="00890E6F">
        <w:rPr>
          <w:rFonts w:ascii="Arial" w:eastAsia="Calibri" w:hAnsi="Arial" w:cs="Arial"/>
          <w:sz w:val="22"/>
          <w:szCs w:val="22"/>
          <w:lang w:val="es-ES_tradnl"/>
        </w:rPr>
        <w:t xml:space="preserve"> numeral</w:t>
      </w:r>
      <w:r w:rsidR="00170D2F" w:rsidRPr="00890E6F">
        <w:rPr>
          <w:rFonts w:ascii="Arial" w:eastAsia="Calibri" w:hAnsi="Arial" w:cs="Arial"/>
          <w:sz w:val="22"/>
          <w:szCs w:val="22"/>
          <w:lang w:val="es-ES_tradnl"/>
        </w:rPr>
        <w:t>es</w:t>
      </w:r>
      <w:r w:rsidR="00465F67" w:rsidRPr="00890E6F">
        <w:rPr>
          <w:rFonts w:ascii="Arial" w:eastAsia="Calibri" w:hAnsi="Arial" w:cs="Arial"/>
          <w:sz w:val="22"/>
          <w:szCs w:val="22"/>
          <w:lang w:val="es-ES_tradnl"/>
        </w:rPr>
        <w:t xml:space="preserve">, es indispensable </w:t>
      </w:r>
      <w:r w:rsidR="0081082C" w:rsidRPr="00890E6F">
        <w:rPr>
          <w:rFonts w:ascii="Arial" w:eastAsia="Calibri" w:hAnsi="Arial" w:cs="Arial"/>
          <w:sz w:val="22"/>
          <w:szCs w:val="22"/>
          <w:lang w:val="es-ES_tradnl"/>
        </w:rPr>
        <w:t>considerar</w:t>
      </w:r>
      <w:r w:rsidR="00465F67" w:rsidRPr="00890E6F">
        <w:rPr>
          <w:rFonts w:ascii="Arial" w:eastAsia="Calibri" w:hAnsi="Arial" w:cs="Arial"/>
          <w:sz w:val="22"/>
          <w:szCs w:val="22"/>
          <w:lang w:val="es-ES_tradnl"/>
        </w:rPr>
        <w:t xml:space="preserve"> </w:t>
      </w:r>
      <w:r w:rsidR="00466C74" w:rsidRPr="00890E6F">
        <w:rPr>
          <w:rFonts w:ascii="Arial" w:eastAsia="Calibri" w:hAnsi="Arial" w:cs="Arial"/>
          <w:sz w:val="22"/>
          <w:szCs w:val="22"/>
          <w:lang w:val="es-ES_tradnl"/>
        </w:rPr>
        <w:t xml:space="preserve">que el artículo 35 de la Ley 2069 de 2020 </w:t>
      </w:r>
      <w:r w:rsidR="00C7541F" w:rsidRPr="00890E6F">
        <w:rPr>
          <w:rFonts w:ascii="Arial" w:eastAsia="Calibri" w:hAnsi="Arial" w:cs="Arial"/>
          <w:sz w:val="22"/>
          <w:szCs w:val="22"/>
          <w:lang w:val="es-ES_tradnl"/>
        </w:rPr>
        <w:t>regula</w:t>
      </w:r>
      <w:r w:rsidR="00466C74" w:rsidRPr="00890E6F">
        <w:rPr>
          <w:rFonts w:ascii="Arial" w:eastAsia="Calibri" w:hAnsi="Arial" w:cs="Arial"/>
          <w:sz w:val="22"/>
          <w:szCs w:val="22"/>
          <w:lang w:val="es-ES_tradnl"/>
        </w:rPr>
        <w:t xml:space="preserve"> nuevos criterios de desempate</w:t>
      </w:r>
      <w:r w:rsidR="007E0D49" w:rsidRPr="00890E6F">
        <w:rPr>
          <w:rFonts w:ascii="Arial" w:eastAsia="Calibri" w:hAnsi="Arial" w:cs="Arial"/>
          <w:sz w:val="22"/>
          <w:szCs w:val="22"/>
          <w:lang w:val="es-ES_tradnl"/>
        </w:rPr>
        <w:t xml:space="preserve"> aplicables</w:t>
      </w:r>
      <w:r w:rsidR="00AE6188" w:rsidRPr="00890E6F">
        <w:rPr>
          <w:rFonts w:ascii="Arial" w:eastAsia="Calibri" w:hAnsi="Arial" w:cs="Arial"/>
          <w:sz w:val="22"/>
          <w:szCs w:val="22"/>
          <w:lang w:val="es-ES_tradnl"/>
        </w:rPr>
        <w:t xml:space="preserve"> en la</w:t>
      </w:r>
      <w:r w:rsidR="007E0D49" w:rsidRPr="00890E6F">
        <w:rPr>
          <w:rFonts w:ascii="Arial" w:eastAsia="Calibri" w:hAnsi="Arial" w:cs="Arial"/>
          <w:sz w:val="22"/>
          <w:szCs w:val="22"/>
          <w:lang w:val="es-ES_tradnl"/>
        </w:rPr>
        <w:t xml:space="preserve"> contratación estatal</w:t>
      </w:r>
      <w:r w:rsidR="00A54895" w:rsidRPr="00890E6F">
        <w:rPr>
          <w:rFonts w:ascii="Arial" w:eastAsia="Calibri" w:hAnsi="Arial" w:cs="Arial"/>
          <w:sz w:val="22"/>
          <w:szCs w:val="22"/>
          <w:lang w:val="es-ES_tradnl"/>
        </w:rPr>
        <w:t xml:space="preserve">. </w:t>
      </w:r>
    </w:p>
    <w:p w14:paraId="0F59547C" w14:textId="2B37C146" w:rsidR="007D7CCB" w:rsidRPr="00890E6F" w:rsidRDefault="00A54895" w:rsidP="00EB2ED0">
      <w:pPr>
        <w:pStyle w:val="NormalWeb"/>
        <w:spacing w:before="0" w:beforeAutospacing="0" w:after="120" w:afterAutospacing="0" w:line="276" w:lineRule="auto"/>
        <w:ind w:firstLine="708"/>
        <w:jc w:val="both"/>
        <w:rPr>
          <w:rFonts w:ascii="Arial" w:eastAsia="Calibri" w:hAnsi="Arial" w:cs="Arial"/>
          <w:sz w:val="22"/>
          <w:szCs w:val="22"/>
          <w:lang w:val="es-ES_tradnl"/>
        </w:rPr>
      </w:pPr>
      <w:r w:rsidRPr="00890E6F">
        <w:rPr>
          <w:rFonts w:ascii="Arial" w:eastAsia="Calibri" w:hAnsi="Arial" w:cs="Arial"/>
          <w:sz w:val="22"/>
          <w:szCs w:val="22"/>
          <w:lang w:val="es-ES_tradnl"/>
        </w:rPr>
        <w:t xml:space="preserve">Como </w:t>
      </w:r>
      <w:r w:rsidR="005D30AE" w:rsidRPr="00890E6F">
        <w:rPr>
          <w:rFonts w:ascii="Arial" w:eastAsia="Calibri" w:hAnsi="Arial" w:cs="Arial"/>
          <w:sz w:val="22"/>
          <w:szCs w:val="22"/>
          <w:lang w:val="es-ES_tradnl"/>
        </w:rPr>
        <w:t>se precisó</w:t>
      </w:r>
      <w:r w:rsidRPr="00890E6F">
        <w:rPr>
          <w:rFonts w:ascii="Arial" w:eastAsia="Calibri" w:hAnsi="Arial" w:cs="Arial"/>
          <w:sz w:val="22"/>
          <w:szCs w:val="22"/>
          <w:lang w:val="es-ES_tradnl"/>
        </w:rPr>
        <w:t xml:space="preserve"> en el numeral </w:t>
      </w:r>
      <w:r w:rsidR="002456B2" w:rsidRPr="00890E6F">
        <w:rPr>
          <w:rFonts w:ascii="Arial" w:eastAsia="Calibri" w:hAnsi="Arial" w:cs="Arial"/>
          <w:sz w:val="22"/>
          <w:szCs w:val="22"/>
          <w:lang w:val="es-ES_tradnl"/>
        </w:rPr>
        <w:t>anterio</w:t>
      </w:r>
      <w:r w:rsidR="000A3F0A" w:rsidRPr="00890E6F">
        <w:rPr>
          <w:rFonts w:ascii="Arial" w:eastAsia="Calibri" w:hAnsi="Arial" w:cs="Arial"/>
          <w:sz w:val="22"/>
          <w:szCs w:val="22"/>
          <w:lang w:val="es-ES_tradnl"/>
        </w:rPr>
        <w:t>r</w:t>
      </w:r>
      <w:r w:rsidR="00906D34" w:rsidRPr="00890E6F">
        <w:rPr>
          <w:rFonts w:ascii="Arial" w:eastAsia="Calibri" w:hAnsi="Arial" w:cs="Arial"/>
          <w:sz w:val="22"/>
          <w:szCs w:val="22"/>
          <w:lang w:val="es-ES_tradnl"/>
        </w:rPr>
        <w:t xml:space="preserve"> del presente concepto</w:t>
      </w:r>
      <w:r w:rsidRPr="00890E6F">
        <w:rPr>
          <w:rFonts w:ascii="Arial" w:eastAsia="Calibri" w:hAnsi="Arial" w:cs="Arial"/>
          <w:sz w:val="22"/>
          <w:szCs w:val="22"/>
          <w:lang w:val="es-ES_tradnl"/>
        </w:rPr>
        <w:t>, los factores de desempate del artículo 35</w:t>
      </w:r>
      <w:r w:rsidR="005D30AE" w:rsidRPr="00890E6F">
        <w:rPr>
          <w:rFonts w:ascii="Arial" w:eastAsia="Calibri" w:hAnsi="Arial" w:cs="Arial"/>
          <w:sz w:val="22"/>
          <w:szCs w:val="22"/>
          <w:lang w:val="es-ES_tradnl"/>
        </w:rPr>
        <w:t xml:space="preserve"> de la Ley de Emprendimiento</w:t>
      </w:r>
      <w:r w:rsidRPr="00890E6F">
        <w:rPr>
          <w:rFonts w:ascii="Arial" w:eastAsia="Calibri" w:hAnsi="Arial" w:cs="Arial"/>
          <w:i/>
          <w:iCs/>
          <w:sz w:val="22"/>
          <w:szCs w:val="22"/>
          <w:lang w:val="es-ES_tradnl"/>
        </w:rPr>
        <w:t xml:space="preserve"> </w:t>
      </w:r>
      <w:r w:rsidRPr="00890E6F">
        <w:rPr>
          <w:rFonts w:ascii="Arial" w:eastAsia="Calibri" w:hAnsi="Arial" w:cs="Arial"/>
          <w:sz w:val="22"/>
          <w:szCs w:val="22"/>
          <w:lang w:val="es-ES_tradnl"/>
        </w:rPr>
        <w:t xml:space="preserve">no solo son aplicables a la contratación de las entidades regidas por el EGCAP, sino también </w:t>
      </w:r>
      <w:r w:rsidR="00DF41DD" w:rsidRPr="00890E6F">
        <w:rPr>
          <w:rFonts w:ascii="Arial" w:eastAsia="Calibri" w:hAnsi="Arial" w:cs="Arial"/>
          <w:sz w:val="22"/>
          <w:szCs w:val="22"/>
          <w:lang w:val="es-ES_tradnl"/>
        </w:rPr>
        <w:t>a los procesos de selección de las entidades exceptuadas</w:t>
      </w:r>
      <w:r w:rsidR="00CA137B" w:rsidRPr="00890E6F">
        <w:rPr>
          <w:rFonts w:ascii="Arial" w:eastAsia="Calibri" w:hAnsi="Arial" w:cs="Arial"/>
          <w:sz w:val="22"/>
          <w:szCs w:val="22"/>
          <w:lang w:val="es-ES_tradnl"/>
        </w:rPr>
        <w:t xml:space="preserve">, </w:t>
      </w:r>
      <w:r w:rsidR="00AC51DF" w:rsidRPr="00890E6F">
        <w:rPr>
          <w:rFonts w:ascii="Arial" w:eastAsia="Calibri" w:hAnsi="Arial" w:cs="Arial"/>
          <w:sz w:val="22"/>
          <w:szCs w:val="22"/>
          <w:lang w:val="es-ES_tradnl"/>
        </w:rPr>
        <w:t>a los que realicen l</w:t>
      </w:r>
      <w:r w:rsidR="00906007" w:rsidRPr="00890E6F">
        <w:rPr>
          <w:rFonts w:ascii="Arial" w:eastAsia="Calibri" w:hAnsi="Arial" w:cs="Arial"/>
          <w:sz w:val="22"/>
          <w:szCs w:val="22"/>
          <w:lang w:val="es-ES_tradnl"/>
        </w:rPr>
        <w:t>o</w:t>
      </w:r>
      <w:r w:rsidR="00AC51DF" w:rsidRPr="00890E6F">
        <w:rPr>
          <w:rFonts w:ascii="Arial" w:eastAsia="Calibri" w:hAnsi="Arial" w:cs="Arial"/>
          <w:sz w:val="22"/>
          <w:szCs w:val="22"/>
          <w:lang w:val="es-ES_tradnl"/>
        </w:rPr>
        <w:t xml:space="preserve">s patrimonios autónomos </w:t>
      </w:r>
      <w:r w:rsidR="001F5EF9" w:rsidRPr="00890E6F">
        <w:rPr>
          <w:rFonts w:ascii="Arial" w:eastAsia="Calibri" w:hAnsi="Arial" w:cs="Arial"/>
          <w:sz w:val="22"/>
          <w:szCs w:val="22"/>
          <w:lang w:val="es-ES_tradnl"/>
        </w:rPr>
        <w:t xml:space="preserve">constituidos por entidades estatales, y en general, en los procesos de selección </w:t>
      </w:r>
      <w:r w:rsidR="004D1653" w:rsidRPr="00890E6F">
        <w:rPr>
          <w:rFonts w:ascii="Arial" w:eastAsia="Calibri" w:hAnsi="Arial" w:cs="Arial"/>
          <w:sz w:val="22"/>
          <w:szCs w:val="22"/>
          <w:lang w:val="es-ES_tradnl"/>
        </w:rPr>
        <w:t xml:space="preserve">realizados con cargo a recursos públicos. </w:t>
      </w:r>
      <w:r w:rsidR="00906D34" w:rsidRPr="00890E6F">
        <w:rPr>
          <w:rFonts w:ascii="Arial" w:eastAsia="Calibri" w:hAnsi="Arial" w:cs="Arial"/>
          <w:sz w:val="22"/>
          <w:szCs w:val="22"/>
          <w:lang w:val="es-ES_tradnl"/>
        </w:rPr>
        <w:t>Debido a que la norma no distingue</w:t>
      </w:r>
      <w:r w:rsidR="00762705" w:rsidRPr="00890E6F">
        <w:rPr>
          <w:rFonts w:ascii="Arial" w:eastAsia="Calibri" w:hAnsi="Arial" w:cs="Arial"/>
          <w:sz w:val="22"/>
          <w:szCs w:val="22"/>
          <w:lang w:val="es-ES_tradnl"/>
        </w:rPr>
        <w:t xml:space="preserve"> entre modalidades o procedimientos, </w:t>
      </w:r>
      <w:r w:rsidR="00353801" w:rsidRPr="00890E6F">
        <w:rPr>
          <w:rFonts w:ascii="Arial" w:eastAsia="Calibri" w:hAnsi="Arial" w:cs="Arial"/>
          <w:sz w:val="22"/>
          <w:szCs w:val="22"/>
          <w:lang w:val="es-ES_tradnl"/>
        </w:rPr>
        <w:t xml:space="preserve">los factores de desempate son aplicables </w:t>
      </w:r>
      <w:r w:rsidR="006E765A" w:rsidRPr="00890E6F">
        <w:rPr>
          <w:rFonts w:ascii="Arial" w:eastAsia="Calibri" w:hAnsi="Arial" w:cs="Arial"/>
          <w:sz w:val="22"/>
          <w:szCs w:val="22"/>
          <w:lang w:val="es-ES_tradnl"/>
        </w:rPr>
        <w:t>en todos los procesos de selección que celebren los sujetos mencionados</w:t>
      </w:r>
      <w:r w:rsidR="007E118A" w:rsidRPr="00890E6F">
        <w:rPr>
          <w:rFonts w:ascii="Arial" w:eastAsia="Calibri" w:hAnsi="Arial" w:cs="Arial"/>
          <w:sz w:val="22"/>
          <w:szCs w:val="22"/>
          <w:lang w:val="es-ES_tradnl"/>
        </w:rPr>
        <w:t>.</w:t>
      </w:r>
    </w:p>
    <w:p w14:paraId="404706C3" w14:textId="118F7AAC" w:rsidR="006B78F2" w:rsidRPr="00890E6F" w:rsidRDefault="00A35E91" w:rsidP="00EB2ED0">
      <w:pPr>
        <w:tabs>
          <w:tab w:val="left" w:pos="0"/>
        </w:tabs>
        <w:spacing w:after="120" w:line="276" w:lineRule="auto"/>
        <w:jc w:val="both"/>
        <w:rPr>
          <w:rFonts w:ascii="Arial" w:hAnsi="Arial" w:cs="Arial"/>
          <w:sz w:val="22"/>
          <w:szCs w:val="22"/>
          <w:lang w:val="es-ES_tradnl"/>
        </w:rPr>
      </w:pPr>
      <w:r w:rsidRPr="00890E6F">
        <w:rPr>
          <w:rFonts w:ascii="Arial" w:eastAsia="Calibri" w:hAnsi="Arial" w:cs="Arial"/>
          <w:sz w:val="22"/>
          <w:szCs w:val="22"/>
          <w:lang w:val="es-ES_tradnl"/>
        </w:rPr>
        <w:tab/>
      </w:r>
      <w:r w:rsidR="002B5392" w:rsidRPr="00890E6F">
        <w:rPr>
          <w:rFonts w:ascii="Arial" w:eastAsia="Calibri" w:hAnsi="Arial" w:cs="Arial"/>
          <w:sz w:val="22"/>
          <w:szCs w:val="22"/>
          <w:lang w:val="es-ES_tradnl"/>
        </w:rPr>
        <w:t xml:space="preserve">En ese sentido, </w:t>
      </w:r>
      <w:r w:rsidR="0037256F" w:rsidRPr="00890E6F">
        <w:rPr>
          <w:rFonts w:ascii="Arial" w:eastAsia="Calibri" w:hAnsi="Arial" w:cs="Arial"/>
          <w:sz w:val="22"/>
          <w:szCs w:val="22"/>
          <w:lang w:val="es-ES_tradnl"/>
        </w:rPr>
        <w:t>la</w:t>
      </w:r>
      <w:r w:rsidR="002B5392" w:rsidRPr="00890E6F">
        <w:rPr>
          <w:rFonts w:ascii="Arial" w:eastAsia="Calibri" w:hAnsi="Arial" w:cs="Arial"/>
          <w:sz w:val="22"/>
          <w:szCs w:val="22"/>
          <w:lang w:val="es-ES_tradnl"/>
        </w:rPr>
        <w:t xml:space="preserve"> Agencia ha estimado que la aplicación del artículo 35 de la Ley 2069 de 2020</w:t>
      </w:r>
      <w:r w:rsidR="00B1498E" w:rsidRPr="00890E6F">
        <w:rPr>
          <w:rFonts w:ascii="Arial" w:eastAsiaTheme="minorHAnsi" w:hAnsi="Arial" w:cs="Arial"/>
          <w:sz w:val="22"/>
          <w:szCs w:val="22"/>
          <w:lang w:eastAsia="en-US"/>
        </w:rPr>
        <w:t xml:space="preserve"> </w:t>
      </w:r>
      <w:r w:rsidR="00B74409" w:rsidRPr="00890E6F">
        <w:rPr>
          <w:rFonts w:ascii="Arial" w:eastAsiaTheme="minorHAnsi" w:hAnsi="Arial" w:cs="Arial"/>
          <w:sz w:val="22"/>
          <w:szCs w:val="22"/>
          <w:lang w:eastAsia="en-US"/>
        </w:rPr>
        <w:t xml:space="preserve">es </w:t>
      </w:r>
      <w:r w:rsidR="00B1498E" w:rsidRPr="00890E6F">
        <w:rPr>
          <w:rFonts w:ascii="Arial" w:eastAsiaTheme="minorHAnsi" w:hAnsi="Arial" w:cs="Arial"/>
          <w:sz w:val="22"/>
          <w:szCs w:val="22"/>
          <w:lang w:eastAsia="en-US"/>
        </w:rPr>
        <w:t>transversal a</w:t>
      </w:r>
      <w:r w:rsidR="00722495" w:rsidRPr="00890E6F">
        <w:rPr>
          <w:rFonts w:ascii="Arial" w:eastAsiaTheme="minorHAnsi" w:hAnsi="Arial" w:cs="Arial"/>
          <w:sz w:val="22"/>
          <w:szCs w:val="22"/>
          <w:lang w:eastAsia="en-US"/>
        </w:rPr>
        <w:t xml:space="preserve"> las distintas modalidades </w:t>
      </w:r>
      <w:r w:rsidR="003C2FB1" w:rsidRPr="00890E6F">
        <w:rPr>
          <w:rFonts w:ascii="Arial" w:eastAsiaTheme="minorHAnsi" w:hAnsi="Arial" w:cs="Arial"/>
          <w:sz w:val="22"/>
          <w:szCs w:val="22"/>
          <w:lang w:eastAsia="en-US"/>
        </w:rPr>
        <w:t>de contratación</w:t>
      </w:r>
      <w:r w:rsidR="00B20E85" w:rsidRPr="00890E6F">
        <w:rPr>
          <w:rFonts w:ascii="Arial" w:eastAsiaTheme="minorHAnsi" w:hAnsi="Arial" w:cs="Arial"/>
          <w:sz w:val="22"/>
          <w:szCs w:val="22"/>
          <w:lang w:eastAsia="en-US"/>
        </w:rPr>
        <w:t xml:space="preserve">. Concretamente, </w:t>
      </w:r>
      <w:r w:rsidR="003C2FB1" w:rsidRPr="00890E6F">
        <w:rPr>
          <w:rFonts w:ascii="Arial" w:eastAsiaTheme="minorHAnsi" w:hAnsi="Arial" w:cs="Arial"/>
          <w:sz w:val="22"/>
          <w:szCs w:val="22"/>
          <w:lang w:eastAsia="en-US"/>
        </w:rPr>
        <w:t>la vigencia de este</w:t>
      </w:r>
      <w:r w:rsidR="005B2C7D" w:rsidRPr="00890E6F">
        <w:rPr>
          <w:rFonts w:ascii="Arial" w:eastAsiaTheme="minorHAnsi" w:hAnsi="Arial" w:cs="Arial"/>
          <w:sz w:val="22"/>
          <w:szCs w:val="22"/>
          <w:lang w:eastAsia="en-US"/>
        </w:rPr>
        <w:t xml:space="preserve"> artículo </w:t>
      </w:r>
      <w:r w:rsidR="007D2DA3" w:rsidRPr="00890E6F">
        <w:rPr>
          <w:rFonts w:ascii="Arial" w:eastAsiaTheme="minorHAnsi" w:hAnsi="Arial" w:cs="Arial"/>
          <w:sz w:val="22"/>
          <w:szCs w:val="22"/>
          <w:lang w:eastAsia="en-US"/>
        </w:rPr>
        <w:t>ha generado la derogatoria</w:t>
      </w:r>
      <w:r w:rsidR="00F064DB" w:rsidRPr="00890E6F">
        <w:rPr>
          <w:rFonts w:ascii="Arial" w:eastAsiaTheme="minorHAnsi" w:hAnsi="Arial" w:cs="Arial"/>
          <w:sz w:val="22"/>
          <w:szCs w:val="22"/>
          <w:lang w:eastAsia="en-US"/>
        </w:rPr>
        <w:t xml:space="preserve"> </w:t>
      </w:r>
      <w:r w:rsidR="007D2DA3" w:rsidRPr="00890E6F">
        <w:rPr>
          <w:rFonts w:ascii="Arial" w:eastAsiaTheme="minorHAnsi" w:hAnsi="Arial" w:cs="Arial"/>
          <w:sz w:val="22"/>
          <w:szCs w:val="22"/>
          <w:lang w:eastAsia="en-US"/>
        </w:rPr>
        <w:t xml:space="preserve">del artículo </w:t>
      </w:r>
      <w:r w:rsidR="00F064DB" w:rsidRPr="00890E6F">
        <w:rPr>
          <w:rFonts w:ascii="Arial" w:eastAsiaTheme="minorHAnsi" w:hAnsi="Arial" w:cs="Arial"/>
          <w:sz w:val="22"/>
          <w:szCs w:val="22"/>
          <w:lang w:eastAsia="en-US"/>
        </w:rPr>
        <w:t>2.2.1.1.2.2.9 del Decreto 1082 de 2015</w:t>
      </w:r>
      <w:r w:rsidR="00207FCD" w:rsidRPr="00890E6F">
        <w:rPr>
          <w:rFonts w:ascii="Arial" w:eastAsiaTheme="minorHAnsi" w:hAnsi="Arial" w:cs="Arial"/>
          <w:sz w:val="22"/>
          <w:szCs w:val="22"/>
          <w:lang w:eastAsia="en-US"/>
        </w:rPr>
        <w:t xml:space="preserve">, conforme a lo dispuesto en artículo 84 de la Ley 2069 de 2020. </w:t>
      </w:r>
      <w:r w:rsidR="00A25833" w:rsidRPr="00890E6F">
        <w:rPr>
          <w:rFonts w:ascii="Arial" w:hAnsi="Arial" w:cs="Arial"/>
          <w:sz w:val="22"/>
          <w:szCs w:val="22"/>
          <w:lang w:val="es-ES_tradnl"/>
        </w:rPr>
        <w:t>Como argumento adicional</w:t>
      </w:r>
      <w:r w:rsidR="00207FCD" w:rsidRPr="00890E6F">
        <w:rPr>
          <w:rFonts w:ascii="Arial" w:hAnsi="Arial" w:cs="Arial"/>
          <w:sz w:val="22"/>
          <w:szCs w:val="22"/>
          <w:lang w:val="es-ES_tradnl"/>
        </w:rPr>
        <w:t xml:space="preserve">, </w:t>
      </w:r>
      <w:r w:rsidR="005B61AD" w:rsidRPr="00890E6F">
        <w:rPr>
          <w:rFonts w:ascii="Arial" w:hAnsi="Arial" w:cs="Arial"/>
          <w:sz w:val="22"/>
          <w:szCs w:val="22"/>
          <w:lang w:val="es-ES_tradnl"/>
        </w:rPr>
        <w:t>se ha sostenido</w:t>
      </w:r>
      <w:r w:rsidR="00A25833" w:rsidRPr="00890E6F">
        <w:rPr>
          <w:rFonts w:ascii="Arial" w:hAnsi="Arial" w:cs="Arial"/>
          <w:sz w:val="22"/>
          <w:szCs w:val="22"/>
          <w:lang w:val="es-ES_tradnl"/>
        </w:rPr>
        <w:t xml:space="preserve"> </w:t>
      </w:r>
      <w:r w:rsidR="000105D9" w:rsidRPr="00890E6F">
        <w:rPr>
          <w:rFonts w:ascii="Arial" w:hAnsi="Arial" w:cs="Arial"/>
          <w:sz w:val="22"/>
          <w:szCs w:val="22"/>
          <w:lang w:val="es-ES_tradnl"/>
        </w:rPr>
        <w:t>la configuración del</w:t>
      </w:r>
      <w:r w:rsidR="00A25833" w:rsidRPr="00890E6F">
        <w:rPr>
          <w:rFonts w:ascii="Arial" w:hAnsi="Arial" w:cs="Arial"/>
          <w:sz w:val="22"/>
          <w:szCs w:val="22"/>
          <w:lang w:val="es-ES_tradnl"/>
        </w:rPr>
        <w:t xml:space="preserve"> fenómeno de la pérdida de fuerza </w:t>
      </w:r>
      <w:r w:rsidR="00A25833" w:rsidRPr="00890E6F">
        <w:rPr>
          <w:rFonts w:ascii="Arial" w:hAnsi="Arial" w:cs="Arial"/>
          <w:sz w:val="22"/>
          <w:szCs w:val="22"/>
          <w:lang w:val="es-ES_tradnl"/>
        </w:rPr>
        <w:lastRenderedPageBreak/>
        <w:t xml:space="preserve">ejecutoria –o decaimiento– de los actos administrativos, </w:t>
      </w:r>
      <w:r w:rsidR="00700CA2" w:rsidRPr="00890E6F">
        <w:rPr>
          <w:rFonts w:ascii="Arial" w:hAnsi="Arial" w:cs="Arial"/>
          <w:sz w:val="22"/>
          <w:szCs w:val="22"/>
          <w:lang w:val="es-ES_tradnl"/>
        </w:rPr>
        <w:t xml:space="preserve">en virtud </w:t>
      </w:r>
      <w:r w:rsidR="00001CC9" w:rsidRPr="00890E6F">
        <w:rPr>
          <w:rFonts w:ascii="Arial" w:hAnsi="Arial" w:cs="Arial"/>
          <w:sz w:val="22"/>
          <w:szCs w:val="22"/>
          <w:lang w:val="es-ES_tradnl"/>
        </w:rPr>
        <w:t>d</w:t>
      </w:r>
      <w:r w:rsidR="00A25833" w:rsidRPr="00890E6F">
        <w:rPr>
          <w:rFonts w:ascii="Arial" w:hAnsi="Arial" w:cs="Arial"/>
          <w:sz w:val="22"/>
          <w:szCs w:val="22"/>
          <w:lang w:val="es-ES_tradnl"/>
        </w:rPr>
        <w:t>el numeral 2 del artículo 91 de la Ley 1437 de 2011</w:t>
      </w:r>
      <w:r w:rsidR="005B61AD" w:rsidRPr="00890E6F">
        <w:rPr>
          <w:rFonts w:ascii="Arial" w:hAnsi="Arial" w:cs="Arial"/>
          <w:sz w:val="22"/>
          <w:szCs w:val="22"/>
          <w:lang w:val="es-ES_tradnl"/>
        </w:rPr>
        <w:t>,</w:t>
      </w:r>
      <w:r w:rsidR="00A25833" w:rsidRPr="00890E6F">
        <w:rPr>
          <w:rFonts w:ascii="Arial" w:hAnsi="Arial" w:cs="Arial"/>
          <w:sz w:val="22"/>
          <w:szCs w:val="22"/>
          <w:lang w:val="es-ES_tradnl"/>
        </w:rPr>
        <w:t xml:space="preserve"> </w:t>
      </w:r>
      <w:r w:rsidR="00101129" w:rsidRPr="00890E6F">
        <w:rPr>
          <w:rFonts w:ascii="Arial" w:hAnsi="Arial" w:cs="Arial"/>
          <w:sz w:val="22"/>
          <w:szCs w:val="22"/>
          <w:lang w:val="es-ES_tradnl"/>
        </w:rPr>
        <w:t xml:space="preserve">considerando que esta última </w:t>
      </w:r>
      <w:r w:rsidR="00A25833" w:rsidRPr="00890E6F">
        <w:rPr>
          <w:rFonts w:ascii="Arial" w:hAnsi="Arial" w:cs="Arial"/>
          <w:sz w:val="22"/>
          <w:szCs w:val="22"/>
          <w:lang w:val="es-ES_tradnl"/>
        </w:rPr>
        <w:t xml:space="preserve">norma señala que los actos administrativos pierden fuerza ejecutoria «Cuando desaparezcan sus fundamentos de hecho o de derecho». </w:t>
      </w:r>
    </w:p>
    <w:p w14:paraId="161D180D" w14:textId="77777777" w:rsidR="00343B9E" w:rsidRPr="00890E6F" w:rsidRDefault="006B78F2" w:rsidP="00343B9E">
      <w:pPr>
        <w:tabs>
          <w:tab w:val="left" w:pos="0"/>
        </w:tabs>
        <w:spacing w:after="120" w:line="276" w:lineRule="auto"/>
        <w:jc w:val="both"/>
        <w:rPr>
          <w:rFonts w:ascii="Arial" w:eastAsiaTheme="minorHAnsi" w:hAnsi="Arial" w:cs="Arial"/>
          <w:sz w:val="22"/>
          <w:szCs w:val="22"/>
          <w:lang w:eastAsia="en-US"/>
        </w:rPr>
      </w:pPr>
      <w:r w:rsidRPr="00890E6F">
        <w:rPr>
          <w:rFonts w:ascii="Arial" w:hAnsi="Arial" w:cs="Arial"/>
          <w:sz w:val="22"/>
          <w:szCs w:val="22"/>
          <w:lang w:val="es-ES_tradnl"/>
        </w:rPr>
        <w:tab/>
      </w:r>
      <w:r w:rsidR="00A25833" w:rsidRPr="00890E6F">
        <w:rPr>
          <w:rFonts w:ascii="Arial" w:hAnsi="Arial" w:cs="Arial"/>
          <w:sz w:val="22"/>
          <w:szCs w:val="22"/>
          <w:lang w:val="es-ES_tradnl"/>
        </w:rPr>
        <w:t xml:space="preserve">Dado que el Decreto 1082 de 2015 es un reglamento </w:t>
      </w:r>
      <w:proofErr w:type="spellStart"/>
      <w:r w:rsidR="00A25833" w:rsidRPr="00890E6F">
        <w:rPr>
          <w:rFonts w:ascii="Arial" w:hAnsi="Arial" w:cs="Arial"/>
          <w:i/>
          <w:iCs/>
          <w:sz w:val="22"/>
          <w:szCs w:val="22"/>
          <w:lang w:val="es-ES_tradnl"/>
        </w:rPr>
        <w:t>secundum</w:t>
      </w:r>
      <w:proofErr w:type="spellEnd"/>
      <w:r w:rsidR="00A25833" w:rsidRPr="00890E6F">
        <w:rPr>
          <w:rFonts w:ascii="Arial" w:hAnsi="Arial" w:cs="Arial"/>
          <w:i/>
          <w:iCs/>
          <w:sz w:val="22"/>
          <w:szCs w:val="22"/>
          <w:lang w:val="es-ES_tradnl"/>
        </w:rPr>
        <w:t xml:space="preserve"> </w:t>
      </w:r>
      <w:proofErr w:type="spellStart"/>
      <w:r w:rsidR="00A25833" w:rsidRPr="00890E6F">
        <w:rPr>
          <w:rFonts w:ascii="Arial" w:hAnsi="Arial" w:cs="Arial"/>
          <w:i/>
          <w:iCs/>
          <w:sz w:val="22"/>
          <w:szCs w:val="22"/>
          <w:lang w:val="es-ES_tradnl"/>
        </w:rPr>
        <w:t>legem</w:t>
      </w:r>
      <w:proofErr w:type="spellEnd"/>
      <w:r w:rsidR="00A25833" w:rsidRPr="00890E6F">
        <w:rPr>
          <w:rFonts w:ascii="Arial" w:hAnsi="Arial" w:cs="Arial"/>
          <w:sz w:val="22"/>
          <w:szCs w:val="22"/>
          <w:lang w:val="es-ES_tradnl"/>
        </w:rPr>
        <w:t xml:space="preserve"> –es decir, que desarrolla una norma de mayor jerarquía–,</w:t>
      </w:r>
      <w:r w:rsidR="00B5534B" w:rsidRPr="00890E6F">
        <w:rPr>
          <w:rFonts w:ascii="Arial" w:hAnsi="Arial" w:cs="Arial"/>
          <w:sz w:val="22"/>
          <w:szCs w:val="22"/>
          <w:lang w:val="es-ES_tradnl"/>
        </w:rPr>
        <w:t xml:space="preserve"> por lo que</w:t>
      </w:r>
      <w:r w:rsidR="00A25833" w:rsidRPr="00890E6F">
        <w:rPr>
          <w:rFonts w:ascii="Arial" w:hAnsi="Arial" w:cs="Arial"/>
          <w:sz w:val="22"/>
          <w:szCs w:val="22"/>
          <w:lang w:val="es-ES_tradnl"/>
        </w:rPr>
        <w:t xml:space="preserve"> la expedición de una ley en sentido formal –es decir, una fuente que condiciona el contenido de este último–, hace que la </w:t>
      </w:r>
      <w:r w:rsidR="00101129" w:rsidRPr="00890E6F">
        <w:rPr>
          <w:rFonts w:ascii="Arial" w:hAnsi="Arial" w:cs="Arial"/>
          <w:sz w:val="22"/>
          <w:szCs w:val="22"/>
          <w:lang w:val="es-ES_tradnl"/>
        </w:rPr>
        <w:t xml:space="preserve">mencionada </w:t>
      </w:r>
      <w:r w:rsidR="00A25833" w:rsidRPr="00890E6F">
        <w:rPr>
          <w:rFonts w:ascii="Arial" w:hAnsi="Arial" w:cs="Arial"/>
          <w:sz w:val="22"/>
          <w:szCs w:val="22"/>
          <w:lang w:val="es-ES_tradnl"/>
        </w:rPr>
        <w:t>disposición reglamentaria decaiga</w:t>
      </w:r>
      <w:r w:rsidR="00735D76" w:rsidRPr="00890E6F">
        <w:rPr>
          <w:rFonts w:ascii="Arial" w:hAnsi="Arial" w:cs="Arial"/>
          <w:sz w:val="22"/>
          <w:szCs w:val="22"/>
          <w:lang w:val="es-ES_tradnl"/>
        </w:rPr>
        <w:t>.</w:t>
      </w:r>
      <w:r w:rsidR="00A25833" w:rsidRPr="00890E6F">
        <w:rPr>
          <w:rFonts w:ascii="Arial" w:hAnsi="Arial" w:cs="Arial"/>
          <w:sz w:val="22"/>
          <w:szCs w:val="22"/>
          <w:lang w:val="es-ES_tradnl"/>
        </w:rPr>
        <w:t xml:space="preserve"> </w:t>
      </w:r>
      <w:r w:rsidR="00845B36" w:rsidRPr="00890E6F">
        <w:rPr>
          <w:rFonts w:ascii="Arial" w:eastAsiaTheme="minorHAnsi" w:hAnsi="Arial" w:cs="Arial"/>
          <w:sz w:val="22"/>
          <w:szCs w:val="22"/>
          <w:lang w:eastAsia="en-US"/>
        </w:rPr>
        <w:t xml:space="preserve"> </w:t>
      </w:r>
      <w:r w:rsidR="00CC7597" w:rsidRPr="00890E6F">
        <w:rPr>
          <w:rFonts w:ascii="Arial" w:eastAsiaTheme="minorHAnsi" w:hAnsi="Arial" w:cs="Arial"/>
          <w:sz w:val="22"/>
          <w:szCs w:val="22"/>
          <w:lang w:eastAsia="en-US"/>
        </w:rPr>
        <w:t xml:space="preserve">Esta </w:t>
      </w:r>
      <w:r w:rsidR="00BB2236" w:rsidRPr="00890E6F">
        <w:rPr>
          <w:rFonts w:ascii="Arial" w:eastAsiaTheme="minorHAnsi" w:hAnsi="Arial" w:cs="Arial"/>
          <w:sz w:val="22"/>
          <w:szCs w:val="22"/>
          <w:lang w:eastAsia="en-US"/>
        </w:rPr>
        <w:t>Agencia ha determinado que</w:t>
      </w:r>
      <w:r w:rsidR="001870F5" w:rsidRPr="00890E6F">
        <w:rPr>
          <w:rFonts w:ascii="Arial" w:eastAsiaTheme="minorHAnsi" w:hAnsi="Arial" w:cs="Arial"/>
          <w:sz w:val="22"/>
          <w:szCs w:val="22"/>
          <w:lang w:eastAsia="en-US"/>
        </w:rPr>
        <w:t xml:space="preserve"> estos </w:t>
      </w:r>
      <w:r w:rsidR="00845B36" w:rsidRPr="00890E6F">
        <w:rPr>
          <w:rFonts w:ascii="Arial" w:eastAsiaTheme="minorHAnsi" w:hAnsi="Arial" w:cs="Arial"/>
          <w:sz w:val="22"/>
          <w:szCs w:val="22"/>
          <w:lang w:eastAsia="en-US"/>
        </w:rPr>
        <w:t xml:space="preserve">argumentos </w:t>
      </w:r>
      <w:r w:rsidR="00B97B5E" w:rsidRPr="00890E6F">
        <w:rPr>
          <w:rFonts w:ascii="Arial" w:eastAsiaTheme="minorHAnsi" w:hAnsi="Arial" w:cs="Arial"/>
          <w:sz w:val="22"/>
          <w:szCs w:val="22"/>
          <w:lang w:eastAsia="en-US"/>
        </w:rPr>
        <w:t xml:space="preserve">no solo </w:t>
      </w:r>
      <w:r w:rsidR="001870F5" w:rsidRPr="00890E6F">
        <w:rPr>
          <w:rFonts w:ascii="Arial" w:eastAsiaTheme="minorHAnsi" w:hAnsi="Arial" w:cs="Arial"/>
          <w:sz w:val="22"/>
          <w:szCs w:val="22"/>
          <w:lang w:eastAsia="en-US"/>
        </w:rPr>
        <w:t xml:space="preserve">son predicables del </w:t>
      </w:r>
      <w:r w:rsidR="00B97B5E" w:rsidRPr="00890E6F">
        <w:rPr>
          <w:rFonts w:ascii="Arial" w:eastAsiaTheme="minorHAnsi" w:hAnsi="Arial" w:cs="Arial"/>
          <w:sz w:val="22"/>
          <w:szCs w:val="22"/>
          <w:lang w:eastAsia="en-US"/>
        </w:rPr>
        <w:t>artículo 2.2.1.1.2.2.9 del Decreto 1082 de 2015, en el que se reglamentaban de manera general los factores de desempate, sino también de otros artículos de dicho reglamento en el que se establecían factores de desempate para algunas modalidades de selección. Este es el caso del numeral 9</w:t>
      </w:r>
      <w:r w:rsidR="00AD0617" w:rsidRPr="00890E6F">
        <w:rPr>
          <w:rFonts w:ascii="Arial" w:eastAsiaTheme="minorHAnsi" w:hAnsi="Arial" w:cs="Arial"/>
          <w:sz w:val="22"/>
          <w:szCs w:val="22"/>
          <w:lang w:eastAsia="en-US"/>
        </w:rPr>
        <w:t xml:space="preserve"> del artículo </w:t>
      </w:r>
      <w:r w:rsidR="00AD0617" w:rsidRPr="00890E6F">
        <w:rPr>
          <w:rFonts w:ascii="Arial" w:eastAsia="Calibri" w:hAnsi="Arial" w:cs="Arial"/>
          <w:sz w:val="22"/>
          <w:szCs w:val="22"/>
          <w:lang w:val="es-ES_tradnl"/>
        </w:rPr>
        <w:t>2.2.1.2.1.2.2, referente al factor de desempate en procedimientos de subasta inversa</w:t>
      </w:r>
      <w:r w:rsidR="00AD0617" w:rsidRPr="00890E6F">
        <w:rPr>
          <w:rStyle w:val="Refdenotaalpie"/>
          <w:rFonts w:ascii="Arial" w:eastAsia="Calibri" w:hAnsi="Arial" w:cs="Arial"/>
          <w:sz w:val="22"/>
          <w:szCs w:val="22"/>
          <w:lang w:val="es-ES_tradnl"/>
        </w:rPr>
        <w:footnoteReference w:id="13"/>
      </w:r>
      <w:r w:rsidR="00AD0617" w:rsidRPr="00890E6F">
        <w:rPr>
          <w:rFonts w:ascii="Arial" w:eastAsia="Calibri" w:hAnsi="Arial" w:cs="Arial"/>
          <w:sz w:val="22"/>
          <w:szCs w:val="22"/>
          <w:lang w:val="es-ES_tradnl"/>
        </w:rPr>
        <w:t xml:space="preserve">, al igual que </w:t>
      </w:r>
      <w:r w:rsidR="00A91C08" w:rsidRPr="00890E6F">
        <w:rPr>
          <w:rFonts w:ascii="Arial" w:eastAsiaTheme="minorHAnsi" w:hAnsi="Arial" w:cs="Arial"/>
          <w:sz w:val="22"/>
          <w:szCs w:val="22"/>
          <w:lang w:eastAsia="en-US"/>
        </w:rPr>
        <w:t xml:space="preserve">el </w:t>
      </w:r>
      <w:r w:rsidR="00AD0617" w:rsidRPr="00890E6F">
        <w:rPr>
          <w:rFonts w:ascii="Arial" w:eastAsiaTheme="minorHAnsi" w:hAnsi="Arial" w:cs="Arial"/>
          <w:sz w:val="22"/>
          <w:szCs w:val="22"/>
          <w:lang w:eastAsia="en-US"/>
        </w:rPr>
        <w:t xml:space="preserve">del </w:t>
      </w:r>
      <w:r w:rsidR="00A91C08" w:rsidRPr="00890E6F">
        <w:rPr>
          <w:rFonts w:ascii="Arial" w:eastAsiaTheme="minorHAnsi" w:hAnsi="Arial" w:cs="Arial"/>
          <w:sz w:val="22"/>
          <w:szCs w:val="22"/>
          <w:lang w:eastAsia="en-US"/>
        </w:rPr>
        <w:t>numeral 7</w:t>
      </w:r>
      <w:r w:rsidR="00CC7597" w:rsidRPr="00890E6F">
        <w:rPr>
          <w:rFonts w:ascii="Arial" w:eastAsiaTheme="minorHAnsi" w:hAnsi="Arial" w:cs="Arial"/>
          <w:sz w:val="22"/>
          <w:szCs w:val="22"/>
          <w:lang w:eastAsia="en-US"/>
        </w:rPr>
        <w:t xml:space="preserve"> del artículo </w:t>
      </w:r>
      <w:r w:rsidR="00CC7597" w:rsidRPr="00890E6F">
        <w:rPr>
          <w:rFonts w:ascii="Arial" w:eastAsia="Calibri" w:hAnsi="Arial" w:cs="Arial"/>
          <w:sz w:val="22"/>
          <w:szCs w:val="22"/>
          <w:lang w:val="es-ES_tradnl"/>
        </w:rPr>
        <w:t>2.2.1.2.1.5.2</w:t>
      </w:r>
      <w:r w:rsidR="004518B0" w:rsidRPr="00890E6F">
        <w:rPr>
          <w:rFonts w:ascii="Arial" w:eastAsiaTheme="minorHAnsi" w:hAnsi="Arial" w:cs="Arial"/>
          <w:sz w:val="22"/>
          <w:szCs w:val="22"/>
          <w:lang w:eastAsia="en-US"/>
        </w:rPr>
        <w:t xml:space="preserve">, </w:t>
      </w:r>
      <w:r w:rsidR="00001CC9" w:rsidRPr="00890E6F">
        <w:rPr>
          <w:rFonts w:ascii="Arial" w:eastAsiaTheme="minorHAnsi" w:hAnsi="Arial" w:cs="Arial"/>
          <w:sz w:val="22"/>
          <w:szCs w:val="22"/>
          <w:lang w:eastAsia="en-US"/>
        </w:rPr>
        <w:t xml:space="preserve">precisando </w:t>
      </w:r>
      <w:r w:rsidR="003D6E60" w:rsidRPr="00890E6F">
        <w:rPr>
          <w:rFonts w:ascii="Arial" w:eastAsiaTheme="minorHAnsi" w:hAnsi="Arial" w:cs="Arial"/>
          <w:sz w:val="22"/>
          <w:szCs w:val="22"/>
          <w:lang w:eastAsia="en-US"/>
        </w:rPr>
        <w:t>que</w:t>
      </w:r>
      <w:r w:rsidR="00AD0617" w:rsidRPr="00890E6F">
        <w:rPr>
          <w:rFonts w:ascii="Arial" w:eastAsiaTheme="minorHAnsi" w:hAnsi="Arial" w:cs="Arial"/>
          <w:sz w:val="22"/>
          <w:szCs w:val="22"/>
          <w:lang w:eastAsia="en-US"/>
        </w:rPr>
        <w:t xml:space="preserve"> ambos casos</w:t>
      </w:r>
      <w:r w:rsidR="003D6E60" w:rsidRPr="00890E6F">
        <w:rPr>
          <w:rFonts w:ascii="Arial" w:eastAsiaTheme="minorHAnsi" w:hAnsi="Arial" w:cs="Arial"/>
          <w:sz w:val="22"/>
          <w:szCs w:val="22"/>
          <w:lang w:eastAsia="en-US"/>
        </w:rPr>
        <w:t xml:space="preserve"> se</w:t>
      </w:r>
      <w:r w:rsidR="001E5C3A" w:rsidRPr="00890E6F">
        <w:rPr>
          <w:rFonts w:ascii="Arial" w:eastAsiaTheme="minorHAnsi" w:hAnsi="Arial" w:cs="Arial"/>
          <w:sz w:val="22"/>
          <w:szCs w:val="22"/>
          <w:lang w:eastAsia="en-US"/>
        </w:rPr>
        <w:t xml:space="preserve"> presenta tanto </w:t>
      </w:r>
      <w:r w:rsidR="004053EC" w:rsidRPr="00890E6F">
        <w:rPr>
          <w:rFonts w:ascii="Arial" w:eastAsiaTheme="minorHAnsi" w:hAnsi="Arial" w:cs="Arial"/>
          <w:sz w:val="22"/>
          <w:szCs w:val="22"/>
          <w:lang w:eastAsia="en-US"/>
        </w:rPr>
        <w:t xml:space="preserve">la </w:t>
      </w:r>
      <w:r w:rsidR="001E5C3A" w:rsidRPr="00890E6F">
        <w:rPr>
          <w:rFonts w:ascii="Arial" w:eastAsiaTheme="minorHAnsi" w:hAnsi="Arial" w:cs="Arial"/>
          <w:sz w:val="22"/>
          <w:szCs w:val="22"/>
          <w:lang w:eastAsia="en-US"/>
        </w:rPr>
        <w:t>derogación como decaimiento</w:t>
      </w:r>
      <w:r w:rsidR="00B97B5E" w:rsidRPr="00890E6F">
        <w:rPr>
          <w:rStyle w:val="Refdenotaalpie"/>
          <w:rFonts w:ascii="Arial" w:eastAsiaTheme="minorHAnsi" w:hAnsi="Arial" w:cs="Arial"/>
          <w:sz w:val="22"/>
          <w:szCs w:val="22"/>
          <w:lang w:eastAsia="en-US"/>
        </w:rPr>
        <w:footnoteReference w:id="14"/>
      </w:r>
      <w:r w:rsidR="001E5C3A" w:rsidRPr="00890E6F">
        <w:rPr>
          <w:rFonts w:ascii="Arial" w:eastAsiaTheme="minorHAnsi" w:hAnsi="Arial" w:cs="Arial"/>
          <w:sz w:val="22"/>
          <w:szCs w:val="22"/>
          <w:lang w:eastAsia="en-US"/>
        </w:rPr>
        <w:t xml:space="preserve">. </w:t>
      </w:r>
    </w:p>
    <w:p w14:paraId="3D8BAC6A" w14:textId="67106544" w:rsidR="005651C7" w:rsidRPr="00890E6F" w:rsidRDefault="001E5C3A" w:rsidP="00EB2ED0">
      <w:pPr>
        <w:tabs>
          <w:tab w:val="left" w:pos="0"/>
        </w:tabs>
        <w:spacing w:after="120" w:line="276" w:lineRule="auto"/>
        <w:jc w:val="both"/>
        <w:rPr>
          <w:rFonts w:ascii="Arial" w:eastAsia="Calibri" w:hAnsi="Arial" w:cs="Arial"/>
          <w:sz w:val="22"/>
          <w:szCs w:val="22"/>
          <w:lang w:val="es-ES_tradnl"/>
        </w:rPr>
      </w:pPr>
      <w:r w:rsidRPr="00890E6F">
        <w:rPr>
          <w:rFonts w:ascii="Arial" w:eastAsiaTheme="minorHAnsi" w:hAnsi="Arial" w:cs="Arial"/>
          <w:sz w:val="22"/>
          <w:szCs w:val="22"/>
          <w:lang w:eastAsia="en-US"/>
        </w:rPr>
        <w:tab/>
        <w:t>Conforme a lo anterior,</w:t>
      </w:r>
      <w:r w:rsidR="0006791B" w:rsidRPr="00890E6F">
        <w:rPr>
          <w:rFonts w:ascii="Arial" w:eastAsiaTheme="minorHAnsi" w:hAnsi="Arial" w:cs="Arial"/>
          <w:sz w:val="22"/>
          <w:szCs w:val="22"/>
          <w:lang w:eastAsia="en-US"/>
        </w:rPr>
        <w:t xml:space="preserve"> </w:t>
      </w:r>
      <w:r w:rsidR="0093110D" w:rsidRPr="00890E6F">
        <w:rPr>
          <w:rFonts w:ascii="Arial" w:eastAsiaTheme="minorHAnsi" w:hAnsi="Arial" w:cs="Arial"/>
          <w:sz w:val="22"/>
          <w:szCs w:val="22"/>
          <w:lang w:eastAsia="en-US"/>
        </w:rPr>
        <w:t>la aplicación del</w:t>
      </w:r>
      <w:r w:rsidR="00316AD8" w:rsidRPr="00890E6F">
        <w:rPr>
          <w:rFonts w:ascii="Arial" w:eastAsiaTheme="minorHAnsi" w:hAnsi="Arial" w:cs="Arial"/>
          <w:sz w:val="22"/>
          <w:szCs w:val="22"/>
          <w:lang w:eastAsia="en-US"/>
        </w:rPr>
        <w:t xml:space="preserve"> artículo 35 de la Ley 2069 de 2020</w:t>
      </w:r>
      <w:r w:rsidR="0093110D" w:rsidRPr="00890E6F">
        <w:rPr>
          <w:rFonts w:ascii="Arial" w:eastAsiaTheme="minorHAnsi" w:hAnsi="Arial" w:cs="Arial"/>
          <w:sz w:val="22"/>
          <w:szCs w:val="22"/>
          <w:lang w:eastAsia="en-US"/>
        </w:rPr>
        <w:t xml:space="preserve"> es transversal a los diferentes actores del sistema de compras públicas, quienes </w:t>
      </w:r>
      <w:r w:rsidR="006B722F" w:rsidRPr="00890E6F">
        <w:rPr>
          <w:rFonts w:ascii="Arial" w:eastAsiaTheme="minorHAnsi" w:hAnsi="Arial" w:cs="Arial"/>
          <w:sz w:val="22"/>
          <w:szCs w:val="22"/>
          <w:lang w:eastAsia="en-US"/>
        </w:rPr>
        <w:t>–</w:t>
      </w:r>
      <w:r w:rsidR="0093110D" w:rsidRPr="00890E6F">
        <w:rPr>
          <w:rFonts w:ascii="Arial" w:eastAsiaTheme="minorHAnsi" w:hAnsi="Arial" w:cs="Arial"/>
          <w:sz w:val="22"/>
          <w:szCs w:val="22"/>
          <w:lang w:eastAsia="en-US"/>
        </w:rPr>
        <w:t>indistintamente de</w:t>
      </w:r>
      <w:r w:rsidR="006B722F" w:rsidRPr="00890E6F">
        <w:rPr>
          <w:rFonts w:ascii="Arial" w:eastAsiaTheme="minorHAnsi" w:hAnsi="Arial" w:cs="Arial"/>
          <w:sz w:val="22"/>
          <w:szCs w:val="22"/>
          <w:lang w:eastAsia="en-US"/>
        </w:rPr>
        <w:t>l</w:t>
      </w:r>
      <w:r w:rsidR="00BF4154" w:rsidRPr="00890E6F">
        <w:rPr>
          <w:rFonts w:ascii="Arial" w:eastAsiaTheme="minorHAnsi" w:hAnsi="Arial" w:cs="Arial"/>
          <w:sz w:val="22"/>
          <w:szCs w:val="22"/>
          <w:lang w:eastAsia="en-US"/>
        </w:rPr>
        <w:t xml:space="preserve"> régimen de </w:t>
      </w:r>
      <w:r w:rsidR="006B722F" w:rsidRPr="00890E6F">
        <w:rPr>
          <w:rFonts w:ascii="Arial" w:eastAsiaTheme="minorHAnsi" w:hAnsi="Arial" w:cs="Arial"/>
          <w:sz w:val="22"/>
          <w:szCs w:val="22"/>
          <w:lang w:eastAsia="en-US"/>
        </w:rPr>
        <w:t>contractual y</w:t>
      </w:r>
      <w:r w:rsidR="003821F1" w:rsidRPr="00890E6F">
        <w:rPr>
          <w:rFonts w:ascii="Arial" w:eastAsiaTheme="minorHAnsi" w:hAnsi="Arial" w:cs="Arial"/>
          <w:sz w:val="22"/>
          <w:szCs w:val="22"/>
          <w:lang w:eastAsia="en-US"/>
        </w:rPr>
        <w:t xml:space="preserve"> el proceso de selección</w:t>
      </w:r>
      <w:r w:rsidR="006B722F" w:rsidRPr="00890E6F">
        <w:rPr>
          <w:rFonts w:ascii="Arial" w:eastAsiaTheme="minorHAnsi" w:hAnsi="Arial" w:cs="Arial"/>
          <w:sz w:val="22"/>
          <w:szCs w:val="22"/>
          <w:lang w:eastAsia="en-US"/>
        </w:rPr>
        <w:t>–</w:t>
      </w:r>
      <w:r w:rsidR="003821F1" w:rsidRPr="00890E6F">
        <w:rPr>
          <w:rFonts w:ascii="Arial" w:eastAsiaTheme="minorHAnsi" w:hAnsi="Arial" w:cs="Arial"/>
          <w:sz w:val="22"/>
          <w:szCs w:val="22"/>
          <w:lang w:eastAsia="en-US"/>
        </w:rPr>
        <w:t xml:space="preserve"> deben aplicar los criterios de desempate de </w:t>
      </w:r>
      <w:r w:rsidR="006B722F" w:rsidRPr="00890E6F">
        <w:rPr>
          <w:rFonts w:ascii="Arial" w:eastAsiaTheme="minorHAnsi" w:hAnsi="Arial" w:cs="Arial"/>
          <w:sz w:val="22"/>
          <w:szCs w:val="22"/>
          <w:lang w:eastAsia="en-US"/>
        </w:rPr>
        <w:t xml:space="preserve">esta </w:t>
      </w:r>
      <w:r w:rsidR="003821F1" w:rsidRPr="00890E6F">
        <w:rPr>
          <w:rFonts w:ascii="Arial" w:eastAsiaTheme="minorHAnsi" w:hAnsi="Arial" w:cs="Arial"/>
          <w:sz w:val="22"/>
          <w:szCs w:val="22"/>
          <w:lang w:eastAsia="en-US"/>
        </w:rPr>
        <w:t>norma, lo cual</w:t>
      </w:r>
      <w:r w:rsidR="00C37BD9" w:rsidRPr="00890E6F">
        <w:rPr>
          <w:rFonts w:ascii="Arial" w:eastAsiaTheme="minorHAnsi" w:hAnsi="Arial" w:cs="Arial"/>
          <w:sz w:val="22"/>
          <w:szCs w:val="22"/>
          <w:lang w:eastAsia="en-US"/>
        </w:rPr>
        <w:t xml:space="preserve"> aplica a</w:t>
      </w:r>
      <w:r w:rsidR="00B97B5E" w:rsidRPr="00890E6F">
        <w:rPr>
          <w:rFonts w:ascii="Arial" w:eastAsiaTheme="minorHAnsi" w:hAnsi="Arial" w:cs="Arial"/>
          <w:sz w:val="22"/>
          <w:szCs w:val="22"/>
          <w:lang w:eastAsia="en-US"/>
        </w:rPr>
        <w:t xml:space="preserve"> los</w:t>
      </w:r>
      <w:r w:rsidR="00C37BD9" w:rsidRPr="00890E6F">
        <w:rPr>
          <w:rFonts w:ascii="Arial" w:eastAsiaTheme="minorHAnsi" w:hAnsi="Arial" w:cs="Arial"/>
          <w:sz w:val="22"/>
          <w:szCs w:val="22"/>
          <w:lang w:eastAsia="en-US"/>
        </w:rPr>
        <w:t xml:space="preserve"> procedimiento</w:t>
      </w:r>
      <w:r w:rsidR="00B97B5E" w:rsidRPr="00890E6F">
        <w:rPr>
          <w:rFonts w:ascii="Arial" w:eastAsiaTheme="minorHAnsi" w:hAnsi="Arial" w:cs="Arial"/>
          <w:sz w:val="22"/>
          <w:szCs w:val="22"/>
          <w:lang w:eastAsia="en-US"/>
        </w:rPr>
        <w:t>s de subasta inversa y</w:t>
      </w:r>
      <w:r w:rsidR="00C37BD9" w:rsidRPr="00890E6F">
        <w:rPr>
          <w:rFonts w:ascii="Arial" w:eastAsiaTheme="minorHAnsi" w:hAnsi="Arial" w:cs="Arial"/>
          <w:sz w:val="22"/>
          <w:szCs w:val="22"/>
          <w:lang w:eastAsia="en-US"/>
        </w:rPr>
        <w:t xml:space="preserve"> de mínima cuantía. </w:t>
      </w:r>
      <w:r w:rsidR="00495553" w:rsidRPr="00890E6F">
        <w:rPr>
          <w:rFonts w:ascii="Arial" w:eastAsiaTheme="minorHAnsi" w:hAnsi="Arial" w:cs="Arial"/>
          <w:sz w:val="22"/>
          <w:szCs w:val="22"/>
          <w:lang w:eastAsia="en-US"/>
        </w:rPr>
        <w:t>Conforme al</w:t>
      </w:r>
      <w:r w:rsidR="00C37BD9" w:rsidRPr="00890E6F">
        <w:rPr>
          <w:rFonts w:ascii="Arial" w:eastAsiaTheme="minorHAnsi" w:hAnsi="Arial" w:cs="Arial"/>
          <w:sz w:val="22"/>
          <w:szCs w:val="22"/>
          <w:lang w:eastAsia="en-US"/>
        </w:rPr>
        <w:t xml:space="preserve"> ámbito de aplicación, </w:t>
      </w:r>
      <w:r w:rsidR="005474DA" w:rsidRPr="00890E6F">
        <w:rPr>
          <w:rFonts w:ascii="Arial" w:eastAsiaTheme="minorHAnsi" w:hAnsi="Arial" w:cs="Arial"/>
          <w:sz w:val="22"/>
          <w:szCs w:val="22"/>
          <w:lang w:eastAsia="en-US"/>
        </w:rPr>
        <w:t>la regulación de</w:t>
      </w:r>
      <w:r w:rsidR="003D2E69" w:rsidRPr="00890E6F">
        <w:rPr>
          <w:rFonts w:ascii="Arial" w:eastAsiaTheme="minorHAnsi" w:hAnsi="Arial" w:cs="Arial"/>
          <w:sz w:val="22"/>
          <w:szCs w:val="22"/>
          <w:lang w:eastAsia="en-US"/>
        </w:rPr>
        <w:t>l tema en la Ley de Emprendimiento</w:t>
      </w:r>
      <w:r w:rsidR="00C37BD9" w:rsidRPr="00890E6F">
        <w:rPr>
          <w:rFonts w:ascii="Arial" w:eastAsiaTheme="minorHAnsi" w:hAnsi="Arial" w:cs="Arial"/>
          <w:sz w:val="22"/>
          <w:szCs w:val="22"/>
          <w:lang w:eastAsia="en-US"/>
        </w:rPr>
        <w:t xml:space="preserve"> ha generado la derogatoria y decaimiento </w:t>
      </w:r>
      <w:r w:rsidR="005357FA" w:rsidRPr="00890E6F">
        <w:rPr>
          <w:rFonts w:ascii="Arial" w:eastAsiaTheme="minorHAnsi" w:hAnsi="Arial" w:cs="Arial"/>
          <w:sz w:val="22"/>
          <w:szCs w:val="22"/>
          <w:lang w:eastAsia="en-US"/>
        </w:rPr>
        <w:t>del numeral</w:t>
      </w:r>
      <w:r w:rsidR="00B97B5E" w:rsidRPr="00890E6F">
        <w:rPr>
          <w:rFonts w:ascii="Arial" w:eastAsiaTheme="minorHAnsi" w:hAnsi="Arial" w:cs="Arial"/>
          <w:sz w:val="22"/>
          <w:szCs w:val="22"/>
          <w:lang w:eastAsia="en-US"/>
        </w:rPr>
        <w:t xml:space="preserve"> 9 del artículo </w:t>
      </w:r>
      <w:r w:rsidR="00B97B5E" w:rsidRPr="00890E6F">
        <w:rPr>
          <w:rFonts w:ascii="Arial" w:eastAsia="Calibri" w:hAnsi="Arial" w:cs="Arial"/>
          <w:sz w:val="22"/>
          <w:szCs w:val="22"/>
          <w:lang w:val="es-ES_tradnl"/>
        </w:rPr>
        <w:t xml:space="preserve">2.2.1.2.1.2.2, y del </w:t>
      </w:r>
      <w:r w:rsidR="005357FA" w:rsidRPr="00890E6F">
        <w:rPr>
          <w:rFonts w:ascii="Arial" w:eastAsiaTheme="minorHAnsi" w:hAnsi="Arial" w:cs="Arial"/>
          <w:sz w:val="22"/>
          <w:szCs w:val="22"/>
          <w:lang w:eastAsia="en-US"/>
        </w:rPr>
        <w:t>7 del artículo</w:t>
      </w:r>
      <w:r w:rsidR="002A725A" w:rsidRPr="00890E6F">
        <w:rPr>
          <w:rFonts w:ascii="Arial" w:eastAsiaTheme="minorHAnsi" w:hAnsi="Arial" w:cs="Arial"/>
          <w:sz w:val="22"/>
          <w:szCs w:val="22"/>
          <w:lang w:eastAsia="en-US"/>
        </w:rPr>
        <w:t xml:space="preserve"> </w:t>
      </w:r>
      <w:r w:rsidR="002A725A" w:rsidRPr="00890E6F">
        <w:rPr>
          <w:rFonts w:ascii="Arial" w:eastAsia="Calibri" w:hAnsi="Arial" w:cs="Arial"/>
          <w:sz w:val="22"/>
          <w:szCs w:val="22"/>
          <w:lang w:val="es-ES_tradnl"/>
        </w:rPr>
        <w:t>2.2.1.2.1.5.2</w:t>
      </w:r>
      <w:r w:rsidR="00463B3C" w:rsidRPr="00890E6F">
        <w:rPr>
          <w:rFonts w:ascii="Arial" w:eastAsia="Calibri" w:hAnsi="Arial" w:cs="Arial"/>
          <w:sz w:val="22"/>
          <w:szCs w:val="22"/>
          <w:lang w:val="es-ES_tradnl"/>
        </w:rPr>
        <w:t xml:space="preserve"> del Decreto 1082 de 2015</w:t>
      </w:r>
      <w:r w:rsidR="00127278" w:rsidRPr="00890E6F">
        <w:rPr>
          <w:rFonts w:ascii="Arial" w:eastAsia="Calibri" w:hAnsi="Arial" w:cs="Arial"/>
          <w:sz w:val="22"/>
          <w:szCs w:val="22"/>
          <w:lang w:val="es-ES_tradnl"/>
        </w:rPr>
        <w:t>.</w:t>
      </w:r>
      <w:r w:rsidR="00E47EFD" w:rsidRPr="00890E6F">
        <w:rPr>
          <w:rFonts w:ascii="Arial" w:eastAsia="Calibri" w:hAnsi="Arial" w:cs="Arial"/>
          <w:sz w:val="22"/>
          <w:szCs w:val="22"/>
          <w:lang w:val="es-ES_tradnl"/>
        </w:rPr>
        <w:t xml:space="preserve"> Esto</w:t>
      </w:r>
      <w:r w:rsidR="0067645B" w:rsidRPr="00890E6F">
        <w:rPr>
          <w:rFonts w:ascii="Arial" w:eastAsia="Calibri" w:hAnsi="Arial" w:cs="Arial"/>
          <w:sz w:val="22"/>
          <w:szCs w:val="22"/>
          <w:lang w:val="es-ES_tradnl"/>
        </w:rPr>
        <w:t xml:space="preserve"> significa que</w:t>
      </w:r>
      <w:r w:rsidR="00EC1F36" w:rsidRPr="00890E6F">
        <w:rPr>
          <w:rFonts w:ascii="Arial" w:eastAsia="Calibri" w:hAnsi="Arial" w:cs="Arial"/>
          <w:sz w:val="22"/>
          <w:szCs w:val="22"/>
          <w:lang w:val="es-ES_tradnl"/>
        </w:rPr>
        <w:t>, con excepción de</w:t>
      </w:r>
      <w:r w:rsidR="00343B9E" w:rsidRPr="00890E6F">
        <w:rPr>
          <w:rFonts w:ascii="Arial" w:eastAsia="Calibri" w:hAnsi="Arial" w:cs="Arial"/>
          <w:sz w:val="22"/>
          <w:szCs w:val="22"/>
          <w:lang w:val="es-ES_tradnl"/>
        </w:rPr>
        <w:t xml:space="preserve"> </w:t>
      </w:r>
      <w:r w:rsidR="00EC1F36" w:rsidRPr="00890E6F">
        <w:rPr>
          <w:rFonts w:ascii="Arial" w:eastAsia="Calibri" w:hAnsi="Arial" w:cs="Arial"/>
          <w:sz w:val="22"/>
          <w:szCs w:val="22"/>
          <w:lang w:val="es-ES_tradnl"/>
        </w:rPr>
        <w:t>l</w:t>
      </w:r>
      <w:r w:rsidR="00343B9E" w:rsidRPr="00890E6F">
        <w:rPr>
          <w:rFonts w:ascii="Arial" w:eastAsia="Calibri" w:hAnsi="Arial" w:cs="Arial"/>
          <w:sz w:val="22"/>
          <w:szCs w:val="22"/>
          <w:lang w:val="es-ES_tradnl"/>
        </w:rPr>
        <w:t>os</w:t>
      </w:r>
      <w:r w:rsidR="00EC1F36" w:rsidRPr="00890E6F">
        <w:rPr>
          <w:rFonts w:ascii="Arial" w:eastAsia="Calibri" w:hAnsi="Arial" w:cs="Arial"/>
          <w:sz w:val="22"/>
          <w:szCs w:val="22"/>
          <w:lang w:val="es-ES_tradnl"/>
        </w:rPr>
        <w:t xml:space="preserve"> numeral</w:t>
      </w:r>
      <w:r w:rsidR="00343B9E" w:rsidRPr="00890E6F">
        <w:rPr>
          <w:rFonts w:ascii="Arial" w:eastAsia="Calibri" w:hAnsi="Arial" w:cs="Arial"/>
          <w:sz w:val="22"/>
          <w:szCs w:val="22"/>
          <w:lang w:val="es-ES_tradnl"/>
        </w:rPr>
        <w:t>es</w:t>
      </w:r>
      <w:r w:rsidR="00EC1F36" w:rsidRPr="00890E6F">
        <w:rPr>
          <w:rFonts w:ascii="Arial" w:eastAsia="Calibri" w:hAnsi="Arial" w:cs="Arial"/>
          <w:sz w:val="22"/>
          <w:szCs w:val="22"/>
          <w:lang w:val="es-ES_tradnl"/>
        </w:rPr>
        <w:t xml:space="preserve"> citado</w:t>
      </w:r>
      <w:r w:rsidR="00343B9E" w:rsidRPr="00890E6F">
        <w:rPr>
          <w:rFonts w:ascii="Arial" w:eastAsia="Calibri" w:hAnsi="Arial" w:cs="Arial"/>
          <w:sz w:val="22"/>
          <w:szCs w:val="22"/>
          <w:lang w:val="es-ES_tradnl"/>
        </w:rPr>
        <w:t>s</w:t>
      </w:r>
      <w:r w:rsidR="00EC1F36" w:rsidRPr="00890E6F">
        <w:rPr>
          <w:rFonts w:ascii="Arial" w:eastAsia="Calibri" w:hAnsi="Arial" w:cs="Arial"/>
          <w:sz w:val="22"/>
          <w:szCs w:val="22"/>
          <w:lang w:val="es-ES_tradnl"/>
        </w:rPr>
        <w:t>,</w:t>
      </w:r>
      <w:r w:rsidR="003D2E69" w:rsidRPr="00890E6F">
        <w:rPr>
          <w:rFonts w:ascii="Arial" w:eastAsia="Calibri" w:hAnsi="Arial" w:cs="Arial"/>
          <w:sz w:val="22"/>
          <w:szCs w:val="22"/>
          <w:lang w:val="es-ES_tradnl"/>
        </w:rPr>
        <w:t xml:space="preserve"> es posible</w:t>
      </w:r>
      <w:r w:rsidR="00303629" w:rsidRPr="00890E6F">
        <w:rPr>
          <w:rFonts w:ascii="Arial" w:eastAsia="Calibri" w:hAnsi="Arial" w:cs="Arial"/>
          <w:sz w:val="22"/>
          <w:szCs w:val="22"/>
          <w:lang w:val="es-ES_tradnl"/>
        </w:rPr>
        <w:t xml:space="preserve"> adelantar procesos de selección</w:t>
      </w:r>
      <w:r w:rsidR="00343B9E" w:rsidRPr="00890E6F">
        <w:rPr>
          <w:rFonts w:ascii="Arial" w:eastAsia="Calibri" w:hAnsi="Arial" w:cs="Arial"/>
          <w:sz w:val="22"/>
          <w:szCs w:val="22"/>
          <w:lang w:val="es-ES_tradnl"/>
        </w:rPr>
        <w:t xml:space="preserve"> mediante el mecanismo de subasta inversa, al igual que en la modalidad </w:t>
      </w:r>
      <w:r w:rsidR="008414F0" w:rsidRPr="00890E6F">
        <w:rPr>
          <w:rFonts w:ascii="Arial" w:eastAsia="Calibri" w:hAnsi="Arial" w:cs="Arial"/>
          <w:sz w:val="22"/>
          <w:szCs w:val="22"/>
          <w:lang w:val="es-ES_tradnl"/>
        </w:rPr>
        <w:t>de mínima</w:t>
      </w:r>
      <w:r w:rsidR="00E32279" w:rsidRPr="00890E6F">
        <w:rPr>
          <w:rFonts w:ascii="Arial" w:eastAsia="Calibri" w:hAnsi="Arial" w:cs="Arial"/>
          <w:sz w:val="22"/>
          <w:szCs w:val="22"/>
          <w:lang w:val="es-ES_tradnl"/>
        </w:rPr>
        <w:t xml:space="preserve"> cuantía</w:t>
      </w:r>
      <w:r w:rsidR="00343B9E" w:rsidRPr="00890E6F">
        <w:rPr>
          <w:rFonts w:ascii="Arial" w:eastAsia="Calibri" w:hAnsi="Arial" w:cs="Arial"/>
          <w:sz w:val="22"/>
          <w:szCs w:val="22"/>
          <w:lang w:val="es-ES_tradnl"/>
        </w:rPr>
        <w:t>,</w:t>
      </w:r>
      <w:r w:rsidR="00E31FCF" w:rsidRPr="00890E6F">
        <w:rPr>
          <w:rFonts w:ascii="Arial" w:eastAsia="Calibri" w:hAnsi="Arial" w:cs="Arial"/>
          <w:sz w:val="22"/>
          <w:szCs w:val="22"/>
          <w:lang w:val="es-ES_tradnl"/>
        </w:rPr>
        <w:t xml:space="preserve"> </w:t>
      </w:r>
      <w:r w:rsidR="00343B9E" w:rsidRPr="00890E6F">
        <w:rPr>
          <w:rFonts w:ascii="Arial" w:eastAsia="Calibri" w:hAnsi="Arial" w:cs="Arial"/>
          <w:sz w:val="22"/>
          <w:szCs w:val="22"/>
          <w:lang w:val="es-ES_tradnl"/>
        </w:rPr>
        <w:t>siguiendo los</w:t>
      </w:r>
      <w:r w:rsidR="00E32279" w:rsidRPr="00890E6F">
        <w:rPr>
          <w:rFonts w:ascii="Arial" w:eastAsia="Calibri" w:hAnsi="Arial" w:cs="Arial"/>
          <w:sz w:val="22"/>
          <w:szCs w:val="22"/>
          <w:lang w:val="es-ES_tradnl"/>
        </w:rPr>
        <w:t xml:space="preserve"> procedimiento</w:t>
      </w:r>
      <w:r w:rsidR="00343B9E" w:rsidRPr="00890E6F">
        <w:rPr>
          <w:rFonts w:ascii="Arial" w:eastAsia="Calibri" w:hAnsi="Arial" w:cs="Arial"/>
          <w:sz w:val="22"/>
          <w:szCs w:val="22"/>
          <w:lang w:val="es-ES_tradnl"/>
        </w:rPr>
        <w:t>s de los artículos 2.2.1.2.1.2.2 y</w:t>
      </w:r>
      <w:r w:rsidR="00652E9C" w:rsidRPr="00890E6F">
        <w:rPr>
          <w:rFonts w:ascii="Arial" w:eastAsia="Calibri" w:hAnsi="Arial" w:cs="Arial"/>
          <w:sz w:val="22"/>
          <w:szCs w:val="22"/>
          <w:lang w:val="es-ES_tradnl"/>
        </w:rPr>
        <w:t xml:space="preserve"> </w:t>
      </w:r>
      <w:r w:rsidR="00343B9E" w:rsidRPr="00890E6F">
        <w:rPr>
          <w:rFonts w:ascii="Arial" w:eastAsia="Calibri" w:hAnsi="Arial" w:cs="Arial"/>
          <w:sz w:val="22"/>
          <w:szCs w:val="22"/>
          <w:lang w:val="es-ES_tradnl"/>
        </w:rPr>
        <w:t>2.2.1.2.1.5.2</w:t>
      </w:r>
      <w:r w:rsidR="009B48F8" w:rsidRPr="00890E6F">
        <w:rPr>
          <w:rFonts w:ascii="Arial" w:eastAsia="Calibri" w:hAnsi="Arial" w:cs="Arial"/>
          <w:sz w:val="22"/>
          <w:szCs w:val="22"/>
          <w:lang w:val="es-ES_tradnl"/>
        </w:rPr>
        <w:t>,</w:t>
      </w:r>
      <w:r w:rsidR="00343B9E" w:rsidRPr="00890E6F">
        <w:rPr>
          <w:rFonts w:ascii="Arial" w:eastAsia="Calibri" w:hAnsi="Arial" w:cs="Arial"/>
          <w:sz w:val="22"/>
          <w:szCs w:val="22"/>
          <w:lang w:val="es-ES_tradnl"/>
        </w:rPr>
        <w:t xml:space="preserve"> respectivamente,</w:t>
      </w:r>
      <w:r w:rsidR="009B48F8" w:rsidRPr="00890E6F">
        <w:rPr>
          <w:rFonts w:ascii="Arial" w:eastAsia="Calibri" w:hAnsi="Arial" w:cs="Arial"/>
          <w:sz w:val="22"/>
          <w:szCs w:val="22"/>
          <w:lang w:val="es-ES_tradnl"/>
        </w:rPr>
        <w:t xml:space="preserve"> </w:t>
      </w:r>
      <w:r w:rsidR="00E31FCF" w:rsidRPr="00890E6F">
        <w:rPr>
          <w:rFonts w:ascii="Arial" w:eastAsia="Calibri" w:hAnsi="Arial" w:cs="Arial"/>
          <w:sz w:val="22"/>
          <w:szCs w:val="22"/>
          <w:lang w:val="es-ES_tradnl"/>
        </w:rPr>
        <w:t>para lo</w:t>
      </w:r>
      <w:r w:rsidR="009B48F8" w:rsidRPr="00890E6F">
        <w:rPr>
          <w:rFonts w:ascii="Arial" w:eastAsia="Calibri" w:hAnsi="Arial" w:cs="Arial"/>
          <w:sz w:val="22"/>
          <w:szCs w:val="22"/>
          <w:lang w:val="es-ES_tradnl"/>
        </w:rPr>
        <w:t xml:space="preserve"> cual </w:t>
      </w:r>
      <w:r w:rsidR="00E31FCF" w:rsidRPr="00890E6F">
        <w:rPr>
          <w:rFonts w:ascii="Arial" w:eastAsia="Calibri" w:hAnsi="Arial" w:cs="Arial"/>
          <w:sz w:val="22"/>
          <w:szCs w:val="22"/>
          <w:lang w:val="es-ES_tradnl"/>
        </w:rPr>
        <w:t xml:space="preserve">–en caso de empate– </w:t>
      </w:r>
      <w:r w:rsidR="009B48F8" w:rsidRPr="00890E6F">
        <w:rPr>
          <w:rFonts w:ascii="Arial" w:eastAsia="Calibri" w:hAnsi="Arial" w:cs="Arial"/>
          <w:sz w:val="22"/>
          <w:szCs w:val="22"/>
          <w:lang w:val="es-ES_tradnl"/>
        </w:rPr>
        <w:t>debe</w:t>
      </w:r>
      <w:r w:rsidR="00343B9E" w:rsidRPr="00890E6F">
        <w:rPr>
          <w:rFonts w:ascii="Arial" w:eastAsia="Calibri" w:hAnsi="Arial" w:cs="Arial"/>
          <w:sz w:val="22"/>
          <w:szCs w:val="22"/>
          <w:lang w:val="es-ES_tradnl"/>
        </w:rPr>
        <w:t>rá</w:t>
      </w:r>
      <w:r w:rsidR="009B48F8" w:rsidRPr="00890E6F">
        <w:rPr>
          <w:rFonts w:ascii="Arial" w:eastAsia="Calibri" w:hAnsi="Arial" w:cs="Arial"/>
          <w:sz w:val="22"/>
          <w:szCs w:val="22"/>
          <w:lang w:val="es-ES_tradnl"/>
        </w:rPr>
        <w:t xml:space="preserve"> aplicar</w:t>
      </w:r>
      <w:r w:rsidR="008D3FFE" w:rsidRPr="00890E6F">
        <w:rPr>
          <w:rFonts w:ascii="Arial" w:eastAsia="Calibri" w:hAnsi="Arial" w:cs="Arial"/>
          <w:sz w:val="22"/>
          <w:szCs w:val="22"/>
          <w:lang w:val="es-ES_tradnl"/>
        </w:rPr>
        <w:t>se</w:t>
      </w:r>
      <w:r w:rsidR="009B48F8" w:rsidRPr="00890E6F">
        <w:rPr>
          <w:rFonts w:ascii="Arial" w:eastAsia="Calibri" w:hAnsi="Arial" w:cs="Arial"/>
          <w:sz w:val="22"/>
          <w:szCs w:val="22"/>
          <w:lang w:val="es-ES_tradnl"/>
        </w:rPr>
        <w:t xml:space="preserve"> el artículo 35 de la Ley 2069 de 2020</w:t>
      </w:r>
      <w:r w:rsidR="00540048" w:rsidRPr="00890E6F">
        <w:rPr>
          <w:rFonts w:ascii="Arial" w:eastAsia="Calibri" w:hAnsi="Arial" w:cs="Arial"/>
          <w:sz w:val="22"/>
          <w:szCs w:val="22"/>
          <w:lang w:val="es-ES_tradnl"/>
        </w:rPr>
        <w:t xml:space="preserve"> en ambos casos</w:t>
      </w:r>
      <w:r w:rsidR="008D3FFE" w:rsidRPr="00890E6F">
        <w:rPr>
          <w:rFonts w:ascii="Arial" w:eastAsia="Calibri" w:hAnsi="Arial" w:cs="Arial"/>
          <w:sz w:val="22"/>
          <w:szCs w:val="22"/>
          <w:lang w:val="es-ES_tradnl"/>
        </w:rPr>
        <w:t>.</w:t>
      </w:r>
    </w:p>
    <w:p w14:paraId="4E673C3B" w14:textId="5D17AF7B" w:rsidR="007E7E0E" w:rsidRPr="00890E6F" w:rsidRDefault="00127278" w:rsidP="00522759">
      <w:pPr>
        <w:tabs>
          <w:tab w:val="left" w:pos="0"/>
        </w:tabs>
        <w:spacing w:after="120" w:line="276" w:lineRule="auto"/>
        <w:jc w:val="both"/>
        <w:rPr>
          <w:rFonts w:ascii="Arial" w:eastAsia="Calibri" w:hAnsi="Arial" w:cs="Arial"/>
          <w:bCs/>
          <w:sz w:val="22"/>
          <w:szCs w:val="22"/>
        </w:rPr>
      </w:pPr>
      <w:r w:rsidRPr="00890E6F">
        <w:rPr>
          <w:rFonts w:ascii="Arial" w:eastAsia="Calibri" w:hAnsi="Arial" w:cs="Arial"/>
          <w:sz w:val="22"/>
          <w:szCs w:val="22"/>
          <w:lang w:val="es-ES_tradnl"/>
        </w:rPr>
        <w:tab/>
      </w:r>
      <w:r w:rsidR="00343B9E" w:rsidRPr="00890E6F">
        <w:rPr>
          <w:rFonts w:ascii="Arial" w:eastAsia="Calibri" w:hAnsi="Arial" w:cs="Arial"/>
          <w:sz w:val="22"/>
          <w:szCs w:val="22"/>
          <w:lang w:val="es-ES_tradnl"/>
        </w:rPr>
        <w:t>El hecho de que en estos procedimientos la determinación de la oferta más favorable no esté mediada por el uso de «puntaje»</w:t>
      </w:r>
      <w:r w:rsidR="00522759" w:rsidRPr="00890E6F">
        <w:rPr>
          <w:rFonts w:ascii="Arial" w:eastAsia="Calibri" w:hAnsi="Arial" w:cs="Arial"/>
          <w:sz w:val="22"/>
          <w:szCs w:val="22"/>
          <w:lang w:val="es-ES_tradnl"/>
        </w:rPr>
        <w:t>, y que el artículo 35 de la Ley 2069 de 2020 sea aplicable en «</w:t>
      </w:r>
      <w:r w:rsidR="00522759" w:rsidRPr="00890E6F">
        <w:rPr>
          <w:rFonts w:ascii="Arial" w:hAnsi="Arial" w:cs="Arial"/>
          <w:sz w:val="22"/>
          <w:szCs w:val="22"/>
        </w:rPr>
        <w:t>[..] caso de empate en el puntaje total de dos o más ofertas […]»,</w:t>
      </w:r>
      <w:r w:rsidR="00522759" w:rsidRPr="00890E6F">
        <w:rPr>
          <w:rFonts w:ascii="Arial" w:eastAsia="Calibri" w:hAnsi="Arial" w:cs="Arial"/>
          <w:sz w:val="22"/>
          <w:szCs w:val="22"/>
          <w:lang w:val="es-ES_tradnl"/>
        </w:rPr>
        <w:t xml:space="preserve"> no significa </w:t>
      </w:r>
      <w:r w:rsidR="00522759" w:rsidRPr="00890E6F">
        <w:rPr>
          <w:rFonts w:ascii="Arial" w:eastAsia="Calibri" w:hAnsi="Arial" w:cs="Arial"/>
          <w:sz w:val="22"/>
          <w:szCs w:val="22"/>
          <w:lang w:val="es-ES_tradnl"/>
        </w:rPr>
        <w:lastRenderedPageBreak/>
        <w:t>que dicha noma no deba aplica</w:t>
      </w:r>
      <w:r w:rsidR="00CF40C1" w:rsidRPr="00890E6F">
        <w:rPr>
          <w:rFonts w:ascii="Arial" w:eastAsia="Calibri" w:hAnsi="Arial" w:cs="Arial"/>
          <w:sz w:val="22"/>
          <w:szCs w:val="22"/>
          <w:lang w:val="es-ES_tradnl"/>
        </w:rPr>
        <w:t>rse</w:t>
      </w:r>
      <w:r w:rsidR="00522759" w:rsidRPr="00890E6F">
        <w:rPr>
          <w:rFonts w:ascii="Arial" w:eastAsia="Calibri" w:hAnsi="Arial" w:cs="Arial"/>
          <w:sz w:val="22"/>
          <w:szCs w:val="22"/>
          <w:lang w:val="es-ES_tradnl"/>
        </w:rPr>
        <w:t xml:space="preserve"> en los referidos procedimientos</w:t>
      </w:r>
      <w:r w:rsidR="00E92C2D" w:rsidRPr="00890E6F">
        <w:rPr>
          <w:rFonts w:ascii="Arial" w:eastAsia="Calibri" w:hAnsi="Arial" w:cs="Arial"/>
          <w:bCs/>
          <w:sz w:val="22"/>
          <w:szCs w:val="22"/>
        </w:rPr>
        <w:t>.</w:t>
      </w:r>
      <w:r w:rsidR="00522759" w:rsidRPr="00890E6F">
        <w:rPr>
          <w:rFonts w:ascii="Arial" w:eastAsia="Calibri" w:hAnsi="Arial" w:cs="Arial"/>
          <w:bCs/>
          <w:sz w:val="22"/>
          <w:szCs w:val="22"/>
        </w:rPr>
        <w:t xml:space="preserve"> </w:t>
      </w:r>
      <w:r w:rsidR="00522759" w:rsidRPr="00890E6F">
        <w:rPr>
          <w:rFonts w:ascii="Arial" w:eastAsia="Calibri" w:hAnsi="Arial" w:cs="Arial"/>
          <w:sz w:val="22"/>
          <w:szCs w:val="22"/>
          <w:lang w:val="es-ES_tradnl"/>
        </w:rPr>
        <w:t xml:space="preserve">Esto </w:t>
      </w:r>
      <w:r w:rsidR="00DA4265" w:rsidRPr="00890E6F">
        <w:rPr>
          <w:rFonts w:ascii="Arial" w:eastAsia="Calibri" w:hAnsi="Arial" w:cs="Arial"/>
          <w:sz w:val="22"/>
          <w:szCs w:val="22"/>
          <w:lang w:val="es-ES_tradnl"/>
        </w:rPr>
        <w:t xml:space="preserve">dado </w:t>
      </w:r>
      <w:r w:rsidR="00522759" w:rsidRPr="00890E6F">
        <w:rPr>
          <w:rFonts w:ascii="Arial" w:eastAsia="Calibri" w:hAnsi="Arial" w:cs="Arial"/>
          <w:sz w:val="22"/>
          <w:szCs w:val="22"/>
          <w:lang w:val="es-ES_tradnl"/>
        </w:rPr>
        <w:t>que una interpretación exegética del artículo 35, según la cual este solo es aplicable en los procedimientos en los que se use el «puntaje» como mecanismo de evaluación,</w:t>
      </w:r>
      <w:r w:rsidR="004076A7" w:rsidRPr="00890E6F">
        <w:rPr>
          <w:rFonts w:ascii="Arial" w:eastAsia="Calibri" w:hAnsi="Arial" w:cs="Arial"/>
          <w:sz w:val="22"/>
          <w:szCs w:val="22"/>
          <w:lang w:val="es-ES_tradnl"/>
        </w:rPr>
        <w:t xml:space="preserve"> </w:t>
      </w:r>
      <w:r w:rsidR="006333F8" w:rsidRPr="00890E6F">
        <w:rPr>
          <w:rFonts w:ascii="Arial" w:eastAsia="Calibri" w:hAnsi="Arial" w:cs="Arial"/>
          <w:sz w:val="22"/>
          <w:szCs w:val="22"/>
          <w:lang w:val="es-ES_tradnl"/>
        </w:rPr>
        <w:t xml:space="preserve">no corresponde con la finalidad transversal de </w:t>
      </w:r>
      <w:r w:rsidR="00EB6A67" w:rsidRPr="00890E6F">
        <w:rPr>
          <w:rFonts w:ascii="Arial" w:eastAsia="Calibri" w:hAnsi="Arial" w:cs="Arial"/>
          <w:sz w:val="22"/>
          <w:szCs w:val="22"/>
          <w:lang w:val="es-ES_tradnl"/>
        </w:rPr>
        <w:t xml:space="preserve">la </w:t>
      </w:r>
      <w:r w:rsidR="00522759" w:rsidRPr="00890E6F">
        <w:rPr>
          <w:rFonts w:ascii="Arial" w:eastAsia="Calibri" w:hAnsi="Arial" w:cs="Arial"/>
          <w:sz w:val="22"/>
          <w:szCs w:val="22"/>
          <w:lang w:val="es-ES_tradnl"/>
        </w:rPr>
        <w:t>noma</w:t>
      </w:r>
      <w:r w:rsidR="00F60CFE" w:rsidRPr="00890E6F">
        <w:rPr>
          <w:rFonts w:ascii="Arial" w:eastAsia="Calibri" w:hAnsi="Arial" w:cs="Arial"/>
          <w:sz w:val="22"/>
          <w:szCs w:val="22"/>
          <w:lang w:val="es-ES_tradnl"/>
        </w:rPr>
        <w:t>. E</w:t>
      </w:r>
      <w:r w:rsidR="00522759" w:rsidRPr="00890E6F">
        <w:rPr>
          <w:rFonts w:ascii="Arial" w:eastAsia="Calibri" w:hAnsi="Arial" w:cs="Arial"/>
          <w:sz w:val="22"/>
          <w:szCs w:val="22"/>
          <w:lang w:val="es-ES_tradnl"/>
        </w:rPr>
        <w:t>llo</w:t>
      </w:r>
      <w:r w:rsidR="00F60CFE" w:rsidRPr="00890E6F">
        <w:rPr>
          <w:rFonts w:ascii="Arial" w:eastAsia="Calibri" w:hAnsi="Arial" w:cs="Arial"/>
          <w:sz w:val="22"/>
          <w:szCs w:val="22"/>
          <w:lang w:val="es-ES_tradnl"/>
        </w:rPr>
        <w:t xml:space="preserve"> en la medida</w:t>
      </w:r>
      <w:r w:rsidR="00522759" w:rsidRPr="00890E6F">
        <w:rPr>
          <w:rFonts w:ascii="Arial" w:eastAsia="Calibri" w:hAnsi="Arial" w:cs="Arial"/>
          <w:sz w:val="22"/>
          <w:szCs w:val="22"/>
          <w:lang w:val="es-ES_tradnl"/>
        </w:rPr>
        <w:t xml:space="preserve"> en</w:t>
      </w:r>
      <w:r w:rsidR="00F60CFE" w:rsidRPr="00890E6F">
        <w:rPr>
          <w:rFonts w:ascii="Arial" w:eastAsia="Calibri" w:hAnsi="Arial" w:cs="Arial"/>
          <w:sz w:val="22"/>
          <w:szCs w:val="22"/>
          <w:lang w:val="es-ES_tradnl"/>
        </w:rPr>
        <w:t xml:space="preserve"> que</w:t>
      </w:r>
      <w:r w:rsidR="007D1774" w:rsidRPr="00890E6F">
        <w:rPr>
          <w:rFonts w:ascii="Arial" w:eastAsia="Calibri" w:hAnsi="Arial" w:cs="Arial"/>
          <w:sz w:val="22"/>
          <w:szCs w:val="22"/>
          <w:lang w:val="es-ES_tradnl"/>
        </w:rPr>
        <w:t xml:space="preserve"> </w:t>
      </w:r>
      <w:r w:rsidR="00225CDE" w:rsidRPr="00890E6F">
        <w:rPr>
          <w:rFonts w:ascii="Arial" w:eastAsia="Calibri" w:hAnsi="Arial" w:cs="Arial"/>
          <w:sz w:val="22"/>
          <w:szCs w:val="22"/>
          <w:lang w:val="es-ES_tradnl"/>
        </w:rPr>
        <w:t>los factores de desempate de la Ley de Emprendimiento</w:t>
      </w:r>
      <w:r w:rsidR="00BB2FC4" w:rsidRPr="00890E6F">
        <w:rPr>
          <w:rFonts w:ascii="Arial" w:eastAsia="Calibri" w:hAnsi="Arial" w:cs="Arial"/>
          <w:sz w:val="22"/>
          <w:szCs w:val="22"/>
          <w:lang w:val="es-ES_tradnl"/>
        </w:rPr>
        <w:t xml:space="preserve"> </w:t>
      </w:r>
      <w:r w:rsidR="00F60CFE" w:rsidRPr="00890E6F">
        <w:rPr>
          <w:rFonts w:ascii="Arial" w:eastAsia="Calibri" w:hAnsi="Arial" w:cs="Arial"/>
          <w:sz w:val="22"/>
          <w:szCs w:val="22"/>
          <w:lang w:val="es-ES_tradnl"/>
        </w:rPr>
        <w:t>están concebidos para</w:t>
      </w:r>
      <w:r w:rsidR="002649F3" w:rsidRPr="00890E6F">
        <w:rPr>
          <w:rFonts w:ascii="Arial" w:eastAsia="Calibri" w:hAnsi="Arial" w:cs="Arial"/>
          <w:sz w:val="22"/>
          <w:szCs w:val="22"/>
          <w:lang w:val="es-ES_tradnl"/>
        </w:rPr>
        <w:t xml:space="preserve"> </w:t>
      </w:r>
      <w:r w:rsidR="002649F3" w:rsidRPr="00890E6F">
        <w:rPr>
          <w:rFonts w:ascii="Arial" w:eastAsia="Calibri" w:hAnsi="Arial" w:cs="Arial"/>
          <w:bCs/>
          <w:sz w:val="22"/>
          <w:szCs w:val="22"/>
        </w:rPr>
        <w:t>«[…]</w:t>
      </w:r>
      <w:r w:rsidR="002649F3" w:rsidRPr="00890E6F">
        <w:rPr>
          <w:rFonts w:ascii="Arial" w:hAnsi="Arial" w:cs="Arial"/>
          <w:sz w:val="22"/>
          <w:szCs w:val="22"/>
        </w:rPr>
        <w:t xml:space="preserve">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w:t>
      </w:r>
      <w:r w:rsidR="00BB12EA" w:rsidRPr="00890E6F">
        <w:rPr>
          <w:rFonts w:ascii="Arial" w:hAnsi="Arial" w:cs="Arial"/>
          <w:sz w:val="22"/>
          <w:szCs w:val="22"/>
        </w:rPr>
        <w:t xml:space="preserve"> </w:t>
      </w:r>
      <w:r w:rsidR="002649F3" w:rsidRPr="00890E6F">
        <w:rPr>
          <w:rFonts w:ascii="Arial" w:hAnsi="Arial" w:cs="Arial"/>
          <w:sz w:val="22"/>
          <w:szCs w:val="22"/>
        </w:rPr>
        <w:t>[…]</w:t>
      </w:r>
      <w:r w:rsidR="002649F3" w:rsidRPr="00890E6F">
        <w:rPr>
          <w:rFonts w:ascii="Arial" w:eastAsia="Calibri" w:hAnsi="Arial" w:cs="Arial"/>
          <w:bCs/>
          <w:sz w:val="22"/>
          <w:szCs w:val="22"/>
        </w:rPr>
        <w:t>»</w:t>
      </w:r>
      <w:r w:rsidR="007D1774" w:rsidRPr="00890E6F">
        <w:rPr>
          <w:rFonts w:ascii="Arial" w:eastAsia="Calibri" w:hAnsi="Arial" w:cs="Arial"/>
          <w:bCs/>
          <w:sz w:val="22"/>
          <w:szCs w:val="22"/>
        </w:rPr>
        <w:t>.</w:t>
      </w:r>
    </w:p>
    <w:p w14:paraId="0B672F1C" w14:textId="23D5FE1A" w:rsidR="00D82C77" w:rsidRPr="00890E6F" w:rsidRDefault="00D82C77" w:rsidP="00EB2ED0">
      <w:pPr>
        <w:tabs>
          <w:tab w:val="left" w:pos="0"/>
        </w:tabs>
        <w:spacing w:after="120" w:line="276" w:lineRule="auto"/>
        <w:jc w:val="both"/>
        <w:rPr>
          <w:rFonts w:ascii="Arial" w:eastAsia="Calibri" w:hAnsi="Arial" w:cs="Arial"/>
          <w:bCs/>
          <w:sz w:val="22"/>
          <w:szCs w:val="22"/>
        </w:rPr>
      </w:pPr>
      <w:r w:rsidRPr="00890E6F">
        <w:rPr>
          <w:rFonts w:ascii="Arial" w:eastAsia="Calibri" w:hAnsi="Arial" w:cs="Arial"/>
          <w:bCs/>
          <w:sz w:val="22"/>
          <w:szCs w:val="22"/>
        </w:rPr>
        <w:tab/>
      </w:r>
      <w:r w:rsidR="00F60CFE" w:rsidRPr="00890E6F">
        <w:rPr>
          <w:rFonts w:ascii="Arial" w:eastAsia="Calibri" w:hAnsi="Arial" w:cs="Arial"/>
          <w:bCs/>
          <w:sz w:val="22"/>
          <w:szCs w:val="22"/>
        </w:rPr>
        <w:t>Por lo anterior</w:t>
      </w:r>
      <w:r w:rsidR="0020797E" w:rsidRPr="00890E6F">
        <w:rPr>
          <w:rFonts w:ascii="Arial" w:eastAsia="Calibri" w:hAnsi="Arial" w:cs="Arial"/>
          <w:bCs/>
          <w:sz w:val="22"/>
          <w:szCs w:val="22"/>
        </w:rPr>
        <w:t xml:space="preserve">, se considera que el alcance de la expresión </w:t>
      </w:r>
      <w:r w:rsidR="0020797E" w:rsidRPr="00890E6F">
        <w:rPr>
          <w:rFonts w:ascii="Arial" w:eastAsia="Calibri" w:hAnsi="Arial" w:cs="Arial"/>
          <w:bCs/>
          <w:i/>
          <w:iCs/>
          <w:sz w:val="22"/>
          <w:szCs w:val="22"/>
        </w:rPr>
        <w:t xml:space="preserve">puntaje total, </w:t>
      </w:r>
      <w:r w:rsidR="0020797E" w:rsidRPr="00890E6F">
        <w:rPr>
          <w:rFonts w:ascii="Arial" w:eastAsia="Calibri" w:hAnsi="Arial" w:cs="Arial"/>
          <w:bCs/>
          <w:sz w:val="22"/>
          <w:szCs w:val="22"/>
        </w:rPr>
        <w:t>contenida en el artículo 35</w:t>
      </w:r>
      <w:r w:rsidR="000E54A9" w:rsidRPr="00890E6F">
        <w:rPr>
          <w:rFonts w:ascii="Arial" w:eastAsia="Calibri" w:hAnsi="Arial" w:cs="Arial"/>
          <w:bCs/>
          <w:sz w:val="22"/>
          <w:szCs w:val="22"/>
        </w:rPr>
        <w:t xml:space="preserve"> de la Ley 2069 de 2020, </w:t>
      </w:r>
      <w:r w:rsidR="00091957" w:rsidRPr="00890E6F">
        <w:rPr>
          <w:rFonts w:ascii="Arial" w:eastAsia="Calibri" w:hAnsi="Arial" w:cs="Arial"/>
          <w:bCs/>
          <w:sz w:val="22"/>
          <w:szCs w:val="22"/>
        </w:rPr>
        <w:t>debe interpretarse sistemáticamente</w:t>
      </w:r>
      <w:r w:rsidR="00BE7CE9" w:rsidRPr="00890E6F">
        <w:rPr>
          <w:rFonts w:ascii="Arial" w:eastAsia="Calibri" w:hAnsi="Arial" w:cs="Arial"/>
          <w:bCs/>
          <w:sz w:val="22"/>
          <w:szCs w:val="22"/>
        </w:rPr>
        <w:t xml:space="preserve">, </w:t>
      </w:r>
      <w:r w:rsidR="00091957" w:rsidRPr="00890E6F">
        <w:rPr>
          <w:rFonts w:ascii="Arial" w:eastAsia="Calibri" w:hAnsi="Arial" w:cs="Arial"/>
          <w:bCs/>
          <w:sz w:val="22"/>
          <w:szCs w:val="22"/>
        </w:rPr>
        <w:t>propiciando</w:t>
      </w:r>
      <w:r w:rsidR="00460B4F" w:rsidRPr="00890E6F">
        <w:rPr>
          <w:rFonts w:ascii="Arial" w:eastAsia="Calibri" w:hAnsi="Arial" w:cs="Arial"/>
          <w:bCs/>
          <w:sz w:val="22"/>
          <w:szCs w:val="22"/>
        </w:rPr>
        <w:t xml:space="preserve"> u</w:t>
      </w:r>
      <w:r w:rsidR="007E526E" w:rsidRPr="00890E6F">
        <w:rPr>
          <w:rFonts w:ascii="Arial" w:eastAsia="Calibri" w:hAnsi="Arial" w:cs="Arial"/>
          <w:bCs/>
          <w:sz w:val="22"/>
          <w:szCs w:val="22"/>
        </w:rPr>
        <w:t xml:space="preserve">na aplicación normativa </w:t>
      </w:r>
      <w:r w:rsidR="00460B4F" w:rsidRPr="00890E6F">
        <w:rPr>
          <w:rFonts w:ascii="Arial" w:eastAsia="Calibri" w:hAnsi="Arial" w:cs="Arial"/>
          <w:bCs/>
          <w:sz w:val="22"/>
          <w:szCs w:val="22"/>
        </w:rPr>
        <w:t xml:space="preserve">coherente </w:t>
      </w:r>
      <w:r w:rsidR="000829AE" w:rsidRPr="00890E6F">
        <w:rPr>
          <w:rFonts w:ascii="Arial" w:eastAsia="Calibri" w:hAnsi="Arial" w:cs="Arial"/>
          <w:bCs/>
          <w:sz w:val="22"/>
          <w:szCs w:val="22"/>
        </w:rPr>
        <w:t>con</w:t>
      </w:r>
      <w:r w:rsidR="00BE7CE9" w:rsidRPr="00890E6F">
        <w:rPr>
          <w:rFonts w:ascii="Arial" w:eastAsia="Calibri" w:hAnsi="Arial" w:cs="Arial"/>
          <w:bCs/>
          <w:sz w:val="22"/>
          <w:szCs w:val="22"/>
        </w:rPr>
        <w:t xml:space="preserve"> otras</w:t>
      </w:r>
      <w:r w:rsidR="000829AE" w:rsidRPr="00890E6F">
        <w:rPr>
          <w:rFonts w:ascii="Arial" w:eastAsia="Calibri" w:hAnsi="Arial" w:cs="Arial"/>
          <w:bCs/>
          <w:sz w:val="22"/>
          <w:szCs w:val="22"/>
        </w:rPr>
        <w:t xml:space="preserve"> disposiciones d</w:t>
      </w:r>
      <w:r w:rsidR="00BE7CE9" w:rsidRPr="00890E6F">
        <w:rPr>
          <w:rFonts w:ascii="Arial" w:eastAsia="Calibri" w:hAnsi="Arial" w:cs="Arial"/>
          <w:bCs/>
          <w:sz w:val="22"/>
          <w:szCs w:val="22"/>
        </w:rPr>
        <w:t>el sistema de compra pública</w:t>
      </w:r>
      <w:r w:rsidR="00B06530" w:rsidRPr="00890E6F">
        <w:rPr>
          <w:rFonts w:ascii="Arial" w:eastAsia="Calibri" w:hAnsi="Arial" w:cs="Arial"/>
          <w:bCs/>
          <w:sz w:val="22"/>
          <w:szCs w:val="22"/>
        </w:rPr>
        <w:t xml:space="preserve"> y</w:t>
      </w:r>
      <w:r w:rsidR="00BB401E" w:rsidRPr="00890E6F">
        <w:rPr>
          <w:rFonts w:ascii="Arial" w:eastAsia="Calibri" w:hAnsi="Arial" w:cs="Arial"/>
          <w:bCs/>
          <w:sz w:val="22"/>
          <w:szCs w:val="22"/>
        </w:rPr>
        <w:t xml:space="preserve"> que satisfaga</w:t>
      </w:r>
      <w:r w:rsidR="00B06530" w:rsidRPr="00890E6F">
        <w:rPr>
          <w:rFonts w:ascii="Arial" w:eastAsia="Calibri" w:hAnsi="Arial" w:cs="Arial"/>
          <w:bCs/>
          <w:sz w:val="22"/>
          <w:szCs w:val="22"/>
        </w:rPr>
        <w:t>n</w:t>
      </w:r>
      <w:r w:rsidR="00BB401E" w:rsidRPr="00890E6F">
        <w:rPr>
          <w:rFonts w:ascii="Arial" w:eastAsia="Calibri" w:hAnsi="Arial" w:cs="Arial"/>
          <w:bCs/>
          <w:sz w:val="22"/>
          <w:szCs w:val="22"/>
        </w:rPr>
        <w:t xml:space="preserve"> </w:t>
      </w:r>
      <w:r w:rsidR="00185C79" w:rsidRPr="00890E6F">
        <w:rPr>
          <w:rFonts w:ascii="Arial" w:eastAsia="Calibri" w:hAnsi="Arial" w:cs="Arial"/>
          <w:bCs/>
          <w:sz w:val="22"/>
          <w:szCs w:val="22"/>
        </w:rPr>
        <w:t xml:space="preserve">la </w:t>
      </w:r>
      <w:r w:rsidR="00BB401E" w:rsidRPr="00890E6F">
        <w:rPr>
          <w:rFonts w:ascii="Arial" w:eastAsia="Calibri" w:hAnsi="Arial" w:cs="Arial"/>
          <w:bCs/>
          <w:sz w:val="22"/>
          <w:szCs w:val="22"/>
        </w:rPr>
        <w:t>finalidad transversal</w:t>
      </w:r>
      <w:r w:rsidR="00B06530" w:rsidRPr="00890E6F">
        <w:rPr>
          <w:rFonts w:ascii="Arial" w:eastAsia="Calibri" w:hAnsi="Arial" w:cs="Arial"/>
          <w:bCs/>
          <w:sz w:val="22"/>
          <w:szCs w:val="22"/>
        </w:rPr>
        <w:t xml:space="preserve"> de la norma</w:t>
      </w:r>
      <w:r w:rsidR="00BB401E" w:rsidRPr="00890E6F">
        <w:rPr>
          <w:rFonts w:ascii="Arial" w:eastAsia="Calibri" w:hAnsi="Arial" w:cs="Arial"/>
          <w:bCs/>
          <w:sz w:val="22"/>
          <w:szCs w:val="22"/>
        </w:rPr>
        <w:t xml:space="preserve">. </w:t>
      </w:r>
      <w:r w:rsidR="00B06530" w:rsidRPr="00890E6F">
        <w:rPr>
          <w:rFonts w:ascii="Arial" w:eastAsia="Calibri" w:hAnsi="Arial" w:cs="Arial"/>
          <w:bCs/>
          <w:sz w:val="22"/>
          <w:szCs w:val="22"/>
        </w:rPr>
        <w:t>Con este</w:t>
      </w:r>
      <w:r w:rsidR="00B2306B" w:rsidRPr="00890E6F">
        <w:rPr>
          <w:rFonts w:ascii="Arial" w:eastAsia="Calibri" w:hAnsi="Arial" w:cs="Arial"/>
          <w:bCs/>
          <w:sz w:val="22"/>
          <w:szCs w:val="22"/>
        </w:rPr>
        <w:t xml:space="preserve"> propósito, es necesario acudir al artículo 5 de la Ley 1150 de 2007, el cual regula</w:t>
      </w:r>
      <w:r w:rsidR="00AE7388" w:rsidRPr="00890E6F">
        <w:rPr>
          <w:rFonts w:ascii="Arial" w:eastAsia="Calibri" w:hAnsi="Arial" w:cs="Arial"/>
          <w:bCs/>
          <w:sz w:val="22"/>
          <w:szCs w:val="22"/>
        </w:rPr>
        <w:t xml:space="preserve"> el deber de selección objetiva</w:t>
      </w:r>
      <w:r w:rsidR="00CE1641" w:rsidRPr="00890E6F">
        <w:rPr>
          <w:rFonts w:ascii="Arial" w:eastAsia="Calibri" w:hAnsi="Arial" w:cs="Arial"/>
          <w:bCs/>
          <w:sz w:val="22"/>
          <w:szCs w:val="22"/>
        </w:rPr>
        <w:t>, conforme al cual debe</w:t>
      </w:r>
      <w:r w:rsidR="00185C79" w:rsidRPr="00890E6F">
        <w:rPr>
          <w:rFonts w:ascii="Arial" w:eastAsia="Calibri" w:hAnsi="Arial" w:cs="Arial"/>
          <w:bCs/>
          <w:sz w:val="22"/>
          <w:szCs w:val="22"/>
        </w:rPr>
        <w:t xml:space="preserve"> determinarse cu</w:t>
      </w:r>
      <w:r w:rsidR="00CE48E7" w:rsidRPr="00890E6F">
        <w:rPr>
          <w:rFonts w:ascii="Arial" w:eastAsia="Calibri" w:hAnsi="Arial" w:cs="Arial"/>
          <w:bCs/>
          <w:sz w:val="22"/>
          <w:szCs w:val="22"/>
        </w:rPr>
        <w:t>á</w:t>
      </w:r>
      <w:r w:rsidR="00185C79" w:rsidRPr="00890E6F">
        <w:rPr>
          <w:rFonts w:ascii="Arial" w:eastAsia="Calibri" w:hAnsi="Arial" w:cs="Arial"/>
          <w:bCs/>
          <w:sz w:val="22"/>
          <w:szCs w:val="22"/>
        </w:rPr>
        <w:t>l e</w:t>
      </w:r>
      <w:r w:rsidR="00512BC0" w:rsidRPr="00890E6F">
        <w:rPr>
          <w:rFonts w:ascii="Arial" w:eastAsia="Calibri" w:hAnsi="Arial" w:cs="Arial"/>
          <w:bCs/>
          <w:sz w:val="22"/>
          <w:szCs w:val="22"/>
        </w:rPr>
        <w:t>s</w:t>
      </w:r>
      <w:r w:rsidR="00185C79" w:rsidRPr="00890E6F">
        <w:rPr>
          <w:rFonts w:ascii="Arial" w:eastAsia="Calibri" w:hAnsi="Arial" w:cs="Arial"/>
          <w:bCs/>
          <w:sz w:val="22"/>
          <w:szCs w:val="22"/>
        </w:rPr>
        <w:t xml:space="preserve"> la oferta más favorable para la entidad y los fines de </w:t>
      </w:r>
      <w:r w:rsidR="00512BC0" w:rsidRPr="00890E6F">
        <w:rPr>
          <w:rFonts w:ascii="Arial" w:eastAsia="Calibri" w:hAnsi="Arial" w:cs="Arial"/>
          <w:bCs/>
          <w:sz w:val="22"/>
          <w:szCs w:val="22"/>
        </w:rPr>
        <w:t>la contratación.</w:t>
      </w:r>
    </w:p>
    <w:p w14:paraId="6C13F6AD" w14:textId="1F3DB84C" w:rsidR="00CE1641" w:rsidRPr="00890E6F" w:rsidRDefault="00CE1641" w:rsidP="00EB2ED0">
      <w:pPr>
        <w:tabs>
          <w:tab w:val="left" w:pos="0"/>
        </w:tabs>
        <w:spacing w:after="120" w:line="276" w:lineRule="auto"/>
        <w:jc w:val="both"/>
        <w:rPr>
          <w:rFonts w:ascii="Arial" w:eastAsia="Calibri" w:hAnsi="Arial" w:cs="Arial"/>
          <w:bCs/>
          <w:sz w:val="22"/>
          <w:szCs w:val="22"/>
        </w:rPr>
      </w:pPr>
      <w:r w:rsidRPr="00890E6F">
        <w:rPr>
          <w:rFonts w:ascii="Arial" w:eastAsia="Calibri" w:hAnsi="Arial" w:cs="Arial"/>
          <w:bCs/>
          <w:sz w:val="22"/>
          <w:szCs w:val="22"/>
        </w:rPr>
        <w:tab/>
      </w:r>
      <w:r w:rsidR="00310439" w:rsidRPr="00890E6F">
        <w:rPr>
          <w:rFonts w:ascii="Arial" w:eastAsia="Calibri" w:hAnsi="Arial" w:cs="Arial"/>
          <w:bCs/>
          <w:sz w:val="22"/>
          <w:szCs w:val="22"/>
        </w:rPr>
        <w:t>De acuerdo con el</w:t>
      </w:r>
      <w:r w:rsidRPr="00890E6F">
        <w:rPr>
          <w:rFonts w:ascii="Arial" w:eastAsia="Calibri" w:hAnsi="Arial" w:cs="Arial"/>
          <w:bCs/>
          <w:sz w:val="22"/>
          <w:szCs w:val="22"/>
        </w:rPr>
        <w:t xml:space="preserve"> artículo 5</w:t>
      </w:r>
      <w:r w:rsidR="002A0BC3" w:rsidRPr="00890E6F">
        <w:rPr>
          <w:rFonts w:ascii="Arial" w:eastAsia="Calibri" w:hAnsi="Arial" w:cs="Arial"/>
          <w:bCs/>
          <w:sz w:val="22"/>
          <w:szCs w:val="22"/>
        </w:rPr>
        <w:t xml:space="preserve"> de la Ley 1150 de 2007, </w:t>
      </w:r>
      <w:r w:rsidR="00310439" w:rsidRPr="00890E6F">
        <w:rPr>
          <w:rFonts w:ascii="Arial" w:eastAsia="Calibri" w:hAnsi="Arial" w:cs="Arial"/>
          <w:bCs/>
          <w:sz w:val="22"/>
          <w:szCs w:val="22"/>
        </w:rPr>
        <w:t>el deber de selección objetiva supone que las entidades escojan en los procesos de selección</w:t>
      </w:r>
      <w:r w:rsidR="00083480" w:rsidRPr="00890E6F">
        <w:rPr>
          <w:rFonts w:ascii="Arial" w:eastAsia="Calibri" w:hAnsi="Arial" w:cs="Arial"/>
          <w:bCs/>
          <w:sz w:val="22"/>
          <w:szCs w:val="22"/>
        </w:rPr>
        <w:t xml:space="preserve"> el «[…] ofrecimiento más favorable a la entidad y a los fines que ella busca </w:t>
      </w:r>
      <w:r w:rsidR="00083480" w:rsidRPr="00890E6F">
        <w:rPr>
          <w:rFonts w:ascii="Arial" w:hAnsi="Arial" w:cs="Arial"/>
          <w:sz w:val="22"/>
          <w:szCs w:val="22"/>
        </w:rPr>
        <w:t>[…]</w:t>
      </w:r>
      <w:r w:rsidR="00083480" w:rsidRPr="00890E6F">
        <w:rPr>
          <w:rFonts w:ascii="Arial" w:eastAsia="Calibri" w:hAnsi="Arial" w:cs="Arial"/>
          <w:bCs/>
          <w:sz w:val="22"/>
          <w:szCs w:val="22"/>
        </w:rPr>
        <w:t>»</w:t>
      </w:r>
      <w:r w:rsidR="001679EF" w:rsidRPr="00890E6F">
        <w:rPr>
          <w:rStyle w:val="Refdenotaalpie"/>
          <w:rFonts w:ascii="Arial" w:eastAsia="Calibri" w:hAnsi="Arial" w:cs="Arial"/>
          <w:bCs/>
          <w:sz w:val="22"/>
          <w:szCs w:val="22"/>
        </w:rPr>
        <w:footnoteReference w:id="15"/>
      </w:r>
      <w:r w:rsidR="00083480" w:rsidRPr="00890E6F">
        <w:rPr>
          <w:rFonts w:ascii="Arial" w:eastAsia="Calibri" w:hAnsi="Arial" w:cs="Arial"/>
          <w:bCs/>
          <w:sz w:val="22"/>
          <w:szCs w:val="22"/>
        </w:rPr>
        <w:t>.</w:t>
      </w:r>
      <w:r w:rsidR="00C065A4" w:rsidRPr="00890E6F">
        <w:rPr>
          <w:rFonts w:ascii="Arial" w:eastAsia="Calibri" w:hAnsi="Arial" w:cs="Arial"/>
          <w:bCs/>
          <w:sz w:val="22"/>
          <w:szCs w:val="22"/>
        </w:rPr>
        <w:t xml:space="preserve"> </w:t>
      </w:r>
      <w:r w:rsidR="00853CE0" w:rsidRPr="00890E6F">
        <w:rPr>
          <w:rFonts w:ascii="Arial" w:eastAsia="Calibri" w:hAnsi="Arial" w:cs="Arial"/>
          <w:bCs/>
          <w:sz w:val="22"/>
          <w:szCs w:val="22"/>
        </w:rPr>
        <w:t>Esta</w:t>
      </w:r>
      <w:r w:rsidR="00C065A4" w:rsidRPr="00890E6F">
        <w:rPr>
          <w:rFonts w:ascii="Arial" w:eastAsia="Calibri" w:hAnsi="Arial" w:cs="Arial"/>
          <w:bCs/>
          <w:sz w:val="22"/>
          <w:szCs w:val="22"/>
        </w:rPr>
        <w:t xml:space="preserve"> favorabilidad debe </w:t>
      </w:r>
      <w:r w:rsidR="00367ABB" w:rsidRPr="00890E6F">
        <w:rPr>
          <w:rFonts w:ascii="Arial" w:eastAsia="Calibri" w:hAnsi="Arial" w:cs="Arial"/>
          <w:bCs/>
          <w:sz w:val="22"/>
          <w:szCs w:val="22"/>
        </w:rPr>
        <w:lastRenderedPageBreak/>
        <w:t>determinarse</w:t>
      </w:r>
      <w:r w:rsidR="00C065A4" w:rsidRPr="00890E6F">
        <w:rPr>
          <w:rFonts w:ascii="Arial" w:eastAsia="Calibri" w:hAnsi="Arial" w:cs="Arial"/>
          <w:bCs/>
          <w:sz w:val="22"/>
          <w:szCs w:val="22"/>
        </w:rPr>
        <w:t xml:space="preserve"> a partir</w:t>
      </w:r>
      <w:r w:rsidR="00CE48E7" w:rsidRPr="00890E6F">
        <w:rPr>
          <w:rFonts w:ascii="Arial" w:eastAsia="Calibri" w:hAnsi="Arial" w:cs="Arial"/>
          <w:bCs/>
          <w:sz w:val="22"/>
          <w:szCs w:val="22"/>
        </w:rPr>
        <w:t xml:space="preserve"> de</w:t>
      </w:r>
      <w:r w:rsidR="00C065A4" w:rsidRPr="00890E6F">
        <w:rPr>
          <w:rFonts w:ascii="Arial" w:eastAsia="Calibri" w:hAnsi="Arial" w:cs="Arial"/>
          <w:bCs/>
          <w:sz w:val="22"/>
          <w:szCs w:val="22"/>
        </w:rPr>
        <w:t xml:space="preserve"> criterio</w:t>
      </w:r>
      <w:r w:rsidR="00C025CC" w:rsidRPr="00890E6F">
        <w:rPr>
          <w:rFonts w:ascii="Arial" w:eastAsia="Calibri" w:hAnsi="Arial" w:cs="Arial"/>
          <w:bCs/>
          <w:sz w:val="22"/>
          <w:szCs w:val="22"/>
        </w:rPr>
        <w:t xml:space="preserve">s que pueden variar </w:t>
      </w:r>
      <w:r w:rsidR="00DE2DF1" w:rsidRPr="00890E6F">
        <w:rPr>
          <w:rFonts w:ascii="Arial" w:eastAsia="Calibri" w:hAnsi="Arial" w:cs="Arial"/>
          <w:bCs/>
          <w:sz w:val="22"/>
          <w:szCs w:val="22"/>
        </w:rPr>
        <w:t>de acuerdo con el</w:t>
      </w:r>
      <w:r w:rsidR="00F22F81" w:rsidRPr="00890E6F">
        <w:rPr>
          <w:rFonts w:ascii="Arial" w:eastAsia="Calibri" w:hAnsi="Arial" w:cs="Arial"/>
          <w:bCs/>
          <w:sz w:val="22"/>
          <w:szCs w:val="22"/>
        </w:rPr>
        <w:t xml:space="preserve"> objeto contractual</w:t>
      </w:r>
      <w:r w:rsidR="00C025CC" w:rsidRPr="00890E6F">
        <w:rPr>
          <w:rFonts w:ascii="Arial" w:eastAsia="Calibri" w:hAnsi="Arial" w:cs="Arial"/>
          <w:bCs/>
          <w:sz w:val="22"/>
          <w:szCs w:val="22"/>
        </w:rPr>
        <w:t xml:space="preserve"> o la modalidad de selección aplicable</w:t>
      </w:r>
      <w:r w:rsidR="00D81E3C" w:rsidRPr="00890E6F">
        <w:rPr>
          <w:rFonts w:ascii="Arial" w:eastAsia="Calibri" w:hAnsi="Arial" w:cs="Arial"/>
          <w:bCs/>
          <w:sz w:val="22"/>
          <w:szCs w:val="22"/>
        </w:rPr>
        <w:t xml:space="preserve">, los cuales, en todo caso, para que la selección sea objetiva, deben </w:t>
      </w:r>
      <w:r w:rsidR="00DE2DF1">
        <w:rPr>
          <w:rFonts w:ascii="Arial" w:eastAsia="Calibri" w:hAnsi="Arial" w:cs="Arial"/>
          <w:bCs/>
          <w:sz w:val="22"/>
          <w:szCs w:val="22"/>
        </w:rPr>
        <w:t>indicarse</w:t>
      </w:r>
      <w:r w:rsidR="00D81E3C" w:rsidRPr="00890E6F">
        <w:rPr>
          <w:rFonts w:ascii="Arial" w:eastAsia="Calibri" w:hAnsi="Arial" w:cs="Arial"/>
          <w:bCs/>
          <w:sz w:val="22"/>
          <w:szCs w:val="22"/>
        </w:rPr>
        <w:t xml:space="preserve"> en el pliego de condiciones o documento equivalente.</w:t>
      </w:r>
      <w:r w:rsidR="009E2C0F" w:rsidRPr="00890E6F">
        <w:rPr>
          <w:rFonts w:ascii="Arial" w:eastAsia="Calibri" w:hAnsi="Arial" w:cs="Arial"/>
          <w:bCs/>
          <w:sz w:val="22"/>
          <w:szCs w:val="22"/>
        </w:rPr>
        <w:t xml:space="preserve"> </w:t>
      </w:r>
    </w:p>
    <w:p w14:paraId="7AE775F5" w14:textId="3DBB0B77" w:rsidR="00F62172" w:rsidRPr="00890E6F" w:rsidRDefault="009E2C0F" w:rsidP="00EB2ED0">
      <w:pPr>
        <w:tabs>
          <w:tab w:val="left" w:pos="0"/>
        </w:tabs>
        <w:spacing w:after="120" w:line="276" w:lineRule="auto"/>
        <w:jc w:val="both"/>
        <w:rPr>
          <w:rFonts w:ascii="Arial" w:eastAsia="Calibri" w:hAnsi="Arial" w:cs="Arial"/>
          <w:bCs/>
          <w:sz w:val="22"/>
          <w:szCs w:val="22"/>
        </w:rPr>
      </w:pPr>
      <w:r w:rsidRPr="00890E6F">
        <w:rPr>
          <w:rFonts w:ascii="Arial" w:eastAsia="Calibri" w:hAnsi="Arial" w:cs="Arial"/>
          <w:bCs/>
          <w:sz w:val="22"/>
          <w:szCs w:val="22"/>
        </w:rPr>
        <w:tab/>
        <w:t xml:space="preserve">Al respecto, el numeral 1 del artículo 5 de la Ley 1150 de 2007 </w:t>
      </w:r>
      <w:r w:rsidR="00AC7356" w:rsidRPr="00890E6F">
        <w:rPr>
          <w:rFonts w:ascii="Arial" w:eastAsia="Calibri" w:hAnsi="Arial" w:cs="Arial"/>
          <w:bCs/>
          <w:sz w:val="22"/>
          <w:szCs w:val="22"/>
        </w:rPr>
        <w:t xml:space="preserve">regula </w:t>
      </w:r>
      <w:r w:rsidR="00894039" w:rsidRPr="00890E6F">
        <w:rPr>
          <w:rFonts w:ascii="Arial" w:eastAsia="Calibri" w:hAnsi="Arial" w:cs="Arial"/>
          <w:bCs/>
          <w:sz w:val="22"/>
          <w:szCs w:val="22"/>
        </w:rPr>
        <w:t xml:space="preserve">los </w:t>
      </w:r>
      <w:r w:rsidR="009A4C64" w:rsidRPr="00890E6F">
        <w:rPr>
          <w:rFonts w:ascii="Arial" w:eastAsia="Calibri" w:hAnsi="Arial" w:cs="Arial"/>
          <w:bCs/>
          <w:sz w:val="22"/>
          <w:szCs w:val="22"/>
        </w:rPr>
        <w:t xml:space="preserve">requisitos </w:t>
      </w:r>
      <w:r w:rsidR="00660B1A" w:rsidRPr="00890E6F">
        <w:rPr>
          <w:rFonts w:ascii="Arial" w:eastAsia="Calibri" w:hAnsi="Arial" w:cs="Arial"/>
          <w:bCs/>
          <w:sz w:val="22"/>
          <w:szCs w:val="22"/>
        </w:rPr>
        <w:t xml:space="preserve">exigibles en la </w:t>
      </w:r>
      <w:r w:rsidR="002F1549" w:rsidRPr="00890E6F">
        <w:rPr>
          <w:rFonts w:ascii="Arial" w:eastAsia="Calibri" w:hAnsi="Arial" w:cs="Arial"/>
          <w:bCs/>
          <w:sz w:val="22"/>
          <w:szCs w:val="22"/>
        </w:rPr>
        <w:t xml:space="preserve">generalidad de procesos de selección adelantados conforme al EGCAP, tales </w:t>
      </w:r>
      <w:r w:rsidR="009A4C64" w:rsidRPr="00890E6F">
        <w:rPr>
          <w:rFonts w:ascii="Arial" w:eastAsia="Calibri" w:hAnsi="Arial" w:cs="Arial"/>
          <w:bCs/>
          <w:sz w:val="22"/>
          <w:szCs w:val="22"/>
        </w:rPr>
        <w:t xml:space="preserve">como </w:t>
      </w:r>
      <w:r w:rsidR="00660B1A" w:rsidRPr="00890E6F">
        <w:rPr>
          <w:rFonts w:ascii="Arial" w:eastAsia="Calibri" w:hAnsi="Arial" w:cs="Arial"/>
          <w:bCs/>
          <w:sz w:val="22"/>
          <w:szCs w:val="22"/>
        </w:rPr>
        <w:t>la capacidad jurídica</w:t>
      </w:r>
      <w:r w:rsidR="002F1549" w:rsidRPr="00890E6F">
        <w:rPr>
          <w:rFonts w:ascii="Arial" w:eastAsia="Calibri" w:hAnsi="Arial" w:cs="Arial"/>
          <w:bCs/>
          <w:sz w:val="22"/>
          <w:szCs w:val="22"/>
        </w:rPr>
        <w:t xml:space="preserve">, </w:t>
      </w:r>
      <w:r w:rsidR="00660B1A" w:rsidRPr="00890E6F">
        <w:rPr>
          <w:rFonts w:ascii="Arial" w:eastAsia="Calibri" w:hAnsi="Arial" w:cs="Arial"/>
          <w:bCs/>
          <w:sz w:val="22"/>
          <w:szCs w:val="22"/>
        </w:rPr>
        <w:t>las condiciones de experiencia,</w:t>
      </w:r>
      <w:r w:rsidR="00865FC6" w:rsidRPr="00890E6F">
        <w:rPr>
          <w:rFonts w:ascii="Arial" w:eastAsia="Calibri" w:hAnsi="Arial" w:cs="Arial"/>
          <w:bCs/>
          <w:sz w:val="22"/>
          <w:szCs w:val="22"/>
        </w:rPr>
        <w:t xml:space="preserve"> la</w:t>
      </w:r>
      <w:r w:rsidR="00660B1A" w:rsidRPr="00890E6F">
        <w:rPr>
          <w:rFonts w:ascii="Arial" w:eastAsia="Calibri" w:hAnsi="Arial" w:cs="Arial"/>
          <w:bCs/>
          <w:sz w:val="22"/>
          <w:szCs w:val="22"/>
        </w:rPr>
        <w:t xml:space="preserve"> capacidad financiera y de organización</w:t>
      </w:r>
      <w:r w:rsidR="00865FC6" w:rsidRPr="00890E6F">
        <w:rPr>
          <w:rFonts w:ascii="Arial" w:eastAsia="Calibri" w:hAnsi="Arial" w:cs="Arial"/>
          <w:bCs/>
          <w:sz w:val="22"/>
          <w:szCs w:val="22"/>
        </w:rPr>
        <w:t>, denomi</w:t>
      </w:r>
      <w:r w:rsidR="00FA4048" w:rsidRPr="00890E6F">
        <w:rPr>
          <w:rFonts w:ascii="Arial" w:eastAsia="Calibri" w:hAnsi="Arial" w:cs="Arial"/>
          <w:bCs/>
          <w:sz w:val="22"/>
          <w:szCs w:val="22"/>
        </w:rPr>
        <w:t>n</w:t>
      </w:r>
      <w:r w:rsidR="00865FC6" w:rsidRPr="00890E6F">
        <w:rPr>
          <w:rFonts w:ascii="Arial" w:eastAsia="Calibri" w:hAnsi="Arial" w:cs="Arial"/>
          <w:bCs/>
          <w:sz w:val="22"/>
          <w:szCs w:val="22"/>
        </w:rPr>
        <w:t>ados requisitos habilitantes,</w:t>
      </w:r>
      <w:r w:rsidR="00894039" w:rsidRPr="00890E6F">
        <w:rPr>
          <w:rFonts w:ascii="Arial" w:eastAsia="Calibri" w:hAnsi="Arial" w:cs="Arial"/>
          <w:bCs/>
          <w:sz w:val="22"/>
          <w:szCs w:val="22"/>
        </w:rPr>
        <w:t xml:space="preserve"> los cuales</w:t>
      </w:r>
      <w:r w:rsidR="00865FC6" w:rsidRPr="00890E6F">
        <w:rPr>
          <w:rFonts w:ascii="Arial" w:eastAsia="Calibri" w:hAnsi="Arial" w:cs="Arial"/>
          <w:bCs/>
          <w:sz w:val="22"/>
          <w:szCs w:val="22"/>
        </w:rPr>
        <w:t xml:space="preserve"> </w:t>
      </w:r>
      <w:r w:rsidR="00894039" w:rsidRPr="00890E6F">
        <w:rPr>
          <w:rFonts w:ascii="Arial" w:eastAsia="Calibri" w:hAnsi="Arial" w:cs="Arial"/>
          <w:bCs/>
          <w:sz w:val="22"/>
          <w:szCs w:val="22"/>
        </w:rPr>
        <w:t>–</w:t>
      </w:r>
      <w:r w:rsidR="00865FC6" w:rsidRPr="00890E6F">
        <w:rPr>
          <w:rFonts w:ascii="Arial" w:eastAsia="Calibri" w:hAnsi="Arial" w:cs="Arial"/>
          <w:bCs/>
          <w:sz w:val="22"/>
          <w:szCs w:val="22"/>
        </w:rPr>
        <w:t>por expresa disposición</w:t>
      </w:r>
      <w:r w:rsidR="00894039" w:rsidRPr="00890E6F">
        <w:rPr>
          <w:rFonts w:ascii="Arial" w:eastAsia="Calibri" w:hAnsi="Arial" w:cs="Arial"/>
          <w:bCs/>
          <w:sz w:val="22"/>
          <w:szCs w:val="22"/>
        </w:rPr>
        <w:t xml:space="preserve"> legal–</w:t>
      </w:r>
      <w:r w:rsidR="00865FC6" w:rsidRPr="00890E6F">
        <w:rPr>
          <w:rFonts w:ascii="Arial" w:eastAsia="Calibri" w:hAnsi="Arial" w:cs="Arial"/>
          <w:bCs/>
          <w:sz w:val="22"/>
          <w:szCs w:val="22"/>
        </w:rPr>
        <w:t xml:space="preserve"> </w:t>
      </w:r>
      <w:r w:rsidR="00FA4048" w:rsidRPr="00890E6F">
        <w:rPr>
          <w:rFonts w:ascii="Arial" w:eastAsia="Calibri" w:hAnsi="Arial" w:cs="Arial"/>
          <w:bCs/>
          <w:sz w:val="22"/>
          <w:szCs w:val="22"/>
        </w:rPr>
        <w:t xml:space="preserve">no otorgan puntaje. </w:t>
      </w:r>
      <w:r w:rsidR="0087267F" w:rsidRPr="00890E6F">
        <w:rPr>
          <w:rFonts w:ascii="Arial" w:eastAsia="Calibri" w:hAnsi="Arial" w:cs="Arial"/>
          <w:bCs/>
          <w:sz w:val="22"/>
          <w:szCs w:val="22"/>
        </w:rPr>
        <w:t>Lo anterior</w:t>
      </w:r>
      <w:r w:rsidR="00306D1E" w:rsidRPr="00890E6F">
        <w:rPr>
          <w:rFonts w:ascii="Arial" w:eastAsia="Calibri" w:hAnsi="Arial" w:cs="Arial"/>
          <w:bCs/>
          <w:sz w:val="22"/>
          <w:szCs w:val="22"/>
        </w:rPr>
        <w:t>,</w:t>
      </w:r>
      <w:r w:rsidR="0087267F" w:rsidRPr="00890E6F">
        <w:rPr>
          <w:rFonts w:ascii="Arial" w:eastAsia="Calibri" w:hAnsi="Arial" w:cs="Arial"/>
          <w:bCs/>
          <w:sz w:val="22"/>
          <w:szCs w:val="22"/>
        </w:rPr>
        <w:t xml:space="preserve"> ya que</w:t>
      </w:r>
      <w:r w:rsidR="00306D1E" w:rsidRPr="00890E6F">
        <w:rPr>
          <w:rFonts w:ascii="Arial" w:eastAsia="Calibri" w:hAnsi="Arial" w:cs="Arial"/>
          <w:bCs/>
          <w:sz w:val="22"/>
          <w:szCs w:val="22"/>
        </w:rPr>
        <w:t xml:space="preserve"> </w:t>
      </w:r>
      <w:r w:rsidR="005E6342" w:rsidRPr="00890E6F">
        <w:rPr>
          <w:rFonts w:ascii="Arial" w:eastAsia="Calibri" w:hAnsi="Arial" w:cs="Arial"/>
          <w:bCs/>
          <w:sz w:val="22"/>
          <w:szCs w:val="22"/>
        </w:rPr>
        <w:t>no se refieren a la oferta</w:t>
      </w:r>
      <w:r w:rsidR="00F62172" w:rsidRPr="00890E6F">
        <w:rPr>
          <w:rFonts w:ascii="Arial" w:eastAsia="Calibri" w:hAnsi="Arial" w:cs="Arial"/>
          <w:bCs/>
          <w:sz w:val="22"/>
          <w:szCs w:val="22"/>
        </w:rPr>
        <w:t xml:space="preserve"> mism</w:t>
      </w:r>
      <w:r w:rsidR="00512BC0" w:rsidRPr="00890E6F">
        <w:rPr>
          <w:rFonts w:ascii="Arial" w:eastAsia="Calibri" w:hAnsi="Arial" w:cs="Arial"/>
          <w:bCs/>
          <w:sz w:val="22"/>
          <w:szCs w:val="22"/>
        </w:rPr>
        <w:t>a</w:t>
      </w:r>
      <w:r w:rsidR="00F62172" w:rsidRPr="00890E6F">
        <w:rPr>
          <w:rFonts w:ascii="Arial" w:eastAsia="Calibri" w:hAnsi="Arial" w:cs="Arial"/>
          <w:bCs/>
          <w:sz w:val="22"/>
          <w:szCs w:val="22"/>
        </w:rPr>
        <w:t xml:space="preserve"> sino </w:t>
      </w:r>
      <w:r w:rsidR="00AF1FBF" w:rsidRPr="00890E6F">
        <w:rPr>
          <w:rFonts w:ascii="Arial" w:eastAsia="Calibri" w:hAnsi="Arial" w:cs="Arial"/>
          <w:bCs/>
          <w:sz w:val="22"/>
          <w:szCs w:val="22"/>
        </w:rPr>
        <w:t>l</w:t>
      </w:r>
      <w:r w:rsidR="00F62172" w:rsidRPr="00890E6F">
        <w:rPr>
          <w:rFonts w:ascii="Arial" w:eastAsia="Calibri" w:hAnsi="Arial" w:cs="Arial"/>
          <w:bCs/>
          <w:sz w:val="22"/>
          <w:szCs w:val="22"/>
        </w:rPr>
        <w:t>a idoneidad del oferente para asumir adecuadamente la ejecución del contrato</w:t>
      </w:r>
      <w:r w:rsidR="00AF1FBF" w:rsidRPr="00890E6F">
        <w:rPr>
          <w:rStyle w:val="Refdenotaalpie"/>
          <w:rFonts w:ascii="Arial" w:eastAsia="Calibri" w:hAnsi="Arial" w:cs="Arial"/>
          <w:bCs/>
          <w:sz w:val="22"/>
          <w:szCs w:val="22"/>
        </w:rPr>
        <w:footnoteReference w:id="16"/>
      </w:r>
      <w:r w:rsidR="00AF1FBF" w:rsidRPr="00890E6F">
        <w:rPr>
          <w:rFonts w:ascii="Arial" w:eastAsia="Calibri" w:hAnsi="Arial" w:cs="Arial"/>
          <w:bCs/>
          <w:sz w:val="22"/>
          <w:szCs w:val="22"/>
        </w:rPr>
        <w:t>.</w:t>
      </w:r>
      <w:r w:rsidR="00A928D0" w:rsidRPr="00890E6F">
        <w:rPr>
          <w:rFonts w:ascii="Arial" w:eastAsia="Calibri" w:hAnsi="Arial" w:cs="Arial"/>
          <w:bCs/>
          <w:sz w:val="22"/>
          <w:szCs w:val="22"/>
        </w:rPr>
        <w:t xml:space="preserve"> Los oferentes </w:t>
      </w:r>
      <w:r w:rsidR="0002504E" w:rsidRPr="00890E6F">
        <w:rPr>
          <w:rFonts w:ascii="Arial" w:eastAsia="Calibri" w:hAnsi="Arial" w:cs="Arial"/>
          <w:bCs/>
          <w:sz w:val="22"/>
          <w:szCs w:val="22"/>
        </w:rPr>
        <w:t xml:space="preserve">que cumplan estos requisitos habilitantes son considerados idóneos para ejecutar </w:t>
      </w:r>
      <w:r w:rsidR="0002504E" w:rsidRPr="00890E6F">
        <w:rPr>
          <w:rFonts w:ascii="Arial" w:eastAsia="Calibri" w:hAnsi="Arial" w:cs="Arial"/>
          <w:bCs/>
          <w:sz w:val="22"/>
          <w:szCs w:val="22"/>
        </w:rPr>
        <w:lastRenderedPageBreak/>
        <w:t xml:space="preserve">el objeto contractual, </w:t>
      </w:r>
      <w:r w:rsidR="001A1766" w:rsidRPr="00890E6F">
        <w:rPr>
          <w:rFonts w:ascii="Arial" w:eastAsia="Calibri" w:hAnsi="Arial" w:cs="Arial"/>
          <w:bCs/>
          <w:sz w:val="22"/>
          <w:szCs w:val="22"/>
        </w:rPr>
        <w:t>de manera</w:t>
      </w:r>
      <w:r w:rsidR="0002504E" w:rsidRPr="00890E6F">
        <w:rPr>
          <w:rFonts w:ascii="Arial" w:eastAsia="Calibri" w:hAnsi="Arial" w:cs="Arial"/>
          <w:bCs/>
          <w:sz w:val="22"/>
          <w:szCs w:val="22"/>
        </w:rPr>
        <w:t xml:space="preserve"> que sus ofertas </w:t>
      </w:r>
      <w:r w:rsidR="002B76F5" w:rsidRPr="00890E6F">
        <w:rPr>
          <w:rFonts w:ascii="Arial" w:eastAsia="Calibri" w:hAnsi="Arial" w:cs="Arial"/>
          <w:bCs/>
          <w:sz w:val="22"/>
          <w:szCs w:val="22"/>
        </w:rPr>
        <w:t xml:space="preserve">pueden ser consideradas en la evaluación dirigida a determinar </w:t>
      </w:r>
      <w:r w:rsidR="001A1766" w:rsidRPr="00890E6F">
        <w:rPr>
          <w:rFonts w:ascii="Arial" w:eastAsia="Calibri" w:hAnsi="Arial" w:cs="Arial"/>
          <w:bCs/>
          <w:sz w:val="22"/>
          <w:szCs w:val="22"/>
        </w:rPr>
        <w:t>cuál</w:t>
      </w:r>
      <w:r w:rsidR="002B76F5" w:rsidRPr="00890E6F">
        <w:rPr>
          <w:rFonts w:ascii="Arial" w:eastAsia="Calibri" w:hAnsi="Arial" w:cs="Arial"/>
          <w:bCs/>
          <w:sz w:val="22"/>
          <w:szCs w:val="22"/>
        </w:rPr>
        <w:t xml:space="preserve"> es la </w:t>
      </w:r>
      <w:r w:rsidR="00512BC0" w:rsidRPr="00890E6F">
        <w:rPr>
          <w:rFonts w:ascii="Arial" w:eastAsia="Calibri" w:hAnsi="Arial" w:cs="Arial"/>
          <w:bCs/>
          <w:sz w:val="22"/>
          <w:szCs w:val="22"/>
        </w:rPr>
        <w:t xml:space="preserve">más </w:t>
      </w:r>
      <w:r w:rsidR="002B76F5" w:rsidRPr="00890E6F">
        <w:rPr>
          <w:rFonts w:ascii="Arial" w:eastAsia="Calibri" w:hAnsi="Arial" w:cs="Arial"/>
          <w:bCs/>
          <w:sz w:val="22"/>
          <w:szCs w:val="22"/>
        </w:rPr>
        <w:t>favorable para la entidad y los fines de la contratación.</w:t>
      </w:r>
    </w:p>
    <w:p w14:paraId="3A672258" w14:textId="4BB3B4BD" w:rsidR="00DB1142" w:rsidRPr="00890E6F" w:rsidRDefault="00871B2E" w:rsidP="00EB2ED0">
      <w:pPr>
        <w:tabs>
          <w:tab w:val="left" w:pos="0"/>
        </w:tabs>
        <w:spacing w:after="120" w:line="276" w:lineRule="auto"/>
        <w:jc w:val="both"/>
        <w:rPr>
          <w:rFonts w:ascii="Arial" w:hAnsi="Arial" w:cs="Arial"/>
          <w:sz w:val="22"/>
          <w:szCs w:val="22"/>
        </w:rPr>
      </w:pPr>
      <w:r w:rsidRPr="00890E6F">
        <w:rPr>
          <w:rFonts w:ascii="Arial" w:eastAsia="Calibri" w:hAnsi="Arial" w:cs="Arial"/>
          <w:bCs/>
          <w:sz w:val="22"/>
          <w:szCs w:val="22"/>
        </w:rPr>
        <w:tab/>
      </w:r>
      <w:r w:rsidR="005107E3" w:rsidRPr="00890E6F">
        <w:rPr>
          <w:rFonts w:ascii="Arial" w:eastAsia="Calibri" w:hAnsi="Arial" w:cs="Arial"/>
          <w:bCs/>
          <w:sz w:val="22"/>
          <w:szCs w:val="22"/>
        </w:rPr>
        <w:t xml:space="preserve">En contraposición </w:t>
      </w:r>
      <w:r w:rsidR="00A50238" w:rsidRPr="00890E6F">
        <w:rPr>
          <w:rFonts w:ascii="Arial" w:eastAsia="Calibri" w:hAnsi="Arial" w:cs="Arial"/>
          <w:bCs/>
          <w:sz w:val="22"/>
          <w:szCs w:val="22"/>
        </w:rPr>
        <w:t>a</w:t>
      </w:r>
      <w:r w:rsidR="005107E3" w:rsidRPr="00890E6F">
        <w:rPr>
          <w:rFonts w:ascii="Arial" w:eastAsia="Calibri" w:hAnsi="Arial" w:cs="Arial"/>
          <w:bCs/>
          <w:sz w:val="22"/>
          <w:szCs w:val="22"/>
        </w:rPr>
        <w:t xml:space="preserve"> </w:t>
      </w:r>
      <w:r w:rsidR="00A50238" w:rsidRPr="00890E6F">
        <w:rPr>
          <w:rFonts w:ascii="Arial" w:eastAsia="Calibri" w:hAnsi="Arial" w:cs="Arial"/>
          <w:bCs/>
          <w:sz w:val="22"/>
          <w:szCs w:val="22"/>
        </w:rPr>
        <w:t>los requisitos habilitantes</w:t>
      </w:r>
      <w:r w:rsidR="005107E3" w:rsidRPr="00890E6F">
        <w:rPr>
          <w:rFonts w:ascii="Arial" w:eastAsia="Calibri" w:hAnsi="Arial" w:cs="Arial"/>
          <w:bCs/>
          <w:sz w:val="22"/>
          <w:szCs w:val="22"/>
        </w:rPr>
        <w:t>, el artículo 5 de la Ley 1150 de 2007</w:t>
      </w:r>
      <w:r w:rsidR="001A1766" w:rsidRPr="00890E6F">
        <w:rPr>
          <w:rFonts w:ascii="Arial" w:eastAsia="Calibri" w:hAnsi="Arial" w:cs="Arial"/>
          <w:bCs/>
          <w:sz w:val="22"/>
          <w:szCs w:val="22"/>
        </w:rPr>
        <w:t xml:space="preserve"> regula los</w:t>
      </w:r>
      <w:r w:rsidR="00A50238" w:rsidRPr="00890E6F">
        <w:rPr>
          <w:rFonts w:ascii="Arial" w:eastAsia="Calibri" w:hAnsi="Arial" w:cs="Arial"/>
          <w:bCs/>
          <w:sz w:val="22"/>
          <w:szCs w:val="22"/>
        </w:rPr>
        <w:t xml:space="preserve"> factores </w:t>
      </w:r>
      <w:r w:rsidR="008641D5" w:rsidRPr="00890E6F">
        <w:rPr>
          <w:rFonts w:ascii="Arial" w:eastAsia="Calibri" w:hAnsi="Arial" w:cs="Arial"/>
          <w:bCs/>
          <w:sz w:val="22"/>
          <w:szCs w:val="22"/>
        </w:rPr>
        <w:t xml:space="preserve">dirigidos a determinar </w:t>
      </w:r>
      <w:r w:rsidR="00C77E99" w:rsidRPr="00890E6F">
        <w:rPr>
          <w:rFonts w:ascii="Arial" w:eastAsia="Calibri" w:hAnsi="Arial" w:cs="Arial"/>
          <w:bCs/>
          <w:sz w:val="22"/>
          <w:szCs w:val="22"/>
        </w:rPr>
        <w:t>cuál</w:t>
      </w:r>
      <w:r w:rsidR="008641D5" w:rsidRPr="00890E6F">
        <w:rPr>
          <w:rFonts w:ascii="Arial" w:eastAsia="Calibri" w:hAnsi="Arial" w:cs="Arial"/>
          <w:bCs/>
          <w:sz w:val="22"/>
          <w:szCs w:val="22"/>
        </w:rPr>
        <w:t xml:space="preserve"> es la propuesta más favorable</w:t>
      </w:r>
      <w:r w:rsidR="00512BC0" w:rsidRPr="00890E6F">
        <w:rPr>
          <w:rFonts w:ascii="Arial" w:eastAsia="Calibri" w:hAnsi="Arial" w:cs="Arial"/>
          <w:bCs/>
          <w:sz w:val="22"/>
          <w:szCs w:val="22"/>
        </w:rPr>
        <w:t>.</w:t>
      </w:r>
      <w:r w:rsidR="008641D5" w:rsidRPr="00890E6F">
        <w:rPr>
          <w:rFonts w:ascii="Arial" w:eastAsia="Calibri" w:hAnsi="Arial" w:cs="Arial"/>
          <w:bCs/>
          <w:sz w:val="22"/>
          <w:szCs w:val="22"/>
        </w:rPr>
        <w:t xml:space="preserve"> En ese sentido, el inciso primero </w:t>
      </w:r>
      <w:r w:rsidR="00A17CA5" w:rsidRPr="00890E6F">
        <w:rPr>
          <w:rFonts w:ascii="Arial" w:eastAsia="Calibri" w:hAnsi="Arial" w:cs="Arial"/>
          <w:bCs/>
          <w:sz w:val="22"/>
          <w:szCs w:val="22"/>
        </w:rPr>
        <w:t>dispone los</w:t>
      </w:r>
      <w:r w:rsidR="008641D5" w:rsidRPr="00890E6F">
        <w:rPr>
          <w:rFonts w:ascii="Arial" w:eastAsia="Calibri" w:hAnsi="Arial" w:cs="Arial"/>
          <w:bCs/>
          <w:sz w:val="22"/>
          <w:szCs w:val="22"/>
        </w:rPr>
        <w:t xml:space="preserve"> </w:t>
      </w:r>
      <w:r w:rsidR="00C77E99" w:rsidRPr="00890E6F">
        <w:rPr>
          <w:rFonts w:ascii="Arial" w:eastAsia="Calibri" w:hAnsi="Arial" w:cs="Arial"/>
          <w:bCs/>
          <w:sz w:val="22"/>
          <w:szCs w:val="22"/>
        </w:rPr>
        <w:t>factores de escogencia y calificación que debe</w:t>
      </w:r>
      <w:r w:rsidR="008E6F19" w:rsidRPr="00890E6F">
        <w:rPr>
          <w:rFonts w:ascii="Arial" w:eastAsia="Calibri" w:hAnsi="Arial" w:cs="Arial"/>
          <w:bCs/>
          <w:sz w:val="22"/>
          <w:szCs w:val="22"/>
        </w:rPr>
        <w:t xml:space="preserve">n </w:t>
      </w:r>
      <w:r w:rsidR="00A17CA5" w:rsidRPr="00890E6F">
        <w:rPr>
          <w:rFonts w:ascii="Arial" w:eastAsia="Calibri" w:hAnsi="Arial" w:cs="Arial"/>
          <w:bCs/>
          <w:sz w:val="22"/>
          <w:szCs w:val="22"/>
        </w:rPr>
        <w:t>indicarse</w:t>
      </w:r>
      <w:r w:rsidR="008E6F19" w:rsidRPr="00890E6F">
        <w:rPr>
          <w:rFonts w:ascii="Arial" w:eastAsia="Calibri" w:hAnsi="Arial" w:cs="Arial"/>
          <w:bCs/>
          <w:sz w:val="22"/>
          <w:szCs w:val="22"/>
        </w:rPr>
        <w:t xml:space="preserve"> en los pliegos de condiciones. </w:t>
      </w:r>
      <w:r w:rsidR="00A17CA5" w:rsidRPr="00890E6F">
        <w:rPr>
          <w:rFonts w:ascii="Arial" w:eastAsia="Calibri" w:hAnsi="Arial" w:cs="Arial"/>
          <w:bCs/>
          <w:sz w:val="22"/>
          <w:szCs w:val="22"/>
        </w:rPr>
        <w:t>E</w:t>
      </w:r>
      <w:r w:rsidR="00793C6A" w:rsidRPr="00890E6F">
        <w:rPr>
          <w:rFonts w:ascii="Arial" w:eastAsia="Calibri" w:hAnsi="Arial" w:cs="Arial"/>
          <w:bCs/>
          <w:sz w:val="22"/>
          <w:szCs w:val="22"/>
        </w:rPr>
        <w:t xml:space="preserve">l numeral 2 de </w:t>
      </w:r>
      <w:r w:rsidR="00DE5716" w:rsidRPr="00890E6F">
        <w:rPr>
          <w:rFonts w:ascii="Arial" w:eastAsia="Calibri" w:hAnsi="Arial" w:cs="Arial"/>
          <w:bCs/>
          <w:sz w:val="22"/>
          <w:szCs w:val="22"/>
        </w:rPr>
        <w:t>esta</w:t>
      </w:r>
      <w:r w:rsidR="00793C6A" w:rsidRPr="00890E6F">
        <w:rPr>
          <w:rFonts w:ascii="Arial" w:eastAsia="Calibri" w:hAnsi="Arial" w:cs="Arial"/>
          <w:bCs/>
          <w:sz w:val="22"/>
          <w:szCs w:val="22"/>
        </w:rPr>
        <w:t xml:space="preserve"> norma</w:t>
      </w:r>
      <w:r w:rsidR="00DE5716" w:rsidRPr="00890E6F">
        <w:rPr>
          <w:rFonts w:ascii="Arial" w:eastAsia="Calibri" w:hAnsi="Arial" w:cs="Arial"/>
          <w:bCs/>
          <w:sz w:val="22"/>
          <w:szCs w:val="22"/>
        </w:rPr>
        <w:t xml:space="preserve"> </w:t>
      </w:r>
      <w:r w:rsidR="00793C6A" w:rsidRPr="00890E6F">
        <w:rPr>
          <w:rFonts w:ascii="Arial" w:eastAsia="Calibri" w:hAnsi="Arial" w:cs="Arial"/>
          <w:bCs/>
          <w:sz w:val="22"/>
          <w:szCs w:val="22"/>
        </w:rPr>
        <w:t>establece que la oferta más favorable</w:t>
      </w:r>
      <w:r w:rsidR="00FF5914" w:rsidRPr="00890E6F">
        <w:rPr>
          <w:rFonts w:ascii="Arial" w:eastAsia="Calibri" w:hAnsi="Arial" w:cs="Arial"/>
          <w:bCs/>
          <w:sz w:val="22"/>
          <w:szCs w:val="22"/>
        </w:rPr>
        <w:t xml:space="preserve"> es aquella que</w:t>
      </w:r>
      <w:r w:rsidR="00C144E4" w:rsidRPr="00890E6F">
        <w:rPr>
          <w:rFonts w:ascii="Arial" w:eastAsia="Calibri" w:hAnsi="Arial" w:cs="Arial"/>
          <w:bCs/>
          <w:sz w:val="22"/>
          <w:szCs w:val="22"/>
        </w:rPr>
        <w:t xml:space="preserve"> resulte ser la más ventajosa para la entidad, </w:t>
      </w:r>
      <w:r w:rsidR="00B50C5B" w:rsidRPr="00890E6F">
        <w:rPr>
          <w:rFonts w:ascii="Arial" w:eastAsia="Calibri" w:hAnsi="Arial" w:cs="Arial"/>
          <w:bCs/>
          <w:sz w:val="22"/>
          <w:szCs w:val="22"/>
        </w:rPr>
        <w:t>una vez se realice</w:t>
      </w:r>
      <w:r w:rsidR="00C144E4" w:rsidRPr="00890E6F">
        <w:rPr>
          <w:rFonts w:ascii="Arial" w:eastAsia="Calibri" w:hAnsi="Arial" w:cs="Arial"/>
          <w:bCs/>
          <w:sz w:val="22"/>
          <w:szCs w:val="22"/>
        </w:rPr>
        <w:t xml:space="preserve"> la ponderación</w:t>
      </w:r>
      <w:r w:rsidR="00FF5914" w:rsidRPr="00890E6F">
        <w:rPr>
          <w:rFonts w:ascii="Arial" w:eastAsia="Calibri" w:hAnsi="Arial" w:cs="Arial"/>
          <w:bCs/>
          <w:sz w:val="22"/>
          <w:szCs w:val="22"/>
        </w:rPr>
        <w:t xml:space="preserve"> precisa y detallada </w:t>
      </w:r>
      <w:r w:rsidR="00C144E4" w:rsidRPr="00890E6F">
        <w:rPr>
          <w:rFonts w:ascii="Arial" w:eastAsia="Calibri" w:hAnsi="Arial" w:cs="Arial"/>
          <w:bCs/>
          <w:sz w:val="22"/>
          <w:szCs w:val="22"/>
        </w:rPr>
        <w:t xml:space="preserve">de </w:t>
      </w:r>
      <w:r w:rsidR="00793C6A" w:rsidRPr="00890E6F">
        <w:rPr>
          <w:rFonts w:ascii="Arial" w:hAnsi="Arial" w:cs="Arial"/>
          <w:sz w:val="22"/>
          <w:szCs w:val="22"/>
        </w:rPr>
        <w:t>los factores técnicos y económicos de escogencia</w:t>
      </w:r>
      <w:r w:rsidR="00FB47C3" w:rsidRPr="00890E6F">
        <w:rPr>
          <w:rFonts w:ascii="Arial" w:hAnsi="Arial" w:cs="Arial"/>
          <w:sz w:val="22"/>
          <w:szCs w:val="22"/>
        </w:rPr>
        <w:t xml:space="preserve">, </w:t>
      </w:r>
      <w:r w:rsidR="00C144E4" w:rsidRPr="00890E6F">
        <w:rPr>
          <w:rFonts w:ascii="Arial" w:hAnsi="Arial" w:cs="Arial"/>
          <w:sz w:val="22"/>
          <w:szCs w:val="22"/>
        </w:rPr>
        <w:t>de acuerdo con</w:t>
      </w:r>
      <w:r w:rsidR="000D6B6C" w:rsidRPr="00890E6F">
        <w:rPr>
          <w:rFonts w:ascii="Arial" w:hAnsi="Arial" w:cs="Arial"/>
          <w:sz w:val="22"/>
          <w:szCs w:val="22"/>
        </w:rPr>
        <w:t xml:space="preserve"> los</w:t>
      </w:r>
      <w:r w:rsidR="00C144E4" w:rsidRPr="00890E6F">
        <w:rPr>
          <w:rFonts w:ascii="Arial" w:hAnsi="Arial" w:cs="Arial"/>
          <w:sz w:val="22"/>
          <w:szCs w:val="22"/>
        </w:rPr>
        <w:t xml:space="preserve"> parámetros establecidos en los pliegos de condiciones o equivalentes</w:t>
      </w:r>
      <w:r w:rsidR="000D6B6C" w:rsidRPr="00890E6F">
        <w:rPr>
          <w:rFonts w:ascii="Arial" w:hAnsi="Arial" w:cs="Arial"/>
          <w:sz w:val="22"/>
          <w:szCs w:val="22"/>
        </w:rPr>
        <w:t xml:space="preserve"> que permiten la comparación de ofertas.</w:t>
      </w:r>
      <w:r w:rsidR="00BD2640" w:rsidRPr="00890E6F">
        <w:rPr>
          <w:rFonts w:ascii="Arial" w:hAnsi="Arial" w:cs="Arial"/>
          <w:sz w:val="22"/>
          <w:szCs w:val="22"/>
        </w:rPr>
        <w:t xml:space="preserve"> </w:t>
      </w:r>
      <w:r w:rsidR="00512BC0" w:rsidRPr="00890E6F">
        <w:rPr>
          <w:rFonts w:ascii="Arial" w:hAnsi="Arial" w:cs="Arial"/>
          <w:sz w:val="22"/>
          <w:szCs w:val="22"/>
        </w:rPr>
        <w:t xml:space="preserve"> Este</w:t>
      </w:r>
      <w:r w:rsidR="004622A6" w:rsidRPr="00890E6F">
        <w:rPr>
          <w:rFonts w:ascii="Arial" w:hAnsi="Arial" w:cs="Arial"/>
          <w:sz w:val="22"/>
          <w:szCs w:val="22"/>
        </w:rPr>
        <w:t xml:space="preserve"> numeral </w:t>
      </w:r>
      <w:r w:rsidR="00BE5487" w:rsidRPr="00890E6F">
        <w:rPr>
          <w:rFonts w:ascii="Arial" w:hAnsi="Arial" w:cs="Arial"/>
          <w:sz w:val="22"/>
          <w:szCs w:val="22"/>
        </w:rPr>
        <w:t>2</w:t>
      </w:r>
      <w:r w:rsidR="004622A6" w:rsidRPr="00890E6F">
        <w:rPr>
          <w:rFonts w:ascii="Arial" w:hAnsi="Arial" w:cs="Arial"/>
          <w:sz w:val="22"/>
          <w:szCs w:val="22"/>
        </w:rPr>
        <w:t xml:space="preserve"> </w:t>
      </w:r>
      <w:r w:rsidR="00DE5716" w:rsidRPr="00890E6F">
        <w:rPr>
          <w:rFonts w:ascii="Arial" w:hAnsi="Arial" w:cs="Arial"/>
          <w:sz w:val="22"/>
          <w:szCs w:val="22"/>
        </w:rPr>
        <w:t>se divide</w:t>
      </w:r>
      <w:r w:rsidR="004622A6" w:rsidRPr="00890E6F">
        <w:rPr>
          <w:rFonts w:ascii="Arial" w:hAnsi="Arial" w:cs="Arial"/>
          <w:sz w:val="22"/>
          <w:szCs w:val="22"/>
        </w:rPr>
        <w:t xml:space="preserve"> en dos </w:t>
      </w:r>
      <w:r w:rsidR="00BE5487" w:rsidRPr="00890E6F">
        <w:rPr>
          <w:rFonts w:ascii="Arial" w:hAnsi="Arial" w:cs="Arial"/>
          <w:sz w:val="22"/>
          <w:szCs w:val="22"/>
        </w:rPr>
        <w:t>literales, cada uno de los cuales</w:t>
      </w:r>
      <w:r w:rsidR="002113CF" w:rsidRPr="00890E6F">
        <w:rPr>
          <w:rFonts w:ascii="Arial" w:hAnsi="Arial" w:cs="Arial"/>
          <w:sz w:val="22"/>
          <w:szCs w:val="22"/>
        </w:rPr>
        <w:t xml:space="preserve"> </w:t>
      </w:r>
      <w:r w:rsidR="00F246FF" w:rsidRPr="00890E6F">
        <w:rPr>
          <w:rFonts w:ascii="Arial" w:hAnsi="Arial" w:cs="Arial"/>
          <w:sz w:val="22"/>
          <w:szCs w:val="22"/>
        </w:rPr>
        <w:t>hace referencia a los mecanismos por los que pueden optar las entidades para ponderar los</w:t>
      </w:r>
      <w:r w:rsidR="009512EA" w:rsidRPr="00890E6F">
        <w:rPr>
          <w:rFonts w:ascii="Arial" w:hAnsi="Arial" w:cs="Arial"/>
          <w:sz w:val="22"/>
          <w:szCs w:val="22"/>
        </w:rPr>
        <w:t xml:space="preserve"> elementos de calidad y preci</w:t>
      </w:r>
      <w:r w:rsidR="00B32D71" w:rsidRPr="00890E6F">
        <w:rPr>
          <w:rFonts w:ascii="Arial" w:hAnsi="Arial" w:cs="Arial"/>
          <w:sz w:val="22"/>
          <w:szCs w:val="22"/>
        </w:rPr>
        <w:t>o</w:t>
      </w:r>
      <w:r w:rsidR="00F246FF" w:rsidRPr="00890E6F">
        <w:rPr>
          <w:rFonts w:ascii="Arial" w:hAnsi="Arial" w:cs="Arial"/>
          <w:sz w:val="22"/>
          <w:szCs w:val="22"/>
        </w:rPr>
        <w:t xml:space="preserve"> de las ofertas</w:t>
      </w:r>
      <w:r w:rsidR="00B32D71" w:rsidRPr="00890E6F">
        <w:rPr>
          <w:rFonts w:ascii="Arial" w:hAnsi="Arial" w:cs="Arial"/>
          <w:sz w:val="22"/>
          <w:szCs w:val="22"/>
        </w:rPr>
        <w:t xml:space="preserve">. El literal a) </w:t>
      </w:r>
      <w:r w:rsidR="00DE5716" w:rsidRPr="00890E6F">
        <w:rPr>
          <w:rFonts w:ascii="Arial" w:hAnsi="Arial" w:cs="Arial"/>
          <w:sz w:val="22"/>
          <w:szCs w:val="22"/>
        </w:rPr>
        <w:t>alude</w:t>
      </w:r>
      <w:r w:rsidR="00B32D71" w:rsidRPr="00890E6F">
        <w:rPr>
          <w:rFonts w:ascii="Arial" w:hAnsi="Arial" w:cs="Arial"/>
          <w:sz w:val="22"/>
          <w:szCs w:val="22"/>
        </w:rPr>
        <w:t xml:space="preserve"> a la po</w:t>
      </w:r>
      <w:r w:rsidR="00C205EF" w:rsidRPr="00890E6F">
        <w:rPr>
          <w:rFonts w:ascii="Arial" w:hAnsi="Arial" w:cs="Arial"/>
          <w:sz w:val="22"/>
          <w:szCs w:val="22"/>
        </w:rPr>
        <w:t>n</w:t>
      </w:r>
      <w:r w:rsidR="00B32D71" w:rsidRPr="00890E6F">
        <w:rPr>
          <w:rFonts w:ascii="Arial" w:hAnsi="Arial" w:cs="Arial"/>
          <w:sz w:val="22"/>
          <w:szCs w:val="22"/>
        </w:rPr>
        <w:t>deración de lo</w:t>
      </w:r>
      <w:r w:rsidR="00C205EF" w:rsidRPr="00890E6F">
        <w:rPr>
          <w:rFonts w:ascii="Arial" w:hAnsi="Arial" w:cs="Arial"/>
          <w:sz w:val="22"/>
          <w:szCs w:val="22"/>
        </w:rPr>
        <w:t xml:space="preserve">s referidos elementos mediante puntajes </w:t>
      </w:r>
      <w:r w:rsidR="00906166" w:rsidRPr="00890E6F">
        <w:rPr>
          <w:rFonts w:ascii="Arial" w:hAnsi="Arial" w:cs="Arial"/>
          <w:sz w:val="22"/>
          <w:szCs w:val="22"/>
        </w:rPr>
        <w:t>o</w:t>
      </w:r>
      <w:r w:rsidR="00C205EF" w:rsidRPr="00890E6F">
        <w:rPr>
          <w:rFonts w:ascii="Arial" w:hAnsi="Arial" w:cs="Arial"/>
          <w:sz w:val="22"/>
          <w:szCs w:val="22"/>
        </w:rPr>
        <w:t xml:space="preserve"> f</w:t>
      </w:r>
      <w:r w:rsidR="00DE5716" w:rsidRPr="00890E6F">
        <w:rPr>
          <w:rFonts w:ascii="Arial" w:hAnsi="Arial" w:cs="Arial"/>
          <w:sz w:val="22"/>
          <w:szCs w:val="22"/>
        </w:rPr>
        <w:t>ó</w:t>
      </w:r>
      <w:r w:rsidR="00C205EF" w:rsidRPr="00890E6F">
        <w:rPr>
          <w:rFonts w:ascii="Arial" w:hAnsi="Arial" w:cs="Arial"/>
          <w:sz w:val="22"/>
          <w:szCs w:val="22"/>
        </w:rPr>
        <w:t>rmulas</w:t>
      </w:r>
      <w:r w:rsidR="00DE5716" w:rsidRPr="00890E6F">
        <w:rPr>
          <w:rFonts w:ascii="Arial" w:hAnsi="Arial" w:cs="Arial"/>
          <w:sz w:val="22"/>
          <w:szCs w:val="22"/>
        </w:rPr>
        <w:t>,</w:t>
      </w:r>
      <w:r w:rsidR="00C205EF" w:rsidRPr="00890E6F">
        <w:rPr>
          <w:rFonts w:ascii="Arial" w:hAnsi="Arial" w:cs="Arial"/>
          <w:sz w:val="22"/>
          <w:szCs w:val="22"/>
        </w:rPr>
        <w:t xml:space="preserve"> </w:t>
      </w:r>
      <w:r w:rsidR="00F246FF" w:rsidRPr="00890E6F">
        <w:rPr>
          <w:rFonts w:ascii="Arial" w:hAnsi="Arial" w:cs="Arial"/>
          <w:sz w:val="22"/>
          <w:szCs w:val="22"/>
        </w:rPr>
        <w:t>mientras que el literal</w:t>
      </w:r>
      <w:r w:rsidR="00C205EF" w:rsidRPr="00890E6F">
        <w:rPr>
          <w:rFonts w:ascii="Arial" w:hAnsi="Arial" w:cs="Arial"/>
          <w:sz w:val="22"/>
          <w:szCs w:val="22"/>
        </w:rPr>
        <w:t xml:space="preserve"> b)</w:t>
      </w:r>
      <w:r w:rsidR="00F246FF" w:rsidRPr="00890E6F">
        <w:rPr>
          <w:rFonts w:ascii="Arial" w:hAnsi="Arial" w:cs="Arial"/>
          <w:sz w:val="22"/>
          <w:szCs w:val="22"/>
        </w:rPr>
        <w:t xml:space="preserve"> se refie</w:t>
      </w:r>
      <w:r w:rsidR="00C403CD" w:rsidRPr="00890E6F">
        <w:rPr>
          <w:rFonts w:ascii="Arial" w:hAnsi="Arial" w:cs="Arial"/>
          <w:sz w:val="22"/>
          <w:szCs w:val="22"/>
        </w:rPr>
        <w:t>re</w:t>
      </w:r>
      <w:r w:rsidR="00C205EF" w:rsidRPr="00890E6F">
        <w:rPr>
          <w:rFonts w:ascii="Arial" w:hAnsi="Arial" w:cs="Arial"/>
          <w:sz w:val="22"/>
          <w:szCs w:val="22"/>
        </w:rPr>
        <w:t xml:space="preserve"> </w:t>
      </w:r>
      <w:r w:rsidR="0061512C" w:rsidRPr="00890E6F">
        <w:rPr>
          <w:rFonts w:ascii="Arial" w:hAnsi="Arial" w:cs="Arial"/>
          <w:sz w:val="22"/>
          <w:szCs w:val="22"/>
        </w:rPr>
        <w:t xml:space="preserve">la elección de la oferta </w:t>
      </w:r>
      <w:r w:rsidR="006A0ADE" w:rsidRPr="00890E6F">
        <w:rPr>
          <w:rFonts w:ascii="Arial" w:hAnsi="Arial" w:cs="Arial"/>
          <w:sz w:val="22"/>
          <w:szCs w:val="22"/>
        </w:rPr>
        <w:t>que represent</w:t>
      </w:r>
      <w:r w:rsidR="00C403CD" w:rsidRPr="00890E6F">
        <w:rPr>
          <w:rFonts w:ascii="Arial" w:hAnsi="Arial" w:cs="Arial"/>
          <w:sz w:val="22"/>
          <w:szCs w:val="22"/>
        </w:rPr>
        <w:t>e</w:t>
      </w:r>
      <w:r w:rsidR="006A0ADE" w:rsidRPr="00890E6F">
        <w:rPr>
          <w:rFonts w:ascii="Arial" w:hAnsi="Arial" w:cs="Arial"/>
          <w:sz w:val="22"/>
          <w:szCs w:val="22"/>
        </w:rPr>
        <w:t xml:space="preserve"> la mejor relación costo</w:t>
      </w:r>
      <w:r w:rsidR="000D241E" w:rsidRPr="00890E6F">
        <w:rPr>
          <w:rFonts w:ascii="Arial" w:hAnsi="Arial" w:cs="Arial"/>
          <w:sz w:val="22"/>
          <w:szCs w:val="22"/>
        </w:rPr>
        <w:t>-</w:t>
      </w:r>
      <w:r w:rsidR="006A0ADE" w:rsidRPr="00890E6F">
        <w:rPr>
          <w:rFonts w:ascii="Arial" w:hAnsi="Arial" w:cs="Arial"/>
          <w:sz w:val="22"/>
          <w:szCs w:val="22"/>
        </w:rPr>
        <w:t>benefici</w:t>
      </w:r>
      <w:r w:rsidR="00C403CD" w:rsidRPr="00890E6F">
        <w:rPr>
          <w:rFonts w:ascii="Arial" w:hAnsi="Arial" w:cs="Arial"/>
          <w:sz w:val="22"/>
          <w:szCs w:val="22"/>
        </w:rPr>
        <w:t>o</w:t>
      </w:r>
      <w:r w:rsidR="00B86C04" w:rsidRPr="00890E6F">
        <w:rPr>
          <w:rFonts w:ascii="Arial" w:hAnsi="Arial" w:cs="Arial"/>
          <w:sz w:val="22"/>
          <w:szCs w:val="22"/>
        </w:rPr>
        <w:t xml:space="preserve"> para la entidad</w:t>
      </w:r>
      <w:r w:rsidR="00280754" w:rsidRPr="00890E6F">
        <w:rPr>
          <w:rFonts w:ascii="Arial" w:hAnsi="Arial" w:cs="Arial"/>
          <w:sz w:val="22"/>
          <w:szCs w:val="22"/>
        </w:rPr>
        <w:t xml:space="preserve">. </w:t>
      </w:r>
    </w:p>
    <w:p w14:paraId="00F9FBC5" w14:textId="2FF33BD5" w:rsidR="00E8617F" w:rsidRPr="00890E6F" w:rsidRDefault="00DB1142" w:rsidP="00EB2ED0">
      <w:pPr>
        <w:tabs>
          <w:tab w:val="left" w:pos="0"/>
        </w:tabs>
        <w:spacing w:after="120" w:line="276" w:lineRule="auto"/>
        <w:jc w:val="both"/>
        <w:rPr>
          <w:rFonts w:ascii="Arial" w:hAnsi="Arial" w:cs="Arial"/>
          <w:sz w:val="22"/>
          <w:szCs w:val="22"/>
        </w:rPr>
      </w:pPr>
      <w:r w:rsidRPr="00890E6F">
        <w:rPr>
          <w:rFonts w:ascii="Arial" w:hAnsi="Arial" w:cs="Arial"/>
          <w:sz w:val="22"/>
          <w:szCs w:val="22"/>
        </w:rPr>
        <w:tab/>
      </w:r>
      <w:r w:rsidR="002F6FF9" w:rsidRPr="00890E6F">
        <w:rPr>
          <w:rFonts w:ascii="Arial" w:hAnsi="Arial" w:cs="Arial"/>
          <w:sz w:val="22"/>
          <w:szCs w:val="22"/>
        </w:rPr>
        <w:t>Por su parte, el numeral 3 establece que en los procesos de selección</w:t>
      </w:r>
      <w:r w:rsidR="00133ED2" w:rsidRPr="00890E6F">
        <w:rPr>
          <w:rFonts w:ascii="Arial" w:hAnsi="Arial" w:cs="Arial"/>
          <w:sz w:val="22"/>
          <w:szCs w:val="22"/>
        </w:rPr>
        <w:t xml:space="preserve"> de bienes y servicios de características técnicas uniformes y de común utilización</w:t>
      </w:r>
      <w:r w:rsidR="009767BE" w:rsidRPr="00890E6F">
        <w:rPr>
          <w:rFonts w:ascii="Arial" w:hAnsi="Arial" w:cs="Arial"/>
          <w:sz w:val="22"/>
          <w:szCs w:val="22"/>
        </w:rPr>
        <w:t xml:space="preserve"> el único factor de evaluación</w:t>
      </w:r>
      <w:r w:rsidR="00245B9E" w:rsidRPr="00890E6F">
        <w:rPr>
          <w:rFonts w:ascii="Arial" w:hAnsi="Arial" w:cs="Arial"/>
          <w:sz w:val="22"/>
          <w:szCs w:val="22"/>
        </w:rPr>
        <w:t xml:space="preserve"> </w:t>
      </w:r>
      <w:r w:rsidR="005C514F" w:rsidRPr="00890E6F">
        <w:rPr>
          <w:rFonts w:ascii="Arial" w:hAnsi="Arial" w:cs="Arial"/>
          <w:sz w:val="22"/>
          <w:szCs w:val="22"/>
        </w:rPr>
        <w:t>consiste en</w:t>
      </w:r>
      <w:r w:rsidR="00245B9E" w:rsidRPr="00890E6F">
        <w:rPr>
          <w:rFonts w:ascii="Arial" w:hAnsi="Arial" w:cs="Arial"/>
          <w:sz w:val="22"/>
          <w:szCs w:val="22"/>
        </w:rPr>
        <w:t xml:space="preserve"> el menor precio.</w:t>
      </w:r>
      <w:r w:rsidR="00C403CD" w:rsidRPr="00890E6F">
        <w:rPr>
          <w:rFonts w:ascii="Arial" w:hAnsi="Arial" w:cs="Arial"/>
          <w:sz w:val="22"/>
          <w:szCs w:val="22"/>
        </w:rPr>
        <w:t xml:space="preserve"> Por último, el numeral </w:t>
      </w:r>
      <w:r w:rsidR="00604622" w:rsidRPr="00890E6F">
        <w:rPr>
          <w:rFonts w:ascii="Arial" w:hAnsi="Arial" w:cs="Arial"/>
          <w:sz w:val="22"/>
          <w:szCs w:val="22"/>
        </w:rPr>
        <w:t>4</w:t>
      </w:r>
      <w:r w:rsidR="00601055" w:rsidRPr="00890E6F">
        <w:rPr>
          <w:rFonts w:ascii="Arial" w:hAnsi="Arial" w:cs="Arial"/>
          <w:sz w:val="22"/>
          <w:szCs w:val="22"/>
        </w:rPr>
        <w:t>, referente a procedimientos para selección de consultores,</w:t>
      </w:r>
      <w:r w:rsidR="00CA424D" w:rsidRPr="00890E6F">
        <w:rPr>
          <w:rFonts w:ascii="Arial" w:hAnsi="Arial" w:cs="Arial"/>
          <w:sz w:val="22"/>
          <w:szCs w:val="22"/>
        </w:rPr>
        <w:t xml:space="preserve"> </w:t>
      </w:r>
      <w:r w:rsidR="00966948" w:rsidRPr="00890E6F">
        <w:rPr>
          <w:rFonts w:ascii="Arial" w:hAnsi="Arial" w:cs="Arial"/>
          <w:sz w:val="22"/>
          <w:szCs w:val="22"/>
        </w:rPr>
        <w:t>señala que debe hacer</w:t>
      </w:r>
      <w:r w:rsidR="00EC6044" w:rsidRPr="00890E6F">
        <w:rPr>
          <w:rFonts w:ascii="Arial" w:hAnsi="Arial" w:cs="Arial"/>
          <w:sz w:val="22"/>
          <w:szCs w:val="22"/>
        </w:rPr>
        <w:t>se</w:t>
      </w:r>
      <w:r w:rsidR="00966948" w:rsidRPr="00890E6F">
        <w:rPr>
          <w:rFonts w:ascii="Arial" w:hAnsi="Arial" w:cs="Arial"/>
          <w:sz w:val="22"/>
          <w:szCs w:val="22"/>
        </w:rPr>
        <w:t xml:space="preserve"> uso de factores </w:t>
      </w:r>
      <w:r w:rsidR="002B645D" w:rsidRPr="00890E6F">
        <w:rPr>
          <w:rFonts w:ascii="Arial" w:hAnsi="Arial" w:cs="Arial"/>
          <w:sz w:val="22"/>
          <w:szCs w:val="22"/>
        </w:rPr>
        <w:t xml:space="preserve">de </w:t>
      </w:r>
      <w:r w:rsidR="00966948" w:rsidRPr="00890E6F">
        <w:rPr>
          <w:rFonts w:ascii="Arial" w:hAnsi="Arial" w:cs="Arial"/>
          <w:sz w:val="22"/>
          <w:szCs w:val="22"/>
        </w:rPr>
        <w:t>calificación, para</w:t>
      </w:r>
      <w:r w:rsidR="00601055" w:rsidRPr="00890E6F">
        <w:rPr>
          <w:rFonts w:ascii="Arial" w:hAnsi="Arial" w:cs="Arial"/>
          <w:sz w:val="22"/>
          <w:szCs w:val="22"/>
        </w:rPr>
        <w:t xml:space="preserve"> valorar los aspectos técnicos de la oferta</w:t>
      </w:r>
      <w:r w:rsidR="00EC6044" w:rsidRPr="00890E6F">
        <w:rPr>
          <w:rFonts w:ascii="Arial" w:hAnsi="Arial" w:cs="Arial"/>
          <w:sz w:val="22"/>
          <w:szCs w:val="22"/>
        </w:rPr>
        <w:t xml:space="preserve">, permitiendo que entre ellos se </w:t>
      </w:r>
      <w:r w:rsidR="005C514F" w:rsidRPr="00890E6F">
        <w:rPr>
          <w:rFonts w:ascii="Arial" w:hAnsi="Arial" w:cs="Arial"/>
          <w:sz w:val="22"/>
          <w:szCs w:val="22"/>
        </w:rPr>
        <w:t xml:space="preserve">pondere </w:t>
      </w:r>
      <w:r w:rsidR="00EC6044" w:rsidRPr="00890E6F">
        <w:rPr>
          <w:rFonts w:ascii="Arial" w:hAnsi="Arial" w:cs="Arial"/>
          <w:sz w:val="22"/>
          <w:szCs w:val="22"/>
        </w:rPr>
        <w:t>la experiencia.</w:t>
      </w:r>
    </w:p>
    <w:p w14:paraId="36E6F7E3" w14:textId="47BDEF97" w:rsidR="000F4141" w:rsidRPr="00890E6F" w:rsidRDefault="008C3F27" w:rsidP="00EB2ED0">
      <w:pPr>
        <w:tabs>
          <w:tab w:val="left" w:pos="0"/>
        </w:tabs>
        <w:spacing w:line="276" w:lineRule="auto"/>
        <w:jc w:val="both"/>
        <w:rPr>
          <w:rFonts w:ascii="Arial" w:eastAsiaTheme="minorHAnsi" w:hAnsi="Arial" w:cs="Arial"/>
          <w:sz w:val="22"/>
          <w:szCs w:val="22"/>
          <w:lang w:eastAsia="en-US"/>
        </w:rPr>
      </w:pPr>
      <w:r w:rsidRPr="00890E6F">
        <w:rPr>
          <w:rFonts w:ascii="Arial" w:hAnsi="Arial" w:cs="Arial"/>
          <w:sz w:val="22"/>
          <w:szCs w:val="22"/>
        </w:rPr>
        <w:tab/>
        <w:t>Conform</w:t>
      </w:r>
      <w:r w:rsidR="001D6F14" w:rsidRPr="00890E6F">
        <w:rPr>
          <w:rFonts w:ascii="Arial" w:hAnsi="Arial" w:cs="Arial"/>
          <w:sz w:val="22"/>
          <w:szCs w:val="22"/>
        </w:rPr>
        <w:t>e a</w:t>
      </w:r>
      <w:r w:rsidRPr="00890E6F">
        <w:rPr>
          <w:rFonts w:ascii="Arial" w:hAnsi="Arial" w:cs="Arial"/>
          <w:sz w:val="22"/>
          <w:szCs w:val="22"/>
        </w:rPr>
        <w:t xml:space="preserve"> lo anterior, el artículo 5 de la Ley 1150 de 2007, alude a diferentes conceptos como </w:t>
      </w:r>
      <w:r w:rsidR="001D3F00" w:rsidRPr="00890E6F">
        <w:rPr>
          <w:rFonts w:ascii="Arial" w:hAnsi="Arial" w:cs="Arial"/>
          <w:sz w:val="22"/>
          <w:szCs w:val="22"/>
        </w:rPr>
        <w:t>factores de escogencia</w:t>
      </w:r>
      <w:r w:rsidR="00DB1142" w:rsidRPr="00890E6F">
        <w:rPr>
          <w:rFonts w:ascii="Arial" w:hAnsi="Arial" w:cs="Arial"/>
          <w:sz w:val="22"/>
          <w:szCs w:val="22"/>
        </w:rPr>
        <w:t>,</w:t>
      </w:r>
      <w:r w:rsidR="00A622EA" w:rsidRPr="00890E6F">
        <w:rPr>
          <w:rFonts w:ascii="Arial" w:hAnsi="Arial" w:cs="Arial"/>
          <w:sz w:val="22"/>
          <w:szCs w:val="22"/>
        </w:rPr>
        <w:t xml:space="preserve"> de</w:t>
      </w:r>
      <w:r w:rsidR="0048478C" w:rsidRPr="00890E6F">
        <w:rPr>
          <w:rFonts w:ascii="Arial" w:hAnsi="Arial" w:cs="Arial"/>
          <w:sz w:val="22"/>
          <w:szCs w:val="22"/>
        </w:rPr>
        <w:t xml:space="preserve"> calificación</w:t>
      </w:r>
      <w:r w:rsidR="001D3F00" w:rsidRPr="00890E6F">
        <w:rPr>
          <w:rFonts w:ascii="Arial" w:hAnsi="Arial" w:cs="Arial"/>
          <w:sz w:val="22"/>
          <w:szCs w:val="22"/>
        </w:rPr>
        <w:t>,</w:t>
      </w:r>
      <w:r w:rsidR="003F051D" w:rsidRPr="00890E6F">
        <w:rPr>
          <w:rFonts w:ascii="Arial" w:hAnsi="Arial" w:cs="Arial"/>
          <w:sz w:val="22"/>
          <w:szCs w:val="22"/>
        </w:rPr>
        <w:t xml:space="preserve"> </w:t>
      </w:r>
      <w:r w:rsidR="0048478C" w:rsidRPr="00890E6F">
        <w:rPr>
          <w:rFonts w:ascii="Arial" w:hAnsi="Arial" w:cs="Arial"/>
          <w:sz w:val="22"/>
          <w:szCs w:val="22"/>
        </w:rPr>
        <w:t>técnicos y económicos</w:t>
      </w:r>
      <w:r w:rsidR="00FD72E7" w:rsidRPr="00890E6F">
        <w:rPr>
          <w:rFonts w:ascii="Arial" w:hAnsi="Arial" w:cs="Arial"/>
          <w:sz w:val="22"/>
          <w:szCs w:val="22"/>
        </w:rPr>
        <w:t xml:space="preserve"> de escogencia</w:t>
      </w:r>
      <w:r w:rsidR="00DB732A" w:rsidRPr="00890E6F">
        <w:rPr>
          <w:rFonts w:ascii="Arial" w:hAnsi="Arial" w:cs="Arial"/>
          <w:sz w:val="22"/>
          <w:szCs w:val="22"/>
        </w:rPr>
        <w:t xml:space="preserve">, </w:t>
      </w:r>
      <w:r w:rsidR="00274522" w:rsidRPr="00890E6F">
        <w:rPr>
          <w:rFonts w:ascii="Arial" w:hAnsi="Arial" w:cs="Arial"/>
          <w:sz w:val="22"/>
          <w:szCs w:val="22"/>
        </w:rPr>
        <w:t>de evaluación</w:t>
      </w:r>
      <w:r w:rsidR="00996851" w:rsidRPr="00890E6F">
        <w:rPr>
          <w:rFonts w:ascii="Arial" w:hAnsi="Arial" w:cs="Arial"/>
          <w:sz w:val="22"/>
          <w:szCs w:val="22"/>
        </w:rPr>
        <w:t xml:space="preserve"> y calificación. </w:t>
      </w:r>
      <w:r w:rsidR="00906166" w:rsidRPr="00890E6F">
        <w:rPr>
          <w:rFonts w:ascii="Arial" w:hAnsi="Arial" w:cs="Arial"/>
          <w:sz w:val="22"/>
          <w:szCs w:val="22"/>
        </w:rPr>
        <w:t>Además</w:t>
      </w:r>
      <w:r w:rsidR="00996851" w:rsidRPr="00890E6F">
        <w:rPr>
          <w:rFonts w:ascii="Arial" w:hAnsi="Arial" w:cs="Arial"/>
          <w:sz w:val="22"/>
          <w:szCs w:val="22"/>
        </w:rPr>
        <w:t xml:space="preserve">, el </w:t>
      </w:r>
      <w:r w:rsidR="00B94017" w:rsidRPr="00890E6F">
        <w:rPr>
          <w:rFonts w:ascii="Arial" w:hAnsi="Arial" w:cs="Arial"/>
          <w:sz w:val="22"/>
          <w:szCs w:val="22"/>
        </w:rPr>
        <w:t xml:space="preserve">artículo </w:t>
      </w:r>
      <w:r w:rsidR="00666D4B" w:rsidRPr="00890E6F">
        <w:rPr>
          <w:rFonts w:ascii="Arial" w:hAnsi="Arial" w:cs="Arial"/>
          <w:sz w:val="22"/>
          <w:szCs w:val="22"/>
        </w:rPr>
        <w:t>alude a</w:t>
      </w:r>
      <w:r w:rsidR="00B94017" w:rsidRPr="00890E6F">
        <w:rPr>
          <w:rFonts w:ascii="Arial" w:hAnsi="Arial" w:cs="Arial"/>
          <w:sz w:val="22"/>
          <w:szCs w:val="22"/>
        </w:rPr>
        <w:t xml:space="preserve"> unos factores que no otorgan puntaje </w:t>
      </w:r>
      <w:r w:rsidR="003945C3" w:rsidRPr="00890E6F">
        <w:rPr>
          <w:rFonts w:ascii="Arial" w:hAnsi="Arial" w:cs="Arial"/>
          <w:sz w:val="22"/>
          <w:szCs w:val="22"/>
        </w:rPr>
        <w:t xml:space="preserve">y de </w:t>
      </w:r>
      <w:r w:rsidR="00666D4B" w:rsidRPr="00890E6F">
        <w:rPr>
          <w:rFonts w:ascii="Arial" w:hAnsi="Arial" w:cs="Arial"/>
          <w:sz w:val="22"/>
          <w:szCs w:val="22"/>
        </w:rPr>
        <w:t>otros</w:t>
      </w:r>
      <w:r w:rsidR="003945C3" w:rsidRPr="00890E6F">
        <w:rPr>
          <w:rFonts w:ascii="Arial" w:hAnsi="Arial" w:cs="Arial"/>
          <w:sz w:val="22"/>
          <w:szCs w:val="22"/>
        </w:rPr>
        <w:t xml:space="preserve"> que inciden en la comparación de ofertas. </w:t>
      </w:r>
      <w:r w:rsidR="00A622EA" w:rsidRPr="00890E6F">
        <w:rPr>
          <w:rFonts w:ascii="Arial" w:hAnsi="Arial" w:cs="Arial"/>
          <w:sz w:val="22"/>
          <w:szCs w:val="22"/>
        </w:rPr>
        <w:t>En línea con esto</w:t>
      </w:r>
      <w:r w:rsidR="00581FDB" w:rsidRPr="00890E6F">
        <w:rPr>
          <w:rFonts w:ascii="Arial" w:hAnsi="Arial" w:cs="Arial"/>
          <w:sz w:val="22"/>
          <w:szCs w:val="22"/>
        </w:rPr>
        <w:t xml:space="preserve"> último</w:t>
      </w:r>
      <w:r w:rsidR="00A622EA" w:rsidRPr="00890E6F">
        <w:rPr>
          <w:rFonts w:ascii="Arial" w:hAnsi="Arial" w:cs="Arial"/>
          <w:sz w:val="22"/>
          <w:szCs w:val="22"/>
        </w:rPr>
        <w:t>,</w:t>
      </w:r>
      <w:r w:rsidR="000572DE" w:rsidRPr="00890E6F">
        <w:rPr>
          <w:rFonts w:ascii="Arial" w:hAnsi="Arial" w:cs="Arial"/>
          <w:sz w:val="22"/>
          <w:szCs w:val="22"/>
        </w:rPr>
        <w:t xml:space="preserve"> la doctrina </w:t>
      </w:r>
      <w:r w:rsidR="00666D4B" w:rsidRPr="00890E6F">
        <w:rPr>
          <w:rFonts w:ascii="Arial" w:hAnsi="Arial" w:cs="Arial"/>
          <w:sz w:val="22"/>
          <w:szCs w:val="22"/>
        </w:rPr>
        <w:t>define los</w:t>
      </w:r>
      <w:r w:rsidR="000F4141" w:rsidRPr="00890E6F">
        <w:rPr>
          <w:rFonts w:ascii="Arial" w:hAnsi="Arial" w:cs="Arial"/>
          <w:sz w:val="22"/>
          <w:szCs w:val="22"/>
        </w:rPr>
        <w:t xml:space="preserve"> requisitos o factores ponderables</w:t>
      </w:r>
      <w:r w:rsidR="0024790F" w:rsidRPr="00890E6F">
        <w:rPr>
          <w:rFonts w:ascii="Arial" w:hAnsi="Arial" w:cs="Arial"/>
          <w:sz w:val="22"/>
          <w:szCs w:val="22"/>
        </w:rPr>
        <w:t xml:space="preserve"> como </w:t>
      </w:r>
      <w:r w:rsidR="0024790F" w:rsidRPr="00890E6F">
        <w:rPr>
          <w:rFonts w:ascii="Arial" w:hAnsi="Arial" w:cs="Arial"/>
          <w:sz w:val="22"/>
          <w:szCs w:val="22"/>
          <w:lang w:val="es-ES_tradnl"/>
        </w:rPr>
        <w:t>«[…]</w:t>
      </w:r>
      <w:r w:rsidR="0024790F" w:rsidRPr="00890E6F">
        <w:rPr>
          <w:rFonts w:ascii="Arial" w:eastAsiaTheme="minorHAnsi" w:hAnsi="Arial" w:cs="Arial"/>
          <w:sz w:val="22"/>
          <w:szCs w:val="22"/>
          <w:lang w:eastAsia="en-US"/>
        </w:rPr>
        <w:t xml:space="preserve"> </w:t>
      </w:r>
      <w:r w:rsidR="0024790F" w:rsidRPr="00890E6F">
        <w:rPr>
          <w:rFonts w:ascii="Arial" w:hAnsi="Arial" w:cs="Arial"/>
          <w:sz w:val="22"/>
          <w:szCs w:val="22"/>
        </w:rPr>
        <w:t xml:space="preserve">aquellas condiciones de la oferta y no de quien la presenta, que sí entrarán a ser evaluadas por la Administración y </w:t>
      </w:r>
      <w:r w:rsidR="00D86C90" w:rsidRPr="00890E6F">
        <w:rPr>
          <w:rFonts w:ascii="Arial" w:hAnsi="Arial" w:cs="Arial"/>
          <w:sz w:val="22"/>
          <w:szCs w:val="22"/>
        </w:rPr>
        <w:t>que,</w:t>
      </w:r>
      <w:r w:rsidR="0024790F" w:rsidRPr="00890E6F">
        <w:rPr>
          <w:rFonts w:ascii="Arial" w:hAnsi="Arial" w:cs="Arial"/>
          <w:sz w:val="22"/>
          <w:szCs w:val="22"/>
        </w:rPr>
        <w:t xml:space="preserve"> en consecuencia, darán lugar a la escogencia objetiva de la mejor propuesta para la entidad</w:t>
      </w:r>
      <w:r w:rsidR="0024790F" w:rsidRPr="00890E6F">
        <w:rPr>
          <w:rFonts w:ascii="Arial" w:eastAsiaTheme="minorHAnsi" w:hAnsi="Arial" w:cs="Arial"/>
          <w:sz w:val="22"/>
          <w:szCs w:val="22"/>
          <w:lang w:eastAsia="en-US"/>
        </w:rPr>
        <w:t>»</w:t>
      </w:r>
      <w:r w:rsidR="000D2C93" w:rsidRPr="00890E6F">
        <w:rPr>
          <w:rStyle w:val="Refdenotaalpie"/>
          <w:rFonts w:ascii="Arial" w:hAnsi="Arial" w:cs="Arial"/>
          <w:sz w:val="22"/>
          <w:szCs w:val="22"/>
        </w:rPr>
        <w:footnoteReference w:id="17"/>
      </w:r>
      <w:r w:rsidR="0024790F" w:rsidRPr="00890E6F">
        <w:rPr>
          <w:rFonts w:ascii="Arial" w:eastAsiaTheme="minorHAnsi" w:hAnsi="Arial" w:cs="Arial"/>
          <w:sz w:val="22"/>
          <w:szCs w:val="22"/>
          <w:lang w:eastAsia="en-US"/>
        </w:rPr>
        <w:t>.</w:t>
      </w:r>
      <w:r w:rsidR="000374FB" w:rsidRPr="00890E6F">
        <w:rPr>
          <w:rFonts w:ascii="Arial" w:eastAsiaTheme="minorHAnsi" w:hAnsi="Arial" w:cs="Arial"/>
          <w:sz w:val="22"/>
          <w:szCs w:val="22"/>
          <w:lang w:eastAsia="en-US"/>
        </w:rPr>
        <w:t xml:space="preserve"> Todas estas categorías designa</w:t>
      </w:r>
      <w:r w:rsidR="00420547" w:rsidRPr="00890E6F">
        <w:rPr>
          <w:rFonts w:ascii="Arial" w:eastAsiaTheme="minorHAnsi" w:hAnsi="Arial" w:cs="Arial"/>
          <w:sz w:val="22"/>
          <w:szCs w:val="22"/>
          <w:lang w:eastAsia="en-US"/>
        </w:rPr>
        <w:t>n los</w:t>
      </w:r>
      <w:r w:rsidR="000374FB" w:rsidRPr="00890E6F">
        <w:rPr>
          <w:rFonts w:ascii="Arial" w:eastAsiaTheme="minorHAnsi" w:hAnsi="Arial" w:cs="Arial"/>
          <w:sz w:val="22"/>
          <w:szCs w:val="22"/>
          <w:lang w:eastAsia="en-US"/>
        </w:rPr>
        <w:t xml:space="preserve"> </w:t>
      </w:r>
      <w:r w:rsidR="00371563" w:rsidRPr="00890E6F">
        <w:rPr>
          <w:rFonts w:ascii="Arial" w:hAnsi="Arial" w:cs="Arial"/>
          <w:sz w:val="22"/>
          <w:szCs w:val="22"/>
          <w:lang w:val="es-ES_tradnl"/>
        </w:rPr>
        <w:t>«[…]</w:t>
      </w:r>
      <w:r w:rsidR="00371563" w:rsidRPr="00890E6F">
        <w:rPr>
          <w:rFonts w:ascii="Arial" w:eastAsiaTheme="minorHAnsi" w:hAnsi="Arial" w:cs="Arial"/>
          <w:sz w:val="22"/>
          <w:szCs w:val="22"/>
          <w:lang w:eastAsia="en-US"/>
        </w:rPr>
        <w:t xml:space="preserve"> </w:t>
      </w:r>
      <w:r w:rsidR="000374FB" w:rsidRPr="00890E6F">
        <w:rPr>
          <w:rFonts w:ascii="Arial" w:eastAsiaTheme="minorHAnsi" w:hAnsi="Arial" w:cs="Arial"/>
          <w:sz w:val="22"/>
          <w:szCs w:val="22"/>
          <w:lang w:eastAsia="en-US"/>
        </w:rPr>
        <w:t>factores a los cuales cabe otorgarles puntajes o que pueden ser ponderados, precisamente, pues estos son los factores que en últimas permiten una comparación de ofertas y una diferenciación entre ellas</w:t>
      </w:r>
      <w:r w:rsidR="00371563" w:rsidRPr="00890E6F">
        <w:rPr>
          <w:rFonts w:ascii="Arial" w:eastAsiaTheme="minorHAnsi" w:hAnsi="Arial" w:cs="Arial"/>
          <w:sz w:val="22"/>
          <w:szCs w:val="22"/>
          <w:lang w:eastAsia="en-US"/>
        </w:rPr>
        <w:t>»</w:t>
      </w:r>
      <w:r w:rsidR="00987E4B" w:rsidRPr="00890E6F">
        <w:rPr>
          <w:rStyle w:val="Refdenotaalpie"/>
          <w:rFonts w:ascii="Arial" w:eastAsiaTheme="minorHAnsi" w:hAnsi="Arial" w:cs="Arial"/>
          <w:sz w:val="22"/>
          <w:szCs w:val="22"/>
          <w:lang w:eastAsia="en-US"/>
        </w:rPr>
        <w:footnoteReference w:id="18"/>
      </w:r>
      <w:r w:rsidR="000374FB" w:rsidRPr="00890E6F">
        <w:rPr>
          <w:rFonts w:ascii="Arial" w:eastAsiaTheme="minorHAnsi" w:hAnsi="Arial" w:cs="Arial"/>
          <w:sz w:val="22"/>
          <w:szCs w:val="22"/>
          <w:lang w:eastAsia="en-US"/>
        </w:rPr>
        <w:t>.</w:t>
      </w:r>
      <w:r w:rsidR="00E26950" w:rsidRPr="00890E6F">
        <w:rPr>
          <w:rFonts w:ascii="Arial" w:eastAsiaTheme="minorHAnsi" w:hAnsi="Arial" w:cs="Arial"/>
          <w:sz w:val="22"/>
          <w:szCs w:val="22"/>
          <w:lang w:eastAsia="en-US"/>
        </w:rPr>
        <w:t xml:space="preserve"> Conforme a esto, </w:t>
      </w:r>
      <w:r w:rsidR="00096D15" w:rsidRPr="00890E6F">
        <w:rPr>
          <w:rFonts w:ascii="Arial" w:eastAsiaTheme="minorHAnsi" w:hAnsi="Arial" w:cs="Arial"/>
          <w:sz w:val="22"/>
          <w:szCs w:val="22"/>
          <w:lang w:eastAsia="en-US"/>
        </w:rPr>
        <w:t>la doctrina explica que</w:t>
      </w:r>
      <w:r w:rsidR="00D30FEA" w:rsidRPr="00890E6F">
        <w:rPr>
          <w:rFonts w:ascii="Arial" w:eastAsiaTheme="minorHAnsi" w:hAnsi="Arial" w:cs="Arial"/>
          <w:sz w:val="22"/>
          <w:szCs w:val="22"/>
          <w:lang w:eastAsia="en-US"/>
        </w:rPr>
        <w:t>:</w:t>
      </w:r>
    </w:p>
    <w:p w14:paraId="601D283A" w14:textId="77777777" w:rsidR="00705806" w:rsidRPr="00890E6F" w:rsidRDefault="00705806" w:rsidP="00EB2ED0">
      <w:pPr>
        <w:tabs>
          <w:tab w:val="left" w:pos="0"/>
        </w:tabs>
        <w:ind w:left="709" w:right="709"/>
        <w:jc w:val="both"/>
        <w:rPr>
          <w:rFonts w:ascii="Arial" w:eastAsia="Calibri" w:hAnsi="Arial" w:cs="Arial"/>
          <w:bCs/>
          <w:sz w:val="21"/>
          <w:szCs w:val="21"/>
        </w:rPr>
      </w:pPr>
    </w:p>
    <w:p w14:paraId="050FBF7A" w14:textId="5A03D55D" w:rsidR="00E26950" w:rsidRPr="00890E6F" w:rsidRDefault="00E26950" w:rsidP="00EB2ED0">
      <w:pPr>
        <w:tabs>
          <w:tab w:val="left" w:pos="0"/>
        </w:tabs>
        <w:spacing w:after="120"/>
        <w:ind w:left="709" w:right="709"/>
        <w:jc w:val="both"/>
        <w:rPr>
          <w:rFonts w:ascii="Arial" w:eastAsia="Calibri" w:hAnsi="Arial" w:cs="Arial"/>
          <w:bCs/>
          <w:sz w:val="21"/>
          <w:szCs w:val="21"/>
        </w:rPr>
      </w:pPr>
      <w:r w:rsidRPr="00890E6F">
        <w:rPr>
          <w:rFonts w:ascii="Arial" w:eastAsia="Calibri" w:hAnsi="Arial" w:cs="Arial"/>
          <w:bCs/>
          <w:sz w:val="21"/>
          <w:szCs w:val="21"/>
        </w:rPr>
        <w:lastRenderedPageBreak/>
        <w:t xml:space="preserve">De acuerdo con ese entendimiento, el numeral 2 del artículo 5.° de la Ley  1150 de 2007, modificado por el artículo 88 de la Ley 1474 de 2011, comienza por señalar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Es decir que los factores de ponderación o de evaluación son los que en realidad determinan la propuesta que mejor satisface las necesidades de la Administración y no simplemente cuál de los proponentes es el más idóneo en la ejecución del contrato, pues, se insiste, todo oferente que supere los requisitos mínimos habilitantes se entiende que es suficientemente idóneo para la ejecución del objeto contractual.  </w:t>
      </w:r>
    </w:p>
    <w:p w14:paraId="0B69612A" w14:textId="77777777" w:rsidR="00493870" w:rsidRPr="00890E6F" w:rsidRDefault="00493870" w:rsidP="00EB2ED0">
      <w:pPr>
        <w:tabs>
          <w:tab w:val="left" w:pos="0"/>
        </w:tabs>
        <w:ind w:left="709" w:right="709"/>
        <w:jc w:val="both"/>
        <w:rPr>
          <w:rFonts w:ascii="Arial" w:eastAsia="Calibri" w:hAnsi="Arial" w:cs="Arial"/>
          <w:bCs/>
          <w:sz w:val="21"/>
          <w:szCs w:val="21"/>
        </w:rPr>
      </w:pPr>
      <w:r w:rsidRPr="00890E6F">
        <w:rPr>
          <w:rFonts w:ascii="Arial" w:eastAsia="Calibri" w:hAnsi="Arial" w:cs="Arial"/>
          <w:bCs/>
          <w:sz w:val="21"/>
          <w:szCs w:val="21"/>
        </w:rPr>
        <w:t xml:space="preserve">De nuevo, aquí es preciso señalar que es el pliego de condiciones el que debe determinar cuáles son esos factores que en cada caso concreto permiten hacer una comparación entre las ofertas presentadas y, con base en ello, determinar cuál es la más favorable para la Administración Pública. </w:t>
      </w:r>
    </w:p>
    <w:p w14:paraId="64C14DDD" w14:textId="77777777" w:rsidR="00493870" w:rsidRPr="00890E6F" w:rsidRDefault="00493870" w:rsidP="00EB2ED0">
      <w:pPr>
        <w:tabs>
          <w:tab w:val="left" w:pos="0"/>
        </w:tabs>
        <w:spacing w:after="120"/>
        <w:ind w:left="709" w:right="709"/>
        <w:jc w:val="both"/>
        <w:rPr>
          <w:rFonts w:ascii="Arial" w:eastAsia="Calibri" w:hAnsi="Arial" w:cs="Arial"/>
          <w:bCs/>
          <w:sz w:val="21"/>
          <w:szCs w:val="21"/>
        </w:rPr>
      </w:pPr>
      <w:r w:rsidRPr="00890E6F">
        <w:rPr>
          <w:rFonts w:ascii="Arial" w:eastAsia="Calibri" w:hAnsi="Arial" w:cs="Arial"/>
          <w:bCs/>
          <w:sz w:val="21"/>
          <w:szCs w:val="21"/>
        </w:rPr>
        <w:t>[…]</w:t>
      </w:r>
    </w:p>
    <w:p w14:paraId="66D50DAB" w14:textId="65628AC6" w:rsidR="00493870" w:rsidRPr="00890E6F" w:rsidRDefault="00493870" w:rsidP="00EB2ED0">
      <w:pPr>
        <w:tabs>
          <w:tab w:val="left" w:pos="0"/>
        </w:tabs>
        <w:ind w:left="709" w:right="709"/>
        <w:jc w:val="both"/>
        <w:rPr>
          <w:rFonts w:ascii="Arial" w:eastAsia="Calibri" w:hAnsi="Arial" w:cs="Arial"/>
          <w:bCs/>
          <w:sz w:val="21"/>
          <w:szCs w:val="21"/>
        </w:rPr>
      </w:pPr>
      <w:r w:rsidRPr="00890E6F">
        <w:rPr>
          <w:rFonts w:ascii="Arial" w:eastAsia="Calibri" w:hAnsi="Arial" w:cs="Arial"/>
          <w:bCs/>
          <w:sz w:val="21"/>
          <w:szCs w:val="21"/>
        </w:rPr>
        <w:t>Una siguiente conclusión que se deriva de la norma parcialmente transcrita consiste en que los pliegos de condiciones deben determinar dos situaciones por separado: 1. cuáles serán los factores o requisitos que serán evaluados por la Administración y 2. cuáles son los criterios para asignar puntaje a cada uno de los factores de evaluación y, con base en ello, poder hacer la comparación entre las ofertas y concluir cuál de ellas es la más ventajosa para la entidad estatal</w:t>
      </w:r>
      <w:r w:rsidRPr="00890E6F">
        <w:rPr>
          <w:rStyle w:val="Refdenotaalpie"/>
          <w:rFonts w:ascii="Arial" w:eastAsia="Calibri" w:hAnsi="Arial" w:cs="Arial"/>
          <w:bCs/>
          <w:sz w:val="21"/>
          <w:szCs w:val="21"/>
        </w:rPr>
        <w:footnoteReference w:id="19"/>
      </w:r>
      <w:r w:rsidRPr="00890E6F">
        <w:rPr>
          <w:rFonts w:ascii="Arial" w:eastAsia="Calibri" w:hAnsi="Arial" w:cs="Arial"/>
          <w:bCs/>
          <w:sz w:val="21"/>
          <w:szCs w:val="21"/>
        </w:rPr>
        <w:t>.</w:t>
      </w:r>
    </w:p>
    <w:p w14:paraId="21F59504" w14:textId="77777777" w:rsidR="00493870" w:rsidRPr="00890E6F" w:rsidRDefault="00493870" w:rsidP="00EB2ED0">
      <w:pPr>
        <w:tabs>
          <w:tab w:val="left" w:pos="0"/>
        </w:tabs>
        <w:ind w:left="709" w:right="709"/>
        <w:jc w:val="both"/>
        <w:rPr>
          <w:rFonts w:ascii="Arial" w:eastAsia="Calibri" w:hAnsi="Arial" w:cs="Arial"/>
          <w:bCs/>
          <w:sz w:val="21"/>
          <w:szCs w:val="21"/>
        </w:rPr>
      </w:pPr>
    </w:p>
    <w:p w14:paraId="28AA5F8D" w14:textId="54E3E4C7" w:rsidR="00C71304" w:rsidRPr="00890E6F" w:rsidRDefault="00FB551D" w:rsidP="00EB2ED0">
      <w:pPr>
        <w:tabs>
          <w:tab w:val="left" w:pos="0"/>
        </w:tabs>
        <w:spacing w:after="120" w:line="276" w:lineRule="auto"/>
        <w:jc w:val="both"/>
        <w:rPr>
          <w:rFonts w:ascii="Arial" w:eastAsia="Calibri" w:hAnsi="Arial" w:cs="Arial"/>
          <w:bCs/>
          <w:sz w:val="22"/>
          <w:szCs w:val="22"/>
        </w:rPr>
      </w:pPr>
      <w:r w:rsidRPr="00890E6F">
        <w:rPr>
          <w:rFonts w:ascii="Arial" w:eastAsia="Calibri" w:hAnsi="Arial" w:cs="Arial"/>
          <w:bCs/>
          <w:sz w:val="22"/>
          <w:szCs w:val="22"/>
        </w:rPr>
        <w:tab/>
        <w:t xml:space="preserve">De acuerdo </w:t>
      </w:r>
      <w:r w:rsidR="00FA4E49" w:rsidRPr="00890E6F">
        <w:rPr>
          <w:rFonts w:ascii="Arial" w:eastAsia="Calibri" w:hAnsi="Arial" w:cs="Arial"/>
          <w:bCs/>
          <w:sz w:val="22"/>
          <w:szCs w:val="22"/>
        </w:rPr>
        <w:t>con</w:t>
      </w:r>
      <w:r w:rsidRPr="00890E6F">
        <w:rPr>
          <w:rFonts w:ascii="Arial" w:eastAsia="Calibri" w:hAnsi="Arial" w:cs="Arial"/>
          <w:bCs/>
          <w:sz w:val="22"/>
          <w:szCs w:val="22"/>
        </w:rPr>
        <w:t xml:space="preserve"> lo anterior, es posible asimilar las</w:t>
      </w:r>
      <w:r w:rsidR="00D30041" w:rsidRPr="00890E6F">
        <w:rPr>
          <w:rFonts w:ascii="Arial" w:eastAsia="Calibri" w:hAnsi="Arial" w:cs="Arial"/>
          <w:bCs/>
          <w:sz w:val="22"/>
          <w:szCs w:val="22"/>
        </w:rPr>
        <w:t xml:space="preserve"> diferentes categorí</w:t>
      </w:r>
      <w:r w:rsidR="00BC244D" w:rsidRPr="00890E6F">
        <w:rPr>
          <w:rFonts w:ascii="Arial" w:eastAsia="Calibri" w:hAnsi="Arial" w:cs="Arial"/>
          <w:bCs/>
          <w:sz w:val="22"/>
          <w:szCs w:val="22"/>
        </w:rPr>
        <w:t xml:space="preserve">as a las que hace referencia el artículo 5 de la Ley 1150 de 2007, cuando alude a los factores que, a diferencia de los requisitos habilitantes, determinan la oferta más favorable para la entidad, y que por lo tanto debe </w:t>
      </w:r>
      <w:r w:rsidR="00E17ABB" w:rsidRPr="00890E6F">
        <w:rPr>
          <w:rFonts w:ascii="Arial" w:eastAsia="Calibri" w:hAnsi="Arial" w:cs="Arial"/>
          <w:bCs/>
          <w:sz w:val="22"/>
          <w:szCs w:val="22"/>
        </w:rPr>
        <w:t xml:space="preserve">hacer </w:t>
      </w:r>
      <w:r w:rsidR="00983310" w:rsidRPr="00890E6F">
        <w:rPr>
          <w:rFonts w:ascii="Arial" w:eastAsia="Calibri" w:hAnsi="Arial" w:cs="Arial"/>
          <w:bCs/>
          <w:sz w:val="22"/>
          <w:szCs w:val="22"/>
        </w:rPr>
        <w:t xml:space="preserve">adjudicatario </w:t>
      </w:r>
      <w:r w:rsidR="00E17ABB" w:rsidRPr="00890E6F">
        <w:rPr>
          <w:rFonts w:ascii="Arial" w:eastAsia="Calibri" w:hAnsi="Arial" w:cs="Arial"/>
          <w:bCs/>
          <w:sz w:val="22"/>
          <w:szCs w:val="22"/>
        </w:rPr>
        <w:t>a quien la presentó</w:t>
      </w:r>
      <w:r w:rsidR="00AF6CBB" w:rsidRPr="00890E6F">
        <w:rPr>
          <w:rFonts w:ascii="Arial" w:eastAsia="Calibri" w:hAnsi="Arial" w:cs="Arial"/>
          <w:bCs/>
          <w:sz w:val="22"/>
          <w:szCs w:val="22"/>
        </w:rPr>
        <w:t xml:space="preserve"> en debida forma</w:t>
      </w:r>
      <w:r w:rsidR="00E17ABB" w:rsidRPr="00890E6F">
        <w:rPr>
          <w:rFonts w:ascii="Arial" w:eastAsia="Calibri" w:hAnsi="Arial" w:cs="Arial"/>
          <w:bCs/>
          <w:sz w:val="22"/>
          <w:szCs w:val="22"/>
        </w:rPr>
        <w:t>.</w:t>
      </w:r>
      <w:r w:rsidR="00183515" w:rsidRPr="00890E6F">
        <w:rPr>
          <w:rFonts w:ascii="Arial" w:eastAsia="Calibri" w:hAnsi="Arial" w:cs="Arial"/>
          <w:bCs/>
          <w:sz w:val="22"/>
          <w:szCs w:val="22"/>
        </w:rPr>
        <w:t xml:space="preserve"> Es frente a estos factores que la entidad concibe </w:t>
      </w:r>
      <w:r w:rsidR="001275E8" w:rsidRPr="00890E6F">
        <w:rPr>
          <w:rFonts w:ascii="Arial" w:eastAsia="Calibri" w:hAnsi="Arial" w:cs="Arial"/>
          <w:bCs/>
          <w:sz w:val="22"/>
          <w:szCs w:val="22"/>
        </w:rPr>
        <w:t>el otorgamiento de puntajes, como mecanismos para ponderar y comparar los ofrecimientos</w:t>
      </w:r>
      <w:r w:rsidR="00876BF7" w:rsidRPr="00890E6F">
        <w:rPr>
          <w:rFonts w:ascii="Arial" w:eastAsia="Calibri" w:hAnsi="Arial" w:cs="Arial"/>
          <w:bCs/>
          <w:sz w:val="22"/>
          <w:szCs w:val="22"/>
        </w:rPr>
        <w:t>,</w:t>
      </w:r>
      <w:r w:rsidR="00493870" w:rsidRPr="00890E6F">
        <w:rPr>
          <w:rFonts w:ascii="Arial" w:eastAsia="Calibri" w:hAnsi="Arial" w:cs="Arial"/>
          <w:bCs/>
          <w:sz w:val="22"/>
          <w:szCs w:val="22"/>
        </w:rPr>
        <w:t xml:space="preserve"> </w:t>
      </w:r>
      <w:r w:rsidR="00402ACD" w:rsidRPr="00890E6F">
        <w:rPr>
          <w:rFonts w:ascii="Arial" w:eastAsia="Calibri" w:hAnsi="Arial" w:cs="Arial"/>
          <w:bCs/>
          <w:sz w:val="22"/>
          <w:szCs w:val="22"/>
        </w:rPr>
        <w:t>con el fin de determinar objetivamente</w:t>
      </w:r>
      <w:r w:rsidR="00876BF7" w:rsidRPr="00890E6F">
        <w:rPr>
          <w:rFonts w:ascii="Arial" w:eastAsia="Calibri" w:hAnsi="Arial" w:cs="Arial"/>
          <w:bCs/>
          <w:sz w:val="22"/>
          <w:szCs w:val="22"/>
        </w:rPr>
        <w:t xml:space="preserve"> </w:t>
      </w:r>
      <w:r w:rsidR="00493870" w:rsidRPr="00890E6F">
        <w:rPr>
          <w:rFonts w:ascii="Arial" w:eastAsia="Calibri" w:hAnsi="Arial" w:cs="Arial"/>
          <w:bCs/>
          <w:sz w:val="22"/>
          <w:szCs w:val="22"/>
        </w:rPr>
        <w:t xml:space="preserve">la oferta más favorable, aplicando para ello las reglas establecidas en el pliego </w:t>
      </w:r>
      <w:r w:rsidR="000F0CCE" w:rsidRPr="00890E6F">
        <w:rPr>
          <w:rFonts w:ascii="Arial" w:eastAsia="Calibri" w:hAnsi="Arial" w:cs="Arial"/>
          <w:bCs/>
          <w:sz w:val="22"/>
          <w:szCs w:val="22"/>
        </w:rPr>
        <w:t>o documento equivalente</w:t>
      </w:r>
      <w:r w:rsidR="002B18E0" w:rsidRPr="00890E6F">
        <w:rPr>
          <w:rFonts w:ascii="Arial" w:eastAsia="Calibri" w:hAnsi="Arial" w:cs="Arial"/>
          <w:bCs/>
          <w:sz w:val="22"/>
          <w:szCs w:val="22"/>
        </w:rPr>
        <w:t xml:space="preserve"> para la ponderación de las ofertas. </w:t>
      </w:r>
    </w:p>
    <w:p w14:paraId="75A9DF40" w14:textId="1E0E2DF5" w:rsidR="00B3529F" w:rsidRPr="00890E6F" w:rsidRDefault="00C71304" w:rsidP="00EB2ED0">
      <w:pPr>
        <w:tabs>
          <w:tab w:val="left" w:pos="0"/>
        </w:tabs>
        <w:spacing w:after="120" w:line="276" w:lineRule="auto"/>
        <w:jc w:val="both"/>
        <w:rPr>
          <w:rFonts w:ascii="Arial" w:eastAsia="Calibri" w:hAnsi="Arial" w:cs="Arial"/>
          <w:bCs/>
          <w:sz w:val="22"/>
          <w:szCs w:val="22"/>
        </w:rPr>
      </w:pPr>
      <w:r w:rsidRPr="00890E6F">
        <w:rPr>
          <w:rFonts w:ascii="Arial" w:eastAsia="Calibri" w:hAnsi="Arial" w:cs="Arial"/>
          <w:bCs/>
          <w:sz w:val="22"/>
          <w:szCs w:val="22"/>
        </w:rPr>
        <w:tab/>
      </w:r>
      <w:r w:rsidR="00642D9F" w:rsidRPr="00890E6F">
        <w:rPr>
          <w:rFonts w:ascii="Arial" w:eastAsia="Calibri" w:hAnsi="Arial" w:cs="Arial"/>
          <w:bCs/>
          <w:sz w:val="22"/>
          <w:szCs w:val="22"/>
        </w:rPr>
        <w:t xml:space="preserve">En ese sentido, la asignación de puntaje es </w:t>
      </w:r>
      <w:r w:rsidR="00B94C02" w:rsidRPr="00890E6F">
        <w:rPr>
          <w:rFonts w:ascii="Arial" w:eastAsia="Calibri" w:hAnsi="Arial" w:cs="Arial"/>
          <w:bCs/>
          <w:sz w:val="22"/>
          <w:szCs w:val="22"/>
        </w:rPr>
        <w:t xml:space="preserve">un </w:t>
      </w:r>
      <w:r w:rsidR="00642D9F" w:rsidRPr="00890E6F">
        <w:rPr>
          <w:rFonts w:ascii="Arial" w:eastAsia="Calibri" w:hAnsi="Arial" w:cs="Arial"/>
          <w:bCs/>
          <w:sz w:val="22"/>
          <w:szCs w:val="22"/>
        </w:rPr>
        <w:t>mecanismo</w:t>
      </w:r>
      <w:r w:rsidR="00A13EEC" w:rsidRPr="00890E6F">
        <w:rPr>
          <w:rFonts w:ascii="Arial" w:eastAsia="Calibri" w:hAnsi="Arial" w:cs="Arial"/>
          <w:bCs/>
          <w:sz w:val="22"/>
          <w:szCs w:val="22"/>
        </w:rPr>
        <w:t xml:space="preserve"> </w:t>
      </w:r>
      <w:r w:rsidR="00AF6CBB" w:rsidRPr="00890E6F">
        <w:rPr>
          <w:rFonts w:ascii="Arial" w:eastAsia="Calibri" w:hAnsi="Arial" w:cs="Arial"/>
          <w:bCs/>
          <w:sz w:val="22"/>
          <w:szCs w:val="22"/>
        </w:rPr>
        <w:t xml:space="preserve">mediante </w:t>
      </w:r>
      <w:r w:rsidR="00A13EEC" w:rsidRPr="00890E6F">
        <w:rPr>
          <w:rFonts w:ascii="Arial" w:eastAsia="Calibri" w:hAnsi="Arial" w:cs="Arial"/>
          <w:bCs/>
          <w:sz w:val="22"/>
          <w:szCs w:val="22"/>
        </w:rPr>
        <w:t xml:space="preserve">el cual </w:t>
      </w:r>
      <w:r w:rsidR="00B94C02" w:rsidRPr="00890E6F">
        <w:rPr>
          <w:rFonts w:ascii="Arial" w:eastAsia="Calibri" w:hAnsi="Arial" w:cs="Arial"/>
          <w:bCs/>
          <w:sz w:val="22"/>
          <w:szCs w:val="22"/>
        </w:rPr>
        <w:t>las entidades</w:t>
      </w:r>
      <w:r w:rsidR="00A13EEC" w:rsidRPr="00890E6F">
        <w:rPr>
          <w:rFonts w:ascii="Arial" w:eastAsia="Calibri" w:hAnsi="Arial" w:cs="Arial"/>
          <w:bCs/>
          <w:sz w:val="22"/>
          <w:szCs w:val="22"/>
        </w:rPr>
        <w:t xml:space="preserve"> pondera</w:t>
      </w:r>
      <w:r w:rsidR="000F0CCE" w:rsidRPr="00890E6F">
        <w:rPr>
          <w:rFonts w:ascii="Arial" w:eastAsia="Calibri" w:hAnsi="Arial" w:cs="Arial"/>
          <w:bCs/>
          <w:sz w:val="22"/>
          <w:szCs w:val="22"/>
        </w:rPr>
        <w:t>n</w:t>
      </w:r>
      <w:r w:rsidR="00A13EEC" w:rsidRPr="00890E6F">
        <w:rPr>
          <w:rFonts w:ascii="Arial" w:eastAsia="Calibri" w:hAnsi="Arial" w:cs="Arial"/>
          <w:bCs/>
          <w:sz w:val="22"/>
          <w:szCs w:val="22"/>
        </w:rPr>
        <w:t xml:space="preserve"> los factores de calificación</w:t>
      </w:r>
      <w:r w:rsidR="00B94C02" w:rsidRPr="00890E6F">
        <w:rPr>
          <w:rFonts w:ascii="Arial" w:eastAsia="Calibri" w:hAnsi="Arial" w:cs="Arial"/>
          <w:bCs/>
          <w:sz w:val="22"/>
          <w:szCs w:val="22"/>
        </w:rPr>
        <w:t xml:space="preserve"> </w:t>
      </w:r>
      <w:r w:rsidR="00D37EAD" w:rsidRPr="00890E6F">
        <w:rPr>
          <w:rFonts w:ascii="Arial" w:eastAsia="Calibri" w:hAnsi="Arial" w:cs="Arial"/>
          <w:bCs/>
          <w:sz w:val="22"/>
          <w:szCs w:val="22"/>
        </w:rPr>
        <w:t>ꟷ</w:t>
      </w:r>
      <w:r w:rsidR="00B94C02" w:rsidRPr="00890E6F">
        <w:rPr>
          <w:rFonts w:ascii="Arial" w:eastAsia="Calibri" w:hAnsi="Arial" w:cs="Arial"/>
          <w:bCs/>
          <w:i/>
          <w:iCs/>
          <w:sz w:val="22"/>
          <w:szCs w:val="22"/>
        </w:rPr>
        <w:t>v</w:t>
      </w:r>
      <w:r w:rsidR="002D3E4A" w:rsidRPr="00890E6F">
        <w:rPr>
          <w:rFonts w:ascii="Arial" w:eastAsia="Calibri" w:hAnsi="Arial" w:cs="Arial"/>
          <w:bCs/>
          <w:i/>
          <w:iCs/>
          <w:sz w:val="22"/>
          <w:szCs w:val="22"/>
        </w:rPr>
        <w:t>.g.</w:t>
      </w:r>
      <w:r w:rsidR="002D3E4A" w:rsidRPr="00890E6F">
        <w:rPr>
          <w:rFonts w:ascii="Arial" w:eastAsia="Calibri" w:hAnsi="Arial" w:cs="Arial"/>
          <w:bCs/>
          <w:sz w:val="22"/>
          <w:szCs w:val="22"/>
        </w:rPr>
        <w:t xml:space="preserve"> t</w:t>
      </w:r>
      <w:r w:rsidR="00B94C02" w:rsidRPr="00890E6F">
        <w:rPr>
          <w:rFonts w:ascii="Arial" w:eastAsia="Calibri" w:hAnsi="Arial" w:cs="Arial"/>
          <w:bCs/>
          <w:sz w:val="22"/>
          <w:szCs w:val="22"/>
        </w:rPr>
        <w:t>écnicos y económicos, de calidad y precio</w:t>
      </w:r>
      <w:r w:rsidR="00B94C02" w:rsidRPr="00890E6F">
        <w:rPr>
          <w:rFonts w:ascii="Arial" w:eastAsia="Calibri" w:hAnsi="Arial" w:cs="Arial"/>
          <w:bCs/>
          <w:sz w:val="22"/>
          <w:szCs w:val="22"/>
        </w:rPr>
        <w:softHyphen/>
      </w:r>
      <w:r w:rsidR="00F540A3" w:rsidRPr="00890E6F">
        <w:rPr>
          <w:rFonts w:ascii="Arial" w:eastAsia="Calibri" w:hAnsi="Arial" w:cs="Arial"/>
          <w:bCs/>
          <w:sz w:val="22"/>
          <w:szCs w:val="22"/>
        </w:rPr>
        <w:t xml:space="preserve">, </w:t>
      </w:r>
      <w:r w:rsidR="000F0CCE" w:rsidRPr="00890E6F">
        <w:rPr>
          <w:rFonts w:ascii="Arial" w:eastAsia="Calibri" w:hAnsi="Arial" w:cs="Arial"/>
          <w:bCs/>
          <w:sz w:val="22"/>
          <w:szCs w:val="22"/>
        </w:rPr>
        <w:t>etc.</w:t>
      </w:r>
      <w:r w:rsidR="00D37EAD" w:rsidRPr="00890E6F">
        <w:rPr>
          <w:rFonts w:ascii="Arial" w:eastAsia="Calibri" w:hAnsi="Arial" w:cs="Arial"/>
          <w:bCs/>
          <w:sz w:val="22"/>
          <w:szCs w:val="22"/>
        </w:rPr>
        <w:t xml:space="preserve">ꟷ </w:t>
      </w:r>
      <w:r w:rsidR="00A13EEC" w:rsidRPr="00890E6F">
        <w:rPr>
          <w:rFonts w:ascii="Arial" w:eastAsia="Calibri" w:hAnsi="Arial" w:cs="Arial"/>
          <w:bCs/>
          <w:sz w:val="22"/>
          <w:szCs w:val="22"/>
        </w:rPr>
        <w:t>en un determinado proceso de selecci</w:t>
      </w:r>
      <w:r w:rsidR="002D3E4A" w:rsidRPr="00890E6F">
        <w:rPr>
          <w:rFonts w:ascii="Arial" w:eastAsia="Calibri" w:hAnsi="Arial" w:cs="Arial"/>
          <w:bCs/>
          <w:sz w:val="22"/>
          <w:szCs w:val="22"/>
        </w:rPr>
        <w:t>ón</w:t>
      </w:r>
      <w:r w:rsidR="008005A1" w:rsidRPr="00890E6F">
        <w:rPr>
          <w:rFonts w:ascii="Arial" w:eastAsia="Calibri" w:hAnsi="Arial" w:cs="Arial"/>
          <w:bCs/>
          <w:sz w:val="22"/>
          <w:szCs w:val="22"/>
        </w:rPr>
        <w:t>, como se desprende del</w:t>
      </w:r>
      <w:r w:rsidR="00687DAD" w:rsidRPr="00890E6F">
        <w:rPr>
          <w:rFonts w:ascii="Arial" w:eastAsia="Calibri" w:hAnsi="Arial" w:cs="Arial"/>
          <w:bCs/>
          <w:sz w:val="22"/>
          <w:szCs w:val="22"/>
        </w:rPr>
        <w:t xml:space="preserve"> literal a) del</w:t>
      </w:r>
      <w:r w:rsidR="008005A1" w:rsidRPr="00890E6F">
        <w:rPr>
          <w:rFonts w:ascii="Arial" w:eastAsia="Calibri" w:hAnsi="Arial" w:cs="Arial"/>
          <w:bCs/>
          <w:sz w:val="22"/>
          <w:szCs w:val="22"/>
        </w:rPr>
        <w:t xml:space="preserve"> </w:t>
      </w:r>
      <w:r w:rsidR="002E7B84" w:rsidRPr="00890E6F">
        <w:rPr>
          <w:rFonts w:ascii="Arial" w:eastAsia="Calibri" w:hAnsi="Arial" w:cs="Arial"/>
          <w:bCs/>
          <w:sz w:val="22"/>
          <w:szCs w:val="22"/>
        </w:rPr>
        <w:t>numeral 2</w:t>
      </w:r>
      <w:r w:rsidR="00C73AC2" w:rsidRPr="00890E6F">
        <w:rPr>
          <w:rFonts w:ascii="Arial" w:eastAsia="Calibri" w:hAnsi="Arial" w:cs="Arial"/>
          <w:bCs/>
          <w:sz w:val="22"/>
          <w:szCs w:val="22"/>
        </w:rPr>
        <w:t xml:space="preserve"> del artículo </w:t>
      </w:r>
      <w:r w:rsidR="002E7B84" w:rsidRPr="00890E6F">
        <w:rPr>
          <w:rFonts w:ascii="Arial" w:eastAsia="Calibri" w:hAnsi="Arial" w:cs="Arial"/>
          <w:bCs/>
          <w:sz w:val="22"/>
          <w:szCs w:val="22"/>
        </w:rPr>
        <w:t>5</w:t>
      </w:r>
      <w:r w:rsidR="00C73AC2" w:rsidRPr="00890E6F">
        <w:rPr>
          <w:rFonts w:ascii="Arial" w:eastAsia="Calibri" w:hAnsi="Arial" w:cs="Arial"/>
          <w:bCs/>
          <w:sz w:val="22"/>
          <w:szCs w:val="22"/>
        </w:rPr>
        <w:t xml:space="preserve"> de la Ley 1150 de 200</w:t>
      </w:r>
      <w:r w:rsidR="00B147B3" w:rsidRPr="00890E6F">
        <w:rPr>
          <w:rFonts w:ascii="Arial" w:eastAsia="Calibri" w:hAnsi="Arial" w:cs="Arial"/>
          <w:bCs/>
          <w:sz w:val="22"/>
          <w:szCs w:val="22"/>
        </w:rPr>
        <w:t xml:space="preserve">7, en el que expresamente se alude al puntaje. </w:t>
      </w:r>
      <w:r w:rsidR="00443259" w:rsidRPr="00890E6F">
        <w:rPr>
          <w:rFonts w:ascii="Arial" w:eastAsia="Calibri" w:hAnsi="Arial" w:cs="Arial"/>
          <w:bCs/>
          <w:sz w:val="22"/>
          <w:szCs w:val="22"/>
        </w:rPr>
        <w:t>Sin embargo</w:t>
      </w:r>
      <w:r w:rsidR="00045D5B" w:rsidRPr="00890E6F">
        <w:rPr>
          <w:rFonts w:ascii="Arial" w:eastAsia="Calibri" w:hAnsi="Arial" w:cs="Arial"/>
          <w:bCs/>
          <w:sz w:val="22"/>
          <w:szCs w:val="22"/>
        </w:rPr>
        <w:t>, no es este el único mecanismo de ponderación que tiene</w:t>
      </w:r>
      <w:r w:rsidR="00FD694E" w:rsidRPr="00890E6F">
        <w:rPr>
          <w:rFonts w:ascii="Arial" w:eastAsia="Calibri" w:hAnsi="Arial" w:cs="Arial"/>
          <w:bCs/>
          <w:sz w:val="22"/>
          <w:szCs w:val="22"/>
        </w:rPr>
        <w:t>n</w:t>
      </w:r>
      <w:r w:rsidR="00045D5B" w:rsidRPr="00890E6F">
        <w:rPr>
          <w:rFonts w:ascii="Arial" w:eastAsia="Calibri" w:hAnsi="Arial" w:cs="Arial"/>
          <w:bCs/>
          <w:sz w:val="22"/>
          <w:szCs w:val="22"/>
        </w:rPr>
        <w:t xml:space="preserve"> </w:t>
      </w:r>
      <w:r w:rsidR="00687DAD" w:rsidRPr="00890E6F">
        <w:rPr>
          <w:rFonts w:ascii="Arial" w:eastAsia="Calibri" w:hAnsi="Arial" w:cs="Arial"/>
          <w:bCs/>
          <w:sz w:val="22"/>
          <w:szCs w:val="22"/>
        </w:rPr>
        <w:t xml:space="preserve">a </w:t>
      </w:r>
      <w:r w:rsidR="00045D5B" w:rsidRPr="00890E6F">
        <w:rPr>
          <w:rFonts w:ascii="Arial" w:eastAsia="Calibri" w:hAnsi="Arial" w:cs="Arial"/>
          <w:bCs/>
          <w:sz w:val="22"/>
          <w:szCs w:val="22"/>
        </w:rPr>
        <w:t>su alcance las entidades estatales para determinar</w:t>
      </w:r>
      <w:r w:rsidR="00572959" w:rsidRPr="00890E6F">
        <w:rPr>
          <w:rFonts w:ascii="Arial" w:eastAsia="Calibri" w:hAnsi="Arial" w:cs="Arial"/>
          <w:bCs/>
          <w:sz w:val="22"/>
          <w:szCs w:val="22"/>
        </w:rPr>
        <w:t xml:space="preserve"> el ofrecimiento más favorable, ya que el propio </w:t>
      </w:r>
      <w:r w:rsidR="00585E80" w:rsidRPr="00890E6F">
        <w:rPr>
          <w:rFonts w:ascii="Arial" w:eastAsia="Calibri" w:hAnsi="Arial" w:cs="Arial"/>
          <w:bCs/>
          <w:sz w:val="22"/>
          <w:szCs w:val="22"/>
        </w:rPr>
        <w:t xml:space="preserve">literal </w:t>
      </w:r>
      <w:r w:rsidRPr="00890E6F">
        <w:rPr>
          <w:rFonts w:ascii="Arial" w:eastAsia="Calibri" w:hAnsi="Arial" w:cs="Arial"/>
          <w:bCs/>
          <w:sz w:val="22"/>
          <w:szCs w:val="22"/>
        </w:rPr>
        <w:t>b</w:t>
      </w:r>
      <w:r w:rsidR="00585E80" w:rsidRPr="00890E6F">
        <w:rPr>
          <w:rFonts w:ascii="Arial" w:eastAsia="Calibri" w:hAnsi="Arial" w:cs="Arial"/>
          <w:bCs/>
          <w:sz w:val="22"/>
          <w:szCs w:val="22"/>
        </w:rPr>
        <w:t>) del</w:t>
      </w:r>
      <w:r w:rsidR="00572959" w:rsidRPr="00890E6F">
        <w:rPr>
          <w:rFonts w:ascii="Arial" w:eastAsia="Calibri" w:hAnsi="Arial" w:cs="Arial"/>
          <w:bCs/>
          <w:sz w:val="22"/>
          <w:szCs w:val="22"/>
        </w:rPr>
        <w:t xml:space="preserve"> artículo 5</w:t>
      </w:r>
      <w:r w:rsidR="00443259" w:rsidRPr="00890E6F">
        <w:rPr>
          <w:rFonts w:ascii="Arial" w:eastAsia="Calibri" w:hAnsi="Arial" w:cs="Arial"/>
          <w:bCs/>
          <w:sz w:val="22"/>
          <w:szCs w:val="22"/>
        </w:rPr>
        <w:t>.</w:t>
      </w:r>
      <w:r w:rsidR="00FD694E" w:rsidRPr="00890E6F">
        <w:rPr>
          <w:rFonts w:ascii="Arial" w:eastAsia="Calibri" w:hAnsi="Arial" w:cs="Arial"/>
          <w:bCs/>
          <w:sz w:val="22"/>
          <w:szCs w:val="22"/>
        </w:rPr>
        <w:t>2</w:t>
      </w:r>
      <w:r w:rsidR="00572959" w:rsidRPr="00890E6F">
        <w:rPr>
          <w:rFonts w:ascii="Arial" w:eastAsia="Calibri" w:hAnsi="Arial" w:cs="Arial"/>
          <w:bCs/>
          <w:sz w:val="22"/>
          <w:szCs w:val="22"/>
        </w:rPr>
        <w:t xml:space="preserve"> </w:t>
      </w:r>
      <w:r w:rsidR="00585E80" w:rsidRPr="00890E6F">
        <w:rPr>
          <w:rFonts w:ascii="Arial" w:eastAsia="Calibri" w:hAnsi="Arial" w:cs="Arial"/>
          <w:bCs/>
          <w:sz w:val="22"/>
          <w:szCs w:val="22"/>
        </w:rPr>
        <w:t xml:space="preserve">posibilita que </w:t>
      </w:r>
      <w:r w:rsidR="00412110" w:rsidRPr="00890E6F">
        <w:rPr>
          <w:rFonts w:ascii="Arial" w:eastAsia="Calibri" w:hAnsi="Arial" w:cs="Arial"/>
          <w:bCs/>
          <w:sz w:val="22"/>
          <w:szCs w:val="22"/>
        </w:rPr>
        <w:t xml:space="preserve">el ofrecimiento más favorable se </w:t>
      </w:r>
      <w:r w:rsidR="00FD694E" w:rsidRPr="00890E6F">
        <w:rPr>
          <w:rFonts w:ascii="Arial" w:eastAsia="Calibri" w:hAnsi="Arial" w:cs="Arial"/>
          <w:bCs/>
          <w:sz w:val="22"/>
          <w:szCs w:val="22"/>
        </w:rPr>
        <w:t xml:space="preserve">determine </w:t>
      </w:r>
      <w:r w:rsidR="00C4330B" w:rsidRPr="00890E6F">
        <w:rPr>
          <w:rFonts w:ascii="Arial" w:eastAsia="Calibri" w:hAnsi="Arial" w:cs="Arial"/>
          <w:bCs/>
          <w:sz w:val="22"/>
          <w:szCs w:val="22"/>
        </w:rPr>
        <w:t>con</w:t>
      </w:r>
      <w:r w:rsidR="00412110" w:rsidRPr="00890E6F">
        <w:rPr>
          <w:rFonts w:ascii="Arial" w:eastAsia="Calibri" w:hAnsi="Arial" w:cs="Arial"/>
          <w:bCs/>
          <w:sz w:val="22"/>
          <w:szCs w:val="22"/>
        </w:rPr>
        <w:t xml:space="preserve"> un</w:t>
      </w:r>
      <w:r w:rsidR="00FD694E" w:rsidRPr="00890E6F">
        <w:rPr>
          <w:rFonts w:ascii="Arial" w:eastAsia="Calibri" w:hAnsi="Arial" w:cs="Arial"/>
          <w:bCs/>
          <w:sz w:val="22"/>
          <w:szCs w:val="22"/>
        </w:rPr>
        <w:t xml:space="preserve"> análisis</w:t>
      </w:r>
      <w:r w:rsidR="00412110" w:rsidRPr="00890E6F">
        <w:rPr>
          <w:rFonts w:ascii="Arial" w:eastAsia="Calibri" w:hAnsi="Arial" w:cs="Arial"/>
          <w:bCs/>
          <w:sz w:val="22"/>
          <w:szCs w:val="22"/>
        </w:rPr>
        <w:t xml:space="preserve"> </w:t>
      </w:r>
      <w:r w:rsidR="00FD694E" w:rsidRPr="00890E6F">
        <w:rPr>
          <w:rFonts w:ascii="Arial" w:eastAsia="Calibri" w:hAnsi="Arial" w:cs="Arial"/>
          <w:bCs/>
          <w:sz w:val="22"/>
          <w:szCs w:val="22"/>
        </w:rPr>
        <w:lastRenderedPageBreak/>
        <w:t xml:space="preserve">de la </w:t>
      </w:r>
      <w:r w:rsidR="00412110" w:rsidRPr="00890E6F">
        <w:rPr>
          <w:rFonts w:ascii="Arial" w:eastAsia="Calibri" w:hAnsi="Arial" w:cs="Arial"/>
          <w:bCs/>
          <w:sz w:val="22"/>
          <w:szCs w:val="22"/>
        </w:rPr>
        <w:t xml:space="preserve">relación </w:t>
      </w:r>
      <w:r w:rsidR="001716D9" w:rsidRPr="00890E6F">
        <w:rPr>
          <w:rFonts w:ascii="Arial" w:eastAsia="Calibri" w:hAnsi="Arial" w:cs="Arial"/>
          <w:bCs/>
          <w:sz w:val="22"/>
          <w:szCs w:val="22"/>
        </w:rPr>
        <w:t>costo</w:t>
      </w:r>
      <w:r w:rsidR="00FD694E" w:rsidRPr="00890E6F">
        <w:rPr>
          <w:rFonts w:ascii="Arial" w:eastAsia="Calibri" w:hAnsi="Arial" w:cs="Arial"/>
          <w:bCs/>
          <w:sz w:val="22"/>
          <w:szCs w:val="22"/>
        </w:rPr>
        <w:t>-</w:t>
      </w:r>
      <w:r w:rsidR="001716D9" w:rsidRPr="00890E6F">
        <w:rPr>
          <w:rFonts w:ascii="Arial" w:eastAsia="Calibri" w:hAnsi="Arial" w:cs="Arial"/>
          <w:bCs/>
          <w:sz w:val="22"/>
          <w:szCs w:val="22"/>
        </w:rPr>
        <w:t xml:space="preserve">beneficio, evento en </w:t>
      </w:r>
      <w:r w:rsidR="00AF6CBB" w:rsidRPr="00890E6F">
        <w:rPr>
          <w:rFonts w:ascii="Arial" w:eastAsia="Calibri" w:hAnsi="Arial" w:cs="Arial"/>
          <w:bCs/>
          <w:sz w:val="22"/>
          <w:szCs w:val="22"/>
        </w:rPr>
        <w:t>e</w:t>
      </w:r>
      <w:r w:rsidR="001716D9" w:rsidRPr="00890E6F">
        <w:rPr>
          <w:rFonts w:ascii="Arial" w:eastAsia="Calibri" w:hAnsi="Arial" w:cs="Arial"/>
          <w:bCs/>
          <w:sz w:val="22"/>
          <w:szCs w:val="22"/>
        </w:rPr>
        <w:t>l no ha</w:t>
      </w:r>
      <w:r w:rsidR="00AF6CBB" w:rsidRPr="00890E6F">
        <w:rPr>
          <w:rFonts w:ascii="Arial" w:eastAsia="Calibri" w:hAnsi="Arial" w:cs="Arial"/>
          <w:bCs/>
          <w:sz w:val="22"/>
          <w:szCs w:val="22"/>
        </w:rPr>
        <w:t xml:space="preserve">bría </w:t>
      </w:r>
      <w:r w:rsidR="001716D9" w:rsidRPr="00890E6F">
        <w:rPr>
          <w:rFonts w:ascii="Arial" w:eastAsia="Calibri" w:hAnsi="Arial" w:cs="Arial"/>
          <w:bCs/>
          <w:sz w:val="22"/>
          <w:szCs w:val="22"/>
        </w:rPr>
        <w:t>necesidad de acudir a sistemas de asignación de puntaje.</w:t>
      </w:r>
      <w:r w:rsidR="00687DAD" w:rsidRPr="00890E6F">
        <w:rPr>
          <w:rFonts w:ascii="Arial" w:eastAsia="Calibri" w:hAnsi="Arial" w:cs="Arial"/>
          <w:bCs/>
          <w:sz w:val="22"/>
          <w:szCs w:val="22"/>
        </w:rPr>
        <w:t xml:space="preserve"> </w:t>
      </w:r>
      <w:r w:rsidR="00FD694E" w:rsidRPr="00890E6F">
        <w:rPr>
          <w:rFonts w:ascii="Arial" w:eastAsia="Calibri" w:hAnsi="Arial" w:cs="Arial"/>
          <w:bCs/>
          <w:sz w:val="22"/>
          <w:szCs w:val="22"/>
        </w:rPr>
        <w:t xml:space="preserve">A estos se suman, los procesos de selección de bienes y servicios de características técnicas uniformes y de común utilización, así como los de mínima cuantía, en los que </w:t>
      </w:r>
      <w:r w:rsidR="00DA0C85" w:rsidRPr="00890E6F">
        <w:rPr>
          <w:rFonts w:ascii="Arial" w:eastAsia="Calibri" w:hAnsi="Arial" w:cs="Arial"/>
          <w:bCs/>
          <w:sz w:val="22"/>
          <w:szCs w:val="22"/>
        </w:rPr>
        <w:t xml:space="preserve">–según los artículos 5.3 y 2.5 de la Ley 1150 de 2007– </w:t>
      </w:r>
      <w:r w:rsidR="00FD694E" w:rsidRPr="00890E6F">
        <w:rPr>
          <w:rFonts w:ascii="Arial" w:eastAsia="Calibri" w:hAnsi="Arial" w:cs="Arial"/>
          <w:bCs/>
          <w:sz w:val="22"/>
          <w:szCs w:val="22"/>
        </w:rPr>
        <w:t>el único factor de selección es el menor precio ofertado, por lo que no hay lugar a ponderación mediante puntajes.</w:t>
      </w:r>
    </w:p>
    <w:p w14:paraId="6DFCF23E" w14:textId="270B9400" w:rsidR="00BC71AD" w:rsidRPr="00890E6F" w:rsidRDefault="00B3529F" w:rsidP="00EB2ED0">
      <w:pPr>
        <w:spacing w:after="120" w:line="276" w:lineRule="auto"/>
        <w:jc w:val="both"/>
        <w:rPr>
          <w:rFonts w:ascii="Arial" w:hAnsi="Arial" w:cs="Arial"/>
          <w:sz w:val="22"/>
          <w:szCs w:val="22"/>
          <w:lang w:eastAsia="es-CO"/>
        </w:rPr>
      </w:pPr>
      <w:r w:rsidRPr="00890E6F">
        <w:rPr>
          <w:rFonts w:ascii="Arial" w:eastAsia="Calibri" w:hAnsi="Arial" w:cs="Arial"/>
          <w:bCs/>
          <w:sz w:val="22"/>
          <w:szCs w:val="22"/>
        </w:rPr>
        <w:tab/>
      </w:r>
      <w:r w:rsidR="00AF20DA" w:rsidRPr="00890E6F">
        <w:rPr>
          <w:rFonts w:ascii="Arial" w:eastAsia="Calibri" w:hAnsi="Arial" w:cs="Arial"/>
          <w:bCs/>
          <w:sz w:val="22"/>
          <w:szCs w:val="22"/>
        </w:rPr>
        <w:t xml:space="preserve">Es necesario destacar, que las reglas para </w:t>
      </w:r>
      <w:r w:rsidR="00FD694E" w:rsidRPr="00890E6F">
        <w:rPr>
          <w:rFonts w:ascii="Arial" w:eastAsia="Calibri" w:hAnsi="Arial" w:cs="Arial"/>
          <w:bCs/>
          <w:sz w:val="22"/>
          <w:szCs w:val="22"/>
        </w:rPr>
        <w:t>establecer</w:t>
      </w:r>
      <w:r w:rsidR="00AF20DA" w:rsidRPr="00890E6F">
        <w:rPr>
          <w:rFonts w:ascii="Arial" w:eastAsia="Calibri" w:hAnsi="Arial" w:cs="Arial"/>
          <w:bCs/>
          <w:sz w:val="22"/>
          <w:szCs w:val="22"/>
        </w:rPr>
        <w:t xml:space="preserve"> </w:t>
      </w:r>
      <w:r w:rsidR="00161AAD" w:rsidRPr="00890E6F">
        <w:rPr>
          <w:rFonts w:ascii="Arial" w:eastAsia="Calibri" w:hAnsi="Arial" w:cs="Arial"/>
          <w:bCs/>
          <w:sz w:val="22"/>
          <w:szCs w:val="22"/>
        </w:rPr>
        <w:t>la oferta más favorable conforme al artículo 5 de la Ley 1150 de 2007, se encuentra</w:t>
      </w:r>
      <w:r w:rsidR="00FD694E" w:rsidRPr="00890E6F">
        <w:rPr>
          <w:rFonts w:ascii="Arial" w:eastAsia="Calibri" w:hAnsi="Arial" w:cs="Arial"/>
          <w:bCs/>
          <w:sz w:val="22"/>
          <w:szCs w:val="22"/>
        </w:rPr>
        <w:t>n</w:t>
      </w:r>
      <w:r w:rsidR="00161AAD" w:rsidRPr="00890E6F">
        <w:rPr>
          <w:rFonts w:ascii="Arial" w:eastAsia="Calibri" w:hAnsi="Arial" w:cs="Arial"/>
          <w:bCs/>
          <w:sz w:val="22"/>
          <w:szCs w:val="22"/>
        </w:rPr>
        <w:t xml:space="preserve"> reglamentad</w:t>
      </w:r>
      <w:r w:rsidR="00FD694E" w:rsidRPr="00890E6F">
        <w:rPr>
          <w:rFonts w:ascii="Arial" w:eastAsia="Calibri" w:hAnsi="Arial" w:cs="Arial"/>
          <w:bCs/>
          <w:sz w:val="22"/>
          <w:szCs w:val="22"/>
        </w:rPr>
        <w:t>a</w:t>
      </w:r>
      <w:r w:rsidR="00161AAD" w:rsidRPr="00890E6F">
        <w:rPr>
          <w:rFonts w:ascii="Arial" w:eastAsia="Calibri" w:hAnsi="Arial" w:cs="Arial"/>
          <w:bCs/>
          <w:sz w:val="22"/>
          <w:szCs w:val="22"/>
        </w:rPr>
        <w:t xml:space="preserve">s en el artículo </w:t>
      </w:r>
      <w:r w:rsidR="00362668" w:rsidRPr="00890E6F">
        <w:rPr>
          <w:rFonts w:ascii="Arial" w:eastAsia="Calibri" w:hAnsi="Arial" w:cs="Arial"/>
          <w:bCs/>
          <w:sz w:val="22"/>
          <w:szCs w:val="22"/>
        </w:rPr>
        <w:t xml:space="preserve">2.2.1.1.2.2.2 del Decreto 1082 de 2015. Este artículo </w:t>
      </w:r>
      <w:r w:rsidR="000E3965" w:rsidRPr="00890E6F">
        <w:rPr>
          <w:rFonts w:ascii="Arial" w:eastAsia="Calibri" w:hAnsi="Arial" w:cs="Arial"/>
          <w:bCs/>
          <w:sz w:val="22"/>
          <w:szCs w:val="22"/>
        </w:rPr>
        <w:t>desarrolla</w:t>
      </w:r>
      <w:r w:rsidR="00A0109F" w:rsidRPr="00890E6F">
        <w:rPr>
          <w:rFonts w:ascii="Arial" w:eastAsia="Calibri" w:hAnsi="Arial" w:cs="Arial"/>
          <w:bCs/>
          <w:sz w:val="22"/>
          <w:szCs w:val="22"/>
        </w:rPr>
        <w:t xml:space="preserve"> los </w:t>
      </w:r>
      <w:r w:rsidR="007B1D33" w:rsidRPr="00890E6F">
        <w:rPr>
          <w:rFonts w:ascii="Arial" w:eastAsia="Calibri" w:hAnsi="Arial" w:cs="Arial"/>
          <w:bCs/>
          <w:sz w:val="22"/>
          <w:szCs w:val="22"/>
        </w:rPr>
        <w:t xml:space="preserve">mecanismos de ponderación </w:t>
      </w:r>
      <w:r w:rsidR="00A0109F" w:rsidRPr="00890E6F">
        <w:rPr>
          <w:rFonts w:ascii="Arial" w:eastAsia="Calibri" w:hAnsi="Arial" w:cs="Arial"/>
          <w:bCs/>
          <w:sz w:val="22"/>
          <w:szCs w:val="22"/>
        </w:rPr>
        <w:t>previstos en</w:t>
      </w:r>
      <w:r w:rsidR="007B1D33" w:rsidRPr="00890E6F">
        <w:rPr>
          <w:rFonts w:ascii="Arial" w:eastAsia="Calibri" w:hAnsi="Arial" w:cs="Arial"/>
          <w:bCs/>
          <w:sz w:val="22"/>
          <w:szCs w:val="22"/>
        </w:rPr>
        <w:t xml:space="preserve"> los literales a) y b) del artículo 5</w:t>
      </w:r>
      <w:r w:rsidR="007B1D33" w:rsidRPr="00890E6F">
        <w:rPr>
          <w:rFonts w:ascii="Arial" w:eastAsia="Calibri" w:hAnsi="Arial" w:cs="Arial"/>
          <w:bCs/>
          <w:sz w:val="22"/>
          <w:szCs w:val="22"/>
        </w:rPr>
        <w:softHyphen/>
      </w:r>
      <w:r w:rsidR="00A0109F" w:rsidRPr="00890E6F">
        <w:rPr>
          <w:rFonts w:ascii="Arial" w:eastAsia="Calibri" w:hAnsi="Arial" w:cs="Arial"/>
          <w:bCs/>
          <w:sz w:val="22"/>
          <w:szCs w:val="22"/>
        </w:rPr>
        <w:t>.</w:t>
      </w:r>
      <w:r w:rsidR="007B1D33" w:rsidRPr="00890E6F">
        <w:rPr>
          <w:rFonts w:ascii="Arial" w:eastAsia="Calibri" w:hAnsi="Arial" w:cs="Arial"/>
          <w:bCs/>
          <w:sz w:val="22"/>
          <w:szCs w:val="22"/>
        </w:rPr>
        <w:t xml:space="preserve">2 de la Ley 1150 de 2007, </w:t>
      </w:r>
      <w:r w:rsidR="00A0109F" w:rsidRPr="00890E6F">
        <w:rPr>
          <w:rFonts w:ascii="Arial" w:eastAsia="Calibri" w:hAnsi="Arial" w:cs="Arial"/>
          <w:bCs/>
          <w:sz w:val="22"/>
          <w:szCs w:val="22"/>
        </w:rPr>
        <w:t xml:space="preserve">disponiendo </w:t>
      </w:r>
      <w:r w:rsidR="007B1D33" w:rsidRPr="00890E6F">
        <w:rPr>
          <w:rFonts w:ascii="Arial" w:eastAsia="Calibri" w:hAnsi="Arial" w:cs="Arial"/>
          <w:bCs/>
          <w:sz w:val="22"/>
          <w:szCs w:val="22"/>
        </w:rPr>
        <w:t xml:space="preserve">unas pautas para </w:t>
      </w:r>
      <w:r w:rsidR="00904782" w:rsidRPr="00890E6F">
        <w:rPr>
          <w:rFonts w:ascii="Arial" w:eastAsia="Calibri" w:hAnsi="Arial" w:cs="Arial"/>
          <w:bCs/>
          <w:sz w:val="22"/>
          <w:szCs w:val="22"/>
        </w:rPr>
        <w:t>la p</w:t>
      </w:r>
      <w:r w:rsidR="00904782" w:rsidRPr="00890E6F">
        <w:rPr>
          <w:rFonts w:ascii="Arial" w:hAnsi="Arial" w:cs="Arial"/>
          <w:sz w:val="22"/>
          <w:szCs w:val="22"/>
        </w:rPr>
        <w:t xml:space="preserve">onderación de los elementos de calidad y precio que representen la mejor relación de costo-beneficio. </w:t>
      </w:r>
      <w:r w:rsidR="004C0BF9" w:rsidRPr="00890E6F">
        <w:rPr>
          <w:rFonts w:ascii="Arial" w:hAnsi="Arial" w:cs="Arial"/>
          <w:sz w:val="22"/>
          <w:szCs w:val="22"/>
        </w:rPr>
        <w:t xml:space="preserve">Conforme a </w:t>
      </w:r>
      <w:r w:rsidR="002D4F3D" w:rsidRPr="00890E6F">
        <w:rPr>
          <w:rFonts w:ascii="Arial" w:hAnsi="Arial" w:cs="Arial"/>
          <w:sz w:val="22"/>
          <w:szCs w:val="22"/>
        </w:rPr>
        <w:t>este</w:t>
      </w:r>
      <w:r w:rsidR="004C0BF9" w:rsidRPr="00890E6F">
        <w:rPr>
          <w:rFonts w:ascii="Arial" w:hAnsi="Arial" w:cs="Arial"/>
          <w:sz w:val="22"/>
          <w:szCs w:val="22"/>
        </w:rPr>
        <w:t xml:space="preserve"> artículo, la oferta más favorable en estos casos debe determinarse </w:t>
      </w:r>
      <w:r w:rsidR="006765DF" w:rsidRPr="00890E6F">
        <w:rPr>
          <w:rFonts w:ascii="Arial" w:hAnsi="Arial" w:cs="Arial"/>
          <w:sz w:val="22"/>
          <w:szCs w:val="22"/>
        </w:rPr>
        <w:t>ponderando</w:t>
      </w:r>
      <w:r w:rsidR="001D50DB" w:rsidRPr="00890E6F">
        <w:rPr>
          <w:rFonts w:ascii="Arial" w:hAnsi="Arial" w:cs="Arial"/>
          <w:sz w:val="22"/>
          <w:szCs w:val="22"/>
        </w:rPr>
        <w:t xml:space="preserve"> en las ofertas:</w:t>
      </w:r>
      <w:r w:rsidR="006765DF" w:rsidRPr="00890E6F">
        <w:rPr>
          <w:rFonts w:ascii="Arial" w:hAnsi="Arial" w:cs="Arial"/>
          <w:sz w:val="22"/>
          <w:szCs w:val="22"/>
        </w:rPr>
        <w:t xml:space="preserve"> i) </w:t>
      </w:r>
      <w:r w:rsidR="001D50DB" w:rsidRPr="00890E6F">
        <w:rPr>
          <w:rFonts w:ascii="Arial" w:hAnsi="Arial" w:cs="Arial"/>
          <w:sz w:val="22"/>
          <w:szCs w:val="22"/>
          <w:lang w:eastAsia="es-CO"/>
        </w:rPr>
        <w:t>l</w:t>
      </w:r>
      <w:r w:rsidR="006765DF" w:rsidRPr="00890E6F">
        <w:rPr>
          <w:rFonts w:ascii="Arial" w:hAnsi="Arial" w:cs="Arial"/>
          <w:sz w:val="22"/>
          <w:szCs w:val="22"/>
          <w:lang w:eastAsia="es-CO"/>
        </w:rPr>
        <w:t>as condiciones técnicas y económicas mínimas</w:t>
      </w:r>
      <w:r w:rsidR="00B541E7" w:rsidRPr="00890E6F">
        <w:rPr>
          <w:rFonts w:ascii="Arial" w:hAnsi="Arial" w:cs="Arial"/>
          <w:sz w:val="22"/>
          <w:szCs w:val="22"/>
          <w:lang w:eastAsia="es-CO"/>
        </w:rPr>
        <w:t>,</w:t>
      </w:r>
      <w:r w:rsidR="006765DF" w:rsidRPr="00890E6F">
        <w:rPr>
          <w:rFonts w:ascii="Arial" w:hAnsi="Arial" w:cs="Arial"/>
          <w:sz w:val="22"/>
          <w:szCs w:val="22"/>
          <w:lang w:eastAsia="es-CO"/>
        </w:rPr>
        <w:t xml:space="preserve"> </w:t>
      </w:r>
      <w:proofErr w:type="spellStart"/>
      <w:r w:rsidR="006765DF" w:rsidRPr="00890E6F">
        <w:rPr>
          <w:rFonts w:ascii="Arial" w:hAnsi="Arial" w:cs="Arial"/>
          <w:sz w:val="22"/>
          <w:szCs w:val="22"/>
          <w:lang w:eastAsia="es-CO"/>
        </w:rPr>
        <w:t>ii</w:t>
      </w:r>
      <w:proofErr w:type="spellEnd"/>
      <w:r w:rsidR="006765DF" w:rsidRPr="00890E6F">
        <w:rPr>
          <w:rFonts w:ascii="Arial" w:hAnsi="Arial" w:cs="Arial"/>
          <w:sz w:val="22"/>
          <w:szCs w:val="22"/>
          <w:lang w:eastAsia="es-CO"/>
        </w:rPr>
        <w:t xml:space="preserve">) </w:t>
      </w:r>
      <w:r w:rsidR="001D50DB" w:rsidRPr="00890E6F">
        <w:rPr>
          <w:rFonts w:ascii="Arial" w:hAnsi="Arial" w:cs="Arial"/>
          <w:sz w:val="22"/>
          <w:szCs w:val="22"/>
          <w:lang w:eastAsia="es-CO"/>
        </w:rPr>
        <w:t>l</w:t>
      </w:r>
      <w:r w:rsidR="006765DF" w:rsidRPr="00890E6F">
        <w:rPr>
          <w:rFonts w:ascii="Arial" w:hAnsi="Arial" w:cs="Arial"/>
          <w:sz w:val="22"/>
          <w:szCs w:val="22"/>
          <w:lang w:eastAsia="es-CO"/>
        </w:rPr>
        <w:t>as condiciones técnicas adicionales que representan ventajas de calidad o de funcionamiento</w:t>
      </w:r>
      <w:r w:rsidR="00B541E7" w:rsidRPr="00890E6F">
        <w:rPr>
          <w:rFonts w:ascii="Arial" w:hAnsi="Arial" w:cs="Arial"/>
          <w:sz w:val="22"/>
          <w:szCs w:val="22"/>
          <w:lang w:eastAsia="es-CO"/>
        </w:rPr>
        <w:t>,</w:t>
      </w:r>
      <w:r w:rsidR="001D50DB" w:rsidRPr="00890E6F">
        <w:rPr>
          <w:rFonts w:ascii="Arial" w:hAnsi="Arial" w:cs="Arial"/>
          <w:sz w:val="22"/>
          <w:szCs w:val="22"/>
          <w:lang w:eastAsia="es-CO"/>
        </w:rPr>
        <w:t xml:space="preserve"> </w:t>
      </w:r>
      <w:proofErr w:type="spellStart"/>
      <w:r w:rsidR="001D50DB" w:rsidRPr="00890E6F">
        <w:rPr>
          <w:rFonts w:ascii="Arial" w:hAnsi="Arial" w:cs="Arial"/>
          <w:sz w:val="22"/>
          <w:szCs w:val="22"/>
          <w:lang w:eastAsia="es-CO"/>
        </w:rPr>
        <w:t>iii</w:t>
      </w:r>
      <w:proofErr w:type="spellEnd"/>
      <w:r w:rsidR="001D50DB" w:rsidRPr="00890E6F">
        <w:rPr>
          <w:rFonts w:ascii="Arial" w:hAnsi="Arial" w:cs="Arial"/>
          <w:sz w:val="22"/>
          <w:szCs w:val="22"/>
          <w:lang w:eastAsia="es-CO"/>
        </w:rPr>
        <w:t>) las condiciones económicas adicionales que representen ventajas en términos de economía, eficiencia y eficacia</w:t>
      </w:r>
      <w:r w:rsidR="00B541E7" w:rsidRPr="00890E6F">
        <w:rPr>
          <w:rFonts w:ascii="Arial" w:hAnsi="Arial" w:cs="Arial"/>
          <w:sz w:val="22"/>
          <w:szCs w:val="22"/>
          <w:lang w:eastAsia="es-CO"/>
        </w:rPr>
        <w:t>,</w:t>
      </w:r>
      <w:r w:rsidR="00312E92" w:rsidRPr="00890E6F">
        <w:rPr>
          <w:rFonts w:ascii="Arial" w:hAnsi="Arial" w:cs="Arial"/>
          <w:sz w:val="22"/>
          <w:szCs w:val="22"/>
          <w:lang w:eastAsia="es-CO"/>
        </w:rPr>
        <w:t xml:space="preserve"> y </w:t>
      </w:r>
      <w:proofErr w:type="spellStart"/>
      <w:r w:rsidR="00312E92" w:rsidRPr="00890E6F">
        <w:rPr>
          <w:rFonts w:ascii="Arial" w:hAnsi="Arial" w:cs="Arial"/>
          <w:sz w:val="22"/>
          <w:szCs w:val="22"/>
          <w:lang w:eastAsia="es-CO"/>
        </w:rPr>
        <w:t>iv</w:t>
      </w:r>
      <w:proofErr w:type="spellEnd"/>
      <w:r w:rsidR="00312E92" w:rsidRPr="00890E6F">
        <w:rPr>
          <w:rFonts w:ascii="Arial" w:hAnsi="Arial" w:cs="Arial"/>
          <w:sz w:val="22"/>
          <w:szCs w:val="22"/>
          <w:lang w:eastAsia="es-CO"/>
        </w:rPr>
        <w:t xml:space="preserve">) el valor en dinero que la </w:t>
      </w:r>
      <w:r w:rsidR="00FD694E" w:rsidRPr="00890E6F">
        <w:rPr>
          <w:rFonts w:ascii="Arial" w:hAnsi="Arial" w:cs="Arial"/>
          <w:sz w:val="22"/>
          <w:szCs w:val="22"/>
          <w:lang w:eastAsia="es-CO"/>
        </w:rPr>
        <w:t>e</w:t>
      </w:r>
      <w:r w:rsidR="00312E92" w:rsidRPr="00890E6F">
        <w:rPr>
          <w:rFonts w:ascii="Arial" w:hAnsi="Arial" w:cs="Arial"/>
          <w:sz w:val="22"/>
          <w:szCs w:val="22"/>
          <w:lang w:eastAsia="es-CO"/>
        </w:rPr>
        <w:t xml:space="preserve">ntidad </w:t>
      </w:r>
      <w:r w:rsidR="00FD694E" w:rsidRPr="00890E6F">
        <w:rPr>
          <w:rFonts w:ascii="Arial" w:hAnsi="Arial" w:cs="Arial"/>
          <w:sz w:val="22"/>
          <w:szCs w:val="22"/>
          <w:lang w:eastAsia="es-CO"/>
        </w:rPr>
        <w:t>e</w:t>
      </w:r>
      <w:r w:rsidR="00312E92" w:rsidRPr="00890E6F">
        <w:rPr>
          <w:rFonts w:ascii="Arial" w:hAnsi="Arial" w:cs="Arial"/>
          <w:sz w:val="22"/>
          <w:szCs w:val="22"/>
          <w:lang w:eastAsia="es-CO"/>
        </w:rPr>
        <w:t>statal asigna a cada ofrecimiento técnico o económico adicional</w:t>
      </w:r>
      <w:r w:rsidR="00BC71AD" w:rsidRPr="00890E6F">
        <w:rPr>
          <w:rFonts w:ascii="Arial" w:hAnsi="Arial" w:cs="Arial"/>
          <w:sz w:val="22"/>
          <w:szCs w:val="22"/>
          <w:lang w:eastAsia="es-CO"/>
        </w:rPr>
        <w:t xml:space="preserve">. Teniendo en cuenta estos elementos, la entidad estatal debe calcular la relación costo-beneficio de cada oferta </w:t>
      </w:r>
      <w:r w:rsidR="00F84A9E" w:rsidRPr="00890E6F">
        <w:rPr>
          <w:rFonts w:ascii="Arial" w:eastAsia="Calibri" w:hAnsi="Arial" w:cs="Arial"/>
          <w:bCs/>
          <w:sz w:val="22"/>
          <w:szCs w:val="22"/>
        </w:rPr>
        <w:t xml:space="preserve">«[…] </w:t>
      </w:r>
      <w:r w:rsidR="00BC71AD" w:rsidRPr="00890E6F">
        <w:rPr>
          <w:rFonts w:ascii="Arial" w:hAnsi="Arial" w:cs="Arial"/>
          <w:sz w:val="22"/>
          <w:szCs w:val="22"/>
          <w:lang w:eastAsia="es-CO"/>
        </w:rPr>
        <w:t>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r w:rsidR="00F84A9E" w:rsidRPr="00890E6F">
        <w:rPr>
          <w:rFonts w:ascii="Arial" w:eastAsia="Calibri" w:hAnsi="Arial" w:cs="Arial"/>
          <w:bCs/>
          <w:sz w:val="22"/>
          <w:szCs w:val="22"/>
        </w:rPr>
        <w:t xml:space="preserve"> </w:t>
      </w:r>
      <w:r w:rsidR="00F84A9E" w:rsidRPr="00890E6F">
        <w:rPr>
          <w:rFonts w:ascii="Arial" w:hAnsi="Arial" w:cs="Arial"/>
          <w:sz w:val="22"/>
          <w:szCs w:val="22"/>
        </w:rPr>
        <w:t>[…]</w:t>
      </w:r>
      <w:r w:rsidR="00F84A9E" w:rsidRPr="00890E6F">
        <w:rPr>
          <w:rFonts w:ascii="Arial" w:eastAsia="Calibri" w:hAnsi="Arial" w:cs="Arial"/>
          <w:bCs/>
          <w:sz w:val="22"/>
          <w:szCs w:val="22"/>
        </w:rPr>
        <w:t>»</w:t>
      </w:r>
      <w:r w:rsidR="000E3965" w:rsidRPr="00890E6F">
        <w:rPr>
          <w:rStyle w:val="Refdenotaalpie"/>
          <w:rFonts w:ascii="Arial" w:hAnsi="Arial" w:cs="Arial"/>
          <w:sz w:val="22"/>
          <w:szCs w:val="22"/>
          <w:lang w:eastAsia="es-CO"/>
        </w:rPr>
        <w:footnoteReference w:id="20"/>
      </w:r>
      <w:r w:rsidR="00F84A9E" w:rsidRPr="00890E6F">
        <w:rPr>
          <w:rFonts w:ascii="Arial" w:eastAsia="Calibri" w:hAnsi="Arial" w:cs="Arial"/>
          <w:bCs/>
          <w:sz w:val="22"/>
          <w:szCs w:val="22"/>
        </w:rPr>
        <w:t>.</w:t>
      </w:r>
    </w:p>
    <w:p w14:paraId="7650568A" w14:textId="0BE3DFAA" w:rsidR="002C0275" w:rsidRPr="00890E6F" w:rsidRDefault="000F6420" w:rsidP="00EB2ED0">
      <w:pPr>
        <w:spacing w:after="120" w:line="276" w:lineRule="auto"/>
        <w:jc w:val="both"/>
        <w:rPr>
          <w:rFonts w:ascii="Arial" w:hAnsi="Arial" w:cs="Arial"/>
          <w:sz w:val="22"/>
          <w:szCs w:val="22"/>
          <w:lang w:eastAsia="es-CO"/>
        </w:rPr>
      </w:pPr>
      <w:r w:rsidRPr="00890E6F">
        <w:rPr>
          <w:rFonts w:ascii="Arial" w:hAnsi="Arial" w:cs="Arial"/>
          <w:sz w:val="22"/>
          <w:szCs w:val="22"/>
          <w:lang w:eastAsia="es-CO"/>
        </w:rPr>
        <w:lastRenderedPageBreak/>
        <w:tab/>
      </w:r>
      <w:r w:rsidR="00FA44B1" w:rsidRPr="00890E6F">
        <w:rPr>
          <w:rFonts w:ascii="Arial" w:hAnsi="Arial" w:cs="Arial"/>
          <w:sz w:val="22"/>
          <w:szCs w:val="22"/>
          <w:lang w:eastAsia="es-CO"/>
        </w:rPr>
        <w:t>Conforme a lo anterior, el deber de selección objetiva está ligado a la determinación de</w:t>
      </w:r>
      <w:r w:rsidR="002E02B7" w:rsidRPr="00890E6F">
        <w:rPr>
          <w:rFonts w:ascii="Arial" w:hAnsi="Arial" w:cs="Arial"/>
          <w:sz w:val="22"/>
          <w:szCs w:val="22"/>
          <w:lang w:eastAsia="es-CO"/>
        </w:rPr>
        <w:t xml:space="preserve">l ofrecimiento más favorable, </w:t>
      </w:r>
      <w:r w:rsidR="009D0AF9" w:rsidRPr="00890E6F">
        <w:rPr>
          <w:rFonts w:ascii="Arial" w:hAnsi="Arial" w:cs="Arial"/>
          <w:sz w:val="22"/>
          <w:szCs w:val="22"/>
          <w:lang w:eastAsia="es-CO"/>
        </w:rPr>
        <w:t>cuyo contenido debe ser precisado a partir de las diferentes alternativas</w:t>
      </w:r>
      <w:r w:rsidR="000323FA" w:rsidRPr="00890E6F">
        <w:rPr>
          <w:rFonts w:ascii="Arial" w:hAnsi="Arial" w:cs="Arial"/>
          <w:sz w:val="22"/>
          <w:szCs w:val="22"/>
          <w:lang w:eastAsia="es-CO"/>
        </w:rPr>
        <w:t xml:space="preserve"> </w:t>
      </w:r>
      <w:r w:rsidR="001910D9" w:rsidRPr="00890E6F">
        <w:rPr>
          <w:rFonts w:ascii="Arial" w:hAnsi="Arial" w:cs="Arial"/>
          <w:sz w:val="22"/>
          <w:szCs w:val="22"/>
          <w:lang w:eastAsia="es-CO"/>
        </w:rPr>
        <w:t>d</w:t>
      </w:r>
      <w:r w:rsidR="009D0AF9" w:rsidRPr="00890E6F">
        <w:rPr>
          <w:rFonts w:ascii="Arial" w:hAnsi="Arial" w:cs="Arial"/>
          <w:sz w:val="22"/>
          <w:szCs w:val="22"/>
          <w:lang w:eastAsia="es-CO"/>
        </w:rPr>
        <w:t>el artículo 5 de la Ley 1150 de 2007</w:t>
      </w:r>
      <w:r w:rsidR="000323FA" w:rsidRPr="00890E6F">
        <w:rPr>
          <w:rFonts w:ascii="Arial" w:hAnsi="Arial" w:cs="Arial"/>
          <w:sz w:val="22"/>
          <w:szCs w:val="22"/>
          <w:lang w:eastAsia="es-CO"/>
        </w:rPr>
        <w:t>, reglamenta</w:t>
      </w:r>
      <w:r w:rsidR="001910D9" w:rsidRPr="00890E6F">
        <w:rPr>
          <w:rFonts w:ascii="Arial" w:hAnsi="Arial" w:cs="Arial"/>
          <w:sz w:val="22"/>
          <w:szCs w:val="22"/>
          <w:lang w:eastAsia="es-CO"/>
        </w:rPr>
        <w:t>do por</w:t>
      </w:r>
      <w:r w:rsidR="000323FA" w:rsidRPr="00890E6F">
        <w:rPr>
          <w:rFonts w:ascii="Arial" w:hAnsi="Arial" w:cs="Arial"/>
          <w:sz w:val="22"/>
          <w:szCs w:val="22"/>
          <w:lang w:eastAsia="es-CO"/>
        </w:rPr>
        <w:t xml:space="preserve"> el artículo 2.2.1.1.2.2.2 del Decreto 1082 de 2015</w:t>
      </w:r>
      <w:r w:rsidR="00C7356F" w:rsidRPr="00890E6F">
        <w:rPr>
          <w:rFonts w:ascii="Arial" w:hAnsi="Arial" w:cs="Arial"/>
          <w:sz w:val="22"/>
          <w:szCs w:val="22"/>
          <w:lang w:eastAsia="es-CO"/>
        </w:rPr>
        <w:t>, que en todo caso deben reflejarse en el pliego de condiciones</w:t>
      </w:r>
      <w:r w:rsidR="001910D9" w:rsidRPr="00890E6F">
        <w:rPr>
          <w:rFonts w:ascii="Arial" w:hAnsi="Arial" w:cs="Arial"/>
          <w:sz w:val="22"/>
          <w:szCs w:val="22"/>
          <w:lang w:eastAsia="es-CO"/>
        </w:rPr>
        <w:t xml:space="preserve"> o documento equivalente</w:t>
      </w:r>
      <w:r w:rsidR="00C7356F" w:rsidRPr="00890E6F">
        <w:rPr>
          <w:rFonts w:ascii="Arial" w:hAnsi="Arial" w:cs="Arial"/>
          <w:sz w:val="22"/>
          <w:szCs w:val="22"/>
          <w:lang w:eastAsia="es-CO"/>
        </w:rPr>
        <w:t xml:space="preserve"> para el respectivo proceso de selección.</w:t>
      </w:r>
      <w:r w:rsidR="00CB3C5E" w:rsidRPr="00890E6F">
        <w:rPr>
          <w:rFonts w:ascii="Arial" w:hAnsi="Arial" w:cs="Arial"/>
          <w:sz w:val="22"/>
          <w:szCs w:val="22"/>
          <w:lang w:eastAsia="es-CO"/>
        </w:rPr>
        <w:t xml:space="preserve"> </w:t>
      </w:r>
      <w:r w:rsidR="00815E70" w:rsidRPr="00890E6F">
        <w:rPr>
          <w:rFonts w:ascii="Arial" w:hAnsi="Arial" w:cs="Arial"/>
          <w:sz w:val="22"/>
          <w:szCs w:val="22"/>
          <w:lang w:eastAsia="es-CO"/>
        </w:rPr>
        <w:t xml:space="preserve">Estas </w:t>
      </w:r>
      <w:r w:rsidR="008D15D4" w:rsidRPr="00890E6F">
        <w:rPr>
          <w:rFonts w:ascii="Arial" w:hAnsi="Arial" w:cs="Arial"/>
          <w:sz w:val="22"/>
          <w:szCs w:val="22"/>
          <w:lang w:eastAsia="es-CO"/>
        </w:rPr>
        <w:t>disposiciones establecen</w:t>
      </w:r>
      <w:r w:rsidR="00FD694E" w:rsidRPr="00890E6F">
        <w:rPr>
          <w:rFonts w:ascii="Arial" w:hAnsi="Arial" w:cs="Arial"/>
          <w:sz w:val="22"/>
          <w:szCs w:val="22"/>
          <w:lang w:eastAsia="es-CO"/>
        </w:rPr>
        <w:t xml:space="preserve"> que en los</w:t>
      </w:r>
      <w:r w:rsidR="00CB3C5E" w:rsidRPr="00890E6F">
        <w:rPr>
          <w:rFonts w:ascii="Arial" w:hAnsi="Arial" w:cs="Arial"/>
          <w:sz w:val="22"/>
          <w:szCs w:val="22"/>
          <w:lang w:eastAsia="es-CO"/>
        </w:rPr>
        <w:t xml:space="preserve"> procesos de selección deben </w:t>
      </w:r>
      <w:r w:rsidR="00075567" w:rsidRPr="00890E6F">
        <w:rPr>
          <w:rFonts w:ascii="Arial" w:hAnsi="Arial" w:cs="Arial"/>
          <w:sz w:val="22"/>
          <w:szCs w:val="22"/>
          <w:lang w:eastAsia="es-CO"/>
        </w:rPr>
        <w:t>evaluarse, fuera de los requisitos habilitantes,</w:t>
      </w:r>
      <w:r w:rsidR="00CB3C5E" w:rsidRPr="00890E6F">
        <w:rPr>
          <w:rFonts w:ascii="Arial" w:hAnsi="Arial" w:cs="Arial"/>
          <w:sz w:val="22"/>
          <w:szCs w:val="22"/>
          <w:lang w:eastAsia="es-CO"/>
        </w:rPr>
        <w:t xml:space="preserve"> </w:t>
      </w:r>
      <w:r w:rsidR="00900861" w:rsidRPr="00890E6F">
        <w:rPr>
          <w:rFonts w:ascii="Arial" w:hAnsi="Arial" w:cs="Arial"/>
          <w:sz w:val="22"/>
          <w:szCs w:val="22"/>
          <w:lang w:eastAsia="es-CO"/>
        </w:rPr>
        <w:t>los</w:t>
      </w:r>
      <w:r w:rsidR="003419D7" w:rsidRPr="00890E6F">
        <w:rPr>
          <w:rFonts w:ascii="Arial" w:hAnsi="Arial" w:cs="Arial"/>
          <w:sz w:val="22"/>
          <w:szCs w:val="22"/>
          <w:lang w:eastAsia="es-CO"/>
        </w:rPr>
        <w:t xml:space="preserve"> factores de calificación, valoración</w:t>
      </w:r>
      <w:r w:rsidR="00337357" w:rsidRPr="00890E6F">
        <w:rPr>
          <w:rFonts w:ascii="Arial" w:hAnsi="Arial" w:cs="Arial"/>
          <w:sz w:val="22"/>
          <w:szCs w:val="22"/>
          <w:lang w:eastAsia="es-CO"/>
        </w:rPr>
        <w:t xml:space="preserve"> o</w:t>
      </w:r>
      <w:r w:rsidR="00075567" w:rsidRPr="00890E6F">
        <w:rPr>
          <w:rFonts w:ascii="Arial" w:hAnsi="Arial" w:cs="Arial"/>
          <w:sz w:val="22"/>
          <w:szCs w:val="22"/>
          <w:lang w:eastAsia="es-CO"/>
        </w:rPr>
        <w:t xml:space="preserve"> evaluación</w:t>
      </w:r>
      <w:r w:rsidR="00A90546" w:rsidRPr="00890E6F">
        <w:rPr>
          <w:rFonts w:ascii="Arial" w:hAnsi="Arial" w:cs="Arial"/>
          <w:sz w:val="22"/>
          <w:szCs w:val="22"/>
          <w:lang w:eastAsia="es-CO"/>
        </w:rPr>
        <w:t xml:space="preserve">. </w:t>
      </w:r>
      <w:r w:rsidR="008D15D4" w:rsidRPr="00890E6F">
        <w:rPr>
          <w:rFonts w:ascii="Arial" w:hAnsi="Arial" w:cs="Arial"/>
          <w:sz w:val="22"/>
          <w:szCs w:val="22"/>
          <w:lang w:eastAsia="es-CO"/>
        </w:rPr>
        <w:t xml:space="preserve">Estos </w:t>
      </w:r>
      <w:r w:rsidR="00900861" w:rsidRPr="00890E6F">
        <w:rPr>
          <w:rFonts w:ascii="Arial" w:hAnsi="Arial" w:cs="Arial"/>
          <w:sz w:val="22"/>
          <w:szCs w:val="22"/>
          <w:lang w:eastAsia="es-CO"/>
        </w:rPr>
        <w:t>pueden pondera</w:t>
      </w:r>
      <w:r w:rsidR="00B47428" w:rsidRPr="00890E6F">
        <w:rPr>
          <w:rFonts w:ascii="Arial" w:hAnsi="Arial" w:cs="Arial"/>
          <w:sz w:val="22"/>
          <w:szCs w:val="22"/>
          <w:lang w:eastAsia="es-CO"/>
        </w:rPr>
        <w:t>r</w:t>
      </w:r>
      <w:r w:rsidR="00900861" w:rsidRPr="00890E6F">
        <w:rPr>
          <w:rFonts w:ascii="Arial" w:hAnsi="Arial" w:cs="Arial"/>
          <w:sz w:val="22"/>
          <w:szCs w:val="22"/>
          <w:lang w:eastAsia="es-CO"/>
        </w:rPr>
        <w:t>s</w:t>
      </w:r>
      <w:r w:rsidR="00B47428" w:rsidRPr="00890E6F">
        <w:rPr>
          <w:rFonts w:ascii="Arial" w:hAnsi="Arial" w:cs="Arial"/>
          <w:sz w:val="22"/>
          <w:szCs w:val="22"/>
          <w:lang w:eastAsia="es-CO"/>
        </w:rPr>
        <w:t>e</w:t>
      </w:r>
      <w:r w:rsidR="00900861" w:rsidRPr="00890E6F">
        <w:rPr>
          <w:rFonts w:ascii="Arial" w:hAnsi="Arial" w:cs="Arial"/>
          <w:sz w:val="22"/>
          <w:szCs w:val="22"/>
          <w:lang w:eastAsia="es-CO"/>
        </w:rPr>
        <w:t xml:space="preserve"> </w:t>
      </w:r>
      <w:r w:rsidR="00476D6A" w:rsidRPr="00890E6F">
        <w:rPr>
          <w:rFonts w:ascii="Arial" w:hAnsi="Arial" w:cs="Arial"/>
          <w:sz w:val="22"/>
          <w:szCs w:val="22"/>
          <w:lang w:eastAsia="es-CO"/>
        </w:rPr>
        <w:t xml:space="preserve">mediante la asignación de puntaje, por lo que la norma </w:t>
      </w:r>
      <w:r w:rsidR="00B47428" w:rsidRPr="00890E6F">
        <w:rPr>
          <w:rFonts w:ascii="Arial" w:hAnsi="Arial" w:cs="Arial"/>
          <w:sz w:val="22"/>
          <w:szCs w:val="22"/>
          <w:lang w:eastAsia="es-CO"/>
        </w:rPr>
        <w:t>se refiere a</w:t>
      </w:r>
      <w:r w:rsidR="00476D6A" w:rsidRPr="00890E6F">
        <w:rPr>
          <w:rFonts w:ascii="Arial" w:hAnsi="Arial" w:cs="Arial"/>
          <w:sz w:val="22"/>
          <w:szCs w:val="22"/>
          <w:lang w:eastAsia="es-CO"/>
        </w:rPr>
        <w:t xml:space="preserve"> factores que no otorgan puntaje</w:t>
      </w:r>
      <w:r w:rsidR="00CF1AE3" w:rsidRPr="00890E6F">
        <w:rPr>
          <w:rFonts w:ascii="Arial" w:hAnsi="Arial" w:cs="Arial"/>
          <w:sz w:val="22"/>
          <w:szCs w:val="22"/>
          <w:lang w:eastAsia="es-CO"/>
        </w:rPr>
        <w:t xml:space="preserve"> para diferenciar los requisitos habilitantes de los mencionados factores de calificación</w:t>
      </w:r>
      <w:r w:rsidR="00A90546" w:rsidRPr="00890E6F">
        <w:rPr>
          <w:rFonts w:ascii="Arial" w:hAnsi="Arial" w:cs="Arial"/>
          <w:sz w:val="22"/>
          <w:szCs w:val="22"/>
          <w:lang w:eastAsia="es-CO"/>
        </w:rPr>
        <w:t>. Lo anterior,</w:t>
      </w:r>
      <w:r w:rsidR="00CF1AE3" w:rsidRPr="00890E6F">
        <w:rPr>
          <w:rFonts w:ascii="Arial" w:hAnsi="Arial" w:cs="Arial"/>
          <w:sz w:val="22"/>
          <w:szCs w:val="22"/>
          <w:lang w:eastAsia="es-CO"/>
        </w:rPr>
        <w:t xml:space="preserve"> </w:t>
      </w:r>
      <w:r w:rsidR="00130635" w:rsidRPr="00890E6F">
        <w:rPr>
          <w:rFonts w:ascii="Arial" w:hAnsi="Arial" w:cs="Arial"/>
          <w:sz w:val="22"/>
          <w:szCs w:val="22"/>
          <w:lang w:eastAsia="es-CO"/>
        </w:rPr>
        <w:t xml:space="preserve">bajo el entendido que son estos últimos los que determinan la oferta más favorable para la entidad </w:t>
      </w:r>
      <w:r w:rsidR="00D74364" w:rsidRPr="00890E6F">
        <w:rPr>
          <w:rFonts w:ascii="Arial" w:hAnsi="Arial" w:cs="Arial"/>
          <w:sz w:val="22"/>
          <w:szCs w:val="22"/>
          <w:lang w:eastAsia="es-CO"/>
        </w:rPr>
        <w:t xml:space="preserve">y </w:t>
      </w:r>
      <w:r w:rsidR="00601624" w:rsidRPr="00890E6F">
        <w:rPr>
          <w:rFonts w:ascii="Arial" w:hAnsi="Arial" w:cs="Arial"/>
          <w:sz w:val="22"/>
          <w:szCs w:val="22"/>
          <w:lang w:eastAsia="es-CO"/>
        </w:rPr>
        <w:t xml:space="preserve">la </w:t>
      </w:r>
      <w:r w:rsidR="00D74364" w:rsidRPr="00890E6F">
        <w:rPr>
          <w:rFonts w:ascii="Arial" w:hAnsi="Arial" w:cs="Arial"/>
          <w:sz w:val="22"/>
          <w:szCs w:val="22"/>
          <w:lang w:eastAsia="es-CO"/>
        </w:rPr>
        <w:t>que en consecuencia debe elegi</w:t>
      </w:r>
      <w:r w:rsidR="00B47428" w:rsidRPr="00890E6F">
        <w:rPr>
          <w:rFonts w:ascii="Arial" w:hAnsi="Arial" w:cs="Arial"/>
          <w:sz w:val="22"/>
          <w:szCs w:val="22"/>
          <w:lang w:eastAsia="es-CO"/>
        </w:rPr>
        <w:t>rse</w:t>
      </w:r>
      <w:r w:rsidR="00D74364" w:rsidRPr="00890E6F">
        <w:rPr>
          <w:rFonts w:ascii="Arial" w:hAnsi="Arial" w:cs="Arial"/>
          <w:sz w:val="22"/>
          <w:szCs w:val="22"/>
          <w:lang w:eastAsia="es-CO"/>
        </w:rPr>
        <w:t xml:space="preserve">. </w:t>
      </w:r>
    </w:p>
    <w:p w14:paraId="7E83BEFA" w14:textId="6413D1F9" w:rsidR="0060009C" w:rsidRPr="00890E6F" w:rsidRDefault="00902CC9" w:rsidP="00EB2ED0">
      <w:pPr>
        <w:tabs>
          <w:tab w:val="left" w:pos="0"/>
        </w:tabs>
        <w:spacing w:after="120" w:line="276" w:lineRule="auto"/>
        <w:jc w:val="both"/>
        <w:rPr>
          <w:rFonts w:ascii="Arial" w:eastAsia="Calibri" w:hAnsi="Arial" w:cs="Arial"/>
          <w:bCs/>
          <w:sz w:val="22"/>
          <w:lang w:val="es-ES_tradnl"/>
        </w:rPr>
      </w:pPr>
      <w:r w:rsidRPr="00890E6F">
        <w:rPr>
          <w:rFonts w:ascii="Arial" w:eastAsia="Calibri" w:hAnsi="Arial" w:cs="Arial"/>
          <w:b/>
          <w:sz w:val="22"/>
          <w:lang w:val="es-ES_tradnl"/>
        </w:rPr>
        <w:tab/>
      </w:r>
      <w:r w:rsidR="003467FE" w:rsidRPr="00890E6F">
        <w:rPr>
          <w:rFonts w:ascii="Arial" w:eastAsia="Calibri" w:hAnsi="Arial" w:cs="Arial"/>
          <w:bCs/>
          <w:sz w:val="22"/>
          <w:lang w:val="es-ES_tradnl"/>
        </w:rPr>
        <w:t xml:space="preserve">Considerando </w:t>
      </w:r>
      <w:r w:rsidR="00B1189E" w:rsidRPr="00890E6F">
        <w:rPr>
          <w:rFonts w:ascii="Arial" w:eastAsia="Calibri" w:hAnsi="Arial" w:cs="Arial"/>
          <w:bCs/>
          <w:sz w:val="22"/>
          <w:lang w:val="es-ES_tradnl"/>
        </w:rPr>
        <w:t>la explicación precedente</w:t>
      </w:r>
      <w:r w:rsidR="003467FE" w:rsidRPr="00890E6F">
        <w:rPr>
          <w:rFonts w:ascii="Arial" w:eastAsia="Calibri" w:hAnsi="Arial" w:cs="Arial"/>
          <w:bCs/>
          <w:sz w:val="22"/>
          <w:lang w:val="es-ES_tradnl"/>
        </w:rPr>
        <w:t>,</w:t>
      </w:r>
      <w:r w:rsidR="00841275" w:rsidRPr="00890E6F">
        <w:rPr>
          <w:rFonts w:ascii="Arial" w:eastAsia="Calibri" w:hAnsi="Arial" w:cs="Arial"/>
          <w:bCs/>
          <w:sz w:val="22"/>
          <w:lang w:val="es-ES_tradnl"/>
        </w:rPr>
        <w:t xml:space="preserve"> </w:t>
      </w:r>
      <w:r w:rsidR="00EF3CD4" w:rsidRPr="00890E6F">
        <w:rPr>
          <w:rFonts w:ascii="Arial" w:eastAsia="Calibri" w:hAnsi="Arial" w:cs="Arial"/>
          <w:bCs/>
          <w:sz w:val="22"/>
          <w:lang w:val="es-ES_tradnl"/>
        </w:rPr>
        <w:t xml:space="preserve">asumir </w:t>
      </w:r>
      <w:r w:rsidR="00B1189E" w:rsidRPr="00890E6F">
        <w:rPr>
          <w:rFonts w:ascii="Arial" w:eastAsia="Calibri" w:hAnsi="Arial" w:cs="Arial"/>
          <w:bCs/>
          <w:sz w:val="22"/>
          <w:lang w:val="es-ES_tradnl"/>
        </w:rPr>
        <w:t>que</w:t>
      </w:r>
      <w:r w:rsidR="00841275" w:rsidRPr="00890E6F">
        <w:rPr>
          <w:rFonts w:ascii="Arial" w:eastAsia="Calibri" w:hAnsi="Arial" w:cs="Arial"/>
          <w:bCs/>
          <w:sz w:val="22"/>
          <w:lang w:val="es-ES_tradnl"/>
        </w:rPr>
        <w:t xml:space="preserve"> </w:t>
      </w:r>
      <w:r w:rsidR="000D2C83" w:rsidRPr="00890E6F">
        <w:rPr>
          <w:rFonts w:ascii="Arial" w:eastAsia="Calibri" w:hAnsi="Arial" w:cs="Arial"/>
          <w:bCs/>
          <w:sz w:val="22"/>
          <w:lang w:val="es-ES_tradnl"/>
        </w:rPr>
        <w:t>los factores de desempate del artículo 35 de la Ley 2069 de 2020</w:t>
      </w:r>
      <w:r w:rsidR="00BB0156" w:rsidRPr="00890E6F">
        <w:rPr>
          <w:rFonts w:ascii="Arial" w:eastAsia="Calibri" w:hAnsi="Arial" w:cs="Arial"/>
          <w:bCs/>
          <w:sz w:val="22"/>
          <w:lang w:val="es-ES_tradnl"/>
        </w:rPr>
        <w:t xml:space="preserve"> </w:t>
      </w:r>
      <w:r w:rsidR="00B1189E" w:rsidRPr="00890E6F">
        <w:rPr>
          <w:rFonts w:ascii="Arial" w:eastAsia="Calibri" w:hAnsi="Arial" w:cs="Arial"/>
          <w:bCs/>
          <w:sz w:val="22"/>
          <w:lang w:val="es-ES_tradnl"/>
        </w:rPr>
        <w:t>únicamente</w:t>
      </w:r>
      <w:r w:rsidR="00BB0156" w:rsidRPr="00890E6F">
        <w:rPr>
          <w:rFonts w:ascii="Arial" w:eastAsia="Calibri" w:hAnsi="Arial" w:cs="Arial"/>
          <w:bCs/>
          <w:sz w:val="22"/>
          <w:lang w:val="es-ES_tradnl"/>
        </w:rPr>
        <w:t xml:space="preserve"> son aplicables a </w:t>
      </w:r>
      <w:r w:rsidR="00D975DD" w:rsidRPr="00890E6F">
        <w:rPr>
          <w:rFonts w:ascii="Arial" w:eastAsia="Calibri" w:hAnsi="Arial" w:cs="Arial"/>
          <w:bCs/>
          <w:sz w:val="22"/>
          <w:lang w:val="es-ES_tradnl"/>
        </w:rPr>
        <w:t xml:space="preserve">los </w:t>
      </w:r>
      <w:r w:rsidR="00BB0156" w:rsidRPr="00890E6F">
        <w:rPr>
          <w:rFonts w:ascii="Arial" w:eastAsia="Calibri" w:hAnsi="Arial" w:cs="Arial"/>
          <w:bCs/>
          <w:sz w:val="22"/>
          <w:lang w:val="es-ES_tradnl"/>
        </w:rPr>
        <w:t>proc</w:t>
      </w:r>
      <w:r w:rsidR="00D975DD" w:rsidRPr="00890E6F">
        <w:rPr>
          <w:rFonts w:ascii="Arial" w:eastAsia="Calibri" w:hAnsi="Arial" w:cs="Arial"/>
          <w:bCs/>
          <w:sz w:val="22"/>
          <w:lang w:val="es-ES_tradnl"/>
        </w:rPr>
        <w:t>esos de selección</w:t>
      </w:r>
      <w:r w:rsidR="00BB0156" w:rsidRPr="00890E6F">
        <w:rPr>
          <w:rFonts w:ascii="Arial" w:eastAsia="Calibri" w:hAnsi="Arial" w:cs="Arial"/>
          <w:bCs/>
          <w:sz w:val="22"/>
          <w:lang w:val="es-ES_tradnl"/>
        </w:rPr>
        <w:t xml:space="preserve"> en los que se empleen sistemas de asignación de puntaje para determinar </w:t>
      </w:r>
      <w:r w:rsidR="00EF3CD4" w:rsidRPr="00890E6F">
        <w:rPr>
          <w:rFonts w:ascii="Arial" w:eastAsia="Calibri" w:hAnsi="Arial" w:cs="Arial"/>
          <w:bCs/>
          <w:sz w:val="22"/>
          <w:lang w:val="es-ES_tradnl"/>
        </w:rPr>
        <w:t>la oferta más favorable</w:t>
      </w:r>
      <w:r w:rsidR="00482157" w:rsidRPr="00890E6F">
        <w:rPr>
          <w:rFonts w:ascii="Arial" w:eastAsia="Calibri" w:hAnsi="Arial" w:cs="Arial"/>
          <w:bCs/>
          <w:sz w:val="22"/>
          <w:lang w:val="es-ES_tradnl"/>
        </w:rPr>
        <w:t>, conduciría a entender que</w:t>
      </w:r>
      <w:r w:rsidR="00BC2BC5" w:rsidRPr="00890E6F">
        <w:rPr>
          <w:rFonts w:ascii="Arial" w:eastAsia="Calibri" w:hAnsi="Arial" w:cs="Arial"/>
          <w:bCs/>
          <w:sz w:val="22"/>
          <w:lang w:val="es-ES_tradnl"/>
        </w:rPr>
        <w:t xml:space="preserve"> estos no </w:t>
      </w:r>
      <w:r w:rsidR="00F311A1" w:rsidRPr="00890E6F">
        <w:rPr>
          <w:rFonts w:ascii="Arial" w:eastAsia="Calibri" w:hAnsi="Arial" w:cs="Arial"/>
          <w:bCs/>
          <w:sz w:val="22"/>
          <w:lang w:val="es-ES_tradnl"/>
        </w:rPr>
        <w:t>rigen</w:t>
      </w:r>
      <w:r w:rsidR="009928AF" w:rsidRPr="00890E6F">
        <w:rPr>
          <w:rFonts w:ascii="Arial" w:eastAsia="Calibri" w:hAnsi="Arial" w:cs="Arial"/>
          <w:bCs/>
          <w:sz w:val="22"/>
          <w:lang w:val="es-ES_tradnl"/>
        </w:rPr>
        <w:t xml:space="preserve"> en otros</w:t>
      </w:r>
      <w:r w:rsidR="00F311A1" w:rsidRPr="00890E6F">
        <w:rPr>
          <w:rFonts w:ascii="Arial" w:eastAsia="Calibri" w:hAnsi="Arial" w:cs="Arial"/>
          <w:bCs/>
          <w:sz w:val="22"/>
          <w:lang w:val="es-ES_tradnl"/>
        </w:rPr>
        <w:t xml:space="preserve"> procedimientos de selección</w:t>
      </w:r>
      <w:r w:rsidR="005A6886" w:rsidRPr="00890E6F">
        <w:rPr>
          <w:rFonts w:ascii="Arial" w:eastAsia="Calibri" w:hAnsi="Arial" w:cs="Arial"/>
          <w:bCs/>
          <w:sz w:val="22"/>
          <w:lang w:val="es-ES_tradnl"/>
        </w:rPr>
        <w:t xml:space="preserve">. Esto </w:t>
      </w:r>
      <w:r w:rsidR="00F311A1" w:rsidRPr="00890E6F">
        <w:rPr>
          <w:rFonts w:ascii="Arial" w:eastAsia="Calibri" w:hAnsi="Arial" w:cs="Arial"/>
          <w:bCs/>
          <w:sz w:val="22"/>
          <w:lang w:val="es-ES_tradnl"/>
        </w:rPr>
        <w:t xml:space="preserve">dado </w:t>
      </w:r>
      <w:r w:rsidR="005A6886" w:rsidRPr="00890E6F">
        <w:rPr>
          <w:rFonts w:ascii="Arial" w:eastAsia="Calibri" w:hAnsi="Arial" w:cs="Arial"/>
          <w:bCs/>
          <w:sz w:val="22"/>
          <w:lang w:val="es-ES_tradnl"/>
        </w:rPr>
        <w:t>que</w:t>
      </w:r>
      <w:r w:rsidR="00F311A1" w:rsidRPr="00890E6F">
        <w:rPr>
          <w:rFonts w:ascii="Arial" w:eastAsia="Calibri" w:hAnsi="Arial" w:cs="Arial"/>
          <w:bCs/>
          <w:sz w:val="22"/>
          <w:lang w:val="es-ES_tradnl"/>
        </w:rPr>
        <w:t xml:space="preserve"> no</w:t>
      </w:r>
      <w:r w:rsidR="00B455BD" w:rsidRPr="00890E6F">
        <w:rPr>
          <w:rFonts w:ascii="Arial" w:eastAsia="Calibri" w:hAnsi="Arial" w:cs="Arial"/>
          <w:bCs/>
          <w:sz w:val="22"/>
          <w:lang w:val="es-ES_tradnl"/>
        </w:rPr>
        <w:t xml:space="preserve"> habría lugar</w:t>
      </w:r>
      <w:r w:rsidR="00BC2BC5" w:rsidRPr="00890E6F">
        <w:rPr>
          <w:rFonts w:ascii="Arial" w:eastAsia="Calibri" w:hAnsi="Arial" w:cs="Arial"/>
          <w:bCs/>
          <w:sz w:val="22"/>
          <w:lang w:val="es-ES_tradnl"/>
        </w:rPr>
        <w:t xml:space="preserve"> </w:t>
      </w:r>
      <w:r w:rsidR="00B455BD" w:rsidRPr="00890E6F">
        <w:rPr>
          <w:rFonts w:ascii="Arial" w:eastAsia="Calibri" w:hAnsi="Arial" w:cs="Arial"/>
          <w:bCs/>
          <w:sz w:val="22"/>
          <w:lang w:val="es-ES_tradnl"/>
        </w:rPr>
        <w:t xml:space="preserve">a aplicar los referidos factores de desempate </w:t>
      </w:r>
      <w:r w:rsidR="00BC2BC5" w:rsidRPr="00890E6F">
        <w:rPr>
          <w:rFonts w:ascii="Arial" w:eastAsia="Calibri" w:hAnsi="Arial" w:cs="Arial"/>
          <w:bCs/>
          <w:sz w:val="22"/>
          <w:lang w:val="es-ES_tradnl"/>
        </w:rPr>
        <w:t xml:space="preserve">en </w:t>
      </w:r>
      <w:r w:rsidR="00810179" w:rsidRPr="00890E6F">
        <w:rPr>
          <w:rFonts w:ascii="Arial" w:eastAsia="Calibri" w:hAnsi="Arial" w:cs="Arial"/>
          <w:bCs/>
          <w:sz w:val="22"/>
          <w:lang w:val="es-ES_tradnl"/>
        </w:rPr>
        <w:t>procedimiento</w:t>
      </w:r>
      <w:r w:rsidR="00B455BD" w:rsidRPr="00890E6F">
        <w:rPr>
          <w:rFonts w:ascii="Arial" w:eastAsia="Calibri" w:hAnsi="Arial" w:cs="Arial"/>
          <w:bCs/>
          <w:sz w:val="22"/>
          <w:lang w:val="es-ES_tradnl"/>
        </w:rPr>
        <w:t>s</w:t>
      </w:r>
      <w:r w:rsidR="00810179" w:rsidRPr="00890E6F">
        <w:rPr>
          <w:rFonts w:ascii="Arial" w:eastAsia="Calibri" w:hAnsi="Arial" w:cs="Arial"/>
          <w:bCs/>
          <w:sz w:val="22"/>
          <w:lang w:val="es-ES_tradnl"/>
        </w:rPr>
        <w:t xml:space="preserve"> en </w:t>
      </w:r>
      <w:r w:rsidR="00B455BD" w:rsidRPr="00890E6F">
        <w:rPr>
          <w:rFonts w:ascii="Arial" w:eastAsia="Calibri" w:hAnsi="Arial" w:cs="Arial"/>
          <w:bCs/>
          <w:sz w:val="22"/>
          <w:lang w:val="es-ES_tradnl"/>
        </w:rPr>
        <w:t>los</w:t>
      </w:r>
      <w:r w:rsidR="00810179" w:rsidRPr="00890E6F">
        <w:rPr>
          <w:rFonts w:ascii="Arial" w:eastAsia="Calibri" w:hAnsi="Arial" w:cs="Arial"/>
          <w:bCs/>
          <w:sz w:val="22"/>
          <w:lang w:val="es-ES_tradnl"/>
        </w:rPr>
        <w:t xml:space="preserve"> que no se comparen las ofertas usando puntajes,</w:t>
      </w:r>
      <w:r w:rsidR="00E15DE3" w:rsidRPr="00890E6F">
        <w:rPr>
          <w:rFonts w:ascii="Arial" w:eastAsia="Calibri" w:hAnsi="Arial" w:cs="Arial"/>
          <w:bCs/>
          <w:sz w:val="22"/>
          <w:lang w:val="es-ES_tradnl"/>
        </w:rPr>
        <w:t xml:space="preserve"> como es el caso de los procesos en los que </w:t>
      </w:r>
      <w:r w:rsidR="00230E35" w:rsidRPr="00890E6F">
        <w:rPr>
          <w:rFonts w:ascii="Arial" w:eastAsia="Calibri" w:hAnsi="Arial" w:cs="Arial"/>
          <w:bCs/>
          <w:sz w:val="22"/>
          <w:lang w:val="es-ES_tradnl"/>
        </w:rPr>
        <w:t xml:space="preserve">ponderan </w:t>
      </w:r>
      <w:r w:rsidR="00E70C98" w:rsidRPr="00890E6F">
        <w:rPr>
          <w:rFonts w:ascii="Arial" w:eastAsia="Calibri" w:hAnsi="Arial" w:cs="Arial"/>
          <w:bCs/>
          <w:sz w:val="22"/>
          <w:lang w:val="es-ES_tradnl"/>
        </w:rPr>
        <w:t xml:space="preserve">condiciones técnicas y económicas </w:t>
      </w:r>
      <w:r w:rsidR="00CD710A" w:rsidRPr="00890E6F">
        <w:rPr>
          <w:rFonts w:ascii="Arial" w:eastAsia="Calibri" w:hAnsi="Arial" w:cs="Arial"/>
          <w:bCs/>
          <w:sz w:val="22"/>
          <w:lang w:val="es-ES_tradnl"/>
        </w:rPr>
        <w:t>mínimas</w:t>
      </w:r>
      <w:r w:rsidR="00E70C98" w:rsidRPr="00890E6F">
        <w:rPr>
          <w:rFonts w:ascii="Arial" w:eastAsia="Calibri" w:hAnsi="Arial" w:cs="Arial"/>
          <w:bCs/>
          <w:sz w:val="22"/>
          <w:lang w:val="es-ES_tradnl"/>
        </w:rPr>
        <w:t xml:space="preserve"> y adicionales para escoger la oferta que represente la mejor relación costo beneficio</w:t>
      </w:r>
      <w:r w:rsidR="00AD5523" w:rsidRPr="00890E6F">
        <w:rPr>
          <w:rFonts w:ascii="Arial" w:eastAsia="Calibri" w:hAnsi="Arial" w:cs="Arial"/>
          <w:bCs/>
          <w:sz w:val="22"/>
          <w:lang w:val="es-ES_tradnl"/>
        </w:rPr>
        <w:t>, procedimientos en los que también es posible que se presenten empate</w:t>
      </w:r>
      <w:r w:rsidR="001971FD" w:rsidRPr="00890E6F">
        <w:rPr>
          <w:rFonts w:ascii="Arial" w:eastAsia="Calibri" w:hAnsi="Arial" w:cs="Arial"/>
          <w:bCs/>
          <w:sz w:val="22"/>
          <w:lang w:val="es-ES_tradnl"/>
        </w:rPr>
        <w:t>s</w:t>
      </w:r>
      <w:r w:rsidR="00AD5523" w:rsidRPr="00890E6F">
        <w:rPr>
          <w:rFonts w:ascii="Arial" w:eastAsia="Calibri" w:hAnsi="Arial" w:cs="Arial"/>
          <w:bCs/>
          <w:sz w:val="22"/>
          <w:lang w:val="es-ES_tradnl"/>
        </w:rPr>
        <w:t>.</w:t>
      </w:r>
      <w:r w:rsidR="00E70C98" w:rsidRPr="00890E6F">
        <w:rPr>
          <w:rFonts w:ascii="Arial" w:eastAsia="Calibri" w:hAnsi="Arial" w:cs="Arial"/>
          <w:bCs/>
          <w:sz w:val="22"/>
          <w:lang w:val="es-ES_tradnl"/>
        </w:rPr>
        <w:t xml:space="preserve"> </w:t>
      </w:r>
    </w:p>
    <w:p w14:paraId="0D1A830E" w14:textId="17EEDE4F" w:rsidR="001E747D" w:rsidRPr="00890E6F" w:rsidRDefault="00AA5E49" w:rsidP="00EB2ED0">
      <w:pPr>
        <w:tabs>
          <w:tab w:val="left" w:pos="0"/>
        </w:tabs>
        <w:spacing w:after="120" w:line="276" w:lineRule="auto"/>
        <w:jc w:val="both"/>
        <w:rPr>
          <w:rFonts w:ascii="Arial" w:eastAsia="Calibri" w:hAnsi="Arial" w:cs="Arial"/>
          <w:bCs/>
          <w:sz w:val="22"/>
          <w:lang w:val="es-ES_tradnl"/>
        </w:rPr>
      </w:pPr>
      <w:r w:rsidRPr="00890E6F">
        <w:rPr>
          <w:rFonts w:ascii="Arial" w:eastAsia="Calibri" w:hAnsi="Arial" w:cs="Arial"/>
          <w:bCs/>
          <w:sz w:val="22"/>
          <w:lang w:val="es-ES_tradnl"/>
        </w:rPr>
        <w:tab/>
      </w:r>
      <w:r w:rsidR="001971FD" w:rsidRPr="00890E6F">
        <w:rPr>
          <w:rFonts w:ascii="Arial" w:eastAsia="Calibri" w:hAnsi="Arial" w:cs="Arial"/>
          <w:bCs/>
          <w:sz w:val="22"/>
          <w:lang w:val="es-ES_tradnl"/>
        </w:rPr>
        <w:t>Lo anterior</w:t>
      </w:r>
      <w:r w:rsidR="00314A22" w:rsidRPr="00890E6F">
        <w:rPr>
          <w:rFonts w:ascii="Arial" w:eastAsia="Calibri" w:hAnsi="Arial" w:cs="Arial"/>
          <w:bCs/>
          <w:sz w:val="22"/>
          <w:lang w:val="es-ES_tradnl"/>
        </w:rPr>
        <w:t xml:space="preserve"> implica que l</w:t>
      </w:r>
      <w:r w:rsidR="00F719FD" w:rsidRPr="00890E6F">
        <w:rPr>
          <w:rFonts w:ascii="Arial" w:eastAsia="Calibri" w:hAnsi="Arial" w:cs="Arial"/>
          <w:bCs/>
          <w:sz w:val="22"/>
          <w:lang w:val="es-ES_tradnl"/>
        </w:rPr>
        <w:t>as entidades estatales</w:t>
      </w:r>
      <w:r w:rsidR="00314A22" w:rsidRPr="00890E6F">
        <w:rPr>
          <w:rFonts w:ascii="Arial" w:eastAsia="Calibri" w:hAnsi="Arial" w:cs="Arial"/>
          <w:bCs/>
          <w:sz w:val="22"/>
          <w:lang w:val="es-ES_tradnl"/>
        </w:rPr>
        <w:t xml:space="preserve"> </w:t>
      </w:r>
      <w:r w:rsidR="008C6754" w:rsidRPr="00890E6F">
        <w:rPr>
          <w:rFonts w:ascii="Arial" w:eastAsia="Calibri" w:hAnsi="Arial" w:cs="Arial"/>
          <w:bCs/>
          <w:sz w:val="22"/>
          <w:lang w:val="es-ES_tradnl"/>
        </w:rPr>
        <w:t xml:space="preserve">tendrían </w:t>
      </w:r>
      <w:r w:rsidR="004F44D8" w:rsidRPr="00890E6F">
        <w:rPr>
          <w:rFonts w:ascii="Arial" w:eastAsia="Calibri" w:hAnsi="Arial" w:cs="Arial"/>
          <w:bCs/>
          <w:sz w:val="22"/>
          <w:lang w:val="es-ES_tradnl"/>
        </w:rPr>
        <w:t>a su alcance la posibilidad de determinar si aplica o no el artículo 35</w:t>
      </w:r>
      <w:r w:rsidR="008C6754" w:rsidRPr="00890E6F">
        <w:rPr>
          <w:rFonts w:ascii="Arial" w:eastAsia="Calibri" w:hAnsi="Arial" w:cs="Arial"/>
          <w:bCs/>
          <w:sz w:val="22"/>
          <w:lang w:val="es-ES_tradnl"/>
        </w:rPr>
        <w:t xml:space="preserve"> de la Ley de Emprendimiento</w:t>
      </w:r>
      <w:r w:rsidR="004F44D8" w:rsidRPr="00890E6F">
        <w:rPr>
          <w:rFonts w:ascii="Arial" w:eastAsia="Calibri" w:hAnsi="Arial" w:cs="Arial"/>
          <w:bCs/>
          <w:sz w:val="22"/>
          <w:lang w:val="es-ES_tradnl"/>
        </w:rPr>
        <w:t xml:space="preserve">, </w:t>
      </w:r>
      <w:r w:rsidR="00812C9E" w:rsidRPr="00890E6F">
        <w:rPr>
          <w:rFonts w:ascii="Arial" w:eastAsia="Calibri" w:hAnsi="Arial" w:cs="Arial"/>
          <w:bCs/>
          <w:sz w:val="22"/>
          <w:lang w:val="es-ES_tradnl"/>
        </w:rPr>
        <w:t xml:space="preserve">ya que al </w:t>
      </w:r>
      <w:r w:rsidR="008D15D4" w:rsidRPr="00890E6F">
        <w:rPr>
          <w:rFonts w:ascii="Arial" w:eastAsia="Calibri" w:hAnsi="Arial" w:cs="Arial"/>
          <w:bCs/>
          <w:sz w:val="22"/>
          <w:lang w:val="es-ES_tradnl"/>
        </w:rPr>
        <w:t>elaborar</w:t>
      </w:r>
      <w:r w:rsidR="00F719FD" w:rsidRPr="00890E6F">
        <w:rPr>
          <w:rFonts w:ascii="Arial" w:eastAsia="Calibri" w:hAnsi="Arial" w:cs="Arial"/>
          <w:bCs/>
          <w:sz w:val="22"/>
          <w:lang w:val="es-ES_tradnl"/>
        </w:rPr>
        <w:t xml:space="preserve"> los pliegos de condiciones </w:t>
      </w:r>
      <w:r w:rsidR="000A03F2" w:rsidRPr="00890E6F">
        <w:rPr>
          <w:rFonts w:ascii="Arial" w:eastAsia="Calibri" w:hAnsi="Arial" w:cs="Arial"/>
          <w:bCs/>
          <w:sz w:val="22"/>
          <w:lang w:val="es-ES_tradnl"/>
        </w:rPr>
        <w:t>est</w:t>
      </w:r>
      <w:r w:rsidR="00812C9E" w:rsidRPr="00890E6F">
        <w:rPr>
          <w:rFonts w:ascii="Arial" w:eastAsia="Calibri" w:hAnsi="Arial" w:cs="Arial"/>
          <w:bCs/>
          <w:sz w:val="22"/>
          <w:lang w:val="es-ES_tradnl"/>
        </w:rPr>
        <w:t>án</w:t>
      </w:r>
      <w:r w:rsidR="000A03F2" w:rsidRPr="00890E6F">
        <w:rPr>
          <w:rFonts w:ascii="Arial" w:eastAsia="Calibri" w:hAnsi="Arial" w:cs="Arial"/>
          <w:bCs/>
          <w:sz w:val="22"/>
          <w:lang w:val="es-ES_tradnl"/>
        </w:rPr>
        <w:t xml:space="preserve"> faculta</w:t>
      </w:r>
      <w:r w:rsidR="002E6A50" w:rsidRPr="00890E6F">
        <w:rPr>
          <w:rFonts w:ascii="Arial" w:eastAsia="Calibri" w:hAnsi="Arial" w:cs="Arial"/>
          <w:bCs/>
          <w:sz w:val="22"/>
          <w:lang w:val="es-ES_tradnl"/>
        </w:rPr>
        <w:t>da</w:t>
      </w:r>
      <w:r w:rsidR="000A03F2" w:rsidRPr="00890E6F">
        <w:rPr>
          <w:rFonts w:ascii="Arial" w:eastAsia="Calibri" w:hAnsi="Arial" w:cs="Arial"/>
          <w:bCs/>
          <w:sz w:val="22"/>
          <w:lang w:val="es-ES_tradnl"/>
        </w:rPr>
        <w:t>s para</w:t>
      </w:r>
      <w:r w:rsidR="00812C9E" w:rsidRPr="00890E6F">
        <w:rPr>
          <w:rFonts w:ascii="Arial" w:eastAsia="Calibri" w:hAnsi="Arial" w:cs="Arial"/>
          <w:bCs/>
          <w:sz w:val="22"/>
          <w:lang w:val="es-ES_tradnl"/>
        </w:rPr>
        <w:t xml:space="preserve"> </w:t>
      </w:r>
      <w:r w:rsidR="0071041A" w:rsidRPr="00890E6F">
        <w:rPr>
          <w:rFonts w:ascii="Arial" w:eastAsia="Calibri" w:hAnsi="Arial" w:cs="Arial"/>
          <w:bCs/>
          <w:sz w:val="22"/>
          <w:lang w:val="es-ES_tradnl"/>
        </w:rPr>
        <w:t>prescindir</w:t>
      </w:r>
      <w:r w:rsidR="00812C9E" w:rsidRPr="00890E6F">
        <w:rPr>
          <w:rFonts w:ascii="Arial" w:eastAsia="Calibri" w:hAnsi="Arial" w:cs="Arial"/>
          <w:bCs/>
          <w:sz w:val="22"/>
          <w:lang w:val="es-ES_tradnl"/>
        </w:rPr>
        <w:t xml:space="preserve"> de la asignación de puntaje,</w:t>
      </w:r>
      <w:r w:rsidR="000A03F2" w:rsidRPr="00890E6F">
        <w:rPr>
          <w:rFonts w:ascii="Arial" w:eastAsia="Calibri" w:hAnsi="Arial" w:cs="Arial"/>
          <w:bCs/>
          <w:sz w:val="22"/>
          <w:lang w:val="es-ES_tradnl"/>
        </w:rPr>
        <w:t xml:space="preserve"> opta</w:t>
      </w:r>
      <w:r w:rsidR="00812C9E" w:rsidRPr="00890E6F">
        <w:rPr>
          <w:rFonts w:ascii="Arial" w:eastAsia="Calibri" w:hAnsi="Arial" w:cs="Arial"/>
          <w:bCs/>
          <w:sz w:val="22"/>
          <w:lang w:val="es-ES_tradnl"/>
        </w:rPr>
        <w:t>ndo</w:t>
      </w:r>
      <w:r w:rsidR="0071041A" w:rsidRPr="00890E6F">
        <w:rPr>
          <w:rFonts w:ascii="Arial" w:eastAsia="Calibri" w:hAnsi="Arial" w:cs="Arial"/>
          <w:bCs/>
          <w:sz w:val="22"/>
          <w:lang w:val="es-ES_tradnl"/>
        </w:rPr>
        <w:t>,</w:t>
      </w:r>
      <w:r w:rsidR="000A03F2" w:rsidRPr="00890E6F">
        <w:rPr>
          <w:rFonts w:ascii="Arial" w:eastAsia="Calibri" w:hAnsi="Arial" w:cs="Arial"/>
          <w:bCs/>
          <w:sz w:val="22"/>
          <w:lang w:val="es-ES_tradnl"/>
        </w:rPr>
        <w:t xml:space="preserve"> por</w:t>
      </w:r>
      <w:r w:rsidR="0071041A" w:rsidRPr="00890E6F">
        <w:rPr>
          <w:rFonts w:ascii="Arial" w:eastAsia="Calibri" w:hAnsi="Arial" w:cs="Arial"/>
          <w:bCs/>
          <w:sz w:val="22"/>
          <w:lang w:val="es-ES_tradnl"/>
        </w:rPr>
        <w:t xml:space="preserve"> ejemplo, por</w:t>
      </w:r>
      <w:r w:rsidR="000A03F2" w:rsidRPr="00890E6F">
        <w:rPr>
          <w:rFonts w:ascii="Arial" w:eastAsia="Calibri" w:hAnsi="Arial" w:cs="Arial"/>
          <w:bCs/>
          <w:sz w:val="22"/>
          <w:lang w:val="es-ES_tradnl"/>
        </w:rPr>
        <w:t xml:space="preserve"> alternativas </w:t>
      </w:r>
      <w:r w:rsidR="00DD65ED" w:rsidRPr="00890E6F">
        <w:rPr>
          <w:rFonts w:ascii="Arial" w:eastAsia="Calibri" w:hAnsi="Arial" w:cs="Arial"/>
          <w:bCs/>
          <w:sz w:val="22"/>
          <w:lang w:val="es-ES_tradnl"/>
        </w:rPr>
        <w:t>en las que se valore la relación costo beneficio</w:t>
      </w:r>
      <w:r w:rsidR="003C4B46" w:rsidRPr="00890E6F">
        <w:rPr>
          <w:rFonts w:ascii="Arial" w:eastAsia="Calibri" w:hAnsi="Arial" w:cs="Arial"/>
          <w:bCs/>
          <w:sz w:val="22"/>
          <w:lang w:val="es-ES_tradnl"/>
        </w:rPr>
        <w:t xml:space="preserve">, lo que relevaría </w:t>
      </w:r>
      <w:r w:rsidR="002E6A50" w:rsidRPr="00890E6F">
        <w:rPr>
          <w:rFonts w:ascii="Arial" w:eastAsia="Calibri" w:hAnsi="Arial" w:cs="Arial"/>
          <w:bCs/>
          <w:sz w:val="22"/>
          <w:lang w:val="es-ES_tradnl"/>
        </w:rPr>
        <w:t xml:space="preserve">a la entidad de aplicar </w:t>
      </w:r>
      <w:r w:rsidR="004C74BD" w:rsidRPr="00890E6F">
        <w:rPr>
          <w:rFonts w:ascii="Arial" w:eastAsia="Calibri" w:hAnsi="Arial" w:cs="Arial"/>
          <w:bCs/>
          <w:sz w:val="22"/>
          <w:lang w:val="es-ES_tradnl"/>
        </w:rPr>
        <w:t>los factores de desempate</w:t>
      </w:r>
      <w:r w:rsidR="00314A22" w:rsidRPr="00890E6F">
        <w:rPr>
          <w:rFonts w:ascii="Arial" w:eastAsia="Calibri" w:hAnsi="Arial" w:cs="Arial"/>
          <w:bCs/>
          <w:sz w:val="22"/>
          <w:lang w:val="es-ES_tradnl"/>
        </w:rPr>
        <w:t>.</w:t>
      </w:r>
      <w:r w:rsidR="00AE7CF1" w:rsidRPr="00890E6F">
        <w:rPr>
          <w:rFonts w:ascii="Arial" w:eastAsia="Calibri" w:hAnsi="Arial" w:cs="Arial"/>
          <w:bCs/>
          <w:sz w:val="22"/>
          <w:lang w:val="es-ES_tradnl"/>
        </w:rPr>
        <w:t xml:space="preserve"> </w:t>
      </w:r>
      <w:r w:rsidR="002B3FBF" w:rsidRPr="00890E6F">
        <w:rPr>
          <w:rFonts w:ascii="Arial" w:eastAsia="Calibri" w:hAnsi="Arial" w:cs="Arial"/>
          <w:bCs/>
          <w:sz w:val="22"/>
          <w:lang w:val="es-ES_tradnl"/>
        </w:rPr>
        <w:t>Esta</w:t>
      </w:r>
      <w:r w:rsidR="00AE7CF1" w:rsidRPr="00890E6F">
        <w:rPr>
          <w:rFonts w:ascii="Arial" w:eastAsia="Calibri" w:hAnsi="Arial" w:cs="Arial"/>
          <w:bCs/>
          <w:sz w:val="22"/>
          <w:lang w:val="es-ES_tradnl"/>
        </w:rPr>
        <w:t xml:space="preserve"> consecuencia también se aprecia </w:t>
      </w:r>
      <w:r w:rsidR="005F5935" w:rsidRPr="00890E6F">
        <w:rPr>
          <w:rFonts w:ascii="Arial" w:eastAsia="Calibri" w:hAnsi="Arial" w:cs="Arial"/>
          <w:bCs/>
          <w:sz w:val="22"/>
          <w:lang w:val="es-ES_tradnl"/>
        </w:rPr>
        <w:t>en caso de las entidades exceptuadas</w:t>
      </w:r>
      <w:r w:rsidR="009C0783" w:rsidRPr="00890E6F">
        <w:rPr>
          <w:rFonts w:ascii="Arial" w:eastAsia="Calibri" w:hAnsi="Arial" w:cs="Arial"/>
          <w:bCs/>
          <w:sz w:val="22"/>
          <w:lang w:val="es-ES_tradnl"/>
        </w:rPr>
        <w:t>, quienes al no estar sujetas al artículo 5 de la Ley 1150 de 2007</w:t>
      </w:r>
      <w:r w:rsidR="005F7112" w:rsidRPr="00890E6F">
        <w:rPr>
          <w:rFonts w:ascii="Arial" w:eastAsia="Calibri" w:hAnsi="Arial" w:cs="Arial"/>
          <w:bCs/>
          <w:sz w:val="22"/>
          <w:lang w:val="es-ES_tradnl"/>
        </w:rPr>
        <w:t xml:space="preserve">, tienen a su alcance </w:t>
      </w:r>
      <w:r w:rsidR="00E85D69" w:rsidRPr="00890E6F">
        <w:rPr>
          <w:rFonts w:ascii="Arial" w:eastAsia="Calibri" w:hAnsi="Arial" w:cs="Arial"/>
          <w:bCs/>
          <w:sz w:val="22"/>
          <w:lang w:val="es-ES_tradnl"/>
        </w:rPr>
        <w:t xml:space="preserve">la posibilidad de </w:t>
      </w:r>
      <w:r w:rsidR="005F7112" w:rsidRPr="00890E6F">
        <w:rPr>
          <w:rFonts w:ascii="Arial" w:eastAsia="Calibri" w:hAnsi="Arial" w:cs="Arial"/>
          <w:bCs/>
          <w:sz w:val="22"/>
          <w:lang w:val="es-ES_tradnl"/>
        </w:rPr>
        <w:t xml:space="preserve">configurar procesos de selección </w:t>
      </w:r>
      <w:r w:rsidR="00057CBB" w:rsidRPr="00890E6F">
        <w:rPr>
          <w:rFonts w:ascii="Arial" w:eastAsia="Calibri" w:hAnsi="Arial" w:cs="Arial"/>
          <w:bCs/>
          <w:sz w:val="22"/>
          <w:lang w:val="es-ES_tradnl"/>
        </w:rPr>
        <w:t>en los que no se utilice</w:t>
      </w:r>
      <w:r w:rsidR="008013FB" w:rsidRPr="00890E6F">
        <w:rPr>
          <w:rFonts w:ascii="Arial" w:eastAsia="Calibri" w:hAnsi="Arial" w:cs="Arial"/>
          <w:bCs/>
          <w:sz w:val="22"/>
          <w:lang w:val="es-ES_tradnl"/>
        </w:rPr>
        <w:t>n</w:t>
      </w:r>
      <w:r w:rsidR="00057CBB" w:rsidRPr="00890E6F">
        <w:rPr>
          <w:rFonts w:ascii="Arial" w:eastAsia="Calibri" w:hAnsi="Arial" w:cs="Arial"/>
          <w:bCs/>
          <w:sz w:val="22"/>
          <w:lang w:val="es-ES_tradnl"/>
        </w:rPr>
        <w:t xml:space="preserve"> puntaje</w:t>
      </w:r>
      <w:r w:rsidR="008013FB" w:rsidRPr="00890E6F">
        <w:rPr>
          <w:rFonts w:ascii="Arial" w:eastAsia="Calibri" w:hAnsi="Arial" w:cs="Arial"/>
          <w:bCs/>
          <w:sz w:val="22"/>
          <w:lang w:val="es-ES_tradnl"/>
        </w:rPr>
        <w:t>s</w:t>
      </w:r>
      <w:r w:rsidR="00057CBB" w:rsidRPr="00890E6F">
        <w:rPr>
          <w:rFonts w:ascii="Arial" w:eastAsia="Calibri" w:hAnsi="Arial" w:cs="Arial"/>
          <w:bCs/>
          <w:sz w:val="22"/>
          <w:lang w:val="es-ES_tradnl"/>
        </w:rPr>
        <w:t xml:space="preserve"> para escoger la oferta ganadora,</w:t>
      </w:r>
      <w:r w:rsidR="001E747D" w:rsidRPr="00890E6F">
        <w:rPr>
          <w:rFonts w:ascii="Arial" w:eastAsia="Calibri" w:hAnsi="Arial" w:cs="Arial"/>
          <w:bCs/>
          <w:sz w:val="22"/>
          <w:lang w:val="es-ES_tradnl"/>
        </w:rPr>
        <w:t xml:space="preserve"> </w:t>
      </w:r>
      <w:r w:rsidR="007363DC" w:rsidRPr="00890E6F">
        <w:rPr>
          <w:rFonts w:ascii="Arial" w:eastAsia="Calibri" w:hAnsi="Arial" w:cs="Arial"/>
          <w:bCs/>
          <w:sz w:val="22"/>
          <w:lang w:val="es-ES_tradnl"/>
        </w:rPr>
        <w:t>inaplicando</w:t>
      </w:r>
      <w:r w:rsidR="001E747D" w:rsidRPr="00890E6F">
        <w:rPr>
          <w:rFonts w:ascii="Arial" w:eastAsia="Calibri" w:hAnsi="Arial" w:cs="Arial"/>
          <w:bCs/>
          <w:sz w:val="22"/>
          <w:lang w:val="es-ES_tradnl"/>
        </w:rPr>
        <w:t xml:space="preserve"> de los factores de desempate del artículo 35</w:t>
      </w:r>
      <w:r w:rsidR="008013FB" w:rsidRPr="00890E6F">
        <w:rPr>
          <w:rFonts w:ascii="Arial" w:eastAsia="Calibri" w:hAnsi="Arial" w:cs="Arial"/>
          <w:bCs/>
          <w:sz w:val="22"/>
          <w:lang w:val="es-ES_tradnl"/>
        </w:rPr>
        <w:t xml:space="preserve"> de la Ley 2069 de 2020.</w:t>
      </w:r>
    </w:p>
    <w:p w14:paraId="1DE74688" w14:textId="0924883F" w:rsidR="00AA5E49" w:rsidRPr="00890E6F" w:rsidRDefault="00A056D2" w:rsidP="00EB2ED0">
      <w:pPr>
        <w:tabs>
          <w:tab w:val="left" w:pos="0"/>
        </w:tabs>
        <w:spacing w:after="120" w:line="276" w:lineRule="auto"/>
        <w:jc w:val="both"/>
        <w:rPr>
          <w:rFonts w:ascii="Arial" w:eastAsia="Calibri" w:hAnsi="Arial" w:cs="Arial"/>
          <w:bCs/>
          <w:sz w:val="22"/>
          <w:lang w:val="es-ES_tradnl"/>
        </w:rPr>
      </w:pPr>
      <w:r w:rsidRPr="00890E6F">
        <w:rPr>
          <w:rFonts w:ascii="Arial" w:eastAsia="Calibri" w:hAnsi="Arial" w:cs="Arial"/>
          <w:bCs/>
          <w:sz w:val="22"/>
          <w:lang w:val="es-ES_tradnl"/>
        </w:rPr>
        <w:tab/>
        <w:t xml:space="preserve">Conforme a estas consideraciones, el entendimiento literal de la expresión </w:t>
      </w:r>
      <w:r w:rsidRPr="00890E6F">
        <w:rPr>
          <w:rFonts w:ascii="Arial" w:eastAsia="Calibri" w:hAnsi="Arial" w:cs="Arial"/>
          <w:bCs/>
          <w:i/>
          <w:iCs/>
          <w:sz w:val="22"/>
          <w:lang w:val="es-ES_tradnl"/>
        </w:rPr>
        <w:t>puntaje total</w:t>
      </w:r>
      <w:r w:rsidR="002036BA" w:rsidRPr="00890E6F">
        <w:rPr>
          <w:rFonts w:ascii="Arial" w:eastAsia="Calibri" w:hAnsi="Arial" w:cs="Arial"/>
          <w:bCs/>
          <w:sz w:val="22"/>
          <w:lang w:val="es-ES_tradnl"/>
        </w:rPr>
        <w:t xml:space="preserve"> contenida en el artículo 35 de la 2069 de 2020, priva </w:t>
      </w:r>
      <w:r w:rsidR="008627DE" w:rsidRPr="00890E6F">
        <w:rPr>
          <w:rFonts w:ascii="Arial" w:eastAsia="Calibri" w:hAnsi="Arial" w:cs="Arial"/>
          <w:bCs/>
          <w:sz w:val="22"/>
          <w:lang w:val="es-ES_tradnl"/>
        </w:rPr>
        <w:t>esta</w:t>
      </w:r>
      <w:r w:rsidR="002036BA" w:rsidRPr="00890E6F">
        <w:rPr>
          <w:rFonts w:ascii="Arial" w:eastAsia="Calibri" w:hAnsi="Arial" w:cs="Arial"/>
          <w:bCs/>
          <w:sz w:val="22"/>
          <w:lang w:val="es-ES_tradnl"/>
        </w:rPr>
        <w:t xml:space="preserve"> norma de un</w:t>
      </w:r>
      <w:r w:rsidR="00290805" w:rsidRPr="00890E6F">
        <w:rPr>
          <w:rFonts w:ascii="Arial" w:eastAsia="Calibri" w:hAnsi="Arial" w:cs="Arial"/>
          <w:bCs/>
          <w:sz w:val="22"/>
          <w:lang w:val="es-ES_tradnl"/>
        </w:rPr>
        <w:t xml:space="preserve">a gran parte de su </w:t>
      </w:r>
      <w:r w:rsidR="00B75628" w:rsidRPr="00890E6F">
        <w:rPr>
          <w:rFonts w:ascii="Arial" w:eastAsia="Calibri" w:hAnsi="Arial" w:cs="Arial"/>
          <w:bCs/>
          <w:sz w:val="22"/>
          <w:lang w:val="es-ES_tradnl"/>
        </w:rPr>
        <w:t>obligatoriedad</w:t>
      </w:r>
      <w:r w:rsidR="00290805" w:rsidRPr="00890E6F">
        <w:rPr>
          <w:rFonts w:ascii="Arial" w:eastAsia="Calibri" w:hAnsi="Arial" w:cs="Arial"/>
          <w:bCs/>
          <w:sz w:val="22"/>
          <w:lang w:val="es-ES_tradnl"/>
        </w:rPr>
        <w:t>,</w:t>
      </w:r>
      <w:r w:rsidR="00F8740F" w:rsidRPr="00890E6F">
        <w:rPr>
          <w:rFonts w:ascii="Arial" w:eastAsia="Calibri" w:hAnsi="Arial" w:cs="Arial"/>
          <w:bCs/>
          <w:sz w:val="22"/>
          <w:lang w:val="es-ES_tradnl"/>
        </w:rPr>
        <w:t xml:space="preserve"> al permitir que</w:t>
      </w:r>
      <w:r w:rsidR="00290805" w:rsidRPr="00890E6F">
        <w:rPr>
          <w:rFonts w:ascii="Arial" w:eastAsia="Calibri" w:hAnsi="Arial" w:cs="Arial"/>
          <w:bCs/>
          <w:sz w:val="22"/>
          <w:lang w:val="es-ES_tradnl"/>
        </w:rPr>
        <w:t xml:space="preserve"> los </w:t>
      </w:r>
      <w:r w:rsidR="00F8740F" w:rsidRPr="00890E6F">
        <w:rPr>
          <w:rFonts w:ascii="Arial" w:eastAsia="Calibri" w:hAnsi="Arial" w:cs="Arial"/>
          <w:bCs/>
          <w:sz w:val="22"/>
          <w:lang w:val="es-ES_tradnl"/>
        </w:rPr>
        <w:t xml:space="preserve">destinatarios </w:t>
      </w:r>
      <w:r w:rsidR="003A3EA0" w:rsidRPr="00890E6F">
        <w:rPr>
          <w:rFonts w:ascii="Arial" w:eastAsia="Calibri" w:hAnsi="Arial" w:cs="Arial"/>
          <w:bCs/>
          <w:sz w:val="22"/>
          <w:lang w:val="es-ES_tradnl"/>
        </w:rPr>
        <w:t>elud</w:t>
      </w:r>
      <w:r w:rsidR="00136DD8" w:rsidRPr="00890E6F">
        <w:rPr>
          <w:rFonts w:ascii="Arial" w:eastAsia="Calibri" w:hAnsi="Arial" w:cs="Arial"/>
          <w:bCs/>
          <w:sz w:val="22"/>
          <w:lang w:val="es-ES_tradnl"/>
        </w:rPr>
        <w:t>an</w:t>
      </w:r>
      <w:r w:rsidR="003A3EA0" w:rsidRPr="00890E6F">
        <w:rPr>
          <w:rFonts w:ascii="Arial" w:eastAsia="Calibri" w:hAnsi="Arial" w:cs="Arial"/>
          <w:bCs/>
          <w:sz w:val="22"/>
          <w:lang w:val="es-ES_tradnl"/>
        </w:rPr>
        <w:t xml:space="preserve"> su aplicación. </w:t>
      </w:r>
      <w:r w:rsidR="0092557B" w:rsidRPr="00890E6F">
        <w:rPr>
          <w:rFonts w:ascii="Arial" w:eastAsia="Calibri" w:hAnsi="Arial" w:cs="Arial"/>
          <w:bCs/>
          <w:sz w:val="22"/>
          <w:lang w:val="es-ES_tradnl"/>
        </w:rPr>
        <w:t xml:space="preserve">Esto </w:t>
      </w:r>
      <w:r w:rsidR="006C5215" w:rsidRPr="00890E6F">
        <w:rPr>
          <w:rFonts w:ascii="Arial" w:eastAsia="Calibri" w:hAnsi="Arial" w:cs="Arial"/>
          <w:bCs/>
          <w:sz w:val="22"/>
          <w:lang w:val="es-ES_tradnl"/>
        </w:rPr>
        <w:t>implica que la</w:t>
      </w:r>
      <w:r w:rsidR="0092557B" w:rsidRPr="00890E6F">
        <w:rPr>
          <w:rFonts w:ascii="Arial" w:eastAsia="Calibri" w:hAnsi="Arial" w:cs="Arial"/>
          <w:bCs/>
          <w:sz w:val="22"/>
          <w:lang w:val="es-ES_tradnl"/>
        </w:rPr>
        <w:t xml:space="preserve"> finalidad transversal del artículo 35 de la Ley 2069 de 2020</w:t>
      </w:r>
      <w:r w:rsidR="00BF6990" w:rsidRPr="00890E6F">
        <w:rPr>
          <w:rFonts w:ascii="Arial" w:eastAsia="Calibri" w:hAnsi="Arial" w:cs="Arial"/>
          <w:bCs/>
          <w:sz w:val="22"/>
          <w:lang w:val="es-ES_tradnl"/>
        </w:rPr>
        <w:t xml:space="preserve"> quedaría cercenada por </w:t>
      </w:r>
      <w:r w:rsidR="0071340B" w:rsidRPr="00890E6F">
        <w:rPr>
          <w:rFonts w:ascii="Arial" w:eastAsia="Calibri" w:hAnsi="Arial" w:cs="Arial"/>
          <w:bCs/>
          <w:sz w:val="22"/>
          <w:lang w:val="es-ES_tradnl"/>
        </w:rPr>
        <w:t xml:space="preserve">su </w:t>
      </w:r>
      <w:r w:rsidR="00BF6990" w:rsidRPr="00890E6F">
        <w:rPr>
          <w:rFonts w:ascii="Arial" w:eastAsia="Calibri" w:hAnsi="Arial" w:cs="Arial"/>
          <w:bCs/>
          <w:sz w:val="22"/>
          <w:lang w:val="es-ES_tradnl"/>
        </w:rPr>
        <w:lastRenderedPageBreak/>
        <w:t xml:space="preserve">interpretación exegética, </w:t>
      </w:r>
      <w:r w:rsidR="00B75628" w:rsidRPr="00890E6F">
        <w:rPr>
          <w:rFonts w:ascii="Arial" w:eastAsia="Calibri" w:hAnsi="Arial" w:cs="Arial"/>
          <w:bCs/>
          <w:sz w:val="22"/>
          <w:lang w:val="es-ES_tradnl"/>
        </w:rPr>
        <w:t>generando consecuencias absurdas como las descritas en el párrafo precedente</w:t>
      </w:r>
      <w:r w:rsidR="009E3BEE" w:rsidRPr="00890E6F">
        <w:rPr>
          <w:rFonts w:ascii="Arial" w:eastAsia="Calibri" w:hAnsi="Arial" w:cs="Arial"/>
          <w:bCs/>
          <w:sz w:val="22"/>
          <w:lang w:val="es-ES_tradnl"/>
        </w:rPr>
        <w:t>.</w:t>
      </w:r>
      <w:r w:rsidR="00511368" w:rsidRPr="00890E6F">
        <w:rPr>
          <w:rFonts w:ascii="Arial" w:eastAsia="Calibri" w:hAnsi="Arial" w:cs="Arial"/>
          <w:bCs/>
          <w:sz w:val="22"/>
          <w:lang w:val="es-ES_tradnl"/>
        </w:rPr>
        <w:t xml:space="preserve">  </w:t>
      </w:r>
    </w:p>
    <w:p w14:paraId="400AE1BF" w14:textId="3D96FCBB" w:rsidR="008D15D4" w:rsidRPr="00890E6F" w:rsidRDefault="009D28E8" w:rsidP="00EB2ED0">
      <w:pPr>
        <w:tabs>
          <w:tab w:val="left" w:pos="0"/>
        </w:tabs>
        <w:spacing w:after="120" w:line="276" w:lineRule="auto"/>
        <w:jc w:val="both"/>
        <w:rPr>
          <w:rFonts w:ascii="Arial" w:hAnsi="Arial" w:cs="Arial"/>
          <w:sz w:val="22"/>
          <w:szCs w:val="22"/>
        </w:rPr>
      </w:pPr>
      <w:r w:rsidRPr="00890E6F">
        <w:rPr>
          <w:rFonts w:ascii="Arial" w:eastAsia="Calibri" w:hAnsi="Arial" w:cs="Arial"/>
          <w:bCs/>
          <w:sz w:val="22"/>
          <w:szCs w:val="22"/>
          <w:lang w:val="es-ES_tradnl"/>
        </w:rPr>
        <w:tab/>
        <w:t xml:space="preserve">En consideración a lo anterior, </w:t>
      </w:r>
      <w:r w:rsidR="00111026" w:rsidRPr="00890E6F">
        <w:rPr>
          <w:rFonts w:ascii="Arial" w:eastAsia="Calibri" w:hAnsi="Arial" w:cs="Arial"/>
          <w:bCs/>
          <w:sz w:val="22"/>
          <w:szCs w:val="22"/>
          <w:lang w:val="es-ES_tradnl"/>
        </w:rPr>
        <w:t>la</w:t>
      </w:r>
      <w:r w:rsidRPr="00890E6F">
        <w:rPr>
          <w:rFonts w:ascii="Arial" w:eastAsia="Calibri" w:hAnsi="Arial" w:cs="Arial"/>
          <w:bCs/>
          <w:sz w:val="22"/>
          <w:szCs w:val="22"/>
          <w:lang w:val="es-ES_tradnl"/>
        </w:rPr>
        <w:t xml:space="preserve"> Agencia</w:t>
      </w:r>
      <w:r w:rsidR="00F5237A" w:rsidRPr="00890E6F">
        <w:rPr>
          <w:rFonts w:ascii="Arial" w:eastAsia="Calibri" w:hAnsi="Arial" w:cs="Arial"/>
          <w:bCs/>
          <w:sz w:val="22"/>
          <w:szCs w:val="22"/>
          <w:lang w:val="es-ES_tradnl"/>
        </w:rPr>
        <w:t xml:space="preserve"> </w:t>
      </w:r>
      <w:r w:rsidR="0085694D" w:rsidRPr="00890E6F">
        <w:rPr>
          <w:rFonts w:ascii="Arial" w:eastAsia="Calibri" w:hAnsi="Arial" w:cs="Arial"/>
          <w:bCs/>
          <w:sz w:val="22"/>
          <w:szCs w:val="22"/>
          <w:lang w:val="es-ES_tradnl"/>
        </w:rPr>
        <w:t xml:space="preserve">no </w:t>
      </w:r>
      <w:r w:rsidR="006C219B" w:rsidRPr="00890E6F">
        <w:rPr>
          <w:rFonts w:ascii="Arial" w:eastAsia="Calibri" w:hAnsi="Arial" w:cs="Arial"/>
          <w:bCs/>
          <w:sz w:val="22"/>
          <w:szCs w:val="22"/>
          <w:lang w:val="es-ES_tradnl"/>
        </w:rPr>
        <w:t>comparte la posición según la cual el artículo 35</w:t>
      </w:r>
      <w:r w:rsidR="00111026" w:rsidRPr="00890E6F">
        <w:rPr>
          <w:rFonts w:ascii="Arial" w:eastAsia="Calibri" w:hAnsi="Arial" w:cs="Arial"/>
          <w:bCs/>
          <w:sz w:val="22"/>
          <w:szCs w:val="22"/>
          <w:lang w:val="es-ES_tradnl"/>
        </w:rPr>
        <w:t xml:space="preserve"> de la Ley de Emprendimiento</w:t>
      </w:r>
      <w:r w:rsidR="0047072B" w:rsidRPr="00890E6F">
        <w:rPr>
          <w:rFonts w:ascii="Arial" w:eastAsia="Calibri" w:hAnsi="Arial" w:cs="Arial"/>
          <w:bCs/>
          <w:i/>
          <w:iCs/>
          <w:sz w:val="22"/>
          <w:szCs w:val="22"/>
          <w:lang w:val="es-ES_tradnl"/>
        </w:rPr>
        <w:t>,</w:t>
      </w:r>
      <w:r w:rsidR="0047072B" w:rsidRPr="00890E6F">
        <w:rPr>
          <w:rFonts w:ascii="Arial" w:eastAsia="Calibri" w:hAnsi="Arial" w:cs="Arial"/>
          <w:bCs/>
          <w:sz w:val="22"/>
          <w:szCs w:val="22"/>
          <w:lang w:val="es-ES_tradnl"/>
        </w:rPr>
        <w:t xml:space="preserve"> solo es aplicable en caso de empate en el puntaje total entre dos o más ofertas.</w:t>
      </w:r>
      <w:r w:rsidR="005E717E" w:rsidRPr="00890E6F">
        <w:rPr>
          <w:rFonts w:ascii="Arial" w:eastAsia="Calibri" w:hAnsi="Arial" w:cs="Arial"/>
          <w:bCs/>
          <w:sz w:val="22"/>
          <w:szCs w:val="22"/>
          <w:lang w:val="es-ES_tradnl"/>
        </w:rPr>
        <w:t xml:space="preserve"> Por el contrario,</w:t>
      </w:r>
      <w:r w:rsidR="00DB3445" w:rsidRPr="00890E6F">
        <w:rPr>
          <w:rFonts w:ascii="Arial" w:eastAsia="Calibri" w:hAnsi="Arial" w:cs="Arial"/>
          <w:bCs/>
          <w:sz w:val="22"/>
          <w:szCs w:val="22"/>
          <w:lang w:val="es-ES_tradnl"/>
        </w:rPr>
        <w:t xml:space="preserve"> </w:t>
      </w:r>
      <w:bookmarkStart w:id="12" w:name="_Hlk69752682"/>
      <w:r w:rsidR="00DB3445" w:rsidRPr="00890E6F">
        <w:rPr>
          <w:rFonts w:ascii="Arial" w:eastAsia="Calibri" w:hAnsi="Arial" w:cs="Arial"/>
          <w:bCs/>
          <w:sz w:val="22"/>
          <w:szCs w:val="22"/>
          <w:lang w:val="es-ES_tradnl"/>
        </w:rPr>
        <w:t>debe interpreta</w:t>
      </w:r>
      <w:r w:rsidR="00111026" w:rsidRPr="00890E6F">
        <w:rPr>
          <w:rFonts w:ascii="Arial" w:eastAsia="Calibri" w:hAnsi="Arial" w:cs="Arial"/>
          <w:bCs/>
          <w:sz w:val="22"/>
          <w:szCs w:val="22"/>
          <w:lang w:val="es-ES_tradnl"/>
        </w:rPr>
        <w:t>rse</w:t>
      </w:r>
      <w:r w:rsidR="00DB3445" w:rsidRPr="00890E6F">
        <w:rPr>
          <w:rFonts w:ascii="Arial" w:eastAsia="Calibri" w:hAnsi="Arial" w:cs="Arial"/>
          <w:bCs/>
          <w:sz w:val="22"/>
          <w:szCs w:val="22"/>
          <w:lang w:val="es-ES_tradnl"/>
        </w:rPr>
        <w:t xml:space="preserve"> de manera sistemática con las demás disposiciones del EGCAP, particularmente, </w:t>
      </w:r>
      <w:r w:rsidR="0079281A" w:rsidRPr="00890E6F">
        <w:rPr>
          <w:rFonts w:ascii="Arial" w:eastAsia="Calibri" w:hAnsi="Arial" w:cs="Arial"/>
          <w:bCs/>
          <w:sz w:val="22"/>
          <w:szCs w:val="22"/>
          <w:lang w:val="es-ES_tradnl"/>
        </w:rPr>
        <w:t xml:space="preserve">con el artículo 5 de la Ley 1150 </w:t>
      </w:r>
      <w:r w:rsidR="00DA565E" w:rsidRPr="00890E6F">
        <w:rPr>
          <w:rFonts w:ascii="Arial" w:eastAsia="Calibri" w:hAnsi="Arial" w:cs="Arial"/>
          <w:bCs/>
          <w:sz w:val="22"/>
          <w:szCs w:val="22"/>
          <w:lang w:val="es-ES_tradnl"/>
        </w:rPr>
        <w:t>de</w:t>
      </w:r>
      <w:r w:rsidR="0079281A" w:rsidRPr="00890E6F">
        <w:rPr>
          <w:rFonts w:ascii="Arial" w:eastAsia="Calibri" w:hAnsi="Arial" w:cs="Arial"/>
          <w:bCs/>
          <w:sz w:val="22"/>
          <w:szCs w:val="22"/>
          <w:lang w:val="es-ES_tradnl"/>
        </w:rPr>
        <w:t xml:space="preserve"> 2007. Conforme </w:t>
      </w:r>
      <w:r w:rsidR="008D15D4" w:rsidRPr="00890E6F">
        <w:rPr>
          <w:rFonts w:ascii="Arial" w:eastAsia="Calibri" w:hAnsi="Arial" w:cs="Arial"/>
          <w:bCs/>
          <w:sz w:val="22"/>
          <w:szCs w:val="22"/>
          <w:lang w:val="es-ES_tradnl"/>
        </w:rPr>
        <w:t xml:space="preserve">a </w:t>
      </w:r>
      <w:r w:rsidR="00C113D8" w:rsidRPr="00890E6F">
        <w:rPr>
          <w:rFonts w:ascii="Arial" w:eastAsia="Calibri" w:hAnsi="Arial" w:cs="Arial"/>
          <w:bCs/>
          <w:sz w:val="22"/>
          <w:szCs w:val="22"/>
          <w:lang w:val="es-ES_tradnl"/>
        </w:rPr>
        <w:t>esta idea</w:t>
      </w:r>
      <w:r w:rsidR="008D15D4" w:rsidRPr="00890E6F">
        <w:rPr>
          <w:rFonts w:ascii="Arial" w:eastAsia="Calibri" w:hAnsi="Arial" w:cs="Arial"/>
          <w:bCs/>
          <w:sz w:val="22"/>
          <w:szCs w:val="22"/>
          <w:lang w:val="es-ES_tradnl"/>
        </w:rPr>
        <w:t xml:space="preserve"> interpretación</w:t>
      </w:r>
      <w:r w:rsidR="0079281A" w:rsidRPr="00890E6F">
        <w:rPr>
          <w:rFonts w:ascii="Arial" w:eastAsia="Calibri" w:hAnsi="Arial" w:cs="Arial"/>
          <w:bCs/>
          <w:sz w:val="22"/>
          <w:szCs w:val="22"/>
          <w:lang w:val="es-ES_tradnl"/>
        </w:rPr>
        <w:t xml:space="preserve">, la expresión </w:t>
      </w:r>
      <w:r w:rsidR="00F1689D" w:rsidRPr="00890E6F">
        <w:rPr>
          <w:rFonts w:ascii="Arial" w:hAnsi="Arial" w:cs="Arial"/>
          <w:i/>
          <w:iCs/>
          <w:sz w:val="22"/>
          <w:szCs w:val="22"/>
        </w:rPr>
        <w:t>empate en el puntaje total</w:t>
      </w:r>
      <w:r w:rsidR="00F1689D" w:rsidRPr="00890E6F">
        <w:rPr>
          <w:rFonts w:ascii="Arial" w:hAnsi="Arial" w:cs="Arial"/>
          <w:sz w:val="22"/>
          <w:szCs w:val="22"/>
        </w:rPr>
        <w:t xml:space="preserve"> </w:t>
      </w:r>
      <w:r w:rsidR="00A832DB" w:rsidRPr="00890E6F">
        <w:rPr>
          <w:rFonts w:ascii="Arial" w:hAnsi="Arial" w:cs="Arial"/>
          <w:sz w:val="22"/>
          <w:szCs w:val="22"/>
        </w:rPr>
        <w:t xml:space="preserve">apunta a </w:t>
      </w:r>
      <w:r w:rsidR="005255D6" w:rsidRPr="00890E6F">
        <w:rPr>
          <w:rFonts w:ascii="Arial" w:hAnsi="Arial" w:cs="Arial"/>
          <w:sz w:val="22"/>
          <w:szCs w:val="22"/>
        </w:rPr>
        <w:t xml:space="preserve">las </w:t>
      </w:r>
      <w:r w:rsidR="00A832DB" w:rsidRPr="00890E6F">
        <w:rPr>
          <w:rFonts w:ascii="Arial" w:hAnsi="Arial" w:cs="Arial"/>
          <w:sz w:val="22"/>
          <w:szCs w:val="22"/>
        </w:rPr>
        <w:t xml:space="preserve">situaciones </w:t>
      </w:r>
      <w:r w:rsidR="002A0928" w:rsidRPr="00890E6F">
        <w:rPr>
          <w:rFonts w:ascii="Arial" w:hAnsi="Arial" w:cs="Arial"/>
          <w:sz w:val="22"/>
          <w:szCs w:val="22"/>
        </w:rPr>
        <w:t>en l</w:t>
      </w:r>
      <w:r w:rsidR="00E04D00" w:rsidRPr="00890E6F">
        <w:rPr>
          <w:rFonts w:ascii="Arial" w:hAnsi="Arial" w:cs="Arial"/>
          <w:sz w:val="22"/>
          <w:szCs w:val="22"/>
        </w:rPr>
        <w:t xml:space="preserve">a evaluación </w:t>
      </w:r>
      <w:r w:rsidR="008B1C27" w:rsidRPr="00890E6F">
        <w:rPr>
          <w:rFonts w:ascii="Arial" w:hAnsi="Arial" w:cs="Arial"/>
          <w:sz w:val="22"/>
          <w:szCs w:val="22"/>
        </w:rPr>
        <w:t>final</w:t>
      </w:r>
      <w:r w:rsidR="007D242C" w:rsidRPr="00890E6F">
        <w:rPr>
          <w:rFonts w:ascii="Arial" w:hAnsi="Arial" w:cs="Arial"/>
          <w:sz w:val="22"/>
          <w:szCs w:val="22"/>
        </w:rPr>
        <w:t xml:space="preserve"> de las ofertas</w:t>
      </w:r>
      <w:r w:rsidR="008B1C27" w:rsidRPr="00890E6F">
        <w:rPr>
          <w:rFonts w:ascii="Arial" w:hAnsi="Arial" w:cs="Arial"/>
          <w:sz w:val="22"/>
          <w:szCs w:val="22"/>
        </w:rPr>
        <w:t xml:space="preserve"> en las que</w:t>
      </w:r>
      <w:r w:rsidR="002A0928" w:rsidRPr="00890E6F">
        <w:rPr>
          <w:rFonts w:ascii="Arial" w:hAnsi="Arial" w:cs="Arial"/>
          <w:sz w:val="22"/>
          <w:szCs w:val="22"/>
        </w:rPr>
        <w:t>,</w:t>
      </w:r>
      <w:r w:rsidR="008B1C27" w:rsidRPr="00890E6F">
        <w:rPr>
          <w:rFonts w:ascii="Arial" w:hAnsi="Arial" w:cs="Arial"/>
          <w:sz w:val="22"/>
          <w:szCs w:val="22"/>
        </w:rPr>
        <w:t xml:space="preserve"> </w:t>
      </w:r>
      <w:r w:rsidR="00C113D8" w:rsidRPr="00890E6F">
        <w:rPr>
          <w:rFonts w:ascii="Arial" w:hAnsi="Arial" w:cs="Arial"/>
          <w:sz w:val="22"/>
          <w:szCs w:val="22"/>
        </w:rPr>
        <w:t>realizándose la</w:t>
      </w:r>
      <w:r w:rsidR="002A0928" w:rsidRPr="00890E6F">
        <w:rPr>
          <w:rFonts w:ascii="Arial" w:hAnsi="Arial" w:cs="Arial"/>
          <w:sz w:val="22"/>
          <w:szCs w:val="22"/>
        </w:rPr>
        <w:t xml:space="preserve"> comparación </w:t>
      </w:r>
      <w:r w:rsidR="00FA4168" w:rsidRPr="00890E6F">
        <w:rPr>
          <w:rFonts w:ascii="Arial" w:hAnsi="Arial" w:cs="Arial"/>
          <w:sz w:val="22"/>
          <w:szCs w:val="22"/>
        </w:rPr>
        <w:t>de acuerdo con</w:t>
      </w:r>
      <w:r w:rsidR="00672E16" w:rsidRPr="00890E6F">
        <w:rPr>
          <w:rFonts w:ascii="Arial" w:hAnsi="Arial" w:cs="Arial"/>
          <w:sz w:val="22"/>
          <w:szCs w:val="22"/>
        </w:rPr>
        <w:t xml:space="preserve"> </w:t>
      </w:r>
      <w:r w:rsidR="008B1C27" w:rsidRPr="00890E6F">
        <w:rPr>
          <w:rFonts w:ascii="Arial" w:hAnsi="Arial" w:cs="Arial"/>
          <w:sz w:val="22"/>
          <w:szCs w:val="22"/>
        </w:rPr>
        <w:t>los factores de calificación, evaluación</w:t>
      </w:r>
      <w:r w:rsidR="00665C4C" w:rsidRPr="00890E6F">
        <w:rPr>
          <w:rFonts w:ascii="Arial" w:hAnsi="Arial" w:cs="Arial"/>
          <w:sz w:val="22"/>
          <w:szCs w:val="22"/>
        </w:rPr>
        <w:t xml:space="preserve"> o</w:t>
      </w:r>
      <w:r w:rsidR="008B1C27" w:rsidRPr="00890E6F">
        <w:rPr>
          <w:rFonts w:ascii="Arial" w:hAnsi="Arial" w:cs="Arial"/>
          <w:sz w:val="22"/>
          <w:szCs w:val="22"/>
        </w:rPr>
        <w:t xml:space="preserve"> ponderación</w:t>
      </w:r>
      <w:r w:rsidR="00BA0A51" w:rsidRPr="00890E6F">
        <w:rPr>
          <w:rFonts w:ascii="Arial" w:hAnsi="Arial" w:cs="Arial"/>
          <w:sz w:val="22"/>
          <w:szCs w:val="22"/>
        </w:rPr>
        <w:t xml:space="preserve"> </w:t>
      </w:r>
      <w:r w:rsidR="00672E16" w:rsidRPr="00890E6F">
        <w:rPr>
          <w:rFonts w:ascii="Arial" w:hAnsi="Arial" w:cs="Arial"/>
          <w:sz w:val="22"/>
          <w:szCs w:val="22"/>
        </w:rPr>
        <w:t xml:space="preserve">aplicables al respectivo procedimiento, se presenta un empate entre </w:t>
      </w:r>
      <w:r w:rsidR="007E327F" w:rsidRPr="00890E6F">
        <w:rPr>
          <w:rFonts w:ascii="Arial" w:hAnsi="Arial" w:cs="Arial"/>
          <w:sz w:val="22"/>
          <w:szCs w:val="22"/>
        </w:rPr>
        <w:t xml:space="preserve">dos o más </w:t>
      </w:r>
      <w:r w:rsidR="00CD614A" w:rsidRPr="00890E6F">
        <w:rPr>
          <w:rFonts w:ascii="Arial" w:hAnsi="Arial" w:cs="Arial"/>
          <w:sz w:val="22"/>
          <w:szCs w:val="22"/>
        </w:rPr>
        <w:t>propuestas</w:t>
      </w:r>
      <w:r w:rsidR="000F045A" w:rsidRPr="00890E6F">
        <w:rPr>
          <w:rFonts w:ascii="Arial" w:hAnsi="Arial" w:cs="Arial"/>
          <w:sz w:val="22"/>
          <w:szCs w:val="22"/>
        </w:rPr>
        <w:t xml:space="preserve">. </w:t>
      </w:r>
    </w:p>
    <w:p w14:paraId="7E9C2098" w14:textId="340E9583" w:rsidR="005F5935" w:rsidRPr="00890E6F" w:rsidRDefault="008D15D4" w:rsidP="00EB2ED0">
      <w:pPr>
        <w:tabs>
          <w:tab w:val="left" w:pos="0"/>
        </w:tabs>
        <w:spacing w:after="120" w:line="276" w:lineRule="auto"/>
        <w:jc w:val="both"/>
        <w:rPr>
          <w:rFonts w:ascii="Arial" w:hAnsi="Arial" w:cs="Arial"/>
          <w:sz w:val="22"/>
          <w:szCs w:val="22"/>
        </w:rPr>
      </w:pPr>
      <w:r w:rsidRPr="00890E6F">
        <w:rPr>
          <w:rFonts w:ascii="Arial" w:hAnsi="Arial" w:cs="Arial"/>
          <w:sz w:val="22"/>
          <w:szCs w:val="22"/>
        </w:rPr>
        <w:tab/>
      </w:r>
      <w:r w:rsidR="006407A5" w:rsidRPr="00890E6F">
        <w:rPr>
          <w:rFonts w:ascii="Arial" w:hAnsi="Arial" w:cs="Arial"/>
          <w:sz w:val="22"/>
          <w:szCs w:val="22"/>
        </w:rPr>
        <w:t xml:space="preserve">En ese entendido, </w:t>
      </w:r>
      <w:r w:rsidR="007969E1" w:rsidRPr="00890E6F">
        <w:rPr>
          <w:rFonts w:ascii="Arial" w:hAnsi="Arial" w:cs="Arial"/>
          <w:sz w:val="22"/>
          <w:szCs w:val="22"/>
        </w:rPr>
        <w:t xml:space="preserve">con independencia </w:t>
      </w:r>
      <w:r w:rsidR="006407A5" w:rsidRPr="00890E6F">
        <w:rPr>
          <w:rFonts w:ascii="Arial" w:hAnsi="Arial" w:cs="Arial"/>
          <w:sz w:val="22"/>
          <w:szCs w:val="22"/>
        </w:rPr>
        <w:t>de que la ponderación emple</w:t>
      </w:r>
      <w:r w:rsidR="00BE2661" w:rsidRPr="00890E6F">
        <w:rPr>
          <w:rFonts w:ascii="Arial" w:hAnsi="Arial" w:cs="Arial"/>
          <w:sz w:val="22"/>
          <w:szCs w:val="22"/>
        </w:rPr>
        <w:t>e</w:t>
      </w:r>
      <w:r w:rsidR="00023A0B" w:rsidRPr="00890E6F">
        <w:rPr>
          <w:rFonts w:ascii="Arial" w:hAnsi="Arial" w:cs="Arial"/>
          <w:sz w:val="22"/>
          <w:szCs w:val="22"/>
        </w:rPr>
        <w:t xml:space="preserve"> </w:t>
      </w:r>
      <w:r w:rsidR="006407A5" w:rsidRPr="00890E6F">
        <w:rPr>
          <w:rFonts w:ascii="Arial" w:hAnsi="Arial" w:cs="Arial"/>
          <w:sz w:val="22"/>
          <w:szCs w:val="22"/>
        </w:rPr>
        <w:t>puntajes</w:t>
      </w:r>
      <w:r w:rsidR="00B24007" w:rsidRPr="00890E6F">
        <w:rPr>
          <w:rFonts w:ascii="Arial" w:hAnsi="Arial" w:cs="Arial"/>
          <w:sz w:val="22"/>
          <w:szCs w:val="22"/>
        </w:rPr>
        <w:t xml:space="preserve">, </w:t>
      </w:r>
      <w:r w:rsidR="006407A5" w:rsidRPr="00890E6F">
        <w:rPr>
          <w:rFonts w:ascii="Arial" w:hAnsi="Arial" w:cs="Arial"/>
          <w:sz w:val="22"/>
          <w:szCs w:val="22"/>
        </w:rPr>
        <w:t xml:space="preserve"> f</w:t>
      </w:r>
      <w:r w:rsidR="00B24007" w:rsidRPr="00890E6F">
        <w:rPr>
          <w:rFonts w:ascii="Arial" w:hAnsi="Arial" w:cs="Arial"/>
          <w:sz w:val="22"/>
          <w:szCs w:val="22"/>
        </w:rPr>
        <w:t>ó</w:t>
      </w:r>
      <w:r w:rsidR="006407A5" w:rsidRPr="00890E6F">
        <w:rPr>
          <w:rFonts w:ascii="Arial" w:hAnsi="Arial" w:cs="Arial"/>
          <w:sz w:val="22"/>
          <w:szCs w:val="22"/>
        </w:rPr>
        <w:t>rmulas</w:t>
      </w:r>
      <w:r w:rsidR="00023A0B" w:rsidRPr="00890E6F">
        <w:rPr>
          <w:rFonts w:ascii="Arial" w:hAnsi="Arial" w:cs="Arial"/>
          <w:sz w:val="22"/>
          <w:szCs w:val="22"/>
        </w:rPr>
        <w:t>,</w:t>
      </w:r>
      <w:r w:rsidR="00B24007" w:rsidRPr="00890E6F">
        <w:rPr>
          <w:rFonts w:ascii="Arial" w:hAnsi="Arial" w:cs="Arial"/>
          <w:sz w:val="22"/>
          <w:szCs w:val="22"/>
        </w:rPr>
        <w:t xml:space="preserve"> criterios de relación co</w:t>
      </w:r>
      <w:r w:rsidR="00D15727" w:rsidRPr="00890E6F">
        <w:rPr>
          <w:rFonts w:ascii="Arial" w:hAnsi="Arial" w:cs="Arial"/>
          <w:sz w:val="22"/>
          <w:szCs w:val="22"/>
        </w:rPr>
        <w:t>s</w:t>
      </w:r>
      <w:r w:rsidR="00B24007" w:rsidRPr="00890E6F">
        <w:rPr>
          <w:rFonts w:ascii="Arial" w:hAnsi="Arial" w:cs="Arial"/>
          <w:sz w:val="22"/>
          <w:szCs w:val="22"/>
        </w:rPr>
        <w:t>to – beneficio</w:t>
      </w:r>
      <w:r w:rsidR="00023A0B" w:rsidRPr="00890E6F">
        <w:rPr>
          <w:rFonts w:ascii="Arial" w:hAnsi="Arial" w:cs="Arial"/>
          <w:sz w:val="22"/>
          <w:szCs w:val="22"/>
        </w:rPr>
        <w:t xml:space="preserve"> o de que el único criterio de evaluación sea el menor precio, </w:t>
      </w:r>
      <w:r w:rsidR="008B36BE" w:rsidRPr="00890E6F">
        <w:rPr>
          <w:rFonts w:ascii="Arial" w:hAnsi="Arial" w:cs="Arial"/>
          <w:sz w:val="22"/>
          <w:szCs w:val="22"/>
        </w:rPr>
        <w:t xml:space="preserve">deben aplicarse los factores de desempate </w:t>
      </w:r>
      <w:r w:rsidR="00F22E8B" w:rsidRPr="00890E6F">
        <w:rPr>
          <w:rFonts w:ascii="Arial" w:hAnsi="Arial" w:cs="Arial"/>
          <w:sz w:val="22"/>
          <w:szCs w:val="22"/>
        </w:rPr>
        <w:t>d</w:t>
      </w:r>
      <w:r w:rsidR="00032C89" w:rsidRPr="00890E6F">
        <w:rPr>
          <w:rFonts w:ascii="Arial" w:hAnsi="Arial" w:cs="Arial"/>
          <w:sz w:val="22"/>
          <w:szCs w:val="22"/>
        </w:rPr>
        <w:t>el artículo 35 de la Ley 2069 de 2020</w:t>
      </w:r>
      <w:r w:rsidR="007969E1" w:rsidRPr="00890E6F">
        <w:rPr>
          <w:rFonts w:ascii="Arial" w:hAnsi="Arial" w:cs="Arial"/>
          <w:sz w:val="22"/>
          <w:szCs w:val="22"/>
        </w:rPr>
        <w:t xml:space="preserve"> </w:t>
      </w:r>
      <w:r w:rsidR="00071CFC" w:rsidRPr="00890E6F">
        <w:rPr>
          <w:rFonts w:ascii="Arial" w:hAnsi="Arial" w:cs="Arial"/>
          <w:sz w:val="22"/>
          <w:szCs w:val="22"/>
        </w:rPr>
        <w:t>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w:t>
      </w:r>
      <w:r w:rsidR="00032C89" w:rsidRPr="00890E6F">
        <w:rPr>
          <w:rFonts w:ascii="Arial" w:hAnsi="Arial" w:cs="Arial"/>
          <w:sz w:val="22"/>
          <w:szCs w:val="22"/>
        </w:rPr>
        <w:t>.</w:t>
      </w:r>
    </w:p>
    <w:bookmarkEnd w:id="12"/>
    <w:p w14:paraId="005DA4CA" w14:textId="1967B850" w:rsidR="000F6420" w:rsidRPr="00890E6F" w:rsidRDefault="00032C89" w:rsidP="00EB2ED0">
      <w:pPr>
        <w:tabs>
          <w:tab w:val="left" w:pos="0"/>
        </w:tabs>
        <w:spacing w:line="276" w:lineRule="auto"/>
        <w:jc w:val="both"/>
        <w:rPr>
          <w:rFonts w:ascii="Arial" w:eastAsia="Calibri" w:hAnsi="Arial" w:cs="Arial"/>
          <w:bCs/>
          <w:sz w:val="22"/>
          <w:lang w:val="es-ES_tradnl"/>
        </w:rPr>
      </w:pPr>
      <w:r w:rsidRPr="00890E6F">
        <w:rPr>
          <w:rFonts w:ascii="Arial" w:eastAsia="Calibri" w:hAnsi="Arial" w:cs="Arial"/>
          <w:bCs/>
          <w:sz w:val="22"/>
          <w:szCs w:val="22"/>
          <w:lang w:val="es-ES_tradnl"/>
        </w:rPr>
        <w:tab/>
      </w:r>
      <w:r w:rsidR="00D827B5" w:rsidRPr="00890E6F">
        <w:rPr>
          <w:rFonts w:ascii="Arial" w:eastAsia="Calibri" w:hAnsi="Arial" w:cs="Arial"/>
          <w:bCs/>
          <w:sz w:val="22"/>
          <w:szCs w:val="22"/>
          <w:lang w:val="es-ES_tradnl"/>
        </w:rPr>
        <w:t>Esta interpretación garantiza que el artículo 35 de la Ley 2069 de 2020</w:t>
      </w:r>
      <w:r w:rsidR="008453BA" w:rsidRPr="00890E6F">
        <w:rPr>
          <w:rFonts w:ascii="Arial" w:eastAsia="Calibri" w:hAnsi="Arial" w:cs="Arial"/>
          <w:bCs/>
          <w:sz w:val="22"/>
          <w:szCs w:val="22"/>
          <w:lang w:val="es-ES_tradnl"/>
        </w:rPr>
        <w:t xml:space="preserve"> cumpla la finalidad transversal con la que fue concebido,</w:t>
      </w:r>
      <w:r w:rsidR="006129AF" w:rsidRPr="00890E6F">
        <w:rPr>
          <w:rFonts w:ascii="Arial" w:eastAsia="Calibri" w:hAnsi="Arial" w:cs="Arial"/>
          <w:bCs/>
          <w:sz w:val="22"/>
          <w:szCs w:val="22"/>
          <w:lang w:val="es-ES_tradnl"/>
        </w:rPr>
        <w:t xml:space="preserve"> </w:t>
      </w:r>
      <w:r w:rsidR="005B6C2A" w:rsidRPr="00890E6F">
        <w:rPr>
          <w:rFonts w:ascii="Arial" w:eastAsia="Calibri" w:hAnsi="Arial" w:cs="Arial"/>
          <w:bCs/>
          <w:sz w:val="22"/>
          <w:szCs w:val="22"/>
          <w:lang w:val="es-ES_tradnl"/>
        </w:rPr>
        <w:t xml:space="preserve">a diferencia de </w:t>
      </w:r>
      <w:r w:rsidR="006129AF" w:rsidRPr="00890E6F">
        <w:rPr>
          <w:rFonts w:ascii="Arial" w:eastAsia="Calibri" w:hAnsi="Arial" w:cs="Arial"/>
          <w:bCs/>
          <w:sz w:val="22"/>
          <w:szCs w:val="22"/>
          <w:lang w:val="es-ES_tradnl"/>
        </w:rPr>
        <w:t>la interpretación literal del mismo, que priva a la nor</w:t>
      </w:r>
      <w:r w:rsidR="005945A4" w:rsidRPr="00890E6F">
        <w:rPr>
          <w:rFonts w:ascii="Arial" w:eastAsia="Calibri" w:hAnsi="Arial" w:cs="Arial"/>
          <w:bCs/>
          <w:sz w:val="22"/>
          <w:szCs w:val="22"/>
          <w:lang w:val="es-ES_tradnl"/>
        </w:rPr>
        <w:t xml:space="preserve">ma de una gran parte de su ámbito aplicación. En ese sentido, la interpretación sistemática </w:t>
      </w:r>
      <w:r w:rsidR="00071CFC" w:rsidRPr="00890E6F">
        <w:rPr>
          <w:rFonts w:ascii="Arial" w:eastAsia="Calibri" w:hAnsi="Arial" w:cs="Arial"/>
          <w:bCs/>
          <w:sz w:val="22"/>
          <w:szCs w:val="22"/>
          <w:lang w:val="es-ES_tradnl"/>
        </w:rPr>
        <w:t>está</w:t>
      </w:r>
      <w:r w:rsidR="00641B12" w:rsidRPr="00890E6F">
        <w:rPr>
          <w:rFonts w:ascii="Arial" w:eastAsia="Calibri" w:hAnsi="Arial" w:cs="Arial"/>
          <w:bCs/>
          <w:sz w:val="22"/>
          <w:szCs w:val="22"/>
          <w:lang w:val="es-ES_tradnl"/>
        </w:rPr>
        <w:t xml:space="preserve"> respalda</w:t>
      </w:r>
      <w:r w:rsidR="00C32A60" w:rsidRPr="00890E6F">
        <w:rPr>
          <w:rFonts w:ascii="Arial" w:eastAsia="Calibri" w:hAnsi="Arial" w:cs="Arial"/>
          <w:bCs/>
          <w:sz w:val="22"/>
          <w:szCs w:val="22"/>
          <w:lang w:val="es-ES_tradnl"/>
        </w:rPr>
        <w:t>da</w:t>
      </w:r>
      <w:r w:rsidR="00641B12" w:rsidRPr="00890E6F">
        <w:rPr>
          <w:rFonts w:ascii="Arial" w:eastAsia="Calibri" w:hAnsi="Arial" w:cs="Arial"/>
          <w:bCs/>
          <w:sz w:val="22"/>
          <w:szCs w:val="22"/>
          <w:lang w:val="es-ES_tradnl"/>
        </w:rPr>
        <w:t xml:space="preserve"> por </w:t>
      </w:r>
      <w:r w:rsidR="000F6787" w:rsidRPr="00890E6F">
        <w:rPr>
          <w:rFonts w:ascii="Arial" w:eastAsia="Calibri" w:hAnsi="Arial" w:cs="Arial"/>
          <w:bCs/>
          <w:sz w:val="22"/>
          <w:szCs w:val="22"/>
          <w:lang w:val="es-ES_tradnl"/>
        </w:rPr>
        <w:t xml:space="preserve">la aplicación del </w:t>
      </w:r>
      <w:r w:rsidR="00641B12" w:rsidRPr="00890E6F">
        <w:rPr>
          <w:rFonts w:ascii="Arial" w:eastAsia="Calibri" w:hAnsi="Arial" w:cs="Arial"/>
          <w:bCs/>
          <w:sz w:val="22"/>
          <w:szCs w:val="22"/>
          <w:lang w:val="es-ES_tradnl"/>
        </w:rPr>
        <w:t xml:space="preserve">principio </w:t>
      </w:r>
      <w:r w:rsidR="00C32A60" w:rsidRPr="00890E6F">
        <w:rPr>
          <w:rFonts w:ascii="Arial" w:eastAsia="Calibri" w:hAnsi="Arial" w:cs="Arial"/>
          <w:bCs/>
          <w:sz w:val="22"/>
          <w:szCs w:val="22"/>
          <w:lang w:val="es-ES_tradnl"/>
        </w:rPr>
        <w:t xml:space="preserve">hermenéutico </w:t>
      </w:r>
      <w:r w:rsidR="00641B12" w:rsidRPr="00890E6F">
        <w:rPr>
          <w:rFonts w:ascii="Arial" w:eastAsia="Calibri" w:hAnsi="Arial" w:cs="Arial"/>
          <w:bCs/>
          <w:sz w:val="22"/>
          <w:szCs w:val="22"/>
          <w:lang w:val="es-ES_tradnl"/>
        </w:rPr>
        <w:t>del</w:t>
      </w:r>
      <w:r w:rsidR="009E6BA8" w:rsidRPr="00890E6F">
        <w:rPr>
          <w:rFonts w:ascii="Arial" w:eastAsia="Calibri" w:hAnsi="Arial" w:cs="Arial"/>
          <w:bCs/>
          <w:i/>
          <w:iCs/>
          <w:sz w:val="22"/>
          <w:szCs w:val="22"/>
          <w:lang w:val="es-ES_tradnl"/>
        </w:rPr>
        <w:t xml:space="preserve"> efecto útil de las normas</w:t>
      </w:r>
      <w:r w:rsidR="009E6BA8" w:rsidRPr="00890E6F">
        <w:rPr>
          <w:rStyle w:val="Refdenotaalpie"/>
          <w:rFonts w:ascii="Arial" w:eastAsiaTheme="minorHAnsi" w:hAnsi="Arial" w:cs="Arial"/>
          <w:sz w:val="22"/>
          <w:szCs w:val="22"/>
          <w:lang w:eastAsia="en-US"/>
        </w:rPr>
        <w:footnoteReference w:id="21"/>
      </w:r>
      <w:r w:rsidR="009E6BA8" w:rsidRPr="00890E6F">
        <w:rPr>
          <w:rFonts w:ascii="Arial" w:eastAsiaTheme="minorHAnsi" w:hAnsi="Arial" w:cs="Arial"/>
          <w:sz w:val="22"/>
          <w:szCs w:val="22"/>
          <w:lang w:eastAsia="en-US"/>
        </w:rPr>
        <w:t>.</w:t>
      </w:r>
      <w:r w:rsidR="001419D7" w:rsidRPr="00890E6F">
        <w:rPr>
          <w:rFonts w:ascii="Arial" w:eastAsia="Calibri" w:hAnsi="Arial" w:cs="Arial"/>
          <w:b/>
          <w:sz w:val="22"/>
          <w:lang w:val="es-ES_tradnl"/>
        </w:rPr>
        <w:t xml:space="preserve"> </w:t>
      </w:r>
      <w:r w:rsidR="00BA5D36" w:rsidRPr="00890E6F">
        <w:rPr>
          <w:rFonts w:ascii="Arial" w:eastAsia="Calibri" w:hAnsi="Arial" w:cs="Arial"/>
          <w:bCs/>
          <w:sz w:val="22"/>
          <w:lang w:val="es-ES_tradnl"/>
        </w:rPr>
        <w:t>Por tanto</w:t>
      </w:r>
      <w:r w:rsidR="009E788D" w:rsidRPr="00890E6F">
        <w:rPr>
          <w:rFonts w:ascii="Arial" w:eastAsia="Calibri" w:hAnsi="Arial" w:cs="Arial"/>
          <w:bCs/>
          <w:sz w:val="22"/>
          <w:lang w:val="es-ES_tradnl"/>
        </w:rPr>
        <w:t>,</w:t>
      </w:r>
      <w:r w:rsidR="00B80F98" w:rsidRPr="00890E6F">
        <w:rPr>
          <w:rFonts w:ascii="Arial" w:eastAsia="Calibri" w:hAnsi="Arial" w:cs="Arial"/>
          <w:bCs/>
          <w:sz w:val="22"/>
          <w:lang w:val="es-ES_tradnl"/>
        </w:rPr>
        <w:t xml:space="preserve"> </w:t>
      </w:r>
      <w:r w:rsidR="005B6C2A" w:rsidRPr="00890E6F">
        <w:rPr>
          <w:rFonts w:ascii="Arial" w:eastAsia="Calibri" w:hAnsi="Arial" w:cs="Arial"/>
          <w:bCs/>
          <w:sz w:val="22"/>
          <w:lang w:val="es-ES_tradnl"/>
        </w:rPr>
        <w:t>los fac</w:t>
      </w:r>
      <w:r w:rsidR="00037510" w:rsidRPr="00890E6F">
        <w:rPr>
          <w:rFonts w:ascii="Arial" w:eastAsia="Calibri" w:hAnsi="Arial" w:cs="Arial"/>
          <w:bCs/>
          <w:sz w:val="22"/>
          <w:lang w:val="es-ES_tradnl"/>
        </w:rPr>
        <w:t xml:space="preserve">tores de desempate </w:t>
      </w:r>
      <w:r w:rsidR="001419D7" w:rsidRPr="00890E6F">
        <w:rPr>
          <w:rFonts w:ascii="Arial" w:eastAsia="Calibri" w:hAnsi="Arial" w:cs="Arial"/>
          <w:bCs/>
          <w:sz w:val="22"/>
          <w:lang w:val="es-ES_tradnl"/>
        </w:rPr>
        <w:t>de la Ley de Emprendimiento aplican</w:t>
      </w:r>
      <w:r w:rsidR="00037510" w:rsidRPr="00890E6F">
        <w:rPr>
          <w:rFonts w:ascii="Arial" w:eastAsia="Calibri" w:hAnsi="Arial" w:cs="Arial"/>
          <w:bCs/>
          <w:sz w:val="22"/>
          <w:lang w:val="es-ES_tradnl"/>
        </w:rPr>
        <w:t xml:space="preserve"> </w:t>
      </w:r>
      <w:r w:rsidR="00BD3EC3" w:rsidRPr="00890E6F">
        <w:rPr>
          <w:rFonts w:ascii="Arial" w:eastAsia="Calibri" w:hAnsi="Arial" w:cs="Arial"/>
          <w:bCs/>
          <w:sz w:val="22"/>
          <w:lang w:val="es-ES_tradnl"/>
        </w:rPr>
        <w:t>a todos los procesos de selección de las entidades estatales</w:t>
      </w:r>
      <w:r w:rsidR="00147FCE" w:rsidRPr="00890E6F">
        <w:rPr>
          <w:rFonts w:ascii="Arial" w:eastAsia="Calibri" w:hAnsi="Arial" w:cs="Arial"/>
          <w:bCs/>
          <w:sz w:val="22"/>
          <w:lang w:val="es-ES_tradnl"/>
        </w:rPr>
        <w:t xml:space="preserve"> </w:t>
      </w:r>
      <w:r w:rsidR="00B76E53" w:rsidRPr="00890E6F">
        <w:rPr>
          <w:rFonts w:ascii="Arial" w:eastAsia="Calibri" w:hAnsi="Arial" w:cs="Arial"/>
          <w:bCs/>
          <w:sz w:val="22"/>
          <w:lang w:val="es-ES_tradnl"/>
        </w:rPr>
        <w:t xml:space="preserve">sin importar su régimen </w:t>
      </w:r>
      <w:r w:rsidR="00FA4408" w:rsidRPr="00890E6F">
        <w:rPr>
          <w:rFonts w:ascii="Arial" w:eastAsia="Calibri" w:hAnsi="Arial" w:cs="Arial"/>
          <w:bCs/>
          <w:sz w:val="22"/>
          <w:lang w:val="es-ES_tradnl"/>
        </w:rPr>
        <w:t>contractual</w:t>
      </w:r>
      <w:r w:rsidR="00BD3EC3" w:rsidRPr="00890E6F">
        <w:rPr>
          <w:rFonts w:ascii="Arial" w:eastAsia="Calibri" w:hAnsi="Arial" w:cs="Arial"/>
          <w:bCs/>
          <w:sz w:val="22"/>
          <w:lang w:val="es-ES_tradnl"/>
        </w:rPr>
        <w:t xml:space="preserve">, en los que </w:t>
      </w:r>
      <w:r w:rsidR="00B77271" w:rsidRPr="00890E6F">
        <w:rPr>
          <w:rFonts w:ascii="Arial" w:eastAsia="Calibri" w:hAnsi="Arial" w:cs="Arial"/>
          <w:bCs/>
          <w:sz w:val="22"/>
          <w:lang w:val="es-ES_tradnl"/>
        </w:rPr>
        <w:t xml:space="preserve">se </w:t>
      </w:r>
      <w:r w:rsidR="00BD3EC3" w:rsidRPr="00890E6F">
        <w:rPr>
          <w:rFonts w:ascii="Arial" w:eastAsia="Calibri" w:hAnsi="Arial" w:cs="Arial"/>
          <w:bCs/>
          <w:sz w:val="22"/>
          <w:lang w:val="es-ES_tradnl"/>
        </w:rPr>
        <w:t>present</w:t>
      </w:r>
      <w:r w:rsidR="00B77271" w:rsidRPr="00890E6F">
        <w:rPr>
          <w:rFonts w:ascii="Arial" w:eastAsia="Calibri" w:hAnsi="Arial" w:cs="Arial"/>
          <w:bCs/>
          <w:sz w:val="22"/>
          <w:lang w:val="es-ES_tradnl"/>
        </w:rPr>
        <w:t>e</w:t>
      </w:r>
      <w:r w:rsidR="00BD3EC3" w:rsidRPr="00890E6F">
        <w:rPr>
          <w:rFonts w:ascii="Arial" w:eastAsia="Calibri" w:hAnsi="Arial" w:cs="Arial"/>
          <w:bCs/>
          <w:sz w:val="22"/>
          <w:lang w:val="es-ES_tradnl"/>
        </w:rPr>
        <w:t xml:space="preserve"> </w:t>
      </w:r>
      <w:r w:rsidR="00151CD6" w:rsidRPr="00890E6F">
        <w:rPr>
          <w:rFonts w:ascii="Arial" w:eastAsia="Calibri" w:hAnsi="Arial" w:cs="Arial"/>
          <w:bCs/>
          <w:sz w:val="22"/>
          <w:lang w:val="es-ES_tradnl"/>
        </w:rPr>
        <w:t>esta situación</w:t>
      </w:r>
      <w:r w:rsidR="00BD3EC3" w:rsidRPr="00890E6F">
        <w:rPr>
          <w:rFonts w:ascii="Arial" w:eastAsia="Calibri" w:hAnsi="Arial" w:cs="Arial"/>
          <w:bCs/>
          <w:sz w:val="22"/>
          <w:lang w:val="es-ES_tradnl"/>
        </w:rPr>
        <w:t xml:space="preserve"> </w:t>
      </w:r>
      <w:r w:rsidR="00147FCE" w:rsidRPr="00890E6F">
        <w:rPr>
          <w:rFonts w:ascii="Arial" w:eastAsia="Calibri" w:hAnsi="Arial" w:cs="Arial"/>
          <w:bCs/>
          <w:sz w:val="22"/>
          <w:lang w:val="es-ES_tradnl"/>
        </w:rPr>
        <w:t>entre varias ofertas</w:t>
      </w:r>
      <w:r w:rsidR="009D3D06" w:rsidRPr="00890E6F">
        <w:rPr>
          <w:rFonts w:ascii="Arial" w:eastAsia="Calibri" w:hAnsi="Arial" w:cs="Arial"/>
          <w:bCs/>
          <w:sz w:val="22"/>
          <w:lang w:val="es-ES_tradnl"/>
        </w:rPr>
        <w:t xml:space="preserve">, una vez comparadas las mismas ponderando los factores de evaluación </w:t>
      </w:r>
      <w:r w:rsidR="00B076C1" w:rsidRPr="00890E6F">
        <w:rPr>
          <w:rFonts w:ascii="Arial" w:eastAsia="Calibri" w:hAnsi="Arial" w:cs="Arial"/>
          <w:bCs/>
          <w:sz w:val="22"/>
          <w:lang w:val="es-ES_tradnl"/>
        </w:rPr>
        <w:t xml:space="preserve">de acuerdo con </w:t>
      </w:r>
      <w:r w:rsidR="009D3D06" w:rsidRPr="00890E6F">
        <w:rPr>
          <w:rFonts w:ascii="Arial" w:eastAsia="Calibri" w:hAnsi="Arial" w:cs="Arial"/>
          <w:bCs/>
          <w:sz w:val="22"/>
          <w:lang w:val="es-ES_tradnl"/>
        </w:rPr>
        <w:t>las reglas establecidas en el pliego de condiciones</w:t>
      </w:r>
      <w:r w:rsidR="00151CD6" w:rsidRPr="00890E6F">
        <w:rPr>
          <w:rFonts w:ascii="Arial" w:eastAsia="Calibri" w:hAnsi="Arial" w:cs="Arial"/>
          <w:bCs/>
          <w:sz w:val="22"/>
          <w:lang w:val="es-ES_tradnl"/>
        </w:rPr>
        <w:t xml:space="preserve"> o documento equivalente</w:t>
      </w:r>
      <w:r w:rsidR="002530E2" w:rsidRPr="00890E6F">
        <w:rPr>
          <w:rFonts w:ascii="Arial" w:eastAsia="Calibri" w:hAnsi="Arial" w:cs="Arial"/>
          <w:bCs/>
          <w:sz w:val="22"/>
          <w:lang w:val="es-ES_tradnl"/>
        </w:rPr>
        <w:t>.</w:t>
      </w:r>
      <w:r w:rsidR="00F82421" w:rsidRPr="00890E6F">
        <w:rPr>
          <w:rFonts w:ascii="Arial" w:eastAsia="Calibri" w:hAnsi="Arial" w:cs="Arial"/>
          <w:bCs/>
          <w:sz w:val="22"/>
          <w:lang w:val="es-ES_tradnl"/>
        </w:rPr>
        <w:t xml:space="preserve"> Bajo este criterio</w:t>
      </w:r>
      <w:r w:rsidR="00151CD6" w:rsidRPr="00890E6F">
        <w:rPr>
          <w:rFonts w:ascii="Arial" w:eastAsia="Calibri" w:hAnsi="Arial" w:cs="Arial"/>
          <w:bCs/>
          <w:sz w:val="22"/>
          <w:lang w:val="es-ES_tradnl"/>
        </w:rPr>
        <w:t>, l</w:t>
      </w:r>
      <w:r w:rsidR="001419D7" w:rsidRPr="00890E6F">
        <w:rPr>
          <w:rFonts w:ascii="Arial" w:eastAsia="Calibri" w:hAnsi="Arial" w:cs="Arial"/>
          <w:bCs/>
          <w:sz w:val="22"/>
          <w:lang w:val="es-ES_tradnl"/>
        </w:rPr>
        <w:t>a norma</w:t>
      </w:r>
      <w:r w:rsidR="00FA4408" w:rsidRPr="00890E6F">
        <w:rPr>
          <w:rFonts w:ascii="Arial" w:eastAsia="Calibri" w:hAnsi="Arial" w:cs="Arial"/>
          <w:bCs/>
          <w:sz w:val="22"/>
          <w:lang w:val="es-ES_tradnl"/>
        </w:rPr>
        <w:t xml:space="preserve"> citada se extiende al</w:t>
      </w:r>
      <w:r w:rsidR="00DA565E" w:rsidRPr="00890E6F">
        <w:rPr>
          <w:rFonts w:ascii="Arial" w:eastAsia="Calibri" w:hAnsi="Arial" w:cs="Arial"/>
          <w:bCs/>
          <w:sz w:val="22"/>
          <w:lang w:val="es-ES_tradnl"/>
        </w:rPr>
        <w:t xml:space="preserve"> mecanismo de subasta inversa, así como al</w:t>
      </w:r>
      <w:r w:rsidR="00FA4408" w:rsidRPr="00890E6F">
        <w:rPr>
          <w:rFonts w:ascii="Arial" w:eastAsia="Calibri" w:hAnsi="Arial" w:cs="Arial"/>
          <w:bCs/>
          <w:sz w:val="22"/>
          <w:lang w:val="es-ES_tradnl"/>
        </w:rPr>
        <w:t xml:space="preserve"> procedimiento de mínima cuantía</w:t>
      </w:r>
      <w:r w:rsidR="00CD7B8B" w:rsidRPr="00890E6F">
        <w:rPr>
          <w:rFonts w:ascii="Arial" w:eastAsia="Calibri" w:hAnsi="Arial" w:cs="Arial"/>
          <w:bCs/>
          <w:sz w:val="22"/>
          <w:lang w:val="es-ES_tradnl"/>
        </w:rPr>
        <w:t>,</w:t>
      </w:r>
      <w:r w:rsidR="00FA4408" w:rsidRPr="00890E6F">
        <w:rPr>
          <w:rFonts w:ascii="Arial" w:eastAsia="Calibri" w:hAnsi="Arial" w:cs="Arial"/>
          <w:bCs/>
          <w:sz w:val="22"/>
          <w:lang w:val="es-ES_tradnl"/>
        </w:rPr>
        <w:t xml:space="preserve"> </w:t>
      </w:r>
      <w:r w:rsidR="00F82421" w:rsidRPr="00890E6F">
        <w:rPr>
          <w:rFonts w:ascii="Arial" w:eastAsia="Calibri" w:hAnsi="Arial" w:cs="Arial"/>
          <w:bCs/>
          <w:sz w:val="22"/>
          <w:lang w:val="es-ES_tradnl"/>
        </w:rPr>
        <w:t xml:space="preserve">por lo que </w:t>
      </w:r>
      <w:r w:rsidR="002012BE" w:rsidRPr="00890E6F">
        <w:rPr>
          <w:rFonts w:ascii="Arial" w:eastAsia="Calibri" w:hAnsi="Arial" w:cs="Arial"/>
          <w:bCs/>
          <w:sz w:val="22"/>
          <w:lang w:val="es-ES_tradnl"/>
        </w:rPr>
        <w:t xml:space="preserve">han perdido vigencia </w:t>
      </w:r>
      <w:r w:rsidR="00DA565E" w:rsidRPr="00890E6F">
        <w:rPr>
          <w:rFonts w:ascii="Arial" w:eastAsia="Calibri" w:hAnsi="Arial" w:cs="Arial"/>
          <w:bCs/>
          <w:sz w:val="22"/>
          <w:lang w:val="es-ES_tradnl"/>
        </w:rPr>
        <w:t>los numerales 9 del artículo</w:t>
      </w:r>
      <w:r w:rsidR="00CD7B8B" w:rsidRPr="00890E6F">
        <w:rPr>
          <w:rFonts w:ascii="Arial" w:eastAsia="Calibri" w:hAnsi="Arial" w:cs="Arial"/>
          <w:bCs/>
          <w:sz w:val="22"/>
          <w:lang w:val="es-ES_tradnl"/>
        </w:rPr>
        <w:t xml:space="preserve"> </w:t>
      </w:r>
      <w:r w:rsidR="00DA565E" w:rsidRPr="00890E6F">
        <w:rPr>
          <w:rFonts w:ascii="Arial" w:eastAsia="Calibri" w:hAnsi="Arial" w:cs="Arial"/>
          <w:sz w:val="22"/>
          <w:szCs w:val="22"/>
          <w:lang w:val="es-ES_tradnl"/>
        </w:rPr>
        <w:t xml:space="preserve">2.2.1.2.1.2.2 y </w:t>
      </w:r>
      <w:r w:rsidR="00CD7B8B" w:rsidRPr="00890E6F">
        <w:rPr>
          <w:rFonts w:ascii="Arial" w:eastAsia="Calibri" w:hAnsi="Arial" w:cs="Arial"/>
          <w:bCs/>
          <w:sz w:val="22"/>
          <w:lang w:val="es-ES_tradnl"/>
        </w:rPr>
        <w:t>7 del artículo 2.2.1.2.1.5.2 del Decreto 1082 de 2015.</w:t>
      </w:r>
      <w:r w:rsidR="00F82421" w:rsidRPr="00890E6F">
        <w:rPr>
          <w:rFonts w:ascii="Arial" w:eastAsia="Calibri" w:hAnsi="Arial" w:cs="Arial"/>
          <w:bCs/>
          <w:sz w:val="22"/>
          <w:lang w:val="es-ES_tradnl"/>
        </w:rPr>
        <w:t xml:space="preserve"> </w:t>
      </w:r>
      <w:r w:rsidR="001419D7" w:rsidRPr="00890E6F">
        <w:rPr>
          <w:rFonts w:ascii="Arial" w:eastAsia="Calibri" w:hAnsi="Arial" w:cs="Arial"/>
          <w:bCs/>
          <w:sz w:val="22"/>
          <w:lang w:val="es-ES_tradnl"/>
        </w:rPr>
        <w:t xml:space="preserve"> </w:t>
      </w:r>
      <w:r w:rsidR="002530E2" w:rsidRPr="00890E6F">
        <w:rPr>
          <w:rFonts w:ascii="Arial" w:eastAsia="Calibri" w:hAnsi="Arial" w:cs="Arial"/>
          <w:bCs/>
          <w:sz w:val="22"/>
          <w:lang w:val="es-ES_tradnl"/>
        </w:rPr>
        <w:t xml:space="preserve"> </w:t>
      </w:r>
    </w:p>
    <w:p w14:paraId="7E6B35D1" w14:textId="77777777" w:rsidR="00502E86" w:rsidRPr="00890E6F" w:rsidRDefault="00502E86" w:rsidP="00EB2ED0">
      <w:pPr>
        <w:tabs>
          <w:tab w:val="left" w:pos="0"/>
        </w:tabs>
        <w:jc w:val="both"/>
        <w:rPr>
          <w:rFonts w:ascii="Arial" w:eastAsia="Calibri" w:hAnsi="Arial" w:cs="Arial"/>
          <w:b/>
          <w:sz w:val="22"/>
          <w:lang w:val="es-ES_tradnl"/>
        </w:rPr>
      </w:pPr>
    </w:p>
    <w:p w14:paraId="37CA9805" w14:textId="122A5ECE" w:rsidR="00DD5B04" w:rsidRPr="00890E6F" w:rsidRDefault="004177A6" w:rsidP="00EB2ED0">
      <w:pPr>
        <w:tabs>
          <w:tab w:val="left" w:pos="0"/>
        </w:tabs>
        <w:jc w:val="both"/>
        <w:rPr>
          <w:rFonts w:ascii="Arial" w:eastAsia="Calibri" w:hAnsi="Arial" w:cs="Arial"/>
          <w:b/>
          <w:sz w:val="22"/>
          <w:lang w:val="es-ES_tradnl"/>
        </w:rPr>
      </w:pPr>
      <w:r w:rsidRPr="00890E6F">
        <w:rPr>
          <w:rFonts w:ascii="Arial" w:eastAsia="Calibri" w:hAnsi="Arial" w:cs="Arial"/>
          <w:b/>
          <w:sz w:val="22"/>
          <w:lang w:val="es-ES_tradnl"/>
        </w:rPr>
        <w:t>3</w:t>
      </w:r>
      <w:r w:rsidR="00B011A9" w:rsidRPr="00890E6F">
        <w:rPr>
          <w:rFonts w:ascii="Arial" w:eastAsia="Calibri" w:hAnsi="Arial" w:cs="Arial"/>
          <w:b/>
          <w:sz w:val="22"/>
          <w:lang w:val="es-ES_tradnl"/>
        </w:rPr>
        <w:t xml:space="preserve">. </w:t>
      </w:r>
      <w:r w:rsidR="00DD5B04" w:rsidRPr="00890E6F">
        <w:rPr>
          <w:rFonts w:ascii="Arial" w:eastAsia="Calibri" w:hAnsi="Arial" w:cs="Arial"/>
          <w:b/>
          <w:sz w:val="22"/>
          <w:lang w:val="es-ES_tradnl"/>
        </w:rPr>
        <w:t>Respuesta</w:t>
      </w:r>
      <w:r w:rsidR="002A7D84" w:rsidRPr="00890E6F">
        <w:rPr>
          <w:rFonts w:ascii="Arial" w:eastAsia="Calibri" w:hAnsi="Arial" w:cs="Arial"/>
          <w:b/>
          <w:sz w:val="22"/>
          <w:lang w:val="es-ES_tradnl"/>
        </w:rPr>
        <w:t>s</w:t>
      </w:r>
    </w:p>
    <w:p w14:paraId="12DCA9F3" w14:textId="77777777" w:rsidR="004B25D8" w:rsidRPr="00890E6F" w:rsidRDefault="004B25D8" w:rsidP="00EB2ED0">
      <w:pPr>
        <w:ind w:right="709"/>
        <w:jc w:val="both"/>
        <w:rPr>
          <w:rFonts w:ascii="Arial" w:hAnsi="Arial" w:cs="Arial"/>
          <w:sz w:val="21"/>
          <w:szCs w:val="21"/>
          <w:lang w:val="es-ES_tradnl"/>
        </w:rPr>
      </w:pPr>
    </w:p>
    <w:p w14:paraId="7554FA2D" w14:textId="77777777" w:rsidR="00B72CB0" w:rsidRPr="00890E6F" w:rsidRDefault="00B72CB0" w:rsidP="00B72CB0">
      <w:pPr>
        <w:pStyle w:val="Default"/>
        <w:ind w:left="709" w:right="709"/>
        <w:jc w:val="both"/>
        <w:rPr>
          <w:color w:val="auto"/>
          <w:sz w:val="21"/>
          <w:szCs w:val="21"/>
        </w:rPr>
      </w:pPr>
      <w:r w:rsidRPr="00890E6F">
        <w:rPr>
          <w:color w:val="auto"/>
          <w:sz w:val="21"/>
          <w:szCs w:val="21"/>
          <w:lang w:val="es-ES_tradnl"/>
        </w:rPr>
        <w:t xml:space="preserve">«[…] </w:t>
      </w:r>
      <w:r w:rsidRPr="00890E6F">
        <w:rPr>
          <w:color w:val="auto"/>
          <w:sz w:val="21"/>
          <w:szCs w:val="21"/>
        </w:rPr>
        <w:t xml:space="preserve"> teniendo en cuenta que las palabras de la ley se entenderán en su sentido natural y obvio, se debe entender que los factores de desempate establecidos en el artículo 35 de la Ley 2069 de 2021 no pueden emplearse en los procesos de selección que no asignan puntajes, entre ellos: </w:t>
      </w:r>
    </w:p>
    <w:p w14:paraId="580E7E7E" w14:textId="77777777" w:rsidR="00B72CB0" w:rsidRPr="00890E6F" w:rsidRDefault="00B72CB0" w:rsidP="00B72CB0">
      <w:pPr>
        <w:pStyle w:val="Default"/>
        <w:ind w:left="709" w:right="709"/>
        <w:jc w:val="both"/>
        <w:rPr>
          <w:color w:val="auto"/>
          <w:sz w:val="21"/>
          <w:szCs w:val="21"/>
        </w:rPr>
      </w:pPr>
    </w:p>
    <w:p w14:paraId="3F178236" w14:textId="77777777" w:rsidR="00B72CB0" w:rsidRPr="00E70FB9" w:rsidRDefault="00B72CB0" w:rsidP="00B72CB0">
      <w:pPr>
        <w:autoSpaceDE w:val="0"/>
        <w:autoSpaceDN w:val="0"/>
        <w:adjustRightInd w:val="0"/>
        <w:ind w:left="709" w:right="709"/>
        <w:jc w:val="both"/>
        <w:rPr>
          <w:rFonts w:ascii="Arial" w:eastAsiaTheme="minorHAnsi" w:hAnsi="Arial" w:cs="Arial"/>
          <w:sz w:val="21"/>
          <w:szCs w:val="21"/>
          <w:lang w:eastAsia="en-US"/>
        </w:rPr>
      </w:pPr>
      <w:r w:rsidRPr="00E70FB9">
        <w:rPr>
          <w:rFonts w:ascii="Arial" w:eastAsiaTheme="minorHAnsi" w:hAnsi="Arial" w:cs="Arial"/>
          <w:sz w:val="21"/>
          <w:szCs w:val="21"/>
          <w:lang w:eastAsia="en-US"/>
        </w:rPr>
        <w:t>• Las subastas inversas, los instrumentos de compra por catálogo derivados de acuerdos marco de precios y los procedimientos de adquisición en bolsas de productos (Ley 1150 de 2007, artículo 5.3: “</w:t>
      </w:r>
      <w:r w:rsidRPr="00E70FB9">
        <w:rPr>
          <w:rFonts w:ascii="Arial" w:eastAsiaTheme="minorHAnsi" w:hAnsi="Arial" w:cs="Arial"/>
          <w:i/>
          <w:iCs/>
          <w:sz w:val="21"/>
          <w:szCs w:val="21"/>
          <w:lang w:eastAsia="en-US"/>
        </w:rPr>
        <w:t>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r w:rsidRPr="00E70FB9">
        <w:rPr>
          <w:rFonts w:ascii="Arial" w:eastAsiaTheme="minorHAnsi" w:hAnsi="Arial" w:cs="Arial"/>
          <w:sz w:val="21"/>
          <w:szCs w:val="21"/>
          <w:lang w:eastAsia="en-US"/>
        </w:rPr>
        <w:t xml:space="preserve">.”); y </w:t>
      </w:r>
    </w:p>
    <w:p w14:paraId="03EB34AD" w14:textId="77777777" w:rsidR="00B72CB0" w:rsidRPr="00E70FB9" w:rsidRDefault="00B72CB0" w:rsidP="00B72CB0">
      <w:pPr>
        <w:autoSpaceDE w:val="0"/>
        <w:autoSpaceDN w:val="0"/>
        <w:adjustRightInd w:val="0"/>
        <w:ind w:left="709" w:right="709"/>
        <w:jc w:val="both"/>
        <w:rPr>
          <w:rFonts w:ascii="Arial" w:eastAsiaTheme="minorHAnsi" w:hAnsi="Arial" w:cs="Arial"/>
          <w:sz w:val="21"/>
          <w:szCs w:val="21"/>
          <w:lang w:eastAsia="en-US"/>
        </w:rPr>
      </w:pPr>
    </w:p>
    <w:p w14:paraId="71508944" w14:textId="77777777" w:rsidR="00B72CB0" w:rsidRPr="00E70FB9" w:rsidRDefault="00B72CB0" w:rsidP="00B72CB0">
      <w:pPr>
        <w:autoSpaceDE w:val="0"/>
        <w:autoSpaceDN w:val="0"/>
        <w:adjustRightInd w:val="0"/>
        <w:ind w:left="709" w:right="709"/>
        <w:jc w:val="both"/>
        <w:rPr>
          <w:rFonts w:ascii="Arial" w:eastAsiaTheme="minorHAnsi" w:hAnsi="Arial" w:cs="Arial"/>
          <w:sz w:val="21"/>
          <w:szCs w:val="21"/>
          <w:lang w:eastAsia="en-US"/>
        </w:rPr>
      </w:pPr>
      <w:r w:rsidRPr="00E70FB9">
        <w:rPr>
          <w:rFonts w:ascii="Arial" w:eastAsiaTheme="minorHAnsi" w:hAnsi="Arial" w:cs="Arial"/>
          <w:sz w:val="21"/>
          <w:szCs w:val="21"/>
          <w:lang w:eastAsia="en-US"/>
        </w:rPr>
        <w:t>• La mínima cuantía (Ley 1150 de 2007, articulo 2.5., ordinal b: “</w:t>
      </w:r>
      <w:r w:rsidRPr="00E70FB9">
        <w:rPr>
          <w:rFonts w:ascii="Arial" w:eastAsiaTheme="minorHAnsi" w:hAnsi="Arial" w:cs="Arial"/>
          <w:i/>
          <w:iCs/>
          <w:sz w:val="21"/>
          <w:szCs w:val="21"/>
          <w:lang w:eastAsia="en-US"/>
        </w:rPr>
        <w:t>La entidad seleccionará, mediante comunicación de aceptación de la oferta, la propuesta con el menor precio, siempre y cuando cumpla con las condiciones exigidas”</w:t>
      </w:r>
      <w:r w:rsidRPr="00E70FB9">
        <w:rPr>
          <w:rFonts w:ascii="Arial" w:eastAsiaTheme="minorHAnsi" w:hAnsi="Arial" w:cs="Arial"/>
          <w:sz w:val="21"/>
          <w:szCs w:val="21"/>
          <w:lang w:eastAsia="en-US"/>
        </w:rPr>
        <w:t xml:space="preserve">). </w:t>
      </w:r>
    </w:p>
    <w:p w14:paraId="39AEED4A" w14:textId="77777777" w:rsidR="00B72CB0" w:rsidRPr="00E70FB9" w:rsidRDefault="00B72CB0" w:rsidP="00B72CB0">
      <w:pPr>
        <w:autoSpaceDE w:val="0"/>
        <w:autoSpaceDN w:val="0"/>
        <w:adjustRightInd w:val="0"/>
        <w:ind w:left="709" w:right="709"/>
        <w:jc w:val="both"/>
        <w:rPr>
          <w:rFonts w:ascii="Arial" w:eastAsiaTheme="minorHAnsi" w:hAnsi="Arial" w:cs="Arial"/>
          <w:sz w:val="21"/>
          <w:szCs w:val="21"/>
          <w:lang w:eastAsia="en-US"/>
        </w:rPr>
      </w:pPr>
    </w:p>
    <w:p w14:paraId="06D205D4" w14:textId="77777777" w:rsidR="00B72CB0" w:rsidRPr="00890E6F" w:rsidRDefault="00B72CB0" w:rsidP="00B72CB0">
      <w:pPr>
        <w:autoSpaceDE w:val="0"/>
        <w:autoSpaceDN w:val="0"/>
        <w:adjustRightInd w:val="0"/>
        <w:ind w:left="709" w:right="709"/>
        <w:jc w:val="both"/>
        <w:rPr>
          <w:rFonts w:ascii="Arial" w:eastAsiaTheme="minorHAnsi" w:hAnsi="Arial" w:cs="Arial"/>
          <w:sz w:val="21"/>
          <w:szCs w:val="21"/>
          <w:lang w:eastAsia="en-US"/>
        </w:rPr>
      </w:pPr>
      <w:r w:rsidRPr="00E70FB9">
        <w:rPr>
          <w:rFonts w:ascii="Arial" w:eastAsiaTheme="minorHAnsi" w:hAnsi="Arial" w:cs="Arial"/>
          <w:sz w:val="21"/>
          <w:szCs w:val="21"/>
          <w:lang w:eastAsia="en-US"/>
        </w:rPr>
        <w:t xml:space="preserve">¿Es correcta nuestra apreciación? </w:t>
      </w:r>
    </w:p>
    <w:p w14:paraId="4236569B" w14:textId="77777777" w:rsidR="00B72CB0" w:rsidRPr="00E70FB9" w:rsidRDefault="00B72CB0" w:rsidP="00B72CB0">
      <w:pPr>
        <w:autoSpaceDE w:val="0"/>
        <w:autoSpaceDN w:val="0"/>
        <w:adjustRightInd w:val="0"/>
        <w:ind w:left="709" w:right="709"/>
        <w:jc w:val="both"/>
        <w:rPr>
          <w:rFonts w:ascii="Arial" w:eastAsiaTheme="minorHAnsi" w:hAnsi="Arial" w:cs="Arial"/>
          <w:sz w:val="21"/>
          <w:szCs w:val="21"/>
          <w:lang w:eastAsia="en-US"/>
        </w:rPr>
      </w:pPr>
    </w:p>
    <w:p w14:paraId="39A541D0" w14:textId="77777777" w:rsidR="00B72CB0" w:rsidRPr="00890E6F" w:rsidRDefault="00B72CB0" w:rsidP="00B72CB0">
      <w:pPr>
        <w:autoSpaceDE w:val="0"/>
        <w:autoSpaceDN w:val="0"/>
        <w:adjustRightInd w:val="0"/>
        <w:ind w:left="709" w:right="709"/>
        <w:jc w:val="both"/>
        <w:rPr>
          <w:rFonts w:ascii="Arial" w:eastAsiaTheme="minorHAnsi" w:hAnsi="Arial" w:cs="Arial"/>
          <w:sz w:val="21"/>
          <w:szCs w:val="21"/>
          <w:lang w:eastAsia="en-US"/>
        </w:rPr>
      </w:pPr>
      <w:r w:rsidRPr="00E70FB9">
        <w:rPr>
          <w:rFonts w:ascii="Arial" w:eastAsiaTheme="minorHAnsi" w:hAnsi="Arial" w:cs="Arial"/>
          <w:sz w:val="21"/>
          <w:szCs w:val="21"/>
          <w:lang w:eastAsia="en-US"/>
        </w:rPr>
        <w:t>En el caso que la respuesta sea positiva, solicito me indiquen que factores de desempate deben aplicarse en las subastas inversas teniendo en cuenta que la Ley 2069 de 2021 no contiene ninguna regla similar o equivalente a la contemplada en el Decreto 1082 de 2015, articulo 2.2.1.2.1.2.2. Procedimiento para la subasta inversa, numeral 9 (“</w:t>
      </w:r>
      <w:r w:rsidRPr="00E70FB9">
        <w:rPr>
          <w:rFonts w:ascii="Arial" w:eastAsiaTheme="minorHAnsi" w:hAnsi="Arial" w:cs="Arial"/>
          <w:i/>
          <w:iCs/>
          <w:sz w:val="21"/>
          <w:szCs w:val="21"/>
          <w:lang w:eastAsia="en-US"/>
        </w:rPr>
        <w:t>Si al terminar la subasta inversa hay empate, la Entidad Estatal debe seleccionar al oferente que presentó el menor precio inicial. En caso de persistir el empate la Entidad Estatal debe aplicar las reglas del numeral 1 al 5 del artículo 2.2.1.1.2.2.9 del presente decreto</w:t>
      </w:r>
      <w:r w:rsidRPr="00E70FB9">
        <w:rPr>
          <w:rFonts w:ascii="Arial" w:eastAsiaTheme="minorHAnsi" w:hAnsi="Arial" w:cs="Arial"/>
          <w:sz w:val="21"/>
          <w:szCs w:val="21"/>
          <w:lang w:eastAsia="en-US"/>
        </w:rPr>
        <w:t xml:space="preserve">”) </w:t>
      </w:r>
    </w:p>
    <w:p w14:paraId="13DAA9AC" w14:textId="77777777" w:rsidR="00B72CB0" w:rsidRPr="00E70FB9" w:rsidRDefault="00B72CB0" w:rsidP="00B72CB0">
      <w:pPr>
        <w:autoSpaceDE w:val="0"/>
        <w:autoSpaceDN w:val="0"/>
        <w:adjustRightInd w:val="0"/>
        <w:ind w:left="709" w:right="709"/>
        <w:jc w:val="both"/>
        <w:rPr>
          <w:rFonts w:ascii="Arial" w:eastAsiaTheme="minorHAnsi" w:hAnsi="Arial" w:cs="Arial"/>
          <w:sz w:val="21"/>
          <w:szCs w:val="21"/>
          <w:lang w:eastAsia="en-US"/>
        </w:rPr>
      </w:pPr>
    </w:p>
    <w:p w14:paraId="46ABEE8C" w14:textId="7BC81952" w:rsidR="00B72CB0" w:rsidRPr="00890E6F" w:rsidRDefault="00B72CB0" w:rsidP="00B72CB0">
      <w:pPr>
        <w:pStyle w:val="Default"/>
        <w:ind w:left="709" w:right="709"/>
        <w:jc w:val="both"/>
        <w:rPr>
          <w:color w:val="auto"/>
          <w:sz w:val="21"/>
          <w:szCs w:val="21"/>
          <w:lang w:val="es-ES_tradnl"/>
        </w:rPr>
      </w:pPr>
      <w:r w:rsidRPr="00890E6F">
        <w:rPr>
          <w:color w:val="auto"/>
          <w:sz w:val="21"/>
          <w:szCs w:val="21"/>
        </w:rPr>
        <w:t>Y en el caso que la respuesta sea negativa, solicito me expongan las razones de derecho de la misma</w:t>
      </w:r>
      <w:proofErr w:type="gramStart"/>
      <w:r w:rsidRPr="00890E6F">
        <w:rPr>
          <w:color w:val="auto"/>
          <w:sz w:val="21"/>
          <w:szCs w:val="21"/>
        </w:rPr>
        <w:t>» .</w:t>
      </w:r>
      <w:proofErr w:type="gramEnd"/>
    </w:p>
    <w:p w14:paraId="5BE6368E" w14:textId="77777777" w:rsidR="002638F4" w:rsidRPr="00890E6F" w:rsidRDefault="002638F4" w:rsidP="00EB2ED0">
      <w:pPr>
        <w:spacing w:line="276" w:lineRule="auto"/>
        <w:ind w:left="709" w:right="709"/>
        <w:jc w:val="both"/>
        <w:rPr>
          <w:rFonts w:ascii="Arial" w:hAnsi="Arial" w:cs="Arial"/>
          <w:sz w:val="22"/>
          <w:szCs w:val="22"/>
          <w:lang w:val="es-ES_tradnl"/>
        </w:rPr>
      </w:pPr>
    </w:p>
    <w:p w14:paraId="3EFF9271" w14:textId="77777777" w:rsidR="002638F4" w:rsidRPr="00890E6F" w:rsidRDefault="002638F4" w:rsidP="002638F4">
      <w:pPr>
        <w:spacing w:line="276" w:lineRule="auto"/>
        <w:jc w:val="both"/>
        <w:rPr>
          <w:rFonts w:ascii="Arial" w:eastAsia="Calibri" w:hAnsi="Arial" w:cs="Arial"/>
          <w:sz w:val="22"/>
          <w:szCs w:val="22"/>
          <w:lang w:val="es-ES_tradnl"/>
        </w:rPr>
      </w:pPr>
      <w:bookmarkStart w:id="13" w:name="_Hlk69487468"/>
      <w:bookmarkStart w:id="14" w:name="_Hlk79145750"/>
      <w:r w:rsidRPr="00890E6F">
        <w:rPr>
          <w:rFonts w:ascii="Arial" w:eastAsia="Calibri" w:hAnsi="Arial" w:cs="Arial"/>
          <w:sz w:val="22"/>
          <w:szCs w:val="22"/>
          <w:lang w:val="es-ES_tradnl"/>
        </w:rPr>
        <w:t>El artículo 35 de la Ley 2069 de 2020, que modifica el régimen de los factores de desempate en la contratación estatal, se encuentra vigente y goza de aplicación directa desde la fecha de su promulgación, es decir, no requiere de una reglamentación previa como presupuesto para su eficacia. Estos criterios de desempate actualmente</w:t>
      </w:r>
      <w:r w:rsidRPr="00890E6F" w:rsidDel="0018007F">
        <w:rPr>
          <w:rFonts w:ascii="Arial" w:eastAsia="Calibri" w:hAnsi="Arial" w:cs="Arial"/>
          <w:sz w:val="22"/>
          <w:szCs w:val="22"/>
          <w:lang w:val="es-ES_tradnl"/>
        </w:rPr>
        <w:t xml:space="preserve"> </w:t>
      </w:r>
      <w:r w:rsidRPr="00890E6F">
        <w:rPr>
          <w:rFonts w:ascii="Arial" w:eastAsia="Calibri" w:hAnsi="Arial" w:cs="Arial"/>
          <w:sz w:val="22"/>
          <w:szCs w:val="22"/>
          <w:lang w:val="es-ES_tradnl"/>
        </w:rPr>
        <w:t>son aplicables a todas las entidades estatales, independientemente de su régimen de contratación.</w:t>
      </w:r>
    </w:p>
    <w:p w14:paraId="6DA1DDFA" w14:textId="603A6D43" w:rsidR="002638F4" w:rsidRPr="00890E6F" w:rsidRDefault="002638F4" w:rsidP="002638F4">
      <w:pPr>
        <w:spacing w:before="120" w:line="276" w:lineRule="auto"/>
        <w:ind w:firstLine="709"/>
        <w:jc w:val="both"/>
        <w:rPr>
          <w:rFonts w:ascii="Arial" w:hAnsi="Arial" w:cs="Arial"/>
          <w:sz w:val="22"/>
          <w:szCs w:val="22"/>
          <w:lang w:val="es-ES_tradnl"/>
        </w:rPr>
      </w:pPr>
      <w:r w:rsidRPr="00890E6F">
        <w:rPr>
          <w:rFonts w:ascii="Arial" w:hAnsi="Arial" w:cs="Arial"/>
          <w:sz w:val="22"/>
          <w:szCs w:val="22"/>
          <w:lang w:val="es-ES_tradnl"/>
        </w:rPr>
        <w:t xml:space="preserve">Ahora bien, hasta la promulgación de la Ley 2069 de 2020, el artículo 2.2.1.1.2.2.9. del Decreto 1082 de 2015 regulaba los factores de desempate que debían aplicarse en los procesos de selección. En criterio de esta Agencia, dicha norma debe entenderse derogada por el artículo 35 de la Ley 2069 de 2020. Ello no solo porque el artículo 84 </w:t>
      </w:r>
      <w:r w:rsidR="00291E40" w:rsidRPr="00890E6F">
        <w:rPr>
          <w:rFonts w:ascii="Arial" w:hAnsi="Arial" w:cs="Arial"/>
          <w:i/>
          <w:iCs/>
          <w:sz w:val="22"/>
          <w:szCs w:val="22"/>
          <w:lang w:val="es-ES_tradnl"/>
        </w:rPr>
        <w:t>ibidem</w:t>
      </w:r>
      <w:r w:rsidRPr="00890E6F">
        <w:rPr>
          <w:rFonts w:ascii="Arial" w:hAnsi="Arial" w:cs="Arial"/>
          <w:sz w:val="22"/>
          <w:szCs w:val="22"/>
          <w:lang w:val="es-ES_tradnl"/>
        </w:rPr>
        <w:t xml:space="preserve"> </w:t>
      </w:r>
      <w:r w:rsidR="00291E40" w:rsidRPr="00890E6F">
        <w:rPr>
          <w:rFonts w:ascii="Arial" w:hAnsi="Arial" w:cs="Arial"/>
          <w:sz w:val="22"/>
          <w:szCs w:val="22"/>
          <w:lang w:val="es-ES_tradnl"/>
        </w:rPr>
        <w:t xml:space="preserve">dispone </w:t>
      </w:r>
      <w:r w:rsidRPr="00890E6F">
        <w:rPr>
          <w:rFonts w:ascii="Arial" w:hAnsi="Arial" w:cs="Arial"/>
          <w:sz w:val="22"/>
          <w:szCs w:val="22"/>
          <w:lang w:val="es-ES_tradnl"/>
        </w:rPr>
        <w:t xml:space="preserve">que «rige a partir del momento de su promulgación», es decir, desde el 31 de diciembre de 2020, sino además porque la misma disposición señala que la Ley 2069 de 2020 deroga «[…] todas las disposiciones que le sean contrarias». </w:t>
      </w:r>
    </w:p>
    <w:p w14:paraId="75CDB35B" w14:textId="77777777" w:rsidR="002638F4" w:rsidRPr="00890E6F" w:rsidRDefault="002638F4" w:rsidP="002638F4">
      <w:pPr>
        <w:spacing w:before="120" w:line="276" w:lineRule="auto"/>
        <w:ind w:firstLine="709"/>
        <w:jc w:val="both"/>
        <w:rPr>
          <w:rFonts w:ascii="Arial" w:hAnsi="Arial" w:cs="Arial"/>
          <w:sz w:val="22"/>
          <w:szCs w:val="22"/>
          <w:lang w:val="es-ES_tradnl"/>
        </w:rPr>
      </w:pPr>
      <w:r w:rsidRPr="00890E6F">
        <w:rPr>
          <w:rFonts w:ascii="Arial" w:hAnsi="Arial" w:cs="Arial"/>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890E6F">
        <w:rPr>
          <w:rFonts w:ascii="Arial" w:hAnsi="Arial" w:cs="Arial"/>
          <w:i/>
          <w:iCs/>
          <w:sz w:val="22"/>
          <w:szCs w:val="22"/>
          <w:lang w:val="es-ES_tradnl"/>
        </w:rPr>
        <w:t>secundum</w:t>
      </w:r>
      <w:proofErr w:type="spellEnd"/>
      <w:r w:rsidRPr="00890E6F">
        <w:rPr>
          <w:rFonts w:ascii="Arial" w:hAnsi="Arial" w:cs="Arial"/>
          <w:i/>
          <w:iCs/>
          <w:sz w:val="22"/>
          <w:szCs w:val="22"/>
          <w:lang w:val="es-ES_tradnl"/>
        </w:rPr>
        <w:t xml:space="preserve"> </w:t>
      </w:r>
      <w:proofErr w:type="spellStart"/>
      <w:r w:rsidRPr="00890E6F">
        <w:rPr>
          <w:rFonts w:ascii="Arial" w:hAnsi="Arial" w:cs="Arial"/>
          <w:i/>
          <w:iCs/>
          <w:sz w:val="22"/>
          <w:szCs w:val="22"/>
          <w:lang w:val="es-ES_tradnl"/>
        </w:rPr>
        <w:t>legem</w:t>
      </w:r>
      <w:proofErr w:type="spellEnd"/>
      <w:r w:rsidRPr="00890E6F">
        <w:rPr>
          <w:rFonts w:ascii="Arial" w:hAnsi="Arial" w:cs="Arial"/>
          <w:sz w:val="22"/>
          <w:szCs w:val="22"/>
          <w:lang w:val="es-ES_tradnl"/>
        </w:rPr>
        <w:t xml:space="preserve"> –es decir, que desarrolla una norma de mayor jerarquía–, la </w:t>
      </w:r>
      <w:r w:rsidRPr="00890E6F">
        <w:rPr>
          <w:rFonts w:ascii="Arial" w:hAnsi="Arial" w:cs="Arial"/>
          <w:sz w:val="22"/>
          <w:szCs w:val="22"/>
          <w:lang w:val="es-ES_tradnl"/>
        </w:rPr>
        <w:lastRenderedPageBreak/>
        <w:t xml:space="preserve">expedición de una ley en sentido formal –es decir, una fuente que condiciona el contenido de este último–, hace que la disposición reglamentaria decaiga.  </w:t>
      </w:r>
    </w:p>
    <w:p w14:paraId="6F66ADDB" w14:textId="5CA87BA7" w:rsidR="002638F4" w:rsidRPr="00890E6F" w:rsidRDefault="002638F4" w:rsidP="002638F4">
      <w:pPr>
        <w:spacing w:before="120" w:line="276" w:lineRule="auto"/>
        <w:ind w:firstLine="709"/>
        <w:jc w:val="both"/>
        <w:rPr>
          <w:rFonts w:ascii="Arial" w:hAnsi="Arial" w:cs="Arial"/>
          <w:sz w:val="22"/>
          <w:szCs w:val="22"/>
          <w:lang w:val="es-ES_tradnl"/>
        </w:rPr>
      </w:pPr>
      <w:r w:rsidRPr="00890E6F">
        <w:rPr>
          <w:rFonts w:ascii="Arial" w:hAnsi="Arial" w:cs="Arial"/>
          <w:sz w:val="22"/>
          <w:szCs w:val="22"/>
          <w:lang w:val="es-ES_tradnl"/>
        </w:rPr>
        <w:t xml:space="preserve">Lo explicado en los párrafos precedentes también aplica </w:t>
      </w:r>
      <w:r w:rsidRPr="00890E6F">
        <w:rPr>
          <w:rFonts w:ascii="Arial" w:hAnsi="Arial" w:cs="Arial"/>
          <w:i/>
          <w:iCs/>
          <w:sz w:val="22"/>
          <w:szCs w:val="22"/>
          <w:lang w:val="es-ES_tradnl"/>
        </w:rPr>
        <w:t>mutatis mutandis</w:t>
      </w:r>
      <w:r w:rsidRPr="00890E6F">
        <w:rPr>
          <w:rFonts w:ascii="Arial" w:hAnsi="Arial" w:cs="Arial"/>
          <w:sz w:val="22"/>
          <w:szCs w:val="22"/>
          <w:lang w:val="es-ES_tradnl"/>
        </w:rPr>
        <w:t xml:space="preserve"> a los factores de desempate previstos en el Decreto Único Reglamentario del Sector Administrativo de Planeación Nacional para los</w:t>
      </w:r>
      <w:r w:rsidR="005416CA" w:rsidRPr="00890E6F">
        <w:rPr>
          <w:rFonts w:ascii="Arial" w:hAnsi="Arial" w:cs="Arial"/>
          <w:sz w:val="22"/>
          <w:szCs w:val="22"/>
          <w:lang w:val="es-ES_tradnl"/>
        </w:rPr>
        <w:t xml:space="preserve"> procedimientos de subasta inversa–adelantados en el marco de la modalidad de selección abreviada– y</w:t>
      </w:r>
      <w:r w:rsidRPr="00890E6F">
        <w:rPr>
          <w:rFonts w:ascii="Arial" w:hAnsi="Arial" w:cs="Arial"/>
          <w:sz w:val="22"/>
          <w:szCs w:val="22"/>
          <w:lang w:val="es-ES_tradnl"/>
        </w:rPr>
        <w:t xml:space="preserve"> mínima cuantía. A pesar de que numeral </w:t>
      </w:r>
      <w:r w:rsidR="005416CA" w:rsidRPr="00890E6F">
        <w:rPr>
          <w:rFonts w:ascii="Arial" w:hAnsi="Arial" w:cs="Arial"/>
          <w:sz w:val="22"/>
          <w:szCs w:val="22"/>
          <w:lang w:val="es-ES_tradnl"/>
        </w:rPr>
        <w:t>9</w:t>
      </w:r>
      <w:r w:rsidRPr="00890E6F">
        <w:rPr>
          <w:rFonts w:ascii="Arial" w:hAnsi="Arial" w:cs="Arial"/>
          <w:sz w:val="22"/>
          <w:szCs w:val="22"/>
          <w:lang w:val="es-ES_tradnl"/>
        </w:rPr>
        <w:t xml:space="preserve"> del </w:t>
      </w:r>
      <w:r w:rsidR="005416CA" w:rsidRPr="00890E6F">
        <w:rPr>
          <w:rFonts w:ascii="Arial" w:eastAsia="Calibri" w:hAnsi="Arial" w:cs="Arial"/>
          <w:bCs/>
          <w:sz w:val="22"/>
          <w:lang w:val="es-ES_tradnl"/>
        </w:rPr>
        <w:t xml:space="preserve">artículo </w:t>
      </w:r>
      <w:r w:rsidR="005416CA" w:rsidRPr="00890E6F">
        <w:rPr>
          <w:rFonts w:ascii="Arial" w:eastAsia="Calibri" w:hAnsi="Arial" w:cs="Arial"/>
          <w:sz w:val="22"/>
          <w:szCs w:val="22"/>
          <w:lang w:val="es-ES_tradnl"/>
        </w:rPr>
        <w:t>2.2.1.2.1.2.2</w:t>
      </w:r>
      <w:r w:rsidRPr="00890E6F">
        <w:rPr>
          <w:rFonts w:ascii="Arial" w:hAnsi="Arial" w:cs="Arial"/>
          <w:sz w:val="22"/>
          <w:szCs w:val="22"/>
          <w:lang w:val="es-ES_tradnl"/>
        </w:rPr>
        <w:t xml:space="preserve"> y el </w:t>
      </w:r>
      <w:r w:rsidR="005416CA" w:rsidRPr="00890E6F">
        <w:rPr>
          <w:rFonts w:ascii="Arial" w:hAnsi="Arial" w:cs="Arial"/>
          <w:sz w:val="22"/>
          <w:szCs w:val="22"/>
          <w:lang w:val="es-ES_tradnl"/>
        </w:rPr>
        <w:t>7</w:t>
      </w:r>
      <w:r w:rsidRPr="00890E6F">
        <w:rPr>
          <w:rFonts w:ascii="Arial" w:hAnsi="Arial" w:cs="Arial"/>
          <w:sz w:val="22"/>
          <w:szCs w:val="22"/>
          <w:lang w:val="es-ES_tradnl"/>
        </w:rPr>
        <w:t xml:space="preserve"> del artículo </w:t>
      </w:r>
      <w:r w:rsidR="005416CA" w:rsidRPr="00890E6F">
        <w:rPr>
          <w:rFonts w:ascii="Arial" w:hAnsi="Arial" w:cs="Arial"/>
          <w:sz w:val="22"/>
          <w:szCs w:val="22"/>
          <w:lang w:val="es-ES_tradnl"/>
        </w:rPr>
        <w:t>2.2.1.2.1.5.2</w:t>
      </w:r>
      <w:r w:rsidRPr="00890E6F">
        <w:rPr>
          <w:rFonts w:ascii="Arial" w:hAnsi="Arial" w:cs="Arial"/>
          <w:sz w:val="22"/>
          <w:szCs w:val="22"/>
          <w:lang w:val="es-ES_tradnl"/>
        </w:rPr>
        <w:t xml:space="preserve"> del Decreto 1082 de 2015 establecían unas reglas especiales para el desempate entre ofertas para los referidos procedimientos,</w:t>
      </w:r>
      <w:r w:rsidR="005416CA" w:rsidRPr="00890E6F">
        <w:rPr>
          <w:rFonts w:ascii="Arial" w:hAnsi="Arial" w:cs="Arial"/>
          <w:sz w:val="22"/>
          <w:szCs w:val="22"/>
          <w:lang w:val="es-ES_tradnl"/>
        </w:rPr>
        <w:t xml:space="preserve"> ya que</w:t>
      </w:r>
      <w:r w:rsidRPr="00890E6F">
        <w:rPr>
          <w:rFonts w:ascii="Arial" w:hAnsi="Arial" w:cs="Arial"/>
          <w:sz w:val="22"/>
          <w:szCs w:val="22"/>
          <w:lang w:val="es-ES_tradnl"/>
        </w:rPr>
        <w:t xml:space="preserve"> el primer inciso del artículo 35 de la Ley 2069 de 2020 no distingue modalidades de selección y regula la institución de los factores de desempate en los procesos de contratación estatal de manera integral.</w:t>
      </w:r>
    </w:p>
    <w:p w14:paraId="3AE1826C" w14:textId="77777777" w:rsidR="00E447A0" w:rsidRPr="00890E6F" w:rsidRDefault="002638F4" w:rsidP="002638F4">
      <w:pPr>
        <w:spacing w:before="120" w:line="276" w:lineRule="auto"/>
        <w:ind w:firstLine="709"/>
        <w:jc w:val="both"/>
        <w:rPr>
          <w:rFonts w:ascii="Arial" w:hAnsi="Arial" w:cs="Arial"/>
          <w:sz w:val="22"/>
          <w:szCs w:val="22"/>
          <w:lang w:val="es-ES_tradnl"/>
        </w:rPr>
      </w:pPr>
      <w:r w:rsidRPr="00890E6F">
        <w:rPr>
          <w:rFonts w:ascii="Arial" w:hAnsi="Arial" w:cs="Arial"/>
          <w:sz w:val="22"/>
          <w:szCs w:val="22"/>
          <w:lang w:val="es-ES_tradnl"/>
        </w:rPr>
        <w:t xml:space="preserve">En consecuencia, por tratarse de una norma transversal al sistema de compras y contratación pública, el artículo 35 de la Ley 2069 de 2020 es aplicable a los procedimientos de </w:t>
      </w:r>
      <w:r w:rsidR="005416CA" w:rsidRPr="00890E6F">
        <w:rPr>
          <w:rFonts w:ascii="Arial" w:hAnsi="Arial" w:cs="Arial"/>
          <w:sz w:val="22"/>
          <w:szCs w:val="22"/>
          <w:lang w:val="es-ES_tradnl"/>
        </w:rPr>
        <w:t>procedimientos de subasta inversa y mínima cuantía</w:t>
      </w:r>
      <w:r w:rsidRPr="00890E6F">
        <w:rPr>
          <w:rFonts w:ascii="Arial" w:hAnsi="Arial" w:cs="Arial"/>
          <w:sz w:val="22"/>
          <w:szCs w:val="22"/>
          <w:lang w:val="es-ES_tradnl"/>
        </w:rPr>
        <w:t xml:space="preserve">, presentándose tanto la derogación como el decaimiento de los criterios de desempate previstos en </w:t>
      </w:r>
      <w:r w:rsidR="005416CA" w:rsidRPr="00890E6F">
        <w:rPr>
          <w:rFonts w:ascii="Arial" w:hAnsi="Arial" w:cs="Arial"/>
          <w:sz w:val="22"/>
          <w:szCs w:val="22"/>
          <w:lang w:val="es-ES_tradnl"/>
        </w:rPr>
        <w:t>los</w:t>
      </w:r>
      <w:r w:rsidRPr="00890E6F">
        <w:rPr>
          <w:rFonts w:ascii="Arial" w:hAnsi="Arial" w:cs="Arial"/>
          <w:sz w:val="22"/>
          <w:szCs w:val="22"/>
          <w:lang w:val="es-ES_tradnl"/>
        </w:rPr>
        <w:t xml:space="preserve"> numeral</w:t>
      </w:r>
      <w:r w:rsidR="005416CA" w:rsidRPr="00890E6F">
        <w:rPr>
          <w:rFonts w:ascii="Arial" w:hAnsi="Arial" w:cs="Arial"/>
          <w:sz w:val="22"/>
          <w:szCs w:val="22"/>
          <w:lang w:val="es-ES_tradnl"/>
        </w:rPr>
        <w:t xml:space="preserve">es 9 del </w:t>
      </w:r>
      <w:r w:rsidR="005416CA" w:rsidRPr="00890E6F">
        <w:rPr>
          <w:rFonts w:ascii="Arial" w:eastAsia="Calibri" w:hAnsi="Arial" w:cs="Arial"/>
          <w:bCs/>
          <w:sz w:val="22"/>
          <w:lang w:val="es-ES_tradnl"/>
        </w:rPr>
        <w:t xml:space="preserve">artículo </w:t>
      </w:r>
      <w:r w:rsidR="005416CA" w:rsidRPr="00890E6F">
        <w:rPr>
          <w:rFonts w:ascii="Arial" w:eastAsia="Calibri" w:hAnsi="Arial" w:cs="Arial"/>
          <w:sz w:val="22"/>
          <w:szCs w:val="22"/>
          <w:lang w:val="es-ES_tradnl"/>
        </w:rPr>
        <w:t>2.2.1.2.1.2.2</w:t>
      </w:r>
      <w:r w:rsidR="005416CA" w:rsidRPr="00890E6F">
        <w:rPr>
          <w:rFonts w:ascii="Arial" w:hAnsi="Arial" w:cs="Arial"/>
          <w:sz w:val="22"/>
          <w:szCs w:val="22"/>
          <w:lang w:val="es-ES_tradnl"/>
        </w:rPr>
        <w:t xml:space="preserve"> y 7</w:t>
      </w:r>
      <w:r w:rsidRPr="00890E6F">
        <w:rPr>
          <w:rFonts w:ascii="Arial" w:hAnsi="Arial" w:cs="Arial"/>
          <w:sz w:val="22"/>
          <w:szCs w:val="22"/>
          <w:lang w:val="es-ES_tradnl"/>
        </w:rPr>
        <w:t xml:space="preserve"> del artículo 2.2.1.2.1.5.2</w:t>
      </w:r>
      <w:r w:rsidR="005416CA" w:rsidRPr="00890E6F">
        <w:rPr>
          <w:rFonts w:ascii="Arial" w:hAnsi="Arial" w:cs="Arial"/>
          <w:sz w:val="22"/>
          <w:szCs w:val="22"/>
          <w:lang w:val="es-ES_tradnl"/>
        </w:rPr>
        <w:t xml:space="preserve"> </w:t>
      </w:r>
      <w:r w:rsidRPr="00890E6F">
        <w:rPr>
          <w:rFonts w:ascii="Arial" w:hAnsi="Arial" w:cs="Arial"/>
          <w:sz w:val="22"/>
          <w:szCs w:val="22"/>
          <w:lang w:val="es-ES_tradnl"/>
        </w:rPr>
        <w:t>del Decreto 1082 de 2015</w:t>
      </w:r>
      <w:r w:rsidR="005416CA" w:rsidRPr="00890E6F">
        <w:rPr>
          <w:rFonts w:ascii="Arial" w:hAnsi="Arial" w:cs="Arial"/>
          <w:sz w:val="22"/>
          <w:szCs w:val="22"/>
          <w:lang w:val="es-ES_tradnl"/>
        </w:rPr>
        <w:t xml:space="preserve">, </w:t>
      </w:r>
      <w:r w:rsidRPr="00890E6F">
        <w:rPr>
          <w:rFonts w:ascii="Arial" w:hAnsi="Arial" w:cs="Arial"/>
          <w:sz w:val="22"/>
          <w:szCs w:val="22"/>
          <w:lang w:val="es-ES_tradnl"/>
        </w:rPr>
        <w:t xml:space="preserve">para estos procedimientos de selección.      </w:t>
      </w:r>
    </w:p>
    <w:p w14:paraId="405CCC13" w14:textId="2018F469" w:rsidR="00681C78" w:rsidRPr="00890E6F" w:rsidRDefault="00AA0856" w:rsidP="00AC6B7E">
      <w:pPr>
        <w:spacing w:before="120" w:line="276" w:lineRule="auto"/>
        <w:ind w:firstLine="709"/>
        <w:jc w:val="both"/>
        <w:rPr>
          <w:rFonts w:ascii="Arial" w:hAnsi="Arial" w:cs="Arial"/>
          <w:sz w:val="22"/>
          <w:szCs w:val="22"/>
          <w:lang w:val="es-ES_tradnl"/>
        </w:rPr>
      </w:pPr>
      <w:r w:rsidRPr="00890E6F">
        <w:rPr>
          <w:rFonts w:ascii="Arial" w:hAnsi="Arial" w:cs="Arial"/>
          <w:sz w:val="22"/>
          <w:szCs w:val="22"/>
          <w:lang w:val="es-ES_tradnl"/>
        </w:rPr>
        <w:t>E</w:t>
      </w:r>
      <w:r w:rsidR="00E447A0" w:rsidRPr="00890E6F">
        <w:rPr>
          <w:rFonts w:ascii="Arial" w:hAnsi="Arial" w:cs="Arial"/>
          <w:sz w:val="22"/>
          <w:szCs w:val="22"/>
          <w:lang w:val="es-ES_tradnl"/>
        </w:rPr>
        <w:t>sta</w:t>
      </w:r>
      <w:r w:rsidRPr="00890E6F">
        <w:rPr>
          <w:rFonts w:ascii="Arial" w:hAnsi="Arial" w:cs="Arial"/>
          <w:sz w:val="22"/>
          <w:szCs w:val="22"/>
          <w:lang w:val="es-ES_tradnl"/>
        </w:rPr>
        <w:t>s</w:t>
      </w:r>
      <w:r w:rsidR="00E447A0" w:rsidRPr="00890E6F">
        <w:rPr>
          <w:rFonts w:ascii="Arial" w:hAnsi="Arial" w:cs="Arial"/>
          <w:sz w:val="22"/>
          <w:szCs w:val="22"/>
          <w:lang w:val="es-ES_tradnl"/>
        </w:rPr>
        <w:t xml:space="preserve"> norma</w:t>
      </w:r>
      <w:r w:rsidRPr="00890E6F">
        <w:rPr>
          <w:rFonts w:ascii="Arial" w:hAnsi="Arial" w:cs="Arial"/>
          <w:sz w:val="22"/>
          <w:szCs w:val="22"/>
          <w:lang w:val="es-ES_tradnl"/>
        </w:rPr>
        <w:t>s</w:t>
      </w:r>
      <w:r w:rsidR="00E447A0" w:rsidRPr="00890E6F">
        <w:rPr>
          <w:rFonts w:ascii="Arial" w:hAnsi="Arial" w:cs="Arial"/>
          <w:sz w:val="22"/>
          <w:szCs w:val="22"/>
          <w:lang w:val="es-ES_tradnl"/>
        </w:rPr>
        <w:t xml:space="preserve"> debe</w:t>
      </w:r>
      <w:r w:rsidRPr="00890E6F">
        <w:rPr>
          <w:rFonts w:ascii="Arial" w:hAnsi="Arial" w:cs="Arial"/>
          <w:sz w:val="22"/>
          <w:szCs w:val="22"/>
          <w:lang w:val="es-ES_tradnl"/>
        </w:rPr>
        <w:t>n</w:t>
      </w:r>
      <w:r w:rsidR="00E447A0" w:rsidRPr="00890E6F">
        <w:rPr>
          <w:rFonts w:ascii="Arial" w:hAnsi="Arial" w:cs="Arial"/>
          <w:sz w:val="22"/>
          <w:szCs w:val="22"/>
          <w:lang w:val="es-ES_tradnl"/>
        </w:rPr>
        <w:t xml:space="preserve"> interpretarse de manera sistemática con las demás disposiciones del EGCAP, particularmente, con el artículo 5 de la Ley 1150 de 2007. Conforme esta idea, la expresión </w:t>
      </w:r>
      <w:r w:rsidR="00E447A0" w:rsidRPr="00890E6F">
        <w:rPr>
          <w:rFonts w:ascii="Arial" w:hAnsi="Arial" w:cs="Arial"/>
          <w:i/>
          <w:iCs/>
          <w:sz w:val="22"/>
          <w:szCs w:val="22"/>
          <w:lang w:val="es-ES_tradnl"/>
        </w:rPr>
        <w:t>empate en el puntaje total</w:t>
      </w:r>
      <w:r w:rsidR="00E447A0" w:rsidRPr="00890E6F">
        <w:rPr>
          <w:rFonts w:ascii="Arial" w:hAnsi="Arial" w:cs="Arial"/>
          <w:sz w:val="22"/>
          <w:szCs w:val="22"/>
          <w:lang w:val="es-ES_tradnl"/>
        </w:rPr>
        <w:t xml:space="preserve"> apunta a las situaciones en la evaluación final de las ofertas en las que, realizándose la comparación de acuerdo con los factores de calificación, evaluación o ponderación aplicables al respectivo procedimiento, se presenta un empate entre dos o más propuestas. En ese entendido, con independencia de que la ponderación emplee puntajes, fórmulas, criterios de relación costo – beneficio o de que el único criterio de evaluación sea el menor precio, deben aplicarse los factores de desempate del artículo 35 de la Ley 2069 de 2020.</w:t>
      </w:r>
      <w:bookmarkEnd w:id="13"/>
      <w:bookmarkEnd w:id="14"/>
    </w:p>
    <w:p w14:paraId="786525C0" w14:textId="77777777" w:rsidR="00AC6B7E" w:rsidRPr="00890E6F" w:rsidRDefault="00AC6B7E" w:rsidP="009717AE">
      <w:pPr>
        <w:spacing w:after="120" w:line="276" w:lineRule="auto"/>
        <w:ind w:firstLine="709"/>
        <w:jc w:val="both"/>
        <w:rPr>
          <w:rFonts w:ascii="Arial" w:eastAsia="Calibri" w:hAnsi="Arial" w:cs="Arial"/>
          <w:sz w:val="22"/>
          <w:szCs w:val="22"/>
          <w:lang w:val="es-ES_tradnl"/>
        </w:rPr>
      </w:pPr>
    </w:p>
    <w:p w14:paraId="35405C2F" w14:textId="77777777" w:rsidR="0080376A" w:rsidRPr="00890E6F" w:rsidRDefault="00DD5B04" w:rsidP="00EB2ED0">
      <w:pPr>
        <w:spacing w:line="276" w:lineRule="auto"/>
        <w:jc w:val="both"/>
        <w:rPr>
          <w:rFonts w:ascii="Arial" w:hAnsi="Arial" w:cs="Arial"/>
          <w:sz w:val="22"/>
          <w:szCs w:val="22"/>
          <w:lang w:val="es-ES_tradnl"/>
        </w:rPr>
      </w:pPr>
      <w:r w:rsidRPr="00890E6F">
        <w:rPr>
          <w:rFonts w:ascii="Arial" w:hAnsi="Arial" w:cs="Arial"/>
          <w:sz w:val="22"/>
          <w:szCs w:val="22"/>
          <w:lang w:val="es-ES_tradnl"/>
        </w:rPr>
        <w:t>Este concepto tiene el alcance previsto en el artículo 28 del Código de Procedimiento Administrativo y de lo Contencioso Administrativo.</w:t>
      </w:r>
    </w:p>
    <w:p w14:paraId="2CCA8B64" w14:textId="6C087EE0" w:rsidR="0080376A" w:rsidRPr="00890E6F" w:rsidRDefault="005111FA" w:rsidP="005111FA">
      <w:pPr>
        <w:spacing w:line="276" w:lineRule="auto"/>
        <w:jc w:val="center"/>
        <w:rPr>
          <w:rFonts w:ascii="Arial" w:hAnsi="Arial" w:cs="Arial"/>
          <w:sz w:val="22"/>
          <w:szCs w:val="22"/>
          <w:lang w:eastAsia="es-CO"/>
        </w:rPr>
      </w:pPr>
      <w:r>
        <w:rPr>
          <w:noProof/>
        </w:rPr>
        <w:drawing>
          <wp:inline distT="0" distB="0" distL="0" distR="0" wp14:anchorId="797621B9" wp14:editId="43F8AA32">
            <wp:extent cx="2342515" cy="1038225"/>
            <wp:effectExtent l="0" t="0" r="635"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42515" cy="1038225"/>
                    </a:xfrm>
                    <a:prstGeom prst="rect">
                      <a:avLst/>
                    </a:prstGeom>
                  </pic:spPr>
                </pic:pic>
              </a:graphicData>
            </a:graphic>
          </wp:inline>
        </w:drawing>
      </w:r>
    </w:p>
    <w:p w14:paraId="011D45FA" w14:textId="1F259EE0" w:rsidR="0080376A" w:rsidRPr="00890E6F" w:rsidRDefault="0080376A" w:rsidP="00EB2ED0">
      <w:pPr>
        <w:spacing w:line="276" w:lineRule="auto"/>
        <w:rPr>
          <w:rFonts w:ascii="Arial" w:hAnsi="Arial" w:cs="Arial"/>
          <w:sz w:val="22"/>
          <w:szCs w:val="22"/>
        </w:rPr>
      </w:pPr>
      <w:r w:rsidRPr="00890E6F">
        <w:rPr>
          <w:rFonts w:ascii="Arial" w:hAnsi="Arial" w:cs="Arial"/>
          <w:sz w:val="22"/>
          <w:szCs w:val="22"/>
          <w:lang w:eastAsia="es-CO"/>
        </w:rPr>
        <w:t>Atentamente,</w:t>
      </w:r>
    </w:p>
    <w:p w14:paraId="5B12458F" w14:textId="1D5A2A3B" w:rsidR="0080376A" w:rsidRPr="00890E6F" w:rsidRDefault="0080376A" w:rsidP="00EB2ED0">
      <w:pPr>
        <w:jc w:val="both"/>
        <w:rPr>
          <w:rFonts w:ascii="Arial" w:hAnsi="Arial" w:cs="Arial"/>
          <w:lang w:eastAsia="es-CO"/>
        </w:rPr>
      </w:pPr>
    </w:p>
    <w:p w14:paraId="67037290" w14:textId="7B385959" w:rsidR="0080376A" w:rsidRPr="00890E6F" w:rsidRDefault="0080376A" w:rsidP="00EB2ED0">
      <w:pPr>
        <w:spacing w:after="18"/>
        <w:jc w:val="center"/>
        <w:rPr>
          <w:rFonts w:ascii="Arial" w:hAnsi="Arial" w:cs="Arial"/>
          <w:lang w:eastAsia="es-CO"/>
        </w:rPr>
      </w:pPr>
    </w:p>
    <w:p w14:paraId="0A4EEE09" w14:textId="30128372" w:rsidR="0080376A" w:rsidRPr="00890E6F" w:rsidRDefault="0080376A" w:rsidP="00EB2ED0">
      <w:pPr>
        <w:spacing w:after="18"/>
        <w:jc w:val="center"/>
        <w:rPr>
          <w:rFonts w:ascii="Arial" w:hAnsi="Arial" w:cs="Arial"/>
          <w:lang w:eastAsia="es-CO"/>
        </w:rPr>
      </w:pPr>
    </w:p>
    <w:p w14:paraId="110E7C14" w14:textId="57FA7FB2" w:rsidR="0080376A" w:rsidRPr="00890E6F" w:rsidRDefault="0080376A" w:rsidP="00EB2ED0">
      <w:pPr>
        <w:spacing w:after="18"/>
        <w:jc w:val="center"/>
        <w:rPr>
          <w:rFonts w:ascii="Arial" w:hAnsi="Arial" w:cs="Arial"/>
          <w:lang w:eastAsia="es-CO"/>
        </w:rPr>
      </w:pPr>
    </w:p>
    <w:p w14:paraId="73BAD691" w14:textId="1C845272" w:rsidR="0080376A" w:rsidRPr="00890E6F" w:rsidRDefault="0080376A" w:rsidP="00EB2ED0">
      <w:pPr>
        <w:spacing w:after="18"/>
        <w:jc w:val="center"/>
        <w:rPr>
          <w:rFonts w:ascii="Arial" w:hAnsi="Arial" w:cs="Arial"/>
          <w:lang w:eastAsia="es-CO"/>
        </w:rPr>
      </w:pPr>
    </w:p>
    <w:p w14:paraId="61C66791" w14:textId="1C9C76D8" w:rsidR="0080376A" w:rsidRPr="00890E6F" w:rsidRDefault="0080376A" w:rsidP="00EB2ED0">
      <w:pPr>
        <w:spacing w:after="18"/>
        <w:jc w:val="center"/>
        <w:rPr>
          <w:rFonts w:ascii="Arial" w:hAnsi="Arial" w:cs="Arial"/>
          <w:lang w:eastAsia="es-CO"/>
        </w:rPr>
      </w:pPr>
    </w:p>
    <w:p w14:paraId="39880EAA" w14:textId="0EB27E8F" w:rsidR="005416CA" w:rsidRPr="00890E6F" w:rsidRDefault="005416CA" w:rsidP="00EB2ED0">
      <w:pPr>
        <w:spacing w:after="18"/>
        <w:jc w:val="center"/>
        <w:rPr>
          <w:rFonts w:ascii="Arial" w:hAnsi="Arial" w:cs="Arial"/>
          <w:lang w:eastAsia="es-CO"/>
        </w:rPr>
      </w:pPr>
    </w:p>
    <w:p w14:paraId="70ADF7AF" w14:textId="77777777" w:rsidR="005416CA" w:rsidRPr="00890E6F" w:rsidRDefault="005416CA" w:rsidP="00EB2ED0">
      <w:pPr>
        <w:spacing w:after="18"/>
        <w:jc w:val="center"/>
        <w:rPr>
          <w:rFonts w:ascii="Arial" w:hAnsi="Arial" w:cs="Arial"/>
          <w:lang w:eastAsia="es-CO"/>
        </w:rPr>
      </w:pPr>
    </w:p>
    <w:p w14:paraId="353D05CB" w14:textId="77777777" w:rsidR="0080376A" w:rsidRPr="00890E6F" w:rsidRDefault="0080376A" w:rsidP="00EB2ED0">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890E6F" w:rsidRPr="00890E6F" w14:paraId="03974E28" w14:textId="77777777" w:rsidTr="00631B91">
        <w:trPr>
          <w:trHeight w:val="286"/>
        </w:trPr>
        <w:tc>
          <w:tcPr>
            <w:tcW w:w="886" w:type="dxa"/>
            <w:vAlign w:val="center"/>
            <w:hideMark/>
          </w:tcPr>
          <w:p w14:paraId="01140129" w14:textId="77777777" w:rsidR="0080376A" w:rsidRPr="00890E6F" w:rsidRDefault="0080376A" w:rsidP="00EB2ED0">
            <w:pPr>
              <w:rPr>
                <w:rFonts w:ascii="Arial" w:hAnsi="Arial" w:cs="Arial"/>
                <w:sz w:val="14"/>
                <w:szCs w:val="14"/>
                <w:lang w:eastAsia="es-ES"/>
              </w:rPr>
            </w:pPr>
            <w:r w:rsidRPr="00890E6F">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777D2F26" w14:textId="77777777" w:rsidR="0080376A" w:rsidRPr="00890E6F" w:rsidRDefault="0080376A" w:rsidP="00EB2ED0">
            <w:pPr>
              <w:rPr>
                <w:rFonts w:ascii="Arial" w:hAnsi="Arial" w:cs="Arial"/>
                <w:sz w:val="14"/>
                <w:szCs w:val="14"/>
                <w:lang w:eastAsia="es-ES"/>
              </w:rPr>
            </w:pPr>
            <w:r w:rsidRPr="00890E6F">
              <w:rPr>
                <w:rFonts w:ascii="Arial" w:hAnsi="Arial" w:cs="Arial"/>
                <w:sz w:val="14"/>
                <w:szCs w:val="14"/>
                <w:lang w:eastAsia="es-ES"/>
              </w:rPr>
              <w:t>Alejandro Sarmiento Cantillo</w:t>
            </w:r>
          </w:p>
          <w:p w14:paraId="1886B9EC" w14:textId="77777777" w:rsidR="0080376A" w:rsidRPr="00890E6F" w:rsidRDefault="0080376A" w:rsidP="00EB2ED0">
            <w:pPr>
              <w:rPr>
                <w:rFonts w:ascii="Arial" w:hAnsi="Arial" w:cs="Arial"/>
                <w:sz w:val="14"/>
                <w:szCs w:val="14"/>
                <w:lang w:eastAsia="es-ES"/>
              </w:rPr>
            </w:pPr>
            <w:r w:rsidRPr="00890E6F">
              <w:rPr>
                <w:rFonts w:ascii="Arial" w:hAnsi="Arial" w:cs="Arial"/>
                <w:sz w:val="14"/>
                <w:szCs w:val="14"/>
                <w:lang w:eastAsia="es-ES"/>
              </w:rPr>
              <w:t>Gestor T1-11 de la Subdirección de Gestión Contractual</w:t>
            </w:r>
          </w:p>
        </w:tc>
      </w:tr>
      <w:tr w:rsidR="00890E6F" w:rsidRPr="00890E6F" w14:paraId="1C6D880D" w14:textId="77777777" w:rsidTr="00631B91">
        <w:trPr>
          <w:trHeight w:val="299"/>
        </w:trPr>
        <w:tc>
          <w:tcPr>
            <w:tcW w:w="886" w:type="dxa"/>
            <w:vAlign w:val="center"/>
          </w:tcPr>
          <w:p w14:paraId="5E9E0994" w14:textId="77777777" w:rsidR="0080376A" w:rsidRPr="00890E6F" w:rsidRDefault="0080376A" w:rsidP="00EB2ED0">
            <w:pPr>
              <w:rPr>
                <w:rFonts w:ascii="Arial" w:hAnsi="Arial" w:cs="Arial"/>
                <w:sz w:val="14"/>
                <w:szCs w:val="14"/>
                <w:lang w:eastAsia="es-ES"/>
              </w:rPr>
            </w:pPr>
            <w:r w:rsidRPr="00890E6F">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6FE263AE" w14:textId="77777777" w:rsidR="0080376A" w:rsidRPr="00890E6F" w:rsidRDefault="0080376A" w:rsidP="00EB2ED0">
            <w:pPr>
              <w:rPr>
                <w:rFonts w:ascii="Arial" w:hAnsi="Arial" w:cs="Arial"/>
                <w:sz w:val="14"/>
                <w:szCs w:val="14"/>
                <w:lang w:eastAsia="es-ES"/>
              </w:rPr>
            </w:pPr>
            <w:r w:rsidRPr="00890E6F">
              <w:rPr>
                <w:rFonts w:ascii="Arial" w:hAnsi="Arial" w:cs="Arial"/>
                <w:sz w:val="14"/>
                <w:szCs w:val="14"/>
                <w:lang w:eastAsia="es-ES"/>
              </w:rPr>
              <w:t>Juan David Montoya Penagos</w:t>
            </w:r>
          </w:p>
          <w:p w14:paraId="5B170026" w14:textId="77777777" w:rsidR="0080376A" w:rsidRPr="00890E6F" w:rsidRDefault="0080376A" w:rsidP="00EB2ED0">
            <w:pPr>
              <w:rPr>
                <w:rFonts w:ascii="Arial" w:hAnsi="Arial" w:cs="Arial"/>
                <w:sz w:val="14"/>
                <w:szCs w:val="14"/>
                <w:lang w:eastAsia="es-ES"/>
              </w:rPr>
            </w:pPr>
            <w:r w:rsidRPr="00890E6F">
              <w:rPr>
                <w:rFonts w:ascii="Arial" w:hAnsi="Arial" w:cs="Arial"/>
                <w:sz w:val="14"/>
                <w:szCs w:val="14"/>
                <w:lang w:eastAsia="es-ES"/>
              </w:rPr>
              <w:t xml:space="preserve">Gestor T1-15 de la Subdirección de Gestión Contractual  </w:t>
            </w:r>
          </w:p>
        </w:tc>
      </w:tr>
      <w:tr w:rsidR="00890E6F" w:rsidRPr="00890E6F" w14:paraId="69EA51B1" w14:textId="77777777" w:rsidTr="00631B91">
        <w:trPr>
          <w:trHeight w:val="272"/>
        </w:trPr>
        <w:tc>
          <w:tcPr>
            <w:tcW w:w="886" w:type="dxa"/>
            <w:vAlign w:val="center"/>
            <w:hideMark/>
          </w:tcPr>
          <w:p w14:paraId="310910D2" w14:textId="77777777" w:rsidR="0080376A" w:rsidRPr="00890E6F" w:rsidRDefault="0080376A" w:rsidP="00EB2ED0">
            <w:pPr>
              <w:rPr>
                <w:rFonts w:ascii="Arial" w:hAnsi="Arial" w:cs="Arial"/>
                <w:sz w:val="14"/>
                <w:szCs w:val="14"/>
                <w:lang w:eastAsia="es-ES"/>
              </w:rPr>
            </w:pPr>
            <w:r w:rsidRPr="00890E6F">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3D727AC" w14:textId="77777777" w:rsidR="0080376A" w:rsidRPr="00890E6F" w:rsidRDefault="0080376A" w:rsidP="00EB2ED0">
            <w:pPr>
              <w:rPr>
                <w:rFonts w:ascii="Arial" w:hAnsi="Arial" w:cs="Arial"/>
                <w:sz w:val="14"/>
                <w:szCs w:val="14"/>
                <w:lang w:eastAsia="es-ES"/>
              </w:rPr>
            </w:pPr>
            <w:r w:rsidRPr="00890E6F">
              <w:rPr>
                <w:rFonts w:ascii="Arial" w:hAnsi="Arial" w:cs="Arial"/>
                <w:sz w:val="14"/>
                <w:szCs w:val="14"/>
                <w:lang w:eastAsia="es-ES"/>
              </w:rPr>
              <w:t>Jorge Augusto Tirado Navarro</w:t>
            </w:r>
          </w:p>
          <w:p w14:paraId="3019D417" w14:textId="633936DE" w:rsidR="0080376A" w:rsidRPr="00890E6F" w:rsidRDefault="0080376A" w:rsidP="00EB2ED0">
            <w:pPr>
              <w:rPr>
                <w:rFonts w:ascii="Arial" w:hAnsi="Arial" w:cs="Arial"/>
                <w:sz w:val="14"/>
                <w:szCs w:val="14"/>
                <w:lang w:eastAsia="es-ES"/>
              </w:rPr>
            </w:pPr>
            <w:r w:rsidRPr="00890E6F">
              <w:rPr>
                <w:rFonts w:ascii="Arial" w:hAnsi="Arial" w:cs="Arial"/>
                <w:sz w:val="14"/>
                <w:szCs w:val="14"/>
                <w:lang w:eastAsia="es-ES"/>
              </w:rPr>
              <w:t>Subdirector de Gestión Contractual</w:t>
            </w:r>
            <w:r w:rsidR="008C3903" w:rsidRPr="00890E6F">
              <w:rPr>
                <w:rFonts w:ascii="Arial" w:hAnsi="Arial" w:cs="Arial"/>
                <w:sz w:val="14"/>
                <w:szCs w:val="14"/>
                <w:lang w:eastAsia="es-ES"/>
              </w:rPr>
              <w:t xml:space="preserve"> ANCP – CCE</w:t>
            </w:r>
          </w:p>
        </w:tc>
      </w:tr>
    </w:tbl>
    <w:p w14:paraId="5D4CDD3F" w14:textId="77777777" w:rsidR="0080376A" w:rsidRPr="00890E6F" w:rsidRDefault="0080376A" w:rsidP="00EB2ED0">
      <w:pPr>
        <w:rPr>
          <w:rFonts w:ascii="Arial" w:hAnsi="Arial" w:cs="Arial"/>
          <w:lang w:eastAsia="es-ES"/>
        </w:rPr>
      </w:pPr>
    </w:p>
    <w:bookmarkEnd w:id="7"/>
    <w:p w14:paraId="35B56F46" w14:textId="68D0B3F1" w:rsidR="00746E08" w:rsidRPr="00890E6F" w:rsidRDefault="00746E08" w:rsidP="00EB2ED0">
      <w:pPr>
        <w:spacing w:line="276" w:lineRule="auto"/>
        <w:jc w:val="both"/>
        <w:rPr>
          <w:rFonts w:ascii="Arial" w:hAnsi="Arial" w:cs="Arial"/>
          <w:lang w:val="es-ES_tradnl"/>
        </w:rPr>
      </w:pPr>
    </w:p>
    <w:sectPr w:rsidR="00746E08" w:rsidRPr="00890E6F"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5716" w14:textId="77777777" w:rsidR="00AF2CE4" w:rsidRDefault="00AF2CE4">
      <w:r>
        <w:separator/>
      </w:r>
    </w:p>
  </w:endnote>
  <w:endnote w:type="continuationSeparator" w:id="0">
    <w:p w14:paraId="34F74810" w14:textId="77777777" w:rsidR="00AF2CE4" w:rsidRDefault="00AF2CE4">
      <w:r>
        <w:continuationSeparator/>
      </w:r>
    </w:p>
  </w:endnote>
  <w:endnote w:type="continuationNotice" w:id="1">
    <w:p w14:paraId="0D48B229" w14:textId="77777777" w:rsidR="00AF2CE4" w:rsidRDefault="00AF2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7B1929" w:rsidRDefault="007B1929" w:rsidP="00322937">
    <w:pPr>
      <w:pStyle w:val="Sinespaciado"/>
      <w:jc w:val="right"/>
      <w:rPr>
        <w:rFonts w:ascii="Arial" w:hAnsi="Arial" w:cs="Arial"/>
        <w:sz w:val="18"/>
        <w:szCs w:val="18"/>
      </w:rPr>
    </w:pPr>
  </w:p>
  <w:p w14:paraId="7A3785F3" w14:textId="2EF28465" w:rsidR="007B1929" w:rsidRPr="008217B7" w:rsidRDefault="007B192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7B1929" w:rsidRDefault="007B1929" w:rsidP="00322937">
    <w:pPr>
      <w:pStyle w:val="Piedepgina"/>
      <w:jc w:val="center"/>
      <w:rPr>
        <w:lang w:val="es-ES"/>
      </w:rPr>
    </w:pPr>
    <w:r>
      <w:rPr>
        <w:noProof/>
      </w:rPr>
      <w:drawing>
        <wp:inline distT="0" distB="0" distL="0" distR="0" wp14:anchorId="608B196D" wp14:editId="5BB3F60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7B1929" w:rsidRDefault="007B1929" w:rsidP="007B0854">
    <w:pPr>
      <w:pStyle w:val="Piedepgina"/>
      <w:jc w:val="center"/>
      <w:rPr>
        <w:lang w:val="es-ES"/>
      </w:rPr>
    </w:pPr>
  </w:p>
  <w:p w14:paraId="6C0EFC49" w14:textId="77777777" w:rsidR="007B1929" w:rsidRPr="007B0854" w:rsidRDefault="007B192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531A1" w14:textId="77777777" w:rsidR="00AF2CE4" w:rsidRDefault="00AF2CE4">
      <w:r>
        <w:separator/>
      </w:r>
    </w:p>
  </w:footnote>
  <w:footnote w:type="continuationSeparator" w:id="0">
    <w:p w14:paraId="62E0DECF" w14:textId="77777777" w:rsidR="00AF2CE4" w:rsidRDefault="00AF2CE4">
      <w:r>
        <w:continuationSeparator/>
      </w:r>
    </w:p>
  </w:footnote>
  <w:footnote w:type="continuationNotice" w:id="1">
    <w:p w14:paraId="4855823B" w14:textId="77777777" w:rsidR="00AF2CE4" w:rsidRDefault="00AF2CE4"/>
  </w:footnote>
  <w:footnote w:id="2">
    <w:p w14:paraId="79AE3BCB" w14:textId="3C7E8499" w:rsidR="002638F4" w:rsidRDefault="002638F4" w:rsidP="002638F4">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CO"/>
        </w:rPr>
        <w:t>La Agencia también se ha pronunciado sobre los factores de desempate introducidos por 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y C-102 del 25 de marzo de 2020.</w:t>
      </w:r>
    </w:p>
    <w:p w14:paraId="5CB1B294" w14:textId="77777777" w:rsidR="00963A67" w:rsidRDefault="00963A67" w:rsidP="002638F4">
      <w:pPr>
        <w:pStyle w:val="Textonotapie"/>
        <w:ind w:firstLine="708"/>
        <w:jc w:val="both"/>
        <w:rPr>
          <w:rFonts w:ascii="Arial" w:hAnsi="Arial" w:cs="Arial"/>
          <w:sz w:val="19"/>
          <w:szCs w:val="19"/>
          <w:lang w:val="es-CO"/>
        </w:rPr>
      </w:pPr>
    </w:p>
  </w:footnote>
  <w:footnote w:id="3">
    <w:p w14:paraId="069AF3A0" w14:textId="77777777" w:rsidR="00E85980" w:rsidRPr="009E020C" w:rsidRDefault="00E85980" w:rsidP="00E85980">
      <w:pPr>
        <w:pStyle w:val="Car1"/>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Consejo de Estado. Sección Tercera. Sentencia del 29 de octubre de 2.015. Consejera Ponente: Stella Conto Díaz Del Castillo. Expediente: 31.918.</w:t>
      </w:r>
    </w:p>
    <w:p w14:paraId="0180FFC5" w14:textId="77777777" w:rsidR="00E85980" w:rsidRPr="009E020C" w:rsidRDefault="00E85980" w:rsidP="00E85980">
      <w:pPr>
        <w:pStyle w:val="Car1"/>
        <w:ind w:firstLine="709"/>
        <w:jc w:val="both"/>
        <w:rPr>
          <w:rFonts w:ascii="Arial" w:hAnsi="Arial" w:cs="Arial"/>
          <w:sz w:val="19"/>
          <w:szCs w:val="19"/>
          <w:lang w:val="es-ES"/>
        </w:rPr>
      </w:pPr>
    </w:p>
  </w:footnote>
  <w:footnote w:id="4">
    <w:p w14:paraId="4CE0D659" w14:textId="77777777" w:rsidR="00E85980" w:rsidRPr="009E020C" w:rsidRDefault="00E85980" w:rsidP="00E85980">
      <w:pPr>
        <w:pStyle w:val="Car1"/>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Corte Constitucional. Sentencia T-684A del 14 de septiembre de 2011. Magistrado Ponente: Mauricio González Cuervo.</w:t>
      </w:r>
    </w:p>
    <w:p w14:paraId="688BED7F" w14:textId="77777777" w:rsidR="00E85980" w:rsidRPr="009E020C" w:rsidRDefault="00E85980" w:rsidP="00E85980">
      <w:pPr>
        <w:pStyle w:val="Car1"/>
        <w:ind w:firstLine="709"/>
        <w:jc w:val="both"/>
        <w:rPr>
          <w:rFonts w:ascii="Arial" w:hAnsi="Arial" w:cs="Arial"/>
          <w:sz w:val="19"/>
          <w:szCs w:val="19"/>
          <w:lang w:val="es-ES"/>
        </w:rPr>
      </w:pPr>
    </w:p>
  </w:footnote>
  <w:footnote w:id="5">
    <w:p w14:paraId="5B230C48" w14:textId="77777777" w:rsidR="00E85980" w:rsidRPr="009E020C" w:rsidRDefault="00E85980" w:rsidP="00E85980">
      <w:pPr>
        <w:pStyle w:val="Car1"/>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6A9B1C9E" w14:textId="77777777" w:rsidR="00E85980" w:rsidRPr="009E020C" w:rsidRDefault="00E85980" w:rsidP="00E85980">
      <w:pPr>
        <w:pStyle w:val="Car1"/>
        <w:ind w:firstLine="709"/>
        <w:jc w:val="both"/>
        <w:rPr>
          <w:rFonts w:ascii="Arial" w:hAnsi="Arial" w:cs="Arial"/>
          <w:sz w:val="19"/>
          <w:szCs w:val="19"/>
          <w:lang w:val="es-CO"/>
        </w:rPr>
      </w:pPr>
    </w:p>
  </w:footnote>
  <w:footnote w:id="6">
    <w:p w14:paraId="5E7BECF0" w14:textId="77777777" w:rsidR="00AC6B7E" w:rsidRPr="008640C4" w:rsidRDefault="00AC6B7E" w:rsidP="00AC6B7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533DAD2B" w14:textId="77777777" w:rsidR="00AC6B7E" w:rsidRPr="008640C4" w:rsidRDefault="00AC6B7E" w:rsidP="00AC6B7E">
      <w:pPr>
        <w:pStyle w:val="Textonotapie"/>
        <w:ind w:firstLine="709"/>
        <w:jc w:val="both"/>
        <w:rPr>
          <w:rFonts w:ascii="Arial" w:hAnsi="Arial" w:cs="Arial"/>
          <w:sz w:val="19"/>
          <w:szCs w:val="19"/>
          <w:lang w:val="es-ES"/>
        </w:rPr>
      </w:pPr>
    </w:p>
  </w:footnote>
  <w:footnote w:id="7">
    <w:p w14:paraId="00293FBD" w14:textId="77777777" w:rsidR="00AC6B7E" w:rsidRPr="008640C4" w:rsidRDefault="00AC6B7E" w:rsidP="00AC6B7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497EE577" w14:textId="77777777" w:rsidR="00AC6B7E" w:rsidRPr="008640C4" w:rsidRDefault="00AC6B7E" w:rsidP="00AC6B7E">
      <w:pPr>
        <w:pStyle w:val="Textonotapie"/>
        <w:ind w:firstLine="709"/>
        <w:jc w:val="both"/>
        <w:rPr>
          <w:rFonts w:ascii="Arial" w:hAnsi="Arial" w:cs="Arial"/>
          <w:sz w:val="19"/>
          <w:szCs w:val="19"/>
          <w:lang w:val="es-ES"/>
        </w:rPr>
      </w:pPr>
    </w:p>
  </w:footnote>
  <w:footnote w:id="8">
    <w:p w14:paraId="2435DBBA" w14:textId="77777777" w:rsidR="00AC6B7E" w:rsidRPr="008640C4" w:rsidRDefault="00AC6B7E" w:rsidP="00AC6B7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413B3A19" w14:textId="77777777" w:rsidR="00AC6B7E" w:rsidRPr="008640C4" w:rsidRDefault="00AC6B7E" w:rsidP="00AC6B7E">
      <w:pPr>
        <w:pStyle w:val="Textonotapie"/>
        <w:ind w:firstLine="709"/>
        <w:jc w:val="both"/>
        <w:rPr>
          <w:rFonts w:ascii="Arial" w:hAnsi="Arial" w:cs="Arial"/>
          <w:sz w:val="19"/>
          <w:szCs w:val="19"/>
          <w:lang w:val="es-ES"/>
        </w:rPr>
      </w:pPr>
    </w:p>
  </w:footnote>
  <w:footnote w:id="9">
    <w:p w14:paraId="1830AE85" w14:textId="77777777" w:rsidR="00AC6B7E" w:rsidRPr="008640C4" w:rsidRDefault="00AC6B7E" w:rsidP="00AC6B7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1EA3EB33" w14:textId="77777777" w:rsidR="00AC6B7E" w:rsidRPr="008640C4" w:rsidRDefault="00AC6B7E" w:rsidP="00AC6B7E">
      <w:pPr>
        <w:pStyle w:val="Textonotapie"/>
        <w:ind w:firstLine="709"/>
        <w:jc w:val="both"/>
        <w:rPr>
          <w:rFonts w:ascii="Arial" w:hAnsi="Arial" w:cs="Arial"/>
          <w:sz w:val="19"/>
          <w:szCs w:val="19"/>
          <w:lang w:val="es-ES"/>
        </w:rPr>
      </w:pPr>
    </w:p>
  </w:footnote>
  <w:footnote w:id="10">
    <w:p w14:paraId="1182D6ED" w14:textId="77777777" w:rsidR="00AC6B7E" w:rsidRPr="008640C4" w:rsidRDefault="00AC6B7E" w:rsidP="00AC6B7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637BFBF1" w14:textId="77777777" w:rsidR="00AC6B7E" w:rsidRPr="008640C4" w:rsidRDefault="00AC6B7E" w:rsidP="00AC6B7E">
      <w:pPr>
        <w:pStyle w:val="Textonotapie"/>
        <w:ind w:firstLine="709"/>
        <w:jc w:val="both"/>
        <w:rPr>
          <w:rFonts w:ascii="Arial" w:hAnsi="Arial" w:cs="Arial"/>
          <w:sz w:val="19"/>
          <w:szCs w:val="19"/>
          <w:lang w:val="es-ES"/>
        </w:rPr>
      </w:pPr>
    </w:p>
  </w:footnote>
  <w:footnote w:id="11">
    <w:p w14:paraId="267D2F15" w14:textId="77777777" w:rsidR="00AC6B7E" w:rsidRPr="001F5C3E" w:rsidRDefault="00AC6B7E" w:rsidP="00AC6B7E">
      <w:pPr>
        <w:pStyle w:val="Textonotapie"/>
        <w:ind w:firstLine="708"/>
        <w:jc w:val="both"/>
        <w:rPr>
          <w:rFonts w:ascii="Arial" w:hAnsi="Arial" w:cs="Arial"/>
          <w:bCs/>
          <w:color w:val="000000" w:themeColor="text1"/>
          <w:sz w:val="19"/>
          <w:szCs w:val="19"/>
        </w:rPr>
      </w:pPr>
      <w:r w:rsidRPr="001F5C3E">
        <w:rPr>
          <w:rStyle w:val="Refdenotaalpie"/>
          <w:rFonts w:ascii="Arial" w:hAnsi="Arial" w:cs="Arial"/>
          <w:color w:val="000000" w:themeColor="text1"/>
          <w:sz w:val="19"/>
          <w:szCs w:val="19"/>
        </w:rPr>
        <w:footnoteRef/>
      </w:r>
      <w:r w:rsidRPr="001F5C3E">
        <w:rPr>
          <w:rFonts w:ascii="Arial" w:hAnsi="Arial" w:cs="Arial"/>
          <w:color w:val="000000" w:themeColor="text1"/>
          <w:sz w:val="19"/>
          <w:szCs w:val="19"/>
        </w:rPr>
        <w:t xml:space="preserve"> </w:t>
      </w:r>
      <w:r w:rsidRPr="001F5C3E">
        <w:rPr>
          <w:rFonts w:ascii="Arial" w:hAnsi="Arial" w:cs="Arial"/>
          <w:bCs/>
          <w:color w:val="000000" w:themeColor="text1"/>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1F5C3E">
        <w:rPr>
          <w:rFonts w:ascii="Arial" w:hAnsi="Arial" w:cs="Arial"/>
          <w:color w:val="000000" w:themeColor="text1"/>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1F5C3E">
          <w:rPr>
            <w:rStyle w:val="Hipervnculo"/>
            <w:rFonts w:ascii="Arial" w:hAnsi="Arial" w:cs="Arial"/>
            <w:color w:val="000000" w:themeColor="text1"/>
            <w:sz w:val="19"/>
            <w:szCs w:val="19"/>
          </w:rPr>
          <w:t>https://colaboracion.dnp.gov.co/CDT/Conpes/Econ%C3%B3micos/3956.pdf</w:t>
        </w:r>
      </w:hyperlink>
      <w:r w:rsidRPr="001F5C3E">
        <w:rPr>
          <w:rFonts w:ascii="Arial" w:hAnsi="Arial" w:cs="Arial"/>
          <w:color w:val="000000" w:themeColor="text1"/>
          <w:sz w:val="19"/>
          <w:szCs w:val="19"/>
        </w:rPr>
        <w:t xml:space="preserve">).  </w:t>
      </w:r>
    </w:p>
    <w:p w14:paraId="2B840D00" w14:textId="77777777" w:rsidR="00AC6B7E" w:rsidRPr="00AA2812" w:rsidRDefault="00AC6B7E" w:rsidP="00AC6B7E">
      <w:pPr>
        <w:pStyle w:val="Textonotapie"/>
        <w:ind w:firstLine="708"/>
        <w:jc w:val="both"/>
        <w:rPr>
          <w:rFonts w:ascii="Arial" w:hAnsi="Arial" w:cs="Arial"/>
          <w:sz w:val="19"/>
          <w:szCs w:val="19"/>
          <w:lang w:val="es-ES"/>
        </w:rPr>
      </w:pPr>
    </w:p>
  </w:footnote>
  <w:footnote w:id="12">
    <w:p w14:paraId="03F380B6" w14:textId="77777777" w:rsidR="00AC6B7E" w:rsidRPr="00A1541C" w:rsidRDefault="00AC6B7E" w:rsidP="00AC6B7E">
      <w:pPr>
        <w:pStyle w:val="Textonotapie"/>
        <w:ind w:firstLine="708"/>
        <w:jc w:val="both"/>
        <w:rPr>
          <w:rFonts w:ascii="Arial" w:hAnsi="Arial" w:cs="Arial"/>
          <w:sz w:val="19"/>
          <w:szCs w:val="19"/>
          <w:lang w:val="es-ES"/>
        </w:rPr>
      </w:pPr>
      <w:r w:rsidRPr="00A1541C">
        <w:rPr>
          <w:rStyle w:val="Refdenotaalpie"/>
          <w:rFonts w:ascii="Arial" w:hAnsi="Arial" w:cs="Arial"/>
          <w:sz w:val="19"/>
          <w:szCs w:val="19"/>
        </w:rPr>
        <w:footnoteRef/>
      </w:r>
      <w:r>
        <w:rPr>
          <w:rFonts w:ascii="Arial" w:hAnsi="Arial" w:cs="Arial"/>
          <w:sz w:val="19"/>
          <w:szCs w:val="19"/>
        </w:rPr>
        <w:t xml:space="preserve"> </w:t>
      </w:r>
      <w:bookmarkStart w:id="10" w:name="_Hlk63862868"/>
      <w:r>
        <w:rPr>
          <w:rFonts w:ascii="Arial" w:hAnsi="Arial" w:cs="Arial"/>
          <w:sz w:val="19"/>
          <w:szCs w:val="19"/>
        </w:rPr>
        <w:t xml:space="preserve">CONGRESO DE LA REPÚBLICA. Gaceta No. 670 del 11 de agosto de 2020. Exposición de motivos del Proyecto de Ley No. 122 de 2020 Cámara. p. 13. </w:t>
      </w:r>
      <w:bookmarkEnd w:id="10"/>
    </w:p>
  </w:footnote>
  <w:footnote w:id="13">
    <w:p w14:paraId="3FDAFDCA" w14:textId="3A9D1D95" w:rsidR="00AD0617" w:rsidRDefault="00AD0617" w:rsidP="00AD0617">
      <w:pPr>
        <w:pStyle w:val="Textonotapie"/>
        <w:ind w:firstLine="708"/>
        <w:jc w:val="both"/>
        <w:rPr>
          <w:rFonts w:ascii="Arial" w:hAnsi="Arial" w:cs="Arial"/>
          <w:sz w:val="19"/>
          <w:szCs w:val="19"/>
        </w:rPr>
      </w:pPr>
      <w:r w:rsidRPr="00AD0617">
        <w:rPr>
          <w:rStyle w:val="Refdenotaalpie"/>
          <w:rFonts w:ascii="Arial" w:hAnsi="Arial" w:cs="Arial"/>
          <w:sz w:val="19"/>
          <w:szCs w:val="19"/>
        </w:rPr>
        <w:footnoteRef/>
      </w:r>
      <w:r w:rsidRPr="00AD0617">
        <w:rPr>
          <w:rFonts w:ascii="Arial" w:hAnsi="Arial" w:cs="Arial"/>
          <w:sz w:val="19"/>
          <w:szCs w:val="19"/>
        </w:rPr>
        <w:t xml:space="preserve"> Sobre este tema revisar los siguientes conceptos expedidos por esta Agencia: C-098 del 23 de febrero de 2021, C-101 del 24 de marzo de 2021, C-117 del 26 de marzo de 2021, C-181 del 28 de abril de 2021, C-100 del 3 de mayo de 2021, C-195 del 4 de mayo de 2021 y C-198 del 5 de mayo de 2021.</w:t>
      </w:r>
      <w:r>
        <w:rPr>
          <w:rFonts w:ascii="Arial" w:hAnsi="Arial" w:cs="Arial"/>
          <w:sz w:val="19"/>
          <w:szCs w:val="19"/>
        </w:rPr>
        <w:t xml:space="preserve"> Estos y otros conceptos pueden ser consultados en la plataforma de relatoría de Colombia Compra Eficiente disponible en: </w:t>
      </w:r>
      <w:hyperlink r:id="rId2" w:history="1">
        <w:r w:rsidR="00343B9E" w:rsidRPr="00343B9E">
          <w:rPr>
            <w:rStyle w:val="Hipervnculo"/>
            <w:rFonts w:ascii="Arial" w:hAnsi="Arial" w:cs="Arial"/>
            <w:color w:val="0E63A8" w:themeColor="text2"/>
            <w:sz w:val="19"/>
            <w:szCs w:val="19"/>
          </w:rPr>
          <w:t>https://relatoria.colombiacompra.gov.co/busqueda/conceptos</w:t>
        </w:r>
      </w:hyperlink>
    </w:p>
    <w:p w14:paraId="460BCAA6" w14:textId="77777777" w:rsidR="00AD0617" w:rsidRPr="00AD0617" w:rsidRDefault="00AD0617" w:rsidP="00AD0617">
      <w:pPr>
        <w:pStyle w:val="Textonotapie"/>
        <w:ind w:firstLine="708"/>
        <w:jc w:val="both"/>
        <w:rPr>
          <w:rFonts w:ascii="Arial" w:hAnsi="Arial" w:cs="Arial"/>
          <w:sz w:val="19"/>
          <w:szCs w:val="19"/>
          <w:lang w:val="es-CO"/>
        </w:rPr>
      </w:pPr>
    </w:p>
  </w:footnote>
  <w:footnote w:id="14">
    <w:p w14:paraId="779183E9" w14:textId="6B718361" w:rsidR="00B97B5E" w:rsidRPr="00343B9E" w:rsidRDefault="00B97B5E" w:rsidP="00343B9E">
      <w:pPr>
        <w:pStyle w:val="Textonotapie"/>
        <w:ind w:firstLine="708"/>
        <w:jc w:val="both"/>
        <w:rPr>
          <w:rFonts w:ascii="Arial" w:hAnsi="Arial" w:cs="Arial"/>
          <w:sz w:val="19"/>
          <w:szCs w:val="19"/>
          <w:lang w:val="es-CO"/>
        </w:rPr>
      </w:pPr>
      <w:r w:rsidRPr="00343B9E">
        <w:rPr>
          <w:rStyle w:val="Refdenotaalpie"/>
          <w:rFonts w:ascii="Arial" w:hAnsi="Arial" w:cs="Arial"/>
          <w:sz w:val="19"/>
          <w:szCs w:val="19"/>
        </w:rPr>
        <w:footnoteRef/>
      </w:r>
      <w:r w:rsidR="00343B9E" w:rsidRPr="00343B9E">
        <w:rPr>
          <w:rFonts w:ascii="Arial" w:hAnsi="Arial" w:cs="Arial"/>
          <w:sz w:val="19"/>
          <w:szCs w:val="19"/>
        </w:rPr>
        <w:t xml:space="preserve"> Al respecto los conceptos: C-007 del 16 de febrero de 2021, C-138 del 7 de abril de 2021, C-164 del 14 de abril de 2021, C-166 del 23 de abril de 2021, C-181 del 28 de abril de 2021, C-192 del 29 de abril de 2021, C-100 del 3 de mayo de 2021, C-195 del 4 de mayo de 2021 y C-198 del 5 de mayo de 2021, también disponibles en la plataforma de relatoría de esta Agencia.</w:t>
      </w:r>
    </w:p>
  </w:footnote>
  <w:footnote w:id="15">
    <w:p w14:paraId="690EE671" w14:textId="22974CEC" w:rsidR="007B1929" w:rsidRPr="007B1929" w:rsidRDefault="007B1929" w:rsidP="003D41B1">
      <w:pPr>
        <w:pStyle w:val="NormalWeb"/>
        <w:spacing w:before="0" w:beforeAutospacing="0" w:after="0" w:afterAutospacing="0"/>
        <w:ind w:firstLine="708"/>
        <w:jc w:val="both"/>
        <w:rPr>
          <w:rFonts w:ascii="Arial" w:hAnsi="Arial" w:cs="Arial"/>
          <w:sz w:val="19"/>
          <w:szCs w:val="19"/>
        </w:rPr>
      </w:pPr>
      <w:r w:rsidRPr="003D41B1">
        <w:rPr>
          <w:rStyle w:val="Refdenotaalpie"/>
          <w:rFonts w:ascii="Arial" w:hAnsi="Arial" w:cs="Arial"/>
          <w:sz w:val="19"/>
          <w:szCs w:val="19"/>
        </w:rPr>
        <w:footnoteRef/>
      </w:r>
      <w:r w:rsidRPr="003D41B1">
        <w:rPr>
          <w:rFonts w:ascii="Arial" w:hAnsi="Arial" w:cs="Arial"/>
          <w:sz w:val="19"/>
          <w:szCs w:val="19"/>
        </w:rPr>
        <w:t xml:space="preserve"> Ley 1150 de 2007: </w:t>
      </w:r>
      <w:r w:rsidRPr="007B1929">
        <w:rPr>
          <w:rFonts w:ascii="Arial" w:eastAsia="Calibri" w:hAnsi="Arial" w:cs="Arial"/>
          <w:bCs/>
          <w:sz w:val="19"/>
          <w:szCs w:val="19"/>
        </w:rPr>
        <w:t>«</w:t>
      </w:r>
      <w:r w:rsidRPr="007B1929">
        <w:rPr>
          <w:rFonts w:ascii="Arial" w:hAnsi="Arial" w:cs="Arial"/>
          <w:sz w:val="19"/>
          <w:szCs w:val="19"/>
        </w:rPr>
        <w:t>Artículo 5°.</w:t>
      </w:r>
      <w:r w:rsidRPr="007B1929">
        <w:rPr>
          <w:rFonts w:ascii="Arial" w:hAnsi="Arial" w:cs="Arial"/>
          <w:i/>
          <w:iCs/>
          <w:sz w:val="19"/>
          <w:szCs w:val="19"/>
        </w:rPr>
        <w:t xml:space="preserve"> </w:t>
      </w:r>
      <w:r w:rsidRPr="007B1929">
        <w:rPr>
          <w:rFonts w:ascii="Arial" w:hAnsi="Arial" w:cs="Arial"/>
          <w:sz w:val="19"/>
          <w:szCs w:val="19"/>
        </w:rPr>
        <w:t>De la selección objetiva.</w:t>
      </w:r>
      <w:r w:rsidRPr="007B1929">
        <w:rPr>
          <w:rFonts w:ascii="Arial" w:hAnsi="Arial" w:cs="Arial"/>
          <w:i/>
          <w:iCs/>
          <w:sz w:val="19"/>
          <w:szCs w:val="19"/>
        </w:rPr>
        <w:t> </w:t>
      </w:r>
      <w:r w:rsidRPr="007B1929">
        <w:rPr>
          <w:rFonts w:ascii="Arial" w:hAnsi="Arial" w:cs="Arial"/>
          <w:sz w:val="19"/>
          <w:szCs w:val="19"/>
        </w:rPr>
        <w:t>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w:t>
      </w:r>
    </w:p>
    <w:p w14:paraId="7A53366A" w14:textId="0F96ADD4"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 </w:t>
      </w:r>
    </w:p>
    <w:p w14:paraId="02825693" w14:textId="58999814"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  </w:t>
      </w:r>
    </w:p>
    <w:p w14:paraId="7AC87B12" w14:textId="206DB77A"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En los procesos de selección en los que se tenga en cuenta los factores técnicos y económicos, la oferta más ventajosa será la que resulte de aplicar alguna de las siguientes alternativas:  </w:t>
      </w:r>
    </w:p>
    <w:p w14:paraId="755DB24D" w14:textId="6A14370E"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a) La ponderación de los elementos de calidad y precio soportados en puntajes o fórmulas señaladas en el pliego de condiciones; o  </w:t>
      </w:r>
    </w:p>
    <w:p w14:paraId="34A8DFCF" w14:textId="528A84F1"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b) La ponderación de los elementos de calidad y precio que representen la mejor relación de costo-beneficio para la entidad.  </w:t>
      </w:r>
    </w:p>
    <w:p w14:paraId="6052EDD5" w14:textId="2E3A1BA4"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 </w:t>
      </w:r>
    </w:p>
    <w:p w14:paraId="5085CFA8" w14:textId="5422DBD3"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 </w:t>
      </w:r>
    </w:p>
    <w:p w14:paraId="1196C83F" w14:textId="432DDCA9"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En ningún caso se podrá incluir el precio, como factor de escogencia para la selección de consultores. </w:t>
      </w:r>
    </w:p>
    <w:p w14:paraId="156073C3" w14:textId="03AADB59"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Parágrafo 1°.</w:t>
      </w:r>
      <w:r w:rsidRPr="007B1929">
        <w:rPr>
          <w:rFonts w:ascii="Arial" w:hAnsi="Arial" w:cs="Arial"/>
          <w:b/>
          <w:bCs/>
          <w:sz w:val="19"/>
          <w:szCs w:val="19"/>
          <w:lang w:eastAsia="es-CO"/>
        </w:rPr>
        <w:t> </w:t>
      </w:r>
      <w:r w:rsidRPr="007B1929">
        <w:rPr>
          <w:rFonts w:ascii="Arial" w:hAnsi="Arial" w:cs="Arial"/>
          <w:sz w:val="19"/>
          <w:szCs w:val="19"/>
          <w:lang w:eastAsia="es-CO"/>
        </w:rPr>
        <w:t>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3045B0B2" w14:textId="6C2BFCD3" w:rsidR="007B1929" w:rsidRPr="007B1929" w:rsidRDefault="007B1929" w:rsidP="003D41B1">
      <w:pPr>
        <w:ind w:firstLine="708"/>
        <w:jc w:val="both"/>
        <w:rPr>
          <w:rFonts w:ascii="Arial" w:hAnsi="Arial" w:cs="Arial"/>
          <w:sz w:val="19"/>
          <w:szCs w:val="19"/>
          <w:lang w:eastAsia="es-CO"/>
        </w:rPr>
      </w:pPr>
      <w:r w:rsidRPr="007B1929">
        <w:rPr>
          <w:rFonts w:ascii="Arial" w:eastAsia="Calibri" w:hAnsi="Arial" w:cs="Arial"/>
          <w:bCs/>
          <w:sz w:val="19"/>
          <w:szCs w:val="19"/>
        </w:rPr>
        <w:t>»</w:t>
      </w:r>
      <w:r w:rsidRPr="007B1929">
        <w:rPr>
          <w:rFonts w:ascii="Arial" w:hAnsi="Arial" w:cs="Arial"/>
          <w:sz w:val="19"/>
          <w:szCs w:val="19"/>
          <w:lang w:eastAsia="es-CO"/>
        </w:rPr>
        <w:t>Durante el término otorgado para subsanar las ofertas, los proponentes no podrán acreditar circunstancias ocurridas con posterioridad al cierre del proceso. </w:t>
      </w:r>
    </w:p>
    <w:p w14:paraId="7CBFAA4B" w14:textId="1E9F9BE2"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Parágrafo 2°. Las certificaciones de sistemas de gestión de calidad no serán objeto de calificación, ni podrán establecerse como documento habilitante para participar en licitaciones o concursos. </w:t>
      </w:r>
    </w:p>
    <w:p w14:paraId="5FF50D3C" w14:textId="7E20C0B5" w:rsidR="007B1929" w:rsidRPr="007B1929" w:rsidRDefault="007B1929" w:rsidP="003D41B1">
      <w:pPr>
        <w:ind w:firstLine="708"/>
        <w:jc w:val="both"/>
        <w:rPr>
          <w:rFonts w:ascii="Arial" w:hAnsi="Arial" w:cs="Arial"/>
          <w:sz w:val="19"/>
          <w:szCs w:val="19"/>
          <w:lang w:eastAsia="es-CO"/>
        </w:rPr>
      </w:pPr>
      <w:r w:rsidRPr="007B1929">
        <w:rPr>
          <w:rFonts w:ascii="Arial" w:eastAsia="Calibri" w:hAnsi="Arial" w:cs="Arial"/>
          <w:bCs/>
          <w:sz w:val="19"/>
          <w:szCs w:val="19"/>
        </w:rPr>
        <w:t>»</w:t>
      </w:r>
      <w:r w:rsidRPr="007B1929">
        <w:rPr>
          <w:rFonts w:ascii="Arial" w:hAnsi="Arial" w:cs="Arial"/>
          <w:sz w:val="19"/>
          <w:szCs w:val="19"/>
          <w:lang w:eastAsia="es-CO"/>
        </w:rPr>
        <w:t>Parágrafo 3°. La no entrega de la garantía de seriedad junto con la propuesta no será subsanable y será causal de rechazo de la misma. </w:t>
      </w:r>
    </w:p>
    <w:p w14:paraId="570998BA" w14:textId="57B60D15" w:rsidR="007B1929" w:rsidRPr="007B1929" w:rsidRDefault="007B1929" w:rsidP="003D41B1">
      <w:pPr>
        <w:ind w:firstLine="708"/>
        <w:jc w:val="both"/>
        <w:rPr>
          <w:rFonts w:ascii="Arial" w:hAnsi="Arial" w:cs="Arial"/>
          <w:sz w:val="19"/>
          <w:szCs w:val="19"/>
          <w:lang w:eastAsia="es-CO"/>
        </w:rPr>
      </w:pPr>
      <w:r w:rsidRPr="007B1929">
        <w:rPr>
          <w:rFonts w:ascii="Arial" w:eastAsia="Calibri" w:hAnsi="Arial" w:cs="Arial"/>
          <w:bCs/>
          <w:sz w:val="19"/>
          <w:szCs w:val="19"/>
        </w:rPr>
        <w:t>»</w:t>
      </w:r>
      <w:r w:rsidRPr="007B1929">
        <w:rPr>
          <w:rFonts w:ascii="Arial" w:hAnsi="Arial" w:cs="Arial"/>
          <w:sz w:val="19"/>
          <w:szCs w:val="19"/>
          <w:lang w:eastAsia="es-CO"/>
        </w:rPr>
        <w:t>Parágrafo 4°.</w:t>
      </w:r>
      <w:r w:rsidRPr="007B1929">
        <w:rPr>
          <w:rFonts w:ascii="Arial" w:hAnsi="Arial" w:cs="Arial"/>
          <w:b/>
          <w:bCs/>
          <w:sz w:val="19"/>
          <w:szCs w:val="19"/>
          <w:lang w:eastAsia="es-CO"/>
        </w:rPr>
        <w:t> </w:t>
      </w:r>
      <w:r w:rsidRPr="007B1929">
        <w:rPr>
          <w:rFonts w:ascii="Arial" w:hAnsi="Arial" w:cs="Arial"/>
          <w:sz w:val="19"/>
          <w:szCs w:val="19"/>
          <w:lang w:eastAsia="es-CO"/>
        </w:rPr>
        <w:t>En aquellos procesos de selección en los que se utilice el mecanismo de subasta, los documentos referentes a la futura contratación o al proponente, no necesarios para la comparación de las propuestas, deberán ser solicitados hasta el momento previo a su realización. </w:t>
      </w:r>
    </w:p>
    <w:p w14:paraId="0BB8761D" w14:textId="752C1B04" w:rsidR="007B1929" w:rsidRDefault="007B1929" w:rsidP="00681C78">
      <w:pPr>
        <w:jc w:val="both"/>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Parágrafo 5°. En los procesos de contratación, las entidades estatales deberán aceptar la experiencia adquirida por los proponentes a través de la ejecución de contratos con particulares</w:t>
      </w:r>
      <w:r w:rsidRPr="007B1929">
        <w:rPr>
          <w:rFonts w:ascii="Arial" w:eastAsia="Calibri" w:hAnsi="Arial" w:cs="Arial"/>
          <w:bCs/>
          <w:sz w:val="19"/>
          <w:szCs w:val="19"/>
        </w:rPr>
        <w:t>».</w:t>
      </w:r>
      <w:r>
        <w:t xml:space="preserve"> </w:t>
      </w:r>
    </w:p>
    <w:p w14:paraId="38156476" w14:textId="77777777" w:rsidR="00170D2F" w:rsidRPr="001679EF" w:rsidRDefault="00170D2F" w:rsidP="00681C78">
      <w:pPr>
        <w:jc w:val="both"/>
      </w:pPr>
    </w:p>
  </w:footnote>
  <w:footnote w:id="16">
    <w:p w14:paraId="2BF86794" w14:textId="73D886D5" w:rsidR="007B1929" w:rsidRDefault="007B1929" w:rsidP="002647FD">
      <w:pPr>
        <w:pStyle w:val="Textonotapie"/>
        <w:ind w:firstLine="708"/>
        <w:jc w:val="both"/>
        <w:rPr>
          <w:rFonts w:ascii="Arial" w:hAnsi="Arial" w:cs="Arial"/>
          <w:sz w:val="19"/>
          <w:szCs w:val="19"/>
          <w:lang w:val="es-CO"/>
        </w:rPr>
      </w:pPr>
      <w:r w:rsidRPr="00705806">
        <w:rPr>
          <w:rStyle w:val="Refdenotaalpie"/>
          <w:rFonts w:ascii="Arial" w:hAnsi="Arial" w:cs="Arial"/>
          <w:sz w:val="19"/>
          <w:szCs w:val="19"/>
        </w:rPr>
        <w:footnoteRef/>
      </w:r>
      <w:r w:rsidRPr="00705806">
        <w:rPr>
          <w:rFonts w:ascii="Arial" w:hAnsi="Arial" w:cs="Arial"/>
          <w:sz w:val="19"/>
          <w:szCs w:val="19"/>
        </w:rPr>
        <w:t xml:space="preserve"> </w:t>
      </w:r>
      <w:r w:rsidRPr="00705806">
        <w:rPr>
          <w:rFonts w:ascii="Arial" w:hAnsi="Arial" w:cs="Arial"/>
          <w:sz w:val="19"/>
          <w:szCs w:val="19"/>
          <w:lang w:val="es-CO"/>
        </w:rPr>
        <w:t>DÁVILA VINUEZA, Luis Guillermo. Régimen jurídico de la contratación estatal, Tercera edición, Legis Editores, 2016, Bogotá, pág. 355.</w:t>
      </w:r>
    </w:p>
    <w:p w14:paraId="54B981E7" w14:textId="77777777" w:rsidR="007B1929" w:rsidRPr="00705806" w:rsidRDefault="007B1929" w:rsidP="002647FD">
      <w:pPr>
        <w:pStyle w:val="Textonotapie"/>
        <w:ind w:firstLine="708"/>
        <w:jc w:val="both"/>
        <w:rPr>
          <w:rFonts w:ascii="Arial" w:hAnsi="Arial" w:cs="Arial"/>
          <w:sz w:val="19"/>
          <w:szCs w:val="19"/>
          <w:lang w:val="es-CO"/>
        </w:rPr>
      </w:pPr>
    </w:p>
  </w:footnote>
  <w:footnote w:id="17">
    <w:p w14:paraId="03DE0F17" w14:textId="28AE0037" w:rsidR="00212BC8" w:rsidRDefault="007B1929" w:rsidP="00E13AE1">
      <w:pPr>
        <w:pStyle w:val="Textonotapie"/>
        <w:ind w:firstLine="708"/>
        <w:jc w:val="both"/>
        <w:rPr>
          <w:rFonts w:ascii="Arial" w:eastAsia="Calibri" w:hAnsi="Arial" w:cs="Arial"/>
          <w:sz w:val="19"/>
          <w:szCs w:val="19"/>
          <w:lang w:val="es-ES_tradnl"/>
        </w:rPr>
      </w:pPr>
      <w:r w:rsidRPr="00420547">
        <w:rPr>
          <w:rStyle w:val="Refdenotaalpie"/>
          <w:rFonts w:ascii="Arial" w:hAnsi="Arial" w:cs="Arial"/>
          <w:sz w:val="19"/>
          <w:szCs w:val="19"/>
        </w:rPr>
        <w:footnoteRef/>
      </w:r>
      <w:r w:rsidRPr="00420547">
        <w:rPr>
          <w:rFonts w:ascii="Arial" w:hAnsi="Arial" w:cs="Arial"/>
          <w:sz w:val="19"/>
          <w:szCs w:val="19"/>
        </w:rPr>
        <w:t xml:space="preserve"> </w:t>
      </w:r>
      <w:r w:rsidRPr="007B1929">
        <w:rPr>
          <w:rFonts w:ascii="Arial" w:eastAsia="Calibri" w:hAnsi="Arial" w:cs="Arial"/>
          <w:sz w:val="19"/>
          <w:szCs w:val="19"/>
          <w:lang w:val="es-ES_tradnl"/>
        </w:rPr>
        <w:t>RODRÍGUEZ TAMAYO, Mauricio F. Evaluación y rechazo de ofertas en la Ley 80 de 1993. Primera edición, Editorial Librería Jurídica Sánchez, Medellín, 2016, págs. 110-111.</w:t>
      </w:r>
    </w:p>
    <w:p w14:paraId="364AF880" w14:textId="77777777" w:rsidR="00170D2F" w:rsidRPr="00420547" w:rsidRDefault="00170D2F" w:rsidP="00E13AE1">
      <w:pPr>
        <w:pStyle w:val="Textonotapie"/>
        <w:ind w:firstLine="708"/>
        <w:jc w:val="both"/>
        <w:rPr>
          <w:rFonts w:ascii="Arial" w:hAnsi="Arial" w:cs="Arial"/>
          <w:sz w:val="19"/>
          <w:szCs w:val="19"/>
          <w:lang w:val="es-CO"/>
        </w:rPr>
      </w:pPr>
    </w:p>
  </w:footnote>
  <w:footnote w:id="18">
    <w:p w14:paraId="38C229EE" w14:textId="2E82E09D" w:rsidR="007B1929" w:rsidRDefault="007B1929" w:rsidP="000C7648">
      <w:pPr>
        <w:pStyle w:val="Textonotapie"/>
        <w:ind w:firstLine="708"/>
        <w:jc w:val="both"/>
        <w:rPr>
          <w:rFonts w:ascii="Arial" w:hAnsi="Arial" w:cs="Arial"/>
          <w:sz w:val="19"/>
          <w:szCs w:val="19"/>
        </w:rPr>
      </w:pPr>
      <w:r w:rsidRPr="00705806">
        <w:rPr>
          <w:rStyle w:val="Refdenotaalpie"/>
          <w:rFonts w:ascii="Arial" w:hAnsi="Arial" w:cs="Arial"/>
          <w:sz w:val="19"/>
          <w:szCs w:val="19"/>
        </w:rPr>
        <w:footnoteRef/>
      </w:r>
      <w:r w:rsidRPr="00705806">
        <w:rPr>
          <w:rFonts w:ascii="Arial" w:hAnsi="Arial" w:cs="Arial"/>
          <w:sz w:val="19"/>
          <w:szCs w:val="19"/>
        </w:rPr>
        <w:t xml:space="preserve"> EXPÓSITO VELEZ, Juan C., El deber de selección objetiva, en: Del contrato estatal a los sistemas de compras públicas, por COVILLA MARTINEZ Juan C. y LOZANO VILLEGAS Germán (Eds.). Universidad Externado de Colombia, Bogotá, 2019, págs. 118-184.</w:t>
      </w:r>
    </w:p>
    <w:p w14:paraId="6DEFBCD3" w14:textId="77777777" w:rsidR="007B1929" w:rsidRPr="00705806" w:rsidRDefault="007B1929" w:rsidP="000C7648">
      <w:pPr>
        <w:pStyle w:val="Textonotapie"/>
        <w:ind w:firstLine="708"/>
        <w:jc w:val="both"/>
        <w:rPr>
          <w:rFonts w:ascii="Arial" w:hAnsi="Arial" w:cs="Arial"/>
          <w:sz w:val="19"/>
          <w:szCs w:val="19"/>
          <w:lang w:val="es-CO"/>
        </w:rPr>
      </w:pPr>
    </w:p>
  </w:footnote>
  <w:footnote w:id="19">
    <w:p w14:paraId="167A5907" w14:textId="77777777" w:rsidR="007B1929" w:rsidRPr="00705806" w:rsidRDefault="007B1929" w:rsidP="00493870">
      <w:pPr>
        <w:pStyle w:val="Textonotapie"/>
        <w:ind w:firstLine="708"/>
        <w:rPr>
          <w:rFonts w:ascii="Arial" w:hAnsi="Arial" w:cs="Arial"/>
          <w:sz w:val="19"/>
          <w:szCs w:val="19"/>
          <w:lang w:val="es-CO"/>
        </w:rPr>
      </w:pPr>
      <w:r w:rsidRPr="00705806">
        <w:rPr>
          <w:rStyle w:val="Refdenotaalpie"/>
          <w:rFonts w:ascii="Arial" w:hAnsi="Arial" w:cs="Arial"/>
          <w:sz w:val="19"/>
          <w:szCs w:val="19"/>
        </w:rPr>
        <w:footnoteRef/>
      </w:r>
      <w:r w:rsidRPr="00705806">
        <w:rPr>
          <w:rFonts w:ascii="Arial" w:hAnsi="Arial" w:cs="Arial"/>
          <w:i/>
          <w:iCs/>
          <w:sz w:val="19"/>
          <w:szCs w:val="19"/>
        </w:rPr>
        <w:t xml:space="preserve"> </w:t>
      </w:r>
      <w:r w:rsidRPr="00705806">
        <w:rPr>
          <w:rFonts w:ascii="Arial" w:hAnsi="Arial" w:cs="Arial"/>
          <w:i/>
          <w:iCs/>
          <w:sz w:val="19"/>
          <w:szCs w:val="19"/>
          <w:lang w:val="es-CO"/>
        </w:rPr>
        <w:t>Ibídem.</w:t>
      </w:r>
    </w:p>
  </w:footnote>
  <w:footnote w:id="20">
    <w:p w14:paraId="740A1CFC" w14:textId="77777777" w:rsidR="007B1929" w:rsidRPr="00C93A42" w:rsidRDefault="007B1929" w:rsidP="000E3965">
      <w:pPr>
        <w:ind w:firstLine="708"/>
        <w:jc w:val="both"/>
        <w:rPr>
          <w:rFonts w:ascii="Arial" w:hAnsi="Arial" w:cs="Arial"/>
          <w:sz w:val="19"/>
          <w:szCs w:val="19"/>
          <w:lang w:eastAsia="es-CO"/>
        </w:rPr>
      </w:pPr>
      <w:r w:rsidRPr="00C93A42">
        <w:rPr>
          <w:rStyle w:val="Refdenotaalpie"/>
          <w:rFonts w:ascii="Arial" w:hAnsi="Arial" w:cs="Arial"/>
          <w:sz w:val="19"/>
          <w:szCs w:val="19"/>
        </w:rPr>
        <w:footnoteRef/>
      </w:r>
      <w:r w:rsidRPr="00C93A42">
        <w:rPr>
          <w:rFonts w:ascii="Arial" w:hAnsi="Arial" w:cs="Arial"/>
          <w:sz w:val="19"/>
          <w:szCs w:val="19"/>
        </w:rPr>
        <w:t xml:space="preserve"> Decreto 1082 de 2015 </w:t>
      </w:r>
      <w:r w:rsidRPr="00C93A42">
        <w:rPr>
          <w:rFonts w:ascii="Arial" w:eastAsia="Calibri" w:hAnsi="Arial" w:cs="Arial"/>
          <w:bCs/>
          <w:sz w:val="19"/>
          <w:szCs w:val="19"/>
        </w:rPr>
        <w:t>«</w:t>
      </w:r>
      <w:r w:rsidRPr="00C93A42">
        <w:rPr>
          <w:rFonts w:ascii="Arial" w:hAnsi="Arial" w:cs="Arial"/>
          <w:sz w:val="19"/>
          <w:szCs w:val="19"/>
          <w:lang w:eastAsia="es-CO"/>
        </w:rPr>
        <w:t>Artículo 2.2.1.1.2.2.2. Ofrecimiento más favorable. La Entidad Estatal debe determinar la oferta más favorable teniendo en cuenta las normas aplicables a cada modalidad de selección del contratista. </w:t>
      </w:r>
    </w:p>
    <w:p w14:paraId="4306D8F9"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 </w:t>
      </w:r>
    </w:p>
    <w:p w14:paraId="78BE91CF"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1. Las condiciones técnicas y económicas mínimas de la oferta. </w:t>
      </w:r>
    </w:p>
    <w:p w14:paraId="41ECABBC"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2. Las condiciones técnicas adicionales que representan ventajas de calidad o de funcionamiento, tales como el uso de tecnología o materiales que generen mayor eficiencia, rendimiento o duración del bien, obra o servicio. </w:t>
      </w:r>
    </w:p>
    <w:p w14:paraId="2F8516C0"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 </w:t>
      </w:r>
    </w:p>
    <w:p w14:paraId="1FC69A38"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4. El valor en dinero que la Entidad Estatal asigna a cada ofrecimiento técnico o económico adicional, para permitir la ponderación de las ofertas presentadas. </w:t>
      </w:r>
    </w:p>
    <w:p w14:paraId="21172159"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14:paraId="0F67265B" w14:textId="77777777" w:rsidR="007B1929" w:rsidRPr="00C93A42" w:rsidRDefault="007B1929" w:rsidP="000E3965">
      <w:pPr>
        <w:jc w:val="both"/>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La Entidad Estatal debe adjudicar al oferente que presentó la oferta con la mejor relación costo-beneficio y suscribir el contrato por el precio total ofrecido</w:t>
      </w:r>
      <w:r w:rsidRPr="00C93A42">
        <w:rPr>
          <w:rFonts w:ascii="Arial" w:eastAsia="Calibri" w:hAnsi="Arial" w:cs="Arial"/>
          <w:bCs/>
          <w:sz w:val="19"/>
          <w:szCs w:val="19"/>
        </w:rPr>
        <w:t>»</w:t>
      </w:r>
      <w:r w:rsidRPr="00C93A42">
        <w:rPr>
          <w:rFonts w:ascii="Arial" w:hAnsi="Arial" w:cs="Arial"/>
          <w:sz w:val="19"/>
          <w:szCs w:val="19"/>
          <w:lang w:eastAsia="es-CO"/>
        </w:rPr>
        <w:t>. </w:t>
      </w:r>
    </w:p>
  </w:footnote>
  <w:footnote w:id="21">
    <w:p w14:paraId="320D8222" w14:textId="16463427" w:rsidR="007B1929" w:rsidRPr="00576186" w:rsidRDefault="007B1929" w:rsidP="00DF24C4">
      <w:pPr>
        <w:pStyle w:val="Textonotapie"/>
        <w:ind w:firstLine="708"/>
        <w:jc w:val="both"/>
        <w:rPr>
          <w:rFonts w:ascii="Arial" w:hAnsi="Arial" w:cs="Arial"/>
          <w:sz w:val="19"/>
          <w:szCs w:val="19"/>
          <w:lang w:val="es-CO"/>
        </w:rPr>
      </w:pPr>
      <w:r w:rsidRPr="00576186">
        <w:rPr>
          <w:rStyle w:val="Refdenotaalpie"/>
          <w:rFonts w:ascii="Arial" w:hAnsi="Arial" w:cs="Arial"/>
          <w:sz w:val="19"/>
          <w:szCs w:val="19"/>
        </w:rPr>
        <w:footnoteRef/>
      </w:r>
      <w:r w:rsidRPr="00576186">
        <w:rPr>
          <w:rFonts w:ascii="Arial" w:hAnsi="Arial" w:cs="Arial"/>
          <w:sz w:val="19"/>
          <w:szCs w:val="19"/>
        </w:rPr>
        <w:t xml:space="preserve"> Según este principio, «[…] en caso de perplejidades hermenéuticas, el operador jurídico debe preferir, entre las diversas interpretaciones de las disposiciones aplicables al caso, aquella que produzca efectos, sobre aquella que no, o sobre aquella que sea superflua o irrazonable […]» (</w:t>
      </w:r>
      <w:r w:rsidRPr="00576186">
        <w:rPr>
          <w:rFonts w:ascii="Arial" w:hAnsi="Arial" w:cs="Arial"/>
          <w:sz w:val="19"/>
          <w:szCs w:val="19"/>
          <w:lang w:val="es-CO"/>
        </w:rPr>
        <w:t xml:space="preserve">CORTE CONSTITUCIONAL. Sentencia C-569 del 8 de junio de 2004. M.P. (E). </w:t>
      </w:r>
      <w:r w:rsidRPr="007B1929">
        <w:rPr>
          <w:rFonts w:ascii="Arial" w:hAnsi="Arial" w:cs="Arial"/>
          <w:sz w:val="19"/>
          <w:szCs w:val="19"/>
          <w:shd w:val="clear" w:color="auto" w:fill="FFFFFF"/>
        </w:rPr>
        <w:t>Rodrigo Uprimny Yepes).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7B1929" w:rsidRDefault="007B1929">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56C482"/>
    <w:multiLevelType w:val="hybridMultilevel"/>
    <w:tmpl w:val="3CB335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41B15B5"/>
    <w:multiLevelType w:val="hybridMultilevel"/>
    <w:tmpl w:val="B90A31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00176748">
    <w:abstractNumId w:val="11"/>
  </w:num>
  <w:num w:numId="2" w16cid:durableId="2058817763">
    <w:abstractNumId w:val="9"/>
  </w:num>
  <w:num w:numId="3" w16cid:durableId="2017919594">
    <w:abstractNumId w:val="14"/>
  </w:num>
  <w:num w:numId="4" w16cid:durableId="1681004894">
    <w:abstractNumId w:val="17"/>
  </w:num>
  <w:num w:numId="5" w16cid:durableId="994068161">
    <w:abstractNumId w:val="21"/>
  </w:num>
  <w:num w:numId="6" w16cid:durableId="103962995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6757871">
    <w:abstractNumId w:val="19"/>
  </w:num>
  <w:num w:numId="8" w16cid:durableId="1537044253">
    <w:abstractNumId w:val="1"/>
  </w:num>
  <w:num w:numId="9" w16cid:durableId="269243178">
    <w:abstractNumId w:val="5"/>
  </w:num>
  <w:num w:numId="10" w16cid:durableId="5138095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6221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9372065">
    <w:abstractNumId w:val="10"/>
  </w:num>
  <w:num w:numId="13" w16cid:durableId="213464759">
    <w:abstractNumId w:val="13"/>
  </w:num>
  <w:num w:numId="14" w16cid:durableId="561256727">
    <w:abstractNumId w:val="8"/>
  </w:num>
  <w:num w:numId="15" w16cid:durableId="199965083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024973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5528582">
    <w:abstractNumId w:val="23"/>
  </w:num>
  <w:num w:numId="18" w16cid:durableId="177306831">
    <w:abstractNumId w:val="15"/>
  </w:num>
  <w:num w:numId="19" w16cid:durableId="632447824">
    <w:abstractNumId w:val="4"/>
  </w:num>
  <w:num w:numId="20" w16cid:durableId="1192499229">
    <w:abstractNumId w:val="24"/>
  </w:num>
  <w:num w:numId="21" w16cid:durableId="250118038">
    <w:abstractNumId w:val="16"/>
  </w:num>
  <w:num w:numId="22" w16cid:durableId="397633140">
    <w:abstractNumId w:val="7"/>
  </w:num>
  <w:num w:numId="23" w16cid:durableId="1468276031">
    <w:abstractNumId w:val="6"/>
  </w:num>
  <w:num w:numId="24" w16cid:durableId="1272011120">
    <w:abstractNumId w:val="22"/>
  </w:num>
  <w:num w:numId="25" w16cid:durableId="317536023">
    <w:abstractNumId w:val="18"/>
  </w:num>
  <w:num w:numId="26" w16cid:durableId="373038621">
    <w:abstractNumId w:val="0"/>
  </w:num>
  <w:num w:numId="27" w16cid:durableId="1564558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CFD"/>
    <w:rsid w:val="0000162E"/>
    <w:rsid w:val="00001A1C"/>
    <w:rsid w:val="00001CC9"/>
    <w:rsid w:val="00001FFD"/>
    <w:rsid w:val="00002027"/>
    <w:rsid w:val="000020FE"/>
    <w:rsid w:val="00002173"/>
    <w:rsid w:val="0000248C"/>
    <w:rsid w:val="00002588"/>
    <w:rsid w:val="00003020"/>
    <w:rsid w:val="000031A8"/>
    <w:rsid w:val="00003C5C"/>
    <w:rsid w:val="00003D39"/>
    <w:rsid w:val="000040D7"/>
    <w:rsid w:val="00004173"/>
    <w:rsid w:val="00004556"/>
    <w:rsid w:val="000051AF"/>
    <w:rsid w:val="000059D3"/>
    <w:rsid w:val="00005B6D"/>
    <w:rsid w:val="0000600A"/>
    <w:rsid w:val="00006081"/>
    <w:rsid w:val="00007750"/>
    <w:rsid w:val="000077FD"/>
    <w:rsid w:val="00007948"/>
    <w:rsid w:val="00007DAD"/>
    <w:rsid w:val="00007E37"/>
    <w:rsid w:val="000105D9"/>
    <w:rsid w:val="00010C40"/>
    <w:rsid w:val="000112B4"/>
    <w:rsid w:val="00011DCC"/>
    <w:rsid w:val="00011EA4"/>
    <w:rsid w:val="00012532"/>
    <w:rsid w:val="00012B9E"/>
    <w:rsid w:val="00012EFA"/>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20158"/>
    <w:rsid w:val="000207E0"/>
    <w:rsid w:val="000209E2"/>
    <w:rsid w:val="00020F8F"/>
    <w:rsid w:val="00021A95"/>
    <w:rsid w:val="00021C8A"/>
    <w:rsid w:val="0002256F"/>
    <w:rsid w:val="00023A0B"/>
    <w:rsid w:val="00023DAE"/>
    <w:rsid w:val="00024896"/>
    <w:rsid w:val="00024A81"/>
    <w:rsid w:val="0002504E"/>
    <w:rsid w:val="000255FA"/>
    <w:rsid w:val="00025D0A"/>
    <w:rsid w:val="000263F0"/>
    <w:rsid w:val="00026407"/>
    <w:rsid w:val="000265C7"/>
    <w:rsid w:val="00026608"/>
    <w:rsid w:val="00027787"/>
    <w:rsid w:val="000278D2"/>
    <w:rsid w:val="00027C93"/>
    <w:rsid w:val="000303E4"/>
    <w:rsid w:val="00030B30"/>
    <w:rsid w:val="00030DFB"/>
    <w:rsid w:val="00031364"/>
    <w:rsid w:val="000315E1"/>
    <w:rsid w:val="0003236E"/>
    <w:rsid w:val="000323C6"/>
    <w:rsid w:val="000323FA"/>
    <w:rsid w:val="00032689"/>
    <w:rsid w:val="00032C89"/>
    <w:rsid w:val="000332E1"/>
    <w:rsid w:val="0003339A"/>
    <w:rsid w:val="000341F2"/>
    <w:rsid w:val="00035046"/>
    <w:rsid w:val="000351F2"/>
    <w:rsid w:val="00035328"/>
    <w:rsid w:val="0003535C"/>
    <w:rsid w:val="00035768"/>
    <w:rsid w:val="000368FE"/>
    <w:rsid w:val="00036D03"/>
    <w:rsid w:val="00036E03"/>
    <w:rsid w:val="000374FB"/>
    <w:rsid w:val="00037510"/>
    <w:rsid w:val="000406DB"/>
    <w:rsid w:val="0004094D"/>
    <w:rsid w:val="00041029"/>
    <w:rsid w:val="00041357"/>
    <w:rsid w:val="0004149B"/>
    <w:rsid w:val="00041FC6"/>
    <w:rsid w:val="00042961"/>
    <w:rsid w:val="00042C25"/>
    <w:rsid w:val="00042D03"/>
    <w:rsid w:val="00043086"/>
    <w:rsid w:val="000430A0"/>
    <w:rsid w:val="00043652"/>
    <w:rsid w:val="00043A34"/>
    <w:rsid w:val="00043D3B"/>
    <w:rsid w:val="0004418C"/>
    <w:rsid w:val="00044204"/>
    <w:rsid w:val="0004477A"/>
    <w:rsid w:val="000449D4"/>
    <w:rsid w:val="00045D5B"/>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50D"/>
    <w:rsid w:val="0005474D"/>
    <w:rsid w:val="00055A41"/>
    <w:rsid w:val="00055CB9"/>
    <w:rsid w:val="00056C51"/>
    <w:rsid w:val="00056F66"/>
    <w:rsid w:val="0005702F"/>
    <w:rsid w:val="000572DE"/>
    <w:rsid w:val="000578FF"/>
    <w:rsid w:val="00057CBB"/>
    <w:rsid w:val="00060446"/>
    <w:rsid w:val="00061010"/>
    <w:rsid w:val="00061D06"/>
    <w:rsid w:val="00062CDD"/>
    <w:rsid w:val="00062DB3"/>
    <w:rsid w:val="0006310D"/>
    <w:rsid w:val="00063472"/>
    <w:rsid w:val="000640AF"/>
    <w:rsid w:val="0006460D"/>
    <w:rsid w:val="00064940"/>
    <w:rsid w:val="00064CAE"/>
    <w:rsid w:val="00064DB7"/>
    <w:rsid w:val="00064FA7"/>
    <w:rsid w:val="00065195"/>
    <w:rsid w:val="0006536C"/>
    <w:rsid w:val="0006626E"/>
    <w:rsid w:val="00066A7F"/>
    <w:rsid w:val="0006791B"/>
    <w:rsid w:val="00070AF1"/>
    <w:rsid w:val="000714DE"/>
    <w:rsid w:val="00071CFC"/>
    <w:rsid w:val="0007254F"/>
    <w:rsid w:val="0007357C"/>
    <w:rsid w:val="00073C30"/>
    <w:rsid w:val="00074305"/>
    <w:rsid w:val="000744D0"/>
    <w:rsid w:val="00074B2A"/>
    <w:rsid w:val="00074E6F"/>
    <w:rsid w:val="00074EEE"/>
    <w:rsid w:val="000753D5"/>
    <w:rsid w:val="00075567"/>
    <w:rsid w:val="00075B3E"/>
    <w:rsid w:val="00076456"/>
    <w:rsid w:val="0007779B"/>
    <w:rsid w:val="000777E7"/>
    <w:rsid w:val="0007790A"/>
    <w:rsid w:val="000779F2"/>
    <w:rsid w:val="0008017B"/>
    <w:rsid w:val="0008049A"/>
    <w:rsid w:val="00080ACD"/>
    <w:rsid w:val="000811ED"/>
    <w:rsid w:val="00081D62"/>
    <w:rsid w:val="00081FFA"/>
    <w:rsid w:val="0008269B"/>
    <w:rsid w:val="000829AE"/>
    <w:rsid w:val="00082B74"/>
    <w:rsid w:val="00083099"/>
    <w:rsid w:val="00083480"/>
    <w:rsid w:val="0008389B"/>
    <w:rsid w:val="00083EDC"/>
    <w:rsid w:val="00084B97"/>
    <w:rsid w:val="00084F87"/>
    <w:rsid w:val="00085033"/>
    <w:rsid w:val="0008510E"/>
    <w:rsid w:val="000856DE"/>
    <w:rsid w:val="00085F17"/>
    <w:rsid w:val="00085FB0"/>
    <w:rsid w:val="00085FB3"/>
    <w:rsid w:val="000860A8"/>
    <w:rsid w:val="0008614E"/>
    <w:rsid w:val="0008686B"/>
    <w:rsid w:val="00086B2A"/>
    <w:rsid w:val="00086ED2"/>
    <w:rsid w:val="00087A64"/>
    <w:rsid w:val="0009082C"/>
    <w:rsid w:val="00090C39"/>
    <w:rsid w:val="000914D6"/>
    <w:rsid w:val="00091569"/>
    <w:rsid w:val="00091957"/>
    <w:rsid w:val="00092654"/>
    <w:rsid w:val="00092CDB"/>
    <w:rsid w:val="00092DCA"/>
    <w:rsid w:val="000932BB"/>
    <w:rsid w:val="00093851"/>
    <w:rsid w:val="000942EB"/>
    <w:rsid w:val="00095B70"/>
    <w:rsid w:val="0009617E"/>
    <w:rsid w:val="0009628D"/>
    <w:rsid w:val="0009670F"/>
    <w:rsid w:val="00096D15"/>
    <w:rsid w:val="000970E4"/>
    <w:rsid w:val="000979CF"/>
    <w:rsid w:val="00097F53"/>
    <w:rsid w:val="000A03C8"/>
    <w:rsid w:val="000A03F2"/>
    <w:rsid w:val="000A05F2"/>
    <w:rsid w:val="000A06C4"/>
    <w:rsid w:val="000A0861"/>
    <w:rsid w:val="000A0EC4"/>
    <w:rsid w:val="000A0ED1"/>
    <w:rsid w:val="000A12DB"/>
    <w:rsid w:val="000A17C8"/>
    <w:rsid w:val="000A1B74"/>
    <w:rsid w:val="000A20D7"/>
    <w:rsid w:val="000A2128"/>
    <w:rsid w:val="000A362F"/>
    <w:rsid w:val="000A3B49"/>
    <w:rsid w:val="000A3F0A"/>
    <w:rsid w:val="000A45E2"/>
    <w:rsid w:val="000A467C"/>
    <w:rsid w:val="000A46FE"/>
    <w:rsid w:val="000A47E6"/>
    <w:rsid w:val="000A52C0"/>
    <w:rsid w:val="000A5AAF"/>
    <w:rsid w:val="000A5ACE"/>
    <w:rsid w:val="000A5F97"/>
    <w:rsid w:val="000A609A"/>
    <w:rsid w:val="000A648E"/>
    <w:rsid w:val="000A7268"/>
    <w:rsid w:val="000A73BB"/>
    <w:rsid w:val="000A73E8"/>
    <w:rsid w:val="000A7EF4"/>
    <w:rsid w:val="000B046C"/>
    <w:rsid w:val="000B0A15"/>
    <w:rsid w:val="000B103F"/>
    <w:rsid w:val="000B1437"/>
    <w:rsid w:val="000B1470"/>
    <w:rsid w:val="000B175E"/>
    <w:rsid w:val="000B244D"/>
    <w:rsid w:val="000B2A1A"/>
    <w:rsid w:val="000B2B86"/>
    <w:rsid w:val="000B3051"/>
    <w:rsid w:val="000B419B"/>
    <w:rsid w:val="000B56F9"/>
    <w:rsid w:val="000B5781"/>
    <w:rsid w:val="000B5CB1"/>
    <w:rsid w:val="000B6D8B"/>
    <w:rsid w:val="000B75F4"/>
    <w:rsid w:val="000C0185"/>
    <w:rsid w:val="000C084E"/>
    <w:rsid w:val="000C0F81"/>
    <w:rsid w:val="000C128D"/>
    <w:rsid w:val="000C17A3"/>
    <w:rsid w:val="000C1D4B"/>
    <w:rsid w:val="000C1D5C"/>
    <w:rsid w:val="000C2DC4"/>
    <w:rsid w:val="000C3260"/>
    <w:rsid w:val="000C3B77"/>
    <w:rsid w:val="000C3F6D"/>
    <w:rsid w:val="000C47E0"/>
    <w:rsid w:val="000C487D"/>
    <w:rsid w:val="000C4F49"/>
    <w:rsid w:val="000C5861"/>
    <w:rsid w:val="000C5BDE"/>
    <w:rsid w:val="000C639D"/>
    <w:rsid w:val="000C6988"/>
    <w:rsid w:val="000C6C31"/>
    <w:rsid w:val="000C6DBC"/>
    <w:rsid w:val="000C6F79"/>
    <w:rsid w:val="000C7476"/>
    <w:rsid w:val="000C7480"/>
    <w:rsid w:val="000C7648"/>
    <w:rsid w:val="000C7711"/>
    <w:rsid w:val="000C7AA2"/>
    <w:rsid w:val="000D0462"/>
    <w:rsid w:val="000D053D"/>
    <w:rsid w:val="000D0ED2"/>
    <w:rsid w:val="000D107D"/>
    <w:rsid w:val="000D13FD"/>
    <w:rsid w:val="000D1CEB"/>
    <w:rsid w:val="000D241E"/>
    <w:rsid w:val="000D2563"/>
    <w:rsid w:val="000D25BF"/>
    <w:rsid w:val="000D2C83"/>
    <w:rsid w:val="000D2C93"/>
    <w:rsid w:val="000D2F14"/>
    <w:rsid w:val="000D2F86"/>
    <w:rsid w:val="000D2FE4"/>
    <w:rsid w:val="000D3FDC"/>
    <w:rsid w:val="000D490B"/>
    <w:rsid w:val="000D4E38"/>
    <w:rsid w:val="000D50DB"/>
    <w:rsid w:val="000D6288"/>
    <w:rsid w:val="000D6B6C"/>
    <w:rsid w:val="000D6C10"/>
    <w:rsid w:val="000D728B"/>
    <w:rsid w:val="000D7541"/>
    <w:rsid w:val="000D75E1"/>
    <w:rsid w:val="000D786C"/>
    <w:rsid w:val="000E05E2"/>
    <w:rsid w:val="000E22CF"/>
    <w:rsid w:val="000E2977"/>
    <w:rsid w:val="000E2CC0"/>
    <w:rsid w:val="000E30AC"/>
    <w:rsid w:val="000E3965"/>
    <w:rsid w:val="000E3B46"/>
    <w:rsid w:val="000E3E11"/>
    <w:rsid w:val="000E4596"/>
    <w:rsid w:val="000E4B94"/>
    <w:rsid w:val="000E4D50"/>
    <w:rsid w:val="000E54A9"/>
    <w:rsid w:val="000E5768"/>
    <w:rsid w:val="000E5843"/>
    <w:rsid w:val="000E6139"/>
    <w:rsid w:val="000E63B7"/>
    <w:rsid w:val="000E653C"/>
    <w:rsid w:val="000E6BE1"/>
    <w:rsid w:val="000E7E0B"/>
    <w:rsid w:val="000F0060"/>
    <w:rsid w:val="000F0136"/>
    <w:rsid w:val="000F045A"/>
    <w:rsid w:val="000F078A"/>
    <w:rsid w:val="000F0CCE"/>
    <w:rsid w:val="000F122D"/>
    <w:rsid w:val="000F1450"/>
    <w:rsid w:val="000F14E8"/>
    <w:rsid w:val="000F1BBD"/>
    <w:rsid w:val="000F290F"/>
    <w:rsid w:val="000F4141"/>
    <w:rsid w:val="000F4403"/>
    <w:rsid w:val="000F4765"/>
    <w:rsid w:val="000F47F3"/>
    <w:rsid w:val="000F480B"/>
    <w:rsid w:val="000F4A7F"/>
    <w:rsid w:val="000F4E17"/>
    <w:rsid w:val="000F55A8"/>
    <w:rsid w:val="000F5615"/>
    <w:rsid w:val="000F5DFB"/>
    <w:rsid w:val="000F613B"/>
    <w:rsid w:val="000F6420"/>
    <w:rsid w:val="000F6578"/>
    <w:rsid w:val="000F6787"/>
    <w:rsid w:val="000F6F92"/>
    <w:rsid w:val="000F7E8F"/>
    <w:rsid w:val="000F7FBB"/>
    <w:rsid w:val="001000FB"/>
    <w:rsid w:val="00100A9E"/>
    <w:rsid w:val="00100F6A"/>
    <w:rsid w:val="00101129"/>
    <w:rsid w:val="00102605"/>
    <w:rsid w:val="00102686"/>
    <w:rsid w:val="00102745"/>
    <w:rsid w:val="00103795"/>
    <w:rsid w:val="00103915"/>
    <w:rsid w:val="001039AA"/>
    <w:rsid w:val="00103EA0"/>
    <w:rsid w:val="00104149"/>
    <w:rsid w:val="00104F1C"/>
    <w:rsid w:val="001051E5"/>
    <w:rsid w:val="001056CE"/>
    <w:rsid w:val="00105A74"/>
    <w:rsid w:val="00105ACB"/>
    <w:rsid w:val="00105AEF"/>
    <w:rsid w:val="00105B76"/>
    <w:rsid w:val="00106259"/>
    <w:rsid w:val="001068EB"/>
    <w:rsid w:val="001078CE"/>
    <w:rsid w:val="00110F61"/>
    <w:rsid w:val="00111026"/>
    <w:rsid w:val="001111BD"/>
    <w:rsid w:val="0011165A"/>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0A2"/>
    <w:rsid w:val="001156A7"/>
    <w:rsid w:val="00115C37"/>
    <w:rsid w:val="00116328"/>
    <w:rsid w:val="001163CF"/>
    <w:rsid w:val="00116EC5"/>
    <w:rsid w:val="001174C9"/>
    <w:rsid w:val="001177FE"/>
    <w:rsid w:val="00117E69"/>
    <w:rsid w:val="00120E33"/>
    <w:rsid w:val="00121103"/>
    <w:rsid w:val="00121B78"/>
    <w:rsid w:val="00121BAB"/>
    <w:rsid w:val="00121E3C"/>
    <w:rsid w:val="001223CD"/>
    <w:rsid w:val="00122B23"/>
    <w:rsid w:val="00122B7E"/>
    <w:rsid w:val="00123E27"/>
    <w:rsid w:val="00123FB5"/>
    <w:rsid w:val="0012400F"/>
    <w:rsid w:val="001249DC"/>
    <w:rsid w:val="0012572D"/>
    <w:rsid w:val="00125BED"/>
    <w:rsid w:val="00125C59"/>
    <w:rsid w:val="00125D4F"/>
    <w:rsid w:val="00126F53"/>
    <w:rsid w:val="00127004"/>
    <w:rsid w:val="00127045"/>
    <w:rsid w:val="00127278"/>
    <w:rsid w:val="001275E8"/>
    <w:rsid w:val="0012770B"/>
    <w:rsid w:val="00127AF2"/>
    <w:rsid w:val="00127EDC"/>
    <w:rsid w:val="00127F42"/>
    <w:rsid w:val="00127F6D"/>
    <w:rsid w:val="00130355"/>
    <w:rsid w:val="00130365"/>
    <w:rsid w:val="001304E5"/>
    <w:rsid w:val="00130635"/>
    <w:rsid w:val="00131B5A"/>
    <w:rsid w:val="001329BC"/>
    <w:rsid w:val="00132C30"/>
    <w:rsid w:val="00132EFD"/>
    <w:rsid w:val="00133AED"/>
    <w:rsid w:val="00133ED2"/>
    <w:rsid w:val="00134BCD"/>
    <w:rsid w:val="00134E09"/>
    <w:rsid w:val="001350AB"/>
    <w:rsid w:val="0013546D"/>
    <w:rsid w:val="00135DB9"/>
    <w:rsid w:val="00135E5D"/>
    <w:rsid w:val="0013695C"/>
    <w:rsid w:val="00136BF7"/>
    <w:rsid w:val="00136C78"/>
    <w:rsid w:val="00136DD8"/>
    <w:rsid w:val="00137440"/>
    <w:rsid w:val="001378B9"/>
    <w:rsid w:val="00137FFA"/>
    <w:rsid w:val="00140109"/>
    <w:rsid w:val="0014029B"/>
    <w:rsid w:val="00140464"/>
    <w:rsid w:val="00140A4F"/>
    <w:rsid w:val="001413AB"/>
    <w:rsid w:val="001419D7"/>
    <w:rsid w:val="00141DBF"/>
    <w:rsid w:val="00142EFD"/>
    <w:rsid w:val="00144335"/>
    <w:rsid w:val="0014502F"/>
    <w:rsid w:val="00145282"/>
    <w:rsid w:val="001453B0"/>
    <w:rsid w:val="001454D9"/>
    <w:rsid w:val="00145D8E"/>
    <w:rsid w:val="00146083"/>
    <w:rsid w:val="001462F7"/>
    <w:rsid w:val="001471AB"/>
    <w:rsid w:val="00147EAD"/>
    <w:rsid w:val="00147F35"/>
    <w:rsid w:val="00147FCE"/>
    <w:rsid w:val="00150005"/>
    <w:rsid w:val="00151AEB"/>
    <w:rsid w:val="00151B99"/>
    <w:rsid w:val="00151CD6"/>
    <w:rsid w:val="00151E79"/>
    <w:rsid w:val="001521B2"/>
    <w:rsid w:val="00152EDD"/>
    <w:rsid w:val="00153491"/>
    <w:rsid w:val="0015361C"/>
    <w:rsid w:val="0015372F"/>
    <w:rsid w:val="00153BFB"/>
    <w:rsid w:val="0015407E"/>
    <w:rsid w:val="0015448E"/>
    <w:rsid w:val="00154A6F"/>
    <w:rsid w:val="00154B68"/>
    <w:rsid w:val="00155025"/>
    <w:rsid w:val="00155B07"/>
    <w:rsid w:val="00155BED"/>
    <w:rsid w:val="00155D08"/>
    <w:rsid w:val="0015623B"/>
    <w:rsid w:val="00156BE5"/>
    <w:rsid w:val="00157232"/>
    <w:rsid w:val="00160401"/>
    <w:rsid w:val="00160AA1"/>
    <w:rsid w:val="00160C01"/>
    <w:rsid w:val="00160D4E"/>
    <w:rsid w:val="00161AAD"/>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9EF"/>
    <w:rsid w:val="00167A15"/>
    <w:rsid w:val="00167A50"/>
    <w:rsid w:val="00167D1A"/>
    <w:rsid w:val="00167DF5"/>
    <w:rsid w:val="00170001"/>
    <w:rsid w:val="00170D2F"/>
    <w:rsid w:val="001716D9"/>
    <w:rsid w:val="00171736"/>
    <w:rsid w:val="00172198"/>
    <w:rsid w:val="00172612"/>
    <w:rsid w:val="00172817"/>
    <w:rsid w:val="001733CF"/>
    <w:rsid w:val="001734E3"/>
    <w:rsid w:val="001742BF"/>
    <w:rsid w:val="001742E1"/>
    <w:rsid w:val="00175DC6"/>
    <w:rsid w:val="00175E49"/>
    <w:rsid w:val="0017649F"/>
    <w:rsid w:val="0017655B"/>
    <w:rsid w:val="001778A6"/>
    <w:rsid w:val="00177EAA"/>
    <w:rsid w:val="001805C1"/>
    <w:rsid w:val="00180A2E"/>
    <w:rsid w:val="00180F75"/>
    <w:rsid w:val="001813AF"/>
    <w:rsid w:val="001826C9"/>
    <w:rsid w:val="001829CD"/>
    <w:rsid w:val="00182F01"/>
    <w:rsid w:val="001833E1"/>
    <w:rsid w:val="00183515"/>
    <w:rsid w:val="00184219"/>
    <w:rsid w:val="00184F27"/>
    <w:rsid w:val="00185070"/>
    <w:rsid w:val="0018519B"/>
    <w:rsid w:val="001858C9"/>
    <w:rsid w:val="00185966"/>
    <w:rsid w:val="00185A2D"/>
    <w:rsid w:val="00185AFE"/>
    <w:rsid w:val="00185C79"/>
    <w:rsid w:val="00185E78"/>
    <w:rsid w:val="00186155"/>
    <w:rsid w:val="001868D9"/>
    <w:rsid w:val="001870F5"/>
    <w:rsid w:val="00187177"/>
    <w:rsid w:val="00187ABD"/>
    <w:rsid w:val="001904E3"/>
    <w:rsid w:val="0019087A"/>
    <w:rsid w:val="00190F38"/>
    <w:rsid w:val="001910D9"/>
    <w:rsid w:val="00191C5A"/>
    <w:rsid w:val="00191CEB"/>
    <w:rsid w:val="00191E63"/>
    <w:rsid w:val="00192D68"/>
    <w:rsid w:val="0019388B"/>
    <w:rsid w:val="00193ADE"/>
    <w:rsid w:val="00193B9A"/>
    <w:rsid w:val="001940ED"/>
    <w:rsid w:val="001945DF"/>
    <w:rsid w:val="001946AE"/>
    <w:rsid w:val="001946D5"/>
    <w:rsid w:val="00194E8C"/>
    <w:rsid w:val="001962EC"/>
    <w:rsid w:val="001963DD"/>
    <w:rsid w:val="001965DB"/>
    <w:rsid w:val="00196D01"/>
    <w:rsid w:val="00196DC9"/>
    <w:rsid w:val="00196E95"/>
    <w:rsid w:val="001971FD"/>
    <w:rsid w:val="00197341"/>
    <w:rsid w:val="00197758"/>
    <w:rsid w:val="001A0236"/>
    <w:rsid w:val="001A0915"/>
    <w:rsid w:val="001A0AF8"/>
    <w:rsid w:val="001A0E1B"/>
    <w:rsid w:val="001A1490"/>
    <w:rsid w:val="001A1766"/>
    <w:rsid w:val="001A18AA"/>
    <w:rsid w:val="001A18D5"/>
    <w:rsid w:val="001A1A38"/>
    <w:rsid w:val="001A1BE0"/>
    <w:rsid w:val="001A1D4A"/>
    <w:rsid w:val="001A260A"/>
    <w:rsid w:val="001A2F0E"/>
    <w:rsid w:val="001A3011"/>
    <w:rsid w:val="001A3078"/>
    <w:rsid w:val="001A419E"/>
    <w:rsid w:val="001A4314"/>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A69"/>
    <w:rsid w:val="001B0F9F"/>
    <w:rsid w:val="001B123C"/>
    <w:rsid w:val="001B1A0D"/>
    <w:rsid w:val="001B1BF1"/>
    <w:rsid w:val="001B21AC"/>
    <w:rsid w:val="001B2456"/>
    <w:rsid w:val="001B3B25"/>
    <w:rsid w:val="001B449C"/>
    <w:rsid w:val="001B4AA2"/>
    <w:rsid w:val="001B4ADE"/>
    <w:rsid w:val="001B4D36"/>
    <w:rsid w:val="001B5530"/>
    <w:rsid w:val="001B5EF8"/>
    <w:rsid w:val="001B71E8"/>
    <w:rsid w:val="001B73C6"/>
    <w:rsid w:val="001C033E"/>
    <w:rsid w:val="001C07C6"/>
    <w:rsid w:val="001C120D"/>
    <w:rsid w:val="001C16DA"/>
    <w:rsid w:val="001C19CD"/>
    <w:rsid w:val="001C2119"/>
    <w:rsid w:val="001C22D5"/>
    <w:rsid w:val="001C2515"/>
    <w:rsid w:val="001C26FB"/>
    <w:rsid w:val="001C33C1"/>
    <w:rsid w:val="001C3828"/>
    <w:rsid w:val="001C3C82"/>
    <w:rsid w:val="001C3E30"/>
    <w:rsid w:val="001C3E5C"/>
    <w:rsid w:val="001C5072"/>
    <w:rsid w:val="001C5B2A"/>
    <w:rsid w:val="001C600B"/>
    <w:rsid w:val="001C6898"/>
    <w:rsid w:val="001C6DD8"/>
    <w:rsid w:val="001C76FA"/>
    <w:rsid w:val="001C79A4"/>
    <w:rsid w:val="001C7C7B"/>
    <w:rsid w:val="001D068D"/>
    <w:rsid w:val="001D12D1"/>
    <w:rsid w:val="001D15DF"/>
    <w:rsid w:val="001D1A1E"/>
    <w:rsid w:val="001D2552"/>
    <w:rsid w:val="001D28B0"/>
    <w:rsid w:val="001D2EEE"/>
    <w:rsid w:val="001D2FA6"/>
    <w:rsid w:val="001D30F3"/>
    <w:rsid w:val="001D31A0"/>
    <w:rsid w:val="001D338E"/>
    <w:rsid w:val="001D3F00"/>
    <w:rsid w:val="001D4562"/>
    <w:rsid w:val="001D50DB"/>
    <w:rsid w:val="001D56E9"/>
    <w:rsid w:val="001D6944"/>
    <w:rsid w:val="001D6CD2"/>
    <w:rsid w:val="001D6F14"/>
    <w:rsid w:val="001D796A"/>
    <w:rsid w:val="001D7A84"/>
    <w:rsid w:val="001D7C79"/>
    <w:rsid w:val="001E003B"/>
    <w:rsid w:val="001E1CC4"/>
    <w:rsid w:val="001E1D38"/>
    <w:rsid w:val="001E2452"/>
    <w:rsid w:val="001E28A0"/>
    <w:rsid w:val="001E3FFE"/>
    <w:rsid w:val="001E4258"/>
    <w:rsid w:val="001E4868"/>
    <w:rsid w:val="001E5140"/>
    <w:rsid w:val="001E5C3A"/>
    <w:rsid w:val="001E5D6A"/>
    <w:rsid w:val="001E6A94"/>
    <w:rsid w:val="001E70FB"/>
    <w:rsid w:val="001E747D"/>
    <w:rsid w:val="001E780A"/>
    <w:rsid w:val="001F0325"/>
    <w:rsid w:val="001F0806"/>
    <w:rsid w:val="001F0D15"/>
    <w:rsid w:val="001F0FA0"/>
    <w:rsid w:val="001F10E8"/>
    <w:rsid w:val="001F1349"/>
    <w:rsid w:val="001F1863"/>
    <w:rsid w:val="001F1E65"/>
    <w:rsid w:val="001F2356"/>
    <w:rsid w:val="001F2462"/>
    <w:rsid w:val="001F2A68"/>
    <w:rsid w:val="001F2C47"/>
    <w:rsid w:val="001F41A8"/>
    <w:rsid w:val="001F43DA"/>
    <w:rsid w:val="001F4773"/>
    <w:rsid w:val="001F4DC8"/>
    <w:rsid w:val="001F5008"/>
    <w:rsid w:val="001F56AA"/>
    <w:rsid w:val="001F57EB"/>
    <w:rsid w:val="001F58AA"/>
    <w:rsid w:val="001F5A4E"/>
    <w:rsid w:val="001F5EF6"/>
    <w:rsid w:val="001F5EF9"/>
    <w:rsid w:val="001F63AE"/>
    <w:rsid w:val="001F657F"/>
    <w:rsid w:val="001F6FB6"/>
    <w:rsid w:val="001F72BB"/>
    <w:rsid w:val="001F7978"/>
    <w:rsid w:val="001F7A0E"/>
    <w:rsid w:val="001F7A4B"/>
    <w:rsid w:val="0020022E"/>
    <w:rsid w:val="0020054E"/>
    <w:rsid w:val="002012BE"/>
    <w:rsid w:val="002013E8"/>
    <w:rsid w:val="00201508"/>
    <w:rsid w:val="0020156E"/>
    <w:rsid w:val="00201AC4"/>
    <w:rsid w:val="00201F1E"/>
    <w:rsid w:val="00202761"/>
    <w:rsid w:val="0020299B"/>
    <w:rsid w:val="00202B2A"/>
    <w:rsid w:val="00202E44"/>
    <w:rsid w:val="002036BA"/>
    <w:rsid w:val="002037AA"/>
    <w:rsid w:val="00203C94"/>
    <w:rsid w:val="00203FE3"/>
    <w:rsid w:val="002042D8"/>
    <w:rsid w:val="00204515"/>
    <w:rsid w:val="0020492B"/>
    <w:rsid w:val="00204BA0"/>
    <w:rsid w:val="00204BF5"/>
    <w:rsid w:val="00204E6B"/>
    <w:rsid w:val="002053EF"/>
    <w:rsid w:val="002058D4"/>
    <w:rsid w:val="0020632A"/>
    <w:rsid w:val="0020697F"/>
    <w:rsid w:val="00206F4D"/>
    <w:rsid w:val="0020726E"/>
    <w:rsid w:val="00207389"/>
    <w:rsid w:val="0020797E"/>
    <w:rsid w:val="00207C4B"/>
    <w:rsid w:val="00207FCD"/>
    <w:rsid w:val="002110EB"/>
    <w:rsid w:val="00211338"/>
    <w:rsid w:val="00211388"/>
    <w:rsid w:val="002113CF"/>
    <w:rsid w:val="0021148C"/>
    <w:rsid w:val="00211694"/>
    <w:rsid w:val="0021201A"/>
    <w:rsid w:val="00212545"/>
    <w:rsid w:val="00212BC8"/>
    <w:rsid w:val="002138FE"/>
    <w:rsid w:val="00213A1F"/>
    <w:rsid w:val="00213C63"/>
    <w:rsid w:val="00214502"/>
    <w:rsid w:val="00214741"/>
    <w:rsid w:val="0021480C"/>
    <w:rsid w:val="00214938"/>
    <w:rsid w:val="00214B7E"/>
    <w:rsid w:val="0021539A"/>
    <w:rsid w:val="00215852"/>
    <w:rsid w:val="00215B01"/>
    <w:rsid w:val="00215B8E"/>
    <w:rsid w:val="00216264"/>
    <w:rsid w:val="002169A0"/>
    <w:rsid w:val="002176B6"/>
    <w:rsid w:val="0021792D"/>
    <w:rsid w:val="00217DB8"/>
    <w:rsid w:val="00220206"/>
    <w:rsid w:val="002202CE"/>
    <w:rsid w:val="0022032A"/>
    <w:rsid w:val="002212FB"/>
    <w:rsid w:val="0022194E"/>
    <w:rsid w:val="002220B1"/>
    <w:rsid w:val="002221CE"/>
    <w:rsid w:val="00222BE8"/>
    <w:rsid w:val="00222D61"/>
    <w:rsid w:val="00222DF6"/>
    <w:rsid w:val="00223102"/>
    <w:rsid w:val="002232CB"/>
    <w:rsid w:val="00223E0B"/>
    <w:rsid w:val="00224022"/>
    <w:rsid w:val="00225147"/>
    <w:rsid w:val="00225CDE"/>
    <w:rsid w:val="00226055"/>
    <w:rsid w:val="0022609C"/>
    <w:rsid w:val="0022613F"/>
    <w:rsid w:val="0022614F"/>
    <w:rsid w:val="00226236"/>
    <w:rsid w:val="002266AF"/>
    <w:rsid w:val="002270C9"/>
    <w:rsid w:val="00227A8B"/>
    <w:rsid w:val="00230ADA"/>
    <w:rsid w:val="00230E35"/>
    <w:rsid w:val="0023146B"/>
    <w:rsid w:val="00231476"/>
    <w:rsid w:val="002315A0"/>
    <w:rsid w:val="00231748"/>
    <w:rsid w:val="00231A18"/>
    <w:rsid w:val="00231DCC"/>
    <w:rsid w:val="00231EC7"/>
    <w:rsid w:val="00232E15"/>
    <w:rsid w:val="00233079"/>
    <w:rsid w:val="002334C1"/>
    <w:rsid w:val="0023382C"/>
    <w:rsid w:val="00233977"/>
    <w:rsid w:val="00233C58"/>
    <w:rsid w:val="00233C71"/>
    <w:rsid w:val="002345B6"/>
    <w:rsid w:val="002347A6"/>
    <w:rsid w:val="00234B84"/>
    <w:rsid w:val="002352F0"/>
    <w:rsid w:val="00235987"/>
    <w:rsid w:val="00235D09"/>
    <w:rsid w:val="00236016"/>
    <w:rsid w:val="00237065"/>
    <w:rsid w:val="00237589"/>
    <w:rsid w:val="0023758D"/>
    <w:rsid w:val="002375A7"/>
    <w:rsid w:val="0024019A"/>
    <w:rsid w:val="00240DA2"/>
    <w:rsid w:val="00240EC1"/>
    <w:rsid w:val="0024120F"/>
    <w:rsid w:val="0024131D"/>
    <w:rsid w:val="002415B8"/>
    <w:rsid w:val="00241B82"/>
    <w:rsid w:val="00242D5F"/>
    <w:rsid w:val="00242D62"/>
    <w:rsid w:val="00242F5E"/>
    <w:rsid w:val="002430D0"/>
    <w:rsid w:val="0024316E"/>
    <w:rsid w:val="002431D7"/>
    <w:rsid w:val="00244058"/>
    <w:rsid w:val="00244FC3"/>
    <w:rsid w:val="002456B2"/>
    <w:rsid w:val="00245718"/>
    <w:rsid w:val="002457E9"/>
    <w:rsid w:val="00245B9E"/>
    <w:rsid w:val="00245E07"/>
    <w:rsid w:val="0024665E"/>
    <w:rsid w:val="00247712"/>
    <w:rsid w:val="0024790F"/>
    <w:rsid w:val="00247D41"/>
    <w:rsid w:val="00250A9E"/>
    <w:rsid w:val="00250EC6"/>
    <w:rsid w:val="00250F5C"/>
    <w:rsid w:val="002515C7"/>
    <w:rsid w:val="00251866"/>
    <w:rsid w:val="00251A9F"/>
    <w:rsid w:val="00252492"/>
    <w:rsid w:val="00252B35"/>
    <w:rsid w:val="00252F57"/>
    <w:rsid w:val="00252FE3"/>
    <w:rsid w:val="00253070"/>
    <w:rsid w:val="002530E2"/>
    <w:rsid w:val="0025316D"/>
    <w:rsid w:val="00253723"/>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57BED"/>
    <w:rsid w:val="00260429"/>
    <w:rsid w:val="002604AA"/>
    <w:rsid w:val="00260523"/>
    <w:rsid w:val="00260869"/>
    <w:rsid w:val="0026129B"/>
    <w:rsid w:val="00261560"/>
    <w:rsid w:val="00261715"/>
    <w:rsid w:val="00261CF9"/>
    <w:rsid w:val="00261EC0"/>
    <w:rsid w:val="0026231B"/>
    <w:rsid w:val="00263101"/>
    <w:rsid w:val="002631D1"/>
    <w:rsid w:val="00263201"/>
    <w:rsid w:val="002638F4"/>
    <w:rsid w:val="00263A37"/>
    <w:rsid w:val="00264266"/>
    <w:rsid w:val="0026471F"/>
    <w:rsid w:val="002647FD"/>
    <w:rsid w:val="0026480D"/>
    <w:rsid w:val="002649F3"/>
    <w:rsid w:val="002653A6"/>
    <w:rsid w:val="002661F1"/>
    <w:rsid w:val="00266316"/>
    <w:rsid w:val="00266DB6"/>
    <w:rsid w:val="0027046B"/>
    <w:rsid w:val="00271107"/>
    <w:rsid w:val="002711A4"/>
    <w:rsid w:val="00271230"/>
    <w:rsid w:val="00271F13"/>
    <w:rsid w:val="00272640"/>
    <w:rsid w:val="00272945"/>
    <w:rsid w:val="00272E89"/>
    <w:rsid w:val="002742D0"/>
    <w:rsid w:val="00274522"/>
    <w:rsid w:val="0027482E"/>
    <w:rsid w:val="002748F1"/>
    <w:rsid w:val="00274DB5"/>
    <w:rsid w:val="00275BB1"/>
    <w:rsid w:val="00275F73"/>
    <w:rsid w:val="00276D7C"/>
    <w:rsid w:val="00276EF7"/>
    <w:rsid w:val="0027746E"/>
    <w:rsid w:val="0027770B"/>
    <w:rsid w:val="00277933"/>
    <w:rsid w:val="00277F8D"/>
    <w:rsid w:val="00277FA7"/>
    <w:rsid w:val="00280046"/>
    <w:rsid w:val="00280754"/>
    <w:rsid w:val="002809B4"/>
    <w:rsid w:val="00280B4F"/>
    <w:rsid w:val="00280F3D"/>
    <w:rsid w:val="0028106A"/>
    <w:rsid w:val="00281BF0"/>
    <w:rsid w:val="00281EB4"/>
    <w:rsid w:val="00282A39"/>
    <w:rsid w:val="00282E03"/>
    <w:rsid w:val="0028308E"/>
    <w:rsid w:val="002834E9"/>
    <w:rsid w:val="002837BA"/>
    <w:rsid w:val="00283A52"/>
    <w:rsid w:val="00283C5E"/>
    <w:rsid w:val="00283E26"/>
    <w:rsid w:val="0028428F"/>
    <w:rsid w:val="0028448F"/>
    <w:rsid w:val="00284CFC"/>
    <w:rsid w:val="00285832"/>
    <w:rsid w:val="00285969"/>
    <w:rsid w:val="0028599C"/>
    <w:rsid w:val="00285EAE"/>
    <w:rsid w:val="0028663B"/>
    <w:rsid w:val="00286CEC"/>
    <w:rsid w:val="00286E35"/>
    <w:rsid w:val="002870F9"/>
    <w:rsid w:val="002871A9"/>
    <w:rsid w:val="00287505"/>
    <w:rsid w:val="00287BDB"/>
    <w:rsid w:val="00290781"/>
    <w:rsid w:val="00290805"/>
    <w:rsid w:val="00291784"/>
    <w:rsid w:val="00291E40"/>
    <w:rsid w:val="002920DF"/>
    <w:rsid w:val="002928A3"/>
    <w:rsid w:val="002929BB"/>
    <w:rsid w:val="00292A27"/>
    <w:rsid w:val="00294368"/>
    <w:rsid w:val="00294B78"/>
    <w:rsid w:val="00294B85"/>
    <w:rsid w:val="00295416"/>
    <w:rsid w:val="00295949"/>
    <w:rsid w:val="00295D7C"/>
    <w:rsid w:val="0029624A"/>
    <w:rsid w:val="00296922"/>
    <w:rsid w:val="00297098"/>
    <w:rsid w:val="002A05D4"/>
    <w:rsid w:val="002A06DB"/>
    <w:rsid w:val="002A0928"/>
    <w:rsid w:val="002A09FF"/>
    <w:rsid w:val="002A0BC3"/>
    <w:rsid w:val="002A0E60"/>
    <w:rsid w:val="002A1A58"/>
    <w:rsid w:val="002A1B02"/>
    <w:rsid w:val="002A1C53"/>
    <w:rsid w:val="002A1F84"/>
    <w:rsid w:val="002A244B"/>
    <w:rsid w:val="002A28FC"/>
    <w:rsid w:val="002A2B44"/>
    <w:rsid w:val="002A2C56"/>
    <w:rsid w:val="002A2EA5"/>
    <w:rsid w:val="002A301E"/>
    <w:rsid w:val="002A3555"/>
    <w:rsid w:val="002A3D94"/>
    <w:rsid w:val="002A3F66"/>
    <w:rsid w:val="002A4736"/>
    <w:rsid w:val="002A4B1C"/>
    <w:rsid w:val="002A55FE"/>
    <w:rsid w:val="002A625C"/>
    <w:rsid w:val="002A6AFB"/>
    <w:rsid w:val="002A725A"/>
    <w:rsid w:val="002A733D"/>
    <w:rsid w:val="002A774A"/>
    <w:rsid w:val="002A7840"/>
    <w:rsid w:val="002A78F3"/>
    <w:rsid w:val="002A7D84"/>
    <w:rsid w:val="002A7E5C"/>
    <w:rsid w:val="002A7F6D"/>
    <w:rsid w:val="002B0D83"/>
    <w:rsid w:val="002B1342"/>
    <w:rsid w:val="002B18E0"/>
    <w:rsid w:val="002B1F83"/>
    <w:rsid w:val="002B27C8"/>
    <w:rsid w:val="002B2A7F"/>
    <w:rsid w:val="002B330B"/>
    <w:rsid w:val="002B39BE"/>
    <w:rsid w:val="002B3FBF"/>
    <w:rsid w:val="002B438C"/>
    <w:rsid w:val="002B48DB"/>
    <w:rsid w:val="002B4B34"/>
    <w:rsid w:val="002B5392"/>
    <w:rsid w:val="002B541A"/>
    <w:rsid w:val="002B5EAB"/>
    <w:rsid w:val="002B5F2E"/>
    <w:rsid w:val="002B6407"/>
    <w:rsid w:val="002B6416"/>
    <w:rsid w:val="002B6459"/>
    <w:rsid w:val="002B645D"/>
    <w:rsid w:val="002B662D"/>
    <w:rsid w:val="002B6F22"/>
    <w:rsid w:val="002B7014"/>
    <w:rsid w:val="002B73B0"/>
    <w:rsid w:val="002B76F5"/>
    <w:rsid w:val="002B7F77"/>
    <w:rsid w:val="002C0275"/>
    <w:rsid w:val="002C0589"/>
    <w:rsid w:val="002C0E0D"/>
    <w:rsid w:val="002C1EE4"/>
    <w:rsid w:val="002C24B4"/>
    <w:rsid w:val="002C2B3A"/>
    <w:rsid w:val="002C2B87"/>
    <w:rsid w:val="002C3A5E"/>
    <w:rsid w:val="002C3CF4"/>
    <w:rsid w:val="002C441A"/>
    <w:rsid w:val="002C4A2B"/>
    <w:rsid w:val="002C4A73"/>
    <w:rsid w:val="002C4B84"/>
    <w:rsid w:val="002C4C0C"/>
    <w:rsid w:val="002C5016"/>
    <w:rsid w:val="002C5C2F"/>
    <w:rsid w:val="002C5D0F"/>
    <w:rsid w:val="002C60B9"/>
    <w:rsid w:val="002C68BC"/>
    <w:rsid w:val="002C6B17"/>
    <w:rsid w:val="002C6D52"/>
    <w:rsid w:val="002C6F77"/>
    <w:rsid w:val="002C704D"/>
    <w:rsid w:val="002C712D"/>
    <w:rsid w:val="002D0845"/>
    <w:rsid w:val="002D0933"/>
    <w:rsid w:val="002D1555"/>
    <w:rsid w:val="002D15B6"/>
    <w:rsid w:val="002D19BB"/>
    <w:rsid w:val="002D1A9B"/>
    <w:rsid w:val="002D1F51"/>
    <w:rsid w:val="002D20F8"/>
    <w:rsid w:val="002D22BD"/>
    <w:rsid w:val="002D22C5"/>
    <w:rsid w:val="002D302A"/>
    <w:rsid w:val="002D36C6"/>
    <w:rsid w:val="002D37C1"/>
    <w:rsid w:val="002D3E4A"/>
    <w:rsid w:val="002D444B"/>
    <w:rsid w:val="002D46A6"/>
    <w:rsid w:val="002D46B4"/>
    <w:rsid w:val="002D46CE"/>
    <w:rsid w:val="002D49C2"/>
    <w:rsid w:val="002D4A45"/>
    <w:rsid w:val="002D4B42"/>
    <w:rsid w:val="002D4B43"/>
    <w:rsid w:val="002D4F3D"/>
    <w:rsid w:val="002D5A1B"/>
    <w:rsid w:val="002D63A7"/>
    <w:rsid w:val="002D6558"/>
    <w:rsid w:val="002D65BC"/>
    <w:rsid w:val="002E02B7"/>
    <w:rsid w:val="002E055C"/>
    <w:rsid w:val="002E1050"/>
    <w:rsid w:val="002E107E"/>
    <w:rsid w:val="002E1880"/>
    <w:rsid w:val="002E18E5"/>
    <w:rsid w:val="002E1953"/>
    <w:rsid w:val="002E1BD8"/>
    <w:rsid w:val="002E26FB"/>
    <w:rsid w:val="002E2C3F"/>
    <w:rsid w:val="002E2CB5"/>
    <w:rsid w:val="002E2D7D"/>
    <w:rsid w:val="002E32D0"/>
    <w:rsid w:val="002E3931"/>
    <w:rsid w:val="002E3D76"/>
    <w:rsid w:val="002E40A1"/>
    <w:rsid w:val="002E4526"/>
    <w:rsid w:val="002E48EC"/>
    <w:rsid w:val="002E4B44"/>
    <w:rsid w:val="002E4ECB"/>
    <w:rsid w:val="002E4F23"/>
    <w:rsid w:val="002E635A"/>
    <w:rsid w:val="002E6A50"/>
    <w:rsid w:val="002E6D68"/>
    <w:rsid w:val="002E7847"/>
    <w:rsid w:val="002E7B84"/>
    <w:rsid w:val="002F0073"/>
    <w:rsid w:val="002F0116"/>
    <w:rsid w:val="002F07F5"/>
    <w:rsid w:val="002F1549"/>
    <w:rsid w:val="002F1B27"/>
    <w:rsid w:val="002F1C67"/>
    <w:rsid w:val="002F240B"/>
    <w:rsid w:val="002F24DA"/>
    <w:rsid w:val="002F28B3"/>
    <w:rsid w:val="002F2F50"/>
    <w:rsid w:val="002F33EC"/>
    <w:rsid w:val="002F34E3"/>
    <w:rsid w:val="002F3601"/>
    <w:rsid w:val="002F40E2"/>
    <w:rsid w:val="002F44E1"/>
    <w:rsid w:val="002F45F6"/>
    <w:rsid w:val="002F5A6F"/>
    <w:rsid w:val="002F692F"/>
    <w:rsid w:val="002F6FF9"/>
    <w:rsid w:val="002F7031"/>
    <w:rsid w:val="002F7961"/>
    <w:rsid w:val="002F7B66"/>
    <w:rsid w:val="00300CB4"/>
    <w:rsid w:val="00300E24"/>
    <w:rsid w:val="00301BB8"/>
    <w:rsid w:val="00301D6C"/>
    <w:rsid w:val="0030257B"/>
    <w:rsid w:val="00302C8C"/>
    <w:rsid w:val="003033BA"/>
    <w:rsid w:val="00303629"/>
    <w:rsid w:val="00303C19"/>
    <w:rsid w:val="003043A3"/>
    <w:rsid w:val="0030462D"/>
    <w:rsid w:val="00304BD4"/>
    <w:rsid w:val="00304F54"/>
    <w:rsid w:val="0030500A"/>
    <w:rsid w:val="0030527D"/>
    <w:rsid w:val="003052EB"/>
    <w:rsid w:val="00305E5F"/>
    <w:rsid w:val="00305FCB"/>
    <w:rsid w:val="003063C3"/>
    <w:rsid w:val="003069DC"/>
    <w:rsid w:val="00306A13"/>
    <w:rsid w:val="00306B44"/>
    <w:rsid w:val="00306D1E"/>
    <w:rsid w:val="00307C44"/>
    <w:rsid w:val="0031040A"/>
    <w:rsid w:val="00310439"/>
    <w:rsid w:val="0031088E"/>
    <w:rsid w:val="00310D01"/>
    <w:rsid w:val="00311376"/>
    <w:rsid w:val="00311A1F"/>
    <w:rsid w:val="00311B47"/>
    <w:rsid w:val="00311D52"/>
    <w:rsid w:val="00312190"/>
    <w:rsid w:val="003125E0"/>
    <w:rsid w:val="0031271D"/>
    <w:rsid w:val="00312E92"/>
    <w:rsid w:val="003132BB"/>
    <w:rsid w:val="00313337"/>
    <w:rsid w:val="00313447"/>
    <w:rsid w:val="00313748"/>
    <w:rsid w:val="00313EA3"/>
    <w:rsid w:val="00314A22"/>
    <w:rsid w:val="003151FE"/>
    <w:rsid w:val="00315365"/>
    <w:rsid w:val="00315457"/>
    <w:rsid w:val="00315DCA"/>
    <w:rsid w:val="003161A4"/>
    <w:rsid w:val="00316955"/>
    <w:rsid w:val="00316AD8"/>
    <w:rsid w:val="0031713F"/>
    <w:rsid w:val="0031720A"/>
    <w:rsid w:val="0031749B"/>
    <w:rsid w:val="003174E5"/>
    <w:rsid w:val="00317C9D"/>
    <w:rsid w:val="00317CD2"/>
    <w:rsid w:val="00317D99"/>
    <w:rsid w:val="003206F2"/>
    <w:rsid w:val="0032078D"/>
    <w:rsid w:val="00320ADF"/>
    <w:rsid w:val="0032137B"/>
    <w:rsid w:val="00321A70"/>
    <w:rsid w:val="00321BD6"/>
    <w:rsid w:val="00321FA3"/>
    <w:rsid w:val="003227D3"/>
    <w:rsid w:val="0032283C"/>
    <w:rsid w:val="00322937"/>
    <w:rsid w:val="00323881"/>
    <w:rsid w:val="00324885"/>
    <w:rsid w:val="003251A8"/>
    <w:rsid w:val="003254B1"/>
    <w:rsid w:val="00325700"/>
    <w:rsid w:val="00325AD9"/>
    <w:rsid w:val="00325D79"/>
    <w:rsid w:val="00325D98"/>
    <w:rsid w:val="0032682A"/>
    <w:rsid w:val="00327A5C"/>
    <w:rsid w:val="00327DB8"/>
    <w:rsid w:val="003305BD"/>
    <w:rsid w:val="0033092C"/>
    <w:rsid w:val="0033122A"/>
    <w:rsid w:val="003315AC"/>
    <w:rsid w:val="00331932"/>
    <w:rsid w:val="00331F74"/>
    <w:rsid w:val="00332382"/>
    <w:rsid w:val="00332453"/>
    <w:rsid w:val="0033251B"/>
    <w:rsid w:val="003328CF"/>
    <w:rsid w:val="00333A88"/>
    <w:rsid w:val="003351FF"/>
    <w:rsid w:val="00335B15"/>
    <w:rsid w:val="00335B21"/>
    <w:rsid w:val="00335D3F"/>
    <w:rsid w:val="00336104"/>
    <w:rsid w:val="00336729"/>
    <w:rsid w:val="00336CD9"/>
    <w:rsid w:val="0033701C"/>
    <w:rsid w:val="0033726D"/>
    <w:rsid w:val="00337357"/>
    <w:rsid w:val="00337CA8"/>
    <w:rsid w:val="00340D3F"/>
    <w:rsid w:val="0034174B"/>
    <w:rsid w:val="0034177C"/>
    <w:rsid w:val="003419D7"/>
    <w:rsid w:val="003420E9"/>
    <w:rsid w:val="00342345"/>
    <w:rsid w:val="00342361"/>
    <w:rsid w:val="00342C27"/>
    <w:rsid w:val="0034308C"/>
    <w:rsid w:val="003430C8"/>
    <w:rsid w:val="003431F6"/>
    <w:rsid w:val="003432C8"/>
    <w:rsid w:val="003434B3"/>
    <w:rsid w:val="00343536"/>
    <w:rsid w:val="00343B9E"/>
    <w:rsid w:val="00343EFB"/>
    <w:rsid w:val="00344760"/>
    <w:rsid w:val="003454E8"/>
    <w:rsid w:val="00345574"/>
    <w:rsid w:val="00345965"/>
    <w:rsid w:val="003467FE"/>
    <w:rsid w:val="0034680A"/>
    <w:rsid w:val="00346C62"/>
    <w:rsid w:val="0034713F"/>
    <w:rsid w:val="00347202"/>
    <w:rsid w:val="0034778E"/>
    <w:rsid w:val="00347A5A"/>
    <w:rsid w:val="003501E2"/>
    <w:rsid w:val="003514B8"/>
    <w:rsid w:val="00351E10"/>
    <w:rsid w:val="0035322F"/>
    <w:rsid w:val="003533F4"/>
    <w:rsid w:val="003536F6"/>
    <w:rsid w:val="00353801"/>
    <w:rsid w:val="00353DD5"/>
    <w:rsid w:val="00353F36"/>
    <w:rsid w:val="003548AB"/>
    <w:rsid w:val="00355131"/>
    <w:rsid w:val="00355F74"/>
    <w:rsid w:val="003560DB"/>
    <w:rsid w:val="003564DB"/>
    <w:rsid w:val="00356F87"/>
    <w:rsid w:val="00357E83"/>
    <w:rsid w:val="003602B1"/>
    <w:rsid w:val="00360CF3"/>
    <w:rsid w:val="00361A59"/>
    <w:rsid w:val="00361DC7"/>
    <w:rsid w:val="00362668"/>
    <w:rsid w:val="00363348"/>
    <w:rsid w:val="00363857"/>
    <w:rsid w:val="00363A24"/>
    <w:rsid w:val="00363D59"/>
    <w:rsid w:val="00363F08"/>
    <w:rsid w:val="003640F7"/>
    <w:rsid w:val="003651C2"/>
    <w:rsid w:val="0036594A"/>
    <w:rsid w:val="00365AE5"/>
    <w:rsid w:val="00365D3A"/>
    <w:rsid w:val="003664FF"/>
    <w:rsid w:val="00366BD2"/>
    <w:rsid w:val="003670B8"/>
    <w:rsid w:val="00367ABB"/>
    <w:rsid w:val="003704A3"/>
    <w:rsid w:val="003706F2"/>
    <w:rsid w:val="003709E8"/>
    <w:rsid w:val="0037124F"/>
    <w:rsid w:val="00371563"/>
    <w:rsid w:val="0037256F"/>
    <w:rsid w:val="00373827"/>
    <w:rsid w:val="0037401C"/>
    <w:rsid w:val="00374EBA"/>
    <w:rsid w:val="0037507B"/>
    <w:rsid w:val="00375C7C"/>
    <w:rsid w:val="00375F02"/>
    <w:rsid w:val="00377027"/>
    <w:rsid w:val="00377135"/>
    <w:rsid w:val="00380272"/>
    <w:rsid w:val="003805DB"/>
    <w:rsid w:val="0038152A"/>
    <w:rsid w:val="003821F1"/>
    <w:rsid w:val="0038245D"/>
    <w:rsid w:val="00382BAD"/>
    <w:rsid w:val="003835FD"/>
    <w:rsid w:val="00383DE4"/>
    <w:rsid w:val="00383EDF"/>
    <w:rsid w:val="00384494"/>
    <w:rsid w:val="0038484C"/>
    <w:rsid w:val="00384C5E"/>
    <w:rsid w:val="00384DF1"/>
    <w:rsid w:val="00384FF3"/>
    <w:rsid w:val="00386456"/>
    <w:rsid w:val="003865A9"/>
    <w:rsid w:val="003869CD"/>
    <w:rsid w:val="0039047D"/>
    <w:rsid w:val="003906FD"/>
    <w:rsid w:val="0039092B"/>
    <w:rsid w:val="00390BD9"/>
    <w:rsid w:val="00390F32"/>
    <w:rsid w:val="0039135E"/>
    <w:rsid w:val="00391867"/>
    <w:rsid w:val="003922B4"/>
    <w:rsid w:val="0039285D"/>
    <w:rsid w:val="003929DC"/>
    <w:rsid w:val="00392C17"/>
    <w:rsid w:val="0039319C"/>
    <w:rsid w:val="00393577"/>
    <w:rsid w:val="00393CAE"/>
    <w:rsid w:val="003945C3"/>
    <w:rsid w:val="003945F4"/>
    <w:rsid w:val="00394B30"/>
    <w:rsid w:val="00394EB5"/>
    <w:rsid w:val="003953B4"/>
    <w:rsid w:val="00395558"/>
    <w:rsid w:val="0039615F"/>
    <w:rsid w:val="003966A0"/>
    <w:rsid w:val="00396A29"/>
    <w:rsid w:val="00396DD1"/>
    <w:rsid w:val="00397BA9"/>
    <w:rsid w:val="00397FF0"/>
    <w:rsid w:val="003A0496"/>
    <w:rsid w:val="003A058E"/>
    <w:rsid w:val="003A0878"/>
    <w:rsid w:val="003A1561"/>
    <w:rsid w:val="003A1D25"/>
    <w:rsid w:val="003A22A2"/>
    <w:rsid w:val="003A2447"/>
    <w:rsid w:val="003A2AA1"/>
    <w:rsid w:val="003A31A5"/>
    <w:rsid w:val="003A329A"/>
    <w:rsid w:val="003A3603"/>
    <w:rsid w:val="003A3851"/>
    <w:rsid w:val="003A39DD"/>
    <w:rsid w:val="003A3EA0"/>
    <w:rsid w:val="003A40DB"/>
    <w:rsid w:val="003A4199"/>
    <w:rsid w:val="003A41C5"/>
    <w:rsid w:val="003A4A8E"/>
    <w:rsid w:val="003A4C7B"/>
    <w:rsid w:val="003A563C"/>
    <w:rsid w:val="003A581E"/>
    <w:rsid w:val="003A5E7E"/>
    <w:rsid w:val="003A6160"/>
    <w:rsid w:val="003A647A"/>
    <w:rsid w:val="003A65A5"/>
    <w:rsid w:val="003A65AC"/>
    <w:rsid w:val="003A65B8"/>
    <w:rsid w:val="003A72F5"/>
    <w:rsid w:val="003A78E5"/>
    <w:rsid w:val="003B0153"/>
    <w:rsid w:val="003B0341"/>
    <w:rsid w:val="003B1961"/>
    <w:rsid w:val="003B1E57"/>
    <w:rsid w:val="003B2662"/>
    <w:rsid w:val="003B26A6"/>
    <w:rsid w:val="003B2EF3"/>
    <w:rsid w:val="003B534F"/>
    <w:rsid w:val="003B5391"/>
    <w:rsid w:val="003B58CE"/>
    <w:rsid w:val="003B65D7"/>
    <w:rsid w:val="003B65E0"/>
    <w:rsid w:val="003B6BD4"/>
    <w:rsid w:val="003B6F4D"/>
    <w:rsid w:val="003B6FE7"/>
    <w:rsid w:val="003C0491"/>
    <w:rsid w:val="003C0C0F"/>
    <w:rsid w:val="003C0D1F"/>
    <w:rsid w:val="003C116A"/>
    <w:rsid w:val="003C14F0"/>
    <w:rsid w:val="003C1AF4"/>
    <w:rsid w:val="003C1CB8"/>
    <w:rsid w:val="003C21B1"/>
    <w:rsid w:val="003C22DA"/>
    <w:rsid w:val="003C2550"/>
    <w:rsid w:val="003C287F"/>
    <w:rsid w:val="003C2FB1"/>
    <w:rsid w:val="003C3339"/>
    <w:rsid w:val="003C375A"/>
    <w:rsid w:val="003C4317"/>
    <w:rsid w:val="003C4B46"/>
    <w:rsid w:val="003C4D9F"/>
    <w:rsid w:val="003C5247"/>
    <w:rsid w:val="003C5B02"/>
    <w:rsid w:val="003C5E8A"/>
    <w:rsid w:val="003C622C"/>
    <w:rsid w:val="003C6505"/>
    <w:rsid w:val="003C73C7"/>
    <w:rsid w:val="003C7CFB"/>
    <w:rsid w:val="003D02F3"/>
    <w:rsid w:val="003D050B"/>
    <w:rsid w:val="003D0B98"/>
    <w:rsid w:val="003D0C3C"/>
    <w:rsid w:val="003D0DE5"/>
    <w:rsid w:val="003D1351"/>
    <w:rsid w:val="003D21C1"/>
    <w:rsid w:val="003D2E69"/>
    <w:rsid w:val="003D3B15"/>
    <w:rsid w:val="003D3B2E"/>
    <w:rsid w:val="003D3F28"/>
    <w:rsid w:val="003D4101"/>
    <w:rsid w:val="003D41B1"/>
    <w:rsid w:val="003D484D"/>
    <w:rsid w:val="003D49CB"/>
    <w:rsid w:val="003D4F41"/>
    <w:rsid w:val="003D5429"/>
    <w:rsid w:val="003D5F10"/>
    <w:rsid w:val="003D65E0"/>
    <w:rsid w:val="003D6B8F"/>
    <w:rsid w:val="003D6E60"/>
    <w:rsid w:val="003D7566"/>
    <w:rsid w:val="003E0224"/>
    <w:rsid w:val="003E09BB"/>
    <w:rsid w:val="003E13D2"/>
    <w:rsid w:val="003E159D"/>
    <w:rsid w:val="003E20EA"/>
    <w:rsid w:val="003E210C"/>
    <w:rsid w:val="003E27F5"/>
    <w:rsid w:val="003E2F55"/>
    <w:rsid w:val="003E324A"/>
    <w:rsid w:val="003E34DB"/>
    <w:rsid w:val="003E36D8"/>
    <w:rsid w:val="003E3833"/>
    <w:rsid w:val="003E3AF9"/>
    <w:rsid w:val="003E4A70"/>
    <w:rsid w:val="003E4C48"/>
    <w:rsid w:val="003E4CD9"/>
    <w:rsid w:val="003E52C2"/>
    <w:rsid w:val="003E54B3"/>
    <w:rsid w:val="003E5780"/>
    <w:rsid w:val="003E5B9F"/>
    <w:rsid w:val="003E6049"/>
    <w:rsid w:val="003E6072"/>
    <w:rsid w:val="003E60D6"/>
    <w:rsid w:val="003E6AB6"/>
    <w:rsid w:val="003E6E0B"/>
    <w:rsid w:val="003E71CD"/>
    <w:rsid w:val="003E78DA"/>
    <w:rsid w:val="003E7A8B"/>
    <w:rsid w:val="003F02A2"/>
    <w:rsid w:val="003F051D"/>
    <w:rsid w:val="003F060E"/>
    <w:rsid w:val="003F0F7F"/>
    <w:rsid w:val="003F115C"/>
    <w:rsid w:val="003F153A"/>
    <w:rsid w:val="003F300D"/>
    <w:rsid w:val="003F391F"/>
    <w:rsid w:val="003F4599"/>
    <w:rsid w:val="003F45E1"/>
    <w:rsid w:val="003F4A6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ACD"/>
    <w:rsid w:val="00402DE1"/>
    <w:rsid w:val="00402EEB"/>
    <w:rsid w:val="00402FAF"/>
    <w:rsid w:val="004037C2"/>
    <w:rsid w:val="00404041"/>
    <w:rsid w:val="004040D4"/>
    <w:rsid w:val="00404B43"/>
    <w:rsid w:val="00404C61"/>
    <w:rsid w:val="004053EC"/>
    <w:rsid w:val="0040547B"/>
    <w:rsid w:val="00405487"/>
    <w:rsid w:val="00405B8A"/>
    <w:rsid w:val="0040602B"/>
    <w:rsid w:val="0040606C"/>
    <w:rsid w:val="004060DC"/>
    <w:rsid w:val="00406DF5"/>
    <w:rsid w:val="00406F35"/>
    <w:rsid w:val="00407325"/>
    <w:rsid w:val="004076A7"/>
    <w:rsid w:val="004077D0"/>
    <w:rsid w:val="00407937"/>
    <w:rsid w:val="00407A7A"/>
    <w:rsid w:val="00407ABC"/>
    <w:rsid w:val="00407F1E"/>
    <w:rsid w:val="00410A88"/>
    <w:rsid w:val="00410CC8"/>
    <w:rsid w:val="00411317"/>
    <w:rsid w:val="00411692"/>
    <w:rsid w:val="00411A9E"/>
    <w:rsid w:val="00412110"/>
    <w:rsid w:val="0041259F"/>
    <w:rsid w:val="00412B1B"/>
    <w:rsid w:val="00412B4D"/>
    <w:rsid w:val="00412C51"/>
    <w:rsid w:val="00413262"/>
    <w:rsid w:val="0041329C"/>
    <w:rsid w:val="004139F4"/>
    <w:rsid w:val="00413D35"/>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547"/>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43B7"/>
    <w:rsid w:val="00425B2E"/>
    <w:rsid w:val="00425C43"/>
    <w:rsid w:val="00426CFB"/>
    <w:rsid w:val="004273FA"/>
    <w:rsid w:val="004275A7"/>
    <w:rsid w:val="0042773E"/>
    <w:rsid w:val="004278D8"/>
    <w:rsid w:val="00430186"/>
    <w:rsid w:val="00430D44"/>
    <w:rsid w:val="00430DD2"/>
    <w:rsid w:val="00430F17"/>
    <w:rsid w:val="00431CC7"/>
    <w:rsid w:val="00431F03"/>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3741B"/>
    <w:rsid w:val="00437506"/>
    <w:rsid w:val="00437AF3"/>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259"/>
    <w:rsid w:val="0044361F"/>
    <w:rsid w:val="0044374D"/>
    <w:rsid w:val="00443B55"/>
    <w:rsid w:val="00443D27"/>
    <w:rsid w:val="00444D7D"/>
    <w:rsid w:val="0044500B"/>
    <w:rsid w:val="004451C5"/>
    <w:rsid w:val="00446037"/>
    <w:rsid w:val="00446270"/>
    <w:rsid w:val="0044642F"/>
    <w:rsid w:val="004466BA"/>
    <w:rsid w:val="00446709"/>
    <w:rsid w:val="00446922"/>
    <w:rsid w:val="0044772C"/>
    <w:rsid w:val="00450846"/>
    <w:rsid w:val="004518B0"/>
    <w:rsid w:val="00451A52"/>
    <w:rsid w:val="0045271D"/>
    <w:rsid w:val="00452755"/>
    <w:rsid w:val="00452803"/>
    <w:rsid w:val="004529C6"/>
    <w:rsid w:val="00452A7C"/>
    <w:rsid w:val="00452EAD"/>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0B4F"/>
    <w:rsid w:val="004614A9"/>
    <w:rsid w:val="00461E97"/>
    <w:rsid w:val="004622A6"/>
    <w:rsid w:val="0046268F"/>
    <w:rsid w:val="0046284F"/>
    <w:rsid w:val="00462B10"/>
    <w:rsid w:val="00462C04"/>
    <w:rsid w:val="0046320A"/>
    <w:rsid w:val="00463347"/>
    <w:rsid w:val="004633EC"/>
    <w:rsid w:val="004636CC"/>
    <w:rsid w:val="004638E2"/>
    <w:rsid w:val="00463B3C"/>
    <w:rsid w:val="00464030"/>
    <w:rsid w:val="004647F8"/>
    <w:rsid w:val="004647FB"/>
    <w:rsid w:val="00465347"/>
    <w:rsid w:val="00465677"/>
    <w:rsid w:val="00465F67"/>
    <w:rsid w:val="00466616"/>
    <w:rsid w:val="00466A0C"/>
    <w:rsid w:val="00466A53"/>
    <w:rsid w:val="00466C74"/>
    <w:rsid w:val="00467E2F"/>
    <w:rsid w:val="0047072B"/>
    <w:rsid w:val="00470A6A"/>
    <w:rsid w:val="00470D73"/>
    <w:rsid w:val="00470D92"/>
    <w:rsid w:val="00471DF7"/>
    <w:rsid w:val="00472512"/>
    <w:rsid w:val="004727B1"/>
    <w:rsid w:val="004734CF"/>
    <w:rsid w:val="00473F33"/>
    <w:rsid w:val="0047480D"/>
    <w:rsid w:val="0047586C"/>
    <w:rsid w:val="00475C5A"/>
    <w:rsid w:val="00475C9C"/>
    <w:rsid w:val="0047676B"/>
    <w:rsid w:val="00476D6A"/>
    <w:rsid w:val="004774C3"/>
    <w:rsid w:val="0047773C"/>
    <w:rsid w:val="00477C5F"/>
    <w:rsid w:val="00480050"/>
    <w:rsid w:val="0048011C"/>
    <w:rsid w:val="004808DE"/>
    <w:rsid w:val="00480F9A"/>
    <w:rsid w:val="00481912"/>
    <w:rsid w:val="00481AC4"/>
    <w:rsid w:val="00481DC1"/>
    <w:rsid w:val="00482157"/>
    <w:rsid w:val="00482507"/>
    <w:rsid w:val="0048268A"/>
    <w:rsid w:val="00482A64"/>
    <w:rsid w:val="004835CA"/>
    <w:rsid w:val="004836F8"/>
    <w:rsid w:val="004836FE"/>
    <w:rsid w:val="0048478C"/>
    <w:rsid w:val="00484A39"/>
    <w:rsid w:val="00484F0F"/>
    <w:rsid w:val="00484F40"/>
    <w:rsid w:val="0048540C"/>
    <w:rsid w:val="00485E3F"/>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1C74"/>
    <w:rsid w:val="0049241A"/>
    <w:rsid w:val="00492844"/>
    <w:rsid w:val="00492C1F"/>
    <w:rsid w:val="00492E4C"/>
    <w:rsid w:val="00493664"/>
    <w:rsid w:val="00493870"/>
    <w:rsid w:val="004938FD"/>
    <w:rsid w:val="00493E04"/>
    <w:rsid w:val="004940E3"/>
    <w:rsid w:val="004941CD"/>
    <w:rsid w:val="0049530F"/>
    <w:rsid w:val="004954AB"/>
    <w:rsid w:val="00495553"/>
    <w:rsid w:val="00496664"/>
    <w:rsid w:val="00496786"/>
    <w:rsid w:val="0049695B"/>
    <w:rsid w:val="00496AC4"/>
    <w:rsid w:val="00496D8F"/>
    <w:rsid w:val="00497463"/>
    <w:rsid w:val="00497CED"/>
    <w:rsid w:val="004A054C"/>
    <w:rsid w:val="004A0834"/>
    <w:rsid w:val="004A08D1"/>
    <w:rsid w:val="004A0FA9"/>
    <w:rsid w:val="004A10A0"/>
    <w:rsid w:val="004A16C1"/>
    <w:rsid w:val="004A1CE2"/>
    <w:rsid w:val="004A1D75"/>
    <w:rsid w:val="004A34D2"/>
    <w:rsid w:val="004A4301"/>
    <w:rsid w:val="004A4D93"/>
    <w:rsid w:val="004A546E"/>
    <w:rsid w:val="004A58EE"/>
    <w:rsid w:val="004A59B7"/>
    <w:rsid w:val="004A6051"/>
    <w:rsid w:val="004A623B"/>
    <w:rsid w:val="004A6A04"/>
    <w:rsid w:val="004A6A52"/>
    <w:rsid w:val="004B0A44"/>
    <w:rsid w:val="004B0F0B"/>
    <w:rsid w:val="004B205A"/>
    <w:rsid w:val="004B2197"/>
    <w:rsid w:val="004B25D8"/>
    <w:rsid w:val="004B298A"/>
    <w:rsid w:val="004B2BB8"/>
    <w:rsid w:val="004B2F47"/>
    <w:rsid w:val="004B3152"/>
    <w:rsid w:val="004B50CB"/>
    <w:rsid w:val="004B578D"/>
    <w:rsid w:val="004B5BE7"/>
    <w:rsid w:val="004B5E2D"/>
    <w:rsid w:val="004B65D9"/>
    <w:rsid w:val="004B6C07"/>
    <w:rsid w:val="004B74D3"/>
    <w:rsid w:val="004B755E"/>
    <w:rsid w:val="004B788E"/>
    <w:rsid w:val="004B7E5D"/>
    <w:rsid w:val="004C0947"/>
    <w:rsid w:val="004C0BF9"/>
    <w:rsid w:val="004C1198"/>
    <w:rsid w:val="004C22F7"/>
    <w:rsid w:val="004C234B"/>
    <w:rsid w:val="004C2B27"/>
    <w:rsid w:val="004C3929"/>
    <w:rsid w:val="004C4160"/>
    <w:rsid w:val="004C5212"/>
    <w:rsid w:val="004C5EF0"/>
    <w:rsid w:val="004C64C9"/>
    <w:rsid w:val="004C7226"/>
    <w:rsid w:val="004C74BD"/>
    <w:rsid w:val="004C74C9"/>
    <w:rsid w:val="004C764F"/>
    <w:rsid w:val="004C76AA"/>
    <w:rsid w:val="004C7915"/>
    <w:rsid w:val="004C7D70"/>
    <w:rsid w:val="004D02F9"/>
    <w:rsid w:val="004D03FE"/>
    <w:rsid w:val="004D0446"/>
    <w:rsid w:val="004D06A3"/>
    <w:rsid w:val="004D0F95"/>
    <w:rsid w:val="004D106A"/>
    <w:rsid w:val="004D15C7"/>
    <w:rsid w:val="004D1653"/>
    <w:rsid w:val="004D1C7E"/>
    <w:rsid w:val="004D245A"/>
    <w:rsid w:val="004D29D2"/>
    <w:rsid w:val="004D31EE"/>
    <w:rsid w:val="004D36AF"/>
    <w:rsid w:val="004D3BD1"/>
    <w:rsid w:val="004D3C52"/>
    <w:rsid w:val="004D4BA1"/>
    <w:rsid w:val="004D584D"/>
    <w:rsid w:val="004D5A7E"/>
    <w:rsid w:val="004D5E72"/>
    <w:rsid w:val="004D6120"/>
    <w:rsid w:val="004D6826"/>
    <w:rsid w:val="004D7497"/>
    <w:rsid w:val="004D7F7A"/>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729"/>
    <w:rsid w:val="004E787E"/>
    <w:rsid w:val="004E7AA1"/>
    <w:rsid w:val="004F0805"/>
    <w:rsid w:val="004F0960"/>
    <w:rsid w:val="004F0A5C"/>
    <w:rsid w:val="004F1596"/>
    <w:rsid w:val="004F163F"/>
    <w:rsid w:val="004F18A0"/>
    <w:rsid w:val="004F1A08"/>
    <w:rsid w:val="004F2364"/>
    <w:rsid w:val="004F2B64"/>
    <w:rsid w:val="004F2C6F"/>
    <w:rsid w:val="004F31B8"/>
    <w:rsid w:val="004F375E"/>
    <w:rsid w:val="004F3764"/>
    <w:rsid w:val="004F3EEF"/>
    <w:rsid w:val="004F44D8"/>
    <w:rsid w:val="004F5180"/>
    <w:rsid w:val="004F5634"/>
    <w:rsid w:val="004F57C9"/>
    <w:rsid w:val="004F5930"/>
    <w:rsid w:val="004F5970"/>
    <w:rsid w:val="004F5F0C"/>
    <w:rsid w:val="004F6121"/>
    <w:rsid w:val="004F6161"/>
    <w:rsid w:val="004F66BC"/>
    <w:rsid w:val="004F6C26"/>
    <w:rsid w:val="004F7AC9"/>
    <w:rsid w:val="004F7E04"/>
    <w:rsid w:val="0050062F"/>
    <w:rsid w:val="00500E74"/>
    <w:rsid w:val="0050160F"/>
    <w:rsid w:val="0050284E"/>
    <w:rsid w:val="00502E86"/>
    <w:rsid w:val="0050306F"/>
    <w:rsid w:val="00503534"/>
    <w:rsid w:val="00503A17"/>
    <w:rsid w:val="005042E8"/>
    <w:rsid w:val="0050459C"/>
    <w:rsid w:val="00505892"/>
    <w:rsid w:val="00505DCB"/>
    <w:rsid w:val="0050674C"/>
    <w:rsid w:val="00507066"/>
    <w:rsid w:val="005075CA"/>
    <w:rsid w:val="00507B06"/>
    <w:rsid w:val="00507BF1"/>
    <w:rsid w:val="0051074C"/>
    <w:rsid w:val="005107E3"/>
    <w:rsid w:val="00510DE9"/>
    <w:rsid w:val="005111E2"/>
    <w:rsid w:val="005111FA"/>
    <w:rsid w:val="00511231"/>
    <w:rsid w:val="00511368"/>
    <w:rsid w:val="00511430"/>
    <w:rsid w:val="005115FD"/>
    <w:rsid w:val="00511741"/>
    <w:rsid w:val="00512BC0"/>
    <w:rsid w:val="00512C4F"/>
    <w:rsid w:val="00513042"/>
    <w:rsid w:val="00513240"/>
    <w:rsid w:val="0051334F"/>
    <w:rsid w:val="00513399"/>
    <w:rsid w:val="00513795"/>
    <w:rsid w:val="00513AF2"/>
    <w:rsid w:val="00514575"/>
    <w:rsid w:val="00514579"/>
    <w:rsid w:val="00514C03"/>
    <w:rsid w:val="00514D67"/>
    <w:rsid w:val="00514F2F"/>
    <w:rsid w:val="0051522A"/>
    <w:rsid w:val="00515515"/>
    <w:rsid w:val="0051635C"/>
    <w:rsid w:val="00516C5B"/>
    <w:rsid w:val="00517612"/>
    <w:rsid w:val="00517CFB"/>
    <w:rsid w:val="00517F85"/>
    <w:rsid w:val="0052002F"/>
    <w:rsid w:val="00520235"/>
    <w:rsid w:val="00520340"/>
    <w:rsid w:val="00520899"/>
    <w:rsid w:val="00520922"/>
    <w:rsid w:val="005209FC"/>
    <w:rsid w:val="00520C09"/>
    <w:rsid w:val="00520EC1"/>
    <w:rsid w:val="00521292"/>
    <w:rsid w:val="00521A30"/>
    <w:rsid w:val="00521D7C"/>
    <w:rsid w:val="00521EA7"/>
    <w:rsid w:val="005224E5"/>
    <w:rsid w:val="00522759"/>
    <w:rsid w:val="0052311A"/>
    <w:rsid w:val="00523854"/>
    <w:rsid w:val="00523903"/>
    <w:rsid w:val="005239B6"/>
    <w:rsid w:val="00523C45"/>
    <w:rsid w:val="00523F41"/>
    <w:rsid w:val="00524165"/>
    <w:rsid w:val="005244FC"/>
    <w:rsid w:val="005246E7"/>
    <w:rsid w:val="00524B08"/>
    <w:rsid w:val="00524C38"/>
    <w:rsid w:val="00524FD2"/>
    <w:rsid w:val="005255D6"/>
    <w:rsid w:val="00525621"/>
    <w:rsid w:val="00526431"/>
    <w:rsid w:val="00527440"/>
    <w:rsid w:val="00527532"/>
    <w:rsid w:val="005279B9"/>
    <w:rsid w:val="00527DEB"/>
    <w:rsid w:val="00527E57"/>
    <w:rsid w:val="00527F2C"/>
    <w:rsid w:val="00530405"/>
    <w:rsid w:val="00530458"/>
    <w:rsid w:val="00530522"/>
    <w:rsid w:val="005305E5"/>
    <w:rsid w:val="0053086F"/>
    <w:rsid w:val="00530CBA"/>
    <w:rsid w:val="00530F38"/>
    <w:rsid w:val="00531F26"/>
    <w:rsid w:val="00531F75"/>
    <w:rsid w:val="00532501"/>
    <w:rsid w:val="0053277C"/>
    <w:rsid w:val="005327C0"/>
    <w:rsid w:val="00533101"/>
    <w:rsid w:val="00533750"/>
    <w:rsid w:val="00533CA9"/>
    <w:rsid w:val="005346AD"/>
    <w:rsid w:val="00534EFB"/>
    <w:rsid w:val="00534F60"/>
    <w:rsid w:val="0053524B"/>
    <w:rsid w:val="005357F1"/>
    <w:rsid w:val="005357FA"/>
    <w:rsid w:val="00535C73"/>
    <w:rsid w:val="00535D15"/>
    <w:rsid w:val="00536053"/>
    <w:rsid w:val="005363C6"/>
    <w:rsid w:val="005367B6"/>
    <w:rsid w:val="005369E6"/>
    <w:rsid w:val="005371AC"/>
    <w:rsid w:val="00537672"/>
    <w:rsid w:val="005376B5"/>
    <w:rsid w:val="0053772F"/>
    <w:rsid w:val="00537A70"/>
    <w:rsid w:val="00537B64"/>
    <w:rsid w:val="00537B77"/>
    <w:rsid w:val="00540048"/>
    <w:rsid w:val="00540C4C"/>
    <w:rsid w:val="00541381"/>
    <w:rsid w:val="00541469"/>
    <w:rsid w:val="00541571"/>
    <w:rsid w:val="005416CA"/>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4DA"/>
    <w:rsid w:val="00547778"/>
    <w:rsid w:val="00547BF6"/>
    <w:rsid w:val="00547FB3"/>
    <w:rsid w:val="005502B3"/>
    <w:rsid w:val="00551098"/>
    <w:rsid w:val="00551598"/>
    <w:rsid w:val="0055162B"/>
    <w:rsid w:val="00551A56"/>
    <w:rsid w:val="00551B40"/>
    <w:rsid w:val="00551BFF"/>
    <w:rsid w:val="00551D68"/>
    <w:rsid w:val="00551DFF"/>
    <w:rsid w:val="005525C9"/>
    <w:rsid w:val="00552B3E"/>
    <w:rsid w:val="00553A23"/>
    <w:rsid w:val="00554578"/>
    <w:rsid w:val="00554B00"/>
    <w:rsid w:val="00554D57"/>
    <w:rsid w:val="00554D6E"/>
    <w:rsid w:val="005551AA"/>
    <w:rsid w:val="00555239"/>
    <w:rsid w:val="005557FA"/>
    <w:rsid w:val="00555BCE"/>
    <w:rsid w:val="005564CA"/>
    <w:rsid w:val="005568BD"/>
    <w:rsid w:val="005568EA"/>
    <w:rsid w:val="00557140"/>
    <w:rsid w:val="0055715A"/>
    <w:rsid w:val="0055729E"/>
    <w:rsid w:val="00557968"/>
    <w:rsid w:val="00557984"/>
    <w:rsid w:val="00557A3F"/>
    <w:rsid w:val="00560BC1"/>
    <w:rsid w:val="00560C87"/>
    <w:rsid w:val="00560F51"/>
    <w:rsid w:val="00561249"/>
    <w:rsid w:val="0056182B"/>
    <w:rsid w:val="00561A88"/>
    <w:rsid w:val="00561AF3"/>
    <w:rsid w:val="00561E0B"/>
    <w:rsid w:val="00562141"/>
    <w:rsid w:val="00562D86"/>
    <w:rsid w:val="00563161"/>
    <w:rsid w:val="005640CA"/>
    <w:rsid w:val="00564704"/>
    <w:rsid w:val="00564712"/>
    <w:rsid w:val="0056510A"/>
    <w:rsid w:val="005651C7"/>
    <w:rsid w:val="005657A8"/>
    <w:rsid w:val="00565952"/>
    <w:rsid w:val="00566866"/>
    <w:rsid w:val="005670A5"/>
    <w:rsid w:val="00567285"/>
    <w:rsid w:val="00567723"/>
    <w:rsid w:val="0056772D"/>
    <w:rsid w:val="005678F5"/>
    <w:rsid w:val="00567AB8"/>
    <w:rsid w:val="00570A26"/>
    <w:rsid w:val="00570CFD"/>
    <w:rsid w:val="0057104B"/>
    <w:rsid w:val="0057179E"/>
    <w:rsid w:val="00571872"/>
    <w:rsid w:val="0057221F"/>
    <w:rsid w:val="00572421"/>
    <w:rsid w:val="00572539"/>
    <w:rsid w:val="00572959"/>
    <w:rsid w:val="00572AEA"/>
    <w:rsid w:val="00573355"/>
    <w:rsid w:val="0057337D"/>
    <w:rsid w:val="00573504"/>
    <w:rsid w:val="0057355F"/>
    <w:rsid w:val="005737DA"/>
    <w:rsid w:val="00573BA3"/>
    <w:rsid w:val="00574708"/>
    <w:rsid w:val="00574D81"/>
    <w:rsid w:val="005756AA"/>
    <w:rsid w:val="00576186"/>
    <w:rsid w:val="0057696F"/>
    <w:rsid w:val="00576C8A"/>
    <w:rsid w:val="00576D0E"/>
    <w:rsid w:val="005774FE"/>
    <w:rsid w:val="0058040C"/>
    <w:rsid w:val="00580D6D"/>
    <w:rsid w:val="00580FD8"/>
    <w:rsid w:val="005813DE"/>
    <w:rsid w:val="00581796"/>
    <w:rsid w:val="0058195C"/>
    <w:rsid w:val="00581B45"/>
    <w:rsid w:val="00581FDB"/>
    <w:rsid w:val="00582361"/>
    <w:rsid w:val="00582480"/>
    <w:rsid w:val="005826A5"/>
    <w:rsid w:val="00582805"/>
    <w:rsid w:val="0058290E"/>
    <w:rsid w:val="00582CAB"/>
    <w:rsid w:val="00582DCD"/>
    <w:rsid w:val="00582FA6"/>
    <w:rsid w:val="005836D5"/>
    <w:rsid w:val="0058375E"/>
    <w:rsid w:val="0058394B"/>
    <w:rsid w:val="00584233"/>
    <w:rsid w:val="005842D0"/>
    <w:rsid w:val="005845FB"/>
    <w:rsid w:val="005855AE"/>
    <w:rsid w:val="00585829"/>
    <w:rsid w:val="00585CA8"/>
    <w:rsid w:val="00585E80"/>
    <w:rsid w:val="00586412"/>
    <w:rsid w:val="005864B9"/>
    <w:rsid w:val="00586564"/>
    <w:rsid w:val="005866C4"/>
    <w:rsid w:val="00590F1A"/>
    <w:rsid w:val="00591C03"/>
    <w:rsid w:val="00591E2A"/>
    <w:rsid w:val="005923C4"/>
    <w:rsid w:val="0059397D"/>
    <w:rsid w:val="00593EA2"/>
    <w:rsid w:val="00593F75"/>
    <w:rsid w:val="005940A0"/>
    <w:rsid w:val="0059429A"/>
    <w:rsid w:val="005945A4"/>
    <w:rsid w:val="00594CBE"/>
    <w:rsid w:val="00594FDC"/>
    <w:rsid w:val="00595197"/>
    <w:rsid w:val="00595561"/>
    <w:rsid w:val="00596AF7"/>
    <w:rsid w:val="00596CCE"/>
    <w:rsid w:val="00597516"/>
    <w:rsid w:val="005A13F5"/>
    <w:rsid w:val="005A1976"/>
    <w:rsid w:val="005A1F51"/>
    <w:rsid w:val="005A2120"/>
    <w:rsid w:val="005A2130"/>
    <w:rsid w:val="005A2501"/>
    <w:rsid w:val="005A2C80"/>
    <w:rsid w:val="005A3066"/>
    <w:rsid w:val="005A3B35"/>
    <w:rsid w:val="005A3C4B"/>
    <w:rsid w:val="005A3E5A"/>
    <w:rsid w:val="005A43F3"/>
    <w:rsid w:val="005A496F"/>
    <w:rsid w:val="005A4A56"/>
    <w:rsid w:val="005A5608"/>
    <w:rsid w:val="005A5A3D"/>
    <w:rsid w:val="005A6035"/>
    <w:rsid w:val="005A6886"/>
    <w:rsid w:val="005A6B75"/>
    <w:rsid w:val="005A6E00"/>
    <w:rsid w:val="005A718A"/>
    <w:rsid w:val="005A72DD"/>
    <w:rsid w:val="005A7885"/>
    <w:rsid w:val="005B12B2"/>
    <w:rsid w:val="005B143B"/>
    <w:rsid w:val="005B19BD"/>
    <w:rsid w:val="005B1E45"/>
    <w:rsid w:val="005B21C4"/>
    <w:rsid w:val="005B2A28"/>
    <w:rsid w:val="005B2C7D"/>
    <w:rsid w:val="005B35AB"/>
    <w:rsid w:val="005B3621"/>
    <w:rsid w:val="005B3A88"/>
    <w:rsid w:val="005B3EBE"/>
    <w:rsid w:val="005B4948"/>
    <w:rsid w:val="005B501D"/>
    <w:rsid w:val="005B52B0"/>
    <w:rsid w:val="005B54CC"/>
    <w:rsid w:val="005B61AD"/>
    <w:rsid w:val="005B6C2A"/>
    <w:rsid w:val="005B71BB"/>
    <w:rsid w:val="005B741C"/>
    <w:rsid w:val="005B74AD"/>
    <w:rsid w:val="005B76B3"/>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06F"/>
    <w:rsid w:val="005C514F"/>
    <w:rsid w:val="005C5241"/>
    <w:rsid w:val="005C529E"/>
    <w:rsid w:val="005C57BA"/>
    <w:rsid w:val="005C5C52"/>
    <w:rsid w:val="005C5D3D"/>
    <w:rsid w:val="005C5F05"/>
    <w:rsid w:val="005C6186"/>
    <w:rsid w:val="005C6397"/>
    <w:rsid w:val="005C64D6"/>
    <w:rsid w:val="005C6CF7"/>
    <w:rsid w:val="005C6D19"/>
    <w:rsid w:val="005C721D"/>
    <w:rsid w:val="005C7E45"/>
    <w:rsid w:val="005C7F3E"/>
    <w:rsid w:val="005D06D3"/>
    <w:rsid w:val="005D0C3B"/>
    <w:rsid w:val="005D0C87"/>
    <w:rsid w:val="005D103E"/>
    <w:rsid w:val="005D1051"/>
    <w:rsid w:val="005D1606"/>
    <w:rsid w:val="005D170F"/>
    <w:rsid w:val="005D1C70"/>
    <w:rsid w:val="005D1D10"/>
    <w:rsid w:val="005D2044"/>
    <w:rsid w:val="005D209E"/>
    <w:rsid w:val="005D2917"/>
    <w:rsid w:val="005D2EB2"/>
    <w:rsid w:val="005D2F48"/>
    <w:rsid w:val="005D30AE"/>
    <w:rsid w:val="005D33C2"/>
    <w:rsid w:val="005D3B32"/>
    <w:rsid w:val="005D3E5C"/>
    <w:rsid w:val="005D464B"/>
    <w:rsid w:val="005D466F"/>
    <w:rsid w:val="005D49F0"/>
    <w:rsid w:val="005D51F7"/>
    <w:rsid w:val="005D51FA"/>
    <w:rsid w:val="005D53E8"/>
    <w:rsid w:val="005D5A9D"/>
    <w:rsid w:val="005D5D15"/>
    <w:rsid w:val="005D6651"/>
    <w:rsid w:val="005D691D"/>
    <w:rsid w:val="005D6A72"/>
    <w:rsid w:val="005D6F38"/>
    <w:rsid w:val="005D7452"/>
    <w:rsid w:val="005D791B"/>
    <w:rsid w:val="005D7CF2"/>
    <w:rsid w:val="005D7F92"/>
    <w:rsid w:val="005E003C"/>
    <w:rsid w:val="005E04C5"/>
    <w:rsid w:val="005E062C"/>
    <w:rsid w:val="005E0D7B"/>
    <w:rsid w:val="005E1595"/>
    <w:rsid w:val="005E1F1D"/>
    <w:rsid w:val="005E2694"/>
    <w:rsid w:val="005E273D"/>
    <w:rsid w:val="005E3278"/>
    <w:rsid w:val="005E363B"/>
    <w:rsid w:val="005E3736"/>
    <w:rsid w:val="005E4B72"/>
    <w:rsid w:val="005E52C9"/>
    <w:rsid w:val="005E6342"/>
    <w:rsid w:val="005E665F"/>
    <w:rsid w:val="005E717E"/>
    <w:rsid w:val="005E781C"/>
    <w:rsid w:val="005F0B10"/>
    <w:rsid w:val="005F2D8B"/>
    <w:rsid w:val="005F305B"/>
    <w:rsid w:val="005F3361"/>
    <w:rsid w:val="005F361A"/>
    <w:rsid w:val="005F370A"/>
    <w:rsid w:val="005F3B47"/>
    <w:rsid w:val="005F3E43"/>
    <w:rsid w:val="005F4481"/>
    <w:rsid w:val="005F467E"/>
    <w:rsid w:val="005F47AC"/>
    <w:rsid w:val="005F49AF"/>
    <w:rsid w:val="005F4A58"/>
    <w:rsid w:val="005F54DF"/>
    <w:rsid w:val="005F5888"/>
    <w:rsid w:val="005F5935"/>
    <w:rsid w:val="005F5984"/>
    <w:rsid w:val="005F5EAB"/>
    <w:rsid w:val="005F6CE2"/>
    <w:rsid w:val="005F6EC8"/>
    <w:rsid w:val="005F6F24"/>
    <w:rsid w:val="005F7112"/>
    <w:rsid w:val="005F72E9"/>
    <w:rsid w:val="005F780B"/>
    <w:rsid w:val="005F7DE2"/>
    <w:rsid w:val="0060009C"/>
    <w:rsid w:val="00600473"/>
    <w:rsid w:val="00600516"/>
    <w:rsid w:val="00601055"/>
    <w:rsid w:val="0060139A"/>
    <w:rsid w:val="006013C9"/>
    <w:rsid w:val="00601624"/>
    <w:rsid w:val="00601A39"/>
    <w:rsid w:val="00602931"/>
    <w:rsid w:val="00602B45"/>
    <w:rsid w:val="00603499"/>
    <w:rsid w:val="006035F5"/>
    <w:rsid w:val="00603CC2"/>
    <w:rsid w:val="00604622"/>
    <w:rsid w:val="006047D1"/>
    <w:rsid w:val="006048A4"/>
    <w:rsid w:val="00604A55"/>
    <w:rsid w:val="00604D4E"/>
    <w:rsid w:val="00604E3E"/>
    <w:rsid w:val="00605AC3"/>
    <w:rsid w:val="00606908"/>
    <w:rsid w:val="0060691B"/>
    <w:rsid w:val="00607860"/>
    <w:rsid w:val="00607996"/>
    <w:rsid w:val="00607A37"/>
    <w:rsid w:val="00607E9F"/>
    <w:rsid w:val="0061085E"/>
    <w:rsid w:val="00610B91"/>
    <w:rsid w:val="006112A7"/>
    <w:rsid w:val="00611398"/>
    <w:rsid w:val="006113B4"/>
    <w:rsid w:val="0061186D"/>
    <w:rsid w:val="00612322"/>
    <w:rsid w:val="006123C0"/>
    <w:rsid w:val="006129AB"/>
    <w:rsid w:val="006129AF"/>
    <w:rsid w:val="00613191"/>
    <w:rsid w:val="006133F9"/>
    <w:rsid w:val="006134B3"/>
    <w:rsid w:val="00613DE1"/>
    <w:rsid w:val="0061401F"/>
    <w:rsid w:val="00614166"/>
    <w:rsid w:val="00614817"/>
    <w:rsid w:val="006149CC"/>
    <w:rsid w:val="0061512C"/>
    <w:rsid w:val="006154A6"/>
    <w:rsid w:val="006157A9"/>
    <w:rsid w:val="0061591D"/>
    <w:rsid w:val="00615ED0"/>
    <w:rsid w:val="0061604C"/>
    <w:rsid w:val="00616C2B"/>
    <w:rsid w:val="00616D7F"/>
    <w:rsid w:val="006178D1"/>
    <w:rsid w:val="00617A92"/>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27963"/>
    <w:rsid w:val="006302AA"/>
    <w:rsid w:val="006310C3"/>
    <w:rsid w:val="0063161E"/>
    <w:rsid w:val="00631B91"/>
    <w:rsid w:val="00631BB5"/>
    <w:rsid w:val="00631DD0"/>
    <w:rsid w:val="0063247E"/>
    <w:rsid w:val="00632CE0"/>
    <w:rsid w:val="006333F8"/>
    <w:rsid w:val="00633833"/>
    <w:rsid w:val="00633A17"/>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0680"/>
    <w:rsid w:val="006407A5"/>
    <w:rsid w:val="00641078"/>
    <w:rsid w:val="00641242"/>
    <w:rsid w:val="00641761"/>
    <w:rsid w:val="00641899"/>
    <w:rsid w:val="00641B12"/>
    <w:rsid w:val="00642126"/>
    <w:rsid w:val="006429C0"/>
    <w:rsid w:val="00642A32"/>
    <w:rsid w:val="00642B8E"/>
    <w:rsid w:val="00642D9F"/>
    <w:rsid w:val="00642F7C"/>
    <w:rsid w:val="00642FC5"/>
    <w:rsid w:val="006433D5"/>
    <w:rsid w:val="00643412"/>
    <w:rsid w:val="00643CF5"/>
    <w:rsid w:val="00644E8F"/>
    <w:rsid w:val="00645844"/>
    <w:rsid w:val="00645CEB"/>
    <w:rsid w:val="00645E63"/>
    <w:rsid w:val="0064673C"/>
    <w:rsid w:val="00646B20"/>
    <w:rsid w:val="00646D0F"/>
    <w:rsid w:val="00647A36"/>
    <w:rsid w:val="00647DCC"/>
    <w:rsid w:val="00647E8E"/>
    <w:rsid w:val="00647EFA"/>
    <w:rsid w:val="00647F14"/>
    <w:rsid w:val="00650027"/>
    <w:rsid w:val="00650E89"/>
    <w:rsid w:val="006516E6"/>
    <w:rsid w:val="00651B9C"/>
    <w:rsid w:val="00651C47"/>
    <w:rsid w:val="00652483"/>
    <w:rsid w:val="00652E70"/>
    <w:rsid w:val="00652E9C"/>
    <w:rsid w:val="0065339A"/>
    <w:rsid w:val="00653469"/>
    <w:rsid w:val="0065443A"/>
    <w:rsid w:val="00654A38"/>
    <w:rsid w:val="00655301"/>
    <w:rsid w:val="00655371"/>
    <w:rsid w:val="00655507"/>
    <w:rsid w:val="006564A5"/>
    <w:rsid w:val="00656C4B"/>
    <w:rsid w:val="006572A7"/>
    <w:rsid w:val="006573EA"/>
    <w:rsid w:val="006577C9"/>
    <w:rsid w:val="006606A4"/>
    <w:rsid w:val="00660B18"/>
    <w:rsid w:val="00660B1A"/>
    <w:rsid w:val="00661029"/>
    <w:rsid w:val="006610C3"/>
    <w:rsid w:val="0066135A"/>
    <w:rsid w:val="00661A38"/>
    <w:rsid w:val="0066272D"/>
    <w:rsid w:val="00662E58"/>
    <w:rsid w:val="00662F39"/>
    <w:rsid w:val="0066352A"/>
    <w:rsid w:val="006635A0"/>
    <w:rsid w:val="00663D26"/>
    <w:rsid w:val="00664351"/>
    <w:rsid w:val="00665968"/>
    <w:rsid w:val="00665BF7"/>
    <w:rsid w:val="00665C4C"/>
    <w:rsid w:val="00665E65"/>
    <w:rsid w:val="006660F0"/>
    <w:rsid w:val="00666178"/>
    <w:rsid w:val="0066639E"/>
    <w:rsid w:val="00666473"/>
    <w:rsid w:val="00666B49"/>
    <w:rsid w:val="00666C72"/>
    <w:rsid w:val="00666D4B"/>
    <w:rsid w:val="00666E6C"/>
    <w:rsid w:val="0066707F"/>
    <w:rsid w:val="00667457"/>
    <w:rsid w:val="00667ED8"/>
    <w:rsid w:val="0067064C"/>
    <w:rsid w:val="00670B20"/>
    <w:rsid w:val="00670E12"/>
    <w:rsid w:val="00670F27"/>
    <w:rsid w:val="006718D8"/>
    <w:rsid w:val="00672E16"/>
    <w:rsid w:val="00672E80"/>
    <w:rsid w:val="0067333F"/>
    <w:rsid w:val="006739E4"/>
    <w:rsid w:val="00673ECF"/>
    <w:rsid w:val="0067426B"/>
    <w:rsid w:val="00674A1B"/>
    <w:rsid w:val="00674D08"/>
    <w:rsid w:val="00674F1C"/>
    <w:rsid w:val="006754F8"/>
    <w:rsid w:val="00676127"/>
    <w:rsid w:val="0067645B"/>
    <w:rsid w:val="006765DF"/>
    <w:rsid w:val="00676AED"/>
    <w:rsid w:val="00677212"/>
    <w:rsid w:val="00677F26"/>
    <w:rsid w:val="006800EE"/>
    <w:rsid w:val="006802A7"/>
    <w:rsid w:val="00680A86"/>
    <w:rsid w:val="00680E4A"/>
    <w:rsid w:val="00680FBE"/>
    <w:rsid w:val="006811C9"/>
    <w:rsid w:val="006812CE"/>
    <w:rsid w:val="0068132A"/>
    <w:rsid w:val="00681C78"/>
    <w:rsid w:val="00682314"/>
    <w:rsid w:val="006826C1"/>
    <w:rsid w:val="00682C89"/>
    <w:rsid w:val="006832B8"/>
    <w:rsid w:val="00683329"/>
    <w:rsid w:val="006836DF"/>
    <w:rsid w:val="006837B2"/>
    <w:rsid w:val="00683800"/>
    <w:rsid w:val="0068420B"/>
    <w:rsid w:val="00684462"/>
    <w:rsid w:val="00684C0D"/>
    <w:rsid w:val="00684C8A"/>
    <w:rsid w:val="00684CF5"/>
    <w:rsid w:val="00684DAB"/>
    <w:rsid w:val="00685022"/>
    <w:rsid w:val="00685188"/>
    <w:rsid w:val="0068553E"/>
    <w:rsid w:val="00685D37"/>
    <w:rsid w:val="00685E7B"/>
    <w:rsid w:val="00686551"/>
    <w:rsid w:val="00686CAB"/>
    <w:rsid w:val="00687049"/>
    <w:rsid w:val="0068717F"/>
    <w:rsid w:val="0068730C"/>
    <w:rsid w:val="00687504"/>
    <w:rsid w:val="00687A14"/>
    <w:rsid w:val="00687A8C"/>
    <w:rsid w:val="00687DAD"/>
    <w:rsid w:val="006901B2"/>
    <w:rsid w:val="00690839"/>
    <w:rsid w:val="006908DB"/>
    <w:rsid w:val="00690DE9"/>
    <w:rsid w:val="00691563"/>
    <w:rsid w:val="00691DE9"/>
    <w:rsid w:val="00691EAA"/>
    <w:rsid w:val="00692245"/>
    <w:rsid w:val="00692745"/>
    <w:rsid w:val="00692FFA"/>
    <w:rsid w:val="006934CB"/>
    <w:rsid w:val="00693772"/>
    <w:rsid w:val="006937EA"/>
    <w:rsid w:val="00693984"/>
    <w:rsid w:val="00693B77"/>
    <w:rsid w:val="00694156"/>
    <w:rsid w:val="00694160"/>
    <w:rsid w:val="00694E8B"/>
    <w:rsid w:val="006959A5"/>
    <w:rsid w:val="00695C0C"/>
    <w:rsid w:val="00696736"/>
    <w:rsid w:val="00696A05"/>
    <w:rsid w:val="00697665"/>
    <w:rsid w:val="00697C9A"/>
    <w:rsid w:val="00697E68"/>
    <w:rsid w:val="00697FC1"/>
    <w:rsid w:val="006A0274"/>
    <w:rsid w:val="006A0ADE"/>
    <w:rsid w:val="006A1ED5"/>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824"/>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0DA"/>
    <w:rsid w:val="006B66FA"/>
    <w:rsid w:val="006B67AC"/>
    <w:rsid w:val="006B722F"/>
    <w:rsid w:val="006B786A"/>
    <w:rsid w:val="006B78F2"/>
    <w:rsid w:val="006B7E4E"/>
    <w:rsid w:val="006C003A"/>
    <w:rsid w:val="006C0B6B"/>
    <w:rsid w:val="006C107C"/>
    <w:rsid w:val="006C127C"/>
    <w:rsid w:val="006C189C"/>
    <w:rsid w:val="006C219B"/>
    <w:rsid w:val="006C2454"/>
    <w:rsid w:val="006C2551"/>
    <w:rsid w:val="006C27B9"/>
    <w:rsid w:val="006C2CC0"/>
    <w:rsid w:val="006C32CF"/>
    <w:rsid w:val="006C32EC"/>
    <w:rsid w:val="006C337B"/>
    <w:rsid w:val="006C37CA"/>
    <w:rsid w:val="006C39AE"/>
    <w:rsid w:val="006C40D2"/>
    <w:rsid w:val="006C4B85"/>
    <w:rsid w:val="006C4BBD"/>
    <w:rsid w:val="006C4E02"/>
    <w:rsid w:val="006C5215"/>
    <w:rsid w:val="006C551E"/>
    <w:rsid w:val="006C5B15"/>
    <w:rsid w:val="006C5D32"/>
    <w:rsid w:val="006C5DCB"/>
    <w:rsid w:val="006C6475"/>
    <w:rsid w:val="006C70C4"/>
    <w:rsid w:val="006C741F"/>
    <w:rsid w:val="006D04DA"/>
    <w:rsid w:val="006D10F6"/>
    <w:rsid w:val="006D1254"/>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8F2"/>
    <w:rsid w:val="006D5DCB"/>
    <w:rsid w:val="006D6168"/>
    <w:rsid w:val="006D62E0"/>
    <w:rsid w:val="006D62EA"/>
    <w:rsid w:val="006D658F"/>
    <w:rsid w:val="006D66B2"/>
    <w:rsid w:val="006D6712"/>
    <w:rsid w:val="006D6A12"/>
    <w:rsid w:val="006D712D"/>
    <w:rsid w:val="006D7687"/>
    <w:rsid w:val="006D7D1F"/>
    <w:rsid w:val="006D7D8A"/>
    <w:rsid w:val="006E0158"/>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65A"/>
    <w:rsid w:val="006E77B8"/>
    <w:rsid w:val="006E7AAF"/>
    <w:rsid w:val="006F0F74"/>
    <w:rsid w:val="006F13BA"/>
    <w:rsid w:val="006F15CC"/>
    <w:rsid w:val="006F15F6"/>
    <w:rsid w:val="006F36EA"/>
    <w:rsid w:val="006F3BF9"/>
    <w:rsid w:val="006F4147"/>
    <w:rsid w:val="006F4315"/>
    <w:rsid w:val="006F47A7"/>
    <w:rsid w:val="006F4CB0"/>
    <w:rsid w:val="006F4F78"/>
    <w:rsid w:val="006F50C2"/>
    <w:rsid w:val="006F5251"/>
    <w:rsid w:val="006F5389"/>
    <w:rsid w:val="006F547E"/>
    <w:rsid w:val="006F5CCF"/>
    <w:rsid w:val="006F6F04"/>
    <w:rsid w:val="006F71F5"/>
    <w:rsid w:val="006F72A8"/>
    <w:rsid w:val="006F79BB"/>
    <w:rsid w:val="007000A6"/>
    <w:rsid w:val="00700610"/>
    <w:rsid w:val="00700AAB"/>
    <w:rsid w:val="00700CA2"/>
    <w:rsid w:val="00701234"/>
    <w:rsid w:val="0070138A"/>
    <w:rsid w:val="0070157E"/>
    <w:rsid w:val="007030D4"/>
    <w:rsid w:val="00703279"/>
    <w:rsid w:val="007034D9"/>
    <w:rsid w:val="00703B61"/>
    <w:rsid w:val="00703E11"/>
    <w:rsid w:val="00704102"/>
    <w:rsid w:val="0070437C"/>
    <w:rsid w:val="0070461C"/>
    <w:rsid w:val="00704A76"/>
    <w:rsid w:val="00704C11"/>
    <w:rsid w:val="00704F37"/>
    <w:rsid w:val="00705631"/>
    <w:rsid w:val="00705806"/>
    <w:rsid w:val="00705818"/>
    <w:rsid w:val="00705F62"/>
    <w:rsid w:val="00706813"/>
    <w:rsid w:val="0070773F"/>
    <w:rsid w:val="00707A2E"/>
    <w:rsid w:val="00707ED3"/>
    <w:rsid w:val="007101B7"/>
    <w:rsid w:val="0071041A"/>
    <w:rsid w:val="00710668"/>
    <w:rsid w:val="00711019"/>
    <w:rsid w:val="007110F4"/>
    <w:rsid w:val="007112B1"/>
    <w:rsid w:val="0071130F"/>
    <w:rsid w:val="00712044"/>
    <w:rsid w:val="00712507"/>
    <w:rsid w:val="00712714"/>
    <w:rsid w:val="007129AB"/>
    <w:rsid w:val="00712B63"/>
    <w:rsid w:val="00712E5F"/>
    <w:rsid w:val="0071340B"/>
    <w:rsid w:val="00713526"/>
    <w:rsid w:val="00713FC5"/>
    <w:rsid w:val="00714BB9"/>
    <w:rsid w:val="00714DCA"/>
    <w:rsid w:val="00714EC3"/>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3A0"/>
    <w:rsid w:val="00721BFF"/>
    <w:rsid w:val="00722495"/>
    <w:rsid w:val="007227EB"/>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87"/>
    <w:rsid w:val="00734990"/>
    <w:rsid w:val="00734FF5"/>
    <w:rsid w:val="00735B78"/>
    <w:rsid w:val="00735CA5"/>
    <w:rsid w:val="00735D76"/>
    <w:rsid w:val="00735DA7"/>
    <w:rsid w:val="007363DC"/>
    <w:rsid w:val="00736700"/>
    <w:rsid w:val="007368B4"/>
    <w:rsid w:val="007378E0"/>
    <w:rsid w:val="0074040E"/>
    <w:rsid w:val="00740529"/>
    <w:rsid w:val="00740876"/>
    <w:rsid w:val="00741358"/>
    <w:rsid w:val="00741626"/>
    <w:rsid w:val="00741B0C"/>
    <w:rsid w:val="00742332"/>
    <w:rsid w:val="00742886"/>
    <w:rsid w:val="00742A3A"/>
    <w:rsid w:val="00742DD2"/>
    <w:rsid w:val="007437C6"/>
    <w:rsid w:val="00743834"/>
    <w:rsid w:val="00743F4B"/>
    <w:rsid w:val="007441A2"/>
    <w:rsid w:val="00744273"/>
    <w:rsid w:val="00744E80"/>
    <w:rsid w:val="00745035"/>
    <w:rsid w:val="0074531C"/>
    <w:rsid w:val="00745547"/>
    <w:rsid w:val="007459D0"/>
    <w:rsid w:val="00745A63"/>
    <w:rsid w:val="00745D39"/>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20F0"/>
    <w:rsid w:val="0075226F"/>
    <w:rsid w:val="007522E8"/>
    <w:rsid w:val="007529DB"/>
    <w:rsid w:val="007534AD"/>
    <w:rsid w:val="00753BAC"/>
    <w:rsid w:val="00753E86"/>
    <w:rsid w:val="0075408D"/>
    <w:rsid w:val="00754A0B"/>
    <w:rsid w:val="00755229"/>
    <w:rsid w:val="007552DB"/>
    <w:rsid w:val="0075549F"/>
    <w:rsid w:val="00755732"/>
    <w:rsid w:val="00755B08"/>
    <w:rsid w:val="00755DD0"/>
    <w:rsid w:val="0075647A"/>
    <w:rsid w:val="00756A2F"/>
    <w:rsid w:val="007573E1"/>
    <w:rsid w:val="0075749E"/>
    <w:rsid w:val="00757722"/>
    <w:rsid w:val="00757796"/>
    <w:rsid w:val="00757B2D"/>
    <w:rsid w:val="00757BAD"/>
    <w:rsid w:val="00757C31"/>
    <w:rsid w:val="00757D62"/>
    <w:rsid w:val="00760021"/>
    <w:rsid w:val="00760561"/>
    <w:rsid w:val="00760867"/>
    <w:rsid w:val="00760EB6"/>
    <w:rsid w:val="007616DB"/>
    <w:rsid w:val="0076190A"/>
    <w:rsid w:val="00761AB7"/>
    <w:rsid w:val="00761CE6"/>
    <w:rsid w:val="0076228A"/>
    <w:rsid w:val="00762440"/>
    <w:rsid w:val="00762499"/>
    <w:rsid w:val="0076253F"/>
    <w:rsid w:val="00762705"/>
    <w:rsid w:val="0076275B"/>
    <w:rsid w:val="007629B7"/>
    <w:rsid w:val="00762E60"/>
    <w:rsid w:val="00762E6C"/>
    <w:rsid w:val="00762F54"/>
    <w:rsid w:val="007634AD"/>
    <w:rsid w:val="0076424F"/>
    <w:rsid w:val="0076445F"/>
    <w:rsid w:val="00764863"/>
    <w:rsid w:val="00764EC5"/>
    <w:rsid w:val="007651EF"/>
    <w:rsid w:val="00766D49"/>
    <w:rsid w:val="00766ECC"/>
    <w:rsid w:val="007672F3"/>
    <w:rsid w:val="007677B5"/>
    <w:rsid w:val="007678B1"/>
    <w:rsid w:val="007708A8"/>
    <w:rsid w:val="00772100"/>
    <w:rsid w:val="00772275"/>
    <w:rsid w:val="00772684"/>
    <w:rsid w:val="00772AAF"/>
    <w:rsid w:val="00772C9A"/>
    <w:rsid w:val="00772E2A"/>
    <w:rsid w:val="00773131"/>
    <w:rsid w:val="007732BA"/>
    <w:rsid w:val="007734E4"/>
    <w:rsid w:val="0077380D"/>
    <w:rsid w:val="00773BC8"/>
    <w:rsid w:val="00774337"/>
    <w:rsid w:val="00774549"/>
    <w:rsid w:val="0077466F"/>
    <w:rsid w:val="007752B7"/>
    <w:rsid w:val="007759A8"/>
    <w:rsid w:val="00775C27"/>
    <w:rsid w:val="00775D98"/>
    <w:rsid w:val="00775E31"/>
    <w:rsid w:val="00776B93"/>
    <w:rsid w:val="00776FE5"/>
    <w:rsid w:val="00777101"/>
    <w:rsid w:val="007774E7"/>
    <w:rsid w:val="0077768C"/>
    <w:rsid w:val="00777696"/>
    <w:rsid w:val="00777EDF"/>
    <w:rsid w:val="00777FF4"/>
    <w:rsid w:val="00780251"/>
    <w:rsid w:val="007804FE"/>
    <w:rsid w:val="00780F32"/>
    <w:rsid w:val="00781049"/>
    <w:rsid w:val="0078122E"/>
    <w:rsid w:val="0078165A"/>
    <w:rsid w:val="00781939"/>
    <w:rsid w:val="00781D29"/>
    <w:rsid w:val="007825EF"/>
    <w:rsid w:val="0078286B"/>
    <w:rsid w:val="00782D2C"/>
    <w:rsid w:val="00782FC2"/>
    <w:rsid w:val="0078347A"/>
    <w:rsid w:val="0078410A"/>
    <w:rsid w:val="00784938"/>
    <w:rsid w:val="00784EBF"/>
    <w:rsid w:val="00784FC4"/>
    <w:rsid w:val="00785BBB"/>
    <w:rsid w:val="00785FB2"/>
    <w:rsid w:val="00786937"/>
    <w:rsid w:val="00786FAD"/>
    <w:rsid w:val="007872D6"/>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281A"/>
    <w:rsid w:val="007930D3"/>
    <w:rsid w:val="007936E2"/>
    <w:rsid w:val="0079381F"/>
    <w:rsid w:val="0079398D"/>
    <w:rsid w:val="00793A57"/>
    <w:rsid w:val="00793B2E"/>
    <w:rsid w:val="00793C6A"/>
    <w:rsid w:val="007948F5"/>
    <w:rsid w:val="00795647"/>
    <w:rsid w:val="007963F6"/>
    <w:rsid w:val="007969E1"/>
    <w:rsid w:val="00796DC8"/>
    <w:rsid w:val="00796E80"/>
    <w:rsid w:val="0079744F"/>
    <w:rsid w:val="0079776F"/>
    <w:rsid w:val="007979AD"/>
    <w:rsid w:val="00797A9C"/>
    <w:rsid w:val="007A0502"/>
    <w:rsid w:val="007A0EAB"/>
    <w:rsid w:val="007A2341"/>
    <w:rsid w:val="007A2754"/>
    <w:rsid w:val="007A38A1"/>
    <w:rsid w:val="007A3BBE"/>
    <w:rsid w:val="007A4347"/>
    <w:rsid w:val="007A4766"/>
    <w:rsid w:val="007A4B70"/>
    <w:rsid w:val="007A5947"/>
    <w:rsid w:val="007A717B"/>
    <w:rsid w:val="007A7714"/>
    <w:rsid w:val="007A7775"/>
    <w:rsid w:val="007A7C14"/>
    <w:rsid w:val="007B00EF"/>
    <w:rsid w:val="007B0302"/>
    <w:rsid w:val="007B0313"/>
    <w:rsid w:val="007B0854"/>
    <w:rsid w:val="007B0E48"/>
    <w:rsid w:val="007B14BA"/>
    <w:rsid w:val="007B1929"/>
    <w:rsid w:val="007B1D1B"/>
    <w:rsid w:val="007B1D33"/>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6DB"/>
    <w:rsid w:val="007C097D"/>
    <w:rsid w:val="007C0AF2"/>
    <w:rsid w:val="007C0DD4"/>
    <w:rsid w:val="007C1672"/>
    <w:rsid w:val="007C17AE"/>
    <w:rsid w:val="007C21E1"/>
    <w:rsid w:val="007C227C"/>
    <w:rsid w:val="007C24EE"/>
    <w:rsid w:val="007C312A"/>
    <w:rsid w:val="007C3538"/>
    <w:rsid w:val="007C3570"/>
    <w:rsid w:val="007C3F3B"/>
    <w:rsid w:val="007C4097"/>
    <w:rsid w:val="007C4241"/>
    <w:rsid w:val="007C425E"/>
    <w:rsid w:val="007C44DF"/>
    <w:rsid w:val="007C55FF"/>
    <w:rsid w:val="007C5642"/>
    <w:rsid w:val="007C6339"/>
    <w:rsid w:val="007C6B63"/>
    <w:rsid w:val="007C753F"/>
    <w:rsid w:val="007C7C43"/>
    <w:rsid w:val="007C7E15"/>
    <w:rsid w:val="007C7F0D"/>
    <w:rsid w:val="007D06E3"/>
    <w:rsid w:val="007D09E4"/>
    <w:rsid w:val="007D1134"/>
    <w:rsid w:val="007D12EC"/>
    <w:rsid w:val="007D1774"/>
    <w:rsid w:val="007D231B"/>
    <w:rsid w:val="007D23F7"/>
    <w:rsid w:val="007D242C"/>
    <w:rsid w:val="007D24F0"/>
    <w:rsid w:val="007D2566"/>
    <w:rsid w:val="007D2C18"/>
    <w:rsid w:val="007D2D74"/>
    <w:rsid w:val="007D2DA3"/>
    <w:rsid w:val="007D3693"/>
    <w:rsid w:val="007D3C6D"/>
    <w:rsid w:val="007D481A"/>
    <w:rsid w:val="007D4B96"/>
    <w:rsid w:val="007D4ED0"/>
    <w:rsid w:val="007D54D9"/>
    <w:rsid w:val="007D5648"/>
    <w:rsid w:val="007D58C5"/>
    <w:rsid w:val="007D5DE8"/>
    <w:rsid w:val="007D7CCB"/>
    <w:rsid w:val="007D7CFC"/>
    <w:rsid w:val="007E0812"/>
    <w:rsid w:val="007E0825"/>
    <w:rsid w:val="007E0D49"/>
    <w:rsid w:val="007E118A"/>
    <w:rsid w:val="007E18DF"/>
    <w:rsid w:val="007E1E45"/>
    <w:rsid w:val="007E1F52"/>
    <w:rsid w:val="007E214A"/>
    <w:rsid w:val="007E238D"/>
    <w:rsid w:val="007E2C36"/>
    <w:rsid w:val="007E327F"/>
    <w:rsid w:val="007E350D"/>
    <w:rsid w:val="007E3ACA"/>
    <w:rsid w:val="007E3B28"/>
    <w:rsid w:val="007E3F4A"/>
    <w:rsid w:val="007E526E"/>
    <w:rsid w:val="007E564D"/>
    <w:rsid w:val="007E5C4A"/>
    <w:rsid w:val="007E64D4"/>
    <w:rsid w:val="007E66E9"/>
    <w:rsid w:val="007E69F2"/>
    <w:rsid w:val="007E7432"/>
    <w:rsid w:val="007E74BF"/>
    <w:rsid w:val="007E7657"/>
    <w:rsid w:val="007E7B55"/>
    <w:rsid w:val="007E7D2E"/>
    <w:rsid w:val="007E7E0E"/>
    <w:rsid w:val="007E7E80"/>
    <w:rsid w:val="007F14D3"/>
    <w:rsid w:val="007F1655"/>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5A1"/>
    <w:rsid w:val="00800E6D"/>
    <w:rsid w:val="008013FB"/>
    <w:rsid w:val="008014D9"/>
    <w:rsid w:val="0080150F"/>
    <w:rsid w:val="0080153A"/>
    <w:rsid w:val="00801A2A"/>
    <w:rsid w:val="00801EBB"/>
    <w:rsid w:val="00802041"/>
    <w:rsid w:val="008022C9"/>
    <w:rsid w:val="00802605"/>
    <w:rsid w:val="00802F9E"/>
    <w:rsid w:val="00803566"/>
    <w:rsid w:val="00803700"/>
    <w:rsid w:val="0080376A"/>
    <w:rsid w:val="00803D9D"/>
    <w:rsid w:val="0080434C"/>
    <w:rsid w:val="008056C1"/>
    <w:rsid w:val="008059C6"/>
    <w:rsid w:val="00805AD7"/>
    <w:rsid w:val="00805BD6"/>
    <w:rsid w:val="00805DE3"/>
    <w:rsid w:val="00807C35"/>
    <w:rsid w:val="00807F35"/>
    <w:rsid w:val="00807F69"/>
    <w:rsid w:val="008100F7"/>
    <w:rsid w:val="00810179"/>
    <w:rsid w:val="00810206"/>
    <w:rsid w:val="0081022B"/>
    <w:rsid w:val="0081082C"/>
    <w:rsid w:val="00810A15"/>
    <w:rsid w:val="00811898"/>
    <w:rsid w:val="00811C6D"/>
    <w:rsid w:val="00811CDC"/>
    <w:rsid w:val="008124D8"/>
    <w:rsid w:val="00812C9E"/>
    <w:rsid w:val="00812DAE"/>
    <w:rsid w:val="008139F9"/>
    <w:rsid w:val="00813A7B"/>
    <w:rsid w:val="00813F04"/>
    <w:rsid w:val="0081513E"/>
    <w:rsid w:val="00815DA5"/>
    <w:rsid w:val="00815E70"/>
    <w:rsid w:val="00816221"/>
    <w:rsid w:val="0081749A"/>
    <w:rsid w:val="008174F3"/>
    <w:rsid w:val="0081766B"/>
    <w:rsid w:val="008201DE"/>
    <w:rsid w:val="008205AC"/>
    <w:rsid w:val="00820705"/>
    <w:rsid w:val="00820CBF"/>
    <w:rsid w:val="00820FA8"/>
    <w:rsid w:val="008212FD"/>
    <w:rsid w:val="00821489"/>
    <w:rsid w:val="0082168D"/>
    <w:rsid w:val="008217B7"/>
    <w:rsid w:val="00822069"/>
    <w:rsid w:val="0082239B"/>
    <w:rsid w:val="0082292E"/>
    <w:rsid w:val="00822D06"/>
    <w:rsid w:val="00822EC4"/>
    <w:rsid w:val="0082348D"/>
    <w:rsid w:val="008236BE"/>
    <w:rsid w:val="008241CE"/>
    <w:rsid w:val="0082520B"/>
    <w:rsid w:val="00825240"/>
    <w:rsid w:val="008255CB"/>
    <w:rsid w:val="00825B01"/>
    <w:rsid w:val="00825B43"/>
    <w:rsid w:val="00825FEE"/>
    <w:rsid w:val="00826F71"/>
    <w:rsid w:val="008273EC"/>
    <w:rsid w:val="008275DC"/>
    <w:rsid w:val="00827CC0"/>
    <w:rsid w:val="008306AB"/>
    <w:rsid w:val="00831026"/>
    <w:rsid w:val="0083119B"/>
    <w:rsid w:val="00831BAE"/>
    <w:rsid w:val="00832216"/>
    <w:rsid w:val="00832513"/>
    <w:rsid w:val="00832CD0"/>
    <w:rsid w:val="00833430"/>
    <w:rsid w:val="00833ADA"/>
    <w:rsid w:val="00833FFC"/>
    <w:rsid w:val="00834128"/>
    <w:rsid w:val="0083417F"/>
    <w:rsid w:val="00835143"/>
    <w:rsid w:val="0083569B"/>
    <w:rsid w:val="00835741"/>
    <w:rsid w:val="00836E74"/>
    <w:rsid w:val="00836EAB"/>
    <w:rsid w:val="00837673"/>
    <w:rsid w:val="00837937"/>
    <w:rsid w:val="00837D82"/>
    <w:rsid w:val="00837EF3"/>
    <w:rsid w:val="008402C1"/>
    <w:rsid w:val="00840893"/>
    <w:rsid w:val="00840E88"/>
    <w:rsid w:val="008410B1"/>
    <w:rsid w:val="00841275"/>
    <w:rsid w:val="008414F0"/>
    <w:rsid w:val="00841515"/>
    <w:rsid w:val="00841677"/>
    <w:rsid w:val="00842181"/>
    <w:rsid w:val="008423EC"/>
    <w:rsid w:val="008429A6"/>
    <w:rsid w:val="00843615"/>
    <w:rsid w:val="00843698"/>
    <w:rsid w:val="00843A4B"/>
    <w:rsid w:val="00843B57"/>
    <w:rsid w:val="00843B60"/>
    <w:rsid w:val="00843D33"/>
    <w:rsid w:val="008444F0"/>
    <w:rsid w:val="00844D4F"/>
    <w:rsid w:val="00844F38"/>
    <w:rsid w:val="008453BA"/>
    <w:rsid w:val="00845AE3"/>
    <w:rsid w:val="00845B36"/>
    <w:rsid w:val="008466A0"/>
    <w:rsid w:val="00846FE7"/>
    <w:rsid w:val="00847535"/>
    <w:rsid w:val="00847B6D"/>
    <w:rsid w:val="0085092D"/>
    <w:rsid w:val="008509A5"/>
    <w:rsid w:val="00850C79"/>
    <w:rsid w:val="00850D82"/>
    <w:rsid w:val="00850F79"/>
    <w:rsid w:val="0085100B"/>
    <w:rsid w:val="008510A1"/>
    <w:rsid w:val="008518A3"/>
    <w:rsid w:val="00851D77"/>
    <w:rsid w:val="0085220E"/>
    <w:rsid w:val="0085304C"/>
    <w:rsid w:val="008536BB"/>
    <w:rsid w:val="00853A3C"/>
    <w:rsid w:val="00853B48"/>
    <w:rsid w:val="00853CE0"/>
    <w:rsid w:val="008548CA"/>
    <w:rsid w:val="00855760"/>
    <w:rsid w:val="008563B0"/>
    <w:rsid w:val="0085694D"/>
    <w:rsid w:val="00856C06"/>
    <w:rsid w:val="00857638"/>
    <w:rsid w:val="0085790B"/>
    <w:rsid w:val="008579B9"/>
    <w:rsid w:val="00857C95"/>
    <w:rsid w:val="00857E78"/>
    <w:rsid w:val="00860AEF"/>
    <w:rsid w:val="00860B18"/>
    <w:rsid w:val="00860D5E"/>
    <w:rsid w:val="0086122C"/>
    <w:rsid w:val="00861310"/>
    <w:rsid w:val="00861C4D"/>
    <w:rsid w:val="00861F53"/>
    <w:rsid w:val="008627DE"/>
    <w:rsid w:val="0086289E"/>
    <w:rsid w:val="008629CB"/>
    <w:rsid w:val="00863664"/>
    <w:rsid w:val="0086394E"/>
    <w:rsid w:val="00863F8A"/>
    <w:rsid w:val="00863FE3"/>
    <w:rsid w:val="008640C4"/>
    <w:rsid w:val="008641D5"/>
    <w:rsid w:val="00864241"/>
    <w:rsid w:val="008645AA"/>
    <w:rsid w:val="0086468A"/>
    <w:rsid w:val="00864E22"/>
    <w:rsid w:val="008650BE"/>
    <w:rsid w:val="00865EAF"/>
    <w:rsid w:val="00865FC6"/>
    <w:rsid w:val="0086633B"/>
    <w:rsid w:val="00866495"/>
    <w:rsid w:val="00866881"/>
    <w:rsid w:val="00866931"/>
    <w:rsid w:val="008673AE"/>
    <w:rsid w:val="00867512"/>
    <w:rsid w:val="008678A3"/>
    <w:rsid w:val="00867C13"/>
    <w:rsid w:val="00867C1D"/>
    <w:rsid w:val="0087033C"/>
    <w:rsid w:val="008715ED"/>
    <w:rsid w:val="008717D8"/>
    <w:rsid w:val="00871B2E"/>
    <w:rsid w:val="00871E3C"/>
    <w:rsid w:val="0087267F"/>
    <w:rsid w:val="00872F97"/>
    <w:rsid w:val="008741E9"/>
    <w:rsid w:val="00874607"/>
    <w:rsid w:val="008747E9"/>
    <w:rsid w:val="00874915"/>
    <w:rsid w:val="00874B89"/>
    <w:rsid w:val="00875403"/>
    <w:rsid w:val="00875434"/>
    <w:rsid w:val="00875C1F"/>
    <w:rsid w:val="00876215"/>
    <w:rsid w:val="0087646C"/>
    <w:rsid w:val="00876815"/>
    <w:rsid w:val="00876BF7"/>
    <w:rsid w:val="00877932"/>
    <w:rsid w:val="008808C7"/>
    <w:rsid w:val="0088106B"/>
    <w:rsid w:val="0088107D"/>
    <w:rsid w:val="0088187A"/>
    <w:rsid w:val="00881E64"/>
    <w:rsid w:val="00882E39"/>
    <w:rsid w:val="00883559"/>
    <w:rsid w:val="008850EB"/>
    <w:rsid w:val="00885228"/>
    <w:rsid w:val="008857E3"/>
    <w:rsid w:val="00886844"/>
    <w:rsid w:val="00886DF2"/>
    <w:rsid w:val="00886FB9"/>
    <w:rsid w:val="00887057"/>
    <w:rsid w:val="00887080"/>
    <w:rsid w:val="00887C79"/>
    <w:rsid w:val="008908DC"/>
    <w:rsid w:val="00890E6F"/>
    <w:rsid w:val="0089107B"/>
    <w:rsid w:val="008913CC"/>
    <w:rsid w:val="008914AE"/>
    <w:rsid w:val="008919CF"/>
    <w:rsid w:val="00891F84"/>
    <w:rsid w:val="00891FC3"/>
    <w:rsid w:val="008924EF"/>
    <w:rsid w:val="00892703"/>
    <w:rsid w:val="008928EC"/>
    <w:rsid w:val="00892A15"/>
    <w:rsid w:val="00892E5D"/>
    <w:rsid w:val="008935CF"/>
    <w:rsid w:val="00893E9B"/>
    <w:rsid w:val="00894039"/>
    <w:rsid w:val="0089436B"/>
    <w:rsid w:val="00894436"/>
    <w:rsid w:val="00894BB1"/>
    <w:rsid w:val="008951D0"/>
    <w:rsid w:val="00895442"/>
    <w:rsid w:val="00895556"/>
    <w:rsid w:val="008955CE"/>
    <w:rsid w:val="0089582D"/>
    <w:rsid w:val="008959C6"/>
    <w:rsid w:val="0089606D"/>
    <w:rsid w:val="00896129"/>
    <w:rsid w:val="00896316"/>
    <w:rsid w:val="008963DE"/>
    <w:rsid w:val="008963ED"/>
    <w:rsid w:val="0089675F"/>
    <w:rsid w:val="00896B51"/>
    <w:rsid w:val="0089774F"/>
    <w:rsid w:val="00897875"/>
    <w:rsid w:val="00897B8F"/>
    <w:rsid w:val="008A00D9"/>
    <w:rsid w:val="008A07D5"/>
    <w:rsid w:val="008A1C96"/>
    <w:rsid w:val="008A1FB7"/>
    <w:rsid w:val="008A229A"/>
    <w:rsid w:val="008A2A23"/>
    <w:rsid w:val="008A2AF5"/>
    <w:rsid w:val="008A2B5A"/>
    <w:rsid w:val="008A37F9"/>
    <w:rsid w:val="008A3F9D"/>
    <w:rsid w:val="008A41F8"/>
    <w:rsid w:val="008A52A0"/>
    <w:rsid w:val="008A5474"/>
    <w:rsid w:val="008A5C9A"/>
    <w:rsid w:val="008A6005"/>
    <w:rsid w:val="008A614F"/>
    <w:rsid w:val="008A66F2"/>
    <w:rsid w:val="008A6A55"/>
    <w:rsid w:val="008A6DF0"/>
    <w:rsid w:val="008A6F6E"/>
    <w:rsid w:val="008A7888"/>
    <w:rsid w:val="008A796E"/>
    <w:rsid w:val="008B0862"/>
    <w:rsid w:val="008B087A"/>
    <w:rsid w:val="008B088C"/>
    <w:rsid w:val="008B1BF5"/>
    <w:rsid w:val="008B1C27"/>
    <w:rsid w:val="008B214B"/>
    <w:rsid w:val="008B263F"/>
    <w:rsid w:val="008B3045"/>
    <w:rsid w:val="008B36BE"/>
    <w:rsid w:val="008B47A6"/>
    <w:rsid w:val="008B5C7C"/>
    <w:rsid w:val="008B63FE"/>
    <w:rsid w:val="008B672C"/>
    <w:rsid w:val="008B7045"/>
    <w:rsid w:val="008B7108"/>
    <w:rsid w:val="008C065F"/>
    <w:rsid w:val="008C0743"/>
    <w:rsid w:val="008C0B4C"/>
    <w:rsid w:val="008C11F0"/>
    <w:rsid w:val="008C1918"/>
    <w:rsid w:val="008C1DBA"/>
    <w:rsid w:val="008C1EAE"/>
    <w:rsid w:val="008C24E7"/>
    <w:rsid w:val="008C2500"/>
    <w:rsid w:val="008C2CAC"/>
    <w:rsid w:val="008C3903"/>
    <w:rsid w:val="008C3C57"/>
    <w:rsid w:val="008C3E2A"/>
    <w:rsid w:val="008C3F27"/>
    <w:rsid w:val="008C45BD"/>
    <w:rsid w:val="008C4B19"/>
    <w:rsid w:val="008C5115"/>
    <w:rsid w:val="008C5983"/>
    <w:rsid w:val="008C62D4"/>
    <w:rsid w:val="008C6754"/>
    <w:rsid w:val="008C6B89"/>
    <w:rsid w:val="008C6B97"/>
    <w:rsid w:val="008C7EF7"/>
    <w:rsid w:val="008C7F13"/>
    <w:rsid w:val="008D094D"/>
    <w:rsid w:val="008D0ECE"/>
    <w:rsid w:val="008D15D4"/>
    <w:rsid w:val="008D18AA"/>
    <w:rsid w:val="008D19D9"/>
    <w:rsid w:val="008D1A2A"/>
    <w:rsid w:val="008D1ADE"/>
    <w:rsid w:val="008D3199"/>
    <w:rsid w:val="008D35D9"/>
    <w:rsid w:val="008D3B36"/>
    <w:rsid w:val="008D3B85"/>
    <w:rsid w:val="008D3FFE"/>
    <w:rsid w:val="008D42D2"/>
    <w:rsid w:val="008D4596"/>
    <w:rsid w:val="008D462D"/>
    <w:rsid w:val="008D6084"/>
    <w:rsid w:val="008D64AC"/>
    <w:rsid w:val="008D656F"/>
    <w:rsid w:val="008D65FB"/>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5FC"/>
    <w:rsid w:val="008E4CAE"/>
    <w:rsid w:val="008E5179"/>
    <w:rsid w:val="008E57FE"/>
    <w:rsid w:val="008E6598"/>
    <w:rsid w:val="008E6F19"/>
    <w:rsid w:val="008E710F"/>
    <w:rsid w:val="008E7214"/>
    <w:rsid w:val="008E7471"/>
    <w:rsid w:val="008E7497"/>
    <w:rsid w:val="008E7884"/>
    <w:rsid w:val="008E7D6E"/>
    <w:rsid w:val="008F1056"/>
    <w:rsid w:val="008F13FF"/>
    <w:rsid w:val="008F2E8D"/>
    <w:rsid w:val="008F361D"/>
    <w:rsid w:val="008F387B"/>
    <w:rsid w:val="008F3DD9"/>
    <w:rsid w:val="008F40DC"/>
    <w:rsid w:val="008F4163"/>
    <w:rsid w:val="008F4814"/>
    <w:rsid w:val="008F4B18"/>
    <w:rsid w:val="008F4DA6"/>
    <w:rsid w:val="008F538E"/>
    <w:rsid w:val="008F5751"/>
    <w:rsid w:val="008F5A20"/>
    <w:rsid w:val="008F5ABA"/>
    <w:rsid w:val="008F5B57"/>
    <w:rsid w:val="008F6157"/>
    <w:rsid w:val="008F71AB"/>
    <w:rsid w:val="008F7905"/>
    <w:rsid w:val="008F7989"/>
    <w:rsid w:val="00900861"/>
    <w:rsid w:val="00900912"/>
    <w:rsid w:val="009013B8"/>
    <w:rsid w:val="00901765"/>
    <w:rsid w:val="00901F1D"/>
    <w:rsid w:val="009028E8"/>
    <w:rsid w:val="00902CC9"/>
    <w:rsid w:val="00902E5C"/>
    <w:rsid w:val="0090363E"/>
    <w:rsid w:val="00903679"/>
    <w:rsid w:val="00903788"/>
    <w:rsid w:val="00903C57"/>
    <w:rsid w:val="009046E5"/>
    <w:rsid w:val="00904782"/>
    <w:rsid w:val="009047C5"/>
    <w:rsid w:val="00906007"/>
    <w:rsid w:val="00906166"/>
    <w:rsid w:val="00906C54"/>
    <w:rsid w:val="00906D34"/>
    <w:rsid w:val="009100A1"/>
    <w:rsid w:val="00910683"/>
    <w:rsid w:val="00910E00"/>
    <w:rsid w:val="00910E04"/>
    <w:rsid w:val="009116CE"/>
    <w:rsid w:val="00911714"/>
    <w:rsid w:val="00911D04"/>
    <w:rsid w:val="00911EFF"/>
    <w:rsid w:val="00913035"/>
    <w:rsid w:val="0091310F"/>
    <w:rsid w:val="009136D4"/>
    <w:rsid w:val="00914B9A"/>
    <w:rsid w:val="00914C3F"/>
    <w:rsid w:val="00914F33"/>
    <w:rsid w:val="00915EFE"/>
    <w:rsid w:val="00915FCE"/>
    <w:rsid w:val="00916907"/>
    <w:rsid w:val="00916AFE"/>
    <w:rsid w:val="00916FC8"/>
    <w:rsid w:val="009170D3"/>
    <w:rsid w:val="0091759C"/>
    <w:rsid w:val="009177F5"/>
    <w:rsid w:val="00917CBE"/>
    <w:rsid w:val="00920026"/>
    <w:rsid w:val="009203E2"/>
    <w:rsid w:val="009207DF"/>
    <w:rsid w:val="00920BF5"/>
    <w:rsid w:val="00920F61"/>
    <w:rsid w:val="00921304"/>
    <w:rsid w:val="00921395"/>
    <w:rsid w:val="00921805"/>
    <w:rsid w:val="00921E63"/>
    <w:rsid w:val="009220F6"/>
    <w:rsid w:val="00923396"/>
    <w:rsid w:val="00923A05"/>
    <w:rsid w:val="00923F56"/>
    <w:rsid w:val="009242A6"/>
    <w:rsid w:val="00924770"/>
    <w:rsid w:val="00925022"/>
    <w:rsid w:val="00925346"/>
    <w:rsid w:val="0092557B"/>
    <w:rsid w:val="00925743"/>
    <w:rsid w:val="0092579F"/>
    <w:rsid w:val="00927E8D"/>
    <w:rsid w:val="00927F23"/>
    <w:rsid w:val="009307CD"/>
    <w:rsid w:val="0093110D"/>
    <w:rsid w:val="00931364"/>
    <w:rsid w:val="00931365"/>
    <w:rsid w:val="00931427"/>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37EB5"/>
    <w:rsid w:val="00940207"/>
    <w:rsid w:val="00940477"/>
    <w:rsid w:val="00940876"/>
    <w:rsid w:val="00940A53"/>
    <w:rsid w:val="00940DBD"/>
    <w:rsid w:val="00940F3C"/>
    <w:rsid w:val="009410E0"/>
    <w:rsid w:val="00941B72"/>
    <w:rsid w:val="00941FA9"/>
    <w:rsid w:val="009439B6"/>
    <w:rsid w:val="009444B4"/>
    <w:rsid w:val="00944644"/>
    <w:rsid w:val="00945281"/>
    <w:rsid w:val="009459EA"/>
    <w:rsid w:val="00945DAE"/>
    <w:rsid w:val="00946A24"/>
    <w:rsid w:val="009470D4"/>
    <w:rsid w:val="00947337"/>
    <w:rsid w:val="009477BD"/>
    <w:rsid w:val="00947E6E"/>
    <w:rsid w:val="00950A54"/>
    <w:rsid w:val="009512EA"/>
    <w:rsid w:val="009512FA"/>
    <w:rsid w:val="009516A9"/>
    <w:rsid w:val="00951E57"/>
    <w:rsid w:val="00952350"/>
    <w:rsid w:val="00952505"/>
    <w:rsid w:val="00953018"/>
    <w:rsid w:val="009533E2"/>
    <w:rsid w:val="00953554"/>
    <w:rsid w:val="0095385A"/>
    <w:rsid w:val="00954F3A"/>
    <w:rsid w:val="00955541"/>
    <w:rsid w:val="00955DFD"/>
    <w:rsid w:val="0095674F"/>
    <w:rsid w:val="0095747E"/>
    <w:rsid w:val="0095780A"/>
    <w:rsid w:val="009578C3"/>
    <w:rsid w:val="009579E4"/>
    <w:rsid w:val="00957AA4"/>
    <w:rsid w:val="00957ACB"/>
    <w:rsid w:val="00957F27"/>
    <w:rsid w:val="00960BDB"/>
    <w:rsid w:val="0096105C"/>
    <w:rsid w:val="0096147D"/>
    <w:rsid w:val="0096181D"/>
    <w:rsid w:val="00961C14"/>
    <w:rsid w:val="00961D53"/>
    <w:rsid w:val="00961E5F"/>
    <w:rsid w:val="009625C6"/>
    <w:rsid w:val="009629B5"/>
    <w:rsid w:val="00962A50"/>
    <w:rsid w:val="00962C93"/>
    <w:rsid w:val="00963550"/>
    <w:rsid w:val="00963A67"/>
    <w:rsid w:val="00964138"/>
    <w:rsid w:val="009648D6"/>
    <w:rsid w:val="00964B3F"/>
    <w:rsid w:val="00964C98"/>
    <w:rsid w:val="00966948"/>
    <w:rsid w:val="00971441"/>
    <w:rsid w:val="00971555"/>
    <w:rsid w:val="009715D4"/>
    <w:rsid w:val="009715E1"/>
    <w:rsid w:val="0097179A"/>
    <w:rsid w:val="009717AE"/>
    <w:rsid w:val="00971B0A"/>
    <w:rsid w:val="00972AB2"/>
    <w:rsid w:val="009731F4"/>
    <w:rsid w:val="009732A4"/>
    <w:rsid w:val="00973AB3"/>
    <w:rsid w:val="00973C05"/>
    <w:rsid w:val="0097494E"/>
    <w:rsid w:val="00974999"/>
    <w:rsid w:val="00974B58"/>
    <w:rsid w:val="00974CBD"/>
    <w:rsid w:val="00974EF6"/>
    <w:rsid w:val="00975445"/>
    <w:rsid w:val="009755CA"/>
    <w:rsid w:val="009761ED"/>
    <w:rsid w:val="009767BE"/>
    <w:rsid w:val="00976FFF"/>
    <w:rsid w:val="00977F52"/>
    <w:rsid w:val="0098022F"/>
    <w:rsid w:val="009810DE"/>
    <w:rsid w:val="00981B91"/>
    <w:rsid w:val="009822D7"/>
    <w:rsid w:val="009827E6"/>
    <w:rsid w:val="00982F84"/>
    <w:rsid w:val="009831C3"/>
    <w:rsid w:val="00983310"/>
    <w:rsid w:val="009838C1"/>
    <w:rsid w:val="0098427D"/>
    <w:rsid w:val="00984567"/>
    <w:rsid w:val="00985102"/>
    <w:rsid w:val="009854BC"/>
    <w:rsid w:val="00985A66"/>
    <w:rsid w:val="0098606C"/>
    <w:rsid w:val="009865D5"/>
    <w:rsid w:val="009866A4"/>
    <w:rsid w:val="00986CD7"/>
    <w:rsid w:val="0098721B"/>
    <w:rsid w:val="009876F2"/>
    <w:rsid w:val="00987C77"/>
    <w:rsid w:val="00987E4B"/>
    <w:rsid w:val="00987FED"/>
    <w:rsid w:val="00990345"/>
    <w:rsid w:val="00990701"/>
    <w:rsid w:val="009909A8"/>
    <w:rsid w:val="0099119C"/>
    <w:rsid w:val="0099137A"/>
    <w:rsid w:val="00991A9D"/>
    <w:rsid w:val="00991AED"/>
    <w:rsid w:val="0099211C"/>
    <w:rsid w:val="009928AF"/>
    <w:rsid w:val="00993013"/>
    <w:rsid w:val="0099308E"/>
    <w:rsid w:val="009930AB"/>
    <w:rsid w:val="00993125"/>
    <w:rsid w:val="00993B78"/>
    <w:rsid w:val="00994743"/>
    <w:rsid w:val="00994F3F"/>
    <w:rsid w:val="00995119"/>
    <w:rsid w:val="0099531F"/>
    <w:rsid w:val="009953AD"/>
    <w:rsid w:val="00995461"/>
    <w:rsid w:val="009957D7"/>
    <w:rsid w:val="0099583D"/>
    <w:rsid w:val="0099591E"/>
    <w:rsid w:val="00996020"/>
    <w:rsid w:val="0099629E"/>
    <w:rsid w:val="009967A4"/>
    <w:rsid w:val="00996851"/>
    <w:rsid w:val="00996897"/>
    <w:rsid w:val="00996992"/>
    <w:rsid w:val="00996CE5"/>
    <w:rsid w:val="00996E1E"/>
    <w:rsid w:val="00997148"/>
    <w:rsid w:val="00997392"/>
    <w:rsid w:val="0099747C"/>
    <w:rsid w:val="0099771C"/>
    <w:rsid w:val="009A01E4"/>
    <w:rsid w:val="009A0917"/>
    <w:rsid w:val="009A0A33"/>
    <w:rsid w:val="009A10B2"/>
    <w:rsid w:val="009A1351"/>
    <w:rsid w:val="009A2041"/>
    <w:rsid w:val="009A2435"/>
    <w:rsid w:val="009A2B60"/>
    <w:rsid w:val="009A2D3B"/>
    <w:rsid w:val="009A306E"/>
    <w:rsid w:val="009A35DC"/>
    <w:rsid w:val="009A38AB"/>
    <w:rsid w:val="009A38EC"/>
    <w:rsid w:val="009A39EE"/>
    <w:rsid w:val="009A3A33"/>
    <w:rsid w:val="009A3D47"/>
    <w:rsid w:val="009A4C64"/>
    <w:rsid w:val="009A4D63"/>
    <w:rsid w:val="009A5356"/>
    <w:rsid w:val="009A5468"/>
    <w:rsid w:val="009A55D8"/>
    <w:rsid w:val="009A5D99"/>
    <w:rsid w:val="009A5DC6"/>
    <w:rsid w:val="009A608C"/>
    <w:rsid w:val="009A62E5"/>
    <w:rsid w:val="009A6FDF"/>
    <w:rsid w:val="009A715F"/>
    <w:rsid w:val="009A76D6"/>
    <w:rsid w:val="009A7BEB"/>
    <w:rsid w:val="009B03F1"/>
    <w:rsid w:val="009B1481"/>
    <w:rsid w:val="009B2374"/>
    <w:rsid w:val="009B28D6"/>
    <w:rsid w:val="009B2E29"/>
    <w:rsid w:val="009B3163"/>
    <w:rsid w:val="009B422F"/>
    <w:rsid w:val="009B46BC"/>
    <w:rsid w:val="009B48F8"/>
    <w:rsid w:val="009B4D1A"/>
    <w:rsid w:val="009B519D"/>
    <w:rsid w:val="009B558B"/>
    <w:rsid w:val="009B5DAA"/>
    <w:rsid w:val="009B663F"/>
    <w:rsid w:val="009B6D21"/>
    <w:rsid w:val="009B78ED"/>
    <w:rsid w:val="009C0783"/>
    <w:rsid w:val="009C08D7"/>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495"/>
    <w:rsid w:val="009C6BFC"/>
    <w:rsid w:val="009C70F8"/>
    <w:rsid w:val="009C78A3"/>
    <w:rsid w:val="009C7E68"/>
    <w:rsid w:val="009D00D7"/>
    <w:rsid w:val="009D0156"/>
    <w:rsid w:val="009D03B4"/>
    <w:rsid w:val="009D05DA"/>
    <w:rsid w:val="009D0AF9"/>
    <w:rsid w:val="009D11F6"/>
    <w:rsid w:val="009D1A14"/>
    <w:rsid w:val="009D1E2A"/>
    <w:rsid w:val="009D1FA0"/>
    <w:rsid w:val="009D23D3"/>
    <w:rsid w:val="009D28E8"/>
    <w:rsid w:val="009D2BDF"/>
    <w:rsid w:val="009D3736"/>
    <w:rsid w:val="009D3D0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0767"/>
    <w:rsid w:val="009E1035"/>
    <w:rsid w:val="009E13D2"/>
    <w:rsid w:val="009E16DA"/>
    <w:rsid w:val="009E1CD4"/>
    <w:rsid w:val="009E2103"/>
    <w:rsid w:val="009E2391"/>
    <w:rsid w:val="009E2A11"/>
    <w:rsid w:val="009E2C0F"/>
    <w:rsid w:val="009E3BEE"/>
    <w:rsid w:val="009E476A"/>
    <w:rsid w:val="009E4A16"/>
    <w:rsid w:val="009E4E05"/>
    <w:rsid w:val="009E56FF"/>
    <w:rsid w:val="009E5CB1"/>
    <w:rsid w:val="009E5E56"/>
    <w:rsid w:val="009E61EA"/>
    <w:rsid w:val="009E6990"/>
    <w:rsid w:val="009E6BA8"/>
    <w:rsid w:val="009E6FEE"/>
    <w:rsid w:val="009E7068"/>
    <w:rsid w:val="009E788D"/>
    <w:rsid w:val="009E790A"/>
    <w:rsid w:val="009E794B"/>
    <w:rsid w:val="009F00B9"/>
    <w:rsid w:val="009F060F"/>
    <w:rsid w:val="009F0781"/>
    <w:rsid w:val="009F0850"/>
    <w:rsid w:val="009F15A8"/>
    <w:rsid w:val="009F1950"/>
    <w:rsid w:val="009F1BDF"/>
    <w:rsid w:val="009F1EAE"/>
    <w:rsid w:val="009F210A"/>
    <w:rsid w:val="009F2732"/>
    <w:rsid w:val="009F2848"/>
    <w:rsid w:val="009F2A31"/>
    <w:rsid w:val="009F369D"/>
    <w:rsid w:val="009F36FE"/>
    <w:rsid w:val="009F3865"/>
    <w:rsid w:val="009F3C87"/>
    <w:rsid w:val="009F4990"/>
    <w:rsid w:val="009F4F25"/>
    <w:rsid w:val="009F59C2"/>
    <w:rsid w:val="009F6DD3"/>
    <w:rsid w:val="009F7263"/>
    <w:rsid w:val="009F76EA"/>
    <w:rsid w:val="009F78EB"/>
    <w:rsid w:val="009F7DB2"/>
    <w:rsid w:val="009F7F32"/>
    <w:rsid w:val="009F7FEB"/>
    <w:rsid w:val="00A003D5"/>
    <w:rsid w:val="00A0056C"/>
    <w:rsid w:val="00A00F5E"/>
    <w:rsid w:val="00A0109F"/>
    <w:rsid w:val="00A0120D"/>
    <w:rsid w:val="00A01852"/>
    <w:rsid w:val="00A0188B"/>
    <w:rsid w:val="00A01C35"/>
    <w:rsid w:val="00A01E73"/>
    <w:rsid w:val="00A01F7E"/>
    <w:rsid w:val="00A023E7"/>
    <w:rsid w:val="00A02B88"/>
    <w:rsid w:val="00A02EF9"/>
    <w:rsid w:val="00A03160"/>
    <w:rsid w:val="00A036AC"/>
    <w:rsid w:val="00A03C54"/>
    <w:rsid w:val="00A03DE5"/>
    <w:rsid w:val="00A041BC"/>
    <w:rsid w:val="00A0447F"/>
    <w:rsid w:val="00A04532"/>
    <w:rsid w:val="00A046D2"/>
    <w:rsid w:val="00A04A54"/>
    <w:rsid w:val="00A056D2"/>
    <w:rsid w:val="00A058B8"/>
    <w:rsid w:val="00A05B4B"/>
    <w:rsid w:val="00A066C3"/>
    <w:rsid w:val="00A06754"/>
    <w:rsid w:val="00A069E0"/>
    <w:rsid w:val="00A06E4A"/>
    <w:rsid w:val="00A06EB6"/>
    <w:rsid w:val="00A070E9"/>
    <w:rsid w:val="00A07630"/>
    <w:rsid w:val="00A0789B"/>
    <w:rsid w:val="00A078FB"/>
    <w:rsid w:val="00A10209"/>
    <w:rsid w:val="00A1036D"/>
    <w:rsid w:val="00A1057A"/>
    <w:rsid w:val="00A1069F"/>
    <w:rsid w:val="00A10ACA"/>
    <w:rsid w:val="00A10D08"/>
    <w:rsid w:val="00A11720"/>
    <w:rsid w:val="00A11E78"/>
    <w:rsid w:val="00A12355"/>
    <w:rsid w:val="00A12574"/>
    <w:rsid w:val="00A127D2"/>
    <w:rsid w:val="00A1284E"/>
    <w:rsid w:val="00A12AFA"/>
    <w:rsid w:val="00A13CF5"/>
    <w:rsid w:val="00A13EEC"/>
    <w:rsid w:val="00A143EC"/>
    <w:rsid w:val="00A149E8"/>
    <w:rsid w:val="00A1500F"/>
    <w:rsid w:val="00A15621"/>
    <w:rsid w:val="00A15670"/>
    <w:rsid w:val="00A157A0"/>
    <w:rsid w:val="00A1585B"/>
    <w:rsid w:val="00A15C19"/>
    <w:rsid w:val="00A15FE9"/>
    <w:rsid w:val="00A16809"/>
    <w:rsid w:val="00A17584"/>
    <w:rsid w:val="00A17769"/>
    <w:rsid w:val="00A17CA5"/>
    <w:rsid w:val="00A17EA2"/>
    <w:rsid w:val="00A20264"/>
    <w:rsid w:val="00A20997"/>
    <w:rsid w:val="00A210D4"/>
    <w:rsid w:val="00A213DD"/>
    <w:rsid w:val="00A21454"/>
    <w:rsid w:val="00A216CE"/>
    <w:rsid w:val="00A22025"/>
    <w:rsid w:val="00A22498"/>
    <w:rsid w:val="00A22571"/>
    <w:rsid w:val="00A2298D"/>
    <w:rsid w:val="00A235E1"/>
    <w:rsid w:val="00A237CD"/>
    <w:rsid w:val="00A24560"/>
    <w:rsid w:val="00A25088"/>
    <w:rsid w:val="00A25833"/>
    <w:rsid w:val="00A25B0F"/>
    <w:rsid w:val="00A25BBB"/>
    <w:rsid w:val="00A27FB6"/>
    <w:rsid w:val="00A30121"/>
    <w:rsid w:val="00A30368"/>
    <w:rsid w:val="00A3043A"/>
    <w:rsid w:val="00A30E02"/>
    <w:rsid w:val="00A30F6A"/>
    <w:rsid w:val="00A31060"/>
    <w:rsid w:val="00A31C3E"/>
    <w:rsid w:val="00A331E4"/>
    <w:rsid w:val="00A34538"/>
    <w:rsid w:val="00A34677"/>
    <w:rsid w:val="00A3540F"/>
    <w:rsid w:val="00A35630"/>
    <w:rsid w:val="00A35914"/>
    <w:rsid w:val="00A35E91"/>
    <w:rsid w:val="00A36189"/>
    <w:rsid w:val="00A361D8"/>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A5F"/>
    <w:rsid w:val="00A47701"/>
    <w:rsid w:val="00A47849"/>
    <w:rsid w:val="00A500B1"/>
    <w:rsid w:val="00A50238"/>
    <w:rsid w:val="00A51D65"/>
    <w:rsid w:val="00A52A53"/>
    <w:rsid w:val="00A52EE5"/>
    <w:rsid w:val="00A53037"/>
    <w:rsid w:val="00A532B9"/>
    <w:rsid w:val="00A5351D"/>
    <w:rsid w:val="00A53E79"/>
    <w:rsid w:val="00A5402C"/>
    <w:rsid w:val="00A54031"/>
    <w:rsid w:val="00A5426D"/>
    <w:rsid w:val="00A54895"/>
    <w:rsid w:val="00A54FC2"/>
    <w:rsid w:val="00A55122"/>
    <w:rsid w:val="00A55806"/>
    <w:rsid w:val="00A55CEA"/>
    <w:rsid w:val="00A560A9"/>
    <w:rsid w:val="00A56A00"/>
    <w:rsid w:val="00A56DE7"/>
    <w:rsid w:val="00A572F4"/>
    <w:rsid w:val="00A57EB2"/>
    <w:rsid w:val="00A6009E"/>
    <w:rsid w:val="00A60265"/>
    <w:rsid w:val="00A60540"/>
    <w:rsid w:val="00A60B1F"/>
    <w:rsid w:val="00A611B1"/>
    <w:rsid w:val="00A6144B"/>
    <w:rsid w:val="00A61C60"/>
    <w:rsid w:val="00A622EA"/>
    <w:rsid w:val="00A62589"/>
    <w:rsid w:val="00A62AD0"/>
    <w:rsid w:val="00A62B6D"/>
    <w:rsid w:val="00A62C3A"/>
    <w:rsid w:val="00A6319C"/>
    <w:rsid w:val="00A63812"/>
    <w:rsid w:val="00A63DF7"/>
    <w:rsid w:val="00A6454D"/>
    <w:rsid w:val="00A64767"/>
    <w:rsid w:val="00A64F2F"/>
    <w:rsid w:val="00A65960"/>
    <w:rsid w:val="00A6611E"/>
    <w:rsid w:val="00A6662C"/>
    <w:rsid w:val="00A668BA"/>
    <w:rsid w:val="00A66FA7"/>
    <w:rsid w:val="00A67170"/>
    <w:rsid w:val="00A67775"/>
    <w:rsid w:val="00A67E16"/>
    <w:rsid w:val="00A67EB1"/>
    <w:rsid w:val="00A67F1C"/>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2E"/>
    <w:rsid w:val="00A75FD7"/>
    <w:rsid w:val="00A77168"/>
    <w:rsid w:val="00A7723B"/>
    <w:rsid w:val="00A773C3"/>
    <w:rsid w:val="00A7793C"/>
    <w:rsid w:val="00A77D21"/>
    <w:rsid w:val="00A80085"/>
    <w:rsid w:val="00A8043B"/>
    <w:rsid w:val="00A80DA0"/>
    <w:rsid w:val="00A80E81"/>
    <w:rsid w:val="00A81323"/>
    <w:rsid w:val="00A820CB"/>
    <w:rsid w:val="00A82342"/>
    <w:rsid w:val="00A8236F"/>
    <w:rsid w:val="00A82D06"/>
    <w:rsid w:val="00A83096"/>
    <w:rsid w:val="00A832DB"/>
    <w:rsid w:val="00A83BEF"/>
    <w:rsid w:val="00A83C21"/>
    <w:rsid w:val="00A84443"/>
    <w:rsid w:val="00A8487F"/>
    <w:rsid w:val="00A84935"/>
    <w:rsid w:val="00A849A3"/>
    <w:rsid w:val="00A84A0E"/>
    <w:rsid w:val="00A8575D"/>
    <w:rsid w:val="00A861F4"/>
    <w:rsid w:val="00A86E0B"/>
    <w:rsid w:val="00A90546"/>
    <w:rsid w:val="00A90AD3"/>
    <w:rsid w:val="00A90F12"/>
    <w:rsid w:val="00A91C08"/>
    <w:rsid w:val="00A91DAA"/>
    <w:rsid w:val="00A928D0"/>
    <w:rsid w:val="00A93101"/>
    <w:rsid w:val="00A93239"/>
    <w:rsid w:val="00A9413E"/>
    <w:rsid w:val="00A94293"/>
    <w:rsid w:val="00A9496E"/>
    <w:rsid w:val="00A949F0"/>
    <w:rsid w:val="00A94BDE"/>
    <w:rsid w:val="00A94FCA"/>
    <w:rsid w:val="00A95E4C"/>
    <w:rsid w:val="00A96418"/>
    <w:rsid w:val="00A96C60"/>
    <w:rsid w:val="00A9740B"/>
    <w:rsid w:val="00A9766C"/>
    <w:rsid w:val="00A977F8"/>
    <w:rsid w:val="00A979DB"/>
    <w:rsid w:val="00A97A40"/>
    <w:rsid w:val="00A97AE8"/>
    <w:rsid w:val="00A97C93"/>
    <w:rsid w:val="00AA06C6"/>
    <w:rsid w:val="00AA0856"/>
    <w:rsid w:val="00AA08E7"/>
    <w:rsid w:val="00AA0A06"/>
    <w:rsid w:val="00AA1351"/>
    <w:rsid w:val="00AA184C"/>
    <w:rsid w:val="00AA1AF4"/>
    <w:rsid w:val="00AA1C84"/>
    <w:rsid w:val="00AA31C5"/>
    <w:rsid w:val="00AA3D7B"/>
    <w:rsid w:val="00AA42A0"/>
    <w:rsid w:val="00AA442B"/>
    <w:rsid w:val="00AA46A4"/>
    <w:rsid w:val="00AA47FA"/>
    <w:rsid w:val="00AA4BEB"/>
    <w:rsid w:val="00AA5779"/>
    <w:rsid w:val="00AA58A1"/>
    <w:rsid w:val="00AA5E49"/>
    <w:rsid w:val="00AA61C7"/>
    <w:rsid w:val="00AA669D"/>
    <w:rsid w:val="00AA66ED"/>
    <w:rsid w:val="00AA6B59"/>
    <w:rsid w:val="00AA6BE1"/>
    <w:rsid w:val="00AA6DB2"/>
    <w:rsid w:val="00AA7416"/>
    <w:rsid w:val="00AA7A60"/>
    <w:rsid w:val="00AA7B42"/>
    <w:rsid w:val="00AB041C"/>
    <w:rsid w:val="00AB0493"/>
    <w:rsid w:val="00AB14E8"/>
    <w:rsid w:val="00AB1B1D"/>
    <w:rsid w:val="00AB1CD8"/>
    <w:rsid w:val="00AB2216"/>
    <w:rsid w:val="00AB358D"/>
    <w:rsid w:val="00AB37A1"/>
    <w:rsid w:val="00AB3BAD"/>
    <w:rsid w:val="00AB3CFD"/>
    <w:rsid w:val="00AB49BC"/>
    <w:rsid w:val="00AB4DEE"/>
    <w:rsid w:val="00AB4E32"/>
    <w:rsid w:val="00AB5C19"/>
    <w:rsid w:val="00AB60F5"/>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1DF"/>
    <w:rsid w:val="00AC5395"/>
    <w:rsid w:val="00AC55C7"/>
    <w:rsid w:val="00AC56F2"/>
    <w:rsid w:val="00AC5D9D"/>
    <w:rsid w:val="00AC6B7E"/>
    <w:rsid w:val="00AC71C3"/>
    <w:rsid w:val="00AC7356"/>
    <w:rsid w:val="00AD0617"/>
    <w:rsid w:val="00AD0861"/>
    <w:rsid w:val="00AD09F7"/>
    <w:rsid w:val="00AD1B10"/>
    <w:rsid w:val="00AD1EFA"/>
    <w:rsid w:val="00AD2072"/>
    <w:rsid w:val="00AD2DBD"/>
    <w:rsid w:val="00AD2FBF"/>
    <w:rsid w:val="00AD30DB"/>
    <w:rsid w:val="00AD33A1"/>
    <w:rsid w:val="00AD340E"/>
    <w:rsid w:val="00AD4511"/>
    <w:rsid w:val="00AD455D"/>
    <w:rsid w:val="00AD463C"/>
    <w:rsid w:val="00AD470B"/>
    <w:rsid w:val="00AD4864"/>
    <w:rsid w:val="00AD4F60"/>
    <w:rsid w:val="00AD5044"/>
    <w:rsid w:val="00AD5114"/>
    <w:rsid w:val="00AD51D2"/>
    <w:rsid w:val="00AD5523"/>
    <w:rsid w:val="00AD5740"/>
    <w:rsid w:val="00AD604D"/>
    <w:rsid w:val="00AD6236"/>
    <w:rsid w:val="00AD69D5"/>
    <w:rsid w:val="00AD7619"/>
    <w:rsid w:val="00AD7770"/>
    <w:rsid w:val="00AE0053"/>
    <w:rsid w:val="00AE15DF"/>
    <w:rsid w:val="00AE1713"/>
    <w:rsid w:val="00AE1772"/>
    <w:rsid w:val="00AE1990"/>
    <w:rsid w:val="00AE25E8"/>
    <w:rsid w:val="00AE2AD4"/>
    <w:rsid w:val="00AE2CA7"/>
    <w:rsid w:val="00AE2F1D"/>
    <w:rsid w:val="00AE4C81"/>
    <w:rsid w:val="00AE586F"/>
    <w:rsid w:val="00AE6188"/>
    <w:rsid w:val="00AE62F6"/>
    <w:rsid w:val="00AE62FE"/>
    <w:rsid w:val="00AE6447"/>
    <w:rsid w:val="00AE6582"/>
    <w:rsid w:val="00AE6DC5"/>
    <w:rsid w:val="00AE7388"/>
    <w:rsid w:val="00AE7686"/>
    <w:rsid w:val="00AE799A"/>
    <w:rsid w:val="00AE7CF1"/>
    <w:rsid w:val="00AF038D"/>
    <w:rsid w:val="00AF0E81"/>
    <w:rsid w:val="00AF117A"/>
    <w:rsid w:val="00AF134E"/>
    <w:rsid w:val="00AF16CA"/>
    <w:rsid w:val="00AF186E"/>
    <w:rsid w:val="00AF19DF"/>
    <w:rsid w:val="00AF1D41"/>
    <w:rsid w:val="00AF1FBF"/>
    <w:rsid w:val="00AF20DA"/>
    <w:rsid w:val="00AF26CF"/>
    <w:rsid w:val="00AF2CE4"/>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CBB"/>
    <w:rsid w:val="00AF6DEC"/>
    <w:rsid w:val="00AF6EB6"/>
    <w:rsid w:val="00AF7796"/>
    <w:rsid w:val="00AF7E8F"/>
    <w:rsid w:val="00AF7EA3"/>
    <w:rsid w:val="00B011A9"/>
    <w:rsid w:val="00B01BAF"/>
    <w:rsid w:val="00B024ED"/>
    <w:rsid w:val="00B026B8"/>
    <w:rsid w:val="00B02EB3"/>
    <w:rsid w:val="00B02F7C"/>
    <w:rsid w:val="00B02FCB"/>
    <w:rsid w:val="00B033F8"/>
    <w:rsid w:val="00B0343B"/>
    <w:rsid w:val="00B03C1E"/>
    <w:rsid w:val="00B03C32"/>
    <w:rsid w:val="00B04400"/>
    <w:rsid w:val="00B04835"/>
    <w:rsid w:val="00B05901"/>
    <w:rsid w:val="00B05A55"/>
    <w:rsid w:val="00B05DE1"/>
    <w:rsid w:val="00B05F6C"/>
    <w:rsid w:val="00B06530"/>
    <w:rsid w:val="00B06595"/>
    <w:rsid w:val="00B06862"/>
    <w:rsid w:val="00B076C1"/>
    <w:rsid w:val="00B1003F"/>
    <w:rsid w:val="00B10109"/>
    <w:rsid w:val="00B1085E"/>
    <w:rsid w:val="00B10FD1"/>
    <w:rsid w:val="00B112D5"/>
    <w:rsid w:val="00B11378"/>
    <w:rsid w:val="00B1189E"/>
    <w:rsid w:val="00B11CC6"/>
    <w:rsid w:val="00B1219D"/>
    <w:rsid w:val="00B12735"/>
    <w:rsid w:val="00B12F44"/>
    <w:rsid w:val="00B12FBB"/>
    <w:rsid w:val="00B1345E"/>
    <w:rsid w:val="00B13C48"/>
    <w:rsid w:val="00B13E35"/>
    <w:rsid w:val="00B13EC0"/>
    <w:rsid w:val="00B14102"/>
    <w:rsid w:val="00B147B3"/>
    <w:rsid w:val="00B1498E"/>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5FA"/>
    <w:rsid w:val="00B2088D"/>
    <w:rsid w:val="00B208FF"/>
    <w:rsid w:val="00B20E85"/>
    <w:rsid w:val="00B21271"/>
    <w:rsid w:val="00B22E22"/>
    <w:rsid w:val="00B22F5F"/>
    <w:rsid w:val="00B2306B"/>
    <w:rsid w:val="00B23353"/>
    <w:rsid w:val="00B237E6"/>
    <w:rsid w:val="00B23813"/>
    <w:rsid w:val="00B23FBA"/>
    <w:rsid w:val="00B23FD9"/>
    <w:rsid w:val="00B24007"/>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39D"/>
    <w:rsid w:val="00B30884"/>
    <w:rsid w:val="00B30E11"/>
    <w:rsid w:val="00B30EAE"/>
    <w:rsid w:val="00B30EEB"/>
    <w:rsid w:val="00B31423"/>
    <w:rsid w:val="00B314B3"/>
    <w:rsid w:val="00B317AE"/>
    <w:rsid w:val="00B323E0"/>
    <w:rsid w:val="00B32D71"/>
    <w:rsid w:val="00B32DC0"/>
    <w:rsid w:val="00B32E31"/>
    <w:rsid w:val="00B32F53"/>
    <w:rsid w:val="00B3346C"/>
    <w:rsid w:val="00B3353B"/>
    <w:rsid w:val="00B335E4"/>
    <w:rsid w:val="00B33C23"/>
    <w:rsid w:val="00B345B4"/>
    <w:rsid w:val="00B348B1"/>
    <w:rsid w:val="00B34A28"/>
    <w:rsid w:val="00B35046"/>
    <w:rsid w:val="00B3529F"/>
    <w:rsid w:val="00B357F4"/>
    <w:rsid w:val="00B35B6A"/>
    <w:rsid w:val="00B3692A"/>
    <w:rsid w:val="00B36AFD"/>
    <w:rsid w:val="00B36D2B"/>
    <w:rsid w:val="00B37657"/>
    <w:rsid w:val="00B37AFD"/>
    <w:rsid w:val="00B37B07"/>
    <w:rsid w:val="00B4046F"/>
    <w:rsid w:val="00B406B3"/>
    <w:rsid w:val="00B40A36"/>
    <w:rsid w:val="00B41BCA"/>
    <w:rsid w:val="00B41D39"/>
    <w:rsid w:val="00B41E2B"/>
    <w:rsid w:val="00B4220B"/>
    <w:rsid w:val="00B422C0"/>
    <w:rsid w:val="00B426CA"/>
    <w:rsid w:val="00B426E1"/>
    <w:rsid w:val="00B434C1"/>
    <w:rsid w:val="00B43718"/>
    <w:rsid w:val="00B4387A"/>
    <w:rsid w:val="00B43A29"/>
    <w:rsid w:val="00B44746"/>
    <w:rsid w:val="00B44854"/>
    <w:rsid w:val="00B44BA5"/>
    <w:rsid w:val="00B455BD"/>
    <w:rsid w:val="00B458D0"/>
    <w:rsid w:val="00B47428"/>
    <w:rsid w:val="00B4792C"/>
    <w:rsid w:val="00B507A9"/>
    <w:rsid w:val="00B50C5B"/>
    <w:rsid w:val="00B50CAE"/>
    <w:rsid w:val="00B512AD"/>
    <w:rsid w:val="00B51680"/>
    <w:rsid w:val="00B5196C"/>
    <w:rsid w:val="00B525CB"/>
    <w:rsid w:val="00B52697"/>
    <w:rsid w:val="00B53D1A"/>
    <w:rsid w:val="00B541E7"/>
    <w:rsid w:val="00B54215"/>
    <w:rsid w:val="00B54D8F"/>
    <w:rsid w:val="00B5534B"/>
    <w:rsid w:val="00B55857"/>
    <w:rsid w:val="00B55C69"/>
    <w:rsid w:val="00B56851"/>
    <w:rsid w:val="00B56D6E"/>
    <w:rsid w:val="00B572F7"/>
    <w:rsid w:val="00B57B9D"/>
    <w:rsid w:val="00B57DAF"/>
    <w:rsid w:val="00B57E74"/>
    <w:rsid w:val="00B60094"/>
    <w:rsid w:val="00B6022C"/>
    <w:rsid w:val="00B6040C"/>
    <w:rsid w:val="00B61119"/>
    <w:rsid w:val="00B614F8"/>
    <w:rsid w:val="00B61994"/>
    <w:rsid w:val="00B61B18"/>
    <w:rsid w:val="00B61FD4"/>
    <w:rsid w:val="00B6235B"/>
    <w:rsid w:val="00B62880"/>
    <w:rsid w:val="00B62CA0"/>
    <w:rsid w:val="00B63872"/>
    <w:rsid w:val="00B63CB2"/>
    <w:rsid w:val="00B64246"/>
    <w:rsid w:val="00B64EDB"/>
    <w:rsid w:val="00B65938"/>
    <w:rsid w:val="00B65C8A"/>
    <w:rsid w:val="00B65CE2"/>
    <w:rsid w:val="00B660AD"/>
    <w:rsid w:val="00B66109"/>
    <w:rsid w:val="00B66349"/>
    <w:rsid w:val="00B66515"/>
    <w:rsid w:val="00B669B3"/>
    <w:rsid w:val="00B67BE7"/>
    <w:rsid w:val="00B67FBF"/>
    <w:rsid w:val="00B70090"/>
    <w:rsid w:val="00B70832"/>
    <w:rsid w:val="00B71376"/>
    <w:rsid w:val="00B716D7"/>
    <w:rsid w:val="00B72110"/>
    <w:rsid w:val="00B72419"/>
    <w:rsid w:val="00B72B91"/>
    <w:rsid w:val="00B72CB0"/>
    <w:rsid w:val="00B73019"/>
    <w:rsid w:val="00B7315F"/>
    <w:rsid w:val="00B7323A"/>
    <w:rsid w:val="00B7353B"/>
    <w:rsid w:val="00B737FB"/>
    <w:rsid w:val="00B73E5D"/>
    <w:rsid w:val="00B73EF3"/>
    <w:rsid w:val="00B7423D"/>
    <w:rsid w:val="00B74366"/>
    <w:rsid w:val="00B74409"/>
    <w:rsid w:val="00B744EF"/>
    <w:rsid w:val="00B74D05"/>
    <w:rsid w:val="00B74EF8"/>
    <w:rsid w:val="00B75628"/>
    <w:rsid w:val="00B75893"/>
    <w:rsid w:val="00B763F4"/>
    <w:rsid w:val="00B76E53"/>
    <w:rsid w:val="00B771F4"/>
    <w:rsid w:val="00B77271"/>
    <w:rsid w:val="00B7762A"/>
    <w:rsid w:val="00B777FA"/>
    <w:rsid w:val="00B77850"/>
    <w:rsid w:val="00B7796B"/>
    <w:rsid w:val="00B80A7B"/>
    <w:rsid w:val="00B80C72"/>
    <w:rsid w:val="00B80F98"/>
    <w:rsid w:val="00B8101E"/>
    <w:rsid w:val="00B81964"/>
    <w:rsid w:val="00B81E6F"/>
    <w:rsid w:val="00B82123"/>
    <w:rsid w:val="00B8225B"/>
    <w:rsid w:val="00B82BB5"/>
    <w:rsid w:val="00B83182"/>
    <w:rsid w:val="00B837C8"/>
    <w:rsid w:val="00B839F0"/>
    <w:rsid w:val="00B851E4"/>
    <w:rsid w:val="00B8535C"/>
    <w:rsid w:val="00B854CE"/>
    <w:rsid w:val="00B85681"/>
    <w:rsid w:val="00B857EB"/>
    <w:rsid w:val="00B858AD"/>
    <w:rsid w:val="00B86162"/>
    <w:rsid w:val="00B86877"/>
    <w:rsid w:val="00B8695D"/>
    <w:rsid w:val="00B86C04"/>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4017"/>
    <w:rsid w:val="00B94498"/>
    <w:rsid w:val="00B94BD3"/>
    <w:rsid w:val="00B94C02"/>
    <w:rsid w:val="00B95464"/>
    <w:rsid w:val="00B955CE"/>
    <w:rsid w:val="00B95C30"/>
    <w:rsid w:val="00B95E3D"/>
    <w:rsid w:val="00B9691F"/>
    <w:rsid w:val="00B96EEC"/>
    <w:rsid w:val="00B97392"/>
    <w:rsid w:val="00B976C7"/>
    <w:rsid w:val="00B97A73"/>
    <w:rsid w:val="00B97B5E"/>
    <w:rsid w:val="00BA087B"/>
    <w:rsid w:val="00BA0A51"/>
    <w:rsid w:val="00BA0C54"/>
    <w:rsid w:val="00BA1382"/>
    <w:rsid w:val="00BA15E3"/>
    <w:rsid w:val="00BA1A8C"/>
    <w:rsid w:val="00BA1D07"/>
    <w:rsid w:val="00BA20B6"/>
    <w:rsid w:val="00BA20D8"/>
    <w:rsid w:val="00BA22FC"/>
    <w:rsid w:val="00BA2C2A"/>
    <w:rsid w:val="00BA2F30"/>
    <w:rsid w:val="00BA3982"/>
    <w:rsid w:val="00BA405F"/>
    <w:rsid w:val="00BA4771"/>
    <w:rsid w:val="00BA482B"/>
    <w:rsid w:val="00BA5027"/>
    <w:rsid w:val="00BA543F"/>
    <w:rsid w:val="00BA5589"/>
    <w:rsid w:val="00BA55E0"/>
    <w:rsid w:val="00BA5D36"/>
    <w:rsid w:val="00BA665B"/>
    <w:rsid w:val="00BA6FE8"/>
    <w:rsid w:val="00BA732D"/>
    <w:rsid w:val="00BA7370"/>
    <w:rsid w:val="00BA778B"/>
    <w:rsid w:val="00BB0156"/>
    <w:rsid w:val="00BB0888"/>
    <w:rsid w:val="00BB0DF1"/>
    <w:rsid w:val="00BB0E49"/>
    <w:rsid w:val="00BB0E9B"/>
    <w:rsid w:val="00BB12EA"/>
    <w:rsid w:val="00BB1DCA"/>
    <w:rsid w:val="00BB2236"/>
    <w:rsid w:val="00BB2841"/>
    <w:rsid w:val="00BB2FC4"/>
    <w:rsid w:val="00BB300F"/>
    <w:rsid w:val="00BB32C9"/>
    <w:rsid w:val="00BB35C5"/>
    <w:rsid w:val="00BB3F26"/>
    <w:rsid w:val="00BB401E"/>
    <w:rsid w:val="00BB4048"/>
    <w:rsid w:val="00BB4C8E"/>
    <w:rsid w:val="00BB5324"/>
    <w:rsid w:val="00BB57ED"/>
    <w:rsid w:val="00BB5A2D"/>
    <w:rsid w:val="00BB606C"/>
    <w:rsid w:val="00BB65C3"/>
    <w:rsid w:val="00BB662E"/>
    <w:rsid w:val="00BB67A9"/>
    <w:rsid w:val="00BB6C01"/>
    <w:rsid w:val="00BB7942"/>
    <w:rsid w:val="00BB7B13"/>
    <w:rsid w:val="00BB7CD1"/>
    <w:rsid w:val="00BC0F33"/>
    <w:rsid w:val="00BC14A7"/>
    <w:rsid w:val="00BC17CC"/>
    <w:rsid w:val="00BC209F"/>
    <w:rsid w:val="00BC244D"/>
    <w:rsid w:val="00BC24AD"/>
    <w:rsid w:val="00BC2898"/>
    <w:rsid w:val="00BC2928"/>
    <w:rsid w:val="00BC29BD"/>
    <w:rsid w:val="00BC2BB1"/>
    <w:rsid w:val="00BC2BC5"/>
    <w:rsid w:val="00BC30B3"/>
    <w:rsid w:val="00BC34A3"/>
    <w:rsid w:val="00BC3DD4"/>
    <w:rsid w:val="00BC3FF9"/>
    <w:rsid w:val="00BC4834"/>
    <w:rsid w:val="00BC4A97"/>
    <w:rsid w:val="00BC5A25"/>
    <w:rsid w:val="00BC5A3F"/>
    <w:rsid w:val="00BC5FDD"/>
    <w:rsid w:val="00BC68B4"/>
    <w:rsid w:val="00BC71AD"/>
    <w:rsid w:val="00BC7277"/>
    <w:rsid w:val="00BD0140"/>
    <w:rsid w:val="00BD02CC"/>
    <w:rsid w:val="00BD088E"/>
    <w:rsid w:val="00BD0A08"/>
    <w:rsid w:val="00BD0F18"/>
    <w:rsid w:val="00BD182E"/>
    <w:rsid w:val="00BD2063"/>
    <w:rsid w:val="00BD2640"/>
    <w:rsid w:val="00BD2950"/>
    <w:rsid w:val="00BD2C4A"/>
    <w:rsid w:val="00BD337A"/>
    <w:rsid w:val="00BD33D9"/>
    <w:rsid w:val="00BD38C5"/>
    <w:rsid w:val="00BD3A6D"/>
    <w:rsid w:val="00BD3AF1"/>
    <w:rsid w:val="00BD3DEA"/>
    <w:rsid w:val="00BD3E97"/>
    <w:rsid w:val="00BD3EC3"/>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156"/>
    <w:rsid w:val="00BE2661"/>
    <w:rsid w:val="00BE26C0"/>
    <w:rsid w:val="00BE3442"/>
    <w:rsid w:val="00BE3700"/>
    <w:rsid w:val="00BE37CD"/>
    <w:rsid w:val="00BE47B2"/>
    <w:rsid w:val="00BE4881"/>
    <w:rsid w:val="00BE48C7"/>
    <w:rsid w:val="00BE4F66"/>
    <w:rsid w:val="00BE4FBF"/>
    <w:rsid w:val="00BE5238"/>
    <w:rsid w:val="00BE5487"/>
    <w:rsid w:val="00BE5742"/>
    <w:rsid w:val="00BE6074"/>
    <w:rsid w:val="00BE68E2"/>
    <w:rsid w:val="00BE6D73"/>
    <w:rsid w:val="00BE7257"/>
    <w:rsid w:val="00BE7CE9"/>
    <w:rsid w:val="00BF020D"/>
    <w:rsid w:val="00BF0532"/>
    <w:rsid w:val="00BF0609"/>
    <w:rsid w:val="00BF0B32"/>
    <w:rsid w:val="00BF0EE8"/>
    <w:rsid w:val="00BF10ED"/>
    <w:rsid w:val="00BF1DD2"/>
    <w:rsid w:val="00BF23A3"/>
    <w:rsid w:val="00BF2A7E"/>
    <w:rsid w:val="00BF3331"/>
    <w:rsid w:val="00BF3A45"/>
    <w:rsid w:val="00BF4154"/>
    <w:rsid w:val="00BF436F"/>
    <w:rsid w:val="00BF4C4A"/>
    <w:rsid w:val="00BF5C05"/>
    <w:rsid w:val="00BF65E3"/>
    <w:rsid w:val="00BF6990"/>
    <w:rsid w:val="00BF6A12"/>
    <w:rsid w:val="00BF6FC6"/>
    <w:rsid w:val="00BF775D"/>
    <w:rsid w:val="00BF7C52"/>
    <w:rsid w:val="00BF7F3A"/>
    <w:rsid w:val="00BF7F99"/>
    <w:rsid w:val="00C00713"/>
    <w:rsid w:val="00C009A0"/>
    <w:rsid w:val="00C01F74"/>
    <w:rsid w:val="00C020C1"/>
    <w:rsid w:val="00C02558"/>
    <w:rsid w:val="00C025CC"/>
    <w:rsid w:val="00C025FE"/>
    <w:rsid w:val="00C0285F"/>
    <w:rsid w:val="00C028F5"/>
    <w:rsid w:val="00C02F35"/>
    <w:rsid w:val="00C03305"/>
    <w:rsid w:val="00C03515"/>
    <w:rsid w:val="00C03738"/>
    <w:rsid w:val="00C037A6"/>
    <w:rsid w:val="00C03910"/>
    <w:rsid w:val="00C04221"/>
    <w:rsid w:val="00C043F5"/>
    <w:rsid w:val="00C044E3"/>
    <w:rsid w:val="00C04607"/>
    <w:rsid w:val="00C04BDB"/>
    <w:rsid w:val="00C04F1B"/>
    <w:rsid w:val="00C052C6"/>
    <w:rsid w:val="00C05A61"/>
    <w:rsid w:val="00C05FBA"/>
    <w:rsid w:val="00C05FEE"/>
    <w:rsid w:val="00C065A4"/>
    <w:rsid w:val="00C066B4"/>
    <w:rsid w:val="00C06CCF"/>
    <w:rsid w:val="00C0794D"/>
    <w:rsid w:val="00C10E78"/>
    <w:rsid w:val="00C113D8"/>
    <w:rsid w:val="00C1159D"/>
    <w:rsid w:val="00C1233E"/>
    <w:rsid w:val="00C1276C"/>
    <w:rsid w:val="00C12FB3"/>
    <w:rsid w:val="00C138BC"/>
    <w:rsid w:val="00C13D85"/>
    <w:rsid w:val="00C144E4"/>
    <w:rsid w:val="00C14575"/>
    <w:rsid w:val="00C14639"/>
    <w:rsid w:val="00C14E82"/>
    <w:rsid w:val="00C14F61"/>
    <w:rsid w:val="00C14FF6"/>
    <w:rsid w:val="00C156B5"/>
    <w:rsid w:val="00C15A0A"/>
    <w:rsid w:val="00C15A85"/>
    <w:rsid w:val="00C1637C"/>
    <w:rsid w:val="00C1641B"/>
    <w:rsid w:val="00C165FC"/>
    <w:rsid w:val="00C167F7"/>
    <w:rsid w:val="00C16DCE"/>
    <w:rsid w:val="00C176D5"/>
    <w:rsid w:val="00C17D24"/>
    <w:rsid w:val="00C205EF"/>
    <w:rsid w:val="00C2082C"/>
    <w:rsid w:val="00C20EB0"/>
    <w:rsid w:val="00C21004"/>
    <w:rsid w:val="00C21005"/>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490"/>
    <w:rsid w:val="00C27D37"/>
    <w:rsid w:val="00C309E8"/>
    <w:rsid w:val="00C309FE"/>
    <w:rsid w:val="00C30C6E"/>
    <w:rsid w:val="00C32017"/>
    <w:rsid w:val="00C32571"/>
    <w:rsid w:val="00C325CD"/>
    <w:rsid w:val="00C32A60"/>
    <w:rsid w:val="00C3322E"/>
    <w:rsid w:val="00C337F5"/>
    <w:rsid w:val="00C3383E"/>
    <w:rsid w:val="00C33B90"/>
    <w:rsid w:val="00C34161"/>
    <w:rsid w:val="00C34B5F"/>
    <w:rsid w:val="00C358D4"/>
    <w:rsid w:val="00C35EBE"/>
    <w:rsid w:val="00C365C6"/>
    <w:rsid w:val="00C366F4"/>
    <w:rsid w:val="00C36785"/>
    <w:rsid w:val="00C3711C"/>
    <w:rsid w:val="00C37256"/>
    <w:rsid w:val="00C37A7B"/>
    <w:rsid w:val="00C37BD9"/>
    <w:rsid w:val="00C37DC1"/>
    <w:rsid w:val="00C37FFE"/>
    <w:rsid w:val="00C40217"/>
    <w:rsid w:val="00C403CD"/>
    <w:rsid w:val="00C40B50"/>
    <w:rsid w:val="00C419E3"/>
    <w:rsid w:val="00C419F4"/>
    <w:rsid w:val="00C41E6A"/>
    <w:rsid w:val="00C42247"/>
    <w:rsid w:val="00C428E7"/>
    <w:rsid w:val="00C42C9A"/>
    <w:rsid w:val="00C4317B"/>
    <w:rsid w:val="00C4330B"/>
    <w:rsid w:val="00C438A2"/>
    <w:rsid w:val="00C439BE"/>
    <w:rsid w:val="00C43E53"/>
    <w:rsid w:val="00C451B2"/>
    <w:rsid w:val="00C4539B"/>
    <w:rsid w:val="00C45466"/>
    <w:rsid w:val="00C455C1"/>
    <w:rsid w:val="00C4581D"/>
    <w:rsid w:val="00C47472"/>
    <w:rsid w:val="00C47F18"/>
    <w:rsid w:val="00C500F0"/>
    <w:rsid w:val="00C504A7"/>
    <w:rsid w:val="00C506C9"/>
    <w:rsid w:val="00C50A16"/>
    <w:rsid w:val="00C51C4F"/>
    <w:rsid w:val="00C51C9A"/>
    <w:rsid w:val="00C52C68"/>
    <w:rsid w:val="00C52D98"/>
    <w:rsid w:val="00C52DA1"/>
    <w:rsid w:val="00C53D24"/>
    <w:rsid w:val="00C53ED1"/>
    <w:rsid w:val="00C54640"/>
    <w:rsid w:val="00C547A6"/>
    <w:rsid w:val="00C54A3A"/>
    <w:rsid w:val="00C54AF8"/>
    <w:rsid w:val="00C55C32"/>
    <w:rsid w:val="00C56A67"/>
    <w:rsid w:val="00C56CC2"/>
    <w:rsid w:val="00C56D0B"/>
    <w:rsid w:val="00C56D8D"/>
    <w:rsid w:val="00C57498"/>
    <w:rsid w:val="00C5763C"/>
    <w:rsid w:val="00C5780C"/>
    <w:rsid w:val="00C5796B"/>
    <w:rsid w:val="00C57C64"/>
    <w:rsid w:val="00C6031F"/>
    <w:rsid w:val="00C60C9F"/>
    <w:rsid w:val="00C612C4"/>
    <w:rsid w:val="00C61863"/>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304"/>
    <w:rsid w:val="00C71E2A"/>
    <w:rsid w:val="00C7238B"/>
    <w:rsid w:val="00C7248D"/>
    <w:rsid w:val="00C733BA"/>
    <w:rsid w:val="00C7356F"/>
    <w:rsid w:val="00C73AC2"/>
    <w:rsid w:val="00C741CF"/>
    <w:rsid w:val="00C742F6"/>
    <w:rsid w:val="00C7541F"/>
    <w:rsid w:val="00C760DC"/>
    <w:rsid w:val="00C771A5"/>
    <w:rsid w:val="00C772E8"/>
    <w:rsid w:val="00C77777"/>
    <w:rsid w:val="00C77D00"/>
    <w:rsid w:val="00C77E99"/>
    <w:rsid w:val="00C8082B"/>
    <w:rsid w:val="00C80C6B"/>
    <w:rsid w:val="00C81A88"/>
    <w:rsid w:val="00C81D46"/>
    <w:rsid w:val="00C82298"/>
    <w:rsid w:val="00C82DC7"/>
    <w:rsid w:val="00C8331F"/>
    <w:rsid w:val="00C833B4"/>
    <w:rsid w:val="00C84284"/>
    <w:rsid w:val="00C84E33"/>
    <w:rsid w:val="00C85528"/>
    <w:rsid w:val="00C85FFC"/>
    <w:rsid w:val="00C861FC"/>
    <w:rsid w:val="00C86C87"/>
    <w:rsid w:val="00C9005E"/>
    <w:rsid w:val="00C90111"/>
    <w:rsid w:val="00C9038E"/>
    <w:rsid w:val="00C9077B"/>
    <w:rsid w:val="00C90AA7"/>
    <w:rsid w:val="00C90CA9"/>
    <w:rsid w:val="00C90F88"/>
    <w:rsid w:val="00C915F2"/>
    <w:rsid w:val="00C917B1"/>
    <w:rsid w:val="00C9193C"/>
    <w:rsid w:val="00C91B77"/>
    <w:rsid w:val="00C920E2"/>
    <w:rsid w:val="00C923F6"/>
    <w:rsid w:val="00C92568"/>
    <w:rsid w:val="00C9370F"/>
    <w:rsid w:val="00C93765"/>
    <w:rsid w:val="00C93877"/>
    <w:rsid w:val="00C93D8C"/>
    <w:rsid w:val="00C93E07"/>
    <w:rsid w:val="00C94065"/>
    <w:rsid w:val="00C946CC"/>
    <w:rsid w:val="00C959BD"/>
    <w:rsid w:val="00C95DFE"/>
    <w:rsid w:val="00C95F44"/>
    <w:rsid w:val="00C96331"/>
    <w:rsid w:val="00C96D1B"/>
    <w:rsid w:val="00C97106"/>
    <w:rsid w:val="00C978D4"/>
    <w:rsid w:val="00C97FB2"/>
    <w:rsid w:val="00CA0031"/>
    <w:rsid w:val="00CA0413"/>
    <w:rsid w:val="00CA043A"/>
    <w:rsid w:val="00CA0E51"/>
    <w:rsid w:val="00CA137B"/>
    <w:rsid w:val="00CA1691"/>
    <w:rsid w:val="00CA41E7"/>
    <w:rsid w:val="00CA424D"/>
    <w:rsid w:val="00CA4A99"/>
    <w:rsid w:val="00CA4CCC"/>
    <w:rsid w:val="00CA5520"/>
    <w:rsid w:val="00CA5812"/>
    <w:rsid w:val="00CA5984"/>
    <w:rsid w:val="00CA5BD4"/>
    <w:rsid w:val="00CA5C14"/>
    <w:rsid w:val="00CA7019"/>
    <w:rsid w:val="00CA7230"/>
    <w:rsid w:val="00CA76FC"/>
    <w:rsid w:val="00CA7E7B"/>
    <w:rsid w:val="00CB0236"/>
    <w:rsid w:val="00CB0CB1"/>
    <w:rsid w:val="00CB137C"/>
    <w:rsid w:val="00CB1881"/>
    <w:rsid w:val="00CB1969"/>
    <w:rsid w:val="00CB19E3"/>
    <w:rsid w:val="00CB2C3A"/>
    <w:rsid w:val="00CB2D38"/>
    <w:rsid w:val="00CB2F5E"/>
    <w:rsid w:val="00CB3C5E"/>
    <w:rsid w:val="00CB4137"/>
    <w:rsid w:val="00CB50D0"/>
    <w:rsid w:val="00CB52D0"/>
    <w:rsid w:val="00CB5578"/>
    <w:rsid w:val="00CB5671"/>
    <w:rsid w:val="00CB591C"/>
    <w:rsid w:val="00CB5943"/>
    <w:rsid w:val="00CB61B3"/>
    <w:rsid w:val="00CB6801"/>
    <w:rsid w:val="00CB6F83"/>
    <w:rsid w:val="00CB72AE"/>
    <w:rsid w:val="00CB7AC0"/>
    <w:rsid w:val="00CB7B53"/>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3FC8"/>
    <w:rsid w:val="00CC40C3"/>
    <w:rsid w:val="00CC45A5"/>
    <w:rsid w:val="00CC4AA0"/>
    <w:rsid w:val="00CC4CB4"/>
    <w:rsid w:val="00CC4E5D"/>
    <w:rsid w:val="00CC4EF4"/>
    <w:rsid w:val="00CC50AE"/>
    <w:rsid w:val="00CC5FFE"/>
    <w:rsid w:val="00CC61B7"/>
    <w:rsid w:val="00CC61CA"/>
    <w:rsid w:val="00CC69EC"/>
    <w:rsid w:val="00CC71D3"/>
    <w:rsid w:val="00CC743D"/>
    <w:rsid w:val="00CC7597"/>
    <w:rsid w:val="00CD02ED"/>
    <w:rsid w:val="00CD050A"/>
    <w:rsid w:val="00CD1017"/>
    <w:rsid w:val="00CD205D"/>
    <w:rsid w:val="00CD2A22"/>
    <w:rsid w:val="00CD2B50"/>
    <w:rsid w:val="00CD3172"/>
    <w:rsid w:val="00CD3913"/>
    <w:rsid w:val="00CD4506"/>
    <w:rsid w:val="00CD520B"/>
    <w:rsid w:val="00CD592E"/>
    <w:rsid w:val="00CD5982"/>
    <w:rsid w:val="00CD5A1A"/>
    <w:rsid w:val="00CD614A"/>
    <w:rsid w:val="00CD64A3"/>
    <w:rsid w:val="00CD710A"/>
    <w:rsid w:val="00CD7B8B"/>
    <w:rsid w:val="00CD7EFA"/>
    <w:rsid w:val="00CE020E"/>
    <w:rsid w:val="00CE0566"/>
    <w:rsid w:val="00CE0CF9"/>
    <w:rsid w:val="00CE1215"/>
    <w:rsid w:val="00CE1641"/>
    <w:rsid w:val="00CE1CD4"/>
    <w:rsid w:val="00CE2761"/>
    <w:rsid w:val="00CE28FC"/>
    <w:rsid w:val="00CE314E"/>
    <w:rsid w:val="00CE3A85"/>
    <w:rsid w:val="00CE3D5C"/>
    <w:rsid w:val="00CE3E09"/>
    <w:rsid w:val="00CE3E14"/>
    <w:rsid w:val="00CE44C7"/>
    <w:rsid w:val="00CE48E7"/>
    <w:rsid w:val="00CE53CC"/>
    <w:rsid w:val="00CE5F60"/>
    <w:rsid w:val="00CE65A7"/>
    <w:rsid w:val="00CE68FE"/>
    <w:rsid w:val="00CE69CC"/>
    <w:rsid w:val="00CE6EC4"/>
    <w:rsid w:val="00CE7F26"/>
    <w:rsid w:val="00CF04EE"/>
    <w:rsid w:val="00CF1226"/>
    <w:rsid w:val="00CF1ABB"/>
    <w:rsid w:val="00CF1AE3"/>
    <w:rsid w:val="00CF1E1D"/>
    <w:rsid w:val="00CF24FE"/>
    <w:rsid w:val="00CF287F"/>
    <w:rsid w:val="00CF35D0"/>
    <w:rsid w:val="00CF3B57"/>
    <w:rsid w:val="00CF3DD5"/>
    <w:rsid w:val="00CF40C1"/>
    <w:rsid w:val="00CF43E7"/>
    <w:rsid w:val="00CF4AF7"/>
    <w:rsid w:val="00CF4D20"/>
    <w:rsid w:val="00CF73F8"/>
    <w:rsid w:val="00CF7928"/>
    <w:rsid w:val="00CF7CA2"/>
    <w:rsid w:val="00D00911"/>
    <w:rsid w:val="00D00A8E"/>
    <w:rsid w:val="00D00DE0"/>
    <w:rsid w:val="00D00F79"/>
    <w:rsid w:val="00D012BF"/>
    <w:rsid w:val="00D01760"/>
    <w:rsid w:val="00D01838"/>
    <w:rsid w:val="00D01A26"/>
    <w:rsid w:val="00D0368E"/>
    <w:rsid w:val="00D03AC3"/>
    <w:rsid w:val="00D03AD6"/>
    <w:rsid w:val="00D03D2D"/>
    <w:rsid w:val="00D03E7B"/>
    <w:rsid w:val="00D0401A"/>
    <w:rsid w:val="00D047E0"/>
    <w:rsid w:val="00D04B9F"/>
    <w:rsid w:val="00D04D43"/>
    <w:rsid w:val="00D04FFB"/>
    <w:rsid w:val="00D055FE"/>
    <w:rsid w:val="00D058E9"/>
    <w:rsid w:val="00D05FBF"/>
    <w:rsid w:val="00D0612A"/>
    <w:rsid w:val="00D1060D"/>
    <w:rsid w:val="00D10D14"/>
    <w:rsid w:val="00D10E7C"/>
    <w:rsid w:val="00D11182"/>
    <w:rsid w:val="00D1137B"/>
    <w:rsid w:val="00D11508"/>
    <w:rsid w:val="00D11687"/>
    <w:rsid w:val="00D11807"/>
    <w:rsid w:val="00D11DB3"/>
    <w:rsid w:val="00D12081"/>
    <w:rsid w:val="00D12D82"/>
    <w:rsid w:val="00D12F77"/>
    <w:rsid w:val="00D1306E"/>
    <w:rsid w:val="00D130B7"/>
    <w:rsid w:val="00D134CD"/>
    <w:rsid w:val="00D1401E"/>
    <w:rsid w:val="00D1485D"/>
    <w:rsid w:val="00D14B5F"/>
    <w:rsid w:val="00D14E13"/>
    <w:rsid w:val="00D14E26"/>
    <w:rsid w:val="00D14F23"/>
    <w:rsid w:val="00D15727"/>
    <w:rsid w:val="00D15DDD"/>
    <w:rsid w:val="00D160F6"/>
    <w:rsid w:val="00D165E0"/>
    <w:rsid w:val="00D165EE"/>
    <w:rsid w:val="00D16740"/>
    <w:rsid w:val="00D16A8B"/>
    <w:rsid w:val="00D16E39"/>
    <w:rsid w:val="00D171DE"/>
    <w:rsid w:val="00D172A4"/>
    <w:rsid w:val="00D175B2"/>
    <w:rsid w:val="00D17951"/>
    <w:rsid w:val="00D17AD8"/>
    <w:rsid w:val="00D2104A"/>
    <w:rsid w:val="00D21A58"/>
    <w:rsid w:val="00D21BB5"/>
    <w:rsid w:val="00D21DB2"/>
    <w:rsid w:val="00D21FFC"/>
    <w:rsid w:val="00D223B6"/>
    <w:rsid w:val="00D223E8"/>
    <w:rsid w:val="00D224E1"/>
    <w:rsid w:val="00D22B0F"/>
    <w:rsid w:val="00D22BDD"/>
    <w:rsid w:val="00D22DC8"/>
    <w:rsid w:val="00D23BF6"/>
    <w:rsid w:val="00D2477B"/>
    <w:rsid w:val="00D2522A"/>
    <w:rsid w:val="00D2531C"/>
    <w:rsid w:val="00D25428"/>
    <w:rsid w:val="00D25514"/>
    <w:rsid w:val="00D2553E"/>
    <w:rsid w:val="00D2587F"/>
    <w:rsid w:val="00D26DE7"/>
    <w:rsid w:val="00D2742F"/>
    <w:rsid w:val="00D274C5"/>
    <w:rsid w:val="00D2754F"/>
    <w:rsid w:val="00D277C5"/>
    <w:rsid w:val="00D279D9"/>
    <w:rsid w:val="00D30041"/>
    <w:rsid w:val="00D30FEA"/>
    <w:rsid w:val="00D312DC"/>
    <w:rsid w:val="00D314CB"/>
    <w:rsid w:val="00D31566"/>
    <w:rsid w:val="00D31B84"/>
    <w:rsid w:val="00D31C6A"/>
    <w:rsid w:val="00D31EDF"/>
    <w:rsid w:val="00D31FF9"/>
    <w:rsid w:val="00D32149"/>
    <w:rsid w:val="00D32256"/>
    <w:rsid w:val="00D32A27"/>
    <w:rsid w:val="00D32ABC"/>
    <w:rsid w:val="00D33BAF"/>
    <w:rsid w:val="00D33FA4"/>
    <w:rsid w:val="00D34B25"/>
    <w:rsid w:val="00D34C7F"/>
    <w:rsid w:val="00D34F4E"/>
    <w:rsid w:val="00D357F3"/>
    <w:rsid w:val="00D35C0E"/>
    <w:rsid w:val="00D35C22"/>
    <w:rsid w:val="00D36FBF"/>
    <w:rsid w:val="00D373A8"/>
    <w:rsid w:val="00D379A5"/>
    <w:rsid w:val="00D37BB3"/>
    <w:rsid w:val="00D37EAD"/>
    <w:rsid w:val="00D401BE"/>
    <w:rsid w:val="00D4043A"/>
    <w:rsid w:val="00D40DB0"/>
    <w:rsid w:val="00D41093"/>
    <w:rsid w:val="00D41858"/>
    <w:rsid w:val="00D41EEB"/>
    <w:rsid w:val="00D422DB"/>
    <w:rsid w:val="00D42AC2"/>
    <w:rsid w:val="00D43F60"/>
    <w:rsid w:val="00D4498E"/>
    <w:rsid w:val="00D4515F"/>
    <w:rsid w:val="00D451E8"/>
    <w:rsid w:val="00D45DA5"/>
    <w:rsid w:val="00D466C9"/>
    <w:rsid w:val="00D47275"/>
    <w:rsid w:val="00D47ADA"/>
    <w:rsid w:val="00D500ED"/>
    <w:rsid w:val="00D5054C"/>
    <w:rsid w:val="00D50DB9"/>
    <w:rsid w:val="00D517F6"/>
    <w:rsid w:val="00D51AB7"/>
    <w:rsid w:val="00D51E15"/>
    <w:rsid w:val="00D52190"/>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0F5"/>
    <w:rsid w:val="00D6451B"/>
    <w:rsid w:val="00D64B57"/>
    <w:rsid w:val="00D64FF1"/>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1B68"/>
    <w:rsid w:val="00D71E93"/>
    <w:rsid w:val="00D728F5"/>
    <w:rsid w:val="00D72E9D"/>
    <w:rsid w:val="00D73249"/>
    <w:rsid w:val="00D73419"/>
    <w:rsid w:val="00D73881"/>
    <w:rsid w:val="00D73CA9"/>
    <w:rsid w:val="00D73E45"/>
    <w:rsid w:val="00D74364"/>
    <w:rsid w:val="00D751B7"/>
    <w:rsid w:val="00D7524B"/>
    <w:rsid w:val="00D75396"/>
    <w:rsid w:val="00D755C6"/>
    <w:rsid w:val="00D75832"/>
    <w:rsid w:val="00D759C0"/>
    <w:rsid w:val="00D75E99"/>
    <w:rsid w:val="00D765CE"/>
    <w:rsid w:val="00D766C7"/>
    <w:rsid w:val="00D7692B"/>
    <w:rsid w:val="00D7734F"/>
    <w:rsid w:val="00D773FD"/>
    <w:rsid w:val="00D7791D"/>
    <w:rsid w:val="00D8039E"/>
    <w:rsid w:val="00D8044C"/>
    <w:rsid w:val="00D805D6"/>
    <w:rsid w:val="00D8075E"/>
    <w:rsid w:val="00D80860"/>
    <w:rsid w:val="00D80D4C"/>
    <w:rsid w:val="00D8184D"/>
    <w:rsid w:val="00D81A7B"/>
    <w:rsid w:val="00D81E3C"/>
    <w:rsid w:val="00D8223C"/>
    <w:rsid w:val="00D827B5"/>
    <w:rsid w:val="00D82A7D"/>
    <w:rsid w:val="00D82B57"/>
    <w:rsid w:val="00D82C77"/>
    <w:rsid w:val="00D82CE5"/>
    <w:rsid w:val="00D831E3"/>
    <w:rsid w:val="00D8342C"/>
    <w:rsid w:val="00D83D08"/>
    <w:rsid w:val="00D84983"/>
    <w:rsid w:val="00D84C00"/>
    <w:rsid w:val="00D85494"/>
    <w:rsid w:val="00D8582C"/>
    <w:rsid w:val="00D85D61"/>
    <w:rsid w:val="00D8616D"/>
    <w:rsid w:val="00D86C90"/>
    <w:rsid w:val="00D8711B"/>
    <w:rsid w:val="00D87384"/>
    <w:rsid w:val="00D9015D"/>
    <w:rsid w:val="00D90683"/>
    <w:rsid w:val="00D90B2A"/>
    <w:rsid w:val="00D91483"/>
    <w:rsid w:val="00D915C8"/>
    <w:rsid w:val="00D928ED"/>
    <w:rsid w:val="00D9310B"/>
    <w:rsid w:val="00D931F3"/>
    <w:rsid w:val="00D93726"/>
    <w:rsid w:val="00D93A79"/>
    <w:rsid w:val="00D93F3E"/>
    <w:rsid w:val="00D9405B"/>
    <w:rsid w:val="00D94942"/>
    <w:rsid w:val="00D95145"/>
    <w:rsid w:val="00D96594"/>
    <w:rsid w:val="00D967CB"/>
    <w:rsid w:val="00D968D4"/>
    <w:rsid w:val="00D96E12"/>
    <w:rsid w:val="00D96EE0"/>
    <w:rsid w:val="00D975DD"/>
    <w:rsid w:val="00D97BD1"/>
    <w:rsid w:val="00D97EF0"/>
    <w:rsid w:val="00DA00C3"/>
    <w:rsid w:val="00DA01E9"/>
    <w:rsid w:val="00DA06B8"/>
    <w:rsid w:val="00DA0C85"/>
    <w:rsid w:val="00DA14A9"/>
    <w:rsid w:val="00DA152F"/>
    <w:rsid w:val="00DA286D"/>
    <w:rsid w:val="00DA2969"/>
    <w:rsid w:val="00DA29B7"/>
    <w:rsid w:val="00DA2E5F"/>
    <w:rsid w:val="00DA337C"/>
    <w:rsid w:val="00DA36B3"/>
    <w:rsid w:val="00DA40C1"/>
    <w:rsid w:val="00DA422F"/>
    <w:rsid w:val="00DA4265"/>
    <w:rsid w:val="00DA4514"/>
    <w:rsid w:val="00DA4842"/>
    <w:rsid w:val="00DA4C97"/>
    <w:rsid w:val="00DA565E"/>
    <w:rsid w:val="00DA5989"/>
    <w:rsid w:val="00DA5AB1"/>
    <w:rsid w:val="00DA5DFE"/>
    <w:rsid w:val="00DA5F9D"/>
    <w:rsid w:val="00DA6719"/>
    <w:rsid w:val="00DA69B2"/>
    <w:rsid w:val="00DA7115"/>
    <w:rsid w:val="00DA7462"/>
    <w:rsid w:val="00DA7AD0"/>
    <w:rsid w:val="00DB02D7"/>
    <w:rsid w:val="00DB0301"/>
    <w:rsid w:val="00DB03CC"/>
    <w:rsid w:val="00DB03F3"/>
    <w:rsid w:val="00DB1142"/>
    <w:rsid w:val="00DB12D4"/>
    <w:rsid w:val="00DB14F0"/>
    <w:rsid w:val="00DB1745"/>
    <w:rsid w:val="00DB19BB"/>
    <w:rsid w:val="00DB1A00"/>
    <w:rsid w:val="00DB1AFF"/>
    <w:rsid w:val="00DB219A"/>
    <w:rsid w:val="00DB244C"/>
    <w:rsid w:val="00DB3024"/>
    <w:rsid w:val="00DB3165"/>
    <w:rsid w:val="00DB3445"/>
    <w:rsid w:val="00DB372F"/>
    <w:rsid w:val="00DB387B"/>
    <w:rsid w:val="00DB39DE"/>
    <w:rsid w:val="00DB4292"/>
    <w:rsid w:val="00DB4DF0"/>
    <w:rsid w:val="00DB5023"/>
    <w:rsid w:val="00DB6E46"/>
    <w:rsid w:val="00DB7117"/>
    <w:rsid w:val="00DB732A"/>
    <w:rsid w:val="00DB7760"/>
    <w:rsid w:val="00DB7DD4"/>
    <w:rsid w:val="00DC00B4"/>
    <w:rsid w:val="00DC0954"/>
    <w:rsid w:val="00DC0DF8"/>
    <w:rsid w:val="00DC15BA"/>
    <w:rsid w:val="00DC18CD"/>
    <w:rsid w:val="00DC1A68"/>
    <w:rsid w:val="00DC30B8"/>
    <w:rsid w:val="00DC478F"/>
    <w:rsid w:val="00DC482E"/>
    <w:rsid w:val="00DC4D92"/>
    <w:rsid w:val="00DC50AA"/>
    <w:rsid w:val="00DC61AC"/>
    <w:rsid w:val="00DC62E5"/>
    <w:rsid w:val="00DC69D2"/>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5ED"/>
    <w:rsid w:val="00DD6A79"/>
    <w:rsid w:val="00DD72A0"/>
    <w:rsid w:val="00DD735D"/>
    <w:rsid w:val="00DD756A"/>
    <w:rsid w:val="00DD7D35"/>
    <w:rsid w:val="00DD7F7D"/>
    <w:rsid w:val="00DD7FBE"/>
    <w:rsid w:val="00DE0159"/>
    <w:rsid w:val="00DE064A"/>
    <w:rsid w:val="00DE082D"/>
    <w:rsid w:val="00DE1410"/>
    <w:rsid w:val="00DE20C6"/>
    <w:rsid w:val="00DE2ABA"/>
    <w:rsid w:val="00DE2DF1"/>
    <w:rsid w:val="00DE3119"/>
    <w:rsid w:val="00DE34EF"/>
    <w:rsid w:val="00DE3C24"/>
    <w:rsid w:val="00DE3FF0"/>
    <w:rsid w:val="00DE4105"/>
    <w:rsid w:val="00DE4BEA"/>
    <w:rsid w:val="00DE4E67"/>
    <w:rsid w:val="00DE5189"/>
    <w:rsid w:val="00DE5716"/>
    <w:rsid w:val="00DE7108"/>
    <w:rsid w:val="00DE78D1"/>
    <w:rsid w:val="00DE78FF"/>
    <w:rsid w:val="00DE7C6E"/>
    <w:rsid w:val="00DF0263"/>
    <w:rsid w:val="00DF071C"/>
    <w:rsid w:val="00DF09E3"/>
    <w:rsid w:val="00DF0EB4"/>
    <w:rsid w:val="00DF0FFD"/>
    <w:rsid w:val="00DF158B"/>
    <w:rsid w:val="00DF170E"/>
    <w:rsid w:val="00DF193C"/>
    <w:rsid w:val="00DF1E36"/>
    <w:rsid w:val="00DF236B"/>
    <w:rsid w:val="00DF24C4"/>
    <w:rsid w:val="00DF258A"/>
    <w:rsid w:val="00DF2A91"/>
    <w:rsid w:val="00DF3889"/>
    <w:rsid w:val="00DF3CC9"/>
    <w:rsid w:val="00DF41DD"/>
    <w:rsid w:val="00DF4451"/>
    <w:rsid w:val="00DF49FF"/>
    <w:rsid w:val="00DF4FFB"/>
    <w:rsid w:val="00DF5236"/>
    <w:rsid w:val="00DF651F"/>
    <w:rsid w:val="00DF6F43"/>
    <w:rsid w:val="00DF71EA"/>
    <w:rsid w:val="00DF752F"/>
    <w:rsid w:val="00DF76A2"/>
    <w:rsid w:val="00E00634"/>
    <w:rsid w:val="00E00B25"/>
    <w:rsid w:val="00E00B7A"/>
    <w:rsid w:val="00E01677"/>
    <w:rsid w:val="00E02186"/>
    <w:rsid w:val="00E025C2"/>
    <w:rsid w:val="00E026BB"/>
    <w:rsid w:val="00E027C5"/>
    <w:rsid w:val="00E03124"/>
    <w:rsid w:val="00E031C3"/>
    <w:rsid w:val="00E03951"/>
    <w:rsid w:val="00E03DB8"/>
    <w:rsid w:val="00E03F17"/>
    <w:rsid w:val="00E0420C"/>
    <w:rsid w:val="00E04D00"/>
    <w:rsid w:val="00E04EDD"/>
    <w:rsid w:val="00E04F86"/>
    <w:rsid w:val="00E05402"/>
    <w:rsid w:val="00E05E70"/>
    <w:rsid w:val="00E064BC"/>
    <w:rsid w:val="00E070C1"/>
    <w:rsid w:val="00E07225"/>
    <w:rsid w:val="00E076B4"/>
    <w:rsid w:val="00E07ADF"/>
    <w:rsid w:val="00E07B55"/>
    <w:rsid w:val="00E10579"/>
    <w:rsid w:val="00E109DD"/>
    <w:rsid w:val="00E10CF1"/>
    <w:rsid w:val="00E11229"/>
    <w:rsid w:val="00E114CA"/>
    <w:rsid w:val="00E127D1"/>
    <w:rsid w:val="00E13867"/>
    <w:rsid w:val="00E1397F"/>
    <w:rsid w:val="00E13AB8"/>
    <w:rsid w:val="00E13AE1"/>
    <w:rsid w:val="00E1482E"/>
    <w:rsid w:val="00E152D7"/>
    <w:rsid w:val="00E15DE3"/>
    <w:rsid w:val="00E16382"/>
    <w:rsid w:val="00E167AF"/>
    <w:rsid w:val="00E1699C"/>
    <w:rsid w:val="00E16E75"/>
    <w:rsid w:val="00E1746D"/>
    <w:rsid w:val="00E17594"/>
    <w:rsid w:val="00E17ABB"/>
    <w:rsid w:val="00E17CAC"/>
    <w:rsid w:val="00E2012A"/>
    <w:rsid w:val="00E205A2"/>
    <w:rsid w:val="00E20BA4"/>
    <w:rsid w:val="00E210D0"/>
    <w:rsid w:val="00E21887"/>
    <w:rsid w:val="00E21CC0"/>
    <w:rsid w:val="00E23137"/>
    <w:rsid w:val="00E23980"/>
    <w:rsid w:val="00E23AB0"/>
    <w:rsid w:val="00E241E9"/>
    <w:rsid w:val="00E24F12"/>
    <w:rsid w:val="00E257C3"/>
    <w:rsid w:val="00E25CB3"/>
    <w:rsid w:val="00E25DA4"/>
    <w:rsid w:val="00E26237"/>
    <w:rsid w:val="00E26950"/>
    <w:rsid w:val="00E26CB8"/>
    <w:rsid w:val="00E26D16"/>
    <w:rsid w:val="00E26FCF"/>
    <w:rsid w:val="00E27165"/>
    <w:rsid w:val="00E275D9"/>
    <w:rsid w:val="00E3044A"/>
    <w:rsid w:val="00E30E49"/>
    <w:rsid w:val="00E31A4A"/>
    <w:rsid w:val="00E31FCF"/>
    <w:rsid w:val="00E3212A"/>
    <w:rsid w:val="00E32279"/>
    <w:rsid w:val="00E3344A"/>
    <w:rsid w:val="00E33B29"/>
    <w:rsid w:val="00E33B62"/>
    <w:rsid w:val="00E3403D"/>
    <w:rsid w:val="00E344BD"/>
    <w:rsid w:val="00E34548"/>
    <w:rsid w:val="00E34E6C"/>
    <w:rsid w:val="00E353E2"/>
    <w:rsid w:val="00E360D8"/>
    <w:rsid w:val="00E36345"/>
    <w:rsid w:val="00E36C86"/>
    <w:rsid w:val="00E36CEB"/>
    <w:rsid w:val="00E37158"/>
    <w:rsid w:val="00E37A28"/>
    <w:rsid w:val="00E400C7"/>
    <w:rsid w:val="00E40430"/>
    <w:rsid w:val="00E40690"/>
    <w:rsid w:val="00E40AEB"/>
    <w:rsid w:val="00E40E82"/>
    <w:rsid w:val="00E40FB8"/>
    <w:rsid w:val="00E41141"/>
    <w:rsid w:val="00E4143A"/>
    <w:rsid w:val="00E420B7"/>
    <w:rsid w:val="00E424C8"/>
    <w:rsid w:val="00E4251D"/>
    <w:rsid w:val="00E427EB"/>
    <w:rsid w:val="00E427EF"/>
    <w:rsid w:val="00E43D00"/>
    <w:rsid w:val="00E443B4"/>
    <w:rsid w:val="00E445E4"/>
    <w:rsid w:val="00E447A0"/>
    <w:rsid w:val="00E457CB"/>
    <w:rsid w:val="00E45D47"/>
    <w:rsid w:val="00E45DE4"/>
    <w:rsid w:val="00E45E63"/>
    <w:rsid w:val="00E4759C"/>
    <w:rsid w:val="00E47AAE"/>
    <w:rsid w:val="00E47EFD"/>
    <w:rsid w:val="00E50A7B"/>
    <w:rsid w:val="00E50B0B"/>
    <w:rsid w:val="00E50C57"/>
    <w:rsid w:val="00E510FE"/>
    <w:rsid w:val="00E514BA"/>
    <w:rsid w:val="00E51513"/>
    <w:rsid w:val="00E5158C"/>
    <w:rsid w:val="00E51E25"/>
    <w:rsid w:val="00E5205B"/>
    <w:rsid w:val="00E521AE"/>
    <w:rsid w:val="00E529A3"/>
    <w:rsid w:val="00E533EE"/>
    <w:rsid w:val="00E53A21"/>
    <w:rsid w:val="00E53BCA"/>
    <w:rsid w:val="00E53DE2"/>
    <w:rsid w:val="00E53F02"/>
    <w:rsid w:val="00E5428D"/>
    <w:rsid w:val="00E54534"/>
    <w:rsid w:val="00E54874"/>
    <w:rsid w:val="00E548C3"/>
    <w:rsid w:val="00E54F27"/>
    <w:rsid w:val="00E55FF1"/>
    <w:rsid w:val="00E56090"/>
    <w:rsid w:val="00E561DA"/>
    <w:rsid w:val="00E56408"/>
    <w:rsid w:val="00E565B9"/>
    <w:rsid w:val="00E56E7B"/>
    <w:rsid w:val="00E5733B"/>
    <w:rsid w:val="00E5756C"/>
    <w:rsid w:val="00E5768D"/>
    <w:rsid w:val="00E57811"/>
    <w:rsid w:val="00E57FB0"/>
    <w:rsid w:val="00E600F4"/>
    <w:rsid w:val="00E601BE"/>
    <w:rsid w:val="00E60984"/>
    <w:rsid w:val="00E60A44"/>
    <w:rsid w:val="00E60B5F"/>
    <w:rsid w:val="00E613AE"/>
    <w:rsid w:val="00E61429"/>
    <w:rsid w:val="00E61ABB"/>
    <w:rsid w:val="00E61FD7"/>
    <w:rsid w:val="00E623E6"/>
    <w:rsid w:val="00E62BBF"/>
    <w:rsid w:val="00E62C76"/>
    <w:rsid w:val="00E630A2"/>
    <w:rsid w:val="00E630C0"/>
    <w:rsid w:val="00E63107"/>
    <w:rsid w:val="00E6312C"/>
    <w:rsid w:val="00E63299"/>
    <w:rsid w:val="00E634E6"/>
    <w:rsid w:val="00E63DCE"/>
    <w:rsid w:val="00E642EF"/>
    <w:rsid w:val="00E645CF"/>
    <w:rsid w:val="00E64700"/>
    <w:rsid w:val="00E65074"/>
    <w:rsid w:val="00E65857"/>
    <w:rsid w:val="00E65E70"/>
    <w:rsid w:val="00E6607B"/>
    <w:rsid w:val="00E66087"/>
    <w:rsid w:val="00E66D79"/>
    <w:rsid w:val="00E66FF9"/>
    <w:rsid w:val="00E6706F"/>
    <w:rsid w:val="00E673A2"/>
    <w:rsid w:val="00E674EB"/>
    <w:rsid w:val="00E67714"/>
    <w:rsid w:val="00E67856"/>
    <w:rsid w:val="00E679C8"/>
    <w:rsid w:val="00E67B8A"/>
    <w:rsid w:val="00E70314"/>
    <w:rsid w:val="00E70C98"/>
    <w:rsid w:val="00E70FB9"/>
    <w:rsid w:val="00E724E7"/>
    <w:rsid w:val="00E72B41"/>
    <w:rsid w:val="00E7347B"/>
    <w:rsid w:val="00E73792"/>
    <w:rsid w:val="00E73D03"/>
    <w:rsid w:val="00E7471C"/>
    <w:rsid w:val="00E7498A"/>
    <w:rsid w:val="00E7514E"/>
    <w:rsid w:val="00E76537"/>
    <w:rsid w:val="00E77784"/>
    <w:rsid w:val="00E77AF5"/>
    <w:rsid w:val="00E801CE"/>
    <w:rsid w:val="00E8035B"/>
    <w:rsid w:val="00E805CD"/>
    <w:rsid w:val="00E80FC3"/>
    <w:rsid w:val="00E820F4"/>
    <w:rsid w:val="00E82263"/>
    <w:rsid w:val="00E823F9"/>
    <w:rsid w:val="00E82C1F"/>
    <w:rsid w:val="00E83671"/>
    <w:rsid w:val="00E83D1E"/>
    <w:rsid w:val="00E83F8E"/>
    <w:rsid w:val="00E840EE"/>
    <w:rsid w:val="00E84314"/>
    <w:rsid w:val="00E849CA"/>
    <w:rsid w:val="00E84A71"/>
    <w:rsid w:val="00E853F3"/>
    <w:rsid w:val="00E8556F"/>
    <w:rsid w:val="00E85980"/>
    <w:rsid w:val="00E85D69"/>
    <w:rsid w:val="00E8617F"/>
    <w:rsid w:val="00E86556"/>
    <w:rsid w:val="00E86D35"/>
    <w:rsid w:val="00E86DC2"/>
    <w:rsid w:val="00E86E32"/>
    <w:rsid w:val="00E86F2E"/>
    <w:rsid w:val="00E8732E"/>
    <w:rsid w:val="00E879C7"/>
    <w:rsid w:val="00E90067"/>
    <w:rsid w:val="00E9011F"/>
    <w:rsid w:val="00E906EB"/>
    <w:rsid w:val="00E90CE2"/>
    <w:rsid w:val="00E9109D"/>
    <w:rsid w:val="00E9170E"/>
    <w:rsid w:val="00E919FB"/>
    <w:rsid w:val="00E9241E"/>
    <w:rsid w:val="00E92460"/>
    <w:rsid w:val="00E92C2D"/>
    <w:rsid w:val="00E92E62"/>
    <w:rsid w:val="00E93804"/>
    <w:rsid w:val="00E9429D"/>
    <w:rsid w:val="00E95434"/>
    <w:rsid w:val="00E96033"/>
    <w:rsid w:val="00E96467"/>
    <w:rsid w:val="00E966DA"/>
    <w:rsid w:val="00E96948"/>
    <w:rsid w:val="00E9737B"/>
    <w:rsid w:val="00E97A3F"/>
    <w:rsid w:val="00E97F0A"/>
    <w:rsid w:val="00EA0100"/>
    <w:rsid w:val="00EA039A"/>
    <w:rsid w:val="00EA0455"/>
    <w:rsid w:val="00EA08BA"/>
    <w:rsid w:val="00EA0BCE"/>
    <w:rsid w:val="00EA10E4"/>
    <w:rsid w:val="00EA17BC"/>
    <w:rsid w:val="00EA2744"/>
    <w:rsid w:val="00EA37B9"/>
    <w:rsid w:val="00EA39F7"/>
    <w:rsid w:val="00EA3DC2"/>
    <w:rsid w:val="00EA434E"/>
    <w:rsid w:val="00EA4757"/>
    <w:rsid w:val="00EA560B"/>
    <w:rsid w:val="00EA5669"/>
    <w:rsid w:val="00EA5CC6"/>
    <w:rsid w:val="00EA63EF"/>
    <w:rsid w:val="00EA705C"/>
    <w:rsid w:val="00EA7CBF"/>
    <w:rsid w:val="00EB0A89"/>
    <w:rsid w:val="00EB0BD8"/>
    <w:rsid w:val="00EB1573"/>
    <w:rsid w:val="00EB1910"/>
    <w:rsid w:val="00EB1B7C"/>
    <w:rsid w:val="00EB2564"/>
    <w:rsid w:val="00EB2D83"/>
    <w:rsid w:val="00EB2E97"/>
    <w:rsid w:val="00EB2ED0"/>
    <w:rsid w:val="00EB3416"/>
    <w:rsid w:val="00EB4AE1"/>
    <w:rsid w:val="00EB52F4"/>
    <w:rsid w:val="00EB5694"/>
    <w:rsid w:val="00EB5779"/>
    <w:rsid w:val="00EB5C68"/>
    <w:rsid w:val="00EB5D2F"/>
    <w:rsid w:val="00EB61CC"/>
    <w:rsid w:val="00EB67F1"/>
    <w:rsid w:val="00EB6A67"/>
    <w:rsid w:val="00EB6ADA"/>
    <w:rsid w:val="00EB7132"/>
    <w:rsid w:val="00EB72CD"/>
    <w:rsid w:val="00EB749A"/>
    <w:rsid w:val="00EB76B6"/>
    <w:rsid w:val="00EB7D8A"/>
    <w:rsid w:val="00EC0487"/>
    <w:rsid w:val="00EC04F7"/>
    <w:rsid w:val="00EC05E2"/>
    <w:rsid w:val="00EC0E84"/>
    <w:rsid w:val="00EC16E2"/>
    <w:rsid w:val="00EC1CE7"/>
    <w:rsid w:val="00EC1DAE"/>
    <w:rsid w:val="00EC1F36"/>
    <w:rsid w:val="00EC224E"/>
    <w:rsid w:val="00EC26F1"/>
    <w:rsid w:val="00EC33A8"/>
    <w:rsid w:val="00EC3ABE"/>
    <w:rsid w:val="00EC3BA2"/>
    <w:rsid w:val="00EC3C94"/>
    <w:rsid w:val="00EC44DF"/>
    <w:rsid w:val="00EC4FB9"/>
    <w:rsid w:val="00EC5393"/>
    <w:rsid w:val="00EC567C"/>
    <w:rsid w:val="00EC5741"/>
    <w:rsid w:val="00EC5DA3"/>
    <w:rsid w:val="00EC6014"/>
    <w:rsid w:val="00EC6044"/>
    <w:rsid w:val="00EC6565"/>
    <w:rsid w:val="00EC6B3E"/>
    <w:rsid w:val="00EC73DE"/>
    <w:rsid w:val="00EC7637"/>
    <w:rsid w:val="00EC76EA"/>
    <w:rsid w:val="00EC7C07"/>
    <w:rsid w:val="00EC7CF2"/>
    <w:rsid w:val="00ED046C"/>
    <w:rsid w:val="00ED053A"/>
    <w:rsid w:val="00ED1257"/>
    <w:rsid w:val="00ED1F03"/>
    <w:rsid w:val="00ED249D"/>
    <w:rsid w:val="00ED2D27"/>
    <w:rsid w:val="00ED2F68"/>
    <w:rsid w:val="00ED3347"/>
    <w:rsid w:val="00ED3441"/>
    <w:rsid w:val="00ED3860"/>
    <w:rsid w:val="00ED3954"/>
    <w:rsid w:val="00ED39AC"/>
    <w:rsid w:val="00ED43A2"/>
    <w:rsid w:val="00ED4967"/>
    <w:rsid w:val="00ED4CA9"/>
    <w:rsid w:val="00ED50E5"/>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813"/>
    <w:rsid w:val="00ED7FBC"/>
    <w:rsid w:val="00EE0253"/>
    <w:rsid w:val="00EE0297"/>
    <w:rsid w:val="00EE1258"/>
    <w:rsid w:val="00EE13CA"/>
    <w:rsid w:val="00EE13DA"/>
    <w:rsid w:val="00EE1668"/>
    <w:rsid w:val="00EE1EDB"/>
    <w:rsid w:val="00EE24E2"/>
    <w:rsid w:val="00EE2A20"/>
    <w:rsid w:val="00EE366D"/>
    <w:rsid w:val="00EE3F80"/>
    <w:rsid w:val="00EE40A4"/>
    <w:rsid w:val="00EE41AA"/>
    <w:rsid w:val="00EE5454"/>
    <w:rsid w:val="00EE59B5"/>
    <w:rsid w:val="00EE5FB7"/>
    <w:rsid w:val="00EE6783"/>
    <w:rsid w:val="00EE678B"/>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14C"/>
    <w:rsid w:val="00EF326A"/>
    <w:rsid w:val="00EF397D"/>
    <w:rsid w:val="00EF3CD4"/>
    <w:rsid w:val="00EF427A"/>
    <w:rsid w:val="00EF45DF"/>
    <w:rsid w:val="00EF4944"/>
    <w:rsid w:val="00EF4952"/>
    <w:rsid w:val="00EF498F"/>
    <w:rsid w:val="00EF4A42"/>
    <w:rsid w:val="00EF510C"/>
    <w:rsid w:val="00EF55C4"/>
    <w:rsid w:val="00EF57BC"/>
    <w:rsid w:val="00EF5A41"/>
    <w:rsid w:val="00EF5CA8"/>
    <w:rsid w:val="00EF6784"/>
    <w:rsid w:val="00EF688A"/>
    <w:rsid w:val="00EF6A03"/>
    <w:rsid w:val="00EF6DC2"/>
    <w:rsid w:val="00EF7506"/>
    <w:rsid w:val="00EF760B"/>
    <w:rsid w:val="00EF7BF4"/>
    <w:rsid w:val="00F0026C"/>
    <w:rsid w:val="00F0030F"/>
    <w:rsid w:val="00F00674"/>
    <w:rsid w:val="00F01657"/>
    <w:rsid w:val="00F01E67"/>
    <w:rsid w:val="00F01EF4"/>
    <w:rsid w:val="00F02744"/>
    <w:rsid w:val="00F02BFD"/>
    <w:rsid w:val="00F02D25"/>
    <w:rsid w:val="00F03A60"/>
    <w:rsid w:val="00F03C3D"/>
    <w:rsid w:val="00F0435D"/>
    <w:rsid w:val="00F04580"/>
    <w:rsid w:val="00F04986"/>
    <w:rsid w:val="00F04ECA"/>
    <w:rsid w:val="00F04F8B"/>
    <w:rsid w:val="00F064DB"/>
    <w:rsid w:val="00F06CA4"/>
    <w:rsid w:val="00F06E19"/>
    <w:rsid w:val="00F06F84"/>
    <w:rsid w:val="00F06FCD"/>
    <w:rsid w:val="00F0749E"/>
    <w:rsid w:val="00F076E7"/>
    <w:rsid w:val="00F07A86"/>
    <w:rsid w:val="00F07AA1"/>
    <w:rsid w:val="00F105AE"/>
    <w:rsid w:val="00F10618"/>
    <w:rsid w:val="00F10BB3"/>
    <w:rsid w:val="00F10E78"/>
    <w:rsid w:val="00F10E7D"/>
    <w:rsid w:val="00F1108B"/>
    <w:rsid w:val="00F114FA"/>
    <w:rsid w:val="00F11768"/>
    <w:rsid w:val="00F11951"/>
    <w:rsid w:val="00F12059"/>
    <w:rsid w:val="00F12262"/>
    <w:rsid w:val="00F12564"/>
    <w:rsid w:val="00F128D9"/>
    <w:rsid w:val="00F12AF8"/>
    <w:rsid w:val="00F12C52"/>
    <w:rsid w:val="00F13381"/>
    <w:rsid w:val="00F13417"/>
    <w:rsid w:val="00F13828"/>
    <w:rsid w:val="00F13E62"/>
    <w:rsid w:val="00F13F51"/>
    <w:rsid w:val="00F146E9"/>
    <w:rsid w:val="00F148B7"/>
    <w:rsid w:val="00F14BF6"/>
    <w:rsid w:val="00F14EA9"/>
    <w:rsid w:val="00F15505"/>
    <w:rsid w:val="00F15BFF"/>
    <w:rsid w:val="00F15FFF"/>
    <w:rsid w:val="00F1634B"/>
    <w:rsid w:val="00F1689D"/>
    <w:rsid w:val="00F16E4F"/>
    <w:rsid w:val="00F171B2"/>
    <w:rsid w:val="00F17244"/>
    <w:rsid w:val="00F20931"/>
    <w:rsid w:val="00F20ECE"/>
    <w:rsid w:val="00F213A0"/>
    <w:rsid w:val="00F21D54"/>
    <w:rsid w:val="00F21EF4"/>
    <w:rsid w:val="00F221A2"/>
    <w:rsid w:val="00F22831"/>
    <w:rsid w:val="00F22E8B"/>
    <w:rsid w:val="00F22F81"/>
    <w:rsid w:val="00F23113"/>
    <w:rsid w:val="00F23255"/>
    <w:rsid w:val="00F23393"/>
    <w:rsid w:val="00F23759"/>
    <w:rsid w:val="00F24644"/>
    <w:rsid w:val="00F246FF"/>
    <w:rsid w:val="00F24B57"/>
    <w:rsid w:val="00F24BB1"/>
    <w:rsid w:val="00F24F60"/>
    <w:rsid w:val="00F25947"/>
    <w:rsid w:val="00F25CC9"/>
    <w:rsid w:val="00F262D6"/>
    <w:rsid w:val="00F26F33"/>
    <w:rsid w:val="00F273D5"/>
    <w:rsid w:val="00F2748A"/>
    <w:rsid w:val="00F276C0"/>
    <w:rsid w:val="00F2786C"/>
    <w:rsid w:val="00F300A8"/>
    <w:rsid w:val="00F302C6"/>
    <w:rsid w:val="00F30400"/>
    <w:rsid w:val="00F3079E"/>
    <w:rsid w:val="00F311A1"/>
    <w:rsid w:val="00F31289"/>
    <w:rsid w:val="00F3232D"/>
    <w:rsid w:val="00F32356"/>
    <w:rsid w:val="00F32F80"/>
    <w:rsid w:val="00F3399B"/>
    <w:rsid w:val="00F33F4B"/>
    <w:rsid w:val="00F346ED"/>
    <w:rsid w:val="00F34945"/>
    <w:rsid w:val="00F34E1E"/>
    <w:rsid w:val="00F3570C"/>
    <w:rsid w:val="00F363A4"/>
    <w:rsid w:val="00F36765"/>
    <w:rsid w:val="00F368FF"/>
    <w:rsid w:val="00F37068"/>
    <w:rsid w:val="00F37E5F"/>
    <w:rsid w:val="00F37F3F"/>
    <w:rsid w:val="00F37F84"/>
    <w:rsid w:val="00F40190"/>
    <w:rsid w:val="00F40992"/>
    <w:rsid w:val="00F40F72"/>
    <w:rsid w:val="00F41596"/>
    <w:rsid w:val="00F41D8B"/>
    <w:rsid w:val="00F42121"/>
    <w:rsid w:val="00F424B3"/>
    <w:rsid w:val="00F428B1"/>
    <w:rsid w:val="00F428B4"/>
    <w:rsid w:val="00F43416"/>
    <w:rsid w:val="00F4345D"/>
    <w:rsid w:val="00F4387B"/>
    <w:rsid w:val="00F45921"/>
    <w:rsid w:val="00F45B91"/>
    <w:rsid w:val="00F46502"/>
    <w:rsid w:val="00F46639"/>
    <w:rsid w:val="00F47026"/>
    <w:rsid w:val="00F476FD"/>
    <w:rsid w:val="00F50183"/>
    <w:rsid w:val="00F5033A"/>
    <w:rsid w:val="00F50D92"/>
    <w:rsid w:val="00F51765"/>
    <w:rsid w:val="00F51A51"/>
    <w:rsid w:val="00F51BC6"/>
    <w:rsid w:val="00F51CB4"/>
    <w:rsid w:val="00F52200"/>
    <w:rsid w:val="00F52324"/>
    <w:rsid w:val="00F5237A"/>
    <w:rsid w:val="00F52950"/>
    <w:rsid w:val="00F52C9D"/>
    <w:rsid w:val="00F533F1"/>
    <w:rsid w:val="00F5345B"/>
    <w:rsid w:val="00F53F4F"/>
    <w:rsid w:val="00F540A3"/>
    <w:rsid w:val="00F54EA2"/>
    <w:rsid w:val="00F55185"/>
    <w:rsid w:val="00F5525F"/>
    <w:rsid w:val="00F55679"/>
    <w:rsid w:val="00F561E3"/>
    <w:rsid w:val="00F56466"/>
    <w:rsid w:val="00F565E6"/>
    <w:rsid w:val="00F5684C"/>
    <w:rsid w:val="00F56AFA"/>
    <w:rsid w:val="00F575E2"/>
    <w:rsid w:val="00F579FF"/>
    <w:rsid w:val="00F600E0"/>
    <w:rsid w:val="00F605EC"/>
    <w:rsid w:val="00F60CFE"/>
    <w:rsid w:val="00F60F60"/>
    <w:rsid w:val="00F612CE"/>
    <w:rsid w:val="00F6133C"/>
    <w:rsid w:val="00F61405"/>
    <w:rsid w:val="00F62172"/>
    <w:rsid w:val="00F62227"/>
    <w:rsid w:val="00F624A7"/>
    <w:rsid w:val="00F62AB6"/>
    <w:rsid w:val="00F6378A"/>
    <w:rsid w:val="00F64CE7"/>
    <w:rsid w:val="00F65A3C"/>
    <w:rsid w:val="00F66009"/>
    <w:rsid w:val="00F66282"/>
    <w:rsid w:val="00F6639E"/>
    <w:rsid w:val="00F670E9"/>
    <w:rsid w:val="00F6749F"/>
    <w:rsid w:val="00F67AF1"/>
    <w:rsid w:val="00F67D8B"/>
    <w:rsid w:val="00F700CD"/>
    <w:rsid w:val="00F701C5"/>
    <w:rsid w:val="00F70961"/>
    <w:rsid w:val="00F70A8F"/>
    <w:rsid w:val="00F71397"/>
    <w:rsid w:val="00F719FD"/>
    <w:rsid w:val="00F72389"/>
    <w:rsid w:val="00F72516"/>
    <w:rsid w:val="00F72FB4"/>
    <w:rsid w:val="00F732CF"/>
    <w:rsid w:val="00F735E5"/>
    <w:rsid w:val="00F73B82"/>
    <w:rsid w:val="00F73E80"/>
    <w:rsid w:val="00F7469C"/>
    <w:rsid w:val="00F7487C"/>
    <w:rsid w:val="00F7492E"/>
    <w:rsid w:val="00F74945"/>
    <w:rsid w:val="00F749A3"/>
    <w:rsid w:val="00F74AE8"/>
    <w:rsid w:val="00F75169"/>
    <w:rsid w:val="00F76768"/>
    <w:rsid w:val="00F76C11"/>
    <w:rsid w:val="00F77021"/>
    <w:rsid w:val="00F770AB"/>
    <w:rsid w:val="00F77E61"/>
    <w:rsid w:val="00F80221"/>
    <w:rsid w:val="00F802B0"/>
    <w:rsid w:val="00F80A0A"/>
    <w:rsid w:val="00F80C81"/>
    <w:rsid w:val="00F815AC"/>
    <w:rsid w:val="00F82421"/>
    <w:rsid w:val="00F82E28"/>
    <w:rsid w:val="00F83B33"/>
    <w:rsid w:val="00F83CAE"/>
    <w:rsid w:val="00F840BF"/>
    <w:rsid w:val="00F8427A"/>
    <w:rsid w:val="00F843DF"/>
    <w:rsid w:val="00F84646"/>
    <w:rsid w:val="00F84899"/>
    <w:rsid w:val="00F84A9E"/>
    <w:rsid w:val="00F85585"/>
    <w:rsid w:val="00F859F0"/>
    <w:rsid w:val="00F85CC1"/>
    <w:rsid w:val="00F86B5D"/>
    <w:rsid w:val="00F8740F"/>
    <w:rsid w:val="00F87634"/>
    <w:rsid w:val="00F87809"/>
    <w:rsid w:val="00F87C13"/>
    <w:rsid w:val="00F87C5A"/>
    <w:rsid w:val="00F87E29"/>
    <w:rsid w:val="00F87F18"/>
    <w:rsid w:val="00F87F37"/>
    <w:rsid w:val="00F87F68"/>
    <w:rsid w:val="00F90C4D"/>
    <w:rsid w:val="00F9165C"/>
    <w:rsid w:val="00F9167D"/>
    <w:rsid w:val="00F91CB2"/>
    <w:rsid w:val="00F91E21"/>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817"/>
    <w:rsid w:val="00FA1DA2"/>
    <w:rsid w:val="00FA2258"/>
    <w:rsid w:val="00FA313F"/>
    <w:rsid w:val="00FA3414"/>
    <w:rsid w:val="00FA347A"/>
    <w:rsid w:val="00FA3CDE"/>
    <w:rsid w:val="00FA3D45"/>
    <w:rsid w:val="00FA4048"/>
    <w:rsid w:val="00FA4168"/>
    <w:rsid w:val="00FA4408"/>
    <w:rsid w:val="00FA44B1"/>
    <w:rsid w:val="00FA49B7"/>
    <w:rsid w:val="00FA4B97"/>
    <w:rsid w:val="00FA4E49"/>
    <w:rsid w:val="00FA5043"/>
    <w:rsid w:val="00FA60C1"/>
    <w:rsid w:val="00FA63DD"/>
    <w:rsid w:val="00FA65A3"/>
    <w:rsid w:val="00FA66F9"/>
    <w:rsid w:val="00FA6BCA"/>
    <w:rsid w:val="00FA6F8B"/>
    <w:rsid w:val="00FA727C"/>
    <w:rsid w:val="00FA7A30"/>
    <w:rsid w:val="00FA7A9B"/>
    <w:rsid w:val="00FB033F"/>
    <w:rsid w:val="00FB0880"/>
    <w:rsid w:val="00FB12E3"/>
    <w:rsid w:val="00FB1570"/>
    <w:rsid w:val="00FB193B"/>
    <w:rsid w:val="00FB1FBC"/>
    <w:rsid w:val="00FB27B7"/>
    <w:rsid w:val="00FB35E3"/>
    <w:rsid w:val="00FB4743"/>
    <w:rsid w:val="00FB47C3"/>
    <w:rsid w:val="00FB4C98"/>
    <w:rsid w:val="00FB4CE3"/>
    <w:rsid w:val="00FB551D"/>
    <w:rsid w:val="00FB583C"/>
    <w:rsid w:val="00FB630E"/>
    <w:rsid w:val="00FB6738"/>
    <w:rsid w:val="00FB691B"/>
    <w:rsid w:val="00FB6BC4"/>
    <w:rsid w:val="00FB6BE6"/>
    <w:rsid w:val="00FB731C"/>
    <w:rsid w:val="00FB7628"/>
    <w:rsid w:val="00FB7651"/>
    <w:rsid w:val="00FC0078"/>
    <w:rsid w:val="00FC0363"/>
    <w:rsid w:val="00FC05A0"/>
    <w:rsid w:val="00FC0811"/>
    <w:rsid w:val="00FC09B3"/>
    <w:rsid w:val="00FC1196"/>
    <w:rsid w:val="00FC15EB"/>
    <w:rsid w:val="00FC162C"/>
    <w:rsid w:val="00FC18DC"/>
    <w:rsid w:val="00FC2477"/>
    <w:rsid w:val="00FC2AC4"/>
    <w:rsid w:val="00FC2D17"/>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174"/>
    <w:rsid w:val="00FC76A9"/>
    <w:rsid w:val="00FC79AB"/>
    <w:rsid w:val="00FC7BE7"/>
    <w:rsid w:val="00FC7DAC"/>
    <w:rsid w:val="00FD005D"/>
    <w:rsid w:val="00FD0216"/>
    <w:rsid w:val="00FD04AE"/>
    <w:rsid w:val="00FD0865"/>
    <w:rsid w:val="00FD0DFA"/>
    <w:rsid w:val="00FD1890"/>
    <w:rsid w:val="00FD1994"/>
    <w:rsid w:val="00FD3290"/>
    <w:rsid w:val="00FD3508"/>
    <w:rsid w:val="00FD393C"/>
    <w:rsid w:val="00FD3AFF"/>
    <w:rsid w:val="00FD43BB"/>
    <w:rsid w:val="00FD4AF3"/>
    <w:rsid w:val="00FD5443"/>
    <w:rsid w:val="00FD6675"/>
    <w:rsid w:val="00FD67F9"/>
    <w:rsid w:val="00FD694E"/>
    <w:rsid w:val="00FD6DC5"/>
    <w:rsid w:val="00FD7250"/>
    <w:rsid w:val="00FD72B1"/>
    <w:rsid w:val="00FD72E7"/>
    <w:rsid w:val="00FD798D"/>
    <w:rsid w:val="00FE04AB"/>
    <w:rsid w:val="00FE141E"/>
    <w:rsid w:val="00FE144E"/>
    <w:rsid w:val="00FE1768"/>
    <w:rsid w:val="00FE1DD5"/>
    <w:rsid w:val="00FE1E8C"/>
    <w:rsid w:val="00FE24F4"/>
    <w:rsid w:val="00FE2560"/>
    <w:rsid w:val="00FE35D0"/>
    <w:rsid w:val="00FE42ED"/>
    <w:rsid w:val="00FE4E06"/>
    <w:rsid w:val="00FE55A7"/>
    <w:rsid w:val="00FE5C5A"/>
    <w:rsid w:val="00FE601E"/>
    <w:rsid w:val="00FE6432"/>
    <w:rsid w:val="00FE72A0"/>
    <w:rsid w:val="00FF0050"/>
    <w:rsid w:val="00FF03EA"/>
    <w:rsid w:val="00FF045F"/>
    <w:rsid w:val="00FF0816"/>
    <w:rsid w:val="00FF13D4"/>
    <w:rsid w:val="00FF2053"/>
    <w:rsid w:val="00FF3B37"/>
    <w:rsid w:val="00FF3CC7"/>
    <w:rsid w:val="00FF3D6F"/>
    <w:rsid w:val="00FF441A"/>
    <w:rsid w:val="00FF44D7"/>
    <w:rsid w:val="00FF4BD8"/>
    <w:rsid w:val="00FF4D11"/>
    <w:rsid w:val="00FF5214"/>
    <w:rsid w:val="00FF5914"/>
    <w:rsid w:val="00FF596E"/>
    <w:rsid w:val="00FF5B59"/>
    <w:rsid w:val="00FF5BFD"/>
    <w:rsid w:val="00FF6095"/>
    <w:rsid w:val="00FF62FE"/>
    <w:rsid w:val="00FF6553"/>
    <w:rsid w:val="00FF70BD"/>
    <w:rsid w:val="00FF7124"/>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styleId="Textonotaalfinal">
    <w:name w:val="endnote text"/>
    <w:basedOn w:val="Normal"/>
    <w:link w:val="TextonotaalfinalCar"/>
    <w:uiPriority w:val="99"/>
    <w:semiHidden/>
    <w:unhideWhenUsed/>
    <w:rsid w:val="001679EF"/>
    <w:rPr>
      <w:sz w:val="20"/>
      <w:szCs w:val="20"/>
    </w:rPr>
  </w:style>
  <w:style w:type="character" w:customStyle="1" w:styleId="TextonotaalfinalCar">
    <w:name w:val="Texto nota al final Car"/>
    <w:basedOn w:val="Fuentedeprrafopredeter"/>
    <w:link w:val="Textonotaalfinal"/>
    <w:uiPriority w:val="99"/>
    <w:semiHidden/>
    <w:rsid w:val="001679EF"/>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1679EF"/>
    <w:rPr>
      <w:vertAlign w:val="superscript"/>
    </w:rPr>
  </w:style>
  <w:style w:type="paragraph" w:customStyle="1" w:styleId="Car1">
    <w:name w:val="Car1"/>
    <w:basedOn w:val="Normal"/>
    <w:next w:val="Textonotapie"/>
    <w:uiPriority w:val="99"/>
    <w:unhideWhenUsed/>
    <w:qFormat/>
    <w:rsid w:val="00E85980"/>
    <w:rPr>
      <w:rFonts w:ascii="Calibri" w:eastAsia="Calibri" w:hAnsi="Calibri"/>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5401761">
      <w:bodyDiv w:val="1"/>
      <w:marLeft w:val="0"/>
      <w:marRight w:val="0"/>
      <w:marTop w:val="0"/>
      <w:marBottom w:val="0"/>
      <w:divBdr>
        <w:top w:val="none" w:sz="0" w:space="0" w:color="auto"/>
        <w:left w:val="none" w:sz="0" w:space="0" w:color="auto"/>
        <w:bottom w:val="none" w:sz="0" w:space="0" w:color="auto"/>
        <w:right w:val="none" w:sz="0" w:space="0" w:color="auto"/>
      </w:divBdr>
      <w:divsChild>
        <w:div w:id="1415666582">
          <w:marLeft w:val="0"/>
          <w:marRight w:val="0"/>
          <w:marTop w:val="300"/>
          <w:marBottom w:val="300"/>
          <w:divBdr>
            <w:top w:val="none" w:sz="0" w:space="0" w:color="auto"/>
            <w:left w:val="none" w:sz="0" w:space="0" w:color="auto"/>
            <w:bottom w:val="none" w:sz="0" w:space="0" w:color="auto"/>
            <w:right w:val="none" w:sz="0" w:space="0" w:color="auto"/>
          </w:divBdr>
        </w:div>
      </w:divsChild>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428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79591178">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4713">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2529466">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0707619">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089011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relatoria.colombiacompra.gov.co/busqueda/conceptos"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CA709260-3D27-4AEB-AD3E-BA91CA585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23</Pages>
  <Words>8544</Words>
  <Characters>46998</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2022-04-13T15:45:00Z</dcterms:created>
  <dcterms:modified xsi:type="dcterms:W3CDTF">2022-04-13T15:45:00Z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