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6208" w14:textId="77777777" w:rsidR="00D06ECB" w:rsidRPr="00CD6AD7" w:rsidRDefault="00D06ECB" w:rsidP="00D06ECB">
      <w:pPr>
        <w:jc w:val="right"/>
        <w:rPr>
          <w:rFonts w:ascii="Arial" w:hAnsi="Arial" w:cs="Arial"/>
          <w:bCs/>
          <w:color w:val="000000" w:themeColor="text1"/>
          <w:sz w:val="16"/>
          <w:szCs w:val="16"/>
          <w:lang w:eastAsia="es-ES"/>
        </w:rPr>
      </w:pPr>
      <w:bookmarkStart w:id="0" w:name="_Hlk69117809"/>
      <w:bookmarkStart w:id="1" w:name="_Hlk28946138"/>
      <w:bookmarkStart w:id="2" w:name="_Hlk29548183"/>
      <w:r w:rsidRPr="009F7826">
        <w:rPr>
          <w:rFonts w:ascii="Arial" w:hAnsi="Arial" w:cs="Arial"/>
          <w:b/>
          <w:color w:val="000000" w:themeColor="text1"/>
          <w:sz w:val="16"/>
          <w:szCs w:val="16"/>
          <w:lang w:eastAsia="es-ES"/>
        </w:rPr>
        <w:tab/>
      </w:r>
      <w:r w:rsidRPr="00CD6AD7">
        <w:rPr>
          <w:rFonts w:ascii="Arial" w:hAnsi="Arial" w:cs="Arial"/>
          <w:bCs/>
          <w:color w:val="000000" w:themeColor="text1"/>
          <w:sz w:val="16"/>
          <w:szCs w:val="16"/>
          <w:lang w:eastAsia="es-ES"/>
        </w:rPr>
        <w:t>CCE-DES-FM-17</w:t>
      </w:r>
    </w:p>
    <w:p w14:paraId="664C3B70" w14:textId="4D521EB7" w:rsidR="00EE1D59" w:rsidRPr="00CD6AD7" w:rsidRDefault="00EE1D59" w:rsidP="005C5767">
      <w:pPr>
        <w:jc w:val="both"/>
        <w:rPr>
          <w:rFonts w:ascii="Arial" w:hAnsi="Arial" w:cs="Arial"/>
          <w:b/>
          <w:bCs/>
          <w:sz w:val="22"/>
          <w:szCs w:val="22"/>
        </w:rPr>
      </w:pPr>
      <w:bookmarkStart w:id="3" w:name="_Hlk66177743"/>
    </w:p>
    <w:p w14:paraId="4722BAE0" w14:textId="03A55189" w:rsidR="00A077F9" w:rsidRPr="00CD6AD7" w:rsidRDefault="00A077F9" w:rsidP="006C64DA">
      <w:pPr>
        <w:jc w:val="both"/>
        <w:rPr>
          <w:rFonts w:ascii="Arial" w:hAnsi="Arial" w:cs="Arial"/>
          <w:b/>
          <w:bCs/>
          <w:sz w:val="22"/>
          <w:szCs w:val="22"/>
        </w:rPr>
      </w:pPr>
      <w:r w:rsidRPr="00CD6AD7">
        <w:rPr>
          <w:rFonts w:ascii="Arial" w:hAnsi="Arial" w:cs="Arial"/>
          <w:b/>
          <w:bCs/>
          <w:sz w:val="22"/>
          <w:szCs w:val="22"/>
        </w:rPr>
        <w:t xml:space="preserve">RIESGOS – Normativa </w:t>
      </w:r>
    </w:p>
    <w:p w14:paraId="6FAC6C61" w14:textId="44C6C3CB" w:rsidR="00A077F9" w:rsidRPr="00CD6AD7" w:rsidRDefault="00A077F9" w:rsidP="006C64DA">
      <w:pPr>
        <w:jc w:val="both"/>
        <w:rPr>
          <w:rFonts w:ascii="Arial" w:hAnsi="Arial" w:cs="Arial"/>
          <w:b/>
          <w:bCs/>
          <w:sz w:val="22"/>
          <w:szCs w:val="22"/>
        </w:rPr>
      </w:pPr>
    </w:p>
    <w:p w14:paraId="7DAFEBDB" w14:textId="38842CFB" w:rsidR="00A077F9" w:rsidRPr="00CD6AD7" w:rsidRDefault="00A077F9" w:rsidP="006C64DA">
      <w:pPr>
        <w:jc w:val="both"/>
        <w:rPr>
          <w:rFonts w:ascii="Arial" w:hAnsi="Arial" w:cs="Arial"/>
          <w:sz w:val="20"/>
          <w:szCs w:val="20"/>
        </w:rPr>
      </w:pPr>
      <w:r w:rsidRPr="00CD6AD7">
        <w:rPr>
          <w:rFonts w:ascii="Arial" w:hAnsi="Arial" w:cs="Arial"/>
          <w:sz w:val="20"/>
          <w:szCs w:val="20"/>
        </w:rPr>
        <w:t>[…] la expedición de la Ley 1150 de 2007 se propendió porque durante la planeación de los procesos de contratación las entidades estatales estimaran de forma anticipada las posibles eventualidades que puedan generarse durante la ejecución del contrato. […]</w:t>
      </w:r>
      <w:r w:rsidR="00523C44" w:rsidRPr="00CD6AD7">
        <w:rPr>
          <w:rFonts w:ascii="Arial" w:hAnsi="Arial" w:cs="Arial"/>
          <w:sz w:val="20"/>
          <w:szCs w:val="20"/>
        </w:rPr>
        <w:t xml:space="preserve"> </w:t>
      </w:r>
      <w:r w:rsidR="00473354" w:rsidRPr="00CD6AD7">
        <w:rPr>
          <w:rFonts w:ascii="Arial" w:hAnsi="Arial" w:cs="Arial"/>
          <w:sz w:val="20"/>
          <w:szCs w:val="20"/>
        </w:rPr>
        <w:t xml:space="preserve">Como resultado de la promulgación de la Ley 1150 de 2007, </w:t>
      </w:r>
      <w:r w:rsidR="00FB2804">
        <w:rPr>
          <w:rFonts w:ascii="Arial" w:hAnsi="Arial" w:cs="Arial"/>
          <w:sz w:val="20"/>
          <w:szCs w:val="20"/>
        </w:rPr>
        <w:t>en relación con los</w:t>
      </w:r>
      <w:r w:rsidR="00473354" w:rsidRPr="00CD6AD7">
        <w:rPr>
          <w:rFonts w:ascii="Arial" w:hAnsi="Arial" w:cs="Arial"/>
          <w:sz w:val="20"/>
          <w:szCs w:val="20"/>
        </w:rPr>
        <w:t xml:space="preserve"> riesgos, el artículo 4, obliga a las entidades estatales a estimar, tipificar y asignar los riesgos parte del contrato dentro de los pliegos de condiciones o en sus equivalentes.</w:t>
      </w:r>
      <w:r w:rsidR="00010BFE" w:rsidRPr="00CD6AD7">
        <w:rPr>
          <w:rFonts w:ascii="Arial" w:hAnsi="Arial" w:cs="Arial"/>
          <w:sz w:val="20"/>
          <w:szCs w:val="20"/>
        </w:rPr>
        <w:t xml:space="preserve"> […] </w:t>
      </w:r>
      <w:r w:rsidR="00FB2804">
        <w:rPr>
          <w:rFonts w:ascii="Arial" w:hAnsi="Arial" w:cs="Arial"/>
          <w:sz w:val="20"/>
          <w:szCs w:val="20"/>
        </w:rPr>
        <w:t>Por su parte</w:t>
      </w:r>
      <w:r w:rsidR="00010BFE" w:rsidRPr="00CD6AD7">
        <w:rPr>
          <w:rFonts w:ascii="Arial" w:hAnsi="Arial" w:cs="Arial"/>
          <w:sz w:val="20"/>
          <w:szCs w:val="20"/>
        </w:rPr>
        <w:t>, el Decreto 1082 de 2015 reiteró, en los siguientes términos, la obligación que tienen las entidades estatales de tipificar, estimar y asignar los riesgos previsibles que surjan durante la ejecución contractual dentro del pliego de condiciones</w:t>
      </w:r>
    </w:p>
    <w:p w14:paraId="21A96152" w14:textId="77777777" w:rsidR="00A077F9" w:rsidRPr="00CD6AD7" w:rsidRDefault="00A077F9" w:rsidP="006C64DA">
      <w:pPr>
        <w:jc w:val="both"/>
        <w:rPr>
          <w:rFonts w:ascii="Arial" w:hAnsi="Arial" w:cs="Arial"/>
          <w:b/>
          <w:bCs/>
          <w:sz w:val="22"/>
          <w:szCs w:val="22"/>
        </w:rPr>
      </w:pPr>
    </w:p>
    <w:p w14:paraId="3B6F6EC1" w14:textId="4D882588" w:rsidR="00FB2804" w:rsidRDefault="00FB2804" w:rsidP="006C64DA">
      <w:pPr>
        <w:jc w:val="both"/>
        <w:rPr>
          <w:rFonts w:ascii="Arial" w:hAnsi="Arial" w:cs="Arial"/>
          <w:b/>
          <w:bCs/>
          <w:sz w:val="22"/>
          <w:szCs w:val="22"/>
        </w:rPr>
      </w:pPr>
      <w:r w:rsidRPr="00FB2804">
        <w:rPr>
          <w:rFonts w:ascii="Arial" w:hAnsi="Arial" w:cs="Arial"/>
          <w:b/>
          <w:bCs/>
          <w:sz w:val="22"/>
          <w:szCs w:val="22"/>
        </w:rPr>
        <w:t>RIESGOS – CONPES – Definición</w:t>
      </w:r>
    </w:p>
    <w:p w14:paraId="7B14ACEB" w14:textId="633A9D65" w:rsidR="00FB2804" w:rsidRDefault="00FB2804" w:rsidP="006C64DA">
      <w:pPr>
        <w:jc w:val="both"/>
        <w:rPr>
          <w:rFonts w:ascii="Arial" w:hAnsi="Arial" w:cs="Arial"/>
          <w:b/>
          <w:bCs/>
          <w:sz w:val="22"/>
          <w:szCs w:val="22"/>
        </w:rPr>
      </w:pPr>
    </w:p>
    <w:p w14:paraId="3EDB8C02" w14:textId="2662C7BD" w:rsidR="00FB2804" w:rsidRPr="00FB2804" w:rsidRDefault="00FB2804" w:rsidP="00FB2804">
      <w:pPr>
        <w:jc w:val="both"/>
        <w:textAlignment w:val="baseline"/>
        <w:rPr>
          <w:rFonts w:ascii="Arial" w:hAnsi="Arial" w:cs="Arial"/>
          <w:sz w:val="20"/>
          <w:szCs w:val="20"/>
        </w:rPr>
      </w:pPr>
      <w:r>
        <w:rPr>
          <w:rFonts w:ascii="Arial" w:hAnsi="Arial" w:cs="Arial"/>
          <w:sz w:val="20"/>
          <w:szCs w:val="20"/>
        </w:rPr>
        <w:t>[…] c</w:t>
      </w:r>
      <w:r w:rsidRPr="00FB2804">
        <w:rPr>
          <w:rFonts w:ascii="Arial" w:hAnsi="Arial" w:cs="Arial"/>
          <w:sz w:val="20"/>
          <w:szCs w:val="20"/>
        </w:rPr>
        <w:t xml:space="preserve">on la expedición del CONPES 3107 de 2011 se establecieron lineamientos en materia de «Política de Manejo de Riesgo Contractual del Estado para Procesos de Participación Privada en Infraestructura» </w:t>
      </w:r>
      <w:r>
        <w:rPr>
          <w:rFonts w:ascii="Arial" w:hAnsi="Arial" w:cs="Arial"/>
          <w:sz w:val="20"/>
          <w:szCs w:val="20"/>
        </w:rPr>
        <w:t>[…] d</w:t>
      </w:r>
      <w:r w:rsidRPr="00FB2804">
        <w:rPr>
          <w:rFonts w:ascii="Arial" w:hAnsi="Arial" w:cs="Arial"/>
          <w:sz w:val="20"/>
          <w:szCs w:val="20"/>
        </w:rPr>
        <w:t xml:space="preserve">e tal forma, el CONPES estableció que en la medida que «una asignación adecuada de los riesgos minimiza el costo de su mitigación» es necesario que los riesgos sean asumidos por quién mejor los controla en la relación contractual, lo que implica que sean asignados e identificados correctamente. […] Sumado a lo anterior, el CONPES 3107 de 2011 consagra la importancia de realizar un análisis de información que permita determinar la asignación del riesgo basado en información confiable y de calidad, pues «con información de mejor calidad, la percepción de riesgo es menor y se pueden adoptar las medidas para controlar la incidencia de las fuentes de riesgo», establecer mecanismos de mitigación del impacto y cobertura, instrumentos de protección, así como determinar su asignación a los distintos participes del negocio jurídico. </w:t>
      </w:r>
    </w:p>
    <w:p w14:paraId="07970771" w14:textId="77777777" w:rsidR="00FB2804" w:rsidRPr="00FB2804" w:rsidRDefault="00FB2804" w:rsidP="00FB2804">
      <w:pPr>
        <w:ind w:firstLine="705"/>
        <w:jc w:val="both"/>
        <w:textAlignment w:val="baseline"/>
        <w:rPr>
          <w:rFonts w:ascii="Arial" w:hAnsi="Arial" w:cs="Arial"/>
          <w:sz w:val="20"/>
          <w:szCs w:val="20"/>
        </w:rPr>
      </w:pPr>
    </w:p>
    <w:p w14:paraId="5AB5066E" w14:textId="05ADE723" w:rsidR="00FB2804" w:rsidRPr="00FB2804" w:rsidRDefault="00FB2804" w:rsidP="00FB2804">
      <w:pPr>
        <w:jc w:val="both"/>
        <w:rPr>
          <w:rFonts w:ascii="Arial" w:hAnsi="Arial" w:cs="Arial"/>
          <w:sz w:val="20"/>
          <w:szCs w:val="20"/>
        </w:rPr>
      </w:pPr>
      <w:r w:rsidRPr="00FB2804">
        <w:rPr>
          <w:rFonts w:ascii="Arial" w:hAnsi="Arial" w:cs="Arial"/>
          <w:sz w:val="20"/>
          <w:szCs w:val="20"/>
        </w:rPr>
        <w:t xml:space="preserve">En la misma línea, el CONPES 3714 de 2011, definió lineamientos para el entendimiento del concepto de “riesgo previsible” en el marco de los procesos de selección sometidos al Estatuto General de Contratación de la Administración Pública, con el fin de «convertirse en una herramienta para el mejoramiento continuo en la aplicación de la normativa existente; buscar el establecimiento de reglas claras frente a posibles alteraciones del equilibrio financiero de los contratos; generar seguridad jurídica; y, en general, sentar las bases para el fortalecimiento y la homogenización de los pasos que se surten en la etapa precontractual para el establecimiento de los riesgos previsibles de la contratación». </w:t>
      </w:r>
    </w:p>
    <w:p w14:paraId="2CA2D913" w14:textId="77777777" w:rsidR="00FB2804" w:rsidRDefault="00FB2804" w:rsidP="006C64DA">
      <w:pPr>
        <w:jc w:val="both"/>
        <w:rPr>
          <w:rFonts w:ascii="Arial" w:hAnsi="Arial" w:cs="Arial"/>
          <w:b/>
          <w:bCs/>
          <w:sz w:val="22"/>
          <w:szCs w:val="22"/>
        </w:rPr>
      </w:pPr>
    </w:p>
    <w:p w14:paraId="2E61BC35" w14:textId="3CF8B775" w:rsidR="006C64DA" w:rsidRPr="00CD6AD7" w:rsidRDefault="006C64DA" w:rsidP="006C64DA">
      <w:pPr>
        <w:jc w:val="both"/>
        <w:rPr>
          <w:rFonts w:ascii="Arial" w:hAnsi="Arial" w:cs="Arial"/>
          <w:b/>
          <w:bCs/>
          <w:sz w:val="22"/>
          <w:szCs w:val="22"/>
        </w:rPr>
      </w:pPr>
      <w:r w:rsidRPr="00CD6AD7">
        <w:rPr>
          <w:rFonts w:ascii="Arial" w:hAnsi="Arial" w:cs="Arial"/>
          <w:b/>
          <w:bCs/>
          <w:sz w:val="22"/>
          <w:szCs w:val="22"/>
        </w:rPr>
        <w:t>COLOMBIA COMPRA EFICIENTE – Decreto</w:t>
      </w:r>
      <w:r w:rsidR="00DB4164" w:rsidRPr="00CD6AD7">
        <w:rPr>
          <w:rFonts w:ascii="Arial" w:hAnsi="Arial" w:cs="Arial"/>
          <w:b/>
          <w:bCs/>
          <w:sz w:val="22"/>
          <w:szCs w:val="22"/>
        </w:rPr>
        <w:t xml:space="preserve"> </w:t>
      </w:r>
      <w:r w:rsidR="0066421C" w:rsidRPr="00CD6AD7">
        <w:rPr>
          <w:rFonts w:ascii="Arial" w:hAnsi="Arial" w:cs="Arial"/>
          <w:b/>
          <w:bCs/>
          <w:sz w:val="22"/>
          <w:szCs w:val="22"/>
        </w:rPr>
        <w:t>Ley</w:t>
      </w:r>
      <w:r w:rsidRPr="00CD6AD7">
        <w:rPr>
          <w:rFonts w:ascii="Arial" w:hAnsi="Arial" w:cs="Arial"/>
          <w:b/>
          <w:bCs/>
          <w:sz w:val="22"/>
          <w:szCs w:val="22"/>
        </w:rPr>
        <w:t xml:space="preserve"> 4170 de 2011 – Naturaleza jurídica – Objeto</w:t>
      </w:r>
    </w:p>
    <w:p w14:paraId="767E0BB3" w14:textId="77777777" w:rsidR="006C64DA" w:rsidRPr="00CD6AD7" w:rsidRDefault="006C64DA" w:rsidP="006C64DA">
      <w:pPr>
        <w:jc w:val="both"/>
        <w:rPr>
          <w:rFonts w:ascii="Arial" w:hAnsi="Arial" w:cs="Arial"/>
          <w:sz w:val="22"/>
          <w:szCs w:val="22"/>
        </w:rPr>
      </w:pPr>
    </w:p>
    <w:p w14:paraId="0B38C7CE" w14:textId="47D9A7AC" w:rsidR="005C5767" w:rsidRPr="00CD6AD7" w:rsidRDefault="005C5767" w:rsidP="00B92338">
      <w:pPr>
        <w:jc w:val="both"/>
        <w:rPr>
          <w:rFonts w:ascii="Arial" w:hAnsi="Arial" w:cs="Arial"/>
          <w:sz w:val="20"/>
          <w:szCs w:val="20"/>
        </w:rPr>
      </w:pPr>
      <w:r w:rsidRPr="00CD6AD7">
        <w:rPr>
          <w:rFonts w:ascii="Arial" w:hAnsi="Arial" w:cs="Arial"/>
          <w:sz w:val="20"/>
          <w:szCs w:val="20"/>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formular políticas públicas, normas y unificar los procesos de contratación estatal, facultando a la Agencia para «difundir las normas, reglas, procedimientos, medios tecnológicos y mejores prácticas para las compras y la contratación pública», de conformidad con el numeral 10 del artículo 3 del Decreto Ley 4170 de 2011. </w:t>
      </w:r>
    </w:p>
    <w:p w14:paraId="04023C57" w14:textId="77777777" w:rsidR="005C5767" w:rsidRPr="00CD6AD7" w:rsidRDefault="005C5767" w:rsidP="00B92338">
      <w:pPr>
        <w:jc w:val="both"/>
        <w:rPr>
          <w:rFonts w:ascii="Arial" w:hAnsi="Arial" w:cs="Arial"/>
          <w:sz w:val="20"/>
          <w:szCs w:val="20"/>
        </w:rPr>
      </w:pPr>
    </w:p>
    <w:p w14:paraId="2EFA877D" w14:textId="41F55DE1" w:rsidR="006C64DA" w:rsidRPr="00CD6AD7" w:rsidRDefault="005C5767" w:rsidP="00B92338">
      <w:pPr>
        <w:jc w:val="both"/>
        <w:rPr>
          <w:rFonts w:ascii="Arial" w:hAnsi="Arial" w:cs="Arial"/>
          <w:sz w:val="20"/>
          <w:szCs w:val="20"/>
        </w:rPr>
      </w:pPr>
      <w:r w:rsidRPr="00CD6AD7">
        <w:rPr>
          <w:rFonts w:ascii="Arial" w:hAnsi="Arial" w:cs="Arial"/>
          <w:sz w:val="20"/>
          <w:szCs w:val="20"/>
        </w:rPr>
        <w:t xml:space="preserve">En este contexto, concretamente el numeral 2 del artículo 3 del Decreto Ley 4170 de 2011 señala que una de las funciones de la Agencia Nacional de Contratación Pública es «desarrollar, implementar y difundir las políticas públicas, planes, programas, normas, instrumentos y herramientas que faciliten las compras y contratación pública del Estado y promuevan las mejores </w:t>
      </w:r>
      <w:r w:rsidRPr="00CD6AD7">
        <w:rPr>
          <w:rFonts w:ascii="Arial" w:hAnsi="Arial" w:cs="Arial"/>
          <w:sz w:val="20"/>
          <w:szCs w:val="20"/>
        </w:rPr>
        <w:lastRenderedPageBreak/>
        <w:t xml:space="preserve">prácticas, la eficiencia, transparencia y competitividad del mismo, a fin de que se cumplan los principios y procesos generales que deben gobernar la actividad contractual de las entidades públicas». </w:t>
      </w:r>
    </w:p>
    <w:p w14:paraId="7D1F655E" w14:textId="77777777" w:rsidR="00C36929" w:rsidRPr="00CD6AD7" w:rsidRDefault="00C36929" w:rsidP="005C5767">
      <w:pPr>
        <w:jc w:val="both"/>
        <w:rPr>
          <w:rFonts w:ascii="Arial" w:hAnsi="Arial" w:cs="Arial"/>
          <w:sz w:val="22"/>
          <w:szCs w:val="22"/>
        </w:rPr>
      </w:pPr>
    </w:p>
    <w:p w14:paraId="5C2C8FFD" w14:textId="77777777" w:rsidR="006C64DA" w:rsidRPr="00CD6AD7" w:rsidRDefault="006C64DA" w:rsidP="006C64DA">
      <w:pPr>
        <w:jc w:val="both"/>
        <w:rPr>
          <w:rFonts w:ascii="Arial" w:hAnsi="Arial" w:cs="Arial"/>
          <w:b/>
          <w:bCs/>
          <w:sz w:val="22"/>
          <w:szCs w:val="22"/>
        </w:rPr>
      </w:pPr>
      <w:r w:rsidRPr="00CD6AD7">
        <w:rPr>
          <w:rFonts w:ascii="Arial" w:hAnsi="Arial" w:cs="Arial"/>
          <w:b/>
          <w:bCs/>
          <w:sz w:val="22"/>
          <w:szCs w:val="22"/>
        </w:rPr>
        <w:t>COLOMBIA COMPRA EFICIENTE – Funciones – Expedición – Guías – Manuales – Circulares</w:t>
      </w:r>
    </w:p>
    <w:p w14:paraId="349CC4FD" w14:textId="77777777" w:rsidR="006C64DA" w:rsidRPr="00CD6AD7" w:rsidRDefault="006C64DA" w:rsidP="006C64DA">
      <w:pPr>
        <w:jc w:val="both"/>
        <w:rPr>
          <w:rFonts w:ascii="Arial" w:hAnsi="Arial" w:cs="Arial"/>
          <w:sz w:val="22"/>
          <w:szCs w:val="22"/>
        </w:rPr>
      </w:pPr>
    </w:p>
    <w:p w14:paraId="1ADBE3AC" w14:textId="77777777" w:rsidR="005C5767" w:rsidRPr="00CD6AD7" w:rsidRDefault="005C5767" w:rsidP="005C5767">
      <w:pPr>
        <w:pStyle w:val="Textoindependiente"/>
        <w:jc w:val="both"/>
        <w:rPr>
          <w:rFonts w:ascii="Arial" w:hAnsi="Arial" w:cs="Arial"/>
          <w:sz w:val="20"/>
          <w:szCs w:val="20"/>
        </w:rPr>
      </w:pPr>
      <w:r w:rsidRPr="00CD6AD7">
        <w:rPr>
          <w:rFonts w:ascii="Arial" w:hAnsi="Arial" w:cs="Arial"/>
          <w:sz w:val="20"/>
          <w:szCs w:val="20"/>
        </w:rPr>
        <w:t>En ejercicio de estas competencias conferidas por el Decreto Ley 4170 de 2011, Colombia Compra Eficiente ha expedido Guías, Manuales, Circulares y los Documentos Tipo, los cuales pueden ser calificados como herramientas de apoyo a los partícipes de la contratación pública.</w:t>
      </w:r>
    </w:p>
    <w:p w14:paraId="5EE653F3" w14:textId="77777777" w:rsidR="006C64DA" w:rsidRPr="00CD6AD7" w:rsidRDefault="006C64DA" w:rsidP="006C64DA">
      <w:pPr>
        <w:jc w:val="both"/>
        <w:rPr>
          <w:rFonts w:ascii="Arial" w:hAnsi="Arial" w:cs="Arial"/>
          <w:sz w:val="22"/>
          <w:szCs w:val="22"/>
        </w:rPr>
      </w:pPr>
    </w:p>
    <w:p w14:paraId="452F796D" w14:textId="77777777" w:rsidR="006C64DA" w:rsidRPr="00CD6AD7" w:rsidRDefault="006C64DA" w:rsidP="006C64DA">
      <w:pPr>
        <w:jc w:val="both"/>
        <w:rPr>
          <w:rFonts w:ascii="Arial" w:hAnsi="Arial" w:cs="Arial"/>
          <w:b/>
          <w:sz w:val="22"/>
          <w:szCs w:val="22"/>
        </w:rPr>
      </w:pPr>
      <w:r w:rsidRPr="00CD6AD7">
        <w:rPr>
          <w:rFonts w:ascii="Arial" w:hAnsi="Arial" w:cs="Arial"/>
          <w:b/>
          <w:sz w:val="22"/>
          <w:szCs w:val="22"/>
        </w:rPr>
        <w:t>MANUALES – Colombia Compra Eficiente – Definición</w:t>
      </w:r>
    </w:p>
    <w:p w14:paraId="495236DE" w14:textId="77777777" w:rsidR="006C64DA" w:rsidRPr="00CD6AD7" w:rsidRDefault="006C64DA" w:rsidP="006C64DA">
      <w:pPr>
        <w:jc w:val="both"/>
        <w:rPr>
          <w:rFonts w:ascii="Arial" w:hAnsi="Arial" w:cs="Arial"/>
          <w:sz w:val="22"/>
          <w:szCs w:val="22"/>
        </w:rPr>
      </w:pPr>
    </w:p>
    <w:p w14:paraId="46DE9A8A" w14:textId="4068ECB1" w:rsidR="005C5767" w:rsidRPr="00CD6AD7" w:rsidRDefault="005C5767" w:rsidP="005C5767">
      <w:pPr>
        <w:jc w:val="both"/>
        <w:rPr>
          <w:rFonts w:ascii="Arial" w:hAnsi="Arial" w:cs="Arial"/>
          <w:sz w:val="20"/>
          <w:szCs w:val="20"/>
        </w:rPr>
      </w:pPr>
      <w:r w:rsidRPr="00CD6AD7">
        <w:rPr>
          <w:rFonts w:ascii="Arial" w:hAnsi="Arial" w:cs="Arial"/>
          <w:sz w:val="20"/>
          <w:szCs w:val="20"/>
        </w:rPr>
        <w:t xml:space="preserve">[…] los Manuales han sido entendidos como documentos que tratan de manera general </w:t>
      </w:r>
      <w:proofErr w:type="gramStart"/>
      <w:r w:rsidRPr="00CD6AD7">
        <w:rPr>
          <w:rFonts w:ascii="Arial" w:hAnsi="Arial" w:cs="Arial"/>
          <w:sz w:val="20"/>
          <w:szCs w:val="20"/>
        </w:rPr>
        <w:t>aspectos  fundamentales</w:t>
      </w:r>
      <w:proofErr w:type="gramEnd"/>
      <w:r w:rsidRPr="00CD6AD7">
        <w:rPr>
          <w:rFonts w:ascii="Arial" w:hAnsi="Arial" w:cs="Arial"/>
          <w:sz w:val="20"/>
          <w:szCs w:val="20"/>
        </w:rPr>
        <w:t xml:space="preserve">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144D261C" w14:textId="77777777" w:rsidR="005C5767" w:rsidRPr="00CD6AD7" w:rsidRDefault="005C5767" w:rsidP="005C5767">
      <w:pPr>
        <w:jc w:val="both"/>
        <w:rPr>
          <w:rFonts w:ascii="Arial" w:hAnsi="Arial" w:cs="Arial"/>
          <w:sz w:val="20"/>
          <w:szCs w:val="20"/>
        </w:rPr>
      </w:pPr>
    </w:p>
    <w:p w14:paraId="64E483BE" w14:textId="77777777" w:rsidR="006C64DA" w:rsidRPr="00CD6AD7" w:rsidRDefault="006C64DA" w:rsidP="006C64DA">
      <w:pPr>
        <w:jc w:val="both"/>
        <w:rPr>
          <w:rFonts w:ascii="Arial" w:hAnsi="Arial" w:cs="Arial"/>
          <w:b/>
          <w:sz w:val="22"/>
          <w:szCs w:val="22"/>
        </w:rPr>
      </w:pPr>
      <w:r w:rsidRPr="00CD6AD7">
        <w:rPr>
          <w:rFonts w:ascii="Arial" w:hAnsi="Arial" w:cs="Arial"/>
          <w:b/>
          <w:sz w:val="22"/>
          <w:szCs w:val="22"/>
        </w:rPr>
        <w:t>GUÍAS – Colombia Compra Eficiente – Definición</w:t>
      </w:r>
    </w:p>
    <w:p w14:paraId="2D9EF2C8" w14:textId="77777777" w:rsidR="006C64DA" w:rsidRPr="00CD6AD7" w:rsidRDefault="006C64DA" w:rsidP="006C64DA">
      <w:pPr>
        <w:jc w:val="both"/>
        <w:rPr>
          <w:rFonts w:ascii="Arial" w:hAnsi="Arial" w:cs="Arial"/>
          <w:sz w:val="22"/>
          <w:szCs w:val="22"/>
        </w:rPr>
      </w:pPr>
    </w:p>
    <w:p w14:paraId="11FC936D" w14:textId="77777777" w:rsidR="005C5767" w:rsidRPr="00CD6AD7" w:rsidRDefault="005C5767" w:rsidP="005C5767">
      <w:pPr>
        <w:jc w:val="both"/>
        <w:rPr>
          <w:rFonts w:ascii="Arial" w:hAnsi="Arial" w:cs="Arial"/>
          <w:sz w:val="20"/>
          <w:szCs w:val="20"/>
        </w:rPr>
      </w:pPr>
      <w:r w:rsidRPr="00CD6AD7">
        <w:rPr>
          <w:rFonts w:ascii="Arial" w:hAnsi="Arial" w:cs="Arial"/>
          <w:sz w:val="20"/>
          <w:szCs w:val="20"/>
        </w:rPr>
        <w:t>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guía para la liquidación de los contratos estatales, la cual fija un procedimiento para el efecto.</w:t>
      </w:r>
    </w:p>
    <w:p w14:paraId="09E08D63" w14:textId="77777777" w:rsidR="006C64DA" w:rsidRPr="00CD6AD7" w:rsidRDefault="006C64DA" w:rsidP="006C64DA">
      <w:pPr>
        <w:jc w:val="both"/>
        <w:rPr>
          <w:rFonts w:ascii="Arial" w:hAnsi="Arial" w:cs="Arial"/>
          <w:sz w:val="20"/>
          <w:szCs w:val="20"/>
        </w:rPr>
      </w:pPr>
    </w:p>
    <w:p w14:paraId="069CBD0D" w14:textId="77777777" w:rsidR="006C64DA" w:rsidRPr="00CD6AD7" w:rsidRDefault="006C64DA" w:rsidP="00C22446">
      <w:pPr>
        <w:jc w:val="both"/>
        <w:rPr>
          <w:rFonts w:ascii="Arial" w:hAnsi="Arial" w:cs="Arial"/>
          <w:b/>
          <w:bCs/>
          <w:sz w:val="22"/>
          <w:szCs w:val="22"/>
        </w:rPr>
      </w:pPr>
      <w:r w:rsidRPr="00CD6AD7">
        <w:rPr>
          <w:rFonts w:ascii="Arial" w:hAnsi="Arial" w:cs="Arial"/>
          <w:b/>
          <w:bCs/>
          <w:sz w:val="22"/>
          <w:szCs w:val="22"/>
        </w:rPr>
        <w:t>OBLIGATORIEDAD – Actos – Colombia Compra Eficiente</w:t>
      </w:r>
    </w:p>
    <w:p w14:paraId="460D4409" w14:textId="77777777" w:rsidR="006C64DA" w:rsidRPr="00CD6AD7" w:rsidRDefault="006C64DA" w:rsidP="006C64DA">
      <w:pPr>
        <w:ind w:firstLine="284"/>
        <w:jc w:val="both"/>
        <w:rPr>
          <w:rFonts w:ascii="Arial" w:hAnsi="Arial" w:cs="Arial"/>
          <w:b/>
          <w:bCs/>
          <w:sz w:val="22"/>
          <w:szCs w:val="22"/>
        </w:rPr>
      </w:pPr>
    </w:p>
    <w:p w14:paraId="02C43382" w14:textId="5F71154A" w:rsidR="005C5767" w:rsidRPr="00CD6AD7" w:rsidRDefault="005C5767" w:rsidP="005C5767">
      <w:pPr>
        <w:jc w:val="both"/>
        <w:rPr>
          <w:rFonts w:ascii="Arial" w:hAnsi="Arial" w:cs="Arial"/>
          <w:sz w:val="20"/>
          <w:szCs w:val="20"/>
        </w:rPr>
      </w:pPr>
      <w:r w:rsidRPr="00CD6AD7">
        <w:rPr>
          <w:rFonts w:ascii="Arial" w:hAnsi="Arial" w:cs="Arial"/>
          <w:sz w:val="20"/>
          <w:szCs w:val="20"/>
        </w:rPr>
        <w:t xml:space="preserve">En otras palabras, lo que define la obligatoriedad de determinado acto que expida la entidad no es que se adopte mediante Circular Externa, sino que el contenido sea de aquellos cuya regulación ha sido encargada por el legislador o el </w:t>
      </w:r>
      <w:proofErr w:type="gramStart"/>
      <w:r w:rsidRPr="00CD6AD7">
        <w:rPr>
          <w:rFonts w:ascii="Arial" w:hAnsi="Arial" w:cs="Arial"/>
          <w:sz w:val="20"/>
          <w:szCs w:val="20"/>
        </w:rPr>
        <w:t>Presidente</w:t>
      </w:r>
      <w:proofErr w:type="gramEnd"/>
      <w:r w:rsidRPr="00CD6AD7">
        <w:rPr>
          <w:rFonts w:ascii="Arial" w:hAnsi="Arial" w:cs="Arial"/>
          <w:sz w:val="20"/>
          <w:szCs w:val="20"/>
        </w:rPr>
        <w:t xml:space="preserve"> de la República a la Agencia Nacional de Contratación Pública. Lo anterior hace referencia a uno de los elementos de los actos administrativos: la competencia.</w:t>
      </w:r>
    </w:p>
    <w:p w14:paraId="104AAA60" w14:textId="77777777" w:rsidR="005C5767" w:rsidRPr="00CD6AD7" w:rsidRDefault="005C5767" w:rsidP="005C5767">
      <w:pPr>
        <w:jc w:val="both"/>
        <w:rPr>
          <w:rFonts w:ascii="Arial" w:hAnsi="Arial" w:cs="Arial"/>
          <w:sz w:val="20"/>
          <w:szCs w:val="20"/>
        </w:rPr>
      </w:pPr>
    </w:p>
    <w:p w14:paraId="1852225B" w14:textId="711659FB" w:rsidR="006C64DA" w:rsidRPr="00CD6AD7" w:rsidRDefault="005C5767" w:rsidP="005C5767">
      <w:pPr>
        <w:jc w:val="both"/>
        <w:rPr>
          <w:rFonts w:ascii="Arial" w:hAnsi="Arial" w:cs="Arial"/>
          <w:sz w:val="20"/>
          <w:szCs w:val="20"/>
        </w:rPr>
      </w:pPr>
      <w:r w:rsidRPr="00CD6AD7">
        <w:rPr>
          <w:rFonts w:ascii="Arial" w:hAnsi="Arial" w:cs="Arial"/>
          <w:sz w:val="20"/>
          <w:szCs w:val="20"/>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0186F77C" w14:textId="31D108EB" w:rsidR="00BF7A3B" w:rsidRPr="00CD6AD7" w:rsidRDefault="00BF7A3B" w:rsidP="005C5767">
      <w:pPr>
        <w:jc w:val="both"/>
        <w:rPr>
          <w:rFonts w:ascii="Arial" w:hAnsi="Arial" w:cs="Arial"/>
          <w:sz w:val="20"/>
          <w:szCs w:val="20"/>
        </w:rPr>
      </w:pPr>
    </w:p>
    <w:p w14:paraId="3B4FF40B" w14:textId="3FF57BF5" w:rsidR="00BF7A3B" w:rsidRPr="00CD6AD7" w:rsidRDefault="00BF7A3B" w:rsidP="005C5767">
      <w:pPr>
        <w:jc w:val="both"/>
        <w:rPr>
          <w:rFonts w:ascii="Arial" w:hAnsi="Arial" w:cs="Arial"/>
          <w:b/>
          <w:bCs/>
          <w:sz w:val="22"/>
          <w:szCs w:val="22"/>
        </w:rPr>
      </w:pPr>
      <w:r w:rsidRPr="00CD6AD7">
        <w:rPr>
          <w:rFonts w:ascii="Arial" w:hAnsi="Arial" w:cs="Arial"/>
          <w:b/>
          <w:bCs/>
          <w:sz w:val="22"/>
          <w:szCs w:val="22"/>
        </w:rPr>
        <w:t xml:space="preserve">MANUAL PARA LA IDENTIFICACIÓN Y COBERTURA DEL RIESGO EN LOS PROCESOS DE CONTRATACIÓN – </w:t>
      </w:r>
      <w:r w:rsidR="00BD3191" w:rsidRPr="00CD6AD7">
        <w:rPr>
          <w:rFonts w:ascii="Arial" w:hAnsi="Arial" w:cs="Arial"/>
          <w:b/>
          <w:bCs/>
          <w:sz w:val="22"/>
          <w:szCs w:val="22"/>
        </w:rPr>
        <w:t>No o</w:t>
      </w:r>
      <w:r w:rsidRPr="00CD6AD7">
        <w:rPr>
          <w:rFonts w:ascii="Arial" w:hAnsi="Arial" w:cs="Arial"/>
          <w:b/>
          <w:bCs/>
          <w:sz w:val="22"/>
          <w:szCs w:val="22"/>
        </w:rPr>
        <w:t>bligatoriedad</w:t>
      </w:r>
      <w:r w:rsidR="00BD3191" w:rsidRPr="00CD6AD7">
        <w:rPr>
          <w:rFonts w:ascii="Arial" w:hAnsi="Arial" w:cs="Arial"/>
          <w:b/>
          <w:bCs/>
          <w:sz w:val="22"/>
          <w:szCs w:val="22"/>
        </w:rPr>
        <w:t xml:space="preserve"> – Nulidad</w:t>
      </w:r>
      <w:r w:rsidR="00A547CE" w:rsidRPr="00CD6AD7">
        <w:rPr>
          <w:rFonts w:ascii="Arial" w:hAnsi="Arial" w:cs="Arial"/>
          <w:b/>
          <w:bCs/>
          <w:sz w:val="22"/>
          <w:szCs w:val="22"/>
        </w:rPr>
        <w:t xml:space="preserve"> – Norma que otorgaba competencia</w:t>
      </w:r>
    </w:p>
    <w:p w14:paraId="32953691" w14:textId="7E45F3E4" w:rsidR="00BF7A3B" w:rsidRPr="00CD6AD7" w:rsidRDefault="00BF7A3B" w:rsidP="005C5767">
      <w:pPr>
        <w:jc w:val="both"/>
        <w:rPr>
          <w:rFonts w:ascii="Arial" w:hAnsi="Arial" w:cs="Arial"/>
          <w:b/>
          <w:bCs/>
          <w:sz w:val="22"/>
          <w:szCs w:val="22"/>
        </w:rPr>
      </w:pPr>
    </w:p>
    <w:p w14:paraId="114A35A4" w14:textId="77777777" w:rsidR="00BF7A3B" w:rsidRPr="00CD6AD7" w:rsidRDefault="00BF7A3B" w:rsidP="00BF7A3B">
      <w:pPr>
        <w:pStyle w:val="Textoindependiente"/>
        <w:spacing w:line="240" w:lineRule="auto"/>
        <w:ind w:right="49"/>
        <w:jc w:val="both"/>
        <w:rPr>
          <w:rFonts w:ascii="Arial" w:eastAsia="Times New Roman" w:hAnsi="Arial" w:cs="Arial"/>
          <w:sz w:val="20"/>
          <w:szCs w:val="20"/>
          <w:lang w:eastAsia="en-US"/>
        </w:rPr>
      </w:pPr>
      <w:r w:rsidRPr="00CD6AD7">
        <w:rPr>
          <w:rFonts w:ascii="Arial" w:eastAsia="Times New Roman" w:hAnsi="Arial" w:cs="Arial"/>
          <w:sz w:val="20"/>
          <w:szCs w:val="20"/>
          <w:lang w:eastAsia="en-US"/>
        </w:rPr>
        <w:t xml:space="preserve">Frente a los manuales y guías para la “identificación y cobertura del riesgo”, el Consejo de Estado concluyó que, a la luz del artículo 4 de la Ley 1150 de 2007, son las entidades contratantes las obligadas a incluir en los pliegos de condiciones la estimación, tipificación y asignación del riesgo previsible a cada proceso de contratación. Asimismo, frente a la cobertura de ese riesgo, el artículo </w:t>
      </w:r>
      <w:r w:rsidRPr="00CD6AD7">
        <w:rPr>
          <w:rFonts w:ascii="Arial" w:eastAsia="Times New Roman" w:hAnsi="Arial" w:cs="Arial"/>
          <w:sz w:val="20"/>
          <w:szCs w:val="20"/>
          <w:lang w:eastAsia="en-US"/>
        </w:rPr>
        <w:lastRenderedPageBreak/>
        <w:t>7 de la Ley 1150 de 2007 determinó que era el Gobierno Nacional quien debía fijar los “criterios que seguirán las entidades para la exigencia de garantías, las clases y niveles de amparo de los riesgos de los contratos”.</w:t>
      </w:r>
    </w:p>
    <w:p w14:paraId="66F886EE" w14:textId="1D6420D6" w:rsidR="00BF7A3B" w:rsidRPr="00CD6AD7" w:rsidRDefault="00BF7A3B" w:rsidP="00BF7A3B">
      <w:pPr>
        <w:pStyle w:val="Textoindependiente"/>
        <w:spacing w:line="240" w:lineRule="auto"/>
        <w:ind w:right="49"/>
        <w:jc w:val="both"/>
        <w:rPr>
          <w:rFonts w:ascii="Arial" w:eastAsia="Times New Roman" w:hAnsi="Arial" w:cs="Arial"/>
          <w:sz w:val="20"/>
          <w:szCs w:val="20"/>
          <w:lang w:eastAsia="en-US"/>
        </w:rPr>
      </w:pPr>
      <w:r w:rsidRPr="00CD6AD7">
        <w:rPr>
          <w:rFonts w:ascii="Arial" w:eastAsia="Times New Roman" w:hAnsi="Arial" w:cs="Arial"/>
          <w:sz w:val="20"/>
          <w:szCs w:val="20"/>
          <w:lang w:eastAsia="en-US"/>
        </w:rPr>
        <w:t>Por ello, al declararse la nulidad del literal a) del numeral 2 del artículo 159 del Decreto 1510 de 2013, el Consejo de Estado determinó que las guías o manuales que expida Colombia Compra Eficiente, en relación con la identificación y cobertura de riesgos, no son vinculantes para las entidades, quienes podrán, de manera facultativa, acudir a ellas como una guía para llevar a cabo la estimación, tipificación, asignación y cobertura de riesgos en cada proceso de contratación particular.</w:t>
      </w:r>
    </w:p>
    <w:p w14:paraId="2B166E76" w14:textId="77777777" w:rsidR="00412488" w:rsidRPr="00CD6AD7" w:rsidRDefault="00412488" w:rsidP="005C5767">
      <w:pPr>
        <w:jc w:val="both"/>
        <w:rPr>
          <w:rFonts w:ascii="Arial" w:hAnsi="Arial" w:cs="Arial"/>
          <w:sz w:val="20"/>
          <w:szCs w:val="20"/>
        </w:rPr>
      </w:pPr>
    </w:p>
    <w:bookmarkEnd w:id="0"/>
    <w:bookmarkEnd w:id="3"/>
    <w:p w14:paraId="5B6A091F" w14:textId="600095B7" w:rsidR="00D06ECB" w:rsidRPr="00CD6AD7" w:rsidRDefault="00D06ECB" w:rsidP="00FB2804">
      <w:pPr>
        <w:spacing w:after="200" w:line="276" w:lineRule="auto"/>
        <w:jc w:val="both"/>
        <w:rPr>
          <w:rFonts w:ascii="Arial" w:hAnsi="Arial" w:cs="Arial"/>
          <w:b/>
          <w:color w:val="000000" w:themeColor="text1"/>
          <w:sz w:val="22"/>
          <w:szCs w:val="22"/>
        </w:rPr>
      </w:pPr>
      <w:r w:rsidRPr="00CD6AD7">
        <w:rPr>
          <w:rFonts w:ascii="Arial" w:hAnsi="Arial" w:cs="Arial"/>
          <w:color w:val="000000" w:themeColor="text1"/>
          <w:sz w:val="22"/>
          <w:szCs w:val="22"/>
        </w:rPr>
        <w:t>Bogotá D.C.,</w:t>
      </w:r>
    </w:p>
    <w:p w14:paraId="223DBA1F" w14:textId="26D855B4" w:rsidR="00D06ECB" w:rsidRPr="00CD6AD7" w:rsidRDefault="00FB2804" w:rsidP="00FB2804">
      <w:pPr>
        <w:jc w:val="right"/>
        <w:rPr>
          <w:rFonts w:ascii="Arial" w:eastAsia="Calibri" w:hAnsi="Arial" w:cs="Arial"/>
          <w:color w:val="000000" w:themeColor="text1"/>
          <w:sz w:val="22"/>
          <w:szCs w:val="22"/>
        </w:rPr>
      </w:pPr>
      <w:r>
        <w:rPr>
          <w:noProof/>
        </w:rPr>
        <w:drawing>
          <wp:inline distT="0" distB="0" distL="0" distR="0" wp14:anchorId="545C9DE7" wp14:editId="16803234">
            <wp:extent cx="2913321" cy="848323"/>
            <wp:effectExtent l="0" t="0" r="190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935034" cy="854645"/>
                    </a:xfrm>
                    <a:prstGeom prst="rect">
                      <a:avLst/>
                    </a:prstGeom>
                  </pic:spPr>
                </pic:pic>
              </a:graphicData>
            </a:graphic>
          </wp:inline>
        </w:drawing>
      </w:r>
    </w:p>
    <w:p w14:paraId="3519EF9C" w14:textId="37F8D930" w:rsidR="00D06ECB" w:rsidRPr="00CD6AD7" w:rsidRDefault="00D06ECB" w:rsidP="00D06ECB">
      <w:pPr>
        <w:rPr>
          <w:rFonts w:ascii="Arial" w:eastAsia="Calibri" w:hAnsi="Arial" w:cs="Arial"/>
          <w:color w:val="000000" w:themeColor="text1"/>
          <w:sz w:val="22"/>
          <w:szCs w:val="22"/>
        </w:rPr>
      </w:pPr>
      <w:r w:rsidRPr="00CD6AD7">
        <w:rPr>
          <w:rFonts w:ascii="Arial" w:eastAsia="Calibri" w:hAnsi="Arial" w:cs="Arial"/>
          <w:color w:val="000000" w:themeColor="text1"/>
          <w:sz w:val="22"/>
          <w:szCs w:val="22"/>
        </w:rPr>
        <w:t>Señor</w:t>
      </w:r>
      <w:r w:rsidR="00BF7A3B" w:rsidRPr="00CD6AD7">
        <w:rPr>
          <w:rFonts w:ascii="Arial" w:eastAsia="Calibri" w:hAnsi="Arial" w:cs="Arial"/>
          <w:color w:val="000000" w:themeColor="text1"/>
          <w:sz w:val="22"/>
          <w:szCs w:val="22"/>
        </w:rPr>
        <w:t>a</w:t>
      </w:r>
    </w:p>
    <w:p w14:paraId="3F09FDED" w14:textId="3C88A2BD" w:rsidR="00D06ECB" w:rsidRPr="00CD6AD7" w:rsidRDefault="00BF7A3B" w:rsidP="00D06ECB">
      <w:pPr>
        <w:rPr>
          <w:rFonts w:ascii="Arial" w:eastAsia="Calibri" w:hAnsi="Arial" w:cs="Arial"/>
          <w:b/>
          <w:color w:val="000000" w:themeColor="text1"/>
          <w:sz w:val="22"/>
          <w:szCs w:val="22"/>
        </w:rPr>
      </w:pPr>
      <w:r w:rsidRPr="00CD6AD7">
        <w:rPr>
          <w:rFonts w:ascii="Arial" w:eastAsia="Calibri" w:hAnsi="Arial" w:cs="Arial"/>
          <w:b/>
          <w:color w:val="000000" w:themeColor="text1"/>
          <w:sz w:val="22"/>
          <w:szCs w:val="22"/>
        </w:rPr>
        <w:t xml:space="preserve">Sandra Rodríguez </w:t>
      </w:r>
    </w:p>
    <w:p w14:paraId="6CB79213" w14:textId="164D54F7" w:rsidR="003248B5" w:rsidRPr="00CD6AD7" w:rsidRDefault="003248B5" w:rsidP="00D06ECB">
      <w:pPr>
        <w:rPr>
          <w:rFonts w:ascii="Arial" w:eastAsia="Calibri" w:hAnsi="Arial" w:cs="Arial"/>
          <w:bCs/>
          <w:color w:val="000000" w:themeColor="text1"/>
          <w:sz w:val="22"/>
          <w:szCs w:val="22"/>
        </w:rPr>
      </w:pPr>
      <w:r w:rsidRPr="00CD6AD7">
        <w:rPr>
          <w:rFonts w:ascii="Arial" w:eastAsia="Calibri" w:hAnsi="Arial" w:cs="Arial"/>
          <w:bCs/>
          <w:color w:val="000000" w:themeColor="text1"/>
          <w:sz w:val="22"/>
          <w:szCs w:val="22"/>
        </w:rPr>
        <w:t xml:space="preserve">Ciudad. </w:t>
      </w:r>
    </w:p>
    <w:p w14:paraId="7D5F4728" w14:textId="77777777" w:rsidR="00D06ECB" w:rsidRPr="00CD6AD7" w:rsidRDefault="00D06ECB" w:rsidP="00D06ECB">
      <w:pPr>
        <w:rPr>
          <w:rFonts w:ascii="Arial" w:eastAsia="Calibri" w:hAnsi="Arial" w:cs="Arial"/>
          <w:color w:val="000000" w:themeColor="text1"/>
          <w:sz w:val="22"/>
          <w:szCs w:val="22"/>
        </w:rPr>
      </w:pPr>
    </w:p>
    <w:p w14:paraId="4B39D679" w14:textId="77777777" w:rsidR="00D06ECB" w:rsidRPr="00CD6AD7" w:rsidRDefault="00D06ECB" w:rsidP="00D06ECB">
      <w:pPr>
        <w:rPr>
          <w:rFonts w:ascii="Arial" w:eastAsia="Calibri" w:hAnsi="Arial" w:cs="Arial"/>
          <w:color w:val="000000" w:themeColor="text1"/>
          <w:sz w:val="22"/>
          <w:szCs w:val="22"/>
        </w:rPr>
      </w:pPr>
    </w:p>
    <w:p w14:paraId="04E5AD10" w14:textId="68183924" w:rsidR="00D06ECB" w:rsidRPr="00CD6AD7" w:rsidRDefault="00D06ECB" w:rsidP="00E60788">
      <w:pPr>
        <w:jc w:val="center"/>
        <w:rPr>
          <w:rFonts w:ascii="Arial" w:eastAsia="Calibri" w:hAnsi="Arial" w:cs="Arial"/>
          <w:b/>
          <w:color w:val="000000" w:themeColor="text1"/>
          <w:sz w:val="22"/>
          <w:szCs w:val="22"/>
        </w:rPr>
      </w:pPr>
      <w:r w:rsidRPr="00CD6AD7">
        <w:rPr>
          <w:rFonts w:ascii="Arial" w:eastAsia="Calibri" w:hAnsi="Arial" w:cs="Arial"/>
          <w:b/>
          <w:color w:val="000000" w:themeColor="text1"/>
          <w:sz w:val="22"/>
          <w:szCs w:val="22"/>
        </w:rPr>
        <w:t>Concepto C –</w:t>
      </w:r>
      <w:r w:rsidR="00BA5DE2" w:rsidRPr="00CD6AD7">
        <w:rPr>
          <w:rFonts w:ascii="Arial" w:eastAsia="Calibri" w:hAnsi="Arial" w:cs="Arial"/>
          <w:b/>
          <w:color w:val="000000" w:themeColor="text1"/>
          <w:sz w:val="22"/>
          <w:szCs w:val="22"/>
        </w:rPr>
        <w:t>451</w:t>
      </w:r>
      <w:r w:rsidRPr="00CD6AD7">
        <w:rPr>
          <w:rFonts w:ascii="Arial" w:eastAsia="Calibri" w:hAnsi="Arial" w:cs="Arial"/>
          <w:b/>
          <w:color w:val="000000" w:themeColor="text1"/>
          <w:sz w:val="22"/>
          <w:szCs w:val="22"/>
        </w:rPr>
        <w:t xml:space="preserve"> de 202</w:t>
      </w:r>
      <w:r w:rsidR="003248B5" w:rsidRPr="00CD6AD7">
        <w:rPr>
          <w:rFonts w:ascii="Arial" w:eastAsia="Calibri" w:hAnsi="Arial" w:cs="Arial"/>
          <w:b/>
          <w:color w:val="000000" w:themeColor="text1"/>
          <w:sz w:val="22"/>
          <w:szCs w:val="22"/>
        </w:rPr>
        <w:t>1</w:t>
      </w:r>
    </w:p>
    <w:p w14:paraId="7A2CEEC3" w14:textId="77777777" w:rsidR="00D06ECB" w:rsidRPr="00CD6AD7" w:rsidRDefault="00D06ECB" w:rsidP="00D06ECB">
      <w:pPr>
        <w:rPr>
          <w:rFonts w:ascii="Arial" w:eastAsia="Calibri" w:hAnsi="Arial" w:cs="Arial"/>
          <w:color w:val="000000" w:themeColor="text1"/>
          <w:sz w:val="22"/>
          <w:szCs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06ECB" w:rsidRPr="00CD6AD7" w14:paraId="0980C2AA" w14:textId="77777777" w:rsidTr="00E029E1">
        <w:tc>
          <w:tcPr>
            <w:tcW w:w="2689" w:type="dxa"/>
            <w:hideMark/>
          </w:tcPr>
          <w:p w14:paraId="28D0B8A2" w14:textId="77777777" w:rsidR="00D06ECB" w:rsidRPr="00CD6AD7" w:rsidRDefault="00D06ECB" w:rsidP="00D06ECB">
            <w:pPr>
              <w:rPr>
                <w:rFonts w:ascii="Arial" w:eastAsia="Calibri" w:hAnsi="Arial" w:cs="Arial"/>
                <w:color w:val="000000" w:themeColor="text1"/>
                <w:sz w:val="22"/>
                <w:szCs w:val="22"/>
              </w:rPr>
            </w:pPr>
            <w:r w:rsidRPr="00CD6AD7">
              <w:rPr>
                <w:rFonts w:ascii="Arial" w:eastAsia="Calibri" w:hAnsi="Arial" w:cs="Arial"/>
                <w:b/>
                <w:color w:val="000000" w:themeColor="text1"/>
                <w:sz w:val="22"/>
                <w:szCs w:val="22"/>
              </w:rPr>
              <w:t>Temas:</w:t>
            </w:r>
            <w:r w:rsidRPr="00CD6AD7">
              <w:rPr>
                <w:rFonts w:ascii="Arial" w:eastAsia="Calibri" w:hAnsi="Arial" w:cs="Arial"/>
                <w:color w:val="000000" w:themeColor="text1"/>
                <w:sz w:val="22"/>
                <w:szCs w:val="22"/>
              </w:rPr>
              <w:t xml:space="preserve">           </w:t>
            </w:r>
          </w:p>
          <w:p w14:paraId="6A47FA30" w14:textId="77777777" w:rsidR="00D06ECB" w:rsidRPr="00CD6AD7" w:rsidRDefault="00D06ECB" w:rsidP="00D06ECB">
            <w:pPr>
              <w:rPr>
                <w:rFonts w:ascii="Arial" w:eastAsia="Calibri" w:hAnsi="Arial" w:cs="Arial"/>
                <w:color w:val="000000" w:themeColor="text1"/>
                <w:sz w:val="22"/>
                <w:szCs w:val="22"/>
              </w:rPr>
            </w:pPr>
            <w:r w:rsidRPr="00CD6AD7">
              <w:rPr>
                <w:rFonts w:ascii="Arial" w:eastAsia="Calibri" w:hAnsi="Arial" w:cs="Arial"/>
                <w:color w:val="000000" w:themeColor="text1"/>
                <w:sz w:val="22"/>
                <w:szCs w:val="22"/>
              </w:rPr>
              <w:t xml:space="preserve">                           </w:t>
            </w:r>
          </w:p>
        </w:tc>
        <w:tc>
          <w:tcPr>
            <w:tcW w:w="6237" w:type="dxa"/>
            <w:hideMark/>
          </w:tcPr>
          <w:p w14:paraId="42D15FD5" w14:textId="146118B9" w:rsidR="00C36929" w:rsidRPr="00CD6AD7" w:rsidRDefault="00A07E50" w:rsidP="00C36929">
            <w:pPr>
              <w:jc w:val="both"/>
              <w:rPr>
                <w:rFonts w:ascii="Arial" w:eastAsia="Calibri" w:hAnsi="Arial" w:cs="Arial"/>
                <w:color w:val="000000" w:themeColor="text1"/>
                <w:sz w:val="20"/>
                <w:szCs w:val="20"/>
              </w:rPr>
            </w:pPr>
            <w:r w:rsidRPr="00CD6AD7">
              <w:rPr>
                <w:rFonts w:ascii="Arial" w:hAnsi="Arial" w:cs="Arial"/>
                <w:sz w:val="22"/>
                <w:szCs w:val="22"/>
              </w:rPr>
              <w:t xml:space="preserve">RIESGOS – Normativa / </w:t>
            </w:r>
            <w:r w:rsidR="009E1BE0">
              <w:rPr>
                <w:rFonts w:ascii="Arial" w:hAnsi="Arial" w:cs="Arial"/>
                <w:sz w:val="22"/>
                <w:szCs w:val="22"/>
              </w:rPr>
              <w:t xml:space="preserve">RIESGOS – CONPES – Definición / </w:t>
            </w:r>
            <w:r w:rsidR="00C36929" w:rsidRPr="00CD6AD7">
              <w:rPr>
                <w:rFonts w:ascii="Arial" w:hAnsi="Arial" w:cs="Arial"/>
                <w:sz w:val="22"/>
                <w:szCs w:val="22"/>
              </w:rPr>
              <w:t xml:space="preserve">COLOMBIA COMPRA EFICIENTE – Decreto Ley 4170 de 2011 – Naturaleza jurídica – Objeto / COLOMBIA COMPRA EFICIENTE – Funciones – Expedición – Guías – Manuales – Circulares / MANUALES – Colombia Compra Eficiente – Definición / GUÍAS – Colombia Compra Eficiente – Definición / OBLIGATORIEDAD – Actos – Colombia Compra Eficiente / </w:t>
            </w:r>
            <w:r w:rsidR="00BF7A3B" w:rsidRPr="00CD6AD7">
              <w:rPr>
                <w:rFonts w:ascii="Arial" w:hAnsi="Arial" w:cs="Arial"/>
                <w:sz w:val="22"/>
                <w:szCs w:val="22"/>
              </w:rPr>
              <w:t xml:space="preserve">MANUAL PARA LA IDENTIFICACIÓN Y COBERTURA DEL RIESGO EN LOS PROCESOS DE CONTRATACIÓN – </w:t>
            </w:r>
            <w:r w:rsidR="002A301E" w:rsidRPr="00CD6AD7">
              <w:rPr>
                <w:rFonts w:ascii="Arial" w:hAnsi="Arial" w:cs="Arial"/>
                <w:sz w:val="22"/>
                <w:szCs w:val="22"/>
              </w:rPr>
              <w:t>No obligatoriedad – Nulidad – Norma que otorgaba competencia</w:t>
            </w:r>
          </w:p>
          <w:p w14:paraId="6655ED62" w14:textId="798372A0" w:rsidR="00D06ECB" w:rsidRPr="00CD6AD7" w:rsidRDefault="00D06ECB" w:rsidP="00D06ECB">
            <w:pPr>
              <w:jc w:val="both"/>
              <w:rPr>
                <w:rFonts w:ascii="Arial" w:eastAsia="Calibri" w:hAnsi="Arial" w:cs="Arial"/>
                <w:color w:val="000000" w:themeColor="text1"/>
                <w:sz w:val="22"/>
                <w:szCs w:val="22"/>
              </w:rPr>
            </w:pPr>
          </w:p>
        </w:tc>
      </w:tr>
      <w:tr w:rsidR="00D06ECB" w:rsidRPr="00CD6AD7" w14:paraId="3DEA66FF" w14:textId="77777777" w:rsidTr="00E029E1">
        <w:tc>
          <w:tcPr>
            <w:tcW w:w="2689" w:type="dxa"/>
          </w:tcPr>
          <w:p w14:paraId="2BB8A31D" w14:textId="77777777" w:rsidR="00D06ECB" w:rsidRPr="00CD6AD7" w:rsidRDefault="00D06ECB" w:rsidP="00D06ECB">
            <w:pPr>
              <w:spacing w:before="120"/>
              <w:rPr>
                <w:rFonts w:ascii="Arial" w:eastAsia="Calibri" w:hAnsi="Arial" w:cs="Arial"/>
                <w:b/>
                <w:color w:val="000000" w:themeColor="text1"/>
                <w:sz w:val="22"/>
                <w:szCs w:val="22"/>
              </w:rPr>
            </w:pPr>
            <w:r w:rsidRPr="00CD6AD7">
              <w:rPr>
                <w:rFonts w:ascii="Arial" w:eastAsia="Calibri" w:hAnsi="Arial" w:cs="Arial"/>
                <w:b/>
                <w:color w:val="000000" w:themeColor="text1"/>
                <w:sz w:val="22"/>
                <w:szCs w:val="22"/>
              </w:rPr>
              <w:t>Radicación:</w:t>
            </w:r>
            <w:r w:rsidRPr="00CD6AD7">
              <w:rPr>
                <w:rFonts w:ascii="Arial" w:eastAsia="Calibri" w:hAnsi="Arial" w:cs="Arial"/>
                <w:color w:val="000000" w:themeColor="text1"/>
                <w:sz w:val="22"/>
                <w:szCs w:val="22"/>
              </w:rPr>
              <w:t xml:space="preserve">                              </w:t>
            </w:r>
          </w:p>
        </w:tc>
        <w:tc>
          <w:tcPr>
            <w:tcW w:w="6237" w:type="dxa"/>
          </w:tcPr>
          <w:p w14:paraId="65566194" w14:textId="780AA01B" w:rsidR="00D06ECB" w:rsidRPr="00CD6AD7" w:rsidRDefault="00D06ECB" w:rsidP="00D06ECB">
            <w:pPr>
              <w:spacing w:before="120"/>
              <w:jc w:val="both"/>
              <w:rPr>
                <w:rFonts w:ascii="Arial" w:eastAsia="Calibri" w:hAnsi="Arial" w:cs="Arial"/>
                <w:color w:val="000000" w:themeColor="text1"/>
                <w:sz w:val="22"/>
                <w:szCs w:val="22"/>
              </w:rPr>
            </w:pPr>
            <w:r w:rsidRPr="00CD6AD7">
              <w:rPr>
                <w:rFonts w:ascii="Arial" w:eastAsia="Calibri" w:hAnsi="Arial" w:cs="Arial"/>
                <w:color w:val="000000" w:themeColor="text1"/>
                <w:sz w:val="22"/>
                <w:szCs w:val="22"/>
              </w:rPr>
              <w:t xml:space="preserve">Respuesta a consulta </w:t>
            </w:r>
            <w:r w:rsidR="00E60788" w:rsidRPr="00CD6AD7">
              <w:rPr>
                <w:rFonts w:ascii="Arial" w:eastAsia="Calibri" w:hAnsi="Arial" w:cs="Arial"/>
                <w:color w:val="000000" w:themeColor="text1"/>
                <w:sz w:val="22"/>
                <w:szCs w:val="22"/>
              </w:rPr>
              <w:t>P20210</w:t>
            </w:r>
            <w:r w:rsidR="00BA5DE2" w:rsidRPr="00CD6AD7">
              <w:rPr>
                <w:rFonts w:ascii="Arial" w:eastAsia="Calibri" w:hAnsi="Arial" w:cs="Arial"/>
                <w:color w:val="000000" w:themeColor="text1"/>
                <w:sz w:val="22"/>
                <w:szCs w:val="22"/>
              </w:rPr>
              <w:t>716</w:t>
            </w:r>
            <w:r w:rsidR="00E60788" w:rsidRPr="00CD6AD7">
              <w:rPr>
                <w:rFonts w:ascii="Arial" w:eastAsia="Calibri" w:hAnsi="Arial" w:cs="Arial"/>
                <w:color w:val="000000" w:themeColor="text1"/>
                <w:sz w:val="22"/>
                <w:szCs w:val="22"/>
              </w:rPr>
              <w:t>00</w:t>
            </w:r>
            <w:r w:rsidR="00BA5DE2" w:rsidRPr="00CD6AD7">
              <w:rPr>
                <w:rFonts w:ascii="Arial" w:eastAsia="Calibri" w:hAnsi="Arial" w:cs="Arial"/>
                <w:color w:val="000000" w:themeColor="text1"/>
                <w:sz w:val="22"/>
                <w:szCs w:val="22"/>
              </w:rPr>
              <w:t>6313</w:t>
            </w:r>
          </w:p>
        </w:tc>
      </w:tr>
      <w:tr w:rsidR="00D06ECB" w:rsidRPr="00CD6AD7" w14:paraId="4AEE77B2" w14:textId="77777777" w:rsidTr="00E029E1">
        <w:tc>
          <w:tcPr>
            <w:tcW w:w="2689" w:type="dxa"/>
          </w:tcPr>
          <w:p w14:paraId="647E249E" w14:textId="77777777" w:rsidR="00D06ECB" w:rsidRPr="00CD6AD7" w:rsidRDefault="00D06ECB" w:rsidP="00D06ECB">
            <w:pPr>
              <w:spacing w:before="120"/>
              <w:rPr>
                <w:rFonts w:ascii="Arial" w:eastAsia="Calibri" w:hAnsi="Arial" w:cs="Arial"/>
                <w:b/>
                <w:color w:val="000000" w:themeColor="text1"/>
                <w:sz w:val="22"/>
                <w:szCs w:val="22"/>
              </w:rPr>
            </w:pPr>
          </w:p>
        </w:tc>
        <w:tc>
          <w:tcPr>
            <w:tcW w:w="6237" w:type="dxa"/>
          </w:tcPr>
          <w:p w14:paraId="564FB563" w14:textId="77777777" w:rsidR="00D06ECB" w:rsidRPr="00CD6AD7" w:rsidRDefault="00D06ECB" w:rsidP="00D06ECB">
            <w:pPr>
              <w:spacing w:before="120"/>
              <w:jc w:val="both"/>
              <w:rPr>
                <w:rFonts w:ascii="Arial" w:eastAsia="Calibri" w:hAnsi="Arial" w:cs="Arial"/>
                <w:color w:val="000000" w:themeColor="text1"/>
                <w:sz w:val="22"/>
                <w:szCs w:val="22"/>
              </w:rPr>
            </w:pPr>
          </w:p>
        </w:tc>
      </w:tr>
    </w:tbl>
    <w:p w14:paraId="05534290" w14:textId="77777777" w:rsidR="00D06ECB" w:rsidRPr="00CD6AD7" w:rsidRDefault="00D06ECB" w:rsidP="00D06ECB">
      <w:pPr>
        <w:jc w:val="both"/>
        <w:rPr>
          <w:rFonts w:ascii="Arial" w:eastAsia="Calibri" w:hAnsi="Arial" w:cs="Arial"/>
          <w:color w:val="000000" w:themeColor="text1"/>
          <w:sz w:val="22"/>
          <w:szCs w:val="22"/>
        </w:rPr>
      </w:pPr>
    </w:p>
    <w:p w14:paraId="662D3247" w14:textId="7F6CA77B" w:rsidR="00D06ECB" w:rsidRPr="00CD6AD7" w:rsidRDefault="00D06ECB" w:rsidP="00D06ECB">
      <w:pPr>
        <w:rPr>
          <w:rFonts w:ascii="Arial" w:eastAsia="Calibri" w:hAnsi="Arial" w:cs="Arial"/>
          <w:color w:val="000000" w:themeColor="text1"/>
          <w:sz w:val="22"/>
          <w:szCs w:val="22"/>
        </w:rPr>
      </w:pPr>
      <w:r w:rsidRPr="00CD6AD7">
        <w:rPr>
          <w:rFonts w:ascii="Arial" w:eastAsia="Calibri" w:hAnsi="Arial" w:cs="Arial"/>
          <w:color w:val="000000" w:themeColor="text1"/>
          <w:sz w:val="22"/>
          <w:szCs w:val="22"/>
        </w:rPr>
        <w:t>Estimad</w:t>
      </w:r>
      <w:r w:rsidR="00BA5DE2" w:rsidRPr="00CD6AD7">
        <w:rPr>
          <w:rFonts w:ascii="Arial" w:eastAsia="Calibri" w:hAnsi="Arial" w:cs="Arial"/>
          <w:color w:val="000000" w:themeColor="text1"/>
          <w:sz w:val="22"/>
          <w:szCs w:val="22"/>
        </w:rPr>
        <w:t>a</w:t>
      </w:r>
      <w:r w:rsidRPr="00CD6AD7">
        <w:rPr>
          <w:rFonts w:ascii="Arial" w:eastAsia="Calibri" w:hAnsi="Arial" w:cs="Arial"/>
          <w:color w:val="000000" w:themeColor="text1"/>
          <w:sz w:val="22"/>
          <w:szCs w:val="22"/>
        </w:rPr>
        <w:t xml:space="preserve"> señor</w:t>
      </w:r>
      <w:r w:rsidR="00BA5DE2" w:rsidRPr="00CD6AD7">
        <w:rPr>
          <w:rFonts w:ascii="Arial" w:eastAsia="Calibri" w:hAnsi="Arial" w:cs="Arial"/>
          <w:color w:val="000000" w:themeColor="text1"/>
          <w:sz w:val="22"/>
          <w:szCs w:val="22"/>
        </w:rPr>
        <w:t>a</w:t>
      </w:r>
      <w:r w:rsidR="0028286F" w:rsidRPr="00CD6AD7">
        <w:rPr>
          <w:rFonts w:ascii="Arial" w:eastAsia="Calibri" w:hAnsi="Arial" w:cs="Arial"/>
          <w:color w:val="000000" w:themeColor="text1"/>
          <w:sz w:val="22"/>
          <w:szCs w:val="22"/>
        </w:rPr>
        <w:t xml:space="preserve"> Rodríguez</w:t>
      </w:r>
    </w:p>
    <w:p w14:paraId="6EEEAED3" w14:textId="177A2848" w:rsidR="00D06ECB" w:rsidRPr="00CD6AD7" w:rsidRDefault="00D06ECB" w:rsidP="00D06ECB">
      <w:pPr>
        <w:rPr>
          <w:rFonts w:ascii="Arial" w:eastAsia="Calibri" w:hAnsi="Arial" w:cs="Arial"/>
          <w:color w:val="000000" w:themeColor="text1"/>
          <w:sz w:val="22"/>
          <w:szCs w:val="22"/>
        </w:rPr>
      </w:pPr>
    </w:p>
    <w:p w14:paraId="55B5B71B" w14:textId="066221C2" w:rsidR="00D06ECB" w:rsidRPr="00CD6AD7" w:rsidRDefault="00D06ECB" w:rsidP="00D06ECB">
      <w:pPr>
        <w:spacing w:line="276" w:lineRule="auto"/>
        <w:jc w:val="both"/>
        <w:rPr>
          <w:rFonts w:ascii="Arial" w:eastAsia="Calibri" w:hAnsi="Arial" w:cs="Arial"/>
          <w:color w:val="000000" w:themeColor="text1"/>
          <w:sz w:val="22"/>
          <w:szCs w:val="22"/>
        </w:rPr>
      </w:pPr>
      <w:r w:rsidRPr="00CD6AD7">
        <w:rPr>
          <w:rFonts w:ascii="Arial" w:eastAsia="Calibri" w:hAnsi="Arial" w:cs="Arial"/>
          <w:sz w:val="22"/>
          <w:szCs w:val="22"/>
        </w:rPr>
        <w:t xml:space="preserve">En ejercicio de la competencia otorgada por el numeral 8 del artículo 11 y el numeral 5 del artículo 3 del Decreto Ley 4170 de 2011, la Agencia Nacional de Contratación Pública − Colombia Compra Eficiente </w:t>
      </w:r>
      <w:r w:rsidR="0028286F" w:rsidRPr="00CD6AD7">
        <w:rPr>
          <w:rFonts w:ascii="Arial" w:eastAsia="Calibri" w:hAnsi="Arial" w:cs="Arial"/>
          <w:sz w:val="22"/>
          <w:szCs w:val="22"/>
        </w:rPr>
        <w:t>responde</w:t>
      </w:r>
      <w:r w:rsidRPr="00CD6AD7">
        <w:rPr>
          <w:rFonts w:ascii="Arial" w:eastAsia="Calibri" w:hAnsi="Arial" w:cs="Arial"/>
          <w:sz w:val="22"/>
          <w:szCs w:val="22"/>
        </w:rPr>
        <w:t xml:space="preserve"> su consulta </w:t>
      </w:r>
      <w:r w:rsidR="00E60788" w:rsidRPr="00CD6AD7">
        <w:rPr>
          <w:rFonts w:ascii="Arial" w:eastAsia="Calibri" w:hAnsi="Arial" w:cs="Arial"/>
          <w:color w:val="000000" w:themeColor="text1"/>
          <w:sz w:val="22"/>
          <w:szCs w:val="22"/>
        </w:rPr>
        <w:t>del 1</w:t>
      </w:r>
      <w:r w:rsidR="00BA5DE2" w:rsidRPr="00CD6AD7">
        <w:rPr>
          <w:rFonts w:ascii="Arial" w:eastAsia="Calibri" w:hAnsi="Arial" w:cs="Arial"/>
          <w:color w:val="000000" w:themeColor="text1"/>
          <w:sz w:val="22"/>
          <w:szCs w:val="22"/>
        </w:rPr>
        <w:t>6</w:t>
      </w:r>
      <w:r w:rsidR="00E60788" w:rsidRPr="00CD6AD7">
        <w:rPr>
          <w:rFonts w:ascii="Arial" w:eastAsia="Calibri" w:hAnsi="Arial" w:cs="Arial"/>
          <w:color w:val="000000" w:themeColor="text1"/>
          <w:sz w:val="22"/>
          <w:szCs w:val="22"/>
        </w:rPr>
        <w:t xml:space="preserve"> de </w:t>
      </w:r>
      <w:r w:rsidR="00BA5DE2" w:rsidRPr="00CD6AD7">
        <w:rPr>
          <w:rFonts w:ascii="Arial" w:eastAsia="Calibri" w:hAnsi="Arial" w:cs="Arial"/>
          <w:color w:val="000000" w:themeColor="text1"/>
          <w:sz w:val="22"/>
          <w:szCs w:val="22"/>
        </w:rPr>
        <w:t>julio</w:t>
      </w:r>
      <w:r w:rsidRPr="00CD6AD7">
        <w:rPr>
          <w:rFonts w:ascii="Arial" w:eastAsia="Calibri" w:hAnsi="Arial" w:cs="Arial"/>
          <w:color w:val="000000" w:themeColor="text1"/>
          <w:sz w:val="22"/>
          <w:szCs w:val="22"/>
        </w:rPr>
        <w:t xml:space="preserve"> de 202</w:t>
      </w:r>
      <w:r w:rsidR="00E60788" w:rsidRPr="00CD6AD7">
        <w:rPr>
          <w:rFonts w:ascii="Arial" w:eastAsia="Calibri" w:hAnsi="Arial" w:cs="Arial"/>
          <w:color w:val="000000" w:themeColor="text1"/>
          <w:sz w:val="22"/>
          <w:szCs w:val="22"/>
        </w:rPr>
        <w:t xml:space="preserve">1. </w:t>
      </w:r>
    </w:p>
    <w:p w14:paraId="373E7AB9" w14:textId="77777777" w:rsidR="00D06ECB" w:rsidRPr="00CD6AD7" w:rsidRDefault="00D06ECB" w:rsidP="00D06ECB">
      <w:pPr>
        <w:spacing w:line="276" w:lineRule="auto"/>
        <w:jc w:val="both"/>
        <w:rPr>
          <w:rFonts w:ascii="Arial" w:eastAsia="Calibri" w:hAnsi="Arial" w:cs="Arial"/>
          <w:color w:val="000000" w:themeColor="text1"/>
          <w:sz w:val="22"/>
          <w:szCs w:val="22"/>
        </w:rPr>
      </w:pPr>
    </w:p>
    <w:p w14:paraId="72F6E4F8" w14:textId="77777777" w:rsidR="00D06ECB" w:rsidRPr="00CD6AD7" w:rsidRDefault="00D06ECB" w:rsidP="00D06ECB">
      <w:pPr>
        <w:numPr>
          <w:ilvl w:val="0"/>
          <w:numId w:val="6"/>
        </w:numPr>
        <w:tabs>
          <w:tab w:val="left" w:pos="284"/>
        </w:tabs>
        <w:spacing w:line="276" w:lineRule="auto"/>
        <w:ind w:left="0" w:firstLine="0"/>
        <w:contextualSpacing/>
        <w:jc w:val="both"/>
        <w:rPr>
          <w:rFonts w:ascii="Arial" w:eastAsia="Calibri" w:hAnsi="Arial" w:cs="Arial"/>
          <w:b/>
          <w:color w:val="000000" w:themeColor="text1"/>
          <w:sz w:val="22"/>
          <w:szCs w:val="22"/>
        </w:rPr>
      </w:pPr>
      <w:r w:rsidRPr="00CD6AD7">
        <w:rPr>
          <w:rFonts w:ascii="Arial" w:eastAsia="Calibri" w:hAnsi="Arial" w:cs="Arial"/>
          <w:b/>
          <w:color w:val="000000" w:themeColor="text1"/>
          <w:sz w:val="22"/>
          <w:szCs w:val="22"/>
        </w:rPr>
        <w:t xml:space="preserve">Problemas planteados </w:t>
      </w:r>
    </w:p>
    <w:p w14:paraId="04BAEF2A" w14:textId="77777777" w:rsidR="00D06ECB" w:rsidRPr="00CD6AD7" w:rsidRDefault="00D06ECB" w:rsidP="00D06ECB">
      <w:pPr>
        <w:tabs>
          <w:tab w:val="left" w:pos="426"/>
        </w:tabs>
        <w:spacing w:line="276" w:lineRule="auto"/>
        <w:jc w:val="both"/>
        <w:rPr>
          <w:rFonts w:ascii="Arial" w:eastAsia="Calibri" w:hAnsi="Arial" w:cs="Arial"/>
          <w:b/>
          <w:color w:val="000000" w:themeColor="text1"/>
          <w:sz w:val="22"/>
          <w:szCs w:val="22"/>
        </w:rPr>
      </w:pPr>
    </w:p>
    <w:p w14:paraId="1275D57C" w14:textId="398F6CC4" w:rsidR="00D06ECB" w:rsidRPr="00CD6AD7" w:rsidRDefault="00D06ECB" w:rsidP="00D06ECB">
      <w:pPr>
        <w:pStyle w:val="NormalWeb"/>
        <w:shd w:val="clear" w:color="auto" w:fill="FFFFFF"/>
        <w:spacing w:before="0" w:beforeAutospacing="0" w:after="0" w:afterAutospacing="0" w:line="276" w:lineRule="auto"/>
        <w:jc w:val="both"/>
        <w:rPr>
          <w:rFonts w:ascii="Arial" w:eastAsia="Calibri" w:hAnsi="Arial" w:cs="Arial"/>
          <w:sz w:val="22"/>
          <w:szCs w:val="22"/>
          <w:lang w:eastAsia="en-US"/>
        </w:rPr>
      </w:pPr>
      <w:r w:rsidRPr="00CD6AD7">
        <w:rPr>
          <w:rFonts w:ascii="Arial" w:eastAsia="Calibri" w:hAnsi="Arial" w:cs="Arial"/>
          <w:sz w:val="22"/>
          <w:szCs w:val="22"/>
          <w:lang w:eastAsia="en-US"/>
        </w:rPr>
        <w:t xml:space="preserve">Usted realiza la siguiente pregunta: </w:t>
      </w:r>
      <w:bookmarkStart w:id="4" w:name="_Hlk66118560"/>
      <w:r w:rsidRPr="00CD6AD7">
        <w:rPr>
          <w:rFonts w:ascii="Arial" w:eastAsia="Calibri" w:hAnsi="Arial" w:cs="Arial"/>
          <w:sz w:val="22"/>
          <w:szCs w:val="22"/>
          <w:lang w:eastAsia="en-US"/>
        </w:rPr>
        <w:t>«</w:t>
      </w:r>
      <w:r w:rsidR="00A22952" w:rsidRPr="00CD6AD7">
        <w:rPr>
          <w:rFonts w:ascii="Arial" w:eastAsia="Calibri" w:hAnsi="Arial" w:cs="Arial"/>
          <w:sz w:val="22"/>
          <w:szCs w:val="22"/>
          <w:lang w:eastAsia="en-US"/>
        </w:rPr>
        <w:t>¿A qué se refiere el “Manual para la Identificación y Cobertura del Riesgo en los Procesos de Contratación” que conforme a su contenido comprende las etapas de planeación, selección, contratación y ejecución, cuando señala la obligación de la entidad estatal de monitorear los riesgos del proceso de contratación para determinar la necesidad de hacer ajustes a la matriz de riesgos, bajo en entendido que “los riesgos no son estáticos” (página 15), si el artículo 4° de la Ley 1150 de 2007, señala que la distribución de riesgos es definitiva?</w:t>
      </w:r>
      <w:r w:rsidRPr="00CD6AD7">
        <w:rPr>
          <w:rFonts w:ascii="Arial" w:eastAsia="Calibri" w:hAnsi="Arial" w:cs="Arial"/>
          <w:color w:val="000000" w:themeColor="text1"/>
          <w:sz w:val="22"/>
          <w:szCs w:val="22"/>
        </w:rPr>
        <w:t>»</w:t>
      </w:r>
      <w:r w:rsidR="0082567F" w:rsidRPr="00CD6AD7">
        <w:rPr>
          <w:rFonts w:ascii="Arial" w:hAnsi="Arial" w:cs="Arial"/>
          <w:sz w:val="22"/>
          <w:szCs w:val="22"/>
        </w:rPr>
        <w:t>.</w:t>
      </w:r>
      <w:bookmarkEnd w:id="4"/>
    </w:p>
    <w:p w14:paraId="4D8BA480" w14:textId="77777777" w:rsidR="00D06ECB" w:rsidRPr="00CD6AD7" w:rsidRDefault="00D06ECB" w:rsidP="00D06ECB">
      <w:pPr>
        <w:tabs>
          <w:tab w:val="left" w:pos="709"/>
        </w:tabs>
        <w:spacing w:before="120" w:line="276" w:lineRule="auto"/>
        <w:jc w:val="both"/>
        <w:rPr>
          <w:rFonts w:ascii="Arial" w:eastAsia="Calibri" w:hAnsi="Arial" w:cs="Arial"/>
          <w:color w:val="000000" w:themeColor="text1"/>
          <w:sz w:val="22"/>
          <w:szCs w:val="22"/>
        </w:rPr>
      </w:pPr>
    </w:p>
    <w:p w14:paraId="0132B405" w14:textId="77777777" w:rsidR="00D06ECB" w:rsidRPr="00CD6AD7" w:rsidRDefault="00D06ECB" w:rsidP="00D06ECB">
      <w:pPr>
        <w:numPr>
          <w:ilvl w:val="0"/>
          <w:numId w:val="6"/>
        </w:numPr>
        <w:tabs>
          <w:tab w:val="left" w:pos="426"/>
        </w:tabs>
        <w:spacing w:line="276" w:lineRule="auto"/>
        <w:ind w:left="0" w:firstLine="0"/>
        <w:contextualSpacing/>
        <w:jc w:val="both"/>
        <w:rPr>
          <w:rFonts w:ascii="Arial" w:eastAsia="Calibri" w:hAnsi="Arial" w:cs="Arial"/>
          <w:b/>
          <w:color w:val="000000" w:themeColor="text1"/>
          <w:sz w:val="22"/>
          <w:szCs w:val="22"/>
        </w:rPr>
      </w:pPr>
      <w:r w:rsidRPr="00CD6AD7">
        <w:rPr>
          <w:rFonts w:ascii="Arial" w:eastAsia="Calibri" w:hAnsi="Arial" w:cs="Arial"/>
          <w:b/>
          <w:color w:val="000000" w:themeColor="text1"/>
          <w:sz w:val="22"/>
          <w:szCs w:val="22"/>
        </w:rPr>
        <w:t>Consideraciones</w:t>
      </w:r>
    </w:p>
    <w:p w14:paraId="1130DE6A" w14:textId="77777777" w:rsidR="00D06ECB" w:rsidRPr="00CD6AD7" w:rsidRDefault="00D06ECB" w:rsidP="00D06ECB">
      <w:pPr>
        <w:spacing w:line="276" w:lineRule="auto"/>
        <w:jc w:val="both"/>
        <w:rPr>
          <w:rFonts w:ascii="Arial" w:eastAsia="Calibri" w:hAnsi="Arial" w:cs="Arial"/>
          <w:color w:val="000000" w:themeColor="text1"/>
          <w:sz w:val="22"/>
          <w:szCs w:val="22"/>
        </w:rPr>
      </w:pPr>
    </w:p>
    <w:p w14:paraId="1AD13DA3" w14:textId="6EB6FA79" w:rsidR="00D06ECB" w:rsidRPr="00CD6AD7" w:rsidRDefault="00D06ECB" w:rsidP="00D06ECB">
      <w:pPr>
        <w:spacing w:line="276" w:lineRule="auto"/>
        <w:jc w:val="both"/>
        <w:rPr>
          <w:rFonts w:ascii="Arial" w:hAnsi="Arial" w:cs="Arial"/>
          <w:sz w:val="22"/>
          <w:szCs w:val="22"/>
        </w:rPr>
      </w:pPr>
      <w:r w:rsidRPr="00CD6AD7">
        <w:rPr>
          <w:rFonts w:ascii="Arial" w:eastAsia="Calibri" w:hAnsi="Arial" w:cs="Arial"/>
          <w:color w:val="000000" w:themeColor="text1"/>
          <w:sz w:val="22"/>
          <w:szCs w:val="22"/>
          <w:lang w:val="es-ES_tradnl"/>
        </w:rPr>
        <w:t xml:space="preserve">Para resolver su consulta, se analizarán los siguientes temas: i) </w:t>
      </w:r>
      <w:r w:rsidR="00BA5DE2" w:rsidRPr="00CD6AD7">
        <w:rPr>
          <w:rFonts w:ascii="Arial" w:eastAsia="Calibri" w:hAnsi="Arial" w:cs="Arial"/>
          <w:color w:val="000000" w:themeColor="text1"/>
          <w:sz w:val="22"/>
          <w:szCs w:val="22"/>
          <w:lang w:val="es-ES_tradnl"/>
        </w:rPr>
        <w:t>los riesgos en la contratación estatal</w:t>
      </w:r>
      <w:r w:rsidR="0028286F" w:rsidRPr="00CD6AD7">
        <w:rPr>
          <w:rFonts w:ascii="Arial" w:eastAsia="Calibri" w:hAnsi="Arial" w:cs="Arial"/>
          <w:color w:val="000000" w:themeColor="text1"/>
          <w:sz w:val="22"/>
          <w:szCs w:val="22"/>
          <w:lang w:val="es-ES_tradnl"/>
        </w:rPr>
        <w:t>,</w:t>
      </w:r>
      <w:r w:rsidR="00BA5DE2" w:rsidRPr="00CD6AD7">
        <w:rPr>
          <w:rFonts w:ascii="Arial" w:eastAsia="Calibri" w:hAnsi="Arial" w:cs="Arial"/>
          <w:color w:val="000000" w:themeColor="text1"/>
          <w:sz w:val="22"/>
          <w:szCs w:val="22"/>
          <w:lang w:val="es-ES_tradnl"/>
        </w:rPr>
        <w:t xml:space="preserve"> </w:t>
      </w:r>
      <w:r w:rsidRPr="00CD6AD7">
        <w:rPr>
          <w:rFonts w:ascii="Arial" w:eastAsia="Calibri" w:hAnsi="Arial" w:cs="Arial"/>
          <w:color w:val="000000" w:themeColor="text1"/>
          <w:sz w:val="22"/>
          <w:szCs w:val="22"/>
          <w:lang w:val="es-ES_tradnl"/>
        </w:rPr>
        <w:t xml:space="preserve">y </w:t>
      </w:r>
      <w:proofErr w:type="spellStart"/>
      <w:r w:rsidRPr="00CD6AD7">
        <w:rPr>
          <w:rFonts w:ascii="Arial" w:eastAsia="Calibri" w:hAnsi="Arial" w:cs="Arial"/>
          <w:color w:val="000000" w:themeColor="text1"/>
          <w:sz w:val="22"/>
          <w:szCs w:val="22"/>
          <w:lang w:val="es-ES_tradnl"/>
        </w:rPr>
        <w:t>ii</w:t>
      </w:r>
      <w:proofErr w:type="spellEnd"/>
      <w:r w:rsidRPr="00CD6AD7">
        <w:rPr>
          <w:rFonts w:ascii="Arial" w:eastAsia="Calibri" w:hAnsi="Arial" w:cs="Arial"/>
          <w:color w:val="000000" w:themeColor="text1"/>
          <w:sz w:val="22"/>
          <w:szCs w:val="22"/>
          <w:lang w:val="es-ES_tradnl"/>
        </w:rPr>
        <w:t>) la obligatoriedad de las Guías y Manuales expedid</w:t>
      </w:r>
      <w:r w:rsidR="0028286F" w:rsidRPr="00CD6AD7">
        <w:rPr>
          <w:rFonts w:ascii="Arial" w:eastAsia="Calibri" w:hAnsi="Arial" w:cs="Arial"/>
          <w:color w:val="000000" w:themeColor="text1"/>
          <w:sz w:val="22"/>
          <w:szCs w:val="22"/>
          <w:lang w:val="es-ES_tradnl"/>
        </w:rPr>
        <w:t>o</w:t>
      </w:r>
      <w:r w:rsidRPr="00CD6AD7">
        <w:rPr>
          <w:rFonts w:ascii="Arial" w:eastAsia="Calibri" w:hAnsi="Arial" w:cs="Arial"/>
          <w:color w:val="000000" w:themeColor="text1"/>
          <w:sz w:val="22"/>
          <w:szCs w:val="22"/>
          <w:lang w:val="es-ES_tradnl"/>
        </w:rPr>
        <w:t xml:space="preserve">s por la Agencia Nacional de Contratación Pública – Colombia Compra Eficiente. </w:t>
      </w:r>
    </w:p>
    <w:p w14:paraId="68364CDF" w14:textId="77777777" w:rsidR="00D06ECB" w:rsidRPr="00CD6AD7" w:rsidRDefault="00D06ECB" w:rsidP="00D06ECB">
      <w:pPr>
        <w:spacing w:line="276" w:lineRule="auto"/>
        <w:jc w:val="both"/>
        <w:rPr>
          <w:rFonts w:ascii="Arial" w:eastAsia="Calibri" w:hAnsi="Arial" w:cs="Arial"/>
          <w:color w:val="000000" w:themeColor="text1"/>
          <w:sz w:val="22"/>
          <w:szCs w:val="22"/>
        </w:rPr>
      </w:pPr>
      <w:r w:rsidRPr="00CD6AD7">
        <w:rPr>
          <w:rFonts w:ascii="Arial" w:eastAsia="Calibri" w:hAnsi="Arial" w:cs="Arial"/>
          <w:color w:val="000000" w:themeColor="text1"/>
          <w:sz w:val="22"/>
          <w:szCs w:val="22"/>
        </w:rPr>
        <w:t xml:space="preserve"> </w:t>
      </w:r>
    </w:p>
    <w:p w14:paraId="04F220BA" w14:textId="710C3F70" w:rsidR="00DB4164" w:rsidRPr="00CD6AD7" w:rsidRDefault="009954D2" w:rsidP="005C5767">
      <w:pPr>
        <w:tabs>
          <w:tab w:val="left" w:pos="0"/>
        </w:tabs>
        <w:spacing w:line="276" w:lineRule="auto"/>
        <w:jc w:val="both"/>
        <w:rPr>
          <w:rFonts w:ascii="Arial" w:eastAsia="Calibri" w:hAnsi="Arial" w:cs="Arial"/>
          <w:b/>
          <w:bCs/>
          <w:color w:val="000000" w:themeColor="text1"/>
          <w:sz w:val="22"/>
          <w:szCs w:val="22"/>
        </w:rPr>
      </w:pPr>
      <w:r w:rsidRPr="00CD6AD7">
        <w:rPr>
          <w:rFonts w:ascii="Arial" w:eastAsia="Calibri" w:hAnsi="Arial" w:cs="Arial"/>
          <w:b/>
          <w:bCs/>
          <w:color w:val="000000" w:themeColor="text1"/>
          <w:sz w:val="22"/>
          <w:szCs w:val="22"/>
        </w:rPr>
        <w:t xml:space="preserve">2.1 Riesgos en la contratación estatal </w:t>
      </w:r>
    </w:p>
    <w:p w14:paraId="056A5E84" w14:textId="77777777" w:rsidR="00132460" w:rsidRPr="00CD6AD7" w:rsidRDefault="00132460" w:rsidP="005C5767">
      <w:pPr>
        <w:pStyle w:val="Textoindependiente"/>
        <w:spacing w:after="0"/>
        <w:rPr>
          <w:rFonts w:ascii="Arial" w:hAnsi="Arial" w:cs="Arial"/>
          <w:b/>
          <w:bCs/>
          <w:szCs w:val="22"/>
          <w:lang w:val="es-ES"/>
        </w:rPr>
      </w:pPr>
    </w:p>
    <w:p w14:paraId="4B74E657" w14:textId="6C1EFDBE" w:rsidR="00132460" w:rsidRPr="00B560EE" w:rsidRDefault="00132460" w:rsidP="00B560EE">
      <w:pPr>
        <w:spacing w:after="120" w:line="276" w:lineRule="auto"/>
        <w:jc w:val="both"/>
        <w:textAlignment w:val="baseline"/>
        <w:rPr>
          <w:rFonts w:ascii="Arial" w:hAnsi="Arial" w:cs="Arial"/>
          <w:sz w:val="22"/>
          <w:szCs w:val="22"/>
          <w:lang w:val="es-ES" w:eastAsia="es-CO"/>
        </w:rPr>
      </w:pPr>
      <w:r w:rsidRPr="00B560EE">
        <w:rPr>
          <w:rFonts w:ascii="Arial" w:hAnsi="Arial" w:cs="Arial"/>
          <w:sz w:val="22"/>
          <w:szCs w:val="22"/>
          <w:lang w:val="es-ES" w:eastAsia="es-CO"/>
        </w:rPr>
        <w:t>La Real Academia de la Lengua Española – RAE define el riesgo como «1. m. Contingencia o proximidad de un daño. 2. m. Cada una de las contingencias que pueden ser objeto de un contrato de seguro». La literatura internacional define el riesgo en las adquisiciones como los eventos que pueden afectar la realización de la ejecución contractual y cuya ocurrencia no puede ser predicha de manera exacta por las partes involucradas en el Proceso de Contratación</w:t>
      </w:r>
      <w:r w:rsidRPr="00B560EE">
        <w:rPr>
          <w:rStyle w:val="Refdenotaalpie"/>
          <w:rFonts w:ascii="Arial" w:hAnsi="Arial" w:cs="Arial"/>
          <w:sz w:val="22"/>
          <w:szCs w:val="22"/>
          <w:lang w:val="es-ES" w:eastAsia="es-CO"/>
        </w:rPr>
        <w:footnoteReference w:id="2"/>
      </w:r>
      <w:r w:rsidR="0028286F" w:rsidRPr="00CD6AD7">
        <w:rPr>
          <w:rFonts w:ascii="Arial" w:hAnsi="Arial" w:cs="Arial"/>
          <w:sz w:val="22"/>
          <w:szCs w:val="22"/>
          <w:lang w:val="es-ES" w:eastAsia="es-CO"/>
        </w:rPr>
        <w:t>.</w:t>
      </w:r>
    </w:p>
    <w:p w14:paraId="703006B5" w14:textId="18712211" w:rsidR="00132460" w:rsidRPr="00B560EE" w:rsidRDefault="00132460" w:rsidP="00B560EE">
      <w:pPr>
        <w:spacing w:line="276" w:lineRule="auto"/>
        <w:ind w:firstLine="708"/>
        <w:jc w:val="both"/>
        <w:textAlignment w:val="baseline"/>
        <w:rPr>
          <w:rFonts w:ascii="Arial" w:hAnsi="Arial" w:cs="Arial"/>
          <w:sz w:val="22"/>
          <w:szCs w:val="22"/>
          <w:lang w:val="es-ES" w:eastAsia="es-CO"/>
        </w:rPr>
      </w:pPr>
      <w:r w:rsidRPr="00B560EE">
        <w:rPr>
          <w:rFonts w:ascii="Arial" w:hAnsi="Arial" w:cs="Arial"/>
          <w:sz w:val="22"/>
          <w:szCs w:val="22"/>
          <w:lang w:val="es-ES" w:eastAsia="es-CO"/>
        </w:rPr>
        <w:t xml:space="preserve">Tratándose de la normativa que regula lo relativo a los riesgos, el Decreto 423 de 2001 por medio del cual se reglamentó parcialmente la Ley 488 de 1998 </w:t>
      </w:r>
      <w:r w:rsidR="00840637" w:rsidRPr="00CD6AD7">
        <w:rPr>
          <w:rFonts w:ascii="Arial" w:hAnsi="Arial" w:cs="Arial"/>
          <w:sz w:val="22"/>
          <w:szCs w:val="22"/>
          <w:lang w:val="es-ES" w:eastAsia="es-CO"/>
        </w:rPr>
        <w:t xml:space="preserve">–compilado actualmente en el Decreto 1068 de 2015– </w:t>
      </w:r>
      <w:r w:rsidRPr="00B560EE">
        <w:rPr>
          <w:rFonts w:ascii="Arial" w:hAnsi="Arial" w:cs="Arial"/>
          <w:sz w:val="22"/>
          <w:szCs w:val="22"/>
          <w:lang w:val="es-ES" w:eastAsia="es-CO"/>
        </w:rPr>
        <w:t>estableció que el Consejo de Política Económica y Social orientaría la política de riesgo contractual del Estado a partir del principio en relación con el cual corresponde a las entidades estatales asumir los riesgos propios de su carácter público y del objeto social para el que fueron creadas o autorizadas, y a los contratistas aqu</w:t>
      </w:r>
      <w:r w:rsidR="00E22C47" w:rsidRPr="00CD6AD7">
        <w:rPr>
          <w:rFonts w:ascii="Arial" w:hAnsi="Arial" w:cs="Arial"/>
          <w:sz w:val="22"/>
          <w:szCs w:val="22"/>
          <w:lang w:val="es-ES" w:eastAsia="es-CO"/>
        </w:rPr>
        <w:t>e</w:t>
      </w:r>
      <w:r w:rsidRPr="00B560EE">
        <w:rPr>
          <w:rFonts w:ascii="Arial" w:hAnsi="Arial" w:cs="Arial"/>
          <w:sz w:val="22"/>
          <w:szCs w:val="22"/>
          <w:lang w:val="es-ES" w:eastAsia="es-CO"/>
        </w:rPr>
        <w:t>llos relacionados con su objeto. Los artículos 14 y 15 del mencionado Decreto establecen:</w:t>
      </w:r>
    </w:p>
    <w:p w14:paraId="7D7E391F" w14:textId="77777777" w:rsidR="00132460" w:rsidRPr="00CD6AD7" w:rsidRDefault="00132460" w:rsidP="00132460">
      <w:pPr>
        <w:ind w:left="709" w:right="709"/>
        <w:jc w:val="both"/>
        <w:textAlignment w:val="baseline"/>
        <w:rPr>
          <w:rFonts w:ascii="Arial" w:hAnsi="Arial" w:cs="Arial"/>
          <w:sz w:val="21"/>
          <w:szCs w:val="21"/>
          <w:lang w:val="es-ES" w:eastAsia="es-CO"/>
        </w:rPr>
      </w:pPr>
    </w:p>
    <w:p w14:paraId="6E6265B3" w14:textId="48B804AD" w:rsidR="00132460" w:rsidRPr="00CD6AD7" w:rsidRDefault="00807C59" w:rsidP="00132460">
      <w:pPr>
        <w:pStyle w:val="NormalWeb"/>
        <w:shd w:val="clear" w:color="auto" w:fill="FFFFFF"/>
        <w:spacing w:before="0" w:beforeAutospacing="0"/>
        <w:ind w:left="709" w:right="709"/>
        <w:jc w:val="both"/>
        <w:rPr>
          <w:rFonts w:ascii="Arial" w:hAnsi="Arial" w:cs="Arial"/>
          <w:sz w:val="21"/>
          <w:szCs w:val="21"/>
        </w:rPr>
      </w:pPr>
      <w:r w:rsidRPr="00B560EE">
        <w:rPr>
          <w:rFonts w:ascii="Arial" w:hAnsi="Arial" w:cs="Arial"/>
          <w:sz w:val="21"/>
          <w:szCs w:val="21"/>
        </w:rPr>
        <w:t>A</w:t>
      </w:r>
      <w:r w:rsidRPr="00CD6AD7">
        <w:rPr>
          <w:rFonts w:ascii="Arial" w:hAnsi="Arial" w:cs="Arial"/>
          <w:sz w:val="21"/>
          <w:szCs w:val="21"/>
        </w:rPr>
        <w:t>rtículo</w:t>
      </w:r>
      <w:r w:rsidRPr="00B560EE">
        <w:rPr>
          <w:rFonts w:ascii="Arial" w:hAnsi="Arial" w:cs="Arial"/>
          <w:sz w:val="21"/>
          <w:szCs w:val="21"/>
        </w:rPr>
        <w:t xml:space="preserve"> </w:t>
      </w:r>
      <w:r w:rsidR="00132460" w:rsidRPr="00B560EE">
        <w:rPr>
          <w:rFonts w:ascii="Arial" w:hAnsi="Arial" w:cs="Arial"/>
          <w:sz w:val="21"/>
          <w:szCs w:val="21"/>
        </w:rPr>
        <w:t>15.</w:t>
      </w:r>
      <w:r w:rsidR="00E22C47" w:rsidRPr="00B560EE">
        <w:rPr>
          <w:rFonts w:ascii="Arial" w:hAnsi="Arial" w:cs="Arial"/>
          <w:sz w:val="21"/>
          <w:szCs w:val="21"/>
        </w:rPr>
        <w:t xml:space="preserve"> </w:t>
      </w:r>
      <w:r w:rsidR="00132460" w:rsidRPr="00CD6AD7">
        <w:rPr>
          <w:rFonts w:ascii="Arial" w:hAnsi="Arial" w:cs="Arial"/>
          <w:sz w:val="21"/>
          <w:szCs w:val="21"/>
        </w:rPr>
        <w:t xml:space="preserve">De la política de riesgo contractual del Estado. Las entidades estatales sometidas al régimen aquí </w:t>
      </w:r>
      <w:proofErr w:type="gramStart"/>
      <w:r w:rsidR="00132460" w:rsidRPr="00CD6AD7">
        <w:rPr>
          <w:rFonts w:ascii="Arial" w:hAnsi="Arial" w:cs="Arial"/>
          <w:sz w:val="21"/>
          <w:szCs w:val="21"/>
        </w:rPr>
        <w:t>previsto,</w:t>
      </w:r>
      <w:proofErr w:type="gramEnd"/>
      <w:r w:rsidR="00132460" w:rsidRPr="00CD6AD7">
        <w:rPr>
          <w:rFonts w:ascii="Arial" w:hAnsi="Arial" w:cs="Arial"/>
          <w:sz w:val="21"/>
          <w:szCs w:val="21"/>
        </w:rPr>
        <w:t xml:space="preserve"> deberán ajustarse a la política de riesgo contractual del Estado, conformada por los principios, pautas e instrucciones que determine el Gobierno Nacional, para la estipulación de obligaciones contingentes a su cargo.</w:t>
      </w:r>
    </w:p>
    <w:p w14:paraId="4FE48594" w14:textId="7D978891" w:rsidR="00132460" w:rsidRPr="00CD6AD7" w:rsidRDefault="00132460" w:rsidP="00132460">
      <w:pPr>
        <w:pStyle w:val="NormalWeb"/>
        <w:shd w:val="clear" w:color="auto" w:fill="FFFFFF"/>
        <w:spacing w:before="0" w:beforeAutospacing="0"/>
        <w:ind w:left="709" w:right="709"/>
        <w:jc w:val="both"/>
        <w:rPr>
          <w:rFonts w:ascii="Arial" w:hAnsi="Arial" w:cs="Arial"/>
          <w:sz w:val="21"/>
          <w:szCs w:val="21"/>
        </w:rPr>
      </w:pPr>
      <w:bookmarkStart w:id="5" w:name="16"/>
      <w:r w:rsidRPr="00B560EE">
        <w:rPr>
          <w:rFonts w:ascii="Arial" w:hAnsi="Arial" w:cs="Arial"/>
          <w:sz w:val="21"/>
          <w:szCs w:val="21"/>
        </w:rPr>
        <w:lastRenderedPageBreak/>
        <w:t> </w:t>
      </w:r>
      <w:bookmarkEnd w:id="5"/>
      <w:r w:rsidR="00807C59" w:rsidRPr="00B560EE">
        <w:rPr>
          <w:rFonts w:ascii="Arial" w:hAnsi="Arial" w:cs="Arial"/>
          <w:sz w:val="21"/>
          <w:szCs w:val="21"/>
        </w:rPr>
        <w:t>A</w:t>
      </w:r>
      <w:r w:rsidR="00807C59" w:rsidRPr="00CD6AD7">
        <w:rPr>
          <w:rFonts w:ascii="Arial" w:hAnsi="Arial" w:cs="Arial"/>
          <w:sz w:val="21"/>
          <w:szCs w:val="21"/>
        </w:rPr>
        <w:t>rtículo</w:t>
      </w:r>
      <w:r w:rsidR="00807C59" w:rsidRPr="00B560EE">
        <w:rPr>
          <w:rFonts w:ascii="Arial" w:hAnsi="Arial" w:cs="Arial"/>
          <w:sz w:val="21"/>
          <w:szCs w:val="21"/>
        </w:rPr>
        <w:t xml:space="preserve"> </w:t>
      </w:r>
      <w:r w:rsidRPr="00B560EE">
        <w:rPr>
          <w:rFonts w:ascii="Arial" w:hAnsi="Arial" w:cs="Arial"/>
          <w:sz w:val="21"/>
          <w:szCs w:val="21"/>
        </w:rPr>
        <w:t>16.</w:t>
      </w:r>
      <w:r w:rsidR="00E22C47" w:rsidRPr="00B560EE">
        <w:rPr>
          <w:rFonts w:ascii="Arial" w:hAnsi="Arial" w:cs="Arial"/>
          <w:sz w:val="21"/>
          <w:szCs w:val="21"/>
        </w:rPr>
        <w:t xml:space="preserve"> </w:t>
      </w:r>
      <w:r w:rsidRPr="00CD6AD7">
        <w:rPr>
          <w:rFonts w:ascii="Arial" w:hAnsi="Arial" w:cs="Arial"/>
          <w:sz w:val="21"/>
          <w:szCs w:val="21"/>
        </w:rPr>
        <w:t xml:space="preserve">Del diseño de la política de riesgo contractual del Estado. El Consejo de Política Económica y Social, </w:t>
      </w:r>
      <w:proofErr w:type="spellStart"/>
      <w:r w:rsidRPr="00CD6AD7">
        <w:rPr>
          <w:rFonts w:ascii="Arial" w:hAnsi="Arial" w:cs="Arial"/>
          <w:sz w:val="21"/>
          <w:szCs w:val="21"/>
        </w:rPr>
        <w:t>Conpes</w:t>
      </w:r>
      <w:proofErr w:type="spellEnd"/>
      <w:r w:rsidRPr="00CD6AD7">
        <w:rPr>
          <w:rFonts w:ascii="Arial" w:hAnsi="Arial" w:cs="Arial"/>
          <w:sz w:val="21"/>
          <w:szCs w:val="21"/>
        </w:rPr>
        <w:t>, orientará la política de riesgo contractual del Estado a partir del principio de que corresponde a las entidades estatales asumir los riesgos propios de su carácter público y del objeto social para el que fueron creadas o autorizadas, y a los contratistas aquéllos determinados por el lucro que constituye el objeto principal de su actividad.</w:t>
      </w:r>
    </w:p>
    <w:p w14:paraId="0CE55ADB" w14:textId="132E5374" w:rsidR="00132460" w:rsidRPr="00B560EE" w:rsidRDefault="00132460" w:rsidP="00132460">
      <w:pPr>
        <w:ind w:firstLine="705"/>
        <w:jc w:val="both"/>
        <w:textAlignment w:val="baseline"/>
        <w:rPr>
          <w:rFonts w:ascii="Arial" w:hAnsi="Arial" w:cs="Arial"/>
          <w:sz w:val="22"/>
          <w:szCs w:val="22"/>
          <w:lang w:val="es-ES" w:eastAsia="es-CO"/>
        </w:rPr>
      </w:pPr>
      <w:r w:rsidRPr="00B560EE">
        <w:rPr>
          <w:rFonts w:ascii="Arial" w:hAnsi="Arial" w:cs="Arial"/>
          <w:sz w:val="22"/>
          <w:szCs w:val="22"/>
          <w:lang w:val="es-ES" w:eastAsia="es-CO"/>
        </w:rPr>
        <w:t xml:space="preserve">Por su parte, con la expedición de la Ley 1150 de 2007 se propendió porque durante la planeación de los procesos de contratación las entidades estatales estimaran de forma anticipada las posibles eventualidades que puedan generarse durante la ejecución del contrato. En tal sentido, la exposición de motivos del proyecto de ley </w:t>
      </w:r>
      <w:r w:rsidR="00840637" w:rsidRPr="00CD6AD7">
        <w:rPr>
          <w:rFonts w:ascii="Arial" w:hAnsi="Arial" w:cs="Arial"/>
          <w:sz w:val="22"/>
          <w:szCs w:val="22"/>
          <w:lang w:val="es-ES" w:eastAsia="es-CO"/>
        </w:rPr>
        <w:t>«</w:t>
      </w:r>
      <w:r w:rsidRPr="00B560EE">
        <w:rPr>
          <w:rFonts w:ascii="Arial" w:hAnsi="Arial" w:cs="Arial"/>
          <w:sz w:val="22"/>
          <w:szCs w:val="22"/>
          <w:lang w:val="es-ES" w:eastAsia="es-CO"/>
        </w:rPr>
        <w:t>Por medio de la cual se modifica la Ley 80 de 1993, Estatuto General de Contratación de la Administración Pública</w:t>
      </w:r>
      <w:r w:rsidR="00840637" w:rsidRPr="00CD6AD7">
        <w:rPr>
          <w:rFonts w:ascii="Arial" w:hAnsi="Arial" w:cs="Arial"/>
          <w:sz w:val="22"/>
          <w:szCs w:val="22"/>
          <w:lang w:val="es-ES" w:eastAsia="es-CO"/>
        </w:rPr>
        <w:t>»</w:t>
      </w:r>
      <w:r w:rsidRPr="00B560EE">
        <w:rPr>
          <w:rFonts w:ascii="Arial" w:hAnsi="Arial" w:cs="Arial"/>
          <w:sz w:val="22"/>
          <w:szCs w:val="22"/>
          <w:lang w:val="es-ES" w:eastAsia="es-CO"/>
        </w:rPr>
        <w:t xml:space="preserve">, hoy Ley 1150 de 2007 estableció:  </w:t>
      </w:r>
    </w:p>
    <w:p w14:paraId="55DB401A" w14:textId="77777777" w:rsidR="00132460" w:rsidRPr="00CD6AD7" w:rsidRDefault="00132460" w:rsidP="00132460">
      <w:pPr>
        <w:jc w:val="both"/>
        <w:textAlignment w:val="baseline"/>
      </w:pPr>
    </w:p>
    <w:p w14:paraId="5736F64B" w14:textId="77777777" w:rsidR="00132460" w:rsidRPr="00CD6AD7" w:rsidRDefault="00132460" w:rsidP="00132460">
      <w:pPr>
        <w:ind w:left="709" w:right="709"/>
        <w:jc w:val="both"/>
        <w:textAlignment w:val="baseline"/>
        <w:rPr>
          <w:rFonts w:ascii="Arial" w:hAnsi="Arial" w:cs="Arial"/>
          <w:sz w:val="21"/>
          <w:szCs w:val="21"/>
          <w:lang w:eastAsia="es-CO"/>
        </w:rPr>
      </w:pPr>
      <w:r w:rsidRPr="00CD6AD7">
        <w:rPr>
          <w:rFonts w:ascii="Arial" w:hAnsi="Arial" w:cs="Arial"/>
          <w:sz w:val="21"/>
          <w:szCs w:val="21"/>
          <w:lang w:eastAsia="es-CO"/>
        </w:rPr>
        <w:t>En ese panorama y no obstante el tamaño e impacto del gasto que se ejecuta por medio de contratos, se aprecia la ausencia de instrumentos legales que permitan la optimización y el uso eficiente de los recursos públicos involucrados en la contratación. De esta forma, el proyecto que se presenta busca orientar a las entidades hacia el fortalecimiento de los procesos de planeación permitiendo la estimación anticipada de las contingencias que puedan producirse en su ejecución, el diseño de procesos adecuados a la naturaleza de los diferentes objetos contractuales, la utilización de mecanismos de contratación que permitan el aprovechamiento de economías de escala, la incorporación de probados mecanismos para “extraer valor” el proceso contractual (subastas, compra por catálogo, uso de bolsas de productos) y el establecimiento de indicadores para evaluar la utilización eficiente de los recursos (administrativos y presupuestales) involucrados en la ejecución contractual</w:t>
      </w:r>
      <w:r w:rsidRPr="00CD6AD7">
        <w:rPr>
          <w:rStyle w:val="Refdenotaalpie"/>
          <w:rFonts w:ascii="Arial" w:hAnsi="Arial" w:cs="Arial"/>
          <w:sz w:val="21"/>
          <w:szCs w:val="21"/>
          <w:lang w:eastAsia="es-CO"/>
        </w:rPr>
        <w:footnoteReference w:id="3"/>
      </w:r>
      <w:r w:rsidRPr="00CD6AD7">
        <w:rPr>
          <w:rFonts w:ascii="Arial" w:hAnsi="Arial" w:cs="Arial"/>
          <w:sz w:val="21"/>
          <w:szCs w:val="21"/>
          <w:lang w:eastAsia="es-CO"/>
        </w:rPr>
        <w:t>.</w:t>
      </w:r>
    </w:p>
    <w:p w14:paraId="729374B5" w14:textId="77777777" w:rsidR="00132460" w:rsidRPr="00CD6AD7" w:rsidRDefault="00132460" w:rsidP="00132460">
      <w:pPr>
        <w:ind w:firstLine="705"/>
        <w:jc w:val="both"/>
        <w:textAlignment w:val="baseline"/>
        <w:rPr>
          <w:lang w:val="es-ES" w:eastAsia="es-CO"/>
        </w:rPr>
      </w:pPr>
    </w:p>
    <w:p w14:paraId="1DF13F50" w14:textId="5BDCF16C" w:rsidR="00132460" w:rsidRPr="00B560EE" w:rsidRDefault="00132460" w:rsidP="00B560EE">
      <w:pPr>
        <w:spacing w:line="276" w:lineRule="auto"/>
        <w:ind w:firstLine="705"/>
        <w:jc w:val="both"/>
        <w:textAlignment w:val="baseline"/>
        <w:rPr>
          <w:rFonts w:ascii="Arial" w:hAnsi="Arial" w:cs="Arial"/>
          <w:sz w:val="22"/>
          <w:szCs w:val="22"/>
          <w:lang w:val="es-ES" w:eastAsia="es-CO"/>
        </w:rPr>
      </w:pPr>
      <w:r w:rsidRPr="00B560EE">
        <w:rPr>
          <w:rFonts w:ascii="Arial" w:hAnsi="Arial" w:cs="Arial"/>
          <w:sz w:val="22"/>
          <w:szCs w:val="22"/>
          <w:lang w:val="es-ES" w:eastAsia="es-CO"/>
        </w:rPr>
        <w:t xml:space="preserve">Como resultado de la promulgación de la Ley 1150 de 2007, </w:t>
      </w:r>
      <w:r w:rsidR="00840637" w:rsidRPr="00CD6AD7">
        <w:rPr>
          <w:rFonts w:ascii="Arial" w:hAnsi="Arial" w:cs="Arial"/>
          <w:sz w:val="22"/>
          <w:szCs w:val="22"/>
          <w:lang w:val="es-ES" w:eastAsia="es-CO"/>
        </w:rPr>
        <w:t>en relación con los</w:t>
      </w:r>
      <w:r w:rsidRPr="00B560EE">
        <w:rPr>
          <w:rFonts w:ascii="Arial" w:hAnsi="Arial" w:cs="Arial"/>
          <w:sz w:val="22"/>
          <w:szCs w:val="22"/>
          <w:lang w:val="es-ES" w:eastAsia="es-CO"/>
        </w:rPr>
        <w:t xml:space="preserve"> riesgos, el artículo 4 obliga a las entidades estatales a estimar, tipificar y asignar los riesgos </w:t>
      </w:r>
      <w:r w:rsidR="00840637" w:rsidRPr="00CD6AD7">
        <w:rPr>
          <w:rFonts w:ascii="Arial" w:hAnsi="Arial" w:cs="Arial"/>
          <w:sz w:val="22"/>
          <w:szCs w:val="22"/>
          <w:lang w:val="es-ES" w:eastAsia="es-CO"/>
        </w:rPr>
        <w:t>previsibles involucrados en la contratación</w:t>
      </w:r>
      <w:r w:rsidRPr="00B560EE">
        <w:rPr>
          <w:rFonts w:ascii="Arial" w:hAnsi="Arial" w:cs="Arial"/>
          <w:sz w:val="22"/>
          <w:szCs w:val="22"/>
          <w:lang w:val="es-ES" w:eastAsia="es-CO"/>
        </w:rPr>
        <w:t xml:space="preserve"> dentro de los pliegos de condiciones o en sus equivalentes. El mencionado artículo establece:</w:t>
      </w:r>
    </w:p>
    <w:p w14:paraId="4B16A7C5" w14:textId="70067756" w:rsidR="00132460" w:rsidRPr="00CD6AD7" w:rsidRDefault="00F46D5D" w:rsidP="00B560EE">
      <w:pPr>
        <w:pStyle w:val="NormalWeb"/>
        <w:ind w:left="709" w:right="709"/>
        <w:jc w:val="both"/>
        <w:rPr>
          <w:rFonts w:ascii="Arial" w:hAnsi="Arial" w:cs="Arial"/>
          <w:sz w:val="21"/>
          <w:szCs w:val="21"/>
        </w:rPr>
      </w:pPr>
      <w:bookmarkStart w:id="6" w:name="4"/>
      <w:r w:rsidRPr="00CD6AD7">
        <w:rPr>
          <w:rFonts w:ascii="Arial" w:hAnsi="Arial" w:cs="Arial"/>
          <w:sz w:val="21"/>
          <w:szCs w:val="21"/>
        </w:rPr>
        <w:t>Artículo 4. De la distribución de riesgos en los contratos estatales.</w:t>
      </w:r>
      <w:bookmarkEnd w:id="6"/>
      <w:r w:rsidRPr="00CD6AD7">
        <w:rPr>
          <w:rFonts w:ascii="Arial" w:hAnsi="Arial" w:cs="Arial"/>
          <w:sz w:val="21"/>
          <w:szCs w:val="21"/>
        </w:rPr>
        <w:t> </w:t>
      </w:r>
      <w:r w:rsidR="00132460" w:rsidRPr="00CD6AD7">
        <w:rPr>
          <w:rFonts w:ascii="Arial" w:hAnsi="Arial" w:cs="Arial"/>
          <w:sz w:val="21"/>
          <w:szCs w:val="21"/>
        </w:rPr>
        <w:t>Los pliegos de condiciones o sus equivalentes deberán incluir la estimación, tipificación y asignación de los riesgos previsibles involucrados en la contratación.</w:t>
      </w:r>
    </w:p>
    <w:p w14:paraId="3F2F03E3" w14:textId="3638FAEC" w:rsidR="00132460" w:rsidRDefault="00132460">
      <w:pPr>
        <w:pStyle w:val="NormalWeb"/>
        <w:ind w:left="709" w:right="709"/>
        <w:jc w:val="both"/>
        <w:rPr>
          <w:rFonts w:ascii="Arial" w:hAnsi="Arial" w:cs="Arial"/>
          <w:sz w:val="21"/>
          <w:szCs w:val="21"/>
        </w:rPr>
      </w:pPr>
      <w:r w:rsidRPr="00CD6AD7">
        <w:rPr>
          <w:rFonts w:ascii="Arial" w:hAnsi="Arial" w:cs="Arial"/>
          <w:sz w:val="21"/>
          <w:szCs w:val="21"/>
        </w:rPr>
        <w:t>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p>
    <w:p w14:paraId="4B789116" w14:textId="5B1B1007" w:rsidR="00406AAF" w:rsidRDefault="00406AAF" w:rsidP="00406AAF">
      <w:pPr>
        <w:ind w:firstLine="705"/>
        <w:jc w:val="both"/>
        <w:textAlignment w:val="baseline"/>
        <w:rPr>
          <w:rFonts w:ascii="Arial" w:hAnsi="Arial" w:cs="Arial"/>
          <w:sz w:val="22"/>
          <w:szCs w:val="22"/>
          <w:lang w:val="es-ES" w:eastAsia="es-CO"/>
        </w:rPr>
      </w:pPr>
      <w:r w:rsidRPr="00B560EE">
        <w:rPr>
          <w:rFonts w:ascii="Arial" w:hAnsi="Arial" w:cs="Arial"/>
          <w:sz w:val="22"/>
          <w:szCs w:val="22"/>
          <w:lang w:val="es-ES" w:eastAsia="es-CO"/>
        </w:rPr>
        <w:lastRenderedPageBreak/>
        <w:t xml:space="preserve">Posteriormente, </w:t>
      </w:r>
      <w:r>
        <w:rPr>
          <w:rFonts w:ascii="Arial" w:hAnsi="Arial" w:cs="Arial"/>
          <w:sz w:val="22"/>
          <w:szCs w:val="22"/>
          <w:lang w:val="es-ES" w:eastAsia="es-CO"/>
        </w:rPr>
        <w:t>con la expedición del CONPES 3107 de 2011 se establecieron lineamientos en materia de «</w:t>
      </w:r>
      <w:r w:rsidRPr="00406AAF">
        <w:rPr>
          <w:rFonts w:ascii="Arial" w:hAnsi="Arial" w:cs="Arial"/>
          <w:sz w:val="22"/>
          <w:szCs w:val="22"/>
          <w:lang w:val="es-ES" w:eastAsia="es-CO"/>
        </w:rPr>
        <w:t>Política de Manejo de Riesgo Contractual del Estado para Procesos</w:t>
      </w:r>
      <w:r>
        <w:rPr>
          <w:rFonts w:ascii="Arial" w:hAnsi="Arial" w:cs="Arial"/>
          <w:sz w:val="22"/>
          <w:szCs w:val="22"/>
          <w:lang w:val="es-ES" w:eastAsia="es-CO"/>
        </w:rPr>
        <w:t xml:space="preserve"> </w:t>
      </w:r>
      <w:r w:rsidRPr="00406AAF">
        <w:rPr>
          <w:rFonts w:ascii="Arial" w:hAnsi="Arial" w:cs="Arial"/>
          <w:sz w:val="22"/>
          <w:szCs w:val="22"/>
          <w:lang w:val="es-ES" w:eastAsia="es-CO"/>
        </w:rPr>
        <w:t>de Participación Privada en Infraestructura</w:t>
      </w:r>
      <w:r>
        <w:rPr>
          <w:rFonts w:ascii="Arial" w:hAnsi="Arial" w:cs="Arial"/>
          <w:sz w:val="22"/>
          <w:szCs w:val="22"/>
          <w:lang w:val="es-ES" w:eastAsia="es-CO"/>
        </w:rPr>
        <w:t>» para la adecuada estructuración de proyectos y la asignación de riesgos en los procesos de contratación que se desarrollen en los sectores de transporte, energía, comunicaciones y agua potable y saneamiento básico.</w:t>
      </w:r>
    </w:p>
    <w:p w14:paraId="48FED62C" w14:textId="736B32E5" w:rsidR="00406AAF" w:rsidRDefault="00406AAF" w:rsidP="00406AAF">
      <w:pPr>
        <w:ind w:firstLine="705"/>
        <w:jc w:val="both"/>
        <w:textAlignment w:val="baseline"/>
        <w:rPr>
          <w:rFonts w:ascii="Arial" w:hAnsi="Arial" w:cs="Arial"/>
          <w:sz w:val="22"/>
          <w:szCs w:val="22"/>
          <w:lang w:val="es-ES" w:eastAsia="es-CO"/>
        </w:rPr>
      </w:pPr>
    </w:p>
    <w:p w14:paraId="728C5E05" w14:textId="492797C1" w:rsidR="00406AAF" w:rsidRDefault="00406AAF" w:rsidP="00406AAF">
      <w:pPr>
        <w:ind w:firstLine="705"/>
        <w:jc w:val="both"/>
        <w:textAlignment w:val="baseline"/>
        <w:rPr>
          <w:rFonts w:ascii="Arial" w:hAnsi="Arial" w:cs="Arial"/>
          <w:sz w:val="22"/>
          <w:szCs w:val="22"/>
          <w:lang w:val="es-ES" w:eastAsia="es-CO"/>
        </w:rPr>
      </w:pPr>
      <w:r>
        <w:rPr>
          <w:rFonts w:ascii="Arial" w:hAnsi="Arial" w:cs="Arial"/>
          <w:sz w:val="22"/>
          <w:szCs w:val="22"/>
          <w:lang w:val="es-ES" w:eastAsia="es-CO"/>
        </w:rPr>
        <w:t xml:space="preserve">De tal forma, el CONPES estableció que en la medida que «una asignación adecuada de los riesgos minimiza el costo de su mitigación» es necesario que los riesgos sean asumidos por quién mejor los controla en la relación contractual, lo que implica que sean asignados e identificados correctamente. </w:t>
      </w:r>
      <w:r w:rsidR="00E61A42">
        <w:rPr>
          <w:rFonts w:ascii="Arial" w:hAnsi="Arial" w:cs="Arial"/>
          <w:sz w:val="22"/>
          <w:szCs w:val="22"/>
          <w:lang w:val="es-ES" w:eastAsia="es-CO"/>
        </w:rPr>
        <w:t>Así, al definir el concepto de riesgo determinó:</w:t>
      </w:r>
    </w:p>
    <w:p w14:paraId="14C7299D" w14:textId="37942D4C" w:rsidR="00E61A42" w:rsidRDefault="00E61A42" w:rsidP="00406AAF">
      <w:pPr>
        <w:ind w:firstLine="705"/>
        <w:jc w:val="both"/>
        <w:textAlignment w:val="baseline"/>
        <w:rPr>
          <w:rFonts w:ascii="Arial" w:hAnsi="Arial" w:cs="Arial"/>
          <w:sz w:val="22"/>
          <w:szCs w:val="22"/>
          <w:lang w:val="es-ES" w:eastAsia="es-CO"/>
        </w:rPr>
      </w:pPr>
    </w:p>
    <w:p w14:paraId="4A9A9E77" w14:textId="4E947A01" w:rsidR="00E61A42" w:rsidRPr="00B560EE" w:rsidRDefault="00E61A42" w:rsidP="00B560EE">
      <w:pPr>
        <w:ind w:left="705" w:right="786"/>
        <w:jc w:val="both"/>
        <w:textAlignment w:val="baseline"/>
        <w:rPr>
          <w:rFonts w:ascii="Arial" w:hAnsi="Arial" w:cs="Arial"/>
          <w:sz w:val="21"/>
          <w:szCs w:val="21"/>
          <w:lang w:eastAsia="es-CO"/>
        </w:rPr>
      </w:pPr>
      <w:r w:rsidRPr="00B560EE">
        <w:rPr>
          <w:rFonts w:ascii="Arial" w:hAnsi="Arial" w:cs="Arial"/>
          <w:sz w:val="21"/>
          <w:szCs w:val="21"/>
          <w:lang w:eastAsia="es-CO"/>
        </w:rPr>
        <w:t xml:space="preserve">Los riesgos de un proyecto se refieren a los diferentes factores que pueden hacer que no se cumplan los resultados previstos y los respectivos flujos esperados. Para determinar cuáles son los riesgos asociados a un proyecto se debe identificar las principales variables que determinan estos flujos. El concepto de riesgo en proyectos de infraestructura se puede definir como la probabilidad de ocurrencia de eventos aleatorios que afecten el desarrollo </w:t>
      </w:r>
      <w:proofErr w:type="gramStart"/>
      <w:r w:rsidRPr="00B560EE">
        <w:rPr>
          <w:rFonts w:ascii="Arial" w:hAnsi="Arial" w:cs="Arial"/>
          <w:sz w:val="21"/>
          <w:szCs w:val="21"/>
          <w:lang w:eastAsia="es-CO"/>
        </w:rPr>
        <w:t>del mismo</w:t>
      </w:r>
      <w:proofErr w:type="gramEnd"/>
      <w:r w:rsidRPr="00B560EE">
        <w:rPr>
          <w:rFonts w:ascii="Arial" w:hAnsi="Arial" w:cs="Arial"/>
          <w:sz w:val="21"/>
          <w:szCs w:val="21"/>
          <w:lang w:eastAsia="es-CO"/>
        </w:rPr>
        <w:t>, generando una variación sobre el resultado esperado, tanto en relación con los costos como con los ingresos.</w:t>
      </w:r>
    </w:p>
    <w:p w14:paraId="7EBDCF95" w14:textId="1B143B5D" w:rsidR="00406AAF" w:rsidRDefault="00406AAF" w:rsidP="00E61A42">
      <w:pPr>
        <w:jc w:val="both"/>
        <w:textAlignment w:val="baseline"/>
        <w:rPr>
          <w:rFonts w:ascii="Arial" w:hAnsi="Arial" w:cs="Arial"/>
          <w:sz w:val="22"/>
          <w:szCs w:val="22"/>
          <w:lang w:val="es-ES" w:eastAsia="es-CO"/>
        </w:rPr>
      </w:pPr>
    </w:p>
    <w:p w14:paraId="723620B8" w14:textId="431D0F3C" w:rsidR="00E61A42" w:rsidRDefault="00E61A42" w:rsidP="00E61A42">
      <w:pPr>
        <w:ind w:firstLine="705"/>
        <w:jc w:val="both"/>
        <w:textAlignment w:val="baseline"/>
        <w:rPr>
          <w:rFonts w:ascii="Arial" w:hAnsi="Arial" w:cs="Arial"/>
          <w:sz w:val="22"/>
          <w:szCs w:val="22"/>
          <w:lang w:val="es-ES" w:eastAsia="es-CO"/>
        </w:rPr>
      </w:pPr>
      <w:r>
        <w:rPr>
          <w:rFonts w:ascii="Arial" w:hAnsi="Arial" w:cs="Arial"/>
          <w:sz w:val="22"/>
          <w:szCs w:val="22"/>
          <w:lang w:val="es-ES" w:eastAsia="es-CO"/>
        </w:rPr>
        <w:t>Sumado a lo anterior, el CONPES 3107 de 2011 consagra la importancia de realizar un análisis de información que permita determinar la asignación del riesgo basado en información confiable y de calidad, pues «</w:t>
      </w:r>
      <w:r w:rsidRPr="00E61A42">
        <w:rPr>
          <w:rFonts w:ascii="Arial" w:hAnsi="Arial" w:cs="Arial"/>
          <w:sz w:val="22"/>
          <w:szCs w:val="22"/>
          <w:lang w:val="es-ES" w:eastAsia="es-CO"/>
        </w:rPr>
        <w:t>con</w:t>
      </w:r>
      <w:r>
        <w:rPr>
          <w:rFonts w:ascii="Arial" w:hAnsi="Arial" w:cs="Arial"/>
          <w:sz w:val="22"/>
          <w:szCs w:val="22"/>
          <w:lang w:val="es-ES" w:eastAsia="es-CO"/>
        </w:rPr>
        <w:t xml:space="preserve"> </w:t>
      </w:r>
      <w:r w:rsidRPr="00E61A42">
        <w:rPr>
          <w:rFonts w:ascii="Arial" w:hAnsi="Arial" w:cs="Arial"/>
          <w:sz w:val="22"/>
          <w:szCs w:val="22"/>
          <w:lang w:val="es-ES" w:eastAsia="es-CO"/>
        </w:rPr>
        <w:t>información de mejor calidad, la percepción de riesgo es menor y se pueden adoptar las medidas para</w:t>
      </w:r>
      <w:r>
        <w:rPr>
          <w:rFonts w:ascii="Arial" w:hAnsi="Arial" w:cs="Arial"/>
          <w:sz w:val="22"/>
          <w:szCs w:val="22"/>
          <w:lang w:val="es-ES" w:eastAsia="es-CO"/>
        </w:rPr>
        <w:t xml:space="preserve"> </w:t>
      </w:r>
      <w:r w:rsidRPr="00E61A42">
        <w:rPr>
          <w:rFonts w:ascii="Arial" w:hAnsi="Arial" w:cs="Arial"/>
          <w:sz w:val="22"/>
          <w:szCs w:val="22"/>
          <w:lang w:val="es-ES" w:eastAsia="es-CO"/>
        </w:rPr>
        <w:t>controlar la incidencia de las fuentes de riesgo</w:t>
      </w:r>
      <w:r>
        <w:rPr>
          <w:rFonts w:ascii="Arial" w:hAnsi="Arial" w:cs="Arial"/>
          <w:sz w:val="22"/>
          <w:szCs w:val="22"/>
          <w:lang w:val="es-ES" w:eastAsia="es-CO"/>
        </w:rPr>
        <w:t xml:space="preserve">», establecer mecanismos de mitigación del impacto y cobertura, instrumentos de </w:t>
      </w:r>
      <w:r w:rsidR="00101D64">
        <w:rPr>
          <w:rFonts w:ascii="Arial" w:hAnsi="Arial" w:cs="Arial"/>
          <w:sz w:val="22"/>
          <w:szCs w:val="22"/>
          <w:lang w:val="es-ES" w:eastAsia="es-CO"/>
        </w:rPr>
        <w:t>protección</w:t>
      </w:r>
      <w:r>
        <w:rPr>
          <w:rFonts w:ascii="Arial" w:hAnsi="Arial" w:cs="Arial"/>
          <w:sz w:val="22"/>
          <w:szCs w:val="22"/>
          <w:lang w:val="es-ES" w:eastAsia="es-CO"/>
        </w:rPr>
        <w:t xml:space="preserve">, así como determinar su asignación a los distintos participes del negocio jurídico. </w:t>
      </w:r>
    </w:p>
    <w:p w14:paraId="019C71C3" w14:textId="69C50274" w:rsidR="00742F73" w:rsidRDefault="00742F73" w:rsidP="00E61A42">
      <w:pPr>
        <w:ind w:firstLine="705"/>
        <w:jc w:val="both"/>
        <w:textAlignment w:val="baseline"/>
        <w:rPr>
          <w:rFonts w:ascii="Arial" w:hAnsi="Arial" w:cs="Arial"/>
          <w:sz w:val="22"/>
          <w:szCs w:val="22"/>
          <w:lang w:val="es-ES" w:eastAsia="es-CO"/>
        </w:rPr>
      </w:pPr>
    </w:p>
    <w:p w14:paraId="45FC1A52" w14:textId="20433623" w:rsidR="00742F73" w:rsidRDefault="00742F73" w:rsidP="00E61A42">
      <w:pPr>
        <w:ind w:firstLine="705"/>
        <w:jc w:val="both"/>
        <w:textAlignment w:val="baseline"/>
        <w:rPr>
          <w:rFonts w:ascii="Arial" w:hAnsi="Arial" w:cs="Arial"/>
          <w:sz w:val="22"/>
          <w:szCs w:val="22"/>
          <w:lang w:val="es-ES" w:eastAsia="es-CO"/>
        </w:rPr>
      </w:pPr>
      <w:r>
        <w:rPr>
          <w:rFonts w:ascii="Arial" w:hAnsi="Arial" w:cs="Arial"/>
          <w:sz w:val="22"/>
          <w:szCs w:val="22"/>
          <w:lang w:val="es-ES" w:eastAsia="es-CO"/>
        </w:rPr>
        <w:t xml:space="preserve">En la misma línea, el CONPES 3714 de 2011, definió </w:t>
      </w:r>
      <w:r w:rsidRPr="00B560EE">
        <w:rPr>
          <w:rFonts w:ascii="Arial" w:hAnsi="Arial" w:cs="Arial"/>
          <w:sz w:val="22"/>
          <w:szCs w:val="22"/>
          <w:lang w:val="es-ES" w:eastAsia="es-CO"/>
        </w:rPr>
        <w:t>lineamientos para el entendimiento del concepto de “riesgo previsible” en el marco de l</w:t>
      </w:r>
      <w:r>
        <w:rPr>
          <w:rFonts w:ascii="Arial" w:hAnsi="Arial" w:cs="Arial"/>
          <w:sz w:val="22"/>
          <w:szCs w:val="22"/>
          <w:lang w:val="es-ES" w:eastAsia="es-CO"/>
        </w:rPr>
        <w:t xml:space="preserve">os procesos de selección </w:t>
      </w:r>
      <w:r w:rsidRPr="00B560EE">
        <w:rPr>
          <w:rFonts w:ascii="Arial" w:hAnsi="Arial" w:cs="Arial"/>
          <w:sz w:val="22"/>
          <w:szCs w:val="22"/>
          <w:lang w:val="es-ES" w:eastAsia="es-CO"/>
        </w:rPr>
        <w:t>sometid</w:t>
      </w:r>
      <w:r>
        <w:rPr>
          <w:rFonts w:ascii="Arial" w:hAnsi="Arial" w:cs="Arial"/>
          <w:sz w:val="22"/>
          <w:szCs w:val="22"/>
          <w:lang w:val="es-ES" w:eastAsia="es-CO"/>
        </w:rPr>
        <w:t>o</w:t>
      </w:r>
      <w:r w:rsidRPr="00B560EE">
        <w:rPr>
          <w:rFonts w:ascii="Arial" w:hAnsi="Arial" w:cs="Arial"/>
          <w:sz w:val="22"/>
          <w:szCs w:val="22"/>
          <w:lang w:val="es-ES" w:eastAsia="es-CO"/>
        </w:rPr>
        <w:t xml:space="preserve">s al Estatuto General de Contratación de la Administración Pública, </w:t>
      </w:r>
      <w:r>
        <w:rPr>
          <w:rFonts w:ascii="Arial" w:hAnsi="Arial" w:cs="Arial"/>
          <w:sz w:val="22"/>
          <w:szCs w:val="22"/>
          <w:lang w:val="es-ES" w:eastAsia="es-CO"/>
        </w:rPr>
        <w:t>con el fin de «</w:t>
      </w:r>
      <w:r w:rsidRPr="00B560EE">
        <w:rPr>
          <w:rFonts w:ascii="Arial" w:hAnsi="Arial" w:cs="Arial"/>
          <w:sz w:val="22"/>
          <w:szCs w:val="22"/>
          <w:lang w:val="es-ES" w:eastAsia="es-CO"/>
        </w:rPr>
        <w:t>convertirse en una herramienta para el mejoramiento continuo en la aplicación de la normativa existente; buscar el establecimiento de reglas claras frente a posibles alteraciones del equilibrio financiero de los contratos; generar seguridad jurídica; y, en general, sentar las bases para el fortalecimiento y la homogenización de los pasos que se surten en la etapa precontractual para el establecimiento de los riesgos previsibles de la contratación</w:t>
      </w:r>
      <w:r>
        <w:rPr>
          <w:rFonts w:ascii="Arial" w:hAnsi="Arial" w:cs="Arial"/>
          <w:sz w:val="22"/>
          <w:szCs w:val="22"/>
          <w:lang w:val="es-ES" w:eastAsia="es-CO"/>
        </w:rPr>
        <w:t>». En tal sentido, dicho documento de política pública definió el riesgo y el riesgo previsible en el marco de la gestión contractual como</w:t>
      </w:r>
      <w:r w:rsidR="0087496D">
        <w:rPr>
          <w:rFonts w:ascii="Arial" w:hAnsi="Arial" w:cs="Arial"/>
          <w:sz w:val="22"/>
          <w:szCs w:val="22"/>
          <w:lang w:val="es-ES" w:eastAsia="es-CO"/>
        </w:rPr>
        <w:t>:</w:t>
      </w:r>
      <w:r>
        <w:rPr>
          <w:rFonts w:ascii="Arial" w:hAnsi="Arial" w:cs="Arial"/>
          <w:sz w:val="22"/>
          <w:szCs w:val="22"/>
          <w:lang w:val="es-ES" w:eastAsia="es-CO"/>
        </w:rPr>
        <w:t xml:space="preserve"> </w:t>
      </w:r>
    </w:p>
    <w:p w14:paraId="2BF7AF63" w14:textId="77777777" w:rsidR="00742F73" w:rsidRDefault="00742F73" w:rsidP="00742F73">
      <w:pPr>
        <w:jc w:val="both"/>
        <w:textAlignment w:val="baseline"/>
      </w:pPr>
    </w:p>
    <w:p w14:paraId="2CE08D68" w14:textId="3E027CFA" w:rsidR="00742F73" w:rsidRDefault="00742F73" w:rsidP="00742F73">
      <w:pPr>
        <w:ind w:left="705" w:right="644"/>
        <w:jc w:val="both"/>
        <w:textAlignment w:val="baseline"/>
        <w:rPr>
          <w:rFonts w:ascii="Arial" w:hAnsi="Arial" w:cs="Arial"/>
          <w:sz w:val="21"/>
          <w:szCs w:val="21"/>
          <w:lang w:eastAsia="es-CO"/>
        </w:rPr>
      </w:pPr>
      <w:r w:rsidRPr="00B560EE">
        <w:rPr>
          <w:rFonts w:ascii="Arial" w:hAnsi="Arial" w:cs="Arial"/>
          <w:sz w:val="21"/>
          <w:szCs w:val="21"/>
          <w:lang w:eastAsia="es-CO"/>
        </w:rPr>
        <w:t>El riesgo contractual en general es entendido como todas aquellas circunstancias que pueden presentarse durante el desarrollo o ejecución de un contrato y que pueden alterar el equilibrio financiero del mismo y ha tenido una regulación desde cinco ópticas, asociadas con el proceso de gestión que se requiere en cada caso.</w:t>
      </w:r>
      <w:r>
        <w:rPr>
          <w:rFonts w:ascii="Arial" w:hAnsi="Arial" w:cs="Arial"/>
          <w:sz w:val="21"/>
          <w:szCs w:val="21"/>
          <w:lang w:eastAsia="es-CO"/>
        </w:rPr>
        <w:t xml:space="preserve"> […]</w:t>
      </w:r>
    </w:p>
    <w:p w14:paraId="008156E5" w14:textId="7CEF3B05" w:rsidR="00742F73" w:rsidRDefault="00742F73" w:rsidP="00742F73">
      <w:pPr>
        <w:ind w:left="705" w:right="644"/>
        <w:jc w:val="both"/>
        <w:textAlignment w:val="baseline"/>
        <w:rPr>
          <w:rFonts w:ascii="Arial" w:hAnsi="Arial" w:cs="Arial"/>
          <w:sz w:val="21"/>
          <w:szCs w:val="21"/>
          <w:lang w:eastAsia="es-CO"/>
        </w:rPr>
      </w:pPr>
    </w:p>
    <w:p w14:paraId="00B838FD" w14:textId="4CDE4757" w:rsidR="00742F73" w:rsidRPr="00B560EE" w:rsidRDefault="00742F73" w:rsidP="00B560EE">
      <w:pPr>
        <w:ind w:left="705" w:right="644"/>
        <w:jc w:val="both"/>
        <w:textAlignment w:val="baseline"/>
        <w:rPr>
          <w:rFonts w:ascii="Arial" w:hAnsi="Arial" w:cs="Arial"/>
          <w:sz w:val="21"/>
          <w:szCs w:val="21"/>
          <w:lang w:eastAsia="es-CO"/>
        </w:rPr>
      </w:pPr>
      <w:r w:rsidRPr="00742F73">
        <w:rPr>
          <w:rFonts w:ascii="Arial" w:hAnsi="Arial" w:cs="Arial"/>
          <w:sz w:val="21"/>
          <w:szCs w:val="21"/>
          <w:lang w:eastAsia="es-CO"/>
        </w:rPr>
        <w:lastRenderedPageBreak/>
        <w:t xml:space="preserve">Así, los “riesgos previsibles”, son todas aquellas circunstancias </w:t>
      </w:r>
      <w:proofErr w:type="gramStart"/>
      <w:r w:rsidRPr="00742F73">
        <w:rPr>
          <w:rFonts w:ascii="Arial" w:hAnsi="Arial" w:cs="Arial"/>
          <w:sz w:val="21"/>
          <w:szCs w:val="21"/>
          <w:lang w:eastAsia="es-CO"/>
        </w:rPr>
        <w:t>que</w:t>
      </w:r>
      <w:proofErr w:type="gramEnd"/>
      <w:r w:rsidRPr="00742F73">
        <w:rPr>
          <w:rFonts w:ascii="Arial" w:hAnsi="Arial" w:cs="Arial"/>
          <w:sz w:val="21"/>
          <w:szCs w:val="21"/>
          <w:lang w:eastAsia="es-CO"/>
        </w:rPr>
        <w:t xml:space="preserve"> de presentarse</w:t>
      </w:r>
      <w:r>
        <w:rPr>
          <w:rFonts w:ascii="Arial" w:hAnsi="Arial" w:cs="Arial"/>
          <w:sz w:val="21"/>
          <w:szCs w:val="21"/>
          <w:lang w:eastAsia="es-CO"/>
        </w:rPr>
        <w:t xml:space="preserve"> </w:t>
      </w:r>
      <w:r w:rsidRPr="00742F73">
        <w:rPr>
          <w:rFonts w:ascii="Arial" w:hAnsi="Arial" w:cs="Arial"/>
          <w:sz w:val="21"/>
          <w:szCs w:val="21"/>
          <w:lang w:eastAsia="es-CO"/>
        </w:rPr>
        <w:t>durante el desarrollo y ejecución del contrato, tienen la potencialidad de alterar el</w:t>
      </w:r>
      <w:r>
        <w:rPr>
          <w:rFonts w:ascii="Arial" w:hAnsi="Arial" w:cs="Arial"/>
          <w:sz w:val="21"/>
          <w:szCs w:val="21"/>
          <w:lang w:eastAsia="es-CO"/>
        </w:rPr>
        <w:t xml:space="preserve"> </w:t>
      </w:r>
      <w:r w:rsidRPr="00742F73">
        <w:rPr>
          <w:rFonts w:ascii="Arial" w:hAnsi="Arial" w:cs="Arial"/>
          <w:sz w:val="21"/>
          <w:szCs w:val="21"/>
          <w:lang w:eastAsia="es-CO"/>
        </w:rPr>
        <w:t>equilibrio financiero del mismo, siempre que sean identificables y cuantificables en</w:t>
      </w:r>
      <w:r>
        <w:rPr>
          <w:rFonts w:ascii="Arial" w:hAnsi="Arial" w:cs="Arial"/>
          <w:sz w:val="21"/>
          <w:szCs w:val="21"/>
          <w:lang w:eastAsia="es-CO"/>
        </w:rPr>
        <w:t xml:space="preserve"> </w:t>
      </w:r>
      <w:r w:rsidRPr="00742F73">
        <w:rPr>
          <w:rFonts w:ascii="Arial" w:hAnsi="Arial" w:cs="Arial"/>
          <w:sz w:val="21"/>
          <w:szCs w:val="21"/>
          <w:lang w:eastAsia="es-CO"/>
        </w:rPr>
        <w:t>condiciones normales.</w:t>
      </w:r>
    </w:p>
    <w:p w14:paraId="64E9998A" w14:textId="77777777" w:rsidR="00406AAF" w:rsidRPr="00B560EE" w:rsidRDefault="00406AAF" w:rsidP="00B560EE">
      <w:pPr>
        <w:ind w:left="705" w:right="644" w:firstLine="705"/>
        <w:jc w:val="both"/>
        <w:textAlignment w:val="baseline"/>
        <w:rPr>
          <w:rFonts w:ascii="Arial" w:hAnsi="Arial" w:cs="Arial"/>
          <w:sz w:val="21"/>
          <w:szCs w:val="21"/>
          <w:lang w:eastAsia="es-CO"/>
        </w:rPr>
      </w:pPr>
    </w:p>
    <w:p w14:paraId="09B4F4B5" w14:textId="47FA35AA" w:rsidR="00132460" w:rsidRPr="00B560EE" w:rsidRDefault="00A97955" w:rsidP="00132460">
      <w:pPr>
        <w:ind w:firstLine="705"/>
        <w:jc w:val="both"/>
        <w:textAlignment w:val="baseline"/>
        <w:rPr>
          <w:rFonts w:ascii="Arial" w:hAnsi="Arial" w:cs="Arial"/>
          <w:sz w:val="22"/>
          <w:szCs w:val="22"/>
          <w:lang w:val="es-ES" w:eastAsia="es-CO"/>
        </w:rPr>
      </w:pPr>
      <w:r>
        <w:rPr>
          <w:rFonts w:ascii="Arial" w:hAnsi="Arial" w:cs="Arial"/>
          <w:sz w:val="22"/>
          <w:szCs w:val="22"/>
          <w:lang w:val="es-ES" w:eastAsia="es-CO"/>
        </w:rPr>
        <w:t xml:space="preserve">Por su parte, </w:t>
      </w:r>
      <w:r w:rsidR="00132460" w:rsidRPr="00B560EE">
        <w:rPr>
          <w:rFonts w:ascii="Arial" w:hAnsi="Arial" w:cs="Arial"/>
          <w:sz w:val="22"/>
          <w:szCs w:val="22"/>
          <w:lang w:val="es-ES" w:eastAsia="es-CO"/>
        </w:rPr>
        <w:t>el Decreto 1082 de 2015 reiteró, en los siguientes términos, la obligación que tienen las entidades estatales de tipificar, estimar y asignar los riesgos previsibles que surjan durante la ejecución contractual dentro del pliego de condiciones</w:t>
      </w:r>
      <w:r w:rsidR="00324A1B" w:rsidRPr="00CD6AD7">
        <w:rPr>
          <w:rStyle w:val="Refdenotaalpie"/>
          <w:rFonts w:ascii="Arial" w:hAnsi="Arial" w:cs="Arial"/>
          <w:sz w:val="22"/>
          <w:szCs w:val="22"/>
          <w:lang w:val="es-ES" w:eastAsia="es-CO"/>
        </w:rPr>
        <w:footnoteReference w:id="4"/>
      </w:r>
      <w:r w:rsidR="00132460" w:rsidRPr="00B560EE">
        <w:rPr>
          <w:rFonts w:ascii="Arial" w:hAnsi="Arial" w:cs="Arial"/>
          <w:sz w:val="22"/>
          <w:szCs w:val="22"/>
          <w:lang w:val="es-ES" w:eastAsia="es-CO"/>
        </w:rPr>
        <w:t>:</w:t>
      </w:r>
    </w:p>
    <w:p w14:paraId="7E1C840A" w14:textId="77777777" w:rsidR="00132460" w:rsidRPr="00CD6AD7" w:rsidRDefault="00132460" w:rsidP="00132460">
      <w:pPr>
        <w:ind w:firstLine="705"/>
        <w:jc w:val="both"/>
        <w:textAlignment w:val="baseline"/>
        <w:rPr>
          <w:rFonts w:ascii="Segoe UI" w:hAnsi="Segoe UI" w:cs="Segoe UI"/>
          <w:sz w:val="18"/>
          <w:szCs w:val="18"/>
          <w:lang w:eastAsia="es-CO"/>
        </w:rPr>
      </w:pPr>
    </w:p>
    <w:p w14:paraId="27026DFE" w14:textId="77777777" w:rsidR="00132460" w:rsidRPr="00CD6AD7" w:rsidRDefault="00132460" w:rsidP="00132460">
      <w:pPr>
        <w:ind w:left="705"/>
        <w:jc w:val="both"/>
        <w:textAlignment w:val="baseline"/>
        <w:rPr>
          <w:rFonts w:ascii="Arial" w:hAnsi="Arial" w:cs="Arial"/>
          <w:sz w:val="21"/>
          <w:szCs w:val="21"/>
          <w:lang w:eastAsia="es-CO"/>
        </w:rPr>
      </w:pPr>
      <w:r w:rsidRPr="00CD6AD7">
        <w:rPr>
          <w:rFonts w:ascii="Arial" w:hAnsi="Arial" w:cs="Arial"/>
          <w:sz w:val="21"/>
          <w:szCs w:val="21"/>
          <w:lang w:eastAsia="es-CO"/>
        </w:rPr>
        <w:t>Artículo 2.2.1.1.2.1.3. Pliegos de condiciones. Los pliegos de condiciones deben contener por lo menos la siguiente información: </w:t>
      </w:r>
    </w:p>
    <w:p w14:paraId="23427494" w14:textId="77777777" w:rsidR="00132460" w:rsidRPr="00CD6AD7" w:rsidRDefault="00132460" w:rsidP="00132460">
      <w:pPr>
        <w:ind w:left="705"/>
        <w:jc w:val="both"/>
        <w:textAlignment w:val="baseline"/>
        <w:rPr>
          <w:rFonts w:ascii="Arial" w:hAnsi="Arial" w:cs="Arial"/>
          <w:sz w:val="21"/>
          <w:szCs w:val="21"/>
          <w:lang w:eastAsia="es-CO"/>
        </w:rPr>
      </w:pPr>
      <w:r w:rsidRPr="00CD6AD7">
        <w:rPr>
          <w:rFonts w:ascii="Arial" w:hAnsi="Arial" w:cs="Arial"/>
          <w:sz w:val="21"/>
          <w:szCs w:val="21"/>
          <w:lang w:eastAsia="es-CO"/>
        </w:rPr>
        <w:t>(…) </w:t>
      </w:r>
    </w:p>
    <w:p w14:paraId="477F1A4C" w14:textId="77777777" w:rsidR="00132460" w:rsidRPr="00CD6AD7" w:rsidRDefault="00132460" w:rsidP="00132460">
      <w:pPr>
        <w:ind w:left="705"/>
        <w:jc w:val="both"/>
        <w:textAlignment w:val="baseline"/>
        <w:rPr>
          <w:rFonts w:ascii="Arial" w:hAnsi="Arial" w:cs="Arial"/>
          <w:sz w:val="21"/>
          <w:szCs w:val="21"/>
          <w:lang w:eastAsia="es-CO"/>
        </w:rPr>
      </w:pPr>
      <w:r w:rsidRPr="00CD6AD7">
        <w:rPr>
          <w:rFonts w:ascii="Arial" w:hAnsi="Arial" w:cs="Arial"/>
          <w:sz w:val="21"/>
          <w:szCs w:val="21"/>
          <w:lang w:eastAsia="es-CO"/>
        </w:rPr>
        <w:t>8. Los Riesgos asociados al contrato, la forma de mitigarlos y la asignación del Riesgo entre las partes contratantes.</w:t>
      </w:r>
    </w:p>
    <w:p w14:paraId="7220A8DA" w14:textId="77777777" w:rsidR="00132460" w:rsidRPr="00CD6AD7" w:rsidRDefault="00132460" w:rsidP="00132460">
      <w:pPr>
        <w:ind w:left="705"/>
        <w:jc w:val="both"/>
        <w:textAlignment w:val="baseline"/>
        <w:rPr>
          <w:rFonts w:ascii="Segoe UI" w:hAnsi="Segoe UI" w:cs="Segoe UI"/>
          <w:sz w:val="18"/>
          <w:szCs w:val="18"/>
          <w:lang w:eastAsia="es-CO"/>
        </w:rPr>
      </w:pPr>
      <w:r w:rsidRPr="00CD6AD7">
        <w:rPr>
          <w:lang w:eastAsia="es-CO"/>
        </w:rPr>
        <w:t> </w:t>
      </w:r>
    </w:p>
    <w:p w14:paraId="542285D4" w14:textId="722D4205" w:rsidR="00132460" w:rsidRPr="00B560EE" w:rsidRDefault="00132460" w:rsidP="00B560EE">
      <w:pPr>
        <w:spacing w:line="276" w:lineRule="auto"/>
        <w:ind w:firstLine="705"/>
        <w:jc w:val="both"/>
        <w:textAlignment w:val="baseline"/>
        <w:rPr>
          <w:rFonts w:ascii="Arial" w:hAnsi="Arial" w:cs="Arial"/>
          <w:sz w:val="22"/>
          <w:szCs w:val="22"/>
          <w:lang w:val="es-ES" w:eastAsia="es-CO"/>
        </w:rPr>
      </w:pPr>
      <w:r w:rsidRPr="00B560EE">
        <w:rPr>
          <w:rFonts w:ascii="Arial" w:hAnsi="Arial" w:cs="Arial"/>
          <w:sz w:val="22"/>
          <w:szCs w:val="22"/>
          <w:lang w:val="es-ES" w:eastAsia="es-CO"/>
        </w:rPr>
        <w:t xml:space="preserve">En suma, desde la Ley 1150 de 2007 </w:t>
      </w:r>
      <w:r w:rsidR="006A6D78" w:rsidRPr="00CD6AD7">
        <w:rPr>
          <w:rFonts w:ascii="Arial" w:hAnsi="Arial" w:cs="Arial"/>
          <w:sz w:val="22"/>
          <w:szCs w:val="22"/>
          <w:lang w:val="es-ES" w:eastAsia="es-CO"/>
        </w:rPr>
        <w:t>y conforme los decretos reglamentarios de la contratación estatal</w:t>
      </w:r>
      <w:r w:rsidRPr="00B560EE">
        <w:rPr>
          <w:rFonts w:ascii="Arial" w:hAnsi="Arial" w:cs="Arial"/>
          <w:sz w:val="22"/>
          <w:szCs w:val="22"/>
          <w:lang w:val="es-ES" w:eastAsia="es-CO"/>
        </w:rPr>
        <w:t>, se establecieron obligaciones de estimación de riesgos durante la etapa de planeación</w:t>
      </w:r>
      <w:r w:rsidR="006A6D78" w:rsidRPr="00CD6AD7">
        <w:rPr>
          <w:rFonts w:ascii="Arial" w:hAnsi="Arial" w:cs="Arial"/>
          <w:sz w:val="22"/>
          <w:szCs w:val="22"/>
          <w:lang w:val="es-ES" w:eastAsia="es-CO"/>
        </w:rPr>
        <w:t>.</w:t>
      </w:r>
      <w:r w:rsidRPr="00B560EE">
        <w:rPr>
          <w:rFonts w:ascii="Arial" w:hAnsi="Arial" w:cs="Arial"/>
          <w:sz w:val="22"/>
          <w:szCs w:val="22"/>
          <w:lang w:val="es-ES" w:eastAsia="es-CO"/>
        </w:rPr>
        <w:t xml:space="preserve"> </w:t>
      </w:r>
      <w:r w:rsidR="006A6D78" w:rsidRPr="00CD6AD7">
        <w:rPr>
          <w:rFonts w:ascii="Arial" w:hAnsi="Arial" w:cs="Arial"/>
          <w:sz w:val="22"/>
          <w:szCs w:val="22"/>
          <w:lang w:val="es-ES" w:eastAsia="es-CO"/>
        </w:rPr>
        <w:t>P</w:t>
      </w:r>
      <w:r w:rsidRPr="00B560EE">
        <w:rPr>
          <w:rFonts w:ascii="Arial" w:hAnsi="Arial" w:cs="Arial"/>
          <w:sz w:val="22"/>
          <w:szCs w:val="22"/>
          <w:lang w:val="es-ES" w:eastAsia="es-CO"/>
        </w:rPr>
        <w:t>or un lado, por parte de las entidades estatales quienes deben tipificarlos, estimarlos y asignarlos en los pliegos de condiciones, y por otro, los participantes del proceso de selección quienes deberán valorarlos y complementarlos en virtud del deber de colaboración con la administración pública en la construcción de los documentos definitivos, dada su experticia, especialidad y conocimientos.</w:t>
      </w:r>
      <w:r w:rsidR="006A6D78" w:rsidRPr="00CD6AD7">
        <w:rPr>
          <w:rFonts w:ascii="Arial" w:hAnsi="Arial" w:cs="Arial"/>
          <w:sz w:val="22"/>
          <w:szCs w:val="22"/>
          <w:lang w:val="es-ES" w:eastAsia="es-CO"/>
        </w:rPr>
        <w:t xml:space="preserve"> En tal sentido, ellos podrán pronunciarse frente a este contenido de los pliegos de condiciones mediante la presentación de observaciones a los proyectos de pliegos de condiciones y a los pliegos de condiciones definitivos, sin perjuicio de que en los procesos de licitación pública sea obligatoria realizar una audiencia de asignación de riesgos –art. 4 de la Ley 1150 de 2007, artículo 30, numeral 4, de la Ley 80 de 1993 y artículo 2.2.1.2.1.1.2. del Decreto 1082 de 2015–.</w:t>
      </w:r>
    </w:p>
    <w:p w14:paraId="6A1FAB0A" w14:textId="77777777" w:rsidR="00132460" w:rsidRPr="00CD6AD7" w:rsidRDefault="00132460" w:rsidP="00132460">
      <w:pPr>
        <w:ind w:firstLine="705"/>
        <w:jc w:val="both"/>
        <w:textAlignment w:val="baseline"/>
        <w:rPr>
          <w:rFonts w:ascii="Arial" w:hAnsi="Arial" w:cs="Arial"/>
          <w:lang w:val="es-ES" w:eastAsia="es-CO"/>
        </w:rPr>
      </w:pPr>
    </w:p>
    <w:p w14:paraId="6A9EFE60" w14:textId="5CB8AE64" w:rsidR="00D06ECB" w:rsidRPr="00CD6AD7" w:rsidRDefault="00D06ECB" w:rsidP="005C5767">
      <w:pPr>
        <w:pStyle w:val="Textoindependiente"/>
        <w:spacing w:after="0"/>
        <w:rPr>
          <w:rFonts w:ascii="Arial" w:hAnsi="Arial" w:cs="Arial"/>
          <w:b/>
          <w:bCs/>
          <w:szCs w:val="22"/>
        </w:rPr>
      </w:pPr>
      <w:r w:rsidRPr="00CD6AD7">
        <w:rPr>
          <w:rFonts w:ascii="Arial" w:hAnsi="Arial" w:cs="Arial"/>
          <w:b/>
          <w:bCs/>
          <w:szCs w:val="22"/>
          <w:lang w:val="es-ES"/>
        </w:rPr>
        <w:t xml:space="preserve">2.2 </w:t>
      </w:r>
      <w:r w:rsidRPr="00CD6AD7">
        <w:rPr>
          <w:rFonts w:ascii="Arial" w:hAnsi="Arial" w:cs="Arial"/>
          <w:b/>
          <w:bCs/>
          <w:szCs w:val="22"/>
        </w:rPr>
        <w:t>Guías, Manuales, Circulares y Documentos Tipo</w:t>
      </w:r>
    </w:p>
    <w:p w14:paraId="1E527E7A" w14:textId="51B35C04" w:rsidR="00D06ECB" w:rsidRPr="00CD6AD7" w:rsidRDefault="00D06ECB" w:rsidP="003A213B">
      <w:pPr>
        <w:pStyle w:val="Textoindependiente"/>
        <w:spacing w:before="240"/>
        <w:jc w:val="both"/>
        <w:rPr>
          <w:rFonts w:ascii="Arial" w:hAnsi="Arial" w:cs="Arial"/>
          <w:szCs w:val="22"/>
        </w:rPr>
      </w:pPr>
      <w:r w:rsidRPr="00CD6AD7">
        <w:rPr>
          <w:rFonts w:ascii="Arial" w:hAnsi="Arial" w:cs="Arial"/>
          <w:szCs w:val="22"/>
        </w:rPr>
        <w:t xml:space="preserve">La Agencia Nacional de Contratación Pública </w:t>
      </w:r>
      <w:r w:rsidR="00DB4164" w:rsidRPr="00CD6AD7">
        <w:rPr>
          <w:rFonts w:ascii="Arial" w:hAnsi="Arial" w:cs="Arial"/>
          <w:szCs w:val="22"/>
        </w:rPr>
        <w:t xml:space="preserve">– </w:t>
      </w:r>
      <w:r w:rsidRPr="00CD6AD7">
        <w:rPr>
          <w:rFonts w:ascii="Arial" w:hAnsi="Arial" w:cs="Arial"/>
          <w:szCs w:val="22"/>
        </w:rPr>
        <w:t>Colombia Compra Eficiente fue creada por el Decreto</w:t>
      </w:r>
      <w:r w:rsidR="00DB4164" w:rsidRPr="00CD6AD7">
        <w:rPr>
          <w:rFonts w:ascii="Arial" w:hAnsi="Arial" w:cs="Arial"/>
          <w:szCs w:val="22"/>
        </w:rPr>
        <w:t xml:space="preserve"> </w:t>
      </w:r>
      <w:r w:rsidRPr="00CD6AD7">
        <w:rPr>
          <w:rFonts w:ascii="Arial" w:hAnsi="Arial" w:cs="Arial"/>
          <w:szCs w:val="22"/>
        </w:rPr>
        <w:t>Ley 4170 de 2011, como una Unidad Administrativa Especial, descentralizada de la Rama Ejecutiva del orden nacional, adscrita al Departamento Nacional de Planeación.</w:t>
      </w:r>
      <w:r w:rsidR="00DB4164" w:rsidRPr="00CD6AD7">
        <w:rPr>
          <w:rFonts w:ascii="Arial" w:hAnsi="Arial" w:cs="Arial"/>
          <w:szCs w:val="22"/>
        </w:rPr>
        <w:t xml:space="preserve"> </w:t>
      </w:r>
    </w:p>
    <w:p w14:paraId="5DCAC4CB" w14:textId="7E9713B1" w:rsidR="00D06ECB" w:rsidRPr="00CD6AD7" w:rsidRDefault="00D06ECB" w:rsidP="00E60788">
      <w:pPr>
        <w:pStyle w:val="Textoindependiente"/>
        <w:spacing w:before="93"/>
        <w:ind w:firstLine="708"/>
        <w:jc w:val="both"/>
        <w:rPr>
          <w:rFonts w:ascii="Arial" w:hAnsi="Arial" w:cs="Arial"/>
          <w:szCs w:val="22"/>
        </w:rPr>
      </w:pPr>
      <w:r w:rsidRPr="00CD6AD7">
        <w:rPr>
          <w:rFonts w:ascii="Arial" w:hAnsi="Arial" w:cs="Arial"/>
          <w:szCs w:val="22"/>
        </w:rPr>
        <w:t xml:space="preserve">El legislador determinó que su objetivo sería servir como ente rector de la política de compras y contratación del Estado, al ser consciente de la necesidad de contar en la estructura del Estado con un órgano técnico especializado que asumiera la tarea de </w:t>
      </w:r>
      <w:r w:rsidRPr="00CD6AD7">
        <w:rPr>
          <w:rFonts w:ascii="Arial" w:hAnsi="Arial" w:cs="Arial"/>
          <w:szCs w:val="22"/>
        </w:rPr>
        <w:lastRenderedPageBreak/>
        <w:t xml:space="preserve">formular políticas públicas, normas y unificar los procesos de contratación estatal, </w:t>
      </w:r>
      <w:r w:rsidR="00DB4164" w:rsidRPr="00CD6AD7">
        <w:rPr>
          <w:rFonts w:ascii="Arial" w:hAnsi="Arial" w:cs="Arial"/>
          <w:szCs w:val="22"/>
        </w:rPr>
        <w:t>facultando a la Agencia para</w:t>
      </w:r>
      <w:r w:rsidRPr="00CD6AD7">
        <w:rPr>
          <w:rFonts w:ascii="Arial" w:hAnsi="Arial" w:cs="Arial"/>
          <w:szCs w:val="22"/>
        </w:rPr>
        <w:t xml:space="preserve"> </w:t>
      </w:r>
      <w:r w:rsidR="00DB4164" w:rsidRPr="00CD6AD7">
        <w:rPr>
          <w:rFonts w:ascii="Arial" w:hAnsi="Arial" w:cs="Arial"/>
          <w:szCs w:val="22"/>
        </w:rPr>
        <w:t>«</w:t>
      </w:r>
      <w:r w:rsidRPr="00CD6AD7">
        <w:rPr>
          <w:rFonts w:ascii="Arial" w:hAnsi="Arial" w:cs="Arial"/>
          <w:szCs w:val="22"/>
        </w:rPr>
        <w:t>difundir las normas, reglas, procedimientos, medios tecnológicos y mejores prácticas para las compras y la contratación pública</w:t>
      </w:r>
      <w:r w:rsidR="00DB4164" w:rsidRPr="00CD6AD7">
        <w:rPr>
          <w:rFonts w:ascii="Arial" w:hAnsi="Arial" w:cs="Arial"/>
          <w:szCs w:val="22"/>
        </w:rPr>
        <w:t>»</w:t>
      </w:r>
      <w:r w:rsidRPr="00CD6AD7">
        <w:rPr>
          <w:rFonts w:ascii="Arial" w:hAnsi="Arial" w:cs="Arial"/>
          <w:szCs w:val="22"/>
        </w:rPr>
        <w:t>, de conformidad con el numeral 10 del artículo 3 del Decreto</w:t>
      </w:r>
      <w:r w:rsidR="00DB4164" w:rsidRPr="00CD6AD7">
        <w:rPr>
          <w:rFonts w:ascii="Arial" w:hAnsi="Arial" w:cs="Arial"/>
          <w:szCs w:val="22"/>
        </w:rPr>
        <w:t xml:space="preserve"> Ley</w:t>
      </w:r>
      <w:r w:rsidRPr="00CD6AD7">
        <w:rPr>
          <w:rFonts w:ascii="Arial" w:hAnsi="Arial" w:cs="Arial"/>
          <w:szCs w:val="22"/>
        </w:rPr>
        <w:t xml:space="preserve"> 4170 de 2011. </w:t>
      </w:r>
    </w:p>
    <w:p w14:paraId="794EDDAB" w14:textId="08933FBD" w:rsidR="00D06ECB" w:rsidRPr="00CD6AD7" w:rsidRDefault="00D06ECB" w:rsidP="00E60788">
      <w:pPr>
        <w:pStyle w:val="Textoindependiente"/>
        <w:ind w:firstLine="708"/>
        <w:jc w:val="both"/>
        <w:rPr>
          <w:rFonts w:ascii="Arial" w:hAnsi="Arial" w:cs="Arial"/>
          <w:szCs w:val="22"/>
        </w:rPr>
      </w:pPr>
      <w:r w:rsidRPr="00CD6AD7">
        <w:rPr>
          <w:rFonts w:ascii="Arial" w:hAnsi="Arial" w:cs="Arial"/>
          <w:szCs w:val="22"/>
        </w:rPr>
        <w:t xml:space="preserve">En este contexto, concretamente el numeral 2 del artículo 3 del Decreto Ley 4170 de 2011 señala que una de las funciones de la Agencia Nacional de Contratación Pública es </w:t>
      </w:r>
      <w:r w:rsidR="0020174E" w:rsidRPr="00CD6AD7">
        <w:rPr>
          <w:rFonts w:ascii="Arial" w:hAnsi="Arial" w:cs="Arial"/>
          <w:szCs w:val="22"/>
        </w:rPr>
        <w:t>«</w:t>
      </w:r>
      <w:r w:rsidRPr="00CD6AD7">
        <w:rPr>
          <w:rFonts w:ascii="Arial" w:hAnsi="Arial" w:cs="Arial"/>
          <w:szCs w:val="22"/>
        </w:rPr>
        <w:t>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r w:rsidR="0020174E" w:rsidRPr="00CD6AD7">
        <w:rPr>
          <w:rFonts w:ascii="Arial" w:hAnsi="Arial" w:cs="Arial"/>
          <w:szCs w:val="22"/>
        </w:rPr>
        <w:t>»</w:t>
      </w:r>
      <w:r w:rsidRPr="00CD6AD7">
        <w:rPr>
          <w:rFonts w:ascii="Arial" w:hAnsi="Arial" w:cs="Arial"/>
          <w:szCs w:val="22"/>
        </w:rPr>
        <w:t>. Asimismo, el numeral 5 del mismo artículo otorga la facultad para expedir circulares externas en materia de compras y contratación pública.</w:t>
      </w:r>
    </w:p>
    <w:p w14:paraId="0F774102" w14:textId="2E5092DB" w:rsidR="00D06ECB" w:rsidRPr="00CD6AD7" w:rsidRDefault="00D06ECB" w:rsidP="00E60788">
      <w:pPr>
        <w:pStyle w:val="Textoindependiente"/>
        <w:ind w:firstLine="708"/>
        <w:jc w:val="both"/>
        <w:rPr>
          <w:rFonts w:ascii="Arial" w:hAnsi="Arial" w:cs="Arial"/>
          <w:szCs w:val="22"/>
        </w:rPr>
      </w:pPr>
      <w:bookmarkStart w:id="7" w:name="_Hlk69117524"/>
      <w:r w:rsidRPr="00CD6AD7">
        <w:rPr>
          <w:rFonts w:ascii="Arial" w:hAnsi="Arial" w:cs="Arial"/>
          <w:szCs w:val="22"/>
        </w:rPr>
        <w:t xml:space="preserve">En ejercicio de estas competencias conferidas por el Decreto </w:t>
      </w:r>
      <w:r w:rsidR="008D129A" w:rsidRPr="00CD6AD7">
        <w:rPr>
          <w:rFonts w:ascii="Arial" w:hAnsi="Arial" w:cs="Arial"/>
          <w:szCs w:val="22"/>
        </w:rPr>
        <w:t xml:space="preserve">Ley </w:t>
      </w:r>
      <w:r w:rsidRPr="00CD6AD7">
        <w:rPr>
          <w:rFonts w:ascii="Arial" w:hAnsi="Arial" w:cs="Arial"/>
          <w:szCs w:val="22"/>
        </w:rPr>
        <w:t>4170 de 2011, Colombia Compra Eficiente ha expedido Guías, Manuales</w:t>
      </w:r>
      <w:r w:rsidR="006A0350">
        <w:rPr>
          <w:rFonts w:ascii="Arial" w:hAnsi="Arial" w:cs="Arial"/>
          <w:szCs w:val="22"/>
        </w:rPr>
        <w:t xml:space="preserve"> y</w:t>
      </w:r>
      <w:r w:rsidRPr="00CD6AD7">
        <w:rPr>
          <w:rFonts w:ascii="Arial" w:hAnsi="Arial" w:cs="Arial"/>
          <w:szCs w:val="22"/>
        </w:rPr>
        <w:t xml:space="preserve"> Circulares, los cuales pueden ser calificados como herramientas de apoyo a los partícipes de la contratación pública.</w:t>
      </w:r>
    </w:p>
    <w:bookmarkEnd w:id="7"/>
    <w:p w14:paraId="0C4FBB59" w14:textId="4D4ABB5E" w:rsidR="00D06ECB" w:rsidRPr="00CD6AD7" w:rsidRDefault="00D06ECB" w:rsidP="00E60788">
      <w:pPr>
        <w:pStyle w:val="Textoindependiente"/>
        <w:ind w:firstLine="708"/>
        <w:jc w:val="both"/>
        <w:rPr>
          <w:rFonts w:ascii="Arial" w:hAnsi="Arial" w:cs="Arial"/>
          <w:szCs w:val="22"/>
        </w:rPr>
      </w:pPr>
      <w:r w:rsidRPr="00CD6AD7">
        <w:rPr>
          <w:rFonts w:ascii="Arial" w:hAnsi="Arial" w:cs="Arial"/>
          <w:szCs w:val="22"/>
        </w:rPr>
        <w:t>A pesar de que el Decreto Ley 4170 de 2011 no contiene de manera expresa los vocablos Guía o Manual, Colombia Compra Eficiente, a partir del 2013, los ha expedido como instrumentos y herramientas que facilitan las compras y la contratación pública y promueven las mejores prácticas, la eficiencia, transparencia y competitividad. El Decreto 1510 de 2013, por el cual se reglamentó el sistema de compras y contratación pública, compilado por el Decreto 1082 de 2015, a pesar de que se refiere de forma expresa a los Manuales y Guías, no distingue o precisa el concepto de cada uno.</w:t>
      </w:r>
    </w:p>
    <w:p w14:paraId="60858D81" w14:textId="04DB766C" w:rsidR="00D06ECB" w:rsidRPr="00CD6AD7" w:rsidRDefault="00D06ECB" w:rsidP="00E60788">
      <w:pPr>
        <w:pStyle w:val="Textoindependiente"/>
        <w:ind w:right="42" w:firstLine="708"/>
        <w:jc w:val="both"/>
        <w:rPr>
          <w:rFonts w:ascii="Arial" w:hAnsi="Arial" w:cs="Arial"/>
          <w:szCs w:val="22"/>
        </w:rPr>
      </w:pPr>
      <w:r w:rsidRPr="00CD6AD7">
        <w:rPr>
          <w:rFonts w:ascii="Arial" w:hAnsi="Arial" w:cs="Arial"/>
          <w:szCs w:val="22"/>
        </w:rPr>
        <w:t>Bajo las denominaciones de Guías, Manuales, instructivos y protocolos muchas entidades del Estado han adoptado herramientas e instrumentos para definir criterios técnicos, fijar procedimientos, estandarizar procesos y establecer metodologías y no existe un significado un</w:t>
      </w:r>
      <w:r w:rsidR="007911DA" w:rsidRPr="00CD6AD7">
        <w:rPr>
          <w:rFonts w:ascii="Arial" w:hAnsi="Arial" w:cs="Arial"/>
          <w:szCs w:val="22"/>
        </w:rPr>
        <w:t>í</w:t>
      </w:r>
      <w:r w:rsidRPr="00CD6AD7">
        <w:rPr>
          <w:rFonts w:ascii="Arial" w:hAnsi="Arial" w:cs="Arial"/>
          <w:szCs w:val="22"/>
        </w:rPr>
        <w:t>voco que defina cada herramienta</w:t>
      </w:r>
      <w:r w:rsidRPr="00CD6AD7">
        <w:rPr>
          <w:rStyle w:val="Refdenotaalpie"/>
          <w:rFonts w:ascii="Arial" w:hAnsi="Arial" w:cs="Arial"/>
          <w:szCs w:val="22"/>
        </w:rPr>
        <w:footnoteReference w:id="5"/>
      </w:r>
      <w:r w:rsidRPr="00CD6AD7">
        <w:rPr>
          <w:rFonts w:ascii="Arial" w:hAnsi="Arial" w:cs="Arial"/>
          <w:szCs w:val="22"/>
        </w:rPr>
        <w:t>.</w:t>
      </w:r>
    </w:p>
    <w:p w14:paraId="5333A3F5" w14:textId="4702E13C" w:rsidR="00D06ECB" w:rsidRPr="00CD6AD7" w:rsidRDefault="00D06ECB" w:rsidP="00E60788">
      <w:pPr>
        <w:pStyle w:val="Textoindependiente"/>
        <w:ind w:right="42" w:firstLine="708"/>
        <w:jc w:val="both"/>
        <w:rPr>
          <w:rFonts w:ascii="Arial" w:hAnsi="Arial" w:cs="Arial"/>
          <w:szCs w:val="22"/>
        </w:rPr>
      </w:pPr>
      <w:r w:rsidRPr="00CD6AD7">
        <w:rPr>
          <w:rFonts w:ascii="Arial" w:hAnsi="Arial" w:cs="Arial"/>
          <w:szCs w:val="22"/>
        </w:rPr>
        <w:lastRenderedPageBreak/>
        <w:t>Dentro del funcionamiento interno de esta entidad, los Manuales han sido entendidos como documentos que tratan de manera general aspectos fundamentales y elementales de un tema. Su contenido tiende a ser teórico y su finalidad es aclarar los puntos más importantes del asunto abordado. Por ejemplo, la entidad ha elaborado manuales para determinar y verificar los requisitos habilitantes o para el manejo de los acuerdos comerciales en los procesos de contratación.</w:t>
      </w:r>
    </w:p>
    <w:p w14:paraId="672B7E3E" w14:textId="2D9194AB" w:rsidR="00D06ECB" w:rsidRPr="00CD6AD7" w:rsidRDefault="00D06ECB" w:rsidP="00E60788">
      <w:pPr>
        <w:pStyle w:val="Textoindependiente"/>
        <w:spacing w:before="1"/>
        <w:ind w:right="42" w:firstLine="708"/>
        <w:jc w:val="both"/>
        <w:rPr>
          <w:rFonts w:ascii="Arial" w:hAnsi="Arial" w:cs="Arial"/>
          <w:szCs w:val="22"/>
        </w:rPr>
      </w:pPr>
      <w:r w:rsidRPr="00CD6AD7">
        <w:rPr>
          <w:rFonts w:ascii="Arial" w:hAnsi="Arial" w:cs="Arial"/>
          <w:szCs w:val="22"/>
        </w:rPr>
        <w:t xml:space="preserve">Las Guías, por su parte, se han entendido como documentos técnicos que indican generalmente un procedimiento sobre cómo deben operarse ciertos temas por parte de los partícipes del Sistema de Compra Pública. Así, por ejemplo, se han expedido guías de compras públicas socialmente responsables o </w:t>
      </w:r>
      <w:r w:rsidR="00C27AC2" w:rsidRPr="00CD6AD7">
        <w:rPr>
          <w:rFonts w:ascii="Arial" w:hAnsi="Arial" w:cs="Arial"/>
          <w:szCs w:val="22"/>
        </w:rPr>
        <w:t xml:space="preserve">la </w:t>
      </w:r>
      <w:r w:rsidRPr="00CD6AD7">
        <w:rPr>
          <w:rFonts w:ascii="Arial" w:hAnsi="Arial" w:cs="Arial"/>
          <w:szCs w:val="22"/>
        </w:rPr>
        <w:t xml:space="preserve">guía para la liquidación de los contratos estatales, la cual fija un procedimiento para el efecto. </w:t>
      </w:r>
    </w:p>
    <w:p w14:paraId="5DF11DB1" w14:textId="0E5C432F" w:rsidR="00D06ECB" w:rsidRPr="00CD6AD7" w:rsidRDefault="00D06ECB" w:rsidP="003A213B">
      <w:pPr>
        <w:pStyle w:val="Textoindependiente"/>
        <w:spacing w:before="240" w:after="240"/>
        <w:ind w:right="40"/>
        <w:jc w:val="both"/>
        <w:rPr>
          <w:rFonts w:ascii="Arial" w:hAnsi="Arial" w:cs="Arial"/>
          <w:b/>
          <w:bCs/>
          <w:szCs w:val="22"/>
        </w:rPr>
      </w:pPr>
      <w:r w:rsidRPr="00CD6AD7">
        <w:rPr>
          <w:rFonts w:ascii="Arial" w:hAnsi="Arial" w:cs="Arial"/>
          <w:b/>
          <w:bCs/>
          <w:szCs w:val="22"/>
        </w:rPr>
        <w:t>2.</w:t>
      </w:r>
      <w:r w:rsidR="00CB5A69" w:rsidRPr="00CD6AD7">
        <w:rPr>
          <w:rFonts w:ascii="Arial" w:hAnsi="Arial" w:cs="Arial"/>
          <w:b/>
          <w:bCs/>
          <w:szCs w:val="22"/>
        </w:rPr>
        <w:t>2.1</w:t>
      </w:r>
      <w:r w:rsidRPr="00CD6AD7">
        <w:rPr>
          <w:rFonts w:ascii="Arial" w:hAnsi="Arial" w:cs="Arial"/>
          <w:b/>
          <w:bCs/>
          <w:szCs w:val="22"/>
        </w:rPr>
        <w:t xml:space="preserve"> Obligatoriedad de los instrumentos y herramientas expedidas por Colombia Compra</w:t>
      </w:r>
      <w:r w:rsidRPr="00CD6AD7">
        <w:rPr>
          <w:rFonts w:ascii="Arial" w:hAnsi="Arial" w:cs="Arial"/>
          <w:b/>
          <w:bCs/>
          <w:spacing w:val="-2"/>
          <w:szCs w:val="22"/>
        </w:rPr>
        <w:t xml:space="preserve"> </w:t>
      </w:r>
      <w:r w:rsidRPr="00CD6AD7">
        <w:rPr>
          <w:rFonts w:ascii="Arial" w:hAnsi="Arial" w:cs="Arial"/>
          <w:b/>
          <w:bCs/>
          <w:szCs w:val="22"/>
        </w:rPr>
        <w:t>Eficiente</w:t>
      </w:r>
    </w:p>
    <w:p w14:paraId="3BEAF2A0" w14:textId="77777777" w:rsidR="00D06ECB" w:rsidRPr="00CD6AD7" w:rsidRDefault="00D06ECB" w:rsidP="005C5767">
      <w:pPr>
        <w:pStyle w:val="Textoindependiente"/>
        <w:ind w:right="42"/>
        <w:jc w:val="both"/>
        <w:rPr>
          <w:rFonts w:ascii="Arial" w:hAnsi="Arial" w:cs="Arial"/>
          <w:szCs w:val="22"/>
        </w:rPr>
      </w:pPr>
      <w:r w:rsidRPr="00CD6AD7">
        <w:rPr>
          <w:rFonts w:ascii="Arial" w:hAnsi="Arial" w:cs="Arial"/>
          <w:szCs w:val="22"/>
        </w:rPr>
        <w:t>Para el año 2016, frente a los documentos indicados se sostuvo que los Manuales y Guías, como instrumentos o herramientas de buenas prácticas y facilitadores de la comprensión de la normativa del Sistema de Compra Pública, solo eran obligatorios cuando se acogían a través de una circular, de manera que si las entidades estatales se apartaban de esas buenas prácticas tenían una carga de argumentación que debía quedar consignada de manera expresa en los documentos del</w:t>
      </w:r>
      <w:r w:rsidRPr="00CD6AD7">
        <w:rPr>
          <w:rFonts w:ascii="Arial" w:hAnsi="Arial" w:cs="Arial"/>
          <w:spacing w:val="-8"/>
          <w:szCs w:val="22"/>
        </w:rPr>
        <w:t xml:space="preserve"> </w:t>
      </w:r>
      <w:r w:rsidRPr="00CD6AD7">
        <w:rPr>
          <w:rFonts w:ascii="Arial" w:hAnsi="Arial" w:cs="Arial"/>
          <w:szCs w:val="22"/>
        </w:rPr>
        <w:t>proceso.</w:t>
      </w:r>
    </w:p>
    <w:p w14:paraId="7C0989C8" w14:textId="77777777" w:rsidR="00D06ECB" w:rsidRPr="00CD6AD7" w:rsidRDefault="00D06ECB" w:rsidP="00E60788">
      <w:pPr>
        <w:pStyle w:val="Textoindependiente"/>
        <w:ind w:right="42" w:firstLine="708"/>
        <w:jc w:val="both"/>
        <w:rPr>
          <w:rFonts w:ascii="Arial" w:hAnsi="Arial" w:cs="Arial"/>
          <w:szCs w:val="22"/>
        </w:rPr>
      </w:pPr>
      <w:r w:rsidRPr="00CD6AD7">
        <w:rPr>
          <w:rFonts w:ascii="Arial" w:hAnsi="Arial" w:cs="Arial"/>
          <w:szCs w:val="22"/>
        </w:rPr>
        <w:t>Las circulares externas, al ser actos administrativos generales, eran obligatorias siempre que se hubieran publicado en el Diario Oficial, en este sentido, las directrices, manuales, guías o lineamientos que se adopten por circular o cualquier otro acto administrativo vinculante eran obligatorias para los partícipes del Sistema de Compra Pública</w:t>
      </w:r>
      <w:r w:rsidRPr="00CD6AD7">
        <w:rPr>
          <w:rStyle w:val="Refdenotaalpie"/>
          <w:rFonts w:ascii="Arial" w:hAnsi="Arial" w:cs="Arial"/>
          <w:szCs w:val="22"/>
        </w:rPr>
        <w:footnoteReference w:id="6"/>
      </w:r>
      <w:r w:rsidRPr="00CD6AD7">
        <w:rPr>
          <w:rFonts w:ascii="Arial" w:hAnsi="Arial" w:cs="Arial"/>
          <w:szCs w:val="22"/>
        </w:rPr>
        <w:t>.</w:t>
      </w:r>
    </w:p>
    <w:p w14:paraId="56B0A0CC" w14:textId="77777777" w:rsidR="00D06ECB" w:rsidRPr="00CD6AD7" w:rsidRDefault="00D06ECB" w:rsidP="00E60788">
      <w:pPr>
        <w:pStyle w:val="Textoindependiente"/>
        <w:ind w:right="42" w:firstLine="708"/>
        <w:jc w:val="both"/>
        <w:rPr>
          <w:rFonts w:ascii="Arial" w:hAnsi="Arial" w:cs="Arial"/>
          <w:szCs w:val="22"/>
        </w:rPr>
      </w:pPr>
      <w:r w:rsidRPr="00CD6AD7">
        <w:rPr>
          <w:rFonts w:ascii="Arial" w:hAnsi="Arial" w:cs="Arial"/>
          <w:szCs w:val="22"/>
        </w:rPr>
        <w:t xml:space="preserve">Así pues, el enfoque que se tuvo sobre la obligatoriedad o vinculatoriedad de las normas proferidas por la Agencia Nacional de Contratación Pública, en ejercicio de sus funciones, le daba prevalencia a la forma mediante la cual se adoptaba la pauta o directriz, esto es, si se trataba de Circulares Externas se estaba en presencia de una norma de </w:t>
      </w:r>
      <w:r w:rsidRPr="00CD6AD7">
        <w:rPr>
          <w:rFonts w:ascii="Arial" w:hAnsi="Arial" w:cs="Arial"/>
          <w:szCs w:val="22"/>
        </w:rPr>
        <w:lastRenderedPageBreak/>
        <w:t>obligatorio cumplimiento; mientras que si la directriz se adoptaba bajo la forma de una Guía, Manual o Documento Tipo su vinculatoriedad era facultativa, y por tanto su rango normativo no pasaba de ser una recomendación de buenas prácticas administrativas.</w:t>
      </w:r>
    </w:p>
    <w:p w14:paraId="421141AD" w14:textId="31FE9DE1" w:rsidR="00D06ECB" w:rsidRPr="00CD6AD7" w:rsidRDefault="00D06ECB" w:rsidP="00E60788">
      <w:pPr>
        <w:pStyle w:val="Textoindependiente"/>
        <w:ind w:right="42" w:firstLine="708"/>
        <w:jc w:val="both"/>
        <w:rPr>
          <w:rFonts w:ascii="Arial" w:hAnsi="Arial" w:cs="Arial"/>
          <w:szCs w:val="22"/>
        </w:rPr>
      </w:pPr>
      <w:r w:rsidRPr="00CD6AD7">
        <w:rPr>
          <w:rFonts w:ascii="Arial" w:hAnsi="Arial" w:cs="Arial"/>
          <w:szCs w:val="22"/>
        </w:rPr>
        <w:t>Ahora bien, en el 2017 la Subdirección de Gestión Contractual acogió un enfoque sustantivo sobre el carácter obligatorio de los actos expedidos por la entidad</w:t>
      </w:r>
      <w:r w:rsidR="009954D2" w:rsidRPr="00CD6AD7">
        <w:rPr>
          <w:rFonts w:ascii="Arial" w:hAnsi="Arial" w:cs="Arial"/>
          <w:szCs w:val="22"/>
        </w:rPr>
        <w:t>, enfoque que es el que se acoge en el presento concepto</w:t>
      </w:r>
      <w:r w:rsidRPr="00CD6AD7">
        <w:rPr>
          <w:rFonts w:ascii="Arial" w:hAnsi="Arial" w:cs="Arial"/>
          <w:szCs w:val="22"/>
        </w:rPr>
        <w:t>. Esto quiere decir que con</w:t>
      </w:r>
      <w:r w:rsidRPr="00CD6AD7">
        <w:rPr>
          <w:rFonts w:ascii="Arial" w:hAnsi="Arial" w:cs="Arial"/>
          <w:spacing w:val="1"/>
          <w:szCs w:val="22"/>
        </w:rPr>
        <w:t xml:space="preserve"> </w:t>
      </w:r>
      <w:r w:rsidRPr="00CD6AD7">
        <w:rPr>
          <w:rFonts w:ascii="Arial" w:hAnsi="Arial" w:cs="Arial"/>
          <w:szCs w:val="22"/>
        </w:rPr>
        <w:t>independencia de la forma que adopte la directriz, su carácter obligatorio o no está determinado por la existencia de una competencia legal o reglamentaria para regular el asunto en concreto.</w:t>
      </w:r>
    </w:p>
    <w:p w14:paraId="52B784CD" w14:textId="77777777" w:rsidR="00D06ECB" w:rsidRPr="00CD6AD7" w:rsidRDefault="00D06ECB" w:rsidP="00E60788">
      <w:pPr>
        <w:pStyle w:val="Textoindependiente"/>
        <w:ind w:right="42" w:firstLine="708"/>
        <w:jc w:val="both"/>
        <w:rPr>
          <w:rFonts w:ascii="Arial" w:hAnsi="Arial" w:cs="Arial"/>
          <w:szCs w:val="22"/>
        </w:rPr>
      </w:pPr>
      <w:r w:rsidRPr="00CD6AD7">
        <w:rPr>
          <w:rFonts w:ascii="Arial" w:hAnsi="Arial" w:cs="Arial"/>
          <w:szCs w:val="22"/>
        </w:rPr>
        <w:t xml:space="preserve">En otras palabras, lo que define la obligatoriedad de determinado acto que expida la entidad no es que se adopte mediante Circular Externa, sino que el contenido sea de aquellos cuya regulación ha sido encargada por el legislador o el </w:t>
      </w:r>
      <w:proofErr w:type="gramStart"/>
      <w:r w:rsidRPr="00CD6AD7">
        <w:rPr>
          <w:rFonts w:ascii="Arial" w:hAnsi="Arial" w:cs="Arial"/>
          <w:szCs w:val="22"/>
        </w:rPr>
        <w:t>Presidente</w:t>
      </w:r>
      <w:proofErr w:type="gramEnd"/>
      <w:r w:rsidRPr="00CD6AD7">
        <w:rPr>
          <w:rFonts w:ascii="Arial" w:hAnsi="Arial" w:cs="Arial"/>
          <w:szCs w:val="22"/>
        </w:rPr>
        <w:t xml:space="preserve"> de la República a la Agencia Nacional de Contratación Pública. Lo anterior hace referencia a uno de los elementos de los actos administrativos: la competencia.</w:t>
      </w:r>
    </w:p>
    <w:p w14:paraId="5E7961D5" w14:textId="0FFBA0A6" w:rsidR="00D06ECB" w:rsidRPr="00CD6AD7" w:rsidRDefault="00D06ECB" w:rsidP="00E60788">
      <w:pPr>
        <w:pStyle w:val="Textoindependiente"/>
        <w:ind w:right="42" w:firstLine="708"/>
        <w:jc w:val="both"/>
        <w:rPr>
          <w:rFonts w:ascii="Arial" w:hAnsi="Arial" w:cs="Arial"/>
          <w:szCs w:val="22"/>
        </w:rPr>
      </w:pPr>
      <w:r w:rsidRPr="00CD6AD7">
        <w:rPr>
          <w:rFonts w:ascii="Arial" w:hAnsi="Arial" w:cs="Arial"/>
          <w:szCs w:val="22"/>
        </w:rPr>
        <w:t>Además, para que un acto expedido por esta entidad sea obligatorio, debe reunir todos los demás elementos de un acto administrativo, entendido este, desde su concepción clásica, como la manifestación unilateral de voluntad de la Administración, en ejercicio de la función administrativa, con el potencial de producir efectos jurídicos.</w:t>
      </w:r>
    </w:p>
    <w:p w14:paraId="434EC6F6" w14:textId="4CF77ECF" w:rsidR="009954D2" w:rsidRPr="00CD6AD7" w:rsidRDefault="009954D2" w:rsidP="009954D2">
      <w:pPr>
        <w:pStyle w:val="Textoindependiente"/>
        <w:ind w:right="42" w:firstLine="708"/>
        <w:jc w:val="both"/>
        <w:rPr>
          <w:rFonts w:ascii="Arial" w:hAnsi="Arial" w:cs="Arial"/>
          <w:szCs w:val="22"/>
        </w:rPr>
      </w:pPr>
      <w:r w:rsidRPr="00CD6AD7">
        <w:rPr>
          <w:rFonts w:ascii="Arial" w:hAnsi="Arial" w:cs="Arial"/>
          <w:szCs w:val="22"/>
        </w:rPr>
        <w:t>Los llamados elementos del acto administrativo son: la competencia, objeto, forma, causa y finalidad, por lo que reunidos forman un acto administrativo. Frente a lo anterior, el Consejo de Estado ha manifestado:</w:t>
      </w:r>
    </w:p>
    <w:p w14:paraId="4DC89680" w14:textId="54879DB4" w:rsidR="009954D2" w:rsidRPr="00CD6AD7" w:rsidRDefault="009954D2" w:rsidP="00C27AC2">
      <w:pPr>
        <w:pStyle w:val="Textoindependiente"/>
        <w:spacing w:after="0" w:line="240" w:lineRule="auto"/>
        <w:ind w:left="709" w:right="709"/>
        <w:jc w:val="both"/>
        <w:rPr>
          <w:rFonts w:ascii="Arial" w:hAnsi="Arial" w:cs="Arial"/>
          <w:sz w:val="21"/>
          <w:szCs w:val="21"/>
        </w:rPr>
      </w:pPr>
      <w:r w:rsidRPr="00CD6AD7">
        <w:rPr>
          <w:rFonts w:ascii="Arial" w:hAnsi="Arial" w:cs="Arial"/>
          <w:sz w:val="21"/>
          <w:szCs w:val="21"/>
        </w:rPr>
        <w:t xml:space="preserve">Los elementos de validez a los que hace alusión la jurisprudencia cuyo desconocimiento acarrea la nulidad del acto administrativo son: i) los sujetos, diferenciados entre activo o quien expide el acto y quien debe gozar de competencia y voluntad para emitirlo, y el pasivo, esto es, sobre quien recaen sus efectos, </w:t>
      </w:r>
      <w:proofErr w:type="spellStart"/>
      <w:r w:rsidRPr="00CD6AD7">
        <w:rPr>
          <w:rFonts w:ascii="Arial" w:hAnsi="Arial" w:cs="Arial"/>
          <w:sz w:val="21"/>
          <w:szCs w:val="21"/>
        </w:rPr>
        <w:t>ii</w:t>
      </w:r>
      <w:proofErr w:type="spellEnd"/>
      <w:r w:rsidRPr="00CD6AD7">
        <w:rPr>
          <w:rFonts w:ascii="Arial" w:hAnsi="Arial" w:cs="Arial"/>
          <w:sz w:val="21"/>
          <w:szCs w:val="21"/>
        </w:rPr>
        <w:t>) el objeto o contenido del acto que determina la situación jurídica que se va a afectar con este, que en todo caso debe ser l</w:t>
      </w:r>
      <w:r w:rsidR="00C27AC2" w:rsidRPr="00CD6AD7">
        <w:rPr>
          <w:rFonts w:ascii="Arial" w:hAnsi="Arial" w:cs="Arial"/>
          <w:sz w:val="21"/>
          <w:szCs w:val="21"/>
        </w:rPr>
        <w:t>í</w:t>
      </w:r>
      <w:r w:rsidRPr="00CD6AD7">
        <w:rPr>
          <w:rFonts w:ascii="Arial" w:hAnsi="Arial" w:cs="Arial"/>
          <w:sz w:val="21"/>
          <w:szCs w:val="21"/>
        </w:rPr>
        <w:t xml:space="preserve">cito, posible y existente, </w:t>
      </w:r>
      <w:proofErr w:type="spellStart"/>
      <w:r w:rsidRPr="00CD6AD7">
        <w:rPr>
          <w:rFonts w:ascii="Arial" w:hAnsi="Arial" w:cs="Arial"/>
          <w:sz w:val="21"/>
          <w:szCs w:val="21"/>
        </w:rPr>
        <w:t>iii</w:t>
      </w:r>
      <w:proofErr w:type="spellEnd"/>
      <w:r w:rsidRPr="00CD6AD7">
        <w:rPr>
          <w:rFonts w:ascii="Arial" w:hAnsi="Arial" w:cs="Arial"/>
          <w:sz w:val="21"/>
          <w:szCs w:val="21"/>
        </w:rPr>
        <w:t xml:space="preserve">) los motivos o razón de hecho o de derecho determinantes que impulsaron la emisión del acto, </w:t>
      </w:r>
      <w:proofErr w:type="spellStart"/>
      <w:r w:rsidRPr="00CD6AD7">
        <w:rPr>
          <w:rFonts w:ascii="Arial" w:hAnsi="Arial" w:cs="Arial"/>
          <w:sz w:val="21"/>
          <w:szCs w:val="21"/>
        </w:rPr>
        <w:t>iv</w:t>
      </w:r>
      <w:proofErr w:type="spellEnd"/>
      <w:r w:rsidRPr="00CD6AD7">
        <w:rPr>
          <w:rFonts w:ascii="Arial" w:hAnsi="Arial" w:cs="Arial"/>
          <w:sz w:val="21"/>
          <w:szCs w:val="21"/>
        </w:rPr>
        <w:t>) los fines o lo que la administración pretende alcanzar con la expedición del acto administrativo, que debe ser el interés general, y v) la formalidad, concepto que encierra indistintamente los de procedimiento, forma y formalidad. Así, el primero indica que para expedir el acto debe seguirse un trámite determinado, el segundo señala que debe ser expedido de acuerdo con su contenido y alcance ya sea mediante leyes, resoluciones, acuerdos, etc., y el tercero advierte los requisitos que debe acatarse para la expedición</w:t>
      </w:r>
      <w:r w:rsidRPr="00CD6AD7">
        <w:rPr>
          <w:rStyle w:val="Refdenotaalpie"/>
          <w:rFonts w:ascii="Arial" w:hAnsi="Arial" w:cs="Arial"/>
          <w:sz w:val="21"/>
          <w:szCs w:val="21"/>
        </w:rPr>
        <w:footnoteReference w:id="7"/>
      </w:r>
      <w:r w:rsidRPr="00CD6AD7">
        <w:rPr>
          <w:rFonts w:ascii="Arial" w:hAnsi="Arial" w:cs="Arial"/>
          <w:sz w:val="21"/>
          <w:szCs w:val="21"/>
        </w:rPr>
        <w:t>.</w:t>
      </w:r>
    </w:p>
    <w:p w14:paraId="46DEF462" w14:textId="77777777" w:rsidR="00C27AC2" w:rsidRPr="00CD6AD7" w:rsidRDefault="00C27AC2" w:rsidP="00B560EE">
      <w:pPr>
        <w:pStyle w:val="Textoindependiente"/>
        <w:spacing w:after="0" w:line="240" w:lineRule="auto"/>
        <w:ind w:left="709" w:right="709"/>
        <w:jc w:val="both"/>
        <w:rPr>
          <w:rFonts w:ascii="Arial" w:hAnsi="Arial" w:cs="Arial"/>
          <w:sz w:val="21"/>
          <w:szCs w:val="21"/>
        </w:rPr>
      </w:pPr>
    </w:p>
    <w:p w14:paraId="76708468" w14:textId="10946C36" w:rsidR="009954D2" w:rsidRPr="00CD6AD7" w:rsidRDefault="009954D2" w:rsidP="00C05117">
      <w:pPr>
        <w:pStyle w:val="Textoindependiente"/>
        <w:ind w:right="77" w:firstLine="708"/>
        <w:jc w:val="both"/>
        <w:rPr>
          <w:rFonts w:ascii="Arial" w:hAnsi="Arial" w:cs="Arial"/>
        </w:rPr>
      </w:pPr>
      <w:r w:rsidRPr="00CD6AD7">
        <w:rPr>
          <w:rFonts w:ascii="Arial" w:hAnsi="Arial" w:cs="Arial"/>
        </w:rPr>
        <w:t xml:space="preserve">Al lado del concepto de validez de los actos administrativos se encuentra el de su eficacia, que se refiere no a los elementos que componen del acto sino a la producción </w:t>
      </w:r>
      <w:r w:rsidRPr="00CD6AD7">
        <w:rPr>
          <w:rFonts w:ascii="Arial" w:hAnsi="Arial" w:cs="Arial"/>
        </w:rPr>
        <w:lastRenderedPageBreak/>
        <w:t xml:space="preserve">de efectos jurídicos. Así, los requisitos de eficacia buscan dar a conocer el contenido </w:t>
      </w:r>
      <w:proofErr w:type="gramStart"/>
      <w:r w:rsidRPr="00CD6AD7">
        <w:rPr>
          <w:rFonts w:ascii="Arial" w:hAnsi="Arial" w:cs="Arial"/>
        </w:rPr>
        <w:t>del mismo</w:t>
      </w:r>
      <w:proofErr w:type="gramEnd"/>
      <w:r w:rsidRPr="00CD6AD7">
        <w:rPr>
          <w:rFonts w:ascii="Arial" w:hAnsi="Arial" w:cs="Arial"/>
        </w:rPr>
        <w:t xml:space="preserve"> a los destinatarios de la norma, de forma que les sea oponible, a través de la publicación, la comunicación o notificación, según corresponda. Es por ello </w:t>
      </w:r>
      <w:proofErr w:type="gramStart"/>
      <w:r w:rsidRPr="00CD6AD7">
        <w:rPr>
          <w:rFonts w:ascii="Arial" w:hAnsi="Arial" w:cs="Arial"/>
        </w:rPr>
        <w:t>que</w:t>
      </w:r>
      <w:proofErr w:type="gramEnd"/>
      <w:r w:rsidRPr="00CD6AD7">
        <w:rPr>
          <w:rFonts w:ascii="Arial" w:hAnsi="Arial" w:cs="Arial"/>
        </w:rPr>
        <w:t xml:space="preserve"> el Código de Procedimiento Administrativo y de lo Contencioso Administrativo determina que los actos administrativos de carácter general no serán obligatorios mientras no hayan sido publicados en el Diario Oficial o en las gacetas territoriales, según el caso</w:t>
      </w:r>
      <w:r w:rsidRPr="00CD6AD7">
        <w:rPr>
          <w:rStyle w:val="Refdenotaalpie"/>
          <w:rFonts w:ascii="Arial" w:hAnsi="Arial" w:cs="Arial"/>
        </w:rPr>
        <w:footnoteReference w:id="8"/>
      </w:r>
      <w:r w:rsidRPr="00CD6AD7">
        <w:rPr>
          <w:rFonts w:ascii="Arial" w:hAnsi="Arial" w:cs="Arial"/>
        </w:rPr>
        <w:t>.</w:t>
      </w:r>
    </w:p>
    <w:p w14:paraId="29081D93" w14:textId="00E9A4A1" w:rsidR="009954D2" w:rsidRPr="00CD6AD7" w:rsidRDefault="00C05117" w:rsidP="00C05117">
      <w:pPr>
        <w:pStyle w:val="Textoindependiente"/>
        <w:ind w:right="77" w:firstLine="708"/>
        <w:jc w:val="both"/>
        <w:rPr>
          <w:rFonts w:ascii="Arial" w:hAnsi="Arial" w:cs="Arial"/>
        </w:rPr>
      </w:pPr>
      <w:r w:rsidRPr="00CD6AD7">
        <w:rPr>
          <w:rFonts w:ascii="Arial" w:hAnsi="Arial" w:cs="Arial"/>
        </w:rPr>
        <w:t xml:space="preserve">El Consejo de Estado ha puntualizado que </w:t>
      </w:r>
      <w:r w:rsidR="00C27AC2" w:rsidRPr="00CD6AD7">
        <w:rPr>
          <w:rFonts w:ascii="Arial" w:hAnsi="Arial" w:cs="Arial"/>
        </w:rPr>
        <w:t>«</w:t>
      </w:r>
      <w:r w:rsidRPr="00CD6AD7">
        <w:rPr>
          <w:rFonts w:ascii="Arial" w:hAnsi="Arial" w:cs="Arial"/>
        </w:rPr>
        <w:t xml:space="preserve">la publicidad de los actos administrativos no es un requisito para su existencia ni para su validez sino para que ellos puedan producir los efectos a que están destinados. Con otras palabras, los vicios en la publicidad de los actos administrativos, por no generarse en su producción sino en su comunicación, solo impactan en su eficacia final y por ello tales hechos jamás pueden aducirse como circunstancias de inexistencia del acto o como causal de invalidez </w:t>
      </w:r>
      <w:proofErr w:type="gramStart"/>
      <w:r w:rsidRPr="00CD6AD7">
        <w:rPr>
          <w:rFonts w:ascii="Arial" w:hAnsi="Arial" w:cs="Arial"/>
        </w:rPr>
        <w:t>del mismo</w:t>
      </w:r>
      <w:proofErr w:type="gramEnd"/>
      <w:r w:rsidR="00C27AC2" w:rsidRPr="00CD6AD7">
        <w:rPr>
          <w:rFonts w:ascii="Arial" w:hAnsi="Arial" w:cs="Arial"/>
        </w:rPr>
        <w:t>»</w:t>
      </w:r>
      <w:r w:rsidRPr="00CD6AD7">
        <w:rPr>
          <w:rStyle w:val="Refdenotaalpie"/>
          <w:rFonts w:ascii="Arial" w:hAnsi="Arial" w:cs="Arial"/>
        </w:rPr>
        <w:footnoteReference w:id="9"/>
      </w:r>
      <w:r w:rsidR="00C27AC2" w:rsidRPr="00CD6AD7">
        <w:rPr>
          <w:rFonts w:ascii="Arial" w:hAnsi="Arial" w:cs="Arial"/>
        </w:rPr>
        <w:t>.</w:t>
      </w:r>
    </w:p>
    <w:p w14:paraId="2BAD3EE8" w14:textId="1E5D6379" w:rsidR="00D06ECB" w:rsidRPr="00CD6AD7" w:rsidRDefault="00D06ECB" w:rsidP="00EF4AFD">
      <w:pPr>
        <w:pStyle w:val="Textoindependiente"/>
        <w:spacing w:after="0"/>
        <w:ind w:right="42" w:firstLine="708"/>
        <w:jc w:val="both"/>
        <w:rPr>
          <w:rFonts w:ascii="Arial" w:hAnsi="Arial" w:cs="Arial"/>
          <w:szCs w:val="22"/>
        </w:rPr>
      </w:pPr>
      <w:r w:rsidRPr="00CD6AD7">
        <w:rPr>
          <w:rFonts w:ascii="Arial" w:hAnsi="Arial" w:cs="Arial"/>
          <w:szCs w:val="22"/>
        </w:rPr>
        <w:t xml:space="preserve">Este enfoque sustantivo o material </w:t>
      </w:r>
      <w:r w:rsidR="00E60788" w:rsidRPr="00CD6AD7">
        <w:rPr>
          <w:rFonts w:ascii="Arial" w:hAnsi="Arial" w:cs="Arial"/>
          <w:szCs w:val="22"/>
        </w:rPr>
        <w:t>en relación con</w:t>
      </w:r>
      <w:r w:rsidRPr="00CD6AD7">
        <w:rPr>
          <w:rFonts w:ascii="Arial" w:hAnsi="Arial" w:cs="Arial"/>
          <w:szCs w:val="22"/>
        </w:rPr>
        <w:t xml:space="preserve"> la obligatoriedad de las Circulares, Guías, Manuales o Documentos Tipo se corresponde </w:t>
      </w:r>
      <w:r w:rsidR="00E029E1" w:rsidRPr="00CD6AD7">
        <w:rPr>
          <w:rFonts w:ascii="Arial" w:hAnsi="Arial" w:cs="Arial"/>
          <w:szCs w:val="22"/>
        </w:rPr>
        <w:t>al</w:t>
      </w:r>
      <w:r w:rsidRPr="00CD6AD7">
        <w:rPr>
          <w:rFonts w:ascii="Arial" w:hAnsi="Arial" w:cs="Arial"/>
          <w:szCs w:val="22"/>
        </w:rPr>
        <w:t xml:space="preserve"> entendimiento que la jurisprudencia del Consejo de Estado ha tenido al momento de determinar si se está ante un acto de la administración </w:t>
      </w:r>
      <w:r w:rsidR="003F7C3C" w:rsidRPr="00CD6AD7">
        <w:rPr>
          <w:rFonts w:ascii="Arial" w:hAnsi="Arial" w:cs="Arial"/>
          <w:szCs w:val="22"/>
        </w:rPr>
        <w:t xml:space="preserve">sujeto a </w:t>
      </w:r>
      <w:r w:rsidRPr="00CD6AD7">
        <w:rPr>
          <w:rFonts w:ascii="Arial" w:hAnsi="Arial" w:cs="Arial"/>
          <w:szCs w:val="22"/>
        </w:rPr>
        <w:t xml:space="preserve">control por la jurisdicción </w:t>
      </w:r>
      <w:proofErr w:type="gramStart"/>
      <w:r w:rsidRPr="00CD6AD7">
        <w:rPr>
          <w:rFonts w:ascii="Arial" w:hAnsi="Arial" w:cs="Arial"/>
          <w:szCs w:val="22"/>
        </w:rPr>
        <w:t>contencioso administrativa</w:t>
      </w:r>
      <w:proofErr w:type="gramEnd"/>
      <w:r w:rsidRPr="00CD6AD7">
        <w:rPr>
          <w:rFonts w:ascii="Arial" w:hAnsi="Arial" w:cs="Arial"/>
          <w:szCs w:val="22"/>
        </w:rPr>
        <w:t xml:space="preserve">, esto es, si se está en presencia de un acto administrativo. </w:t>
      </w:r>
      <w:r w:rsidR="00C05117" w:rsidRPr="00CD6AD7">
        <w:rPr>
          <w:rFonts w:ascii="Arial" w:hAnsi="Arial" w:cs="Arial"/>
          <w:szCs w:val="22"/>
        </w:rPr>
        <w:t>Al respecto, la Sección Tercera del Consejo de Estado ha señalado:</w:t>
      </w:r>
    </w:p>
    <w:p w14:paraId="7FDE8703" w14:textId="77777777" w:rsidR="00EF4AFD" w:rsidRPr="00CD6AD7" w:rsidRDefault="00EF4AFD" w:rsidP="00B560EE">
      <w:pPr>
        <w:pStyle w:val="Textoindependiente"/>
        <w:spacing w:after="0"/>
        <w:ind w:right="42" w:firstLine="708"/>
        <w:jc w:val="both"/>
        <w:rPr>
          <w:rFonts w:ascii="Arial" w:hAnsi="Arial" w:cs="Arial"/>
          <w:szCs w:val="22"/>
        </w:rPr>
      </w:pPr>
    </w:p>
    <w:p w14:paraId="28221323" w14:textId="16EE6B57" w:rsidR="00C05117" w:rsidRPr="00CD6AD7" w:rsidRDefault="00C05117" w:rsidP="00EF4AFD">
      <w:pPr>
        <w:pStyle w:val="Textoindependiente"/>
        <w:spacing w:after="0" w:line="240" w:lineRule="auto"/>
        <w:ind w:left="709" w:right="709"/>
        <w:jc w:val="both"/>
        <w:rPr>
          <w:rFonts w:ascii="Arial" w:hAnsi="Arial" w:cs="Arial"/>
          <w:sz w:val="21"/>
          <w:szCs w:val="21"/>
        </w:rPr>
      </w:pPr>
      <w:r w:rsidRPr="00CD6AD7">
        <w:rPr>
          <w:rFonts w:ascii="Arial" w:hAnsi="Arial" w:cs="Arial"/>
          <w:sz w:val="21"/>
          <w:szCs w:val="21"/>
        </w:rPr>
        <w:t xml:space="preserve">Como lo ha expresado esta Sala, para efectos de determinar la posibilidad de impugnación ante el juez contencioso administrativo, debe tenerse en cuenta aquella definición de acto administrativo según la cual éste se presenta cuando el Estado administrador produce una decisión con consecuencias jurídicas, vale decir, que implican cambios en el mundo de las regulaciones del derecho, bien para crear, modificar o extinguir situaciones jurídicas, sean éstas generales o particulares. No basta, entonces, que se produzca una simple manifestación, que se exprese una opinión o se formule un concepto por parte de la </w:t>
      </w:r>
      <w:proofErr w:type="gramStart"/>
      <w:r w:rsidRPr="00CD6AD7">
        <w:rPr>
          <w:rFonts w:ascii="Arial" w:hAnsi="Arial" w:cs="Arial"/>
          <w:sz w:val="21"/>
          <w:szCs w:val="21"/>
        </w:rPr>
        <w:t>autoridad pública</w:t>
      </w:r>
      <w:proofErr w:type="gramEnd"/>
      <w:r w:rsidRPr="00CD6AD7">
        <w:rPr>
          <w:rFonts w:ascii="Arial" w:hAnsi="Arial" w:cs="Arial"/>
          <w:sz w:val="21"/>
          <w:szCs w:val="21"/>
        </w:rPr>
        <w:t>; el acto administrativo siempre contiene una decisión, cuyo fundamento se encuentra directamente en el ejercicio de las potestades propias del poder público, de las que carecen los particulares</w:t>
      </w:r>
      <w:r w:rsidRPr="00CD6AD7">
        <w:rPr>
          <w:rStyle w:val="Refdenotaalpie"/>
          <w:rFonts w:ascii="Arial" w:hAnsi="Arial" w:cs="Arial"/>
          <w:sz w:val="21"/>
          <w:szCs w:val="21"/>
        </w:rPr>
        <w:footnoteReference w:id="10"/>
      </w:r>
      <w:r w:rsidR="00AA28D8" w:rsidRPr="00CD6AD7">
        <w:rPr>
          <w:rFonts w:ascii="Arial" w:hAnsi="Arial" w:cs="Arial"/>
          <w:sz w:val="21"/>
          <w:szCs w:val="21"/>
        </w:rPr>
        <w:t>.</w:t>
      </w:r>
    </w:p>
    <w:p w14:paraId="5398ACB7" w14:textId="77777777" w:rsidR="00EF4AFD" w:rsidRPr="00CD6AD7" w:rsidRDefault="00EF4AFD" w:rsidP="00B560EE">
      <w:pPr>
        <w:pStyle w:val="Textoindependiente"/>
        <w:spacing w:after="0" w:line="240" w:lineRule="auto"/>
        <w:ind w:left="709" w:right="709"/>
        <w:jc w:val="both"/>
        <w:rPr>
          <w:rFonts w:ascii="Arial" w:hAnsi="Arial" w:cs="Arial"/>
          <w:sz w:val="21"/>
          <w:szCs w:val="21"/>
        </w:rPr>
      </w:pPr>
    </w:p>
    <w:p w14:paraId="1B2D88BD" w14:textId="2326C698" w:rsidR="00C05117" w:rsidRPr="00CD6AD7" w:rsidRDefault="00C05117" w:rsidP="00EF4AFD">
      <w:pPr>
        <w:pStyle w:val="Textoindependiente"/>
        <w:spacing w:after="0"/>
        <w:ind w:right="77" w:firstLine="708"/>
        <w:jc w:val="both"/>
        <w:rPr>
          <w:rFonts w:ascii="Arial" w:hAnsi="Arial" w:cs="Arial"/>
          <w:szCs w:val="22"/>
        </w:rPr>
      </w:pPr>
      <w:r w:rsidRPr="00CD6AD7">
        <w:rPr>
          <w:rFonts w:ascii="Arial" w:hAnsi="Arial" w:cs="Arial"/>
          <w:szCs w:val="22"/>
        </w:rPr>
        <w:lastRenderedPageBreak/>
        <w:t>Frente al enfoque material en la definición de un acto administrativo, se ha sostenido lo siguiente:</w:t>
      </w:r>
    </w:p>
    <w:p w14:paraId="219D6E17" w14:textId="77777777" w:rsidR="00EF4AFD" w:rsidRPr="00CD6AD7" w:rsidRDefault="00EF4AFD" w:rsidP="00B560EE">
      <w:pPr>
        <w:pStyle w:val="Textoindependiente"/>
        <w:spacing w:after="0"/>
        <w:ind w:right="77" w:firstLine="708"/>
        <w:jc w:val="both"/>
        <w:rPr>
          <w:rFonts w:ascii="Arial" w:hAnsi="Arial" w:cs="Arial"/>
          <w:szCs w:val="22"/>
        </w:rPr>
      </w:pPr>
    </w:p>
    <w:p w14:paraId="4612C01E" w14:textId="77777777" w:rsidR="00C05117" w:rsidRPr="00CD6AD7" w:rsidRDefault="00C05117" w:rsidP="00B560EE">
      <w:pPr>
        <w:pStyle w:val="Textoindependiente"/>
        <w:spacing w:after="0" w:line="240" w:lineRule="auto"/>
        <w:ind w:left="709" w:right="709"/>
        <w:jc w:val="both"/>
        <w:rPr>
          <w:rFonts w:ascii="Arial" w:hAnsi="Arial" w:cs="Arial"/>
          <w:sz w:val="21"/>
          <w:szCs w:val="21"/>
        </w:rPr>
      </w:pPr>
      <w:r w:rsidRPr="00CD6AD7">
        <w:rPr>
          <w:rFonts w:ascii="Arial" w:hAnsi="Arial" w:cs="Arial"/>
          <w:sz w:val="21"/>
          <w:szCs w:val="21"/>
        </w:rPr>
        <w:t xml:space="preserve">Por otro lado, en relación con la definición de acto administrativo, en el ordenamiento jurídico colombiano se ha adoptado una definición material, es decir, </w:t>
      </w:r>
      <w:r w:rsidRPr="00CD6AD7">
        <w:rPr>
          <w:rFonts w:ascii="Arial" w:hAnsi="Arial" w:cs="Arial"/>
          <w:b/>
          <w:bCs/>
          <w:sz w:val="21"/>
          <w:szCs w:val="21"/>
        </w:rPr>
        <w:t>no es la formalidad lo que le da su carácter sino su contenido.</w:t>
      </w:r>
      <w:r w:rsidRPr="00CD6AD7">
        <w:rPr>
          <w:rFonts w:ascii="Arial" w:hAnsi="Arial" w:cs="Arial"/>
          <w:sz w:val="21"/>
          <w:szCs w:val="21"/>
        </w:rPr>
        <w:t xml:space="preserve"> </w:t>
      </w:r>
    </w:p>
    <w:p w14:paraId="1338CF81" w14:textId="77777777" w:rsidR="00BE31F0" w:rsidRPr="00CD6AD7" w:rsidRDefault="00BE31F0" w:rsidP="00EF4AFD">
      <w:pPr>
        <w:pStyle w:val="Textoindependiente"/>
        <w:spacing w:after="0" w:line="240" w:lineRule="auto"/>
        <w:ind w:left="709" w:right="709"/>
        <w:jc w:val="both"/>
        <w:rPr>
          <w:rFonts w:ascii="Arial" w:hAnsi="Arial" w:cs="Arial"/>
          <w:sz w:val="21"/>
          <w:szCs w:val="21"/>
        </w:rPr>
      </w:pPr>
    </w:p>
    <w:p w14:paraId="19149C1F" w14:textId="7FBDC829" w:rsidR="00C05117" w:rsidRPr="00CD6AD7" w:rsidRDefault="00C05117" w:rsidP="00EF4AFD">
      <w:pPr>
        <w:pStyle w:val="Textoindependiente"/>
        <w:spacing w:after="0" w:line="240" w:lineRule="auto"/>
        <w:ind w:left="709" w:right="709"/>
        <w:jc w:val="both"/>
        <w:rPr>
          <w:rFonts w:ascii="Arial" w:hAnsi="Arial" w:cs="Arial"/>
          <w:sz w:val="21"/>
          <w:szCs w:val="21"/>
        </w:rPr>
      </w:pPr>
      <w:r w:rsidRPr="00CD6AD7">
        <w:rPr>
          <w:rFonts w:ascii="Arial" w:hAnsi="Arial" w:cs="Arial"/>
          <w:sz w:val="21"/>
          <w:szCs w:val="21"/>
        </w:rPr>
        <w:t xml:space="preserve">En consideración a lo anterior y en auxilio de la doctrina, se encuentra la siguiente definición de acto administrativo, </w:t>
      </w:r>
      <w:proofErr w:type="gramStart"/>
      <w:r w:rsidR="00884E60" w:rsidRPr="00CD6AD7">
        <w:rPr>
          <w:rFonts w:ascii="Arial" w:hAnsi="Arial" w:cs="Arial"/>
          <w:sz w:val="21"/>
          <w:szCs w:val="21"/>
        </w:rPr>
        <w:t>que</w:t>
      </w:r>
      <w:proofErr w:type="gramEnd"/>
      <w:r w:rsidR="00884E60" w:rsidRPr="00CD6AD7">
        <w:rPr>
          <w:rFonts w:ascii="Arial" w:hAnsi="Arial" w:cs="Arial"/>
          <w:sz w:val="21"/>
          <w:szCs w:val="21"/>
        </w:rPr>
        <w:t xml:space="preserve"> </w:t>
      </w:r>
      <w:r w:rsidRPr="00CD6AD7">
        <w:rPr>
          <w:rFonts w:ascii="Arial" w:hAnsi="Arial" w:cs="Arial"/>
          <w:sz w:val="21"/>
          <w:szCs w:val="21"/>
        </w:rPr>
        <w:t>por incluir todos los elementos del mismo, considera la Sala la más adecuada: “… luego se ha de definir el acto administrativo como toda declaración de voluntad, juicio o deseo que se profiere de manera unilateral, en ejercicio de la función administrativa y produce efectos jurídicos directos o definitivos sobre un asunto determinado” (Berrocal Guerrero, Luis Enrique. Manual del Acto Administrativo. Editorial Librería Ediciones del Profesional LTDA. Bogotá 2009, pág. 108) (…) Por tanto para hablar de actos administrativos, en ellos debe contenerse una declaración unilateral de voluntad de la administración y que aquélla produzca de manera directa efectos jurídicos</w:t>
      </w:r>
      <w:r w:rsidRPr="00CD6AD7">
        <w:rPr>
          <w:rStyle w:val="Refdenotaalpie"/>
        </w:rPr>
        <w:footnoteReference w:id="11"/>
      </w:r>
      <w:r w:rsidRPr="00CD6AD7">
        <w:rPr>
          <w:rFonts w:ascii="Arial" w:hAnsi="Arial" w:cs="Arial"/>
          <w:sz w:val="21"/>
          <w:szCs w:val="21"/>
        </w:rPr>
        <w:t xml:space="preserve"> (Negrillas fuera de texto).</w:t>
      </w:r>
    </w:p>
    <w:p w14:paraId="0B52F2C3" w14:textId="77777777" w:rsidR="00EF4AFD" w:rsidRPr="00CD6AD7" w:rsidRDefault="00EF4AFD" w:rsidP="00B560EE">
      <w:pPr>
        <w:pStyle w:val="Textoindependiente"/>
        <w:spacing w:after="0" w:line="240" w:lineRule="auto"/>
        <w:ind w:left="709" w:right="709"/>
        <w:jc w:val="both"/>
        <w:rPr>
          <w:rFonts w:ascii="Arial" w:hAnsi="Arial" w:cs="Arial"/>
          <w:sz w:val="21"/>
          <w:szCs w:val="21"/>
        </w:rPr>
      </w:pPr>
    </w:p>
    <w:p w14:paraId="0BBB7971" w14:textId="0837E5AE" w:rsidR="00C05117" w:rsidRPr="00CD6AD7" w:rsidRDefault="00C05117" w:rsidP="00EF4AFD">
      <w:pPr>
        <w:pStyle w:val="Textoindependiente"/>
        <w:spacing w:after="0"/>
        <w:ind w:right="77" w:firstLine="708"/>
        <w:jc w:val="both"/>
        <w:rPr>
          <w:rFonts w:ascii="Arial" w:hAnsi="Arial" w:cs="Arial"/>
          <w:szCs w:val="22"/>
        </w:rPr>
      </w:pPr>
      <w:r w:rsidRPr="00CD6AD7">
        <w:rPr>
          <w:rFonts w:ascii="Arial" w:hAnsi="Arial" w:cs="Arial"/>
          <w:szCs w:val="22"/>
        </w:rPr>
        <w:t>La Corte Constitucional tiene una comprensión similar del acto administrativo:</w:t>
      </w:r>
    </w:p>
    <w:p w14:paraId="6372F895" w14:textId="77777777" w:rsidR="00EF4AFD" w:rsidRPr="00CD6AD7" w:rsidRDefault="00EF4AFD" w:rsidP="00B560EE">
      <w:pPr>
        <w:pStyle w:val="Textoindependiente"/>
        <w:spacing w:after="0"/>
        <w:ind w:right="77" w:firstLine="708"/>
        <w:jc w:val="both"/>
        <w:rPr>
          <w:rFonts w:ascii="Arial" w:hAnsi="Arial" w:cs="Arial"/>
          <w:szCs w:val="22"/>
        </w:rPr>
      </w:pPr>
    </w:p>
    <w:p w14:paraId="14FCB01C" w14:textId="4CB76B0F" w:rsidR="00C05117" w:rsidRPr="00CD6AD7" w:rsidRDefault="00C05117" w:rsidP="00EF4AFD">
      <w:pPr>
        <w:pStyle w:val="Textoindependiente"/>
        <w:spacing w:after="0" w:line="240" w:lineRule="auto"/>
        <w:ind w:left="709" w:right="709"/>
        <w:jc w:val="both"/>
        <w:rPr>
          <w:rFonts w:ascii="Arial" w:hAnsi="Arial" w:cs="Arial"/>
          <w:sz w:val="21"/>
          <w:szCs w:val="21"/>
        </w:rPr>
      </w:pPr>
      <w:r w:rsidRPr="00CD6AD7">
        <w:rPr>
          <w:rFonts w:ascii="Arial" w:hAnsi="Arial" w:cs="Arial"/>
          <w:sz w:val="21"/>
          <w:szCs w:val="21"/>
        </w:rPr>
        <w:t>El acto administrativo definido como la manifestación de la voluntad de la Administración, tendiente a producir efectos jurídicos ya sea creando, modificando o extinguiendo derechos para los administrados o en contra de éstos, tiene como presupuestos esenciales su sujeción al orden jurídico y el respeto por las garantías y derechos de los administrados</w:t>
      </w:r>
      <w:r w:rsidR="00884E60" w:rsidRPr="00CD6AD7">
        <w:rPr>
          <w:rStyle w:val="Refdenotaalpie"/>
          <w:rFonts w:ascii="Arial" w:hAnsi="Arial" w:cs="Arial"/>
          <w:sz w:val="21"/>
          <w:szCs w:val="21"/>
        </w:rPr>
        <w:footnoteReference w:id="12"/>
      </w:r>
      <w:r w:rsidR="00EF4AFD" w:rsidRPr="00CD6AD7">
        <w:rPr>
          <w:rFonts w:ascii="Arial" w:hAnsi="Arial" w:cs="Arial"/>
          <w:sz w:val="21"/>
          <w:szCs w:val="21"/>
        </w:rPr>
        <w:t>.</w:t>
      </w:r>
    </w:p>
    <w:p w14:paraId="3392ECC0" w14:textId="77777777" w:rsidR="00EF4AFD" w:rsidRPr="00CD6AD7" w:rsidRDefault="00EF4AFD" w:rsidP="00B560EE">
      <w:pPr>
        <w:pStyle w:val="Textoindependiente"/>
        <w:spacing w:after="0" w:line="240" w:lineRule="auto"/>
        <w:ind w:left="709" w:right="709"/>
        <w:jc w:val="both"/>
        <w:rPr>
          <w:rFonts w:ascii="Arial" w:hAnsi="Arial" w:cs="Arial"/>
          <w:sz w:val="21"/>
          <w:szCs w:val="21"/>
        </w:rPr>
      </w:pPr>
    </w:p>
    <w:p w14:paraId="59BC6831" w14:textId="5B9BF582" w:rsidR="00C05117" w:rsidRPr="00CD6AD7" w:rsidRDefault="0071141B" w:rsidP="00B560EE">
      <w:pPr>
        <w:pStyle w:val="Textoindependiente"/>
        <w:spacing w:before="1"/>
        <w:ind w:right="77" w:firstLine="708"/>
        <w:jc w:val="both"/>
        <w:rPr>
          <w:rFonts w:ascii="Arial" w:hAnsi="Arial" w:cs="Arial"/>
          <w:szCs w:val="22"/>
        </w:rPr>
      </w:pPr>
      <w:r w:rsidRPr="00CD6AD7">
        <w:rPr>
          <w:rFonts w:ascii="Arial" w:hAnsi="Arial" w:cs="Arial"/>
          <w:szCs w:val="22"/>
        </w:rPr>
        <w:t>Finalmente, la doctrina también ha entendido que el criterio de identificación de los actos administrativos es de carácter material y no formal, esto es, con independencia de la forma o el nombre bajo el cual se adopte la decisión, lo fundamental es que se trate de una manifestación de la voluntad unilateral de la administración tendiente a modificar la realidad jurídica, esto es, a introducir en el ordenamiento jurídico prescripciones de carácter imperativo. Así lo sostiene la doctrina:</w:t>
      </w:r>
    </w:p>
    <w:p w14:paraId="09267670" w14:textId="472F5B51" w:rsidR="0071141B" w:rsidRPr="00CD6AD7" w:rsidRDefault="0071141B" w:rsidP="00EF4AFD">
      <w:pPr>
        <w:pStyle w:val="Textoindependiente"/>
        <w:spacing w:after="0" w:line="240" w:lineRule="auto"/>
        <w:ind w:left="709" w:right="709"/>
        <w:jc w:val="both"/>
        <w:rPr>
          <w:rFonts w:ascii="Arial" w:hAnsi="Arial" w:cs="Arial"/>
          <w:sz w:val="21"/>
          <w:szCs w:val="21"/>
        </w:rPr>
      </w:pPr>
      <w:r w:rsidRPr="00CD6AD7">
        <w:rPr>
          <w:rFonts w:ascii="Arial" w:hAnsi="Arial" w:cs="Arial"/>
          <w:sz w:val="21"/>
          <w:szCs w:val="21"/>
        </w:rPr>
        <w:t xml:space="preserve">Los actos de la administración pública, cuando son manifestaciones de voluntad de carácter unilateral, creadoras de situaciones jurídicas, pueden ser de dos clases: generales o individuales. Los primeros, como los hemos venido indicando, caracterizados por ser fuente de normatividad reguladora general. Los segundos, por crear situaciones subjetivas o personales. De aquí que no hagamos énfasis en la nominación particular que adquiera el respectivo acto administrativo. Esto es, que para efectos de nuestro estudio no nos interesa si </w:t>
      </w:r>
      <w:r w:rsidRPr="00CD6AD7">
        <w:rPr>
          <w:rFonts w:ascii="Arial" w:hAnsi="Arial" w:cs="Arial"/>
          <w:sz w:val="21"/>
          <w:szCs w:val="21"/>
        </w:rPr>
        <w:lastRenderedPageBreak/>
        <w:t>la manifestación se denomina resolución, decreto, directiva o circular; lo importante es si es creadora de situaciones generales, abstractas e impersonales, caso en el cual le daremos el tratamiento de potestad normativa o reglamentaria. Si, por el contrario, es creadora de situaciones individuales, para todos los efectos será considerada como un simple acto administrativo individual</w:t>
      </w:r>
      <w:r w:rsidRPr="00CD6AD7">
        <w:rPr>
          <w:rStyle w:val="Refdenotaalpie"/>
          <w:rFonts w:ascii="Arial" w:hAnsi="Arial" w:cs="Arial"/>
          <w:sz w:val="21"/>
          <w:szCs w:val="21"/>
        </w:rPr>
        <w:footnoteReference w:id="13"/>
      </w:r>
      <w:r w:rsidRPr="00CD6AD7">
        <w:rPr>
          <w:rFonts w:ascii="Arial" w:hAnsi="Arial" w:cs="Arial"/>
          <w:sz w:val="21"/>
          <w:szCs w:val="21"/>
        </w:rPr>
        <w:t xml:space="preserve">. </w:t>
      </w:r>
    </w:p>
    <w:p w14:paraId="7ECF1E18" w14:textId="77777777" w:rsidR="00EF4AFD" w:rsidRPr="00CD6AD7" w:rsidRDefault="00EF4AFD" w:rsidP="00B560EE">
      <w:pPr>
        <w:pStyle w:val="Textoindependiente"/>
        <w:spacing w:after="0" w:line="240" w:lineRule="auto"/>
        <w:ind w:left="709" w:right="709"/>
        <w:jc w:val="both"/>
        <w:rPr>
          <w:rFonts w:ascii="Arial" w:hAnsi="Arial" w:cs="Arial"/>
          <w:sz w:val="21"/>
          <w:szCs w:val="21"/>
        </w:rPr>
      </w:pPr>
    </w:p>
    <w:p w14:paraId="64159ECF" w14:textId="67A4AB84" w:rsidR="0071141B" w:rsidRPr="00CD6AD7" w:rsidRDefault="0071141B" w:rsidP="00B560EE">
      <w:pPr>
        <w:pStyle w:val="Textoindependiente"/>
        <w:spacing w:before="1"/>
        <w:ind w:right="77" w:firstLine="708"/>
        <w:jc w:val="both"/>
        <w:rPr>
          <w:rFonts w:ascii="Arial" w:hAnsi="Arial" w:cs="Arial"/>
          <w:szCs w:val="22"/>
        </w:rPr>
      </w:pPr>
      <w:r w:rsidRPr="00CD6AD7">
        <w:rPr>
          <w:rFonts w:ascii="Arial" w:hAnsi="Arial" w:cs="Arial"/>
          <w:szCs w:val="22"/>
        </w:rPr>
        <w:t xml:space="preserve">Ha quedado claro, al punto de ser un lugar común en nuestro ordenamiento jurídico, que para identificar un acto administrativo es indiferente la forma bajo la cual se adopte </w:t>
      </w:r>
      <w:r w:rsidR="00CB075A" w:rsidRPr="00CD6AD7">
        <w:rPr>
          <w:rFonts w:ascii="Arial" w:hAnsi="Arial" w:cs="Arial"/>
          <w:szCs w:val="22"/>
        </w:rPr>
        <w:t>–</w:t>
      </w:r>
      <w:r w:rsidRPr="00CD6AD7">
        <w:rPr>
          <w:rFonts w:ascii="Arial" w:hAnsi="Arial" w:cs="Arial"/>
          <w:szCs w:val="22"/>
        </w:rPr>
        <w:t>resolución, decreto, directiva, guía o circular</w:t>
      </w:r>
      <w:r w:rsidR="00CB075A" w:rsidRPr="00CD6AD7">
        <w:rPr>
          <w:rFonts w:ascii="Arial" w:hAnsi="Arial" w:cs="Arial"/>
          <w:szCs w:val="22"/>
        </w:rPr>
        <w:t>–</w:t>
      </w:r>
      <w:r w:rsidRPr="00CD6AD7">
        <w:rPr>
          <w:rFonts w:ascii="Arial" w:hAnsi="Arial" w:cs="Arial"/>
          <w:szCs w:val="22"/>
        </w:rPr>
        <w:t xml:space="preserve">, pues lo determinante es su contenido y su potencial para generar efectos jurídicos. </w:t>
      </w:r>
      <w:proofErr w:type="gramStart"/>
      <w:r w:rsidRPr="00CD6AD7">
        <w:rPr>
          <w:rFonts w:ascii="Arial" w:hAnsi="Arial" w:cs="Arial"/>
          <w:i/>
          <w:iCs/>
          <w:szCs w:val="22"/>
        </w:rPr>
        <w:t xml:space="preserve">Mutatis </w:t>
      </w:r>
      <w:proofErr w:type="spellStart"/>
      <w:r w:rsidRPr="00CD6AD7">
        <w:rPr>
          <w:rFonts w:ascii="Arial" w:hAnsi="Arial" w:cs="Arial"/>
          <w:i/>
          <w:iCs/>
          <w:szCs w:val="22"/>
        </w:rPr>
        <w:t>mutandi</w:t>
      </w:r>
      <w:proofErr w:type="spellEnd"/>
      <w:proofErr w:type="gramEnd"/>
      <w:r w:rsidRPr="00CD6AD7">
        <w:rPr>
          <w:rFonts w:ascii="Arial" w:hAnsi="Arial" w:cs="Arial"/>
          <w:szCs w:val="22"/>
        </w:rPr>
        <w:t>, para la determinación de la obligatoriedad o no de las normas regulatorias que expide Colombia Compra Eficiente, con independencia de la forma que adopten, es necesario verificar frente al caso concreto de la guía, el manual, la circular o el documento tipo si reúne los elementos de un acto administrativo y, por tanto, si tienen la capacidad de producir efectos jurídicos</w:t>
      </w:r>
      <w:r w:rsidR="001D5C31">
        <w:rPr>
          <w:rStyle w:val="Refdenotaalpie"/>
          <w:rFonts w:ascii="Arial" w:hAnsi="Arial" w:cs="Arial"/>
          <w:szCs w:val="22"/>
        </w:rPr>
        <w:footnoteReference w:id="14"/>
      </w:r>
      <w:r w:rsidRPr="00CD6AD7">
        <w:rPr>
          <w:rFonts w:ascii="Arial" w:hAnsi="Arial" w:cs="Arial"/>
          <w:szCs w:val="22"/>
        </w:rPr>
        <w:t>.</w:t>
      </w:r>
    </w:p>
    <w:p w14:paraId="7B15F412" w14:textId="77777777" w:rsidR="00CB075A" w:rsidRPr="00CD6AD7" w:rsidRDefault="00CB075A" w:rsidP="00B560EE">
      <w:pPr>
        <w:pStyle w:val="Textoindependiente"/>
        <w:spacing w:after="0" w:line="240" w:lineRule="auto"/>
        <w:ind w:left="709" w:right="709"/>
        <w:jc w:val="both"/>
        <w:rPr>
          <w:rFonts w:ascii="Arial" w:hAnsi="Arial" w:cs="Arial"/>
          <w:sz w:val="21"/>
          <w:szCs w:val="21"/>
        </w:rPr>
      </w:pPr>
    </w:p>
    <w:p w14:paraId="58AEC707" w14:textId="74DE9690" w:rsidR="00D06ECB" w:rsidRPr="00CD6AD7" w:rsidRDefault="00D06ECB" w:rsidP="00B560EE">
      <w:pPr>
        <w:spacing w:after="240"/>
        <w:ind w:right="51"/>
        <w:jc w:val="both"/>
        <w:rPr>
          <w:rFonts w:ascii="Arial" w:hAnsi="Arial" w:cs="Arial"/>
          <w:sz w:val="22"/>
          <w:szCs w:val="22"/>
        </w:rPr>
      </w:pPr>
      <w:r w:rsidRPr="00CD6AD7">
        <w:rPr>
          <w:rFonts w:ascii="Arial" w:hAnsi="Arial" w:cs="Arial"/>
          <w:b/>
          <w:bCs/>
          <w:sz w:val="22"/>
          <w:szCs w:val="22"/>
        </w:rPr>
        <w:t>2.</w:t>
      </w:r>
      <w:r w:rsidR="00CB5A69" w:rsidRPr="00CD6AD7">
        <w:rPr>
          <w:rFonts w:ascii="Arial" w:hAnsi="Arial" w:cs="Arial"/>
          <w:b/>
          <w:bCs/>
          <w:sz w:val="22"/>
          <w:szCs w:val="22"/>
        </w:rPr>
        <w:t>2.2.</w:t>
      </w:r>
      <w:r w:rsidRPr="00CD6AD7">
        <w:rPr>
          <w:rFonts w:ascii="Arial" w:hAnsi="Arial" w:cs="Arial"/>
          <w:b/>
          <w:bCs/>
          <w:sz w:val="22"/>
          <w:szCs w:val="22"/>
        </w:rPr>
        <w:t xml:space="preserve"> Posición del Consejo de Estado en torno a la obligatoriedad de los instrumentos y herramientas expedidas por Colombia Compra</w:t>
      </w:r>
      <w:r w:rsidRPr="00CD6AD7">
        <w:rPr>
          <w:rFonts w:ascii="Arial" w:hAnsi="Arial" w:cs="Arial"/>
          <w:b/>
          <w:bCs/>
          <w:spacing w:val="-11"/>
          <w:sz w:val="22"/>
          <w:szCs w:val="22"/>
        </w:rPr>
        <w:t xml:space="preserve"> </w:t>
      </w:r>
      <w:r w:rsidRPr="00CD6AD7">
        <w:rPr>
          <w:rFonts w:ascii="Arial" w:hAnsi="Arial" w:cs="Arial"/>
          <w:b/>
          <w:bCs/>
          <w:sz w:val="22"/>
          <w:szCs w:val="22"/>
        </w:rPr>
        <w:t>Eficiente</w:t>
      </w:r>
      <w:r w:rsidR="00A57EAF" w:rsidRPr="00CD6AD7">
        <w:rPr>
          <w:rFonts w:ascii="Arial" w:hAnsi="Arial" w:cs="Arial"/>
          <w:b/>
          <w:bCs/>
          <w:sz w:val="22"/>
          <w:szCs w:val="22"/>
        </w:rPr>
        <w:t>. El «</w:t>
      </w:r>
      <w:r w:rsidR="00A57EAF" w:rsidRPr="00B560EE">
        <w:rPr>
          <w:rFonts w:ascii="Arial" w:hAnsi="Arial" w:cs="Arial"/>
          <w:b/>
          <w:bCs/>
          <w:sz w:val="22"/>
          <w:szCs w:val="22"/>
          <w:lang w:val="es-ES" w:eastAsia="es-CO"/>
        </w:rPr>
        <w:t>Manual para la identificación y cobertura del Riesgo en los Procesos de Contratación»</w:t>
      </w:r>
    </w:p>
    <w:p w14:paraId="1E3F9086" w14:textId="0798377B" w:rsidR="00E934FD" w:rsidRPr="00CD6AD7" w:rsidRDefault="00E934FD" w:rsidP="00D06ECB">
      <w:pPr>
        <w:pStyle w:val="Textoindependiente"/>
        <w:spacing w:before="93"/>
        <w:ind w:right="49"/>
        <w:jc w:val="both"/>
        <w:rPr>
          <w:rFonts w:ascii="Arial" w:hAnsi="Arial" w:cs="Arial"/>
        </w:rPr>
      </w:pPr>
      <w:r w:rsidRPr="00CD6AD7">
        <w:rPr>
          <w:rFonts w:ascii="Arial" w:hAnsi="Arial" w:cs="Arial"/>
        </w:rPr>
        <w:t>El Consejo de Estado prohíja la posición que ahora se acoge respecto de la obligatoriedad de los instrumentos normativos expedidos por Colombia Compra Eficiente. A partir de la reseña de dos pronunciamientos recientes se puede concluir que con independencia de la forma que adopten, la vinculatoriedad viene dada por el carácter de acto administrativo, como una consecuencia esencial de este.</w:t>
      </w:r>
    </w:p>
    <w:p w14:paraId="75951224" w14:textId="1A42F7C5" w:rsidR="00E934FD" w:rsidRPr="00CD6AD7" w:rsidRDefault="00E934FD" w:rsidP="00B560EE">
      <w:pPr>
        <w:pStyle w:val="Textoindependiente"/>
        <w:spacing w:before="93"/>
        <w:ind w:right="49" w:firstLine="708"/>
        <w:jc w:val="both"/>
        <w:rPr>
          <w:rFonts w:ascii="Arial" w:hAnsi="Arial" w:cs="Arial"/>
        </w:rPr>
      </w:pPr>
      <w:r w:rsidRPr="00CD6AD7">
        <w:rPr>
          <w:rFonts w:ascii="Arial" w:hAnsi="Arial" w:cs="Arial"/>
        </w:rPr>
        <w:t xml:space="preserve">Un ejemplo de lo anterior lo encontramos en una providencia proferida por la Sección Tercera del Consejo de Estado, en la que se decidió si procedía la medida </w:t>
      </w:r>
      <w:r w:rsidRPr="00CD6AD7">
        <w:rPr>
          <w:rFonts w:ascii="Arial" w:hAnsi="Arial" w:cs="Arial"/>
        </w:rPr>
        <w:lastRenderedPageBreak/>
        <w:t>cautelar de suspensión provisional de la Circular Externa 01 de 2013, sobre la publicación de la información de la actividad contractual en el SECOP. En esta sentencia, el Consejo de Estado, además de reconocer la obligatoriedad de este acto administrativo, hizo especial énfasis en la existencia legal del deber de publicidad de quienes realizan contrataciones</w:t>
      </w:r>
      <w:r w:rsidR="00BA1199" w:rsidRPr="00CD6AD7">
        <w:rPr>
          <w:rFonts w:ascii="Arial" w:hAnsi="Arial" w:cs="Arial"/>
        </w:rPr>
        <w:t xml:space="preserve"> con recursos públicos, esto es, la competencia para expedir la circular demandada no se la había arrogado </w:t>
      </w:r>
      <w:r w:rsidR="00BA1199" w:rsidRPr="00B560EE">
        <w:rPr>
          <w:rFonts w:ascii="Arial" w:hAnsi="Arial" w:cs="Arial"/>
          <w:i/>
          <w:iCs/>
        </w:rPr>
        <w:t>motu proprio</w:t>
      </w:r>
      <w:r w:rsidR="00BA1199" w:rsidRPr="00CD6AD7">
        <w:rPr>
          <w:rFonts w:ascii="Arial" w:hAnsi="Arial" w:cs="Arial"/>
        </w:rPr>
        <w:t xml:space="preserve"> la Agencia Nacional de Contratación Pública, pues</w:t>
      </w:r>
      <w:r w:rsidR="00491802" w:rsidRPr="00CD6AD7">
        <w:rPr>
          <w:rFonts w:ascii="Arial" w:hAnsi="Arial" w:cs="Arial"/>
        </w:rPr>
        <w:t xml:space="preserve"> así lo ordenaba</w:t>
      </w:r>
      <w:r w:rsidR="00BA1199" w:rsidRPr="00CD6AD7">
        <w:rPr>
          <w:rFonts w:ascii="Arial" w:hAnsi="Arial" w:cs="Arial"/>
        </w:rPr>
        <w:t xml:space="preserve"> la ley:</w:t>
      </w:r>
    </w:p>
    <w:p w14:paraId="6991F3BB" w14:textId="77777777" w:rsidR="00BA1199" w:rsidRPr="00CD6AD7" w:rsidRDefault="00BA1199" w:rsidP="00B560EE">
      <w:pPr>
        <w:pStyle w:val="Textoindependiente"/>
        <w:spacing w:before="93" w:line="240" w:lineRule="auto"/>
        <w:ind w:left="709" w:right="709"/>
        <w:jc w:val="both"/>
        <w:rPr>
          <w:rFonts w:ascii="Arial" w:hAnsi="Arial" w:cs="Arial"/>
          <w:sz w:val="21"/>
          <w:szCs w:val="21"/>
        </w:rPr>
      </w:pPr>
      <w:r w:rsidRPr="00CD6AD7">
        <w:rPr>
          <w:rFonts w:ascii="Arial" w:hAnsi="Arial" w:cs="Arial"/>
          <w:sz w:val="21"/>
          <w:szCs w:val="21"/>
        </w:rPr>
        <w:t xml:space="preserve">11.13.- Las razones expuestas, que apenas constituyen un juicio preliminar sobre la medida cautelar, llevan a este Despacho a considerar que, a esta altura de la actuación procesal, no se reúnen elementos suficientes para configurar una violación a la potestad legislativa prevista en el artículo 150.1 de inciso final de la Constitución Política, pues entiende como argumento razonable afirmar que el deber de información a quienes contratan con recursos públicos ya se encontraba previsto en el ordenamiento jurídico interno desde la Ley 1150 de 2007, sin perjuicio de su existencia, también, en el escenarios de los estándares convencionales sobre el derecho humano fundamental al acceso a la información pública. </w:t>
      </w:r>
    </w:p>
    <w:p w14:paraId="7F551AF9" w14:textId="77777777" w:rsidR="00BA1199" w:rsidRPr="00CD6AD7" w:rsidRDefault="00BA1199" w:rsidP="00B560EE">
      <w:pPr>
        <w:pStyle w:val="Textoindependiente"/>
        <w:spacing w:before="93" w:line="240" w:lineRule="auto"/>
        <w:ind w:left="709" w:right="709"/>
        <w:jc w:val="both"/>
        <w:rPr>
          <w:rFonts w:ascii="Arial" w:hAnsi="Arial" w:cs="Arial"/>
          <w:sz w:val="21"/>
          <w:szCs w:val="21"/>
        </w:rPr>
      </w:pPr>
      <w:r w:rsidRPr="00CD6AD7">
        <w:rPr>
          <w:rFonts w:ascii="Arial" w:hAnsi="Arial" w:cs="Arial"/>
          <w:sz w:val="21"/>
          <w:szCs w:val="21"/>
        </w:rPr>
        <w:t xml:space="preserve">11.14.- Al hilo de esas consideraciones brevemente reseñadas, tampoco advierte de manera preliminar esta judicatura elementos de juicio suficientes que le lleven a considerar que en el sub judice ocurrió una violación a la potestad reglamentaria de la que es titular el Presidente de la República como lo pregona el artículo 189.11 de la Carta, pues tiene averiguado provisoriamente que, además de que la obligación de informar no parece haber surgido con ocasión de la expedición de la circular Externa 01 de 2013 acá demandada, se cuenta con una base jurídica mínima que apoya la competencia de la Agencia Nacional de Contratación Estatal para su expedición pues se sabe que esa Agencia, como Unidad Administrativa Especial, se ubica dentro del sector descentralizado del orden nacional y cuenta dentro de su ámbito funcional con competencias atinentes a la materia de la contratación estatal, esto es, a la actividad administrativa vinculada a la provisión de bienes y/o servicios por cuenta del Estado para la satisfacción de sus necesidades y la realización de los cometidos estatales y ejerce una competencia de orientación o coordinación toda vez que tiene a su cargo la formulación de políticas públicas, esto es, el diseño o gestión de instrumentos de toma de decisión en determinado sector gubernamental dirigido a abordar y proponer soluciones a asuntos de relevancia pública y, concretamente, se le ha atribuido la competencia de “difundir las normas, reglas, procedimientos, medios tecnológicos y mejores prácticas para las compras y la contratación pública (…)”, según las voces del numeral 10° del artículo 3° del Decreto 4170 de 2011, potestad reguladora que, en todo caso, debe ejercerse conforme a la Ley y ajustada a la potestad reglamentaria del Gobierno Nacional. </w:t>
      </w:r>
    </w:p>
    <w:p w14:paraId="4D7AE3B9" w14:textId="584C23D8" w:rsidR="00BA1199" w:rsidRPr="00CD6AD7" w:rsidRDefault="00BA1199" w:rsidP="00B560EE">
      <w:pPr>
        <w:pStyle w:val="Textoindependiente"/>
        <w:spacing w:before="93" w:line="240" w:lineRule="auto"/>
        <w:ind w:left="709" w:right="709"/>
        <w:jc w:val="both"/>
        <w:rPr>
          <w:rFonts w:ascii="Arial" w:hAnsi="Arial" w:cs="Arial"/>
          <w:sz w:val="21"/>
          <w:szCs w:val="21"/>
        </w:rPr>
      </w:pPr>
      <w:r w:rsidRPr="00CD6AD7">
        <w:rPr>
          <w:rFonts w:ascii="Arial" w:hAnsi="Arial" w:cs="Arial"/>
          <w:sz w:val="21"/>
          <w:szCs w:val="21"/>
        </w:rPr>
        <w:lastRenderedPageBreak/>
        <w:t>11.15.- Y, en el sub judice, resulta plausible considerar que la expedición de la Circular objeto de la medida cautelar fue expedida con apoyo en esa atribución de competencia reconocida por el ordenamiento jurídico</w:t>
      </w:r>
      <w:r w:rsidRPr="00CD6AD7">
        <w:rPr>
          <w:rStyle w:val="Refdenotaalpie"/>
          <w:rFonts w:ascii="Arial" w:hAnsi="Arial" w:cs="Arial"/>
          <w:sz w:val="21"/>
          <w:szCs w:val="21"/>
        </w:rPr>
        <w:footnoteReference w:id="15"/>
      </w:r>
      <w:r w:rsidR="00F75B40" w:rsidRPr="00CD6AD7">
        <w:rPr>
          <w:rFonts w:ascii="Arial" w:hAnsi="Arial" w:cs="Arial"/>
          <w:sz w:val="21"/>
          <w:szCs w:val="21"/>
        </w:rPr>
        <w:t>.</w:t>
      </w:r>
    </w:p>
    <w:p w14:paraId="113C0AC1" w14:textId="77B6B1A5" w:rsidR="00BA1199" w:rsidRPr="00CD6AD7" w:rsidRDefault="00BA1199" w:rsidP="00B560EE">
      <w:pPr>
        <w:pStyle w:val="Textoindependiente"/>
        <w:spacing w:before="93"/>
        <w:ind w:right="49" w:firstLine="708"/>
        <w:jc w:val="both"/>
        <w:rPr>
          <w:rFonts w:ascii="Arial" w:hAnsi="Arial" w:cs="Arial"/>
          <w:szCs w:val="22"/>
        </w:rPr>
      </w:pPr>
      <w:r w:rsidRPr="00CD6AD7">
        <w:rPr>
          <w:rFonts w:ascii="Arial" w:hAnsi="Arial" w:cs="Arial"/>
          <w:szCs w:val="22"/>
        </w:rPr>
        <w:t>En un pronunciamiento más reciente, la Sección Tercera del Consejo de Estado declaró la nulidad parcial del artículo 159 del Decreto 1510 de 2013</w:t>
      </w:r>
      <w:r w:rsidR="00A150DB" w:rsidRPr="00CD6AD7">
        <w:rPr>
          <w:rStyle w:val="Refdenotaalpie"/>
          <w:rFonts w:ascii="Arial" w:hAnsi="Arial" w:cs="Arial"/>
          <w:szCs w:val="22"/>
        </w:rPr>
        <w:footnoteReference w:id="16"/>
      </w:r>
      <w:r w:rsidRPr="00CD6AD7">
        <w:rPr>
          <w:rFonts w:ascii="Arial" w:hAnsi="Arial" w:cs="Arial"/>
          <w:szCs w:val="22"/>
        </w:rPr>
        <w:t>, que en su numeral 2, literal a); numeral 3 y numeral 4, establecía que Colombia Compra Eficiente debía diseñar e implementar manuales y guías para la identificación y cobertura del Riesgo; pliegos de condiciones tipo para la contratación y minutas tipo de contratos.</w:t>
      </w:r>
    </w:p>
    <w:p w14:paraId="44162C5D" w14:textId="35AEE2B5" w:rsidR="00D06ECB" w:rsidRPr="00CD6AD7" w:rsidRDefault="00D06ECB" w:rsidP="00A150DB">
      <w:pPr>
        <w:pStyle w:val="Textoindependiente"/>
        <w:spacing w:before="93"/>
        <w:ind w:right="49" w:firstLine="708"/>
        <w:jc w:val="both"/>
        <w:rPr>
          <w:rFonts w:ascii="Arial" w:hAnsi="Arial" w:cs="Arial"/>
          <w:szCs w:val="22"/>
        </w:rPr>
      </w:pPr>
      <w:r w:rsidRPr="00CD6AD7">
        <w:rPr>
          <w:rFonts w:ascii="Arial" w:hAnsi="Arial" w:cs="Arial"/>
          <w:szCs w:val="22"/>
        </w:rPr>
        <w:t xml:space="preserve">El Consejo de Estado estudió la naturaleza jurídica de los Manuales y Guías expedidos por Colombia Compra Eficiente. Señaló que se trata de normas de carácter general, impersonal y abstracto, cuya finalidad es dar un mayor nivel de detalle a todas las normas a las que están subordinadas, de forma que sea posible su aplicación. Sostuvo que normas como los manuales y las guías son conocidas como </w:t>
      </w:r>
      <w:r w:rsidR="00C02C45" w:rsidRPr="00CD6AD7">
        <w:rPr>
          <w:rFonts w:ascii="Arial" w:hAnsi="Arial" w:cs="Arial"/>
          <w:szCs w:val="22"/>
        </w:rPr>
        <w:t>«</w:t>
      </w:r>
      <w:r w:rsidRPr="00CD6AD7">
        <w:rPr>
          <w:rFonts w:ascii="Arial" w:hAnsi="Arial" w:cs="Arial"/>
          <w:szCs w:val="22"/>
        </w:rPr>
        <w:t>normas reglamentarias de segundo o de tercer grado</w:t>
      </w:r>
      <w:r w:rsidR="00C02C45" w:rsidRPr="00CD6AD7">
        <w:rPr>
          <w:rFonts w:ascii="Arial" w:hAnsi="Arial" w:cs="Arial"/>
          <w:szCs w:val="22"/>
        </w:rPr>
        <w:t>»</w:t>
      </w:r>
      <w:r w:rsidRPr="00CD6AD7">
        <w:rPr>
          <w:rFonts w:ascii="Arial" w:hAnsi="Arial" w:cs="Arial"/>
          <w:szCs w:val="22"/>
        </w:rPr>
        <w:t xml:space="preserve">, entendiendo las de primer grado como las expedidas por el </w:t>
      </w:r>
      <w:proofErr w:type="gramStart"/>
      <w:r w:rsidRPr="00CD6AD7">
        <w:rPr>
          <w:rFonts w:ascii="Arial" w:hAnsi="Arial" w:cs="Arial"/>
          <w:szCs w:val="22"/>
        </w:rPr>
        <w:t>Presidente</w:t>
      </w:r>
      <w:proofErr w:type="gramEnd"/>
      <w:r w:rsidRPr="00CD6AD7">
        <w:rPr>
          <w:rFonts w:ascii="Arial" w:hAnsi="Arial" w:cs="Arial"/>
          <w:szCs w:val="22"/>
        </w:rPr>
        <w:t xml:space="preserve"> de la República en ejercicio de la potestad reglamentaria del numeral 11 del artículo 189 de la Constitución</w:t>
      </w:r>
      <w:r w:rsidRPr="00CD6AD7">
        <w:rPr>
          <w:rFonts w:ascii="Arial" w:hAnsi="Arial" w:cs="Arial"/>
          <w:spacing w:val="-6"/>
          <w:szCs w:val="22"/>
        </w:rPr>
        <w:t xml:space="preserve"> </w:t>
      </w:r>
      <w:r w:rsidRPr="00CD6AD7">
        <w:rPr>
          <w:rFonts w:ascii="Arial" w:hAnsi="Arial" w:cs="Arial"/>
          <w:szCs w:val="22"/>
        </w:rPr>
        <w:t>Política.</w:t>
      </w:r>
    </w:p>
    <w:p w14:paraId="1366F626" w14:textId="15799F4B" w:rsidR="00D06ECB" w:rsidRPr="00CD6AD7" w:rsidRDefault="00D06ECB" w:rsidP="003A213B">
      <w:pPr>
        <w:pStyle w:val="Textoindependiente"/>
        <w:ind w:right="49" w:firstLine="708"/>
        <w:jc w:val="both"/>
        <w:rPr>
          <w:rFonts w:ascii="Arial" w:hAnsi="Arial" w:cs="Arial"/>
          <w:szCs w:val="22"/>
        </w:rPr>
      </w:pPr>
      <w:r w:rsidRPr="00CD6AD7">
        <w:rPr>
          <w:rFonts w:ascii="Arial" w:hAnsi="Arial" w:cs="Arial"/>
          <w:szCs w:val="22"/>
        </w:rPr>
        <w:t>El Consejo de Estado, en consonancia con el criterio sustantivo o material de identificación de los actos administrativos arriba expuesto, reiteró que estos pueden estar revestidos de distintas formas, como decretos, resoluciones, reglamentos, acuerdos, manuales o circulares</w:t>
      </w:r>
      <w:r w:rsidR="00A150DB" w:rsidRPr="00CD6AD7">
        <w:rPr>
          <w:rFonts w:ascii="Arial" w:hAnsi="Arial" w:cs="Arial"/>
          <w:szCs w:val="22"/>
        </w:rPr>
        <w:t xml:space="preserve">: </w:t>
      </w:r>
      <w:r w:rsidR="00684B41" w:rsidRPr="00CD6AD7">
        <w:rPr>
          <w:rFonts w:ascii="Arial" w:hAnsi="Arial" w:cs="Arial"/>
          <w:szCs w:val="22"/>
        </w:rPr>
        <w:t>«</w:t>
      </w:r>
      <w:r w:rsidR="00A150DB" w:rsidRPr="00CD6AD7">
        <w:rPr>
          <w:rFonts w:ascii="Arial" w:hAnsi="Arial" w:cs="Arial"/>
          <w:szCs w:val="22"/>
        </w:rPr>
        <w:t>E</w:t>
      </w:r>
      <w:r w:rsidRPr="00CD6AD7">
        <w:rPr>
          <w:rFonts w:ascii="Arial" w:hAnsi="Arial" w:cs="Arial"/>
          <w:szCs w:val="22"/>
        </w:rPr>
        <w:t xml:space="preserve">n consecuencia, no es el nombre </w:t>
      </w:r>
      <w:r w:rsidR="003A213B" w:rsidRPr="00CD6AD7">
        <w:rPr>
          <w:rFonts w:ascii="Arial" w:hAnsi="Arial" w:cs="Arial"/>
          <w:szCs w:val="22"/>
        </w:rPr>
        <w:t xml:space="preserve">otorgado lo que genera que tenga </w:t>
      </w:r>
      <w:r w:rsidRPr="00CD6AD7">
        <w:rPr>
          <w:rFonts w:ascii="Arial" w:hAnsi="Arial" w:cs="Arial"/>
          <w:szCs w:val="22"/>
        </w:rPr>
        <w:t xml:space="preserve">naturaleza de acto administrativo, sino su contenido reglamentario o normativo de </w:t>
      </w:r>
      <w:r w:rsidRPr="00CD6AD7">
        <w:rPr>
          <w:rFonts w:ascii="Arial" w:hAnsi="Arial" w:cs="Arial"/>
          <w:szCs w:val="22"/>
        </w:rPr>
        <w:lastRenderedPageBreak/>
        <w:t>obligatoria aplicación, y ello es predicable, incluso, de los manuales expedidos por las distintas</w:t>
      </w:r>
      <w:r w:rsidRPr="00CD6AD7">
        <w:rPr>
          <w:rFonts w:ascii="Arial" w:hAnsi="Arial" w:cs="Arial"/>
          <w:spacing w:val="-34"/>
          <w:szCs w:val="22"/>
        </w:rPr>
        <w:t xml:space="preserve"> </w:t>
      </w:r>
      <w:r w:rsidRPr="00CD6AD7">
        <w:rPr>
          <w:rFonts w:ascii="Arial" w:hAnsi="Arial" w:cs="Arial"/>
          <w:szCs w:val="22"/>
        </w:rPr>
        <w:t>autoridades</w:t>
      </w:r>
      <w:r w:rsidR="00684B41" w:rsidRPr="00CD6AD7">
        <w:rPr>
          <w:rFonts w:ascii="Arial" w:hAnsi="Arial" w:cs="Arial"/>
          <w:szCs w:val="22"/>
        </w:rPr>
        <w:t>»</w:t>
      </w:r>
      <w:r w:rsidR="00A150DB" w:rsidRPr="00CD6AD7">
        <w:rPr>
          <w:rStyle w:val="Refdenotaalpie"/>
          <w:rFonts w:ascii="Arial" w:hAnsi="Arial" w:cs="Arial"/>
          <w:szCs w:val="22"/>
        </w:rPr>
        <w:footnoteReference w:id="17"/>
      </w:r>
      <w:r w:rsidR="00684B41" w:rsidRPr="00CD6AD7">
        <w:rPr>
          <w:rFonts w:ascii="Arial" w:hAnsi="Arial" w:cs="Arial"/>
          <w:szCs w:val="22"/>
        </w:rPr>
        <w:t>.</w:t>
      </w:r>
    </w:p>
    <w:p w14:paraId="55B7CC95" w14:textId="45140404" w:rsidR="00A150DB" w:rsidRPr="00CD6AD7" w:rsidRDefault="00A150DB" w:rsidP="003A213B">
      <w:pPr>
        <w:pStyle w:val="Textoindependiente"/>
        <w:ind w:right="49" w:firstLine="708"/>
        <w:jc w:val="both"/>
        <w:rPr>
          <w:rFonts w:ascii="Arial" w:hAnsi="Arial" w:cs="Arial"/>
          <w:szCs w:val="22"/>
        </w:rPr>
      </w:pPr>
      <w:r w:rsidRPr="00CD6AD7">
        <w:rPr>
          <w:rFonts w:ascii="Arial" w:hAnsi="Arial" w:cs="Arial"/>
          <w:szCs w:val="22"/>
        </w:rPr>
        <w:t xml:space="preserve">A renglón seguido, el Consejo de Estado abordó uno por uno el análisis de los manuales y guías a los que se refería el artículo 159 del Decreto 1510 de 2013, para determinar si la competencia otorgada a Colombia Compra Eficiente sustituía la potestad reglamentaria asignada por la Constitución Política al </w:t>
      </w:r>
      <w:proofErr w:type="gramStart"/>
      <w:r w:rsidRPr="00CD6AD7">
        <w:rPr>
          <w:rFonts w:ascii="Arial" w:hAnsi="Arial" w:cs="Arial"/>
          <w:szCs w:val="22"/>
        </w:rPr>
        <w:t>Presidente</w:t>
      </w:r>
      <w:proofErr w:type="gramEnd"/>
      <w:r w:rsidRPr="00CD6AD7">
        <w:rPr>
          <w:rFonts w:ascii="Arial" w:hAnsi="Arial" w:cs="Arial"/>
          <w:szCs w:val="22"/>
        </w:rPr>
        <w:t xml:space="preserve"> de la República.</w:t>
      </w:r>
    </w:p>
    <w:p w14:paraId="572C2104" w14:textId="6374C8FE" w:rsidR="00A150DB" w:rsidRPr="00CD6AD7" w:rsidRDefault="00CE0E1C" w:rsidP="003A213B">
      <w:pPr>
        <w:pStyle w:val="Textoindependiente"/>
        <w:ind w:right="49" w:firstLine="708"/>
        <w:jc w:val="both"/>
        <w:rPr>
          <w:rFonts w:ascii="Arial" w:hAnsi="Arial" w:cs="Arial"/>
          <w:szCs w:val="22"/>
        </w:rPr>
      </w:pPr>
      <w:r w:rsidRPr="00CD6AD7">
        <w:rPr>
          <w:rFonts w:ascii="Arial" w:hAnsi="Arial" w:cs="Arial"/>
          <w:szCs w:val="22"/>
        </w:rPr>
        <w:t>En relación con</w:t>
      </w:r>
      <w:r w:rsidR="00A150DB" w:rsidRPr="00CD6AD7">
        <w:rPr>
          <w:rFonts w:ascii="Arial" w:hAnsi="Arial" w:cs="Arial"/>
          <w:szCs w:val="22"/>
        </w:rPr>
        <w:t xml:space="preserve"> los manuales y guías para la </w:t>
      </w:r>
      <w:r w:rsidR="00A57EAF" w:rsidRPr="00CD6AD7">
        <w:rPr>
          <w:rFonts w:ascii="Arial" w:hAnsi="Arial" w:cs="Arial"/>
          <w:szCs w:val="22"/>
        </w:rPr>
        <w:t>«</w:t>
      </w:r>
      <w:r w:rsidR="00A150DB" w:rsidRPr="00CD6AD7">
        <w:rPr>
          <w:rFonts w:ascii="Arial" w:hAnsi="Arial" w:cs="Arial"/>
          <w:szCs w:val="22"/>
        </w:rPr>
        <w:t>identificación y cobertura del riesgo</w:t>
      </w:r>
      <w:r w:rsidR="00A57EAF" w:rsidRPr="00CD6AD7">
        <w:rPr>
          <w:rFonts w:ascii="Arial" w:hAnsi="Arial" w:cs="Arial"/>
          <w:szCs w:val="22"/>
        </w:rPr>
        <w:t>»</w:t>
      </w:r>
      <w:r w:rsidR="00A150DB" w:rsidRPr="00CD6AD7">
        <w:rPr>
          <w:rFonts w:ascii="Arial" w:hAnsi="Arial" w:cs="Arial"/>
          <w:szCs w:val="22"/>
        </w:rPr>
        <w:t xml:space="preserve">, el Consejo de Estado concluyó que, a la luz del artículo 4 de la Ley 1150 de 2007, son las entidades contratantes las obligadas a incluir en los pliegos de condiciones la estimación, tipificación y asignación del riesgo previsible a cada proceso de contratación. Asimismo, frente a la cobertura de ese riesgo, el artículo 7 de la Ley 1150 de 2007 determinó que era el Gobierno Nacional quien debía fijar los </w:t>
      </w:r>
      <w:r w:rsidR="00A57EAF" w:rsidRPr="00CD6AD7">
        <w:rPr>
          <w:rFonts w:ascii="Arial" w:hAnsi="Arial" w:cs="Arial"/>
          <w:szCs w:val="22"/>
        </w:rPr>
        <w:t>«</w:t>
      </w:r>
      <w:r w:rsidR="00A150DB" w:rsidRPr="00CD6AD7">
        <w:rPr>
          <w:rFonts w:ascii="Arial" w:hAnsi="Arial" w:cs="Arial"/>
          <w:szCs w:val="22"/>
        </w:rPr>
        <w:t>criterios que seguirán las entidades para la exigencia de garantías, las clases y niveles de amparo de los riesgos de los contratos</w:t>
      </w:r>
      <w:r w:rsidR="00A57EAF" w:rsidRPr="00CD6AD7">
        <w:rPr>
          <w:rFonts w:ascii="Arial" w:hAnsi="Arial" w:cs="Arial"/>
          <w:szCs w:val="22"/>
        </w:rPr>
        <w:t>»</w:t>
      </w:r>
      <w:r w:rsidR="00A150DB" w:rsidRPr="00CD6AD7">
        <w:rPr>
          <w:rFonts w:ascii="Arial" w:hAnsi="Arial" w:cs="Arial"/>
          <w:szCs w:val="22"/>
        </w:rPr>
        <w:t>.</w:t>
      </w:r>
    </w:p>
    <w:p w14:paraId="7D045D6E" w14:textId="2498E7C1" w:rsidR="00A150DB" w:rsidRPr="00CD6AD7" w:rsidRDefault="00A150DB" w:rsidP="003A213B">
      <w:pPr>
        <w:pStyle w:val="Textoindependiente"/>
        <w:ind w:right="49" w:firstLine="708"/>
        <w:jc w:val="both"/>
        <w:rPr>
          <w:rFonts w:ascii="Arial" w:hAnsi="Arial" w:cs="Arial"/>
          <w:szCs w:val="22"/>
        </w:rPr>
      </w:pPr>
      <w:r w:rsidRPr="00CD6AD7">
        <w:rPr>
          <w:rFonts w:ascii="Arial" w:hAnsi="Arial" w:cs="Arial"/>
          <w:szCs w:val="22"/>
        </w:rPr>
        <w:t xml:space="preserve"> Por ello, al declararse la nulidad del literal a) del numeral 2 del artículo 159 del Decreto 1510 de 2013, el Consejo de Estado determinó que las guías o manuales que expida Colombia Compra Eficiente, en relación con la identificación y cobertura de riesgos, no son vinculantes para las entidades, quienes podrán, de manera facultativa, acudir a ellas como una guía para llevar a cabo la estimación, tipificación, asignación y cobertura de riesgos en cada proceso de contratación particular.</w:t>
      </w:r>
    </w:p>
    <w:p w14:paraId="7578AFFB" w14:textId="36A49D04" w:rsidR="00D06ECB" w:rsidRPr="00CD6AD7" w:rsidRDefault="003A213B" w:rsidP="003A213B">
      <w:pPr>
        <w:pStyle w:val="Textoindependiente"/>
        <w:ind w:right="49" w:firstLine="708"/>
        <w:jc w:val="both"/>
        <w:rPr>
          <w:rFonts w:ascii="Arial" w:hAnsi="Arial" w:cs="Arial"/>
          <w:szCs w:val="22"/>
        </w:rPr>
      </w:pPr>
      <w:r w:rsidRPr="00CD6AD7">
        <w:rPr>
          <w:rFonts w:ascii="Arial" w:hAnsi="Arial" w:cs="Arial"/>
          <w:szCs w:val="22"/>
        </w:rPr>
        <w:t>De esta forma, l</w:t>
      </w:r>
      <w:r w:rsidR="00D06ECB" w:rsidRPr="00CD6AD7">
        <w:rPr>
          <w:rFonts w:ascii="Arial" w:hAnsi="Arial" w:cs="Arial"/>
          <w:szCs w:val="22"/>
        </w:rPr>
        <w:t xml:space="preserve">os Manuales, Guías o Circulares frente a los que existe un fundamento normativo de rango legal o reglamentario que da la competencia a Colombia Compra Eficiente para expedirlos fueron declarados ajustados al ordenamiento jurídico y, además, frente a ellos se puede concluir que se trata de actos administrativos </w:t>
      </w:r>
      <w:r w:rsidR="00C02C45" w:rsidRPr="00CD6AD7">
        <w:rPr>
          <w:rFonts w:ascii="Arial" w:hAnsi="Arial" w:cs="Arial"/>
          <w:szCs w:val="22"/>
        </w:rPr>
        <w:t>–</w:t>
      </w:r>
      <w:r w:rsidR="00D06ECB" w:rsidRPr="00CD6AD7">
        <w:rPr>
          <w:rFonts w:ascii="Arial" w:hAnsi="Arial" w:cs="Arial"/>
          <w:szCs w:val="22"/>
        </w:rPr>
        <w:t>incluso reglamentos</w:t>
      </w:r>
      <w:r w:rsidR="00C02C45" w:rsidRPr="00CD6AD7">
        <w:rPr>
          <w:rFonts w:ascii="Arial" w:hAnsi="Arial" w:cs="Arial"/>
          <w:szCs w:val="22"/>
        </w:rPr>
        <w:t>–</w:t>
      </w:r>
      <w:r w:rsidR="00D06ECB" w:rsidRPr="00CD6AD7">
        <w:rPr>
          <w:rFonts w:ascii="Arial" w:hAnsi="Arial" w:cs="Arial"/>
          <w:szCs w:val="22"/>
        </w:rPr>
        <w:t xml:space="preserve"> de obligatorio cumplimiento para los partícipes de la contratación pública, como el manual de uso de los acuerdos marco de precios, los manuales y guías para la elaboración y actualización del plan anual de adquisiciones y el manual o guía para el uso del clasificador de bienes y servicios.</w:t>
      </w:r>
    </w:p>
    <w:p w14:paraId="6399308A" w14:textId="77777777" w:rsidR="00D06ECB" w:rsidRPr="00CD6AD7" w:rsidRDefault="00D06ECB" w:rsidP="003A213B">
      <w:pPr>
        <w:pStyle w:val="Textoindependiente"/>
        <w:ind w:right="49" w:firstLine="708"/>
        <w:jc w:val="both"/>
        <w:rPr>
          <w:rFonts w:ascii="Arial" w:hAnsi="Arial" w:cs="Arial"/>
          <w:szCs w:val="22"/>
        </w:rPr>
      </w:pPr>
      <w:r w:rsidRPr="00CD6AD7">
        <w:rPr>
          <w:rFonts w:ascii="Arial" w:hAnsi="Arial" w:cs="Arial"/>
          <w:szCs w:val="22"/>
        </w:rPr>
        <w:t xml:space="preserve">Lo contrario ocurre con los Manuales, Guías o Circulares que se expiden sin una competencia legal o reglamentaria, diferente de la genérica contenida en el Decreto Ley 4170 de 2011, que defiera a esta entidad su adopción, como ocurre con los manuales y guías para la identificación y cobertura del riesgo, los manuales y guías para la determinación de la capacidad residual. Estos instrumentos o herramientas quedan en el </w:t>
      </w:r>
      <w:r w:rsidRPr="00CD6AD7">
        <w:rPr>
          <w:rFonts w:ascii="Arial" w:hAnsi="Arial" w:cs="Arial"/>
          <w:szCs w:val="22"/>
        </w:rPr>
        <w:lastRenderedPageBreak/>
        <w:t>ámbito de normas de apoyo y de buenas prácticas para los partícipes del Sistema de Compra Pública, de donde no se puede derivar obligatoriedad.</w:t>
      </w:r>
    </w:p>
    <w:p w14:paraId="06E81679" w14:textId="124FAD8A" w:rsidR="00D06ECB" w:rsidRPr="00CD6AD7" w:rsidRDefault="00D06ECB" w:rsidP="003A213B">
      <w:pPr>
        <w:pStyle w:val="Textoindependiente"/>
        <w:spacing w:before="93"/>
        <w:ind w:right="49" w:firstLine="708"/>
        <w:jc w:val="both"/>
        <w:rPr>
          <w:rFonts w:ascii="Arial" w:hAnsi="Arial" w:cs="Arial"/>
          <w:szCs w:val="22"/>
        </w:rPr>
      </w:pPr>
      <w:r w:rsidRPr="00CD6AD7">
        <w:rPr>
          <w:rFonts w:ascii="Arial" w:hAnsi="Arial" w:cs="Arial"/>
          <w:szCs w:val="22"/>
        </w:rPr>
        <w:t xml:space="preserve">Así las cosas, la obligatoriedad de las herramientas normativas expedidas por Colombia Compra Eficiente no depende de la forma mediante la cual se adopten, pues </w:t>
      </w:r>
      <w:r w:rsidR="00E62331" w:rsidRPr="00CD6AD7">
        <w:rPr>
          <w:rFonts w:ascii="Arial" w:hAnsi="Arial" w:cs="Arial"/>
          <w:szCs w:val="22"/>
        </w:rPr>
        <w:t xml:space="preserve">las </w:t>
      </w:r>
      <w:r w:rsidRPr="00CD6AD7">
        <w:rPr>
          <w:rFonts w:ascii="Arial" w:hAnsi="Arial" w:cs="Arial"/>
          <w:szCs w:val="22"/>
        </w:rPr>
        <w:t>guías, manuales o circulares podrán ser de obligatoria observancia o de mera pauta para fomentar buenas prácticas administrativas, dependiendo de si existe una norma de rango legal o reglamentario, diferente de la general del Decreto 4170 de 2011, que confiera la competencia para regular determinado aspecto de la contratación estatal. Si la competencia no proviene de la ley o el reglamento, sin importar que se trate de una guía, un manual o una circular externa, no producirá efectos jurídicos y su función estará limitada a dar orientaciones o a reproducir normas, esto es, no tendrá fuerza obligatoria y, en consecuencia, no será vinculante para sus destinatarios, con independencia del nombre que</w:t>
      </w:r>
      <w:r w:rsidRPr="00CD6AD7">
        <w:rPr>
          <w:rFonts w:ascii="Arial" w:hAnsi="Arial" w:cs="Arial"/>
          <w:spacing w:val="-2"/>
          <w:szCs w:val="22"/>
        </w:rPr>
        <w:t xml:space="preserve"> </w:t>
      </w:r>
      <w:r w:rsidRPr="00CD6AD7">
        <w:rPr>
          <w:rFonts w:ascii="Arial" w:hAnsi="Arial" w:cs="Arial"/>
          <w:szCs w:val="22"/>
        </w:rPr>
        <w:t>tenga.</w:t>
      </w:r>
    </w:p>
    <w:p w14:paraId="127B93FF" w14:textId="327C12A1" w:rsidR="00A077F9" w:rsidRPr="00CD6AD7" w:rsidRDefault="00A077F9" w:rsidP="0001596F">
      <w:pPr>
        <w:spacing w:line="276" w:lineRule="auto"/>
        <w:ind w:firstLine="705"/>
        <w:jc w:val="both"/>
        <w:textAlignment w:val="baseline"/>
        <w:rPr>
          <w:rFonts w:ascii="Arial" w:hAnsi="Arial" w:cs="Arial"/>
          <w:sz w:val="22"/>
          <w:szCs w:val="22"/>
          <w:lang w:val="es-ES" w:eastAsia="es-CO"/>
        </w:rPr>
      </w:pPr>
      <w:r w:rsidRPr="00CD6AD7">
        <w:rPr>
          <w:rFonts w:ascii="Arial" w:hAnsi="Arial" w:cs="Arial"/>
          <w:sz w:val="22"/>
          <w:szCs w:val="22"/>
          <w:lang w:val="es-ES" w:eastAsia="es-CO"/>
        </w:rPr>
        <w:t xml:space="preserve">Tratándose del </w:t>
      </w:r>
      <w:r w:rsidR="00A07E50" w:rsidRPr="00CD6AD7">
        <w:rPr>
          <w:rFonts w:ascii="Arial" w:hAnsi="Arial" w:cs="Arial"/>
          <w:sz w:val="22"/>
          <w:szCs w:val="22"/>
          <w:lang w:val="es-ES" w:eastAsia="es-CO"/>
        </w:rPr>
        <w:t>«</w:t>
      </w:r>
      <w:r w:rsidRPr="00CD6AD7">
        <w:rPr>
          <w:rFonts w:ascii="Arial" w:hAnsi="Arial" w:cs="Arial"/>
          <w:sz w:val="22"/>
          <w:szCs w:val="22"/>
          <w:lang w:val="es-ES" w:eastAsia="es-CO"/>
        </w:rPr>
        <w:t>Manual para la identificación y cobertura del Riesgo en los Procesos de Contratación</w:t>
      </w:r>
      <w:r w:rsidR="00A07E50" w:rsidRPr="00CD6AD7">
        <w:rPr>
          <w:rFonts w:ascii="Arial" w:hAnsi="Arial" w:cs="Arial"/>
          <w:sz w:val="22"/>
          <w:szCs w:val="22"/>
          <w:lang w:val="es-ES" w:eastAsia="es-CO"/>
        </w:rPr>
        <w:t>»</w:t>
      </w:r>
      <w:r w:rsidRPr="00CD6AD7">
        <w:rPr>
          <w:rFonts w:ascii="Arial" w:hAnsi="Arial" w:cs="Arial"/>
          <w:sz w:val="22"/>
          <w:szCs w:val="22"/>
          <w:lang w:val="es-ES" w:eastAsia="es-CO"/>
        </w:rPr>
        <w:t xml:space="preserve"> la Agencia Nacional de Contratación Pública – Colombia Compra Eficiente, establece que, para administrar los riesgos en los procesos de </w:t>
      </w:r>
      <w:r w:rsidR="00603928" w:rsidRPr="00CD6AD7">
        <w:rPr>
          <w:rFonts w:ascii="Arial" w:hAnsi="Arial" w:cs="Arial"/>
          <w:sz w:val="22"/>
          <w:szCs w:val="22"/>
          <w:lang w:val="es-ES" w:eastAsia="es-CO"/>
        </w:rPr>
        <w:t xml:space="preserve">contratación </w:t>
      </w:r>
      <w:r w:rsidRPr="00CD6AD7">
        <w:rPr>
          <w:rFonts w:ascii="Arial" w:hAnsi="Arial" w:cs="Arial"/>
          <w:sz w:val="22"/>
          <w:szCs w:val="22"/>
          <w:lang w:val="es-ES" w:eastAsia="es-CO"/>
        </w:rPr>
        <w:t xml:space="preserve">del Estado, deben seguirse los siguientes pasos, los cuales coinciden con la organización y/o estructuración del manual en comento: </w:t>
      </w:r>
    </w:p>
    <w:p w14:paraId="121ECD07" w14:textId="77777777" w:rsidR="00603928" w:rsidRPr="00CD6AD7" w:rsidRDefault="00603928" w:rsidP="0001596F">
      <w:pPr>
        <w:spacing w:line="276" w:lineRule="auto"/>
        <w:ind w:firstLine="705"/>
        <w:jc w:val="both"/>
        <w:textAlignment w:val="baseline"/>
        <w:rPr>
          <w:rFonts w:ascii="Arial" w:hAnsi="Arial" w:cs="Arial"/>
          <w:sz w:val="22"/>
          <w:szCs w:val="22"/>
          <w:lang w:val="es-ES" w:eastAsia="es-CO"/>
        </w:rPr>
      </w:pPr>
    </w:p>
    <w:p w14:paraId="29E969FE" w14:textId="77777777" w:rsidR="00A077F9" w:rsidRPr="00CD6AD7" w:rsidRDefault="00A077F9" w:rsidP="0001596F">
      <w:pPr>
        <w:pStyle w:val="Prrafodelista"/>
        <w:numPr>
          <w:ilvl w:val="0"/>
          <w:numId w:val="28"/>
        </w:numPr>
        <w:spacing w:line="276" w:lineRule="auto"/>
        <w:jc w:val="both"/>
        <w:textAlignment w:val="baseline"/>
        <w:rPr>
          <w:rFonts w:ascii="Arial" w:hAnsi="Arial" w:cs="Arial"/>
          <w:sz w:val="22"/>
          <w:szCs w:val="22"/>
          <w:lang w:val="es-ES" w:eastAsia="es-CO"/>
        </w:rPr>
      </w:pPr>
      <w:r w:rsidRPr="00CD6AD7">
        <w:rPr>
          <w:rFonts w:ascii="Arial" w:hAnsi="Arial" w:cs="Arial"/>
          <w:sz w:val="22"/>
          <w:szCs w:val="22"/>
          <w:lang w:val="es-ES" w:eastAsia="es-CO"/>
        </w:rPr>
        <w:t>Establecer el contexto en el cual se adelanta el Proceso de Contratación.  </w:t>
      </w:r>
    </w:p>
    <w:p w14:paraId="7A93EC44" w14:textId="77777777" w:rsidR="00A077F9" w:rsidRPr="00CD6AD7" w:rsidRDefault="00A077F9" w:rsidP="0001596F">
      <w:pPr>
        <w:pStyle w:val="Prrafodelista"/>
        <w:numPr>
          <w:ilvl w:val="0"/>
          <w:numId w:val="28"/>
        </w:numPr>
        <w:spacing w:line="276" w:lineRule="auto"/>
        <w:jc w:val="both"/>
        <w:textAlignment w:val="baseline"/>
        <w:rPr>
          <w:rFonts w:ascii="Arial" w:hAnsi="Arial" w:cs="Arial"/>
          <w:sz w:val="22"/>
          <w:szCs w:val="22"/>
          <w:lang w:val="es-ES" w:eastAsia="es-CO"/>
        </w:rPr>
      </w:pPr>
      <w:r w:rsidRPr="00CD6AD7">
        <w:rPr>
          <w:rFonts w:ascii="Arial" w:hAnsi="Arial" w:cs="Arial"/>
          <w:sz w:val="22"/>
          <w:szCs w:val="22"/>
          <w:lang w:val="es-ES" w:eastAsia="es-CO"/>
        </w:rPr>
        <w:t>Identificar y clasificar los Riesgos del Proceso de Contratación.  </w:t>
      </w:r>
    </w:p>
    <w:p w14:paraId="17DBF959" w14:textId="77777777" w:rsidR="00A077F9" w:rsidRPr="00CD6AD7" w:rsidRDefault="00A077F9" w:rsidP="0001596F">
      <w:pPr>
        <w:pStyle w:val="Prrafodelista"/>
        <w:numPr>
          <w:ilvl w:val="0"/>
          <w:numId w:val="28"/>
        </w:numPr>
        <w:spacing w:line="276" w:lineRule="auto"/>
        <w:jc w:val="both"/>
        <w:textAlignment w:val="baseline"/>
        <w:rPr>
          <w:rFonts w:ascii="Arial" w:hAnsi="Arial" w:cs="Arial"/>
          <w:sz w:val="22"/>
          <w:szCs w:val="22"/>
          <w:lang w:val="es-ES" w:eastAsia="es-CO"/>
        </w:rPr>
      </w:pPr>
      <w:r w:rsidRPr="00CD6AD7">
        <w:rPr>
          <w:rFonts w:ascii="Arial" w:hAnsi="Arial" w:cs="Arial"/>
          <w:sz w:val="22"/>
          <w:szCs w:val="22"/>
          <w:lang w:val="es-ES" w:eastAsia="es-CO"/>
        </w:rPr>
        <w:t>Evaluar, calificar y estimar los riesgos  </w:t>
      </w:r>
    </w:p>
    <w:p w14:paraId="6CF97C8F" w14:textId="77777777" w:rsidR="00A077F9" w:rsidRPr="00CD6AD7" w:rsidRDefault="00A077F9" w:rsidP="0001596F">
      <w:pPr>
        <w:pStyle w:val="Prrafodelista"/>
        <w:numPr>
          <w:ilvl w:val="0"/>
          <w:numId w:val="28"/>
        </w:numPr>
        <w:spacing w:line="276" w:lineRule="auto"/>
        <w:jc w:val="both"/>
        <w:textAlignment w:val="baseline"/>
        <w:rPr>
          <w:rFonts w:ascii="Arial" w:hAnsi="Arial" w:cs="Arial"/>
          <w:sz w:val="22"/>
          <w:szCs w:val="22"/>
          <w:lang w:val="es-ES" w:eastAsia="es-CO"/>
        </w:rPr>
      </w:pPr>
      <w:r w:rsidRPr="00CD6AD7">
        <w:rPr>
          <w:rFonts w:ascii="Arial" w:hAnsi="Arial" w:cs="Arial"/>
          <w:sz w:val="22"/>
          <w:szCs w:val="22"/>
          <w:lang w:val="es-ES" w:eastAsia="es-CO"/>
        </w:rPr>
        <w:t>Asignar y tratar los Riesgos.  </w:t>
      </w:r>
    </w:p>
    <w:p w14:paraId="3A2C60C0" w14:textId="77777777" w:rsidR="00A077F9" w:rsidRPr="00CD6AD7" w:rsidRDefault="00A077F9" w:rsidP="0001596F">
      <w:pPr>
        <w:pStyle w:val="Prrafodelista"/>
        <w:numPr>
          <w:ilvl w:val="0"/>
          <w:numId w:val="28"/>
        </w:numPr>
        <w:spacing w:line="276" w:lineRule="auto"/>
        <w:jc w:val="both"/>
        <w:textAlignment w:val="baseline"/>
        <w:rPr>
          <w:rFonts w:ascii="Arial" w:hAnsi="Arial" w:cs="Arial"/>
          <w:sz w:val="22"/>
          <w:szCs w:val="22"/>
          <w:lang w:val="es-ES" w:eastAsia="es-CO"/>
        </w:rPr>
      </w:pPr>
      <w:r w:rsidRPr="00CD6AD7">
        <w:rPr>
          <w:rFonts w:ascii="Arial" w:hAnsi="Arial" w:cs="Arial"/>
          <w:sz w:val="22"/>
          <w:szCs w:val="22"/>
          <w:lang w:val="es-ES" w:eastAsia="es-CO"/>
        </w:rPr>
        <w:t>Monitorear y revisar la gestión de los Riesgos. </w:t>
      </w:r>
    </w:p>
    <w:p w14:paraId="538887AE" w14:textId="77777777" w:rsidR="00A077F9" w:rsidRPr="00CD6AD7" w:rsidRDefault="00A077F9" w:rsidP="0001596F">
      <w:pPr>
        <w:spacing w:line="276" w:lineRule="auto"/>
        <w:jc w:val="both"/>
        <w:textAlignment w:val="baseline"/>
        <w:rPr>
          <w:rFonts w:ascii="Arial" w:hAnsi="Arial" w:cs="Arial"/>
          <w:sz w:val="22"/>
          <w:szCs w:val="22"/>
          <w:lang w:val="es-ES" w:eastAsia="es-CO"/>
        </w:rPr>
      </w:pPr>
      <w:r w:rsidRPr="00CD6AD7">
        <w:rPr>
          <w:rFonts w:ascii="Arial" w:hAnsi="Arial" w:cs="Arial"/>
          <w:sz w:val="22"/>
          <w:szCs w:val="22"/>
          <w:lang w:val="es-ES" w:eastAsia="es-CO"/>
        </w:rPr>
        <w:t> </w:t>
      </w:r>
    </w:p>
    <w:p w14:paraId="37CA0790" w14:textId="1F7D1F76" w:rsidR="00A077F9" w:rsidRPr="00CD6AD7" w:rsidRDefault="00A077F9" w:rsidP="00B560EE">
      <w:pPr>
        <w:spacing w:after="120" w:line="276" w:lineRule="auto"/>
        <w:ind w:firstLine="705"/>
        <w:jc w:val="both"/>
        <w:textAlignment w:val="baseline"/>
        <w:rPr>
          <w:rFonts w:ascii="Arial" w:hAnsi="Arial" w:cs="Arial"/>
          <w:sz w:val="22"/>
          <w:szCs w:val="22"/>
          <w:lang w:val="es-ES" w:eastAsia="es-CO"/>
        </w:rPr>
      </w:pPr>
      <w:r w:rsidRPr="00CD6AD7">
        <w:rPr>
          <w:rFonts w:ascii="Arial" w:hAnsi="Arial" w:cs="Arial"/>
          <w:sz w:val="22"/>
          <w:szCs w:val="22"/>
          <w:lang w:val="es-ES" w:eastAsia="es-CO"/>
        </w:rPr>
        <w:t xml:space="preserve">Así las cosas, para establecer el contexto del Proceso de Contratación, se debe tener en cuenta el objeto, las experiencias pasadas, las condiciones sociales y económicas, el sector, entre otras. Posteriormente se deben identificar </w:t>
      </w:r>
      <w:r w:rsidR="00325B06" w:rsidRPr="00CD6AD7">
        <w:rPr>
          <w:rFonts w:ascii="Arial" w:hAnsi="Arial" w:cs="Arial"/>
          <w:sz w:val="22"/>
          <w:szCs w:val="22"/>
          <w:lang w:val="es-ES" w:eastAsia="es-CO"/>
        </w:rPr>
        <w:t xml:space="preserve">y clasificar </w:t>
      </w:r>
      <w:r w:rsidRPr="00CD6AD7">
        <w:rPr>
          <w:rFonts w:ascii="Arial" w:hAnsi="Arial" w:cs="Arial"/>
          <w:sz w:val="22"/>
          <w:szCs w:val="22"/>
          <w:lang w:val="es-ES" w:eastAsia="es-CO"/>
        </w:rPr>
        <w:t>los riesgos comúnmente asociados y los propios del proceso</w:t>
      </w:r>
      <w:r w:rsidR="00325B06" w:rsidRPr="00CD6AD7">
        <w:rPr>
          <w:rFonts w:ascii="Arial" w:hAnsi="Arial" w:cs="Arial"/>
          <w:sz w:val="22"/>
          <w:szCs w:val="22"/>
          <w:lang w:val="es-ES" w:eastAsia="es-CO"/>
        </w:rPr>
        <w:t xml:space="preserve"> de contratación</w:t>
      </w:r>
      <w:r w:rsidRPr="00CD6AD7">
        <w:rPr>
          <w:rFonts w:ascii="Arial" w:hAnsi="Arial" w:cs="Arial"/>
          <w:sz w:val="22"/>
          <w:szCs w:val="22"/>
          <w:lang w:val="es-ES" w:eastAsia="es-CO"/>
        </w:rPr>
        <w:t>.</w:t>
      </w:r>
    </w:p>
    <w:p w14:paraId="3D2C8773" w14:textId="77777777" w:rsidR="00A077F9" w:rsidRPr="00CD6AD7" w:rsidRDefault="00A077F9" w:rsidP="00B560EE">
      <w:pPr>
        <w:spacing w:after="120" w:line="276" w:lineRule="auto"/>
        <w:ind w:firstLine="705"/>
        <w:jc w:val="both"/>
        <w:textAlignment w:val="baseline"/>
        <w:rPr>
          <w:rFonts w:ascii="Arial" w:hAnsi="Arial" w:cs="Arial"/>
          <w:sz w:val="22"/>
          <w:szCs w:val="22"/>
          <w:lang w:val="es-ES" w:eastAsia="es-CO"/>
        </w:rPr>
      </w:pPr>
      <w:r w:rsidRPr="00CD6AD7">
        <w:rPr>
          <w:rFonts w:ascii="Arial" w:hAnsi="Arial" w:cs="Arial"/>
          <w:sz w:val="22"/>
          <w:szCs w:val="22"/>
          <w:lang w:val="es-ES" w:eastAsia="es-CO"/>
        </w:rPr>
        <w:t>Una vez identificados los riesgos, se recomienda establecer acciones o actividades específicas para responder a cada uno ellos, para lo cual, se sugiere en el Manual, «preparar un plan de tratamiento para documentar cómo se enfrenta cada uno de los Riesgos (ver matriz), incluyendo acciones, cronogramas, recursos (personal, información) y presupuesto, responsabilidades, necesidades de informes y reportes y de monitoreo».</w:t>
      </w:r>
    </w:p>
    <w:p w14:paraId="7520555E" w14:textId="405BDD1D" w:rsidR="004A76FB" w:rsidRDefault="004A76FB" w:rsidP="004A76FB">
      <w:pPr>
        <w:spacing w:after="120" w:line="276" w:lineRule="auto"/>
        <w:ind w:firstLine="705"/>
        <w:jc w:val="both"/>
        <w:textAlignment w:val="baseline"/>
        <w:rPr>
          <w:rFonts w:ascii="Arial" w:hAnsi="Arial" w:cs="Arial"/>
          <w:sz w:val="22"/>
          <w:szCs w:val="22"/>
          <w:lang w:val="es-ES" w:eastAsia="es-CO"/>
        </w:rPr>
      </w:pPr>
      <w:r w:rsidRPr="00CD6AD7">
        <w:rPr>
          <w:rFonts w:ascii="Arial" w:hAnsi="Arial" w:cs="Arial"/>
          <w:sz w:val="22"/>
          <w:szCs w:val="22"/>
          <w:lang w:val="es-ES" w:eastAsia="es-CO"/>
        </w:rPr>
        <w:t>Por último, </w:t>
      </w:r>
      <w:r>
        <w:rPr>
          <w:rFonts w:ascii="Arial" w:hAnsi="Arial" w:cs="Arial"/>
          <w:sz w:val="22"/>
          <w:szCs w:val="22"/>
          <w:lang w:val="es-ES" w:eastAsia="es-CO"/>
        </w:rPr>
        <w:t xml:space="preserve">cuando el manual </w:t>
      </w:r>
      <w:r w:rsidRPr="00CD6AD7">
        <w:rPr>
          <w:rFonts w:ascii="Arial" w:hAnsi="Arial" w:cs="Arial"/>
          <w:sz w:val="22"/>
          <w:szCs w:val="22"/>
          <w:lang w:val="es-ES" w:eastAsia="es-CO"/>
        </w:rPr>
        <w:t>establece que</w:t>
      </w:r>
      <w:r w:rsidR="008B32F5">
        <w:rPr>
          <w:rFonts w:ascii="Arial" w:hAnsi="Arial" w:cs="Arial"/>
          <w:sz w:val="22"/>
          <w:szCs w:val="22"/>
          <w:lang w:val="es-ES" w:eastAsia="es-CO"/>
        </w:rPr>
        <w:t xml:space="preserve"> las entidades estatales deben realizar un monitoreo constante en la medida que</w:t>
      </w:r>
      <w:r w:rsidRPr="00CD6AD7">
        <w:rPr>
          <w:rFonts w:ascii="Arial" w:hAnsi="Arial" w:cs="Arial"/>
          <w:sz w:val="22"/>
          <w:szCs w:val="22"/>
          <w:lang w:val="es-ES" w:eastAsia="es-CO"/>
        </w:rPr>
        <w:t xml:space="preserve"> los riesgos no son estáticos</w:t>
      </w:r>
      <w:r w:rsidR="008B32F5">
        <w:rPr>
          <w:rFonts w:ascii="Arial" w:hAnsi="Arial" w:cs="Arial"/>
          <w:sz w:val="22"/>
          <w:szCs w:val="22"/>
          <w:lang w:val="es-ES" w:eastAsia="es-CO"/>
        </w:rPr>
        <w:t>,</w:t>
      </w:r>
      <w:r w:rsidRPr="00CD6AD7">
        <w:rPr>
          <w:rFonts w:ascii="Arial" w:hAnsi="Arial" w:cs="Arial"/>
          <w:sz w:val="22"/>
          <w:szCs w:val="22"/>
          <w:lang w:val="es-ES" w:eastAsia="es-CO"/>
        </w:rPr>
        <w:t xml:space="preserve"> </w:t>
      </w:r>
      <w:r w:rsidR="008B32F5">
        <w:rPr>
          <w:rFonts w:ascii="Arial" w:hAnsi="Arial" w:cs="Arial"/>
          <w:sz w:val="22"/>
          <w:szCs w:val="22"/>
          <w:lang w:val="es-ES" w:eastAsia="es-CO"/>
        </w:rPr>
        <w:t xml:space="preserve">hace referencia a </w:t>
      </w:r>
      <w:r w:rsidR="008B32F5">
        <w:rPr>
          <w:rFonts w:ascii="Arial" w:hAnsi="Arial" w:cs="Arial"/>
          <w:sz w:val="22"/>
          <w:szCs w:val="22"/>
          <w:lang w:val="es-ES" w:eastAsia="es-CO"/>
        </w:rPr>
        <w:lastRenderedPageBreak/>
        <w:t xml:space="preserve">que </w:t>
      </w:r>
      <w:r w:rsidRPr="00CD6AD7">
        <w:rPr>
          <w:rFonts w:ascii="Arial" w:hAnsi="Arial" w:cs="Arial"/>
          <w:sz w:val="22"/>
          <w:szCs w:val="22"/>
          <w:lang w:val="es-ES" w:eastAsia="es-CO"/>
        </w:rPr>
        <w:t>debe</w:t>
      </w:r>
      <w:r w:rsidR="008B32F5">
        <w:rPr>
          <w:rFonts w:ascii="Arial" w:hAnsi="Arial" w:cs="Arial"/>
          <w:sz w:val="22"/>
          <w:szCs w:val="22"/>
          <w:lang w:val="es-ES" w:eastAsia="es-CO"/>
        </w:rPr>
        <w:t>n</w:t>
      </w:r>
      <w:r w:rsidRPr="00CD6AD7">
        <w:rPr>
          <w:rFonts w:ascii="Arial" w:hAnsi="Arial" w:cs="Arial"/>
          <w:sz w:val="22"/>
          <w:szCs w:val="22"/>
          <w:lang w:val="es-ES" w:eastAsia="es-CO"/>
        </w:rPr>
        <w:t xml:space="preserve"> monitorear</w:t>
      </w:r>
      <w:r w:rsidR="008B32F5">
        <w:rPr>
          <w:rFonts w:ascii="Arial" w:hAnsi="Arial" w:cs="Arial"/>
          <w:sz w:val="22"/>
          <w:szCs w:val="22"/>
          <w:lang w:val="es-ES" w:eastAsia="es-CO"/>
        </w:rPr>
        <w:t xml:space="preserve"> y hacer seguimiento</w:t>
      </w:r>
      <w:r w:rsidRPr="00CD6AD7">
        <w:rPr>
          <w:rFonts w:ascii="Arial" w:hAnsi="Arial" w:cs="Arial"/>
          <w:sz w:val="22"/>
          <w:szCs w:val="22"/>
          <w:lang w:val="es-ES" w:eastAsia="es-CO"/>
        </w:rPr>
        <w:t xml:space="preserve"> el plan de tratamiento</w:t>
      </w:r>
      <w:r>
        <w:rPr>
          <w:rFonts w:ascii="Arial" w:hAnsi="Arial" w:cs="Arial"/>
          <w:sz w:val="22"/>
          <w:szCs w:val="22"/>
          <w:lang w:val="es-ES" w:eastAsia="es-CO"/>
        </w:rPr>
        <w:t xml:space="preserve"> </w:t>
      </w:r>
      <w:r w:rsidR="008B32F5" w:rsidRPr="00CD6AD7">
        <w:rPr>
          <w:rFonts w:ascii="Arial" w:hAnsi="Arial" w:cs="Arial"/>
          <w:sz w:val="22"/>
          <w:szCs w:val="22"/>
          <w:lang w:val="es-ES" w:eastAsia="es-CO"/>
        </w:rPr>
        <w:t>con el fin de identificar los posibles impactos generados por cambios en las circunstancias internas y externas</w:t>
      </w:r>
      <w:r w:rsidR="008B32F5" w:rsidRPr="00CD6AD7">
        <w:rPr>
          <w:rStyle w:val="Refdenotaalpie"/>
          <w:rFonts w:ascii="Arial" w:hAnsi="Arial" w:cs="Arial"/>
          <w:sz w:val="22"/>
          <w:szCs w:val="22"/>
          <w:lang w:val="es-ES" w:eastAsia="es-CO"/>
        </w:rPr>
        <w:footnoteReference w:id="18"/>
      </w:r>
      <w:r w:rsidR="008B32F5" w:rsidRPr="00CD6AD7">
        <w:rPr>
          <w:rFonts w:ascii="Arial" w:hAnsi="Arial" w:cs="Arial"/>
          <w:sz w:val="22"/>
          <w:szCs w:val="22"/>
          <w:lang w:val="es-ES" w:eastAsia="es-CO"/>
        </w:rPr>
        <w:t>.</w:t>
      </w:r>
    </w:p>
    <w:p w14:paraId="7EFE1DFC" w14:textId="77777777" w:rsidR="00D06ECB" w:rsidRPr="00CD6AD7" w:rsidRDefault="00D06ECB" w:rsidP="005C5767">
      <w:pPr>
        <w:pStyle w:val="Textoindependiente"/>
        <w:spacing w:after="0"/>
        <w:rPr>
          <w:rFonts w:ascii="Arial" w:hAnsi="Arial" w:cs="Arial"/>
          <w:szCs w:val="22"/>
        </w:rPr>
      </w:pPr>
    </w:p>
    <w:p w14:paraId="75D15729" w14:textId="77777777" w:rsidR="00D06ECB" w:rsidRPr="00CD6AD7" w:rsidRDefault="00D06ECB" w:rsidP="003818BE">
      <w:pPr>
        <w:numPr>
          <w:ilvl w:val="0"/>
          <w:numId w:val="6"/>
        </w:numPr>
        <w:tabs>
          <w:tab w:val="left" w:pos="284"/>
        </w:tabs>
        <w:spacing w:line="276" w:lineRule="auto"/>
        <w:ind w:left="0" w:firstLine="0"/>
        <w:contextualSpacing/>
        <w:rPr>
          <w:rFonts w:ascii="Arial" w:hAnsi="Arial" w:cs="Arial"/>
          <w:b/>
          <w:bCs/>
          <w:color w:val="000000" w:themeColor="text1"/>
          <w:sz w:val="22"/>
          <w:szCs w:val="22"/>
        </w:rPr>
      </w:pPr>
      <w:r w:rsidRPr="00CD6AD7">
        <w:rPr>
          <w:rFonts w:ascii="Arial" w:hAnsi="Arial" w:cs="Arial"/>
          <w:b/>
          <w:bCs/>
          <w:color w:val="000000" w:themeColor="text1"/>
          <w:sz w:val="22"/>
          <w:szCs w:val="22"/>
        </w:rPr>
        <w:t xml:space="preserve">Respuesta </w:t>
      </w:r>
    </w:p>
    <w:p w14:paraId="7B09C198" w14:textId="77777777" w:rsidR="00D06ECB" w:rsidRPr="00CD6AD7" w:rsidRDefault="00D06ECB" w:rsidP="00D06ECB">
      <w:pPr>
        <w:spacing w:line="276" w:lineRule="auto"/>
        <w:ind w:right="709"/>
        <w:jc w:val="both"/>
        <w:rPr>
          <w:rFonts w:ascii="Arial" w:hAnsi="Arial" w:cs="Arial"/>
          <w:color w:val="000000" w:themeColor="text1"/>
          <w:sz w:val="21"/>
          <w:szCs w:val="21"/>
        </w:rPr>
      </w:pPr>
    </w:p>
    <w:p w14:paraId="5D57BF94" w14:textId="52CA4F50" w:rsidR="00D06ECB" w:rsidRPr="00CD6AD7" w:rsidRDefault="00D06ECB" w:rsidP="009D7271">
      <w:pPr>
        <w:tabs>
          <w:tab w:val="left" w:pos="426"/>
        </w:tabs>
        <w:ind w:left="709" w:right="709"/>
        <w:jc w:val="both"/>
        <w:rPr>
          <w:rFonts w:ascii="Arial" w:eastAsia="Calibri" w:hAnsi="Arial" w:cs="Arial"/>
          <w:color w:val="000000" w:themeColor="text1"/>
          <w:sz w:val="21"/>
          <w:szCs w:val="21"/>
        </w:rPr>
      </w:pPr>
      <w:r w:rsidRPr="00CD6AD7">
        <w:rPr>
          <w:rFonts w:ascii="Arial" w:eastAsia="Calibri" w:hAnsi="Arial" w:cs="Arial"/>
          <w:color w:val="000000" w:themeColor="text1"/>
          <w:sz w:val="21"/>
          <w:szCs w:val="21"/>
        </w:rPr>
        <w:t>«</w:t>
      </w:r>
      <w:r w:rsidR="009D7271" w:rsidRPr="00CD6AD7">
        <w:rPr>
          <w:rFonts w:ascii="Arial" w:eastAsia="Calibri" w:hAnsi="Arial" w:cs="Arial"/>
          <w:color w:val="000000" w:themeColor="text1"/>
          <w:sz w:val="21"/>
          <w:szCs w:val="21"/>
        </w:rPr>
        <w:t xml:space="preserve"> ¿A qué se refiere el “Manual para la Identificación y Cobertura del Riesgo en los Procesos de Contratación” que conforme a su contenido comprende las etapas de planeación, selección, contratación y ejecución, cuando señala la obligación de la entidad estatal de monitorear los riesgos del proceso de contratación para determinar la necesidad de hacer ajustes a la matriz de riesgos, bajo en entendido que “los riesgos no son estáticos” (página 15), si el artículo 4° de la Ley 1150 de 2007, señala que la distribución de riesgos es definitiva?</w:t>
      </w:r>
      <w:r w:rsidR="003A213B" w:rsidRPr="00CD6AD7">
        <w:rPr>
          <w:rFonts w:ascii="Arial" w:eastAsia="Calibri" w:hAnsi="Arial" w:cs="Arial"/>
          <w:color w:val="000000" w:themeColor="text1"/>
          <w:sz w:val="21"/>
          <w:szCs w:val="21"/>
        </w:rPr>
        <w:t>»</w:t>
      </w:r>
    </w:p>
    <w:p w14:paraId="00770CF0" w14:textId="77777777" w:rsidR="0020174E" w:rsidRPr="00CD6AD7" w:rsidRDefault="0020174E" w:rsidP="003A213B">
      <w:pPr>
        <w:tabs>
          <w:tab w:val="left" w:pos="426"/>
        </w:tabs>
        <w:ind w:right="709"/>
        <w:jc w:val="both"/>
        <w:rPr>
          <w:rFonts w:ascii="Arial" w:hAnsi="Arial" w:cs="Arial"/>
          <w:sz w:val="22"/>
          <w:szCs w:val="22"/>
        </w:rPr>
      </w:pPr>
    </w:p>
    <w:p w14:paraId="209956F7" w14:textId="032A3CD8" w:rsidR="004A1D20" w:rsidRPr="00CD6AD7" w:rsidRDefault="006A2EB5" w:rsidP="004A1D20">
      <w:pPr>
        <w:pStyle w:val="Textoindependiente"/>
        <w:ind w:right="49"/>
        <w:jc w:val="both"/>
        <w:rPr>
          <w:rFonts w:ascii="Arial" w:hAnsi="Arial" w:cs="Arial"/>
          <w:szCs w:val="22"/>
        </w:rPr>
      </w:pPr>
      <w:r w:rsidRPr="00CD6AD7">
        <w:rPr>
          <w:rFonts w:ascii="Arial" w:hAnsi="Arial" w:cs="Arial"/>
          <w:szCs w:val="22"/>
        </w:rPr>
        <w:t xml:space="preserve">En primer </w:t>
      </w:r>
      <w:proofErr w:type="gramStart"/>
      <w:r w:rsidRPr="00CD6AD7">
        <w:rPr>
          <w:rFonts w:ascii="Arial" w:hAnsi="Arial" w:cs="Arial"/>
          <w:szCs w:val="22"/>
        </w:rPr>
        <w:t>lugar</w:t>
      </w:r>
      <w:proofErr w:type="gramEnd"/>
      <w:r w:rsidRPr="00CD6AD7">
        <w:rPr>
          <w:rFonts w:ascii="Arial" w:hAnsi="Arial" w:cs="Arial"/>
          <w:szCs w:val="22"/>
        </w:rPr>
        <w:t xml:space="preserve"> es importante aclarar, como se señaló en las consideraciones, que f</w:t>
      </w:r>
      <w:r w:rsidR="004A1D20" w:rsidRPr="00CD6AD7">
        <w:rPr>
          <w:rFonts w:ascii="Arial" w:hAnsi="Arial" w:cs="Arial"/>
          <w:szCs w:val="22"/>
        </w:rPr>
        <w:t xml:space="preserve">rente a los manuales y guías para la </w:t>
      </w:r>
      <w:r w:rsidRPr="00CD6AD7">
        <w:rPr>
          <w:rFonts w:ascii="Arial" w:hAnsi="Arial" w:cs="Arial"/>
          <w:szCs w:val="22"/>
        </w:rPr>
        <w:t>«</w:t>
      </w:r>
      <w:r w:rsidR="004A1D20" w:rsidRPr="00CD6AD7">
        <w:rPr>
          <w:rFonts w:ascii="Arial" w:hAnsi="Arial" w:cs="Arial"/>
          <w:szCs w:val="22"/>
        </w:rPr>
        <w:t>identificación y cobertura del riesgo</w:t>
      </w:r>
      <w:r w:rsidRPr="00CD6AD7">
        <w:rPr>
          <w:rFonts w:ascii="Arial" w:hAnsi="Arial" w:cs="Arial"/>
          <w:szCs w:val="22"/>
        </w:rPr>
        <w:t>»</w:t>
      </w:r>
      <w:r w:rsidR="004A1D20" w:rsidRPr="00CD6AD7">
        <w:rPr>
          <w:rFonts w:ascii="Arial" w:hAnsi="Arial" w:cs="Arial"/>
          <w:szCs w:val="22"/>
        </w:rPr>
        <w:t xml:space="preserve">, el Consejo de Estado concluyó que, a la luz del artículo 4 de la Ley 1150 de 2007, son las entidades contratantes las obligadas a incluir en los pliegos de condiciones la estimación, tipificación y asignación del riesgo previsible a cada proceso de contratación. Asimismo, frente a la cobertura de ese riesgo, el artículo 7 de la Ley 1150 de 2007 determinó que era el Gobierno Nacional quien debía fijar los </w:t>
      </w:r>
      <w:r w:rsidRPr="00CD6AD7">
        <w:rPr>
          <w:rFonts w:ascii="Arial" w:hAnsi="Arial" w:cs="Arial"/>
          <w:szCs w:val="22"/>
        </w:rPr>
        <w:t>«</w:t>
      </w:r>
      <w:r w:rsidR="004A1D20" w:rsidRPr="00CD6AD7">
        <w:rPr>
          <w:rFonts w:ascii="Arial" w:hAnsi="Arial" w:cs="Arial"/>
          <w:szCs w:val="22"/>
        </w:rPr>
        <w:t>criterios que seguirán las entidades para la exigencia de garantías, las clases y niveles de amparo de los riesgos de los contratos</w:t>
      </w:r>
      <w:r w:rsidRPr="00CD6AD7">
        <w:rPr>
          <w:rFonts w:ascii="Arial" w:hAnsi="Arial" w:cs="Arial"/>
          <w:szCs w:val="22"/>
        </w:rPr>
        <w:t>»</w:t>
      </w:r>
      <w:r w:rsidR="004A1D20" w:rsidRPr="00CD6AD7">
        <w:rPr>
          <w:rFonts w:ascii="Arial" w:hAnsi="Arial" w:cs="Arial"/>
          <w:szCs w:val="22"/>
        </w:rPr>
        <w:t>.</w:t>
      </w:r>
    </w:p>
    <w:p w14:paraId="35AA029F" w14:textId="6F5D5C71" w:rsidR="004A1D20" w:rsidRPr="00CD6AD7" w:rsidRDefault="004A1D20" w:rsidP="004A1D20">
      <w:pPr>
        <w:pStyle w:val="Textoindependiente"/>
        <w:ind w:right="49" w:firstLine="708"/>
        <w:jc w:val="both"/>
        <w:rPr>
          <w:rFonts w:ascii="Arial" w:hAnsi="Arial" w:cs="Arial"/>
          <w:szCs w:val="22"/>
        </w:rPr>
      </w:pPr>
      <w:r w:rsidRPr="00CD6AD7">
        <w:rPr>
          <w:rFonts w:ascii="Arial" w:hAnsi="Arial" w:cs="Arial"/>
          <w:szCs w:val="22"/>
        </w:rPr>
        <w:t xml:space="preserve"> Por ello, al declararse la nulidad del literal a) del numeral 2 del artículo 159 del Decreto 1510 de 2013, el Consejo de Estado determinó que las guías o manuales que expida Colombia Compra Eficiente, en relación con la identificación y cobertura de riesgos, no son vinculantes para las entidades, quienes podrán, de manera facultativa, acudir a ellas como una guía para llevar a cabo la estimación, tipificación, asignación y cobertura de riesgos en cada proceso de contratación particular.</w:t>
      </w:r>
    </w:p>
    <w:p w14:paraId="3DDA54CD" w14:textId="28807C29" w:rsidR="00096274" w:rsidRPr="00CD6AD7" w:rsidRDefault="00096274" w:rsidP="00B560EE">
      <w:pPr>
        <w:spacing w:line="276" w:lineRule="auto"/>
        <w:ind w:firstLine="705"/>
        <w:jc w:val="both"/>
        <w:textAlignment w:val="baseline"/>
        <w:rPr>
          <w:rFonts w:ascii="Arial" w:hAnsi="Arial" w:cs="Arial"/>
          <w:sz w:val="22"/>
          <w:szCs w:val="22"/>
          <w:lang w:val="es-ES" w:eastAsia="es-CO"/>
        </w:rPr>
      </w:pPr>
      <w:r w:rsidRPr="00B560EE">
        <w:rPr>
          <w:rFonts w:ascii="Arial" w:hAnsi="Arial" w:cs="Arial"/>
          <w:sz w:val="22"/>
          <w:szCs w:val="22"/>
          <w:lang w:val="es-ES" w:eastAsia="es-CO"/>
        </w:rPr>
        <w:t xml:space="preserve">En todo caso, </w:t>
      </w:r>
      <w:r w:rsidR="00264EEA" w:rsidRPr="00CD6AD7">
        <w:rPr>
          <w:rFonts w:ascii="Arial" w:hAnsi="Arial" w:cs="Arial"/>
          <w:sz w:val="22"/>
          <w:szCs w:val="22"/>
          <w:lang w:val="es-ES" w:eastAsia="es-CO"/>
        </w:rPr>
        <w:t xml:space="preserve">en relación por el aparte del Manual por el que pregunta el peticionario, </w:t>
      </w:r>
      <w:r w:rsidR="00B560EE">
        <w:rPr>
          <w:rFonts w:ascii="Arial" w:hAnsi="Arial" w:cs="Arial"/>
          <w:sz w:val="22"/>
          <w:szCs w:val="22"/>
          <w:lang w:val="es-ES" w:eastAsia="es-CO"/>
        </w:rPr>
        <w:t xml:space="preserve">cuando el manual </w:t>
      </w:r>
      <w:r w:rsidR="00B560EE" w:rsidRPr="00CD6AD7">
        <w:rPr>
          <w:rFonts w:ascii="Arial" w:hAnsi="Arial" w:cs="Arial"/>
          <w:sz w:val="22"/>
          <w:szCs w:val="22"/>
          <w:lang w:val="es-ES" w:eastAsia="es-CO"/>
        </w:rPr>
        <w:t>establece que</w:t>
      </w:r>
      <w:r w:rsidR="00B560EE">
        <w:rPr>
          <w:rFonts w:ascii="Arial" w:hAnsi="Arial" w:cs="Arial"/>
          <w:sz w:val="22"/>
          <w:szCs w:val="22"/>
          <w:lang w:val="es-ES" w:eastAsia="es-CO"/>
        </w:rPr>
        <w:t xml:space="preserve"> las entidades estatales deben realizar un monitoreo constante en la medida que</w:t>
      </w:r>
      <w:r w:rsidR="00B560EE" w:rsidRPr="00CD6AD7">
        <w:rPr>
          <w:rFonts w:ascii="Arial" w:hAnsi="Arial" w:cs="Arial"/>
          <w:sz w:val="22"/>
          <w:szCs w:val="22"/>
          <w:lang w:val="es-ES" w:eastAsia="es-CO"/>
        </w:rPr>
        <w:t xml:space="preserve"> los riesgos no son estáticos</w:t>
      </w:r>
      <w:r w:rsidR="00B560EE">
        <w:rPr>
          <w:rFonts w:ascii="Arial" w:hAnsi="Arial" w:cs="Arial"/>
          <w:sz w:val="22"/>
          <w:szCs w:val="22"/>
          <w:lang w:val="es-ES" w:eastAsia="es-CO"/>
        </w:rPr>
        <w:t>,</w:t>
      </w:r>
      <w:r w:rsidR="00B560EE" w:rsidRPr="00CD6AD7">
        <w:rPr>
          <w:rFonts w:ascii="Arial" w:hAnsi="Arial" w:cs="Arial"/>
          <w:sz w:val="22"/>
          <w:szCs w:val="22"/>
          <w:lang w:val="es-ES" w:eastAsia="es-CO"/>
        </w:rPr>
        <w:t xml:space="preserve"> </w:t>
      </w:r>
      <w:r w:rsidR="00B560EE">
        <w:rPr>
          <w:rFonts w:ascii="Arial" w:hAnsi="Arial" w:cs="Arial"/>
          <w:sz w:val="22"/>
          <w:szCs w:val="22"/>
          <w:lang w:val="es-ES" w:eastAsia="es-CO"/>
        </w:rPr>
        <w:t xml:space="preserve">hace referencia a que se recomienda </w:t>
      </w:r>
      <w:r w:rsidR="00B560EE" w:rsidRPr="00CD6AD7">
        <w:rPr>
          <w:rFonts w:ascii="Arial" w:hAnsi="Arial" w:cs="Arial"/>
          <w:sz w:val="22"/>
          <w:szCs w:val="22"/>
          <w:lang w:val="es-ES" w:eastAsia="es-CO"/>
        </w:rPr>
        <w:t>monitorear</w:t>
      </w:r>
      <w:r w:rsidR="00B560EE">
        <w:rPr>
          <w:rFonts w:ascii="Arial" w:hAnsi="Arial" w:cs="Arial"/>
          <w:sz w:val="22"/>
          <w:szCs w:val="22"/>
          <w:lang w:val="es-ES" w:eastAsia="es-CO"/>
        </w:rPr>
        <w:t xml:space="preserve"> y hacer seguimiento</w:t>
      </w:r>
      <w:r w:rsidR="00B560EE" w:rsidRPr="00CD6AD7">
        <w:rPr>
          <w:rFonts w:ascii="Arial" w:hAnsi="Arial" w:cs="Arial"/>
          <w:sz w:val="22"/>
          <w:szCs w:val="22"/>
          <w:lang w:val="es-ES" w:eastAsia="es-CO"/>
        </w:rPr>
        <w:t xml:space="preserve"> el plan de tratamiento</w:t>
      </w:r>
      <w:r w:rsidR="00B560EE">
        <w:rPr>
          <w:rFonts w:ascii="Arial" w:hAnsi="Arial" w:cs="Arial"/>
          <w:sz w:val="22"/>
          <w:szCs w:val="22"/>
          <w:lang w:val="es-ES" w:eastAsia="es-CO"/>
        </w:rPr>
        <w:t xml:space="preserve"> </w:t>
      </w:r>
      <w:r w:rsidR="00B560EE" w:rsidRPr="00CD6AD7">
        <w:rPr>
          <w:rFonts w:ascii="Arial" w:hAnsi="Arial" w:cs="Arial"/>
          <w:sz w:val="22"/>
          <w:szCs w:val="22"/>
          <w:lang w:val="es-ES" w:eastAsia="es-CO"/>
        </w:rPr>
        <w:t>con el fin de identificar los posibles impactos generados por cambios en las circunstancias internas y externas</w:t>
      </w:r>
      <w:r w:rsidR="00B560EE">
        <w:rPr>
          <w:rFonts w:ascii="Arial" w:hAnsi="Arial" w:cs="Arial"/>
          <w:sz w:val="22"/>
          <w:szCs w:val="22"/>
          <w:lang w:val="es-ES" w:eastAsia="es-CO"/>
        </w:rPr>
        <w:t xml:space="preserve">. </w:t>
      </w:r>
      <w:r w:rsidR="00617601" w:rsidRPr="00CD6AD7">
        <w:rPr>
          <w:rFonts w:ascii="Arial" w:hAnsi="Arial" w:cs="Arial"/>
          <w:sz w:val="22"/>
          <w:szCs w:val="22"/>
          <w:lang w:val="es-ES" w:eastAsia="es-CO"/>
        </w:rPr>
        <w:t xml:space="preserve">En efecto, es importante señalar que este contenido del Manual se encuentra </w:t>
      </w:r>
      <w:r w:rsidR="00617601" w:rsidRPr="00CD6AD7">
        <w:rPr>
          <w:rFonts w:ascii="Arial" w:hAnsi="Arial" w:cs="Arial"/>
          <w:sz w:val="22"/>
          <w:szCs w:val="22"/>
          <w:lang w:val="es-ES" w:eastAsia="es-CO"/>
        </w:rPr>
        <w:lastRenderedPageBreak/>
        <w:t>dentro del numeral 5, titulado «Monitorear los Riesgos»</w:t>
      </w:r>
      <w:r w:rsidR="00955619" w:rsidRPr="00CD6AD7">
        <w:rPr>
          <w:rFonts w:ascii="Arial" w:hAnsi="Arial" w:cs="Arial"/>
          <w:sz w:val="22"/>
          <w:szCs w:val="22"/>
          <w:lang w:val="es-ES" w:eastAsia="es-CO"/>
        </w:rPr>
        <w:t>, donde se establece la recomendación de «revisar si es necesario hacer ajustes al plan de tratamiento».</w:t>
      </w:r>
    </w:p>
    <w:p w14:paraId="22392BFB" w14:textId="6CB68B30" w:rsidR="00D06ECB" w:rsidRPr="00CD6AD7" w:rsidRDefault="00D06ECB" w:rsidP="00D06ECB">
      <w:pPr>
        <w:spacing w:before="120" w:line="276" w:lineRule="auto"/>
        <w:jc w:val="both"/>
        <w:rPr>
          <w:rFonts w:ascii="Arial" w:eastAsia="Calibri" w:hAnsi="Arial" w:cs="Arial"/>
          <w:color w:val="000000" w:themeColor="text1"/>
          <w:sz w:val="22"/>
          <w:szCs w:val="22"/>
        </w:rPr>
      </w:pPr>
      <w:r w:rsidRPr="00CD6AD7">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06590D2F" w14:textId="77777777" w:rsidR="00D06ECB" w:rsidRPr="00CD6AD7" w:rsidRDefault="00D06ECB" w:rsidP="00D06ECB">
      <w:pPr>
        <w:ind w:firstLine="709"/>
        <w:jc w:val="both"/>
        <w:rPr>
          <w:rFonts w:ascii="Arial" w:eastAsia="Calibri" w:hAnsi="Arial" w:cs="Arial"/>
          <w:color w:val="000000" w:themeColor="text1"/>
        </w:rPr>
      </w:pPr>
    </w:p>
    <w:p w14:paraId="215B851D" w14:textId="77777777" w:rsidR="00D06ECB" w:rsidRPr="00CD6AD7" w:rsidRDefault="00D06ECB" w:rsidP="00D06ECB">
      <w:pPr>
        <w:jc w:val="both"/>
        <w:rPr>
          <w:rFonts w:ascii="Arial" w:hAnsi="Arial" w:cs="Arial"/>
          <w:color w:val="000000" w:themeColor="text1"/>
          <w:lang w:eastAsia="es-CO"/>
        </w:rPr>
      </w:pPr>
      <w:r w:rsidRPr="00CD6AD7">
        <w:rPr>
          <w:rFonts w:ascii="Arial" w:hAnsi="Arial" w:cs="Arial"/>
          <w:color w:val="000000" w:themeColor="text1"/>
          <w:lang w:eastAsia="es-CO"/>
        </w:rPr>
        <w:t>Atentamente,</w:t>
      </w:r>
    </w:p>
    <w:p w14:paraId="1B11740C" w14:textId="3E5E8A56" w:rsidR="00C36929" w:rsidRPr="00CD6AD7" w:rsidRDefault="00EC1F36" w:rsidP="00D06ECB">
      <w:pPr>
        <w:tabs>
          <w:tab w:val="left" w:pos="426"/>
        </w:tabs>
        <w:spacing w:after="120" w:line="276" w:lineRule="auto"/>
        <w:ind w:firstLine="709"/>
        <w:jc w:val="center"/>
        <w:rPr>
          <w:rFonts w:ascii="Arial" w:eastAsia="Calibri" w:hAnsi="Arial" w:cs="Arial"/>
          <w:color w:val="000000" w:themeColor="text1"/>
        </w:rPr>
      </w:pPr>
      <w:r>
        <w:rPr>
          <w:noProof/>
        </w:rPr>
        <w:drawing>
          <wp:inline distT="0" distB="0" distL="0" distR="0" wp14:anchorId="4BEDE8E5" wp14:editId="010C895D">
            <wp:extent cx="2514600" cy="1114425"/>
            <wp:effectExtent l="0" t="0" r="0" b="0"/>
            <wp:docPr id="1357320060" name="Imagen 135732006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20060" name="Imagen 1357320060"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819"/>
      </w:tblGrid>
      <w:tr w:rsidR="00D06ECB" w:rsidRPr="00CD6AD7" w14:paraId="2B1A6ABC" w14:textId="77777777" w:rsidTr="00A56442">
        <w:trPr>
          <w:trHeight w:val="362"/>
        </w:trPr>
        <w:tc>
          <w:tcPr>
            <w:tcW w:w="886" w:type="dxa"/>
            <w:vAlign w:val="center"/>
            <w:hideMark/>
          </w:tcPr>
          <w:bookmarkEnd w:id="1"/>
          <w:bookmarkEnd w:id="2"/>
          <w:p w14:paraId="6C886E0D" w14:textId="77777777" w:rsidR="00D06ECB" w:rsidRPr="00CD6AD7" w:rsidRDefault="00D06ECB" w:rsidP="00E029E1">
            <w:pPr>
              <w:rPr>
                <w:rFonts w:ascii="Arial" w:hAnsi="Arial" w:cs="Arial"/>
                <w:color w:val="000000" w:themeColor="text1"/>
                <w:sz w:val="16"/>
                <w:szCs w:val="16"/>
                <w:lang w:eastAsia="es-ES"/>
              </w:rPr>
            </w:pPr>
            <w:r w:rsidRPr="00CD6AD7">
              <w:rPr>
                <w:rFonts w:ascii="Arial" w:hAnsi="Arial" w:cs="Arial"/>
                <w:color w:val="000000" w:themeColor="text1"/>
                <w:sz w:val="16"/>
                <w:szCs w:val="16"/>
                <w:lang w:eastAsia="es-ES"/>
              </w:rPr>
              <w:t>Elaboró:</w:t>
            </w:r>
          </w:p>
        </w:tc>
        <w:tc>
          <w:tcPr>
            <w:tcW w:w="4819" w:type="dxa"/>
            <w:tcBorders>
              <w:top w:val="nil"/>
              <w:left w:val="nil"/>
              <w:bottom w:val="dotted" w:sz="4" w:space="0" w:color="7F7F7F" w:themeColor="text1" w:themeTint="80"/>
              <w:right w:val="nil"/>
            </w:tcBorders>
            <w:vAlign w:val="center"/>
            <w:hideMark/>
          </w:tcPr>
          <w:p w14:paraId="48F2E9AD" w14:textId="77777777" w:rsidR="00D06ECB" w:rsidRPr="00CD6AD7" w:rsidRDefault="00D06ECB" w:rsidP="00E029E1">
            <w:pPr>
              <w:rPr>
                <w:rFonts w:ascii="Arial" w:hAnsi="Arial" w:cs="Arial"/>
                <w:color w:val="000000" w:themeColor="text1"/>
                <w:sz w:val="16"/>
                <w:szCs w:val="16"/>
                <w:lang w:eastAsia="es-ES"/>
              </w:rPr>
            </w:pPr>
            <w:r w:rsidRPr="00CD6AD7">
              <w:rPr>
                <w:rFonts w:ascii="Arial" w:hAnsi="Arial" w:cs="Arial"/>
                <w:color w:val="000000" w:themeColor="text1"/>
                <w:sz w:val="16"/>
                <w:szCs w:val="16"/>
                <w:lang w:eastAsia="es-ES"/>
              </w:rPr>
              <w:t>Nathalia Urrego Jiménez</w:t>
            </w:r>
          </w:p>
          <w:p w14:paraId="29FB5C8E" w14:textId="77777777" w:rsidR="00D06ECB" w:rsidRPr="00CD6AD7" w:rsidRDefault="00D06ECB" w:rsidP="00E029E1">
            <w:pPr>
              <w:rPr>
                <w:rFonts w:ascii="Arial" w:hAnsi="Arial" w:cs="Arial"/>
                <w:color w:val="000000" w:themeColor="text1"/>
                <w:sz w:val="16"/>
                <w:szCs w:val="16"/>
                <w:lang w:eastAsia="es-ES"/>
              </w:rPr>
            </w:pPr>
            <w:r w:rsidRPr="00CD6AD7">
              <w:rPr>
                <w:rFonts w:ascii="Arial" w:hAnsi="Arial" w:cs="Arial"/>
                <w:color w:val="000000" w:themeColor="text1"/>
                <w:sz w:val="16"/>
                <w:szCs w:val="16"/>
                <w:lang w:eastAsia="es-ES"/>
              </w:rPr>
              <w:t>Contratista de la Subdirección de Gestión Contractual</w:t>
            </w:r>
          </w:p>
        </w:tc>
      </w:tr>
      <w:tr w:rsidR="00D06ECB" w:rsidRPr="00CD6AD7" w14:paraId="1F231BEB" w14:textId="77777777" w:rsidTr="00A56442">
        <w:trPr>
          <w:trHeight w:val="379"/>
        </w:trPr>
        <w:tc>
          <w:tcPr>
            <w:tcW w:w="886" w:type="dxa"/>
            <w:vAlign w:val="center"/>
            <w:hideMark/>
          </w:tcPr>
          <w:p w14:paraId="2F7D7C26" w14:textId="77777777" w:rsidR="00D06ECB" w:rsidRPr="00CD6AD7" w:rsidRDefault="00D06ECB" w:rsidP="00E029E1">
            <w:pPr>
              <w:rPr>
                <w:rFonts w:ascii="Arial" w:hAnsi="Arial" w:cs="Arial"/>
                <w:color w:val="000000" w:themeColor="text1"/>
                <w:sz w:val="16"/>
                <w:szCs w:val="16"/>
                <w:lang w:eastAsia="es-ES"/>
              </w:rPr>
            </w:pPr>
            <w:r w:rsidRPr="00CD6AD7">
              <w:rPr>
                <w:rFonts w:ascii="Arial" w:hAnsi="Arial" w:cs="Arial"/>
                <w:color w:val="000000" w:themeColor="text1"/>
                <w:sz w:val="16"/>
                <w:szCs w:val="16"/>
                <w:lang w:eastAsia="es-ES"/>
              </w:rPr>
              <w:t>Revisó: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7EAFE2E8" w14:textId="77777777" w:rsidR="00A56442" w:rsidRPr="00CD6AD7" w:rsidRDefault="00A56442" w:rsidP="00A56442">
            <w:pPr>
              <w:rPr>
                <w:rFonts w:ascii="Arial" w:hAnsi="Arial" w:cs="Arial"/>
                <w:color w:val="000000" w:themeColor="text1"/>
                <w:sz w:val="16"/>
                <w:szCs w:val="16"/>
                <w:lang w:val="es-ES_tradnl" w:eastAsia="es-ES"/>
              </w:rPr>
            </w:pPr>
            <w:r w:rsidRPr="00CD6AD7">
              <w:rPr>
                <w:rFonts w:ascii="Arial" w:hAnsi="Arial" w:cs="Arial"/>
                <w:color w:val="000000" w:themeColor="text1"/>
                <w:sz w:val="16"/>
                <w:szCs w:val="16"/>
                <w:lang w:val="es-ES_tradnl" w:eastAsia="es-ES"/>
              </w:rPr>
              <w:t>Sebastián Ramírez Grisales</w:t>
            </w:r>
          </w:p>
          <w:p w14:paraId="220118DA" w14:textId="59F4A1BA" w:rsidR="00D06ECB" w:rsidRPr="00CD6AD7" w:rsidRDefault="00A56442" w:rsidP="00A56442">
            <w:pPr>
              <w:rPr>
                <w:rFonts w:ascii="Arial" w:hAnsi="Arial" w:cs="Arial"/>
                <w:color w:val="000000" w:themeColor="text1"/>
                <w:sz w:val="16"/>
                <w:szCs w:val="16"/>
                <w:lang w:eastAsia="es-ES"/>
              </w:rPr>
            </w:pPr>
            <w:r w:rsidRPr="00CD6AD7">
              <w:rPr>
                <w:rFonts w:ascii="Arial" w:hAnsi="Arial" w:cs="Arial"/>
                <w:color w:val="000000" w:themeColor="text1"/>
                <w:sz w:val="16"/>
                <w:szCs w:val="16"/>
                <w:lang w:val="es-ES_tradnl" w:eastAsia="es-ES"/>
              </w:rPr>
              <w:t>Gestor T1 – Grado 15 de la Subdirección de Gestión Contractual</w:t>
            </w:r>
          </w:p>
        </w:tc>
      </w:tr>
      <w:tr w:rsidR="00D06ECB" w:rsidRPr="009F7826" w14:paraId="4593E8F3" w14:textId="77777777" w:rsidTr="00A56442">
        <w:trPr>
          <w:trHeight w:val="344"/>
        </w:trPr>
        <w:tc>
          <w:tcPr>
            <w:tcW w:w="886" w:type="dxa"/>
            <w:vAlign w:val="center"/>
            <w:hideMark/>
          </w:tcPr>
          <w:p w14:paraId="20F2CD1B" w14:textId="77777777" w:rsidR="00D06ECB" w:rsidRPr="00CD6AD7" w:rsidRDefault="00D06ECB" w:rsidP="00E029E1">
            <w:pPr>
              <w:rPr>
                <w:rFonts w:ascii="Arial" w:hAnsi="Arial" w:cs="Arial"/>
                <w:color w:val="000000" w:themeColor="text1"/>
                <w:sz w:val="16"/>
                <w:szCs w:val="16"/>
                <w:lang w:eastAsia="es-ES"/>
              </w:rPr>
            </w:pPr>
            <w:r w:rsidRPr="00CD6AD7">
              <w:rPr>
                <w:rFonts w:ascii="Arial" w:hAnsi="Arial" w:cs="Arial"/>
                <w:color w:val="000000" w:themeColor="text1"/>
                <w:sz w:val="16"/>
                <w:szCs w:val="16"/>
                <w:lang w:eastAsia="es-ES"/>
              </w:rPr>
              <w:t>Aprobó:</w:t>
            </w:r>
          </w:p>
        </w:tc>
        <w:tc>
          <w:tcPr>
            <w:tcW w:w="4819" w:type="dxa"/>
            <w:tcBorders>
              <w:top w:val="dotted" w:sz="4" w:space="0" w:color="7F7F7F" w:themeColor="text1" w:themeTint="80"/>
              <w:left w:val="nil"/>
              <w:bottom w:val="dotted" w:sz="4" w:space="0" w:color="7F7F7F" w:themeColor="text1" w:themeTint="80"/>
              <w:right w:val="nil"/>
            </w:tcBorders>
            <w:vAlign w:val="center"/>
            <w:hideMark/>
          </w:tcPr>
          <w:p w14:paraId="1DB34A45" w14:textId="77777777" w:rsidR="00D06ECB" w:rsidRPr="00CD6AD7" w:rsidRDefault="00D06ECB" w:rsidP="00E029E1">
            <w:pPr>
              <w:rPr>
                <w:rFonts w:ascii="Arial" w:hAnsi="Arial" w:cs="Arial"/>
                <w:color w:val="000000" w:themeColor="text1"/>
                <w:sz w:val="16"/>
                <w:szCs w:val="16"/>
                <w:lang w:eastAsia="es-ES"/>
              </w:rPr>
            </w:pPr>
            <w:r w:rsidRPr="00CD6AD7">
              <w:rPr>
                <w:rFonts w:ascii="Arial" w:hAnsi="Arial" w:cs="Arial"/>
                <w:color w:val="000000" w:themeColor="text1"/>
                <w:sz w:val="16"/>
                <w:szCs w:val="16"/>
                <w:lang w:eastAsia="es-ES"/>
              </w:rPr>
              <w:t>Jorge Augusto Tirado Navarro</w:t>
            </w:r>
          </w:p>
          <w:p w14:paraId="0234FB28" w14:textId="77777777" w:rsidR="00D06ECB" w:rsidRPr="009F7826" w:rsidRDefault="00D06ECB" w:rsidP="00E029E1">
            <w:pPr>
              <w:rPr>
                <w:rFonts w:ascii="Arial" w:hAnsi="Arial" w:cs="Arial"/>
                <w:color w:val="000000" w:themeColor="text1"/>
                <w:sz w:val="16"/>
                <w:szCs w:val="16"/>
                <w:lang w:eastAsia="es-ES"/>
              </w:rPr>
            </w:pPr>
            <w:r w:rsidRPr="00CD6AD7">
              <w:rPr>
                <w:rFonts w:ascii="Arial" w:hAnsi="Arial" w:cs="Arial"/>
                <w:color w:val="000000" w:themeColor="text1"/>
                <w:sz w:val="16"/>
                <w:szCs w:val="16"/>
                <w:lang w:eastAsia="es-ES"/>
              </w:rPr>
              <w:t>Subdirector de Gestión Contractual</w:t>
            </w:r>
          </w:p>
        </w:tc>
      </w:tr>
    </w:tbl>
    <w:p w14:paraId="35B56F46" w14:textId="77777777" w:rsidR="00746E08" w:rsidRPr="00D06ECB" w:rsidRDefault="00746E08"/>
    <w:sectPr w:rsidR="00746E08" w:rsidRPr="00D06ECB" w:rsidSect="00400F13">
      <w:headerReference w:type="even" r:id="rId13"/>
      <w:headerReference w:type="default" r:id="rId14"/>
      <w:footerReference w:type="even" r:id="rId15"/>
      <w:footerReference w:type="default" r:id="rId16"/>
      <w:headerReference w:type="first" r:id="rId17"/>
      <w:footerReference w:type="first" r:id="rId18"/>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233A" w14:textId="77777777" w:rsidR="00B65CA9" w:rsidRDefault="00B65CA9">
      <w:r>
        <w:separator/>
      </w:r>
    </w:p>
  </w:endnote>
  <w:endnote w:type="continuationSeparator" w:id="0">
    <w:p w14:paraId="6A01D7D2" w14:textId="77777777" w:rsidR="00B65CA9" w:rsidRDefault="00B65CA9">
      <w:r>
        <w:continuationSeparator/>
      </w:r>
    </w:p>
  </w:endnote>
  <w:endnote w:type="continuationNotice" w:id="1">
    <w:p w14:paraId="0F78B1AC" w14:textId="77777777" w:rsidR="00B65CA9" w:rsidRDefault="00B65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4ECC" w14:textId="77777777" w:rsidR="00E029E1" w:rsidRDefault="00E029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029E1" w:rsidRDefault="00E029E1" w:rsidP="00322937">
    <w:pPr>
      <w:pStyle w:val="Sinespaciado"/>
      <w:jc w:val="right"/>
      <w:rPr>
        <w:rFonts w:ascii="Arial" w:hAnsi="Arial" w:cs="Arial"/>
        <w:sz w:val="18"/>
        <w:szCs w:val="18"/>
      </w:rPr>
    </w:pPr>
  </w:p>
  <w:p w14:paraId="7A3785F3" w14:textId="2EF28465" w:rsidR="00E029E1" w:rsidRPr="008217B7" w:rsidRDefault="00E029E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17A48">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17A48">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E029E1" w:rsidRDefault="00E029E1" w:rsidP="00322937">
    <w:pPr>
      <w:pStyle w:val="Piedepgina"/>
      <w:jc w:val="center"/>
      <w:rPr>
        <w:lang w:val="es-ES"/>
      </w:rPr>
    </w:pPr>
    <w:r>
      <w:rPr>
        <w:noProof/>
        <w:lang w:val="es-ES" w:eastAsia="es-ES"/>
      </w:rPr>
      <w:drawing>
        <wp:inline distT="0" distB="0" distL="0" distR="0" wp14:anchorId="608B196D" wp14:editId="2ADF16F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029E1" w:rsidRDefault="00E029E1" w:rsidP="007B0854">
    <w:pPr>
      <w:pStyle w:val="Piedepgina"/>
      <w:jc w:val="center"/>
      <w:rPr>
        <w:lang w:val="es-ES"/>
      </w:rPr>
    </w:pPr>
  </w:p>
  <w:p w14:paraId="6C0EFC49" w14:textId="77777777" w:rsidR="00E029E1" w:rsidRPr="007B0854" w:rsidRDefault="00E029E1"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39A0" w14:textId="77777777" w:rsidR="00E029E1" w:rsidRDefault="00E029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648A" w14:textId="77777777" w:rsidR="00B65CA9" w:rsidRDefault="00B65CA9">
      <w:r>
        <w:separator/>
      </w:r>
    </w:p>
  </w:footnote>
  <w:footnote w:type="continuationSeparator" w:id="0">
    <w:p w14:paraId="1F804540" w14:textId="77777777" w:rsidR="00B65CA9" w:rsidRDefault="00B65CA9">
      <w:r>
        <w:continuationSeparator/>
      </w:r>
    </w:p>
  </w:footnote>
  <w:footnote w:type="continuationNotice" w:id="1">
    <w:p w14:paraId="2C7FCDC0" w14:textId="77777777" w:rsidR="00B65CA9" w:rsidRDefault="00B65CA9"/>
  </w:footnote>
  <w:footnote w:id="2">
    <w:p w14:paraId="509ECEF0" w14:textId="77777777" w:rsidR="00132460" w:rsidRPr="00B560EE" w:rsidRDefault="00132460" w:rsidP="00B560EE">
      <w:pPr>
        <w:pStyle w:val="Textonotapie"/>
        <w:ind w:firstLine="708"/>
        <w:jc w:val="both"/>
        <w:rPr>
          <w:rFonts w:ascii="Arial" w:hAnsi="Arial" w:cs="Arial"/>
          <w:sz w:val="19"/>
          <w:szCs w:val="19"/>
          <w:lang w:val="en-US"/>
        </w:rPr>
      </w:pPr>
      <w:r w:rsidRPr="00B560EE">
        <w:rPr>
          <w:rStyle w:val="Refdenotaalpie"/>
          <w:rFonts w:ascii="Arial" w:hAnsi="Arial" w:cs="Arial"/>
          <w:sz w:val="19"/>
          <w:szCs w:val="19"/>
        </w:rPr>
        <w:footnoteRef/>
      </w:r>
      <w:r w:rsidRPr="00B560EE">
        <w:rPr>
          <w:rFonts w:ascii="Arial" w:hAnsi="Arial" w:cs="Arial"/>
          <w:sz w:val="19"/>
          <w:szCs w:val="19"/>
          <w:lang w:val="en-US"/>
        </w:rPr>
        <w:t xml:space="preserve"> DIMITRI N., PIGA, G., SPAGNOLO G., Handbook of Procurement. New York: Cambridge University Press, 2006</w:t>
      </w:r>
    </w:p>
  </w:footnote>
  <w:footnote w:id="3">
    <w:p w14:paraId="7775AEBE" w14:textId="749A8C76" w:rsidR="00132460" w:rsidRPr="004C7AC4" w:rsidRDefault="00132460" w:rsidP="004C7AC4">
      <w:pPr>
        <w:pStyle w:val="Textonotapie"/>
        <w:ind w:firstLine="708"/>
        <w:jc w:val="both"/>
        <w:rPr>
          <w:rFonts w:ascii="Arial" w:hAnsi="Arial" w:cs="Arial"/>
          <w:sz w:val="19"/>
          <w:szCs w:val="19"/>
          <w:lang w:val="es-ES"/>
        </w:rPr>
      </w:pPr>
      <w:r w:rsidRPr="00B560EE">
        <w:rPr>
          <w:rStyle w:val="Refdenotaalpie"/>
          <w:rFonts w:ascii="Arial" w:hAnsi="Arial" w:cs="Arial"/>
          <w:sz w:val="19"/>
          <w:szCs w:val="19"/>
        </w:rPr>
        <w:footnoteRef/>
      </w:r>
      <w:r w:rsidRPr="00B560EE">
        <w:rPr>
          <w:rFonts w:ascii="Arial" w:hAnsi="Arial" w:cs="Arial"/>
          <w:sz w:val="19"/>
          <w:szCs w:val="19"/>
        </w:rPr>
        <w:t xml:space="preserve"> </w:t>
      </w:r>
      <w:r w:rsidRPr="00B560EE">
        <w:rPr>
          <w:rFonts w:ascii="Arial" w:hAnsi="Arial" w:cs="Arial"/>
          <w:sz w:val="19"/>
          <w:szCs w:val="19"/>
          <w:lang w:val="es-ES"/>
        </w:rPr>
        <w:t>Gaceta del Congreso No. 458 del 1 de agosto de 2005.</w:t>
      </w:r>
    </w:p>
    <w:p w14:paraId="680B6E25" w14:textId="77777777" w:rsidR="00324A1B" w:rsidRPr="00B560EE" w:rsidRDefault="00324A1B" w:rsidP="00B560EE">
      <w:pPr>
        <w:pStyle w:val="Textonotapie"/>
        <w:ind w:firstLine="708"/>
        <w:jc w:val="both"/>
        <w:rPr>
          <w:rFonts w:ascii="Arial" w:hAnsi="Arial" w:cs="Arial"/>
          <w:sz w:val="19"/>
          <w:szCs w:val="19"/>
          <w:lang w:val="es-ES"/>
        </w:rPr>
      </w:pPr>
    </w:p>
  </w:footnote>
  <w:footnote w:id="4">
    <w:p w14:paraId="1D6285DE" w14:textId="413C7500" w:rsidR="00324A1B" w:rsidRPr="00B560EE" w:rsidRDefault="00324A1B" w:rsidP="00B560EE">
      <w:pPr>
        <w:pStyle w:val="Textonotapie"/>
        <w:ind w:firstLine="708"/>
        <w:jc w:val="both"/>
        <w:rPr>
          <w:rFonts w:ascii="Arial" w:hAnsi="Arial" w:cs="Arial"/>
          <w:sz w:val="19"/>
          <w:szCs w:val="19"/>
          <w:lang w:val="es-ES"/>
        </w:rPr>
      </w:pPr>
      <w:r w:rsidRPr="00B560EE">
        <w:rPr>
          <w:rStyle w:val="Refdenotaalpie"/>
          <w:rFonts w:ascii="Arial" w:hAnsi="Arial" w:cs="Arial"/>
          <w:sz w:val="19"/>
          <w:szCs w:val="19"/>
        </w:rPr>
        <w:footnoteRef/>
      </w:r>
      <w:r w:rsidRPr="00B560EE">
        <w:rPr>
          <w:rFonts w:ascii="Arial" w:hAnsi="Arial" w:cs="Arial"/>
          <w:sz w:val="19"/>
          <w:szCs w:val="19"/>
        </w:rPr>
        <w:t xml:space="preserve"> </w:t>
      </w:r>
      <w:r w:rsidRPr="00B560EE">
        <w:rPr>
          <w:rFonts w:ascii="Arial" w:hAnsi="Arial" w:cs="Arial"/>
          <w:sz w:val="19"/>
          <w:szCs w:val="19"/>
          <w:lang w:val="es-ES"/>
        </w:rPr>
        <w:t xml:space="preserve">Además de lo anterior, el artículo </w:t>
      </w:r>
      <w:r w:rsidRPr="004C7AC4">
        <w:rPr>
          <w:rFonts w:ascii="Arial" w:hAnsi="Arial" w:cs="Arial"/>
          <w:sz w:val="19"/>
          <w:szCs w:val="19"/>
          <w:lang w:val="es-ES"/>
        </w:rPr>
        <w:t xml:space="preserve">2.2.1.1.1.3.1. </w:t>
      </w:r>
      <w:r w:rsidRPr="00B560EE">
        <w:rPr>
          <w:rFonts w:ascii="Arial" w:hAnsi="Arial" w:cs="Arial"/>
          <w:sz w:val="19"/>
          <w:szCs w:val="19"/>
          <w:lang w:val="es-ES"/>
        </w:rPr>
        <w:t>del Decreto 1082 de 2015, estableció la siguiente definición del concepto riesgo</w:t>
      </w:r>
      <w:r w:rsidRPr="004C7AC4">
        <w:rPr>
          <w:rFonts w:ascii="Arial" w:hAnsi="Arial" w:cs="Arial"/>
          <w:sz w:val="19"/>
          <w:szCs w:val="19"/>
          <w:lang w:val="es-ES"/>
        </w:rPr>
        <w:t>:</w:t>
      </w:r>
      <w:r w:rsidRPr="00B560EE">
        <w:rPr>
          <w:rFonts w:ascii="Arial" w:hAnsi="Arial" w:cs="Arial"/>
          <w:sz w:val="19"/>
          <w:szCs w:val="19"/>
          <w:lang w:val="es-ES"/>
        </w:rPr>
        <w:t xml:space="preserve"> </w:t>
      </w:r>
      <w:r w:rsidRPr="004C7AC4">
        <w:rPr>
          <w:rFonts w:ascii="Arial" w:hAnsi="Arial" w:cs="Arial"/>
          <w:sz w:val="19"/>
          <w:szCs w:val="19"/>
          <w:lang w:val="es-ES"/>
        </w:rPr>
        <w:t>«</w:t>
      </w:r>
      <w:r w:rsidRPr="00B560EE">
        <w:rPr>
          <w:sz w:val="19"/>
          <w:szCs w:val="19"/>
          <w:lang w:val="es-ES"/>
        </w:rPr>
        <w:t>Riesgo: </w:t>
      </w:r>
      <w:r w:rsidRPr="00B560EE">
        <w:rPr>
          <w:rFonts w:ascii="Arial" w:hAnsi="Arial" w:cs="Arial"/>
          <w:sz w:val="19"/>
          <w:szCs w:val="19"/>
          <w:lang w:val="es-ES"/>
        </w:rPr>
        <w:t>Evento que puede generar efectos adversos y de distinta magnitud en el logro de los objetivos del Proceso de Contratación o en la ejecución de un Contrato</w:t>
      </w:r>
      <w:r w:rsidRPr="004C7AC4">
        <w:rPr>
          <w:rFonts w:ascii="Arial" w:hAnsi="Arial" w:cs="Arial"/>
          <w:sz w:val="19"/>
          <w:szCs w:val="19"/>
          <w:lang w:val="es-ES"/>
        </w:rPr>
        <w:t>»</w:t>
      </w:r>
      <w:r w:rsidRPr="00B560EE">
        <w:rPr>
          <w:rFonts w:ascii="Arial" w:hAnsi="Arial" w:cs="Arial"/>
          <w:sz w:val="19"/>
          <w:szCs w:val="19"/>
          <w:lang w:val="es-ES"/>
        </w:rPr>
        <w:t>.</w:t>
      </w:r>
    </w:p>
  </w:footnote>
  <w:footnote w:id="5">
    <w:p w14:paraId="0ED399AF" w14:textId="3294E7A6" w:rsidR="00E029E1" w:rsidRPr="00B560EE" w:rsidRDefault="00E029E1" w:rsidP="004C7AC4">
      <w:pPr>
        <w:tabs>
          <w:tab w:val="left" w:pos="426"/>
          <w:tab w:val="left" w:pos="2087"/>
          <w:tab w:val="left" w:pos="3424"/>
          <w:tab w:val="left" w:pos="4701"/>
          <w:tab w:val="left" w:pos="5341"/>
          <w:tab w:val="left" w:pos="5920"/>
          <w:tab w:val="left" w:pos="7487"/>
          <w:tab w:val="left" w:pos="8037"/>
          <w:tab w:val="left" w:pos="8524"/>
        </w:tabs>
        <w:ind w:firstLine="709"/>
        <w:jc w:val="both"/>
        <w:rPr>
          <w:rFonts w:ascii="Arial" w:hAnsi="Arial" w:cs="Arial"/>
          <w:sz w:val="19"/>
          <w:szCs w:val="19"/>
        </w:rPr>
      </w:pPr>
      <w:r w:rsidRPr="00B560EE">
        <w:rPr>
          <w:rStyle w:val="Refdenotaalpie"/>
          <w:rFonts w:ascii="Arial" w:hAnsi="Arial" w:cs="Arial"/>
          <w:sz w:val="19"/>
          <w:szCs w:val="19"/>
        </w:rPr>
        <w:footnoteRef/>
      </w:r>
      <w:r w:rsidRPr="00B560EE">
        <w:rPr>
          <w:rFonts w:ascii="Arial" w:hAnsi="Arial" w:cs="Arial"/>
          <w:sz w:val="19"/>
          <w:szCs w:val="19"/>
        </w:rPr>
        <w:t xml:space="preserve"> Por ejemplo, para Colciencias los manuales «son instrumentos administrativos que se elaboran para determinar en forma explícita, ordenada y sistemática información sobre objetivos, políticas, atribuciones, organización y procedimientos de los órganos de una institución. Se caracterizan por desarrollar criterios generales sobre un tema estratégico y en su mayoría, referencian procedimientos, guías, instructivos, modelos y formatos». Mientras que las guías son «documentos que contienen orientaciones acerca de la forma como se desarrolla una metodología</w:t>
      </w:r>
      <w:r w:rsidRPr="00B560EE">
        <w:rPr>
          <w:rFonts w:ascii="Arial" w:hAnsi="Arial" w:cs="Arial"/>
          <w:sz w:val="19"/>
          <w:szCs w:val="19"/>
        </w:rPr>
        <w:tab/>
        <w:t>relacionada con los procedimientos de la entidad»: https://www.colciencias.gov.co/sites/default/files/ckeditor_files/G102PR01-procedimiento-elaboracion- control.pdf</w:t>
      </w:r>
    </w:p>
    <w:p w14:paraId="4181C984" w14:textId="36816064" w:rsidR="00E029E1" w:rsidRPr="00B560EE" w:rsidRDefault="00E029E1" w:rsidP="004C7AC4">
      <w:pPr>
        <w:ind w:firstLine="408"/>
        <w:jc w:val="both"/>
        <w:rPr>
          <w:rFonts w:ascii="Arial" w:hAnsi="Arial" w:cs="Arial"/>
          <w:sz w:val="19"/>
          <w:szCs w:val="19"/>
        </w:rPr>
      </w:pPr>
      <w:r w:rsidRPr="00B560EE">
        <w:rPr>
          <w:rFonts w:ascii="Arial" w:eastAsiaTheme="minorEastAsia" w:hAnsi="Arial" w:cs="Arial"/>
          <w:sz w:val="19"/>
          <w:szCs w:val="19"/>
          <w:lang w:eastAsia="es-CO"/>
        </w:rPr>
        <w:tab/>
      </w:r>
      <w:r w:rsidRPr="00B560EE">
        <w:rPr>
          <w:rFonts w:ascii="Arial" w:hAnsi="Arial" w:cs="Arial"/>
          <w:sz w:val="19"/>
          <w:szCs w:val="19"/>
        </w:rPr>
        <w:t xml:space="preserve">Para la Autoridad Nacional de Licencias Ambientales los manuales y guías </w:t>
      </w:r>
      <w:r w:rsidRPr="00B560EE">
        <w:rPr>
          <w:rFonts w:ascii="Arial" w:hAnsi="Arial" w:cs="Arial"/>
          <w:sz w:val="19"/>
          <w:szCs w:val="19"/>
          <w:lang w:val="es-MX"/>
        </w:rPr>
        <w:t>«</w:t>
      </w:r>
      <w:r w:rsidRPr="00B560EE">
        <w:rPr>
          <w:rFonts w:ascii="Arial" w:hAnsi="Arial" w:cs="Arial"/>
          <w:sz w:val="19"/>
          <w:szCs w:val="19"/>
        </w:rPr>
        <w:t xml:space="preserve">son documentos técnicos a través de los cuales se estandarizan y se definen criterios y procedimientos de una actividad específica. A través de ellos se indican enfoques, lineamientos, se definen instructivos y se detallan los pasos que deben seguir quienes desarrollan una actividad determinada. El propósito de esta herramienta es el de permitir que las autoridades o a cualquier otro organismo equivalente haga más efectiva su gestión y documente sistemáticamente los criterios considerados durante los procesos de toma de decisiones»: </w:t>
      </w:r>
      <w:hyperlink r:id="rId1">
        <w:r w:rsidRPr="00B560EE">
          <w:rPr>
            <w:rFonts w:ascii="Arial" w:hAnsi="Arial" w:cs="Arial"/>
            <w:sz w:val="19"/>
            <w:szCs w:val="19"/>
          </w:rPr>
          <w:t>http://portal.anla.gov.co/manuales-y-guias</w:t>
        </w:r>
      </w:hyperlink>
    </w:p>
    <w:p w14:paraId="2B1CAF7C" w14:textId="77777777" w:rsidR="00E029E1" w:rsidRPr="00B560EE" w:rsidRDefault="00E029E1" w:rsidP="004C7AC4">
      <w:pPr>
        <w:pStyle w:val="Textonotapie"/>
        <w:jc w:val="both"/>
        <w:rPr>
          <w:rFonts w:ascii="Arial" w:hAnsi="Arial" w:cs="Arial"/>
          <w:sz w:val="19"/>
          <w:szCs w:val="19"/>
        </w:rPr>
      </w:pPr>
    </w:p>
  </w:footnote>
  <w:footnote w:id="6">
    <w:p w14:paraId="0684FC6C" w14:textId="4E6BFB2A" w:rsidR="00E029E1" w:rsidRPr="00B560EE" w:rsidRDefault="00E029E1" w:rsidP="004C7AC4">
      <w:pPr>
        <w:tabs>
          <w:tab w:val="left" w:pos="4805"/>
          <w:tab w:val="left" w:pos="8980"/>
        </w:tabs>
        <w:ind w:firstLine="707"/>
        <w:jc w:val="both"/>
        <w:rPr>
          <w:rFonts w:ascii="Arial" w:hAnsi="Arial" w:cs="Arial"/>
          <w:sz w:val="19"/>
          <w:szCs w:val="19"/>
        </w:rPr>
      </w:pPr>
      <w:r w:rsidRPr="00B560EE">
        <w:rPr>
          <w:rStyle w:val="Refdenotaalpie"/>
          <w:rFonts w:ascii="Arial" w:hAnsi="Arial" w:cs="Arial"/>
          <w:sz w:val="19"/>
          <w:szCs w:val="19"/>
        </w:rPr>
        <w:footnoteRef/>
      </w:r>
      <w:r w:rsidRPr="00B560EE">
        <w:rPr>
          <w:rFonts w:ascii="Arial" w:hAnsi="Arial" w:cs="Arial"/>
          <w:sz w:val="19"/>
          <w:szCs w:val="19"/>
        </w:rPr>
        <w:t xml:space="preserve"> La Circular Externa Única de Colombia Compra Eficiente señala: </w:t>
      </w:r>
      <w:r w:rsidR="00C27AC2" w:rsidRPr="004C7AC4">
        <w:rPr>
          <w:rFonts w:ascii="Arial" w:hAnsi="Arial" w:cs="Arial"/>
          <w:sz w:val="19"/>
          <w:szCs w:val="19"/>
        </w:rPr>
        <w:t>«</w:t>
      </w:r>
      <w:r w:rsidRPr="00B560EE">
        <w:rPr>
          <w:rFonts w:ascii="Arial" w:hAnsi="Arial" w:cs="Arial"/>
          <w:sz w:val="19"/>
          <w:szCs w:val="19"/>
        </w:rPr>
        <w:t>Las circulares externas proferidas por Colombia Compra Eficiente son actos administrativos que contienen mandatos, orientaciones e instrucciones que van dirigidas a las Entidades Estatales y al público en general y son de obligatorio cumplimiento</w:t>
      </w:r>
      <w:r w:rsidR="00C27AC2" w:rsidRPr="004C7AC4">
        <w:rPr>
          <w:rFonts w:ascii="Arial" w:hAnsi="Arial" w:cs="Arial"/>
          <w:sz w:val="19"/>
          <w:szCs w:val="19"/>
        </w:rPr>
        <w:t>»</w:t>
      </w:r>
      <w:r w:rsidRPr="00B560EE">
        <w:rPr>
          <w:rFonts w:ascii="Arial" w:hAnsi="Arial" w:cs="Arial"/>
          <w:sz w:val="19"/>
          <w:szCs w:val="19"/>
        </w:rPr>
        <w:t>.</w:t>
      </w:r>
      <w:r w:rsidRPr="00B560EE">
        <w:rPr>
          <w:rFonts w:ascii="Arial" w:hAnsi="Arial" w:cs="Arial"/>
          <w:sz w:val="19"/>
          <w:szCs w:val="19"/>
        </w:rPr>
        <w:tab/>
        <w:t>Disponible</w:t>
      </w:r>
      <w:r w:rsidR="009954D2" w:rsidRPr="00B560EE">
        <w:rPr>
          <w:rFonts w:ascii="Arial" w:hAnsi="Arial" w:cs="Arial"/>
          <w:sz w:val="19"/>
          <w:szCs w:val="19"/>
        </w:rPr>
        <w:t xml:space="preserve"> </w:t>
      </w:r>
      <w:r w:rsidRPr="00B560EE">
        <w:rPr>
          <w:rFonts w:ascii="Arial" w:hAnsi="Arial" w:cs="Arial"/>
          <w:spacing w:val="-6"/>
          <w:sz w:val="19"/>
          <w:szCs w:val="19"/>
        </w:rPr>
        <w:t xml:space="preserve">en: </w:t>
      </w:r>
      <w:hyperlink r:id="rId2">
        <w:r w:rsidRPr="00B560EE">
          <w:rPr>
            <w:rFonts w:ascii="Arial" w:hAnsi="Arial" w:cs="Arial"/>
            <w:sz w:val="19"/>
            <w:szCs w:val="19"/>
          </w:rPr>
          <w:t>https://www.colombiacompra.gov.co/sites/cce_public/files/cce_circulares/cce_circular_unica.pdf</w:t>
        </w:r>
      </w:hyperlink>
    </w:p>
    <w:p w14:paraId="36D45C94" w14:textId="77777777" w:rsidR="00E029E1" w:rsidRPr="00B560EE" w:rsidRDefault="00E029E1" w:rsidP="004C7AC4">
      <w:pPr>
        <w:pStyle w:val="Textonotapie"/>
        <w:jc w:val="both"/>
        <w:rPr>
          <w:rFonts w:ascii="Arial" w:hAnsi="Arial" w:cs="Arial"/>
          <w:sz w:val="19"/>
          <w:szCs w:val="19"/>
        </w:rPr>
      </w:pPr>
    </w:p>
  </w:footnote>
  <w:footnote w:id="7">
    <w:p w14:paraId="27264DFC" w14:textId="5A90D831" w:rsidR="009954D2" w:rsidRPr="00B560EE" w:rsidRDefault="009954D2" w:rsidP="004C7AC4">
      <w:pPr>
        <w:pStyle w:val="Textonotapie"/>
        <w:ind w:firstLine="707"/>
        <w:jc w:val="both"/>
        <w:rPr>
          <w:rFonts w:ascii="Arial" w:hAnsi="Arial" w:cs="Arial"/>
          <w:sz w:val="19"/>
          <w:szCs w:val="19"/>
        </w:rPr>
      </w:pPr>
      <w:r w:rsidRPr="00B560EE">
        <w:rPr>
          <w:rStyle w:val="Refdenotaalpie"/>
          <w:rFonts w:ascii="Arial" w:hAnsi="Arial" w:cs="Arial"/>
          <w:sz w:val="19"/>
          <w:szCs w:val="19"/>
        </w:rPr>
        <w:footnoteRef/>
      </w:r>
      <w:r w:rsidRPr="00B560EE">
        <w:rPr>
          <w:rFonts w:ascii="Arial" w:hAnsi="Arial" w:cs="Arial"/>
          <w:sz w:val="19"/>
          <w:szCs w:val="19"/>
        </w:rPr>
        <w:t xml:space="preserve"> Consejo de Estado, Sección Segunda, Sentencia del 17 de mayo de 2018, Radicado N.º 110010325000201601071, C.P. Rafael Francisco Suárez Vargas</w:t>
      </w:r>
    </w:p>
    <w:p w14:paraId="01C2B389" w14:textId="77777777" w:rsidR="009954D2" w:rsidRPr="00B560EE" w:rsidRDefault="009954D2" w:rsidP="004C7AC4">
      <w:pPr>
        <w:pStyle w:val="Textonotapie"/>
        <w:ind w:firstLine="707"/>
        <w:jc w:val="both"/>
        <w:rPr>
          <w:rFonts w:ascii="Arial" w:hAnsi="Arial" w:cs="Arial"/>
          <w:sz w:val="19"/>
          <w:szCs w:val="19"/>
          <w:lang w:val="es-MX"/>
        </w:rPr>
      </w:pPr>
    </w:p>
  </w:footnote>
  <w:footnote w:id="8">
    <w:p w14:paraId="46CB19A2" w14:textId="3B469833" w:rsidR="009954D2" w:rsidRPr="00B560EE" w:rsidRDefault="009954D2" w:rsidP="00B560EE">
      <w:pPr>
        <w:pStyle w:val="Textonotapie"/>
        <w:ind w:firstLine="707"/>
        <w:jc w:val="both"/>
        <w:rPr>
          <w:rFonts w:ascii="Arial" w:hAnsi="Arial" w:cs="Arial"/>
          <w:sz w:val="19"/>
          <w:szCs w:val="19"/>
        </w:rPr>
      </w:pPr>
      <w:r w:rsidRPr="00B560EE">
        <w:rPr>
          <w:rStyle w:val="Refdenotaalpie"/>
          <w:rFonts w:ascii="Arial" w:hAnsi="Arial" w:cs="Arial"/>
          <w:sz w:val="19"/>
          <w:szCs w:val="19"/>
        </w:rPr>
        <w:footnoteRef/>
      </w:r>
      <w:r w:rsidRPr="00B560EE">
        <w:rPr>
          <w:rFonts w:ascii="Arial" w:hAnsi="Arial" w:cs="Arial"/>
          <w:sz w:val="19"/>
          <w:szCs w:val="19"/>
        </w:rPr>
        <w:t xml:space="preserve"> Ley 1437 de 2011, artículo 65. Frente a la notificación de los actos administrativos de carácter particular y concreto ver el artículo 66 de la misma ley.</w:t>
      </w:r>
    </w:p>
    <w:p w14:paraId="1E49A80F" w14:textId="77777777" w:rsidR="00C05117" w:rsidRPr="00B560EE" w:rsidRDefault="00C05117" w:rsidP="00B560EE">
      <w:pPr>
        <w:pStyle w:val="Textonotapie"/>
        <w:ind w:firstLine="707"/>
        <w:jc w:val="both"/>
        <w:rPr>
          <w:rFonts w:ascii="Arial" w:hAnsi="Arial" w:cs="Arial"/>
          <w:sz w:val="19"/>
          <w:szCs w:val="19"/>
          <w:lang w:val="es-MX"/>
        </w:rPr>
      </w:pPr>
    </w:p>
  </w:footnote>
  <w:footnote w:id="9">
    <w:p w14:paraId="4311444F" w14:textId="1CCA48F5" w:rsidR="00C05117" w:rsidRPr="004C7AC4" w:rsidRDefault="00C05117" w:rsidP="004C7AC4">
      <w:pPr>
        <w:pStyle w:val="Textonotapie"/>
        <w:ind w:firstLine="707"/>
        <w:jc w:val="both"/>
        <w:rPr>
          <w:rFonts w:ascii="Arial" w:hAnsi="Arial" w:cs="Arial"/>
          <w:sz w:val="19"/>
          <w:szCs w:val="19"/>
        </w:rPr>
      </w:pPr>
      <w:r w:rsidRPr="00B560EE">
        <w:rPr>
          <w:rStyle w:val="Refdenotaalpie"/>
          <w:rFonts w:ascii="Arial" w:hAnsi="Arial" w:cs="Arial"/>
          <w:sz w:val="19"/>
          <w:szCs w:val="19"/>
        </w:rPr>
        <w:footnoteRef/>
      </w:r>
      <w:r w:rsidRPr="00B560EE">
        <w:rPr>
          <w:rFonts w:ascii="Arial" w:hAnsi="Arial" w:cs="Arial"/>
          <w:sz w:val="19"/>
          <w:szCs w:val="19"/>
        </w:rPr>
        <w:t xml:space="preserve"> Consejo de Estado, Sala de lo Contencioso Administrativo, Sección Tercera, Sentencia del 8 de agosto de 2012, radicado N.º 54001-23-31-000-1999-0111-01 (23358), C.P: Jaime Orlando Santofimio Gamboa.</w:t>
      </w:r>
    </w:p>
    <w:p w14:paraId="175DB2A0" w14:textId="77777777" w:rsidR="00AA28D8" w:rsidRPr="00B560EE" w:rsidRDefault="00AA28D8" w:rsidP="00B560EE">
      <w:pPr>
        <w:pStyle w:val="Textonotapie"/>
        <w:ind w:firstLine="707"/>
        <w:jc w:val="both"/>
        <w:rPr>
          <w:rFonts w:ascii="Arial" w:hAnsi="Arial" w:cs="Arial"/>
          <w:sz w:val="19"/>
          <w:szCs w:val="19"/>
          <w:lang w:val="es-MX"/>
        </w:rPr>
      </w:pPr>
    </w:p>
  </w:footnote>
  <w:footnote w:id="10">
    <w:p w14:paraId="28F12190" w14:textId="42BF71A9" w:rsidR="00C05117" w:rsidRPr="004C7AC4" w:rsidRDefault="00C05117" w:rsidP="004C7AC4">
      <w:pPr>
        <w:pStyle w:val="Textonotapie"/>
        <w:ind w:firstLine="707"/>
        <w:jc w:val="both"/>
        <w:rPr>
          <w:rFonts w:ascii="Arial" w:hAnsi="Arial" w:cs="Arial"/>
          <w:sz w:val="19"/>
          <w:szCs w:val="19"/>
        </w:rPr>
      </w:pPr>
      <w:r w:rsidRPr="00B560EE">
        <w:rPr>
          <w:rStyle w:val="Refdenotaalpie"/>
          <w:rFonts w:ascii="Arial" w:hAnsi="Arial" w:cs="Arial"/>
          <w:sz w:val="19"/>
          <w:szCs w:val="19"/>
        </w:rPr>
        <w:footnoteRef/>
      </w:r>
      <w:r w:rsidRPr="00B560EE">
        <w:rPr>
          <w:rFonts w:ascii="Arial" w:hAnsi="Arial" w:cs="Arial"/>
          <w:sz w:val="19"/>
          <w:szCs w:val="19"/>
        </w:rPr>
        <w:t xml:space="preserve"> Consejo de Estado. Sección Tercera. Sentencia del 11 de abril de 2002, C.P. Alier Hernández Enríquez, Rad. 2001-0058-01 (21652).</w:t>
      </w:r>
    </w:p>
    <w:p w14:paraId="4578476C" w14:textId="77777777" w:rsidR="00AA28D8" w:rsidRPr="00B560EE" w:rsidRDefault="00AA28D8" w:rsidP="00B560EE">
      <w:pPr>
        <w:pStyle w:val="Textonotapie"/>
        <w:ind w:firstLine="707"/>
        <w:jc w:val="both"/>
        <w:rPr>
          <w:rFonts w:ascii="Arial" w:hAnsi="Arial" w:cs="Arial"/>
          <w:sz w:val="19"/>
          <w:szCs w:val="19"/>
          <w:lang w:val="es-MX"/>
        </w:rPr>
      </w:pPr>
    </w:p>
  </w:footnote>
  <w:footnote w:id="11">
    <w:p w14:paraId="774DF139" w14:textId="6AC27F98" w:rsidR="00C05117" w:rsidRPr="004C7AC4" w:rsidRDefault="00C05117" w:rsidP="004C7AC4">
      <w:pPr>
        <w:pStyle w:val="Textonotapie"/>
        <w:ind w:firstLine="707"/>
        <w:jc w:val="both"/>
        <w:rPr>
          <w:rFonts w:ascii="Arial" w:hAnsi="Arial" w:cs="Arial"/>
          <w:sz w:val="19"/>
          <w:szCs w:val="19"/>
        </w:rPr>
      </w:pPr>
      <w:r w:rsidRPr="00B560EE">
        <w:rPr>
          <w:rStyle w:val="Refdenotaalpie"/>
          <w:rFonts w:ascii="Arial" w:hAnsi="Arial" w:cs="Arial"/>
          <w:sz w:val="19"/>
          <w:szCs w:val="19"/>
        </w:rPr>
        <w:footnoteRef/>
      </w:r>
      <w:r w:rsidRPr="00B560EE">
        <w:rPr>
          <w:rFonts w:ascii="Arial" w:hAnsi="Arial" w:cs="Arial"/>
          <w:sz w:val="19"/>
          <w:szCs w:val="19"/>
        </w:rPr>
        <w:t xml:space="preserve"> Consejo de Estado. Sección Quinta. Sentencia del 13 de marzo de 2014, C.P. Alberto Yepes Barreiro, Rad. 2013-00715-01 (ACU).</w:t>
      </w:r>
    </w:p>
    <w:p w14:paraId="42A5D43E" w14:textId="77777777" w:rsidR="00EF4AFD" w:rsidRPr="00B560EE" w:rsidRDefault="00EF4AFD" w:rsidP="00B560EE">
      <w:pPr>
        <w:pStyle w:val="Textonotapie"/>
        <w:ind w:firstLine="707"/>
        <w:jc w:val="both"/>
        <w:rPr>
          <w:rFonts w:ascii="Arial" w:hAnsi="Arial" w:cs="Arial"/>
          <w:sz w:val="19"/>
          <w:szCs w:val="19"/>
          <w:lang w:val="es-MX"/>
        </w:rPr>
      </w:pPr>
    </w:p>
  </w:footnote>
  <w:footnote w:id="12">
    <w:p w14:paraId="400EBCDF" w14:textId="1CFAF4A0" w:rsidR="00884E60" w:rsidRPr="004C7AC4" w:rsidRDefault="00884E60" w:rsidP="004C7AC4">
      <w:pPr>
        <w:pStyle w:val="Textonotapie"/>
        <w:ind w:firstLine="707"/>
        <w:jc w:val="both"/>
        <w:rPr>
          <w:rFonts w:ascii="Arial" w:hAnsi="Arial" w:cs="Arial"/>
          <w:sz w:val="19"/>
          <w:szCs w:val="19"/>
        </w:rPr>
      </w:pPr>
      <w:r w:rsidRPr="00B560EE">
        <w:rPr>
          <w:rStyle w:val="Refdenotaalpie"/>
          <w:rFonts w:ascii="Arial" w:hAnsi="Arial" w:cs="Arial"/>
          <w:sz w:val="19"/>
          <w:szCs w:val="19"/>
        </w:rPr>
        <w:footnoteRef/>
      </w:r>
      <w:r w:rsidRPr="00B560EE">
        <w:rPr>
          <w:rFonts w:ascii="Arial" w:hAnsi="Arial" w:cs="Arial"/>
          <w:sz w:val="19"/>
          <w:szCs w:val="19"/>
        </w:rPr>
        <w:t xml:space="preserve"> Corte Constitucional. Sentencia C-1436 del 2000, M.P. Alfredo Beltrán Sierra.</w:t>
      </w:r>
    </w:p>
    <w:p w14:paraId="62876D53" w14:textId="77777777" w:rsidR="00EF4AFD" w:rsidRPr="00B560EE" w:rsidRDefault="00EF4AFD" w:rsidP="00B560EE">
      <w:pPr>
        <w:pStyle w:val="Textonotapie"/>
        <w:ind w:firstLine="707"/>
        <w:jc w:val="both"/>
        <w:rPr>
          <w:rFonts w:ascii="Arial" w:hAnsi="Arial" w:cs="Arial"/>
          <w:sz w:val="19"/>
          <w:szCs w:val="19"/>
          <w:lang w:val="es-MX"/>
        </w:rPr>
      </w:pPr>
    </w:p>
  </w:footnote>
  <w:footnote w:id="13">
    <w:p w14:paraId="108E5D36" w14:textId="5ECFB4C2" w:rsidR="0071141B" w:rsidRPr="00B560EE" w:rsidRDefault="0071141B" w:rsidP="00B560EE">
      <w:pPr>
        <w:pStyle w:val="Textonotapie"/>
        <w:ind w:firstLine="707"/>
        <w:jc w:val="both"/>
        <w:rPr>
          <w:rFonts w:ascii="Arial" w:hAnsi="Arial" w:cs="Arial"/>
          <w:sz w:val="19"/>
          <w:szCs w:val="19"/>
          <w:lang w:val="es-MX"/>
        </w:rPr>
      </w:pPr>
      <w:r w:rsidRPr="00B560EE">
        <w:rPr>
          <w:rStyle w:val="Refdenotaalpie"/>
          <w:rFonts w:ascii="Arial" w:hAnsi="Arial" w:cs="Arial"/>
          <w:sz w:val="19"/>
          <w:szCs w:val="19"/>
        </w:rPr>
        <w:footnoteRef/>
      </w:r>
      <w:r w:rsidRPr="00B560EE">
        <w:rPr>
          <w:rFonts w:ascii="Arial" w:hAnsi="Arial" w:cs="Arial"/>
          <w:sz w:val="19"/>
          <w:szCs w:val="19"/>
        </w:rPr>
        <w:t xml:space="preserve"> </w:t>
      </w:r>
      <w:r w:rsidR="00A43712" w:rsidRPr="00A43712">
        <w:rPr>
          <w:rFonts w:ascii="Arial" w:hAnsi="Arial" w:cs="Arial"/>
          <w:sz w:val="19"/>
          <w:szCs w:val="19"/>
        </w:rPr>
        <w:t>SANTOFIMIO GAMBOA, Jaime Orlando. Tratado de Derecho Administrativo. Introducción a los conceptos de la administración pública y el derecho administrativo. Universidad Externado de Colombia, Bogotá, 2003, 3ra Ed. p. 440.</w:t>
      </w:r>
    </w:p>
  </w:footnote>
  <w:footnote w:id="14">
    <w:p w14:paraId="5C6467E9" w14:textId="3EC84ABB" w:rsidR="00076648" w:rsidRPr="00B560EE" w:rsidRDefault="001D5C31" w:rsidP="00B560EE">
      <w:pPr>
        <w:pStyle w:val="Textoindependiente"/>
        <w:spacing w:before="1" w:line="240" w:lineRule="auto"/>
        <w:ind w:right="77" w:firstLine="708"/>
        <w:jc w:val="both"/>
        <w:rPr>
          <w:rFonts w:ascii="Arial" w:eastAsia="Times New Roman" w:hAnsi="Arial" w:cs="Arial"/>
          <w:sz w:val="19"/>
          <w:szCs w:val="19"/>
          <w:lang w:eastAsia="en-US"/>
        </w:rPr>
      </w:pPr>
      <w:r>
        <w:rPr>
          <w:rStyle w:val="Refdenotaalpie"/>
        </w:rPr>
        <w:footnoteRef/>
      </w:r>
      <w:r w:rsidR="00076648">
        <w:t xml:space="preserve"> </w:t>
      </w:r>
      <w:r w:rsidR="00076648" w:rsidRPr="00B560EE">
        <w:rPr>
          <w:rFonts w:ascii="Arial" w:eastAsia="Times New Roman" w:hAnsi="Arial" w:cs="Arial"/>
          <w:sz w:val="19"/>
          <w:szCs w:val="19"/>
          <w:lang w:eastAsia="en-US"/>
        </w:rPr>
        <w:t>Dentro de la verificación de estos elementos, uno fundamental es la existencia de una norma legal o reglamentaria que otorgue la competencia a Colombia Compra Eficiente para regular un aspecto concreto de la contratación pública, con carácter vinculante. Esta sujeción del poder normativo de la Administración al principio de legalidad fue expuesta por Santofimio Gamboa en los siguientes términos:</w:t>
      </w:r>
      <w:r w:rsidR="00076648">
        <w:rPr>
          <w:rFonts w:ascii="Arial" w:eastAsia="Times New Roman" w:hAnsi="Arial" w:cs="Arial"/>
          <w:sz w:val="19"/>
          <w:szCs w:val="19"/>
          <w:lang w:eastAsia="en-US"/>
        </w:rPr>
        <w:t xml:space="preserve"> «</w:t>
      </w:r>
      <w:r w:rsidR="00076648" w:rsidRPr="00B560EE">
        <w:rPr>
          <w:rFonts w:ascii="Arial" w:eastAsia="Times New Roman" w:hAnsi="Arial" w:cs="Arial"/>
          <w:sz w:val="19"/>
          <w:szCs w:val="19"/>
          <w:lang w:eastAsia="en-US"/>
        </w:rPr>
        <w:t xml:space="preserve">La potestad normativa está en directa relación con los poderes de orientación política, dirección, estructuración, regulación, diseño y fijación de directrices para el cometido de los fines estatales asignados a la administración; todo esto, como es obvio, dentro del contexto de los principios y parámetros constitucionales y legales respectivos. Es decir, </w:t>
      </w:r>
      <w:r w:rsidR="00076648" w:rsidRPr="00B560EE">
        <w:rPr>
          <w:rFonts w:ascii="Arial" w:eastAsia="Times New Roman" w:hAnsi="Arial" w:cs="Arial"/>
          <w:b/>
          <w:bCs/>
          <w:sz w:val="19"/>
          <w:szCs w:val="19"/>
          <w:lang w:eastAsia="en-US"/>
        </w:rPr>
        <w:t>la potestad normativa de la administración o de hacer normas rectoras de la actividad estatal, en cuanto privilegio funcional, es de naturaleza subordinada y dependiente de las normas de carácter superior</w:t>
      </w:r>
      <w:r w:rsidR="00076648" w:rsidRPr="00B560EE">
        <w:rPr>
          <w:rFonts w:ascii="Arial" w:eastAsia="Times New Roman" w:hAnsi="Arial" w:cs="Arial"/>
          <w:sz w:val="19"/>
          <w:szCs w:val="19"/>
          <w:lang w:eastAsia="en-US"/>
        </w:rPr>
        <w:t>. Sería absurdo pensar en la posibilidad de una potestad normativa de la administración ausente o inmune al principio de legalidad</w:t>
      </w:r>
      <w:r w:rsidR="00076648">
        <w:rPr>
          <w:rFonts w:eastAsia="Times New Roman"/>
          <w:sz w:val="19"/>
          <w:szCs w:val="19"/>
          <w:lang w:eastAsia="en-US"/>
        </w:rPr>
        <w:t>»</w:t>
      </w:r>
      <w:r w:rsidR="00076648" w:rsidRPr="00B560EE">
        <w:rPr>
          <w:rFonts w:ascii="Arial" w:eastAsia="Times New Roman" w:hAnsi="Arial" w:cs="Arial"/>
          <w:sz w:val="19"/>
          <w:szCs w:val="19"/>
          <w:lang w:eastAsia="en-US"/>
        </w:rPr>
        <w:t>. (Negrillas fuera de texto).</w:t>
      </w:r>
    </w:p>
    <w:p w14:paraId="1DD44999" w14:textId="12F34178" w:rsidR="001D5C31" w:rsidRPr="00B560EE" w:rsidRDefault="001D5C31">
      <w:pPr>
        <w:pStyle w:val="Textonotapie"/>
        <w:rPr>
          <w:lang w:val="es-ES"/>
        </w:rPr>
      </w:pPr>
    </w:p>
  </w:footnote>
  <w:footnote w:id="15">
    <w:p w14:paraId="4ACDE8E9" w14:textId="5BF247A4" w:rsidR="00BA1199" w:rsidRPr="004C7AC4" w:rsidRDefault="00BA1199" w:rsidP="004C7AC4">
      <w:pPr>
        <w:pStyle w:val="Textonotapie"/>
        <w:ind w:firstLine="708"/>
        <w:jc w:val="both"/>
        <w:rPr>
          <w:rFonts w:ascii="Arial" w:hAnsi="Arial" w:cs="Arial"/>
          <w:sz w:val="19"/>
          <w:szCs w:val="19"/>
        </w:rPr>
      </w:pPr>
      <w:r w:rsidRPr="00B560EE">
        <w:rPr>
          <w:rStyle w:val="Refdenotaalpie"/>
          <w:rFonts w:ascii="Arial" w:hAnsi="Arial" w:cs="Arial"/>
          <w:sz w:val="19"/>
          <w:szCs w:val="19"/>
        </w:rPr>
        <w:footnoteRef/>
      </w:r>
      <w:r w:rsidRPr="00B560EE">
        <w:rPr>
          <w:rFonts w:ascii="Arial" w:hAnsi="Arial" w:cs="Arial"/>
          <w:sz w:val="19"/>
          <w:szCs w:val="19"/>
        </w:rPr>
        <w:t xml:space="preserve"> Consejo de Estado, Sección Tercera, Subsección C. Auto de ponente del 14 de agosto de 2017, C.P. Jaime Orlando Santofimio Gamboa, Rad. 2017-00031-00 (58.820)</w:t>
      </w:r>
      <w:r w:rsidR="00F75B40" w:rsidRPr="004C7AC4">
        <w:rPr>
          <w:rFonts w:ascii="Arial" w:hAnsi="Arial" w:cs="Arial"/>
          <w:sz w:val="19"/>
          <w:szCs w:val="19"/>
        </w:rPr>
        <w:t>.</w:t>
      </w:r>
    </w:p>
    <w:p w14:paraId="78B33950" w14:textId="77777777" w:rsidR="00F75B40" w:rsidRPr="00B560EE" w:rsidRDefault="00F75B40" w:rsidP="00B560EE">
      <w:pPr>
        <w:pStyle w:val="Textonotapie"/>
        <w:ind w:firstLine="708"/>
        <w:jc w:val="both"/>
        <w:rPr>
          <w:rFonts w:ascii="Arial" w:hAnsi="Arial" w:cs="Arial"/>
          <w:sz w:val="19"/>
          <w:szCs w:val="19"/>
          <w:lang w:val="es-MX"/>
        </w:rPr>
      </w:pPr>
    </w:p>
  </w:footnote>
  <w:footnote w:id="16">
    <w:p w14:paraId="3B12CDC0" w14:textId="1F8F53A6" w:rsidR="00F75B40" w:rsidRPr="004C7AC4" w:rsidRDefault="00A150DB" w:rsidP="004C7AC4">
      <w:pPr>
        <w:pStyle w:val="Textonotapie"/>
        <w:ind w:firstLine="708"/>
        <w:jc w:val="both"/>
        <w:rPr>
          <w:rFonts w:ascii="Arial" w:hAnsi="Arial" w:cs="Arial"/>
          <w:sz w:val="19"/>
          <w:szCs w:val="19"/>
        </w:rPr>
      </w:pPr>
      <w:r w:rsidRPr="00B560EE">
        <w:rPr>
          <w:rStyle w:val="Refdenotaalpie"/>
          <w:rFonts w:ascii="Arial" w:hAnsi="Arial" w:cs="Arial"/>
          <w:sz w:val="19"/>
          <w:szCs w:val="19"/>
        </w:rPr>
        <w:footnoteRef/>
      </w:r>
      <w:r w:rsidRPr="00B560EE">
        <w:rPr>
          <w:rFonts w:ascii="Arial" w:hAnsi="Arial" w:cs="Arial"/>
          <w:sz w:val="19"/>
          <w:szCs w:val="19"/>
        </w:rPr>
        <w:t xml:space="preserve"> Compilado en el Decreto 1082 de 2015, artículo 2.2.1.2.5.2: </w:t>
      </w:r>
      <w:r w:rsidR="00F75B40" w:rsidRPr="004C7AC4">
        <w:rPr>
          <w:rFonts w:ascii="Arial" w:hAnsi="Arial" w:cs="Arial"/>
          <w:sz w:val="19"/>
          <w:szCs w:val="19"/>
        </w:rPr>
        <w:t>«</w:t>
      </w:r>
      <w:r w:rsidRPr="00B560EE">
        <w:rPr>
          <w:rFonts w:ascii="Arial" w:hAnsi="Arial" w:cs="Arial"/>
          <w:sz w:val="19"/>
          <w:szCs w:val="19"/>
        </w:rPr>
        <w:t xml:space="preserve">Artículo 159. Estándares y documentos tipo. Sin perjuicio de la función permanente que el Decreto 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 </w:t>
      </w:r>
    </w:p>
    <w:p w14:paraId="2D55C580" w14:textId="5888D587" w:rsidR="00F75B40" w:rsidRPr="004C7AC4" w:rsidRDefault="00F75B40" w:rsidP="00BD3191">
      <w:pPr>
        <w:pStyle w:val="Textonotapie"/>
        <w:ind w:firstLine="708"/>
        <w:jc w:val="both"/>
        <w:rPr>
          <w:rFonts w:ascii="Arial" w:hAnsi="Arial" w:cs="Arial"/>
          <w:sz w:val="19"/>
          <w:szCs w:val="19"/>
        </w:rPr>
      </w:pPr>
      <w:r w:rsidRPr="00BD3191">
        <w:rPr>
          <w:rFonts w:ascii="Arial" w:hAnsi="Arial" w:cs="Arial"/>
          <w:sz w:val="19"/>
          <w:szCs w:val="19"/>
        </w:rPr>
        <w:t>»</w:t>
      </w:r>
      <w:r w:rsidR="00A150DB" w:rsidRPr="00B560EE">
        <w:rPr>
          <w:rFonts w:ascii="Arial" w:hAnsi="Arial" w:cs="Arial"/>
          <w:sz w:val="19"/>
          <w:szCs w:val="19"/>
        </w:rPr>
        <w:t xml:space="preserve">1. Manuales para el uso de los Acuerdos Marco de Precios dentro de los dos (2) meses siguientes a la expedición el presente decreto. </w:t>
      </w:r>
    </w:p>
    <w:p w14:paraId="0FCDCC82" w14:textId="14748E29" w:rsidR="00F75B40" w:rsidRPr="004C7AC4" w:rsidRDefault="00F75B40" w:rsidP="00BD3191">
      <w:pPr>
        <w:pStyle w:val="Textonotapie"/>
        <w:ind w:firstLine="708"/>
        <w:jc w:val="both"/>
        <w:rPr>
          <w:rFonts w:ascii="Arial" w:hAnsi="Arial" w:cs="Arial"/>
          <w:sz w:val="19"/>
          <w:szCs w:val="19"/>
        </w:rPr>
      </w:pPr>
      <w:r w:rsidRPr="004C7AC4">
        <w:rPr>
          <w:rFonts w:ascii="Arial" w:hAnsi="Arial" w:cs="Arial"/>
          <w:sz w:val="19"/>
          <w:szCs w:val="19"/>
        </w:rPr>
        <w:t>»</w:t>
      </w:r>
      <w:r w:rsidR="00A150DB" w:rsidRPr="00B560EE">
        <w:rPr>
          <w:rFonts w:ascii="Arial" w:hAnsi="Arial" w:cs="Arial"/>
          <w:sz w:val="19"/>
          <w:szCs w:val="19"/>
        </w:rPr>
        <w:t xml:space="preserve">2. </w:t>
      </w:r>
      <w:r w:rsidR="00A150DB" w:rsidRPr="00B560EE">
        <w:rPr>
          <w:rFonts w:ascii="Arial" w:hAnsi="Arial" w:cs="Arial"/>
          <w:strike/>
          <w:sz w:val="19"/>
          <w:szCs w:val="19"/>
        </w:rPr>
        <w:t>Manuales y guías para: (a) la identificación y cobertura del Riesgo</w:t>
      </w:r>
      <w:r w:rsidR="00A150DB" w:rsidRPr="00B560EE">
        <w:rPr>
          <w:rFonts w:ascii="Arial" w:hAnsi="Arial" w:cs="Arial"/>
          <w:sz w:val="19"/>
          <w:szCs w:val="19"/>
        </w:rPr>
        <w:t xml:space="preserve">; (b) la determinación de la Capacidad Residual para los contratos de obra pública dependiendo del valor de </w:t>
      </w:r>
      <w:r w:rsidR="00A150DB" w:rsidRPr="00B560EE">
        <w:rPr>
          <w:rFonts w:ascii="Arial" w:hAnsi="Arial" w:cs="Arial"/>
          <w:sz w:val="19"/>
          <w:szCs w:val="19"/>
        </w:rPr>
        <w:t xml:space="preserve">los mismos; (c) la elaboración y actualización del plan Anual de Adquisiciones; y (d) el uso del Clasificador de Bienes y Servicios; los cuales deben ser expedidos dentro de los (2) meses siguientes a la expedición del presente decreto. </w:t>
      </w:r>
    </w:p>
    <w:p w14:paraId="791FF9EC" w14:textId="567E86DF" w:rsidR="00F75B40" w:rsidRPr="004C7AC4" w:rsidRDefault="00F75B40" w:rsidP="00BD3191">
      <w:pPr>
        <w:pStyle w:val="Textonotapie"/>
        <w:ind w:firstLine="708"/>
        <w:jc w:val="both"/>
        <w:rPr>
          <w:rFonts w:ascii="Arial" w:hAnsi="Arial" w:cs="Arial"/>
          <w:sz w:val="19"/>
          <w:szCs w:val="19"/>
        </w:rPr>
      </w:pPr>
      <w:r w:rsidRPr="004C7AC4">
        <w:rPr>
          <w:rFonts w:ascii="Arial" w:hAnsi="Arial" w:cs="Arial"/>
          <w:sz w:val="19"/>
          <w:szCs w:val="19"/>
        </w:rPr>
        <w:t>»</w:t>
      </w:r>
      <w:r w:rsidR="00A150DB" w:rsidRPr="00B560EE">
        <w:rPr>
          <w:rFonts w:ascii="Arial" w:hAnsi="Arial" w:cs="Arial"/>
          <w:sz w:val="19"/>
          <w:szCs w:val="19"/>
        </w:rPr>
        <w:t xml:space="preserve">3. </w:t>
      </w:r>
      <w:r w:rsidR="00A150DB" w:rsidRPr="00B560EE">
        <w:rPr>
          <w:rFonts w:ascii="Arial" w:hAnsi="Arial" w:cs="Arial"/>
          <w:strike/>
          <w:sz w:val="19"/>
          <w:szCs w:val="19"/>
        </w:rPr>
        <w:t>Pliegos de condiciones tipo para la contratación dentro de los seis (6) meses siguientes a la expedición del presente decreto</w:t>
      </w:r>
      <w:r w:rsidR="00A150DB" w:rsidRPr="00B560EE">
        <w:rPr>
          <w:rFonts w:ascii="Arial" w:hAnsi="Arial" w:cs="Arial"/>
          <w:sz w:val="19"/>
          <w:szCs w:val="19"/>
        </w:rPr>
        <w:t xml:space="preserve">. </w:t>
      </w:r>
    </w:p>
    <w:p w14:paraId="36C9EBDF" w14:textId="26679AB6" w:rsidR="00A150DB" w:rsidRPr="00B560EE" w:rsidRDefault="00F75B40" w:rsidP="00B560EE">
      <w:pPr>
        <w:pStyle w:val="Textonotapie"/>
        <w:ind w:firstLine="708"/>
        <w:jc w:val="both"/>
        <w:rPr>
          <w:rFonts w:ascii="Arial" w:hAnsi="Arial" w:cs="Arial"/>
          <w:sz w:val="19"/>
          <w:szCs w:val="19"/>
          <w:lang w:val="es-MX"/>
        </w:rPr>
      </w:pPr>
      <w:r w:rsidRPr="004C7AC4">
        <w:rPr>
          <w:rFonts w:ascii="Arial" w:hAnsi="Arial" w:cs="Arial"/>
          <w:sz w:val="19"/>
          <w:szCs w:val="19"/>
        </w:rPr>
        <w:t>»</w:t>
      </w:r>
      <w:r w:rsidR="00A150DB" w:rsidRPr="00B560EE">
        <w:rPr>
          <w:rFonts w:ascii="Arial" w:hAnsi="Arial" w:cs="Arial"/>
          <w:sz w:val="19"/>
          <w:szCs w:val="19"/>
        </w:rPr>
        <w:t xml:space="preserve">4. </w:t>
      </w:r>
      <w:r w:rsidR="00A150DB" w:rsidRPr="00B560EE">
        <w:rPr>
          <w:rFonts w:ascii="Arial" w:hAnsi="Arial" w:cs="Arial"/>
          <w:strike/>
          <w:sz w:val="19"/>
          <w:szCs w:val="19"/>
        </w:rPr>
        <w:t>Minutas tipo de contratos dentro de los seis (6) meses siguientes a la expedición del presente decreto</w:t>
      </w:r>
      <w:r w:rsidRPr="004C7AC4">
        <w:rPr>
          <w:rFonts w:ascii="Arial" w:hAnsi="Arial" w:cs="Arial"/>
          <w:sz w:val="19"/>
          <w:szCs w:val="19"/>
        </w:rPr>
        <w:t>»</w:t>
      </w:r>
      <w:r w:rsidR="00A150DB" w:rsidRPr="00B560EE">
        <w:rPr>
          <w:rFonts w:ascii="Arial" w:hAnsi="Arial" w:cs="Arial"/>
          <w:sz w:val="19"/>
          <w:szCs w:val="19"/>
        </w:rPr>
        <w:t>. (Nota: Las expresiones tachadas fueron declaradas nulas por el Consejo de Estado en la Sentencia del 11 de abril de 2019. Rad. 2014-00135-00 (52055). Sección Tercera. C.P. María Adriana Marín).</w:t>
      </w:r>
    </w:p>
  </w:footnote>
  <w:footnote w:id="17">
    <w:p w14:paraId="69AF21B6" w14:textId="77777777" w:rsidR="00A150DB" w:rsidRPr="00B560EE" w:rsidRDefault="00A150DB" w:rsidP="00B560EE">
      <w:pPr>
        <w:pStyle w:val="Textonotapie"/>
        <w:jc w:val="both"/>
        <w:rPr>
          <w:rFonts w:ascii="Arial" w:hAnsi="Arial" w:cs="Arial"/>
          <w:sz w:val="19"/>
          <w:szCs w:val="19"/>
        </w:rPr>
      </w:pPr>
    </w:p>
    <w:p w14:paraId="67F8ADEE" w14:textId="5EFEA28F" w:rsidR="00A150DB" w:rsidRPr="00B560EE" w:rsidRDefault="00A150DB" w:rsidP="00B560EE">
      <w:pPr>
        <w:pStyle w:val="Textonotapie"/>
        <w:ind w:firstLine="708"/>
        <w:jc w:val="both"/>
        <w:rPr>
          <w:rFonts w:ascii="Arial" w:hAnsi="Arial" w:cs="Arial"/>
          <w:sz w:val="19"/>
          <w:szCs w:val="19"/>
          <w:lang w:val="es-MX"/>
        </w:rPr>
      </w:pPr>
      <w:r w:rsidRPr="00B560EE">
        <w:rPr>
          <w:rStyle w:val="Refdenotaalpie"/>
          <w:rFonts w:ascii="Arial" w:hAnsi="Arial" w:cs="Arial"/>
          <w:sz w:val="19"/>
          <w:szCs w:val="19"/>
        </w:rPr>
        <w:footnoteRef/>
      </w:r>
      <w:r w:rsidRPr="00B560EE">
        <w:rPr>
          <w:rFonts w:ascii="Arial" w:hAnsi="Arial" w:cs="Arial"/>
          <w:sz w:val="19"/>
          <w:szCs w:val="19"/>
        </w:rPr>
        <w:t xml:space="preserve"> Consejo de Estado, Sección Tercera, Subsección A. Sentencia del 11 de abril de 2019, C.P. María Adriana Marín, Rad. 2014-00135-00 (52.055).</w:t>
      </w:r>
    </w:p>
  </w:footnote>
  <w:footnote w:id="18">
    <w:p w14:paraId="57D97B24" w14:textId="77777777" w:rsidR="008B32F5" w:rsidRPr="00B560EE" w:rsidRDefault="008B32F5" w:rsidP="00B560EE">
      <w:pPr>
        <w:pStyle w:val="Textonotapie"/>
        <w:ind w:firstLine="708"/>
        <w:jc w:val="both"/>
        <w:rPr>
          <w:rFonts w:ascii="Arial" w:hAnsi="Arial" w:cs="Arial"/>
          <w:sz w:val="19"/>
          <w:szCs w:val="19"/>
        </w:rPr>
      </w:pPr>
      <w:r w:rsidRPr="00B560EE">
        <w:rPr>
          <w:rStyle w:val="Refdenotaalpie"/>
          <w:rFonts w:ascii="Arial" w:hAnsi="Arial" w:cs="Arial"/>
          <w:sz w:val="19"/>
          <w:szCs w:val="19"/>
        </w:rPr>
        <w:footnoteRef/>
      </w:r>
      <w:r w:rsidRPr="00B560EE">
        <w:rPr>
          <w:rFonts w:ascii="Arial" w:hAnsi="Arial" w:cs="Arial"/>
          <w:sz w:val="19"/>
          <w:szCs w:val="19"/>
        </w:rPr>
        <w:t xml:space="preserve"> Así se establece en el «</w:t>
      </w:r>
      <w:r w:rsidRPr="00B560EE">
        <w:rPr>
          <w:rFonts w:ascii="Arial" w:eastAsia="Calibri" w:hAnsi="Arial" w:cs="Arial"/>
          <w:color w:val="000000" w:themeColor="text1"/>
          <w:sz w:val="19"/>
          <w:szCs w:val="19"/>
        </w:rPr>
        <w:t>Manual para la Identificación y Cobertura del Riesgo en los Procesos de Contratación</w:t>
      </w:r>
      <w:r w:rsidRPr="00B560EE">
        <w:rPr>
          <w:rFonts w:ascii="Arial" w:hAnsi="Arial" w:cs="Arial"/>
          <w:sz w:val="19"/>
          <w:szCs w:val="19"/>
        </w:rPr>
        <w:t>»: «5. Monitorear los Riesgos.</w:t>
      </w:r>
    </w:p>
    <w:p w14:paraId="4D55F9E8" w14:textId="77777777" w:rsidR="008B32F5" w:rsidRPr="00B560EE" w:rsidRDefault="008B32F5" w:rsidP="00B560EE">
      <w:pPr>
        <w:pStyle w:val="Textonotapie"/>
        <w:ind w:firstLine="708"/>
        <w:jc w:val="both"/>
        <w:rPr>
          <w:rFonts w:ascii="Arial" w:hAnsi="Arial" w:cs="Arial"/>
          <w:sz w:val="19"/>
          <w:szCs w:val="19"/>
        </w:rPr>
      </w:pPr>
      <w:r>
        <w:rPr>
          <w:rFonts w:ascii="Arial" w:hAnsi="Arial" w:cs="Arial"/>
          <w:sz w:val="19"/>
          <w:szCs w:val="19"/>
        </w:rPr>
        <w:t>»</w:t>
      </w:r>
      <w:r w:rsidRPr="00B560EE">
        <w:rPr>
          <w:rFonts w:ascii="Arial" w:hAnsi="Arial" w:cs="Arial"/>
          <w:sz w:val="19"/>
          <w:szCs w:val="19"/>
        </w:rPr>
        <w:t xml:space="preserve">La Entidad Estatal debe realizar un monitoreo constante a los Riesgos del Proceso de Contratación pues las circunstancias cambian rápidamente y los Riesgos no son estáticos. La matriz y el plan de tratamiento deben ser revisadas constantemente y </w:t>
      </w:r>
      <w:r w:rsidRPr="00B560EE">
        <w:rPr>
          <w:rFonts w:ascii="Arial" w:hAnsi="Arial" w:cs="Arial"/>
          <w:i/>
          <w:iCs/>
          <w:sz w:val="19"/>
          <w:szCs w:val="19"/>
        </w:rPr>
        <w:t>revisar si es necesario hacer ajustes al plan de tratamiento de acuerdo con las circunstancias</w:t>
      </w:r>
      <w:r>
        <w:rPr>
          <w:rFonts w:ascii="Arial" w:hAnsi="Arial" w:cs="Arial"/>
          <w:sz w:val="19"/>
          <w:szCs w:val="19"/>
        </w:rPr>
        <w:t>» (Cursiva fuera del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500C" w14:textId="77777777" w:rsidR="00E029E1" w:rsidRDefault="00E029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029E1" w:rsidRDefault="00E029E1">
    <w:pPr>
      <w:pStyle w:val="Encabezado"/>
    </w:pPr>
    <w:r>
      <w:rPr>
        <w:noProof/>
        <w:lang w:val="es-ES" w:eastAsia="es-E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4426" w14:textId="77777777" w:rsidR="00E029E1" w:rsidRDefault="00E029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AFD1457"/>
    <w:multiLevelType w:val="hybridMultilevel"/>
    <w:tmpl w:val="022CC2E8"/>
    <w:lvl w:ilvl="0" w:tplc="5ABC7B34">
      <w:start w:val="2"/>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181C63"/>
    <w:multiLevelType w:val="hybridMultilevel"/>
    <w:tmpl w:val="F634B490"/>
    <w:lvl w:ilvl="0" w:tplc="47947A5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6837303"/>
    <w:multiLevelType w:val="hybridMultilevel"/>
    <w:tmpl w:val="93B65AA8"/>
    <w:lvl w:ilvl="0" w:tplc="7F6CE1BC">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6DB32E66"/>
    <w:multiLevelType w:val="multilevel"/>
    <w:tmpl w:val="86526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53CA8"/>
    <w:multiLevelType w:val="hybridMultilevel"/>
    <w:tmpl w:val="8556CC82"/>
    <w:lvl w:ilvl="0" w:tplc="147AD612">
      <w:start w:val="1"/>
      <w:numFmt w:val="decimal"/>
      <w:lvlText w:val="%1."/>
      <w:lvlJc w:val="left"/>
      <w:pPr>
        <w:ind w:left="1065" w:hanging="360"/>
      </w:pPr>
      <w:rPr>
        <w:rFonts w:ascii="Arial" w:hAnsi="Arial" w:cs="Arial" w:hint="default"/>
        <w:b w:val="0"/>
        <w:bCs/>
        <w:sz w:val="22"/>
        <w:szCs w:val="22"/>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1" w15:restartNumberingAfterBreak="0">
    <w:nsid w:val="708C6AB0"/>
    <w:multiLevelType w:val="hybridMultilevel"/>
    <w:tmpl w:val="A9522FFC"/>
    <w:lvl w:ilvl="0" w:tplc="D3E8F1A4">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71DB381F"/>
    <w:multiLevelType w:val="hybridMultilevel"/>
    <w:tmpl w:val="B8922870"/>
    <w:lvl w:ilvl="0" w:tplc="A0DE175E">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B711D3"/>
    <w:multiLevelType w:val="multilevel"/>
    <w:tmpl w:val="18642C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20075484">
    <w:abstractNumId w:val="8"/>
  </w:num>
  <w:num w:numId="2" w16cid:durableId="268004320">
    <w:abstractNumId w:val="6"/>
  </w:num>
  <w:num w:numId="3" w16cid:durableId="24336852">
    <w:abstractNumId w:val="11"/>
  </w:num>
  <w:num w:numId="4" w16cid:durableId="1710297449">
    <w:abstractNumId w:val="14"/>
  </w:num>
  <w:num w:numId="5" w16cid:durableId="1576476714">
    <w:abstractNumId w:val="18"/>
  </w:num>
  <w:num w:numId="6" w16cid:durableId="110337556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6650513">
    <w:abstractNumId w:val="15"/>
  </w:num>
  <w:num w:numId="8" w16cid:durableId="1180196038">
    <w:abstractNumId w:val="0"/>
  </w:num>
  <w:num w:numId="9" w16cid:durableId="327102756">
    <w:abstractNumId w:val="4"/>
  </w:num>
  <w:num w:numId="10" w16cid:durableId="509296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0626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757646">
    <w:abstractNumId w:val="7"/>
  </w:num>
  <w:num w:numId="13" w16cid:durableId="59789719">
    <w:abstractNumId w:val="10"/>
  </w:num>
  <w:num w:numId="14" w16cid:durableId="1309899117">
    <w:abstractNumId w:val="5"/>
  </w:num>
  <w:num w:numId="15" w16cid:durableId="14400305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656938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5035767">
    <w:abstractNumId w:val="23"/>
  </w:num>
  <w:num w:numId="18" w16cid:durableId="614945060">
    <w:abstractNumId w:val="12"/>
  </w:num>
  <w:num w:numId="19" w16cid:durableId="1727795329">
    <w:abstractNumId w:val="2"/>
  </w:num>
  <w:num w:numId="20" w16cid:durableId="2100831592">
    <w:abstractNumId w:val="24"/>
  </w:num>
  <w:num w:numId="21" w16cid:durableId="923808094">
    <w:abstractNumId w:val="19"/>
  </w:num>
  <w:num w:numId="22" w16cid:durableId="1953970161">
    <w:abstractNumId w:val="25"/>
  </w:num>
  <w:num w:numId="23" w16cid:durableId="1529297897">
    <w:abstractNumId w:val="21"/>
  </w:num>
  <w:num w:numId="24" w16cid:durableId="1089236641">
    <w:abstractNumId w:val="16"/>
  </w:num>
  <w:num w:numId="25" w16cid:durableId="1202010072">
    <w:abstractNumId w:val="3"/>
  </w:num>
  <w:num w:numId="26" w16cid:durableId="1423524364">
    <w:abstractNumId w:val="22"/>
  </w:num>
  <w:num w:numId="27" w16cid:durableId="730883046">
    <w:abstractNumId w:val="13"/>
  </w:num>
  <w:num w:numId="28" w16cid:durableId="10179219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2811"/>
    <w:rsid w:val="00003A31"/>
    <w:rsid w:val="00003C5C"/>
    <w:rsid w:val="000059D3"/>
    <w:rsid w:val="00006081"/>
    <w:rsid w:val="00007750"/>
    <w:rsid w:val="00007E37"/>
    <w:rsid w:val="00010192"/>
    <w:rsid w:val="00010BFE"/>
    <w:rsid w:val="00012B9E"/>
    <w:rsid w:val="00013C6B"/>
    <w:rsid w:val="0001596F"/>
    <w:rsid w:val="000159F0"/>
    <w:rsid w:val="000165AC"/>
    <w:rsid w:val="00016651"/>
    <w:rsid w:val="000171A2"/>
    <w:rsid w:val="00023C09"/>
    <w:rsid w:val="000247BF"/>
    <w:rsid w:val="0002799F"/>
    <w:rsid w:val="00035EA9"/>
    <w:rsid w:val="00041C34"/>
    <w:rsid w:val="00051B84"/>
    <w:rsid w:val="0005548E"/>
    <w:rsid w:val="00061D00"/>
    <w:rsid w:val="0007254F"/>
    <w:rsid w:val="00075B3E"/>
    <w:rsid w:val="00076456"/>
    <w:rsid w:val="00076648"/>
    <w:rsid w:val="00080ACD"/>
    <w:rsid w:val="00080BFE"/>
    <w:rsid w:val="00081BED"/>
    <w:rsid w:val="00083099"/>
    <w:rsid w:val="0008331C"/>
    <w:rsid w:val="00083EDC"/>
    <w:rsid w:val="00084B97"/>
    <w:rsid w:val="0008510E"/>
    <w:rsid w:val="00085F17"/>
    <w:rsid w:val="00086ED2"/>
    <w:rsid w:val="00091569"/>
    <w:rsid w:val="000919F2"/>
    <w:rsid w:val="00092506"/>
    <w:rsid w:val="0009406D"/>
    <w:rsid w:val="000942EB"/>
    <w:rsid w:val="00095B70"/>
    <w:rsid w:val="00095F31"/>
    <w:rsid w:val="00096274"/>
    <w:rsid w:val="000A1247"/>
    <w:rsid w:val="000A27BB"/>
    <w:rsid w:val="000A4D29"/>
    <w:rsid w:val="000B103F"/>
    <w:rsid w:val="000B419B"/>
    <w:rsid w:val="000C0A60"/>
    <w:rsid w:val="000C0BBB"/>
    <w:rsid w:val="000C128D"/>
    <w:rsid w:val="000C639D"/>
    <w:rsid w:val="000C7476"/>
    <w:rsid w:val="000D0ED2"/>
    <w:rsid w:val="000D2563"/>
    <w:rsid w:val="000D324F"/>
    <w:rsid w:val="000D7541"/>
    <w:rsid w:val="000E132A"/>
    <w:rsid w:val="000E3E11"/>
    <w:rsid w:val="000E4596"/>
    <w:rsid w:val="000E4BAE"/>
    <w:rsid w:val="000F12DE"/>
    <w:rsid w:val="000F14E8"/>
    <w:rsid w:val="000F1BBD"/>
    <w:rsid w:val="000F1FE6"/>
    <w:rsid w:val="000F28E3"/>
    <w:rsid w:val="000F3662"/>
    <w:rsid w:val="000F3E24"/>
    <w:rsid w:val="000F43F0"/>
    <w:rsid w:val="000F5F76"/>
    <w:rsid w:val="000F6578"/>
    <w:rsid w:val="000F7312"/>
    <w:rsid w:val="001000FB"/>
    <w:rsid w:val="00101D64"/>
    <w:rsid w:val="00103915"/>
    <w:rsid w:val="001051E5"/>
    <w:rsid w:val="00105AEF"/>
    <w:rsid w:val="001077A8"/>
    <w:rsid w:val="00107B35"/>
    <w:rsid w:val="00112B2E"/>
    <w:rsid w:val="00113705"/>
    <w:rsid w:val="00116D11"/>
    <w:rsid w:val="001174C9"/>
    <w:rsid w:val="00120162"/>
    <w:rsid w:val="00122B23"/>
    <w:rsid w:val="00123119"/>
    <w:rsid w:val="00125A26"/>
    <w:rsid w:val="00125BED"/>
    <w:rsid w:val="00125C59"/>
    <w:rsid w:val="00127AF2"/>
    <w:rsid w:val="00131B5A"/>
    <w:rsid w:val="00132460"/>
    <w:rsid w:val="001328AB"/>
    <w:rsid w:val="001337D6"/>
    <w:rsid w:val="00134921"/>
    <w:rsid w:val="00136B0C"/>
    <w:rsid w:val="00136BF7"/>
    <w:rsid w:val="00137FFA"/>
    <w:rsid w:val="0014029B"/>
    <w:rsid w:val="00140F55"/>
    <w:rsid w:val="001435FB"/>
    <w:rsid w:val="0014502F"/>
    <w:rsid w:val="001460AC"/>
    <w:rsid w:val="00155D08"/>
    <w:rsid w:val="00156B38"/>
    <w:rsid w:val="00160401"/>
    <w:rsid w:val="00160875"/>
    <w:rsid w:val="00161B6E"/>
    <w:rsid w:val="00161F1C"/>
    <w:rsid w:val="0016200B"/>
    <w:rsid w:val="0016232C"/>
    <w:rsid w:val="00163C18"/>
    <w:rsid w:val="001643E4"/>
    <w:rsid w:val="001725E3"/>
    <w:rsid w:val="00173206"/>
    <w:rsid w:val="001734E3"/>
    <w:rsid w:val="001742BF"/>
    <w:rsid w:val="00183C39"/>
    <w:rsid w:val="00184492"/>
    <w:rsid w:val="00184E67"/>
    <w:rsid w:val="001861D3"/>
    <w:rsid w:val="0018626D"/>
    <w:rsid w:val="00187241"/>
    <w:rsid w:val="00191E63"/>
    <w:rsid w:val="0019388B"/>
    <w:rsid w:val="00194A35"/>
    <w:rsid w:val="001A154A"/>
    <w:rsid w:val="001A18D5"/>
    <w:rsid w:val="001A24DA"/>
    <w:rsid w:val="001A66DF"/>
    <w:rsid w:val="001B0444"/>
    <w:rsid w:val="001B2456"/>
    <w:rsid w:val="001B48F3"/>
    <w:rsid w:val="001B499F"/>
    <w:rsid w:val="001B4AA2"/>
    <w:rsid w:val="001B7C58"/>
    <w:rsid w:val="001B7CE7"/>
    <w:rsid w:val="001C0794"/>
    <w:rsid w:val="001C3E30"/>
    <w:rsid w:val="001C3E5C"/>
    <w:rsid w:val="001D0E0F"/>
    <w:rsid w:val="001D1E0B"/>
    <w:rsid w:val="001D56E9"/>
    <w:rsid w:val="001D5C31"/>
    <w:rsid w:val="001D66F1"/>
    <w:rsid w:val="001E1D38"/>
    <w:rsid w:val="001E674D"/>
    <w:rsid w:val="001E74D2"/>
    <w:rsid w:val="001F1349"/>
    <w:rsid w:val="001F2356"/>
    <w:rsid w:val="001F333A"/>
    <w:rsid w:val="001F34F5"/>
    <w:rsid w:val="001F4773"/>
    <w:rsid w:val="001F56AA"/>
    <w:rsid w:val="001F58AA"/>
    <w:rsid w:val="001F5EF6"/>
    <w:rsid w:val="002005DE"/>
    <w:rsid w:val="0020174E"/>
    <w:rsid w:val="0020632A"/>
    <w:rsid w:val="00207D95"/>
    <w:rsid w:val="002102A5"/>
    <w:rsid w:val="002110EB"/>
    <w:rsid w:val="00211338"/>
    <w:rsid w:val="00211388"/>
    <w:rsid w:val="0021148C"/>
    <w:rsid w:val="00213A1F"/>
    <w:rsid w:val="0021530F"/>
    <w:rsid w:val="00216264"/>
    <w:rsid w:val="002208BA"/>
    <w:rsid w:val="00221E28"/>
    <w:rsid w:val="002248AD"/>
    <w:rsid w:val="00231FBA"/>
    <w:rsid w:val="00232E15"/>
    <w:rsid w:val="00233C42"/>
    <w:rsid w:val="002345B6"/>
    <w:rsid w:val="00234B84"/>
    <w:rsid w:val="0023658E"/>
    <w:rsid w:val="002371BA"/>
    <w:rsid w:val="002453D9"/>
    <w:rsid w:val="00245BAB"/>
    <w:rsid w:val="00246E55"/>
    <w:rsid w:val="00247712"/>
    <w:rsid w:val="00251A9F"/>
    <w:rsid w:val="00252B35"/>
    <w:rsid w:val="00253A02"/>
    <w:rsid w:val="00253B81"/>
    <w:rsid w:val="00255244"/>
    <w:rsid w:val="0025551B"/>
    <w:rsid w:val="002562BA"/>
    <w:rsid w:val="002564BE"/>
    <w:rsid w:val="00256ECF"/>
    <w:rsid w:val="002574EC"/>
    <w:rsid w:val="00264EEA"/>
    <w:rsid w:val="00272EB4"/>
    <w:rsid w:val="002754F6"/>
    <w:rsid w:val="00275BB1"/>
    <w:rsid w:val="00277F8D"/>
    <w:rsid w:val="00280A86"/>
    <w:rsid w:val="0028106A"/>
    <w:rsid w:val="0028286F"/>
    <w:rsid w:val="002834E9"/>
    <w:rsid w:val="0028521A"/>
    <w:rsid w:val="0028576D"/>
    <w:rsid w:val="00285832"/>
    <w:rsid w:val="002865B6"/>
    <w:rsid w:val="00291E8A"/>
    <w:rsid w:val="00293113"/>
    <w:rsid w:val="002962AF"/>
    <w:rsid w:val="002A230D"/>
    <w:rsid w:val="002A301E"/>
    <w:rsid w:val="002A3D94"/>
    <w:rsid w:val="002B0118"/>
    <w:rsid w:val="002B1453"/>
    <w:rsid w:val="002B27C8"/>
    <w:rsid w:val="002B2A7F"/>
    <w:rsid w:val="002B330B"/>
    <w:rsid w:val="002B38BD"/>
    <w:rsid w:val="002B5019"/>
    <w:rsid w:val="002B5638"/>
    <w:rsid w:val="002B6416"/>
    <w:rsid w:val="002B6AB4"/>
    <w:rsid w:val="002C039B"/>
    <w:rsid w:val="002C2B3A"/>
    <w:rsid w:val="002C2B87"/>
    <w:rsid w:val="002C36A1"/>
    <w:rsid w:val="002C4C0C"/>
    <w:rsid w:val="002C4CB1"/>
    <w:rsid w:val="002C5016"/>
    <w:rsid w:val="002C704D"/>
    <w:rsid w:val="002C7050"/>
    <w:rsid w:val="002D0933"/>
    <w:rsid w:val="002D2924"/>
    <w:rsid w:val="002D3EE5"/>
    <w:rsid w:val="002D5A1B"/>
    <w:rsid w:val="002D69D5"/>
    <w:rsid w:val="002D74C3"/>
    <w:rsid w:val="002E055C"/>
    <w:rsid w:val="002E1050"/>
    <w:rsid w:val="002E2814"/>
    <w:rsid w:val="002E48EC"/>
    <w:rsid w:val="002E746D"/>
    <w:rsid w:val="002F3601"/>
    <w:rsid w:val="002F45F6"/>
    <w:rsid w:val="002F4A50"/>
    <w:rsid w:val="002F6157"/>
    <w:rsid w:val="003033BA"/>
    <w:rsid w:val="00305FCB"/>
    <w:rsid w:val="003065C1"/>
    <w:rsid w:val="00306B44"/>
    <w:rsid w:val="0031109C"/>
    <w:rsid w:val="00311376"/>
    <w:rsid w:val="00311B47"/>
    <w:rsid w:val="003125E0"/>
    <w:rsid w:val="0031365A"/>
    <w:rsid w:val="003151D8"/>
    <w:rsid w:val="003152D1"/>
    <w:rsid w:val="00315C7E"/>
    <w:rsid w:val="0031682F"/>
    <w:rsid w:val="0031720A"/>
    <w:rsid w:val="00317AAF"/>
    <w:rsid w:val="00317C47"/>
    <w:rsid w:val="00321FA3"/>
    <w:rsid w:val="00321FF3"/>
    <w:rsid w:val="00322937"/>
    <w:rsid w:val="003248B5"/>
    <w:rsid w:val="00324A1B"/>
    <w:rsid w:val="00325B06"/>
    <w:rsid w:val="00327A5C"/>
    <w:rsid w:val="0033092C"/>
    <w:rsid w:val="00331531"/>
    <w:rsid w:val="00331932"/>
    <w:rsid w:val="003344F5"/>
    <w:rsid w:val="00336729"/>
    <w:rsid w:val="00337CA8"/>
    <w:rsid w:val="0034029E"/>
    <w:rsid w:val="00341117"/>
    <w:rsid w:val="0034177C"/>
    <w:rsid w:val="00342A1C"/>
    <w:rsid w:val="003432C8"/>
    <w:rsid w:val="00344760"/>
    <w:rsid w:val="00346065"/>
    <w:rsid w:val="0034680A"/>
    <w:rsid w:val="00347EC0"/>
    <w:rsid w:val="003501E2"/>
    <w:rsid w:val="00350EDB"/>
    <w:rsid w:val="003517C8"/>
    <w:rsid w:val="00352269"/>
    <w:rsid w:val="00353DD5"/>
    <w:rsid w:val="00354913"/>
    <w:rsid w:val="00355A44"/>
    <w:rsid w:val="003602E3"/>
    <w:rsid w:val="003650A1"/>
    <w:rsid w:val="00365A97"/>
    <w:rsid w:val="003670B8"/>
    <w:rsid w:val="003812B4"/>
    <w:rsid w:val="003818BE"/>
    <w:rsid w:val="00382D91"/>
    <w:rsid w:val="00384424"/>
    <w:rsid w:val="00386456"/>
    <w:rsid w:val="003865A9"/>
    <w:rsid w:val="00386A2A"/>
    <w:rsid w:val="00387F02"/>
    <w:rsid w:val="00395AD6"/>
    <w:rsid w:val="00396A33"/>
    <w:rsid w:val="00397FF0"/>
    <w:rsid w:val="003A0878"/>
    <w:rsid w:val="003A1D25"/>
    <w:rsid w:val="003A213B"/>
    <w:rsid w:val="003A2447"/>
    <w:rsid w:val="003A333C"/>
    <w:rsid w:val="003A581E"/>
    <w:rsid w:val="003A6160"/>
    <w:rsid w:val="003A6B0E"/>
    <w:rsid w:val="003A6FB8"/>
    <w:rsid w:val="003A7C9B"/>
    <w:rsid w:val="003B176A"/>
    <w:rsid w:val="003B57A5"/>
    <w:rsid w:val="003B5E8F"/>
    <w:rsid w:val="003B65D7"/>
    <w:rsid w:val="003B6C00"/>
    <w:rsid w:val="003B7766"/>
    <w:rsid w:val="003C1AF4"/>
    <w:rsid w:val="003C1CB8"/>
    <w:rsid w:val="003C287F"/>
    <w:rsid w:val="003C2A71"/>
    <w:rsid w:val="003C622C"/>
    <w:rsid w:val="003C63B2"/>
    <w:rsid w:val="003C7EC4"/>
    <w:rsid w:val="003D0DE5"/>
    <w:rsid w:val="003D1351"/>
    <w:rsid w:val="003D3657"/>
    <w:rsid w:val="003D389E"/>
    <w:rsid w:val="003D6B8F"/>
    <w:rsid w:val="003D748B"/>
    <w:rsid w:val="003E2EFC"/>
    <w:rsid w:val="003E34DB"/>
    <w:rsid w:val="003E358D"/>
    <w:rsid w:val="003E37E1"/>
    <w:rsid w:val="003E4C48"/>
    <w:rsid w:val="003E5557"/>
    <w:rsid w:val="003E5B9F"/>
    <w:rsid w:val="003E6072"/>
    <w:rsid w:val="003E71BB"/>
    <w:rsid w:val="003E7A8B"/>
    <w:rsid w:val="003F3C7A"/>
    <w:rsid w:val="003F4599"/>
    <w:rsid w:val="003F5083"/>
    <w:rsid w:val="003F7C3C"/>
    <w:rsid w:val="00400F13"/>
    <w:rsid w:val="00402DE1"/>
    <w:rsid w:val="00404C75"/>
    <w:rsid w:val="004050E9"/>
    <w:rsid w:val="00406AAF"/>
    <w:rsid w:val="00407ABC"/>
    <w:rsid w:val="00411D6E"/>
    <w:rsid w:val="00412488"/>
    <w:rsid w:val="00413FFA"/>
    <w:rsid w:val="004170D7"/>
    <w:rsid w:val="0042030F"/>
    <w:rsid w:val="00422AD1"/>
    <w:rsid w:val="00423F9F"/>
    <w:rsid w:val="004260CE"/>
    <w:rsid w:val="00426396"/>
    <w:rsid w:val="004273FA"/>
    <w:rsid w:val="004332CE"/>
    <w:rsid w:val="00434787"/>
    <w:rsid w:val="004353FC"/>
    <w:rsid w:val="00436F40"/>
    <w:rsid w:val="00437720"/>
    <w:rsid w:val="0044050F"/>
    <w:rsid w:val="00440FAD"/>
    <w:rsid w:val="004422D6"/>
    <w:rsid w:val="0044441B"/>
    <w:rsid w:val="00446949"/>
    <w:rsid w:val="004511D0"/>
    <w:rsid w:val="0045271D"/>
    <w:rsid w:val="00452803"/>
    <w:rsid w:val="00454528"/>
    <w:rsid w:val="00454717"/>
    <w:rsid w:val="00455354"/>
    <w:rsid w:val="00455422"/>
    <w:rsid w:val="00462B10"/>
    <w:rsid w:val="004638E2"/>
    <w:rsid w:val="00464030"/>
    <w:rsid w:val="00466A0C"/>
    <w:rsid w:val="00470143"/>
    <w:rsid w:val="00473354"/>
    <w:rsid w:val="00474B6F"/>
    <w:rsid w:val="00475C5A"/>
    <w:rsid w:val="0047773C"/>
    <w:rsid w:val="004778BA"/>
    <w:rsid w:val="00477935"/>
    <w:rsid w:val="00480050"/>
    <w:rsid w:val="004808DE"/>
    <w:rsid w:val="00480A62"/>
    <w:rsid w:val="00481DC1"/>
    <w:rsid w:val="004836DE"/>
    <w:rsid w:val="00483ABC"/>
    <w:rsid w:val="004861B4"/>
    <w:rsid w:val="004864AD"/>
    <w:rsid w:val="00491667"/>
    <w:rsid w:val="00491802"/>
    <w:rsid w:val="0049241A"/>
    <w:rsid w:val="004940E3"/>
    <w:rsid w:val="00496786"/>
    <w:rsid w:val="004A054C"/>
    <w:rsid w:val="004A08D1"/>
    <w:rsid w:val="004A1D20"/>
    <w:rsid w:val="004A2F60"/>
    <w:rsid w:val="004A34D2"/>
    <w:rsid w:val="004A41D2"/>
    <w:rsid w:val="004A491E"/>
    <w:rsid w:val="004A76FB"/>
    <w:rsid w:val="004B2197"/>
    <w:rsid w:val="004B4541"/>
    <w:rsid w:val="004B578D"/>
    <w:rsid w:val="004B788E"/>
    <w:rsid w:val="004C0675"/>
    <w:rsid w:val="004C16BB"/>
    <w:rsid w:val="004C22F7"/>
    <w:rsid w:val="004C704A"/>
    <w:rsid w:val="004C7226"/>
    <w:rsid w:val="004C7AC4"/>
    <w:rsid w:val="004C7D70"/>
    <w:rsid w:val="004D07BD"/>
    <w:rsid w:val="004D34CA"/>
    <w:rsid w:val="004D4BA1"/>
    <w:rsid w:val="004D584D"/>
    <w:rsid w:val="004E023F"/>
    <w:rsid w:val="004E0742"/>
    <w:rsid w:val="004E0C64"/>
    <w:rsid w:val="004E1ECB"/>
    <w:rsid w:val="004E2A35"/>
    <w:rsid w:val="004E3803"/>
    <w:rsid w:val="004E4DC2"/>
    <w:rsid w:val="004F045D"/>
    <w:rsid w:val="004F1BEC"/>
    <w:rsid w:val="004F5694"/>
    <w:rsid w:val="004F66BC"/>
    <w:rsid w:val="005032CC"/>
    <w:rsid w:val="00505DC2"/>
    <w:rsid w:val="005075CA"/>
    <w:rsid w:val="0051074C"/>
    <w:rsid w:val="005119E0"/>
    <w:rsid w:val="00512A64"/>
    <w:rsid w:val="00512C4F"/>
    <w:rsid w:val="00513AF2"/>
    <w:rsid w:val="00514575"/>
    <w:rsid w:val="0051556A"/>
    <w:rsid w:val="00517AEE"/>
    <w:rsid w:val="00517CFB"/>
    <w:rsid w:val="00520899"/>
    <w:rsid w:val="00523903"/>
    <w:rsid w:val="00523C44"/>
    <w:rsid w:val="00524FD2"/>
    <w:rsid w:val="00526431"/>
    <w:rsid w:val="00527C57"/>
    <w:rsid w:val="00530522"/>
    <w:rsid w:val="005306CD"/>
    <w:rsid w:val="0053277C"/>
    <w:rsid w:val="00533101"/>
    <w:rsid w:val="00534EFB"/>
    <w:rsid w:val="00537672"/>
    <w:rsid w:val="00537B77"/>
    <w:rsid w:val="0054324D"/>
    <w:rsid w:val="0054413A"/>
    <w:rsid w:val="00551598"/>
    <w:rsid w:val="00551F16"/>
    <w:rsid w:val="005526AF"/>
    <w:rsid w:val="005551AA"/>
    <w:rsid w:val="005564CA"/>
    <w:rsid w:val="00557140"/>
    <w:rsid w:val="00561777"/>
    <w:rsid w:val="0056182B"/>
    <w:rsid w:val="005657A8"/>
    <w:rsid w:val="00565DF2"/>
    <w:rsid w:val="00567182"/>
    <w:rsid w:val="00567AB8"/>
    <w:rsid w:val="00570A26"/>
    <w:rsid w:val="00572539"/>
    <w:rsid w:val="005756AA"/>
    <w:rsid w:val="005813DE"/>
    <w:rsid w:val="00581B45"/>
    <w:rsid w:val="00584178"/>
    <w:rsid w:val="005915B6"/>
    <w:rsid w:val="00593F75"/>
    <w:rsid w:val="005940A0"/>
    <w:rsid w:val="0059489C"/>
    <w:rsid w:val="00595E2B"/>
    <w:rsid w:val="00597758"/>
    <w:rsid w:val="005A1976"/>
    <w:rsid w:val="005A1E63"/>
    <w:rsid w:val="005A29F5"/>
    <w:rsid w:val="005A3B35"/>
    <w:rsid w:val="005A3C4B"/>
    <w:rsid w:val="005A3E5A"/>
    <w:rsid w:val="005A567A"/>
    <w:rsid w:val="005A5A3D"/>
    <w:rsid w:val="005A6182"/>
    <w:rsid w:val="005A6B96"/>
    <w:rsid w:val="005B00BE"/>
    <w:rsid w:val="005B03FC"/>
    <w:rsid w:val="005B1FFD"/>
    <w:rsid w:val="005B4903"/>
    <w:rsid w:val="005B4948"/>
    <w:rsid w:val="005B501D"/>
    <w:rsid w:val="005B54CC"/>
    <w:rsid w:val="005B74AD"/>
    <w:rsid w:val="005B79E7"/>
    <w:rsid w:val="005B7EA2"/>
    <w:rsid w:val="005C178C"/>
    <w:rsid w:val="005C1C0B"/>
    <w:rsid w:val="005C38BA"/>
    <w:rsid w:val="005C5767"/>
    <w:rsid w:val="005C5C52"/>
    <w:rsid w:val="005D1773"/>
    <w:rsid w:val="005D2F48"/>
    <w:rsid w:val="005D51FA"/>
    <w:rsid w:val="005D52E5"/>
    <w:rsid w:val="005D5A9D"/>
    <w:rsid w:val="005D691D"/>
    <w:rsid w:val="005D791B"/>
    <w:rsid w:val="005E0EF4"/>
    <w:rsid w:val="005E1595"/>
    <w:rsid w:val="005E23A1"/>
    <w:rsid w:val="005E5EA8"/>
    <w:rsid w:val="005E6525"/>
    <w:rsid w:val="005E6E4B"/>
    <w:rsid w:val="005F305B"/>
    <w:rsid w:val="005F4481"/>
    <w:rsid w:val="005F6CE2"/>
    <w:rsid w:val="005F7E3F"/>
    <w:rsid w:val="00600489"/>
    <w:rsid w:val="00603928"/>
    <w:rsid w:val="00604A55"/>
    <w:rsid w:val="00606908"/>
    <w:rsid w:val="006102A2"/>
    <w:rsid w:val="00611A83"/>
    <w:rsid w:val="00614817"/>
    <w:rsid w:val="0061697E"/>
    <w:rsid w:val="00617601"/>
    <w:rsid w:val="006178D1"/>
    <w:rsid w:val="00617E25"/>
    <w:rsid w:val="00620719"/>
    <w:rsid w:val="00621C14"/>
    <w:rsid w:val="00623AC2"/>
    <w:rsid w:val="006269FA"/>
    <w:rsid w:val="00631DD0"/>
    <w:rsid w:val="006337E8"/>
    <w:rsid w:val="00633DBF"/>
    <w:rsid w:val="00634122"/>
    <w:rsid w:val="006346DB"/>
    <w:rsid w:val="00635CF0"/>
    <w:rsid w:val="00636E97"/>
    <w:rsid w:val="0063718C"/>
    <w:rsid w:val="006372EF"/>
    <w:rsid w:val="0064110D"/>
    <w:rsid w:val="0064207B"/>
    <w:rsid w:val="006427BE"/>
    <w:rsid w:val="00644F17"/>
    <w:rsid w:val="006460F7"/>
    <w:rsid w:val="00646D0F"/>
    <w:rsid w:val="00646DE8"/>
    <w:rsid w:val="00647459"/>
    <w:rsid w:val="00647A6C"/>
    <w:rsid w:val="00647EEB"/>
    <w:rsid w:val="00652E70"/>
    <w:rsid w:val="00653469"/>
    <w:rsid w:val="0065388C"/>
    <w:rsid w:val="00653A6F"/>
    <w:rsid w:val="006552B9"/>
    <w:rsid w:val="00655371"/>
    <w:rsid w:val="00656A68"/>
    <w:rsid w:val="006600C3"/>
    <w:rsid w:val="00661029"/>
    <w:rsid w:val="0066272D"/>
    <w:rsid w:val="00663AA9"/>
    <w:rsid w:val="0066421C"/>
    <w:rsid w:val="00666C72"/>
    <w:rsid w:val="0067064C"/>
    <w:rsid w:val="00670B20"/>
    <w:rsid w:val="006728A8"/>
    <w:rsid w:val="00672E80"/>
    <w:rsid w:val="006739E4"/>
    <w:rsid w:val="0067426B"/>
    <w:rsid w:val="006754F8"/>
    <w:rsid w:val="00676127"/>
    <w:rsid w:val="00680635"/>
    <w:rsid w:val="006811C9"/>
    <w:rsid w:val="006812CE"/>
    <w:rsid w:val="00684B41"/>
    <w:rsid w:val="0068563A"/>
    <w:rsid w:val="006908DB"/>
    <w:rsid w:val="006922DB"/>
    <w:rsid w:val="00697665"/>
    <w:rsid w:val="00697C9A"/>
    <w:rsid w:val="00697CDD"/>
    <w:rsid w:val="006A0350"/>
    <w:rsid w:val="006A2EB5"/>
    <w:rsid w:val="006A3546"/>
    <w:rsid w:val="006A59DE"/>
    <w:rsid w:val="006A6D78"/>
    <w:rsid w:val="006A7CB5"/>
    <w:rsid w:val="006A7FD0"/>
    <w:rsid w:val="006B155F"/>
    <w:rsid w:val="006B2623"/>
    <w:rsid w:val="006C251D"/>
    <w:rsid w:val="006C37CA"/>
    <w:rsid w:val="006C64DA"/>
    <w:rsid w:val="006C6CFC"/>
    <w:rsid w:val="006D04DA"/>
    <w:rsid w:val="006D1544"/>
    <w:rsid w:val="006D1688"/>
    <w:rsid w:val="006D1FF3"/>
    <w:rsid w:val="006D39D2"/>
    <w:rsid w:val="006D645D"/>
    <w:rsid w:val="006D6F2F"/>
    <w:rsid w:val="006D7687"/>
    <w:rsid w:val="006D7BED"/>
    <w:rsid w:val="006E0572"/>
    <w:rsid w:val="006E2007"/>
    <w:rsid w:val="006E2FDF"/>
    <w:rsid w:val="006E39D1"/>
    <w:rsid w:val="006E3FD7"/>
    <w:rsid w:val="006E602F"/>
    <w:rsid w:val="006E7857"/>
    <w:rsid w:val="006F15CC"/>
    <w:rsid w:val="006F4147"/>
    <w:rsid w:val="006F4536"/>
    <w:rsid w:val="006F79B9"/>
    <w:rsid w:val="00702B8F"/>
    <w:rsid w:val="007030D4"/>
    <w:rsid w:val="00703427"/>
    <w:rsid w:val="007035A5"/>
    <w:rsid w:val="00703E11"/>
    <w:rsid w:val="00705631"/>
    <w:rsid w:val="00705F62"/>
    <w:rsid w:val="00706C3B"/>
    <w:rsid w:val="00710668"/>
    <w:rsid w:val="007112B1"/>
    <w:rsid w:val="0071130F"/>
    <w:rsid w:val="0071141B"/>
    <w:rsid w:val="00712714"/>
    <w:rsid w:val="00715C29"/>
    <w:rsid w:val="00715EAA"/>
    <w:rsid w:val="00716545"/>
    <w:rsid w:val="00716CAD"/>
    <w:rsid w:val="00717A1A"/>
    <w:rsid w:val="00717ACB"/>
    <w:rsid w:val="00721E56"/>
    <w:rsid w:val="00724635"/>
    <w:rsid w:val="0072554B"/>
    <w:rsid w:val="00725AFD"/>
    <w:rsid w:val="00726603"/>
    <w:rsid w:val="00727DDC"/>
    <w:rsid w:val="007302E3"/>
    <w:rsid w:val="00730CD6"/>
    <w:rsid w:val="0073555F"/>
    <w:rsid w:val="00735B78"/>
    <w:rsid w:val="00735DA7"/>
    <w:rsid w:val="00742DD2"/>
    <w:rsid w:val="00742F73"/>
    <w:rsid w:val="00743971"/>
    <w:rsid w:val="007441A2"/>
    <w:rsid w:val="00745035"/>
    <w:rsid w:val="0074521C"/>
    <w:rsid w:val="00746E08"/>
    <w:rsid w:val="007473B9"/>
    <w:rsid w:val="00747C96"/>
    <w:rsid w:val="00750075"/>
    <w:rsid w:val="00750382"/>
    <w:rsid w:val="0075094E"/>
    <w:rsid w:val="00750FB5"/>
    <w:rsid w:val="007519D3"/>
    <w:rsid w:val="007522E8"/>
    <w:rsid w:val="00755E2C"/>
    <w:rsid w:val="0075647A"/>
    <w:rsid w:val="00756F55"/>
    <w:rsid w:val="00760EB6"/>
    <w:rsid w:val="007616DB"/>
    <w:rsid w:val="0076319F"/>
    <w:rsid w:val="007634AD"/>
    <w:rsid w:val="00764900"/>
    <w:rsid w:val="00770B86"/>
    <w:rsid w:val="00770EAC"/>
    <w:rsid w:val="00773BC8"/>
    <w:rsid w:val="007774E7"/>
    <w:rsid w:val="007808A3"/>
    <w:rsid w:val="00780F32"/>
    <w:rsid w:val="0078122E"/>
    <w:rsid w:val="00782D2C"/>
    <w:rsid w:val="00784EE7"/>
    <w:rsid w:val="00786FAD"/>
    <w:rsid w:val="007905D6"/>
    <w:rsid w:val="00790A24"/>
    <w:rsid w:val="007911DA"/>
    <w:rsid w:val="007920D0"/>
    <w:rsid w:val="0079381F"/>
    <w:rsid w:val="00795647"/>
    <w:rsid w:val="007963F6"/>
    <w:rsid w:val="00796677"/>
    <w:rsid w:val="00797061"/>
    <w:rsid w:val="007979AD"/>
    <w:rsid w:val="007A38A1"/>
    <w:rsid w:val="007B0854"/>
    <w:rsid w:val="007B12A6"/>
    <w:rsid w:val="007B3659"/>
    <w:rsid w:val="007B4828"/>
    <w:rsid w:val="007B4F13"/>
    <w:rsid w:val="007B6C64"/>
    <w:rsid w:val="007B6EC8"/>
    <w:rsid w:val="007B7EA2"/>
    <w:rsid w:val="007C04D4"/>
    <w:rsid w:val="007C0BC7"/>
    <w:rsid w:val="007C2B8E"/>
    <w:rsid w:val="007C38BF"/>
    <w:rsid w:val="007C61FA"/>
    <w:rsid w:val="007C6339"/>
    <w:rsid w:val="007D092F"/>
    <w:rsid w:val="007D2491"/>
    <w:rsid w:val="007D481A"/>
    <w:rsid w:val="007D639D"/>
    <w:rsid w:val="007E0678"/>
    <w:rsid w:val="007E1DDD"/>
    <w:rsid w:val="007E391C"/>
    <w:rsid w:val="007E74BF"/>
    <w:rsid w:val="007F1E28"/>
    <w:rsid w:val="007F22A0"/>
    <w:rsid w:val="007F2546"/>
    <w:rsid w:val="007F3AC1"/>
    <w:rsid w:val="007F5501"/>
    <w:rsid w:val="007F616E"/>
    <w:rsid w:val="007F6B46"/>
    <w:rsid w:val="007F72CB"/>
    <w:rsid w:val="007F785F"/>
    <w:rsid w:val="007F7E36"/>
    <w:rsid w:val="0080015C"/>
    <w:rsid w:val="00802AD3"/>
    <w:rsid w:val="00803D9D"/>
    <w:rsid w:val="008051F8"/>
    <w:rsid w:val="00807C35"/>
    <w:rsid w:val="00807C59"/>
    <w:rsid w:val="008100F7"/>
    <w:rsid w:val="00810F1A"/>
    <w:rsid w:val="00812914"/>
    <w:rsid w:val="0081320E"/>
    <w:rsid w:val="00813A7B"/>
    <w:rsid w:val="00815DA5"/>
    <w:rsid w:val="0081766B"/>
    <w:rsid w:val="008200A9"/>
    <w:rsid w:val="00820C7D"/>
    <w:rsid w:val="00821489"/>
    <w:rsid w:val="008217B7"/>
    <w:rsid w:val="0082239B"/>
    <w:rsid w:val="0082348D"/>
    <w:rsid w:val="008236BE"/>
    <w:rsid w:val="008237B1"/>
    <w:rsid w:val="0082567F"/>
    <w:rsid w:val="00827F4E"/>
    <w:rsid w:val="0083119B"/>
    <w:rsid w:val="008316AC"/>
    <w:rsid w:val="008316F8"/>
    <w:rsid w:val="00831BAE"/>
    <w:rsid w:val="00835143"/>
    <w:rsid w:val="008368D6"/>
    <w:rsid w:val="00836E74"/>
    <w:rsid w:val="00836EAB"/>
    <w:rsid w:val="0083755A"/>
    <w:rsid w:val="00837937"/>
    <w:rsid w:val="00840637"/>
    <w:rsid w:val="008408F3"/>
    <w:rsid w:val="00842400"/>
    <w:rsid w:val="00843615"/>
    <w:rsid w:val="00844D4F"/>
    <w:rsid w:val="008503E7"/>
    <w:rsid w:val="0085092D"/>
    <w:rsid w:val="00850F79"/>
    <w:rsid w:val="0085100B"/>
    <w:rsid w:val="008538C2"/>
    <w:rsid w:val="00853987"/>
    <w:rsid w:val="0085641E"/>
    <w:rsid w:val="00856625"/>
    <w:rsid w:val="00856887"/>
    <w:rsid w:val="0086004F"/>
    <w:rsid w:val="00861310"/>
    <w:rsid w:val="00861F53"/>
    <w:rsid w:val="00864241"/>
    <w:rsid w:val="0086495E"/>
    <w:rsid w:val="008650BE"/>
    <w:rsid w:val="0086633B"/>
    <w:rsid w:val="008673F9"/>
    <w:rsid w:val="00867512"/>
    <w:rsid w:val="00867C85"/>
    <w:rsid w:val="008707F0"/>
    <w:rsid w:val="00870DE9"/>
    <w:rsid w:val="0087496D"/>
    <w:rsid w:val="00874B89"/>
    <w:rsid w:val="00875DDB"/>
    <w:rsid w:val="0088106B"/>
    <w:rsid w:val="0088107D"/>
    <w:rsid w:val="00881266"/>
    <w:rsid w:val="0088132B"/>
    <w:rsid w:val="00881422"/>
    <w:rsid w:val="00881C01"/>
    <w:rsid w:val="008826FD"/>
    <w:rsid w:val="00882E39"/>
    <w:rsid w:val="00884E60"/>
    <w:rsid w:val="008850EB"/>
    <w:rsid w:val="008919CF"/>
    <w:rsid w:val="008935CF"/>
    <w:rsid w:val="00894318"/>
    <w:rsid w:val="0089774F"/>
    <w:rsid w:val="008A1323"/>
    <w:rsid w:val="008A2A23"/>
    <w:rsid w:val="008A4DAF"/>
    <w:rsid w:val="008A504B"/>
    <w:rsid w:val="008A54A8"/>
    <w:rsid w:val="008A796E"/>
    <w:rsid w:val="008B0862"/>
    <w:rsid w:val="008B088C"/>
    <w:rsid w:val="008B263F"/>
    <w:rsid w:val="008B32F5"/>
    <w:rsid w:val="008B3603"/>
    <w:rsid w:val="008B47A6"/>
    <w:rsid w:val="008B4FF6"/>
    <w:rsid w:val="008B672C"/>
    <w:rsid w:val="008C0985"/>
    <w:rsid w:val="008C11F0"/>
    <w:rsid w:val="008C1B9E"/>
    <w:rsid w:val="008C2B41"/>
    <w:rsid w:val="008C3F3C"/>
    <w:rsid w:val="008C45BD"/>
    <w:rsid w:val="008C53BA"/>
    <w:rsid w:val="008C66CE"/>
    <w:rsid w:val="008C72EA"/>
    <w:rsid w:val="008D129A"/>
    <w:rsid w:val="008D4CE7"/>
    <w:rsid w:val="008D518E"/>
    <w:rsid w:val="008D5864"/>
    <w:rsid w:val="008D66CA"/>
    <w:rsid w:val="008D69B1"/>
    <w:rsid w:val="008D7060"/>
    <w:rsid w:val="008E0E71"/>
    <w:rsid w:val="008E1C15"/>
    <w:rsid w:val="008E257A"/>
    <w:rsid w:val="008E3093"/>
    <w:rsid w:val="008E7D6E"/>
    <w:rsid w:val="008F263D"/>
    <w:rsid w:val="008F4DA6"/>
    <w:rsid w:val="008F505E"/>
    <w:rsid w:val="008F538E"/>
    <w:rsid w:val="008F5C9F"/>
    <w:rsid w:val="008F7989"/>
    <w:rsid w:val="00900362"/>
    <w:rsid w:val="00902426"/>
    <w:rsid w:val="00902E5C"/>
    <w:rsid w:val="009047C5"/>
    <w:rsid w:val="00914B9A"/>
    <w:rsid w:val="00914C3F"/>
    <w:rsid w:val="00916CCD"/>
    <w:rsid w:val="00916FC8"/>
    <w:rsid w:val="00922496"/>
    <w:rsid w:val="00926A54"/>
    <w:rsid w:val="00927036"/>
    <w:rsid w:val="009314FA"/>
    <w:rsid w:val="00933333"/>
    <w:rsid w:val="00935BA2"/>
    <w:rsid w:val="00935D89"/>
    <w:rsid w:val="00935DB6"/>
    <w:rsid w:val="00936F24"/>
    <w:rsid w:val="00937401"/>
    <w:rsid w:val="00940876"/>
    <w:rsid w:val="00940F3C"/>
    <w:rsid w:val="009410E0"/>
    <w:rsid w:val="00941587"/>
    <w:rsid w:val="0094548D"/>
    <w:rsid w:val="009533E2"/>
    <w:rsid w:val="0095385A"/>
    <w:rsid w:val="00955619"/>
    <w:rsid w:val="0095780A"/>
    <w:rsid w:val="00960BDB"/>
    <w:rsid w:val="0096147D"/>
    <w:rsid w:val="00971441"/>
    <w:rsid w:val="009715D4"/>
    <w:rsid w:val="00974B58"/>
    <w:rsid w:val="0097640E"/>
    <w:rsid w:val="0098427D"/>
    <w:rsid w:val="0098447A"/>
    <w:rsid w:val="00984567"/>
    <w:rsid w:val="009848CC"/>
    <w:rsid w:val="00984D36"/>
    <w:rsid w:val="00985B0D"/>
    <w:rsid w:val="009865D5"/>
    <w:rsid w:val="00986A4B"/>
    <w:rsid w:val="00986F64"/>
    <w:rsid w:val="00987473"/>
    <w:rsid w:val="00987C77"/>
    <w:rsid w:val="00990345"/>
    <w:rsid w:val="0099246D"/>
    <w:rsid w:val="00993126"/>
    <w:rsid w:val="00994AEF"/>
    <w:rsid w:val="009953AD"/>
    <w:rsid w:val="009954D2"/>
    <w:rsid w:val="00995866"/>
    <w:rsid w:val="009A01E4"/>
    <w:rsid w:val="009A1B18"/>
    <w:rsid w:val="009A32ED"/>
    <w:rsid w:val="009A7328"/>
    <w:rsid w:val="009A73F1"/>
    <w:rsid w:val="009B3A30"/>
    <w:rsid w:val="009C365E"/>
    <w:rsid w:val="009C7612"/>
    <w:rsid w:val="009D0930"/>
    <w:rsid w:val="009D1FA0"/>
    <w:rsid w:val="009D604F"/>
    <w:rsid w:val="009D695D"/>
    <w:rsid w:val="009D69E9"/>
    <w:rsid w:val="009D7271"/>
    <w:rsid w:val="009E0703"/>
    <w:rsid w:val="009E1BE0"/>
    <w:rsid w:val="009E2391"/>
    <w:rsid w:val="009E34D1"/>
    <w:rsid w:val="009E5E56"/>
    <w:rsid w:val="009E61EA"/>
    <w:rsid w:val="009E6CD8"/>
    <w:rsid w:val="009F1318"/>
    <w:rsid w:val="009F1EA5"/>
    <w:rsid w:val="009F5372"/>
    <w:rsid w:val="009F59C2"/>
    <w:rsid w:val="009F7585"/>
    <w:rsid w:val="00A0188B"/>
    <w:rsid w:val="00A01E73"/>
    <w:rsid w:val="00A02B88"/>
    <w:rsid w:val="00A03160"/>
    <w:rsid w:val="00A041BC"/>
    <w:rsid w:val="00A04963"/>
    <w:rsid w:val="00A06754"/>
    <w:rsid w:val="00A07578"/>
    <w:rsid w:val="00A077F9"/>
    <w:rsid w:val="00A07E50"/>
    <w:rsid w:val="00A1069F"/>
    <w:rsid w:val="00A10ACA"/>
    <w:rsid w:val="00A11DBA"/>
    <w:rsid w:val="00A127D2"/>
    <w:rsid w:val="00A13150"/>
    <w:rsid w:val="00A150DB"/>
    <w:rsid w:val="00A171B3"/>
    <w:rsid w:val="00A174C9"/>
    <w:rsid w:val="00A20264"/>
    <w:rsid w:val="00A20997"/>
    <w:rsid w:val="00A22498"/>
    <w:rsid w:val="00A22952"/>
    <w:rsid w:val="00A24560"/>
    <w:rsid w:val="00A24B48"/>
    <w:rsid w:val="00A25B0A"/>
    <w:rsid w:val="00A27104"/>
    <w:rsid w:val="00A312BD"/>
    <w:rsid w:val="00A317A0"/>
    <w:rsid w:val="00A31C3E"/>
    <w:rsid w:val="00A32886"/>
    <w:rsid w:val="00A32C6E"/>
    <w:rsid w:val="00A3388F"/>
    <w:rsid w:val="00A34538"/>
    <w:rsid w:val="00A37F8E"/>
    <w:rsid w:val="00A37FB6"/>
    <w:rsid w:val="00A41081"/>
    <w:rsid w:val="00A41B35"/>
    <w:rsid w:val="00A41DBF"/>
    <w:rsid w:val="00A426F3"/>
    <w:rsid w:val="00A4304D"/>
    <w:rsid w:val="00A431FE"/>
    <w:rsid w:val="00A43712"/>
    <w:rsid w:val="00A439E5"/>
    <w:rsid w:val="00A44F54"/>
    <w:rsid w:val="00A46A9A"/>
    <w:rsid w:val="00A53037"/>
    <w:rsid w:val="00A5351D"/>
    <w:rsid w:val="00A53E79"/>
    <w:rsid w:val="00A547CE"/>
    <w:rsid w:val="00A54981"/>
    <w:rsid w:val="00A54CEE"/>
    <w:rsid w:val="00A552BD"/>
    <w:rsid w:val="00A56442"/>
    <w:rsid w:val="00A56C07"/>
    <w:rsid w:val="00A56DE7"/>
    <w:rsid w:val="00A572F1"/>
    <w:rsid w:val="00A57EAF"/>
    <w:rsid w:val="00A60B1F"/>
    <w:rsid w:val="00A61AC5"/>
    <w:rsid w:val="00A61C33"/>
    <w:rsid w:val="00A637FA"/>
    <w:rsid w:val="00A65EC0"/>
    <w:rsid w:val="00A668BA"/>
    <w:rsid w:val="00A70952"/>
    <w:rsid w:val="00A70C5C"/>
    <w:rsid w:val="00A7267B"/>
    <w:rsid w:val="00A77168"/>
    <w:rsid w:val="00A8043B"/>
    <w:rsid w:val="00A8043C"/>
    <w:rsid w:val="00A83E04"/>
    <w:rsid w:val="00A84501"/>
    <w:rsid w:val="00A93814"/>
    <w:rsid w:val="00A9428F"/>
    <w:rsid w:val="00A96C60"/>
    <w:rsid w:val="00A9766C"/>
    <w:rsid w:val="00A977F8"/>
    <w:rsid w:val="00A97955"/>
    <w:rsid w:val="00AA01ED"/>
    <w:rsid w:val="00AA08E7"/>
    <w:rsid w:val="00AA28D8"/>
    <w:rsid w:val="00AA42A0"/>
    <w:rsid w:val="00AA442B"/>
    <w:rsid w:val="00AA46A4"/>
    <w:rsid w:val="00AA5779"/>
    <w:rsid w:val="00AA61C7"/>
    <w:rsid w:val="00AA669D"/>
    <w:rsid w:val="00AA6E79"/>
    <w:rsid w:val="00AA7407"/>
    <w:rsid w:val="00AA7416"/>
    <w:rsid w:val="00AB358D"/>
    <w:rsid w:val="00AB3D78"/>
    <w:rsid w:val="00AB6B0F"/>
    <w:rsid w:val="00AB750F"/>
    <w:rsid w:val="00AB7E74"/>
    <w:rsid w:val="00AC2A0B"/>
    <w:rsid w:val="00AC36BD"/>
    <w:rsid w:val="00AC4BC8"/>
    <w:rsid w:val="00AC5B90"/>
    <w:rsid w:val="00AC5C91"/>
    <w:rsid w:val="00AD1A78"/>
    <w:rsid w:val="00AD1EFA"/>
    <w:rsid w:val="00AD2FBF"/>
    <w:rsid w:val="00AD463C"/>
    <w:rsid w:val="00AD4D14"/>
    <w:rsid w:val="00AD6236"/>
    <w:rsid w:val="00AD7770"/>
    <w:rsid w:val="00AE0B7E"/>
    <w:rsid w:val="00AE17DD"/>
    <w:rsid w:val="00AE25E8"/>
    <w:rsid w:val="00AE6582"/>
    <w:rsid w:val="00AE7650"/>
    <w:rsid w:val="00AF26CF"/>
    <w:rsid w:val="00AF5C9B"/>
    <w:rsid w:val="00AF5D53"/>
    <w:rsid w:val="00AF7796"/>
    <w:rsid w:val="00B009BA"/>
    <w:rsid w:val="00B032F5"/>
    <w:rsid w:val="00B04400"/>
    <w:rsid w:val="00B04463"/>
    <w:rsid w:val="00B047A6"/>
    <w:rsid w:val="00B04E51"/>
    <w:rsid w:val="00B05A55"/>
    <w:rsid w:val="00B06406"/>
    <w:rsid w:val="00B06595"/>
    <w:rsid w:val="00B10109"/>
    <w:rsid w:val="00B110E6"/>
    <w:rsid w:val="00B11103"/>
    <w:rsid w:val="00B11B4C"/>
    <w:rsid w:val="00B11E03"/>
    <w:rsid w:val="00B12161"/>
    <w:rsid w:val="00B13EC0"/>
    <w:rsid w:val="00B14D32"/>
    <w:rsid w:val="00B1666A"/>
    <w:rsid w:val="00B1771D"/>
    <w:rsid w:val="00B20209"/>
    <w:rsid w:val="00B203C9"/>
    <w:rsid w:val="00B22E22"/>
    <w:rsid w:val="00B245D5"/>
    <w:rsid w:val="00B24F94"/>
    <w:rsid w:val="00B258AB"/>
    <w:rsid w:val="00B25D00"/>
    <w:rsid w:val="00B266B2"/>
    <w:rsid w:val="00B26E2E"/>
    <w:rsid w:val="00B30EEB"/>
    <w:rsid w:val="00B31423"/>
    <w:rsid w:val="00B3346C"/>
    <w:rsid w:val="00B345B4"/>
    <w:rsid w:val="00B34A28"/>
    <w:rsid w:val="00B35046"/>
    <w:rsid w:val="00B3582D"/>
    <w:rsid w:val="00B359C8"/>
    <w:rsid w:val="00B37B07"/>
    <w:rsid w:val="00B40535"/>
    <w:rsid w:val="00B4724A"/>
    <w:rsid w:val="00B521EC"/>
    <w:rsid w:val="00B525CB"/>
    <w:rsid w:val="00B54A19"/>
    <w:rsid w:val="00B54D8F"/>
    <w:rsid w:val="00B56039"/>
    <w:rsid w:val="00B560EE"/>
    <w:rsid w:val="00B572F7"/>
    <w:rsid w:val="00B614F8"/>
    <w:rsid w:val="00B63872"/>
    <w:rsid w:val="00B63CB2"/>
    <w:rsid w:val="00B6456E"/>
    <w:rsid w:val="00B64EDB"/>
    <w:rsid w:val="00B65938"/>
    <w:rsid w:val="00B65CA9"/>
    <w:rsid w:val="00B66349"/>
    <w:rsid w:val="00B70059"/>
    <w:rsid w:val="00B7071E"/>
    <w:rsid w:val="00B71619"/>
    <w:rsid w:val="00B7315F"/>
    <w:rsid w:val="00B74B79"/>
    <w:rsid w:val="00B75437"/>
    <w:rsid w:val="00B8012E"/>
    <w:rsid w:val="00B80A10"/>
    <w:rsid w:val="00B82926"/>
    <w:rsid w:val="00B83780"/>
    <w:rsid w:val="00B86877"/>
    <w:rsid w:val="00B8695D"/>
    <w:rsid w:val="00B8730C"/>
    <w:rsid w:val="00B9176B"/>
    <w:rsid w:val="00B91B8E"/>
    <w:rsid w:val="00B92338"/>
    <w:rsid w:val="00B92618"/>
    <w:rsid w:val="00B9691F"/>
    <w:rsid w:val="00BA1199"/>
    <w:rsid w:val="00BA1382"/>
    <w:rsid w:val="00BA20D8"/>
    <w:rsid w:val="00BA22FC"/>
    <w:rsid w:val="00BA2F30"/>
    <w:rsid w:val="00BA4771"/>
    <w:rsid w:val="00BA47FF"/>
    <w:rsid w:val="00BA49F9"/>
    <w:rsid w:val="00BA5DE2"/>
    <w:rsid w:val="00BA642E"/>
    <w:rsid w:val="00BA6F80"/>
    <w:rsid w:val="00BA778B"/>
    <w:rsid w:val="00BA7E97"/>
    <w:rsid w:val="00BB0E9B"/>
    <w:rsid w:val="00BB4945"/>
    <w:rsid w:val="00BC06E6"/>
    <w:rsid w:val="00BC2898"/>
    <w:rsid w:val="00BD3191"/>
    <w:rsid w:val="00BD50FE"/>
    <w:rsid w:val="00BD52FE"/>
    <w:rsid w:val="00BD54C3"/>
    <w:rsid w:val="00BD78FE"/>
    <w:rsid w:val="00BE031F"/>
    <w:rsid w:val="00BE10AE"/>
    <w:rsid w:val="00BE12BC"/>
    <w:rsid w:val="00BE18DA"/>
    <w:rsid w:val="00BE31F0"/>
    <w:rsid w:val="00BE48C7"/>
    <w:rsid w:val="00BE5105"/>
    <w:rsid w:val="00BE6815"/>
    <w:rsid w:val="00BE7257"/>
    <w:rsid w:val="00BF020D"/>
    <w:rsid w:val="00BF0792"/>
    <w:rsid w:val="00BF23A3"/>
    <w:rsid w:val="00BF5A70"/>
    <w:rsid w:val="00BF7A3B"/>
    <w:rsid w:val="00BF7C52"/>
    <w:rsid w:val="00C00713"/>
    <w:rsid w:val="00C02A21"/>
    <w:rsid w:val="00C02C45"/>
    <w:rsid w:val="00C05117"/>
    <w:rsid w:val="00C1016C"/>
    <w:rsid w:val="00C121C9"/>
    <w:rsid w:val="00C15BD7"/>
    <w:rsid w:val="00C165FC"/>
    <w:rsid w:val="00C171EB"/>
    <w:rsid w:val="00C17A48"/>
    <w:rsid w:val="00C2082C"/>
    <w:rsid w:val="00C22446"/>
    <w:rsid w:val="00C22DDE"/>
    <w:rsid w:val="00C245EE"/>
    <w:rsid w:val="00C27AC2"/>
    <w:rsid w:val="00C31559"/>
    <w:rsid w:val="00C31C16"/>
    <w:rsid w:val="00C32017"/>
    <w:rsid w:val="00C3322E"/>
    <w:rsid w:val="00C33B16"/>
    <w:rsid w:val="00C36785"/>
    <w:rsid w:val="00C36929"/>
    <w:rsid w:val="00C37256"/>
    <w:rsid w:val="00C403FA"/>
    <w:rsid w:val="00C40E9B"/>
    <w:rsid w:val="00C4128B"/>
    <w:rsid w:val="00C419E3"/>
    <w:rsid w:val="00C41E6A"/>
    <w:rsid w:val="00C45466"/>
    <w:rsid w:val="00C500F0"/>
    <w:rsid w:val="00C53410"/>
    <w:rsid w:val="00C538EA"/>
    <w:rsid w:val="00C5441C"/>
    <w:rsid w:val="00C56CC2"/>
    <w:rsid w:val="00C57D93"/>
    <w:rsid w:val="00C57E1B"/>
    <w:rsid w:val="00C60C24"/>
    <w:rsid w:val="00C63E99"/>
    <w:rsid w:val="00C653C8"/>
    <w:rsid w:val="00C6551E"/>
    <w:rsid w:val="00C672F1"/>
    <w:rsid w:val="00C71612"/>
    <w:rsid w:val="00C733BA"/>
    <w:rsid w:val="00C7622E"/>
    <w:rsid w:val="00C82298"/>
    <w:rsid w:val="00C828BB"/>
    <w:rsid w:val="00C833B4"/>
    <w:rsid w:val="00C83523"/>
    <w:rsid w:val="00C850F2"/>
    <w:rsid w:val="00C87105"/>
    <w:rsid w:val="00C9005E"/>
    <w:rsid w:val="00C920E2"/>
    <w:rsid w:val="00C93D8C"/>
    <w:rsid w:val="00CA021C"/>
    <w:rsid w:val="00CA0D03"/>
    <w:rsid w:val="00CA1B61"/>
    <w:rsid w:val="00CA2822"/>
    <w:rsid w:val="00CA5812"/>
    <w:rsid w:val="00CA5BD4"/>
    <w:rsid w:val="00CA7E7B"/>
    <w:rsid w:val="00CB075A"/>
    <w:rsid w:val="00CB1A97"/>
    <w:rsid w:val="00CB4137"/>
    <w:rsid w:val="00CB52D0"/>
    <w:rsid w:val="00CB5522"/>
    <w:rsid w:val="00CB5A69"/>
    <w:rsid w:val="00CC00CD"/>
    <w:rsid w:val="00CC0AF3"/>
    <w:rsid w:val="00CC2514"/>
    <w:rsid w:val="00CC315F"/>
    <w:rsid w:val="00CC40C3"/>
    <w:rsid w:val="00CC46E6"/>
    <w:rsid w:val="00CC65B8"/>
    <w:rsid w:val="00CD0FCA"/>
    <w:rsid w:val="00CD205D"/>
    <w:rsid w:val="00CD6AD7"/>
    <w:rsid w:val="00CE0566"/>
    <w:rsid w:val="00CE0E1C"/>
    <w:rsid w:val="00CE2761"/>
    <w:rsid w:val="00CE3E14"/>
    <w:rsid w:val="00CE65A7"/>
    <w:rsid w:val="00CE7F26"/>
    <w:rsid w:val="00CF11F8"/>
    <w:rsid w:val="00CF1E1D"/>
    <w:rsid w:val="00CF35D0"/>
    <w:rsid w:val="00CF60D1"/>
    <w:rsid w:val="00D003C9"/>
    <w:rsid w:val="00D00FB5"/>
    <w:rsid w:val="00D012BF"/>
    <w:rsid w:val="00D01760"/>
    <w:rsid w:val="00D0401A"/>
    <w:rsid w:val="00D04370"/>
    <w:rsid w:val="00D058E9"/>
    <w:rsid w:val="00D06ECB"/>
    <w:rsid w:val="00D10E7C"/>
    <w:rsid w:val="00D1342F"/>
    <w:rsid w:val="00D13849"/>
    <w:rsid w:val="00D16E39"/>
    <w:rsid w:val="00D21765"/>
    <w:rsid w:val="00D21B98"/>
    <w:rsid w:val="00D21BB5"/>
    <w:rsid w:val="00D223B6"/>
    <w:rsid w:val="00D227A0"/>
    <w:rsid w:val="00D229FA"/>
    <w:rsid w:val="00D22DC8"/>
    <w:rsid w:val="00D2430B"/>
    <w:rsid w:val="00D251F6"/>
    <w:rsid w:val="00D2531C"/>
    <w:rsid w:val="00D3012F"/>
    <w:rsid w:val="00D31C6A"/>
    <w:rsid w:val="00D32256"/>
    <w:rsid w:val="00D33475"/>
    <w:rsid w:val="00D37C3C"/>
    <w:rsid w:val="00D401BE"/>
    <w:rsid w:val="00D41E8A"/>
    <w:rsid w:val="00D422DB"/>
    <w:rsid w:val="00D425D0"/>
    <w:rsid w:val="00D44A89"/>
    <w:rsid w:val="00D4774B"/>
    <w:rsid w:val="00D508AF"/>
    <w:rsid w:val="00D52E2F"/>
    <w:rsid w:val="00D53B64"/>
    <w:rsid w:val="00D57940"/>
    <w:rsid w:val="00D60327"/>
    <w:rsid w:val="00D6057C"/>
    <w:rsid w:val="00D61D62"/>
    <w:rsid w:val="00D64B57"/>
    <w:rsid w:val="00D70E00"/>
    <w:rsid w:val="00D72E9D"/>
    <w:rsid w:val="00D73419"/>
    <w:rsid w:val="00D75E99"/>
    <w:rsid w:val="00D766C7"/>
    <w:rsid w:val="00D8044C"/>
    <w:rsid w:val="00D8184D"/>
    <w:rsid w:val="00D8223C"/>
    <w:rsid w:val="00D82CE5"/>
    <w:rsid w:val="00D8342C"/>
    <w:rsid w:val="00D840CA"/>
    <w:rsid w:val="00D93726"/>
    <w:rsid w:val="00D960B2"/>
    <w:rsid w:val="00D967CB"/>
    <w:rsid w:val="00D96EE0"/>
    <w:rsid w:val="00DA5989"/>
    <w:rsid w:val="00DA5AB1"/>
    <w:rsid w:val="00DB1AFF"/>
    <w:rsid w:val="00DB2096"/>
    <w:rsid w:val="00DB4164"/>
    <w:rsid w:val="00DB44AA"/>
    <w:rsid w:val="00DB6896"/>
    <w:rsid w:val="00DC0954"/>
    <w:rsid w:val="00DC1402"/>
    <w:rsid w:val="00DC1A68"/>
    <w:rsid w:val="00DC30B8"/>
    <w:rsid w:val="00DC3B0A"/>
    <w:rsid w:val="00DC62E5"/>
    <w:rsid w:val="00DD3885"/>
    <w:rsid w:val="00DD5B04"/>
    <w:rsid w:val="00DD5EC6"/>
    <w:rsid w:val="00DD605F"/>
    <w:rsid w:val="00DD7094"/>
    <w:rsid w:val="00DD7265"/>
    <w:rsid w:val="00DD735D"/>
    <w:rsid w:val="00DE1391"/>
    <w:rsid w:val="00DE3119"/>
    <w:rsid w:val="00DE4105"/>
    <w:rsid w:val="00DE5189"/>
    <w:rsid w:val="00DE7AA9"/>
    <w:rsid w:val="00DF0263"/>
    <w:rsid w:val="00DF19F2"/>
    <w:rsid w:val="00DF236B"/>
    <w:rsid w:val="00DF2F66"/>
    <w:rsid w:val="00DF4451"/>
    <w:rsid w:val="00DF5F33"/>
    <w:rsid w:val="00DF752F"/>
    <w:rsid w:val="00E027C5"/>
    <w:rsid w:val="00E029E1"/>
    <w:rsid w:val="00E109DD"/>
    <w:rsid w:val="00E11F97"/>
    <w:rsid w:val="00E12099"/>
    <w:rsid w:val="00E13AB8"/>
    <w:rsid w:val="00E1482E"/>
    <w:rsid w:val="00E15DE2"/>
    <w:rsid w:val="00E16E75"/>
    <w:rsid w:val="00E22464"/>
    <w:rsid w:val="00E22C47"/>
    <w:rsid w:val="00E2389A"/>
    <w:rsid w:val="00E257C3"/>
    <w:rsid w:val="00E25CB3"/>
    <w:rsid w:val="00E265A1"/>
    <w:rsid w:val="00E26975"/>
    <w:rsid w:val="00E26FCF"/>
    <w:rsid w:val="00E304EB"/>
    <w:rsid w:val="00E307D7"/>
    <w:rsid w:val="00E33B62"/>
    <w:rsid w:val="00E3403D"/>
    <w:rsid w:val="00E34E6C"/>
    <w:rsid w:val="00E35D47"/>
    <w:rsid w:val="00E36CEB"/>
    <w:rsid w:val="00E36EB7"/>
    <w:rsid w:val="00E4143A"/>
    <w:rsid w:val="00E457CB"/>
    <w:rsid w:val="00E477BF"/>
    <w:rsid w:val="00E50B3C"/>
    <w:rsid w:val="00E52800"/>
    <w:rsid w:val="00E56090"/>
    <w:rsid w:val="00E565B9"/>
    <w:rsid w:val="00E5733B"/>
    <w:rsid w:val="00E576C5"/>
    <w:rsid w:val="00E60788"/>
    <w:rsid w:val="00E613AE"/>
    <w:rsid w:val="00E61A42"/>
    <w:rsid w:val="00E62331"/>
    <w:rsid w:val="00E630C0"/>
    <w:rsid w:val="00E634E6"/>
    <w:rsid w:val="00E63934"/>
    <w:rsid w:val="00E65074"/>
    <w:rsid w:val="00E7145D"/>
    <w:rsid w:val="00E73B19"/>
    <w:rsid w:val="00E741C3"/>
    <w:rsid w:val="00E82685"/>
    <w:rsid w:val="00E83E00"/>
    <w:rsid w:val="00E8453A"/>
    <w:rsid w:val="00E84A71"/>
    <w:rsid w:val="00E9021C"/>
    <w:rsid w:val="00E902D8"/>
    <w:rsid w:val="00E919AD"/>
    <w:rsid w:val="00E934FD"/>
    <w:rsid w:val="00E97A3F"/>
    <w:rsid w:val="00E97F0A"/>
    <w:rsid w:val="00EA3DC2"/>
    <w:rsid w:val="00EA5258"/>
    <w:rsid w:val="00EA7C19"/>
    <w:rsid w:val="00EB1910"/>
    <w:rsid w:val="00EB1CB5"/>
    <w:rsid w:val="00EB5779"/>
    <w:rsid w:val="00EC11C3"/>
    <w:rsid w:val="00EC1CE7"/>
    <w:rsid w:val="00EC1F36"/>
    <w:rsid w:val="00EC6014"/>
    <w:rsid w:val="00EC7EF6"/>
    <w:rsid w:val="00ED053A"/>
    <w:rsid w:val="00ED3347"/>
    <w:rsid w:val="00ED587F"/>
    <w:rsid w:val="00ED61B0"/>
    <w:rsid w:val="00ED7694"/>
    <w:rsid w:val="00EE0253"/>
    <w:rsid w:val="00EE1B2F"/>
    <w:rsid w:val="00EE1D59"/>
    <w:rsid w:val="00EE59B5"/>
    <w:rsid w:val="00EE6E9A"/>
    <w:rsid w:val="00EE7C88"/>
    <w:rsid w:val="00EF1409"/>
    <w:rsid w:val="00EF2547"/>
    <w:rsid w:val="00EF326A"/>
    <w:rsid w:val="00EF45DF"/>
    <w:rsid w:val="00EF4AFD"/>
    <w:rsid w:val="00EF4B3F"/>
    <w:rsid w:val="00EF510C"/>
    <w:rsid w:val="00EF57BC"/>
    <w:rsid w:val="00EF6784"/>
    <w:rsid w:val="00EF6BCE"/>
    <w:rsid w:val="00F00674"/>
    <w:rsid w:val="00F04ECA"/>
    <w:rsid w:val="00F07AA1"/>
    <w:rsid w:val="00F10473"/>
    <w:rsid w:val="00F1108B"/>
    <w:rsid w:val="00F15571"/>
    <w:rsid w:val="00F16C78"/>
    <w:rsid w:val="00F17A87"/>
    <w:rsid w:val="00F222CC"/>
    <w:rsid w:val="00F24644"/>
    <w:rsid w:val="00F303BA"/>
    <w:rsid w:val="00F32D09"/>
    <w:rsid w:val="00F368FF"/>
    <w:rsid w:val="00F41B0B"/>
    <w:rsid w:val="00F42121"/>
    <w:rsid w:val="00F42989"/>
    <w:rsid w:val="00F4345D"/>
    <w:rsid w:val="00F437EE"/>
    <w:rsid w:val="00F44D80"/>
    <w:rsid w:val="00F45B91"/>
    <w:rsid w:val="00F46B86"/>
    <w:rsid w:val="00F46D5D"/>
    <w:rsid w:val="00F51A51"/>
    <w:rsid w:val="00F51CB4"/>
    <w:rsid w:val="00F561E3"/>
    <w:rsid w:val="00F62273"/>
    <w:rsid w:val="00F624A7"/>
    <w:rsid w:val="00F67611"/>
    <w:rsid w:val="00F7144C"/>
    <w:rsid w:val="00F74F75"/>
    <w:rsid w:val="00F75B40"/>
    <w:rsid w:val="00F7637C"/>
    <w:rsid w:val="00F8159F"/>
    <w:rsid w:val="00F8190C"/>
    <w:rsid w:val="00F843DF"/>
    <w:rsid w:val="00F84899"/>
    <w:rsid w:val="00F84ECB"/>
    <w:rsid w:val="00F859F0"/>
    <w:rsid w:val="00F87E29"/>
    <w:rsid w:val="00F945E6"/>
    <w:rsid w:val="00F953F0"/>
    <w:rsid w:val="00FA015F"/>
    <w:rsid w:val="00FA1DA2"/>
    <w:rsid w:val="00FA7751"/>
    <w:rsid w:val="00FA7A30"/>
    <w:rsid w:val="00FA7AFD"/>
    <w:rsid w:val="00FB0415"/>
    <w:rsid w:val="00FB27B7"/>
    <w:rsid w:val="00FB2804"/>
    <w:rsid w:val="00FB318C"/>
    <w:rsid w:val="00FB5DD6"/>
    <w:rsid w:val="00FB630E"/>
    <w:rsid w:val="00FB6738"/>
    <w:rsid w:val="00FB691B"/>
    <w:rsid w:val="00FC0919"/>
    <w:rsid w:val="00FC1196"/>
    <w:rsid w:val="00FC18DC"/>
    <w:rsid w:val="00FC2678"/>
    <w:rsid w:val="00FC3AE1"/>
    <w:rsid w:val="00FC3EF4"/>
    <w:rsid w:val="00FC4CE6"/>
    <w:rsid w:val="00FC58D8"/>
    <w:rsid w:val="00FC5D07"/>
    <w:rsid w:val="00FD446A"/>
    <w:rsid w:val="00FD542F"/>
    <w:rsid w:val="00FE141E"/>
    <w:rsid w:val="00FE1845"/>
    <w:rsid w:val="00FE26B8"/>
    <w:rsid w:val="00FE2F8C"/>
    <w:rsid w:val="00FE35D0"/>
    <w:rsid w:val="00FE3FA1"/>
    <w:rsid w:val="00FE42ED"/>
    <w:rsid w:val="00FE47EB"/>
    <w:rsid w:val="00FE55A7"/>
    <w:rsid w:val="00FE5C5A"/>
    <w:rsid w:val="00FE63FB"/>
    <w:rsid w:val="00FF0183"/>
    <w:rsid w:val="00FF045F"/>
    <w:rsid w:val="00FF1EF6"/>
    <w:rsid w:val="00FF3BDB"/>
    <w:rsid w:val="00FF4D11"/>
    <w:rsid w:val="00FF5214"/>
    <w:rsid w:val="00FF6553"/>
    <w:rsid w:val="00FF6E04"/>
    <w:rsid w:val="27C84871"/>
    <w:rsid w:val="2C8BA0D4"/>
    <w:rsid w:val="6680FD5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8DFDCA1-0339-4E4C-936B-77B37780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0CE"/>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UnresolvedMention1">
    <w:name w:val="Unresolved Mention1"/>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baj">
    <w:name w:val="b_aj"/>
    <w:basedOn w:val="Fuentedeprrafopredeter"/>
    <w:rsid w:val="00FD542F"/>
  </w:style>
  <w:style w:type="paragraph" w:styleId="Revisin">
    <w:name w:val="Revision"/>
    <w:hidden/>
    <w:uiPriority w:val="99"/>
    <w:semiHidden/>
    <w:rsid w:val="00123119"/>
    <w:pPr>
      <w:spacing w:after="0" w:line="240" w:lineRule="auto"/>
    </w:pPr>
    <w:rPr>
      <w:sz w:val="24"/>
      <w:lang w:val="es-MX"/>
    </w:rPr>
  </w:style>
  <w:style w:type="table" w:customStyle="1" w:styleId="TableGrid1">
    <w:name w:val="Table Grid1"/>
    <w:basedOn w:val="Tablanormal"/>
    <w:next w:val="Tablaconcuadrcula"/>
    <w:uiPriority w:val="39"/>
    <w:rsid w:val="00A54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24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318">
      <w:bodyDiv w:val="1"/>
      <w:marLeft w:val="0"/>
      <w:marRight w:val="0"/>
      <w:marTop w:val="0"/>
      <w:marBottom w:val="0"/>
      <w:divBdr>
        <w:top w:val="none" w:sz="0" w:space="0" w:color="auto"/>
        <w:left w:val="none" w:sz="0" w:space="0" w:color="auto"/>
        <w:bottom w:val="none" w:sz="0" w:space="0" w:color="auto"/>
        <w:right w:val="none" w:sz="0" w:space="0" w:color="auto"/>
      </w:divBdr>
    </w:div>
    <w:div w:id="16934000">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119954">
      <w:bodyDiv w:val="1"/>
      <w:marLeft w:val="0"/>
      <w:marRight w:val="0"/>
      <w:marTop w:val="0"/>
      <w:marBottom w:val="0"/>
      <w:divBdr>
        <w:top w:val="none" w:sz="0" w:space="0" w:color="auto"/>
        <w:left w:val="none" w:sz="0" w:space="0" w:color="auto"/>
        <w:bottom w:val="none" w:sz="0" w:space="0" w:color="auto"/>
        <w:right w:val="none" w:sz="0" w:space="0" w:color="auto"/>
      </w:divBdr>
    </w:div>
    <w:div w:id="62410647">
      <w:bodyDiv w:val="1"/>
      <w:marLeft w:val="0"/>
      <w:marRight w:val="0"/>
      <w:marTop w:val="0"/>
      <w:marBottom w:val="0"/>
      <w:divBdr>
        <w:top w:val="none" w:sz="0" w:space="0" w:color="auto"/>
        <w:left w:val="none" w:sz="0" w:space="0" w:color="auto"/>
        <w:bottom w:val="none" w:sz="0" w:space="0" w:color="auto"/>
        <w:right w:val="none" w:sz="0" w:space="0" w:color="auto"/>
      </w:divBdr>
    </w:div>
    <w:div w:id="66734567">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0388369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0823">
      <w:bodyDiv w:val="1"/>
      <w:marLeft w:val="0"/>
      <w:marRight w:val="0"/>
      <w:marTop w:val="0"/>
      <w:marBottom w:val="0"/>
      <w:divBdr>
        <w:top w:val="none" w:sz="0" w:space="0" w:color="auto"/>
        <w:left w:val="none" w:sz="0" w:space="0" w:color="auto"/>
        <w:bottom w:val="none" w:sz="0" w:space="0" w:color="auto"/>
        <w:right w:val="none" w:sz="0" w:space="0" w:color="auto"/>
      </w:divBdr>
    </w:div>
    <w:div w:id="194318172">
      <w:bodyDiv w:val="1"/>
      <w:marLeft w:val="0"/>
      <w:marRight w:val="0"/>
      <w:marTop w:val="0"/>
      <w:marBottom w:val="0"/>
      <w:divBdr>
        <w:top w:val="none" w:sz="0" w:space="0" w:color="auto"/>
        <w:left w:val="none" w:sz="0" w:space="0" w:color="auto"/>
        <w:bottom w:val="none" w:sz="0" w:space="0" w:color="auto"/>
        <w:right w:val="none" w:sz="0" w:space="0" w:color="auto"/>
      </w:divBdr>
    </w:div>
    <w:div w:id="195969682">
      <w:bodyDiv w:val="1"/>
      <w:marLeft w:val="0"/>
      <w:marRight w:val="0"/>
      <w:marTop w:val="0"/>
      <w:marBottom w:val="0"/>
      <w:divBdr>
        <w:top w:val="none" w:sz="0" w:space="0" w:color="auto"/>
        <w:left w:val="none" w:sz="0" w:space="0" w:color="auto"/>
        <w:bottom w:val="none" w:sz="0" w:space="0" w:color="auto"/>
        <w:right w:val="none" w:sz="0" w:space="0" w:color="auto"/>
      </w:divBdr>
    </w:div>
    <w:div w:id="210768811">
      <w:bodyDiv w:val="1"/>
      <w:marLeft w:val="0"/>
      <w:marRight w:val="0"/>
      <w:marTop w:val="0"/>
      <w:marBottom w:val="0"/>
      <w:divBdr>
        <w:top w:val="none" w:sz="0" w:space="0" w:color="auto"/>
        <w:left w:val="none" w:sz="0" w:space="0" w:color="auto"/>
        <w:bottom w:val="none" w:sz="0" w:space="0" w:color="auto"/>
        <w:right w:val="none" w:sz="0" w:space="0" w:color="auto"/>
      </w:divBdr>
    </w:div>
    <w:div w:id="217056202">
      <w:bodyDiv w:val="1"/>
      <w:marLeft w:val="0"/>
      <w:marRight w:val="0"/>
      <w:marTop w:val="0"/>
      <w:marBottom w:val="0"/>
      <w:divBdr>
        <w:top w:val="none" w:sz="0" w:space="0" w:color="auto"/>
        <w:left w:val="none" w:sz="0" w:space="0" w:color="auto"/>
        <w:bottom w:val="none" w:sz="0" w:space="0" w:color="auto"/>
        <w:right w:val="none" w:sz="0" w:space="0" w:color="auto"/>
      </w:divBdr>
    </w:div>
    <w:div w:id="232158144">
      <w:bodyDiv w:val="1"/>
      <w:marLeft w:val="0"/>
      <w:marRight w:val="0"/>
      <w:marTop w:val="0"/>
      <w:marBottom w:val="0"/>
      <w:divBdr>
        <w:top w:val="none" w:sz="0" w:space="0" w:color="auto"/>
        <w:left w:val="none" w:sz="0" w:space="0" w:color="auto"/>
        <w:bottom w:val="none" w:sz="0" w:space="0" w:color="auto"/>
        <w:right w:val="none" w:sz="0" w:space="0" w:color="auto"/>
      </w:divBdr>
    </w:div>
    <w:div w:id="239683734">
      <w:bodyDiv w:val="1"/>
      <w:marLeft w:val="0"/>
      <w:marRight w:val="0"/>
      <w:marTop w:val="0"/>
      <w:marBottom w:val="0"/>
      <w:divBdr>
        <w:top w:val="none" w:sz="0" w:space="0" w:color="auto"/>
        <w:left w:val="none" w:sz="0" w:space="0" w:color="auto"/>
        <w:bottom w:val="none" w:sz="0" w:space="0" w:color="auto"/>
        <w:right w:val="none" w:sz="0" w:space="0" w:color="auto"/>
      </w:divBdr>
    </w:div>
    <w:div w:id="246041838">
      <w:bodyDiv w:val="1"/>
      <w:marLeft w:val="0"/>
      <w:marRight w:val="0"/>
      <w:marTop w:val="0"/>
      <w:marBottom w:val="0"/>
      <w:divBdr>
        <w:top w:val="none" w:sz="0" w:space="0" w:color="auto"/>
        <w:left w:val="none" w:sz="0" w:space="0" w:color="auto"/>
        <w:bottom w:val="none" w:sz="0" w:space="0" w:color="auto"/>
        <w:right w:val="none" w:sz="0" w:space="0" w:color="auto"/>
      </w:divBdr>
    </w:div>
    <w:div w:id="26196206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029392">
      <w:bodyDiv w:val="1"/>
      <w:marLeft w:val="0"/>
      <w:marRight w:val="0"/>
      <w:marTop w:val="0"/>
      <w:marBottom w:val="0"/>
      <w:divBdr>
        <w:top w:val="none" w:sz="0" w:space="0" w:color="auto"/>
        <w:left w:val="none" w:sz="0" w:space="0" w:color="auto"/>
        <w:bottom w:val="none" w:sz="0" w:space="0" w:color="auto"/>
        <w:right w:val="none" w:sz="0" w:space="0" w:color="auto"/>
      </w:divBdr>
    </w:div>
    <w:div w:id="310257578">
      <w:bodyDiv w:val="1"/>
      <w:marLeft w:val="0"/>
      <w:marRight w:val="0"/>
      <w:marTop w:val="0"/>
      <w:marBottom w:val="0"/>
      <w:divBdr>
        <w:top w:val="none" w:sz="0" w:space="0" w:color="auto"/>
        <w:left w:val="none" w:sz="0" w:space="0" w:color="auto"/>
        <w:bottom w:val="none" w:sz="0" w:space="0" w:color="auto"/>
        <w:right w:val="none" w:sz="0" w:space="0" w:color="auto"/>
      </w:divBdr>
    </w:div>
    <w:div w:id="333386631">
      <w:bodyDiv w:val="1"/>
      <w:marLeft w:val="0"/>
      <w:marRight w:val="0"/>
      <w:marTop w:val="0"/>
      <w:marBottom w:val="0"/>
      <w:divBdr>
        <w:top w:val="none" w:sz="0" w:space="0" w:color="auto"/>
        <w:left w:val="none" w:sz="0" w:space="0" w:color="auto"/>
        <w:bottom w:val="none" w:sz="0" w:space="0" w:color="auto"/>
        <w:right w:val="none" w:sz="0" w:space="0" w:color="auto"/>
      </w:divBdr>
    </w:div>
    <w:div w:id="401876538">
      <w:bodyDiv w:val="1"/>
      <w:marLeft w:val="0"/>
      <w:marRight w:val="0"/>
      <w:marTop w:val="0"/>
      <w:marBottom w:val="0"/>
      <w:divBdr>
        <w:top w:val="none" w:sz="0" w:space="0" w:color="auto"/>
        <w:left w:val="none" w:sz="0" w:space="0" w:color="auto"/>
        <w:bottom w:val="none" w:sz="0" w:space="0" w:color="auto"/>
        <w:right w:val="none" w:sz="0" w:space="0" w:color="auto"/>
      </w:divBdr>
    </w:div>
    <w:div w:id="415638230">
      <w:bodyDiv w:val="1"/>
      <w:marLeft w:val="0"/>
      <w:marRight w:val="0"/>
      <w:marTop w:val="0"/>
      <w:marBottom w:val="0"/>
      <w:divBdr>
        <w:top w:val="none" w:sz="0" w:space="0" w:color="auto"/>
        <w:left w:val="none" w:sz="0" w:space="0" w:color="auto"/>
        <w:bottom w:val="none" w:sz="0" w:space="0" w:color="auto"/>
        <w:right w:val="none" w:sz="0" w:space="0" w:color="auto"/>
      </w:divBdr>
    </w:div>
    <w:div w:id="424425407">
      <w:bodyDiv w:val="1"/>
      <w:marLeft w:val="0"/>
      <w:marRight w:val="0"/>
      <w:marTop w:val="0"/>
      <w:marBottom w:val="0"/>
      <w:divBdr>
        <w:top w:val="none" w:sz="0" w:space="0" w:color="auto"/>
        <w:left w:val="none" w:sz="0" w:space="0" w:color="auto"/>
        <w:bottom w:val="none" w:sz="0" w:space="0" w:color="auto"/>
        <w:right w:val="none" w:sz="0" w:space="0" w:color="auto"/>
      </w:divBdr>
    </w:div>
    <w:div w:id="433521609">
      <w:bodyDiv w:val="1"/>
      <w:marLeft w:val="0"/>
      <w:marRight w:val="0"/>
      <w:marTop w:val="0"/>
      <w:marBottom w:val="0"/>
      <w:divBdr>
        <w:top w:val="none" w:sz="0" w:space="0" w:color="auto"/>
        <w:left w:val="none" w:sz="0" w:space="0" w:color="auto"/>
        <w:bottom w:val="none" w:sz="0" w:space="0" w:color="auto"/>
        <w:right w:val="none" w:sz="0" w:space="0" w:color="auto"/>
      </w:divBdr>
    </w:div>
    <w:div w:id="440229646">
      <w:bodyDiv w:val="1"/>
      <w:marLeft w:val="0"/>
      <w:marRight w:val="0"/>
      <w:marTop w:val="0"/>
      <w:marBottom w:val="0"/>
      <w:divBdr>
        <w:top w:val="none" w:sz="0" w:space="0" w:color="auto"/>
        <w:left w:val="none" w:sz="0" w:space="0" w:color="auto"/>
        <w:bottom w:val="none" w:sz="0" w:space="0" w:color="auto"/>
        <w:right w:val="none" w:sz="0" w:space="0" w:color="auto"/>
      </w:divBdr>
    </w:div>
    <w:div w:id="450249812">
      <w:bodyDiv w:val="1"/>
      <w:marLeft w:val="0"/>
      <w:marRight w:val="0"/>
      <w:marTop w:val="0"/>
      <w:marBottom w:val="0"/>
      <w:divBdr>
        <w:top w:val="none" w:sz="0" w:space="0" w:color="auto"/>
        <w:left w:val="none" w:sz="0" w:space="0" w:color="auto"/>
        <w:bottom w:val="none" w:sz="0" w:space="0" w:color="auto"/>
        <w:right w:val="none" w:sz="0" w:space="0" w:color="auto"/>
      </w:divBdr>
    </w:div>
    <w:div w:id="468862967">
      <w:bodyDiv w:val="1"/>
      <w:marLeft w:val="0"/>
      <w:marRight w:val="0"/>
      <w:marTop w:val="0"/>
      <w:marBottom w:val="0"/>
      <w:divBdr>
        <w:top w:val="none" w:sz="0" w:space="0" w:color="auto"/>
        <w:left w:val="none" w:sz="0" w:space="0" w:color="auto"/>
        <w:bottom w:val="none" w:sz="0" w:space="0" w:color="auto"/>
        <w:right w:val="none" w:sz="0" w:space="0" w:color="auto"/>
      </w:divBdr>
    </w:div>
    <w:div w:id="486092826">
      <w:bodyDiv w:val="1"/>
      <w:marLeft w:val="0"/>
      <w:marRight w:val="0"/>
      <w:marTop w:val="0"/>
      <w:marBottom w:val="0"/>
      <w:divBdr>
        <w:top w:val="none" w:sz="0" w:space="0" w:color="auto"/>
        <w:left w:val="none" w:sz="0" w:space="0" w:color="auto"/>
        <w:bottom w:val="none" w:sz="0" w:space="0" w:color="auto"/>
        <w:right w:val="none" w:sz="0" w:space="0" w:color="auto"/>
      </w:divBdr>
      <w:divsChild>
        <w:div w:id="1125344757">
          <w:marLeft w:val="0"/>
          <w:marRight w:val="0"/>
          <w:marTop w:val="0"/>
          <w:marBottom w:val="0"/>
          <w:divBdr>
            <w:top w:val="none" w:sz="0" w:space="0" w:color="auto"/>
            <w:left w:val="none" w:sz="0" w:space="0" w:color="auto"/>
            <w:bottom w:val="none" w:sz="0" w:space="0" w:color="auto"/>
            <w:right w:val="none" w:sz="0" w:space="0" w:color="auto"/>
          </w:divBdr>
          <w:divsChild>
            <w:div w:id="1045715913">
              <w:marLeft w:val="0"/>
              <w:marRight w:val="0"/>
              <w:marTop w:val="0"/>
              <w:marBottom w:val="0"/>
              <w:divBdr>
                <w:top w:val="none" w:sz="0" w:space="0" w:color="auto"/>
                <w:left w:val="none" w:sz="0" w:space="0" w:color="auto"/>
                <w:bottom w:val="none" w:sz="0" w:space="0" w:color="auto"/>
                <w:right w:val="none" w:sz="0" w:space="0" w:color="auto"/>
              </w:divBdr>
              <w:divsChild>
                <w:div w:id="15512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74703092">
      <w:bodyDiv w:val="1"/>
      <w:marLeft w:val="0"/>
      <w:marRight w:val="0"/>
      <w:marTop w:val="0"/>
      <w:marBottom w:val="0"/>
      <w:divBdr>
        <w:top w:val="none" w:sz="0" w:space="0" w:color="auto"/>
        <w:left w:val="none" w:sz="0" w:space="0" w:color="auto"/>
        <w:bottom w:val="none" w:sz="0" w:space="0" w:color="auto"/>
        <w:right w:val="none" w:sz="0" w:space="0" w:color="auto"/>
      </w:divBdr>
    </w:div>
    <w:div w:id="576212301">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35068322">
      <w:bodyDiv w:val="1"/>
      <w:marLeft w:val="0"/>
      <w:marRight w:val="0"/>
      <w:marTop w:val="0"/>
      <w:marBottom w:val="0"/>
      <w:divBdr>
        <w:top w:val="none" w:sz="0" w:space="0" w:color="auto"/>
        <w:left w:val="none" w:sz="0" w:space="0" w:color="auto"/>
        <w:bottom w:val="none" w:sz="0" w:space="0" w:color="auto"/>
        <w:right w:val="none" w:sz="0" w:space="0" w:color="auto"/>
      </w:divBdr>
    </w:div>
    <w:div w:id="662198994">
      <w:bodyDiv w:val="1"/>
      <w:marLeft w:val="0"/>
      <w:marRight w:val="0"/>
      <w:marTop w:val="0"/>
      <w:marBottom w:val="0"/>
      <w:divBdr>
        <w:top w:val="none" w:sz="0" w:space="0" w:color="auto"/>
        <w:left w:val="none" w:sz="0" w:space="0" w:color="auto"/>
        <w:bottom w:val="none" w:sz="0" w:space="0" w:color="auto"/>
        <w:right w:val="none" w:sz="0" w:space="0" w:color="auto"/>
      </w:divBdr>
    </w:div>
    <w:div w:id="710493246">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5514759">
      <w:bodyDiv w:val="1"/>
      <w:marLeft w:val="0"/>
      <w:marRight w:val="0"/>
      <w:marTop w:val="0"/>
      <w:marBottom w:val="0"/>
      <w:divBdr>
        <w:top w:val="none" w:sz="0" w:space="0" w:color="auto"/>
        <w:left w:val="none" w:sz="0" w:space="0" w:color="auto"/>
        <w:bottom w:val="none" w:sz="0" w:space="0" w:color="auto"/>
        <w:right w:val="none" w:sz="0" w:space="0" w:color="auto"/>
      </w:divBdr>
      <w:divsChild>
        <w:div w:id="865338683">
          <w:marLeft w:val="0"/>
          <w:marRight w:val="0"/>
          <w:marTop w:val="0"/>
          <w:marBottom w:val="0"/>
          <w:divBdr>
            <w:top w:val="none" w:sz="0" w:space="0" w:color="auto"/>
            <w:left w:val="none" w:sz="0" w:space="0" w:color="auto"/>
            <w:bottom w:val="none" w:sz="0" w:space="0" w:color="auto"/>
            <w:right w:val="none" w:sz="0" w:space="0" w:color="auto"/>
          </w:divBdr>
          <w:divsChild>
            <w:div w:id="640575853">
              <w:marLeft w:val="0"/>
              <w:marRight w:val="0"/>
              <w:marTop w:val="0"/>
              <w:marBottom w:val="0"/>
              <w:divBdr>
                <w:top w:val="none" w:sz="0" w:space="0" w:color="auto"/>
                <w:left w:val="none" w:sz="0" w:space="0" w:color="auto"/>
                <w:bottom w:val="none" w:sz="0" w:space="0" w:color="auto"/>
                <w:right w:val="none" w:sz="0" w:space="0" w:color="auto"/>
              </w:divBdr>
              <w:divsChild>
                <w:div w:id="17615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27636">
      <w:bodyDiv w:val="1"/>
      <w:marLeft w:val="0"/>
      <w:marRight w:val="0"/>
      <w:marTop w:val="0"/>
      <w:marBottom w:val="0"/>
      <w:divBdr>
        <w:top w:val="none" w:sz="0" w:space="0" w:color="auto"/>
        <w:left w:val="none" w:sz="0" w:space="0" w:color="auto"/>
        <w:bottom w:val="none" w:sz="0" w:space="0" w:color="auto"/>
        <w:right w:val="none" w:sz="0" w:space="0" w:color="auto"/>
      </w:divBdr>
    </w:div>
    <w:div w:id="865362146">
      <w:bodyDiv w:val="1"/>
      <w:marLeft w:val="0"/>
      <w:marRight w:val="0"/>
      <w:marTop w:val="0"/>
      <w:marBottom w:val="0"/>
      <w:divBdr>
        <w:top w:val="none" w:sz="0" w:space="0" w:color="auto"/>
        <w:left w:val="none" w:sz="0" w:space="0" w:color="auto"/>
        <w:bottom w:val="none" w:sz="0" w:space="0" w:color="auto"/>
        <w:right w:val="none" w:sz="0" w:space="0" w:color="auto"/>
      </w:divBdr>
      <w:divsChild>
        <w:div w:id="1939437741">
          <w:marLeft w:val="0"/>
          <w:marRight w:val="0"/>
          <w:marTop w:val="0"/>
          <w:marBottom w:val="0"/>
          <w:divBdr>
            <w:top w:val="none" w:sz="0" w:space="0" w:color="auto"/>
            <w:left w:val="none" w:sz="0" w:space="0" w:color="auto"/>
            <w:bottom w:val="none" w:sz="0" w:space="0" w:color="auto"/>
            <w:right w:val="none" w:sz="0" w:space="0" w:color="auto"/>
          </w:divBdr>
          <w:divsChild>
            <w:div w:id="1669944422">
              <w:marLeft w:val="0"/>
              <w:marRight w:val="0"/>
              <w:marTop w:val="0"/>
              <w:marBottom w:val="0"/>
              <w:divBdr>
                <w:top w:val="none" w:sz="0" w:space="0" w:color="auto"/>
                <w:left w:val="none" w:sz="0" w:space="0" w:color="auto"/>
                <w:bottom w:val="none" w:sz="0" w:space="0" w:color="auto"/>
                <w:right w:val="none" w:sz="0" w:space="0" w:color="auto"/>
              </w:divBdr>
              <w:divsChild>
                <w:div w:id="12300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96647">
      <w:bodyDiv w:val="1"/>
      <w:marLeft w:val="0"/>
      <w:marRight w:val="0"/>
      <w:marTop w:val="0"/>
      <w:marBottom w:val="0"/>
      <w:divBdr>
        <w:top w:val="none" w:sz="0" w:space="0" w:color="auto"/>
        <w:left w:val="none" w:sz="0" w:space="0" w:color="auto"/>
        <w:bottom w:val="none" w:sz="0" w:space="0" w:color="auto"/>
        <w:right w:val="none" w:sz="0" w:space="0" w:color="auto"/>
      </w:divBdr>
    </w:div>
    <w:div w:id="887570829">
      <w:bodyDiv w:val="1"/>
      <w:marLeft w:val="0"/>
      <w:marRight w:val="0"/>
      <w:marTop w:val="0"/>
      <w:marBottom w:val="0"/>
      <w:divBdr>
        <w:top w:val="none" w:sz="0" w:space="0" w:color="auto"/>
        <w:left w:val="none" w:sz="0" w:space="0" w:color="auto"/>
        <w:bottom w:val="none" w:sz="0" w:space="0" w:color="auto"/>
        <w:right w:val="none" w:sz="0" w:space="0" w:color="auto"/>
      </w:divBdr>
    </w:div>
    <w:div w:id="917203577">
      <w:bodyDiv w:val="1"/>
      <w:marLeft w:val="0"/>
      <w:marRight w:val="0"/>
      <w:marTop w:val="0"/>
      <w:marBottom w:val="0"/>
      <w:divBdr>
        <w:top w:val="none" w:sz="0" w:space="0" w:color="auto"/>
        <w:left w:val="none" w:sz="0" w:space="0" w:color="auto"/>
        <w:bottom w:val="none" w:sz="0" w:space="0" w:color="auto"/>
        <w:right w:val="none" w:sz="0" w:space="0" w:color="auto"/>
      </w:divBdr>
    </w:div>
    <w:div w:id="992611484">
      <w:bodyDiv w:val="1"/>
      <w:marLeft w:val="0"/>
      <w:marRight w:val="0"/>
      <w:marTop w:val="0"/>
      <w:marBottom w:val="0"/>
      <w:divBdr>
        <w:top w:val="none" w:sz="0" w:space="0" w:color="auto"/>
        <w:left w:val="none" w:sz="0" w:space="0" w:color="auto"/>
        <w:bottom w:val="none" w:sz="0" w:space="0" w:color="auto"/>
        <w:right w:val="none" w:sz="0" w:space="0" w:color="auto"/>
      </w:divBdr>
    </w:div>
    <w:div w:id="1001935199">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65882591">
      <w:bodyDiv w:val="1"/>
      <w:marLeft w:val="0"/>
      <w:marRight w:val="0"/>
      <w:marTop w:val="0"/>
      <w:marBottom w:val="0"/>
      <w:divBdr>
        <w:top w:val="none" w:sz="0" w:space="0" w:color="auto"/>
        <w:left w:val="none" w:sz="0" w:space="0" w:color="auto"/>
        <w:bottom w:val="none" w:sz="0" w:space="0" w:color="auto"/>
        <w:right w:val="none" w:sz="0" w:space="0" w:color="auto"/>
      </w:divBdr>
    </w:div>
    <w:div w:id="1092630024">
      <w:bodyDiv w:val="1"/>
      <w:marLeft w:val="0"/>
      <w:marRight w:val="0"/>
      <w:marTop w:val="0"/>
      <w:marBottom w:val="0"/>
      <w:divBdr>
        <w:top w:val="none" w:sz="0" w:space="0" w:color="auto"/>
        <w:left w:val="none" w:sz="0" w:space="0" w:color="auto"/>
        <w:bottom w:val="none" w:sz="0" w:space="0" w:color="auto"/>
        <w:right w:val="none" w:sz="0" w:space="0" w:color="auto"/>
      </w:divBdr>
    </w:div>
    <w:div w:id="1125780725">
      <w:bodyDiv w:val="1"/>
      <w:marLeft w:val="0"/>
      <w:marRight w:val="0"/>
      <w:marTop w:val="0"/>
      <w:marBottom w:val="0"/>
      <w:divBdr>
        <w:top w:val="none" w:sz="0" w:space="0" w:color="auto"/>
        <w:left w:val="none" w:sz="0" w:space="0" w:color="auto"/>
        <w:bottom w:val="none" w:sz="0" w:space="0" w:color="auto"/>
        <w:right w:val="none" w:sz="0" w:space="0" w:color="auto"/>
      </w:divBdr>
    </w:div>
    <w:div w:id="1144928205">
      <w:bodyDiv w:val="1"/>
      <w:marLeft w:val="0"/>
      <w:marRight w:val="0"/>
      <w:marTop w:val="0"/>
      <w:marBottom w:val="0"/>
      <w:divBdr>
        <w:top w:val="none" w:sz="0" w:space="0" w:color="auto"/>
        <w:left w:val="none" w:sz="0" w:space="0" w:color="auto"/>
        <w:bottom w:val="none" w:sz="0" w:space="0" w:color="auto"/>
        <w:right w:val="none" w:sz="0" w:space="0" w:color="auto"/>
      </w:divBdr>
    </w:div>
    <w:div w:id="1168709296">
      <w:bodyDiv w:val="1"/>
      <w:marLeft w:val="0"/>
      <w:marRight w:val="0"/>
      <w:marTop w:val="0"/>
      <w:marBottom w:val="0"/>
      <w:divBdr>
        <w:top w:val="none" w:sz="0" w:space="0" w:color="auto"/>
        <w:left w:val="none" w:sz="0" w:space="0" w:color="auto"/>
        <w:bottom w:val="none" w:sz="0" w:space="0" w:color="auto"/>
        <w:right w:val="none" w:sz="0" w:space="0" w:color="auto"/>
      </w:divBdr>
    </w:div>
    <w:div w:id="1195969935">
      <w:bodyDiv w:val="1"/>
      <w:marLeft w:val="0"/>
      <w:marRight w:val="0"/>
      <w:marTop w:val="0"/>
      <w:marBottom w:val="0"/>
      <w:divBdr>
        <w:top w:val="none" w:sz="0" w:space="0" w:color="auto"/>
        <w:left w:val="none" w:sz="0" w:space="0" w:color="auto"/>
        <w:bottom w:val="none" w:sz="0" w:space="0" w:color="auto"/>
        <w:right w:val="none" w:sz="0" w:space="0" w:color="auto"/>
      </w:divBdr>
    </w:div>
    <w:div w:id="1201209706">
      <w:bodyDiv w:val="1"/>
      <w:marLeft w:val="0"/>
      <w:marRight w:val="0"/>
      <w:marTop w:val="0"/>
      <w:marBottom w:val="0"/>
      <w:divBdr>
        <w:top w:val="none" w:sz="0" w:space="0" w:color="auto"/>
        <w:left w:val="none" w:sz="0" w:space="0" w:color="auto"/>
        <w:bottom w:val="none" w:sz="0" w:space="0" w:color="auto"/>
        <w:right w:val="none" w:sz="0" w:space="0" w:color="auto"/>
      </w:divBdr>
    </w:div>
    <w:div w:id="123504579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60206265">
      <w:bodyDiv w:val="1"/>
      <w:marLeft w:val="0"/>
      <w:marRight w:val="0"/>
      <w:marTop w:val="0"/>
      <w:marBottom w:val="0"/>
      <w:divBdr>
        <w:top w:val="none" w:sz="0" w:space="0" w:color="auto"/>
        <w:left w:val="none" w:sz="0" w:space="0" w:color="auto"/>
        <w:bottom w:val="none" w:sz="0" w:space="0" w:color="auto"/>
        <w:right w:val="none" w:sz="0" w:space="0" w:color="auto"/>
      </w:divBdr>
    </w:div>
    <w:div w:id="1382902404">
      <w:bodyDiv w:val="1"/>
      <w:marLeft w:val="0"/>
      <w:marRight w:val="0"/>
      <w:marTop w:val="0"/>
      <w:marBottom w:val="0"/>
      <w:divBdr>
        <w:top w:val="none" w:sz="0" w:space="0" w:color="auto"/>
        <w:left w:val="none" w:sz="0" w:space="0" w:color="auto"/>
        <w:bottom w:val="none" w:sz="0" w:space="0" w:color="auto"/>
        <w:right w:val="none" w:sz="0" w:space="0" w:color="auto"/>
      </w:divBdr>
    </w:div>
    <w:div w:id="1421491157">
      <w:bodyDiv w:val="1"/>
      <w:marLeft w:val="0"/>
      <w:marRight w:val="0"/>
      <w:marTop w:val="0"/>
      <w:marBottom w:val="0"/>
      <w:divBdr>
        <w:top w:val="none" w:sz="0" w:space="0" w:color="auto"/>
        <w:left w:val="none" w:sz="0" w:space="0" w:color="auto"/>
        <w:bottom w:val="none" w:sz="0" w:space="0" w:color="auto"/>
        <w:right w:val="none" w:sz="0" w:space="0" w:color="auto"/>
      </w:divBdr>
    </w:div>
    <w:div w:id="1428699118">
      <w:bodyDiv w:val="1"/>
      <w:marLeft w:val="0"/>
      <w:marRight w:val="0"/>
      <w:marTop w:val="0"/>
      <w:marBottom w:val="0"/>
      <w:divBdr>
        <w:top w:val="none" w:sz="0" w:space="0" w:color="auto"/>
        <w:left w:val="none" w:sz="0" w:space="0" w:color="auto"/>
        <w:bottom w:val="none" w:sz="0" w:space="0" w:color="auto"/>
        <w:right w:val="none" w:sz="0" w:space="0" w:color="auto"/>
      </w:divBdr>
    </w:div>
    <w:div w:id="1430927443">
      <w:bodyDiv w:val="1"/>
      <w:marLeft w:val="0"/>
      <w:marRight w:val="0"/>
      <w:marTop w:val="0"/>
      <w:marBottom w:val="0"/>
      <w:divBdr>
        <w:top w:val="none" w:sz="0" w:space="0" w:color="auto"/>
        <w:left w:val="none" w:sz="0" w:space="0" w:color="auto"/>
        <w:bottom w:val="none" w:sz="0" w:space="0" w:color="auto"/>
        <w:right w:val="none" w:sz="0" w:space="0" w:color="auto"/>
      </w:divBdr>
    </w:div>
    <w:div w:id="1495216570">
      <w:bodyDiv w:val="1"/>
      <w:marLeft w:val="0"/>
      <w:marRight w:val="0"/>
      <w:marTop w:val="0"/>
      <w:marBottom w:val="0"/>
      <w:divBdr>
        <w:top w:val="none" w:sz="0" w:space="0" w:color="auto"/>
        <w:left w:val="none" w:sz="0" w:space="0" w:color="auto"/>
        <w:bottom w:val="none" w:sz="0" w:space="0" w:color="auto"/>
        <w:right w:val="none" w:sz="0" w:space="0" w:color="auto"/>
      </w:divBdr>
    </w:div>
    <w:div w:id="1496335007">
      <w:bodyDiv w:val="1"/>
      <w:marLeft w:val="0"/>
      <w:marRight w:val="0"/>
      <w:marTop w:val="0"/>
      <w:marBottom w:val="0"/>
      <w:divBdr>
        <w:top w:val="none" w:sz="0" w:space="0" w:color="auto"/>
        <w:left w:val="none" w:sz="0" w:space="0" w:color="auto"/>
        <w:bottom w:val="none" w:sz="0" w:space="0" w:color="auto"/>
        <w:right w:val="none" w:sz="0" w:space="0" w:color="auto"/>
      </w:divBdr>
    </w:div>
    <w:div w:id="153080344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38298467">
      <w:bodyDiv w:val="1"/>
      <w:marLeft w:val="0"/>
      <w:marRight w:val="0"/>
      <w:marTop w:val="0"/>
      <w:marBottom w:val="0"/>
      <w:divBdr>
        <w:top w:val="none" w:sz="0" w:space="0" w:color="auto"/>
        <w:left w:val="none" w:sz="0" w:space="0" w:color="auto"/>
        <w:bottom w:val="none" w:sz="0" w:space="0" w:color="auto"/>
        <w:right w:val="none" w:sz="0" w:space="0" w:color="auto"/>
      </w:divBdr>
    </w:div>
    <w:div w:id="1723794020">
      <w:bodyDiv w:val="1"/>
      <w:marLeft w:val="0"/>
      <w:marRight w:val="0"/>
      <w:marTop w:val="0"/>
      <w:marBottom w:val="0"/>
      <w:divBdr>
        <w:top w:val="none" w:sz="0" w:space="0" w:color="auto"/>
        <w:left w:val="none" w:sz="0" w:space="0" w:color="auto"/>
        <w:bottom w:val="none" w:sz="0" w:space="0" w:color="auto"/>
        <w:right w:val="none" w:sz="0" w:space="0" w:color="auto"/>
      </w:divBdr>
    </w:div>
    <w:div w:id="1727223146">
      <w:bodyDiv w:val="1"/>
      <w:marLeft w:val="0"/>
      <w:marRight w:val="0"/>
      <w:marTop w:val="0"/>
      <w:marBottom w:val="0"/>
      <w:divBdr>
        <w:top w:val="none" w:sz="0" w:space="0" w:color="auto"/>
        <w:left w:val="none" w:sz="0" w:space="0" w:color="auto"/>
        <w:bottom w:val="none" w:sz="0" w:space="0" w:color="auto"/>
        <w:right w:val="none" w:sz="0" w:space="0" w:color="auto"/>
      </w:divBdr>
    </w:div>
    <w:div w:id="1757168379">
      <w:bodyDiv w:val="1"/>
      <w:marLeft w:val="0"/>
      <w:marRight w:val="0"/>
      <w:marTop w:val="0"/>
      <w:marBottom w:val="0"/>
      <w:divBdr>
        <w:top w:val="none" w:sz="0" w:space="0" w:color="auto"/>
        <w:left w:val="none" w:sz="0" w:space="0" w:color="auto"/>
        <w:bottom w:val="none" w:sz="0" w:space="0" w:color="auto"/>
        <w:right w:val="none" w:sz="0" w:space="0" w:color="auto"/>
      </w:divBdr>
    </w:div>
    <w:div w:id="1760129783">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30437809">
      <w:bodyDiv w:val="1"/>
      <w:marLeft w:val="0"/>
      <w:marRight w:val="0"/>
      <w:marTop w:val="0"/>
      <w:marBottom w:val="0"/>
      <w:divBdr>
        <w:top w:val="none" w:sz="0" w:space="0" w:color="auto"/>
        <w:left w:val="none" w:sz="0" w:space="0" w:color="auto"/>
        <w:bottom w:val="none" w:sz="0" w:space="0" w:color="auto"/>
        <w:right w:val="none" w:sz="0" w:space="0" w:color="auto"/>
      </w:divBdr>
    </w:div>
    <w:div w:id="1832677662">
      <w:bodyDiv w:val="1"/>
      <w:marLeft w:val="0"/>
      <w:marRight w:val="0"/>
      <w:marTop w:val="0"/>
      <w:marBottom w:val="0"/>
      <w:divBdr>
        <w:top w:val="none" w:sz="0" w:space="0" w:color="auto"/>
        <w:left w:val="none" w:sz="0" w:space="0" w:color="auto"/>
        <w:bottom w:val="none" w:sz="0" w:space="0" w:color="auto"/>
        <w:right w:val="none" w:sz="0" w:space="0" w:color="auto"/>
      </w:divBdr>
    </w:div>
    <w:div w:id="18354926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8036801">
      <w:bodyDiv w:val="1"/>
      <w:marLeft w:val="0"/>
      <w:marRight w:val="0"/>
      <w:marTop w:val="0"/>
      <w:marBottom w:val="0"/>
      <w:divBdr>
        <w:top w:val="none" w:sz="0" w:space="0" w:color="auto"/>
        <w:left w:val="none" w:sz="0" w:space="0" w:color="auto"/>
        <w:bottom w:val="none" w:sz="0" w:space="0" w:color="auto"/>
        <w:right w:val="none" w:sz="0" w:space="0" w:color="auto"/>
      </w:divBdr>
    </w:div>
    <w:div w:id="1926500425">
      <w:bodyDiv w:val="1"/>
      <w:marLeft w:val="0"/>
      <w:marRight w:val="0"/>
      <w:marTop w:val="0"/>
      <w:marBottom w:val="0"/>
      <w:divBdr>
        <w:top w:val="none" w:sz="0" w:space="0" w:color="auto"/>
        <w:left w:val="none" w:sz="0" w:space="0" w:color="auto"/>
        <w:bottom w:val="none" w:sz="0" w:space="0" w:color="auto"/>
        <w:right w:val="none" w:sz="0" w:space="0" w:color="auto"/>
      </w:divBdr>
      <w:divsChild>
        <w:div w:id="1205094755">
          <w:marLeft w:val="0"/>
          <w:marRight w:val="0"/>
          <w:marTop w:val="0"/>
          <w:marBottom w:val="0"/>
          <w:divBdr>
            <w:top w:val="none" w:sz="0" w:space="0" w:color="auto"/>
            <w:left w:val="none" w:sz="0" w:space="0" w:color="auto"/>
            <w:bottom w:val="none" w:sz="0" w:space="0" w:color="auto"/>
            <w:right w:val="none" w:sz="0" w:space="0" w:color="auto"/>
          </w:divBdr>
          <w:divsChild>
            <w:div w:id="1469586199">
              <w:marLeft w:val="0"/>
              <w:marRight w:val="0"/>
              <w:marTop w:val="0"/>
              <w:marBottom w:val="0"/>
              <w:divBdr>
                <w:top w:val="none" w:sz="0" w:space="0" w:color="auto"/>
                <w:left w:val="none" w:sz="0" w:space="0" w:color="auto"/>
                <w:bottom w:val="none" w:sz="0" w:space="0" w:color="auto"/>
                <w:right w:val="none" w:sz="0" w:space="0" w:color="auto"/>
              </w:divBdr>
              <w:divsChild>
                <w:div w:id="7772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71137">
      <w:bodyDiv w:val="1"/>
      <w:marLeft w:val="0"/>
      <w:marRight w:val="0"/>
      <w:marTop w:val="0"/>
      <w:marBottom w:val="0"/>
      <w:divBdr>
        <w:top w:val="none" w:sz="0" w:space="0" w:color="auto"/>
        <w:left w:val="none" w:sz="0" w:space="0" w:color="auto"/>
        <w:bottom w:val="none" w:sz="0" w:space="0" w:color="auto"/>
        <w:right w:val="none" w:sz="0" w:space="0" w:color="auto"/>
      </w:divBdr>
    </w:div>
    <w:div w:id="1988971483">
      <w:bodyDiv w:val="1"/>
      <w:marLeft w:val="0"/>
      <w:marRight w:val="0"/>
      <w:marTop w:val="0"/>
      <w:marBottom w:val="0"/>
      <w:divBdr>
        <w:top w:val="none" w:sz="0" w:space="0" w:color="auto"/>
        <w:left w:val="none" w:sz="0" w:space="0" w:color="auto"/>
        <w:bottom w:val="none" w:sz="0" w:space="0" w:color="auto"/>
        <w:right w:val="none" w:sz="0" w:space="0" w:color="auto"/>
      </w:divBdr>
      <w:divsChild>
        <w:div w:id="1637879752">
          <w:marLeft w:val="0"/>
          <w:marRight w:val="0"/>
          <w:marTop w:val="0"/>
          <w:marBottom w:val="0"/>
          <w:divBdr>
            <w:top w:val="none" w:sz="0" w:space="0" w:color="auto"/>
            <w:left w:val="none" w:sz="0" w:space="0" w:color="auto"/>
            <w:bottom w:val="none" w:sz="0" w:space="0" w:color="auto"/>
            <w:right w:val="none" w:sz="0" w:space="0" w:color="auto"/>
          </w:divBdr>
          <w:divsChild>
            <w:div w:id="934822672">
              <w:marLeft w:val="0"/>
              <w:marRight w:val="0"/>
              <w:marTop w:val="0"/>
              <w:marBottom w:val="0"/>
              <w:divBdr>
                <w:top w:val="none" w:sz="0" w:space="0" w:color="auto"/>
                <w:left w:val="none" w:sz="0" w:space="0" w:color="auto"/>
                <w:bottom w:val="none" w:sz="0" w:space="0" w:color="auto"/>
                <w:right w:val="none" w:sz="0" w:space="0" w:color="auto"/>
              </w:divBdr>
              <w:divsChild>
                <w:div w:id="10119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8748">
      <w:bodyDiv w:val="1"/>
      <w:marLeft w:val="0"/>
      <w:marRight w:val="0"/>
      <w:marTop w:val="0"/>
      <w:marBottom w:val="0"/>
      <w:divBdr>
        <w:top w:val="none" w:sz="0" w:space="0" w:color="auto"/>
        <w:left w:val="none" w:sz="0" w:space="0" w:color="auto"/>
        <w:bottom w:val="none" w:sz="0" w:space="0" w:color="auto"/>
        <w:right w:val="none" w:sz="0" w:space="0" w:color="auto"/>
      </w:divBdr>
    </w:div>
    <w:div w:id="2025550291">
      <w:bodyDiv w:val="1"/>
      <w:marLeft w:val="0"/>
      <w:marRight w:val="0"/>
      <w:marTop w:val="0"/>
      <w:marBottom w:val="0"/>
      <w:divBdr>
        <w:top w:val="none" w:sz="0" w:space="0" w:color="auto"/>
        <w:left w:val="none" w:sz="0" w:space="0" w:color="auto"/>
        <w:bottom w:val="none" w:sz="0" w:space="0" w:color="auto"/>
        <w:right w:val="none" w:sz="0" w:space="0" w:color="auto"/>
      </w:divBdr>
    </w:div>
    <w:div w:id="2090539048">
      <w:bodyDiv w:val="1"/>
      <w:marLeft w:val="0"/>
      <w:marRight w:val="0"/>
      <w:marTop w:val="0"/>
      <w:marBottom w:val="0"/>
      <w:divBdr>
        <w:top w:val="none" w:sz="0" w:space="0" w:color="auto"/>
        <w:left w:val="none" w:sz="0" w:space="0" w:color="auto"/>
        <w:bottom w:val="none" w:sz="0" w:space="0" w:color="auto"/>
        <w:right w:val="none" w:sz="0" w:space="0" w:color="auto"/>
      </w:divBdr>
    </w:div>
    <w:div w:id="2103842462">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circulares/cce_circular_unica.pdf" TargetMode="External"/><Relationship Id="rId1" Type="http://schemas.openxmlformats.org/officeDocument/2006/relationships/hyperlink" Target="http://portal.anla.gov.co/manuales-y-gui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037014A6-1F2B-4744-96DA-6A419B017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3473E-623B-6249-9D22-BD15925F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Pages>
  <Words>7052</Words>
  <Characters>38791</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RESPUESTA DIRECCIÓN CONTRACTUAL</vt:lpstr>
      <vt:lpstr>RESPUESTA DIRECCIÓN CONTRACTUAL</vt:lpstr>
    </vt:vector>
  </TitlesOfParts>
  <Company/>
  <LinksUpToDate>false</LinksUpToDate>
  <CharactersWithSpaces>45752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cp:lastPrinted>2020-01-30T15:05:00Z</cp:lastPrinted>
  <dcterms:created xsi:type="dcterms:W3CDTF">2022-04-21T17:15:00Z</dcterms:created>
  <dcterms:modified xsi:type="dcterms:W3CDTF">2022-05-04T20:51:00Z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