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ED1F11" w:rsidRDefault="00BE1E33" w:rsidP="00BE1E33">
      <w:pPr>
        <w:jc w:val="right"/>
        <w:rPr>
          <w:rFonts w:ascii="Arial" w:hAnsi="Arial" w:cs="Arial"/>
          <w:bCs/>
          <w:sz w:val="16"/>
          <w:szCs w:val="16"/>
          <w:lang w:val="es-ES_tradnl" w:eastAsia="es-ES"/>
        </w:rPr>
      </w:pPr>
      <w:bookmarkStart w:id="0" w:name="_Hlk28946138"/>
      <w:bookmarkStart w:id="1" w:name="_Hlk29548183"/>
      <w:r w:rsidRPr="00ED1F11">
        <w:rPr>
          <w:rFonts w:ascii="Arial" w:hAnsi="Arial" w:cs="Arial"/>
          <w:b/>
          <w:sz w:val="16"/>
          <w:szCs w:val="16"/>
          <w:lang w:val="es-ES_tradnl" w:eastAsia="es-ES"/>
        </w:rPr>
        <w:tab/>
      </w:r>
      <w:r w:rsidRPr="00ED1F11">
        <w:rPr>
          <w:rFonts w:ascii="Arial" w:hAnsi="Arial" w:cs="Arial"/>
          <w:bCs/>
          <w:sz w:val="16"/>
          <w:szCs w:val="16"/>
          <w:lang w:val="es-ES_tradnl" w:eastAsia="es-ES"/>
        </w:rPr>
        <w:t>CCE-DES-FM-17</w:t>
      </w:r>
    </w:p>
    <w:p w14:paraId="25784C1D" w14:textId="77777777" w:rsidR="00BE1E33" w:rsidRPr="00ED1F11" w:rsidRDefault="00BE1E33" w:rsidP="00BE1E33">
      <w:pPr>
        <w:jc w:val="both"/>
        <w:rPr>
          <w:rFonts w:ascii="Arial" w:eastAsia="Calibri" w:hAnsi="Arial" w:cs="Arial"/>
          <w:b/>
          <w:sz w:val="20"/>
          <w:szCs w:val="20"/>
          <w:lang w:val="es-ES_tradnl"/>
        </w:rPr>
      </w:pPr>
    </w:p>
    <w:p w14:paraId="26CF3D8A" w14:textId="77777777" w:rsidR="00910B3C" w:rsidRPr="00ED1F11" w:rsidRDefault="00910B3C" w:rsidP="00910B3C">
      <w:pPr>
        <w:jc w:val="both"/>
        <w:rPr>
          <w:rFonts w:ascii="Arial" w:eastAsia="Calibri" w:hAnsi="Arial" w:cs="Arial"/>
          <w:b/>
          <w:sz w:val="20"/>
          <w:szCs w:val="20"/>
          <w:lang w:val="es-ES_tradnl"/>
        </w:rPr>
      </w:pPr>
    </w:p>
    <w:p w14:paraId="218404E6" w14:textId="1FDE3770" w:rsidR="00CA66DF" w:rsidRDefault="00CA66DF" w:rsidP="00CA66DF">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60BCC04C" w14:textId="77777777" w:rsidR="00CA66DF" w:rsidRDefault="00CA66DF" w:rsidP="00CA66DF">
      <w:pPr>
        <w:jc w:val="both"/>
        <w:rPr>
          <w:rFonts w:ascii="Arial" w:eastAsia="Calibri" w:hAnsi="Arial" w:cs="Arial"/>
          <w:b/>
          <w:color w:val="000000" w:themeColor="text1"/>
          <w:sz w:val="22"/>
        </w:rPr>
      </w:pPr>
    </w:p>
    <w:p w14:paraId="70A84F09" w14:textId="131A93C7" w:rsidR="00076813" w:rsidRPr="00076813" w:rsidRDefault="00076813" w:rsidP="00076813">
      <w:pPr>
        <w:jc w:val="both"/>
        <w:rPr>
          <w:rFonts w:ascii="Arial" w:eastAsia="Calibri" w:hAnsi="Arial" w:cs="Arial"/>
          <w:bCs/>
          <w:color w:val="000000" w:themeColor="text1"/>
          <w:sz w:val="20"/>
          <w:szCs w:val="20"/>
          <w:lang w:val="es-ES"/>
        </w:rPr>
      </w:pPr>
      <w:r w:rsidRPr="00076813">
        <w:rPr>
          <w:rFonts w:ascii="Arial" w:eastAsia="Calibri" w:hAnsi="Arial" w:cs="Arial"/>
          <w:bCs/>
          <w:color w:val="000000" w:themeColor="text1"/>
          <w:sz w:val="20"/>
          <w:szCs w:val="20"/>
          <w:lang w:val="es-ES"/>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4E1D2E7B" w14:textId="77777777" w:rsidR="00076813" w:rsidRDefault="00076813" w:rsidP="00076813">
      <w:pPr>
        <w:jc w:val="both"/>
        <w:rPr>
          <w:rFonts w:ascii="Arial" w:eastAsia="Calibri" w:hAnsi="Arial" w:cs="Arial"/>
          <w:bCs/>
          <w:color w:val="000000" w:themeColor="text1"/>
          <w:sz w:val="20"/>
          <w:szCs w:val="20"/>
          <w:lang w:val="es-ES"/>
        </w:rPr>
      </w:pPr>
    </w:p>
    <w:p w14:paraId="442A0E28" w14:textId="364D4A03" w:rsidR="00CA66DF" w:rsidRPr="009816A2" w:rsidRDefault="00076813" w:rsidP="00076813">
      <w:pPr>
        <w:jc w:val="both"/>
        <w:rPr>
          <w:rFonts w:ascii="Arial" w:eastAsia="Calibri" w:hAnsi="Arial" w:cs="Arial"/>
          <w:bCs/>
          <w:color w:val="000000" w:themeColor="text1"/>
          <w:sz w:val="20"/>
          <w:szCs w:val="20"/>
          <w:lang w:val="es-ES"/>
        </w:rPr>
      </w:pPr>
      <w:r w:rsidRPr="00076813">
        <w:rPr>
          <w:rFonts w:ascii="Arial" w:eastAsia="Calibri" w:hAnsi="Arial" w:cs="Arial"/>
          <w:bCs/>
          <w:color w:val="000000" w:themeColor="text1"/>
          <w:sz w:val="20"/>
          <w:szCs w:val="20"/>
          <w:lang w:val="es-E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 De esta manera, el artículo 6 de la Ley 1150 de 2007 estableció como condición «para poder participar en los procesos de selección de los contratos de obra, la capacidad residual del proponente o K de contratación»</w:t>
      </w:r>
      <w:r w:rsidR="00CA66DF">
        <w:rPr>
          <w:rFonts w:ascii="Arial" w:eastAsia="Calibri" w:hAnsi="Arial" w:cs="Arial"/>
          <w:bCs/>
          <w:color w:val="000000" w:themeColor="text1"/>
          <w:sz w:val="20"/>
          <w:szCs w:val="20"/>
          <w:lang w:val="es-ES"/>
        </w:rPr>
        <w:t xml:space="preserve">. </w:t>
      </w:r>
    </w:p>
    <w:p w14:paraId="1C6DF99D" w14:textId="23E36C92" w:rsidR="00CA66DF" w:rsidRDefault="00CA66DF" w:rsidP="00CA66DF">
      <w:pPr>
        <w:jc w:val="both"/>
        <w:rPr>
          <w:rFonts w:ascii="Arial" w:eastAsia="Calibri" w:hAnsi="Arial" w:cs="Arial"/>
          <w:b/>
          <w:color w:val="000000" w:themeColor="text1"/>
          <w:sz w:val="22"/>
        </w:rPr>
      </w:pPr>
    </w:p>
    <w:p w14:paraId="449D3F77" w14:textId="77777777" w:rsidR="003C4733" w:rsidRDefault="003C4733" w:rsidP="003C4733">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Capacidad de Organización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66C8E8F0" w14:textId="7AFA9047" w:rsidR="003C4733" w:rsidRPr="00932406" w:rsidRDefault="003C4733" w:rsidP="00CA66DF">
      <w:pPr>
        <w:jc w:val="both"/>
        <w:rPr>
          <w:rFonts w:ascii="Arial" w:eastAsia="Calibri" w:hAnsi="Arial" w:cs="Arial"/>
          <w:bCs/>
          <w:color w:val="000000" w:themeColor="text1"/>
          <w:sz w:val="20"/>
          <w:szCs w:val="20"/>
          <w:lang w:val="es-ES"/>
        </w:rPr>
      </w:pPr>
    </w:p>
    <w:p w14:paraId="6C008736" w14:textId="33B11A5D" w:rsidR="00932406" w:rsidRDefault="00932406" w:rsidP="00932406">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932406">
        <w:rPr>
          <w:rFonts w:ascii="Arial" w:eastAsia="Calibri" w:hAnsi="Arial" w:cs="Arial"/>
          <w:bCs/>
          <w:color w:val="000000" w:themeColor="text1"/>
          <w:sz w:val="20"/>
          <w:szCs w:val="20"/>
          <w:lang w:val="es-ES"/>
        </w:rPr>
        <w:t xml:space="preserve">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3FD9C864" w14:textId="77777777" w:rsidR="00932406" w:rsidRDefault="00932406" w:rsidP="00932406">
      <w:pPr>
        <w:jc w:val="both"/>
        <w:rPr>
          <w:rFonts w:ascii="Arial" w:eastAsia="Calibri" w:hAnsi="Arial" w:cs="Arial"/>
          <w:bCs/>
          <w:color w:val="000000" w:themeColor="text1"/>
          <w:sz w:val="20"/>
          <w:szCs w:val="20"/>
          <w:lang w:val="es-ES"/>
        </w:rPr>
      </w:pPr>
    </w:p>
    <w:p w14:paraId="2C4D3435" w14:textId="122C12CC" w:rsidR="00932406" w:rsidRDefault="00932406" w:rsidP="00932406">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68A161A6" w14:textId="77777777" w:rsidR="00932406" w:rsidRPr="00932406" w:rsidRDefault="00932406" w:rsidP="00932406">
      <w:pPr>
        <w:jc w:val="both"/>
        <w:rPr>
          <w:rFonts w:ascii="Arial" w:eastAsia="Calibri" w:hAnsi="Arial" w:cs="Arial"/>
          <w:bCs/>
          <w:color w:val="000000" w:themeColor="text1"/>
          <w:sz w:val="20"/>
          <w:szCs w:val="20"/>
          <w:lang w:val="es-ES"/>
        </w:rPr>
      </w:pPr>
    </w:p>
    <w:p w14:paraId="797DE8C1" w14:textId="6B501C4C" w:rsidR="003C4733" w:rsidRPr="00932406" w:rsidRDefault="00932406" w:rsidP="00932406">
      <w:pPr>
        <w:jc w:val="both"/>
        <w:rPr>
          <w:rFonts w:ascii="Arial" w:eastAsia="Calibri" w:hAnsi="Arial" w:cs="Arial"/>
          <w:bCs/>
          <w:color w:val="000000" w:themeColor="text1"/>
          <w:sz w:val="20"/>
          <w:szCs w:val="20"/>
          <w:lang w:val="es-ES"/>
        </w:rPr>
      </w:pPr>
      <w:r w:rsidRPr="00932406">
        <w:rPr>
          <w:rFonts w:ascii="Arial" w:eastAsia="Calibri" w:hAnsi="Arial" w:cs="Arial"/>
          <w:bCs/>
          <w:color w:val="000000" w:themeColor="text1"/>
          <w:sz w:val="20"/>
          <w:szCs w:val="20"/>
          <w:lang w:val="es-ES"/>
        </w:rPr>
        <w:t>De esta manera, la capacidad de organización está en función de los ingresos operacionales del proponente. De ahí que tanto el Documento Tipo como el Decreto 1082 de 2015, soliciten el estado de resultados, puesto que mediante este documento se relacionan los ingresos, costos y gastos en los que incurrió el proponente, de tal forma que se puedan evidenciar los ingresos operacionales que ha obtenido en un determinado periodo de tiempo</w:t>
      </w:r>
    </w:p>
    <w:p w14:paraId="740B837E" w14:textId="77777777" w:rsidR="003C4733" w:rsidRDefault="003C4733" w:rsidP="00CA66DF">
      <w:pPr>
        <w:jc w:val="both"/>
        <w:rPr>
          <w:rFonts w:ascii="Arial" w:eastAsia="Calibri" w:hAnsi="Arial" w:cs="Arial"/>
          <w:b/>
          <w:color w:val="000000" w:themeColor="text1"/>
          <w:sz w:val="22"/>
        </w:rPr>
      </w:pPr>
    </w:p>
    <w:p w14:paraId="420DB0C9" w14:textId="77777777" w:rsidR="00CA66DF" w:rsidRPr="009816A2" w:rsidRDefault="00CA66DF" w:rsidP="00CA66DF">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DOCUMENTOS TIPO</w:t>
      </w:r>
      <w:r w:rsidRPr="009816A2">
        <w:rPr>
          <w:rFonts w:ascii="Arial" w:eastAsia="Calibri" w:hAnsi="Arial" w:cs="Arial"/>
          <w:b/>
          <w:color w:val="000000" w:themeColor="text1"/>
          <w:sz w:val="22"/>
        </w:rPr>
        <w:softHyphen/>
      </w:r>
      <w:r>
        <w:rPr>
          <w:rFonts w:ascii="Arial" w:eastAsia="Calibri" w:hAnsi="Arial" w:cs="Arial"/>
          <w:b/>
          <w:color w:val="000000" w:themeColor="text1"/>
          <w:sz w:val="22"/>
        </w:rPr>
        <w:t xml:space="preserve"> – Versión 3</w:t>
      </w:r>
      <w:r w:rsidRPr="009816A2">
        <w:rPr>
          <w:rFonts w:ascii="Arial" w:eastAsia="Calibri" w:hAnsi="Arial" w:cs="Arial"/>
          <w:b/>
          <w:color w:val="000000" w:themeColor="text1"/>
          <w:sz w:val="22"/>
        </w:rPr>
        <w:t xml:space="preserve"> – Capacidad residual – Capacidad </w:t>
      </w:r>
      <w:r>
        <w:rPr>
          <w:rFonts w:ascii="Arial" w:eastAsia="Calibri" w:hAnsi="Arial" w:cs="Arial"/>
          <w:b/>
          <w:color w:val="000000" w:themeColor="text1"/>
          <w:sz w:val="22"/>
        </w:rPr>
        <w:t xml:space="preserve">de </w:t>
      </w:r>
      <w:r w:rsidRPr="009816A2">
        <w:rPr>
          <w:rFonts w:ascii="Arial" w:eastAsia="Calibri" w:hAnsi="Arial" w:cs="Arial"/>
          <w:b/>
          <w:color w:val="000000" w:themeColor="text1"/>
          <w:sz w:val="22"/>
        </w:rPr>
        <w:t>organizaci</w:t>
      </w:r>
      <w:r>
        <w:rPr>
          <w:rFonts w:ascii="Arial" w:eastAsia="Calibri" w:hAnsi="Arial" w:cs="Arial"/>
          <w:b/>
          <w:color w:val="000000" w:themeColor="text1"/>
          <w:sz w:val="22"/>
        </w:rPr>
        <w:t>ón</w:t>
      </w:r>
    </w:p>
    <w:p w14:paraId="2243E411" w14:textId="77777777" w:rsidR="00CA66DF" w:rsidRDefault="00CA66DF" w:rsidP="00CA66DF">
      <w:pPr>
        <w:jc w:val="both"/>
        <w:rPr>
          <w:rFonts w:ascii="Arial" w:eastAsia="Calibri" w:hAnsi="Arial" w:cs="Arial"/>
          <w:bCs/>
          <w:color w:val="000000" w:themeColor="text1"/>
          <w:sz w:val="20"/>
          <w:szCs w:val="20"/>
        </w:rPr>
      </w:pPr>
    </w:p>
    <w:p w14:paraId="6AAC8B29" w14:textId="469366E6" w:rsidR="00CA66DF" w:rsidRDefault="00004C76" w:rsidP="00CA66DF">
      <w:pPr>
        <w:jc w:val="both"/>
        <w:rPr>
          <w:rFonts w:ascii="Arial" w:hAnsi="Arial" w:cs="Arial"/>
          <w:color w:val="000000" w:themeColor="text1"/>
          <w:sz w:val="20"/>
          <w:szCs w:val="20"/>
        </w:rPr>
      </w:pPr>
      <w:r w:rsidRPr="00004C76">
        <w:rPr>
          <w:rFonts w:ascii="Arial" w:eastAsia="Times New Roman" w:hAnsi="Arial" w:cs="Arial"/>
          <w:bCs/>
          <w:color w:val="000000" w:themeColor="text1"/>
          <w:sz w:val="20"/>
          <w:szCs w:val="20"/>
          <w:lang w:eastAsia="es-ES_tradnl"/>
        </w:rPr>
        <w:t>De acuerdo con lo establecido en los Documentos Tipo para licitación de obra pública de infraestructura de transporte –- Versión 3, en el numeral 3.10.2, literal A, del Documento Base (versiones 4 y 5), para la acreditación del estado de resultados de los proponentes que cuentan con RUP solo se requiere aportar el estado de resultados del año en que el proponente obtuvo mayor ingreso operacional en los últimos cinco (05)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sin que el Documento Tipo exija el dictamen del estado de resultados señalado en el artículo 38 de la Ley 122 de 1995</w:t>
      </w:r>
      <w:r w:rsidR="00CA66DF" w:rsidRPr="00CA66DF">
        <w:rPr>
          <w:rFonts w:ascii="Arial" w:hAnsi="Arial" w:cs="Arial"/>
          <w:color w:val="000000" w:themeColor="text1"/>
          <w:sz w:val="20"/>
          <w:szCs w:val="20"/>
        </w:rPr>
        <w:t>.</w:t>
      </w:r>
    </w:p>
    <w:p w14:paraId="39051F4A" w14:textId="5E65717B" w:rsidR="000F7006" w:rsidRPr="000F7006" w:rsidRDefault="000F7006" w:rsidP="00CA66DF">
      <w:pPr>
        <w:jc w:val="both"/>
        <w:rPr>
          <w:rFonts w:ascii="Arial" w:hAnsi="Arial" w:cs="Arial"/>
          <w:b/>
          <w:color w:val="000000" w:themeColor="text1"/>
          <w:sz w:val="20"/>
          <w:szCs w:val="20"/>
        </w:rPr>
      </w:pPr>
    </w:p>
    <w:p w14:paraId="74BF525F" w14:textId="1869CD48" w:rsidR="000F7006" w:rsidRPr="000F7006" w:rsidRDefault="000F7006" w:rsidP="00CA66DF">
      <w:pPr>
        <w:jc w:val="both"/>
        <w:rPr>
          <w:rFonts w:ascii="Arial" w:hAnsi="Arial" w:cs="Arial"/>
          <w:b/>
          <w:color w:val="000000" w:themeColor="text1"/>
          <w:sz w:val="22"/>
        </w:rPr>
      </w:pPr>
      <w:r w:rsidRPr="000F7006">
        <w:rPr>
          <w:rFonts w:ascii="Arial" w:hAnsi="Arial" w:cs="Arial"/>
          <w:b/>
          <w:color w:val="000000" w:themeColor="text1"/>
          <w:sz w:val="22"/>
        </w:rPr>
        <w:t>INALTERABILIDAD</w:t>
      </w:r>
      <w:r>
        <w:rPr>
          <w:rFonts w:ascii="Arial" w:hAnsi="Arial" w:cs="Arial"/>
          <w:b/>
          <w:color w:val="000000" w:themeColor="text1"/>
          <w:sz w:val="22"/>
        </w:rPr>
        <w:t xml:space="preserve"> </w:t>
      </w:r>
      <w:r w:rsidR="00001336">
        <w:rPr>
          <w:rFonts w:ascii="Arial" w:hAnsi="Arial" w:cs="Arial"/>
          <w:b/>
          <w:color w:val="000000" w:themeColor="text1"/>
          <w:sz w:val="22"/>
        </w:rPr>
        <w:t>–</w:t>
      </w:r>
      <w:r w:rsidRPr="000F7006">
        <w:rPr>
          <w:rFonts w:ascii="Arial" w:hAnsi="Arial" w:cs="Arial"/>
          <w:b/>
          <w:color w:val="000000" w:themeColor="text1"/>
          <w:sz w:val="22"/>
        </w:rPr>
        <w:t xml:space="preserve"> Documento</w:t>
      </w:r>
      <w:r>
        <w:rPr>
          <w:rFonts w:ascii="Arial" w:hAnsi="Arial" w:cs="Arial"/>
          <w:b/>
          <w:color w:val="000000" w:themeColor="text1"/>
          <w:sz w:val="22"/>
        </w:rPr>
        <w:t>s</w:t>
      </w:r>
      <w:r w:rsidRPr="000F7006">
        <w:rPr>
          <w:rFonts w:ascii="Arial" w:hAnsi="Arial" w:cs="Arial"/>
          <w:b/>
          <w:color w:val="000000" w:themeColor="text1"/>
          <w:sz w:val="22"/>
        </w:rPr>
        <w:t xml:space="preserve"> Tipo</w:t>
      </w:r>
      <w:r>
        <w:rPr>
          <w:rFonts w:ascii="Arial" w:hAnsi="Arial" w:cs="Arial"/>
          <w:b/>
          <w:color w:val="000000" w:themeColor="text1"/>
          <w:sz w:val="22"/>
        </w:rPr>
        <w:t xml:space="preserve"> </w:t>
      </w:r>
      <w:r w:rsidR="00001336">
        <w:rPr>
          <w:rFonts w:ascii="Arial" w:hAnsi="Arial" w:cs="Arial"/>
          <w:b/>
          <w:color w:val="000000" w:themeColor="text1"/>
          <w:sz w:val="22"/>
        </w:rPr>
        <w:t>–</w:t>
      </w:r>
      <w:r>
        <w:rPr>
          <w:rFonts w:ascii="Arial" w:hAnsi="Arial" w:cs="Arial"/>
          <w:b/>
          <w:color w:val="000000" w:themeColor="text1"/>
          <w:sz w:val="22"/>
        </w:rPr>
        <w:t xml:space="preserve"> Licitación Pública</w:t>
      </w:r>
    </w:p>
    <w:p w14:paraId="78638573" w14:textId="77777777" w:rsidR="00CA66DF" w:rsidRPr="000F7006" w:rsidRDefault="00CA66DF" w:rsidP="00CA66DF">
      <w:pPr>
        <w:ind w:firstLine="708"/>
        <w:jc w:val="both"/>
        <w:rPr>
          <w:rFonts w:ascii="Arial" w:eastAsia="Times New Roman" w:hAnsi="Arial" w:cs="Arial"/>
          <w:bCs/>
          <w:color w:val="000000" w:themeColor="text1"/>
          <w:sz w:val="22"/>
          <w:lang w:eastAsia="es-ES_tradnl"/>
        </w:rPr>
      </w:pPr>
    </w:p>
    <w:p w14:paraId="24EE4221" w14:textId="3CD87333" w:rsidR="00CA66DF" w:rsidRDefault="00E30DF1" w:rsidP="00DE0E26">
      <w:pPr>
        <w:tabs>
          <w:tab w:val="left" w:pos="709"/>
        </w:tabs>
        <w:jc w:val="both"/>
        <w:rPr>
          <w:rFonts w:ascii="Arial" w:eastAsia="Calibri" w:hAnsi="Arial" w:cs="Arial"/>
          <w:sz w:val="20"/>
          <w:szCs w:val="20"/>
          <w:shd w:val="clear" w:color="auto" w:fill="FFFFFF"/>
          <w:lang w:val="es-ES"/>
        </w:rPr>
      </w:pPr>
      <w:r w:rsidRPr="00E30DF1">
        <w:rPr>
          <w:rFonts w:ascii="Arial" w:eastAsia="Calibri" w:hAnsi="Arial" w:cs="Arial"/>
          <w:sz w:val="20"/>
          <w:szCs w:val="20"/>
          <w:shd w:val="clear" w:color="auto" w:fill="FFFFFF"/>
          <w:lang w:val="es-ES"/>
        </w:rPr>
        <w:t>La regla de inalterabilidad de los Documentos Tipo, consagrada en los artículos 2.2.1.2.6.1.4, 2.2.1.2.6.2.3 y 2.2.1.2.6.3.4 del Decreto 1082 de 2015,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00A105E3" w:rsidRPr="00A105E3">
        <w:rPr>
          <w:rFonts w:ascii="Arial" w:eastAsia="Calibri" w:hAnsi="Arial" w:cs="Arial"/>
          <w:sz w:val="20"/>
          <w:szCs w:val="20"/>
          <w:shd w:val="clear" w:color="auto" w:fill="FFFFFF"/>
          <w:lang w:val="es-ES"/>
        </w:rPr>
        <w:t xml:space="preserve">.  </w:t>
      </w:r>
    </w:p>
    <w:p w14:paraId="12EA983E" w14:textId="77777777" w:rsidR="00E30DF1" w:rsidRPr="000F7006" w:rsidRDefault="00E30DF1" w:rsidP="00DE0E26">
      <w:pPr>
        <w:tabs>
          <w:tab w:val="left" w:pos="709"/>
        </w:tabs>
        <w:jc w:val="both"/>
        <w:rPr>
          <w:rFonts w:ascii="Arial" w:eastAsia="Calibri" w:hAnsi="Arial" w:cs="Arial"/>
          <w:b/>
          <w:sz w:val="22"/>
          <w:lang w:val="es-ES"/>
        </w:rPr>
      </w:pPr>
    </w:p>
    <w:p w14:paraId="637E31FA" w14:textId="77777777" w:rsidR="00792B9C" w:rsidRDefault="00792B9C" w:rsidP="00CD05DC">
      <w:pPr>
        <w:tabs>
          <w:tab w:val="left" w:pos="709"/>
        </w:tabs>
        <w:jc w:val="right"/>
        <w:rPr>
          <w:rFonts w:ascii="Arial" w:eastAsia="Calibri" w:hAnsi="Arial" w:cs="Arial"/>
          <w:sz w:val="22"/>
        </w:rPr>
      </w:pPr>
    </w:p>
    <w:p w14:paraId="32E52A7E" w14:textId="77777777" w:rsidR="00E30DF1" w:rsidRDefault="00E30DF1">
      <w:pPr>
        <w:spacing w:after="160" w:line="259" w:lineRule="auto"/>
        <w:rPr>
          <w:rFonts w:ascii="Arial" w:hAnsi="Arial" w:cs="Arial"/>
          <w:b/>
          <w:bCs/>
          <w:sz w:val="22"/>
          <w:lang w:val="es-CO"/>
        </w:rPr>
      </w:pPr>
      <w:r>
        <w:rPr>
          <w:rFonts w:ascii="Arial" w:hAnsi="Arial" w:cs="Arial"/>
          <w:b/>
          <w:bCs/>
          <w:sz w:val="22"/>
          <w:lang w:val="es-CO"/>
        </w:rPr>
        <w:br w:type="page"/>
      </w:r>
    </w:p>
    <w:p w14:paraId="2166D7DB" w14:textId="77777777" w:rsidR="0003536B" w:rsidRDefault="0003536B" w:rsidP="00CD05DC">
      <w:pPr>
        <w:tabs>
          <w:tab w:val="left" w:pos="709"/>
        </w:tabs>
        <w:jc w:val="right"/>
        <w:rPr>
          <w:rFonts w:ascii="Arial" w:hAnsi="Arial" w:cs="Arial"/>
          <w:b/>
          <w:bCs/>
          <w:sz w:val="22"/>
          <w:lang w:val="es-CO"/>
        </w:rPr>
      </w:pPr>
      <w:r>
        <w:rPr>
          <w:rFonts w:ascii="Arial" w:hAnsi="Arial" w:cs="Arial"/>
          <w:b/>
          <w:bCs/>
          <w:noProof/>
          <w:sz w:val="22"/>
          <w:lang w:val="es-CO"/>
        </w:rPr>
        <w:lastRenderedPageBreak/>
        <w:drawing>
          <wp:anchor distT="0" distB="0" distL="114300" distR="114300" simplePos="0" relativeHeight="251658240" behindDoc="0" locked="0" layoutInCell="1" allowOverlap="1" wp14:anchorId="7A21C297" wp14:editId="6818ECEC">
            <wp:simplePos x="0" y="0"/>
            <wp:positionH relativeFrom="column">
              <wp:posOffset>2764199</wp:posOffset>
            </wp:positionH>
            <wp:positionV relativeFrom="paragraph">
              <wp:posOffset>-721877</wp:posOffset>
            </wp:positionV>
            <wp:extent cx="3014922" cy="925033"/>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8405" cy="926102"/>
                    </a:xfrm>
                    <a:prstGeom prst="rect">
                      <a:avLst/>
                    </a:prstGeom>
                  </pic:spPr>
                </pic:pic>
              </a:graphicData>
            </a:graphic>
            <wp14:sizeRelH relativeFrom="page">
              <wp14:pctWidth>0</wp14:pctWidth>
            </wp14:sizeRelH>
            <wp14:sizeRelV relativeFrom="page">
              <wp14:pctHeight>0</wp14:pctHeight>
            </wp14:sizeRelV>
          </wp:anchor>
        </w:drawing>
      </w:r>
    </w:p>
    <w:p w14:paraId="5B16C627" w14:textId="77777777" w:rsidR="001F11AF" w:rsidRDefault="001F11AF" w:rsidP="008E356A">
      <w:pPr>
        <w:tabs>
          <w:tab w:val="left" w:pos="709"/>
        </w:tabs>
        <w:jc w:val="right"/>
        <w:rPr>
          <w:rFonts w:ascii="Arial" w:hAnsi="Arial" w:cs="Arial"/>
          <w:b/>
          <w:bCs/>
          <w:sz w:val="22"/>
          <w:lang w:val="es-CO"/>
        </w:rPr>
      </w:pPr>
    </w:p>
    <w:p w14:paraId="6EDECE02" w14:textId="0BFF456B" w:rsidR="00E35B0E" w:rsidRPr="008E356A" w:rsidRDefault="00E35B0E" w:rsidP="008E356A">
      <w:pPr>
        <w:tabs>
          <w:tab w:val="left" w:pos="709"/>
        </w:tabs>
        <w:jc w:val="right"/>
        <w:rPr>
          <w:rFonts w:ascii="Arial" w:hAnsi="Arial" w:cs="Arial"/>
          <w:sz w:val="22"/>
          <w:lang w:val="es-ES"/>
        </w:rPr>
      </w:pPr>
      <w:r w:rsidRPr="00A70F57">
        <w:rPr>
          <w:rFonts w:ascii="Arial" w:hAnsi="Arial" w:cs="Arial"/>
          <w:b/>
          <w:bCs/>
          <w:sz w:val="22"/>
          <w:lang w:val="es-CO"/>
        </w:rPr>
        <w:t>CCE-DES-FM-17</w:t>
      </w:r>
    </w:p>
    <w:p w14:paraId="3DE0250D" w14:textId="1F460B7A" w:rsidR="00113AD4" w:rsidRDefault="00113AD4" w:rsidP="00E35B0E">
      <w:pPr>
        <w:rPr>
          <w:rFonts w:ascii="Arial" w:hAnsi="Arial" w:cs="Arial"/>
          <w:sz w:val="22"/>
        </w:rPr>
      </w:pPr>
    </w:p>
    <w:p w14:paraId="5D3316D1" w14:textId="77777777" w:rsidR="001F11AF" w:rsidRPr="00A70F57" w:rsidRDefault="001F11AF" w:rsidP="00E35B0E">
      <w:pPr>
        <w:rPr>
          <w:rFonts w:ascii="Arial" w:hAnsi="Arial" w:cs="Arial"/>
          <w:sz w:val="22"/>
        </w:rPr>
      </w:pPr>
    </w:p>
    <w:p w14:paraId="05B25C09" w14:textId="77777777" w:rsidR="00113AD4" w:rsidRPr="00A70F57" w:rsidRDefault="00113AD4" w:rsidP="00E35B0E">
      <w:pPr>
        <w:rPr>
          <w:rFonts w:ascii="Arial" w:hAnsi="Arial" w:cs="Arial"/>
          <w:sz w:val="22"/>
        </w:rPr>
      </w:pPr>
    </w:p>
    <w:p w14:paraId="22AD42E5" w14:textId="77777777" w:rsidR="008E356A" w:rsidRPr="008E356A" w:rsidRDefault="008E356A" w:rsidP="008E356A">
      <w:pPr>
        <w:spacing w:before="100" w:beforeAutospacing="1" w:after="100" w:afterAutospacing="1"/>
        <w:rPr>
          <w:rFonts w:ascii="Times New Roman" w:eastAsia="Times New Roman" w:hAnsi="Times New Roman" w:cs="Times New Roman"/>
          <w:szCs w:val="24"/>
          <w:lang w:val="es-CO" w:eastAsia="es-MX"/>
        </w:rPr>
      </w:pPr>
      <w:proofErr w:type="spellStart"/>
      <w:r w:rsidRPr="008E356A">
        <w:rPr>
          <w:rFonts w:ascii="ArialMT" w:eastAsia="Times New Roman" w:hAnsi="ArialMT" w:cs="Times New Roman"/>
          <w:color w:val="4C4C4C"/>
          <w:sz w:val="22"/>
          <w:lang w:val="es-CO" w:eastAsia="es-MX"/>
        </w:rPr>
        <w:t>Bogota</w:t>
      </w:r>
      <w:proofErr w:type="spellEnd"/>
      <w:r w:rsidRPr="008E356A">
        <w:rPr>
          <w:rFonts w:ascii="ArialMT" w:eastAsia="Times New Roman" w:hAnsi="ArialMT" w:cs="Times New Roman"/>
          <w:color w:val="4C4C4C"/>
          <w:sz w:val="22"/>
          <w:lang w:val="es-CO" w:eastAsia="es-MX"/>
        </w:rPr>
        <w:t xml:space="preserve">́, 07 Septiembre 2021 </w:t>
      </w:r>
    </w:p>
    <w:p w14:paraId="61CD20B1" w14:textId="77777777" w:rsidR="00E35B0E" w:rsidRPr="00A70F57" w:rsidRDefault="00E35B0E" w:rsidP="00E35B0E">
      <w:pPr>
        <w:jc w:val="both"/>
        <w:outlineLvl w:val="0"/>
        <w:rPr>
          <w:rFonts w:ascii="Arial" w:hAnsi="Arial" w:cs="Arial"/>
          <w:b/>
          <w:sz w:val="22"/>
        </w:rPr>
      </w:pPr>
    </w:p>
    <w:p w14:paraId="156C00BE" w14:textId="77777777" w:rsidR="00E35B0E" w:rsidRPr="00A70F57" w:rsidRDefault="00E35B0E" w:rsidP="00E35B0E">
      <w:pPr>
        <w:jc w:val="both"/>
        <w:outlineLvl w:val="0"/>
        <w:rPr>
          <w:rFonts w:ascii="Arial" w:hAnsi="Arial" w:cs="Arial"/>
          <w:b/>
          <w:sz w:val="22"/>
          <w:lang w:val="es-ES"/>
        </w:rPr>
      </w:pPr>
    </w:p>
    <w:p w14:paraId="6B6535B7" w14:textId="2049D597" w:rsidR="00E35B0E" w:rsidRPr="00A70F57" w:rsidRDefault="00F41276" w:rsidP="00E35B0E">
      <w:pPr>
        <w:jc w:val="both"/>
        <w:outlineLvl w:val="0"/>
        <w:rPr>
          <w:rFonts w:ascii="Arial" w:eastAsia="Calibri" w:hAnsi="Arial" w:cs="Arial"/>
          <w:sz w:val="22"/>
          <w:lang w:val="es-ES"/>
        </w:rPr>
      </w:pPr>
      <w:r>
        <w:rPr>
          <w:rFonts w:ascii="Arial" w:eastAsia="Calibri" w:hAnsi="Arial" w:cs="Arial"/>
          <w:sz w:val="22"/>
          <w:lang w:val="es-ES"/>
        </w:rPr>
        <w:t>Señor</w:t>
      </w:r>
    </w:p>
    <w:p w14:paraId="0A324933" w14:textId="25E81F6B" w:rsidR="00F41276" w:rsidRDefault="00AD6359" w:rsidP="00E35B0E">
      <w:pPr>
        <w:jc w:val="both"/>
        <w:rPr>
          <w:rFonts w:ascii="Arial" w:hAnsi="Arial" w:cs="Arial"/>
          <w:b/>
          <w:bCs/>
          <w:sz w:val="22"/>
          <w:lang w:val="es-CO"/>
        </w:rPr>
      </w:pPr>
      <w:r>
        <w:rPr>
          <w:rFonts w:ascii="Arial" w:hAnsi="Arial" w:cs="Arial"/>
          <w:b/>
          <w:bCs/>
          <w:sz w:val="22"/>
          <w:lang w:val="es-CO"/>
        </w:rPr>
        <w:t>DIEGO GERARDO CHÁ</w:t>
      </w:r>
      <w:r w:rsidR="00F41276" w:rsidRPr="00F41276">
        <w:rPr>
          <w:rFonts w:ascii="Arial" w:hAnsi="Arial" w:cs="Arial"/>
          <w:b/>
          <w:bCs/>
          <w:sz w:val="22"/>
          <w:lang w:val="es-CO"/>
        </w:rPr>
        <w:t>VEZ GRANADOS</w:t>
      </w:r>
      <w:r w:rsidR="00F41276">
        <w:rPr>
          <w:rFonts w:ascii="Arial" w:hAnsi="Arial" w:cs="Arial"/>
          <w:b/>
          <w:bCs/>
          <w:sz w:val="22"/>
          <w:lang w:val="es-CO"/>
        </w:rPr>
        <w:t xml:space="preserve"> </w:t>
      </w:r>
    </w:p>
    <w:p w14:paraId="0973DE01" w14:textId="721284D5" w:rsidR="00E35B0E" w:rsidRPr="00A70F57" w:rsidRDefault="00E35B0E" w:rsidP="00E35B0E">
      <w:pPr>
        <w:jc w:val="both"/>
        <w:rPr>
          <w:rFonts w:ascii="Arial" w:eastAsia="Calibri" w:hAnsi="Arial" w:cs="Arial"/>
          <w:sz w:val="22"/>
          <w:lang w:val="es-ES"/>
        </w:rPr>
      </w:pPr>
    </w:p>
    <w:p w14:paraId="3D1882E9" w14:textId="77777777" w:rsidR="00E35B0E" w:rsidRPr="00A70F57" w:rsidRDefault="00E35B0E" w:rsidP="00E35B0E">
      <w:pPr>
        <w:jc w:val="both"/>
        <w:rPr>
          <w:rFonts w:ascii="Arial" w:eastAsia="Calibri" w:hAnsi="Arial" w:cs="Arial"/>
          <w:sz w:val="22"/>
          <w:lang w:val="es-ES"/>
        </w:rPr>
      </w:pPr>
    </w:p>
    <w:p w14:paraId="70630779" w14:textId="2C31818F" w:rsidR="00E35B0E" w:rsidRDefault="00E35B0E" w:rsidP="00E35B0E">
      <w:pPr>
        <w:ind w:firstLine="2694"/>
        <w:jc w:val="both"/>
        <w:outlineLvl w:val="0"/>
        <w:rPr>
          <w:rFonts w:ascii="Arial" w:eastAsia="Calibri" w:hAnsi="Arial" w:cs="Arial"/>
          <w:b/>
          <w:sz w:val="22"/>
          <w:lang w:val="es-ES"/>
        </w:rPr>
      </w:pPr>
      <w:r w:rsidRPr="00A70F57">
        <w:rPr>
          <w:rFonts w:ascii="Arial" w:eastAsia="Calibri" w:hAnsi="Arial" w:cs="Arial"/>
          <w:b/>
          <w:sz w:val="22"/>
          <w:lang w:val="es-ES"/>
        </w:rPr>
        <w:t xml:space="preserve">Concepto C – </w:t>
      </w:r>
      <w:r w:rsidR="00884DD6">
        <w:rPr>
          <w:rFonts w:ascii="Arial" w:eastAsia="Calibri" w:hAnsi="Arial" w:cs="Arial"/>
          <w:b/>
          <w:sz w:val="22"/>
          <w:lang w:val="es-ES"/>
        </w:rPr>
        <w:t>467</w:t>
      </w:r>
      <w:r w:rsidRPr="00A70F57">
        <w:rPr>
          <w:rFonts w:ascii="Arial" w:eastAsia="Calibri" w:hAnsi="Arial" w:cs="Arial"/>
          <w:b/>
          <w:sz w:val="22"/>
          <w:lang w:val="es-ES"/>
        </w:rPr>
        <w:t xml:space="preserve"> de 2021</w:t>
      </w:r>
    </w:p>
    <w:p w14:paraId="0244234B" w14:textId="77777777" w:rsidR="00C6572A" w:rsidRPr="00A70F57" w:rsidRDefault="00C6572A" w:rsidP="00E35B0E">
      <w:pPr>
        <w:ind w:firstLine="2694"/>
        <w:jc w:val="both"/>
        <w:outlineLvl w:val="0"/>
        <w:rPr>
          <w:rFonts w:ascii="Arial" w:eastAsia="Calibri" w:hAnsi="Arial" w:cs="Arial"/>
          <w:b/>
          <w:sz w:val="22"/>
          <w:lang w:val="es-ES"/>
        </w:rPr>
      </w:pPr>
    </w:p>
    <w:p w14:paraId="234727AD" w14:textId="77777777" w:rsidR="00BE1E33" w:rsidRPr="00A70F57"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ED1F11" w:rsidRPr="00A70F57" w14:paraId="2553E4F3" w14:textId="77777777" w:rsidTr="00F41276">
        <w:tc>
          <w:tcPr>
            <w:tcW w:w="3261" w:type="dxa"/>
            <w:hideMark/>
          </w:tcPr>
          <w:p w14:paraId="7BC9E971" w14:textId="77777777" w:rsidR="00BE1E33" w:rsidRPr="00A70F57" w:rsidRDefault="00BE1E33" w:rsidP="0043588C">
            <w:pPr>
              <w:rPr>
                <w:rFonts w:ascii="Arial" w:eastAsia="Calibri" w:hAnsi="Arial" w:cs="Arial"/>
                <w:sz w:val="22"/>
                <w:lang w:val="es-ES_tradnl"/>
              </w:rPr>
            </w:pPr>
            <w:r w:rsidRPr="00A70F57">
              <w:rPr>
                <w:rFonts w:ascii="Arial" w:eastAsia="Calibri" w:hAnsi="Arial" w:cs="Arial"/>
                <w:b/>
                <w:sz w:val="22"/>
                <w:lang w:val="es-ES_tradnl"/>
              </w:rPr>
              <w:t>Temas:</w:t>
            </w:r>
            <w:r w:rsidRPr="00A70F57">
              <w:rPr>
                <w:rFonts w:ascii="Arial" w:eastAsia="Calibri" w:hAnsi="Arial" w:cs="Arial"/>
                <w:sz w:val="22"/>
                <w:lang w:val="es-ES_tradnl"/>
              </w:rPr>
              <w:t xml:space="preserve">           </w:t>
            </w:r>
          </w:p>
          <w:p w14:paraId="0C0D8CD7" w14:textId="77777777" w:rsidR="00BE1E33" w:rsidRPr="00A70F57" w:rsidRDefault="00BE1E33" w:rsidP="0043588C">
            <w:pPr>
              <w:rPr>
                <w:rFonts w:ascii="Arial" w:eastAsia="Calibri" w:hAnsi="Arial" w:cs="Arial"/>
                <w:sz w:val="22"/>
                <w:lang w:val="es-ES_tradnl"/>
              </w:rPr>
            </w:pPr>
            <w:r w:rsidRPr="00A70F57">
              <w:rPr>
                <w:rFonts w:ascii="Arial" w:eastAsia="Calibri" w:hAnsi="Arial" w:cs="Arial"/>
                <w:sz w:val="22"/>
                <w:lang w:val="es-ES_tradnl"/>
              </w:rPr>
              <w:t xml:space="preserve">                           </w:t>
            </w:r>
          </w:p>
        </w:tc>
        <w:tc>
          <w:tcPr>
            <w:tcW w:w="5665" w:type="dxa"/>
            <w:hideMark/>
          </w:tcPr>
          <w:p w14:paraId="0F35FDBD" w14:textId="75E2F87F" w:rsidR="00BE1E33" w:rsidRPr="00A70F57" w:rsidRDefault="00E30DF1" w:rsidP="000F7006">
            <w:pPr>
              <w:jc w:val="both"/>
              <w:rPr>
                <w:rFonts w:ascii="Arial" w:eastAsia="Calibri" w:hAnsi="Arial" w:cs="Arial"/>
                <w:sz w:val="22"/>
                <w:lang w:val="es-ES_tradnl"/>
              </w:rPr>
            </w:pPr>
            <w:r w:rsidRPr="00E30DF1">
              <w:rPr>
                <w:rFonts w:ascii="Arial" w:eastAsia="Calibri" w:hAnsi="Arial" w:cs="Arial"/>
                <w:sz w:val="22"/>
                <w:lang w:val="es-ES_tradnl"/>
              </w:rPr>
              <w:t>CAPACIDAD RESIDUAL – Ley 1150 de 2007 – Decreto 1082 de 2015 / CAPACIDAD RESIDUAL – Capacidad de Organización – Ley 1150 de 2007 – Decreto 1082 de 2015 / DOCUMENTOS TIPO¬ – Versión 3 – Capacidad residual – Capacidad de organización / INALTERABILIDAD – Documentos Tipo – Licitación Pública</w:t>
            </w:r>
            <w:r w:rsidR="00AD6359">
              <w:rPr>
                <w:rFonts w:ascii="Arial" w:eastAsia="Calibri" w:hAnsi="Arial" w:cs="Arial"/>
                <w:sz w:val="22"/>
                <w:lang w:val="es-ES_tradnl"/>
              </w:rPr>
              <w:t>.</w:t>
            </w:r>
          </w:p>
        </w:tc>
      </w:tr>
      <w:tr w:rsidR="00ED1F11" w:rsidRPr="00A70F57" w14:paraId="20F2A3B6" w14:textId="77777777" w:rsidTr="00F41276">
        <w:tc>
          <w:tcPr>
            <w:tcW w:w="3261" w:type="dxa"/>
          </w:tcPr>
          <w:p w14:paraId="1E82F4FA" w14:textId="64FF75E0" w:rsidR="00BE1E33" w:rsidRPr="00A70F57" w:rsidRDefault="00E33820" w:rsidP="0043588C">
            <w:pPr>
              <w:spacing w:before="120"/>
              <w:rPr>
                <w:rFonts w:ascii="Arial" w:eastAsia="Calibri" w:hAnsi="Arial" w:cs="Arial"/>
                <w:b/>
                <w:sz w:val="22"/>
                <w:lang w:val="es-ES_tradnl"/>
              </w:rPr>
            </w:pPr>
            <w:r w:rsidRPr="00A70F57">
              <w:rPr>
                <w:rFonts w:ascii="Arial" w:eastAsia="Calibri" w:hAnsi="Arial" w:cs="Arial"/>
                <w:b/>
                <w:sz w:val="22"/>
                <w:lang w:val="es-ES_tradnl"/>
              </w:rPr>
              <w:t xml:space="preserve"> </w:t>
            </w:r>
            <w:r w:rsidR="00BE1E33" w:rsidRPr="00A70F57">
              <w:rPr>
                <w:rFonts w:ascii="Arial" w:eastAsia="Calibri" w:hAnsi="Arial" w:cs="Arial"/>
                <w:b/>
                <w:sz w:val="22"/>
                <w:lang w:val="es-ES_tradnl"/>
              </w:rPr>
              <w:t>Radicación:</w:t>
            </w:r>
            <w:r w:rsidR="00BE1E33" w:rsidRPr="00A70F57">
              <w:rPr>
                <w:rFonts w:ascii="Arial" w:eastAsia="Calibri" w:hAnsi="Arial" w:cs="Arial"/>
                <w:sz w:val="22"/>
                <w:lang w:val="es-ES_tradnl"/>
              </w:rPr>
              <w:t xml:space="preserve">                              </w:t>
            </w:r>
          </w:p>
        </w:tc>
        <w:tc>
          <w:tcPr>
            <w:tcW w:w="5665" w:type="dxa"/>
          </w:tcPr>
          <w:p w14:paraId="20FCE53A" w14:textId="2DF5028C" w:rsidR="00BE1E33" w:rsidRPr="00A70F57" w:rsidRDefault="00BE1E33" w:rsidP="0043588C">
            <w:pPr>
              <w:spacing w:before="120"/>
              <w:jc w:val="both"/>
              <w:rPr>
                <w:rFonts w:ascii="Arial" w:eastAsia="Calibri" w:hAnsi="Arial" w:cs="Arial"/>
                <w:sz w:val="22"/>
                <w:lang w:val="es-ES_tradnl"/>
              </w:rPr>
            </w:pPr>
            <w:r w:rsidRPr="00A70F57">
              <w:rPr>
                <w:rFonts w:ascii="Arial" w:eastAsia="Calibri" w:hAnsi="Arial" w:cs="Arial"/>
                <w:sz w:val="22"/>
                <w:lang w:val="es-ES_tradnl"/>
              </w:rPr>
              <w:t xml:space="preserve">Respuesta a consulta </w:t>
            </w:r>
            <w:r w:rsidR="001E1096" w:rsidRPr="001E1096">
              <w:rPr>
                <w:rFonts w:ascii="Arial" w:eastAsia="Calibri" w:hAnsi="Arial" w:cs="Arial"/>
                <w:sz w:val="22"/>
                <w:lang w:val="es-ES_tradnl"/>
              </w:rPr>
              <w:t>P20210722006462</w:t>
            </w:r>
          </w:p>
        </w:tc>
      </w:tr>
      <w:tr w:rsidR="00ED1F11" w:rsidRPr="00A70F57" w14:paraId="27C2F130" w14:textId="77777777" w:rsidTr="00F41276">
        <w:tc>
          <w:tcPr>
            <w:tcW w:w="3261" w:type="dxa"/>
          </w:tcPr>
          <w:p w14:paraId="2CAB0965" w14:textId="77777777" w:rsidR="00770D7D" w:rsidRPr="00A70F57" w:rsidRDefault="00770D7D" w:rsidP="0043588C">
            <w:pPr>
              <w:spacing w:before="120"/>
              <w:rPr>
                <w:rFonts w:ascii="Arial" w:eastAsia="Calibri" w:hAnsi="Arial" w:cs="Arial"/>
                <w:b/>
                <w:sz w:val="22"/>
                <w:lang w:val="es-ES_tradnl"/>
              </w:rPr>
            </w:pPr>
          </w:p>
        </w:tc>
        <w:tc>
          <w:tcPr>
            <w:tcW w:w="5665" w:type="dxa"/>
          </w:tcPr>
          <w:p w14:paraId="38942E59" w14:textId="77777777" w:rsidR="00770D7D" w:rsidRPr="00A70F57" w:rsidRDefault="00770D7D" w:rsidP="0043588C">
            <w:pPr>
              <w:spacing w:before="120"/>
              <w:jc w:val="both"/>
              <w:rPr>
                <w:rFonts w:ascii="Arial" w:eastAsia="Calibri" w:hAnsi="Arial" w:cs="Arial"/>
                <w:sz w:val="22"/>
                <w:lang w:val="es-ES_tradnl"/>
              </w:rPr>
            </w:pPr>
          </w:p>
        </w:tc>
      </w:tr>
    </w:tbl>
    <w:p w14:paraId="06248123" w14:textId="77777777" w:rsidR="00BE1E33" w:rsidRPr="00A70F57" w:rsidRDefault="00BE1E33" w:rsidP="00BE1E33">
      <w:pPr>
        <w:jc w:val="both"/>
        <w:rPr>
          <w:rFonts w:ascii="Arial" w:eastAsia="Calibri" w:hAnsi="Arial" w:cs="Arial"/>
          <w:sz w:val="22"/>
          <w:lang w:val="es-ES_tradnl"/>
        </w:rPr>
      </w:pPr>
    </w:p>
    <w:p w14:paraId="417ABDA8" w14:textId="11223170" w:rsidR="00BE1E33" w:rsidRPr="00A70F57" w:rsidRDefault="00AD6359" w:rsidP="00BE1E33">
      <w:pPr>
        <w:rPr>
          <w:rFonts w:ascii="Arial" w:eastAsia="Calibri" w:hAnsi="Arial" w:cs="Arial"/>
          <w:sz w:val="22"/>
          <w:lang w:val="es-ES_tradnl"/>
        </w:rPr>
      </w:pPr>
      <w:r>
        <w:rPr>
          <w:rFonts w:ascii="Arial" w:eastAsia="Calibri" w:hAnsi="Arial" w:cs="Arial"/>
          <w:sz w:val="22"/>
          <w:lang w:val="es-ES_tradnl"/>
        </w:rPr>
        <w:t>Respetado señor Chávez</w:t>
      </w:r>
      <w:r w:rsidR="00F41276">
        <w:rPr>
          <w:rFonts w:ascii="Arial" w:eastAsia="Calibri" w:hAnsi="Arial" w:cs="Arial"/>
          <w:sz w:val="22"/>
          <w:lang w:val="es-ES_tradnl"/>
        </w:rPr>
        <w:t>:</w:t>
      </w:r>
    </w:p>
    <w:p w14:paraId="1CCABABD" w14:textId="77777777" w:rsidR="00BE1E33" w:rsidRPr="00A70F57" w:rsidRDefault="00BE1E33" w:rsidP="00BE1E33">
      <w:pPr>
        <w:rPr>
          <w:rFonts w:ascii="Arial" w:eastAsia="Calibri" w:hAnsi="Arial" w:cs="Arial"/>
          <w:sz w:val="22"/>
          <w:lang w:val="es-ES_tradnl"/>
        </w:rPr>
      </w:pPr>
    </w:p>
    <w:p w14:paraId="286A9CEF" w14:textId="4A9B8341" w:rsidR="00BE1E33" w:rsidRPr="00A70F57" w:rsidRDefault="00BE1E33" w:rsidP="00BE1E33">
      <w:pPr>
        <w:spacing w:line="276" w:lineRule="auto"/>
        <w:jc w:val="both"/>
        <w:rPr>
          <w:rFonts w:ascii="Arial" w:eastAsia="Calibri" w:hAnsi="Arial" w:cs="Arial"/>
          <w:sz w:val="22"/>
          <w:lang w:val="es-ES_tradnl"/>
        </w:rPr>
      </w:pPr>
      <w:r w:rsidRPr="00A70F57">
        <w:rPr>
          <w:rFonts w:ascii="Arial" w:eastAsia="Calibri" w:hAnsi="Arial" w:cs="Arial"/>
          <w:sz w:val="22"/>
          <w:lang w:val="es-ES_tradnl"/>
        </w:rPr>
        <w:t xml:space="preserve">En ejercicio de la competencia otorgada por los artículos 11, numeral 8º, y 3º, numeral 5º, del Decreto Ley 4170 de 2011, </w:t>
      </w:r>
      <w:r w:rsidR="00314712">
        <w:rPr>
          <w:rFonts w:ascii="Arial" w:eastAsia="Calibri" w:hAnsi="Arial" w:cs="Arial"/>
          <w:color w:val="000000" w:themeColor="text1"/>
          <w:sz w:val="22"/>
          <w:lang w:val="es-ES_tradnl"/>
        </w:rPr>
        <w:t xml:space="preserve">y dentro de los términos establecidos en el artículo 14 de la Ley 1437 de 2011, modificados por el artículo 5 del Decreto Legislativo 491 del 28 de marzo de 2020, </w:t>
      </w:r>
      <w:r w:rsidRPr="00A70F57">
        <w:rPr>
          <w:rFonts w:ascii="Arial" w:eastAsia="Calibri" w:hAnsi="Arial" w:cs="Arial"/>
          <w:sz w:val="22"/>
          <w:lang w:val="es-ES_tradnl"/>
        </w:rPr>
        <w:t xml:space="preserve">la Agencia Nacional de Contratación Pública − Colombia Compra Eficiente responde su consulta </w:t>
      </w:r>
      <w:r w:rsidR="00131937" w:rsidRPr="00A70F57">
        <w:rPr>
          <w:rFonts w:ascii="Arial" w:eastAsia="Calibri" w:hAnsi="Arial" w:cs="Arial"/>
          <w:sz w:val="22"/>
          <w:lang w:val="es-ES_tradnl"/>
        </w:rPr>
        <w:t xml:space="preserve">con fecha </w:t>
      </w:r>
      <w:r w:rsidR="008B1E4F">
        <w:rPr>
          <w:rFonts w:ascii="Arial" w:eastAsia="Calibri" w:hAnsi="Arial" w:cs="Arial"/>
          <w:sz w:val="22"/>
          <w:lang w:val="es-ES_tradnl"/>
        </w:rPr>
        <w:t>de 22 de ju</w:t>
      </w:r>
      <w:r w:rsidR="004D6FDE">
        <w:rPr>
          <w:rFonts w:ascii="Arial" w:eastAsia="Calibri" w:hAnsi="Arial" w:cs="Arial"/>
          <w:sz w:val="22"/>
          <w:lang w:val="es-ES_tradnl"/>
        </w:rPr>
        <w:t>lio de 2021</w:t>
      </w:r>
      <w:r w:rsidRPr="00A70F57">
        <w:rPr>
          <w:rFonts w:ascii="Arial" w:eastAsia="Calibri" w:hAnsi="Arial" w:cs="Arial"/>
          <w:sz w:val="22"/>
          <w:lang w:val="es-ES_tradnl"/>
        </w:rPr>
        <w:t xml:space="preserve">. </w:t>
      </w:r>
    </w:p>
    <w:p w14:paraId="1D13401D" w14:textId="77777777" w:rsidR="00BE1E33" w:rsidRPr="00A70F57" w:rsidRDefault="00BE1E33" w:rsidP="00BE1E33">
      <w:pPr>
        <w:spacing w:line="276" w:lineRule="auto"/>
        <w:jc w:val="both"/>
        <w:rPr>
          <w:rFonts w:ascii="Arial" w:eastAsia="Calibri" w:hAnsi="Arial" w:cs="Arial"/>
          <w:sz w:val="22"/>
          <w:lang w:val="es-ES_tradnl"/>
        </w:rPr>
      </w:pPr>
    </w:p>
    <w:p w14:paraId="068F505C" w14:textId="6EE7386C" w:rsidR="00BE1E33" w:rsidRPr="00A70F57"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70F57">
        <w:rPr>
          <w:rFonts w:ascii="Arial" w:eastAsia="Calibri" w:hAnsi="Arial" w:cs="Arial"/>
          <w:b/>
          <w:sz w:val="22"/>
          <w:lang w:val="es-ES_tradnl"/>
        </w:rPr>
        <w:t xml:space="preserve">Problema planteado </w:t>
      </w:r>
    </w:p>
    <w:p w14:paraId="502AAD9B" w14:textId="6FD990AF" w:rsidR="00A70F57" w:rsidRDefault="00A70F57" w:rsidP="00786FD6">
      <w:pPr>
        <w:pStyle w:val="NormalWeb"/>
        <w:shd w:val="clear" w:color="auto" w:fill="FFFFFF"/>
        <w:spacing w:before="120" w:beforeAutospacing="0" w:after="0" w:afterAutospacing="0" w:line="276" w:lineRule="auto"/>
        <w:jc w:val="both"/>
        <w:rPr>
          <w:rFonts w:ascii="Arial" w:eastAsia="Calibri" w:hAnsi="Arial" w:cs="Arial"/>
          <w:sz w:val="22"/>
          <w:szCs w:val="22"/>
          <w:lang w:val="es-ES"/>
        </w:rPr>
      </w:pPr>
      <w:r w:rsidRPr="00A70F57">
        <w:rPr>
          <w:rFonts w:ascii="Arial" w:eastAsia="Calibri" w:hAnsi="Arial" w:cs="Arial"/>
          <w:sz w:val="22"/>
          <w:szCs w:val="22"/>
          <w:lang w:val="es-ES"/>
        </w:rPr>
        <w:t xml:space="preserve">Usted pregunta </w:t>
      </w:r>
      <w:r>
        <w:rPr>
          <w:rFonts w:ascii="Arial" w:eastAsia="Calibri" w:hAnsi="Arial" w:cs="Arial"/>
          <w:sz w:val="22"/>
          <w:szCs w:val="22"/>
          <w:lang w:val="es-ES"/>
        </w:rPr>
        <w:t xml:space="preserve">lo siguiente en relación con la acreditación de la capacidad organizacional relacionada con la capacidad residual en el Documento Base </w:t>
      </w:r>
      <w:r w:rsidR="00C6572A">
        <w:rPr>
          <w:rFonts w:ascii="Arial" w:eastAsia="Calibri" w:hAnsi="Arial" w:cs="Arial"/>
          <w:sz w:val="22"/>
          <w:szCs w:val="22"/>
          <w:lang w:val="es-ES"/>
        </w:rPr>
        <w:t>–</w:t>
      </w:r>
      <w:r>
        <w:rPr>
          <w:rFonts w:ascii="Arial" w:eastAsia="Calibri" w:hAnsi="Arial" w:cs="Arial"/>
          <w:sz w:val="22"/>
          <w:szCs w:val="22"/>
          <w:lang w:val="es-ES"/>
        </w:rPr>
        <w:t>versión 4</w:t>
      </w:r>
      <w:r w:rsidR="00C6572A">
        <w:rPr>
          <w:rFonts w:ascii="Arial" w:eastAsia="Calibri" w:hAnsi="Arial" w:cs="Arial"/>
          <w:sz w:val="22"/>
          <w:szCs w:val="22"/>
          <w:lang w:val="es-ES"/>
        </w:rPr>
        <w:t>–</w:t>
      </w:r>
      <w:r w:rsidR="005C29D9">
        <w:rPr>
          <w:rFonts w:ascii="Arial" w:eastAsia="Calibri" w:hAnsi="Arial" w:cs="Arial"/>
          <w:sz w:val="22"/>
          <w:szCs w:val="22"/>
          <w:lang w:val="es-ES"/>
        </w:rPr>
        <w:t>,</w:t>
      </w:r>
      <w:r>
        <w:rPr>
          <w:rFonts w:ascii="Arial" w:eastAsia="Calibri" w:hAnsi="Arial" w:cs="Arial"/>
          <w:sz w:val="22"/>
          <w:szCs w:val="22"/>
          <w:lang w:val="es-ES"/>
        </w:rPr>
        <w:t xml:space="preserve"> de los Documentos Tipo</w:t>
      </w:r>
      <w:r w:rsidRPr="00A70F57">
        <w:rPr>
          <w:rFonts w:ascii="Arial" w:eastAsia="Calibri" w:hAnsi="Arial" w:cs="Arial"/>
          <w:sz w:val="22"/>
          <w:szCs w:val="22"/>
          <w:lang w:val="es-ES"/>
        </w:rPr>
        <w:t xml:space="preserve"> para la </w:t>
      </w:r>
      <w:r>
        <w:rPr>
          <w:rFonts w:ascii="Arial" w:eastAsia="Calibri" w:hAnsi="Arial" w:cs="Arial"/>
          <w:sz w:val="22"/>
          <w:szCs w:val="22"/>
          <w:lang w:val="es-ES"/>
        </w:rPr>
        <w:t>licitación de obra pública</w:t>
      </w:r>
      <w:r w:rsidRPr="00A70F57">
        <w:rPr>
          <w:rFonts w:ascii="Arial" w:eastAsia="Calibri" w:hAnsi="Arial" w:cs="Arial"/>
          <w:sz w:val="22"/>
          <w:szCs w:val="22"/>
          <w:lang w:val="es-ES"/>
        </w:rPr>
        <w:t xml:space="preserve"> de infraestructura de transporte</w:t>
      </w:r>
      <w:r w:rsidR="005C29D9">
        <w:rPr>
          <w:rFonts w:ascii="Arial" w:eastAsia="Calibri" w:hAnsi="Arial" w:cs="Arial"/>
          <w:sz w:val="22"/>
          <w:szCs w:val="22"/>
          <w:lang w:val="es-ES"/>
        </w:rPr>
        <w:t xml:space="preserve"> </w:t>
      </w:r>
      <w:r w:rsidR="00C6572A">
        <w:rPr>
          <w:rFonts w:ascii="Arial" w:eastAsia="Calibri" w:hAnsi="Arial" w:cs="Arial"/>
          <w:sz w:val="22"/>
          <w:szCs w:val="22"/>
          <w:lang w:val="es-ES"/>
        </w:rPr>
        <w:t>–</w:t>
      </w:r>
      <w:r>
        <w:rPr>
          <w:rFonts w:ascii="Arial" w:eastAsia="Calibri" w:hAnsi="Arial" w:cs="Arial"/>
          <w:sz w:val="22"/>
          <w:szCs w:val="22"/>
          <w:lang w:val="es-ES"/>
        </w:rPr>
        <w:t xml:space="preserve"> Versión 3:</w:t>
      </w:r>
    </w:p>
    <w:p w14:paraId="68C3697A" w14:textId="486E9B94" w:rsidR="003E09D5" w:rsidRPr="00786FD6" w:rsidRDefault="00A70F57" w:rsidP="00786FD6">
      <w:pPr>
        <w:pStyle w:val="NormalWeb"/>
        <w:shd w:val="clear" w:color="auto" w:fill="FFFFFF"/>
        <w:spacing w:before="120" w:beforeAutospacing="0" w:after="0" w:afterAutospacing="0"/>
        <w:ind w:left="709" w:right="709"/>
        <w:jc w:val="both"/>
        <w:rPr>
          <w:rFonts w:ascii="Arial" w:eastAsia="Calibri" w:hAnsi="Arial" w:cs="Arial"/>
          <w:sz w:val="21"/>
          <w:szCs w:val="21"/>
          <w:lang w:val="es-ES"/>
        </w:rPr>
      </w:pPr>
      <w:r w:rsidRPr="00786FD6">
        <w:rPr>
          <w:rFonts w:ascii="Arial" w:eastAsia="Calibri" w:hAnsi="Arial" w:cs="Arial"/>
          <w:sz w:val="21"/>
          <w:szCs w:val="21"/>
          <w:lang w:val="es-ES"/>
        </w:rPr>
        <w:t xml:space="preserve">«[…] Por lo anterior, teniendo en cuenta el sentido de la respuesta dada por la entidad sobre la obligatoriedad de dar cumplimiento al 17 de la ley 842 de 2003 </w:t>
      </w:r>
      <w:r w:rsidRPr="00786FD6">
        <w:rPr>
          <w:rFonts w:ascii="Arial" w:eastAsia="Calibri" w:hAnsi="Arial" w:cs="Arial"/>
          <w:sz w:val="21"/>
          <w:szCs w:val="21"/>
          <w:lang w:val="es-ES"/>
        </w:rPr>
        <w:lastRenderedPageBreak/>
        <w:t>y el concepto dado según radicado N° Radicado: 2201913000008415.</w:t>
      </w:r>
      <w:r w:rsidR="00786FD6">
        <w:rPr>
          <w:rFonts w:ascii="Arial" w:eastAsia="Calibri" w:hAnsi="Arial" w:cs="Arial"/>
          <w:sz w:val="21"/>
          <w:szCs w:val="21"/>
          <w:lang w:val="es-ES"/>
        </w:rPr>
        <w:t xml:space="preserve"> </w:t>
      </w:r>
      <w:proofErr w:type="gramStart"/>
      <w:r w:rsidRPr="00786FD6">
        <w:rPr>
          <w:rFonts w:ascii="Arial" w:eastAsia="Calibri" w:hAnsi="Arial" w:cs="Arial"/>
          <w:sz w:val="21"/>
          <w:szCs w:val="21"/>
          <w:lang w:val="es-ES"/>
        </w:rPr>
        <w:t>¿El estado de resultados para acreditar la capacidad de organización de que trata el numeral I del literal A, de numeral 3.</w:t>
      </w:r>
      <w:proofErr w:type="gramEnd"/>
      <w:r w:rsidRPr="00786FD6">
        <w:rPr>
          <w:rFonts w:ascii="Arial" w:eastAsia="Calibri" w:hAnsi="Arial" w:cs="Arial"/>
          <w:sz w:val="21"/>
          <w:szCs w:val="21"/>
          <w:lang w:val="es-ES"/>
        </w:rPr>
        <w:t>10.2, del pliego tipo Versión 4, se debe aportar junto con la certificación de que trata el numeral 37 de la ley 222 de 1995 y dictaminado conforme el artículo 38 de la misma ley a pesar que no estar de manera literal dentro del requisito o con el simple hecho de que este firmado es suficiente?»</w:t>
      </w:r>
      <w:r w:rsidR="005F13A1">
        <w:rPr>
          <w:rFonts w:ascii="Arial" w:eastAsia="Calibri" w:hAnsi="Arial" w:cs="Arial"/>
          <w:sz w:val="21"/>
          <w:szCs w:val="21"/>
          <w:lang w:val="es-ES"/>
        </w:rPr>
        <w:t>.</w:t>
      </w:r>
    </w:p>
    <w:p w14:paraId="04198737" w14:textId="77777777" w:rsidR="00A70F57" w:rsidRPr="00A70F57" w:rsidRDefault="00A70F57" w:rsidP="003E09D5">
      <w:pPr>
        <w:pStyle w:val="NormalWeb"/>
        <w:shd w:val="clear" w:color="auto" w:fill="FFFFFF"/>
        <w:spacing w:before="120" w:beforeAutospacing="0" w:after="0" w:afterAutospacing="0"/>
        <w:ind w:left="709" w:right="709"/>
        <w:jc w:val="both"/>
        <w:rPr>
          <w:rFonts w:ascii="Arial" w:eastAsia="Calibri" w:hAnsi="Arial" w:cs="Arial"/>
          <w:sz w:val="22"/>
          <w:szCs w:val="22"/>
          <w:lang w:val="es-MX"/>
        </w:rPr>
      </w:pPr>
    </w:p>
    <w:p w14:paraId="01D94D72" w14:textId="33F0D306" w:rsidR="00BE1E33" w:rsidRPr="00A70F57"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70F57">
        <w:rPr>
          <w:rFonts w:ascii="Arial" w:eastAsia="Calibri" w:hAnsi="Arial" w:cs="Arial"/>
          <w:b/>
          <w:sz w:val="22"/>
          <w:lang w:val="es-ES_tradnl"/>
        </w:rPr>
        <w:t>Consideraciones</w:t>
      </w:r>
    </w:p>
    <w:p w14:paraId="5715587E" w14:textId="1C2D1DAC" w:rsidR="009E6C5F" w:rsidRPr="00A70F57" w:rsidRDefault="00B67C63" w:rsidP="00DF0F6A">
      <w:pPr>
        <w:spacing w:before="120" w:line="276" w:lineRule="auto"/>
        <w:jc w:val="both"/>
        <w:rPr>
          <w:rFonts w:ascii="Arial" w:eastAsia="Calibri" w:hAnsi="Arial" w:cs="Arial"/>
          <w:sz w:val="22"/>
        </w:rPr>
      </w:pPr>
      <w:r w:rsidRPr="00A70F57">
        <w:rPr>
          <w:rFonts w:ascii="Arial" w:eastAsia="Calibri" w:hAnsi="Arial" w:cs="Arial"/>
          <w:sz w:val="22"/>
        </w:rPr>
        <w:t>Para responder su consulta, esta dependencia analiz</w:t>
      </w:r>
      <w:r w:rsidR="003163C5" w:rsidRPr="00A70F57">
        <w:rPr>
          <w:rFonts w:ascii="Arial" w:eastAsia="Calibri" w:hAnsi="Arial" w:cs="Arial"/>
          <w:sz w:val="22"/>
        </w:rPr>
        <w:t>ará</w:t>
      </w:r>
      <w:r w:rsidR="00AD6359">
        <w:rPr>
          <w:rFonts w:ascii="Arial" w:eastAsia="Calibri" w:hAnsi="Arial" w:cs="Arial"/>
          <w:sz w:val="22"/>
        </w:rPr>
        <w:t xml:space="preserve"> los siguientes aspectos: i) C</w:t>
      </w:r>
      <w:r w:rsidR="003163C5" w:rsidRPr="00A70F57">
        <w:rPr>
          <w:rFonts w:ascii="Arial" w:eastAsia="Calibri" w:hAnsi="Arial" w:cs="Arial"/>
          <w:sz w:val="22"/>
        </w:rPr>
        <w:t>apacidad residual: información financiera requerida para calcular la capacidad de organización</w:t>
      </w:r>
      <w:r w:rsidR="009E6C5F" w:rsidRPr="00A70F57">
        <w:rPr>
          <w:rFonts w:ascii="Arial" w:eastAsia="Calibri" w:hAnsi="Arial" w:cs="Arial"/>
          <w:sz w:val="22"/>
        </w:rPr>
        <w:t>,</w:t>
      </w:r>
      <w:r w:rsidR="00547F95">
        <w:rPr>
          <w:rFonts w:ascii="Arial" w:eastAsia="Calibri" w:hAnsi="Arial" w:cs="Arial"/>
          <w:sz w:val="22"/>
        </w:rPr>
        <w:t xml:space="preserve"> ii) </w:t>
      </w:r>
      <w:r w:rsidR="00C6572A">
        <w:rPr>
          <w:rFonts w:ascii="Arial" w:eastAsia="Calibri" w:hAnsi="Arial" w:cs="Arial"/>
          <w:sz w:val="22"/>
        </w:rPr>
        <w:t>a</w:t>
      </w:r>
      <w:r w:rsidR="003163C5" w:rsidRPr="00A70F57">
        <w:rPr>
          <w:rFonts w:ascii="Arial" w:eastAsia="Calibri" w:hAnsi="Arial" w:cs="Arial"/>
          <w:sz w:val="22"/>
        </w:rPr>
        <w:t>creditación del factor Capacidad de Organización (CO) en las versiones 1,</w:t>
      </w:r>
      <w:r w:rsidR="00C6572A">
        <w:rPr>
          <w:rFonts w:ascii="Arial" w:eastAsia="Calibri" w:hAnsi="Arial" w:cs="Arial"/>
          <w:sz w:val="22"/>
        </w:rPr>
        <w:t xml:space="preserve"> </w:t>
      </w:r>
      <w:r w:rsidR="003163C5" w:rsidRPr="00A70F57">
        <w:rPr>
          <w:rFonts w:ascii="Arial" w:eastAsia="Calibri" w:hAnsi="Arial" w:cs="Arial"/>
          <w:sz w:val="22"/>
        </w:rPr>
        <w:t>2 y 3 de los Documentos Tipo de licitación de obra pública de infraestructura de transporte</w:t>
      </w:r>
      <w:r w:rsidR="005C29D9">
        <w:rPr>
          <w:rFonts w:ascii="Arial" w:eastAsia="Calibri" w:hAnsi="Arial" w:cs="Arial"/>
          <w:sz w:val="22"/>
        </w:rPr>
        <w:t>,</w:t>
      </w:r>
      <w:r w:rsidR="003163C5" w:rsidRPr="00A70F57">
        <w:rPr>
          <w:rFonts w:ascii="Arial" w:eastAsia="Calibri" w:hAnsi="Arial" w:cs="Arial"/>
          <w:sz w:val="22"/>
        </w:rPr>
        <w:t xml:space="preserve"> </w:t>
      </w:r>
      <w:r w:rsidR="009E6C5F" w:rsidRPr="00A70F57">
        <w:rPr>
          <w:rFonts w:ascii="Arial" w:eastAsia="Calibri" w:hAnsi="Arial" w:cs="Arial"/>
          <w:sz w:val="22"/>
        </w:rPr>
        <w:t>i</w:t>
      </w:r>
      <w:r w:rsidR="00E63ADB" w:rsidRPr="00A70F57">
        <w:rPr>
          <w:rFonts w:ascii="Arial" w:eastAsia="Calibri" w:hAnsi="Arial" w:cs="Arial"/>
          <w:sz w:val="22"/>
        </w:rPr>
        <w:t xml:space="preserve">ii) </w:t>
      </w:r>
      <w:r w:rsidR="00C6572A">
        <w:rPr>
          <w:rFonts w:ascii="Arial" w:eastAsia="Calibri" w:hAnsi="Arial" w:cs="Arial"/>
          <w:sz w:val="22"/>
        </w:rPr>
        <w:t>e</w:t>
      </w:r>
      <w:r w:rsidR="00AD6359" w:rsidRPr="00AD6359">
        <w:rPr>
          <w:rFonts w:ascii="Arial" w:eastAsia="Calibri" w:hAnsi="Arial" w:cs="Arial"/>
          <w:sz w:val="22"/>
        </w:rPr>
        <w:t xml:space="preserve">stado de resultados en los Documentos Tipo para licitación de obra pública de infraestructura de transporte </w:t>
      </w:r>
      <w:r w:rsidR="00C6572A">
        <w:rPr>
          <w:rFonts w:ascii="Arial" w:eastAsia="Calibri" w:hAnsi="Arial" w:cs="Arial"/>
          <w:sz w:val="22"/>
        </w:rPr>
        <w:t>–</w:t>
      </w:r>
      <w:r w:rsidR="00AD6359" w:rsidRPr="00AD6359">
        <w:rPr>
          <w:rFonts w:ascii="Arial" w:eastAsia="Calibri" w:hAnsi="Arial" w:cs="Arial"/>
          <w:sz w:val="22"/>
        </w:rPr>
        <w:t xml:space="preserve"> Versión 3</w:t>
      </w:r>
      <w:r w:rsidR="00AD6359">
        <w:rPr>
          <w:rFonts w:ascii="Arial" w:eastAsia="Calibri" w:hAnsi="Arial" w:cs="Arial"/>
          <w:sz w:val="22"/>
        </w:rPr>
        <w:t xml:space="preserve"> </w:t>
      </w:r>
      <w:r w:rsidR="005C29D9">
        <w:rPr>
          <w:rFonts w:ascii="Arial" w:eastAsia="Calibri" w:hAnsi="Arial" w:cs="Arial"/>
          <w:sz w:val="22"/>
        </w:rPr>
        <w:t>y</w:t>
      </w:r>
      <w:r w:rsidR="003163C5" w:rsidRPr="00A70F57">
        <w:rPr>
          <w:rFonts w:ascii="Arial" w:eastAsia="Calibri" w:hAnsi="Arial" w:cs="Arial"/>
          <w:sz w:val="22"/>
        </w:rPr>
        <w:t xml:space="preserve"> iv) </w:t>
      </w:r>
      <w:r w:rsidR="004C5C69">
        <w:rPr>
          <w:rFonts w:ascii="Arial" w:eastAsia="Calibri" w:hAnsi="Arial" w:cs="Arial"/>
          <w:sz w:val="22"/>
        </w:rPr>
        <w:t>r</w:t>
      </w:r>
      <w:r w:rsidR="0032592B">
        <w:rPr>
          <w:rFonts w:ascii="Arial" w:eastAsia="Calibri" w:hAnsi="Arial" w:cs="Arial"/>
          <w:sz w:val="22"/>
        </w:rPr>
        <w:t>egla</w:t>
      </w:r>
      <w:r w:rsidR="00AD6359">
        <w:rPr>
          <w:rFonts w:ascii="Arial" w:eastAsia="Calibri" w:hAnsi="Arial" w:cs="Arial"/>
          <w:sz w:val="22"/>
        </w:rPr>
        <w:t xml:space="preserve"> de inalterabilidad de los Documentos Tipo.</w:t>
      </w:r>
    </w:p>
    <w:p w14:paraId="5C65F02D" w14:textId="09D82189" w:rsidR="00A4372E" w:rsidRDefault="00BE1E33" w:rsidP="00C0223D">
      <w:pPr>
        <w:spacing w:before="120" w:line="276" w:lineRule="auto"/>
        <w:ind w:firstLine="709"/>
        <w:jc w:val="both"/>
        <w:rPr>
          <w:rFonts w:ascii="Arial" w:hAnsi="Arial" w:cs="Arial"/>
          <w:bCs/>
          <w:color w:val="000000" w:themeColor="text1"/>
          <w:sz w:val="22"/>
        </w:rPr>
      </w:pPr>
      <w:r w:rsidRPr="00606FE0">
        <w:rPr>
          <w:rFonts w:ascii="Arial" w:eastAsia="Calibri" w:hAnsi="Arial" w:cs="Arial"/>
          <w:sz w:val="22"/>
          <w:lang w:val="es-ES_tradnl"/>
        </w:rPr>
        <w:t>La Agencia Nacional de Contratación Pública − Colombia Compra Eficiente se ha pro</w:t>
      </w:r>
      <w:r w:rsidR="00A4372E" w:rsidRPr="00606FE0">
        <w:rPr>
          <w:rFonts w:ascii="Arial" w:eastAsia="Calibri" w:hAnsi="Arial" w:cs="Arial"/>
          <w:sz w:val="22"/>
          <w:lang w:val="es-ES_tradnl"/>
        </w:rPr>
        <w:t>nunciado en diferentes oportunidades</w:t>
      </w:r>
      <w:r w:rsidRPr="00606FE0">
        <w:rPr>
          <w:rFonts w:ascii="Arial" w:eastAsia="Calibri" w:hAnsi="Arial" w:cs="Arial"/>
          <w:sz w:val="22"/>
          <w:lang w:val="es-ES_tradnl"/>
        </w:rPr>
        <w:t xml:space="preserve"> sobre</w:t>
      </w:r>
      <w:r w:rsidR="00E63ADB" w:rsidRPr="00606FE0">
        <w:rPr>
          <w:rFonts w:ascii="Arial" w:eastAsia="Calibri" w:hAnsi="Arial" w:cs="Arial"/>
          <w:sz w:val="22"/>
          <w:lang w:val="es-ES_tradnl"/>
        </w:rPr>
        <w:t xml:space="preserve"> </w:t>
      </w:r>
      <w:r w:rsidR="00606FE0" w:rsidRPr="00606FE0">
        <w:rPr>
          <w:rFonts w:ascii="Arial" w:eastAsia="Calibri" w:hAnsi="Arial" w:cs="Arial"/>
          <w:sz w:val="22"/>
          <w:lang w:val="es-ES_tradnl"/>
        </w:rPr>
        <w:t>los requisitos para acreditar la capacidad residual en los Documentos Tipo</w:t>
      </w:r>
      <w:r w:rsidR="00A4372E" w:rsidRPr="00606FE0">
        <w:rPr>
          <w:rFonts w:ascii="Arial" w:eastAsia="Calibri" w:hAnsi="Arial" w:cs="Arial"/>
          <w:bCs/>
          <w:sz w:val="22"/>
        </w:rPr>
        <w:t xml:space="preserve"> </w:t>
      </w:r>
      <w:r w:rsidR="00606FE0" w:rsidRPr="00606FE0">
        <w:rPr>
          <w:rFonts w:ascii="Arial" w:eastAsia="Times New Roman" w:hAnsi="Arial" w:cs="Arial"/>
          <w:bCs/>
          <w:color w:val="000000" w:themeColor="text1"/>
          <w:sz w:val="22"/>
          <w:lang w:eastAsia="es-ES_tradnl"/>
        </w:rPr>
        <w:t>para licitación de obra pública de infraestructura de transporte</w:t>
      </w:r>
      <w:r w:rsidR="004C5C69">
        <w:rPr>
          <w:rFonts w:ascii="Arial" w:eastAsia="Times New Roman" w:hAnsi="Arial" w:cs="Arial"/>
          <w:bCs/>
          <w:color w:val="000000" w:themeColor="text1"/>
          <w:sz w:val="22"/>
          <w:lang w:eastAsia="es-ES_tradnl"/>
        </w:rPr>
        <w:t>,</w:t>
      </w:r>
      <w:r w:rsidR="00606FE0" w:rsidRPr="00606FE0">
        <w:rPr>
          <w:rFonts w:ascii="Arial" w:eastAsia="Times New Roman" w:hAnsi="Arial" w:cs="Arial"/>
          <w:bCs/>
          <w:color w:val="000000" w:themeColor="text1"/>
          <w:sz w:val="22"/>
          <w:lang w:eastAsia="es-ES_tradnl"/>
        </w:rPr>
        <w:t xml:space="preserve"> en sus </w:t>
      </w:r>
      <w:r w:rsidR="00547F95">
        <w:rPr>
          <w:rFonts w:ascii="Arial" w:eastAsia="Times New Roman" w:hAnsi="Arial" w:cs="Arial"/>
          <w:bCs/>
          <w:color w:val="000000" w:themeColor="text1"/>
          <w:sz w:val="22"/>
          <w:lang w:eastAsia="es-ES_tradnl"/>
        </w:rPr>
        <w:t>distintas versiones</w:t>
      </w:r>
      <w:r w:rsidR="004C5C69">
        <w:rPr>
          <w:rFonts w:ascii="Arial" w:eastAsia="Times New Roman" w:hAnsi="Arial" w:cs="Arial"/>
          <w:bCs/>
          <w:color w:val="000000" w:themeColor="text1"/>
          <w:sz w:val="22"/>
          <w:lang w:eastAsia="es-ES_tradnl"/>
        </w:rPr>
        <w:t>,</w:t>
      </w:r>
      <w:r w:rsidR="00547F95">
        <w:rPr>
          <w:rFonts w:ascii="Arial" w:eastAsia="Times New Roman" w:hAnsi="Arial" w:cs="Arial"/>
          <w:bCs/>
          <w:color w:val="000000" w:themeColor="text1"/>
          <w:sz w:val="22"/>
          <w:lang w:eastAsia="es-ES_tradnl"/>
        </w:rPr>
        <w:t xml:space="preserve"> </w:t>
      </w:r>
      <w:r w:rsidR="00A4372E" w:rsidRPr="00606FE0">
        <w:rPr>
          <w:rFonts w:ascii="Arial" w:eastAsia="Calibri" w:hAnsi="Arial" w:cs="Arial"/>
          <w:bCs/>
          <w:sz w:val="22"/>
        </w:rPr>
        <w:t>en</w:t>
      </w:r>
      <w:r w:rsidR="00A4372E" w:rsidRPr="00606FE0">
        <w:rPr>
          <w:rFonts w:ascii="Arial" w:eastAsia="Calibri" w:hAnsi="Arial" w:cs="Arial"/>
          <w:sz w:val="22"/>
          <w:lang w:val="es-ES_tradnl"/>
        </w:rPr>
        <w:t xml:space="preserve"> los</w:t>
      </w:r>
      <w:r w:rsidR="00A4372E" w:rsidRPr="00606FE0">
        <w:rPr>
          <w:rFonts w:ascii="Arial" w:eastAsia="Calibri" w:hAnsi="Arial" w:cs="Arial"/>
          <w:bCs/>
          <w:sz w:val="22"/>
        </w:rPr>
        <w:t xml:space="preserve"> </w:t>
      </w:r>
      <w:r w:rsidR="00606FE0" w:rsidRPr="00547F95">
        <w:rPr>
          <w:rFonts w:ascii="Arial" w:eastAsia="Calibri" w:hAnsi="Arial" w:cs="Arial"/>
          <w:sz w:val="22"/>
        </w:rPr>
        <w:t>conceptos C</w:t>
      </w:r>
      <w:r w:rsidR="00606FE0" w:rsidRPr="00547F95">
        <w:rPr>
          <w:rFonts w:ascii="Arial" w:hAnsi="Arial" w:cs="Arial"/>
          <w:bCs/>
          <w:color w:val="000000" w:themeColor="text1"/>
          <w:sz w:val="22"/>
        </w:rPr>
        <w:t xml:space="preserve">-389 del 21 de julio de 2020, </w:t>
      </w:r>
      <w:r w:rsidR="00547F95" w:rsidRPr="00547F95">
        <w:rPr>
          <w:rFonts w:ascii="Arial" w:hAnsi="Arial" w:cs="Arial"/>
          <w:bCs/>
          <w:color w:val="000000" w:themeColor="text1"/>
          <w:sz w:val="22"/>
        </w:rPr>
        <w:t xml:space="preserve">C-393 del 21 de julio de 2020, </w:t>
      </w:r>
      <w:r w:rsidR="00606FE0" w:rsidRPr="00547F95">
        <w:rPr>
          <w:rFonts w:ascii="Arial" w:hAnsi="Arial" w:cs="Arial"/>
          <w:bCs/>
          <w:color w:val="000000" w:themeColor="text1"/>
          <w:sz w:val="22"/>
        </w:rPr>
        <w:t>C-461 del 13 de julio de 2020, C-742 del 16 de diciembre de 2020</w:t>
      </w:r>
      <w:r w:rsidR="00547F95" w:rsidRPr="00547F95">
        <w:rPr>
          <w:rFonts w:ascii="Arial" w:eastAsia="Calibri" w:hAnsi="Arial" w:cs="Arial"/>
          <w:sz w:val="22"/>
        </w:rPr>
        <w:t xml:space="preserve">, C-067 del 15 de marzo de 2021, </w:t>
      </w:r>
      <w:r w:rsidR="00606FE0" w:rsidRPr="00547F95">
        <w:rPr>
          <w:rFonts w:ascii="Arial" w:eastAsia="Calibri" w:hAnsi="Arial" w:cs="Arial"/>
          <w:sz w:val="22"/>
        </w:rPr>
        <w:t>y C-170</w:t>
      </w:r>
      <w:r w:rsidR="00547F95">
        <w:rPr>
          <w:rFonts w:ascii="Arial" w:eastAsia="Calibri" w:hAnsi="Arial" w:cs="Arial"/>
          <w:sz w:val="22"/>
        </w:rPr>
        <w:t xml:space="preserve"> del 20 de abril de 2021, entre otros. De igual manera, ha analizado la inalterabilidad de los Documentos Tipo en conceptos como el C-179 del 28 de abril de 2021, C-287 del 18 de junio de 2021</w:t>
      </w:r>
      <w:r w:rsidR="00C6572A">
        <w:rPr>
          <w:rFonts w:ascii="Arial" w:eastAsia="Calibri" w:hAnsi="Arial" w:cs="Arial"/>
          <w:sz w:val="22"/>
        </w:rPr>
        <w:t xml:space="preserve"> y</w:t>
      </w:r>
      <w:r w:rsidR="00547F95">
        <w:rPr>
          <w:rFonts w:ascii="Arial" w:eastAsia="Calibri" w:hAnsi="Arial" w:cs="Arial"/>
          <w:sz w:val="22"/>
        </w:rPr>
        <w:t xml:space="preserve"> C- 428 del 20 de agosto de 2021,</w:t>
      </w:r>
      <w:r w:rsidR="0082612E">
        <w:rPr>
          <w:rFonts w:ascii="Arial" w:eastAsia="Calibri" w:hAnsi="Arial" w:cs="Arial"/>
          <w:sz w:val="22"/>
        </w:rPr>
        <w:t xml:space="preserve"> entre otros. L</w:t>
      </w:r>
      <w:r w:rsidR="00606FE0" w:rsidRPr="00606FE0">
        <w:rPr>
          <w:rFonts w:ascii="Arial" w:hAnsi="Arial" w:cs="Arial"/>
          <w:color w:val="000000" w:themeColor="text1"/>
          <w:sz w:val="22"/>
        </w:rPr>
        <w:t>a</w:t>
      </w:r>
      <w:r w:rsidR="00C6572A">
        <w:rPr>
          <w:rFonts w:ascii="Arial" w:hAnsi="Arial" w:cs="Arial"/>
          <w:color w:val="000000" w:themeColor="text1"/>
          <w:sz w:val="22"/>
        </w:rPr>
        <w:t>s</w:t>
      </w:r>
      <w:r w:rsidR="00606FE0" w:rsidRPr="00606FE0">
        <w:rPr>
          <w:rFonts w:ascii="Arial" w:hAnsi="Arial" w:cs="Arial"/>
          <w:color w:val="000000" w:themeColor="text1"/>
          <w:sz w:val="22"/>
        </w:rPr>
        <w:t xml:space="preserve"> tesis desarrollada</w:t>
      </w:r>
      <w:r w:rsidR="00C6572A">
        <w:rPr>
          <w:rFonts w:ascii="Arial" w:hAnsi="Arial" w:cs="Arial"/>
          <w:color w:val="000000" w:themeColor="text1"/>
          <w:sz w:val="22"/>
        </w:rPr>
        <w:t>s</w:t>
      </w:r>
      <w:r w:rsidR="0082612E">
        <w:rPr>
          <w:rFonts w:ascii="Arial" w:hAnsi="Arial" w:cs="Arial"/>
          <w:color w:val="000000" w:themeColor="text1"/>
          <w:sz w:val="22"/>
        </w:rPr>
        <w:t xml:space="preserve"> en dichos conceptos se reitera</w:t>
      </w:r>
      <w:r w:rsidR="00C6572A">
        <w:rPr>
          <w:rFonts w:ascii="Arial" w:hAnsi="Arial" w:cs="Arial"/>
          <w:color w:val="000000" w:themeColor="text1"/>
          <w:sz w:val="22"/>
        </w:rPr>
        <w:t>n</w:t>
      </w:r>
      <w:r w:rsidR="0082612E">
        <w:rPr>
          <w:rFonts w:ascii="Arial" w:hAnsi="Arial" w:cs="Arial"/>
          <w:color w:val="000000" w:themeColor="text1"/>
          <w:sz w:val="22"/>
        </w:rPr>
        <w:t xml:space="preserve"> </w:t>
      </w:r>
      <w:r w:rsidR="00606FE0" w:rsidRPr="00606FE0">
        <w:rPr>
          <w:rFonts w:ascii="Arial" w:hAnsi="Arial" w:cs="Arial"/>
          <w:bCs/>
          <w:color w:val="000000" w:themeColor="text1"/>
          <w:sz w:val="22"/>
        </w:rPr>
        <w:t>y se complementa</w:t>
      </w:r>
      <w:r w:rsidR="00C6572A">
        <w:rPr>
          <w:rFonts w:ascii="Arial" w:hAnsi="Arial" w:cs="Arial"/>
          <w:bCs/>
          <w:color w:val="000000" w:themeColor="text1"/>
          <w:sz w:val="22"/>
        </w:rPr>
        <w:t>n</w:t>
      </w:r>
      <w:r w:rsidR="00606FE0" w:rsidRPr="00606FE0">
        <w:rPr>
          <w:rFonts w:ascii="Arial" w:hAnsi="Arial" w:cs="Arial"/>
          <w:bCs/>
          <w:color w:val="000000" w:themeColor="text1"/>
          <w:sz w:val="22"/>
        </w:rPr>
        <w:t xml:space="preserve"> en lo pertinente.</w:t>
      </w:r>
      <w:r w:rsidR="00606FE0">
        <w:rPr>
          <w:rFonts w:ascii="Arial" w:hAnsi="Arial" w:cs="Arial"/>
          <w:bCs/>
          <w:color w:val="000000" w:themeColor="text1"/>
          <w:sz w:val="22"/>
        </w:rPr>
        <w:t xml:space="preserve"> </w:t>
      </w:r>
    </w:p>
    <w:p w14:paraId="296B196E" w14:textId="77777777" w:rsidR="00DF0F6A" w:rsidRDefault="00DF0F6A" w:rsidP="00DE0E26">
      <w:pPr>
        <w:tabs>
          <w:tab w:val="left" w:pos="426"/>
        </w:tabs>
        <w:spacing w:line="276" w:lineRule="auto"/>
        <w:jc w:val="both"/>
        <w:rPr>
          <w:rFonts w:ascii="Arial" w:eastAsia="Calibri" w:hAnsi="Arial" w:cs="Arial"/>
          <w:b/>
          <w:bCs/>
          <w:sz w:val="22"/>
        </w:rPr>
      </w:pPr>
    </w:p>
    <w:p w14:paraId="36744E0F" w14:textId="28D64402" w:rsidR="000E7F3A" w:rsidRPr="00A70F57" w:rsidRDefault="009161B8" w:rsidP="00DE0E26">
      <w:pPr>
        <w:tabs>
          <w:tab w:val="left" w:pos="426"/>
        </w:tabs>
        <w:spacing w:line="276" w:lineRule="auto"/>
        <w:jc w:val="both"/>
        <w:rPr>
          <w:rFonts w:ascii="Arial" w:eastAsia="Calibri" w:hAnsi="Arial" w:cs="Arial"/>
          <w:b/>
          <w:bCs/>
          <w:sz w:val="22"/>
        </w:rPr>
      </w:pPr>
      <w:r w:rsidRPr="00A70F57">
        <w:rPr>
          <w:rFonts w:ascii="Arial" w:eastAsia="Calibri" w:hAnsi="Arial" w:cs="Arial"/>
          <w:b/>
          <w:bCs/>
          <w:sz w:val="22"/>
        </w:rPr>
        <w:t>2.1</w:t>
      </w:r>
      <w:r w:rsidR="00935BE4" w:rsidRPr="00A70F57">
        <w:rPr>
          <w:rFonts w:ascii="Arial" w:eastAsia="Calibri" w:hAnsi="Arial" w:cs="Arial"/>
          <w:b/>
          <w:bCs/>
          <w:sz w:val="22"/>
        </w:rPr>
        <w:t xml:space="preserve">. </w:t>
      </w:r>
      <w:r w:rsidR="00DE0E26" w:rsidRPr="00A70F57">
        <w:rPr>
          <w:rFonts w:ascii="Arial" w:eastAsia="Calibri" w:hAnsi="Arial" w:cs="Arial"/>
          <w:b/>
          <w:bCs/>
          <w:sz w:val="22"/>
        </w:rPr>
        <w:t>Capacidad residual</w:t>
      </w:r>
      <w:r w:rsidR="00C30B92">
        <w:rPr>
          <w:rFonts w:ascii="Arial" w:eastAsia="Calibri" w:hAnsi="Arial" w:cs="Arial"/>
          <w:b/>
          <w:bCs/>
          <w:sz w:val="22"/>
        </w:rPr>
        <w:t>.</w:t>
      </w:r>
      <w:r w:rsidR="00DE0E26" w:rsidRPr="00A70F57">
        <w:rPr>
          <w:rFonts w:ascii="Arial" w:eastAsia="Calibri" w:hAnsi="Arial" w:cs="Arial"/>
          <w:b/>
          <w:bCs/>
          <w:sz w:val="22"/>
        </w:rPr>
        <w:t xml:space="preserve"> </w:t>
      </w:r>
      <w:r w:rsidR="00C30B92">
        <w:rPr>
          <w:rFonts w:ascii="Arial" w:eastAsia="Calibri" w:hAnsi="Arial" w:cs="Arial"/>
          <w:b/>
          <w:bCs/>
          <w:sz w:val="22"/>
        </w:rPr>
        <w:t>I</w:t>
      </w:r>
      <w:r w:rsidR="00DE0E26" w:rsidRPr="00A70F57">
        <w:rPr>
          <w:rFonts w:ascii="Arial" w:eastAsia="Calibri" w:hAnsi="Arial" w:cs="Arial"/>
          <w:b/>
          <w:bCs/>
          <w:sz w:val="22"/>
        </w:rPr>
        <w:t>nformación financiera requerida para calcular la capacidad de organización</w:t>
      </w:r>
    </w:p>
    <w:p w14:paraId="40CDE736" w14:textId="0CBB658F" w:rsidR="000F5F52" w:rsidRPr="00A70F57" w:rsidRDefault="000F5F52" w:rsidP="000F5F52">
      <w:pPr>
        <w:tabs>
          <w:tab w:val="left" w:pos="426"/>
        </w:tabs>
        <w:spacing w:before="120" w:after="120" w:line="276" w:lineRule="auto"/>
        <w:jc w:val="both"/>
        <w:rPr>
          <w:rFonts w:ascii="Arial" w:hAnsi="Arial" w:cs="Arial"/>
          <w:iCs/>
          <w:sz w:val="22"/>
        </w:rPr>
      </w:pPr>
      <w:r w:rsidRPr="00A70F57">
        <w:rPr>
          <w:rFonts w:ascii="Arial" w:hAnsi="Arial" w:cs="Arial"/>
          <w:iCs/>
          <w:sz w:val="22"/>
        </w:rPr>
        <w:t xml:space="preserve">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w:t>
      </w:r>
      <w:r w:rsidR="009E6C5F" w:rsidRPr="00A70F57">
        <w:rPr>
          <w:rFonts w:ascii="Arial" w:hAnsi="Arial" w:cs="Arial"/>
          <w:iCs/>
          <w:sz w:val="22"/>
        </w:rPr>
        <w:t>selección.</w:t>
      </w:r>
      <w:r w:rsidRPr="00A70F57">
        <w:rPr>
          <w:rFonts w:ascii="Arial" w:hAnsi="Arial" w:cs="Arial"/>
          <w:iCs/>
          <w:sz w:val="22"/>
        </w:rPr>
        <w:t xml:space="preserve"> Por su parte, el Consejo de Estado ha definido la capacidad residual como «la diferencia que existe entre el potencial de contratación que se tiene y los compromisos que haya adquirido y que se encuentren en ejecución, para la fecha de presentación de la oferta»</w:t>
      </w:r>
      <w:r w:rsidR="009E6C5F" w:rsidRPr="00A70F57">
        <w:rPr>
          <w:rFonts w:ascii="Arial" w:eastAsia="Calibri" w:hAnsi="Arial" w:cs="Arial"/>
          <w:color w:val="000000" w:themeColor="text1"/>
          <w:sz w:val="22"/>
          <w:vertAlign w:val="superscript"/>
        </w:rPr>
        <w:footnoteReference w:id="1"/>
      </w:r>
      <w:r w:rsidR="009E6C5F" w:rsidRPr="00A70F57">
        <w:rPr>
          <w:rFonts w:ascii="Arial" w:hAnsi="Arial" w:cs="Arial"/>
          <w:color w:val="000000" w:themeColor="text1"/>
          <w:sz w:val="22"/>
        </w:rPr>
        <w:t>.</w:t>
      </w:r>
    </w:p>
    <w:p w14:paraId="6A1A3684" w14:textId="7AF821B8" w:rsidR="008D0BF9" w:rsidRPr="00A70F57" w:rsidRDefault="009E6C5F" w:rsidP="00076813">
      <w:pPr>
        <w:tabs>
          <w:tab w:val="left" w:pos="709"/>
        </w:tabs>
        <w:spacing w:before="120" w:after="120" w:line="276" w:lineRule="auto"/>
        <w:jc w:val="both"/>
        <w:rPr>
          <w:rFonts w:ascii="Arial" w:hAnsi="Arial" w:cs="Arial"/>
          <w:color w:val="000000" w:themeColor="text1"/>
          <w:sz w:val="22"/>
        </w:rPr>
      </w:pPr>
      <w:r w:rsidRPr="00A70F57">
        <w:rPr>
          <w:rFonts w:ascii="Arial" w:hAnsi="Arial" w:cs="Arial"/>
          <w:iCs/>
          <w:sz w:val="22"/>
        </w:rPr>
        <w:lastRenderedPageBreak/>
        <w:tab/>
      </w:r>
      <w:r w:rsidR="000F5F52" w:rsidRPr="00A70F57">
        <w:rPr>
          <w:rFonts w:ascii="Arial" w:hAnsi="Arial" w:cs="Arial"/>
          <w:iCs/>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r w:rsidR="004C5C69">
        <w:rPr>
          <w:rFonts w:ascii="Arial" w:hAnsi="Arial" w:cs="Arial"/>
          <w:iCs/>
          <w:sz w:val="22"/>
        </w:rPr>
        <w:t xml:space="preserve"> </w:t>
      </w:r>
      <w:r w:rsidR="004C5C69">
        <w:rPr>
          <w:rFonts w:ascii="Arial" w:hAnsi="Arial" w:cs="Arial"/>
          <w:color w:val="000000" w:themeColor="text1"/>
          <w:sz w:val="22"/>
        </w:rPr>
        <w:t>De esta manera, e</w:t>
      </w:r>
      <w:r w:rsidR="008D0BF9" w:rsidRPr="00A70F57">
        <w:rPr>
          <w:rFonts w:ascii="Arial" w:hAnsi="Arial" w:cs="Arial"/>
          <w:color w:val="000000" w:themeColor="text1"/>
          <w:sz w:val="22"/>
        </w:rPr>
        <w:t xml:space="preserv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68D80CEA" w14:textId="77777777" w:rsidR="00C0223D" w:rsidRDefault="00C0223D" w:rsidP="008D0BF9">
      <w:pPr>
        <w:ind w:left="708" w:right="709"/>
        <w:jc w:val="both"/>
        <w:rPr>
          <w:rFonts w:ascii="Arial" w:eastAsia="Calibri" w:hAnsi="Arial" w:cs="Arial"/>
          <w:color w:val="000000" w:themeColor="text1"/>
          <w:sz w:val="22"/>
        </w:rPr>
      </w:pPr>
    </w:p>
    <w:p w14:paraId="4599A427" w14:textId="4619DA49" w:rsidR="008D0BF9" w:rsidRPr="00C0223D" w:rsidRDefault="008D0BF9" w:rsidP="00C0223D">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23B4350" w14:textId="77777777" w:rsidR="008D0BF9" w:rsidRPr="00C0223D" w:rsidRDefault="008D0BF9" w:rsidP="00C0223D">
      <w:pPr>
        <w:ind w:left="708" w:right="709"/>
        <w:jc w:val="both"/>
        <w:rPr>
          <w:rFonts w:ascii="Arial" w:eastAsia="Calibri" w:hAnsi="Arial" w:cs="Arial"/>
          <w:color w:val="000000" w:themeColor="text1"/>
          <w:sz w:val="21"/>
          <w:szCs w:val="21"/>
        </w:rPr>
      </w:pPr>
    </w:p>
    <w:p w14:paraId="2692110E" w14:textId="77777777" w:rsidR="008D0BF9" w:rsidRPr="00C0223D" w:rsidRDefault="008D0BF9" w:rsidP="00C0223D">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74F1E256" w14:textId="03431953" w:rsidR="008D0BF9" w:rsidRPr="00A70F57" w:rsidRDefault="008D0BF9" w:rsidP="00D75806">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A70F57">
        <w:rPr>
          <w:rFonts w:ascii="Arial" w:eastAsia="Calibri" w:hAnsi="Arial" w:cs="Arial"/>
          <w:bCs/>
          <w:color w:val="000000" w:themeColor="text1"/>
          <w:sz w:val="22"/>
        </w:rPr>
        <w:t>Organización</w:t>
      </w:r>
      <w:r w:rsidRPr="00A70F57">
        <w:rPr>
          <w:rFonts w:ascii="Arial" w:hAnsi="Arial" w:cs="Arial"/>
          <w:color w:val="000000" w:themeColor="text1"/>
          <w:sz w:val="22"/>
        </w:rPr>
        <w:t xml:space="preserve"> –CO–. </w:t>
      </w:r>
    </w:p>
    <w:p w14:paraId="7E84FB0B" w14:textId="017DD63F" w:rsidR="008D0BF9" w:rsidRDefault="008D0BF9" w:rsidP="00D75806">
      <w:pPr>
        <w:spacing w:before="120" w:line="276" w:lineRule="auto"/>
        <w:ind w:firstLine="709"/>
        <w:jc w:val="both"/>
        <w:rPr>
          <w:rFonts w:ascii="Arial" w:eastAsia="Calibri" w:hAnsi="Arial" w:cs="Arial"/>
          <w:color w:val="000000" w:themeColor="text1"/>
          <w:sz w:val="22"/>
        </w:rPr>
      </w:pPr>
      <w:r w:rsidRPr="00A70F57">
        <w:rPr>
          <w:rFonts w:ascii="Arial" w:eastAsia="Calibri" w:hAnsi="Arial" w:cs="Arial"/>
          <w:color w:val="000000" w:themeColor="text1"/>
          <w:sz w:val="22"/>
        </w:rPr>
        <w:t>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Experiencia (E), Capacidad Financiera (CF), Capacidad Técnica (CT), Capacidad de Organización (CO), y los saldos de los contratos en ejecución (SCE), así:</w:t>
      </w:r>
    </w:p>
    <w:p w14:paraId="5390DF84" w14:textId="77777777" w:rsidR="004C5C69" w:rsidRPr="00A70F57" w:rsidRDefault="004C5C69" w:rsidP="00E30DF1">
      <w:pPr>
        <w:spacing w:line="276" w:lineRule="auto"/>
        <w:ind w:firstLine="709"/>
        <w:jc w:val="both"/>
        <w:rPr>
          <w:rFonts w:ascii="Arial" w:eastAsia="Calibri" w:hAnsi="Arial" w:cs="Arial"/>
          <w:color w:val="000000" w:themeColor="text1"/>
          <w:sz w:val="22"/>
        </w:rPr>
      </w:pPr>
    </w:p>
    <w:p w14:paraId="64A058D3" w14:textId="5526A117" w:rsidR="008D0BF9" w:rsidRDefault="008D0BF9">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Artículo 2.2.1.1.1.6.4. Capacidad Residual. El interesado en celebrar contratos de obra pública con Entidades Estatales debe acreditar su Capacidad Residual o K de Contratación con los siguientes documentos: […]</w:t>
      </w:r>
    </w:p>
    <w:p w14:paraId="45FED4F5" w14:textId="77777777" w:rsidR="002B0611" w:rsidRPr="00D75806" w:rsidRDefault="002B0611" w:rsidP="002B0611">
      <w:pPr>
        <w:ind w:left="708" w:right="709"/>
        <w:jc w:val="both"/>
        <w:rPr>
          <w:rFonts w:ascii="Arial" w:eastAsia="Calibri" w:hAnsi="Arial" w:cs="Arial"/>
          <w:color w:val="000000" w:themeColor="text1"/>
          <w:sz w:val="21"/>
          <w:szCs w:val="21"/>
        </w:rPr>
      </w:pPr>
    </w:p>
    <w:p w14:paraId="2197E50E" w14:textId="1D68483B" w:rsidR="008D0BF9" w:rsidRDefault="008D0BF9" w:rsidP="002B0611">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44A7C771" w14:textId="77777777" w:rsidR="004C5C69" w:rsidRPr="00D75806" w:rsidRDefault="004C5C69" w:rsidP="002B0611">
      <w:pPr>
        <w:ind w:left="708" w:right="709"/>
        <w:jc w:val="both"/>
        <w:rPr>
          <w:rFonts w:ascii="Arial" w:eastAsia="Calibri" w:hAnsi="Arial" w:cs="Arial"/>
          <w:color w:val="000000" w:themeColor="text1"/>
          <w:sz w:val="21"/>
          <w:szCs w:val="21"/>
        </w:rPr>
      </w:pPr>
    </w:p>
    <w:p w14:paraId="05685D96" w14:textId="77777777" w:rsidR="008D0BF9" w:rsidRPr="00A70F57" w:rsidRDefault="008D0BF9" w:rsidP="00E30DF1">
      <w:pPr>
        <w:spacing w:line="276" w:lineRule="auto"/>
        <w:ind w:firstLine="709"/>
        <w:jc w:val="both"/>
        <w:rPr>
          <w:rFonts w:ascii="Arial" w:hAnsi="Arial" w:cs="Arial"/>
          <w:color w:val="000000" w:themeColor="text1"/>
          <w:sz w:val="22"/>
        </w:rPr>
      </w:pPr>
      <w:r w:rsidRPr="00A70F57">
        <w:rPr>
          <w:rFonts w:ascii="Arial" w:hAnsi="Arial" w:cs="Arial"/>
          <w:color w:val="000000" w:themeColor="text1"/>
          <w:sz w:val="22"/>
        </w:rPr>
        <w:lastRenderedPageBreak/>
        <w:t xml:space="preserve">De conformidad con lo anterior, la Agencia Nacional para la Contratación Pública ‒‒ Colombia Compra Eficiente expidió la Guía para Determinar y Verificar la Capacidad Residual del Proponente en los Procesos de Contratación de Obra Pública. En este documento se establece que la capacidad residual del proponente se calcula según la siguiente fórmula: </w:t>
      </w:r>
    </w:p>
    <w:p w14:paraId="0FDAF52C" w14:textId="77777777" w:rsidR="008D0BF9" w:rsidRPr="00A70F57" w:rsidRDefault="008D0BF9" w:rsidP="008D0BF9">
      <w:pPr>
        <w:spacing w:line="276" w:lineRule="auto"/>
        <w:jc w:val="both"/>
        <w:rPr>
          <w:rFonts w:ascii="Arial" w:hAnsi="Arial" w:cs="Arial"/>
          <w:color w:val="000000" w:themeColor="text1"/>
          <w:sz w:val="22"/>
        </w:rPr>
      </w:pPr>
    </w:p>
    <w:p w14:paraId="5DFC5CDE" w14:textId="77777777" w:rsidR="008D0BF9" w:rsidRPr="00A70F57" w:rsidRDefault="008D0BF9" w:rsidP="008D0BF9">
      <w:pPr>
        <w:spacing w:line="276" w:lineRule="auto"/>
        <w:jc w:val="center"/>
        <w:rPr>
          <w:rFonts w:ascii="Arial" w:hAnsi="Arial" w:cs="Arial"/>
          <w:color w:val="000000" w:themeColor="text1"/>
          <w:sz w:val="22"/>
        </w:rPr>
      </w:pPr>
      <w:r w:rsidRPr="00A70F57">
        <w:rPr>
          <w:rFonts w:ascii="Arial" w:hAnsi="Arial" w:cs="Arial"/>
          <w:noProof/>
          <w:sz w:val="22"/>
          <w:lang w:val="en-US"/>
        </w:rPr>
        <w:drawing>
          <wp:inline distT="0" distB="0" distL="0" distR="0" wp14:anchorId="15A64995" wp14:editId="540138C6">
            <wp:extent cx="4495800" cy="716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3583A038" w14:textId="77777777" w:rsidR="008D0BF9" w:rsidRPr="00A70F57" w:rsidRDefault="008D0BF9" w:rsidP="008D0BF9">
      <w:pPr>
        <w:spacing w:line="276" w:lineRule="auto"/>
        <w:jc w:val="both"/>
        <w:rPr>
          <w:rFonts w:ascii="Arial" w:eastAsia="Calibri" w:hAnsi="Arial" w:cs="Arial"/>
          <w:bCs/>
          <w:color w:val="000000" w:themeColor="text1"/>
          <w:sz w:val="22"/>
        </w:rPr>
      </w:pPr>
      <w:r w:rsidRPr="00A70F57">
        <w:rPr>
          <w:rFonts w:ascii="Arial" w:eastAsia="Calibri" w:hAnsi="Arial" w:cs="Arial"/>
          <w:bCs/>
          <w:color w:val="000000" w:themeColor="text1"/>
          <w:sz w:val="22"/>
        </w:rPr>
        <w:tab/>
      </w:r>
    </w:p>
    <w:p w14:paraId="4EB2C4D2" w14:textId="0CF6F216" w:rsidR="00CF605F" w:rsidRPr="00A70F57" w:rsidRDefault="004C5C69" w:rsidP="00E30DF1">
      <w:pPr>
        <w:autoSpaceDE w:val="0"/>
        <w:autoSpaceDN w:val="0"/>
        <w:adjustRightInd w:val="0"/>
        <w:spacing w:line="276" w:lineRule="auto"/>
        <w:ind w:firstLine="708"/>
        <w:jc w:val="both"/>
        <w:rPr>
          <w:rFonts w:ascii="Arial" w:hAnsi="Arial" w:cs="Arial"/>
          <w:sz w:val="22"/>
          <w:lang w:val="es-CO"/>
        </w:rPr>
      </w:pPr>
      <w:r>
        <w:rPr>
          <w:rFonts w:ascii="Arial" w:hAnsi="Arial" w:cs="Arial"/>
          <w:sz w:val="22"/>
          <w:lang w:val="es-CO"/>
        </w:rPr>
        <w:t>Como se observa, la</w:t>
      </w:r>
      <w:r w:rsidR="00CF605F" w:rsidRPr="00A70F57">
        <w:rPr>
          <w:rFonts w:ascii="Arial" w:hAnsi="Arial" w:cs="Arial"/>
          <w:sz w:val="22"/>
          <w:lang w:val="es-CO"/>
        </w:rPr>
        <w:t xml:space="preserve"> Capacidad de organización (CO) corresponde a</w:t>
      </w:r>
      <w:r w:rsidR="00B9767F" w:rsidRPr="00A70F57">
        <w:rPr>
          <w:rFonts w:ascii="Arial" w:hAnsi="Arial" w:cs="Arial"/>
          <w:sz w:val="22"/>
          <w:lang w:val="es-CO"/>
        </w:rPr>
        <w:t xml:space="preserve"> uno de los </w:t>
      </w:r>
      <w:r w:rsidR="00965D9D" w:rsidRPr="00A70F57">
        <w:rPr>
          <w:rFonts w:ascii="Arial" w:hAnsi="Arial" w:cs="Arial"/>
          <w:sz w:val="22"/>
          <w:lang w:val="es-CO"/>
        </w:rPr>
        <w:t>factores para</w:t>
      </w:r>
      <w:r w:rsidR="00B9767F" w:rsidRPr="00A70F57">
        <w:rPr>
          <w:rFonts w:ascii="Arial" w:hAnsi="Arial" w:cs="Arial"/>
          <w:sz w:val="22"/>
          <w:lang w:val="es-CO"/>
        </w:rPr>
        <w:t xml:space="preserve"> calcular la capacidad residual</w:t>
      </w:r>
      <w:r w:rsidR="00965D9D" w:rsidRPr="00A70F57">
        <w:rPr>
          <w:rFonts w:ascii="Arial" w:hAnsi="Arial" w:cs="Arial"/>
          <w:sz w:val="22"/>
          <w:lang w:val="es-CO"/>
        </w:rPr>
        <w:t xml:space="preserve"> del proponente en los procesos de obra pública.  Para su verificación se examinan </w:t>
      </w:r>
      <w:r w:rsidR="00CF605F" w:rsidRPr="00A70F57">
        <w:rPr>
          <w:rFonts w:ascii="Arial" w:hAnsi="Arial" w:cs="Arial"/>
          <w:sz w:val="22"/>
          <w:lang w:val="es-CO"/>
        </w:rPr>
        <w:t>los ingresos operacionales teniendo en cuenta lo siguiente:</w:t>
      </w:r>
    </w:p>
    <w:p w14:paraId="680ECE00" w14:textId="3FAA1EDC" w:rsidR="00CF605F" w:rsidRPr="00A70F57" w:rsidRDefault="00CF605F" w:rsidP="00CF605F">
      <w:pPr>
        <w:autoSpaceDE w:val="0"/>
        <w:autoSpaceDN w:val="0"/>
        <w:adjustRightInd w:val="0"/>
        <w:rPr>
          <w:rFonts w:ascii="Arial" w:hAnsi="Arial" w:cs="Arial"/>
          <w:color w:val="58595B"/>
          <w:sz w:val="22"/>
          <w:lang w:val="es-CO"/>
        </w:rPr>
      </w:pPr>
    </w:p>
    <w:tbl>
      <w:tblPr>
        <w:tblStyle w:val="Tablaconcuadrcula2"/>
        <w:tblW w:w="7366" w:type="dxa"/>
        <w:tblInd w:w="709" w:type="dxa"/>
        <w:tblLook w:val="04A0" w:firstRow="1" w:lastRow="0" w:firstColumn="1" w:lastColumn="0" w:noHBand="0" w:noVBand="1"/>
      </w:tblPr>
      <w:tblGrid>
        <w:gridCol w:w="4053"/>
        <w:gridCol w:w="3313"/>
      </w:tblGrid>
      <w:tr w:rsidR="00CF605F" w:rsidRPr="00A70F57" w14:paraId="7D97AE45" w14:textId="77777777" w:rsidTr="00C11BCD">
        <w:tc>
          <w:tcPr>
            <w:tcW w:w="4053" w:type="dxa"/>
            <w:shd w:val="clear" w:color="auto" w:fill="D9D9D9"/>
          </w:tcPr>
          <w:p w14:paraId="3227C313" w14:textId="77777777" w:rsidR="00CF605F" w:rsidRPr="00A70F57" w:rsidRDefault="00CF605F" w:rsidP="00C11BCD">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Años de información financiera</w:t>
            </w:r>
          </w:p>
        </w:tc>
        <w:tc>
          <w:tcPr>
            <w:tcW w:w="3313" w:type="dxa"/>
            <w:shd w:val="clear" w:color="auto" w:fill="D9D9D9"/>
          </w:tcPr>
          <w:p w14:paraId="3A738A91" w14:textId="77777777" w:rsidR="00CF605F" w:rsidRPr="00A70F57" w:rsidRDefault="00CF605F" w:rsidP="00C11BCD">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Capacidad de organización</w:t>
            </w:r>
          </w:p>
        </w:tc>
      </w:tr>
      <w:tr w:rsidR="00CF605F" w:rsidRPr="00A70F57" w14:paraId="04BC75E1" w14:textId="77777777" w:rsidTr="00C11BCD">
        <w:tc>
          <w:tcPr>
            <w:tcW w:w="4053" w:type="dxa"/>
          </w:tcPr>
          <w:p w14:paraId="3F0585DA"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Cinco (5) años o más</w:t>
            </w:r>
          </w:p>
        </w:tc>
        <w:tc>
          <w:tcPr>
            <w:tcW w:w="3313" w:type="dxa"/>
          </w:tcPr>
          <w:p w14:paraId="51ECCE8A"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últimos cinco años</w:t>
            </w:r>
          </w:p>
        </w:tc>
      </w:tr>
      <w:tr w:rsidR="00CF605F" w:rsidRPr="00A70F57" w14:paraId="53988A25" w14:textId="77777777" w:rsidTr="00C11BCD">
        <w:tc>
          <w:tcPr>
            <w:tcW w:w="4053" w:type="dxa"/>
          </w:tcPr>
          <w:p w14:paraId="4D02E1E0"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Entre uno (1) y cinco (5) años</w:t>
            </w:r>
          </w:p>
        </w:tc>
        <w:tc>
          <w:tcPr>
            <w:tcW w:w="3313" w:type="dxa"/>
          </w:tcPr>
          <w:p w14:paraId="02A01D81"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años de vida del oferente</w:t>
            </w:r>
          </w:p>
        </w:tc>
      </w:tr>
      <w:tr w:rsidR="00CF605F" w:rsidRPr="00A70F57" w14:paraId="4F3D6F21" w14:textId="77777777" w:rsidTr="00C11BCD">
        <w:tc>
          <w:tcPr>
            <w:tcW w:w="4053" w:type="dxa"/>
          </w:tcPr>
          <w:p w14:paraId="1DF894B3"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Menos de un (1) año</w:t>
            </w:r>
          </w:p>
        </w:tc>
        <w:tc>
          <w:tcPr>
            <w:tcW w:w="3313" w:type="dxa"/>
          </w:tcPr>
          <w:p w14:paraId="646D46AE"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USD 125.000</w:t>
            </w:r>
          </w:p>
        </w:tc>
      </w:tr>
    </w:tbl>
    <w:p w14:paraId="482DC373" w14:textId="77777777" w:rsidR="002B0611" w:rsidRDefault="002B0611" w:rsidP="00617DF2">
      <w:pPr>
        <w:spacing w:before="120" w:line="276" w:lineRule="auto"/>
        <w:ind w:firstLine="709"/>
        <w:jc w:val="both"/>
        <w:rPr>
          <w:rFonts w:ascii="Arial" w:hAnsi="Arial" w:cs="Arial"/>
          <w:color w:val="000000" w:themeColor="text1"/>
          <w:sz w:val="22"/>
        </w:rPr>
      </w:pPr>
    </w:p>
    <w:p w14:paraId="1C543280" w14:textId="78B1FC92" w:rsidR="00617DF2" w:rsidRPr="00A70F57" w:rsidRDefault="004C5C69" w:rsidP="00617DF2">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armonía con lo anterior, e</w:t>
      </w:r>
      <w:r w:rsidR="00965D9D" w:rsidRPr="00A70F57">
        <w:rPr>
          <w:rFonts w:ascii="Arial" w:hAnsi="Arial" w:cs="Arial"/>
          <w:color w:val="000000" w:themeColor="text1"/>
          <w:sz w:val="22"/>
        </w:rPr>
        <w:t xml:space="preserve">l análisis </w:t>
      </w:r>
      <w:r w:rsidR="00617DF2" w:rsidRPr="00A70F57">
        <w:rPr>
          <w:rFonts w:ascii="Arial" w:hAnsi="Arial" w:cs="Arial"/>
          <w:color w:val="000000" w:themeColor="text1"/>
          <w:sz w:val="22"/>
        </w:rPr>
        <w:t>consiste en revisar el mayor ingreso operacional del proponente que reflejará la capacidad real de organización del mismo. En términos de la Sociedad Colombiana de Ingenieros – SCI «En la medida que una empresa constructora haya sido capaz de ejecutar contratos de obra de mayor cuantía y mayor cantidad, significa que esa empresa ha ido superando niveles de crecimiento y por lo tanto ha obtenido una mayor Capacidad de Organización (Co).</w:t>
      </w:r>
      <w:r w:rsidR="00617DF2" w:rsidRPr="00A70F57">
        <w:rPr>
          <w:rFonts w:ascii="Arial" w:hAnsi="Arial" w:cs="Arial"/>
          <w:sz w:val="22"/>
        </w:rPr>
        <w:t xml:space="preserve"> </w:t>
      </w:r>
      <w:r w:rsidR="00617DF2" w:rsidRPr="00A70F57">
        <w:rPr>
          <w:rFonts w:ascii="Arial" w:hAnsi="Arial" w:cs="Arial"/>
          <w:color w:val="000000" w:themeColor="text1"/>
          <w:sz w:val="22"/>
        </w:rPr>
        <w:t>Esta capacidad del proponente, considera la Sociedad Colombiana de Ingenieros –SCI-, debe determinarse con base en los ingresos brutos operacionales relacionados exclusivamente con la actividad de la construcción […]</w:t>
      </w:r>
      <w:r w:rsidR="00617DF2" w:rsidRPr="00A70F57">
        <w:rPr>
          <w:rStyle w:val="Refdenotaalpie"/>
          <w:rFonts w:ascii="Arial" w:hAnsi="Arial" w:cs="Arial"/>
          <w:color w:val="000000" w:themeColor="text1"/>
          <w:sz w:val="22"/>
        </w:rPr>
        <w:footnoteReference w:id="2"/>
      </w:r>
      <w:r w:rsidR="00617DF2" w:rsidRPr="00A70F57">
        <w:rPr>
          <w:rFonts w:ascii="Arial" w:hAnsi="Arial" w:cs="Arial"/>
          <w:color w:val="000000" w:themeColor="text1"/>
          <w:sz w:val="22"/>
        </w:rPr>
        <w:t xml:space="preserve">». </w:t>
      </w:r>
    </w:p>
    <w:p w14:paraId="2C465B47" w14:textId="1124B604" w:rsidR="00617DF2" w:rsidRPr="00A70F57" w:rsidRDefault="00617DF2" w:rsidP="00617DF2">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esta manera, la capacidad de organización está en función de los ingresos operacionales del proponente. De ahí que tanto el Documento </w:t>
      </w:r>
      <w:r w:rsidR="00965D9D" w:rsidRPr="00A70F57">
        <w:rPr>
          <w:rFonts w:ascii="Arial" w:hAnsi="Arial" w:cs="Arial"/>
          <w:color w:val="000000" w:themeColor="text1"/>
          <w:sz w:val="22"/>
        </w:rPr>
        <w:t>Tipo</w:t>
      </w:r>
      <w:r w:rsidRPr="00A70F57">
        <w:rPr>
          <w:rFonts w:ascii="Arial" w:hAnsi="Arial" w:cs="Arial"/>
          <w:color w:val="000000" w:themeColor="text1"/>
          <w:sz w:val="22"/>
        </w:rPr>
        <w:t xml:space="preserve"> como el Decreto 1082 </w:t>
      </w:r>
      <w:r w:rsidRPr="00A70F57">
        <w:rPr>
          <w:rFonts w:ascii="Arial" w:hAnsi="Arial" w:cs="Arial"/>
          <w:color w:val="000000" w:themeColor="text1"/>
          <w:sz w:val="22"/>
        </w:rPr>
        <w:lastRenderedPageBreak/>
        <w:t xml:space="preserve">de 2015, soliciten el estado de resultados, puesto que mediante este documento se relacionan los ingresos, costos y gastos en los que incurrió el proponente, de tal forma que se puedan evidenciar los ingresos operacionales que ha obtenido en un determinado periodo de tiempo. </w:t>
      </w:r>
    </w:p>
    <w:p w14:paraId="294BDC4F" w14:textId="0E8893E0" w:rsidR="002B0611" w:rsidRDefault="008D0BF9" w:rsidP="00E30DF1">
      <w:pPr>
        <w:spacing w:before="120" w:line="276" w:lineRule="auto"/>
        <w:ind w:firstLine="709"/>
        <w:jc w:val="both"/>
        <w:rPr>
          <w:rFonts w:ascii="Arial" w:eastAsia="Calibri" w:hAnsi="Arial" w:cs="Arial"/>
          <w:bCs/>
          <w:color w:val="000000" w:themeColor="text1"/>
          <w:sz w:val="22"/>
        </w:rPr>
      </w:pPr>
      <w:r w:rsidRPr="00A70F57">
        <w:rPr>
          <w:rFonts w:ascii="Arial" w:eastAsia="Calibri" w:hAnsi="Arial" w:cs="Arial"/>
          <w:bCs/>
          <w:color w:val="000000" w:themeColor="text1"/>
          <w:sz w:val="22"/>
        </w:rPr>
        <w:t xml:space="preserve">Así las cosas, definido el alcance del requisito habilitante de capacidad residual en los procesos de contratación, </w:t>
      </w:r>
      <w:r w:rsidR="00B9767F" w:rsidRPr="00A70F57">
        <w:rPr>
          <w:rFonts w:ascii="Arial" w:eastAsia="Calibri" w:hAnsi="Arial" w:cs="Arial"/>
          <w:bCs/>
          <w:color w:val="000000" w:themeColor="text1"/>
          <w:sz w:val="22"/>
        </w:rPr>
        <w:t xml:space="preserve">y el de la capacidad de organización como uno de sus factores, </w:t>
      </w:r>
      <w:r w:rsidRPr="00A70F57">
        <w:rPr>
          <w:rFonts w:ascii="Arial" w:eastAsia="Calibri" w:hAnsi="Arial" w:cs="Arial"/>
          <w:bCs/>
          <w:color w:val="000000" w:themeColor="text1"/>
          <w:sz w:val="22"/>
        </w:rPr>
        <w:t>a continuación se explicará la forma en que se reguló este requisito en los Documentos Tipo de licitación de obra pública de infraestructura de transporte</w:t>
      </w:r>
      <w:r w:rsidR="004C5C69">
        <w:rPr>
          <w:rFonts w:ascii="Arial" w:eastAsia="Calibri" w:hAnsi="Arial" w:cs="Arial"/>
          <w:bCs/>
          <w:color w:val="000000" w:themeColor="text1"/>
          <w:sz w:val="22"/>
        </w:rPr>
        <w:t xml:space="preserve"> en su</w:t>
      </w:r>
      <w:r w:rsidRPr="00A70F57">
        <w:rPr>
          <w:rFonts w:ascii="Arial" w:eastAsia="Calibri" w:hAnsi="Arial" w:cs="Arial"/>
          <w:bCs/>
          <w:color w:val="000000" w:themeColor="text1"/>
          <w:sz w:val="22"/>
        </w:rPr>
        <w:t xml:space="preserve"> Versión 1, Versión 2 y Versión 3</w:t>
      </w:r>
      <w:r w:rsidR="004C5C69">
        <w:rPr>
          <w:rFonts w:ascii="Arial" w:eastAsia="Calibri" w:hAnsi="Arial" w:cs="Arial"/>
          <w:bCs/>
          <w:color w:val="000000" w:themeColor="text1"/>
          <w:sz w:val="22"/>
        </w:rPr>
        <w:t>, ya que el proceso de desarrollo de este contenido de los documentos tipo es útil para entender el alcance de lo regulado en la última versión</w:t>
      </w:r>
      <w:r w:rsidRPr="00A70F57">
        <w:rPr>
          <w:rFonts w:ascii="Arial" w:eastAsia="Calibri" w:hAnsi="Arial" w:cs="Arial"/>
          <w:bCs/>
          <w:color w:val="000000" w:themeColor="text1"/>
          <w:sz w:val="22"/>
        </w:rPr>
        <w:t xml:space="preserve">. </w:t>
      </w:r>
      <w:r w:rsidR="004C5C69">
        <w:rPr>
          <w:rFonts w:ascii="Arial" w:eastAsia="Calibri" w:hAnsi="Arial" w:cs="Arial"/>
          <w:bCs/>
          <w:color w:val="000000" w:themeColor="text1"/>
          <w:sz w:val="22"/>
        </w:rPr>
        <w:t>Con fundamento en lo anterior</w:t>
      </w:r>
      <w:r w:rsidRPr="00A70F57">
        <w:rPr>
          <w:rFonts w:ascii="Arial" w:eastAsia="Calibri" w:hAnsi="Arial" w:cs="Arial"/>
          <w:bCs/>
          <w:color w:val="000000" w:themeColor="text1"/>
          <w:sz w:val="22"/>
        </w:rPr>
        <w:t xml:space="preserve">, se analizarán los principales cambios referidos a la acreditación de la capacidad de organización en la nueva versión de los Documentos Tipo de licitación de obra pública de infraestructura de transporte, </w:t>
      </w:r>
      <w:r w:rsidR="009A3D14" w:rsidRPr="00A70F57">
        <w:rPr>
          <w:rFonts w:ascii="Arial" w:eastAsia="Calibri" w:hAnsi="Arial" w:cs="Arial"/>
          <w:bCs/>
          <w:color w:val="000000" w:themeColor="text1"/>
          <w:sz w:val="22"/>
        </w:rPr>
        <w:t xml:space="preserve">centrando el análisis </w:t>
      </w:r>
      <w:r w:rsidRPr="00A70F57">
        <w:rPr>
          <w:rFonts w:ascii="Arial" w:eastAsia="Calibri" w:hAnsi="Arial" w:cs="Arial"/>
          <w:bCs/>
          <w:color w:val="000000" w:themeColor="text1"/>
          <w:sz w:val="22"/>
        </w:rPr>
        <w:t xml:space="preserve">específicamente en el Documento Base codificado con las versiones 4 y 5 </w:t>
      </w:r>
      <w:r w:rsidR="004C5C69">
        <w:rPr>
          <w:rFonts w:ascii="Arial" w:eastAsia="Calibri" w:hAnsi="Arial" w:cs="Arial"/>
          <w:bCs/>
          <w:color w:val="000000" w:themeColor="text1"/>
          <w:sz w:val="22"/>
        </w:rPr>
        <w:t>–</w:t>
      </w:r>
      <w:r w:rsidRPr="00A70F57">
        <w:rPr>
          <w:rFonts w:ascii="Arial" w:eastAsia="Calibri" w:hAnsi="Arial" w:cs="Arial"/>
          <w:bCs/>
          <w:color w:val="000000" w:themeColor="text1"/>
          <w:sz w:val="22"/>
        </w:rPr>
        <w:t>vigente actualmente</w:t>
      </w:r>
      <w:r w:rsidR="004C5C69">
        <w:rPr>
          <w:rFonts w:ascii="Arial" w:eastAsia="Calibri" w:hAnsi="Arial" w:cs="Arial"/>
          <w:bCs/>
          <w:color w:val="000000" w:themeColor="text1"/>
          <w:sz w:val="22"/>
        </w:rPr>
        <w:t>–</w:t>
      </w:r>
      <w:r w:rsidRPr="00A70F57">
        <w:rPr>
          <w:rFonts w:ascii="Arial" w:eastAsia="Calibri" w:hAnsi="Arial" w:cs="Arial"/>
          <w:bCs/>
          <w:color w:val="000000" w:themeColor="text1"/>
          <w:sz w:val="22"/>
        </w:rPr>
        <w:t>.</w:t>
      </w:r>
      <w:r w:rsidR="004C5C69">
        <w:rPr>
          <w:rFonts w:ascii="Arial" w:eastAsia="Calibri" w:hAnsi="Arial" w:cs="Arial"/>
          <w:bCs/>
          <w:color w:val="000000" w:themeColor="text1"/>
          <w:sz w:val="22"/>
        </w:rPr>
        <w:t xml:space="preserve"> En todo caso, se aclara que la regulación de este aspecto en el documento tipo de licitación – Versión 3 se ha mantenido inalterado, pese a las variaciones del Documento Base. </w:t>
      </w:r>
    </w:p>
    <w:p w14:paraId="249A19EB" w14:textId="77777777" w:rsidR="00D03E5C" w:rsidRPr="002B0611" w:rsidRDefault="00D03E5C" w:rsidP="00E30DF1">
      <w:pPr>
        <w:spacing w:line="276" w:lineRule="auto"/>
        <w:ind w:firstLine="709"/>
        <w:jc w:val="both"/>
        <w:rPr>
          <w:rFonts w:ascii="Arial" w:eastAsia="Calibri" w:hAnsi="Arial" w:cs="Arial"/>
          <w:bCs/>
          <w:color w:val="000000" w:themeColor="text1"/>
          <w:sz w:val="22"/>
        </w:rPr>
      </w:pPr>
    </w:p>
    <w:p w14:paraId="585C27AA" w14:textId="289D9E4A" w:rsidR="009A3D14" w:rsidRDefault="009A3D14" w:rsidP="00E30DF1">
      <w:pPr>
        <w:tabs>
          <w:tab w:val="left" w:pos="426"/>
        </w:tabs>
        <w:spacing w:line="276" w:lineRule="auto"/>
        <w:jc w:val="both"/>
        <w:rPr>
          <w:rFonts w:ascii="Arial" w:eastAsia="Calibri" w:hAnsi="Arial" w:cs="Arial"/>
          <w:b/>
          <w:sz w:val="22"/>
        </w:rPr>
      </w:pPr>
      <w:r w:rsidRPr="00A70F57">
        <w:rPr>
          <w:rFonts w:ascii="Arial" w:eastAsia="Calibri" w:hAnsi="Arial" w:cs="Arial"/>
          <w:b/>
          <w:sz w:val="22"/>
        </w:rPr>
        <w:t>2.2.</w:t>
      </w:r>
      <w:r w:rsidRPr="00A70F57">
        <w:rPr>
          <w:rFonts w:ascii="Arial" w:eastAsia="Calibri" w:hAnsi="Arial" w:cs="Arial"/>
          <w:b/>
          <w:sz w:val="22"/>
        </w:rPr>
        <w:tab/>
        <w:t>Acreditación del factor Capacidad de Organización (CO) en las versiones 1,</w:t>
      </w:r>
      <w:r w:rsidR="00C551C3">
        <w:rPr>
          <w:rFonts w:ascii="Arial" w:eastAsia="Calibri" w:hAnsi="Arial" w:cs="Arial"/>
          <w:b/>
          <w:sz w:val="22"/>
        </w:rPr>
        <w:t xml:space="preserve"> </w:t>
      </w:r>
      <w:r w:rsidRPr="00A70F57">
        <w:rPr>
          <w:rFonts w:ascii="Arial" w:eastAsia="Calibri" w:hAnsi="Arial" w:cs="Arial"/>
          <w:b/>
          <w:sz w:val="22"/>
        </w:rPr>
        <w:t>2 y 3 de los Documentos Tipo de licitación de obra pública de infraestructura de transporte</w:t>
      </w:r>
    </w:p>
    <w:p w14:paraId="27253B9E" w14:textId="77777777" w:rsidR="00C551C3" w:rsidRDefault="00C551C3" w:rsidP="00C551C3">
      <w:pPr>
        <w:spacing w:line="276" w:lineRule="auto"/>
        <w:jc w:val="both"/>
        <w:rPr>
          <w:rFonts w:ascii="Arial" w:eastAsia="Calibri" w:hAnsi="Arial" w:cs="Arial"/>
          <w:color w:val="000000"/>
          <w:sz w:val="22"/>
          <w:lang w:val="es-ES_tradnl" w:eastAsia="es-ES"/>
        </w:rPr>
      </w:pPr>
    </w:p>
    <w:p w14:paraId="1F1D64C8" w14:textId="554730BA" w:rsidR="009A5130" w:rsidRPr="00BB79F6" w:rsidRDefault="009A5130" w:rsidP="00E30DF1">
      <w:pPr>
        <w:spacing w:line="276" w:lineRule="auto"/>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En </w:t>
      </w:r>
      <w:r w:rsidR="00BD77F0">
        <w:rPr>
          <w:rFonts w:ascii="Arial" w:eastAsia="Calibri" w:hAnsi="Arial" w:cs="Arial"/>
          <w:color w:val="000000"/>
          <w:sz w:val="22"/>
          <w:lang w:val="es-ES_tradnl" w:eastAsia="es-ES"/>
        </w:rPr>
        <w:t>primer lugar, es pertinente resaltar que</w:t>
      </w:r>
      <w:r w:rsidRPr="00BB79F6">
        <w:rPr>
          <w:rFonts w:ascii="Arial" w:eastAsia="Calibri" w:hAnsi="Arial" w:cs="Arial"/>
          <w:color w:val="000000"/>
          <w:sz w:val="22"/>
          <w:lang w:val="es-ES_tradnl" w:eastAsia="es-ES"/>
        </w:rPr>
        <w:t xml:space="preserve">, en materia de infraestructura de transporte en la modalidad de licitación pública, la Agencia Nacional de Contratación Pública - Colombia Compra Eficiente, hasta el momento ha adoptado y actualizado los siguientes documentos tipo que son obligatorios para todas las entidades sometidas al Estatuto General de Contratación de la Administración Pública: </w:t>
      </w:r>
    </w:p>
    <w:p w14:paraId="0EFFBFAF" w14:textId="45DDC7EF" w:rsidR="00D81EEF" w:rsidRPr="00BB79F6" w:rsidRDefault="00D81EEF" w:rsidP="00D81EEF">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 Documentos tipo para licitación de obra pública de </w:t>
      </w:r>
      <w:r w:rsidR="009A5130" w:rsidRPr="00BB79F6">
        <w:rPr>
          <w:rFonts w:ascii="Arial" w:eastAsia="Calibri" w:hAnsi="Arial" w:cs="Arial"/>
          <w:color w:val="000000"/>
          <w:sz w:val="22"/>
          <w:lang w:val="es-ES_tradnl" w:eastAsia="es-ES"/>
        </w:rPr>
        <w:t>infraestructura de transporte –V</w:t>
      </w:r>
      <w:r w:rsidRPr="00BB79F6">
        <w:rPr>
          <w:rFonts w:ascii="Arial" w:eastAsia="Calibri" w:hAnsi="Arial" w:cs="Arial"/>
          <w:color w:val="000000"/>
          <w:sz w:val="22"/>
          <w:lang w:val="es-ES_tradnl" w:eastAsia="es-ES"/>
        </w:rPr>
        <w:t xml:space="preserve">ersión 1–, </w:t>
      </w:r>
      <w:r w:rsidR="00A33303" w:rsidRPr="00BB79F6">
        <w:rPr>
          <w:rFonts w:ascii="Arial" w:eastAsia="Calibri" w:hAnsi="Arial" w:cs="Arial"/>
          <w:color w:val="000000"/>
          <w:sz w:val="22"/>
          <w:lang w:val="es-ES_tradnl" w:eastAsia="es-ES"/>
        </w:rPr>
        <w:t>implementados</w:t>
      </w:r>
      <w:r w:rsidR="009A5130" w:rsidRPr="00BB79F6">
        <w:rPr>
          <w:rFonts w:ascii="Arial" w:eastAsia="Calibri" w:hAnsi="Arial" w:cs="Arial"/>
          <w:color w:val="000000"/>
          <w:sz w:val="22"/>
          <w:lang w:val="es-ES_tradnl" w:eastAsia="es-ES"/>
        </w:rPr>
        <w:t xml:space="preserve"> mediante la Resolución No. </w:t>
      </w:r>
      <w:r w:rsidR="00A33303" w:rsidRPr="00BB79F6">
        <w:rPr>
          <w:rFonts w:ascii="Arial" w:eastAsia="Calibri" w:hAnsi="Arial" w:cs="Arial"/>
          <w:color w:val="000000"/>
          <w:sz w:val="22"/>
          <w:lang w:val="es-ES_tradnl" w:eastAsia="es-ES"/>
        </w:rPr>
        <w:t xml:space="preserve">1798 de 2019, </w:t>
      </w:r>
      <w:r w:rsidRPr="00BB79F6">
        <w:rPr>
          <w:rFonts w:ascii="Arial" w:eastAsia="Calibri" w:hAnsi="Arial" w:cs="Arial"/>
          <w:color w:val="000000"/>
          <w:sz w:val="22"/>
          <w:lang w:val="es-ES_tradnl" w:eastAsia="es-ES"/>
        </w:rPr>
        <w:t xml:space="preserve">obligatorios para los procesos cuyo aviso de convocatoria se haya publicado desde el 1 de abril de 2019. </w:t>
      </w:r>
    </w:p>
    <w:p w14:paraId="04695274" w14:textId="3945DB76" w:rsidR="00D81EEF" w:rsidRPr="00BB79F6" w:rsidRDefault="00D81EEF" w:rsidP="00D81EEF">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ii) Documentos tipo para licitación de obra pública de </w:t>
      </w:r>
      <w:r w:rsidR="009A5130" w:rsidRPr="00BB79F6">
        <w:rPr>
          <w:rFonts w:ascii="Arial" w:eastAsia="Calibri" w:hAnsi="Arial" w:cs="Arial"/>
          <w:color w:val="000000"/>
          <w:sz w:val="22"/>
          <w:lang w:val="es-ES_tradnl" w:eastAsia="es-ES"/>
        </w:rPr>
        <w:t>infraestructura de transporte –V</w:t>
      </w:r>
      <w:r w:rsidRPr="00BB79F6">
        <w:rPr>
          <w:rFonts w:ascii="Arial" w:eastAsia="Calibri" w:hAnsi="Arial" w:cs="Arial"/>
          <w:color w:val="000000"/>
          <w:sz w:val="22"/>
          <w:lang w:val="es-ES_tradnl" w:eastAsia="es-ES"/>
        </w:rPr>
        <w:t>ersión 2–</w:t>
      </w:r>
      <w:r w:rsidR="009A5130" w:rsidRPr="00BB79F6">
        <w:rPr>
          <w:rFonts w:ascii="Arial" w:eastAsia="Calibri" w:hAnsi="Arial" w:cs="Arial"/>
          <w:color w:val="000000"/>
          <w:sz w:val="22"/>
          <w:lang w:val="es-ES_tradnl" w:eastAsia="es-ES"/>
        </w:rPr>
        <w:t xml:space="preserve">, </w:t>
      </w:r>
      <w:r w:rsidR="00A33303" w:rsidRPr="00BB79F6">
        <w:rPr>
          <w:rFonts w:ascii="Arial" w:eastAsia="Calibri" w:hAnsi="Arial" w:cs="Arial"/>
          <w:color w:val="000000"/>
          <w:sz w:val="22"/>
          <w:lang w:val="es-ES_tradnl" w:eastAsia="es-ES"/>
        </w:rPr>
        <w:t xml:space="preserve">actualizados </w:t>
      </w:r>
      <w:r w:rsidR="009A5130" w:rsidRPr="00BB79F6">
        <w:rPr>
          <w:rFonts w:ascii="Arial" w:eastAsia="Calibri" w:hAnsi="Arial" w:cs="Arial"/>
          <w:color w:val="000000"/>
          <w:sz w:val="22"/>
          <w:lang w:val="es-ES_tradnl" w:eastAsia="es-ES"/>
        </w:rPr>
        <w:t xml:space="preserve">mediante la Resolución No. </w:t>
      </w:r>
      <w:r w:rsidR="00A33303" w:rsidRPr="00BB79F6">
        <w:rPr>
          <w:rFonts w:ascii="Arial" w:eastAsia="Calibri" w:hAnsi="Arial" w:cs="Arial"/>
          <w:color w:val="000000"/>
          <w:sz w:val="22"/>
          <w:lang w:val="es-ES_tradnl" w:eastAsia="es-ES"/>
        </w:rPr>
        <w:t>045 de 2020</w:t>
      </w:r>
      <w:r w:rsidR="00A33303" w:rsidRPr="00BB79F6">
        <w:rPr>
          <w:rStyle w:val="Refdenotaalpie"/>
          <w:rFonts w:ascii="Arial" w:eastAsia="Calibri" w:hAnsi="Arial" w:cs="Arial"/>
          <w:color w:val="000000"/>
          <w:sz w:val="22"/>
          <w:lang w:val="es-ES_tradnl" w:eastAsia="es-ES"/>
        </w:rPr>
        <w:footnoteReference w:id="3"/>
      </w:r>
      <w:r w:rsidR="009A5130" w:rsidRPr="00BB79F6">
        <w:rPr>
          <w:rFonts w:ascii="Arial" w:eastAsia="Calibri" w:hAnsi="Arial" w:cs="Arial"/>
          <w:color w:val="000000"/>
          <w:sz w:val="22"/>
          <w:lang w:val="es-ES_tradnl" w:eastAsia="es-ES"/>
        </w:rPr>
        <w:t xml:space="preserve">, </w:t>
      </w:r>
      <w:r w:rsidRPr="00BB79F6">
        <w:rPr>
          <w:rFonts w:ascii="Arial" w:eastAsia="Calibri" w:hAnsi="Arial" w:cs="Arial"/>
          <w:color w:val="000000"/>
          <w:sz w:val="22"/>
          <w:lang w:val="es-ES_tradnl" w:eastAsia="es-ES"/>
        </w:rPr>
        <w:t>obligatorios para los procesos cuyo aviso de convocatoria se haya publicado desde el 10 de marzo de 2020.</w:t>
      </w:r>
    </w:p>
    <w:p w14:paraId="578CD041" w14:textId="41CE5346" w:rsidR="00D81EEF" w:rsidRPr="00613C45" w:rsidRDefault="00D81EEF" w:rsidP="00D81EEF">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iii) Documentos tipo para licitación de obra pública de </w:t>
      </w:r>
      <w:r w:rsidR="009A5130" w:rsidRPr="00BB79F6">
        <w:rPr>
          <w:rFonts w:ascii="Arial" w:eastAsia="Calibri" w:hAnsi="Arial" w:cs="Arial"/>
          <w:color w:val="000000"/>
          <w:sz w:val="22"/>
          <w:lang w:val="es-ES_tradnl" w:eastAsia="es-ES"/>
        </w:rPr>
        <w:t>infraestructura de transporte –V</w:t>
      </w:r>
      <w:r w:rsidRPr="00BB79F6">
        <w:rPr>
          <w:rFonts w:ascii="Arial" w:eastAsia="Calibri" w:hAnsi="Arial" w:cs="Arial"/>
          <w:color w:val="000000"/>
          <w:sz w:val="22"/>
          <w:lang w:val="es-ES_tradnl" w:eastAsia="es-ES"/>
        </w:rPr>
        <w:t>ersión 3–,</w:t>
      </w:r>
      <w:r w:rsidR="00A33303" w:rsidRPr="00BB79F6">
        <w:rPr>
          <w:rFonts w:ascii="Arial" w:eastAsia="Calibri" w:hAnsi="Arial" w:cs="Arial"/>
          <w:color w:val="000000"/>
          <w:sz w:val="22"/>
          <w:lang w:val="es-ES_tradnl" w:eastAsia="es-ES"/>
        </w:rPr>
        <w:t xml:space="preserve"> actualizados mediante la Resolución No. 240 de 2020</w:t>
      </w:r>
      <w:r w:rsidR="00A33303" w:rsidRPr="00BB79F6">
        <w:rPr>
          <w:rStyle w:val="Refdenotaalpie"/>
          <w:rFonts w:ascii="Arial" w:eastAsia="Calibri" w:hAnsi="Arial" w:cs="Arial"/>
          <w:color w:val="000000"/>
          <w:sz w:val="22"/>
          <w:lang w:val="es-ES_tradnl" w:eastAsia="es-ES"/>
        </w:rPr>
        <w:footnoteReference w:id="4"/>
      </w:r>
      <w:r w:rsidRPr="00BB79F6">
        <w:rPr>
          <w:rFonts w:ascii="Arial" w:eastAsia="Calibri" w:hAnsi="Arial" w:cs="Arial"/>
          <w:color w:val="000000"/>
          <w:sz w:val="22"/>
          <w:lang w:val="es-ES_tradnl" w:eastAsia="es-ES"/>
        </w:rPr>
        <w:t xml:space="preserve"> obligatorios para los </w:t>
      </w:r>
      <w:r w:rsidRPr="00BB79F6">
        <w:rPr>
          <w:rFonts w:ascii="Arial" w:eastAsia="Calibri" w:hAnsi="Arial" w:cs="Arial"/>
          <w:color w:val="000000"/>
          <w:sz w:val="22"/>
          <w:lang w:val="es-ES_tradnl" w:eastAsia="es-ES"/>
        </w:rPr>
        <w:lastRenderedPageBreak/>
        <w:t>procesos cuyo aviso de convocatoria se haya publicado desde el 1 de enero de 2021</w:t>
      </w:r>
      <w:r w:rsidR="00BD77F0">
        <w:rPr>
          <w:rStyle w:val="Refdenotaalpie"/>
          <w:rFonts w:ascii="Arial" w:eastAsia="Calibri" w:hAnsi="Arial" w:cs="Arial"/>
          <w:color w:val="000000"/>
          <w:sz w:val="22"/>
          <w:lang w:val="es-ES_tradnl" w:eastAsia="es-ES"/>
        </w:rPr>
        <w:footnoteReference w:id="5"/>
      </w:r>
      <w:r w:rsidRPr="00BB79F6">
        <w:rPr>
          <w:rFonts w:ascii="Arial" w:eastAsia="Calibri" w:hAnsi="Arial" w:cs="Arial"/>
          <w:color w:val="000000"/>
          <w:sz w:val="22"/>
          <w:lang w:val="es-ES_tradnl" w:eastAsia="es-ES"/>
        </w:rPr>
        <w:t>.</w:t>
      </w:r>
      <w:r w:rsidR="00BB79F6" w:rsidRPr="00BB79F6">
        <w:rPr>
          <w:rFonts w:ascii="Arial" w:eastAsia="Calibri" w:hAnsi="Arial" w:cs="Arial"/>
          <w:color w:val="000000"/>
          <w:sz w:val="22"/>
          <w:lang w:val="es-ES_tradnl" w:eastAsia="es-ES"/>
        </w:rPr>
        <w:t xml:space="preserve">   Estos Documentos Tipo, a su vez, fueron modificados mediante la Resolución No. 161 de 2021 en aspectos relacionados con los criterios de desempate y tratamiento de datos personales para procesos cuyo aviso de convocatoria se haya publicado desde el 28 de junio de 2021</w:t>
      </w:r>
      <w:r w:rsidR="00BD77F0">
        <w:rPr>
          <w:rStyle w:val="Refdenotaalpie"/>
          <w:rFonts w:ascii="Arial" w:eastAsia="Calibri" w:hAnsi="Arial" w:cs="Arial"/>
          <w:color w:val="000000"/>
          <w:sz w:val="22"/>
          <w:lang w:val="es-ES_tradnl" w:eastAsia="es-ES"/>
        </w:rPr>
        <w:footnoteReference w:id="6"/>
      </w:r>
      <w:r w:rsidR="003B0DA0">
        <w:rPr>
          <w:rFonts w:ascii="Arial" w:eastAsia="Calibri" w:hAnsi="Arial" w:cs="Arial"/>
          <w:color w:val="000000"/>
          <w:sz w:val="22"/>
          <w:lang w:val="es-ES_tradnl" w:eastAsia="es-ES"/>
        </w:rPr>
        <w:t>. No obstante, como se indicó, esta última modificación no varió lo relacionado con la capacidad de organización, como componente de la capacidad residual.</w:t>
      </w:r>
    </w:p>
    <w:p w14:paraId="51559474" w14:textId="39701494" w:rsidR="00BD77F0" w:rsidRPr="00BD77F0" w:rsidRDefault="00BD77F0" w:rsidP="00E1021F">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Ahora bien</w:t>
      </w:r>
      <w:r w:rsidRPr="00E81653">
        <w:rPr>
          <w:rFonts w:ascii="Arial" w:eastAsia="Calibri" w:hAnsi="Arial" w:cs="Arial"/>
          <w:bCs/>
          <w:color w:val="000000" w:themeColor="text1"/>
          <w:sz w:val="22"/>
        </w:rPr>
        <w:t>, respecto de</w:t>
      </w:r>
      <w:r>
        <w:rPr>
          <w:rFonts w:ascii="Arial" w:eastAsia="Calibri" w:hAnsi="Arial" w:cs="Arial"/>
          <w:bCs/>
          <w:color w:val="000000" w:themeColor="text1"/>
          <w:sz w:val="22"/>
        </w:rPr>
        <w:t>l requisito de la capacidad residual o K de contratación</w:t>
      </w:r>
      <w:r w:rsidRPr="00BD77F0">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se realizaron ajustes en cuanto a la verificación de la capacidad de organización en cada una de las versiones antes descritas.  </w:t>
      </w:r>
      <w:r w:rsidRPr="00BD77F0">
        <w:rPr>
          <w:rFonts w:ascii="Arial" w:eastAsia="Calibri" w:hAnsi="Arial" w:cs="Arial"/>
          <w:bCs/>
          <w:color w:val="000000" w:themeColor="text1"/>
          <w:sz w:val="22"/>
        </w:rPr>
        <w:t>En estos documentos, la Agencia precisa los requisitos en relación con los proponentes obligados a tener RUP, de conformidad con lo estable</w:t>
      </w:r>
      <w:r>
        <w:rPr>
          <w:rFonts w:ascii="Arial" w:eastAsia="Calibri" w:hAnsi="Arial" w:cs="Arial"/>
          <w:bCs/>
          <w:color w:val="000000" w:themeColor="text1"/>
          <w:sz w:val="22"/>
        </w:rPr>
        <w:t>cido en el Decreto 1082 de 2015. Siguiendo esta misma línea</w:t>
      </w:r>
      <w:r w:rsidR="007F6C9C">
        <w:rPr>
          <w:rFonts w:ascii="Arial" w:eastAsia="Calibri" w:hAnsi="Arial" w:cs="Arial"/>
          <w:bCs/>
          <w:color w:val="000000" w:themeColor="text1"/>
          <w:sz w:val="22"/>
        </w:rPr>
        <w:t>,</w:t>
      </w:r>
      <w:r>
        <w:rPr>
          <w:rFonts w:ascii="Arial" w:eastAsia="Calibri" w:hAnsi="Arial" w:cs="Arial"/>
          <w:bCs/>
          <w:color w:val="000000" w:themeColor="text1"/>
          <w:sz w:val="22"/>
        </w:rPr>
        <w:t xml:space="preserve"> a continuación se explicará la forma en que se reguló este requisito en los Documentos Tipo de licitación de obra pública de infraestructura – Versión 1, Versión 2 y Versión 3</w:t>
      </w:r>
      <w:r w:rsidR="001F62F5">
        <w:rPr>
          <w:rFonts w:ascii="Arial" w:eastAsia="Calibri" w:hAnsi="Arial" w:cs="Arial"/>
          <w:bCs/>
          <w:color w:val="000000" w:themeColor="text1"/>
          <w:sz w:val="22"/>
        </w:rPr>
        <w:t xml:space="preserve">, teniendo en cuenta que los Documentos Base que hacen parte de cada una de estas versiones, también tienen una codificación que ha variado con los cambios realizados, estando vigente a partir del 28 de junio de 2021 el </w:t>
      </w:r>
      <w:r w:rsidR="007F6C9C">
        <w:rPr>
          <w:rFonts w:ascii="Arial" w:eastAsia="Calibri" w:hAnsi="Arial" w:cs="Arial"/>
          <w:bCs/>
          <w:color w:val="000000" w:themeColor="text1"/>
          <w:sz w:val="22"/>
        </w:rPr>
        <w:t>«</w:t>
      </w:r>
      <w:r w:rsidR="001F62F5">
        <w:rPr>
          <w:rFonts w:ascii="Arial" w:eastAsia="Calibri" w:hAnsi="Arial" w:cs="Arial"/>
          <w:bCs/>
          <w:color w:val="000000" w:themeColor="text1"/>
          <w:sz w:val="22"/>
        </w:rPr>
        <w:t>Documento Base</w:t>
      </w:r>
      <w:r w:rsidR="007F6C9C">
        <w:rPr>
          <w:rFonts w:ascii="Arial" w:eastAsia="Calibri" w:hAnsi="Arial" w:cs="Arial"/>
          <w:bCs/>
          <w:color w:val="000000" w:themeColor="text1"/>
          <w:sz w:val="22"/>
        </w:rPr>
        <w:t>»</w:t>
      </w:r>
      <w:r w:rsidR="001F62F5">
        <w:rPr>
          <w:rFonts w:ascii="Arial" w:eastAsia="Calibri" w:hAnsi="Arial" w:cs="Arial"/>
          <w:bCs/>
          <w:color w:val="000000" w:themeColor="text1"/>
          <w:sz w:val="22"/>
        </w:rPr>
        <w:t xml:space="preserve"> </w:t>
      </w:r>
      <w:r w:rsidR="007F6C9C">
        <w:rPr>
          <w:rFonts w:ascii="Arial" w:eastAsia="Calibri" w:hAnsi="Arial" w:cs="Arial"/>
          <w:bCs/>
          <w:color w:val="000000" w:themeColor="text1"/>
          <w:sz w:val="22"/>
        </w:rPr>
        <w:t>–</w:t>
      </w:r>
      <w:r w:rsidR="001F62F5">
        <w:rPr>
          <w:rFonts w:ascii="Arial" w:eastAsia="Calibri" w:hAnsi="Arial" w:cs="Arial"/>
          <w:bCs/>
          <w:color w:val="000000" w:themeColor="text1"/>
          <w:sz w:val="22"/>
        </w:rPr>
        <w:t xml:space="preserve"> Versión 5 que pertenece a los Documentos Tipo </w:t>
      </w:r>
      <w:r w:rsidR="001F62F5" w:rsidRPr="00A70F57">
        <w:rPr>
          <w:rFonts w:ascii="Arial" w:eastAsia="Times New Roman" w:hAnsi="Arial" w:cs="Arial"/>
          <w:bCs/>
          <w:color w:val="000000" w:themeColor="text1"/>
          <w:sz w:val="22"/>
          <w:lang w:eastAsia="es-ES_tradnl"/>
        </w:rPr>
        <w:t>para licitación de obra pública de infraestructura de transporte</w:t>
      </w:r>
      <w:r w:rsidR="001F62F5">
        <w:rPr>
          <w:rFonts w:ascii="Arial" w:eastAsia="Calibri" w:hAnsi="Arial" w:cs="Arial"/>
          <w:bCs/>
          <w:color w:val="000000" w:themeColor="text1"/>
          <w:sz w:val="22"/>
        </w:rPr>
        <w:t xml:space="preserve"> </w:t>
      </w:r>
      <w:r w:rsidR="007F6C9C">
        <w:rPr>
          <w:rFonts w:ascii="Arial" w:eastAsia="Calibri" w:hAnsi="Arial" w:cs="Arial"/>
          <w:bCs/>
          <w:color w:val="000000" w:themeColor="text1"/>
          <w:sz w:val="22"/>
        </w:rPr>
        <w:t>–</w:t>
      </w:r>
      <w:r w:rsidR="001F62F5">
        <w:rPr>
          <w:rFonts w:ascii="Arial" w:eastAsia="Calibri" w:hAnsi="Arial" w:cs="Arial"/>
          <w:bCs/>
          <w:color w:val="000000" w:themeColor="text1"/>
          <w:sz w:val="22"/>
        </w:rPr>
        <w:t xml:space="preserve"> Versión 3.</w:t>
      </w:r>
    </w:p>
    <w:p w14:paraId="349A63E5" w14:textId="6E9495CC" w:rsidR="00606FE0" w:rsidRPr="00515265" w:rsidRDefault="001F62F5" w:rsidP="00E1021F">
      <w:pPr>
        <w:spacing w:before="120" w:line="276" w:lineRule="auto"/>
        <w:ind w:firstLine="708"/>
        <w:jc w:val="both"/>
        <w:rPr>
          <w:rFonts w:ascii="Arial" w:eastAsia="Calibri" w:hAnsi="Arial" w:cs="Arial"/>
          <w:bCs/>
          <w:color w:val="000000" w:themeColor="text1"/>
          <w:sz w:val="22"/>
        </w:rPr>
      </w:pPr>
      <w:r>
        <w:rPr>
          <w:rFonts w:ascii="Arial" w:eastAsia="Times New Roman" w:hAnsi="Arial" w:cs="Arial"/>
          <w:bCs/>
          <w:color w:val="000000" w:themeColor="text1"/>
          <w:sz w:val="22"/>
          <w:lang w:eastAsia="es-ES_tradnl"/>
        </w:rPr>
        <w:t>Así, en</w:t>
      </w:r>
      <w:r w:rsidR="009A3D14" w:rsidRPr="00A70F57">
        <w:rPr>
          <w:rFonts w:ascii="Arial" w:eastAsia="Times New Roman" w:hAnsi="Arial" w:cs="Arial"/>
          <w:bCs/>
          <w:color w:val="000000" w:themeColor="text1"/>
          <w:sz w:val="22"/>
          <w:lang w:eastAsia="es-ES_tradnl"/>
        </w:rPr>
        <w:t xml:space="preserve"> los Documentos Tipo para licitación de obra pública de infraestructura de transporte </w:t>
      </w:r>
      <w:r w:rsidR="009A3D14" w:rsidRPr="00E30DF1">
        <w:rPr>
          <w:rFonts w:ascii="Arial" w:eastAsia="Times New Roman" w:hAnsi="Arial" w:cs="Arial"/>
          <w:bCs/>
          <w:i/>
          <w:iCs/>
          <w:color w:val="000000" w:themeColor="text1"/>
          <w:sz w:val="22"/>
          <w:lang w:eastAsia="es-ES_tradnl"/>
        </w:rPr>
        <w:t>Versión 1</w:t>
      </w:r>
      <w:r w:rsidR="009A3D14" w:rsidRPr="00E30DF1">
        <w:rPr>
          <w:rFonts w:ascii="Arial" w:eastAsia="Times New Roman" w:hAnsi="Arial" w:cs="Arial"/>
          <w:bCs/>
          <w:color w:val="000000" w:themeColor="text1"/>
          <w:sz w:val="22"/>
          <w:lang w:eastAsia="es-ES_tradnl"/>
        </w:rPr>
        <w:t>,</w:t>
      </w:r>
      <w:r w:rsidR="009A3D14" w:rsidRPr="00A70F57">
        <w:rPr>
          <w:rFonts w:ascii="Arial" w:eastAsia="Times New Roman" w:hAnsi="Arial" w:cs="Arial"/>
          <w:bCs/>
          <w:color w:val="000000" w:themeColor="text1"/>
          <w:sz w:val="22"/>
          <w:lang w:eastAsia="es-ES_tradnl"/>
        </w:rPr>
        <w:t xml:space="preserve"> el Documento Base establecía que para acreditar la capacidad residual </w:t>
      </w:r>
      <w:r w:rsidR="00606FE0">
        <w:rPr>
          <w:rFonts w:ascii="Arial" w:eastAsia="Times New Roman" w:hAnsi="Arial" w:cs="Arial"/>
          <w:bCs/>
          <w:color w:val="000000" w:themeColor="text1"/>
          <w:sz w:val="22"/>
          <w:lang w:eastAsia="es-ES_tradnl"/>
        </w:rPr>
        <w:t xml:space="preserve">el proponente </w:t>
      </w:r>
      <w:r w:rsidR="00606FE0" w:rsidRPr="00515265">
        <w:rPr>
          <w:rFonts w:ascii="Arial" w:eastAsia="Times New Roman" w:hAnsi="Arial" w:cs="Arial"/>
          <w:bCs/>
          <w:color w:val="000000" w:themeColor="text1"/>
          <w:sz w:val="22"/>
          <w:lang w:eastAsia="es-ES_tradnl"/>
        </w:rPr>
        <w:t>debía</w:t>
      </w:r>
      <w:r w:rsidR="00606FE0" w:rsidRPr="00515265">
        <w:rPr>
          <w:rFonts w:ascii="Arial" w:eastAsia="Calibri" w:hAnsi="Arial" w:cs="Arial"/>
          <w:bCs/>
          <w:color w:val="000000" w:themeColor="text1"/>
          <w:sz w:val="22"/>
        </w:rPr>
        <w:t xml:space="preserve"> presentar los siguientes documentos:</w:t>
      </w:r>
    </w:p>
    <w:p w14:paraId="21F71EE3"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2068A403"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 xml:space="preserve">ii) Información financiera auditada y aprobada por el máximo órgano social que pretende acreditar el proponente. </w:t>
      </w:r>
    </w:p>
    <w:p w14:paraId="6968CDBF"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iii)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74A9FD3D"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 xml:space="preserve">iv) Dictamen del revisor fiscal o, a falta de éste, del contador público independiente cuando el proponente esté obligado a ello, del año o en que haya obtenido el mayor Ingreso </w:t>
      </w:r>
      <w:r w:rsidRPr="00515265">
        <w:rPr>
          <w:rFonts w:ascii="Arial" w:eastAsia="Calibri" w:hAnsi="Arial" w:cs="Arial"/>
          <w:bCs/>
          <w:color w:val="000000" w:themeColor="text1"/>
          <w:sz w:val="22"/>
        </w:rPr>
        <w:lastRenderedPageBreak/>
        <w:t xml:space="preserve">Operacional en los últimos cinco (5) años, en los términos descritos en el artículo 38 de la Ley 222 de 1995. </w:t>
      </w:r>
    </w:p>
    <w:p w14:paraId="3864F9BB" w14:textId="77777777" w:rsidR="00606FE0" w:rsidRPr="000258A6"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v) Copia de la tarjeta profesional y certificado de antecedentes disciplinarios vigentes de los contadores públicos, revisores fiscales, contadores independientes (externos), quienes suscribieron los documentos anteriores.</w:t>
      </w:r>
      <w:r w:rsidRPr="000258A6">
        <w:rPr>
          <w:rFonts w:ascii="Arial" w:eastAsia="Calibri" w:hAnsi="Arial" w:cs="Arial"/>
          <w:bCs/>
          <w:color w:val="000000" w:themeColor="text1"/>
          <w:sz w:val="22"/>
        </w:rPr>
        <w:t xml:space="preserve"> </w:t>
      </w:r>
      <w:r w:rsidRPr="000258A6">
        <w:rPr>
          <w:rFonts w:ascii="Arial" w:hAnsi="Arial" w:cs="Arial"/>
          <w:color w:val="000000" w:themeColor="text1"/>
          <w:sz w:val="22"/>
        </w:rPr>
        <w:t xml:space="preserve"> </w:t>
      </w:r>
    </w:p>
    <w:p w14:paraId="28CC0438" w14:textId="1BD24936" w:rsidR="009A3D14" w:rsidRPr="00A70F57" w:rsidRDefault="007F6C9C" w:rsidP="00E1021F">
      <w:pPr>
        <w:spacing w:before="120" w:line="276" w:lineRule="auto"/>
        <w:ind w:firstLine="708"/>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t>De otro lado, e</w:t>
      </w:r>
      <w:r w:rsidR="009A3D14" w:rsidRPr="00A70F57">
        <w:rPr>
          <w:rFonts w:ascii="Arial" w:eastAsia="Times New Roman" w:hAnsi="Arial" w:cs="Arial"/>
          <w:bCs/>
          <w:color w:val="000000" w:themeColor="text1"/>
          <w:sz w:val="22"/>
          <w:lang w:eastAsia="es-ES_tradnl"/>
        </w:rPr>
        <w:t xml:space="preserve">n los Documentos Tipo para licitación de obra pública de infraestructura de transporte </w:t>
      </w:r>
      <w:r w:rsidR="009A3D14" w:rsidRPr="00E30DF1">
        <w:rPr>
          <w:rFonts w:ascii="Arial" w:eastAsia="Times New Roman" w:hAnsi="Arial" w:cs="Arial"/>
          <w:bCs/>
          <w:i/>
          <w:iCs/>
          <w:color w:val="000000" w:themeColor="text1"/>
          <w:sz w:val="22"/>
          <w:lang w:eastAsia="es-ES_tradnl"/>
        </w:rPr>
        <w:t>Versión 2</w:t>
      </w:r>
      <w:r w:rsidR="009A3D14" w:rsidRPr="00A70F57">
        <w:rPr>
          <w:rFonts w:ascii="Arial" w:eastAsia="Times New Roman" w:hAnsi="Arial" w:cs="Arial"/>
          <w:bCs/>
          <w:color w:val="000000" w:themeColor="text1"/>
          <w:sz w:val="22"/>
          <w:lang w:eastAsia="es-ES_tradnl"/>
        </w:rPr>
        <w:t>, en el Documento Base</w:t>
      </w:r>
      <w:r w:rsidR="00515265">
        <w:rPr>
          <w:rFonts w:ascii="Arial" w:eastAsia="Times New Roman" w:hAnsi="Arial" w:cs="Arial"/>
          <w:bCs/>
          <w:color w:val="000000" w:themeColor="text1"/>
          <w:sz w:val="22"/>
          <w:lang w:eastAsia="es-ES_tradnl"/>
        </w:rPr>
        <w:t xml:space="preserve"> en sus versiones 2 y 3, en el </w:t>
      </w:r>
      <w:r w:rsidR="00515265" w:rsidRPr="00515265">
        <w:rPr>
          <w:rFonts w:ascii="Arial" w:eastAsia="Times New Roman" w:hAnsi="Arial" w:cs="Arial"/>
          <w:bCs/>
          <w:color w:val="000000" w:themeColor="text1"/>
          <w:sz w:val="22"/>
          <w:lang w:eastAsia="es-ES_tradnl"/>
        </w:rPr>
        <w:t>numeral 3.11 y 3.10, respectivamente</w:t>
      </w:r>
      <w:r w:rsidR="00515265">
        <w:rPr>
          <w:rFonts w:ascii="Arial" w:eastAsia="Times New Roman" w:hAnsi="Arial" w:cs="Arial"/>
          <w:bCs/>
          <w:color w:val="000000" w:themeColor="text1"/>
          <w:sz w:val="22"/>
          <w:lang w:eastAsia="es-ES_tradnl"/>
        </w:rPr>
        <w:t xml:space="preserve">, </w:t>
      </w:r>
      <w:r w:rsidR="009A3D14" w:rsidRPr="00A70F57">
        <w:rPr>
          <w:rFonts w:ascii="Arial" w:hAnsi="Arial" w:cs="Arial"/>
          <w:sz w:val="22"/>
        </w:rPr>
        <w:t xml:space="preserve">se ajustaron los requisitos quedando instaurados únicamente </w:t>
      </w:r>
      <w:r w:rsidR="009A3D14" w:rsidRPr="00A70F57">
        <w:rPr>
          <w:rFonts w:ascii="Arial" w:eastAsia="Times New Roman" w:hAnsi="Arial" w:cs="Arial"/>
          <w:bCs/>
          <w:color w:val="000000" w:themeColor="text1"/>
          <w:sz w:val="22"/>
          <w:lang w:eastAsia="es-ES_tradnl"/>
        </w:rPr>
        <w:t>los documentos señalados en los numerales i) y v) antes mencionados</w:t>
      </w:r>
      <w:r w:rsidR="0002175E">
        <w:rPr>
          <w:rFonts w:ascii="Arial" w:eastAsia="Times New Roman" w:hAnsi="Arial" w:cs="Arial"/>
          <w:bCs/>
          <w:color w:val="000000" w:themeColor="text1"/>
          <w:sz w:val="22"/>
          <w:lang w:eastAsia="es-ES_tradnl"/>
        </w:rPr>
        <w:t>.</w:t>
      </w:r>
    </w:p>
    <w:p w14:paraId="2F8B7E5B" w14:textId="6837594D" w:rsidR="0002175E" w:rsidRPr="00A569DF" w:rsidRDefault="007F6C9C" w:rsidP="00E1021F">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 esta manera</w:t>
      </w:r>
      <w:r w:rsidR="0002175E" w:rsidRPr="00A569DF">
        <w:rPr>
          <w:rFonts w:ascii="Arial" w:hAnsi="Arial" w:cs="Arial"/>
          <w:color w:val="000000" w:themeColor="text1"/>
          <w:sz w:val="22"/>
        </w:rPr>
        <w:t xml:space="preserve">, </w:t>
      </w:r>
      <w:r>
        <w:rPr>
          <w:rFonts w:ascii="Arial" w:hAnsi="Arial" w:cs="Arial"/>
          <w:color w:val="000000" w:themeColor="text1"/>
          <w:sz w:val="22"/>
        </w:rPr>
        <w:t xml:space="preserve">conforme a la </w:t>
      </w:r>
      <w:r>
        <w:rPr>
          <w:rFonts w:ascii="Arial" w:hAnsi="Arial" w:cs="Arial"/>
          <w:i/>
          <w:iCs/>
          <w:color w:val="000000" w:themeColor="text1"/>
          <w:sz w:val="22"/>
        </w:rPr>
        <w:t xml:space="preserve">Versión 2, </w:t>
      </w:r>
      <w:r w:rsidR="0002175E" w:rsidRPr="00A569DF">
        <w:rPr>
          <w:rFonts w:ascii="Arial" w:hAnsi="Arial" w:cs="Arial"/>
          <w:color w:val="000000" w:themeColor="text1"/>
          <w:sz w:val="22"/>
        </w:rPr>
        <w:t xml:space="preserve">se </w:t>
      </w:r>
      <w:r>
        <w:rPr>
          <w:rFonts w:ascii="Arial" w:hAnsi="Arial" w:cs="Arial"/>
          <w:color w:val="000000" w:themeColor="text1"/>
          <w:sz w:val="22"/>
        </w:rPr>
        <w:t>establece</w:t>
      </w:r>
      <w:r w:rsidRPr="00A569DF">
        <w:rPr>
          <w:rFonts w:ascii="Arial" w:hAnsi="Arial" w:cs="Arial"/>
          <w:color w:val="000000" w:themeColor="text1"/>
          <w:sz w:val="22"/>
        </w:rPr>
        <w:t xml:space="preserve"> </w:t>
      </w:r>
      <w:r w:rsidR="0002175E" w:rsidRPr="00A569DF">
        <w:rPr>
          <w:rFonts w:ascii="Arial" w:hAnsi="Arial" w:cs="Arial"/>
          <w:color w:val="000000" w:themeColor="text1"/>
          <w:sz w:val="22"/>
        </w:rPr>
        <w:t>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ii) copia de la tarjeta profesional y certificado de antecedentes disciplinarios vigentes de los contadores públicos, revisores fiscales, contadores independientes (externos), quienes suscribieron los documentos señalados en el presente literal.</w:t>
      </w:r>
    </w:p>
    <w:p w14:paraId="157B454C" w14:textId="2E69D463" w:rsidR="0002175E" w:rsidRPr="00A569DF" w:rsidRDefault="0002175E" w:rsidP="00E1021F">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 xml:space="preserve">De la lectura de estos últimos requisitos, se advierte que para los proponentes obligados a tener RUP no </w:t>
      </w:r>
      <w:r w:rsidR="007F6C9C">
        <w:rPr>
          <w:rFonts w:ascii="Arial" w:hAnsi="Arial" w:cs="Arial"/>
          <w:color w:val="000000" w:themeColor="text1"/>
          <w:sz w:val="22"/>
        </w:rPr>
        <w:t>sería</w:t>
      </w:r>
      <w:r w:rsidR="007F6C9C" w:rsidRPr="00A569DF">
        <w:rPr>
          <w:rFonts w:ascii="Arial" w:hAnsi="Arial" w:cs="Arial"/>
          <w:color w:val="000000" w:themeColor="text1"/>
          <w:sz w:val="22"/>
        </w:rPr>
        <w:t xml:space="preserve"> </w:t>
      </w:r>
      <w:r w:rsidRPr="00A569DF">
        <w:rPr>
          <w:rFonts w:ascii="Arial" w:hAnsi="Arial" w:cs="Arial"/>
          <w:color w:val="000000" w:themeColor="text1"/>
          <w:sz w:val="22"/>
        </w:rPr>
        <w:t>necesario presentar los siguientes documentos: i) la información financiera auditada y aprobada por el máximo órgano social que pretende acreditar el proponente, ii)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iii)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351E3F17" w14:textId="2D05A5A5" w:rsidR="0002175E" w:rsidRPr="00A569DF" w:rsidRDefault="0002175E" w:rsidP="00E1021F">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Las razones para eliminar estos documentos se fundamenta</w:t>
      </w:r>
      <w:r w:rsidR="007F6C9C">
        <w:rPr>
          <w:rFonts w:ascii="Arial" w:hAnsi="Arial" w:cs="Arial"/>
          <w:color w:val="000000" w:themeColor="text1"/>
          <w:sz w:val="22"/>
        </w:rPr>
        <w:t>ron</w:t>
      </w:r>
      <w:r w:rsidRPr="00A569DF">
        <w:rPr>
          <w:rFonts w:ascii="Arial" w:hAnsi="Arial" w:cs="Arial"/>
          <w:color w:val="000000" w:themeColor="text1"/>
          <w:sz w:val="22"/>
        </w:rPr>
        <w:t xml:space="preserve"> en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A569DF">
        <w:rPr>
          <w:rFonts w:ascii="Arial" w:hAnsi="Arial" w:cs="Arial"/>
          <w:i/>
          <w:iCs/>
          <w:color w:val="000000" w:themeColor="text1"/>
          <w:sz w:val="22"/>
        </w:rPr>
        <w:t xml:space="preserve">Si se trata de proponentes obligados a tener RUP, las Entidades Estatales solo deben solicitar como </w:t>
      </w:r>
      <w:r w:rsidRPr="00A569DF">
        <w:rPr>
          <w:rFonts w:ascii="Arial" w:hAnsi="Arial" w:cs="Arial"/>
          <w:i/>
          <w:iCs/>
          <w:color w:val="000000" w:themeColor="text1"/>
          <w:sz w:val="22"/>
        </w:rPr>
        <w:lastRenderedPageBreak/>
        <w:t>documento adicional el estado de resultados del año en que el proponente obtuvo el mayor ingreso operacional en los últimos cinco (5) años</w:t>
      </w:r>
      <w:r w:rsidRPr="00A569DF">
        <w:rPr>
          <w:rFonts w:ascii="Arial" w:hAnsi="Arial" w:cs="Arial"/>
          <w:color w:val="000000" w:themeColor="text1"/>
          <w:sz w:val="22"/>
          <w:vertAlign w:val="superscript"/>
        </w:rPr>
        <w:footnoteReference w:id="7"/>
      </w:r>
      <w:r w:rsidRPr="00A569DF">
        <w:rPr>
          <w:rFonts w:ascii="Arial" w:hAnsi="Arial" w:cs="Arial"/>
          <w:color w:val="000000" w:themeColor="text1"/>
          <w:sz w:val="22"/>
        </w:rPr>
        <w:t xml:space="preserve">». </w:t>
      </w:r>
    </w:p>
    <w:p w14:paraId="29C53C92" w14:textId="140CF364" w:rsidR="0002175E" w:rsidRPr="00A569DF" w:rsidRDefault="0002175E" w:rsidP="00E30DF1">
      <w:pPr>
        <w:spacing w:before="120" w:after="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En este sentido,</w:t>
      </w:r>
      <w:r w:rsidR="00A105E3">
        <w:rPr>
          <w:rFonts w:ascii="Arial" w:hAnsi="Arial" w:cs="Arial"/>
          <w:color w:val="000000" w:themeColor="text1"/>
          <w:sz w:val="22"/>
        </w:rPr>
        <w:t xml:space="preserve"> se consideró que</w:t>
      </w:r>
      <w:r w:rsidRPr="00A569DF">
        <w:rPr>
          <w:rFonts w:ascii="Arial" w:hAnsi="Arial" w:cs="Arial"/>
          <w:color w:val="000000" w:themeColor="text1"/>
          <w:sz w:val="22"/>
        </w:rPr>
        <w:t xml:space="preserve"> el Decreto reglamentario de forma expresa indica los documentos necesarios para acreditar la capacidad residual, sin prever la exigencia de presentar la información financiera auditada y aprobada por el máximo órgano social que pretende acreditar el proponente. </w:t>
      </w:r>
    </w:p>
    <w:p w14:paraId="740B6C12" w14:textId="43F50FC3" w:rsidR="004F7059" w:rsidRPr="00A70F57" w:rsidRDefault="009A3D14" w:rsidP="003163C5">
      <w:pPr>
        <w:spacing w:after="160" w:line="259" w:lineRule="auto"/>
        <w:ind w:firstLine="708"/>
        <w:jc w:val="both"/>
        <w:rPr>
          <w:rFonts w:ascii="Arial" w:eastAsia="Times New Roman" w:hAnsi="Arial" w:cs="Arial"/>
          <w:bCs/>
          <w:color w:val="000000" w:themeColor="text1"/>
          <w:sz w:val="22"/>
          <w:lang w:eastAsia="es-ES_tradnl"/>
        </w:rPr>
      </w:pPr>
      <w:r w:rsidRPr="00A70F57">
        <w:rPr>
          <w:rFonts w:ascii="Arial" w:eastAsia="Times New Roman" w:hAnsi="Arial" w:cs="Arial"/>
          <w:bCs/>
          <w:color w:val="000000" w:themeColor="text1"/>
          <w:sz w:val="22"/>
          <w:lang w:eastAsia="es-ES_tradnl"/>
        </w:rPr>
        <w:t xml:space="preserve">Posteriormente, en la </w:t>
      </w:r>
      <w:r w:rsidRPr="00E30DF1">
        <w:rPr>
          <w:rFonts w:ascii="Arial" w:eastAsia="Times New Roman" w:hAnsi="Arial" w:cs="Arial"/>
          <w:bCs/>
          <w:i/>
          <w:iCs/>
          <w:color w:val="000000" w:themeColor="text1"/>
          <w:sz w:val="22"/>
          <w:lang w:eastAsia="es-ES_tradnl"/>
        </w:rPr>
        <w:t>Versión 3</w:t>
      </w:r>
      <w:r w:rsidRPr="00A70F57">
        <w:rPr>
          <w:rFonts w:ascii="Arial" w:eastAsia="Times New Roman" w:hAnsi="Arial" w:cs="Arial"/>
          <w:bCs/>
          <w:color w:val="000000" w:themeColor="text1"/>
          <w:sz w:val="22"/>
          <w:lang w:eastAsia="es-ES_tradnl"/>
        </w:rPr>
        <w:t xml:space="preserve"> </w:t>
      </w:r>
      <w:r w:rsidR="00814471">
        <w:rPr>
          <w:rFonts w:ascii="Arial" w:eastAsia="Times New Roman" w:hAnsi="Arial" w:cs="Arial"/>
          <w:bCs/>
          <w:color w:val="000000" w:themeColor="text1"/>
          <w:sz w:val="22"/>
          <w:lang w:eastAsia="es-ES_tradnl"/>
        </w:rPr>
        <w:t xml:space="preserve">de </w:t>
      </w:r>
      <w:r w:rsidR="00814471" w:rsidRPr="00A70F57">
        <w:rPr>
          <w:rFonts w:ascii="Arial" w:eastAsia="Times New Roman" w:hAnsi="Arial" w:cs="Arial"/>
          <w:bCs/>
          <w:color w:val="000000" w:themeColor="text1"/>
          <w:sz w:val="22"/>
          <w:lang w:eastAsia="es-ES_tradnl"/>
        </w:rPr>
        <w:t>los Documentos Tipo para licitación de obra pública de infraestructura de transporte</w:t>
      </w:r>
      <w:r w:rsidRPr="00A70F57">
        <w:rPr>
          <w:rFonts w:ascii="Arial" w:eastAsia="Times New Roman" w:hAnsi="Arial" w:cs="Arial"/>
          <w:bCs/>
          <w:color w:val="000000" w:themeColor="text1"/>
          <w:sz w:val="22"/>
          <w:lang w:eastAsia="es-ES_tradnl"/>
        </w:rPr>
        <w:t xml:space="preserve">, el </w:t>
      </w:r>
      <w:r w:rsidRPr="007A4F15">
        <w:rPr>
          <w:rFonts w:ascii="Arial" w:eastAsia="Times New Roman" w:hAnsi="Arial" w:cs="Arial"/>
          <w:bCs/>
          <w:i/>
          <w:color w:val="000000" w:themeColor="text1"/>
          <w:sz w:val="22"/>
          <w:lang w:eastAsia="es-ES_tradnl"/>
        </w:rPr>
        <w:t>Documento Base</w:t>
      </w:r>
      <w:r w:rsidRPr="00A70F57">
        <w:rPr>
          <w:rFonts w:ascii="Arial" w:eastAsia="Times New Roman" w:hAnsi="Arial" w:cs="Arial"/>
          <w:bCs/>
          <w:color w:val="000000" w:themeColor="text1"/>
          <w:sz w:val="22"/>
          <w:lang w:eastAsia="es-ES_tradnl"/>
        </w:rPr>
        <w:t xml:space="preserve"> codificado </w:t>
      </w:r>
      <w:r w:rsidR="004F7059" w:rsidRPr="00A70F57">
        <w:rPr>
          <w:rFonts w:ascii="Arial" w:hAnsi="Arial" w:cs="Arial"/>
          <w:sz w:val="22"/>
        </w:rPr>
        <w:t xml:space="preserve">con la </w:t>
      </w:r>
      <w:r w:rsidR="004F7059" w:rsidRPr="00A70F57">
        <w:rPr>
          <w:rFonts w:ascii="Arial" w:hAnsi="Arial" w:cs="Arial"/>
          <w:i/>
          <w:sz w:val="22"/>
        </w:rPr>
        <w:t>versión 4</w:t>
      </w:r>
      <w:r w:rsidR="007A4F15">
        <w:rPr>
          <w:rFonts w:ascii="Arial" w:hAnsi="Arial" w:cs="Arial"/>
          <w:sz w:val="22"/>
        </w:rPr>
        <w:t xml:space="preserve">, </w:t>
      </w:r>
      <w:r w:rsidR="004F7059" w:rsidRPr="00A70F57">
        <w:rPr>
          <w:rFonts w:ascii="Arial" w:hAnsi="Arial" w:cs="Arial"/>
          <w:sz w:val="22"/>
        </w:rPr>
        <w:t>vigen</w:t>
      </w:r>
      <w:r w:rsidR="007A4F15">
        <w:rPr>
          <w:rFonts w:ascii="Arial" w:hAnsi="Arial" w:cs="Arial"/>
          <w:sz w:val="22"/>
        </w:rPr>
        <w:t>te hasta el 27 de junio de 2021</w:t>
      </w:r>
      <w:r w:rsidR="004F7059" w:rsidRPr="00A70F57">
        <w:rPr>
          <w:rFonts w:ascii="Arial" w:hAnsi="Arial" w:cs="Arial"/>
          <w:sz w:val="22"/>
        </w:rPr>
        <w:t xml:space="preserve">, así como el codificado con la </w:t>
      </w:r>
      <w:r w:rsidR="004F7059" w:rsidRPr="007A4F15">
        <w:rPr>
          <w:rFonts w:ascii="Arial" w:hAnsi="Arial" w:cs="Arial"/>
          <w:i/>
          <w:sz w:val="22"/>
        </w:rPr>
        <w:t>versión 5</w:t>
      </w:r>
      <w:r w:rsidR="007A4F15">
        <w:rPr>
          <w:rFonts w:ascii="Arial" w:hAnsi="Arial" w:cs="Arial"/>
          <w:sz w:val="22"/>
        </w:rPr>
        <w:t xml:space="preserve">, </w:t>
      </w:r>
      <w:r w:rsidR="003163C5" w:rsidRPr="00A70F57">
        <w:rPr>
          <w:rFonts w:ascii="Arial" w:hAnsi="Arial" w:cs="Arial"/>
          <w:sz w:val="22"/>
        </w:rPr>
        <w:t>vigente</w:t>
      </w:r>
      <w:r w:rsidR="004F7059" w:rsidRPr="00A70F57">
        <w:rPr>
          <w:rFonts w:ascii="Arial" w:hAnsi="Arial" w:cs="Arial"/>
          <w:sz w:val="22"/>
        </w:rPr>
        <w:t xml:space="preserve"> a partir del 28 de junio de 2021</w:t>
      </w:r>
      <w:r w:rsidR="00515265">
        <w:rPr>
          <w:rStyle w:val="Refdenotaalpie"/>
          <w:rFonts w:ascii="Arial" w:hAnsi="Arial" w:cs="Arial"/>
          <w:sz w:val="22"/>
        </w:rPr>
        <w:footnoteReference w:id="8"/>
      </w:r>
      <w:r w:rsidR="004F7059" w:rsidRPr="00A70F57">
        <w:rPr>
          <w:rFonts w:ascii="Arial" w:hAnsi="Arial" w:cs="Arial"/>
          <w:sz w:val="22"/>
        </w:rPr>
        <w:t xml:space="preserve">, establecen </w:t>
      </w:r>
      <w:r w:rsidR="00FD1BC4">
        <w:rPr>
          <w:rFonts w:ascii="Arial" w:hAnsi="Arial" w:cs="Arial"/>
          <w:sz w:val="22"/>
        </w:rPr>
        <w:t xml:space="preserve">idénticamente </w:t>
      </w:r>
      <w:r w:rsidR="007B6FDF" w:rsidRPr="00A70F57">
        <w:rPr>
          <w:rFonts w:ascii="Arial" w:hAnsi="Arial" w:cs="Arial"/>
          <w:sz w:val="22"/>
        </w:rPr>
        <w:t>en el numeral 3.11.2.</w:t>
      </w:r>
      <w:r w:rsidR="00467C8E">
        <w:rPr>
          <w:rFonts w:ascii="Arial" w:hAnsi="Arial" w:cs="Arial"/>
          <w:sz w:val="22"/>
        </w:rPr>
        <w:t>,</w:t>
      </w:r>
      <w:r w:rsidR="007B6FDF" w:rsidRPr="00A70F57">
        <w:rPr>
          <w:rFonts w:ascii="Arial" w:hAnsi="Arial" w:cs="Arial"/>
          <w:sz w:val="22"/>
        </w:rPr>
        <w:t xml:space="preserve"> literal A, </w:t>
      </w:r>
      <w:r w:rsidR="004F7059" w:rsidRPr="00A70F57">
        <w:rPr>
          <w:rFonts w:ascii="Arial" w:hAnsi="Arial" w:cs="Arial"/>
          <w:sz w:val="22"/>
        </w:rPr>
        <w:t>que para acreditar el factor de capacidad de organización (CO) el proponente obligado a tener RUP debe presentar los siguientes documentos:</w:t>
      </w:r>
    </w:p>
    <w:p w14:paraId="0F99F36D" w14:textId="77777777" w:rsidR="009A3D14" w:rsidRPr="003332D8" w:rsidRDefault="009A3D14" w:rsidP="003332D8">
      <w:pPr>
        <w:ind w:left="708" w:right="709"/>
        <w:jc w:val="both"/>
        <w:rPr>
          <w:rFonts w:ascii="Arial" w:hAnsi="Arial" w:cs="Arial"/>
          <w:sz w:val="21"/>
          <w:szCs w:val="21"/>
        </w:rPr>
      </w:pPr>
      <w:r w:rsidRPr="003332D8">
        <w:rPr>
          <w:rFonts w:ascii="Arial" w:hAnsi="Arial" w:cs="Arial"/>
          <w:sz w:val="21"/>
          <w:szCs w:val="21"/>
        </w:rPr>
        <w:t>i.  Estado de resultados integral (estado de resultado o pérdida o ganancias), del año en que hayan obtenido el mayor ingreso operacional en los últimos cinco (5) años, debidamente firmado por el representante legal, contador y revisor fiscal y/o contador independiente (externo), si están obligados a tenerlos. Esto teniendo en cuenta el artículo 37 de la Ley 222 de 1995.</w:t>
      </w:r>
    </w:p>
    <w:p w14:paraId="201C4390" w14:textId="77777777" w:rsidR="009A3D14" w:rsidRPr="003332D8" w:rsidRDefault="009A3D14" w:rsidP="003332D8">
      <w:pPr>
        <w:pStyle w:val="Prrafodelista"/>
        <w:ind w:left="1080"/>
        <w:jc w:val="both"/>
        <w:rPr>
          <w:rFonts w:ascii="Arial" w:hAnsi="Arial" w:cs="Arial"/>
          <w:sz w:val="21"/>
          <w:szCs w:val="21"/>
        </w:rPr>
      </w:pPr>
    </w:p>
    <w:p w14:paraId="7758B02B" w14:textId="2EC33D77" w:rsidR="009A3D14" w:rsidRDefault="009A3D14" w:rsidP="003332D8">
      <w:pPr>
        <w:ind w:left="708" w:right="709"/>
        <w:jc w:val="both"/>
        <w:rPr>
          <w:rFonts w:ascii="Arial" w:hAnsi="Arial" w:cs="Arial"/>
          <w:sz w:val="21"/>
          <w:szCs w:val="21"/>
        </w:rPr>
      </w:pPr>
      <w:r w:rsidRPr="003332D8">
        <w:rPr>
          <w:rFonts w:ascii="Arial" w:hAnsi="Arial" w:cs="Arial"/>
          <w:sz w:val="21"/>
          <w:szCs w:val="21"/>
        </w:rPr>
        <w:t>ii.</w:t>
      </w:r>
      <w:r w:rsidR="003332D8" w:rsidRPr="003332D8">
        <w:rPr>
          <w:rFonts w:ascii="Arial" w:hAnsi="Arial" w:cs="Arial"/>
          <w:sz w:val="21"/>
          <w:szCs w:val="21"/>
        </w:rPr>
        <w:t xml:space="preserve"> </w:t>
      </w:r>
      <w:r w:rsidRPr="003332D8">
        <w:rPr>
          <w:rFonts w:ascii="Arial" w:hAnsi="Arial" w:cs="Arial"/>
          <w:sz w:val="21"/>
          <w:szCs w:val="21"/>
        </w:rPr>
        <w:t>Copia de la tarjeta profesional y certificado de antecedentes disciplinarios vigentes de los Contadores Públicos, Revisores Fiscales, Contadores independientes (externos), quienes suscribieron los documentos señalados en el presente literal.</w:t>
      </w:r>
    </w:p>
    <w:p w14:paraId="32FB7A56" w14:textId="67CAA0E5" w:rsidR="00FD1BC4" w:rsidRDefault="00FD1BC4" w:rsidP="003332D8">
      <w:pPr>
        <w:ind w:left="708" w:right="709"/>
        <w:jc w:val="both"/>
        <w:rPr>
          <w:rFonts w:ascii="Arial" w:hAnsi="Arial" w:cs="Arial"/>
          <w:sz w:val="21"/>
          <w:szCs w:val="21"/>
        </w:rPr>
      </w:pPr>
    </w:p>
    <w:p w14:paraId="153593B7" w14:textId="03A77961" w:rsidR="00D76CC1" w:rsidRDefault="00A60F87">
      <w:pPr>
        <w:spacing w:before="120" w:line="276" w:lineRule="auto"/>
        <w:ind w:firstLine="708"/>
        <w:jc w:val="both"/>
        <w:rPr>
          <w:rFonts w:ascii="Arial" w:hAnsi="Arial" w:cs="Arial"/>
          <w:sz w:val="22"/>
        </w:rPr>
      </w:pPr>
      <w:r w:rsidRPr="00E30DF1">
        <w:rPr>
          <w:rFonts w:ascii="Arial" w:hAnsi="Arial" w:cs="Arial"/>
          <w:sz w:val="22"/>
        </w:rPr>
        <w:lastRenderedPageBreak/>
        <w:t xml:space="preserve">Como se advierte, la </w:t>
      </w:r>
      <w:r w:rsidRPr="00E30DF1">
        <w:rPr>
          <w:rFonts w:ascii="Arial" w:hAnsi="Arial" w:cs="Arial"/>
          <w:i/>
          <w:iCs/>
          <w:sz w:val="22"/>
        </w:rPr>
        <w:t xml:space="preserve">versión 3 </w:t>
      </w:r>
      <w:r w:rsidRPr="00E30DF1">
        <w:rPr>
          <w:rFonts w:ascii="Arial" w:hAnsi="Arial" w:cs="Arial"/>
          <w:sz w:val="22"/>
        </w:rPr>
        <w:t xml:space="preserve">de los documentos tipo mantiene el enfoque regulativo establecido en la </w:t>
      </w:r>
      <w:r w:rsidRPr="00E30DF1">
        <w:rPr>
          <w:rFonts w:ascii="Arial" w:hAnsi="Arial" w:cs="Arial"/>
          <w:i/>
          <w:iCs/>
          <w:sz w:val="22"/>
        </w:rPr>
        <w:t>Versión 2</w:t>
      </w:r>
      <w:r w:rsidRPr="00E30DF1">
        <w:rPr>
          <w:rFonts w:ascii="Arial" w:hAnsi="Arial" w:cs="Arial"/>
          <w:sz w:val="22"/>
        </w:rPr>
        <w:t xml:space="preserve">. En efecto, </w:t>
      </w:r>
      <w:r w:rsidRPr="00E30DF1">
        <w:rPr>
          <w:rFonts w:ascii="Arial" w:eastAsia="Calibri" w:hAnsi="Arial" w:cs="Arial"/>
          <w:color w:val="000000" w:themeColor="text1"/>
          <w:sz w:val="22"/>
        </w:rPr>
        <w:t>c</w:t>
      </w:r>
      <w:r w:rsidR="008A0686" w:rsidRPr="00E56801">
        <w:rPr>
          <w:rFonts w:ascii="Arial" w:eastAsia="Calibri" w:hAnsi="Arial" w:cs="Arial"/>
          <w:color w:val="000000" w:themeColor="text1"/>
          <w:sz w:val="22"/>
        </w:rPr>
        <w:t>ontinuando con el análisis anterior, e</w:t>
      </w:r>
      <w:r w:rsidR="00D76CC1" w:rsidRPr="00E56801">
        <w:rPr>
          <w:rFonts w:ascii="Arial" w:eastAsia="Calibri" w:hAnsi="Arial" w:cs="Arial"/>
          <w:color w:val="000000" w:themeColor="text1"/>
          <w:sz w:val="22"/>
        </w:rPr>
        <w:t xml:space="preserve">l </w:t>
      </w:r>
      <w:r w:rsidR="00D76CC1" w:rsidRPr="00E56801">
        <w:rPr>
          <w:rFonts w:ascii="Arial" w:hAnsi="Arial" w:cs="Arial"/>
          <w:sz w:val="22"/>
        </w:rPr>
        <w:t>numeral 3.11.2., literal A del Documento Base (versiones 4</w:t>
      </w:r>
      <w:r w:rsidR="00D76CC1" w:rsidRPr="00E30DF1">
        <w:rPr>
          <w:rFonts w:ascii="Arial" w:hAnsi="Arial" w:cs="Arial"/>
          <w:sz w:val="22"/>
        </w:rPr>
        <w:t xml:space="preserve"> y 5) de los Documentos Tipo </w:t>
      </w:r>
      <w:r w:rsidR="00D76CC1" w:rsidRPr="00E30DF1">
        <w:rPr>
          <w:rFonts w:ascii="Arial" w:eastAsia="Times New Roman" w:hAnsi="Arial" w:cs="Arial"/>
          <w:bCs/>
          <w:color w:val="000000" w:themeColor="text1"/>
          <w:sz w:val="22"/>
          <w:lang w:eastAsia="es-ES_tradnl"/>
        </w:rPr>
        <w:t xml:space="preserve">para licitación de obra pública de infraestructura de transporte </w:t>
      </w:r>
      <w:r w:rsidR="009C63F9" w:rsidRPr="00E30DF1">
        <w:rPr>
          <w:rFonts w:ascii="Arial" w:eastAsia="Times New Roman" w:hAnsi="Arial" w:cs="Arial"/>
          <w:bCs/>
          <w:color w:val="000000" w:themeColor="text1"/>
          <w:sz w:val="22"/>
          <w:lang w:eastAsia="es-ES_tradnl"/>
        </w:rPr>
        <w:t>–</w:t>
      </w:r>
      <w:r w:rsidR="00D76CC1" w:rsidRPr="00E30DF1">
        <w:rPr>
          <w:rFonts w:ascii="Arial" w:eastAsia="Times New Roman" w:hAnsi="Arial" w:cs="Arial"/>
          <w:bCs/>
          <w:color w:val="000000" w:themeColor="text1"/>
          <w:sz w:val="22"/>
          <w:lang w:eastAsia="es-ES_tradnl"/>
        </w:rPr>
        <w:t xml:space="preserve"> Versión 3, </w:t>
      </w:r>
      <w:r w:rsidR="00A105E3" w:rsidRPr="00E30DF1">
        <w:rPr>
          <w:rFonts w:ascii="Arial" w:eastAsia="Times New Roman" w:hAnsi="Arial" w:cs="Arial"/>
          <w:bCs/>
          <w:color w:val="000000" w:themeColor="text1"/>
          <w:sz w:val="22"/>
          <w:lang w:eastAsia="es-ES_tradnl"/>
        </w:rPr>
        <w:t xml:space="preserve">al </w:t>
      </w:r>
      <w:r w:rsidR="00D76CC1" w:rsidRPr="00E30DF1">
        <w:rPr>
          <w:rFonts w:ascii="Arial" w:eastAsia="Times New Roman" w:hAnsi="Arial" w:cs="Arial"/>
          <w:bCs/>
          <w:color w:val="000000" w:themeColor="text1"/>
          <w:sz w:val="22"/>
          <w:lang w:eastAsia="es-ES_tradnl"/>
        </w:rPr>
        <w:t>referirse al estado de resultados dentro de la capacidad de organización para determinar la capacidad residual hace una remisión al artículo 37 de la Ley 222 de 1995.  E</w:t>
      </w:r>
      <w:r w:rsidR="009F2C1B" w:rsidRPr="00E30DF1">
        <w:rPr>
          <w:rFonts w:ascii="Arial" w:eastAsia="Times New Roman" w:hAnsi="Arial" w:cs="Arial"/>
          <w:bCs/>
          <w:color w:val="000000" w:themeColor="text1"/>
          <w:sz w:val="22"/>
          <w:lang w:eastAsia="es-ES_tradnl"/>
        </w:rPr>
        <w:t>l a</w:t>
      </w:r>
      <w:r w:rsidR="00D76CC1" w:rsidRPr="00E30DF1">
        <w:rPr>
          <w:rFonts w:ascii="Arial" w:eastAsia="Times New Roman" w:hAnsi="Arial" w:cs="Arial"/>
          <w:bCs/>
          <w:color w:val="000000" w:themeColor="text1"/>
          <w:sz w:val="22"/>
          <w:lang w:eastAsia="es-ES_tradnl"/>
        </w:rPr>
        <w:t>rt</w:t>
      </w:r>
      <w:r w:rsidR="009F2C1B" w:rsidRPr="00E30DF1">
        <w:rPr>
          <w:rFonts w:ascii="Arial" w:eastAsia="Times New Roman" w:hAnsi="Arial" w:cs="Arial"/>
          <w:bCs/>
          <w:color w:val="000000" w:themeColor="text1"/>
          <w:sz w:val="22"/>
          <w:lang w:eastAsia="es-ES_tradnl"/>
        </w:rPr>
        <w:t xml:space="preserve">ículo en mención señala que </w:t>
      </w:r>
      <w:r w:rsidR="009F2C1B" w:rsidRPr="00E30DF1">
        <w:rPr>
          <w:rFonts w:ascii="Arial" w:hAnsi="Arial" w:cs="Arial"/>
          <w:sz w:val="22"/>
        </w:rPr>
        <w:t>«</w:t>
      </w:r>
      <w:r w:rsidR="00D76CC1" w:rsidRPr="00E30DF1">
        <w:rPr>
          <w:rFonts w:ascii="Arial" w:hAnsi="Arial" w:cs="Arial"/>
          <w:sz w:val="22"/>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rsidR="009F2C1B" w:rsidRPr="00E30DF1">
        <w:rPr>
          <w:rFonts w:ascii="Arial" w:hAnsi="Arial" w:cs="Arial"/>
          <w:sz w:val="22"/>
        </w:rPr>
        <w:t>»</w:t>
      </w:r>
      <w:r w:rsidR="00012996" w:rsidRPr="00E30DF1">
        <w:rPr>
          <w:rFonts w:ascii="Arial" w:hAnsi="Arial" w:cs="Arial"/>
          <w:sz w:val="22"/>
        </w:rPr>
        <w:t>.</w:t>
      </w:r>
      <w:r w:rsidR="009C63F9" w:rsidRPr="00E56801">
        <w:rPr>
          <w:rFonts w:ascii="Arial" w:hAnsi="Arial" w:cs="Arial"/>
          <w:sz w:val="22"/>
        </w:rPr>
        <w:t xml:space="preserve"> Además</w:t>
      </w:r>
      <w:r w:rsidR="009C63F9">
        <w:rPr>
          <w:rFonts w:ascii="Arial" w:hAnsi="Arial" w:cs="Arial"/>
          <w:sz w:val="22"/>
        </w:rPr>
        <w:t xml:space="preserve">, </w:t>
      </w:r>
      <w:r w:rsidR="00AF3494">
        <w:rPr>
          <w:rFonts w:ascii="Arial" w:hAnsi="Arial" w:cs="Arial"/>
          <w:sz w:val="22"/>
        </w:rPr>
        <w:t xml:space="preserve">vale reiterar que, entre otras cosas, a diferencia de la </w:t>
      </w:r>
      <w:r w:rsidR="00AF3494">
        <w:rPr>
          <w:rFonts w:ascii="Arial" w:hAnsi="Arial" w:cs="Arial"/>
          <w:i/>
          <w:iCs/>
          <w:sz w:val="22"/>
        </w:rPr>
        <w:t xml:space="preserve">versión 1, </w:t>
      </w:r>
      <w:r w:rsidR="009C63F9">
        <w:rPr>
          <w:rFonts w:ascii="Arial" w:hAnsi="Arial" w:cs="Arial"/>
          <w:sz w:val="22"/>
        </w:rPr>
        <w:t>no se hace referencia a la necesidad de que dicho estado de resultados se aporte de acuerdo con el artículo 38 de la Ley 222 de 1995.</w:t>
      </w:r>
    </w:p>
    <w:p w14:paraId="4E55E2BE" w14:textId="4AE8256D" w:rsidR="00BD310A" w:rsidRDefault="00AF3494" w:rsidP="00012996">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línea con lo anterior</w:t>
      </w:r>
      <w:r w:rsidR="00BD310A" w:rsidRPr="009F2C1B">
        <w:rPr>
          <w:rFonts w:ascii="Arial" w:hAnsi="Arial" w:cs="Arial"/>
          <w:color w:val="000000" w:themeColor="text1"/>
          <w:sz w:val="22"/>
        </w:rPr>
        <w:t>, es importante señalar que de acuerdo con la Ley 43 de 1990, normativa que reglamenta la profesión de contador público, el artículo 10 señala que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éstos se ajustan a las normas legales y que las cifras registrados en ellos reflejan en forma fidedigna la correspondiente situación financiera en la fecha del balance</w:t>
      </w:r>
      <w:r w:rsidR="00BD310A" w:rsidRPr="009F2C1B">
        <w:rPr>
          <w:rStyle w:val="Refdenotaalpie"/>
          <w:rFonts w:ascii="Arial" w:hAnsi="Arial" w:cs="Arial"/>
          <w:color w:val="000000" w:themeColor="text1"/>
          <w:sz w:val="22"/>
        </w:rPr>
        <w:footnoteReference w:id="9"/>
      </w:r>
      <w:r w:rsidR="00BD310A" w:rsidRPr="009F2C1B">
        <w:rPr>
          <w:rFonts w:ascii="Arial" w:hAnsi="Arial" w:cs="Arial"/>
          <w:color w:val="000000" w:themeColor="text1"/>
          <w:sz w:val="22"/>
        </w:rPr>
        <w:t>.</w:t>
      </w:r>
      <w:r w:rsidR="00BD310A">
        <w:rPr>
          <w:rFonts w:ascii="Arial" w:hAnsi="Arial" w:cs="Arial"/>
          <w:color w:val="000000" w:themeColor="text1"/>
          <w:sz w:val="22"/>
        </w:rPr>
        <w:t xml:space="preserve"> </w:t>
      </w:r>
    </w:p>
    <w:p w14:paraId="4FE86D9C" w14:textId="46F0A05D" w:rsidR="00BD310A" w:rsidRDefault="008A0686" w:rsidP="00012996">
      <w:pPr>
        <w:spacing w:before="120" w:after="120" w:line="276" w:lineRule="auto"/>
        <w:ind w:firstLine="708"/>
        <w:jc w:val="both"/>
        <w:rPr>
          <w:rFonts w:ascii="Arial" w:hAnsi="Arial" w:cs="Arial"/>
          <w:sz w:val="22"/>
        </w:rPr>
      </w:pPr>
      <w:r>
        <w:rPr>
          <w:rFonts w:ascii="Arial" w:hAnsi="Arial" w:cs="Arial"/>
          <w:color w:val="000000" w:themeColor="text1"/>
          <w:sz w:val="22"/>
        </w:rPr>
        <w:t>En armonía con lo anterior, l</w:t>
      </w:r>
      <w:r w:rsidR="00BD310A">
        <w:rPr>
          <w:rFonts w:ascii="Arial" w:hAnsi="Arial" w:cs="Arial"/>
          <w:color w:val="000000" w:themeColor="text1"/>
          <w:sz w:val="22"/>
        </w:rPr>
        <w:t xml:space="preserve">a Corte Constitucional, en la sentencia C-861 de 2008, reconoce que la profesión de contador público tiene un importante riesgo social en las relaciones económicas entre el Estado y los particulares y, por tanto, es necesario que tengan una mayor responsabilidad frente a los documentos que suscriben. Así lo </w:t>
      </w:r>
      <w:r w:rsidR="00BD310A">
        <w:rPr>
          <w:rFonts w:ascii="Arial" w:hAnsi="Arial" w:cs="Arial"/>
          <w:sz w:val="22"/>
        </w:rPr>
        <w:t xml:space="preserve">determinó en los siguientes términos:  </w:t>
      </w:r>
    </w:p>
    <w:p w14:paraId="22C1EAAA" w14:textId="77777777" w:rsidR="00BD310A" w:rsidRDefault="00BD310A" w:rsidP="00E30DF1">
      <w:pPr>
        <w:tabs>
          <w:tab w:val="left" w:pos="8222"/>
        </w:tabs>
        <w:spacing w:before="120"/>
        <w:ind w:left="709" w:right="709"/>
        <w:jc w:val="both"/>
        <w:rPr>
          <w:rFonts w:ascii="Arial" w:hAnsi="Arial" w:cs="Arial"/>
          <w:sz w:val="21"/>
          <w:szCs w:val="21"/>
          <w:shd w:val="clear" w:color="auto" w:fill="FFFFFF"/>
        </w:rPr>
      </w:pPr>
      <w:r>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w:t>
      </w:r>
      <w:r>
        <w:rPr>
          <w:rFonts w:ascii="Arial" w:hAnsi="Arial" w:cs="Arial"/>
          <w:sz w:val="21"/>
          <w:szCs w:val="21"/>
          <w:shd w:val="clear" w:color="auto" w:fill="FFFFFF"/>
        </w:rPr>
        <w:lastRenderedPageBreak/>
        <w:t>la profesión arte u oficio desarrollada por éstos últimos y obedeciendo así a criterios equitativos de equivalencia entre el interés protegido y las limitaciones fijadas. La decisión que adoptó el legislador de conferir una función fedante a los Contadores Públicos, obedece a una finalidad de interés general</w:t>
      </w:r>
      <w:r>
        <w:rPr>
          <w:rStyle w:val="Refdenotaalpie"/>
          <w:rFonts w:ascii="Arial" w:hAnsi="Arial" w:cs="Arial"/>
          <w:sz w:val="21"/>
          <w:szCs w:val="21"/>
          <w:shd w:val="clear" w:color="auto" w:fill="FFFFFF"/>
        </w:rPr>
        <w:footnoteReference w:id="10"/>
      </w:r>
      <w:r>
        <w:rPr>
          <w:rFonts w:ascii="Arial" w:hAnsi="Arial" w:cs="Arial"/>
          <w:sz w:val="21"/>
          <w:szCs w:val="21"/>
          <w:shd w:val="clear" w:color="auto" w:fill="FFFFFF"/>
        </w:rPr>
        <w:t>.</w:t>
      </w:r>
    </w:p>
    <w:p w14:paraId="68D8655D" w14:textId="77777777" w:rsidR="00C96EC1" w:rsidRDefault="00BD310A" w:rsidP="00E30DF1">
      <w:pPr>
        <w:spacing w:line="276" w:lineRule="auto"/>
        <w:jc w:val="both"/>
        <w:rPr>
          <w:rFonts w:ascii="Arial" w:hAnsi="Arial" w:cs="Arial"/>
          <w:color w:val="000000" w:themeColor="text1"/>
          <w:sz w:val="22"/>
        </w:rPr>
      </w:pPr>
      <w:r>
        <w:rPr>
          <w:rFonts w:ascii="Arial" w:hAnsi="Arial" w:cs="Arial"/>
          <w:color w:val="000000" w:themeColor="text1"/>
          <w:sz w:val="22"/>
        </w:rPr>
        <w:tab/>
      </w:r>
    </w:p>
    <w:p w14:paraId="31E625F2" w14:textId="622CB995" w:rsidR="00BD310A" w:rsidRPr="009F2C1B" w:rsidRDefault="00BD310A" w:rsidP="00E30DF1">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De este modo, en virtud de la </w:t>
      </w:r>
      <w:r w:rsidRPr="009F2C1B">
        <w:rPr>
          <w:rFonts w:ascii="Arial" w:hAnsi="Arial" w:cs="Arial"/>
          <w:color w:val="000000" w:themeColor="text1"/>
          <w:sz w:val="22"/>
        </w:rPr>
        <w:t xml:space="preserve">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654A83D0" w14:textId="2F3B8D96" w:rsidR="00BD310A" w:rsidRDefault="00C96EC1" w:rsidP="00E30DF1">
      <w:pPr>
        <w:tabs>
          <w:tab w:val="left" w:pos="6663"/>
        </w:tabs>
        <w:spacing w:before="120" w:line="276" w:lineRule="auto"/>
        <w:ind w:firstLine="708"/>
        <w:jc w:val="both"/>
        <w:rPr>
          <w:rFonts w:ascii="Arial" w:hAnsi="Arial" w:cs="Arial"/>
          <w:color w:val="000000" w:themeColor="text1"/>
          <w:sz w:val="22"/>
        </w:rPr>
      </w:pPr>
      <w:r w:rsidRPr="00E30DF1">
        <w:rPr>
          <w:rFonts w:ascii="Arial" w:hAnsi="Arial" w:cs="Arial"/>
          <w:color w:val="000000" w:themeColor="text1"/>
          <w:sz w:val="22"/>
        </w:rPr>
        <w:t>Teniendo en cuenta lo anterior</w:t>
      </w:r>
      <w:r w:rsidR="00BD310A" w:rsidRPr="00E30DF1">
        <w:rPr>
          <w:rFonts w:ascii="Arial" w:hAnsi="Arial" w:cs="Arial"/>
          <w:color w:val="000000" w:themeColor="text1"/>
          <w:sz w:val="22"/>
        </w:rPr>
        <w:t>,</w:t>
      </w:r>
      <w:r w:rsidRPr="00E30DF1">
        <w:rPr>
          <w:rFonts w:ascii="Arial" w:hAnsi="Arial" w:cs="Arial"/>
          <w:color w:val="000000" w:themeColor="text1"/>
          <w:sz w:val="22"/>
        </w:rPr>
        <w:t xml:space="preserve"> cabe precisar que</w:t>
      </w:r>
      <w:r w:rsidR="00BD310A" w:rsidRPr="00E30DF1">
        <w:rPr>
          <w:rFonts w:ascii="Arial" w:hAnsi="Arial" w:cs="Arial"/>
          <w:color w:val="000000" w:themeColor="text1"/>
          <w:sz w:val="22"/>
        </w:rPr>
        <w:t xml:space="preserve"> usted pregunta: </w:t>
      </w:r>
      <w:r w:rsidR="00012996" w:rsidRPr="00E30DF1">
        <w:rPr>
          <w:rFonts w:ascii="Arial" w:hAnsi="Arial" w:cs="Arial"/>
          <w:sz w:val="22"/>
        </w:rPr>
        <w:t>«</w:t>
      </w:r>
      <w:r w:rsidR="00BD310A" w:rsidRPr="00E30DF1">
        <w:rPr>
          <w:rFonts w:ascii="Arial" w:eastAsia="Calibri" w:hAnsi="Arial" w:cs="Arial"/>
          <w:color w:val="000000" w:themeColor="text1"/>
          <w:sz w:val="22"/>
        </w:rPr>
        <w:t xml:space="preserve">¿El estado de resultados para acreditar la capacidad de organización de que trata el numeral I del literal A, de numeral 3.10.2, del pliego tipo Versión 4, se debe aportar junto con la certificación de que trata el numeral 37 de la ley 222 de 1995 y dictaminado conforme el artículo 38 de la misma ley a pesar que no estar de manera literal dentro del requisito o con el simple hecho de que este firmado es </w:t>
      </w:r>
      <w:r w:rsidR="00590F8B" w:rsidRPr="00E30DF1">
        <w:rPr>
          <w:rFonts w:ascii="Arial" w:eastAsia="Calibri" w:hAnsi="Arial" w:cs="Arial"/>
          <w:color w:val="000000" w:themeColor="text1"/>
          <w:sz w:val="22"/>
        </w:rPr>
        <w:t>suficiente?</w:t>
      </w:r>
      <w:r w:rsidR="00012996" w:rsidRPr="00E30DF1">
        <w:rPr>
          <w:rFonts w:ascii="Arial" w:hAnsi="Arial" w:cs="Arial"/>
          <w:sz w:val="22"/>
        </w:rPr>
        <w:t>»</w:t>
      </w:r>
      <w:r w:rsidR="00BD310A" w:rsidRPr="00E30DF1">
        <w:rPr>
          <w:rFonts w:ascii="Arial" w:eastAsia="Calibri" w:hAnsi="Arial" w:cs="Arial"/>
          <w:color w:val="000000" w:themeColor="text1"/>
          <w:sz w:val="22"/>
        </w:rPr>
        <w:t xml:space="preserve"> </w:t>
      </w:r>
      <w:r w:rsidR="00BD310A" w:rsidRPr="00E30DF1">
        <w:rPr>
          <w:rFonts w:ascii="Arial" w:hAnsi="Arial" w:cs="Arial"/>
          <w:color w:val="000000" w:themeColor="text1"/>
          <w:sz w:val="22"/>
        </w:rPr>
        <w:t xml:space="preserve">De acuerdo con lo </w:t>
      </w:r>
      <w:r w:rsidR="00EB5A65" w:rsidRPr="00E30DF1">
        <w:rPr>
          <w:rFonts w:ascii="Arial" w:hAnsi="Arial" w:cs="Arial"/>
          <w:color w:val="000000" w:themeColor="text1"/>
          <w:sz w:val="22"/>
        </w:rPr>
        <w:t xml:space="preserve">señalado anteriormente, </w:t>
      </w:r>
      <w:r w:rsidR="00F7087E" w:rsidRPr="00E30DF1">
        <w:rPr>
          <w:rFonts w:ascii="Arial" w:hAnsi="Arial" w:cs="Arial"/>
          <w:color w:val="000000" w:themeColor="text1"/>
          <w:sz w:val="22"/>
        </w:rPr>
        <w:t xml:space="preserve">y teniendo en cuenta el contenido de los documentos tipo de licitación de obra pública de infraestructura de transporte – </w:t>
      </w:r>
      <w:r w:rsidR="00F7087E" w:rsidRPr="00E30DF1">
        <w:rPr>
          <w:rFonts w:ascii="Arial" w:hAnsi="Arial" w:cs="Arial"/>
          <w:i/>
          <w:iCs/>
          <w:color w:val="000000" w:themeColor="text1"/>
          <w:sz w:val="22"/>
        </w:rPr>
        <w:t>versión 3</w:t>
      </w:r>
      <w:r w:rsidR="00F7087E" w:rsidRPr="00E30DF1">
        <w:rPr>
          <w:rFonts w:ascii="Arial" w:hAnsi="Arial" w:cs="Arial"/>
          <w:color w:val="000000" w:themeColor="text1"/>
          <w:sz w:val="22"/>
        </w:rPr>
        <w:t xml:space="preserve">, </w:t>
      </w:r>
      <w:r w:rsidR="00BD310A" w:rsidRPr="00E30DF1">
        <w:rPr>
          <w:rFonts w:ascii="Arial" w:hAnsi="Arial" w:cs="Arial"/>
          <w:color w:val="000000" w:themeColor="text1"/>
          <w:sz w:val="22"/>
        </w:rPr>
        <w:t xml:space="preserve"> para acreditar la capacidad organizacional </w:t>
      </w:r>
      <w:r w:rsidR="00D37F03">
        <w:rPr>
          <w:rFonts w:ascii="Arial" w:hAnsi="Arial" w:cs="Arial"/>
          <w:color w:val="000000" w:themeColor="text1"/>
          <w:sz w:val="22"/>
        </w:rPr>
        <w:t xml:space="preserve">de los proponentes que cuentan con RUP </w:t>
      </w:r>
      <w:r w:rsidR="00BD310A" w:rsidRPr="00E30DF1">
        <w:rPr>
          <w:rFonts w:ascii="Arial" w:hAnsi="Arial" w:cs="Arial"/>
          <w:color w:val="000000" w:themeColor="text1"/>
          <w:sz w:val="22"/>
        </w:rPr>
        <w:t xml:space="preserve">solo se requiere aportar el estado de resultados del año en que el proponente obtuvo mayor ingreso operacional </w:t>
      </w:r>
      <w:r w:rsidR="00023F6A">
        <w:rPr>
          <w:rFonts w:ascii="Arial" w:hAnsi="Arial" w:cs="Arial"/>
          <w:color w:val="000000" w:themeColor="text1"/>
          <w:sz w:val="22"/>
        </w:rPr>
        <w:t xml:space="preserve">en los últimos 5 años </w:t>
      </w:r>
      <w:r w:rsidR="00590F8B" w:rsidRPr="00E30DF1">
        <w:rPr>
          <w:rFonts w:ascii="Arial" w:hAnsi="Arial" w:cs="Arial"/>
          <w:sz w:val="22"/>
        </w:rPr>
        <w:t>debidamente firmado por el representante legal, contador y revisor fiscal y/o contador independiente (externo), si están obligados a tenerlos</w:t>
      </w:r>
      <w:r w:rsidR="00590F8B" w:rsidRPr="00E30DF1">
        <w:rPr>
          <w:rFonts w:ascii="Arial" w:hAnsi="Arial" w:cs="Arial"/>
          <w:color w:val="000000" w:themeColor="text1"/>
          <w:sz w:val="22"/>
        </w:rPr>
        <w:t xml:space="preserve">, </w:t>
      </w:r>
      <w:r w:rsidR="00BD310A" w:rsidRPr="00E30DF1">
        <w:rPr>
          <w:rFonts w:ascii="Arial" w:hAnsi="Arial" w:cs="Arial"/>
          <w:color w:val="000000" w:themeColor="text1"/>
          <w:sz w:val="22"/>
        </w:rPr>
        <w:t>y la copia de la tarjeta profesional y certificado de antecedentes disciplinarios vigentes de los contadores públicos, revisores fiscales, contadores independientes (externos), quienes suscribieron dichos documentos</w:t>
      </w:r>
      <w:r w:rsidR="00314712" w:rsidRPr="00E30DF1">
        <w:rPr>
          <w:rFonts w:ascii="Arial" w:hAnsi="Arial" w:cs="Arial"/>
          <w:color w:val="000000" w:themeColor="text1"/>
          <w:sz w:val="22"/>
        </w:rPr>
        <w:t>,</w:t>
      </w:r>
      <w:r w:rsidR="009F2C1B" w:rsidRPr="00E30DF1">
        <w:rPr>
          <w:rFonts w:ascii="Arial" w:hAnsi="Arial" w:cs="Arial"/>
          <w:color w:val="000000" w:themeColor="text1"/>
          <w:sz w:val="22"/>
        </w:rPr>
        <w:t xml:space="preserve"> de conformidad con el artículo 37 de la Ley 222 de 1995</w:t>
      </w:r>
      <w:r w:rsidR="00314712" w:rsidRPr="00E30DF1">
        <w:rPr>
          <w:rFonts w:ascii="Arial" w:hAnsi="Arial" w:cs="Arial"/>
          <w:color w:val="000000" w:themeColor="text1"/>
          <w:sz w:val="22"/>
        </w:rPr>
        <w:t>,</w:t>
      </w:r>
      <w:r w:rsidR="009F2C1B" w:rsidRPr="00E30DF1">
        <w:rPr>
          <w:rFonts w:ascii="Arial" w:hAnsi="Arial" w:cs="Arial"/>
          <w:color w:val="000000" w:themeColor="text1"/>
          <w:sz w:val="22"/>
        </w:rPr>
        <w:t xml:space="preserve"> sin que el Documento T</w:t>
      </w:r>
      <w:r w:rsidR="00B35602" w:rsidRPr="00E30DF1">
        <w:rPr>
          <w:rFonts w:ascii="Arial" w:hAnsi="Arial" w:cs="Arial"/>
          <w:color w:val="000000" w:themeColor="text1"/>
          <w:sz w:val="22"/>
        </w:rPr>
        <w:t>ipo exija</w:t>
      </w:r>
      <w:r w:rsidR="009F2C1B" w:rsidRPr="00E30DF1">
        <w:rPr>
          <w:rFonts w:ascii="Arial" w:hAnsi="Arial" w:cs="Arial"/>
          <w:color w:val="000000" w:themeColor="text1"/>
          <w:sz w:val="22"/>
        </w:rPr>
        <w:t xml:space="preserve"> el dictamen del estado de resultados señalado en el artículo 38 de la Ley 122 de 1995</w:t>
      </w:r>
      <w:r w:rsidR="00EB5A65" w:rsidRPr="00E30DF1">
        <w:rPr>
          <w:rFonts w:ascii="Arial" w:hAnsi="Arial" w:cs="Arial"/>
          <w:color w:val="000000" w:themeColor="text1"/>
          <w:sz w:val="22"/>
        </w:rPr>
        <w:t xml:space="preserve">, por lo </w:t>
      </w:r>
      <w:r w:rsidR="00EB5A65" w:rsidRPr="00E56801">
        <w:rPr>
          <w:rFonts w:ascii="Arial" w:hAnsi="Arial" w:cs="Arial"/>
          <w:color w:val="000000" w:themeColor="text1"/>
          <w:sz w:val="22"/>
        </w:rPr>
        <w:t>que el requisito se acredita en los términos establecidos en los documentos tipo.</w:t>
      </w:r>
    </w:p>
    <w:p w14:paraId="7B4EA10E" w14:textId="77777777" w:rsidR="00C96EC1" w:rsidRDefault="00C96EC1" w:rsidP="00E30DF1">
      <w:pPr>
        <w:tabs>
          <w:tab w:val="left" w:pos="6663"/>
        </w:tabs>
        <w:spacing w:line="276" w:lineRule="auto"/>
        <w:ind w:firstLine="708"/>
        <w:jc w:val="both"/>
        <w:rPr>
          <w:rFonts w:ascii="Arial" w:hAnsi="Arial" w:cs="Arial"/>
          <w:color w:val="000000" w:themeColor="text1"/>
          <w:sz w:val="22"/>
        </w:rPr>
      </w:pPr>
    </w:p>
    <w:p w14:paraId="093E18EB" w14:textId="64E65CE7" w:rsidR="00B85769" w:rsidRDefault="009F2C1B" w:rsidP="00E30DF1">
      <w:pPr>
        <w:jc w:val="both"/>
        <w:rPr>
          <w:rFonts w:ascii="Arial" w:hAnsi="Arial" w:cs="Arial"/>
          <w:b/>
          <w:color w:val="000000" w:themeColor="text1"/>
          <w:sz w:val="22"/>
        </w:rPr>
      </w:pPr>
      <w:r w:rsidRPr="009F2C1B">
        <w:rPr>
          <w:rFonts w:ascii="Arial" w:hAnsi="Arial" w:cs="Arial"/>
          <w:b/>
          <w:color w:val="000000" w:themeColor="text1"/>
          <w:sz w:val="22"/>
        </w:rPr>
        <w:t>2.4</w:t>
      </w:r>
      <w:r w:rsidR="001F62F5" w:rsidRPr="009F2C1B">
        <w:rPr>
          <w:rFonts w:ascii="Arial" w:hAnsi="Arial" w:cs="Arial"/>
          <w:b/>
          <w:color w:val="000000" w:themeColor="text1"/>
          <w:sz w:val="22"/>
        </w:rPr>
        <w:t xml:space="preserve">. </w:t>
      </w:r>
      <w:r w:rsidR="00A105E3">
        <w:rPr>
          <w:rFonts w:ascii="Arial" w:hAnsi="Arial" w:cs="Arial"/>
          <w:b/>
          <w:color w:val="000000" w:themeColor="text1"/>
          <w:sz w:val="22"/>
        </w:rPr>
        <w:t xml:space="preserve">Regla </w:t>
      </w:r>
      <w:r w:rsidR="00B85769" w:rsidRPr="009F2C1B">
        <w:rPr>
          <w:rFonts w:ascii="Arial" w:hAnsi="Arial" w:cs="Arial"/>
          <w:b/>
          <w:color w:val="000000" w:themeColor="text1"/>
          <w:sz w:val="22"/>
        </w:rPr>
        <w:t>de inalterabilidad de los Documentos Tipo</w:t>
      </w:r>
    </w:p>
    <w:p w14:paraId="7487082B" w14:textId="77777777" w:rsidR="00C96EC1" w:rsidRPr="009F2C1B" w:rsidRDefault="00C96EC1" w:rsidP="00E30DF1">
      <w:pPr>
        <w:jc w:val="both"/>
        <w:rPr>
          <w:rFonts w:ascii="Arial" w:hAnsi="Arial" w:cs="Arial"/>
          <w:b/>
          <w:color w:val="000000" w:themeColor="text1"/>
          <w:sz w:val="22"/>
        </w:rPr>
      </w:pPr>
    </w:p>
    <w:p w14:paraId="44299B74" w14:textId="4A2039AC" w:rsidR="00B85769" w:rsidRPr="00D81EEF" w:rsidRDefault="009F2C1B" w:rsidP="00E30DF1">
      <w:pPr>
        <w:spacing w:line="276" w:lineRule="auto"/>
        <w:jc w:val="both"/>
        <w:rPr>
          <w:rFonts w:ascii="Arial" w:hAnsi="Arial" w:cs="Arial"/>
          <w:sz w:val="22"/>
          <w:shd w:val="clear" w:color="auto" w:fill="FFFFFF"/>
          <w:lang w:val="es-ES"/>
        </w:rPr>
      </w:pPr>
      <w:r>
        <w:rPr>
          <w:rFonts w:ascii="Arial" w:eastAsia="Calibri" w:hAnsi="Arial" w:cs="Arial"/>
          <w:sz w:val="22"/>
          <w:shd w:val="clear" w:color="auto" w:fill="FFFFFF"/>
          <w:lang w:val="es-ES"/>
        </w:rPr>
        <w:t xml:space="preserve">De acuerdo con lo mencionado de manera precedente, es importante tener en </w:t>
      </w:r>
      <w:r w:rsidR="00A105E3">
        <w:rPr>
          <w:rFonts w:ascii="Arial" w:eastAsia="Calibri" w:hAnsi="Arial" w:cs="Arial"/>
          <w:sz w:val="22"/>
          <w:shd w:val="clear" w:color="auto" w:fill="FFFFFF"/>
          <w:lang w:val="es-ES"/>
        </w:rPr>
        <w:t xml:space="preserve">cuenta la </w:t>
      </w:r>
      <w:r>
        <w:rPr>
          <w:rFonts w:ascii="Arial" w:eastAsia="Calibri" w:hAnsi="Arial" w:cs="Arial"/>
          <w:sz w:val="22"/>
          <w:shd w:val="clear" w:color="auto" w:fill="FFFFFF"/>
          <w:lang w:val="es-ES"/>
        </w:rPr>
        <w:t xml:space="preserve">inalterabilidad de los Documentos Tipo adoptados por la Agencia Nacional de Contratación Pública </w:t>
      </w:r>
      <w:r w:rsidR="00B3256D">
        <w:rPr>
          <w:rFonts w:ascii="Arial" w:eastAsia="Calibri" w:hAnsi="Arial" w:cs="Arial"/>
          <w:sz w:val="22"/>
          <w:shd w:val="clear" w:color="auto" w:fill="FFFFFF"/>
          <w:lang w:val="es-ES"/>
        </w:rPr>
        <w:t>–</w:t>
      </w:r>
      <w:r>
        <w:rPr>
          <w:rFonts w:ascii="Arial" w:eastAsia="Calibri" w:hAnsi="Arial" w:cs="Arial"/>
          <w:sz w:val="22"/>
          <w:shd w:val="clear" w:color="auto" w:fill="FFFFFF"/>
          <w:lang w:val="es-ES"/>
        </w:rPr>
        <w:t xml:space="preserve"> Colombia Compra Eficiente.</w:t>
      </w:r>
      <w:r w:rsidR="00B3256D">
        <w:rPr>
          <w:rFonts w:ascii="Arial" w:eastAsia="Calibri" w:hAnsi="Arial" w:cs="Arial"/>
          <w:sz w:val="22"/>
          <w:shd w:val="clear" w:color="auto" w:fill="FFFFFF"/>
          <w:lang w:val="es-ES"/>
        </w:rPr>
        <w:t xml:space="preserve"> </w:t>
      </w:r>
      <w:bookmarkStart w:id="2" w:name="_Hlk81911911"/>
      <w:r w:rsidR="00A105E3">
        <w:rPr>
          <w:rFonts w:ascii="Arial" w:eastAsia="Calibri" w:hAnsi="Arial" w:cs="Arial"/>
          <w:sz w:val="22"/>
          <w:shd w:val="clear" w:color="auto" w:fill="FFFFFF"/>
          <w:lang w:val="es-ES"/>
        </w:rPr>
        <w:t>La regla de inalterabilidad de los Documentos Tipo</w:t>
      </w:r>
      <w:r w:rsidR="00B8272C">
        <w:rPr>
          <w:rFonts w:ascii="Arial" w:eastAsia="Calibri" w:hAnsi="Arial" w:cs="Arial"/>
          <w:sz w:val="22"/>
          <w:shd w:val="clear" w:color="auto" w:fill="FFFFFF"/>
          <w:lang w:val="es-ES"/>
        </w:rPr>
        <w:t>,</w:t>
      </w:r>
      <w:r w:rsidR="000D5703">
        <w:rPr>
          <w:rFonts w:ascii="Arial" w:eastAsia="Calibri" w:hAnsi="Arial" w:cs="Arial"/>
          <w:sz w:val="22"/>
          <w:shd w:val="clear" w:color="auto" w:fill="FFFFFF"/>
          <w:lang w:val="es-ES"/>
        </w:rPr>
        <w:t xml:space="preserve"> cons</w:t>
      </w:r>
      <w:r w:rsidR="00A105E3">
        <w:rPr>
          <w:rFonts w:ascii="Arial" w:eastAsia="Calibri" w:hAnsi="Arial" w:cs="Arial"/>
          <w:sz w:val="22"/>
          <w:shd w:val="clear" w:color="auto" w:fill="FFFFFF"/>
          <w:lang w:val="es-ES"/>
        </w:rPr>
        <w:t>agrada</w:t>
      </w:r>
      <w:r w:rsidR="000D5703">
        <w:rPr>
          <w:rFonts w:ascii="Arial" w:eastAsia="Calibri" w:hAnsi="Arial" w:cs="Arial"/>
          <w:sz w:val="22"/>
          <w:shd w:val="clear" w:color="auto" w:fill="FFFFFF"/>
          <w:lang w:val="es-ES"/>
        </w:rPr>
        <w:t xml:space="preserve"> en l</w:t>
      </w:r>
      <w:r w:rsidR="000D5703" w:rsidRPr="00D81EEF">
        <w:rPr>
          <w:rFonts w:ascii="Arial" w:eastAsia="Calibri" w:hAnsi="Arial" w:cs="Arial"/>
          <w:sz w:val="22"/>
          <w:shd w:val="clear" w:color="auto" w:fill="FFFFFF"/>
          <w:lang w:val="es-ES"/>
        </w:rPr>
        <w:t>os artículos 2.2.1.2.6.1.4, 2.2.1.2.6.2.3 y 2.2.1.2.6.3.4 del Decreto 1082 de 2015</w:t>
      </w:r>
      <w:r w:rsidR="000D5703">
        <w:rPr>
          <w:rFonts w:ascii="Arial" w:eastAsia="Calibri" w:hAnsi="Arial" w:cs="Arial"/>
          <w:sz w:val="22"/>
          <w:shd w:val="clear" w:color="auto" w:fill="FFFFFF"/>
          <w:lang w:val="es-ES"/>
        </w:rPr>
        <w:t xml:space="preserve">, </w:t>
      </w:r>
      <w:r w:rsidR="00B85769" w:rsidRPr="00D81EEF">
        <w:rPr>
          <w:rFonts w:ascii="Arial" w:eastAsia="Calibri" w:hAnsi="Arial" w:cs="Arial"/>
          <w:sz w:val="22"/>
          <w:shd w:val="clear" w:color="auto" w:fill="FFFFFF"/>
          <w:lang w:val="es-ES"/>
        </w:rPr>
        <w:t xml:space="preserve">consiste en que las entidades estatales no pueden incluir o modificar en los documentos del proceso las condiciones habilitantes, los factores técnicos y económicos </w:t>
      </w:r>
      <w:r w:rsidR="00B85769" w:rsidRPr="00D81EEF">
        <w:rPr>
          <w:rFonts w:ascii="Arial" w:eastAsia="Calibri" w:hAnsi="Arial" w:cs="Arial"/>
          <w:sz w:val="22"/>
          <w:shd w:val="clear" w:color="auto" w:fill="FFFFFF"/>
          <w:lang w:val="es-ES"/>
        </w:rPr>
        <w:lastRenderedPageBreak/>
        <w:t xml:space="preserve">de escogencia y los sistemas de ponderación distintos a los señalados en los Documentos Tipo. </w:t>
      </w:r>
      <w:r w:rsidR="00B85769" w:rsidRPr="00D81EEF">
        <w:rPr>
          <w:rFonts w:ascii="Arial" w:hAnsi="Arial" w:cs="Arial"/>
          <w:sz w:val="22"/>
          <w:shd w:val="clear" w:color="auto" w:fill="FFFFFF"/>
          <w:lang w:val="es-ES"/>
        </w:rPr>
        <w:t>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bookmarkEnd w:id="2"/>
      <w:r w:rsidR="00B85769" w:rsidRPr="00D81EEF">
        <w:rPr>
          <w:rFonts w:ascii="Arial" w:hAnsi="Arial" w:cs="Arial"/>
          <w:sz w:val="22"/>
          <w:shd w:val="clear" w:color="auto" w:fill="FFFFFF"/>
          <w:lang w:val="es-ES"/>
        </w:rPr>
        <w:t xml:space="preserve">. </w:t>
      </w:r>
      <w:r w:rsidR="000D5703">
        <w:rPr>
          <w:rFonts w:ascii="Arial" w:hAnsi="Arial" w:cs="Arial"/>
          <w:sz w:val="22"/>
          <w:shd w:val="clear" w:color="auto" w:fill="FFFFFF"/>
          <w:lang w:val="es-ES"/>
        </w:rPr>
        <w:t xml:space="preserve"> </w:t>
      </w:r>
    </w:p>
    <w:p w14:paraId="4AEC12FD" w14:textId="3ECF4F8B" w:rsidR="00526519" w:rsidRDefault="00B85769" w:rsidP="00FD2D6D">
      <w:pPr>
        <w:spacing w:before="120" w:line="276" w:lineRule="auto"/>
        <w:ind w:firstLine="708"/>
        <w:jc w:val="both"/>
        <w:rPr>
          <w:rFonts w:ascii="Arial" w:eastAsia="Calibri" w:hAnsi="Arial" w:cs="Arial"/>
          <w:noProof/>
          <w:sz w:val="22"/>
          <w:lang w:val="es-ES_tradnl"/>
        </w:rPr>
      </w:pPr>
      <w:r w:rsidRPr="00D81EEF">
        <w:rPr>
          <w:rFonts w:ascii="Arial" w:hAnsi="Arial" w:cs="Arial"/>
          <w:sz w:val="22"/>
          <w:shd w:val="clear" w:color="auto" w:fill="FFFFFF"/>
          <w:lang w:val="es-ES"/>
        </w:rPr>
        <w:t>Sin perjuicio de lo anterior, debe tenerse en cuenta que en relación con los documentos tipo expedidos o actualizados luego de la vigencia de la Ley 2022 de 2020</w:t>
      </w:r>
      <w:r w:rsidR="00040F03">
        <w:rPr>
          <w:rStyle w:val="Refdenotaalpie"/>
          <w:rFonts w:ascii="Arial" w:hAnsi="Arial" w:cs="Arial"/>
          <w:sz w:val="22"/>
          <w:shd w:val="clear" w:color="auto" w:fill="FFFFFF"/>
          <w:lang w:val="es-ES"/>
        </w:rPr>
        <w:footnoteReference w:id="11"/>
      </w:r>
      <w:r w:rsidRPr="00D81EEF">
        <w:rPr>
          <w:rFonts w:ascii="Arial" w:hAnsi="Arial" w:cs="Arial"/>
          <w:sz w:val="22"/>
          <w:shd w:val="clear" w:color="auto" w:fill="FFFFFF"/>
          <w:lang w:val="es-ES"/>
        </w:rPr>
        <w:t xml:space="preserve">, el fundamento de la inalterabilidad de su contenido se deriva de lo establecido en </w:t>
      </w:r>
      <w:r w:rsidR="00040F03">
        <w:rPr>
          <w:rFonts w:ascii="Arial" w:hAnsi="Arial" w:cs="Arial"/>
          <w:sz w:val="22"/>
          <w:shd w:val="clear" w:color="auto" w:fill="FFFFFF"/>
          <w:lang w:val="es-ES"/>
        </w:rPr>
        <w:t>dicha</w:t>
      </w:r>
      <w:r w:rsidR="00040F03" w:rsidRPr="00D81EEF">
        <w:rPr>
          <w:rFonts w:ascii="Arial" w:hAnsi="Arial" w:cs="Arial"/>
          <w:sz w:val="22"/>
          <w:shd w:val="clear" w:color="auto" w:fill="FFFFFF"/>
          <w:lang w:val="es-ES"/>
        </w:rPr>
        <w:t xml:space="preserve"> </w:t>
      </w:r>
      <w:r w:rsidRPr="00D81EEF">
        <w:rPr>
          <w:rFonts w:ascii="Arial" w:hAnsi="Arial" w:cs="Arial"/>
          <w:sz w:val="22"/>
          <w:shd w:val="clear" w:color="auto" w:fill="FFFFFF"/>
          <w:lang w:val="es-ES"/>
        </w:rPr>
        <w:t>ley y particularmente lo prescrito en cada una de las resoluciones que adoptan los documentos tipo</w:t>
      </w:r>
      <w:r w:rsidRPr="00D81EEF">
        <w:rPr>
          <w:rFonts w:ascii="Arial" w:eastAsia="Calibri" w:hAnsi="Arial" w:cs="Arial"/>
          <w:noProof/>
          <w:sz w:val="22"/>
          <w:lang w:val="es-ES_tradnl"/>
        </w:rPr>
        <w:t>. En tal sentido, en relación con los documentos tipo de obra de infraestructura de transporte en la modalidad de licitación –Versión 3–</w:t>
      </w:r>
      <w:r w:rsidR="00B8272C">
        <w:rPr>
          <w:rFonts w:ascii="Arial" w:eastAsia="Calibri" w:hAnsi="Arial" w:cs="Arial"/>
          <w:noProof/>
          <w:sz w:val="22"/>
          <w:lang w:val="es-ES_tradnl"/>
        </w:rPr>
        <w:t>,</w:t>
      </w:r>
      <w:r w:rsidRPr="00D81EEF">
        <w:rPr>
          <w:rFonts w:ascii="Arial" w:eastAsia="Calibri" w:hAnsi="Arial" w:cs="Arial"/>
          <w:noProof/>
          <w:sz w:val="22"/>
          <w:lang w:val="es-ES_tradnl"/>
        </w:rPr>
        <w:t xml:space="preserve"> </w:t>
      </w:r>
      <w:r w:rsidR="00526519" w:rsidRPr="00D81EEF">
        <w:rPr>
          <w:rFonts w:ascii="Arial" w:eastAsia="Calibri" w:hAnsi="Arial" w:cs="Arial"/>
          <w:noProof/>
          <w:sz w:val="22"/>
          <w:lang w:val="es-ES_tradnl"/>
        </w:rPr>
        <w:t xml:space="preserve"> el artículo 3 de</w:t>
      </w:r>
      <w:r w:rsidR="000D5703">
        <w:rPr>
          <w:rFonts w:ascii="Arial" w:eastAsia="Calibri" w:hAnsi="Arial" w:cs="Arial"/>
          <w:noProof/>
          <w:sz w:val="22"/>
          <w:lang w:val="es-ES_tradnl"/>
        </w:rPr>
        <w:t xml:space="preserve"> la Resolución No. 240 de 2020 </w:t>
      </w:r>
      <w:r w:rsidR="00526519" w:rsidRPr="00D81EEF">
        <w:rPr>
          <w:rFonts w:ascii="Arial" w:eastAsia="Calibri" w:hAnsi="Arial" w:cs="Arial"/>
          <w:noProof/>
          <w:sz w:val="22"/>
          <w:lang w:val="es-ES_tradnl"/>
        </w:rPr>
        <w:t>dispone la inalterabilidad de los documentos tipo en los siguientes términos: «Las entidades estatales contratantes no podrán incluir o modificar dentro de lo</w:t>
      </w:r>
      <w:r w:rsidR="00526519" w:rsidRPr="00526519">
        <w:rPr>
          <w:rFonts w:ascii="Arial" w:eastAsia="Calibri" w:hAnsi="Arial" w:cs="Arial"/>
          <w:noProof/>
          <w:sz w:val="22"/>
          <w:lang w:val="es-ES_tradnl"/>
        </w:rPr>
        <w:t>s documentos del proceso de selección las condiciones habilitantes, los factores técnicos y económicos de escogencia y los sistemas de ponderación que han sido definidos y señalados en los Documentos Tipo».</w:t>
      </w:r>
    </w:p>
    <w:p w14:paraId="60840D2B" w14:textId="01A97F56" w:rsidR="000D5703" w:rsidRDefault="009A5130" w:rsidP="00FD2D6D">
      <w:pPr>
        <w:spacing w:before="120" w:line="276" w:lineRule="auto"/>
        <w:ind w:firstLine="708"/>
        <w:jc w:val="both"/>
        <w:rPr>
          <w:rFonts w:ascii="Arial" w:eastAsia="Times New Roman" w:hAnsi="Arial" w:cs="Arial"/>
          <w:bCs/>
          <w:color w:val="000000" w:themeColor="text1"/>
          <w:sz w:val="22"/>
          <w:lang w:eastAsia="es-ES_tradnl"/>
        </w:rPr>
      </w:pPr>
      <w:r w:rsidRPr="000D5703">
        <w:rPr>
          <w:rFonts w:ascii="Arial" w:eastAsia="Calibri" w:hAnsi="Arial" w:cs="Arial"/>
          <w:noProof/>
          <w:sz w:val="22"/>
          <w:lang w:val="es-ES_tradnl"/>
        </w:rPr>
        <w:t xml:space="preserve">De tal manera que </w:t>
      </w:r>
      <w:r w:rsidR="00D81EEF" w:rsidRPr="000D5703">
        <w:rPr>
          <w:rFonts w:ascii="Arial" w:eastAsia="Calibri" w:hAnsi="Arial" w:cs="Arial"/>
          <w:noProof/>
          <w:sz w:val="22"/>
          <w:lang w:val="es-ES_tradnl"/>
        </w:rPr>
        <w:t>las versiones 4 y 5 del Documento Base</w:t>
      </w:r>
      <w:r w:rsidR="00B3256D">
        <w:rPr>
          <w:rFonts w:ascii="Arial" w:eastAsia="Calibri" w:hAnsi="Arial" w:cs="Arial"/>
          <w:noProof/>
          <w:sz w:val="22"/>
          <w:lang w:val="es-ES_tradnl"/>
        </w:rPr>
        <w:t>,</w:t>
      </w:r>
      <w:r w:rsidR="00D81EEF" w:rsidRPr="000D5703">
        <w:rPr>
          <w:rFonts w:ascii="Arial" w:eastAsia="Calibri" w:hAnsi="Arial" w:cs="Arial"/>
          <w:noProof/>
          <w:sz w:val="22"/>
          <w:lang w:val="es-ES_tradnl"/>
        </w:rPr>
        <w:t xml:space="preserve"> pertenececiente</w:t>
      </w:r>
      <w:r w:rsidR="009C63F9">
        <w:rPr>
          <w:rFonts w:ascii="Arial" w:eastAsia="Calibri" w:hAnsi="Arial" w:cs="Arial"/>
          <w:noProof/>
          <w:sz w:val="22"/>
          <w:lang w:val="es-ES_tradnl"/>
        </w:rPr>
        <w:t>s</w:t>
      </w:r>
      <w:r w:rsidR="00D81EEF" w:rsidRPr="000D5703">
        <w:rPr>
          <w:rFonts w:ascii="Arial" w:eastAsia="Calibri" w:hAnsi="Arial" w:cs="Arial"/>
          <w:noProof/>
          <w:sz w:val="22"/>
          <w:lang w:val="es-ES_tradnl"/>
        </w:rPr>
        <w:t xml:space="preserve"> a la Versión 3 de los Documentos Tipo</w:t>
      </w:r>
      <w:r w:rsidR="000D5703">
        <w:rPr>
          <w:rFonts w:ascii="Arial" w:eastAsia="Calibri" w:hAnsi="Arial" w:cs="Arial"/>
          <w:noProof/>
          <w:sz w:val="22"/>
          <w:lang w:val="es-ES_tradnl"/>
        </w:rPr>
        <w:t xml:space="preserve"> </w:t>
      </w:r>
      <w:r w:rsidR="000D5703" w:rsidRPr="00D76CC1">
        <w:rPr>
          <w:rFonts w:ascii="Arial" w:eastAsia="Times New Roman" w:hAnsi="Arial" w:cs="Arial"/>
          <w:bCs/>
          <w:color w:val="000000" w:themeColor="text1"/>
          <w:sz w:val="22"/>
          <w:lang w:eastAsia="es-ES_tradnl"/>
        </w:rPr>
        <w:t xml:space="preserve">para licitación de obra pública de infraestructura de transporte </w:t>
      </w:r>
      <w:r w:rsidR="00EA2448">
        <w:rPr>
          <w:rFonts w:ascii="Arial" w:eastAsia="Times New Roman" w:hAnsi="Arial" w:cs="Arial"/>
          <w:bCs/>
          <w:color w:val="000000" w:themeColor="text1"/>
          <w:sz w:val="22"/>
          <w:lang w:eastAsia="es-ES_tradnl"/>
        </w:rPr>
        <w:t>–</w:t>
      </w:r>
      <w:r w:rsidR="000D5703" w:rsidRPr="00D76CC1">
        <w:rPr>
          <w:rFonts w:ascii="Arial" w:eastAsia="Times New Roman" w:hAnsi="Arial" w:cs="Arial"/>
          <w:bCs/>
          <w:color w:val="000000" w:themeColor="text1"/>
          <w:sz w:val="22"/>
          <w:lang w:eastAsia="es-ES_tradnl"/>
        </w:rPr>
        <w:t xml:space="preserve"> Versión 3</w:t>
      </w:r>
      <w:r w:rsidR="000D5703">
        <w:rPr>
          <w:rFonts w:ascii="Arial" w:eastAsia="Times New Roman" w:hAnsi="Arial" w:cs="Arial"/>
          <w:bCs/>
          <w:color w:val="000000" w:themeColor="text1"/>
          <w:sz w:val="22"/>
          <w:lang w:eastAsia="es-ES_tradnl"/>
        </w:rPr>
        <w:t xml:space="preserve">, respecto del estado de resultados </w:t>
      </w:r>
      <w:r w:rsidR="002F369D">
        <w:rPr>
          <w:rFonts w:ascii="Arial" w:eastAsia="Times New Roman" w:hAnsi="Arial" w:cs="Arial"/>
          <w:bCs/>
          <w:color w:val="000000" w:themeColor="text1"/>
          <w:sz w:val="22"/>
          <w:lang w:eastAsia="es-ES_tradnl"/>
        </w:rPr>
        <w:t xml:space="preserve">solo exigen </w:t>
      </w:r>
      <w:r w:rsidR="002F369D" w:rsidRPr="00EE750F">
        <w:rPr>
          <w:rFonts w:ascii="Arial" w:hAnsi="Arial" w:cs="Arial"/>
          <w:color w:val="000000" w:themeColor="text1"/>
          <w:sz w:val="22"/>
        </w:rPr>
        <w:t xml:space="preserve">aportar el estado de resultados del año en que el proponente obtuvo mayor ingreso operacional </w:t>
      </w:r>
      <w:r w:rsidR="00023F6A">
        <w:rPr>
          <w:rFonts w:ascii="Arial" w:hAnsi="Arial" w:cs="Arial"/>
          <w:color w:val="000000" w:themeColor="text1"/>
          <w:sz w:val="22"/>
        </w:rPr>
        <w:t xml:space="preserve">en los últimos 5 años </w:t>
      </w:r>
      <w:r w:rsidR="002F369D" w:rsidRPr="00EE750F">
        <w:rPr>
          <w:rFonts w:ascii="Arial" w:hAnsi="Arial" w:cs="Arial"/>
          <w:sz w:val="22"/>
        </w:rPr>
        <w:t>debidamente firmado por el representante legal, contador y revisor fiscal y/o contador independiente (externo), si están obligados a tenerlos</w:t>
      </w:r>
      <w:r w:rsidR="002F369D" w:rsidRPr="00EE750F">
        <w:rPr>
          <w:rFonts w:ascii="Arial" w:hAnsi="Arial" w:cs="Arial"/>
          <w:color w:val="000000" w:themeColor="text1"/>
          <w:sz w:val="22"/>
        </w:rPr>
        <w:t>, y la copia de la tarjeta profesional y certificado de antecedentes disciplinarios vigentes de los contadores públicos, revisores fiscales, contadores independientes (externos), quienes suscribieron dichos documentos, de conformidad con el artículo 37 de la Ley 222 de 1995, sin que el Documento Tipo exija el dictamen del estado de resultados señalado en el artículo 38 de la Ley 122 de 1995</w:t>
      </w:r>
      <w:r w:rsidR="004B21D8">
        <w:rPr>
          <w:rFonts w:ascii="Arial" w:eastAsia="Times New Roman" w:hAnsi="Arial" w:cs="Arial"/>
          <w:bCs/>
          <w:color w:val="000000" w:themeColor="text1"/>
          <w:sz w:val="22"/>
          <w:lang w:eastAsia="es-ES_tradnl"/>
        </w:rPr>
        <w:t xml:space="preserve">. </w:t>
      </w:r>
    </w:p>
    <w:p w14:paraId="0D77A1EE" w14:textId="77777777" w:rsidR="00526519" w:rsidRPr="000D5703" w:rsidRDefault="00526519" w:rsidP="00B85769">
      <w:pPr>
        <w:spacing w:before="120" w:line="276" w:lineRule="auto"/>
        <w:ind w:firstLine="708"/>
        <w:jc w:val="both"/>
        <w:rPr>
          <w:rFonts w:ascii="Arial" w:eastAsia="Calibri" w:hAnsi="Arial" w:cs="Arial"/>
          <w:noProof/>
          <w:sz w:val="22"/>
          <w:lang w:val="es-CO"/>
        </w:rPr>
      </w:pPr>
    </w:p>
    <w:p w14:paraId="0C3C651A" w14:textId="77777777" w:rsidR="003E0889" w:rsidRPr="009C7D09" w:rsidRDefault="003E0889" w:rsidP="003E0889">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9C7D09">
        <w:rPr>
          <w:rFonts w:ascii="Arial" w:hAnsi="Arial" w:cs="Arial"/>
          <w:b/>
          <w:bCs/>
          <w:sz w:val="22"/>
          <w:lang w:val="es-ES_tradnl"/>
        </w:rPr>
        <w:lastRenderedPageBreak/>
        <w:t xml:space="preserve">Respuesta </w:t>
      </w:r>
    </w:p>
    <w:p w14:paraId="526CCE32" w14:textId="77777777" w:rsidR="004F3D32" w:rsidRPr="00A70F57" w:rsidRDefault="004F3D32" w:rsidP="00F17AD4">
      <w:pPr>
        <w:jc w:val="both"/>
        <w:rPr>
          <w:rFonts w:ascii="Arial" w:hAnsi="Arial" w:cs="Arial"/>
          <w:color w:val="000000" w:themeColor="text1"/>
          <w:sz w:val="22"/>
        </w:rPr>
      </w:pPr>
    </w:p>
    <w:p w14:paraId="01ACB57E" w14:textId="73230978" w:rsidR="004F3D32" w:rsidRPr="004276E7" w:rsidRDefault="00BF1787" w:rsidP="004276E7">
      <w:pPr>
        <w:ind w:left="709" w:right="709"/>
        <w:jc w:val="both"/>
        <w:rPr>
          <w:rFonts w:ascii="Arial" w:eastAsia="Times New Roman" w:hAnsi="Arial" w:cs="Arial"/>
          <w:color w:val="000000" w:themeColor="text1"/>
          <w:sz w:val="21"/>
          <w:szCs w:val="21"/>
          <w:lang w:val="es-ES" w:eastAsia="es-ES_tradnl"/>
        </w:rPr>
      </w:pPr>
      <w:r w:rsidRPr="004276E7">
        <w:rPr>
          <w:rFonts w:ascii="Arial" w:eastAsia="Times New Roman" w:hAnsi="Arial" w:cs="Arial"/>
          <w:color w:val="000000" w:themeColor="text1"/>
          <w:sz w:val="21"/>
          <w:szCs w:val="21"/>
          <w:lang w:val="es-ES" w:eastAsia="es-ES_tradnl"/>
        </w:rPr>
        <w:t xml:space="preserve">«[…] Por lo anterior, teniendo en cuenta el sentido de la respuesta dada por la entidad sobre la obligatoriedad de dar cumplimiento al 17 de la ley 842 de 2003 y el concepto dado según radicado N° Radicado: 2201913000008415. </w:t>
      </w:r>
      <w:proofErr w:type="gramStart"/>
      <w:r w:rsidRPr="004276E7">
        <w:rPr>
          <w:rFonts w:ascii="Arial" w:eastAsia="Times New Roman" w:hAnsi="Arial" w:cs="Arial"/>
          <w:color w:val="000000" w:themeColor="text1"/>
          <w:sz w:val="21"/>
          <w:szCs w:val="21"/>
          <w:lang w:val="es-ES" w:eastAsia="es-ES_tradnl"/>
        </w:rPr>
        <w:t>¿El estado de resultados para acreditar la capacidad de organización de que trata el numeral I del literal A, de numeral 3.</w:t>
      </w:r>
      <w:proofErr w:type="gramEnd"/>
      <w:r w:rsidRPr="004276E7">
        <w:rPr>
          <w:rFonts w:ascii="Arial" w:eastAsia="Times New Roman" w:hAnsi="Arial" w:cs="Arial"/>
          <w:color w:val="000000" w:themeColor="text1"/>
          <w:sz w:val="21"/>
          <w:szCs w:val="21"/>
          <w:lang w:val="es-ES" w:eastAsia="es-ES_tradnl"/>
        </w:rPr>
        <w:t>10.2, del pliego tipo Versión 4, se debe aportar junto con la certificación de que trata el numeral 37 de la ley 222 de 1995 y dictaminado conforme el artículo 38 de la misma ley a pesar que no estar de manera literal dentro del requisito o con el simple hecho de que este firmado es suficiente?»</w:t>
      </w:r>
    </w:p>
    <w:p w14:paraId="4CA9E871" w14:textId="77777777" w:rsidR="00D37F03" w:rsidRDefault="00D37F03" w:rsidP="00D37F03">
      <w:pPr>
        <w:spacing w:line="276" w:lineRule="auto"/>
        <w:jc w:val="both"/>
        <w:rPr>
          <w:rFonts w:ascii="Arial" w:eastAsia="Times New Roman" w:hAnsi="Arial" w:cs="Arial"/>
          <w:bCs/>
          <w:color w:val="000000" w:themeColor="text1"/>
          <w:sz w:val="22"/>
          <w:lang w:eastAsia="es-ES_tradnl"/>
        </w:rPr>
      </w:pPr>
    </w:p>
    <w:p w14:paraId="0C5DA124" w14:textId="708165AC" w:rsidR="00B35602" w:rsidRDefault="00A6700F" w:rsidP="00E30DF1">
      <w:pPr>
        <w:spacing w:line="276" w:lineRule="auto"/>
        <w:jc w:val="both"/>
        <w:rPr>
          <w:rFonts w:ascii="Arial" w:hAnsi="Arial" w:cs="Arial"/>
          <w:color w:val="000000" w:themeColor="text1"/>
          <w:sz w:val="22"/>
        </w:rPr>
      </w:pPr>
      <w:r w:rsidRPr="00B35602">
        <w:rPr>
          <w:rFonts w:ascii="Arial" w:eastAsia="Times New Roman" w:hAnsi="Arial" w:cs="Arial"/>
          <w:bCs/>
          <w:color w:val="000000" w:themeColor="text1"/>
          <w:sz w:val="22"/>
          <w:lang w:eastAsia="es-ES_tradnl"/>
        </w:rPr>
        <w:t xml:space="preserve">De acuerdo con </w:t>
      </w:r>
      <w:r w:rsidR="0027411E">
        <w:rPr>
          <w:rFonts w:ascii="Arial" w:eastAsia="Times New Roman" w:hAnsi="Arial" w:cs="Arial"/>
          <w:bCs/>
          <w:color w:val="000000" w:themeColor="text1"/>
          <w:sz w:val="22"/>
          <w:lang w:eastAsia="es-ES_tradnl"/>
        </w:rPr>
        <w:t xml:space="preserve">lo </w:t>
      </w:r>
      <w:r w:rsidR="00B35602" w:rsidRPr="00B35602">
        <w:rPr>
          <w:rFonts w:ascii="Arial" w:eastAsia="Times New Roman" w:hAnsi="Arial" w:cs="Arial"/>
          <w:bCs/>
          <w:color w:val="000000" w:themeColor="text1"/>
          <w:sz w:val="22"/>
          <w:lang w:eastAsia="es-ES_tradnl"/>
        </w:rPr>
        <w:t xml:space="preserve">establecido en los Documentos Tipo para licitación de obra pública de infraestructura de transporte </w:t>
      </w:r>
      <w:r w:rsidR="00E25964">
        <w:rPr>
          <w:rFonts w:ascii="Arial" w:eastAsia="Times New Roman" w:hAnsi="Arial" w:cs="Arial"/>
          <w:bCs/>
          <w:color w:val="000000" w:themeColor="text1"/>
          <w:sz w:val="22"/>
          <w:lang w:eastAsia="es-ES_tradnl"/>
        </w:rPr>
        <w:t>–</w:t>
      </w:r>
      <w:r w:rsidR="00B35602" w:rsidRPr="00B35602">
        <w:rPr>
          <w:rFonts w:ascii="Arial" w:eastAsia="Times New Roman" w:hAnsi="Arial" w:cs="Arial"/>
          <w:bCs/>
          <w:color w:val="000000" w:themeColor="text1"/>
          <w:sz w:val="22"/>
          <w:lang w:eastAsia="es-ES_tradnl"/>
        </w:rPr>
        <w:t xml:space="preserve"> Versión 3, en </w:t>
      </w:r>
      <w:r w:rsidRPr="00B35602">
        <w:rPr>
          <w:rFonts w:ascii="Arial" w:eastAsia="Times New Roman" w:hAnsi="Arial" w:cs="Arial"/>
          <w:bCs/>
          <w:color w:val="000000" w:themeColor="text1"/>
          <w:sz w:val="22"/>
          <w:lang w:eastAsia="es-ES_tradnl"/>
        </w:rPr>
        <w:t>el numeral 3.10.2</w:t>
      </w:r>
      <w:r w:rsidR="00912EA2" w:rsidRPr="00B35602">
        <w:rPr>
          <w:rFonts w:ascii="Arial" w:eastAsia="Times New Roman" w:hAnsi="Arial" w:cs="Arial"/>
          <w:bCs/>
          <w:color w:val="000000" w:themeColor="text1"/>
          <w:sz w:val="22"/>
          <w:lang w:eastAsia="es-ES_tradnl"/>
        </w:rPr>
        <w:t>, literal A, del Documento Base (versiones</w:t>
      </w:r>
      <w:r w:rsidR="00B35602" w:rsidRPr="00B35602">
        <w:rPr>
          <w:rFonts w:ascii="Arial" w:eastAsia="Times New Roman" w:hAnsi="Arial" w:cs="Arial"/>
          <w:bCs/>
          <w:color w:val="000000" w:themeColor="text1"/>
          <w:sz w:val="22"/>
          <w:lang w:eastAsia="es-ES_tradnl"/>
        </w:rPr>
        <w:t xml:space="preserve"> 4 y 5)</w:t>
      </w:r>
      <w:r w:rsidR="0027411E">
        <w:rPr>
          <w:rFonts w:ascii="Arial" w:eastAsia="Times New Roman" w:hAnsi="Arial" w:cs="Arial"/>
          <w:bCs/>
          <w:color w:val="000000" w:themeColor="text1"/>
          <w:sz w:val="22"/>
          <w:lang w:eastAsia="es-ES_tradnl"/>
        </w:rPr>
        <w:t>, para</w:t>
      </w:r>
      <w:r w:rsidR="00B35602" w:rsidRPr="00B35602">
        <w:rPr>
          <w:rFonts w:ascii="Arial" w:eastAsia="Times New Roman" w:hAnsi="Arial" w:cs="Arial"/>
          <w:bCs/>
          <w:color w:val="000000" w:themeColor="text1"/>
          <w:sz w:val="22"/>
          <w:lang w:eastAsia="es-ES_tradnl"/>
        </w:rPr>
        <w:t xml:space="preserve"> la acreditaci</w:t>
      </w:r>
      <w:r w:rsidR="0027411E">
        <w:rPr>
          <w:rFonts w:ascii="Arial" w:eastAsia="Times New Roman" w:hAnsi="Arial" w:cs="Arial"/>
          <w:bCs/>
          <w:color w:val="000000" w:themeColor="text1"/>
          <w:sz w:val="22"/>
          <w:lang w:eastAsia="es-ES_tradnl"/>
        </w:rPr>
        <w:t>ón del estado de resultados</w:t>
      </w:r>
      <w:r w:rsidR="00B35602" w:rsidRPr="00B35602">
        <w:rPr>
          <w:rFonts w:ascii="Arial" w:eastAsia="Times New Roman" w:hAnsi="Arial" w:cs="Arial"/>
          <w:bCs/>
          <w:color w:val="000000" w:themeColor="text1"/>
          <w:sz w:val="22"/>
          <w:lang w:eastAsia="es-ES_tradnl"/>
        </w:rPr>
        <w:t xml:space="preserve"> </w:t>
      </w:r>
      <w:r w:rsidR="00DB35CF">
        <w:rPr>
          <w:rFonts w:ascii="Arial" w:eastAsia="Times New Roman" w:hAnsi="Arial" w:cs="Arial"/>
          <w:bCs/>
          <w:color w:val="000000" w:themeColor="text1"/>
          <w:sz w:val="22"/>
          <w:lang w:eastAsia="es-ES_tradnl"/>
        </w:rPr>
        <w:t xml:space="preserve">de los proponentes que cuentan con RUP </w:t>
      </w:r>
      <w:r w:rsidR="00B35602" w:rsidRPr="009F2C1B">
        <w:rPr>
          <w:rFonts w:ascii="Arial" w:hAnsi="Arial" w:cs="Arial"/>
          <w:color w:val="000000" w:themeColor="text1"/>
          <w:sz w:val="22"/>
        </w:rPr>
        <w:t xml:space="preserve">solo se requiere aportar el estado de resultados del año en que el proponente obtuvo mayor ingreso operacional </w:t>
      </w:r>
      <w:r w:rsidR="0027411E">
        <w:rPr>
          <w:rFonts w:ascii="Arial" w:hAnsi="Arial" w:cs="Arial"/>
          <w:color w:val="000000" w:themeColor="text1"/>
          <w:sz w:val="22"/>
        </w:rPr>
        <w:t xml:space="preserve">en los últimos cinco (5) años, </w:t>
      </w:r>
      <w:r w:rsidR="0027411E" w:rsidRPr="00A70F57">
        <w:rPr>
          <w:rFonts w:ascii="Arial" w:hAnsi="Arial" w:cs="Arial"/>
          <w:sz w:val="22"/>
        </w:rPr>
        <w:t>debidamente firmado por el representante legal, contador y revisor fiscal y/o contador independiente (externo), si están obligados a tenerlos</w:t>
      </w:r>
      <w:r w:rsidR="0027411E">
        <w:rPr>
          <w:rFonts w:ascii="Arial" w:hAnsi="Arial" w:cs="Arial"/>
          <w:color w:val="000000" w:themeColor="text1"/>
          <w:sz w:val="22"/>
        </w:rPr>
        <w:t xml:space="preserve">, </w:t>
      </w:r>
      <w:r w:rsidR="00B35602" w:rsidRPr="009F2C1B">
        <w:rPr>
          <w:rFonts w:ascii="Arial" w:hAnsi="Arial" w:cs="Arial"/>
          <w:color w:val="000000" w:themeColor="text1"/>
          <w:sz w:val="22"/>
        </w:rPr>
        <w:t>y la copia de la tarjeta profesional y certificado de antecedentes disciplinarios vigentes de los contadores públicos, revisores fiscales, contadores independientes (externos), quienes suscribieron dichos documentos</w:t>
      </w:r>
      <w:r w:rsidR="00B35602">
        <w:rPr>
          <w:rFonts w:ascii="Arial" w:hAnsi="Arial" w:cs="Arial"/>
          <w:color w:val="000000" w:themeColor="text1"/>
          <w:sz w:val="22"/>
        </w:rPr>
        <w:t xml:space="preserve"> </w:t>
      </w:r>
      <w:r w:rsidR="00B35602" w:rsidRPr="009F2C1B">
        <w:rPr>
          <w:rFonts w:ascii="Arial" w:hAnsi="Arial" w:cs="Arial"/>
          <w:color w:val="000000" w:themeColor="text1"/>
          <w:sz w:val="22"/>
        </w:rPr>
        <w:t>de conformidad con el artículo 37 de la Ley 222 de 1995</w:t>
      </w:r>
      <w:r w:rsidR="00B35602">
        <w:rPr>
          <w:rFonts w:ascii="Arial" w:hAnsi="Arial" w:cs="Arial"/>
          <w:color w:val="000000" w:themeColor="text1"/>
          <w:sz w:val="22"/>
        </w:rPr>
        <w:t>, sin que el Documento Tipo exija el dictamen del estado de resultados señalado en el artículo 38 de la Ley 122 de 1995.</w:t>
      </w:r>
    </w:p>
    <w:p w14:paraId="15884D34" w14:textId="77777777" w:rsidR="00912EA2" w:rsidRPr="00A70F57" w:rsidRDefault="00912EA2" w:rsidP="00912EA2">
      <w:pPr>
        <w:widowControl w:val="0"/>
        <w:jc w:val="both"/>
        <w:rPr>
          <w:rFonts w:ascii="Arial" w:hAnsi="Arial" w:cs="Arial"/>
          <w:bCs/>
          <w:sz w:val="22"/>
        </w:rPr>
      </w:pPr>
    </w:p>
    <w:p w14:paraId="66CE4DD8" w14:textId="04838E82" w:rsidR="00BE1E33" w:rsidRPr="00A70F57" w:rsidRDefault="00BE1E33" w:rsidP="00E30DF1">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A70F57">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ED1F11" w:rsidRDefault="00BE1E33" w:rsidP="00BE1E33">
      <w:pPr>
        <w:ind w:firstLine="709"/>
        <w:jc w:val="both"/>
        <w:rPr>
          <w:rFonts w:ascii="Arial" w:eastAsia="Calibri" w:hAnsi="Arial" w:cs="Arial"/>
          <w:sz w:val="22"/>
          <w:lang w:val="es-ES_tradnl"/>
        </w:rPr>
      </w:pPr>
    </w:p>
    <w:p w14:paraId="2B02915D" w14:textId="77777777" w:rsidR="00BE1E33" w:rsidRPr="00ED1F11" w:rsidRDefault="00BE1E33" w:rsidP="00BE1E33">
      <w:pPr>
        <w:jc w:val="both"/>
        <w:rPr>
          <w:rFonts w:ascii="Arial" w:eastAsia="Times New Roman" w:hAnsi="Arial" w:cs="Arial"/>
          <w:sz w:val="22"/>
          <w:lang w:val="es-ES_tradnl" w:eastAsia="es-CO"/>
        </w:rPr>
      </w:pPr>
      <w:r w:rsidRPr="00ED1F11">
        <w:rPr>
          <w:rFonts w:ascii="Arial" w:eastAsia="Times New Roman" w:hAnsi="Arial" w:cs="Arial"/>
          <w:sz w:val="22"/>
          <w:lang w:val="es-ES_tradnl" w:eastAsia="es-CO"/>
        </w:rPr>
        <w:t>Atentamente,</w:t>
      </w:r>
    </w:p>
    <w:bookmarkEnd w:id="0"/>
    <w:bookmarkEnd w:id="1"/>
    <w:p w14:paraId="1C8F6984" w14:textId="53100FDA" w:rsidR="00BE1E33" w:rsidRPr="00ED1F11" w:rsidRDefault="00BE1E33" w:rsidP="00BE1E33">
      <w:pPr>
        <w:jc w:val="center"/>
        <w:rPr>
          <w:rFonts w:ascii="Arial" w:eastAsia="Times New Roman" w:hAnsi="Arial" w:cs="Arial"/>
          <w:sz w:val="18"/>
          <w:szCs w:val="20"/>
          <w:lang w:val="es-ES_tradnl" w:eastAsia="es-CO"/>
        </w:rPr>
      </w:pPr>
    </w:p>
    <w:p w14:paraId="5598544B" w14:textId="6B499172" w:rsidR="006D31E1" w:rsidRPr="00ED1F11" w:rsidRDefault="00255832" w:rsidP="00BE1E33">
      <w:pPr>
        <w:jc w:val="center"/>
        <w:rPr>
          <w:rFonts w:ascii="Arial" w:eastAsia="Times New Roman" w:hAnsi="Arial" w:cs="Arial"/>
          <w:sz w:val="18"/>
          <w:szCs w:val="20"/>
          <w:lang w:val="es-ES_tradnl" w:eastAsia="es-CO"/>
        </w:rPr>
      </w:pPr>
      <w:r>
        <w:rPr>
          <w:noProof/>
        </w:rPr>
        <w:drawing>
          <wp:inline distT="0" distB="0" distL="0" distR="0" wp14:anchorId="005DC4A5" wp14:editId="284D95BB">
            <wp:extent cx="2514600" cy="1114425"/>
            <wp:effectExtent l="0" t="0" r="0" b="9525"/>
            <wp:docPr id="1357320060" name="Imagen 135732006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0060" name="Imagen 1357320060"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346F88" w:rsidRPr="00ED1F11">
        <w:rPr>
          <w:rFonts w:ascii="Arial" w:hAnsi="Arial" w:cs="Arial"/>
          <w:sz w:val="18"/>
          <w:szCs w:val="18"/>
          <w:shd w:val="clear" w:color="auto" w:fill="FFFFFF"/>
          <w:lang w:val="es-ES_tradnl"/>
        </w:rPr>
        <w:br/>
      </w:r>
    </w:p>
    <w:p w14:paraId="724B0300" w14:textId="77777777" w:rsidR="00730CDB" w:rsidRPr="00ED1F11" w:rsidRDefault="00730CDB" w:rsidP="00BE1E33">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ED1F11" w14:paraId="7E5CB93D" w14:textId="77777777" w:rsidTr="0043588C">
        <w:trPr>
          <w:trHeight w:val="315"/>
        </w:trPr>
        <w:tc>
          <w:tcPr>
            <w:tcW w:w="812" w:type="dxa"/>
            <w:vAlign w:val="center"/>
            <w:hideMark/>
          </w:tcPr>
          <w:p w14:paraId="44CFA06E"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Guillermo Escolar Flórez</w:t>
            </w:r>
          </w:p>
          <w:p w14:paraId="6C4A6DA1" w14:textId="5897BB3C" w:rsidR="00982E99" w:rsidRPr="00ED1F11" w:rsidRDefault="00982E99"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Contratista de la Subdirección de Gestión Contractual</w:t>
            </w:r>
          </w:p>
        </w:tc>
      </w:tr>
      <w:tr w:rsidR="00ED1F11" w:rsidRPr="00ED1F11" w14:paraId="092BCD16" w14:textId="77777777" w:rsidTr="0043588C">
        <w:trPr>
          <w:trHeight w:val="330"/>
        </w:trPr>
        <w:tc>
          <w:tcPr>
            <w:tcW w:w="812" w:type="dxa"/>
            <w:vAlign w:val="center"/>
            <w:hideMark/>
          </w:tcPr>
          <w:p w14:paraId="463B4DD3"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9B52C8" w14:textId="77777777" w:rsidR="008F0019" w:rsidRPr="00F218E0" w:rsidRDefault="008F0019" w:rsidP="008F0019">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72718C99" w14:textId="39C3892A" w:rsidR="00BE1E33" w:rsidRPr="00ED1F11" w:rsidRDefault="008F0019" w:rsidP="008F0019">
            <w:pPr>
              <w:rPr>
                <w:rFonts w:ascii="Arial" w:eastAsia="Times New Roman" w:hAnsi="Arial" w:cs="Arial"/>
                <w:sz w:val="16"/>
                <w:szCs w:val="16"/>
                <w:lang w:val="es-ES_tradnl" w:eastAsia="es-ES"/>
              </w:rPr>
            </w:pPr>
            <w:r w:rsidRPr="009868CC">
              <w:rPr>
                <w:rFonts w:ascii="Arial" w:hAnsi="Arial" w:cs="Arial"/>
                <w:sz w:val="16"/>
                <w:szCs w:val="16"/>
                <w:lang w:val="es-ES_tradnl" w:eastAsia="es-ES"/>
              </w:rPr>
              <w:t>Gestor T1-15 de la Subdirección de Gestión Contractual</w:t>
            </w:r>
          </w:p>
        </w:tc>
      </w:tr>
      <w:tr w:rsidR="00982E99" w:rsidRPr="00ED1F11" w14:paraId="57DAFEF9" w14:textId="77777777" w:rsidTr="0043588C">
        <w:trPr>
          <w:trHeight w:val="300"/>
        </w:trPr>
        <w:tc>
          <w:tcPr>
            <w:tcW w:w="812" w:type="dxa"/>
            <w:vAlign w:val="center"/>
            <w:hideMark/>
          </w:tcPr>
          <w:p w14:paraId="70677013"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Jorge Augusto Tirado Navarro</w:t>
            </w:r>
          </w:p>
          <w:p w14:paraId="75BC677C" w14:textId="76A38807"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Subdirector de Gestión Contractual</w:t>
            </w:r>
          </w:p>
        </w:tc>
      </w:tr>
    </w:tbl>
    <w:p w14:paraId="085A31AB" w14:textId="77777777" w:rsidR="006C5955" w:rsidRPr="00ED1F11" w:rsidRDefault="006C5955" w:rsidP="0052334B">
      <w:pPr>
        <w:rPr>
          <w:lang w:val="es-ES_tradnl"/>
        </w:rPr>
      </w:pPr>
    </w:p>
    <w:sectPr w:rsidR="006C5955" w:rsidRPr="00ED1F11" w:rsidSect="0043588C">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0648" w14:textId="77777777" w:rsidR="00D857EA" w:rsidRDefault="00D857EA" w:rsidP="008C487C">
      <w:r>
        <w:separator/>
      </w:r>
    </w:p>
  </w:endnote>
  <w:endnote w:type="continuationSeparator" w:id="0">
    <w:p w14:paraId="6EF4E6B5" w14:textId="77777777" w:rsidR="00D857EA" w:rsidRDefault="00D857E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5D07F1B" w:rsidR="00C11BCD" w:rsidRPr="008217B7" w:rsidRDefault="00C11BCD"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21D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21D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1E40" w14:textId="77777777" w:rsidR="00D857EA" w:rsidRDefault="00D857EA" w:rsidP="008C487C">
      <w:r>
        <w:separator/>
      </w:r>
    </w:p>
  </w:footnote>
  <w:footnote w:type="continuationSeparator" w:id="0">
    <w:p w14:paraId="0E5F44DB" w14:textId="77777777" w:rsidR="00D857EA" w:rsidRDefault="00D857EA" w:rsidP="008C487C">
      <w:r>
        <w:continuationSeparator/>
      </w:r>
    </w:p>
  </w:footnote>
  <w:footnote w:id="1">
    <w:p w14:paraId="624D1123" w14:textId="77777777" w:rsidR="00C11BCD" w:rsidRPr="00040F03" w:rsidRDefault="00C11BCD" w:rsidP="00040F03">
      <w:pPr>
        <w:pStyle w:val="Textonotapie"/>
        <w:ind w:firstLine="708"/>
        <w:jc w:val="both"/>
        <w:rPr>
          <w:rFonts w:ascii="Arial" w:hAnsi="Arial" w:cs="Arial"/>
          <w:color w:val="000000" w:themeColor="text1"/>
          <w:sz w:val="19"/>
          <w:szCs w:val="19"/>
          <w:lang w:val="es-CO"/>
        </w:rPr>
      </w:pPr>
      <w:r w:rsidRPr="00040F03">
        <w:rPr>
          <w:rFonts w:ascii="Arial" w:eastAsia="Calibri" w:hAnsi="Arial" w:cs="Arial"/>
          <w:color w:val="000000" w:themeColor="text1"/>
          <w:sz w:val="19"/>
          <w:szCs w:val="19"/>
          <w:vertAlign w:val="superscript"/>
        </w:rPr>
        <w:footnoteRef/>
      </w:r>
      <w:r w:rsidRPr="00040F03">
        <w:rPr>
          <w:rFonts w:ascii="Arial" w:eastAsia="Calibri" w:hAnsi="Arial" w:cs="Arial"/>
          <w:color w:val="000000" w:themeColor="text1"/>
          <w:sz w:val="19"/>
          <w:szCs w:val="19"/>
          <w:vertAlign w:val="superscript"/>
        </w:rPr>
        <w:t xml:space="preserve"> </w:t>
      </w:r>
      <w:r w:rsidRPr="00040F0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2">
    <w:p w14:paraId="32E85E27" w14:textId="77777777" w:rsidR="00C11BCD" w:rsidRPr="00040F03" w:rsidRDefault="00C11BCD" w:rsidP="00040F03">
      <w:pPr>
        <w:pStyle w:val="Textonotapie"/>
        <w:ind w:firstLine="709"/>
        <w:jc w:val="both"/>
        <w:rPr>
          <w:rFonts w:ascii="Arial" w:hAnsi="Arial" w:cs="Arial"/>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Sociedad Colombiana de Ingenieros. Concepto técnico. Capacidad de Contratación Para Constructores. Febrero 2014. </w:t>
      </w:r>
    </w:p>
    <w:p w14:paraId="1770CCB2" w14:textId="77777777" w:rsidR="00C11BCD" w:rsidRPr="00040F03" w:rsidRDefault="00C11BCD" w:rsidP="00040F03">
      <w:pPr>
        <w:pStyle w:val="Textonotapie"/>
        <w:ind w:firstLine="709"/>
        <w:jc w:val="both"/>
        <w:rPr>
          <w:rFonts w:ascii="Arial" w:hAnsi="Arial" w:cs="Arial"/>
          <w:sz w:val="19"/>
          <w:szCs w:val="19"/>
          <w:lang w:val="es-CO"/>
        </w:rPr>
      </w:pPr>
    </w:p>
  </w:footnote>
  <w:footnote w:id="3">
    <w:p w14:paraId="48010FC3" w14:textId="643921E0" w:rsidR="00A33303" w:rsidRPr="00040F03" w:rsidRDefault="00A33303" w:rsidP="00040F0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r w:rsidRPr="00040F03">
        <w:rPr>
          <w:rFonts w:ascii="Arial" w:hAnsi="Arial" w:cs="Arial"/>
          <w:sz w:val="19"/>
          <w:szCs w:val="19"/>
          <w:lang w:val="es-ES"/>
        </w:rPr>
        <w:t>sta resolución actualizó los Documentos Tipo - Versión 1 mediante los Documentos Tipo - Versión 2 y derogó la Resolución No. 1798 de 2019.</w:t>
      </w:r>
    </w:p>
  </w:footnote>
  <w:footnote w:id="4">
    <w:p w14:paraId="759C7B58" w14:textId="77777777" w:rsidR="00D03E5C" w:rsidRPr="00040F03" w:rsidRDefault="00D03E5C" w:rsidP="00040F03">
      <w:pPr>
        <w:pStyle w:val="Textonotapie"/>
        <w:ind w:firstLine="708"/>
        <w:jc w:val="both"/>
        <w:rPr>
          <w:rFonts w:ascii="Arial" w:hAnsi="Arial" w:cs="Arial"/>
          <w:sz w:val="19"/>
          <w:szCs w:val="19"/>
        </w:rPr>
      </w:pPr>
    </w:p>
    <w:p w14:paraId="3C825C90" w14:textId="5805E7DA" w:rsidR="00A33303" w:rsidRPr="00040F03" w:rsidRDefault="00A33303" w:rsidP="00040F0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r w:rsidRPr="00040F03">
        <w:rPr>
          <w:rFonts w:ascii="Arial" w:hAnsi="Arial" w:cs="Arial"/>
          <w:sz w:val="19"/>
          <w:szCs w:val="19"/>
          <w:lang w:val="es-ES"/>
        </w:rPr>
        <w:t>sta resolución actualizó los Documentos Tipo - Versión 2 mediante los Documentos Tipo - Versión 3 y derogó la Resolución No. 045 de 2020.</w:t>
      </w:r>
    </w:p>
  </w:footnote>
  <w:footnote w:id="5">
    <w:p w14:paraId="7B9E9E81" w14:textId="77777777" w:rsidR="00D03E5C" w:rsidRPr="00040F03" w:rsidRDefault="00D03E5C" w:rsidP="00040F03">
      <w:pPr>
        <w:pStyle w:val="Textonotapie"/>
        <w:ind w:firstLine="708"/>
        <w:jc w:val="both"/>
        <w:rPr>
          <w:rFonts w:ascii="Arial" w:hAnsi="Arial" w:cs="Arial"/>
          <w:sz w:val="19"/>
          <w:szCs w:val="19"/>
        </w:rPr>
      </w:pPr>
    </w:p>
    <w:p w14:paraId="4416F0BE" w14:textId="75A48A9A" w:rsidR="00BD77F0" w:rsidRDefault="00BD77F0" w:rsidP="00040F0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4.</w:t>
      </w:r>
    </w:p>
    <w:p w14:paraId="44663B3E" w14:textId="77777777" w:rsidR="00ED5F08" w:rsidRPr="00040F03" w:rsidRDefault="00ED5F08" w:rsidP="00040F03">
      <w:pPr>
        <w:pStyle w:val="Textonotapie"/>
        <w:ind w:firstLine="708"/>
        <w:jc w:val="both"/>
        <w:rPr>
          <w:rFonts w:ascii="Arial" w:hAnsi="Arial" w:cs="Arial"/>
          <w:sz w:val="19"/>
          <w:szCs w:val="19"/>
          <w:lang w:val="es-ES"/>
        </w:rPr>
      </w:pPr>
    </w:p>
  </w:footnote>
  <w:footnote w:id="6">
    <w:p w14:paraId="03BAD1D2" w14:textId="37096287" w:rsidR="00BD77F0" w:rsidRPr="00040F03" w:rsidRDefault="00BD77F0" w:rsidP="00040F0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5.</w:t>
      </w:r>
    </w:p>
    <w:p w14:paraId="4AEFE062" w14:textId="17DDF4BA" w:rsidR="00BD77F0" w:rsidRPr="00040F03" w:rsidRDefault="00BD77F0" w:rsidP="00040F03">
      <w:pPr>
        <w:pStyle w:val="Textonotapie"/>
        <w:jc w:val="both"/>
        <w:rPr>
          <w:rFonts w:ascii="Arial" w:hAnsi="Arial" w:cs="Arial"/>
          <w:sz w:val="19"/>
          <w:szCs w:val="19"/>
          <w:lang w:val="es-ES"/>
        </w:rPr>
      </w:pPr>
    </w:p>
  </w:footnote>
  <w:footnote w:id="7">
    <w:p w14:paraId="64671DF6" w14:textId="77777777" w:rsidR="0002175E" w:rsidRPr="00040F03" w:rsidRDefault="0002175E" w:rsidP="00040F03">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62F54094" w14:textId="77777777" w:rsidR="0002175E" w:rsidRPr="00040F03" w:rsidRDefault="0002175E" w:rsidP="00040F03">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75BB6247" w14:textId="77777777" w:rsidR="0002175E" w:rsidRPr="00040F03" w:rsidRDefault="0002175E" w:rsidP="00040F03">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0B628F1" w14:textId="77777777" w:rsidR="0002175E" w:rsidRPr="00040F03" w:rsidRDefault="0002175E" w:rsidP="00040F03">
      <w:pPr>
        <w:shd w:val="clear" w:color="auto" w:fill="FFFFFF"/>
        <w:ind w:firstLine="708"/>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74D75CC" w14:textId="77777777" w:rsidR="0002175E" w:rsidRPr="00040F03" w:rsidRDefault="0002175E" w:rsidP="00040F03">
      <w:pPr>
        <w:shd w:val="clear" w:color="auto" w:fill="FFFFFF"/>
        <w:ind w:firstLine="708"/>
        <w:jc w:val="both"/>
        <w:rPr>
          <w:rFonts w:ascii="Arial" w:eastAsia="Calibri" w:hAnsi="Arial" w:cs="Arial"/>
          <w:color w:val="000000" w:themeColor="text1"/>
          <w:sz w:val="19"/>
          <w:szCs w:val="19"/>
        </w:rPr>
      </w:pPr>
    </w:p>
  </w:footnote>
  <w:footnote w:id="8">
    <w:p w14:paraId="55E222A0" w14:textId="6CB82354" w:rsidR="00C11BCD" w:rsidRPr="00040F03" w:rsidRDefault="00C11BCD" w:rsidP="00E30DF1">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De acuerdo con la Resolución 161 de 2021 por la cual se modifican los Documentos Tipo adoptados por la Agencia Nacional de Contratación Pública- Colombia Compra Eficiente.</w:t>
      </w:r>
    </w:p>
  </w:footnote>
  <w:footnote w:id="9">
    <w:p w14:paraId="4B99BB5F" w14:textId="77777777" w:rsidR="00BD310A" w:rsidRPr="00040F03" w:rsidRDefault="00BD310A">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63B60FD7" w14:textId="77777777" w:rsidR="00BD310A" w:rsidRPr="00040F03" w:rsidRDefault="00BD310A">
      <w:pPr>
        <w:pStyle w:val="Textonotapie"/>
        <w:ind w:firstLine="708"/>
        <w:jc w:val="both"/>
        <w:rPr>
          <w:rFonts w:ascii="Arial" w:eastAsia="Calibri" w:hAnsi="Arial" w:cs="Arial"/>
          <w:color w:val="000000" w:themeColor="text1"/>
          <w:sz w:val="19"/>
          <w:szCs w:val="19"/>
        </w:rPr>
      </w:pPr>
    </w:p>
  </w:footnote>
  <w:footnote w:id="10">
    <w:p w14:paraId="5A8A8D43" w14:textId="77777777" w:rsidR="00BD310A" w:rsidRPr="00040F03" w:rsidRDefault="00BD310A">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CORTE CONSTITUCIONAL. Sentencia C- 861 de 2008. M.P. Mauricio González Cuervo.</w:t>
      </w:r>
    </w:p>
  </w:footnote>
  <w:footnote w:id="11">
    <w:p w14:paraId="2A8C800E" w14:textId="4CD80D22" w:rsidR="00040F03" w:rsidRPr="00E30DF1" w:rsidRDefault="00040F03" w:rsidP="00E30DF1">
      <w:pPr>
        <w:pStyle w:val="Textonotapie"/>
        <w:ind w:firstLine="708"/>
        <w:jc w:val="both"/>
        <w:rPr>
          <w:rFonts w:ascii="Arial" w:hAnsi="Arial" w:cs="Arial"/>
          <w:sz w:val="19"/>
          <w:szCs w:val="19"/>
        </w:rPr>
      </w:pPr>
      <w:r w:rsidRPr="00E30DF1">
        <w:rPr>
          <w:rStyle w:val="Refdenotaalpie"/>
          <w:rFonts w:ascii="Arial" w:hAnsi="Arial" w:cs="Arial"/>
          <w:sz w:val="19"/>
          <w:szCs w:val="19"/>
        </w:rPr>
        <w:footnoteRef/>
      </w:r>
      <w:r w:rsidRPr="00E30DF1">
        <w:rPr>
          <w:rFonts w:ascii="Arial" w:hAnsi="Arial" w:cs="Arial"/>
          <w:sz w:val="19"/>
          <w:szCs w:val="19"/>
        </w:rPr>
        <w:t xml:space="preserve"> </w:t>
      </w:r>
      <w:r>
        <w:rPr>
          <w:rFonts w:ascii="Arial" w:hAnsi="Arial" w:cs="Arial"/>
          <w:sz w:val="19"/>
          <w:szCs w:val="19"/>
        </w:rPr>
        <w:t>Ley 2022 de 2020. «</w:t>
      </w:r>
      <w:r w:rsidRPr="00E30DF1">
        <w:rPr>
          <w:rFonts w:ascii="Arial" w:hAnsi="Arial" w:cs="Arial"/>
          <w:sz w:val="19"/>
          <w:szCs w:val="19"/>
        </w:rPr>
        <w:t>A</w:t>
      </w:r>
      <w:r>
        <w:rPr>
          <w:rFonts w:ascii="Arial" w:hAnsi="Arial" w:cs="Arial"/>
          <w:sz w:val="19"/>
          <w:szCs w:val="19"/>
        </w:rPr>
        <w:t>rtículo</w:t>
      </w:r>
      <w:r w:rsidRPr="00E30DF1">
        <w:rPr>
          <w:rFonts w:ascii="Arial" w:hAnsi="Arial" w:cs="Arial"/>
          <w:sz w:val="19"/>
          <w:szCs w:val="19"/>
        </w:rPr>
        <w:t xml:space="preserve"> 1o. Modifíquese el artículo 4o de la Ley 1882 de 2018, el cual quedará así:</w:t>
      </w:r>
    </w:p>
    <w:p w14:paraId="6B1971A6" w14:textId="177CB0BD" w:rsidR="00040F03" w:rsidRPr="00E30DF1" w:rsidRDefault="00040F03" w:rsidP="00E30DF1">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Artículo 4o. Adiciónese el siguiente parágrafo al artículo 2o de la Ley 1150 de 2007.</w:t>
      </w:r>
    </w:p>
    <w:p w14:paraId="43CEB9E4" w14:textId="5BA0B507" w:rsidR="00040F03" w:rsidRPr="00E30DF1" w:rsidRDefault="00040F03" w:rsidP="00E30DF1">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P</w:t>
      </w:r>
      <w:r w:rsidR="001A2E3F" w:rsidRPr="00040F03">
        <w:rPr>
          <w:rFonts w:ascii="Arial" w:hAnsi="Arial" w:cs="Arial"/>
          <w:sz w:val="19"/>
          <w:szCs w:val="19"/>
        </w:rPr>
        <w:t>arágrafo</w:t>
      </w:r>
      <w:r w:rsidRPr="00E30DF1">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EC0A565" w14:textId="36504ADC" w:rsidR="00040F03" w:rsidRDefault="00040F03" w:rsidP="00040F03">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35BC471" w14:textId="0DBA11FA" w:rsidR="00040F03" w:rsidRPr="00E30DF1" w:rsidRDefault="00040F03" w:rsidP="00E30DF1">
      <w:pPr>
        <w:pStyle w:val="Textonotapie"/>
        <w:ind w:firstLine="708"/>
        <w:jc w:val="both"/>
        <w:rPr>
          <w:rFonts w:ascii="Arial" w:hAnsi="Arial" w:cs="Arial"/>
          <w:sz w:val="19"/>
          <w:szCs w:val="19"/>
        </w:rPr>
      </w:pP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15406299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9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72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666600">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6718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00324">
    <w:abstractNumId w:val="11"/>
  </w:num>
  <w:num w:numId="7" w16cid:durableId="150173767">
    <w:abstractNumId w:val="10"/>
  </w:num>
  <w:num w:numId="8" w16cid:durableId="44914595">
    <w:abstractNumId w:val="5"/>
  </w:num>
  <w:num w:numId="9" w16cid:durableId="1171144726">
    <w:abstractNumId w:val="2"/>
  </w:num>
  <w:num w:numId="10" w16cid:durableId="792553000">
    <w:abstractNumId w:val="6"/>
  </w:num>
  <w:num w:numId="11" w16cid:durableId="296112794">
    <w:abstractNumId w:val="9"/>
  </w:num>
  <w:num w:numId="12" w16cid:durableId="2035498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336"/>
    <w:rsid w:val="00004C76"/>
    <w:rsid w:val="00007FF7"/>
    <w:rsid w:val="00010D30"/>
    <w:rsid w:val="00012996"/>
    <w:rsid w:val="000205D6"/>
    <w:rsid w:val="0002175E"/>
    <w:rsid w:val="00023F6A"/>
    <w:rsid w:val="0003091B"/>
    <w:rsid w:val="000333A2"/>
    <w:rsid w:val="0003536B"/>
    <w:rsid w:val="00040C88"/>
    <w:rsid w:val="00040D6E"/>
    <w:rsid w:val="00040F03"/>
    <w:rsid w:val="00042C0C"/>
    <w:rsid w:val="00044FF2"/>
    <w:rsid w:val="000514D4"/>
    <w:rsid w:val="00055688"/>
    <w:rsid w:val="00060575"/>
    <w:rsid w:val="00061E92"/>
    <w:rsid w:val="00061EE4"/>
    <w:rsid w:val="00062291"/>
    <w:rsid w:val="00062B0D"/>
    <w:rsid w:val="0006519B"/>
    <w:rsid w:val="000707A0"/>
    <w:rsid w:val="00076813"/>
    <w:rsid w:val="00082589"/>
    <w:rsid w:val="00086A16"/>
    <w:rsid w:val="00086C02"/>
    <w:rsid w:val="00090D92"/>
    <w:rsid w:val="00093069"/>
    <w:rsid w:val="00094F86"/>
    <w:rsid w:val="00097117"/>
    <w:rsid w:val="00097CD6"/>
    <w:rsid w:val="000A1DBA"/>
    <w:rsid w:val="000A6338"/>
    <w:rsid w:val="000A7A2D"/>
    <w:rsid w:val="000B4552"/>
    <w:rsid w:val="000B4C69"/>
    <w:rsid w:val="000B4E6D"/>
    <w:rsid w:val="000C0E39"/>
    <w:rsid w:val="000D088F"/>
    <w:rsid w:val="000D2220"/>
    <w:rsid w:val="000D392A"/>
    <w:rsid w:val="000D5464"/>
    <w:rsid w:val="000D5703"/>
    <w:rsid w:val="000E4A3C"/>
    <w:rsid w:val="000E6867"/>
    <w:rsid w:val="000E7F3A"/>
    <w:rsid w:val="000F5F52"/>
    <w:rsid w:val="000F7006"/>
    <w:rsid w:val="001056C0"/>
    <w:rsid w:val="00107607"/>
    <w:rsid w:val="001120C8"/>
    <w:rsid w:val="00112597"/>
    <w:rsid w:val="00113AD4"/>
    <w:rsid w:val="00116557"/>
    <w:rsid w:val="00117289"/>
    <w:rsid w:val="00131937"/>
    <w:rsid w:val="001321AB"/>
    <w:rsid w:val="00133D22"/>
    <w:rsid w:val="00135E98"/>
    <w:rsid w:val="00137B0D"/>
    <w:rsid w:val="00137DDF"/>
    <w:rsid w:val="00140E57"/>
    <w:rsid w:val="00141C64"/>
    <w:rsid w:val="0014462B"/>
    <w:rsid w:val="0014628D"/>
    <w:rsid w:val="00147E4A"/>
    <w:rsid w:val="001556C8"/>
    <w:rsid w:val="001573A6"/>
    <w:rsid w:val="00160687"/>
    <w:rsid w:val="00160AB9"/>
    <w:rsid w:val="00164E79"/>
    <w:rsid w:val="00166272"/>
    <w:rsid w:val="00173047"/>
    <w:rsid w:val="00173342"/>
    <w:rsid w:val="0017558C"/>
    <w:rsid w:val="0017603D"/>
    <w:rsid w:val="00177397"/>
    <w:rsid w:val="00180881"/>
    <w:rsid w:val="001810AD"/>
    <w:rsid w:val="0018144F"/>
    <w:rsid w:val="00181A3E"/>
    <w:rsid w:val="00182BF2"/>
    <w:rsid w:val="001848A7"/>
    <w:rsid w:val="001901E3"/>
    <w:rsid w:val="00190B79"/>
    <w:rsid w:val="00190F26"/>
    <w:rsid w:val="00192084"/>
    <w:rsid w:val="00194C50"/>
    <w:rsid w:val="001A0536"/>
    <w:rsid w:val="001A2E3F"/>
    <w:rsid w:val="001A6A98"/>
    <w:rsid w:val="001B13DF"/>
    <w:rsid w:val="001B2E5D"/>
    <w:rsid w:val="001B5D63"/>
    <w:rsid w:val="001B6C66"/>
    <w:rsid w:val="001C4850"/>
    <w:rsid w:val="001D3E65"/>
    <w:rsid w:val="001E1096"/>
    <w:rsid w:val="001E4AEB"/>
    <w:rsid w:val="001E5DBB"/>
    <w:rsid w:val="001E6407"/>
    <w:rsid w:val="001F1051"/>
    <w:rsid w:val="001F11AF"/>
    <w:rsid w:val="001F3010"/>
    <w:rsid w:val="001F34A8"/>
    <w:rsid w:val="001F62F5"/>
    <w:rsid w:val="001F7297"/>
    <w:rsid w:val="002034AD"/>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7D11"/>
    <w:rsid w:val="002511E0"/>
    <w:rsid w:val="002516D4"/>
    <w:rsid w:val="002551A3"/>
    <w:rsid w:val="00255832"/>
    <w:rsid w:val="00265031"/>
    <w:rsid w:val="00266277"/>
    <w:rsid w:val="00272F63"/>
    <w:rsid w:val="0027329E"/>
    <w:rsid w:val="00273B05"/>
    <w:rsid w:val="0027411E"/>
    <w:rsid w:val="00274370"/>
    <w:rsid w:val="00281E4E"/>
    <w:rsid w:val="0028272E"/>
    <w:rsid w:val="00284C12"/>
    <w:rsid w:val="00286834"/>
    <w:rsid w:val="002928EE"/>
    <w:rsid w:val="002959FA"/>
    <w:rsid w:val="002972F3"/>
    <w:rsid w:val="002A365B"/>
    <w:rsid w:val="002A4002"/>
    <w:rsid w:val="002A4BCA"/>
    <w:rsid w:val="002A517F"/>
    <w:rsid w:val="002B0611"/>
    <w:rsid w:val="002B27BC"/>
    <w:rsid w:val="002B282F"/>
    <w:rsid w:val="002B4B30"/>
    <w:rsid w:val="002E6804"/>
    <w:rsid w:val="002E7390"/>
    <w:rsid w:val="002E7BC2"/>
    <w:rsid w:val="002F369D"/>
    <w:rsid w:val="002F5479"/>
    <w:rsid w:val="002F63BB"/>
    <w:rsid w:val="002F701E"/>
    <w:rsid w:val="00302F9F"/>
    <w:rsid w:val="00304386"/>
    <w:rsid w:val="003051E7"/>
    <w:rsid w:val="003141AC"/>
    <w:rsid w:val="00314712"/>
    <w:rsid w:val="00314F61"/>
    <w:rsid w:val="003163C5"/>
    <w:rsid w:val="003174DA"/>
    <w:rsid w:val="0032592B"/>
    <w:rsid w:val="00325E03"/>
    <w:rsid w:val="003332D8"/>
    <w:rsid w:val="003401FE"/>
    <w:rsid w:val="00340A7A"/>
    <w:rsid w:val="00346D80"/>
    <w:rsid w:val="00346F88"/>
    <w:rsid w:val="00346F8E"/>
    <w:rsid w:val="00351536"/>
    <w:rsid w:val="00360470"/>
    <w:rsid w:val="00360F9A"/>
    <w:rsid w:val="003648A2"/>
    <w:rsid w:val="00371192"/>
    <w:rsid w:val="003750DA"/>
    <w:rsid w:val="00384629"/>
    <w:rsid w:val="00385513"/>
    <w:rsid w:val="00386679"/>
    <w:rsid w:val="00387E9E"/>
    <w:rsid w:val="00390DCF"/>
    <w:rsid w:val="00397FF3"/>
    <w:rsid w:val="003A00C3"/>
    <w:rsid w:val="003A00DA"/>
    <w:rsid w:val="003A0C33"/>
    <w:rsid w:val="003A1E19"/>
    <w:rsid w:val="003A2944"/>
    <w:rsid w:val="003A633B"/>
    <w:rsid w:val="003B0DA0"/>
    <w:rsid w:val="003B0DEF"/>
    <w:rsid w:val="003B604C"/>
    <w:rsid w:val="003C200C"/>
    <w:rsid w:val="003C2074"/>
    <w:rsid w:val="003C3ADB"/>
    <w:rsid w:val="003C4733"/>
    <w:rsid w:val="003C5E88"/>
    <w:rsid w:val="003D11B5"/>
    <w:rsid w:val="003D134C"/>
    <w:rsid w:val="003D69A5"/>
    <w:rsid w:val="003D6D9F"/>
    <w:rsid w:val="003E0079"/>
    <w:rsid w:val="003E0889"/>
    <w:rsid w:val="003E09D5"/>
    <w:rsid w:val="003E14F9"/>
    <w:rsid w:val="003F3119"/>
    <w:rsid w:val="003F3C60"/>
    <w:rsid w:val="003F4D44"/>
    <w:rsid w:val="003F6D32"/>
    <w:rsid w:val="00405F92"/>
    <w:rsid w:val="00406B09"/>
    <w:rsid w:val="004265FC"/>
    <w:rsid w:val="004276E7"/>
    <w:rsid w:val="00430B5A"/>
    <w:rsid w:val="00431328"/>
    <w:rsid w:val="00433B17"/>
    <w:rsid w:val="0043588C"/>
    <w:rsid w:val="00437A8B"/>
    <w:rsid w:val="0044207D"/>
    <w:rsid w:val="00443937"/>
    <w:rsid w:val="00445988"/>
    <w:rsid w:val="00447FE5"/>
    <w:rsid w:val="00450614"/>
    <w:rsid w:val="0045082C"/>
    <w:rsid w:val="00450B83"/>
    <w:rsid w:val="00456CED"/>
    <w:rsid w:val="004617B8"/>
    <w:rsid w:val="0046504E"/>
    <w:rsid w:val="00467C8E"/>
    <w:rsid w:val="004758FE"/>
    <w:rsid w:val="00481DE3"/>
    <w:rsid w:val="004830C8"/>
    <w:rsid w:val="004837AB"/>
    <w:rsid w:val="00483A2F"/>
    <w:rsid w:val="00483C0A"/>
    <w:rsid w:val="00487ADF"/>
    <w:rsid w:val="00490DBF"/>
    <w:rsid w:val="00494F12"/>
    <w:rsid w:val="00497571"/>
    <w:rsid w:val="004A13B5"/>
    <w:rsid w:val="004A46B5"/>
    <w:rsid w:val="004A5382"/>
    <w:rsid w:val="004A6E34"/>
    <w:rsid w:val="004A6EE1"/>
    <w:rsid w:val="004B1BEE"/>
    <w:rsid w:val="004B21D8"/>
    <w:rsid w:val="004B22E7"/>
    <w:rsid w:val="004B2AB8"/>
    <w:rsid w:val="004B6AD7"/>
    <w:rsid w:val="004C1BA6"/>
    <w:rsid w:val="004C5C69"/>
    <w:rsid w:val="004D04EB"/>
    <w:rsid w:val="004D0DA3"/>
    <w:rsid w:val="004D3C91"/>
    <w:rsid w:val="004D6FDE"/>
    <w:rsid w:val="004D770C"/>
    <w:rsid w:val="004D77B2"/>
    <w:rsid w:val="004E3243"/>
    <w:rsid w:val="004E370E"/>
    <w:rsid w:val="004F006C"/>
    <w:rsid w:val="004F0A29"/>
    <w:rsid w:val="004F12CF"/>
    <w:rsid w:val="004F3D32"/>
    <w:rsid w:val="004F407C"/>
    <w:rsid w:val="004F4387"/>
    <w:rsid w:val="004F7059"/>
    <w:rsid w:val="004F7A45"/>
    <w:rsid w:val="004F7F85"/>
    <w:rsid w:val="00501FCD"/>
    <w:rsid w:val="005029C2"/>
    <w:rsid w:val="00502A41"/>
    <w:rsid w:val="00506B56"/>
    <w:rsid w:val="00510BF5"/>
    <w:rsid w:val="0051467B"/>
    <w:rsid w:val="00515265"/>
    <w:rsid w:val="00517E74"/>
    <w:rsid w:val="00521BA7"/>
    <w:rsid w:val="0052334B"/>
    <w:rsid w:val="00525051"/>
    <w:rsid w:val="005252E2"/>
    <w:rsid w:val="00526519"/>
    <w:rsid w:val="00526D27"/>
    <w:rsid w:val="005407B5"/>
    <w:rsid w:val="005409D3"/>
    <w:rsid w:val="00546BE0"/>
    <w:rsid w:val="00547F95"/>
    <w:rsid w:val="005511D5"/>
    <w:rsid w:val="00551564"/>
    <w:rsid w:val="0055390E"/>
    <w:rsid w:val="00554E71"/>
    <w:rsid w:val="00560F5F"/>
    <w:rsid w:val="00562677"/>
    <w:rsid w:val="00575DC6"/>
    <w:rsid w:val="00580859"/>
    <w:rsid w:val="00585FB5"/>
    <w:rsid w:val="00590F8B"/>
    <w:rsid w:val="00591586"/>
    <w:rsid w:val="005940B2"/>
    <w:rsid w:val="005A0936"/>
    <w:rsid w:val="005A1143"/>
    <w:rsid w:val="005A14BC"/>
    <w:rsid w:val="005A3EDE"/>
    <w:rsid w:val="005B3F0E"/>
    <w:rsid w:val="005B4DB4"/>
    <w:rsid w:val="005B6484"/>
    <w:rsid w:val="005B6F36"/>
    <w:rsid w:val="005C298B"/>
    <w:rsid w:val="005C29D9"/>
    <w:rsid w:val="005D3442"/>
    <w:rsid w:val="005D426A"/>
    <w:rsid w:val="005E7551"/>
    <w:rsid w:val="005F1007"/>
    <w:rsid w:val="005F13A1"/>
    <w:rsid w:val="005F13C1"/>
    <w:rsid w:val="005F5D19"/>
    <w:rsid w:val="005F6CBF"/>
    <w:rsid w:val="006062E0"/>
    <w:rsid w:val="00606FE0"/>
    <w:rsid w:val="0061332C"/>
    <w:rsid w:val="006135E6"/>
    <w:rsid w:val="00615659"/>
    <w:rsid w:val="00616FE1"/>
    <w:rsid w:val="00617DF2"/>
    <w:rsid w:val="00621810"/>
    <w:rsid w:val="00632EA5"/>
    <w:rsid w:val="00641087"/>
    <w:rsid w:val="00642D69"/>
    <w:rsid w:val="006550F8"/>
    <w:rsid w:val="00656926"/>
    <w:rsid w:val="0065701C"/>
    <w:rsid w:val="00660BC7"/>
    <w:rsid w:val="00661CE0"/>
    <w:rsid w:val="00662792"/>
    <w:rsid w:val="00666ED7"/>
    <w:rsid w:val="0067152F"/>
    <w:rsid w:val="00671A31"/>
    <w:rsid w:val="00672F75"/>
    <w:rsid w:val="006734CA"/>
    <w:rsid w:val="0067440E"/>
    <w:rsid w:val="006818B6"/>
    <w:rsid w:val="006824B8"/>
    <w:rsid w:val="006834EE"/>
    <w:rsid w:val="00683BD5"/>
    <w:rsid w:val="00693348"/>
    <w:rsid w:val="006A3131"/>
    <w:rsid w:val="006A602E"/>
    <w:rsid w:val="006A7743"/>
    <w:rsid w:val="006B6339"/>
    <w:rsid w:val="006B6C6A"/>
    <w:rsid w:val="006C15D5"/>
    <w:rsid w:val="006C234F"/>
    <w:rsid w:val="006C3D0C"/>
    <w:rsid w:val="006C3FBC"/>
    <w:rsid w:val="006C5955"/>
    <w:rsid w:val="006D31E1"/>
    <w:rsid w:val="006D343E"/>
    <w:rsid w:val="006D359C"/>
    <w:rsid w:val="006D519D"/>
    <w:rsid w:val="006E2710"/>
    <w:rsid w:val="006E63F1"/>
    <w:rsid w:val="006F1FD7"/>
    <w:rsid w:val="006F39D0"/>
    <w:rsid w:val="006F6897"/>
    <w:rsid w:val="006F7484"/>
    <w:rsid w:val="006F7746"/>
    <w:rsid w:val="00711157"/>
    <w:rsid w:val="00715B7E"/>
    <w:rsid w:val="00730CDB"/>
    <w:rsid w:val="00736C89"/>
    <w:rsid w:val="007413C5"/>
    <w:rsid w:val="00745744"/>
    <w:rsid w:val="007462F1"/>
    <w:rsid w:val="0075032A"/>
    <w:rsid w:val="007708B1"/>
    <w:rsid w:val="00770D7D"/>
    <w:rsid w:val="00772497"/>
    <w:rsid w:val="007756D5"/>
    <w:rsid w:val="00776241"/>
    <w:rsid w:val="00776F45"/>
    <w:rsid w:val="00784474"/>
    <w:rsid w:val="00786FD6"/>
    <w:rsid w:val="00787F0A"/>
    <w:rsid w:val="00791377"/>
    <w:rsid w:val="007917E6"/>
    <w:rsid w:val="007928D4"/>
    <w:rsid w:val="00792B9C"/>
    <w:rsid w:val="00795512"/>
    <w:rsid w:val="007A4F15"/>
    <w:rsid w:val="007A5340"/>
    <w:rsid w:val="007B6FDF"/>
    <w:rsid w:val="007C0C73"/>
    <w:rsid w:val="007C47F5"/>
    <w:rsid w:val="007C7892"/>
    <w:rsid w:val="007D03DD"/>
    <w:rsid w:val="007D27F3"/>
    <w:rsid w:val="007D4C7B"/>
    <w:rsid w:val="007D62C7"/>
    <w:rsid w:val="007E10EB"/>
    <w:rsid w:val="007E1611"/>
    <w:rsid w:val="007E6A15"/>
    <w:rsid w:val="007F6C9C"/>
    <w:rsid w:val="007F7AC6"/>
    <w:rsid w:val="00803061"/>
    <w:rsid w:val="00807EEE"/>
    <w:rsid w:val="0081087D"/>
    <w:rsid w:val="00810F65"/>
    <w:rsid w:val="008135F4"/>
    <w:rsid w:val="00813893"/>
    <w:rsid w:val="00814471"/>
    <w:rsid w:val="008149E7"/>
    <w:rsid w:val="008218D6"/>
    <w:rsid w:val="0082266E"/>
    <w:rsid w:val="008234E2"/>
    <w:rsid w:val="00824361"/>
    <w:rsid w:val="0082612E"/>
    <w:rsid w:val="008327EE"/>
    <w:rsid w:val="0083350D"/>
    <w:rsid w:val="00835417"/>
    <w:rsid w:val="00842E74"/>
    <w:rsid w:val="00843BE5"/>
    <w:rsid w:val="0084777B"/>
    <w:rsid w:val="00856B64"/>
    <w:rsid w:val="00857DEF"/>
    <w:rsid w:val="008602F0"/>
    <w:rsid w:val="00863DD9"/>
    <w:rsid w:val="00866446"/>
    <w:rsid w:val="0086741B"/>
    <w:rsid w:val="00870BDD"/>
    <w:rsid w:val="00880204"/>
    <w:rsid w:val="008840CA"/>
    <w:rsid w:val="00884DD6"/>
    <w:rsid w:val="00886F29"/>
    <w:rsid w:val="00887F70"/>
    <w:rsid w:val="0089027D"/>
    <w:rsid w:val="00892517"/>
    <w:rsid w:val="008927FE"/>
    <w:rsid w:val="00892A25"/>
    <w:rsid w:val="00897DAB"/>
    <w:rsid w:val="008A0633"/>
    <w:rsid w:val="008A0686"/>
    <w:rsid w:val="008A1724"/>
    <w:rsid w:val="008A3386"/>
    <w:rsid w:val="008A37D8"/>
    <w:rsid w:val="008A53F2"/>
    <w:rsid w:val="008B09B1"/>
    <w:rsid w:val="008B1E4F"/>
    <w:rsid w:val="008C1CE8"/>
    <w:rsid w:val="008C24B6"/>
    <w:rsid w:val="008C3E5B"/>
    <w:rsid w:val="008C487C"/>
    <w:rsid w:val="008C4C28"/>
    <w:rsid w:val="008C5224"/>
    <w:rsid w:val="008D07ED"/>
    <w:rsid w:val="008D0BF9"/>
    <w:rsid w:val="008D2CBA"/>
    <w:rsid w:val="008D40D6"/>
    <w:rsid w:val="008E0FCC"/>
    <w:rsid w:val="008E2FE3"/>
    <w:rsid w:val="008E356A"/>
    <w:rsid w:val="008E5F34"/>
    <w:rsid w:val="008F0019"/>
    <w:rsid w:val="008F2267"/>
    <w:rsid w:val="008F3EE2"/>
    <w:rsid w:val="008F4FBB"/>
    <w:rsid w:val="008F5D30"/>
    <w:rsid w:val="008F6B23"/>
    <w:rsid w:val="00910B3C"/>
    <w:rsid w:val="00911243"/>
    <w:rsid w:val="0091226B"/>
    <w:rsid w:val="00912EA2"/>
    <w:rsid w:val="009161B8"/>
    <w:rsid w:val="0091627F"/>
    <w:rsid w:val="00916488"/>
    <w:rsid w:val="0092221E"/>
    <w:rsid w:val="009223EA"/>
    <w:rsid w:val="009231E0"/>
    <w:rsid w:val="00926E16"/>
    <w:rsid w:val="00932406"/>
    <w:rsid w:val="00933EF5"/>
    <w:rsid w:val="00935BE4"/>
    <w:rsid w:val="00935F01"/>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3BFE"/>
    <w:rsid w:val="00993CE0"/>
    <w:rsid w:val="00995931"/>
    <w:rsid w:val="009963CB"/>
    <w:rsid w:val="009A3D14"/>
    <w:rsid w:val="009A5130"/>
    <w:rsid w:val="009A5714"/>
    <w:rsid w:val="009A5A15"/>
    <w:rsid w:val="009A5DA7"/>
    <w:rsid w:val="009A764B"/>
    <w:rsid w:val="009B1AEC"/>
    <w:rsid w:val="009B2845"/>
    <w:rsid w:val="009C59BA"/>
    <w:rsid w:val="009C63F9"/>
    <w:rsid w:val="009C6F56"/>
    <w:rsid w:val="009D1D57"/>
    <w:rsid w:val="009D1DE1"/>
    <w:rsid w:val="009E2544"/>
    <w:rsid w:val="009E2770"/>
    <w:rsid w:val="009E2D72"/>
    <w:rsid w:val="009E41C2"/>
    <w:rsid w:val="009E4A43"/>
    <w:rsid w:val="009E6C5F"/>
    <w:rsid w:val="009F2261"/>
    <w:rsid w:val="009F2C1B"/>
    <w:rsid w:val="009F3537"/>
    <w:rsid w:val="00A105E3"/>
    <w:rsid w:val="00A13C4B"/>
    <w:rsid w:val="00A25657"/>
    <w:rsid w:val="00A27907"/>
    <w:rsid w:val="00A329B6"/>
    <w:rsid w:val="00A32C19"/>
    <w:rsid w:val="00A33303"/>
    <w:rsid w:val="00A367A1"/>
    <w:rsid w:val="00A37CBD"/>
    <w:rsid w:val="00A415D2"/>
    <w:rsid w:val="00A4372E"/>
    <w:rsid w:val="00A460BA"/>
    <w:rsid w:val="00A510F6"/>
    <w:rsid w:val="00A54F89"/>
    <w:rsid w:val="00A569DF"/>
    <w:rsid w:val="00A60F87"/>
    <w:rsid w:val="00A651C9"/>
    <w:rsid w:val="00A657F1"/>
    <w:rsid w:val="00A6700F"/>
    <w:rsid w:val="00A70F57"/>
    <w:rsid w:val="00A758DC"/>
    <w:rsid w:val="00A75B4C"/>
    <w:rsid w:val="00A80739"/>
    <w:rsid w:val="00A83829"/>
    <w:rsid w:val="00A85AFF"/>
    <w:rsid w:val="00A95100"/>
    <w:rsid w:val="00AA2A39"/>
    <w:rsid w:val="00AA615B"/>
    <w:rsid w:val="00AA6B2A"/>
    <w:rsid w:val="00AA7209"/>
    <w:rsid w:val="00AB0DED"/>
    <w:rsid w:val="00AB254D"/>
    <w:rsid w:val="00AB5F84"/>
    <w:rsid w:val="00AC0C81"/>
    <w:rsid w:val="00AC5FE7"/>
    <w:rsid w:val="00AD5FA4"/>
    <w:rsid w:val="00AD6359"/>
    <w:rsid w:val="00AD7725"/>
    <w:rsid w:val="00AE13A1"/>
    <w:rsid w:val="00AE194E"/>
    <w:rsid w:val="00AE1CAD"/>
    <w:rsid w:val="00AE355C"/>
    <w:rsid w:val="00AE668A"/>
    <w:rsid w:val="00AE6858"/>
    <w:rsid w:val="00AF185A"/>
    <w:rsid w:val="00AF2203"/>
    <w:rsid w:val="00AF3494"/>
    <w:rsid w:val="00AF4523"/>
    <w:rsid w:val="00AF5C62"/>
    <w:rsid w:val="00AF6D01"/>
    <w:rsid w:val="00AF7270"/>
    <w:rsid w:val="00AF7DE1"/>
    <w:rsid w:val="00AF7F8A"/>
    <w:rsid w:val="00B0135B"/>
    <w:rsid w:val="00B100E5"/>
    <w:rsid w:val="00B139DC"/>
    <w:rsid w:val="00B17BC5"/>
    <w:rsid w:val="00B2158C"/>
    <w:rsid w:val="00B2365C"/>
    <w:rsid w:val="00B24E57"/>
    <w:rsid w:val="00B2594C"/>
    <w:rsid w:val="00B259A3"/>
    <w:rsid w:val="00B26E57"/>
    <w:rsid w:val="00B26F43"/>
    <w:rsid w:val="00B30582"/>
    <w:rsid w:val="00B30D96"/>
    <w:rsid w:val="00B3256D"/>
    <w:rsid w:val="00B33648"/>
    <w:rsid w:val="00B35602"/>
    <w:rsid w:val="00B35792"/>
    <w:rsid w:val="00B44EB3"/>
    <w:rsid w:val="00B46660"/>
    <w:rsid w:val="00B47CBC"/>
    <w:rsid w:val="00B502EC"/>
    <w:rsid w:val="00B5123E"/>
    <w:rsid w:val="00B522C4"/>
    <w:rsid w:val="00B52B0E"/>
    <w:rsid w:val="00B5337D"/>
    <w:rsid w:val="00B62DD9"/>
    <w:rsid w:val="00B63A7D"/>
    <w:rsid w:val="00B65290"/>
    <w:rsid w:val="00B67C63"/>
    <w:rsid w:val="00B70E26"/>
    <w:rsid w:val="00B70F47"/>
    <w:rsid w:val="00B77186"/>
    <w:rsid w:val="00B77C40"/>
    <w:rsid w:val="00B8272C"/>
    <w:rsid w:val="00B84E9D"/>
    <w:rsid w:val="00B85769"/>
    <w:rsid w:val="00B9767F"/>
    <w:rsid w:val="00B97D95"/>
    <w:rsid w:val="00BA6091"/>
    <w:rsid w:val="00BA7E78"/>
    <w:rsid w:val="00BB0EA7"/>
    <w:rsid w:val="00BB3DBA"/>
    <w:rsid w:val="00BB59F9"/>
    <w:rsid w:val="00BB79F6"/>
    <w:rsid w:val="00BC15B8"/>
    <w:rsid w:val="00BC3D32"/>
    <w:rsid w:val="00BC5279"/>
    <w:rsid w:val="00BC6C4E"/>
    <w:rsid w:val="00BC71A3"/>
    <w:rsid w:val="00BD0A88"/>
    <w:rsid w:val="00BD23BD"/>
    <w:rsid w:val="00BD310A"/>
    <w:rsid w:val="00BD5341"/>
    <w:rsid w:val="00BD58A7"/>
    <w:rsid w:val="00BD77F0"/>
    <w:rsid w:val="00BD7FF3"/>
    <w:rsid w:val="00BE1E33"/>
    <w:rsid w:val="00BE2AD3"/>
    <w:rsid w:val="00BE2B56"/>
    <w:rsid w:val="00BE36F7"/>
    <w:rsid w:val="00BE4E4A"/>
    <w:rsid w:val="00BF1787"/>
    <w:rsid w:val="00BF2443"/>
    <w:rsid w:val="00C00831"/>
    <w:rsid w:val="00C0223D"/>
    <w:rsid w:val="00C02D09"/>
    <w:rsid w:val="00C03689"/>
    <w:rsid w:val="00C069D0"/>
    <w:rsid w:val="00C11BCD"/>
    <w:rsid w:val="00C12201"/>
    <w:rsid w:val="00C13418"/>
    <w:rsid w:val="00C1405A"/>
    <w:rsid w:val="00C22412"/>
    <w:rsid w:val="00C24EAC"/>
    <w:rsid w:val="00C25E14"/>
    <w:rsid w:val="00C266A5"/>
    <w:rsid w:val="00C30B92"/>
    <w:rsid w:val="00C32446"/>
    <w:rsid w:val="00C40C84"/>
    <w:rsid w:val="00C4526C"/>
    <w:rsid w:val="00C50B1B"/>
    <w:rsid w:val="00C52801"/>
    <w:rsid w:val="00C551C3"/>
    <w:rsid w:val="00C6210F"/>
    <w:rsid w:val="00C6572A"/>
    <w:rsid w:val="00C70C7D"/>
    <w:rsid w:val="00C745C6"/>
    <w:rsid w:val="00C75D22"/>
    <w:rsid w:val="00C75DB8"/>
    <w:rsid w:val="00C76A82"/>
    <w:rsid w:val="00C76D92"/>
    <w:rsid w:val="00C964DE"/>
    <w:rsid w:val="00C96C57"/>
    <w:rsid w:val="00C96EC1"/>
    <w:rsid w:val="00C97F69"/>
    <w:rsid w:val="00CA3C3B"/>
    <w:rsid w:val="00CA5790"/>
    <w:rsid w:val="00CA634C"/>
    <w:rsid w:val="00CA66DF"/>
    <w:rsid w:val="00CB004E"/>
    <w:rsid w:val="00CB7787"/>
    <w:rsid w:val="00CC1134"/>
    <w:rsid w:val="00CC3C9A"/>
    <w:rsid w:val="00CD05DC"/>
    <w:rsid w:val="00CD3C6F"/>
    <w:rsid w:val="00CD5DF3"/>
    <w:rsid w:val="00CE153F"/>
    <w:rsid w:val="00CF183E"/>
    <w:rsid w:val="00CF326B"/>
    <w:rsid w:val="00CF4F06"/>
    <w:rsid w:val="00CF605F"/>
    <w:rsid w:val="00CF6C6F"/>
    <w:rsid w:val="00D03E5C"/>
    <w:rsid w:val="00D058DF"/>
    <w:rsid w:val="00D0763E"/>
    <w:rsid w:val="00D12644"/>
    <w:rsid w:val="00D1531B"/>
    <w:rsid w:val="00D15EAB"/>
    <w:rsid w:val="00D161A4"/>
    <w:rsid w:val="00D24682"/>
    <w:rsid w:val="00D24F06"/>
    <w:rsid w:val="00D25AEF"/>
    <w:rsid w:val="00D349EE"/>
    <w:rsid w:val="00D3779A"/>
    <w:rsid w:val="00D37A3A"/>
    <w:rsid w:val="00D37F03"/>
    <w:rsid w:val="00D404BB"/>
    <w:rsid w:val="00D421E8"/>
    <w:rsid w:val="00D43ADB"/>
    <w:rsid w:val="00D43ECF"/>
    <w:rsid w:val="00D56763"/>
    <w:rsid w:val="00D56D47"/>
    <w:rsid w:val="00D644D8"/>
    <w:rsid w:val="00D7088A"/>
    <w:rsid w:val="00D70FB4"/>
    <w:rsid w:val="00D74A1C"/>
    <w:rsid w:val="00D75806"/>
    <w:rsid w:val="00D76CC1"/>
    <w:rsid w:val="00D76E57"/>
    <w:rsid w:val="00D815C1"/>
    <w:rsid w:val="00D81EEF"/>
    <w:rsid w:val="00D822D9"/>
    <w:rsid w:val="00D838D1"/>
    <w:rsid w:val="00D84DC5"/>
    <w:rsid w:val="00D857EA"/>
    <w:rsid w:val="00D85C85"/>
    <w:rsid w:val="00D87665"/>
    <w:rsid w:val="00D87808"/>
    <w:rsid w:val="00D923D3"/>
    <w:rsid w:val="00D92F6C"/>
    <w:rsid w:val="00D93CB6"/>
    <w:rsid w:val="00D95879"/>
    <w:rsid w:val="00D95C0B"/>
    <w:rsid w:val="00D961FC"/>
    <w:rsid w:val="00D97A6B"/>
    <w:rsid w:val="00DA2FA3"/>
    <w:rsid w:val="00DA585A"/>
    <w:rsid w:val="00DA681A"/>
    <w:rsid w:val="00DB35CF"/>
    <w:rsid w:val="00DB3F57"/>
    <w:rsid w:val="00DB751D"/>
    <w:rsid w:val="00DC0138"/>
    <w:rsid w:val="00DC1941"/>
    <w:rsid w:val="00DC22C6"/>
    <w:rsid w:val="00DC59FA"/>
    <w:rsid w:val="00DC679E"/>
    <w:rsid w:val="00DD0E98"/>
    <w:rsid w:val="00DD1A92"/>
    <w:rsid w:val="00DD265C"/>
    <w:rsid w:val="00DD2D2E"/>
    <w:rsid w:val="00DE0E26"/>
    <w:rsid w:val="00DE151E"/>
    <w:rsid w:val="00DE6220"/>
    <w:rsid w:val="00DE64DE"/>
    <w:rsid w:val="00DE7AB4"/>
    <w:rsid w:val="00DF0661"/>
    <w:rsid w:val="00DF0F6A"/>
    <w:rsid w:val="00DF2F9C"/>
    <w:rsid w:val="00DF4D86"/>
    <w:rsid w:val="00DF6644"/>
    <w:rsid w:val="00DF7F6E"/>
    <w:rsid w:val="00E0053A"/>
    <w:rsid w:val="00E01D84"/>
    <w:rsid w:val="00E030B1"/>
    <w:rsid w:val="00E0556E"/>
    <w:rsid w:val="00E06637"/>
    <w:rsid w:val="00E1021F"/>
    <w:rsid w:val="00E137BB"/>
    <w:rsid w:val="00E17AA0"/>
    <w:rsid w:val="00E204B4"/>
    <w:rsid w:val="00E221EC"/>
    <w:rsid w:val="00E25964"/>
    <w:rsid w:val="00E30DF1"/>
    <w:rsid w:val="00E3199C"/>
    <w:rsid w:val="00E33820"/>
    <w:rsid w:val="00E35B0E"/>
    <w:rsid w:val="00E42425"/>
    <w:rsid w:val="00E53A9A"/>
    <w:rsid w:val="00E56801"/>
    <w:rsid w:val="00E62E6F"/>
    <w:rsid w:val="00E6312F"/>
    <w:rsid w:val="00E63ADB"/>
    <w:rsid w:val="00E64988"/>
    <w:rsid w:val="00E64A38"/>
    <w:rsid w:val="00E650D8"/>
    <w:rsid w:val="00E756AC"/>
    <w:rsid w:val="00E8381A"/>
    <w:rsid w:val="00E85358"/>
    <w:rsid w:val="00E87596"/>
    <w:rsid w:val="00E87794"/>
    <w:rsid w:val="00E96422"/>
    <w:rsid w:val="00EA2448"/>
    <w:rsid w:val="00EA3B7D"/>
    <w:rsid w:val="00EA5A59"/>
    <w:rsid w:val="00EB3D8F"/>
    <w:rsid w:val="00EB5184"/>
    <w:rsid w:val="00EB5931"/>
    <w:rsid w:val="00EB5A65"/>
    <w:rsid w:val="00EC092E"/>
    <w:rsid w:val="00EC1F05"/>
    <w:rsid w:val="00EC28A2"/>
    <w:rsid w:val="00EC2D8F"/>
    <w:rsid w:val="00ED0FE3"/>
    <w:rsid w:val="00ED1F11"/>
    <w:rsid w:val="00ED3EF0"/>
    <w:rsid w:val="00ED5E06"/>
    <w:rsid w:val="00ED5F08"/>
    <w:rsid w:val="00ED6F06"/>
    <w:rsid w:val="00EE121F"/>
    <w:rsid w:val="00EE2707"/>
    <w:rsid w:val="00EF2CA6"/>
    <w:rsid w:val="00EF4DC4"/>
    <w:rsid w:val="00EF553C"/>
    <w:rsid w:val="00F0422A"/>
    <w:rsid w:val="00F0523A"/>
    <w:rsid w:val="00F117B1"/>
    <w:rsid w:val="00F12D75"/>
    <w:rsid w:val="00F134F9"/>
    <w:rsid w:val="00F17AD4"/>
    <w:rsid w:val="00F218E0"/>
    <w:rsid w:val="00F21DDD"/>
    <w:rsid w:val="00F24382"/>
    <w:rsid w:val="00F24C62"/>
    <w:rsid w:val="00F26DB6"/>
    <w:rsid w:val="00F27497"/>
    <w:rsid w:val="00F33F55"/>
    <w:rsid w:val="00F34138"/>
    <w:rsid w:val="00F3642B"/>
    <w:rsid w:val="00F3784C"/>
    <w:rsid w:val="00F379D7"/>
    <w:rsid w:val="00F41276"/>
    <w:rsid w:val="00F4230D"/>
    <w:rsid w:val="00F45997"/>
    <w:rsid w:val="00F47FCE"/>
    <w:rsid w:val="00F501D2"/>
    <w:rsid w:val="00F5266F"/>
    <w:rsid w:val="00F55AB2"/>
    <w:rsid w:val="00F55C60"/>
    <w:rsid w:val="00F56447"/>
    <w:rsid w:val="00F573FF"/>
    <w:rsid w:val="00F619ED"/>
    <w:rsid w:val="00F64055"/>
    <w:rsid w:val="00F67011"/>
    <w:rsid w:val="00F7087E"/>
    <w:rsid w:val="00F710C6"/>
    <w:rsid w:val="00F848D2"/>
    <w:rsid w:val="00F87FD4"/>
    <w:rsid w:val="00F911E4"/>
    <w:rsid w:val="00F9481A"/>
    <w:rsid w:val="00F964FD"/>
    <w:rsid w:val="00F96AB1"/>
    <w:rsid w:val="00F97692"/>
    <w:rsid w:val="00F9783F"/>
    <w:rsid w:val="00F978B3"/>
    <w:rsid w:val="00FA2523"/>
    <w:rsid w:val="00FA282C"/>
    <w:rsid w:val="00FA547C"/>
    <w:rsid w:val="00FB44F1"/>
    <w:rsid w:val="00FB603A"/>
    <w:rsid w:val="00FC50BF"/>
    <w:rsid w:val="00FC755D"/>
    <w:rsid w:val="00FD1BC4"/>
    <w:rsid w:val="00FD2D6D"/>
    <w:rsid w:val="00FD376E"/>
    <w:rsid w:val="00FD724A"/>
    <w:rsid w:val="00FE00F9"/>
    <w:rsid w:val="00FE22E3"/>
    <w:rsid w:val="00FE3DFF"/>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02175E"/>
    <w:rPr>
      <w:rFonts w:ascii="Times New Roman" w:eastAsia="Times New Roman" w:hAnsi="Times New Roman" w:cs="Times New Roman"/>
      <w:sz w:val="24"/>
      <w:szCs w:val="24"/>
      <w:lang w:eastAsia="es-ES_tradnl"/>
    </w:rPr>
  </w:style>
  <w:style w:type="paragraph" w:customStyle="1" w:styleId="Car1">
    <w:name w:val="Car1"/>
    <w:basedOn w:val="Normal"/>
    <w:next w:val="Textonotapie"/>
    <w:uiPriority w:val="99"/>
    <w:unhideWhenUsed/>
    <w:qFormat/>
    <w:rsid w:val="00B857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364522892">
      <w:bodyDiv w:val="1"/>
      <w:marLeft w:val="0"/>
      <w:marRight w:val="0"/>
      <w:marTop w:val="0"/>
      <w:marBottom w:val="0"/>
      <w:divBdr>
        <w:top w:val="none" w:sz="0" w:space="0" w:color="auto"/>
        <w:left w:val="none" w:sz="0" w:space="0" w:color="auto"/>
        <w:bottom w:val="none" w:sz="0" w:space="0" w:color="auto"/>
        <w:right w:val="none" w:sz="0" w:space="0" w:color="auto"/>
      </w:divBdr>
      <w:divsChild>
        <w:div w:id="168450999">
          <w:marLeft w:val="0"/>
          <w:marRight w:val="0"/>
          <w:marTop w:val="0"/>
          <w:marBottom w:val="0"/>
          <w:divBdr>
            <w:top w:val="none" w:sz="0" w:space="0" w:color="auto"/>
            <w:left w:val="none" w:sz="0" w:space="0" w:color="auto"/>
            <w:bottom w:val="none" w:sz="0" w:space="0" w:color="auto"/>
            <w:right w:val="none" w:sz="0" w:space="0" w:color="auto"/>
          </w:divBdr>
          <w:divsChild>
            <w:div w:id="1772044046">
              <w:marLeft w:val="0"/>
              <w:marRight w:val="0"/>
              <w:marTop w:val="0"/>
              <w:marBottom w:val="0"/>
              <w:divBdr>
                <w:top w:val="none" w:sz="0" w:space="0" w:color="auto"/>
                <w:left w:val="none" w:sz="0" w:space="0" w:color="auto"/>
                <w:bottom w:val="none" w:sz="0" w:space="0" w:color="auto"/>
                <w:right w:val="none" w:sz="0" w:space="0" w:color="auto"/>
              </w:divBdr>
              <w:divsChild>
                <w:div w:id="770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C6D12F7D-8058-4016-8472-4838BDFC211E}">
  <ds:schemaRefs>
    <ds:schemaRef ds:uri="http://schemas.openxmlformats.org/officeDocument/2006/bibliography"/>
  </ds:schemaRefs>
</ds:datastoreItem>
</file>

<file path=customXml/itemProps4.xml><?xml version="1.0" encoding="utf-8"?>
<ds:datastoreItem xmlns:ds="http://schemas.openxmlformats.org/officeDocument/2006/customXml" ds:itemID="{08481BB7-BC4D-448F-BE9A-42205F33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4990</Words>
  <Characters>27446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4</cp:revision>
  <cp:lastPrinted>2020-03-17T17:42:00Z</cp:lastPrinted>
  <dcterms:created xsi:type="dcterms:W3CDTF">2022-04-21T17:21:00Z</dcterms:created>
  <dcterms:modified xsi:type="dcterms:W3CDTF">2022-05-04T20:53:00Z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