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B0E3" w14:textId="40C797EA" w:rsidR="004D3AE0" w:rsidRPr="00102E93" w:rsidRDefault="004D3AE0" w:rsidP="00102E93">
      <w:pPr>
        <w:spacing w:after="0" w:line="276" w:lineRule="auto"/>
        <w:jc w:val="right"/>
        <w:rPr>
          <w:rFonts w:ascii="Arial" w:eastAsia="Calibri" w:hAnsi="Arial" w:cs="Arial"/>
          <w:b/>
          <w:bCs/>
          <w:lang w:val="es-MX"/>
        </w:rPr>
      </w:pPr>
      <w:bookmarkStart w:id="0" w:name="_Hlk29890381"/>
      <w:bookmarkStart w:id="1" w:name="_Hlk84951179"/>
      <w:bookmarkEnd w:id="0"/>
      <w:r w:rsidRPr="004D3AE0">
        <w:rPr>
          <w:rFonts w:ascii="Arial" w:eastAsia="Times New Roman" w:hAnsi="Arial" w:cs="Arial"/>
          <w:b/>
          <w:bCs/>
          <w:sz w:val="16"/>
          <w:szCs w:val="16"/>
          <w:lang w:val="es-MX" w:eastAsia="es-ES"/>
        </w:rPr>
        <w:t>CCE-DES-FM-17</w:t>
      </w:r>
    </w:p>
    <w:p w14:paraId="1A3AEC3C" w14:textId="6B861BE2" w:rsidR="00102E93" w:rsidRPr="00102E93" w:rsidRDefault="004159AE" w:rsidP="00102E93">
      <w:pPr>
        <w:spacing w:after="0" w:line="240" w:lineRule="auto"/>
        <w:jc w:val="both"/>
        <w:rPr>
          <w:rFonts w:ascii="Arial" w:eastAsia="Calibri" w:hAnsi="Arial" w:cs="Arial"/>
          <w:b/>
          <w:bCs/>
          <w:color w:val="000000" w:themeColor="text1"/>
          <w:lang w:val="es-ES_tradnl"/>
        </w:rPr>
      </w:pPr>
      <w:bookmarkStart w:id="2" w:name="_Hlk65849162"/>
      <w:r>
        <w:rPr>
          <w:rFonts w:ascii="Arial" w:eastAsia="Calibri" w:hAnsi="Arial" w:cs="Arial"/>
          <w:b/>
          <w:bCs/>
          <w:color w:val="000000" w:themeColor="text1"/>
          <w:lang w:val="es-ES_tradnl"/>
        </w:rPr>
        <w:t xml:space="preserve">CAPACIDAD RESIDUAL – Definición </w:t>
      </w:r>
    </w:p>
    <w:p w14:paraId="59C8E50E" w14:textId="77777777" w:rsidR="00102E93" w:rsidRDefault="00102E93" w:rsidP="00102E93">
      <w:pPr>
        <w:spacing w:after="0" w:line="240" w:lineRule="auto"/>
        <w:jc w:val="both"/>
        <w:rPr>
          <w:rFonts w:ascii="Arial" w:eastAsia="Calibri" w:hAnsi="Arial" w:cs="Arial"/>
          <w:color w:val="000000" w:themeColor="text1"/>
          <w:sz w:val="20"/>
          <w:szCs w:val="20"/>
          <w:lang w:val="es-ES_tradnl"/>
        </w:rPr>
      </w:pPr>
    </w:p>
    <w:p w14:paraId="5258988B" w14:textId="4F8DD4B2" w:rsidR="00102E93" w:rsidRDefault="00102E93" w:rsidP="00FA2F88">
      <w:pPr>
        <w:spacing w:after="0" w:line="240" w:lineRule="auto"/>
        <w:jc w:val="both"/>
        <w:rPr>
          <w:rFonts w:ascii="Arial" w:eastAsia="Calibri" w:hAnsi="Arial" w:cs="Arial"/>
          <w:color w:val="000000" w:themeColor="text1"/>
          <w:sz w:val="20"/>
          <w:szCs w:val="20"/>
          <w:lang w:val="es-ES_tradnl"/>
        </w:rPr>
      </w:pPr>
      <w:r w:rsidRPr="00102E93">
        <w:rPr>
          <w:rFonts w:ascii="Arial" w:eastAsia="Calibri" w:hAnsi="Arial" w:cs="Arial"/>
          <w:color w:val="000000" w:themeColor="text1"/>
          <w:sz w:val="20"/>
          <w:szCs w:val="20"/>
          <w:lang w:val="es-ES_tradnl"/>
        </w:rPr>
        <w:t>La capacidad residual, definida en el artículo 2.2.1.1.1.3.1 del Decreto 1082 de 2015, como la «Aptitud de un oferente para cumplir oportuna y cabalmente con el objeto de un contrato de obra, sin que sus otros compromisos contractuales afecten su habilidad de cumplir con el contrato que está en proceso de selección». Ahora,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sidR="00E96E67">
        <w:rPr>
          <w:rFonts w:ascii="Arial" w:eastAsia="Calibri" w:hAnsi="Arial" w:cs="Arial"/>
          <w:color w:val="000000" w:themeColor="text1"/>
          <w:sz w:val="20"/>
          <w:szCs w:val="20"/>
          <w:lang w:val="es-ES_tradnl"/>
        </w:rPr>
        <w:t>.</w:t>
      </w:r>
    </w:p>
    <w:p w14:paraId="0F259C57" w14:textId="77777777" w:rsidR="00FA2F88" w:rsidRPr="00E96E67" w:rsidRDefault="00FA2F88" w:rsidP="00FA2F88">
      <w:pPr>
        <w:spacing w:after="0" w:line="240" w:lineRule="auto"/>
        <w:jc w:val="both"/>
        <w:rPr>
          <w:rFonts w:ascii="Arial" w:eastAsia="Calibri" w:hAnsi="Arial" w:cs="Arial"/>
          <w:color w:val="000000" w:themeColor="text1"/>
          <w:sz w:val="20"/>
          <w:szCs w:val="20"/>
          <w:lang w:val="es-ES_tradnl"/>
        </w:rPr>
      </w:pPr>
    </w:p>
    <w:p w14:paraId="1701CF08" w14:textId="0B6DFBC8" w:rsidR="004D3AE0" w:rsidRDefault="00102E93" w:rsidP="00FA2F88">
      <w:pPr>
        <w:spacing w:after="0" w:line="240" w:lineRule="auto"/>
        <w:jc w:val="both"/>
        <w:rPr>
          <w:rFonts w:ascii="Arial" w:eastAsia="Calibri" w:hAnsi="Arial" w:cs="Arial"/>
          <w:b/>
          <w:bCs/>
          <w:color w:val="000000" w:themeColor="text1"/>
          <w:lang w:val="es-ES_tradnl"/>
        </w:rPr>
      </w:pPr>
      <w:r w:rsidRPr="004E01A9">
        <w:rPr>
          <w:rFonts w:ascii="Arial" w:eastAsia="Calibri" w:hAnsi="Arial" w:cs="Arial"/>
          <w:b/>
          <w:bCs/>
          <w:color w:val="000000" w:themeColor="text1"/>
          <w:lang w:val="es-ES_tradnl"/>
        </w:rPr>
        <w:t>C</w:t>
      </w:r>
      <w:bookmarkEnd w:id="2"/>
      <w:r w:rsidR="00F0201A">
        <w:rPr>
          <w:rFonts w:ascii="Arial" w:eastAsia="Calibri" w:hAnsi="Arial" w:cs="Arial"/>
          <w:b/>
          <w:bCs/>
          <w:color w:val="000000" w:themeColor="text1"/>
          <w:lang w:val="es-ES_tradnl"/>
        </w:rPr>
        <w:t>APACIDAD RESIDUAL</w:t>
      </w:r>
      <w:r w:rsidR="002F496B">
        <w:rPr>
          <w:rFonts w:ascii="Arial" w:eastAsia="Calibri" w:hAnsi="Arial" w:cs="Arial"/>
          <w:b/>
          <w:bCs/>
          <w:color w:val="000000" w:themeColor="text1"/>
          <w:lang w:val="es-ES_tradnl"/>
        </w:rPr>
        <w:t xml:space="preserve"> –</w:t>
      </w:r>
      <w:r w:rsidR="00F0201A">
        <w:rPr>
          <w:rFonts w:ascii="Arial" w:eastAsia="Calibri" w:hAnsi="Arial" w:cs="Arial"/>
          <w:b/>
          <w:bCs/>
          <w:color w:val="000000" w:themeColor="text1"/>
          <w:lang w:val="es-ES_tradnl"/>
        </w:rPr>
        <w:t xml:space="preserve"> Contratos en ejecución </w:t>
      </w:r>
    </w:p>
    <w:p w14:paraId="429CE4A5" w14:textId="77777777" w:rsidR="00E07A2B" w:rsidRDefault="00E07A2B" w:rsidP="00FA2F88">
      <w:pPr>
        <w:spacing w:after="0" w:line="240" w:lineRule="auto"/>
        <w:jc w:val="both"/>
        <w:rPr>
          <w:rFonts w:ascii="Arial" w:eastAsia="Calibri" w:hAnsi="Arial" w:cs="Arial"/>
          <w:b/>
          <w:bCs/>
          <w:color w:val="000000" w:themeColor="text1"/>
          <w:lang w:val="es-ES_tradnl"/>
        </w:rPr>
      </w:pPr>
    </w:p>
    <w:p w14:paraId="4A57F5F3" w14:textId="77777777" w:rsidR="00F0201A" w:rsidRPr="00F0201A" w:rsidRDefault="00F0201A" w:rsidP="00E07A2B">
      <w:pPr>
        <w:spacing w:after="0" w:line="240" w:lineRule="auto"/>
        <w:jc w:val="both"/>
        <w:rPr>
          <w:rFonts w:ascii="Arial" w:hAnsi="Arial" w:cs="Arial"/>
          <w:color w:val="000000" w:themeColor="text1"/>
          <w:sz w:val="20"/>
          <w:szCs w:val="20"/>
          <w:lang w:val="es-MX"/>
        </w:rPr>
      </w:pPr>
      <w:r w:rsidRPr="00F0201A">
        <w:rPr>
          <w:rFonts w:ascii="Arial" w:hAnsi="Arial" w:cs="Arial"/>
          <w:color w:val="000000" w:themeColor="text1"/>
          <w:sz w:val="20"/>
          <w:szCs w:val="20"/>
          <w:lang w:val="es-MX"/>
        </w:rPr>
        <w:t xml:space="preserve">El numeral 1 del artículo 2.2.1.1.1.6.4. del Decreto 1082 de 2015 estableció que el interesado en celebrar un contrato de obra pública con una entidad estatal deberá acreditar «los contratos de obra civiles en ejecución suscritos con entidades estatales y con entidades privadas […] incluyendo contratos de concesión y los contratos de obra suscritos con un concesionario». </w:t>
      </w:r>
    </w:p>
    <w:p w14:paraId="7C35FCCA" w14:textId="7FE7E25F" w:rsidR="00F0201A" w:rsidRDefault="00F0201A" w:rsidP="00967CC4">
      <w:pPr>
        <w:spacing w:after="0" w:line="240" w:lineRule="auto"/>
        <w:jc w:val="both"/>
        <w:rPr>
          <w:rFonts w:ascii="Arial" w:hAnsi="Arial" w:cs="Arial"/>
          <w:color w:val="000000" w:themeColor="text1"/>
          <w:sz w:val="20"/>
          <w:szCs w:val="20"/>
          <w:lang w:val="es-MX"/>
        </w:rPr>
      </w:pPr>
      <w:r w:rsidRPr="00F0201A">
        <w:rPr>
          <w:rFonts w:ascii="Arial" w:hAnsi="Arial" w:cs="Arial"/>
          <w:color w:val="000000" w:themeColor="text1"/>
          <w:sz w:val="20"/>
          <w:szCs w:val="20"/>
          <w:lang w:val="es-MX"/>
        </w:rPr>
        <w:t xml:space="preserve">Entonces, de conformidad con lo establecido en la norma referida, la capacidad residual de un oferente se verifica, entre otros factores, a partir de los contratos de obras civiles en ejecución, incluidos contratos de concesión. Frente a este último respecto, debe precisarse que la Guía para Determinar y Verificar la Capacidad Residual del Proponente en los Procesos de Contratación de Obra Pública, expedida por esta Agencia, en su acápite de definición de expresiones utilizadas, determinó el alcance del concepto «contratos en ejecución», así: </w:t>
      </w:r>
      <w:r>
        <w:rPr>
          <w:rFonts w:ascii="Arial" w:hAnsi="Arial" w:cs="Arial"/>
          <w:color w:val="000000" w:themeColor="text1"/>
          <w:sz w:val="20"/>
          <w:szCs w:val="20"/>
          <w:lang w:val="es-MX"/>
        </w:rPr>
        <w:t>[…] s</w:t>
      </w:r>
      <w:r w:rsidRPr="00F0201A">
        <w:rPr>
          <w:rFonts w:ascii="Arial" w:hAnsi="Arial" w:cs="Arial"/>
          <w:color w:val="000000" w:themeColor="text1"/>
          <w:sz w:val="20"/>
          <w:szCs w:val="20"/>
          <w:lang w:val="es-MX"/>
        </w:rPr>
        <w:t>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7DE45A62" w14:textId="7B5D8FC9" w:rsidR="00F0201A" w:rsidRDefault="00F0201A" w:rsidP="00967CC4">
      <w:pPr>
        <w:spacing w:after="0" w:line="240" w:lineRule="auto"/>
        <w:jc w:val="both"/>
        <w:rPr>
          <w:rFonts w:ascii="Arial" w:hAnsi="Arial" w:cs="Arial"/>
          <w:color w:val="000000" w:themeColor="text1"/>
          <w:sz w:val="20"/>
          <w:szCs w:val="20"/>
          <w:lang w:val="es-MX"/>
        </w:rPr>
      </w:pPr>
    </w:p>
    <w:p w14:paraId="4F61FB85" w14:textId="2940AF64" w:rsidR="00F0201A" w:rsidRDefault="00F0201A" w:rsidP="00967CC4">
      <w:pPr>
        <w:spacing w:after="0" w:line="240" w:lineRule="auto"/>
        <w:jc w:val="both"/>
        <w:rPr>
          <w:rFonts w:ascii="Arial" w:eastAsia="Calibri" w:hAnsi="Arial" w:cs="Arial"/>
          <w:b/>
          <w:bCs/>
          <w:color w:val="000000" w:themeColor="text1"/>
          <w:lang w:val="es-ES_tradnl"/>
        </w:rPr>
      </w:pPr>
      <w:r w:rsidRPr="004E01A9">
        <w:rPr>
          <w:rFonts w:ascii="Arial" w:eastAsia="Calibri" w:hAnsi="Arial" w:cs="Arial"/>
          <w:b/>
          <w:bCs/>
          <w:color w:val="000000" w:themeColor="text1"/>
          <w:lang w:val="es-ES_tradnl"/>
        </w:rPr>
        <w:t>C</w:t>
      </w:r>
      <w:r>
        <w:rPr>
          <w:rFonts w:ascii="Arial" w:eastAsia="Calibri" w:hAnsi="Arial" w:cs="Arial"/>
          <w:b/>
          <w:bCs/>
          <w:color w:val="000000" w:themeColor="text1"/>
          <w:lang w:val="es-ES_tradnl"/>
        </w:rPr>
        <w:t>APACIDAD RESIDUAL</w:t>
      </w:r>
      <w:r w:rsidR="00EA2CF2">
        <w:rPr>
          <w:rFonts w:ascii="Arial" w:eastAsia="Calibri" w:hAnsi="Arial" w:cs="Arial"/>
          <w:b/>
          <w:bCs/>
          <w:color w:val="000000" w:themeColor="text1"/>
          <w:lang w:val="es-ES_tradnl"/>
        </w:rPr>
        <w:t xml:space="preserve"> –</w:t>
      </w:r>
      <w:r>
        <w:rPr>
          <w:rFonts w:ascii="Arial" w:eastAsia="Calibri" w:hAnsi="Arial" w:cs="Arial"/>
          <w:b/>
          <w:bCs/>
          <w:color w:val="000000" w:themeColor="text1"/>
          <w:lang w:val="es-ES_tradnl"/>
        </w:rPr>
        <w:t xml:space="preserve"> Contratos en ejecución – contratos de concesión</w:t>
      </w:r>
    </w:p>
    <w:p w14:paraId="406A39BB" w14:textId="77777777" w:rsidR="00967CC4" w:rsidRPr="00F0201A" w:rsidRDefault="00967CC4" w:rsidP="00967CC4">
      <w:pPr>
        <w:spacing w:after="0" w:line="240" w:lineRule="auto"/>
        <w:jc w:val="both"/>
        <w:rPr>
          <w:rFonts w:ascii="Arial" w:eastAsia="Calibri" w:hAnsi="Arial" w:cs="Arial"/>
          <w:b/>
          <w:bCs/>
          <w:color w:val="000000" w:themeColor="text1"/>
          <w:lang w:val="es-ES_tradnl"/>
        </w:rPr>
      </w:pPr>
    </w:p>
    <w:p w14:paraId="7440CF0D" w14:textId="73039D3F" w:rsidR="00F0201A" w:rsidRPr="00967CC4" w:rsidRDefault="00F0201A" w:rsidP="00F0201A">
      <w:pPr>
        <w:spacing w:line="240" w:lineRule="auto"/>
        <w:jc w:val="both"/>
        <w:rPr>
          <w:rFonts w:ascii="Arial" w:hAnsi="Arial" w:cs="Arial"/>
          <w:color w:val="000000" w:themeColor="text1"/>
          <w:sz w:val="20"/>
          <w:szCs w:val="20"/>
          <w:lang w:val="es-MX"/>
        </w:rPr>
      </w:pPr>
      <w:r>
        <w:rPr>
          <w:rFonts w:ascii="Arial" w:hAnsi="Arial" w:cs="Arial"/>
          <w:color w:val="000000" w:themeColor="text1"/>
          <w:sz w:val="20"/>
          <w:szCs w:val="20"/>
          <w:lang w:val="es-MX"/>
        </w:rPr>
        <w:t xml:space="preserve">[…] </w:t>
      </w:r>
      <w:r w:rsidRPr="00967CC4">
        <w:rPr>
          <w:rFonts w:ascii="Arial" w:hAnsi="Arial" w:cs="Arial"/>
          <w:color w:val="000000" w:themeColor="text1"/>
          <w:sz w:val="20"/>
          <w:szCs w:val="20"/>
          <w:lang w:val="es-MX"/>
        </w:rPr>
        <w:t xml:space="preserve">conforme con la </w:t>
      </w:r>
      <w:r w:rsidRPr="00967CC4">
        <w:rPr>
          <w:rFonts w:ascii="Arial" w:hAnsi="Arial" w:cs="Arial"/>
          <w:color w:val="000000" w:themeColor="text1"/>
          <w:sz w:val="20"/>
          <w:szCs w:val="20"/>
        </w:rPr>
        <w:t>Guía para Determinar y Verificar la Capacidad Residual del Proponente en los Procesos de Contratación de Obra Pública</w:t>
      </w:r>
      <w:r w:rsidRPr="00967CC4">
        <w:rPr>
          <w:rFonts w:ascii="Arial" w:hAnsi="Arial" w:cs="Arial"/>
          <w:color w:val="000000" w:themeColor="text1"/>
          <w:sz w:val="20"/>
          <w:szCs w:val="20"/>
          <w:lang w:val="es-MX"/>
        </w:rPr>
        <w:t xml:space="preserve">, los interesados en participar en un proceso de contratación de obra pública deben relacionar o enlistar, para determinar su capacidad residual, aquellos contratos de concesión cuyo objeto comprenda la ejecución de obras civiles. Es decir que, en lo que respecta a los contratos de concesión, el deber de reportarlos no es genérico para todos los contratos de esta naturaleza, sino que se circunscribe exclusivamente para aquellas contrataciones en las que se haya pactado la ejecución de obras civiles.  </w:t>
      </w:r>
    </w:p>
    <w:p w14:paraId="23250247" w14:textId="77777777" w:rsidR="00F0201A" w:rsidRPr="00F0201A" w:rsidRDefault="00F0201A" w:rsidP="00F0201A">
      <w:pPr>
        <w:spacing w:line="240" w:lineRule="auto"/>
        <w:jc w:val="both"/>
        <w:rPr>
          <w:rFonts w:ascii="Arial" w:hAnsi="Arial" w:cs="Arial"/>
          <w:color w:val="000000" w:themeColor="text1"/>
          <w:sz w:val="20"/>
          <w:szCs w:val="20"/>
          <w:lang w:val="es-MX"/>
        </w:rPr>
      </w:pPr>
    </w:p>
    <w:p w14:paraId="4D2BEAF4" w14:textId="69D12E15" w:rsidR="004D3AE0" w:rsidRPr="004D3AE0" w:rsidRDefault="004D3AE0" w:rsidP="00E44D14">
      <w:pPr>
        <w:spacing w:after="0" w:line="240" w:lineRule="auto"/>
        <w:jc w:val="right"/>
        <w:rPr>
          <w:rFonts w:ascii="Arial" w:eastAsia="Calibri" w:hAnsi="Arial" w:cs="Arial"/>
          <w:lang w:val="es-MX"/>
        </w:rPr>
      </w:pPr>
    </w:p>
    <w:p w14:paraId="28E18402" w14:textId="4217FF65" w:rsidR="004D3AE0" w:rsidRDefault="004D3AE0" w:rsidP="004D3AE0">
      <w:pPr>
        <w:spacing w:after="0" w:line="240" w:lineRule="auto"/>
        <w:rPr>
          <w:rFonts w:ascii="Arial" w:eastAsia="Calibri" w:hAnsi="Arial" w:cs="Arial"/>
          <w:lang w:val="es-MX"/>
        </w:rPr>
      </w:pPr>
    </w:p>
    <w:p w14:paraId="2DADA7ED" w14:textId="7A0FE797" w:rsidR="00F0201A" w:rsidRDefault="00F0201A" w:rsidP="004D3AE0">
      <w:pPr>
        <w:spacing w:after="0" w:line="240" w:lineRule="auto"/>
        <w:rPr>
          <w:rFonts w:ascii="Arial" w:eastAsia="Calibri" w:hAnsi="Arial" w:cs="Arial"/>
          <w:lang w:val="es-MX"/>
        </w:rPr>
      </w:pPr>
    </w:p>
    <w:p w14:paraId="4F348A69" w14:textId="2DAEB00B" w:rsidR="00F0201A" w:rsidRDefault="00F0201A" w:rsidP="004D3AE0">
      <w:pPr>
        <w:spacing w:after="0" w:line="240" w:lineRule="auto"/>
        <w:rPr>
          <w:rFonts w:ascii="Arial" w:eastAsia="Calibri" w:hAnsi="Arial" w:cs="Arial"/>
          <w:lang w:val="es-MX"/>
        </w:rPr>
      </w:pPr>
    </w:p>
    <w:p w14:paraId="21A45DEE" w14:textId="39B43553" w:rsidR="00F0201A" w:rsidRDefault="00F0201A" w:rsidP="004D3AE0">
      <w:pPr>
        <w:spacing w:after="0" w:line="240" w:lineRule="auto"/>
        <w:rPr>
          <w:rFonts w:ascii="Arial" w:eastAsia="Calibri" w:hAnsi="Arial" w:cs="Arial"/>
          <w:lang w:val="es-MX"/>
        </w:rPr>
      </w:pPr>
    </w:p>
    <w:p w14:paraId="516E7E07" w14:textId="16E5BA52" w:rsidR="00F0201A" w:rsidRDefault="00F0201A" w:rsidP="004D3AE0">
      <w:pPr>
        <w:spacing w:after="0" w:line="240" w:lineRule="auto"/>
        <w:rPr>
          <w:rFonts w:ascii="Arial" w:eastAsia="Calibri" w:hAnsi="Arial" w:cs="Arial"/>
          <w:lang w:val="es-MX"/>
        </w:rPr>
      </w:pPr>
    </w:p>
    <w:p w14:paraId="556EB32C" w14:textId="77777777" w:rsidR="00A95AA4" w:rsidRDefault="00A95AA4" w:rsidP="004058F0">
      <w:pPr>
        <w:spacing w:after="0" w:line="240" w:lineRule="auto"/>
        <w:rPr>
          <w:rFonts w:ascii="Arial" w:eastAsia="Calibri" w:hAnsi="Arial" w:cs="Arial"/>
          <w:szCs w:val="24"/>
          <w:lang w:eastAsia="es-ES_tradnl"/>
        </w:rPr>
      </w:pPr>
    </w:p>
    <w:p w14:paraId="6B623F16" w14:textId="77777777" w:rsidR="007E20CA" w:rsidRDefault="007E20CA" w:rsidP="004058F0">
      <w:pPr>
        <w:spacing w:after="0" w:line="240" w:lineRule="auto"/>
        <w:rPr>
          <w:rFonts w:ascii="Arial" w:eastAsia="Calibri" w:hAnsi="Arial" w:cs="Arial"/>
          <w:szCs w:val="24"/>
          <w:lang w:eastAsia="es-ES_tradnl"/>
        </w:rPr>
      </w:pPr>
    </w:p>
    <w:p w14:paraId="4EBA76ED" w14:textId="77777777" w:rsidR="00F53BC0" w:rsidRDefault="00F53BC0" w:rsidP="00F53BC0">
      <w:pPr>
        <w:pStyle w:val="Textoindependiente"/>
        <w:ind w:left="4825"/>
        <w:rPr>
          <w:rFonts w:ascii="Times New Roman"/>
          <w:sz w:val="20"/>
        </w:rPr>
      </w:pPr>
      <w:r>
        <w:rPr>
          <w:rFonts w:ascii="Times New Roman"/>
          <w:noProof/>
          <w:sz w:val="20"/>
        </w:rPr>
        <w:lastRenderedPageBreak/>
        <w:drawing>
          <wp:inline distT="0" distB="0" distL="0" distR="0" wp14:anchorId="0D057466" wp14:editId="254F2674">
            <wp:extent cx="2379945" cy="608838"/>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62713EEF" w14:textId="77777777" w:rsidR="00F53BC0" w:rsidRDefault="00F53BC0" w:rsidP="00F53BC0">
      <w:pPr>
        <w:pStyle w:val="Textoindependiente"/>
        <w:spacing w:before="10"/>
        <w:ind w:left="0"/>
        <w:rPr>
          <w:rFonts w:ascii="Times New Roman"/>
          <w:sz w:val="21"/>
        </w:rPr>
      </w:pPr>
    </w:p>
    <w:p w14:paraId="5D0D57F0" w14:textId="5E6AE21D" w:rsidR="00F53BC0" w:rsidRDefault="00F53BC0" w:rsidP="00F53BC0">
      <w:pPr>
        <w:spacing w:before="94"/>
        <w:ind w:right="513"/>
        <w:jc w:val="right"/>
      </w:pPr>
      <w:r>
        <w:rPr>
          <w:rFonts w:ascii="Arial"/>
          <w:b/>
          <w:color w:val="585858"/>
          <w:sz w:val="18"/>
        </w:rPr>
        <w:t>CCE-DES-FM-17</w:t>
      </w:r>
    </w:p>
    <w:p w14:paraId="63F36F65" w14:textId="4D0FA6D7" w:rsidR="00F53BC0" w:rsidRPr="008B45D7" w:rsidRDefault="00F53BC0" w:rsidP="00F53BC0">
      <w:pPr>
        <w:pStyle w:val="Textoindependiente"/>
        <w:ind w:left="0"/>
        <w:rPr>
          <w:rFonts w:ascii="Arial"/>
          <w:bCs/>
          <w:color w:val="595959" w:themeColor="text1" w:themeTint="A6"/>
          <w:szCs w:val="24"/>
        </w:rPr>
      </w:pPr>
      <w:r w:rsidRPr="008B45D7">
        <w:rPr>
          <w:rFonts w:ascii="Arial"/>
          <w:bCs/>
          <w:color w:val="595959" w:themeColor="text1" w:themeTint="A6"/>
          <w:szCs w:val="24"/>
        </w:rPr>
        <w:t xml:space="preserve"> Bogot</w:t>
      </w:r>
      <w:r w:rsidRPr="008B45D7">
        <w:rPr>
          <w:rFonts w:ascii="Arial"/>
          <w:bCs/>
          <w:color w:val="595959" w:themeColor="text1" w:themeTint="A6"/>
          <w:szCs w:val="24"/>
        </w:rPr>
        <w:t>á</w:t>
      </w:r>
      <w:r w:rsidRPr="008B45D7">
        <w:rPr>
          <w:rFonts w:ascii="Arial"/>
          <w:bCs/>
          <w:color w:val="595959" w:themeColor="text1" w:themeTint="A6"/>
          <w:szCs w:val="24"/>
        </w:rPr>
        <w:t xml:space="preserve">, </w:t>
      </w:r>
      <w:proofErr w:type="gramStart"/>
      <w:r w:rsidRPr="008B45D7">
        <w:rPr>
          <w:rFonts w:ascii="Arial"/>
          <w:bCs/>
          <w:color w:val="595959" w:themeColor="text1" w:themeTint="A6"/>
          <w:szCs w:val="24"/>
        </w:rPr>
        <w:t>Octubre</w:t>
      </w:r>
      <w:proofErr w:type="gramEnd"/>
      <w:r w:rsidRPr="008B45D7">
        <w:rPr>
          <w:rFonts w:ascii="Arial"/>
          <w:bCs/>
          <w:color w:val="595959" w:themeColor="text1" w:themeTint="A6"/>
          <w:szCs w:val="24"/>
        </w:rPr>
        <w:t xml:space="preserve"> 12 </w:t>
      </w:r>
      <w:r w:rsidR="002F496B">
        <w:rPr>
          <w:rFonts w:ascii="Arial"/>
          <w:bCs/>
          <w:color w:val="595959" w:themeColor="text1" w:themeTint="A6"/>
          <w:szCs w:val="24"/>
        </w:rPr>
        <w:t xml:space="preserve">de </w:t>
      </w:r>
      <w:r w:rsidRPr="008B45D7">
        <w:rPr>
          <w:rFonts w:ascii="Arial"/>
          <w:bCs/>
          <w:color w:val="595959" w:themeColor="text1" w:themeTint="A6"/>
          <w:szCs w:val="24"/>
        </w:rPr>
        <w:t>2021</w:t>
      </w:r>
    </w:p>
    <w:p w14:paraId="1F59FC3C" w14:textId="77777777" w:rsidR="007E20CA" w:rsidRDefault="007E20CA" w:rsidP="004058F0">
      <w:pPr>
        <w:spacing w:after="0" w:line="240" w:lineRule="auto"/>
        <w:rPr>
          <w:rFonts w:ascii="Arial" w:eastAsia="Calibri" w:hAnsi="Arial" w:cs="Arial"/>
          <w:szCs w:val="24"/>
          <w:lang w:eastAsia="es-ES_tradnl"/>
        </w:rPr>
      </w:pPr>
    </w:p>
    <w:p w14:paraId="01D8AF42" w14:textId="21A057EE" w:rsidR="004058F0" w:rsidRPr="004058F0" w:rsidRDefault="004058F0" w:rsidP="004058F0">
      <w:pPr>
        <w:spacing w:after="0" w:line="240" w:lineRule="auto"/>
        <w:rPr>
          <w:rFonts w:ascii="Arial" w:eastAsia="Calibri" w:hAnsi="Arial" w:cs="Arial"/>
          <w:szCs w:val="24"/>
          <w:lang w:eastAsia="es-ES_tradnl"/>
        </w:rPr>
      </w:pPr>
      <w:bookmarkStart w:id="3" w:name="_Hlk84951224"/>
      <w:r w:rsidRPr="004058F0">
        <w:rPr>
          <w:rFonts w:ascii="Arial" w:eastAsia="Calibri" w:hAnsi="Arial" w:cs="Arial"/>
          <w:szCs w:val="24"/>
          <w:lang w:eastAsia="es-ES_tradnl"/>
        </w:rPr>
        <w:t>Señor</w:t>
      </w:r>
    </w:p>
    <w:p w14:paraId="70C82A73" w14:textId="77777777" w:rsidR="004058F0" w:rsidRPr="004058F0" w:rsidRDefault="004058F0" w:rsidP="004058F0">
      <w:pPr>
        <w:spacing w:after="0" w:line="240" w:lineRule="auto"/>
        <w:rPr>
          <w:rFonts w:ascii="Arial" w:eastAsia="Calibri" w:hAnsi="Arial" w:cs="Arial"/>
          <w:b/>
          <w:szCs w:val="24"/>
          <w:lang w:eastAsia="es-ES_tradnl"/>
        </w:rPr>
      </w:pPr>
      <w:r w:rsidRPr="004058F0">
        <w:rPr>
          <w:rFonts w:ascii="Arial" w:eastAsia="Calibri" w:hAnsi="Arial" w:cs="Arial"/>
          <w:b/>
          <w:szCs w:val="24"/>
          <w:lang w:eastAsia="es-ES_tradnl"/>
        </w:rPr>
        <w:t>Carlos Mejía Hernández</w:t>
      </w:r>
    </w:p>
    <w:p w14:paraId="4A1175D1" w14:textId="77777777" w:rsidR="004058F0" w:rsidRPr="004058F0" w:rsidRDefault="004058F0" w:rsidP="004058F0">
      <w:pPr>
        <w:spacing w:after="0" w:line="240" w:lineRule="auto"/>
        <w:rPr>
          <w:rFonts w:ascii="Arial" w:eastAsia="Calibri" w:hAnsi="Arial" w:cs="Arial"/>
          <w:szCs w:val="24"/>
          <w:lang w:eastAsia="es-ES_tradnl"/>
        </w:rPr>
      </w:pPr>
      <w:r w:rsidRPr="004058F0">
        <w:rPr>
          <w:rFonts w:ascii="Arial" w:eastAsia="Calibri" w:hAnsi="Arial" w:cs="Arial"/>
          <w:szCs w:val="24"/>
          <w:lang w:eastAsia="es-ES_tradnl"/>
        </w:rPr>
        <w:t>Cúcuta, Norte de Santander</w:t>
      </w:r>
    </w:p>
    <w:p w14:paraId="1AE19D08" w14:textId="77777777" w:rsidR="004058F0" w:rsidRPr="004058F0" w:rsidRDefault="004058F0" w:rsidP="004058F0">
      <w:pPr>
        <w:spacing w:after="0" w:line="240" w:lineRule="auto"/>
        <w:rPr>
          <w:rFonts w:ascii="Arial" w:eastAsia="Calibri" w:hAnsi="Arial" w:cs="Arial"/>
          <w:szCs w:val="24"/>
          <w:lang w:eastAsia="es-ES_tradnl"/>
        </w:rPr>
      </w:pPr>
    </w:p>
    <w:p w14:paraId="5C520808" w14:textId="77777777" w:rsidR="004058F0" w:rsidRPr="004058F0" w:rsidRDefault="004058F0" w:rsidP="004058F0">
      <w:pPr>
        <w:spacing w:after="0" w:line="240" w:lineRule="auto"/>
        <w:rPr>
          <w:rFonts w:ascii="Arial" w:eastAsia="Calibri" w:hAnsi="Arial" w:cs="Arial"/>
          <w:szCs w:val="24"/>
          <w:lang w:eastAsia="es-ES_tradnl"/>
        </w:rPr>
      </w:pPr>
    </w:p>
    <w:p w14:paraId="520B09B9" w14:textId="77777777" w:rsidR="004058F0" w:rsidRPr="004058F0" w:rsidRDefault="004058F0" w:rsidP="004058F0">
      <w:pPr>
        <w:spacing w:after="0" w:line="240" w:lineRule="auto"/>
        <w:ind w:firstLine="2694"/>
        <w:rPr>
          <w:rFonts w:ascii="Arial" w:eastAsia="Calibri" w:hAnsi="Arial" w:cs="Arial"/>
          <w:b/>
          <w:szCs w:val="24"/>
          <w:lang w:eastAsia="es-ES_tradnl"/>
        </w:rPr>
      </w:pPr>
      <w:r w:rsidRPr="004058F0">
        <w:rPr>
          <w:rFonts w:ascii="Arial" w:eastAsia="Calibri" w:hAnsi="Arial" w:cs="Arial"/>
          <w:b/>
          <w:szCs w:val="24"/>
          <w:lang w:eastAsia="es-ES_tradnl"/>
        </w:rPr>
        <w:t>Concepto C – 590 de 2021</w:t>
      </w:r>
    </w:p>
    <w:p w14:paraId="0C80F0DA" w14:textId="77777777" w:rsidR="004058F0" w:rsidRPr="004058F0" w:rsidRDefault="004058F0" w:rsidP="004058F0">
      <w:pPr>
        <w:spacing w:after="0" w:line="240" w:lineRule="auto"/>
        <w:rPr>
          <w:rFonts w:ascii="Arial" w:eastAsia="Calibri" w:hAnsi="Arial" w:cs="Arial"/>
          <w:szCs w:val="24"/>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58F0" w:rsidRPr="004058F0" w14:paraId="0FAD4A26" w14:textId="77777777" w:rsidTr="009D5A44">
        <w:tc>
          <w:tcPr>
            <w:tcW w:w="2689" w:type="dxa"/>
            <w:hideMark/>
          </w:tcPr>
          <w:p w14:paraId="49A48B39" w14:textId="77777777" w:rsidR="004058F0" w:rsidRPr="004058F0" w:rsidRDefault="004058F0" w:rsidP="004058F0">
            <w:pPr>
              <w:rPr>
                <w:rFonts w:ascii="Arial" w:eastAsia="Calibri" w:hAnsi="Arial" w:cs="Arial"/>
                <w:szCs w:val="24"/>
                <w:lang w:eastAsia="es-ES_tradnl"/>
              </w:rPr>
            </w:pPr>
            <w:r w:rsidRPr="004058F0">
              <w:rPr>
                <w:rFonts w:ascii="Arial" w:eastAsia="Calibri" w:hAnsi="Arial" w:cs="Arial"/>
                <w:b/>
                <w:szCs w:val="24"/>
                <w:lang w:eastAsia="es-ES_tradnl"/>
              </w:rPr>
              <w:t>Temas:</w:t>
            </w:r>
            <w:r w:rsidRPr="004058F0">
              <w:rPr>
                <w:rFonts w:ascii="Arial" w:eastAsia="Calibri" w:hAnsi="Arial" w:cs="Arial"/>
                <w:szCs w:val="24"/>
                <w:lang w:eastAsia="es-ES_tradnl"/>
              </w:rPr>
              <w:t xml:space="preserve">           </w:t>
            </w:r>
          </w:p>
          <w:p w14:paraId="487DF41B" w14:textId="77777777" w:rsidR="004058F0" w:rsidRPr="004058F0" w:rsidRDefault="004058F0" w:rsidP="004058F0">
            <w:pPr>
              <w:rPr>
                <w:rFonts w:ascii="Arial" w:eastAsia="Calibri" w:hAnsi="Arial" w:cs="Arial"/>
                <w:szCs w:val="24"/>
                <w:lang w:eastAsia="es-ES_tradnl"/>
              </w:rPr>
            </w:pPr>
            <w:r w:rsidRPr="004058F0">
              <w:rPr>
                <w:rFonts w:ascii="Arial" w:eastAsia="Calibri" w:hAnsi="Arial" w:cs="Arial"/>
                <w:szCs w:val="24"/>
                <w:lang w:eastAsia="es-ES_tradnl"/>
              </w:rPr>
              <w:t xml:space="preserve">                           </w:t>
            </w:r>
          </w:p>
        </w:tc>
        <w:tc>
          <w:tcPr>
            <w:tcW w:w="6237" w:type="dxa"/>
            <w:hideMark/>
          </w:tcPr>
          <w:p w14:paraId="45C5355C" w14:textId="77777777" w:rsidR="00A95AA4" w:rsidRDefault="004058F0" w:rsidP="00F0201A">
            <w:pPr>
              <w:rPr>
                <w:rFonts w:ascii="Arial" w:eastAsia="Calibri" w:hAnsi="Arial" w:cs="Arial"/>
                <w:bCs/>
                <w:szCs w:val="24"/>
                <w:lang w:eastAsia="es-ES_tradnl"/>
              </w:rPr>
            </w:pPr>
            <w:r w:rsidRPr="004058F0">
              <w:rPr>
                <w:rFonts w:ascii="Arial" w:eastAsia="Calibri" w:hAnsi="Arial" w:cs="Arial"/>
                <w:bCs/>
                <w:szCs w:val="24"/>
                <w:lang w:eastAsia="es-ES_tradnl"/>
              </w:rPr>
              <w:t>CAPACIDAD RESIDUAL – Definición / CAPACIDAD RESIDUAL –</w:t>
            </w:r>
            <w:r w:rsidR="00F0201A">
              <w:rPr>
                <w:rFonts w:ascii="Arial" w:eastAsia="Calibri" w:hAnsi="Arial" w:cs="Arial"/>
                <w:bCs/>
                <w:szCs w:val="24"/>
                <w:lang w:eastAsia="es-ES_tradnl"/>
              </w:rPr>
              <w:t xml:space="preserve"> Contratos en ejecución / CAPACIDAD RESIDUAL</w:t>
            </w:r>
            <w:r w:rsidR="00A95AA4">
              <w:rPr>
                <w:rFonts w:ascii="Arial" w:eastAsia="Calibri" w:hAnsi="Arial" w:cs="Arial"/>
                <w:bCs/>
                <w:szCs w:val="24"/>
                <w:lang w:eastAsia="es-ES_tradnl"/>
              </w:rPr>
              <w:t xml:space="preserve"> – Contratos en ejecución – Contratos de concesión.</w:t>
            </w:r>
          </w:p>
          <w:p w14:paraId="65E7FBA1" w14:textId="32BADD36" w:rsidR="004058F0" w:rsidRPr="004058F0" w:rsidRDefault="00F0201A" w:rsidP="00F0201A">
            <w:pPr>
              <w:rPr>
                <w:rFonts w:ascii="Arial" w:eastAsia="Calibri" w:hAnsi="Arial" w:cs="Arial"/>
                <w:szCs w:val="24"/>
                <w:highlight w:val="yellow"/>
                <w:lang w:eastAsia="es-ES_tradnl"/>
              </w:rPr>
            </w:pPr>
            <w:r>
              <w:rPr>
                <w:rFonts w:ascii="Arial" w:eastAsia="Calibri" w:hAnsi="Arial" w:cs="Arial"/>
                <w:bCs/>
                <w:szCs w:val="24"/>
                <w:lang w:eastAsia="es-ES_tradnl"/>
              </w:rPr>
              <w:t xml:space="preserve"> </w:t>
            </w:r>
          </w:p>
        </w:tc>
      </w:tr>
      <w:tr w:rsidR="004058F0" w:rsidRPr="004058F0" w14:paraId="11A5E30E" w14:textId="77777777" w:rsidTr="009D5A44">
        <w:tc>
          <w:tcPr>
            <w:tcW w:w="2689" w:type="dxa"/>
          </w:tcPr>
          <w:p w14:paraId="0602548C" w14:textId="77777777" w:rsidR="004058F0" w:rsidRPr="004058F0" w:rsidRDefault="004058F0" w:rsidP="004058F0">
            <w:pPr>
              <w:spacing w:before="120"/>
              <w:rPr>
                <w:rFonts w:ascii="Arial" w:eastAsia="Calibri" w:hAnsi="Arial" w:cs="Arial"/>
                <w:b/>
                <w:szCs w:val="24"/>
                <w:lang w:eastAsia="es-ES_tradnl"/>
              </w:rPr>
            </w:pPr>
            <w:r w:rsidRPr="004058F0">
              <w:rPr>
                <w:rFonts w:ascii="Arial" w:eastAsia="Calibri" w:hAnsi="Arial" w:cs="Arial"/>
                <w:b/>
                <w:szCs w:val="24"/>
                <w:lang w:eastAsia="es-ES_tradnl"/>
              </w:rPr>
              <w:t>Radicación:</w:t>
            </w:r>
            <w:r w:rsidRPr="004058F0">
              <w:rPr>
                <w:rFonts w:ascii="Arial" w:eastAsia="Calibri" w:hAnsi="Arial" w:cs="Arial"/>
                <w:szCs w:val="24"/>
                <w:lang w:eastAsia="es-ES_tradnl"/>
              </w:rPr>
              <w:t xml:space="preserve">                              </w:t>
            </w:r>
          </w:p>
        </w:tc>
        <w:tc>
          <w:tcPr>
            <w:tcW w:w="6237" w:type="dxa"/>
          </w:tcPr>
          <w:p w14:paraId="22722FF1" w14:textId="77777777" w:rsidR="004058F0" w:rsidRPr="004058F0" w:rsidRDefault="004058F0" w:rsidP="004058F0">
            <w:pPr>
              <w:rPr>
                <w:sz w:val="24"/>
                <w:szCs w:val="24"/>
                <w:lang w:eastAsia="es-ES_tradnl"/>
              </w:rPr>
            </w:pPr>
            <w:r w:rsidRPr="004058F0">
              <w:rPr>
                <w:rFonts w:ascii="Arial" w:eastAsia="Calibri" w:hAnsi="Arial" w:cs="Arial"/>
                <w:szCs w:val="24"/>
                <w:lang w:eastAsia="es-ES_tradnl"/>
              </w:rPr>
              <w:t>Respuesta a consulta #</w:t>
            </w:r>
            <w:r w:rsidRPr="004058F0">
              <w:t xml:space="preserve"> </w:t>
            </w:r>
            <w:r w:rsidRPr="004058F0">
              <w:rPr>
                <w:rFonts w:ascii="Arial" w:eastAsia="Calibri" w:hAnsi="Arial" w:cs="Arial"/>
                <w:szCs w:val="24"/>
                <w:lang w:eastAsia="es-ES_tradnl"/>
              </w:rPr>
              <w:t xml:space="preserve">P20210906008108 </w:t>
            </w:r>
          </w:p>
        </w:tc>
      </w:tr>
    </w:tbl>
    <w:p w14:paraId="240453E6" w14:textId="77777777" w:rsidR="004058F0" w:rsidRPr="004058F0" w:rsidRDefault="004058F0" w:rsidP="004058F0">
      <w:pPr>
        <w:spacing w:before="120" w:after="0" w:line="240" w:lineRule="auto"/>
        <w:jc w:val="both"/>
        <w:rPr>
          <w:rFonts w:ascii="Arial" w:eastAsia="Calibri" w:hAnsi="Arial" w:cs="Arial"/>
          <w:szCs w:val="24"/>
          <w:lang w:eastAsia="es-ES_tradnl"/>
        </w:rPr>
      </w:pPr>
    </w:p>
    <w:p w14:paraId="551360CA" w14:textId="74FB3C42" w:rsidR="004058F0" w:rsidRPr="004058F0" w:rsidRDefault="004058F0" w:rsidP="004058F0">
      <w:pPr>
        <w:spacing w:after="0" w:line="240" w:lineRule="auto"/>
        <w:rPr>
          <w:rFonts w:ascii="Arial" w:eastAsia="Calibri" w:hAnsi="Arial" w:cs="Arial"/>
          <w:szCs w:val="24"/>
          <w:lang w:eastAsia="es-ES_tradnl"/>
        </w:rPr>
      </w:pPr>
      <w:r w:rsidRPr="004058F0">
        <w:rPr>
          <w:rFonts w:ascii="Arial" w:eastAsia="Calibri" w:hAnsi="Arial" w:cs="Arial"/>
          <w:szCs w:val="24"/>
          <w:lang w:eastAsia="es-ES_tradnl"/>
        </w:rPr>
        <w:t>Estimad</w:t>
      </w:r>
      <w:r w:rsidR="00F0201A">
        <w:rPr>
          <w:rFonts w:ascii="Arial" w:eastAsia="Calibri" w:hAnsi="Arial" w:cs="Arial"/>
          <w:szCs w:val="24"/>
          <w:lang w:eastAsia="es-ES_tradnl"/>
        </w:rPr>
        <w:t>o señor Mejía:</w:t>
      </w:r>
    </w:p>
    <w:p w14:paraId="63751519" w14:textId="77777777" w:rsidR="004058F0" w:rsidRPr="004058F0" w:rsidRDefault="004058F0" w:rsidP="004058F0">
      <w:pPr>
        <w:spacing w:after="0" w:line="240" w:lineRule="auto"/>
        <w:rPr>
          <w:rFonts w:ascii="Arial" w:eastAsia="Calibri" w:hAnsi="Arial" w:cs="Arial"/>
          <w:szCs w:val="24"/>
          <w:lang w:eastAsia="es-ES_tradnl"/>
        </w:rPr>
      </w:pPr>
    </w:p>
    <w:p w14:paraId="1DB7599E" w14:textId="77777777" w:rsidR="004058F0" w:rsidRPr="004058F0" w:rsidRDefault="004058F0" w:rsidP="004058F0">
      <w:pPr>
        <w:spacing w:after="0" w:line="276" w:lineRule="auto"/>
        <w:jc w:val="both"/>
        <w:rPr>
          <w:rFonts w:ascii="Arial" w:eastAsia="Calibri" w:hAnsi="Arial" w:cs="Arial"/>
          <w:szCs w:val="24"/>
          <w:lang w:eastAsia="es-ES_tradnl"/>
        </w:rPr>
      </w:pPr>
      <w:r w:rsidRPr="004058F0">
        <w:rPr>
          <w:rFonts w:ascii="Arial" w:eastAsia="Calibri" w:hAnsi="Arial" w:cs="Arial"/>
          <w:szCs w:val="24"/>
          <w:lang w:eastAsia="es-ES_tradnl"/>
        </w:rPr>
        <w:t>En ejercicio de la competencia otorgada por los artículos 11, numeral 8º, y 3º, numeral 5º, del Decreto Ley 4170 de 2011, la Agencia Nacional de Contratación Pública − Colombia Compra Eficiente responde su consulta del 2 de septiembre de 2021.</w:t>
      </w:r>
    </w:p>
    <w:p w14:paraId="1DF5CDB4" w14:textId="77777777" w:rsidR="004058F0" w:rsidRPr="004058F0" w:rsidRDefault="004058F0" w:rsidP="004058F0">
      <w:pPr>
        <w:spacing w:after="0" w:line="276" w:lineRule="auto"/>
        <w:jc w:val="both"/>
        <w:rPr>
          <w:rFonts w:ascii="Arial" w:eastAsia="Calibri" w:hAnsi="Arial" w:cs="Arial"/>
          <w:szCs w:val="24"/>
          <w:lang w:eastAsia="es-ES_tradnl"/>
        </w:rPr>
      </w:pPr>
    </w:p>
    <w:p w14:paraId="79E13AEB" w14:textId="77777777" w:rsidR="004058F0" w:rsidRPr="004058F0" w:rsidRDefault="004058F0" w:rsidP="004058F0">
      <w:pPr>
        <w:numPr>
          <w:ilvl w:val="0"/>
          <w:numId w:val="1"/>
        </w:numPr>
        <w:tabs>
          <w:tab w:val="left" w:pos="284"/>
        </w:tabs>
        <w:spacing w:after="0" w:line="240" w:lineRule="auto"/>
        <w:ind w:left="0" w:firstLine="0"/>
        <w:contextualSpacing/>
        <w:jc w:val="both"/>
        <w:rPr>
          <w:rFonts w:ascii="Arial" w:eastAsia="Calibri" w:hAnsi="Arial" w:cs="Arial"/>
          <w:b/>
          <w:szCs w:val="24"/>
          <w:lang w:eastAsia="es-ES_tradnl"/>
        </w:rPr>
      </w:pPr>
      <w:r w:rsidRPr="004058F0">
        <w:rPr>
          <w:rFonts w:ascii="Arial" w:eastAsia="Calibri" w:hAnsi="Arial" w:cs="Arial"/>
          <w:b/>
          <w:szCs w:val="24"/>
          <w:lang w:eastAsia="es-ES_tradnl"/>
        </w:rPr>
        <w:t xml:space="preserve">Problemas planteados </w:t>
      </w:r>
    </w:p>
    <w:p w14:paraId="509E42FB" w14:textId="77777777" w:rsidR="004058F0" w:rsidRPr="004058F0" w:rsidRDefault="004058F0" w:rsidP="004058F0">
      <w:pPr>
        <w:tabs>
          <w:tab w:val="left" w:pos="426"/>
        </w:tabs>
        <w:spacing w:after="0" w:line="276" w:lineRule="auto"/>
        <w:jc w:val="both"/>
        <w:rPr>
          <w:rFonts w:ascii="Arial" w:eastAsia="Calibri" w:hAnsi="Arial" w:cs="Arial"/>
          <w:b/>
          <w:szCs w:val="24"/>
          <w:lang w:eastAsia="es-ES_tradnl"/>
        </w:rPr>
      </w:pPr>
    </w:p>
    <w:p w14:paraId="627C6987" w14:textId="64198534" w:rsidR="004058F0" w:rsidRPr="004058F0" w:rsidRDefault="004058F0" w:rsidP="004058F0">
      <w:pPr>
        <w:tabs>
          <w:tab w:val="left" w:pos="426"/>
        </w:tabs>
        <w:spacing w:after="0" w:line="276" w:lineRule="auto"/>
        <w:jc w:val="both"/>
        <w:rPr>
          <w:rFonts w:ascii="Arial" w:eastAsia="Calibri" w:hAnsi="Arial" w:cs="Arial"/>
          <w:szCs w:val="24"/>
          <w:lang w:eastAsia="es-ES_tradnl"/>
        </w:rPr>
      </w:pPr>
      <w:r w:rsidRPr="004058F0">
        <w:rPr>
          <w:rFonts w:ascii="Arial" w:eastAsia="Calibri" w:hAnsi="Arial" w:cs="Arial"/>
          <w:szCs w:val="24"/>
          <w:lang w:eastAsia="es-ES_tradnl"/>
        </w:rPr>
        <w:t xml:space="preserve">Usted realiza la siguiente pregunta: </w:t>
      </w:r>
      <w:bookmarkStart w:id="4" w:name="_Hlk83199022"/>
      <w:r w:rsidR="00F0201A" w:rsidRPr="00F0201A">
        <w:rPr>
          <w:rFonts w:ascii="Arial" w:hAnsi="Arial" w:cs="Arial"/>
          <w:sz w:val="21"/>
          <w:szCs w:val="21"/>
          <w:lang w:val="es-MX"/>
        </w:rPr>
        <w:t>«</w:t>
      </w:r>
      <w:r w:rsidRPr="004058F0">
        <w:rPr>
          <w:rFonts w:ascii="Arial" w:eastAsia="Calibri" w:hAnsi="Arial" w:cs="Arial"/>
          <w:szCs w:val="24"/>
          <w:lang w:eastAsia="es-ES_tradnl"/>
        </w:rPr>
        <w:t xml:space="preserve">[¿] </w:t>
      </w:r>
      <w:r w:rsidRPr="004058F0">
        <w:rPr>
          <w:rFonts w:ascii="Arial" w:hAnsi="Arial" w:cs="Arial"/>
        </w:rPr>
        <w:t>d</w:t>
      </w:r>
      <w:r w:rsidRPr="004058F0">
        <w:rPr>
          <w:rFonts w:ascii="Arial" w:eastAsia="Calibri" w:hAnsi="Arial" w:cs="Arial"/>
          <w:szCs w:val="24"/>
          <w:lang w:eastAsia="es-ES_tradnl"/>
        </w:rPr>
        <w:t>ebe un proponente incluir los contratos de concesión que tiene actualmente (específicamente concesiones de alumbrado público) dentro de los contratos en ejecución para calcular el K residual de Contratación [?]</w:t>
      </w:r>
      <w:bookmarkEnd w:id="4"/>
      <w:r w:rsidR="00F0201A" w:rsidRPr="008B0FBD">
        <w:rPr>
          <w:rFonts w:ascii="Arial" w:hAnsi="Arial" w:cs="Arial"/>
          <w:sz w:val="21"/>
          <w:szCs w:val="21"/>
          <w:lang w:val="es-MX"/>
        </w:rPr>
        <w:t>»</w:t>
      </w:r>
    </w:p>
    <w:p w14:paraId="748A29C4" w14:textId="77777777" w:rsidR="004D3AE0" w:rsidRPr="004D3AE0" w:rsidRDefault="004D3AE0" w:rsidP="004D3AE0">
      <w:pPr>
        <w:tabs>
          <w:tab w:val="left" w:pos="426"/>
        </w:tabs>
        <w:spacing w:after="0" w:line="276" w:lineRule="auto"/>
        <w:jc w:val="both"/>
        <w:rPr>
          <w:rFonts w:ascii="Arial" w:eastAsia="Calibri" w:hAnsi="Arial" w:cs="Arial"/>
          <w:lang w:val="es-MX"/>
        </w:rPr>
      </w:pPr>
    </w:p>
    <w:p w14:paraId="737146CD" w14:textId="60C6E696" w:rsidR="004D3AE0" w:rsidRDefault="004D3AE0" w:rsidP="004D3AE0">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4D3AE0">
        <w:rPr>
          <w:rFonts w:ascii="Arial" w:eastAsia="Calibri" w:hAnsi="Arial" w:cs="Arial"/>
          <w:b/>
          <w:lang w:val="es-MX"/>
        </w:rPr>
        <w:t>Consideraciones</w:t>
      </w:r>
    </w:p>
    <w:p w14:paraId="2D8D5470" w14:textId="77777777" w:rsidR="00BD06B1" w:rsidRPr="004D3AE0" w:rsidRDefault="00BD06B1" w:rsidP="00FB1C6D">
      <w:pPr>
        <w:tabs>
          <w:tab w:val="left" w:pos="426"/>
        </w:tabs>
        <w:spacing w:after="0" w:line="276" w:lineRule="auto"/>
        <w:contextualSpacing/>
        <w:jc w:val="both"/>
        <w:rPr>
          <w:rFonts w:ascii="Arial" w:eastAsia="Calibri" w:hAnsi="Arial" w:cs="Arial"/>
          <w:b/>
          <w:lang w:val="es-MX"/>
        </w:rPr>
      </w:pPr>
    </w:p>
    <w:p w14:paraId="151DA8FB" w14:textId="45D1DABD" w:rsidR="00602D78" w:rsidRPr="00602D78" w:rsidRDefault="00E6301A" w:rsidP="00602D78">
      <w:pPr>
        <w:spacing w:line="276" w:lineRule="auto"/>
        <w:jc w:val="both"/>
        <w:rPr>
          <w:rFonts w:ascii="Arial" w:eastAsia="Calibri" w:hAnsi="Arial" w:cs="Arial"/>
          <w:b/>
          <w:color w:val="000000"/>
          <w:lang w:val="es-ES_tradnl"/>
        </w:rPr>
      </w:pPr>
      <w:r w:rsidRPr="00E6301A">
        <w:rPr>
          <w:rFonts w:ascii="Arial" w:eastAsia="Calibri" w:hAnsi="Arial" w:cs="Arial"/>
          <w:lang w:val="es-MX"/>
        </w:rPr>
        <w:t>La Agencia Nacional de Contratación Pública − Colombia Compra Eficiente se ha</w:t>
      </w:r>
      <w:r>
        <w:rPr>
          <w:rFonts w:ascii="Arial" w:eastAsia="Calibri" w:hAnsi="Arial" w:cs="Arial"/>
          <w:lang w:val="es-MX"/>
        </w:rPr>
        <w:t xml:space="preserve"> </w:t>
      </w:r>
      <w:r w:rsidRPr="00E6301A">
        <w:rPr>
          <w:rFonts w:ascii="Arial" w:eastAsia="Calibri" w:hAnsi="Arial" w:cs="Arial"/>
          <w:lang w:val="es-MX"/>
        </w:rPr>
        <w:t>pronunciado sobre la experiencia como requisito habilitante y como factor para determinar</w:t>
      </w:r>
      <w:r>
        <w:rPr>
          <w:rFonts w:ascii="Arial" w:eastAsia="Calibri" w:hAnsi="Arial" w:cs="Arial"/>
          <w:lang w:val="es-MX"/>
        </w:rPr>
        <w:t xml:space="preserve"> </w:t>
      </w:r>
      <w:r w:rsidRPr="00E6301A">
        <w:rPr>
          <w:rFonts w:ascii="Arial" w:eastAsia="Calibri" w:hAnsi="Arial" w:cs="Arial"/>
          <w:lang w:val="es-MX"/>
        </w:rPr>
        <w:t>la capacidad residual, así como también sobre la forma en que se debe determinar esta</w:t>
      </w:r>
      <w:r>
        <w:rPr>
          <w:rFonts w:ascii="Arial" w:eastAsia="Calibri" w:hAnsi="Arial" w:cs="Arial"/>
          <w:lang w:val="es-MX"/>
        </w:rPr>
        <w:t xml:space="preserve"> </w:t>
      </w:r>
      <w:r w:rsidRPr="00E6301A">
        <w:rPr>
          <w:rFonts w:ascii="Arial" w:eastAsia="Calibri" w:hAnsi="Arial" w:cs="Arial"/>
          <w:lang w:val="es-MX"/>
        </w:rPr>
        <w:t>última, en los conceptos del 27 de agosto y el 20 y 26 (2) de diciembre de 2019</w:t>
      </w:r>
      <w:r>
        <w:rPr>
          <w:rFonts w:ascii="Arial" w:eastAsia="Calibri" w:hAnsi="Arial" w:cs="Arial"/>
          <w:lang w:val="es-MX"/>
        </w:rPr>
        <w:t xml:space="preserve"> </w:t>
      </w:r>
      <w:r w:rsidRPr="00E6301A">
        <w:rPr>
          <w:rFonts w:ascii="Arial" w:eastAsia="Calibri" w:hAnsi="Arial" w:cs="Arial"/>
          <w:lang w:val="es-MX"/>
        </w:rPr>
        <w:t>−radicados Nos. 2201913000006275, 2201913000009465, 2201913000009642 y</w:t>
      </w:r>
      <w:r>
        <w:rPr>
          <w:rFonts w:ascii="Arial" w:eastAsia="Calibri" w:hAnsi="Arial" w:cs="Arial"/>
          <w:lang w:val="es-MX"/>
        </w:rPr>
        <w:t xml:space="preserve"> </w:t>
      </w:r>
      <w:r w:rsidRPr="00E6301A">
        <w:rPr>
          <w:rFonts w:ascii="Arial" w:eastAsia="Calibri" w:hAnsi="Arial" w:cs="Arial"/>
          <w:lang w:val="es-MX"/>
        </w:rPr>
        <w:t>2201913000009640−. Igualmente, en los conceptos C-022</w:t>
      </w:r>
      <w:r>
        <w:rPr>
          <w:rFonts w:ascii="Arial" w:eastAsia="Calibri" w:hAnsi="Arial" w:cs="Arial"/>
          <w:lang w:val="es-MX"/>
        </w:rPr>
        <w:t xml:space="preserve"> de 20 de febrero de </w:t>
      </w:r>
      <w:r w:rsidR="004058F0">
        <w:rPr>
          <w:rFonts w:ascii="Arial" w:eastAsia="Calibri" w:hAnsi="Arial" w:cs="Arial"/>
          <w:lang w:val="es-MX"/>
        </w:rPr>
        <w:t>2020,</w:t>
      </w:r>
      <w:r w:rsidRPr="00E6301A">
        <w:rPr>
          <w:rFonts w:ascii="Arial" w:eastAsia="Calibri" w:hAnsi="Arial" w:cs="Arial"/>
          <w:lang w:val="es-MX"/>
        </w:rPr>
        <w:t xml:space="preserve"> C-089</w:t>
      </w:r>
      <w:r>
        <w:rPr>
          <w:rFonts w:ascii="Arial" w:eastAsia="Calibri" w:hAnsi="Arial" w:cs="Arial"/>
          <w:lang w:val="es-MX"/>
        </w:rPr>
        <w:t xml:space="preserve"> de 4 de abril de 2020</w:t>
      </w:r>
      <w:r w:rsidRPr="00E6301A">
        <w:rPr>
          <w:rFonts w:ascii="Arial" w:eastAsia="Calibri" w:hAnsi="Arial" w:cs="Arial"/>
          <w:lang w:val="es-MX"/>
        </w:rPr>
        <w:t>, C-112</w:t>
      </w:r>
      <w:r>
        <w:rPr>
          <w:rFonts w:ascii="Arial" w:eastAsia="Calibri" w:hAnsi="Arial" w:cs="Arial"/>
          <w:lang w:val="es-MX"/>
        </w:rPr>
        <w:t xml:space="preserve"> de 16 de marzo de 2020</w:t>
      </w:r>
      <w:r w:rsidRPr="00E6301A">
        <w:rPr>
          <w:rFonts w:ascii="Arial" w:eastAsia="Calibri" w:hAnsi="Arial" w:cs="Arial"/>
          <w:lang w:val="es-MX"/>
        </w:rPr>
        <w:t>, C-133</w:t>
      </w:r>
      <w:r>
        <w:rPr>
          <w:rFonts w:ascii="Arial" w:eastAsia="Calibri" w:hAnsi="Arial" w:cs="Arial"/>
          <w:lang w:val="es-MX"/>
        </w:rPr>
        <w:t xml:space="preserve"> de 30 de marzo de 2020</w:t>
      </w:r>
      <w:r w:rsidRPr="00E6301A">
        <w:rPr>
          <w:rFonts w:ascii="Arial" w:eastAsia="Calibri" w:hAnsi="Arial" w:cs="Arial"/>
          <w:lang w:val="es-MX"/>
        </w:rPr>
        <w:t xml:space="preserve">, </w:t>
      </w:r>
      <w:r w:rsidRPr="00E6301A">
        <w:rPr>
          <w:rFonts w:ascii="Arial" w:eastAsia="Calibri" w:hAnsi="Arial" w:cs="Arial"/>
          <w:lang w:val="es-MX"/>
        </w:rPr>
        <w:lastRenderedPageBreak/>
        <w:t>C-194</w:t>
      </w:r>
      <w:r>
        <w:rPr>
          <w:rFonts w:ascii="Arial" w:eastAsia="Calibri" w:hAnsi="Arial" w:cs="Arial"/>
          <w:lang w:val="es-MX"/>
        </w:rPr>
        <w:t xml:space="preserve"> de 21 de abril de 2021, </w:t>
      </w:r>
      <w:r w:rsidRPr="00E6301A">
        <w:rPr>
          <w:rFonts w:ascii="Arial" w:eastAsia="Calibri" w:hAnsi="Arial" w:cs="Arial"/>
          <w:lang w:val="es-MX"/>
        </w:rPr>
        <w:t xml:space="preserve">C-222 de </w:t>
      </w:r>
      <w:r>
        <w:rPr>
          <w:rFonts w:ascii="Arial" w:eastAsia="Calibri" w:hAnsi="Arial" w:cs="Arial"/>
          <w:lang w:val="es-MX"/>
        </w:rPr>
        <w:t xml:space="preserve">29 de marzo de </w:t>
      </w:r>
      <w:r w:rsidRPr="00E6301A">
        <w:rPr>
          <w:rFonts w:ascii="Arial" w:eastAsia="Calibri" w:hAnsi="Arial" w:cs="Arial"/>
          <w:lang w:val="es-MX"/>
        </w:rPr>
        <w:t>2020</w:t>
      </w:r>
      <w:r>
        <w:rPr>
          <w:rFonts w:ascii="Arial" w:eastAsia="Calibri" w:hAnsi="Arial" w:cs="Arial"/>
          <w:lang w:val="es-MX"/>
        </w:rPr>
        <w:t xml:space="preserve"> y C – 3</w:t>
      </w:r>
      <w:r w:rsidR="003E580B">
        <w:rPr>
          <w:rFonts w:ascii="Arial" w:eastAsia="Calibri" w:hAnsi="Arial" w:cs="Arial"/>
          <w:lang w:val="es-MX"/>
        </w:rPr>
        <w:t>26</w:t>
      </w:r>
      <w:r>
        <w:rPr>
          <w:rFonts w:ascii="Arial" w:eastAsia="Calibri" w:hAnsi="Arial" w:cs="Arial"/>
          <w:lang w:val="es-MX"/>
        </w:rPr>
        <w:t xml:space="preserve"> de </w:t>
      </w:r>
      <w:r w:rsidR="003E580B">
        <w:rPr>
          <w:rFonts w:ascii="Arial" w:eastAsia="Calibri" w:hAnsi="Arial" w:cs="Arial"/>
          <w:lang w:val="es-MX"/>
        </w:rPr>
        <w:t>9 de junio de 2020</w:t>
      </w:r>
      <w:r w:rsidR="004058F0">
        <w:rPr>
          <w:rFonts w:ascii="Arial" w:eastAsia="Calibri" w:hAnsi="Arial" w:cs="Arial"/>
          <w:lang w:val="es-MX"/>
        </w:rPr>
        <w:t>,</w:t>
      </w:r>
      <w:r w:rsidR="00602D78" w:rsidRPr="00602D78">
        <w:rPr>
          <w:rFonts w:ascii="Arial" w:eastAsia="Calibri" w:hAnsi="Arial" w:cs="Arial"/>
          <w:bCs/>
          <w:lang w:val="es-MX"/>
        </w:rPr>
        <w:t xml:space="preserve"> C-383 del 23 de junio de 2020, </w:t>
      </w:r>
      <w:r w:rsidR="00602D78" w:rsidRPr="00602D78">
        <w:rPr>
          <w:rFonts w:ascii="Arial" w:eastAsia="Calibri" w:hAnsi="Arial" w:cs="Arial"/>
        </w:rPr>
        <w:t xml:space="preserve">C-446 del 6 de julio de 2020, </w:t>
      </w:r>
      <w:r w:rsidR="00602D78" w:rsidRPr="00602D78">
        <w:rPr>
          <w:rFonts w:ascii="Arial" w:eastAsia="Calibri" w:hAnsi="Arial" w:cs="Arial"/>
          <w:bCs/>
          <w:lang w:val="es-MX"/>
        </w:rPr>
        <w:t>C-461 del 13 de julio de 2020, C-668 del 20 de noviembre de 2020, C-742 del 16 de diciembre de 2020, C-045 del 5 de marzo de 2021, C-067 del 15 de marzo de 2021, C-079 del 17 de marzo de 2021, C-121 del 31 de marzo de 2021, C-143 del 09 de abril de 2021, C-202 del 07 de mayo de 2021, C-219 del 19 de mayo de 2021, C-368 del 28 de julio de 2021y C-392 del 5 de agosto del 2021. Los argumentos expuestos se reiteran a continuación.</w:t>
      </w:r>
    </w:p>
    <w:p w14:paraId="1605632E" w14:textId="77777777" w:rsidR="007E20CA" w:rsidRDefault="007E20CA" w:rsidP="007E20CA">
      <w:pPr>
        <w:spacing w:after="0" w:line="276" w:lineRule="auto"/>
        <w:jc w:val="both"/>
        <w:rPr>
          <w:rFonts w:ascii="Arial" w:eastAsia="Calibri" w:hAnsi="Arial" w:cs="Arial"/>
          <w:b/>
          <w:bCs/>
          <w:lang w:val="es-MX"/>
        </w:rPr>
      </w:pPr>
      <w:r>
        <w:rPr>
          <w:rFonts w:ascii="Arial" w:eastAsia="Calibri" w:hAnsi="Arial" w:cs="Arial"/>
          <w:b/>
          <w:bCs/>
          <w:lang w:val="es-MX"/>
        </w:rPr>
        <w:t xml:space="preserve">2.1. La capacidad residual como requisito habilitante en los procesos de selección de obra pública </w:t>
      </w:r>
    </w:p>
    <w:p w14:paraId="67BAA450" w14:textId="77777777" w:rsidR="007E20CA" w:rsidRPr="00117B9B" w:rsidRDefault="007E20CA" w:rsidP="007E20CA">
      <w:pPr>
        <w:spacing w:after="0" w:line="276" w:lineRule="auto"/>
        <w:jc w:val="both"/>
        <w:rPr>
          <w:rFonts w:ascii="Arial" w:eastAsia="Calibri" w:hAnsi="Arial" w:cs="Arial"/>
          <w:b/>
          <w:bCs/>
          <w:lang w:val="es-MX"/>
        </w:rPr>
      </w:pPr>
    </w:p>
    <w:p w14:paraId="7E3E91A3" w14:textId="77777777" w:rsidR="007E20CA" w:rsidRPr="004D3AE0" w:rsidRDefault="007E20CA" w:rsidP="007E20CA">
      <w:pPr>
        <w:tabs>
          <w:tab w:val="left" w:pos="426"/>
        </w:tabs>
        <w:spacing w:after="0" w:line="276" w:lineRule="auto"/>
        <w:jc w:val="both"/>
        <w:rPr>
          <w:rFonts w:ascii="Arial" w:hAnsi="Arial" w:cs="Arial"/>
          <w:szCs w:val="20"/>
          <w:lang w:val="es-MX"/>
        </w:rPr>
      </w:pPr>
      <w:r>
        <w:rPr>
          <w:rFonts w:ascii="Arial" w:hAnsi="Arial" w:cs="Arial"/>
          <w:szCs w:val="20"/>
          <w:lang w:val="es-MX"/>
        </w:rPr>
        <w:t xml:space="preserve">La </w:t>
      </w:r>
      <w:r w:rsidRPr="004D3AE0">
        <w:rPr>
          <w:rFonts w:ascii="Arial" w:hAnsi="Arial" w:cs="Arial"/>
          <w:szCs w:val="20"/>
          <w:lang w:val="es-MX"/>
        </w:rPr>
        <w:t xml:space="preserve">capacidad residual, </w:t>
      </w:r>
      <w:r>
        <w:rPr>
          <w:rFonts w:ascii="Arial" w:hAnsi="Arial" w:cs="Arial"/>
          <w:szCs w:val="20"/>
          <w:lang w:val="es-MX"/>
        </w:rPr>
        <w:t xml:space="preserve">es </w:t>
      </w:r>
      <w:r w:rsidRPr="004D3AE0">
        <w:rPr>
          <w:rFonts w:ascii="Arial" w:hAnsi="Arial" w:cs="Arial"/>
          <w:szCs w:val="20"/>
          <w:lang w:val="es-MX"/>
        </w:rPr>
        <w:t>definida en el artículo 2.2.1.1.1.3.1</w:t>
      </w:r>
      <w:r>
        <w:rPr>
          <w:rFonts w:ascii="Arial" w:hAnsi="Arial" w:cs="Arial"/>
          <w:szCs w:val="20"/>
          <w:lang w:val="es-MX"/>
        </w:rPr>
        <w:t xml:space="preserve"> d</w:t>
      </w:r>
      <w:r w:rsidRPr="004D3AE0">
        <w:rPr>
          <w:rFonts w:ascii="Arial" w:hAnsi="Arial" w:cs="Arial"/>
          <w:szCs w:val="20"/>
          <w:lang w:val="es-MX"/>
        </w:rPr>
        <w:t>el Decreto 1082 de 2015, como la «</w:t>
      </w:r>
      <w:r>
        <w:rPr>
          <w:rFonts w:ascii="Arial" w:hAnsi="Arial" w:cs="Arial"/>
          <w:szCs w:val="20"/>
          <w:lang w:val="es-MX"/>
        </w:rPr>
        <w:t>[…] a</w:t>
      </w:r>
      <w:r w:rsidRPr="004D3AE0">
        <w:rPr>
          <w:rFonts w:ascii="Arial" w:hAnsi="Arial" w:cs="Arial"/>
          <w:szCs w:val="20"/>
          <w:lang w:val="es-MX"/>
        </w:rPr>
        <w:t>ptitud de un oferente para cumplir oportuna y cabalmente con el objeto de un contrato de obra, sin que sus otros compromisos contractuales afecten su habilidad de cumplir con el contrato que está en proceso de selección</w:t>
      </w:r>
      <w:r w:rsidRPr="004D3AE0">
        <w:rPr>
          <w:rFonts w:ascii="Arial" w:hAnsi="Arial" w:cs="Arial"/>
          <w:iCs/>
          <w:szCs w:val="20"/>
          <w:lang w:val="es-MX"/>
        </w:rPr>
        <w:t>»</w:t>
      </w:r>
      <w:r w:rsidRPr="004D3AE0">
        <w:rPr>
          <w:rFonts w:ascii="Arial" w:hAnsi="Arial" w:cs="Arial"/>
          <w:szCs w:val="20"/>
          <w:lang w:val="es-MX"/>
        </w:rPr>
        <w:t>. Ahora, el artículo 72 de la Ley 1682 de 2013 establece que para calcular la capacidad residual de contratación pública se deben tener en cuenta los factores de experiencia, capacidad financiera, capacidad técnica y capacidad de organización, y en consecuencia faculta al Gobierno para reglamentar la materia</w:t>
      </w:r>
      <w:r w:rsidRPr="004D3AE0">
        <w:rPr>
          <w:rFonts w:cs="Arial"/>
          <w:szCs w:val="20"/>
          <w:vertAlign w:val="superscript"/>
          <w:lang w:val="es-MX"/>
        </w:rPr>
        <w:footnoteReference w:id="1"/>
      </w:r>
      <w:r w:rsidRPr="004D3AE0">
        <w:rPr>
          <w:rFonts w:ascii="Arial" w:hAnsi="Arial" w:cs="Arial"/>
          <w:szCs w:val="20"/>
          <w:lang w:val="es-MX"/>
        </w:rPr>
        <w:t xml:space="preserve">. </w:t>
      </w:r>
    </w:p>
    <w:p w14:paraId="41660EBB" w14:textId="77777777" w:rsidR="007E20CA" w:rsidRPr="004D3AE0" w:rsidRDefault="007E20CA" w:rsidP="007E20CA">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Por su parte, el artículo 2.2.1.1.1.1.6.4. del Decreto 1082 de 2015, con fundamento en la facultad otorgada al Gobierno,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4D3AE0">
        <w:rPr>
          <w:rFonts w:ascii="Arial" w:hAnsi="Arial" w:cs="Arial"/>
          <w:szCs w:val="20"/>
          <w:lang w:val="es-MX"/>
        </w:rPr>
        <w:t>ii</w:t>
      </w:r>
      <w:proofErr w:type="spellEnd"/>
      <w:r w:rsidRPr="004D3AE0">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4D3AE0">
        <w:rPr>
          <w:rFonts w:ascii="Arial" w:hAnsi="Arial" w:cs="Arial"/>
          <w:szCs w:val="20"/>
          <w:lang w:val="es-MX"/>
        </w:rPr>
        <w:t>iii</w:t>
      </w:r>
      <w:proofErr w:type="spellEnd"/>
      <w:r w:rsidRPr="004D3AE0">
        <w:rPr>
          <w:rFonts w:ascii="Arial" w:hAnsi="Arial" w:cs="Arial"/>
          <w:szCs w:val="20"/>
          <w:lang w:val="es-MX"/>
        </w:rPr>
        <w:t xml:space="preserve">) el balance </w:t>
      </w:r>
      <w:r w:rsidRPr="004D3AE0">
        <w:rPr>
          <w:rFonts w:ascii="Arial" w:hAnsi="Arial" w:cs="Arial"/>
          <w:szCs w:val="20"/>
          <w:lang w:val="es-MX"/>
        </w:rPr>
        <w:lastRenderedPageBreak/>
        <w:t>general auditado del año inmediatamente anterior y estado de resultados auditado del año en que haya obtenido el mayor ingreso operacional en los últimos cinco (5) años</w:t>
      </w:r>
      <w:r w:rsidRPr="004D3AE0">
        <w:rPr>
          <w:rFonts w:cs="Arial"/>
          <w:szCs w:val="20"/>
          <w:vertAlign w:val="superscript"/>
          <w:lang w:val="es-MX"/>
        </w:rPr>
        <w:footnoteReference w:id="2"/>
      </w:r>
      <w:r w:rsidRPr="004D3AE0">
        <w:rPr>
          <w:rFonts w:ascii="Arial" w:hAnsi="Arial" w:cs="Arial"/>
          <w:szCs w:val="20"/>
          <w:lang w:val="es-MX"/>
        </w:rPr>
        <w:t xml:space="preserve">. </w:t>
      </w:r>
    </w:p>
    <w:p w14:paraId="034FE0CC" w14:textId="77777777" w:rsidR="007E20CA" w:rsidRPr="004D3AE0" w:rsidRDefault="007E20CA" w:rsidP="007E20CA">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2A6FA2D0" w14:textId="77777777" w:rsidR="007E20CA" w:rsidRDefault="007E20CA" w:rsidP="007E20CA">
      <w:pPr>
        <w:tabs>
          <w:tab w:val="left" w:pos="426"/>
        </w:tabs>
        <w:spacing w:before="120" w:after="120" w:line="276" w:lineRule="auto"/>
        <w:ind w:firstLine="709"/>
        <w:jc w:val="both"/>
        <w:rPr>
          <w:rFonts w:ascii="Arial" w:hAnsi="Arial" w:cs="Arial"/>
          <w:szCs w:val="20"/>
          <w:lang w:val="es-MX"/>
        </w:rPr>
      </w:pPr>
      <w:r w:rsidRPr="004D3AE0">
        <w:rPr>
          <w:rFonts w:ascii="Arial" w:hAnsi="Arial" w:cs="Arial"/>
          <w:szCs w:val="20"/>
          <w:lang w:val="es-MX"/>
        </w:rPr>
        <w:t xml:space="preserve">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 </w:t>
      </w:r>
    </w:p>
    <w:p w14:paraId="17C5E1F4" w14:textId="77777777" w:rsidR="007E20CA" w:rsidRDefault="007E20CA" w:rsidP="007E20CA">
      <w:pPr>
        <w:tabs>
          <w:tab w:val="left" w:pos="426"/>
        </w:tabs>
        <w:spacing w:before="120" w:after="120" w:line="276" w:lineRule="auto"/>
        <w:ind w:firstLine="709"/>
        <w:jc w:val="both"/>
        <w:rPr>
          <w:rFonts w:ascii="Arial" w:hAnsi="Arial" w:cs="Arial"/>
          <w:szCs w:val="20"/>
          <w:lang w:val="es-MX"/>
        </w:rPr>
      </w:pPr>
      <w:r>
        <w:rPr>
          <w:rFonts w:ascii="Arial" w:hAnsi="Arial" w:cs="Arial"/>
          <w:szCs w:val="20"/>
          <w:lang w:val="es-MX"/>
        </w:rPr>
        <w:t xml:space="preserve">El Consejo de Estado, al estudiar la demanda de nulidad contra el artículo 18 del Decreto 1510 de 2013, que reglamentaba el artículo 6 de la Ley 1150 de 2007, señaló que la capacidad residual alude a </w:t>
      </w:r>
      <w:r w:rsidRPr="00E65C61">
        <w:rPr>
          <w:rFonts w:ascii="Arial" w:hAnsi="Arial" w:cs="Arial"/>
          <w:lang w:val="es-MX"/>
        </w:rPr>
        <w:t xml:space="preserve">«la </w:t>
      </w:r>
      <w:r w:rsidRPr="00E65C61">
        <w:rPr>
          <w:rFonts w:ascii="Arial" w:hAnsi="Arial" w:cs="Arial"/>
          <w:bCs/>
        </w:rPr>
        <w:t>aptitud del contratista para cumplir con las obligaciones contractuales sin que los demás compromisos adquiridos por este con anterioridad</w:t>
      </w:r>
      <w:r>
        <w:rPr>
          <w:rFonts w:ascii="Arial" w:hAnsi="Arial" w:cs="Arial"/>
          <w:bCs/>
        </w:rPr>
        <w:t xml:space="preserve"> afecten </w:t>
      </w:r>
      <w:r>
        <w:rPr>
          <w:rFonts w:ascii="Arial" w:hAnsi="Arial" w:cs="Arial"/>
          <w:bCs/>
        </w:rPr>
        <w:lastRenderedPageBreak/>
        <w:t>su ejecución</w:t>
      </w:r>
      <w:r w:rsidRPr="00E65C61">
        <w:rPr>
          <w:rFonts w:ascii="Arial" w:hAnsi="Arial" w:cs="Arial"/>
          <w:bCs/>
        </w:rPr>
        <w:t>, esto es, implica la verificación concreta de un aspecto propio de la capacidad</w:t>
      </w:r>
      <w:r w:rsidRPr="00E65C61">
        <w:rPr>
          <w:rFonts w:ascii="Arial" w:hAnsi="Arial" w:cs="Arial"/>
          <w:lang w:val="es-MX"/>
        </w:rPr>
        <w:t>».</w:t>
      </w:r>
      <w:r>
        <w:rPr>
          <w:rFonts w:ascii="Arial" w:hAnsi="Arial" w:cs="Arial"/>
          <w:szCs w:val="20"/>
          <w:lang w:val="es-MX"/>
        </w:rPr>
        <w:t xml:space="preserve">  </w:t>
      </w:r>
    </w:p>
    <w:p w14:paraId="1D7A16B3" w14:textId="77777777" w:rsidR="007E20CA" w:rsidRDefault="007E20CA" w:rsidP="007E20CA">
      <w:pPr>
        <w:tabs>
          <w:tab w:val="left" w:pos="426"/>
        </w:tabs>
        <w:spacing w:before="120"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El numeral 1 del artículo 2.2.1.1.1.6.4. del Decreto 1082 de 2015 estableció que el interesado en celebrar un contrato de obra pública con una entidad estatal deberá acreditar </w:t>
      </w:r>
      <w:r w:rsidRPr="00F5171A">
        <w:rPr>
          <w:rFonts w:ascii="Arial" w:eastAsia="Calibri" w:hAnsi="Arial" w:cs="Arial"/>
          <w:color w:val="000000" w:themeColor="text1"/>
        </w:rPr>
        <w:t>«</w:t>
      </w:r>
      <w:r>
        <w:rPr>
          <w:rFonts w:ascii="Arial" w:eastAsia="Calibri" w:hAnsi="Arial" w:cs="Arial"/>
          <w:color w:val="000000" w:themeColor="text1"/>
        </w:rPr>
        <w:t>los contratos de obra civiles en ejecución suscritos con entidades estatales y con entidades privadas […] incluyendo contratos de concesión y los contratos de obra suscritos con un concesionario</w:t>
      </w:r>
      <w:r w:rsidRPr="00F5171A">
        <w:rPr>
          <w:rFonts w:ascii="Arial" w:eastAsia="Calibri" w:hAnsi="Arial" w:cs="Arial"/>
          <w:color w:val="000000" w:themeColor="text1"/>
        </w:rPr>
        <w:t>»</w:t>
      </w:r>
      <w:r>
        <w:rPr>
          <w:rFonts w:ascii="Arial" w:eastAsia="Calibri" w:hAnsi="Arial" w:cs="Arial"/>
          <w:color w:val="000000" w:themeColor="text1"/>
        </w:rPr>
        <w:t xml:space="preserve">. </w:t>
      </w:r>
    </w:p>
    <w:p w14:paraId="6FC58852" w14:textId="77777777" w:rsidR="007E20CA" w:rsidRDefault="007E20CA" w:rsidP="007E20CA">
      <w:pPr>
        <w:tabs>
          <w:tab w:val="left" w:pos="426"/>
        </w:tabs>
        <w:spacing w:before="120" w:after="120" w:line="276" w:lineRule="auto"/>
        <w:ind w:firstLine="709"/>
        <w:jc w:val="both"/>
        <w:rPr>
          <w:rFonts w:ascii="Arial" w:eastAsia="Calibri" w:hAnsi="Arial" w:cs="Arial"/>
          <w:color w:val="000000" w:themeColor="text1"/>
        </w:rPr>
      </w:pPr>
      <w:r>
        <w:rPr>
          <w:rFonts w:ascii="Arial" w:eastAsia="Calibri" w:hAnsi="Arial" w:cs="Arial"/>
          <w:color w:val="000000" w:themeColor="text1"/>
        </w:rPr>
        <w:t xml:space="preserve">Entonces, de conformidad con lo establecido en la norma referida, la capacidad residual de un oferente se verifica, entre otros factores, a partir de los contratos de obras civiles en ejecución, incluidos contratos de concesión. Frente a este último respecto, debe precisarse que la </w:t>
      </w:r>
      <w:r>
        <w:rPr>
          <w:rFonts w:ascii="Arial" w:eastAsia="Calibri" w:hAnsi="Arial" w:cs="Arial"/>
          <w:i/>
          <w:iCs/>
          <w:color w:val="000000" w:themeColor="text1"/>
        </w:rPr>
        <w:t xml:space="preserve">Guía para Determinar y Verificar la Capacidad Residual del Proponente en los Procesos de Contratación de Obra Pública, </w:t>
      </w:r>
      <w:r>
        <w:rPr>
          <w:rFonts w:ascii="Arial" w:eastAsia="Calibri" w:hAnsi="Arial" w:cs="Arial"/>
          <w:color w:val="000000" w:themeColor="text1"/>
        </w:rPr>
        <w:t xml:space="preserve">expedida por esta Agencia, en su acápite de definición de expresiones utilizadas, determinó el alcance del concepto </w:t>
      </w:r>
      <w:r w:rsidRPr="00F5171A">
        <w:rPr>
          <w:rFonts w:ascii="Arial" w:eastAsia="Calibri" w:hAnsi="Arial" w:cs="Arial"/>
          <w:color w:val="000000" w:themeColor="text1"/>
        </w:rPr>
        <w:t>«</w:t>
      </w:r>
      <w:r>
        <w:rPr>
          <w:rFonts w:ascii="Arial" w:eastAsia="Calibri" w:hAnsi="Arial" w:cs="Arial"/>
          <w:color w:val="000000" w:themeColor="text1"/>
        </w:rPr>
        <w:t>contratos en ejecución</w:t>
      </w:r>
      <w:r w:rsidRPr="00F5171A">
        <w:rPr>
          <w:rFonts w:ascii="Arial" w:eastAsia="Calibri" w:hAnsi="Arial" w:cs="Arial"/>
          <w:color w:val="000000" w:themeColor="text1"/>
        </w:rPr>
        <w:t>»</w:t>
      </w:r>
      <w:r>
        <w:rPr>
          <w:rFonts w:ascii="Arial" w:eastAsia="Calibri" w:hAnsi="Arial" w:cs="Arial"/>
          <w:color w:val="000000" w:themeColor="text1"/>
        </w:rPr>
        <w:t xml:space="preserve">, así: </w:t>
      </w:r>
    </w:p>
    <w:p w14:paraId="080BB3F1" w14:textId="77777777" w:rsidR="007E20CA" w:rsidRDefault="007E20CA" w:rsidP="007E20CA">
      <w:pPr>
        <w:tabs>
          <w:tab w:val="left" w:pos="426"/>
        </w:tabs>
        <w:spacing w:after="0" w:line="240" w:lineRule="auto"/>
        <w:ind w:left="709" w:right="709"/>
        <w:jc w:val="both"/>
        <w:rPr>
          <w:rFonts w:ascii="Arial" w:hAnsi="Arial" w:cs="Arial"/>
          <w:sz w:val="21"/>
          <w:szCs w:val="21"/>
          <w:lang w:val="es-MX"/>
        </w:rPr>
      </w:pPr>
      <w:r w:rsidRPr="004C6C7C">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4402EBA8" w14:textId="77777777" w:rsidR="007E20CA" w:rsidRPr="0094237C" w:rsidRDefault="007E20CA" w:rsidP="007E20CA">
      <w:pPr>
        <w:tabs>
          <w:tab w:val="left" w:pos="426"/>
        </w:tabs>
        <w:spacing w:after="0" w:line="240" w:lineRule="auto"/>
        <w:ind w:left="709" w:right="709"/>
        <w:jc w:val="both"/>
        <w:rPr>
          <w:rFonts w:ascii="Arial" w:hAnsi="Arial" w:cs="Arial"/>
          <w:sz w:val="21"/>
          <w:szCs w:val="21"/>
          <w:lang w:val="es-MX"/>
        </w:rPr>
      </w:pPr>
    </w:p>
    <w:p w14:paraId="3F177455" w14:textId="77777777" w:rsidR="007E20CA" w:rsidRDefault="007E20CA" w:rsidP="0088157B">
      <w:pPr>
        <w:tabs>
          <w:tab w:val="left" w:pos="426"/>
        </w:tabs>
        <w:spacing w:before="120" w:after="0" w:line="276" w:lineRule="auto"/>
        <w:ind w:firstLine="709"/>
        <w:jc w:val="both"/>
        <w:rPr>
          <w:rFonts w:ascii="Arial" w:hAnsi="Arial" w:cs="Arial"/>
          <w:szCs w:val="20"/>
          <w:lang w:val="es-MX"/>
        </w:rPr>
      </w:pPr>
      <w:r w:rsidRPr="003A5899">
        <w:rPr>
          <w:rFonts w:ascii="Arial" w:hAnsi="Arial" w:cs="Arial"/>
          <w:szCs w:val="20"/>
          <w:lang w:val="es-MX"/>
        </w:rPr>
        <w:t xml:space="preserve">En </w:t>
      </w:r>
      <w:r>
        <w:rPr>
          <w:rFonts w:ascii="Arial" w:hAnsi="Arial" w:cs="Arial"/>
          <w:szCs w:val="20"/>
          <w:lang w:val="es-MX"/>
        </w:rPr>
        <w:t>síntesis,</w:t>
      </w:r>
      <w:r w:rsidRPr="003A5899">
        <w:rPr>
          <w:rFonts w:ascii="Arial" w:hAnsi="Arial" w:cs="Arial"/>
          <w:szCs w:val="20"/>
          <w:lang w:val="es-MX"/>
        </w:rPr>
        <w:t xml:space="preserve"> para esta Agencia, conforme con la </w:t>
      </w:r>
      <w:r>
        <w:rPr>
          <w:rFonts w:ascii="Arial" w:eastAsia="Calibri" w:hAnsi="Arial" w:cs="Arial"/>
          <w:i/>
          <w:iCs/>
          <w:color w:val="000000" w:themeColor="text1"/>
        </w:rPr>
        <w:t>Guía para Determinar y Verificar la Capacidad Residual del Proponente en los Procesos de Contratación de Obra Pública</w:t>
      </w:r>
      <w:r>
        <w:rPr>
          <w:rFonts w:ascii="Arial" w:hAnsi="Arial" w:cs="Arial"/>
          <w:szCs w:val="20"/>
          <w:lang w:val="es-MX"/>
        </w:rPr>
        <w:t xml:space="preserve">, </w:t>
      </w:r>
      <w:r w:rsidRPr="003A5899">
        <w:rPr>
          <w:rFonts w:ascii="Arial" w:hAnsi="Arial" w:cs="Arial"/>
          <w:szCs w:val="20"/>
          <w:lang w:val="es-MX"/>
        </w:rPr>
        <w:t>los interesados en participar en un proceso de contratación de obra pública deben relacionar</w:t>
      </w:r>
      <w:r>
        <w:rPr>
          <w:rFonts w:ascii="Arial" w:hAnsi="Arial" w:cs="Arial"/>
          <w:szCs w:val="20"/>
          <w:lang w:val="es-MX"/>
        </w:rPr>
        <w:t xml:space="preserve"> o enlistar, </w:t>
      </w:r>
      <w:r w:rsidRPr="003A5899">
        <w:rPr>
          <w:rFonts w:ascii="Arial" w:hAnsi="Arial" w:cs="Arial"/>
          <w:szCs w:val="20"/>
          <w:lang w:val="es-MX"/>
        </w:rPr>
        <w:t xml:space="preserve">para determinar </w:t>
      </w:r>
      <w:r>
        <w:rPr>
          <w:rFonts w:ascii="Arial" w:hAnsi="Arial" w:cs="Arial"/>
          <w:szCs w:val="20"/>
          <w:lang w:val="es-MX"/>
        </w:rPr>
        <w:t xml:space="preserve">su </w:t>
      </w:r>
      <w:r w:rsidRPr="003A5899">
        <w:rPr>
          <w:rFonts w:ascii="Arial" w:hAnsi="Arial" w:cs="Arial"/>
          <w:szCs w:val="20"/>
          <w:lang w:val="es-MX"/>
        </w:rPr>
        <w:t xml:space="preserve">capacidad residual, aquellos contratos de concesión cuyo objeto comprenda la ejecución de obras civiles. Es decir que, en lo que respecta </w:t>
      </w:r>
      <w:r>
        <w:rPr>
          <w:rFonts w:ascii="Arial" w:hAnsi="Arial" w:cs="Arial"/>
          <w:szCs w:val="20"/>
          <w:lang w:val="es-MX"/>
        </w:rPr>
        <w:t>a los contratos de concesión</w:t>
      </w:r>
      <w:r w:rsidRPr="003A5899">
        <w:rPr>
          <w:rFonts w:ascii="Arial" w:hAnsi="Arial" w:cs="Arial"/>
          <w:szCs w:val="20"/>
          <w:lang w:val="es-MX"/>
        </w:rPr>
        <w:t xml:space="preserve">, el deber de </w:t>
      </w:r>
      <w:r>
        <w:rPr>
          <w:rFonts w:ascii="Arial" w:hAnsi="Arial" w:cs="Arial"/>
          <w:szCs w:val="20"/>
          <w:lang w:val="es-MX"/>
        </w:rPr>
        <w:t>reportarlos</w:t>
      </w:r>
      <w:r w:rsidRPr="003A5899">
        <w:rPr>
          <w:rFonts w:ascii="Arial" w:hAnsi="Arial" w:cs="Arial"/>
          <w:szCs w:val="20"/>
          <w:lang w:val="es-MX"/>
        </w:rPr>
        <w:t xml:space="preserve"> </w:t>
      </w:r>
      <w:r>
        <w:rPr>
          <w:rFonts w:ascii="Arial" w:hAnsi="Arial" w:cs="Arial"/>
          <w:szCs w:val="20"/>
          <w:lang w:val="es-MX"/>
        </w:rPr>
        <w:t xml:space="preserve">no es genérico para todos los contratos de esta naturaleza, sino que </w:t>
      </w:r>
      <w:r w:rsidRPr="003A5899">
        <w:rPr>
          <w:rFonts w:ascii="Arial" w:hAnsi="Arial" w:cs="Arial"/>
          <w:szCs w:val="20"/>
          <w:lang w:val="es-MX"/>
        </w:rPr>
        <w:t>se circunscribe exclusivamente para aquell</w:t>
      </w:r>
      <w:r>
        <w:rPr>
          <w:rFonts w:ascii="Arial" w:hAnsi="Arial" w:cs="Arial"/>
          <w:szCs w:val="20"/>
          <w:lang w:val="es-MX"/>
        </w:rPr>
        <w:t>a</w:t>
      </w:r>
      <w:r w:rsidRPr="003A5899">
        <w:rPr>
          <w:rFonts w:ascii="Arial" w:hAnsi="Arial" w:cs="Arial"/>
          <w:szCs w:val="20"/>
          <w:lang w:val="es-MX"/>
        </w:rPr>
        <w:t>s contrataciones en las que se haya pactado la ejecución de obras civiles</w:t>
      </w:r>
      <w:r>
        <w:rPr>
          <w:rFonts w:ascii="Arial" w:hAnsi="Arial" w:cs="Arial"/>
          <w:szCs w:val="20"/>
          <w:lang w:val="es-MX"/>
        </w:rPr>
        <w:t xml:space="preserve">.  </w:t>
      </w:r>
    </w:p>
    <w:p w14:paraId="2C0B0C98" w14:textId="77777777" w:rsidR="004D3AE0" w:rsidRPr="004D3AE0" w:rsidRDefault="004D3AE0" w:rsidP="00CB4EDA">
      <w:pPr>
        <w:spacing w:after="0" w:line="276" w:lineRule="auto"/>
        <w:jc w:val="both"/>
        <w:rPr>
          <w:rFonts w:ascii="Arial" w:hAnsi="Arial" w:cs="Arial"/>
        </w:rPr>
      </w:pPr>
    </w:p>
    <w:p w14:paraId="3EEEDF63" w14:textId="77777777" w:rsidR="004D3AE0" w:rsidRPr="004D3AE0" w:rsidRDefault="004D3AE0" w:rsidP="004D3AE0">
      <w:pPr>
        <w:numPr>
          <w:ilvl w:val="0"/>
          <w:numId w:val="3"/>
        </w:numPr>
        <w:tabs>
          <w:tab w:val="left" w:pos="284"/>
        </w:tabs>
        <w:spacing w:after="0" w:line="276" w:lineRule="auto"/>
        <w:contextualSpacing/>
        <w:jc w:val="both"/>
        <w:rPr>
          <w:rFonts w:ascii="Arial" w:eastAsia="Calibri" w:hAnsi="Arial" w:cs="Arial"/>
          <w:lang w:val="es-MX"/>
        </w:rPr>
      </w:pPr>
      <w:r w:rsidRPr="004D3AE0">
        <w:rPr>
          <w:rFonts w:ascii="Arial" w:eastAsia="Calibri" w:hAnsi="Arial" w:cs="Arial"/>
          <w:b/>
          <w:lang w:val="es-MX"/>
        </w:rPr>
        <w:t>Respuestas</w:t>
      </w:r>
    </w:p>
    <w:p w14:paraId="6CFCAD55" w14:textId="77777777" w:rsidR="004D3AE0" w:rsidRPr="004D3AE0" w:rsidRDefault="004D3AE0" w:rsidP="004D3AE0">
      <w:pPr>
        <w:spacing w:after="0" w:line="276" w:lineRule="auto"/>
        <w:ind w:right="709"/>
        <w:jc w:val="both"/>
        <w:rPr>
          <w:rFonts w:ascii="Arial" w:eastAsia="Calibri" w:hAnsi="Arial" w:cs="Arial"/>
          <w:iCs/>
          <w:lang w:val="es-MX"/>
        </w:rPr>
      </w:pPr>
    </w:p>
    <w:p w14:paraId="349283F3" w14:textId="52EE4A37" w:rsidR="004D3AE0" w:rsidRPr="00F0201A" w:rsidRDefault="008B0FBD" w:rsidP="004D3AE0">
      <w:pPr>
        <w:tabs>
          <w:tab w:val="left" w:pos="426"/>
        </w:tabs>
        <w:spacing w:after="0" w:line="240" w:lineRule="auto"/>
        <w:ind w:left="709" w:right="709"/>
        <w:jc w:val="both"/>
        <w:rPr>
          <w:rFonts w:ascii="Arial" w:eastAsia="Calibri" w:hAnsi="Arial" w:cs="Arial"/>
          <w:sz w:val="21"/>
          <w:szCs w:val="21"/>
          <w:lang w:val="es-MX"/>
        </w:rPr>
      </w:pPr>
      <w:r w:rsidRPr="00F0201A">
        <w:rPr>
          <w:rFonts w:ascii="Arial" w:hAnsi="Arial" w:cs="Arial"/>
          <w:sz w:val="21"/>
          <w:szCs w:val="21"/>
          <w:lang w:val="es-MX"/>
        </w:rPr>
        <w:t>«</w:t>
      </w:r>
      <w:r w:rsidR="00F0201A" w:rsidRPr="004058F0">
        <w:rPr>
          <w:rFonts w:ascii="Arial" w:eastAsia="Calibri" w:hAnsi="Arial" w:cs="Arial"/>
          <w:sz w:val="21"/>
          <w:szCs w:val="21"/>
          <w:lang w:eastAsia="es-ES_tradnl"/>
        </w:rPr>
        <w:t xml:space="preserve">[¿] </w:t>
      </w:r>
      <w:r w:rsidR="00F0201A" w:rsidRPr="004058F0">
        <w:rPr>
          <w:rFonts w:ascii="Arial" w:hAnsi="Arial" w:cs="Arial"/>
          <w:sz w:val="21"/>
          <w:szCs w:val="21"/>
        </w:rPr>
        <w:t>d</w:t>
      </w:r>
      <w:r w:rsidR="00F0201A" w:rsidRPr="004058F0">
        <w:rPr>
          <w:rFonts w:ascii="Arial" w:eastAsia="Calibri" w:hAnsi="Arial" w:cs="Arial"/>
          <w:sz w:val="21"/>
          <w:szCs w:val="21"/>
          <w:lang w:eastAsia="es-ES_tradnl"/>
        </w:rPr>
        <w:t>ebe un proponente incluir los contratos de concesión que tiene actualmente (específicamente concesiones de alumbrado público) dentro de los contratos en ejecución para calcular el K residual de Contratación [?]</w:t>
      </w:r>
      <w:r w:rsidR="00F0201A" w:rsidRPr="008B0FBD">
        <w:rPr>
          <w:rFonts w:ascii="Arial" w:hAnsi="Arial" w:cs="Arial"/>
          <w:sz w:val="21"/>
          <w:szCs w:val="21"/>
          <w:lang w:val="es-MX"/>
        </w:rPr>
        <w:t>»</w:t>
      </w:r>
      <w:r w:rsidR="00F0201A">
        <w:rPr>
          <w:rFonts w:ascii="Arial" w:hAnsi="Arial" w:cs="Arial"/>
          <w:sz w:val="21"/>
          <w:szCs w:val="21"/>
          <w:lang w:val="es-MX"/>
        </w:rPr>
        <w:t>.</w:t>
      </w:r>
    </w:p>
    <w:p w14:paraId="21E0001B" w14:textId="1176989C" w:rsidR="00B70EE4" w:rsidRPr="004D3AE0" w:rsidRDefault="00B70EE4">
      <w:pPr>
        <w:spacing w:after="0" w:line="276" w:lineRule="auto"/>
        <w:ind w:right="709"/>
        <w:jc w:val="both"/>
        <w:rPr>
          <w:rFonts w:ascii="Arial" w:eastAsia="Calibri" w:hAnsi="Arial" w:cs="Arial"/>
          <w:sz w:val="21"/>
          <w:szCs w:val="21"/>
          <w:lang w:val="es-MX"/>
        </w:rPr>
      </w:pPr>
    </w:p>
    <w:p w14:paraId="21451222" w14:textId="77777777" w:rsidR="00000A26" w:rsidRDefault="00000A26" w:rsidP="00000A26">
      <w:pPr>
        <w:tabs>
          <w:tab w:val="left" w:pos="426"/>
        </w:tabs>
        <w:spacing w:after="120" w:line="276" w:lineRule="auto"/>
        <w:jc w:val="both"/>
        <w:rPr>
          <w:rFonts w:ascii="Arial" w:eastAsia="Calibri" w:hAnsi="Arial" w:cs="Arial"/>
          <w:color w:val="000000" w:themeColor="text1"/>
        </w:rPr>
      </w:pPr>
      <w:r>
        <w:rPr>
          <w:rFonts w:ascii="Arial" w:eastAsia="Calibri" w:hAnsi="Arial" w:cs="Arial"/>
          <w:color w:val="000000" w:themeColor="text1"/>
        </w:rPr>
        <w:t xml:space="preserve">Conforme a lo expuesto, el numeral 1 del artículo 2.2.1.1.1.6.4. del Decreto 1082 de 2015 estableció que el interesado en celebrar un contrato de obra pública con una entidad estatal deberá acreditar </w:t>
      </w:r>
      <w:r w:rsidRPr="00F5171A">
        <w:rPr>
          <w:rFonts w:ascii="Arial" w:eastAsia="Calibri" w:hAnsi="Arial" w:cs="Arial"/>
          <w:color w:val="000000" w:themeColor="text1"/>
        </w:rPr>
        <w:t>«</w:t>
      </w:r>
      <w:r>
        <w:rPr>
          <w:rFonts w:ascii="Arial" w:eastAsia="Calibri" w:hAnsi="Arial" w:cs="Arial"/>
          <w:color w:val="000000" w:themeColor="text1"/>
        </w:rPr>
        <w:t xml:space="preserve">los contratos de obra civiles en ejecución suscritos con entidades estatales y con entidades privadas […] incluyendo contratos de concesión y los contratos </w:t>
      </w:r>
      <w:r>
        <w:rPr>
          <w:rFonts w:ascii="Arial" w:eastAsia="Calibri" w:hAnsi="Arial" w:cs="Arial"/>
          <w:color w:val="000000" w:themeColor="text1"/>
        </w:rPr>
        <w:lastRenderedPageBreak/>
        <w:t>de obra suscritos con un concesionario</w:t>
      </w:r>
      <w:r w:rsidRPr="00F5171A">
        <w:rPr>
          <w:rFonts w:ascii="Arial" w:eastAsia="Calibri" w:hAnsi="Arial" w:cs="Arial"/>
          <w:color w:val="000000" w:themeColor="text1"/>
        </w:rPr>
        <w:t>»</w:t>
      </w:r>
      <w:r>
        <w:rPr>
          <w:rFonts w:ascii="Arial" w:eastAsia="Calibri" w:hAnsi="Arial" w:cs="Arial"/>
          <w:color w:val="000000" w:themeColor="text1"/>
        </w:rPr>
        <w:t xml:space="preserve">. Según dicha norma, la capacidad residual de un oferente se verifica, entre otros factores, a partir de los contratos de obras civiles en ejecución, incluidos contratos de concesión. </w:t>
      </w:r>
    </w:p>
    <w:p w14:paraId="71D55AFF" w14:textId="77777777" w:rsidR="00000A26" w:rsidRDefault="00000A26" w:rsidP="00000A26">
      <w:pPr>
        <w:tabs>
          <w:tab w:val="left" w:pos="426"/>
        </w:tabs>
        <w:spacing w:after="120" w:line="276" w:lineRule="auto"/>
        <w:jc w:val="both"/>
        <w:rPr>
          <w:rFonts w:ascii="Arial" w:hAnsi="Arial" w:cs="Arial"/>
          <w:sz w:val="21"/>
          <w:szCs w:val="21"/>
          <w:lang w:val="es-MX"/>
        </w:rPr>
      </w:pPr>
      <w:r>
        <w:rPr>
          <w:rFonts w:ascii="Arial" w:eastAsia="Calibri" w:hAnsi="Arial" w:cs="Arial"/>
          <w:color w:val="000000" w:themeColor="text1"/>
        </w:rPr>
        <w:tab/>
      </w:r>
      <w:r>
        <w:rPr>
          <w:rFonts w:ascii="Arial" w:eastAsia="Calibri" w:hAnsi="Arial" w:cs="Arial"/>
          <w:color w:val="000000" w:themeColor="text1"/>
        </w:rPr>
        <w:tab/>
        <w:t xml:space="preserve">Lo anterior comoquiera que, la </w:t>
      </w:r>
      <w:r>
        <w:rPr>
          <w:rFonts w:ascii="Arial" w:eastAsia="Calibri" w:hAnsi="Arial" w:cs="Arial"/>
          <w:i/>
          <w:iCs/>
          <w:color w:val="000000" w:themeColor="text1"/>
        </w:rPr>
        <w:t xml:space="preserve">Guía para Determinar y Verificar la Capacidad Residual del Proponente en los Procesos de Contratación de Obra Pública, </w:t>
      </w:r>
      <w:r>
        <w:rPr>
          <w:rFonts w:ascii="Arial" w:eastAsia="Calibri" w:hAnsi="Arial" w:cs="Arial"/>
          <w:color w:val="000000" w:themeColor="text1"/>
        </w:rPr>
        <w:t xml:space="preserve">expedida por esta Agencia, en la que se establece la metodología para el cálculo de la capacidad residual, define </w:t>
      </w:r>
      <w:r w:rsidRPr="00F5171A">
        <w:rPr>
          <w:rFonts w:ascii="Arial" w:eastAsia="Calibri" w:hAnsi="Arial" w:cs="Arial"/>
          <w:color w:val="000000" w:themeColor="text1"/>
        </w:rPr>
        <w:t>«</w:t>
      </w:r>
      <w:r>
        <w:rPr>
          <w:rFonts w:ascii="Arial" w:eastAsia="Calibri" w:hAnsi="Arial" w:cs="Arial"/>
          <w:color w:val="000000" w:themeColor="text1"/>
        </w:rPr>
        <w:t>Contratos en ejecución</w:t>
      </w:r>
      <w:r w:rsidRPr="00F5171A">
        <w:rPr>
          <w:rFonts w:ascii="Arial" w:eastAsia="Calibri" w:hAnsi="Arial" w:cs="Arial"/>
          <w:color w:val="000000" w:themeColor="text1"/>
        </w:rPr>
        <w:t>»</w:t>
      </w:r>
      <w:r>
        <w:rPr>
          <w:rFonts w:ascii="Arial" w:eastAsia="Calibri" w:hAnsi="Arial" w:cs="Arial"/>
          <w:color w:val="000000" w:themeColor="text1"/>
        </w:rPr>
        <w:t xml:space="preserve">, como los que: </w:t>
      </w:r>
      <w:r w:rsidRPr="00CE47F9">
        <w:rPr>
          <w:rFonts w:ascii="Arial" w:hAnsi="Arial" w:cs="Arial"/>
          <w:i/>
          <w:iCs/>
        </w:rPr>
        <w:t>«</w:t>
      </w:r>
      <w:r>
        <w:rPr>
          <w:rFonts w:ascii="Arial" w:hAnsi="Arial" w:cs="Arial"/>
          <w:i/>
          <w:iCs/>
        </w:rPr>
        <w:t>[…]</w:t>
      </w:r>
      <w:r w:rsidRPr="00CE47F9">
        <w:rPr>
          <w:rFonts w:ascii="Arial" w:hAnsi="Arial" w:cs="Arial"/>
          <w:i/>
          <w:iCs/>
        </w:rPr>
        <w:t xml:space="preserv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Pr="004C6C7C">
        <w:rPr>
          <w:rFonts w:ascii="Arial" w:hAnsi="Arial" w:cs="Arial"/>
          <w:sz w:val="21"/>
          <w:szCs w:val="21"/>
        </w:rPr>
        <w:t>.</w:t>
      </w:r>
    </w:p>
    <w:p w14:paraId="7A0CC7B6" w14:textId="77777777" w:rsidR="004D3AE0" w:rsidRPr="004D3AE0" w:rsidRDefault="004D3AE0" w:rsidP="004D3AE0">
      <w:pPr>
        <w:spacing w:after="0" w:line="276" w:lineRule="auto"/>
        <w:jc w:val="both"/>
        <w:rPr>
          <w:rFonts w:ascii="Arial" w:eastAsia="Calibri" w:hAnsi="Arial" w:cs="Arial"/>
        </w:rPr>
      </w:pPr>
    </w:p>
    <w:p w14:paraId="57569118" w14:textId="77777777" w:rsidR="004D3AE0" w:rsidRPr="004D3AE0" w:rsidRDefault="004D3AE0" w:rsidP="004D3AE0">
      <w:pPr>
        <w:spacing w:after="0" w:line="276" w:lineRule="auto"/>
        <w:jc w:val="both"/>
        <w:rPr>
          <w:rFonts w:ascii="Arial" w:eastAsia="Calibri" w:hAnsi="Arial" w:cs="Arial"/>
          <w:lang w:val="es-MX"/>
        </w:rPr>
      </w:pPr>
      <w:r w:rsidRPr="004D3AE0">
        <w:rPr>
          <w:rFonts w:ascii="Arial" w:eastAsia="Calibri" w:hAnsi="Arial" w:cs="Arial"/>
          <w:lang w:val="es-MX"/>
        </w:rPr>
        <w:t>Este concepto tiene el alcance previsto en el artículo 28 del Código de Procedimiento Administrativo y de lo Contencioso Administrativo.</w:t>
      </w:r>
    </w:p>
    <w:p w14:paraId="2F0928DA" w14:textId="77777777" w:rsidR="004D3AE0" w:rsidRPr="004D3AE0" w:rsidRDefault="004D3AE0" w:rsidP="004D3AE0">
      <w:pPr>
        <w:spacing w:after="0" w:line="240" w:lineRule="auto"/>
        <w:jc w:val="both"/>
        <w:rPr>
          <w:rFonts w:ascii="Arial" w:eastAsia="Calibri" w:hAnsi="Arial" w:cs="Arial"/>
          <w:lang w:val="es-MX"/>
        </w:rPr>
      </w:pPr>
      <w:r w:rsidRPr="004D3AE0">
        <w:rPr>
          <w:noProof/>
          <w:sz w:val="24"/>
          <w:lang w:val="en-US"/>
        </w:rPr>
        <mc:AlternateContent>
          <mc:Choice Requires="wps">
            <w:drawing>
              <wp:anchor distT="0" distB="0" distL="114300" distR="114300" simplePos="0" relativeHeight="251659264" behindDoc="0" locked="0" layoutInCell="1" allowOverlap="1" wp14:anchorId="2523FA0B" wp14:editId="703C4BD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142C9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09C1ED34" w14:textId="2FA0AC9D" w:rsidR="004D3AE0" w:rsidRDefault="004D3AE0" w:rsidP="00301C91">
      <w:pPr>
        <w:spacing w:after="0" w:line="240" w:lineRule="auto"/>
        <w:rPr>
          <w:rFonts w:ascii="Arial" w:eastAsia="Times New Roman" w:hAnsi="Arial" w:cs="Arial"/>
          <w:lang w:val="es-MX" w:eastAsia="es-CO"/>
        </w:rPr>
      </w:pPr>
      <w:r w:rsidRPr="004D3AE0">
        <w:rPr>
          <w:rFonts w:ascii="Arial" w:eastAsia="Times New Roman" w:hAnsi="Arial" w:cs="Arial"/>
          <w:lang w:val="es-MX" w:eastAsia="es-CO"/>
        </w:rPr>
        <w:t>Atentamente,</w:t>
      </w:r>
    </w:p>
    <w:p w14:paraId="420ACF63" w14:textId="77777777" w:rsidR="00BA084C" w:rsidRPr="00301C91" w:rsidRDefault="00BA084C" w:rsidP="00301C91">
      <w:pPr>
        <w:spacing w:after="0" w:line="240" w:lineRule="auto"/>
        <w:rPr>
          <w:rFonts w:ascii="Arial" w:eastAsia="Times New Roman" w:hAnsi="Arial" w:cs="Arial"/>
          <w:lang w:val="es-MX" w:eastAsia="es-CO"/>
        </w:rPr>
      </w:pPr>
    </w:p>
    <w:p w14:paraId="6FB598CA" w14:textId="4F5E9C64" w:rsidR="004D3AE0" w:rsidRPr="004D3AE0" w:rsidRDefault="00770044" w:rsidP="004D3AE0">
      <w:pPr>
        <w:spacing w:after="0" w:line="240" w:lineRule="auto"/>
        <w:jc w:val="center"/>
        <w:rPr>
          <w:rFonts w:ascii="Arial" w:eastAsia="Times New Roman" w:hAnsi="Arial" w:cs="Arial"/>
          <w:sz w:val="18"/>
          <w:szCs w:val="20"/>
          <w:lang w:val="es-MX" w:eastAsia="es-CO"/>
        </w:rPr>
      </w:pPr>
      <w:r>
        <w:rPr>
          <w:noProof/>
        </w:rPr>
        <w:drawing>
          <wp:inline distT="0" distB="0" distL="0" distR="0" wp14:anchorId="7BA2963F" wp14:editId="276ADAA3">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p w14:paraId="0CE168F7" w14:textId="6BCF4F11" w:rsidR="004D3AE0" w:rsidRDefault="004D3AE0" w:rsidP="004D3AE0">
      <w:pPr>
        <w:spacing w:after="0" w:line="240" w:lineRule="auto"/>
        <w:rPr>
          <w:rFonts w:ascii="Arial" w:eastAsia="Times New Roman" w:hAnsi="Arial" w:cs="Arial"/>
          <w:sz w:val="18"/>
          <w:szCs w:val="20"/>
          <w:lang w:val="es-MX" w:eastAsia="es-CO"/>
        </w:rPr>
      </w:pPr>
    </w:p>
    <w:p w14:paraId="0B19254E" w14:textId="77777777" w:rsidR="00F0201A" w:rsidRPr="004D3AE0" w:rsidRDefault="00F0201A" w:rsidP="004D3AE0">
      <w:pPr>
        <w:spacing w:after="0" w:line="240" w:lineRule="auto"/>
        <w:rPr>
          <w:rFonts w:ascii="Arial" w:eastAsia="Times New Roman" w:hAnsi="Arial" w:cs="Arial"/>
          <w:color w:val="FF0000"/>
          <w:sz w:val="16"/>
          <w:szCs w:val="16"/>
          <w:lang w:val="es-MX"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0201A" w:rsidRPr="00A1367A" w14:paraId="550ACDF8" w14:textId="77777777" w:rsidTr="009D5A44">
        <w:trPr>
          <w:trHeight w:val="315"/>
        </w:trPr>
        <w:tc>
          <w:tcPr>
            <w:tcW w:w="812" w:type="dxa"/>
            <w:vAlign w:val="center"/>
            <w:hideMark/>
          </w:tcPr>
          <w:p w14:paraId="5F22C026" w14:textId="77777777" w:rsidR="00F0201A" w:rsidRPr="0088157B" w:rsidRDefault="00F0201A" w:rsidP="00F0201A">
            <w:pPr>
              <w:spacing w:line="276" w:lineRule="auto"/>
              <w:rPr>
                <w:rFonts w:ascii="Arial" w:hAnsi="Arial" w:cs="Arial"/>
                <w:sz w:val="16"/>
                <w:szCs w:val="16"/>
                <w:lang w:val="es-ES" w:eastAsia="es-ES"/>
              </w:rPr>
            </w:pPr>
            <w:r w:rsidRPr="0088157B">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332675E" w14:textId="77777777" w:rsidR="00F0201A" w:rsidRPr="0088157B" w:rsidRDefault="00F0201A" w:rsidP="00F0201A">
            <w:pPr>
              <w:rPr>
                <w:rFonts w:ascii="Arial" w:hAnsi="Arial" w:cs="Arial"/>
                <w:sz w:val="16"/>
                <w:szCs w:val="16"/>
                <w:lang w:val="es-MX" w:eastAsia="es-ES"/>
              </w:rPr>
            </w:pPr>
            <w:r w:rsidRPr="0088157B">
              <w:rPr>
                <w:rFonts w:ascii="Arial" w:hAnsi="Arial" w:cs="Arial"/>
                <w:sz w:val="16"/>
                <w:szCs w:val="16"/>
                <w:lang w:val="es-MX" w:eastAsia="es-ES"/>
              </w:rPr>
              <w:t>Melissa Fernández Reinoso.</w:t>
            </w:r>
          </w:p>
          <w:p w14:paraId="4FB45AC3" w14:textId="77777777" w:rsidR="00F0201A" w:rsidRPr="0088157B" w:rsidRDefault="00F0201A" w:rsidP="00F0201A">
            <w:pPr>
              <w:spacing w:line="276" w:lineRule="auto"/>
              <w:rPr>
                <w:rFonts w:ascii="Arial" w:hAnsi="Arial" w:cs="Arial"/>
                <w:sz w:val="16"/>
                <w:szCs w:val="16"/>
                <w:lang w:val="es-ES" w:eastAsia="es-ES"/>
              </w:rPr>
            </w:pPr>
            <w:r w:rsidRPr="0088157B">
              <w:rPr>
                <w:rFonts w:ascii="Arial" w:hAnsi="Arial" w:cs="Arial"/>
                <w:sz w:val="16"/>
                <w:szCs w:val="16"/>
                <w:lang w:val="es-MX" w:eastAsia="es-ES"/>
              </w:rPr>
              <w:t>Analista T2-2 de la Subdirección de Gestión Contractual</w:t>
            </w:r>
          </w:p>
        </w:tc>
      </w:tr>
      <w:tr w:rsidR="00F0201A" w:rsidRPr="00A1367A" w14:paraId="55E93482" w14:textId="77777777" w:rsidTr="009D5A44">
        <w:trPr>
          <w:trHeight w:val="330"/>
        </w:trPr>
        <w:tc>
          <w:tcPr>
            <w:tcW w:w="812" w:type="dxa"/>
            <w:vAlign w:val="center"/>
            <w:hideMark/>
          </w:tcPr>
          <w:p w14:paraId="1A8C88D9" w14:textId="77777777" w:rsidR="00F0201A" w:rsidRPr="0088157B" w:rsidRDefault="00F0201A" w:rsidP="00F0201A">
            <w:pPr>
              <w:spacing w:line="276" w:lineRule="auto"/>
              <w:rPr>
                <w:rFonts w:ascii="Arial" w:hAnsi="Arial" w:cs="Arial"/>
                <w:sz w:val="16"/>
                <w:szCs w:val="16"/>
                <w:lang w:val="es-ES" w:eastAsia="es-ES"/>
              </w:rPr>
            </w:pPr>
            <w:r w:rsidRPr="0088157B">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6AB9F0" w14:textId="77777777" w:rsidR="00F0201A" w:rsidRPr="0088157B" w:rsidRDefault="00F0201A" w:rsidP="00F0201A">
            <w:pPr>
              <w:spacing w:line="276" w:lineRule="auto"/>
              <w:rPr>
                <w:rFonts w:ascii="Arial" w:hAnsi="Arial" w:cs="Arial"/>
                <w:sz w:val="16"/>
                <w:szCs w:val="16"/>
                <w:lang w:val="es-ES" w:eastAsia="es-ES"/>
              </w:rPr>
            </w:pPr>
            <w:r w:rsidRPr="0088157B">
              <w:rPr>
                <w:rFonts w:ascii="Arial" w:hAnsi="Arial" w:cs="Arial"/>
                <w:sz w:val="16"/>
                <w:szCs w:val="16"/>
                <w:lang w:val="es-ES" w:eastAsia="es-ES"/>
              </w:rPr>
              <w:t>Alejandro Sarmiento Cantillo</w:t>
            </w:r>
          </w:p>
          <w:p w14:paraId="456BDC24" w14:textId="77777777" w:rsidR="00F0201A" w:rsidRPr="0088157B" w:rsidRDefault="00F0201A" w:rsidP="00F0201A">
            <w:pPr>
              <w:spacing w:line="276" w:lineRule="auto"/>
              <w:rPr>
                <w:rFonts w:ascii="Arial" w:hAnsi="Arial" w:cs="Arial"/>
                <w:sz w:val="16"/>
                <w:szCs w:val="16"/>
                <w:lang w:val="es-ES" w:eastAsia="es-ES"/>
              </w:rPr>
            </w:pPr>
            <w:r w:rsidRPr="0088157B">
              <w:rPr>
                <w:rFonts w:ascii="Arial" w:hAnsi="Arial" w:cs="Arial"/>
                <w:sz w:val="16"/>
                <w:szCs w:val="16"/>
                <w:lang w:val="es-ES" w:eastAsia="es-ES"/>
              </w:rPr>
              <w:t>Gestor T1-11 de la Subdirección de Gestión Contractual</w:t>
            </w:r>
          </w:p>
        </w:tc>
      </w:tr>
      <w:tr w:rsidR="00A1367A" w:rsidRPr="00A1367A" w14:paraId="3F4374A8" w14:textId="77777777" w:rsidTr="009D5A44">
        <w:trPr>
          <w:trHeight w:val="300"/>
        </w:trPr>
        <w:tc>
          <w:tcPr>
            <w:tcW w:w="812" w:type="dxa"/>
            <w:vAlign w:val="center"/>
            <w:hideMark/>
          </w:tcPr>
          <w:p w14:paraId="6E903A7D" w14:textId="77777777" w:rsidR="00A1367A" w:rsidRPr="0088157B" w:rsidRDefault="00A1367A" w:rsidP="00A1367A">
            <w:pPr>
              <w:spacing w:line="276" w:lineRule="auto"/>
              <w:rPr>
                <w:rFonts w:ascii="Arial" w:hAnsi="Arial" w:cs="Arial"/>
                <w:sz w:val="16"/>
                <w:szCs w:val="16"/>
                <w:lang w:val="es-ES" w:eastAsia="es-ES"/>
              </w:rPr>
            </w:pPr>
            <w:r w:rsidRPr="0088157B">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0A537" w14:textId="77777777" w:rsidR="00A1367A" w:rsidRPr="00A1367A" w:rsidRDefault="00A1367A" w:rsidP="00A1367A">
            <w:pPr>
              <w:rPr>
                <w:rFonts w:ascii="Arial" w:hAnsi="Arial" w:cs="Arial"/>
                <w:sz w:val="16"/>
                <w:szCs w:val="16"/>
                <w:lang w:val="es-ES" w:eastAsia="es-ES"/>
              </w:rPr>
            </w:pPr>
            <w:r w:rsidRPr="00A1367A">
              <w:rPr>
                <w:rFonts w:ascii="Arial" w:hAnsi="Arial" w:cs="Arial"/>
                <w:sz w:val="16"/>
                <w:szCs w:val="16"/>
                <w:lang w:val="es-ES" w:eastAsia="es-ES"/>
              </w:rPr>
              <w:t>Juan David Marín López</w:t>
            </w:r>
          </w:p>
          <w:p w14:paraId="371BC438" w14:textId="0A91FD3E" w:rsidR="00A1367A" w:rsidRPr="0088157B" w:rsidRDefault="00A1367A" w:rsidP="00A1367A">
            <w:pPr>
              <w:spacing w:line="276" w:lineRule="auto"/>
              <w:rPr>
                <w:rFonts w:ascii="Arial" w:hAnsi="Arial" w:cs="Arial"/>
                <w:sz w:val="16"/>
                <w:szCs w:val="16"/>
                <w:lang w:val="es-ES" w:eastAsia="es-ES"/>
              </w:rPr>
            </w:pPr>
            <w:r w:rsidRPr="00A1367A">
              <w:rPr>
                <w:rFonts w:ascii="Arial" w:hAnsi="Arial" w:cs="Arial"/>
                <w:sz w:val="16"/>
                <w:szCs w:val="16"/>
                <w:lang w:val="es-ES" w:eastAsia="es-ES"/>
              </w:rPr>
              <w:t>Subdirector de Gestión Contractual ANCP – CCE (E)</w:t>
            </w:r>
          </w:p>
        </w:tc>
      </w:tr>
      <w:bookmarkEnd w:id="1"/>
      <w:bookmarkEnd w:id="3"/>
    </w:tbl>
    <w:p w14:paraId="1807B4BF" w14:textId="77777777" w:rsidR="003255AD" w:rsidRDefault="003255AD"/>
    <w:sectPr w:rsidR="003255A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63DC" w14:textId="77777777" w:rsidR="00250555" w:rsidRDefault="00250555" w:rsidP="004D3AE0">
      <w:pPr>
        <w:spacing w:after="0" w:line="240" w:lineRule="auto"/>
      </w:pPr>
      <w:r>
        <w:separator/>
      </w:r>
    </w:p>
  </w:endnote>
  <w:endnote w:type="continuationSeparator" w:id="0">
    <w:p w14:paraId="6242D7DE" w14:textId="77777777" w:rsidR="00250555" w:rsidRDefault="00250555" w:rsidP="004D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C247" w14:textId="49750266" w:rsidR="00675981" w:rsidRDefault="00675981" w:rsidP="005A79FE">
    <w:pPr>
      <w:pStyle w:val="Piedepgina"/>
      <w:jc w:val="right"/>
      <w:rPr>
        <w:rFonts w:ascii="Arial" w:hAnsi="Arial" w:cs="Arial"/>
        <w:bCs/>
        <w:color w:val="7F7F7F" w:themeColor="text1" w:themeTint="80"/>
        <w:sz w:val="16"/>
        <w:szCs w:val="16"/>
      </w:rPr>
    </w:pPr>
  </w:p>
  <w:p w14:paraId="28E9D2DB" w14:textId="77777777" w:rsidR="00AF79CF" w:rsidRDefault="00AF79CF" w:rsidP="005A79FE">
    <w:pPr>
      <w:pStyle w:val="Piedepgina"/>
      <w:jc w:val="right"/>
      <w:rPr>
        <w:rFonts w:ascii="Arial" w:hAnsi="Arial" w:cs="Arial"/>
        <w:bCs/>
        <w:color w:val="7F7F7F" w:themeColor="text1" w:themeTint="80"/>
        <w:sz w:val="16"/>
        <w:szCs w:val="16"/>
      </w:rPr>
    </w:pPr>
  </w:p>
  <w:p w14:paraId="6432062C" w14:textId="1437AB71" w:rsidR="000126BB" w:rsidRPr="005A79FE" w:rsidRDefault="00131D3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23C4FC" w14:textId="77777777" w:rsidR="000126BB" w:rsidRDefault="00131D3C" w:rsidP="007B0854">
    <w:pPr>
      <w:pStyle w:val="Piedepgina"/>
      <w:jc w:val="center"/>
      <w:rPr>
        <w:lang w:val="es-ES"/>
      </w:rPr>
    </w:pPr>
    <w:r>
      <w:rPr>
        <w:noProof/>
      </w:rPr>
      <w:drawing>
        <wp:inline distT="0" distB="0" distL="0" distR="0" wp14:anchorId="148A5F68" wp14:editId="1B7ACDC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D48F32D" w14:textId="77777777" w:rsidR="00E17C49" w:rsidRDefault="00250555" w:rsidP="007B0854">
    <w:pPr>
      <w:pStyle w:val="Piedepgina"/>
      <w:jc w:val="center"/>
      <w:rPr>
        <w:lang w:val="es-ES"/>
      </w:rPr>
    </w:pPr>
  </w:p>
  <w:p w14:paraId="22A5FA76" w14:textId="77777777" w:rsidR="000126BB" w:rsidRPr="007B0854" w:rsidRDefault="00250555"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0E5A" w14:textId="77777777" w:rsidR="00250555" w:rsidRDefault="00250555" w:rsidP="004D3AE0">
      <w:pPr>
        <w:spacing w:after="0" w:line="240" w:lineRule="auto"/>
      </w:pPr>
      <w:r>
        <w:separator/>
      </w:r>
    </w:p>
  </w:footnote>
  <w:footnote w:type="continuationSeparator" w:id="0">
    <w:p w14:paraId="444C68D7" w14:textId="77777777" w:rsidR="00250555" w:rsidRDefault="00250555" w:rsidP="004D3AE0">
      <w:pPr>
        <w:spacing w:after="0" w:line="240" w:lineRule="auto"/>
      </w:pPr>
      <w:r>
        <w:continuationSeparator/>
      </w:r>
    </w:p>
  </w:footnote>
  <w:footnote w:id="1">
    <w:p w14:paraId="01D6B4BA" w14:textId="77777777" w:rsidR="007E20CA" w:rsidRPr="007E20CA" w:rsidRDefault="007E20CA" w:rsidP="007E20CA">
      <w:pPr>
        <w:pStyle w:val="Textonotapie"/>
        <w:ind w:firstLine="708"/>
        <w:jc w:val="both"/>
        <w:rPr>
          <w:rFonts w:ascii="Arial" w:hAnsi="Arial" w:cs="Arial"/>
          <w:bCs/>
          <w:iCs/>
          <w:sz w:val="19"/>
          <w:szCs w:val="19"/>
          <w:lang w:val="es-CO"/>
        </w:rPr>
      </w:pPr>
      <w:r w:rsidRPr="0088157B">
        <w:rPr>
          <w:rStyle w:val="Refdenotaalpie"/>
          <w:rFonts w:ascii="Arial" w:hAnsi="Arial" w:cs="Arial"/>
          <w:sz w:val="19"/>
          <w:szCs w:val="19"/>
        </w:rPr>
        <w:footnoteRef/>
      </w:r>
      <w:r w:rsidRPr="007E20CA">
        <w:rPr>
          <w:rFonts w:ascii="Arial" w:hAnsi="Arial" w:cs="Arial"/>
          <w:sz w:val="19"/>
          <w:szCs w:val="19"/>
        </w:rPr>
        <w:t xml:space="preserve"> «</w:t>
      </w:r>
      <w:r w:rsidRPr="007E20CA">
        <w:rPr>
          <w:rFonts w:ascii="Arial" w:hAnsi="Arial" w:cs="Arial"/>
          <w:bCs/>
          <w:sz w:val="19"/>
          <w:szCs w:val="19"/>
          <w:lang w:val="es-CO"/>
        </w:rPr>
        <w:t>Artículo 72.</w:t>
      </w:r>
      <w:r w:rsidRPr="007E20CA">
        <w:rPr>
          <w:rFonts w:ascii="Arial" w:hAnsi="Arial" w:cs="Arial"/>
          <w:sz w:val="19"/>
          <w:szCs w:val="19"/>
          <w:lang w:val="es-CO"/>
        </w:rPr>
        <w:t> </w:t>
      </w:r>
      <w:r w:rsidRPr="007E20CA">
        <w:rPr>
          <w:rFonts w:ascii="Arial" w:hAnsi="Arial" w:cs="Arial"/>
          <w:bCs/>
          <w:iCs/>
          <w:sz w:val="19"/>
          <w:szCs w:val="19"/>
          <w:lang w:val="es-CO"/>
        </w:rPr>
        <w:t>Capacidad residual de contratación pública</w:t>
      </w:r>
      <w:r w:rsidRPr="007E20CA">
        <w:rPr>
          <w:rFonts w:ascii="Arial" w:hAnsi="Arial" w:cs="Arial"/>
          <w:sz w:val="19"/>
          <w:szCs w:val="19"/>
          <w:lang w:val="es-CO"/>
        </w:rPr>
        <w:t>:</w:t>
      </w:r>
      <w:r w:rsidRPr="007E20CA">
        <w:rPr>
          <w:rFonts w:ascii="Arial" w:hAnsi="Arial" w:cs="Arial"/>
          <w:b/>
          <w:bCs/>
          <w:i/>
          <w:iCs/>
          <w:sz w:val="19"/>
          <w:szCs w:val="19"/>
          <w:lang w:val="es-CO"/>
        </w:rPr>
        <w:t xml:space="preserve"> </w:t>
      </w:r>
      <w:r w:rsidRPr="007E20CA">
        <w:rPr>
          <w:rFonts w:ascii="Arial" w:hAnsi="Arial" w:cs="Arial"/>
          <w:sz w:val="19"/>
          <w:szCs w:val="19"/>
          <w:lang w:val="es-CO"/>
        </w:rPr>
        <w:t>La capacidad residual de contratación cuando obra pública se obtendrá de sustraer de la capacidad del valor de los contratos en ejecución.</w:t>
      </w:r>
    </w:p>
    <w:p w14:paraId="24E000DD" w14:textId="77777777" w:rsidR="007E20CA" w:rsidRPr="007E20CA" w:rsidRDefault="007E20CA">
      <w:pPr>
        <w:pStyle w:val="Textonotapie"/>
        <w:ind w:firstLine="708"/>
        <w:jc w:val="both"/>
        <w:rPr>
          <w:rFonts w:ascii="Arial" w:hAnsi="Arial" w:cs="Arial"/>
          <w:sz w:val="19"/>
          <w:szCs w:val="19"/>
          <w:lang w:val="es-CO"/>
        </w:rPr>
      </w:pPr>
      <w:proofErr w:type="gramStart"/>
      <w:r w:rsidRPr="007E20CA">
        <w:rPr>
          <w:rFonts w:ascii="Arial" w:hAnsi="Arial" w:cs="Arial"/>
          <w:sz w:val="19"/>
          <w:szCs w:val="19"/>
          <w:lang w:val="es-CO"/>
        </w:rPr>
        <w:t>»La</w:t>
      </w:r>
      <w:proofErr w:type="gramEnd"/>
      <w:r w:rsidRPr="007E20CA">
        <w:rPr>
          <w:rFonts w:ascii="Arial" w:hAnsi="Arial" w:cs="Arial"/>
          <w:sz w:val="19"/>
          <w:szCs w:val="19"/>
          <w:lang w:val="es-CO"/>
        </w:rPr>
        <w:t xml:space="preserve"> capacidad de contratación se deberá calcular mediante la evaluación de los siguientes factores: Experiencia (E), Capacidad Financiera (CF), Capacidad Técnica (CT), y Capacidad de Organización (CO).</w:t>
      </w:r>
    </w:p>
    <w:p w14:paraId="408DE818" w14:textId="77777777" w:rsidR="007E20CA" w:rsidRPr="007E20CA" w:rsidRDefault="007E20CA">
      <w:pPr>
        <w:pStyle w:val="Textonotapie"/>
        <w:ind w:firstLine="708"/>
        <w:jc w:val="both"/>
        <w:rPr>
          <w:rFonts w:ascii="Arial" w:hAnsi="Arial" w:cs="Arial"/>
          <w:sz w:val="19"/>
          <w:szCs w:val="19"/>
          <w:lang w:val="es-CO"/>
        </w:rPr>
      </w:pPr>
      <w:proofErr w:type="gramStart"/>
      <w:r w:rsidRPr="007E20CA">
        <w:rPr>
          <w:rFonts w:ascii="Arial" w:hAnsi="Arial" w:cs="Arial"/>
          <w:sz w:val="19"/>
          <w:szCs w:val="19"/>
          <w:lang w:val="es-CO"/>
        </w:rPr>
        <w:t>»Para</w:t>
      </w:r>
      <w:proofErr w:type="gramEnd"/>
      <w:r w:rsidRPr="007E20CA">
        <w:rPr>
          <w:rFonts w:ascii="Arial" w:hAnsi="Arial" w:cs="Arial"/>
          <w:sz w:val="19"/>
          <w:szCs w:val="19"/>
          <w:lang w:val="es-CO"/>
        </w:rPr>
        <w:t xml:space="preserve"> los efectos de la evaluación de los factores mencionados en el inciso anterior, por ningún motivo, ni bajo ninguna circunstancia se podrán tener en cuenta la rentabilidad y las utilidades.</w:t>
      </w:r>
    </w:p>
    <w:p w14:paraId="1F0DA7FA" w14:textId="77777777" w:rsidR="007E20CA" w:rsidRPr="007E20CA" w:rsidRDefault="007E20CA">
      <w:pPr>
        <w:pStyle w:val="Textonotapie"/>
        <w:ind w:firstLine="708"/>
        <w:jc w:val="both"/>
        <w:rPr>
          <w:rFonts w:ascii="Arial" w:hAnsi="Arial" w:cs="Arial"/>
          <w:sz w:val="19"/>
          <w:szCs w:val="19"/>
          <w:lang w:val="es-CO"/>
        </w:rPr>
      </w:pPr>
      <w:proofErr w:type="gramStart"/>
      <w:r w:rsidRPr="007E20CA">
        <w:rPr>
          <w:rFonts w:ascii="Arial" w:hAnsi="Arial" w:cs="Arial"/>
          <w:sz w:val="19"/>
          <w:szCs w:val="19"/>
          <w:lang w:val="es-CO"/>
        </w:rPr>
        <w:t>»El</w:t>
      </w:r>
      <w:proofErr w:type="gramEnd"/>
      <w:r w:rsidRPr="007E20CA">
        <w:rPr>
          <w:rFonts w:ascii="Arial" w:hAnsi="Arial" w:cs="Arial"/>
          <w:sz w:val="19"/>
          <w:szCs w:val="19"/>
          <w:lang w:val="es-CO"/>
        </w:rPr>
        <w:t xml:space="preserve"> Gobierno Nacional reglamentará la materia, dentro de los sesenta (60) días siguientes a la promulgación de la presente ley, acudiendo al concepto técnico de la Sociedad Colombiana de Ingenieros, en virtual de la Ley 49 de 1904, para propender por una reglamentación equitativa en la implementación de mínimos y máximos que garanticen los derechos de los pequeños contratistas».</w:t>
      </w:r>
    </w:p>
    <w:p w14:paraId="69F1F1B1" w14:textId="77777777" w:rsidR="007E20CA" w:rsidRPr="007E20CA" w:rsidRDefault="007E20CA">
      <w:pPr>
        <w:pStyle w:val="Textonotapie"/>
        <w:ind w:firstLine="708"/>
        <w:jc w:val="both"/>
        <w:rPr>
          <w:rFonts w:ascii="Arial" w:hAnsi="Arial" w:cs="Arial"/>
          <w:sz w:val="19"/>
          <w:szCs w:val="19"/>
          <w:lang w:val="es-CO"/>
        </w:rPr>
      </w:pPr>
    </w:p>
  </w:footnote>
  <w:footnote w:id="2">
    <w:p w14:paraId="01D20545" w14:textId="77777777" w:rsidR="007E20CA" w:rsidRPr="007E20CA" w:rsidRDefault="007E20CA" w:rsidP="0088157B">
      <w:pPr>
        <w:pStyle w:val="NormalWeb"/>
        <w:shd w:val="clear" w:color="auto" w:fill="FFFFFF"/>
        <w:spacing w:after="0" w:line="240" w:lineRule="auto"/>
        <w:ind w:firstLine="708"/>
        <w:jc w:val="both"/>
        <w:rPr>
          <w:rFonts w:ascii="Arial" w:hAnsi="Arial" w:cs="Arial"/>
          <w:sz w:val="19"/>
          <w:szCs w:val="19"/>
        </w:rPr>
      </w:pPr>
      <w:r w:rsidRPr="0088157B">
        <w:rPr>
          <w:rStyle w:val="Refdenotaalpie"/>
          <w:rFonts w:ascii="Arial" w:hAnsi="Arial" w:cs="Arial"/>
          <w:sz w:val="19"/>
          <w:szCs w:val="19"/>
          <w:lang w:val="es-MX"/>
        </w:rPr>
        <w:footnoteRef/>
      </w:r>
      <w:r w:rsidRPr="0088157B">
        <w:rPr>
          <w:rStyle w:val="Refdenotaalpie"/>
          <w:rFonts w:ascii="Arial" w:hAnsi="Arial" w:cs="Arial"/>
          <w:sz w:val="19"/>
          <w:szCs w:val="19"/>
          <w:lang w:val="es-MX"/>
        </w:rPr>
        <w:t xml:space="preserve"> </w:t>
      </w:r>
      <w:r w:rsidRPr="007E20CA">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7120E61B" w14:textId="77777777" w:rsidR="007E20CA" w:rsidRPr="007E20CA" w:rsidRDefault="007E20CA" w:rsidP="0088157B">
      <w:pPr>
        <w:shd w:val="clear" w:color="auto" w:fill="FFFFFF"/>
        <w:spacing w:after="0" w:line="240" w:lineRule="auto"/>
        <w:ind w:firstLine="709"/>
        <w:jc w:val="both"/>
        <w:rPr>
          <w:rFonts w:ascii="Arial" w:hAnsi="Arial" w:cs="Arial"/>
          <w:sz w:val="19"/>
          <w:szCs w:val="19"/>
        </w:rPr>
      </w:pPr>
      <w:r w:rsidRPr="007E20C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62882F0" w14:textId="77777777" w:rsidR="007E20CA" w:rsidRPr="007E20CA" w:rsidRDefault="007E20CA" w:rsidP="0088157B">
      <w:pPr>
        <w:shd w:val="clear" w:color="auto" w:fill="FFFFFF"/>
        <w:spacing w:after="0" w:line="240" w:lineRule="auto"/>
        <w:ind w:firstLine="709"/>
        <w:jc w:val="both"/>
        <w:rPr>
          <w:rFonts w:ascii="Arial" w:hAnsi="Arial" w:cs="Arial"/>
          <w:sz w:val="19"/>
          <w:szCs w:val="19"/>
        </w:rPr>
      </w:pPr>
      <w:r w:rsidRPr="007E20C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361C235" w14:textId="595BB8E3" w:rsidR="007E20CA" w:rsidRPr="007E20CA" w:rsidRDefault="007E20CA" w:rsidP="0088157B">
      <w:pPr>
        <w:shd w:val="clear" w:color="auto" w:fill="FFFFFF"/>
        <w:spacing w:after="0" w:line="240" w:lineRule="auto"/>
        <w:ind w:firstLine="709"/>
        <w:jc w:val="both"/>
        <w:rPr>
          <w:rFonts w:ascii="Arial" w:hAnsi="Arial" w:cs="Arial"/>
          <w:sz w:val="19"/>
          <w:szCs w:val="19"/>
        </w:rPr>
      </w:pPr>
      <w:r w:rsidRPr="007E20C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FD09" w14:textId="77777777" w:rsidR="000126BB" w:rsidRDefault="00250555">
    <w:pPr>
      <w:pStyle w:val="Encabezado"/>
    </w:pPr>
  </w:p>
  <w:p w14:paraId="77F10A1F" w14:textId="77777777" w:rsidR="000126BB" w:rsidRDefault="00250555">
    <w:pPr>
      <w:pStyle w:val="Encabezado"/>
    </w:pPr>
  </w:p>
  <w:p w14:paraId="751E4EE1" w14:textId="77777777" w:rsidR="000126BB" w:rsidRDefault="00131D3C">
    <w:pPr>
      <w:pStyle w:val="Encabezado"/>
    </w:pPr>
    <w:r>
      <w:rPr>
        <w:noProof/>
        <w:lang w:val="en-US"/>
      </w:rPr>
      <w:drawing>
        <wp:anchor distT="0" distB="0" distL="114300" distR="114300" simplePos="0" relativeHeight="251659264" behindDoc="1" locked="0" layoutInCell="1" allowOverlap="1" wp14:anchorId="40C8A9A2" wp14:editId="6D208B3C">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C50540" w14:textId="77777777" w:rsidR="000126BB" w:rsidRDefault="00250555">
    <w:pPr>
      <w:pStyle w:val="Encabezado"/>
    </w:pPr>
  </w:p>
  <w:p w14:paraId="6F67374C" w14:textId="77777777" w:rsidR="000126BB" w:rsidRDefault="00250555">
    <w:pPr>
      <w:pStyle w:val="Encabezado"/>
    </w:pPr>
  </w:p>
  <w:p w14:paraId="65C150A6" w14:textId="77777777" w:rsidR="000126BB" w:rsidRDefault="002505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F82F7C"/>
    <w:multiLevelType w:val="hybridMultilevel"/>
    <w:tmpl w:val="0F56D282"/>
    <w:lvl w:ilvl="0" w:tplc="FF5E5916">
      <w:start w:val="27"/>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01864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9562844">
    <w:abstractNumId w:val="1"/>
  </w:num>
  <w:num w:numId="3" w16cid:durableId="52844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E0"/>
    <w:rsid w:val="00000A26"/>
    <w:rsid w:val="00022C4D"/>
    <w:rsid w:val="00023EEC"/>
    <w:rsid w:val="0005161E"/>
    <w:rsid w:val="00061DA9"/>
    <w:rsid w:val="00071E47"/>
    <w:rsid w:val="000A00AE"/>
    <w:rsid w:val="000E47FF"/>
    <w:rsid w:val="00102E93"/>
    <w:rsid w:val="00117B9B"/>
    <w:rsid w:val="00117DAF"/>
    <w:rsid w:val="0012412F"/>
    <w:rsid w:val="00131D3C"/>
    <w:rsid w:val="00132DEA"/>
    <w:rsid w:val="0015517E"/>
    <w:rsid w:val="00157E49"/>
    <w:rsid w:val="00167FC7"/>
    <w:rsid w:val="00190C05"/>
    <w:rsid w:val="0019198A"/>
    <w:rsid w:val="001B158B"/>
    <w:rsid w:val="001C6441"/>
    <w:rsid w:val="001D00F9"/>
    <w:rsid w:val="001D679F"/>
    <w:rsid w:val="001E4011"/>
    <w:rsid w:val="001F1829"/>
    <w:rsid w:val="002142B9"/>
    <w:rsid w:val="00216A43"/>
    <w:rsid w:val="0022069E"/>
    <w:rsid w:val="00250555"/>
    <w:rsid w:val="00287823"/>
    <w:rsid w:val="002A488E"/>
    <w:rsid w:val="002A5AA3"/>
    <w:rsid w:val="002B1220"/>
    <w:rsid w:val="002B1A8B"/>
    <w:rsid w:val="002B49BF"/>
    <w:rsid w:val="002C3B5B"/>
    <w:rsid w:val="002F1F5B"/>
    <w:rsid w:val="002F496B"/>
    <w:rsid w:val="00301C91"/>
    <w:rsid w:val="003109E2"/>
    <w:rsid w:val="003121A2"/>
    <w:rsid w:val="003255AD"/>
    <w:rsid w:val="0034764D"/>
    <w:rsid w:val="0035367B"/>
    <w:rsid w:val="003547E4"/>
    <w:rsid w:val="00357315"/>
    <w:rsid w:val="0038477D"/>
    <w:rsid w:val="00391D83"/>
    <w:rsid w:val="003A5899"/>
    <w:rsid w:val="003E580B"/>
    <w:rsid w:val="003F66D1"/>
    <w:rsid w:val="004058F0"/>
    <w:rsid w:val="004064EC"/>
    <w:rsid w:val="0041340A"/>
    <w:rsid w:val="00413F85"/>
    <w:rsid w:val="004159AE"/>
    <w:rsid w:val="00431595"/>
    <w:rsid w:val="00433C19"/>
    <w:rsid w:val="00451A63"/>
    <w:rsid w:val="00494608"/>
    <w:rsid w:val="004A29C0"/>
    <w:rsid w:val="004C486F"/>
    <w:rsid w:val="004C6C7C"/>
    <w:rsid w:val="004D3AE0"/>
    <w:rsid w:val="004E14CC"/>
    <w:rsid w:val="004F10C4"/>
    <w:rsid w:val="004F212E"/>
    <w:rsid w:val="00504808"/>
    <w:rsid w:val="00513F3B"/>
    <w:rsid w:val="0051416A"/>
    <w:rsid w:val="00521F9A"/>
    <w:rsid w:val="005332A6"/>
    <w:rsid w:val="005737C7"/>
    <w:rsid w:val="005741F6"/>
    <w:rsid w:val="00574EFF"/>
    <w:rsid w:val="005E5FB5"/>
    <w:rsid w:val="005F0C8C"/>
    <w:rsid w:val="00602D78"/>
    <w:rsid w:val="00620B33"/>
    <w:rsid w:val="006276CB"/>
    <w:rsid w:val="0063233B"/>
    <w:rsid w:val="0065039C"/>
    <w:rsid w:val="0066416F"/>
    <w:rsid w:val="0067463A"/>
    <w:rsid w:val="00675981"/>
    <w:rsid w:val="006864D1"/>
    <w:rsid w:val="00692B35"/>
    <w:rsid w:val="006B1A9F"/>
    <w:rsid w:val="006B1AEA"/>
    <w:rsid w:val="006B6CB6"/>
    <w:rsid w:val="006D6861"/>
    <w:rsid w:val="006E266C"/>
    <w:rsid w:val="00704308"/>
    <w:rsid w:val="007149B9"/>
    <w:rsid w:val="0072093C"/>
    <w:rsid w:val="00725725"/>
    <w:rsid w:val="00744843"/>
    <w:rsid w:val="00746E55"/>
    <w:rsid w:val="00747D75"/>
    <w:rsid w:val="00751082"/>
    <w:rsid w:val="00753A90"/>
    <w:rsid w:val="00770044"/>
    <w:rsid w:val="007C0604"/>
    <w:rsid w:val="007E20CA"/>
    <w:rsid w:val="007E437F"/>
    <w:rsid w:val="007F2B76"/>
    <w:rsid w:val="0080789D"/>
    <w:rsid w:val="008136CF"/>
    <w:rsid w:val="0081408B"/>
    <w:rsid w:val="00814A0D"/>
    <w:rsid w:val="008366A2"/>
    <w:rsid w:val="00875E4C"/>
    <w:rsid w:val="0088157B"/>
    <w:rsid w:val="00885B22"/>
    <w:rsid w:val="00890993"/>
    <w:rsid w:val="008A3AFA"/>
    <w:rsid w:val="008B0FBD"/>
    <w:rsid w:val="008F3858"/>
    <w:rsid w:val="00934C6E"/>
    <w:rsid w:val="0094237C"/>
    <w:rsid w:val="00967CC4"/>
    <w:rsid w:val="009C2D2A"/>
    <w:rsid w:val="009C7311"/>
    <w:rsid w:val="009D7268"/>
    <w:rsid w:val="00A02485"/>
    <w:rsid w:val="00A05073"/>
    <w:rsid w:val="00A1367A"/>
    <w:rsid w:val="00A906B7"/>
    <w:rsid w:val="00A948EE"/>
    <w:rsid w:val="00A95AA4"/>
    <w:rsid w:val="00AA605B"/>
    <w:rsid w:val="00AB4274"/>
    <w:rsid w:val="00AC53FA"/>
    <w:rsid w:val="00AF79CF"/>
    <w:rsid w:val="00B1174B"/>
    <w:rsid w:val="00B17A7C"/>
    <w:rsid w:val="00B33C36"/>
    <w:rsid w:val="00B421F3"/>
    <w:rsid w:val="00B45931"/>
    <w:rsid w:val="00B62556"/>
    <w:rsid w:val="00B70EE4"/>
    <w:rsid w:val="00BA084C"/>
    <w:rsid w:val="00BD06B1"/>
    <w:rsid w:val="00BE0BEE"/>
    <w:rsid w:val="00C14B22"/>
    <w:rsid w:val="00C160C2"/>
    <w:rsid w:val="00C26177"/>
    <w:rsid w:val="00C27CD5"/>
    <w:rsid w:val="00C422F9"/>
    <w:rsid w:val="00CA4782"/>
    <w:rsid w:val="00CB4EDA"/>
    <w:rsid w:val="00CC57E8"/>
    <w:rsid w:val="00CD4900"/>
    <w:rsid w:val="00D067B5"/>
    <w:rsid w:val="00D21AB4"/>
    <w:rsid w:val="00D454F1"/>
    <w:rsid w:val="00D64509"/>
    <w:rsid w:val="00D81A4F"/>
    <w:rsid w:val="00D90049"/>
    <w:rsid w:val="00D92951"/>
    <w:rsid w:val="00DA7A54"/>
    <w:rsid w:val="00DB416B"/>
    <w:rsid w:val="00DD4D59"/>
    <w:rsid w:val="00DE5EC0"/>
    <w:rsid w:val="00E07A2B"/>
    <w:rsid w:val="00E43CE2"/>
    <w:rsid w:val="00E44D14"/>
    <w:rsid w:val="00E57B74"/>
    <w:rsid w:val="00E609AE"/>
    <w:rsid w:val="00E6301A"/>
    <w:rsid w:val="00E65C61"/>
    <w:rsid w:val="00E667D5"/>
    <w:rsid w:val="00E756BF"/>
    <w:rsid w:val="00E92903"/>
    <w:rsid w:val="00E96E67"/>
    <w:rsid w:val="00EA2CF2"/>
    <w:rsid w:val="00EE5BEE"/>
    <w:rsid w:val="00F0201A"/>
    <w:rsid w:val="00F33271"/>
    <w:rsid w:val="00F41C33"/>
    <w:rsid w:val="00F41E8A"/>
    <w:rsid w:val="00F53BC0"/>
    <w:rsid w:val="00F76C90"/>
    <w:rsid w:val="00F826BC"/>
    <w:rsid w:val="00FA2F88"/>
    <w:rsid w:val="00FA4E2F"/>
    <w:rsid w:val="00FB1C6D"/>
    <w:rsid w:val="00FB48ED"/>
    <w:rsid w:val="00FE10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EBB"/>
  <w15:chartTrackingRefBased/>
  <w15:docId w15:val="{53E2F85D-A171-45FC-BA16-02896BB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AE0"/>
  </w:style>
  <w:style w:type="paragraph" w:styleId="NormalWeb">
    <w:name w:val="Normal (Web)"/>
    <w:basedOn w:val="Normal"/>
    <w:uiPriority w:val="99"/>
    <w:semiHidden/>
    <w:unhideWhenUsed/>
    <w:rsid w:val="004D3AE0"/>
    <w:rPr>
      <w:rFonts w:ascii="Times New Roman" w:hAnsi="Times New Roman" w:cs="Times New Roman"/>
      <w:sz w:val="24"/>
      <w:szCs w:val="24"/>
    </w:rPr>
  </w:style>
  <w:style w:type="paragraph" w:styleId="Piedepgina">
    <w:name w:val="footer"/>
    <w:basedOn w:val="Normal"/>
    <w:link w:val="PiedepginaCar"/>
    <w:uiPriority w:val="99"/>
    <w:unhideWhenUsed/>
    <w:rsid w:val="004D3AE0"/>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D3AE0"/>
    <w:rPr>
      <w:sz w:val="24"/>
      <w:lang w:val="es-MX"/>
    </w:rPr>
  </w:style>
  <w:style w:type="table" w:styleId="Tablaconcuadrcula">
    <w:name w:val="Table Grid"/>
    <w:basedOn w:val="Tablanormal"/>
    <w:uiPriority w:val="39"/>
    <w:qFormat/>
    <w:rsid w:val="004D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D3AE0"/>
    <w:pPr>
      <w:spacing w:after="0" w:line="240" w:lineRule="auto"/>
      <w:ind w:left="720"/>
      <w:contextualSpacing/>
    </w:pPr>
    <w:rPr>
      <w:sz w:val="24"/>
      <w:lang w:val="es-MX"/>
    </w:rPr>
  </w:style>
  <w:style w:type="paragraph" w:styleId="Sinespaciado">
    <w:name w:val="No Spacing"/>
    <w:uiPriority w:val="1"/>
    <w:qFormat/>
    <w:rsid w:val="004D3AE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D3AE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D3AE0"/>
    <w:pPr>
      <w:spacing w:after="0" w:line="240" w:lineRule="auto"/>
    </w:pPr>
    <w:rPr>
      <w:sz w:val="20"/>
      <w:szCs w:val="20"/>
      <w:lang w:val="es-MX"/>
    </w:rPr>
  </w:style>
  <w:style w:type="character" w:customStyle="1" w:styleId="TextonotapieCar1">
    <w:name w:val="Texto nota pie Car1"/>
    <w:basedOn w:val="Fuentedeprrafopredeter"/>
    <w:uiPriority w:val="99"/>
    <w:semiHidden/>
    <w:rsid w:val="004D3AE0"/>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3AE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
    <w:basedOn w:val="Fuentedeprrafopredeter"/>
    <w:link w:val="Appelnotedebasde"/>
    <w:uiPriority w:val="99"/>
    <w:unhideWhenUsed/>
    <w:qFormat/>
    <w:rsid w:val="004D3AE0"/>
    <w:rPr>
      <w:vertAlign w:val="superscript"/>
    </w:rPr>
  </w:style>
  <w:style w:type="character" w:styleId="Refdecomentario">
    <w:name w:val="annotation reference"/>
    <w:basedOn w:val="Fuentedeprrafopredeter"/>
    <w:uiPriority w:val="99"/>
    <w:semiHidden/>
    <w:unhideWhenUsed/>
    <w:rsid w:val="00890993"/>
    <w:rPr>
      <w:sz w:val="16"/>
      <w:szCs w:val="16"/>
    </w:rPr>
  </w:style>
  <w:style w:type="paragraph" w:styleId="Textocomentario">
    <w:name w:val="annotation text"/>
    <w:basedOn w:val="Normal"/>
    <w:link w:val="TextocomentarioCar"/>
    <w:uiPriority w:val="99"/>
    <w:semiHidden/>
    <w:unhideWhenUsed/>
    <w:rsid w:val="008909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0993"/>
    <w:rPr>
      <w:sz w:val="20"/>
      <w:szCs w:val="20"/>
    </w:rPr>
  </w:style>
  <w:style w:type="paragraph" w:styleId="Asuntodelcomentario">
    <w:name w:val="annotation subject"/>
    <w:basedOn w:val="Textocomentario"/>
    <w:next w:val="Textocomentario"/>
    <w:link w:val="AsuntodelcomentarioCar"/>
    <w:uiPriority w:val="99"/>
    <w:semiHidden/>
    <w:unhideWhenUsed/>
    <w:rsid w:val="00890993"/>
    <w:rPr>
      <w:b/>
      <w:bCs/>
    </w:rPr>
  </w:style>
  <w:style w:type="character" w:customStyle="1" w:styleId="AsuntodelcomentarioCar">
    <w:name w:val="Asunto del comentario Car"/>
    <w:basedOn w:val="TextocomentarioCar"/>
    <w:link w:val="Asuntodelcomentario"/>
    <w:uiPriority w:val="99"/>
    <w:semiHidden/>
    <w:rsid w:val="00890993"/>
    <w:rPr>
      <w:b/>
      <w:bCs/>
      <w:sz w:val="20"/>
      <w:szCs w:val="20"/>
    </w:rPr>
  </w:style>
  <w:style w:type="paragraph" w:customStyle="1" w:styleId="Appelnotedebasde">
    <w:name w:val="Appel note de bas de..."/>
    <w:basedOn w:val="Normal"/>
    <w:link w:val="Refdenotaalpie"/>
    <w:uiPriority w:val="99"/>
    <w:rsid w:val="005F0C8C"/>
    <w:pPr>
      <w:spacing w:line="240" w:lineRule="exact"/>
    </w:pPr>
    <w:rPr>
      <w:vertAlign w:val="superscript"/>
    </w:rPr>
  </w:style>
  <w:style w:type="table" w:customStyle="1" w:styleId="Tablaconcuadrcula1">
    <w:name w:val="Tabla con cuadrícula1"/>
    <w:basedOn w:val="Tablanormal"/>
    <w:next w:val="Tablaconcuadrcula"/>
    <w:uiPriority w:val="59"/>
    <w:qFormat/>
    <w:rsid w:val="00F0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3BC0"/>
    <w:pPr>
      <w:widowControl w:val="0"/>
      <w:autoSpaceDE w:val="0"/>
      <w:autoSpaceDN w:val="0"/>
      <w:spacing w:after="0" w:line="240" w:lineRule="auto"/>
      <w:ind w:left="10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53BC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D0C88-B272-404E-AE91-82391268B5DE}">
  <ds:schemaRefs>
    <ds:schemaRef ds:uri="http://schemas.microsoft.com/sharepoint/v3/contenttype/forms"/>
  </ds:schemaRefs>
</ds:datastoreItem>
</file>

<file path=customXml/itemProps2.xml><?xml version="1.0" encoding="utf-8"?>
<ds:datastoreItem xmlns:ds="http://schemas.openxmlformats.org/officeDocument/2006/customXml" ds:itemID="{64873C56-3E9C-4115-AE9A-0F203FB4444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C803E6A-F372-430C-A8E1-A70D916FD804}">
  <ds:schemaRefs>
    <ds:schemaRef ds:uri="http://schemas.openxmlformats.org/officeDocument/2006/bibliography"/>
  </ds:schemaRefs>
</ds:datastoreItem>
</file>

<file path=customXml/itemProps4.xml><?xml version="1.0" encoding="utf-8"?>
<ds:datastoreItem xmlns:ds="http://schemas.openxmlformats.org/officeDocument/2006/customXml" ds:itemID="{5F447931-9DF5-4871-8CDB-F8F73388C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10447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2</cp:revision>
  <dcterms:created xsi:type="dcterms:W3CDTF">2022-04-26T21:00:00Z</dcterms:created>
  <dcterms:modified xsi:type="dcterms:W3CDTF">2022-04-26T21:00:00Z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