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AFAF" w14:textId="77777777" w:rsidR="004A182D" w:rsidRPr="004A182D" w:rsidRDefault="004A182D" w:rsidP="004A182D">
      <w:pPr>
        <w:spacing w:after="0" w:line="240" w:lineRule="auto"/>
        <w:jc w:val="right"/>
        <w:rPr>
          <w:rFonts w:ascii="Arial" w:hAnsi="Arial" w:cs="Arial"/>
          <w:b/>
          <w:bCs/>
          <w:sz w:val="20"/>
          <w:szCs w:val="20"/>
          <w:lang w:val="es-ES_tradnl" w:eastAsia="es-ES"/>
        </w:rPr>
      </w:pPr>
      <w:bookmarkStart w:id="0" w:name="_Hlk28946138"/>
      <w:bookmarkStart w:id="1" w:name="_Hlk29548183"/>
      <w:r w:rsidRPr="004A182D">
        <w:rPr>
          <w:rFonts w:ascii="Arial" w:hAnsi="Arial" w:cs="Arial"/>
          <w:b/>
          <w:bCs/>
          <w:sz w:val="20"/>
          <w:szCs w:val="20"/>
          <w:lang w:val="es-ES_tradnl" w:eastAsia="es-ES"/>
        </w:rPr>
        <w:tab/>
      </w:r>
      <w:r w:rsidRPr="004A182D">
        <w:rPr>
          <w:rFonts w:ascii="Arial" w:hAnsi="Arial" w:cs="Arial"/>
          <w:b/>
          <w:bCs/>
          <w:sz w:val="16"/>
          <w:szCs w:val="16"/>
          <w:lang w:val="es-ES_tradnl" w:eastAsia="es-ES"/>
        </w:rPr>
        <w:t>CCE-DES-FM-17</w:t>
      </w:r>
    </w:p>
    <w:p w14:paraId="6C38B4F2" w14:textId="77777777" w:rsidR="004A182D" w:rsidRPr="004A182D" w:rsidRDefault="004A182D" w:rsidP="004A182D">
      <w:pPr>
        <w:spacing w:after="0" w:line="240" w:lineRule="auto"/>
        <w:jc w:val="right"/>
        <w:rPr>
          <w:rFonts w:ascii="Arial" w:hAnsi="Arial" w:cs="Arial"/>
          <w:b/>
          <w:bCs/>
          <w:color w:val="000000" w:themeColor="text1"/>
          <w:sz w:val="20"/>
          <w:szCs w:val="20"/>
          <w:lang w:val="es-ES"/>
        </w:rPr>
      </w:pPr>
    </w:p>
    <w:p w14:paraId="44C75CC5" w14:textId="3B3FF838" w:rsidR="004A182D" w:rsidRPr="004A182D" w:rsidRDefault="004A182D" w:rsidP="00860ACA">
      <w:pPr>
        <w:spacing w:after="0" w:line="276" w:lineRule="auto"/>
        <w:jc w:val="both"/>
        <w:rPr>
          <w:rFonts w:ascii="Arial" w:eastAsia="Calibri" w:hAnsi="Arial" w:cs="Arial"/>
          <w:bCs/>
          <w:color w:val="000000" w:themeColor="text1"/>
          <w:sz w:val="20"/>
          <w:szCs w:val="20"/>
          <w:lang w:val="es-ES_tradnl"/>
        </w:rPr>
      </w:pPr>
      <w:r w:rsidRPr="004A182D">
        <w:rPr>
          <w:rFonts w:ascii="Arial" w:hAnsi="Arial" w:cs="Arial"/>
          <w:b/>
          <w:bCs/>
          <w:color w:val="000000" w:themeColor="text1"/>
          <w:lang w:val="es-ES"/>
        </w:rPr>
        <w:t xml:space="preserve">DOCUMENTOS TIPO – Interventoría </w:t>
      </w:r>
      <w:r w:rsidRPr="004A182D">
        <w:rPr>
          <w:rFonts w:ascii="Arial" w:eastAsia="Calibri" w:hAnsi="Arial" w:cs="Arial"/>
          <w:b/>
          <w:bCs/>
          <w:color w:val="000000" w:themeColor="text1"/>
          <w:lang w:val="es-ES_tradnl"/>
        </w:rPr>
        <w:t xml:space="preserve">de obra pública de infraestructura de transporte </w:t>
      </w:r>
      <w:r w:rsidR="00860ACA">
        <w:rPr>
          <w:rFonts w:ascii="Arial" w:eastAsia="Calibri" w:hAnsi="Arial" w:cs="Arial"/>
          <w:b/>
          <w:bCs/>
          <w:color w:val="000000" w:themeColor="text1"/>
          <w:lang w:val="es-ES_tradnl"/>
        </w:rPr>
        <w:t>– Fundamentos normativos</w:t>
      </w:r>
    </w:p>
    <w:p w14:paraId="2F3EC0EB" w14:textId="2FA4442B" w:rsidR="004A182D" w:rsidRDefault="004A182D" w:rsidP="00E63E71">
      <w:pPr>
        <w:spacing w:after="0" w:line="240" w:lineRule="auto"/>
        <w:rPr>
          <w:rFonts w:ascii="Arial" w:eastAsia="Calibri" w:hAnsi="Arial" w:cs="Arial"/>
          <w:bCs/>
          <w:color w:val="000000" w:themeColor="text1"/>
          <w:sz w:val="20"/>
          <w:szCs w:val="20"/>
          <w:lang w:val="es-ES_tradnl"/>
        </w:rPr>
      </w:pPr>
    </w:p>
    <w:p w14:paraId="0BD74050" w14:textId="77777777" w:rsidR="004C1856" w:rsidRPr="004C1856" w:rsidRDefault="004C1856" w:rsidP="004C1856">
      <w:pPr>
        <w:spacing w:line="240" w:lineRule="auto"/>
        <w:jc w:val="both"/>
        <w:rPr>
          <w:rFonts w:ascii="Times New Roman" w:hAnsi="Times New Roman" w:cs="Times New Roman"/>
          <w:sz w:val="20"/>
          <w:szCs w:val="20"/>
          <w:lang w:eastAsia="es-MX"/>
        </w:rPr>
      </w:pPr>
      <w:r w:rsidRPr="004C1856">
        <w:rPr>
          <w:rFonts w:ascii="Arial" w:eastAsia="Calibri" w:hAnsi="Arial" w:cs="Arial"/>
          <w:color w:val="000000"/>
          <w:sz w:val="20"/>
          <w:szCs w:val="20"/>
          <w:lang w:val="es-ES_tradnl"/>
        </w:rPr>
        <w:t xml:space="preserve">[…] </w:t>
      </w:r>
      <w:r w:rsidRPr="004C1856">
        <w:rPr>
          <w:rFonts w:ascii="Arial" w:hAnsi="Arial" w:cs="Arial"/>
          <w:color w:val="0D0D0D"/>
          <w:sz w:val="20"/>
          <w:szCs w:val="20"/>
          <w:bdr w:val="none" w:sz="0" w:space="0" w:color="auto" w:frame="1"/>
          <w:lang w:eastAsia="es-CO"/>
        </w:rPr>
        <w:t>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  </w:t>
      </w:r>
      <w:r w:rsidRPr="004C1856">
        <w:rPr>
          <w:rFonts w:ascii="Times New Roman" w:hAnsi="Times New Roman" w:cs="Times New Roman"/>
          <w:sz w:val="20"/>
          <w:szCs w:val="20"/>
          <w:lang w:eastAsia="es-MX"/>
        </w:rPr>
        <w:t xml:space="preserve"> </w:t>
      </w:r>
    </w:p>
    <w:p w14:paraId="5BCB04EB" w14:textId="77777777" w:rsidR="004C1856" w:rsidRPr="004C1856" w:rsidRDefault="004C1856" w:rsidP="004C1856">
      <w:pPr>
        <w:spacing w:before="120" w:after="0" w:line="240" w:lineRule="auto"/>
        <w:jc w:val="both"/>
        <w:rPr>
          <w:rFonts w:ascii="Arial" w:eastAsia="Calibri" w:hAnsi="Arial" w:cs="Arial"/>
          <w:color w:val="000000" w:themeColor="text1"/>
          <w:sz w:val="20"/>
          <w:szCs w:val="20"/>
          <w:lang w:val="es-ES_tradnl" w:eastAsia="es-ES"/>
        </w:rPr>
      </w:pPr>
      <w:r w:rsidRPr="004C1856">
        <w:rPr>
          <w:rFonts w:ascii="Arial" w:eastAsia="Calibri" w:hAnsi="Arial" w:cs="Arial"/>
          <w:color w:val="000000" w:themeColor="text1"/>
          <w:sz w:val="20"/>
          <w:szCs w:val="20"/>
          <w:lang w:val="es-ES_tradnl" w:eastAsia="es-ES"/>
        </w:rPr>
        <w:t>[…]</w:t>
      </w:r>
    </w:p>
    <w:p w14:paraId="16888CA2" w14:textId="77777777" w:rsidR="004C1856" w:rsidRPr="004C1856" w:rsidRDefault="004C1856" w:rsidP="004C1856">
      <w:pPr>
        <w:spacing w:before="120" w:after="0" w:line="240" w:lineRule="auto"/>
        <w:jc w:val="both"/>
        <w:rPr>
          <w:rFonts w:ascii="Arial" w:eastAsia="Calibri" w:hAnsi="Arial" w:cs="Arial"/>
          <w:color w:val="000000" w:themeColor="text1"/>
          <w:sz w:val="20"/>
          <w:szCs w:val="20"/>
          <w:lang w:val="es-ES_tradnl" w:eastAsia="es-ES"/>
        </w:rPr>
      </w:pPr>
      <w:r w:rsidRPr="004C1856">
        <w:rPr>
          <w:rFonts w:ascii="Arial" w:eastAsia="Calibri" w:hAnsi="Arial" w:cs="Arial"/>
          <w:color w:val="000000" w:themeColor="text1"/>
          <w:sz w:val="20"/>
          <w:szCs w:val="20"/>
          <w:lang w:val="es-ES_tradnl" w:eastAsia="es-ES"/>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w:t>
      </w:r>
    </w:p>
    <w:p w14:paraId="5C722D86" w14:textId="77777777" w:rsidR="00550602" w:rsidRDefault="00550602" w:rsidP="004A182D">
      <w:pPr>
        <w:spacing w:after="0" w:line="276" w:lineRule="auto"/>
        <w:jc w:val="both"/>
        <w:rPr>
          <w:rFonts w:ascii="Arial" w:eastAsia="Calibri" w:hAnsi="Arial" w:cs="Arial"/>
          <w:color w:val="000000"/>
          <w:lang w:val="es-ES_tradnl"/>
        </w:rPr>
      </w:pPr>
    </w:p>
    <w:p w14:paraId="157BB890" w14:textId="26210965" w:rsidR="004A182D" w:rsidRPr="004A182D" w:rsidRDefault="004A182D" w:rsidP="004A182D">
      <w:pPr>
        <w:spacing w:after="0" w:line="276" w:lineRule="auto"/>
        <w:jc w:val="both"/>
        <w:rPr>
          <w:rFonts w:ascii="Arial" w:eastAsia="Calibri" w:hAnsi="Arial" w:cs="Arial"/>
          <w:b/>
          <w:bCs/>
          <w:color w:val="000000" w:themeColor="text1"/>
          <w:lang w:val="es-ES_tradnl"/>
        </w:rPr>
      </w:pPr>
      <w:r w:rsidRPr="004A182D">
        <w:rPr>
          <w:rFonts w:ascii="Arial" w:eastAsia="Calibri" w:hAnsi="Arial" w:cs="Arial"/>
          <w:b/>
          <w:bCs/>
          <w:color w:val="000000" w:themeColor="text1"/>
          <w:lang w:val="es-ES_tradnl"/>
        </w:rPr>
        <w:t xml:space="preserve">DOCUMENTOS TIPO – </w:t>
      </w:r>
      <w:r w:rsidRPr="004A182D">
        <w:rPr>
          <w:rFonts w:ascii="Arial" w:hAnsi="Arial" w:cs="Arial"/>
          <w:b/>
          <w:bCs/>
          <w:color w:val="000000" w:themeColor="text1"/>
          <w:lang w:val="es-ES"/>
        </w:rPr>
        <w:t xml:space="preserve">Interventoría </w:t>
      </w:r>
      <w:r w:rsidRPr="004A182D">
        <w:rPr>
          <w:rFonts w:ascii="Arial" w:eastAsia="Calibri" w:hAnsi="Arial" w:cs="Arial"/>
          <w:b/>
          <w:bCs/>
          <w:color w:val="000000" w:themeColor="text1"/>
          <w:lang w:val="es-ES_tradnl"/>
        </w:rPr>
        <w:t>de obra pública de infraestructura de transporte – Subsanabilidad – Experiencia mínima habilitante</w:t>
      </w:r>
    </w:p>
    <w:p w14:paraId="0A1339D8" w14:textId="77777777" w:rsidR="00307AF7" w:rsidRPr="003F26B7" w:rsidRDefault="004A182D" w:rsidP="00307AF7">
      <w:pPr>
        <w:spacing w:after="120" w:line="240" w:lineRule="auto"/>
        <w:jc w:val="both"/>
        <w:rPr>
          <w:rFonts w:ascii="Arial" w:hAnsi="Arial" w:cs="Arial"/>
          <w:color w:val="000000" w:themeColor="text1"/>
          <w:sz w:val="20"/>
          <w:szCs w:val="20"/>
          <w:lang w:val="es-ES_tradnl"/>
        </w:rPr>
      </w:pPr>
      <w:r w:rsidRPr="004A182D">
        <w:rPr>
          <w:rFonts w:ascii="Arial" w:eastAsia="Calibri" w:hAnsi="Arial" w:cs="Arial"/>
          <w:bCs/>
          <w:color w:val="000000" w:themeColor="text1"/>
          <w:sz w:val="20"/>
          <w:szCs w:val="20"/>
          <w:lang w:val="es-ES_tradnl"/>
        </w:rPr>
        <w:br/>
      </w:r>
      <w:r w:rsidR="00307AF7" w:rsidRPr="003F26B7">
        <w:rPr>
          <w:rFonts w:ascii="Arial" w:hAnsi="Arial" w:cs="Arial"/>
          <w:color w:val="000000" w:themeColor="text1"/>
          <w:sz w:val="20"/>
          <w:szCs w:val="20"/>
          <w:lang w:val="es-ES_tradnl"/>
        </w:rPr>
        <w:t>[…] de acuerdo con el parágrafo 1 del artículo 5 de la Ley 1150 de 2007, todos aquellos requisitos de la propuesta que no afecten la asignación de puntaje podrán subsanarse, regla de donde se deriva la imposibilidad de subsanar aquellos que incidan en la asignación de puntaje. No obstante, debe destacarse que la experiencia del proponente es también un factor que otorga puntaje, conforme a las reglas del numeral 4.1 del Documento Base, las cuales permiten valorar la totalidad de la experiencia acreditada por los proponentes que cumplieron con la experiencia mínima habilitante, y asignar un puntaje en función de tal valoración. Teniendo en cuenta lo anterior,</w:t>
      </w:r>
      <w:r w:rsidR="00307AF7" w:rsidRPr="003F26B7" w:rsidDel="006D5A9A">
        <w:rPr>
          <w:rFonts w:ascii="Arial" w:hAnsi="Arial" w:cs="Arial"/>
          <w:color w:val="000000" w:themeColor="text1"/>
          <w:sz w:val="20"/>
          <w:szCs w:val="20"/>
          <w:lang w:val="es-ES_tradnl"/>
        </w:rPr>
        <w:t xml:space="preserve"> </w:t>
      </w:r>
      <w:r w:rsidR="00307AF7" w:rsidRPr="003F26B7">
        <w:rPr>
          <w:rFonts w:ascii="Arial" w:hAnsi="Arial" w:cs="Arial"/>
          <w:color w:val="000000" w:themeColor="text1"/>
          <w:sz w:val="20"/>
          <w:szCs w:val="20"/>
          <w:lang w:val="es-ES_tradnl"/>
        </w:rPr>
        <w:t xml:space="preserve">en principio, se presentaría una dificultad para la subsanación de la experiencia mínima habilitante, ya que ella hacer parte de la experiencia en función de la cual se otorga puntaje. </w:t>
      </w:r>
    </w:p>
    <w:p w14:paraId="1E9ED9D4" w14:textId="77777777" w:rsidR="00307AF7" w:rsidRPr="003F26B7" w:rsidRDefault="00307AF7" w:rsidP="00307AF7">
      <w:pPr>
        <w:spacing w:after="120" w:line="240" w:lineRule="auto"/>
        <w:jc w:val="both"/>
        <w:rPr>
          <w:rFonts w:ascii="Arial" w:eastAsia="Calibri" w:hAnsi="Arial" w:cs="Arial"/>
          <w:bCs/>
          <w:color w:val="000000" w:themeColor="text1"/>
          <w:sz w:val="20"/>
          <w:szCs w:val="20"/>
          <w:lang w:val="es-ES_tradnl"/>
        </w:rPr>
      </w:pPr>
      <w:r w:rsidRPr="003F26B7">
        <w:rPr>
          <w:rFonts w:ascii="Arial" w:hAnsi="Arial" w:cs="Arial"/>
          <w:color w:val="000000" w:themeColor="text1"/>
          <w:sz w:val="20"/>
          <w:szCs w:val="20"/>
          <w:lang w:val="es-ES_tradnl"/>
        </w:rPr>
        <w:t>Debido a lo anterior, la Agencia al elaborar el documento tipo optó por ser garantista en cuanto a la posibilidad de subsanar el requisito habilitante de experiencia; pero evitando incurrir en la prohibición de permitir la subsanación de requisitos de la propuesta que incidieran en la asignación de puntaje. En este sentido, como se desprende de la literalidad del numeral 3.8.1, la subsanabilidad de la experiencia solo se presenta en los casos en que con los contratos aportados por el proponente no se logre cumplir con la experiencia mínima habilitante, esto es, «</w:t>
      </w:r>
      <w:r w:rsidRPr="003F26B7">
        <w:rPr>
          <w:rFonts w:ascii="Arial" w:eastAsia="Calibri" w:hAnsi="Arial" w:cs="Arial"/>
          <w:bCs/>
          <w:color w:val="000000" w:themeColor="text1"/>
          <w:sz w:val="20"/>
          <w:szCs w:val="20"/>
          <w:lang w:val="es-ES_tradnl"/>
        </w:rPr>
        <w:t xml:space="preserve">En caso que con los contratos aportados no se acredite este porcentaje mínimo, la entidad solicitará al proponente que subsane su oferta en los términos del numeral 1.6». De esta manera, la subsanabilidad únicamente tendrá por efecto habilitar al oferente cuando acredite la experiencia que se solicita como requisito habilitante, permitiendo que en el evento en que se subsane, sea susceptible de adjudicársele el contrato, </w:t>
      </w:r>
      <w:r w:rsidRPr="003F26B7">
        <w:rPr>
          <w:rFonts w:ascii="Arial" w:eastAsia="Calibri" w:hAnsi="Arial" w:cs="Arial"/>
          <w:bCs/>
          <w:color w:val="000000" w:themeColor="text1"/>
          <w:sz w:val="20"/>
          <w:szCs w:val="20"/>
          <w:lang w:val="es-ES_tradnl"/>
        </w:rPr>
        <w:lastRenderedPageBreak/>
        <w:t>evitando que, eventualmente, el proceso tenga que declararse desierto, en los casos en que tal proponente se convierta en el único habilitado.</w:t>
      </w:r>
    </w:p>
    <w:p w14:paraId="4F1762FF" w14:textId="77777777" w:rsidR="00307AF7" w:rsidRPr="003F26B7" w:rsidRDefault="00307AF7" w:rsidP="00307AF7">
      <w:pPr>
        <w:spacing w:after="120" w:line="240" w:lineRule="auto"/>
        <w:jc w:val="both"/>
        <w:rPr>
          <w:rFonts w:ascii="Arial" w:eastAsia="Calibri" w:hAnsi="Arial" w:cs="Arial"/>
          <w:bCs/>
          <w:color w:val="000000" w:themeColor="text1"/>
          <w:sz w:val="20"/>
          <w:szCs w:val="20"/>
          <w:lang w:val="es-ES_tradnl"/>
        </w:rPr>
      </w:pPr>
      <w:r w:rsidRPr="003F26B7">
        <w:rPr>
          <w:rFonts w:ascii="Arial" w:eastAsia="Calibri" w:hAnsi="Arial" w:cs="Arial"/>
          <w:bCs/>
          <w:color w:val="000000" w:themeColor="text1"/>
          <w:sz w:val="20"/>
          <w:szCs w:val="20"/>
          <w:lang w:val="es-ES_tradnl"/>
        </w:rPr>
        <w:t>De esta manera, la subsanación procede únicamente con la finalidad de habilitarse en el procedimiento de selección, pero no para subsanar la experiencia incidiendo en la asignación de puntaje. Por este motivo, se dispone que cuando el proponente tenga que subsanar la experiencia por no cumplir el requisito mínimo habilitante se le asignarán cero puntos por el criterio de asignación de puntaje «experiencia del proponente». Esta regulación se ajusta al ordenamiento, toda vez que si se permitiera la subsanación de la experiencia para efectos de la asignación de puntaje se estaría excediendo la regla del parágrafo 1 del artículo 5 de la Ley 1150 de 2007.</w:t>
      </w:r>
    </w:p>
    <w:p w14:paraId="4F3DA754" w14:textId="77777777" w:rsidR="00307AF7" w:rsidRPr="003F26B7" w:rsidRDefault="00307AF7" w:rsidP="00307AF7">
      <w:pPr>
        <w:spacing w:after="120" w:line="240" w:lineRule="auto"/>
        <w:jc w:val="both"/>
        <w:rPr>
          <w:rFonts w:ascii="Arial" w:eastAsia="Calibri" w:hAnsi="Arial" w:cs="Arial"/>
          <w:bCs/>
          <w:color w:val="000000" w:themeColor="text1"/>
          <w:sz w:val="20"/>
          <w:szCs w:val="20"/>
          <w:lang w:val="es-ES_tradnl"/>
        </w:rPr>
      </w:pPr>
      <w:r w:rsidRPr="003F26B7">
        <w:rPr>
          <w:rFonts w:ascii="Arial" w:eastAsia="Calibri" w:hAnsi="Arial" w:cs="Arial"/>
          <w:bCs/>
          <w:color w:val="000000" w:themeColor="text1"/>
          <w:sz w:val="20"/>
          <w:szCs w:val="20"/>
          <w:lang w:val="es-ES_tradnl"/>
        </w:rPr>
        <w:t>En armonía con lo anterior y con la regla precisa de subsanabilidad establecida en el documento tipo de interventoría, en los supuestos en que el proponente cumpla con el requisito mínimo de experiencia habilitante, no será posible subsanar aspectos relacionados con la experiencia, debido a que ello implicaría subsanar un requisito que incidiría en la asignación de puntaje.</w:t>
      </w:r>
    </w:p>
    <w:p w14:paraId="61119127" w14:textId="43DCF053" w:rsidR="00464F7E" w:rsidRDefault="00464F7E" w:rsidP="00464F7E">
      <w:pPr>
        <w:spacing w:after="0"/>
        <w:rPr>
          <w:rFonts w:ascii="Arial" w:hAnsi="Arial" w:cs="Arial"/>
          <w:szCs w:val="20"/>
        </w:rPr>
      </w:pPr>
    </w:p>
    <w:p w14:paraId="0DFC7187" w14:textId="289C0590" w:rsidR="00307AF7" w:rsidRDefault="00307AF7" w:rsidP="00464F7E">
      <w:pPr>
        <w:spacing w:after="0"/>
        <w:rPr>
          <w:rFonts w:ascii="Arial" w:hAnsi="Arial" w:cs="Arial"/>
          <w:szCs w:val="20"/>
        </w:rPr>
      </w:pPr>
    </w:p>
    <w:p w14:paraId="048E1DAA" w14:textId="5B14A6A6" w:rsidR="00307AF7" w:rsidRDefault="00307AF7" w:rsidP="00464F7E">
      <w:pPr>
        <w:spacing w:after="0"/>
        <w:rPr>
          <w:rFonts w:ascii="Arial" w:hAnsi="Arial" w:cs="Arial"/>
          <w:szCs w:val="20"/>
        </w:rPr>
      </w:pPr>
    </w:p>
    <w:p w14:paraId="424A085E" w14:textId="2D2FE4BA" w:rsidR="00307AF7" w:rsidRDefault="00307AF7" w:rsidP="00464F7E">
      <w:pPr>
        <w:spacing w:after="0"/>
        <w:rPr>
          <w:rFonts w:ascii="Arial" w:hAnsi="Arial" w:cs="Arial"/>
          <w:szCs w:val="20"/>
        </w:rPr>
      </w:pPr>
    </w:p>
    <w:p w14:paraId="21668099" w14:textId="74603CEE" w:rsidR="00307AF7" w:rsidRDefault="00307AF7" w:rsidP="00464F7E">
      <w:pPr>
        <w:spacing w:after="0"/>
        <w:rPr>
          <w:rFonts w:ascii="Arial" w:hAnsi="Arial" w:cs="Arial"/>
          <w:szCs w:val="20"/>
        </w:rPr>
      </w:pPr>
    </w:p>
    <w:p w14:paraId="2B0E5E03" w14:textId="61397420" w:rsidR="00307AF7" w:rsidRDefault="00307AF7" w:rsidP="00464F7E">
      <w:pPr>
        <w:spacing w:after="0"/>
        <w:rPr>
          <w:rFonts w:ascii="Arial" w:hAnsi="Arial" w:cs="Arial"/>
          <w:szCs w:val="20"/>
        </w:rPr>
      </w:pPr>
    </w:p>
    <w:p w14:paraId="7428E410" w14:textId="5FC21DFD" w:rsidR="00307AF7" w:rsidRDefault="00307AF7" w:rsidP="00464F7E">
      <w:pPr>
        <w:spacing w:after="0"/>
        <w:rPr>
          <w:rFonts w:ascii="Arial" w:hAnsi="Arial" w:cs="Arial"/>
          <w:szCs w:val="20"/>
        </w:rPr>
      </w:pPr>
    </w:p>
    <w:p w14:paraId="35056D92" w14:textId="2C493AC7" w:rsidR="00307AF7" w:rsidRDefault="00307AF7" w:rsidP="00464F7E">
      <w:pPr>
        <w:spacing w:after="0"/>
        <w:rPr>
          <w:rFonts w:ascii="Arial" w:hAnsi="Arial" w:cs="Arial"/>
          <w:szCs w:val="20"/>
        </w:rPr>
      </w:pPr>
    </w:p>
    <w:p w14:paraId="1060BBBD" w14:textId="6A0EF429" w:rsidR="00307AF7" w:rsidRDefault="00307AF7" w:rsidP="00464F7E">
      <w:pPr>
        <w:spacing w:after="0"/>
        <w:rPr>
          <w:rFonts w:ascii="Arial" w:hAnsi="Arial" w:cs="Arial"/>
          <w:szCs w:val="20"/>
        </w:rPr>
      </w:pPr>
    </w:p>
    <w:p w14:paraId="5AB9B311" w14:textId="21177BC7" w:rsidR="00307AF7" w:rsidRDefault="00307AF7" w:rsidP="00464F7E">
      <w:pPr>
        <w:spacing w:after="0"/>
        <w:rPr>
          <w:rFonts w:ascii="Arial" w:hAnsi="Arial" w:cs="Arial"/>
          <w:szCs w:val="20"/>
        </w:rPr>
      </w:pPr>
    </w:p>
    <w:p w14:paraId="1CF44AA6" w14:textId="62E09579" w:rsidR="00307AF7" w:rsidRDefault="00307AF7" w:rsidP="00464F7E">
      <w:pPr>
        <w:spacing w:after="0"/>
        <w:rPr>
          <w:rFonts w:ascii="Arial" w:hAnsi="Arial" w:cs="Arial"/>
          <w:szCs w:val="20"/>
        </w:rPr>
      </w:pPr>
    </w:p>
    <w:p w14:paraId="5CD3349F" w14:textId="2D96A6A8" w:rsidR="00307AF7" w:rsidRDefault="00307AF7" w:rsidP="00464F7E">
      <w:pPr>
        <w:spacing w:after="0"/>
        <w:rPr>
          <w:rFonts w:ascii="Arial" w:hAnsi="Arial" w:cs="Arial"/>
          <w:szCs w:val="20"/>
        </w:rPr>
      </w:pPr>
    </w:p>
    <w:p w14:paraId="07844E48" w14:textId="79BBCC10" w:rsidR="00307AF7" w:rsidRDefault="00307AF7" w:rsidP="00464F7E">
      <w:pPr>
        <w:spacing w:after="0"/>
        <w:rPr>
          <w:rFonts w:ascii="Arial" w:hAnsi="Arial" w:cs="Arial"/>
          <w:szCs w:val="20"/>
        </w:rPr>
      </w:pPr>
    </w:p>
    <w:p w14:paraId="34906C96" w14:textId="23A28A30" w:rsidR="00307AF7" w:rsidRDefault="00307AF7" w:rsidP="00464F7E">
      <w:pPr>
        <w:spacing w:after="0"/>
        <w:rPr>
          <w:rFonts w:ascii="Arial" w:hAnsi="Arial" w:cs="Arial"/>
          <w:szCs w:val="20"/>
        </w:rPr>
      </w:pPr>
    </w:p>
    <w:p w14:paraId="2D9C2928" w14:textId="5AE3B594" w:rsidR="00307AF7" w:rsidRDefault="00307AF7" w:rsidP="00464F7E">
      <w:pPr>
        <w:spacing w:after="0"/>
        <w:rPr>
          <w:rFonts w:ascii="Arial" w:hAnsi="Arial" w:cs="Arial"/>
          <w:szCs w:val="20"/>
        </w:rPr>
      </w:pPr>
    </w:p>
    <w:p w14:paraId="6CB9C4A2" w14:textId="2DB95AD6" w:rsidR="00307AF7" w:rsidRDefault="00307AF7" w:rsidP="00464F7E">
      <w:pPr>
        <w:spacing w:after="0"/>
        <w:rPr>
          <w:rFonts w:ascii="Arial" w:hAnsi="Arial" w:cs="Arial"/>
          <w:szCs w:val="20"/>
        </w:rPr>
      </w:pPr>
    </w:p>
    <w:p w14:paraId="3ADE9172" w14:textId="077E83C1" w:rsidR="00307AF7" w:rsidRDefault="00307AF7" w:rsidP="00464F7E">
      <w:pPr>
        <w:spacing w:after="0"/>
        <w:rPr>
          <w:rFonts w:ascii="Arial" w:hAnsi="Arial" w:cs="Arial"/>
          <w:szCs w:val="20"/>
        </w:rPr>
      </w:pPr>
    </w:p>
    <w:p w14:paraId="1B914594" w14:textId="2F26F6AA" w:rsidR="00307AF7" w:rsidRDefault="00307AF7" w:rsidP="00464F7E">
      <w:pPr>
        <w:spacing w:after="0"/>
        <w:rPr>
          <w:rFonts w:ascii="Arial" w:hAnsi="Arial" w:cs="Arial"/>
          <w:szCs w:val="20"/>
        </w:rPr>
      </w:pPr>
    </w:p>
    <w:p w14:paraId="04D19E92" w14:textId="78BCED19" w:rsidR="00307AF7" w:rsidRDefault="00307AF7" w:rsidP="00464F7E">
      <w:pPr>
        <w:spacing w:after="0"/>
        <w:rPr>
          <w:rFonts w:ascii="Arial" w:hAnsi="Arial" w:cs="Arial"/>
          <w:szCs w:val="20"/>
        </w:rPr>
      </w:pPr>
    </w:p>
    <w:p w14:paraId="02E0E2C7" w14:textId="0868A82A" w:rsidR="00307AF7" w:rsidRDefault="00307AF7" w:rsidP="00464F7E">
      <w:pPr>
        <w:spacing w:after="0"/>
        <w:rPr>
          <w:rFonts w:ascii="Arial" w:hAnsi="Arial" w:cs="Arial"/>
          <w:szCs w:val="20"/>
        </w:rPr>
      </w:pPr>
    </w:p>
    <w:p w14:paraId="32080BC2" w14:textId="79B7DA4B" w:rsidR="00307AF7" w:rsidRDefault="00307AF7" w:rsidP="00464F7E">
      <w:pPr>
        <w:spacing w:after="0"/>
        <w:rPr>
          <w:rFonts w:ascii="Arial" w:hAnsi="Arial" w:cs="Arial"/>
          <w:szCs w:val="20"/>
        </w:rPr>
      </w:pPr>
    </w:p>
    <w:p w14:paraId="1D3E757C" w14:textId="002DC615" w:rsidR="00307AF7" w:rsidRDefault="00307AF7" w:rsidP="00464F7E">
      <w:pPr>
        <w:spacing w:after="0"/>
        <w:rPr>
          <w:rFonts w:ascii="Arial" w:hAnsi="Arial" w:cs="Arial"/>
          <w:szCs w:val="20"/>
        </w:rPr>
      </w:pPr>
    </w:p>
    <w:p w14:paraId="7714B14C" w14:textId="6FE2AE1D" w:rsidR="00307AF7" w:rsidRDefault="00307AF7" w:rsidP="00464F7E">
      <w:pPr>
        <w:spacing w:after="0"/>
        <w:rPr>
          <w:rFonts w:ascii="Arial" w:hAnsi="Arial" w:cs="Arial"/>
          <w:szCs w:val="20"/>
        </w:rPr>
      </w:pPr>
    </w:p>
    <w:p w14:paraId="663E8059" w14:textId="06CED33E" w:rsidR="00307AF7" w:rsidRDefault="00307AF7" w:rsidP="00464F7E">
      <w:pPr>
        <w:spacing w:after="0"/>
        <w:rPr>
          <w:rFonts w:ascii="Arial" w:hAnsi="Arial" w:cs="Arial"/>
          <w:szCs w:val="20"/>
        </w:rPr>
      </w:pPr>
    </w:p>
    <w:p w14:paraId="478A9D22" w14:textId="2BBAF041" w:rsidR="00307AF7" w:rsidRDefault="00307AF7" w:rsidP="00464F7E">
      <w:pPr>
        <w:spacing w:after="0"/>
        <w:rPr>
          <w:rFonts w:ascii="Arial" w:hAnsi="Arial" w:cs="Arial"/>
          <w:szCs w:val="20"/>
        </w:rPr>
      </w:pPr>
    </w:p>
    <w:p w14:paraId="3D9FAB5B" w14:textId="317D8F50" w:rsidR="00307AF7" w:rsidRDefault="00307AF7" w:rsidP="00464F7E">
      <w:pPr>
        <w:spacing w:after="0"/>
        <w:rPr>
          <w:rFonts w:ascii="Arial" w:hAnsi="Arial" w:cs="Arial"/>
          <w:szCs w:val="20"/>
        </w:rPr>
      </w:pPr>
    </w:p>
    <w:p w14:paraId="38EFADF4" w14:textId="77777777" w:rsidR="00307AF7" w:rsidRDefault="00307AF7" w:rsidP="00464F7E">
      <w:pPr>
        <w:spacing w:after="0"/>
        <w:rPr>
          <w:rFonts w:ascii="Arial" w:hAnsi="Arial" w:cs="Arial"/>
          <w:szCs w:val="20"/>
        </w:rPr>
      </w:pPr>
    </w:p>
    <w:p w14:paraId="29CB4FCF" w14:textId="12857353" w:rsidR="004A182D" w:rsidRDefault="000233A8" w:rsidP="000233A8">
      <w:pPr>
        <w:spacing w:after="0"/>
        <w:jc w:val="right"/>
        <w:rPr>
          <w:rFonts w:ascii="Arial" w:eastAsia="Calibri" w:hAnsi="Arial" w:cs="Arial"/>
        </w:rPr>
      </w:pPr>
      <w:r>
        <w:rPr>
          <w:noProof/>
        </w:rPr>
        <w:lastRenderedPageBreak/>
        <w:drawing>
          <wp:inline distT="0" distB="0" distL="0" distR="0" wp14:anchorId="24A5EF93" wp14:editId="3554913D">
            <wp:extent cx="2617843" cy="715992"/>
            <wp:effectExtent l="0" t="0" r="0" b="8255"/>
            <wp:docPr id="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pic:cNvPicPr/>
                  </pic:nvPicPr>
                  <pic:blipFill rotWithShape="1">
                    <a:blip r:embed="rId11"/>
                    <a:srcRect l="61945" t="24838" r="20067" b="67291"/>
                    <a:stretch/>
                  </pic:blipFill>
                  <pic:spPr bwMode="auto">
                    <a:xfrm>
                      <a:off x="0" y="0"/>
                      <a:ext cx="2642443" cy="722720"/>
                    </a:xfrm>
                    <a:prstGeom prst="rect">
                      <a:avLst/>
                    </a:prstGeom>
                    <a:ln>
                      <a:noFill/>
                    </a:ln>
                    <a:extLst>
                      <a:ext uri="{53640926-AAD7-44D8-BBD7-CCE9431645EC}">
                        <a14:shadowObscured xmlns:a14="http://schemas.microsoft.com/office/drawing/2010/main"/>
                      </a:ext>
                    </a:extLst>
                  </pic:spPr>
                </pic:pic>
              </a:graphicData>
            </a:graphic>
          </wp:inline>
        </w:drawing>
      </w:r>
    </w:p>
    <w:p w14:paraId="777241B2" w14:textId="0854AB27" w:rsidR="00464F7E" w:rsidRPr="000233A8" w:rsidRDefault="00464F7E" w:rsidP="00464F7E">
      <w:pPr>
        <w:spacing w:after="0"/>
        <w:rPr>
          <w:rFonts w:ascii="Arial" w:eastAsia="Calibri" w:hAnsi="Arial" w:cs="Arial"/>
        </w:rPr>
      </w:pPr>
    </w:p>
    <w:p w14:paraId="3336B06A" w14:textId="5173ACFC" w:rsidR="000233A8" w:rsidRPr="000233A8" w:rsidRDefault="000233A8" w:rsidP="00464F7E">
      <w:pPr>
        <w:spacing w:after="0"/>
        <w:rPr>
          <w:rFonts w:ascii="Arial" w:hAnsi="Arial" w:cs="Arial"/>
        </w:rPr>
      </w:pPr>
      <w:r w:rsidRPr="000233A8">
        <w:rPr>
          <w:rFonts w:ascii="Arial" w:hAnsi="Arial" w:cs="Arial"/>
        </w:rPr>
        <w:t>Bogotá, 11 Octubre 2021</w:t>
      </w:r>
    </w:p>
    <w:p w14:paraId="5DC021C7" w14:textId="77777777" w:rsidR="000233A8" w:rsidRDefault="000233A8" w:rsidP="00464F7E">
      <w:pPr>
        <w:spacing w:after="0"/>
        <w:rPr>
          <w:rFonts w:ascii="Arial" w:eastAsia="Calibri" w:hAnsi="Arial" w:cs="Arial"/>
        </w:rPr>
      </w:pPr>
    </w:p>
    <w:p w14:paraId="3EE74374" w14:textId="77777777" w:rsidR="004A182D" w:rsidRPr="004A182D" w:rsidRDefault="004A182D" w:rsidP="004A182D">
      <w:pPr>
        <w:spacing w:after="0" w:line="240" w:lineRule="auto"/>
        <w:jc w:val="both"/>
        <w:outlineLvl w:val="0"/>
        <w:rPr>
          <w:rFonts w:ascii="Arial" w:eastAsia="Calibri" w:hAnsi="Arial" w:cs="Arial"/>
          <w:lang w:val="es-ES"/>
        </w:rPr>
      </w:pPr>
      <w:bookmarkStart w:id="2" w:name="_Hlk84867691"/>
      <w:r w:rsidRPr="004A182D">
        <w:rPr>
          <w:rFonts w:ascii="Arial" w:eastAsia="Calibri" w:hAnsi="Arial" w:cs="Arial"/>
          <w:lang w:val="es-ES"/>
        </w:rPr>
        <w:t>Señor</w:t>
      </w:r>
    </w:p>
    <w:p w14:paraId="4597DA25" w14:textId="7B544CF6" w:rsidR="004A182D" w:rsidRPr="004A182D" w:rsidRDefault="004A182D" w:rsidP="004A182D">
      <w:pPr>
        <w:spacing w:after="0"/>
        <w:jc w:val="both"/>
        <w:rPr>
          <w:rFonts w:ascii="Arial" w:hAnsi="Arial" w:cs="Arial"/>
          <w:b/>
          <w:bCs/>
        </w:rPr>
      </w:pPr>
      <w:r w:rsidRPr="004A182D">
        <w:rPr>
          <w:rFonts w:ascii="Arial" w:hAnsi="Arial" w:cs="Arial"/>
          <w:b/>
          <w:bCs/>
        </w:rPr>
        <w:t>Jhon Javier Garzón Pardo</w:t>
      </w:r>
    </w:p>
    <w:p w14:paraId="63423877" w14:textId="3B83B5B4" w:rsidR="004A182D" w:rsidRDefault="004A182D" w:rsidP="004A182D">
      <w:pPr>
        <w:spacing w:after="0" w:line="240" w:lineRule="auto"/>
        <w:jc w:val="both"/>
        <w:rPr>
          <w:rFonts w:ascii="Arial" w:eastAsia="Calibri" w:hAnsi="Arial" w:cs="Arial"/>
          <w:lang w:val="es-ES"/>
        </w:rPr>
      </w:pPr>
      <w:r>
        <w:rPr>
          <w:rFonts w:ascii="Arial" w:eastAsia="Calibri" w:hAnsi="Arial" w:cs="Arial"/>
          <w:lang w:val="es-ES"/>
        </w:rPr>
        <w:t>Cota, Cundinamarca</w:t>
      </w:r>
    </w:p>
    <w:p w14:paraId="46DE8D90" w14:textId="754F48D0" w:rsidR="004A182D" w:rsidRDefault="004A182D" w:rsidP="004A182D">
      <w:pPr>
        <w:spacing w:after="0" w:line="240" w:lineRule="auto"/>
        <w:jc w:val="both"/>
        <w:rPr>
          <w:rFonts w:ascii="Arial" w:eastAsia="Calibri" w:hAnsi="Arial" w:cs="Arial"/>
          <w:lang w:val="es-ES"/>
        </w:rPr>
      </w:pPr>
    </w:p>
    <w:p w14:paraId="7DA95D34" w14:textId="77777777" w:rsidR="00464F7E" w:rsidRPr="004A182D" w:rsidRDefault="00464F7E" w:rsidP="004A182D">
      <w:pPr>
        <w:spacing w:after="0" w:line="240" w:lineRule="auto"/>
        <w:jc w:val="both"/>
        <w:rPr>
          <w:rFonts w:ascii="Arial" w:eastAsia="Calibri" w:hAnsi="Arial" w:cs="Arial"/>
          <w:lang w:val="es-ES"/>
        </w:rPr>
      </w:pPr>
    </w:p>
    <w:p w14:paraId="7E7D0AD0" w14:textId="656987A7" w:rsidR="004A182D" w:rsidRPr="004A182D" w:rsidRDefault="004A182D" w:rsidP="004A182D">
      <w:pPr>
        <w:spacing w:after="0" w:line="240" w:lineRule="auto"/>
        <w:ind w:firstLine="2694"/>
        <w:jc w:val="both"/>
        <w:outlineLvl w:val="0"/>
        <w:rPr>
          <w:rFonts w:ascii="Arial" w:eastAsia="Calibri" w:hAnsi="Arial" w:cs="Arial"/>
          <w:b/>
          <w:lang w:val="es-ES"/>
        </w:rPr>
      </w:pPr>
      <w:r w:rsidRPr="004A182D">
        <w:rPr>
          <w:rFonts w:ascii="Arial" w:eastAsia="Calibri" w:hAnsi="Arial" w:cs="Arial"/>
          <w:b/>
          <w:lang w:val="es-ES"/>
        </w:rPr>
        <w:t>Concepto C –</w:t>
      </w:r>
      <w:r w:rsidR="00464F7E">
        <w:rPr>
          <w:rFonts w:ascii="Arial" w:eastAsia="Calibri" w:hAnsi="Arial" w:cs="Arial"/>
          <w:b/>
          <w:lang w:val="es-ES"/>
        </w:rPr>
        <w:t xml:space="preserve"> </w:t>
      </w:r>
      <w:r w:rsidR="00975910" w:rsidRPr="00975910">
        <w:rPr>
          <w:rFonts w:ascii="Arial" w:eastAsia="Calibri" w:hAnsi="Arial" w:cs="Arial"/>
          <w:b/>
          <w:lang w:val="es-ES"/>
        </w:rPr>
        <w:t>565</w:t>
      </w:r>
      <w:r w:rsidR="0053409C" w:rsidRPr="00975910">
        <w:rPr>
          <w:rFonts w:ascii="Arial" w:eastAsia="Calibri" w:hAnsi="Arial" w:cs="Arial"/>
          <w:b/>
          <w:lang w:val="es-ES"/>
        </w:rPr>
        <w:t xml:space="preserve"> </w:t>
      </w:r>
      <w:r w:rsidRPr="004A182D">
        <w:rPr>
          <w:rFonts w:ascii="Arial" w:eastAsia="Calibri" w:hAnsi="Arial" w:cs="Arial"/>
          <w:b/>
          <w:lang w:val="es-ES"/>
        </w:rPr>
        <w:t>de 2021</w:t>
      </w:r>
    </w:p>
    <w:p w14:paraId="1E14C8BF" w14:textId="77777777" w:rsidR="004A182D" w:rsidRPr="004A182D" w:rsidRDefault="004A182D" w:rsidP="004A182D">
      <w:pPr>
        <w:spacing w:after="0" w:line="240" w:lineRule="auto"/>
        <w:rPr>
          <w:rFonts w:ascii="Arial" w:eastAsia="Calibri" w:hAnsi="Arial" w:cs="Arial"/>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A182D" w:rsidRPr="004A182D" w14:paraId="2A2EE0BA" w14:textId="77777777" w:rsidTr="00464F7E">
        <w:trPr>
          <w:trHeight w:val="1115"/>
        </w:trPr>
        <w:tc>
          <w:tcPr>
            <w:tcW w:w="2689" w:type="dxa"/>
            <w:hideMark/>
          </w:tcPr>
          <w:p w14:paraId="1E66128B" w14:textId="77777777" w:rsidR="004A182D" w:rsidRPr="004A182D" w:rsidRDefault="004A182D" w:rsidP="004A182D">
            <w:pPr>
              <w:rPr>
                <w:rFonts w:ascii="Arial" w:eastAsia="Calibri" w:hAnsi="Arial" w:cs="Arial"/>
                <w:lang w:val="es-ES_tradnl"/>
              </w:rPr>
            </w:pPr>
            <w:r w:rsidRPr="004A182D">
              <w:rPr>
                <w:rFonts w:ascii="Arial" w:eastAsia="Calibri" w:hAnsi="Arial" w:cs="Arial"/>
                <w:b/>
                <w:lang w:val="es-ES_tradnl"/>
              </w:rPr>
              <w:t>Temas:</w:t>
            </w:r>
            <w:r w:rsidRPr="004A182D">
              <w:rPr>
                <w:rFonts w:ascii="Arial" w:eastAsia="Calibri" w:hAnsi="Arial" w:cs="Arial"/>
                <w:lang w:val="es-ES_tradnl"/>
              </w:rPr>
              <w:t xml:space="preserve">      </w:t>
            </w:r>
          </w:p>
          <w:p w14:paraId="4CE21917" w14:textId="77777777" w:rsidR="004A182D" w:rsidRPr="004A182D" w:rsidRDefault="004A182D" w:rsidP="004A182D">
            <w:pPr>
              <w:rPr>
                <w:rFonts w:ascii="Arial" w:eastAsia="Calibri" w:hAnsi="Arial" w:cs="Arial"/>
                <w:lang w:val="es-ES_tradnl"/>
              </w:rPr>
            </w:pPr>
            <w:r w:rsidRPr="004A182D">
              <w:rPr>
                <w:rFonts w:ascii="Arial" w:eastAsia="Calibri" w:hAnsi="Arial" w:cs="Arial"/>
                <w:lang w:val="es-ES_tradnl"/>
              </w:rPr>
              <w:t xml:space="preserve">              </w:t>
            </w:r>
          </w:p>
        </w:tc>
        <w:tc>
          <w:tcPr>
            <w:tcW w:w="6237" w:type="dxa"/>
            <w:hideMark/>
          </w:tcPr>
          <w:p w14:paraId="4C81C9FE" w14:textId="730B19E8" w:rsidR="004A182D" w:rsidRPr="004A182D" w:rsidRDefault="004A182D" w:rsidP="00464F7E">
            <w:pPr>
              <w:spacing w:after="120" w:line="276" w:lineRule="auto"/>
              <w:jc w:val="both"/>
              <w:rPr>
                <w:rFonts w:ascii="Arial" w:eastAsia="Calibri" w:hAnsi="Arial" w:cs="Arial"/>
                <w:lang w:val="es-ES_tradnl"/>
              </w:rPr>
            </w:pPr>
            <w:r w:rsidRPr="004A182D">
              <w:rPr>
                <w:rFonts w:ascii="Arial" w:hAnsi="Arial" w:cs="Arial"/>
                <w:color w:val="000000" w:themeColor="text1"/>
                <w:lang w:val="es-ES"/>
              </w:rPr>
              <w:t>DOCUMENTOS TIPO – Interventoría de obra pública de infraestructura de transporte – Obligatoriedad</w:t>
            </w:r>
            <w:r w:rsidRPr="004A182D">
              <w:rPr>
                <w:rFonts w:ascii="Arial" w:eastAsia="Calibri" w:hAnsi="Arial" w:cs="Arial"/>
                <w:color w:val="000000" w:themeColor="text1"/>
                <w:lang w:val="es-ES_tradnl"/>
              </w:rPr>
              <w:t xml:space="preserve"> / DOCUMENTOS TIPO – Interventoría de obra pública de infraestructura de transporte – Subsanabilidad – Experiencia mínima habilitante </w:t>
            </w:r>
          </w:p>
        </w:tc>
      </w:tr>
      <w:tr w:rsidR="004A182D" w:rsidRPr="004A182D" w14:paraId="4B91683C" w14:textId="77777777" w:rsidTr="00ED6A5D">
        <w:tc>
          <w:tcPr>
            <w:tcW w:w="2689" w:type="dxa"/>
          </w:tcPr>
          <w:p w14:paraId="63701609" w14:textId="77777777" w:rsidR="004A182D" w:rsidRPr="004A182D" w:rsidRDefault="004A182D" w:rsidP="000811D7">
            <w:pPr>
              <w:rPr>
                <w:rFonts w:ascii="Arial" w:eastAsia="Calibri" w:hAnsi="Arial" w:cs="Arial"/>
                <w:b/>
                <w:lang w:val="es-ES_tradnl"/>
              </w:rPr>
            </w:pPr>
            <w:r w:rsidRPr="004A182D">
              <w:rPr>
                <w:rFonts w:ascii="Arial" w:eastAsia="Calibri" w:hAnsi="Arial" w:cs="Arial"/>
                <w:b/>
                <w:lang w:val="es-ES_tradnl"/>
              </w:rPr>
              <w:t>Radicación:</w:t>
            </w:r>
            <w:r w:rsidRPr="004A182D">
              <w:rPr>
                <w:rFonts w:ascii="Arial" w:eastAsia="Calibri" w:hAnsi="Arial" w:cs="Arial"/>
                <w:lang w:val="es-ES_tradnl"/>
              </w:rPr>
              <w:t xml:space="preserve">               </w:t>
            </w:r>
          </w:p>
        </w:tc>
        <w:tc>
          <w:tcPr>
            <w:tcW w:w="6237" w:type="dxa"/>
          </w:tcPr>
          <w:p w14:paraId="5E0A48A2" w14:textId="1D52F8C0" w:rsidR="004A182D" w:rsidRPr="004A182D" w:rsidRDefault="004A182D" w:rsidP="000811D7">
            <w:pPr>
              <w:jc w:val="both"/>
              <w:rPr>
                <w:rFonts w:ascii="Arial" w:eastAsia="Calibri" w:hAnsi="Arial" w:cs="Arial"/>
                <w:lang w:val="es-ES_tradnl"/>
              </w:rPr>
            </w:pPr>
            <w:r w:rsidRPr="004A182D">
              <w:rPr>
                <w:rFonts w:ascii="Arial" w:eastAsia="Calibri" w:hAnsi="Arial" w:cs="Arial"/>
                <w:lang w:val="es-ES_tradnl"/>
              </w:rPr>
              <w:t xml:space="preserve">Respuesta a consulta </w:t>
            </w:r>
            <w:r w:rsidR="0053409C" w:rsidRPr="0053409C">
              <w:rPr>
                <w:rFonts w:ascii="Arial" w:eastAsia="Calibri" w:hAnsi="Arial" w:cs="Arial"/>
                <w:lang w:val="es-ES_tradnl"/>
              </w:rPr>
              <w:t>P20210830007815</w:t>
            </w:r>
          </w:p>
        </w:tc>
      </w:tr>
    </w:tbl>
    <w:p w14:paraId="5C51C1BD" w14:textId="77777777" w:rsidR="00464F7E" w:rsidRDefault="00464F7E" w:rsidP="000811D7">
      <w:pPr>
        <w:spacing w:after="0" w:line="240" w:lineRule="auto"/>
        <w:rPr>
          <w:rFonts w:ascii="Arial" w:eastAsia="Calibri" w:hAnsi="Arial" w:cs="Arial"/>
          <w:lang w:val="es-ES_tradnl"/>
        </w:rPr>
      </w:pPr>
    </w:p>
    <w:p w14:paraId="6C1C873D" w14:textId="77777777" w:rsidR="00464F7E" w:rsidRDefault="00464F7E" w:rsidP="000811D7">
      <w:pPr>
        <w:spacing w:after="0" w:line="240" w:lineRule="auto"/>
        <w:rPr>
          <w:rFonts w:ascii="Arial" w:eastAsia="Calibri" w:hAnsi="Arial" w:cs="Arial"/>
          <w:lang w:val="es-ES_tradnl"/>
        </w:rPr>
      </w:pPr>
    </w:p>
    <w:p w14:paraId="33520CA0" w14:textId="4782484D" w:rsidR="004A182D" w:rsidRPr="004A182D" w:rsidRDefault="004A182D" w:rsidP="000811D7">
      <w:pPr>
        <w:spacing w:after="0" w:line="240" w:lineRule="auto"/>
        <w:rPr>
          <w:rFonts w:ascii="Arial" w:eastAsia="Calibri" w:hAnsi="Arial" w:cs="Arial"/>
          <w:lang w:val="es-ES_tradnl"/>
        </w:rPr>
      </w:pPr>
      <w:r w:rsidRPr="004A182D">
        <w:rPr>
          <w:rFonts w:ascii="Arial" w:eastAsia="Calibri" w:hAnsi="Arial" w:cs="Arial"/>
          <w:lang w:val="es-ES_tradnl"/>
        </w:rPr>
        <w:t>Estimado</w:t>
      </w:r>
      <w:r w:rsidR="0053409C" w:rsidRPr="0053409C">
        <w:rPr>
          <w:rFonts w:ascii="Arial" w:hAnsi="Arial" w:cs="Arial"/>
          <w:b/>
          <w:bCs/>
        </w:rPr>
        <w:t xml:space="preserve"> </w:t>
      </w:r>
      <w:r w:rsidR="0053409C" w:rsidRPr="0053409C">
        <w:rPr>
          <w:rFonts w:ascii="Arial" w:hAnsi="Arial" w:cs="Arial"/>
        </w:rPr>
        <w:t>Garzón Pardo</w:t>
      </w:r>
      <w:r w:rsidRPr="004A182D">
        <w:rPr>
          <w:rFonts w:ascii="Arial" w:eastAsia="Calibri" w:hAnsi="Arial" w:cs="Arial"/>
          <w:lang w:val="es-ES_tradnl"/>
        </w:rPr>
        <w:t>:</w:t>
      </w:r>
    </w:p>
    <w:p w14:paraId="6DBB246C" w14:textId="77777777" w:rsidR="004A182D" w:rsidRPr="004A182D" w:rsidRDefault="004A182D" w:rsidP="004A182D">
      <w:pPr>
        <w:spacing w:after="0" w:line="240" w:lineRule="auto"/>
        <w:rPr>
          <w:rFonts w:ascii="Arial" w:eastAsia="Calibri" w:hAnsi="Arial" w:cs="Arial"/>
          <w:lang w:val="es-ES_tradnl"/>
        </w:rPr>
      </w:pPr>
    </w:p>
    <w:p w14:paraId="3F713C52" w14:textId="26401731" w:rsidR="004A182D" w:rsidRPr="004A182D" w:rsidRDefault="004A182D" w:rsidP="00052EE2">
      <w:pPr>
        <w:spacing w:after="0" w:line="276" w:lineRule="auto"/>
        <w:jc w:val="both"/>
        <w:rPr>
          <w:rFonts w:ascii="Arial" w:eastAsia="Calibri" w:hAnsi="Arial" w:cs="Arial"/>
          <w:lang w:val="es-ES_tradnl"/>
        </w:rPr>
      </w:pPr>
      <w:r w:rsidRPr="004A182D">
        <w:rPr>
          <w:rFonts w:ascii="Arial" w:eastAsia="Calibri" w:hAnsi="Arial" w:cs="Arial"/>
          <w:lang w:val="es-ES_tradnl"/>
        </w:rPr>
        <w:t xml:space="preserve">En ejercicio de la competencia otorgada por los artículos 11, numeral 8º, y 3º, numeral 5º, del Decreto Ley 4170 de 2011, la Agencia Nacional de Contratación Pública − Colombia Compra Eficiente responde su consulta del </w:t>
      </w:r>
      <w:r w:rsidR="0053409C">
        <w:rPr>
          <w:rFonts w:ascii="Arial" w:eastAsia="Calibri" w:hAnsi="Arial" w:cs="Arial"/>
          <w:lang w:val="es-ES_tradnl"/>
        </w:rPr>
        <w:t>30</w:t>
      </w:r>
      <w:r w:rsidRPr="004A182D">
        <w:rPr>
          <w:rFonts w:ascii="Arial" w:eastAsia="Calibri" w:hAnsi="Arial" w:cs="Arial"/>
          <w:lang w:val="es-ES_tradnl"/>
        </w:rPr>
        <w:t xml:space="preserve"> de </w:t>
      </w:r>
      <w:r w:rsidR="0053409C">
        <w:rPr>
          <w:rFonts w:ascii="Arial" w:eastAsia="Calibri" w:hAnsi="Arial" w:cs="Arial"/>
          <w:lang w:val="es-ES_tradnl"/>
        </w:rPr>
        <w:t>agosto</w:t>
      </w:r>
      <w:r w:rsidRPr="004A182D">
        <w:rPr>
          <w:rFonts w:ascii="Arial" w:eastAsia="Calibri" w:hAnsi="Arial" w:cs="Arial"/>
          <w:lang w:val="es-ES_tradnl"/>
        </w:rPr>
        <w:t xml:space="preserve"> de 2021. </w:t>
      </w:r>
    </w:p>
    <w:p w14:paraId="7623DDA4" w14:textId="77777777" w:rsidR="004A182D" w:rsidRPr="004A182D" w:rsidRDefault="004A182D" w:rsidP="00052EE2">
      <w:pPr>
        <w:spacing w:after="0" w:line="276" w:lineRule="auto"/>
        <w:jc w:val="both"/>
        <w:rPr>
          <w:rFonts w:ascii="Arial" w:eastAsia="Calibri" w:hAnsi="Arial" w:cs="Arial"/>
          <w:lang w:val="es-ES_tradnl"/>
        </w:rPr>
      </w:pPr>
    </w:p>
    <w:p w14:paraId="58FAE432" w14:textId="62744E88" w:rsidR="004A182D" w:rsidRPr="004A182D" w:rsidRDefault="004A182D" w:rsidP="00052EE2">
      <w:pPr>
        <w:pStyle w:val="Prrafodelista"/>
        <w:numPr>
          <w:ilvl w:val="0"/>
          <w:numId w:val="3"/>
        </w:numPr>
        <w:spacing w:after="0"/>
        <w:ind w:left="360"/>
        <w:rPr>
          <w:rFonts w:ascii="Arial" w:hAnsi="Arial" w:cs="Arial"/>
          <w:b/>
          <w:bCs/>
          <w:lang w:val="es-ES" w:eastAsia="es-ES_tradnl"/>
        </w:rPr>
      </w:pPr>
      <w:r w:rsidRPr="004A182D">
        <w:rPr>
          <w:rFonts w:ascii="Arial" w:hAnsi="Arial" w:cs="Arial"/>
          <w:b/>
          <w:bCs/>
          <w:lang w:val="es-ES" w:eastAsia="es-ES_tradnl"/>
        </w:rPr>
        <w:t xml:space="preserve">Problema planteado </w:t>
      </w:r>
    </w:p>
    <w:p w14:paraId="2C1149AD" w14:textId="77777777" w:rsidR="004A182D" w:rsidRPr="004A182D" w:rsidRDefault="004A182D" w:rsidP="00052EE2">
      <w:pPr>
        <w:tabs>
          <w:tab w:val="left" w:pos="426"/>
        </w:tabs>
        <w:spacing w:after="0" w:line="276" w:lineRule="auto"/>
        <w:jc w:val="both"/>
        <w:rPr>
          <w:rFonts w:ascii="Arial" w:eastAsia="Calibri" w:hAnsi="Arial" w:cs="Arial"/>
          <w:b/>
          <w:lang w:val="es-ES_tradnl"/>
        </w:rPr>
      </w:pPr>
    </w:p>
    <w:p w14:paraId="436956DD" w14:textId="5821A766" w:rsidR="00464F7E" w:rsidRPr="00052EE2" w:rsidRDefault="0053409C" w:rsidP="00052EE2">
      <w:pPr>
        <w:pStyle w:val="InviasNormal"/>
        <w:spacing w:before="0" w:after="0" w:line="276" w:lineRule="auto"/>
        <w:jc w:val="both"/>
        <w:outlineLvl w:val="2"/>
        <w:rPr>
          <w:rFonts w:ascii="Arial" w:hAnsi="Arial" w:cs="Arial"/>
          <w:sz w:val="22"/>
          <w:szCs w:val="22"/>
          <w:lang w:val="es-CO"/>
        </w:rPr>
      </w:pPr>
      <w:r w:rsidRPr="00052EE2">
        <w:rPr>
          <w:rFonts w:ascii="Arial" w:eastAsia="Calibri" w:hAnsi="Arial" w:cs="Arial"/>
          <w:color w:val="000000" w:themeColor="text1"/>
          <w:sz w:val="22"/>
          <w:szCs w:val="22"/>
          <w:lang w:val="es-ES_tradnl"/>
        </w:rPr>
        <w:t xml:space="preserve">En relación con los documentos tipo de concurso de méritos para la </w:t>
      </w:r>
      <w:r w:rsidRPr="00052EE2">
        <w:rPr>
          <w:rFonts w:ascii="Arial" w:hAnsi="Arial" w:cs="Arial"/>
          <w:sz w:val="22"/>
          <w:szCs w:val="22"/>
        </w:rPr>
        <w:t>interventoría de obras</w:t>
      </w:r>
      <w:r w:rsidRPr="00052EE2">
        <w:rPr>
          <w:rFonts w:ascii="Arial" w:hAnsi="Arial" w:cs="Arial"/>
          <w:spacing w:val="1"/>
          <w:sz w:val="22"/>
          <w:szCs w:val="22"/>
        </w:rPr>
        <w:t xml:space="preserve"> </w:t>
      </w:r>
      <w:r w:rsidRPr="00052EE2">
        <w:rPr>
          <w:rFonts w:ascii="Arial" w:hAnsi="Arial" w:cs="Arial"/>
          <w:sz w:val="22"/>
          <w:szCs w:val="22"/>
        </w:rPr>
        <w:t>públicas</w:t>
      </w:r>
      <w:r w:rsidRPr="00052EE2">
        <w:rPr>
          <w:rFonts w:ascii="Arial" w:hAnsi="Arial" w:cs="Arial"/>
          <w:spacing w:val="-13"/>
          <w:sz w:val="22"/>
          <w:szCs w:val="22"/>
        </w:rPr>
        <w:t xml:space="preserve"> </w:t>
      </w:r>
      <w:r w:rsidRPr="00052EE2">
        <w:rPr>
          <w:rFonts w:ascii="Arial" w:hAnsi="Arial" w:cs="Arial"/>
          <w:sz w:val="22"/>
          <w:szCs w:val="22"/>
        </w:rPr>
        <w:t>de</w:t>
      </w:r>
      <w:r w:rsidRPr="00052EE2">
        <w:rPr>
          <w:rFonts w:ascii="Arial" w:hAnsi="Arial" w:cs="Arial"/>
          <w:spacing w:val="-13"/>
          <w:sz w:val="22"/>
          <w:szCs w:val="22"/>
        </w:rPr>
        <w:t xml:space="preserve"> </w:t>
      </w:r>
      <w:r w:rsidRPr="00052EE2">
        <w:rPr>
          <w:rFonts w:ascii="Arial" w:hAnsi="Arial" w:cs="Arial"/>
          <w:sz w:val="22"/>
          <w:szCs w:val="22"/>
        </w:rPr>
        <w:t>infraestructura</w:t>
      </w:r>
      <w:r w:rsidRPr="00052EE2">
        <w:rPr>
          <w:rFonts w:ascii="Arial" w:hAnsi="Arial" w:cs="Arial"/>
          <w:spacing w:val="-12"/>
          <w:sz w:val="22"/>
          <w:szCs w:val="22"/>
        </w:rPr>
        <w:t xml:space="preserve"> </w:t>
      </w:r>
      <w:r w:rsidRPr="00052EE2">
        <w:rPr>
          <w:rFonts w:ascii="Arial" w:hAnsi="Arial" w:cs="Arial"/>
          <w:sz w:val="22"/>
          <w:szCs w:val="22"/>
        </w:rPr>
        <w:t>de</w:t>
      </w:r>
      <w:r w:rsidRPr="00052EE2">
        <w:rPr>
          <w:rFonts w:ascii="Arial" w:hAnsi="Arial" w:cs="Arial"/>
          <w:spacing w:val="-13"/>
          <w:sz w:val="22"/>
          <w:szCs w:val="22"/>
        </w:rPr>
        <w:t xml:space="preserve"> </w:t>
      </w:r>
      <w:r w:rsidRPr="00052EE2">
        <w:rPr>
          <w:rFonts w:ascii="Arial" w:hAnsi="Arial" w:cs="Arial"/>
          <w:sz w:val="22"/>
          <w:szCs w:val="22"/>
        </w:rPr>
        <w:t>transporte, adoptados mediante la Resolución No. 256 de 2020, usted</w:t>
      </w:r>
      <w:r w:rsidR="00464F7E" w:rsidRPr="00052EE2">
        <w:rPr>
          <w:rFonts w:ascii="Arial" w:hAnsi="Arial" w:cs="Arial"/>
          <w:sz w:val="22"/>
          <w:szCs w:val="22"/>
        </w:rPr>
        <w:t xml:space="preserve"> realiza la siguiente </w:t>
      </w:r>
      <w:r w:rsidRPr="00052EE2">
        <w:rPr>
          <w:rFonts w:ascii="Arial" w:hAnsi="Arial" w:cs="Arial"/>
          <w:sz w:val="22"/>
          <w:szCs w:val="22"/>
        </w:rPr>
        <w:t>pregunta:</w:t>
      </w:r>
      <w:r w:rsidR="00464F7E" w:rsidRPr="00052EE2">
        <w:rPr>
          <w:rFonts w:ascii="Arial" w:hAnsi="Arial" w:cs="Arial"/>
          <w:sz w:val="22"/>
          <w:szCs w:val="22"/>
        </w:rPr>
        <w:t xml:space="preserve"> </w:t>
      </w:r>
      <w:r w:rsidRPr="00052EE2">
        <w:rPr>
          <w:rFonts w:ascii="Arial" w:hAnsi="Arial" w:cs="Arial"/>
          <w:sz w:val="22"/>
          <w:szCs w:val="22"/>
        </w:rPr>
        <w:t xml:space="preserve">«¿la entidad podrá no asignar puntos a un oferente que por diferentes condiciones anexa liquidación o acta de recibo final (con un objeto que a priori cumple con el alcance del objeto según los requerimientos) pero que a consideración de la entidad establezca insuficiente y se acobije a lo establecido en el numeral 10.1.4. y 10.1.5 (lo (sic) cuales son opcionales o si son necesarias). para solicitar mas (sic) información como sabana de cantidades, </w:t>
      </w:r>
      <w:r w:rsidR="00FF7D05" w:rsidRPr="00052EE2">
        <w:rPr>
          <w:rFonts w:ascii="Arial" w:hAnsi="Arial" w:cs="Arial"/>
          <w:sz w:val="22"/>
          <w:szCs w:val="22"/>
          <w:lang w:val="es-ES"/>
        </w:rPr>
        <w:t>di</w:t>
      </w:r>
      <w:r w:rsidRPr="00052EE2">
        <w:rPr>
          <w:rFonts w:ascii="Arial" w:hAnsi="Arial" w:cs="Arial"/>
          <w:sz w:val="22"/>
          <w:szCs w:val="22"/>
        </w:rPr>
        <w:t>cho esto la entidad habilita al oferente pero lo descarta para la asignar puntaje según numeral 4.1. debido a que consideran que el mismo no cumplió el requisito del valor del 100% y están subsanando dicho requisito?».</w:t>
      </w:r>
      <w:r w:rsidR="00464F7E" w:rsidRPr="00052EE2">
        <w:rPr>
          <w:rFonts w:ascii="Arial" w:hAnsi="Arial" w:cs="Arial"/>
          <w:sz w:val="22"/>
          <w:szCs w:val="22"/>
          <w:lang w:val="es-MX"/>
        </w:rPr>
        <w:t xml:space="preserve"> Además</w:t>
      </w:r>
      <w:r w:rsidRPr="00052EE2">
        <w:rPr>
          <w:rFonts w:ascii="Arial" w:hAnsi="Arial" w:cs="Arial"/>
          <w:sz w:val="22"/>
          <w:szCs w:val="22"/>
        </w:rPr>
        <w:t xml:space="preserve">, en relación con el numeral «3.8.1 </w:t>
      </w:r>
      <w:bookmarkStart w:id="3" w:name="_Toc73441502"/>
      <w:r w:rsidRPr="00052EE2">
        <w:rPr>
          <w:rFonts w:ascii="Arial" w:eastAsia="Arial" w:hAnsi="Arial" w:cs="Arial"/>
          <w:sz w:val="22"/>
          <w:szCs w:val="22"/>
        </w:rPr>
        <w:t xml:space="preserve">EXIGENCIA MÍNIMA DE LA EXPERIENCIA </w:t>
      </w:r>
      <w:r w:rsidRPr="00052EE2">
        <w:rPr>
          <w:rFonts w:ascii="Arial" w:eastAsia="Arial" w:hAnsi="Arial" w:cs="Arial"/>
          <w:sz w:val="22"/>
          <w:szCs w:val="22"/>
        </w:rPr>
        <w:lastRenderedPageBreak/>
        <w:t>DEL PROPONENTE</w:t>
      </w:r>
      <w:bookmarkEnd w:id="3"/>
      <w:r w:rsidRPr="00052EE2">
        <w:rPr>
          <w:rFonts w:ascii="Arial" w:hAnsi="Arial" w:cs="Arial"/>
          <w:sz w:val="22"/>
          <w:szCs w:val="22"/>
        </w:rPr>
        <w:t>» del Documento Base de interventoría, usted pregunta:</w:t>
      </w:r>
      <w:r w:rsidR="00464F7E" w:rsidRPr="00052EE2">
        <w:rPr>
          <w:rFonts w:ascii="Arial" w:hAnsi="Arial" w:cs="Arial"/>
          <w:sz w:val="22"/>
          <w:szCs w:val="22"/>
        </w:rPr>
        <w:t xml:space="preserve"> </w:t>
      </w:r>
      <w:r w:rsidR="006B347C" w:rsidRPr="00052EE2">
        <w:rPr>
          <w:rFonts w:ascii="Arial" w:hAnsi="Arial" w:cs="Arial"/>
          <w:sz w:val="22"/>
          <w:szCs w:val="22"/>
          <w:lang w:val="es-CO"/>
        </w:rPr>
        <w:t>«</w:t>
      </w:r>
      <w:r w:rsidRPr="00052EE2">
        <w:rPr>
          <w:rFonts w:ascii="Arial" w:hAnsi="Arial" w:cs="Arial"/>
          <w:sz w:val="22"/>
          <w:szCs w:val="22"/>
        </w:rPr>
        <w:t xml:space="preserve">¿Ese proceso anteriormente esta </w:t>
      </w:r>
      <w:r w:rsidRPr="00052EE2">
        <w:rPr>
          <w:rFonts w:ascii="Arial" w:hAnsi="Arial" w:cs="Arial"/>
          <w:sz w:val="22"/>
          <w:szCs w:val="22"/>
          <w:lang w:val="es-CO"/>
        </w:rPr>
        <w:t xml:space="preserve">(sic) </w:t>
      </w:r>
      <w:r w:rsidRPr="00052EE2">
        <w:rPr>
          <w:rFonts w:ascii="Arial" w:hAnsi="Arial" w:cs="Arial"/>
          <w:sz w:val="22"/>
          <w:szCs w:val="22"/>
        </w:rPr>
        <w:t>bien ejecutado?</w:t>
      </w:r>
      <w:r w:rsidR="006B347C" w:rsidRPr="00052EE2">
        <w:rPr>
          <w:rFonts w:ascii="Arial" w:hAnsi="Arial" w:cs="Arial"/>
          <w:sz w:val="22"/>
          <w:szCs w:val="22"/>
          <w:lang w:val="es-CO"/>
        </w:rPr>
        <w:t>».</w:t>
      </w:r>
    </w:p>
    <w:p w14:paraId="005476CB" w14:textId="1E1FD0BE" w:rsidR="0053409C" w:rsidRPr="000233A8" w:rsidRDefault="0053409C" w:rsidP="000233A8">
      <w:pPr>
        <w:pStyle w:val="InviasNormal"/>
        <w:spacing w:before="0" w:after="0" w:line="276" w:lineRule="auto"/>
        <w:jc w:val="both"/>
        <w:outlineLvl w:val="2"/>
        <w:rPr>
          <w:rFonts w:ascii="Arial" w:hAnsi="Arial" w:cs="Arial"/>
          <w:sz w:val="22"/>
          <w:szCs w:val="22"/>
          <w:lang w:val="es-CO"/>
        </w:rPr>
      </w:pPr>
    </w:p>
    <w:p w14:paraId="79DF6181" w14:textId="0A4432CD" w:rsidR="004A182D" w:rsidRPr="004A182D" w:rsidRDefault="00464F7E" w:rsidP="000233A8">
      <w:pPr>
        <w:tabs>
          <w:tab w:val="left" w:pos="426"/>
        </w:tabs>
        <w:spacing w:after="0" w:line="276" w:lineRule="auto"/>
        <w:contextualSpacing/>
        <w:jc w:val="both"/>
        <w:rPr>
          <w:rFonts w:ascii="Arial" w:eastAsia="Calibri" w:hAnsi="Arial" w:cs="Arial"/>
          <w:b/>
          <w:lang w:val="es-ES_tradnl"/>
        </w:rPr>
      </w:pPr>
      <w:r>
        <w:rPr>
          <w:rFonts w:ascii="Arial" w:eastAsia="Calibri" w:hAnsi="Arial" w:cs="Arial"/>
          <w:b/>
          <w:lang w:val="es-ES_tradnl"/>
        </w:rPr>
        <w:t xml:space="preserve">2. </w:t>
      </w:r>
      <w:r w:rsidR="004A182D" w:rsidRPr="004A182D">
        <w:rPr>
          <w:rFonts w:ascii="Arial" w:eastAsia="Calibri" w:hAnsi="Arial" w:cs="Arial"/>
          <w:b/>
          <w:lang w:val="es-ES_tradnl"/>
        </w:rPr>
        <w:t>Consideraciones</w:t>
      </w:r>
    </w:p>
    <w:p w14:paraId="09AC961E" w14:textId="6829DC73" w:rsidR="004A182D" w:rsidRDefault="004A182D" w:rsidP="0053409C">
      <w:pPr>
        <w:tabs>
          <w:tab w:val="left" w:pos="426"/>
        </w:tabs>
        <w:spacing w:after="0" w:line="240" w:lineRule="auto"/>
        <w:contextualSpacing/>
        <w:jc w:val="both"/>
        <w:rPr>
          <w:rFonts w:ascii="Arial" w:eastAsia="Calibri" w:hAnsi="Arial" w:cs="Arial"/>
          <w:b/>
          <w:lang w:val="es-ES_tradnl"/>
        </w:rPr>
      </w:pPr>
    </w:p>
    <w:p w14:paraId="4342BBFF" w14:textId="736242F2" w:rsidR="0053409C" w:rsidRPr="0053409C" w:rsidRDefault="0053409C" w:rsidP="0053409C">
      <w:pPr>
        <w:spacing w:after="120" w:line="276" w:lineRule="auto"/>
        <w:jc w:val="both"/>
        <w:rPr>
          <w:rFonts w:ascii="Arial" w:eastAsia="Calibri" w:hAnsi="Arial" w:cs="Arial"/>
          <w:lang w:val="es-ES"/>
        </w:rPr>
      </w:pPr>
      <w:r>
        <w:rPr>
          <w:rFonts w:ascii="Arial" w:eastAsia="Calibri" w:hAnsi="Arial" w:cs="Arial"/>
          <w:bCs/>
          <w:lang w:val="es-MX"/>
        </w:rPr>
        <w:t xml:space="preserve">En </w:t>
      </w:r>
      <w:r w:rsidRPr="0053409C">
        <w:rPr>
          <w:rFonts w:ascii="Arial" w:eastAsia="Calibri" w:hAnsi="Arial" w:cs="Arial"/>
          <w:bCs/>
          <w:lang w:val="es-MX"/>
        </w:rPr>
        <w:t>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53409C">
        <w:rPr>
          <w:rFonts w:ascii="Arial" w:eastAsia="Calibri" w:hAnsi="Arial" w:cs="Arial"/>
          <w:lang w:val="es-ES"/>
        </w:rPr>
        <w:t xml:space="preserve"> </w:t>
      </w:r>
      <w:bookmarkStart w:id="4" w:name="_Hlk61701014"/>
      <w:bookmarkStart w:id="5" w:name="_Hlk62136649"/>
      <w:r w:rsidRPr="0053409C">
        <w:rPr>
          <w:rFonts w:ascii="Arial" w:eastAsia="Calibri" w:hAnsi="Arial" w:cs="Arial"/>
          <w:lang w:val="es-ES"/>
        </w:rPr>
        <w:t xml:space="preserve">Es decir, </w:t>
      </w:r>
      <w:bookmarkStart w:id="6" w:name="_Hlk61026958"/>
      <w:r w:rsidRPr="0053409C">
        <w:rPr>
          <w:rFonts w:ascii="Arial" w:eastAsia="Calibri"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3409C">
        <w:rPr>
          <w:rFonts w:ascii="Arial" w:eastAsia="Calibri" w:hAnsi="Arial" w:cs="Arial"/>
          <w:bCs/>
          <w:lang w:val="es-MX"/>
        </w:rPr>
        <w:t xml:space="preserve"> de todos los partícipes de la contratación estatal.</w:t>
      </w:r>
    </w:p>
    <w:p w14:paraId="72330CCF" w14:textId="77777777" w:rsidR="0053409C" w:rsidRPr="0053409C" w:rsidRDefault="0053409C" w:rsidP="0053409C">
      <w:pPr>
        <w:spacing w:after="120" w:line="276" w:lineRule="auto"/>
        <w:ind w:firstLine="708"/>
        <w:jc w:val="both"/>
        <w:rPr>
          <w:rFonts w:ascii="Arial" w:eastAsia="Calibri" w:hAnsi="Arial" w:cs="Arial"/>
          <w:lang w:val="es-ES"/>
        </w:rPr>
      </w:pPr>
      <w:r w:rsidRPr="0053409C">
        <w:rPr>
          <w:rFonts w:ascii="Arial" w:eastAsia="Calibri" w:hAnsi="Arial" w:cs="Arial"/>
          <w:lang w:val="es-ES"/>
        </w:rPr>
        <w:t>En efecto,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3409C">
        <w:rPr>
          <w:rFonts w:ascii="Arial" w:eastAsia="Calibri" w:hAnsi="Arial" w:cs="Arial"/>
          <w:vertAlign w:val="superscript"/>
          <w:lang w:val="es-ES"/>
        </w:rPr>
        <w:footnoteReference w:id="1"/>
      </w:r>
      <w:r w:rsidRPr="0053409C">
        <w:rPr>
          <w:rFonts w:ascii="Arial" w:eastAsia="Calibri" w:hAnsi="Arial" w:cs="Arial"/>
          <w:lang w:val="es-ES"/>
        </w:rPr>
        <w:t>. Esta competencia de interpretación de normas generales, por definición, no puede extenderse a la resolución de controversias, ni a brindar asesorías sobre casos puntuales.</w:t>
      </w:r>
      <w:bookmarkEnd w:id="6"/>
      <w:r w:rsidRPr="0053409C">
        <w:rPr>
          <w:rFonts w:ascii="Arial" w:eastAsia="Calibri" w:hAnsi="Arial" w:cs="Arial"/>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4"/>
    </w:p>
    <w:p w14:paraId="2B7F65F9" w14:textId="61F13361" w:rsidR="0053409C" w:rsidRPr="0053409C" w:rsidRDefault="0053409C" w:rsidP="0053409C">
      <w:pPr>
        <w:tabs>
          <w:tab w:val="left" w:pos="709"/>
        </w:tabs>
        <w:spacing w:after="120" w:line="276" w:lineRule="auto"/>
        <w:jc w:val="both"/>
        <w:rPr>
          <w:rFonts w:ascii="Arial" w:eastAsia="Calibri" w:hAnsi="Arial" w:cs="Arial"/>
          <w:lang w:val="es-ES"/>
        </w:rPr>
      </w:pPr>
      <w:r w:rsidRPr="0053409C">
        <w:rPr>
          <w:rFonts w:ascii="Arial" w:eastAsia="Calibri" w:hAnsi="Arial" w:cs="Arial"/>
          <w:bCs/>
          <w:lang w:val="es-ES"/>
        </w:rPr>
        <w:tab/>
        <w:t xml:space="preserve">Sin perjuicio de las labores de seguimiento del Observatorio Oficial de Contratación Estatal sobre la adecuada implementación de los documentos tipo, </w:t>
      </w:r>
      <w:r w:rsidRPr="0053409C">
        <w:rPr>
          <w:rFonts w:ascii="Arial" w:eastAsia="Calibri" w:hAnsi="Arial" w:cs="Arial"/>
          <w:bCs/>
          <w:lang w:val="es-MX"/>
        </w:rPr>
        <w:t xml:space="preserve">el Decreto Ley 4170 de 2011 tampoco atribuyó a la entidad competencias de control, investigación y seguimiento en la aplicación de los documentos tipo. Por ello, la guía </w:t>
      </w:r>
      <w:r w:rsidR="00FF7D05">
        <w:rPr>
          <w:rFonts w:ascii="Arial" w:eastAsia="Calibri" w:hAnsi="Arial" w:cs="Arial"/>
          <w:bCs/>
          <w:lang w:val="es-MX"/>
        </w:rPr>
        <w:t xml:space="preserve">(¿cual guia?) </w:t>
      </w:r>
      <w:r w:rsidRPr="0053409C">
        <w:rPr>
          <w:rFonts w:ascii="Arial" w:eastAsia="Calibri" w:hAnsi="Arial" w:cs="Arial"/>
          <w:bCs/>
          <w:lang w:val="es-MX"/>
        </w:rPr>
        <w:t>explica que la Agencia «[…] no es competente para sancionar el incumplimiento de la normativa, y por ello su labor se limita a impartir políticas públicas en temas de contratación estatal y hacer el seguimiento estadístico a la implementación de los documentos tipo»</w:t>
      </w:r>
      <w:r w:rsidRPr="0053409C">
        <w:rPr>
          <w:rFonts w:ascii="Arial" w:eastAsia="Calibri" w:hAnsi="Arial" w:cs="Arial"/>
          <w:bCs/>
          <w:vertAlign w:val="superscript"/>
          <w:lang w:val="es-MX"/>
        </w:rPr>
        <w:footnoteReference w:id="2"/>
      </w:r>
      <w:r w:rsidRPr="0053409C">
        <w:rPr>
          <w:rFonts w:ascii="Arial" w:eastAsia="Calibri" w:hAnsi="Arial" w:cs="Arial"/>
          <w:bCs/>
          <w:lang w:val="es-MX"/>
        </w:rPr>
        <w:t>.</w:t>
      </w:r>
    </w:p>
    <w:bookmarkEnd w:id="5"/>
    <w:p w14:paraId="3D07A0F1" w14:textId="0B8EF238" w:rsidR="004A182D" w:rsidRPr="004A182D" w:rsidRDefault="0053409C" w:rsidP="0053409C">
      <w:pPr>
        <w:spacing w:after="120" w:line="276" w:lineRule="auto"/>
        <w:ind w:firstLine="709"/>
        <w:jc w:val="both"/>
        <w:rPr>
          <w:rFonts w:ascii="Arial" w:eastAsia="Calibri" w:hAnsi="Arial" w:cs="Arial"/>
          <w:color w:val="000000" w:themeColor="text1"/>
          <w:lang w:val="es-ES_tradnl"/>
        </w:rPr>
      </w:pPr>
      <w:r w:rsidRPr="0053409C">
        <w:rPr>
          <w:rFonts w:ascii="Arial" w:eastAsia="Calibri" w:hAnsi="Arial" w:cs="Arial"/>
          <w:color w:val="000000"/>
          <w:lang w:val="es-MX"/>
        </w:rPr>
        <w:lastRenderedPageBreak/>
        <w:t xml:space="preserve">En todo caso, </w:t>
      </w:r>
      <w:r w:rsidRPr="0053409C">
        <w:rPr>
          <w:rFonts w:ascii="Arial" w:eastAsia="Calibri" w:hAnsi="Arial" w:cs="Arial"/>
          <w:color w:val="000000"/>
          <w:lang w:val="es-ES"/>
        </w:rPr>
        <w:t xml:space="preserve">la Subdirección –dentro de los límites de sus atribuciones, esto es, </w:t>
      </w:r>
      <w:bookmarkStart w:id="7" w:name="_Hlk61025408"/>
      <w:r w:rsidRPr="0053409C">
        <w:rPr>
          <w:rFonts w:ascii="Arial" w:eastAsia="Calibri" w:hAnsi="Arial" w:cs="Arial"/>
          <w:color w:val="000000"/>
          <w:lang w:val="es-ES"/>
        </w:rPr>
        <w:t>haciendo abstracción del caso particular expuesto por el peticionario</w:t>
      </w:r>
      <w:bookmarkEnd w:id="7"/>
      <w:r w:rsidRPr="0053409C">
        <w:rPr>
          <w:rFonts w:ascii="Arial" w:eastAsia="Calibri" w:hAnsi="Arial" w:cs="Arial"/>
          <w:color w:val="000000"/>
          <w:lang w:val="es-ES"/>
        </w:rPr>
        <w:t>– resolverá la consulta conforme a las normas generales en materia de contratación estatal.</w:t>
      </w:r>
      <w:r>
        <w:rPr>
          <w:rFonts w:ascii="Arial" w:eastAsia="Calibri" w:hAnsi="Arial" w:cs="Arial"/>
          <w:color w:val="000000"/>
          <w:lang w:val="es-ES"/>
        </w:rPr>
        <w:t xml:space="preserve"> En este sentido, </w:t>
      </w:r>
      <w:r>
        <w:rPr>
          <w:rFonts w:ascii="Arial" w:eastAsia="Times New Roman" w:hAnsi="Arial" w:cs="Arial"/>
          <w:lang w:val="es-ES" w:eastAsia="es-ES_tradnl"/>
        </w:rPr>
        <w:t>p</w:t>
      </w:r>
      <w:r w:rsidR="004A182D" w:rsidRPr="004A182D">
        <w:rPr>
          <w:rFonts w:ascii="Arial" w:eastAsia="Times New Roman" w:hAnsi="Arial" w:cs="Arial"/>
          <w:lang w:val="es-ES" w:eastAsia="es-ES_tradnl"/>
        </w:rPr>
        <w:t>ara absolver los interrogantes formulados, esta dependencia analizará los siguientes temas:</w:t>
      </w:r>
      <w:r w:rsidR="004A182D" w:rsidRPr="004A182D">
        <w:rPr>
          <w:rFonts w:ascii="Arial" w:eastAsia="Calibri" w:hAnsi="Arial" w:cs="Arial"/>
          <w:lang w:val="es-ES_tradnl"/>
        </w:rPr>
        <w:t xml:space="preserve"> i) </w:t>
      </w:r>
      <w:r w:rsidR="004A182D" w:rsidRPr="004A182D">
        <w:rPr>
          <w:rFonts w:ascii="Arial" w:eastAsia="Calibri" w:hAnsi="Arial" w:cs="Arial"/>
          <w:color w:val="000000" w:themeColor="text1"/>
          <w:lang w:val="es-ES_tradnl"/>
        </w:rPr>
        <w:t>Fundamento normativo de los documentos tipo, en particular</w:t>
      </w:r>
      <w:r w:rsidR="00AE25A1">
        <w:rPr>
          <w:rFonts w:ascii="Arial" w:eastAsia="Calibri" w:hAnsi="Arial" w:cs="Arial"/>
          <w:color w:val="000000" w:themeColor="text1"/>
          <w:lang w:val="es-ES_tradnl"/>
        </w:rPr>
        <w:t>,</w:t>
      </w:r>
      <w:r w:rsidR="004A182D" w:rsidRPr="004A182D">
        <w:rPr>
          <w:rFonts w:ascii="Arial" w:eastAsia="Calibri" w:hAnsi="Arial" w:cs="Arial"/>
          <w:color w:val="000000" w:themeColor="text1"/>
          <w:lang w:val="es-ES_tradnl"/>
        </w:rPr>
        <w:t xml:space="preserve"> el documento tipo para interventoría de obras de infraestructura de transporte</w:t>
      </w:r>
      <w:r w:rsidR="004A182D">
        <w:rPr>
          <w:rFonts w:ascii="Arial" w:eastAsia="Calibri" w:hAnsi="Arial" w:cs="Arial"/>
          <w:lang w:val="es-ES_tradnl"/>
        </w:rPr>
        <w:t xml:space="preserve"> y</w:t>
      </w:r>
      <w:r w:rsidR="004A182D" w:rsidRPr="004A182D">
        <w:rPr>
          <w:rFonts w:ascii="Arial" w:eastAsia="Calibri" w:hAnsi="Arial" w:cs="Arial"/>
          <w:lang w:val="es-ES_tradnl"/>
        </w:rPr>
        <w:t xml:space="preserve"> ii) subsanabilidad de la experiencia mínima habilitante del proponente en los documentos tipo para procesos de selección de concurso de méritos, para contratar la interventoría de obras públicas de infraestructura de transport</w:t>
      </w:r>
      <w:r w:rsidR="004A182D" w:rsidRPr="004A182D">
        <w:rPr>
          <w:rFonts w:ascii="Arial" w:eastAsia="Calibri" w:hAnsi="Arial" w:cs="Arial"/>
          <w:color w:val="000000" w:themeColor="text1"/>
          <w:lang w:val="es-ES_tradnl"/>
        </w:rPr>
        <w:t>e</w:t>
      </w:r>
      <w:r w:rsidR="004A182D" w:rsidRPr="0053409C">
        <w:rPr>
          <w:rFonts w:ascii="Arial" w:eastAsia="Calibri" w:hAnsi="Arial" w:cs="Arial"/>
          <w:color w:val="000000" w:themeColor="text1"/>
          <w:lang w:val="es-ES_tradnl"/>
        </w:rPr>
        <w:t>.</w:t>
      </w:r>
    </w:p>
    <w:p w14:paraId="290BB2C6" w14:textId="720DE2F2" w:rsidR="004A182D" w:rsidRPr="004A182D" w:rsidRDefault="004A182D" w:rsidP="000233A8">
      <w:pPr>
        <w:spacing w:after="0" w:line="276" w:lineRule="auto"/>
        <w:ind w:firstLine="709"/>
        <w:jc w:val="both"/>
        <w:rPr>
          <w:rFonts w:ascii="Arial" w:eastAsia="Calibri" w:hAnsi="Arial" w:cs="Arial"/>
          <w:color w:val="000000" w:themeColor="text1"/>
          <w:lang w:val="es-ES_tradnl"/>
        </w:rPr>
      </w:pPr>
      <w:r w:rsidRPr="0053409C">
        <w:rPr>
          <w:rFonts w:ascii="Arial" w:eastAsia="Calibri" w:hAnsi="Arial" w:cs="Arial"/>
          <w:color w:val="000000" w:themeColor="text1"/>
          <w:lang w:val="es-ES_tradnl"/>
        </w:rPr>
        <w:t>En</w:t>
      </w:r>
      <w:r>
        <w:rPr>
          <w:rFonts w:ascii="Arial" w:eastAsia="Arial" w:hAnsi="Arial" w:cs="Arial"/>
          <w:lang w:val="es-ES_tradnl"/>
        </w:rPr>
        <w:t xml:space="preserve"> </w:t>
      </w:r>
      <w:r w:rsidRPr="009C0CE5">
        <w:rPr>
          <w:rFonts w:ascii="Arial" w:eastAsia="Calibri" w:hAnsi="Arial" w:cs="Arial"/>
          <w:color w:val="000000" w:themeColor="text1"/>
          <w:lang w:val="es-ES_tradnl"/>
        </w:rPr>
        <w:t>relación con la experiencia mínima habilitante del proponente en los documentos tipo para procesos de selección de concurso de méritos, para contratar la interventoría de obras públicas de infraestructura de transporte, esta Agencia, se ha pronunciado, entre otros, en los conceptos C-228 del 4 de mayo de 2021</w:t>
      </w:r>
      <w:r>
        <w:rPr>
          <w:rFonts w:ascii="Arial" w:eastAsia="Calibri" w:hAnsi="Arial" w:cs="Arial"/>
          <w:color w:val="000000" w:themeColor="text1"/>
          <w:lang w:val="es-ES_tradnl"/>
        </w:rPr>
        <w:t xml:space="preserve">, </w:t>
      </w:r>
      <w:r w:rsidRPr="009C0CE5">
        <w:rPr>
          <w:rFonts w:ascii="Arial" w:eastAsia="Calibri" w:hAnsi="Arial" w:cs="Arial"/>
          <w:color w:val="000000" w:themeColor="text1"/>
          <w:lang w:val="es-ES_tradnl"/>
        </w:rPr>
        <w:t>C-332 del 7 de mayo de 2021</w:t>
      </w:r>
      <w:r>
        <w:rPr>
          <w:rFonts w:ascii="Arial" w:eastAsia="Calibri" w:hAnsi="Arial" w:cs="Arial"/>
          <w:color w:val="000000" w:themeColor="text1"/>
          <w:lang w:val="es-ES_tradnl"/>
        </w:rPr>
        <w:t xml:space="preserve"> y C-425 del 19 de agosto de 2021</w:t>
      </w:r>
      <w:r w:rsidRPr="009C0CE5">
        <w:rPr>
          <w:rFonts w:ascii="Arial" w:eastAsia="Calibri" w:hAnsi="Arial" w:cs="Arial"/>
          <w:color w:val="000000" w:themeColor="text1"/>
          <w:lang w:val="es-ES_tradnl"/>
        </w:rPr>
        <w:t>.</w:t>
      </w:r>
      <w:r w:rsidR="00C6374A">
        <w:rPr>
          <w:rFonts w:ascii="Arial" w:eastAsia="Calibri" w:hAnsi="Arial" w:cs="Arial"/>
          <w:color w:val="000000" w:themeColor="text1"/>
          <w:lang w:val="es-ES_tradnl"/>
        </w:rPr>
        <w:t xml:space="preserve"> </w:t>
      </w:r>
      <w:r w:rsidRPr="004A182D">
        <w:rPr>
          <w:rFonts w:ascii="Arial" w:eastAsia="Calibri" w:hAnsi="Arial" w:cs="Arial"/>
          <w:color w:val="000000" w:themeColor="text1"/>
          <w:lang w:val="es-ES_tradnl"/>
        </w:rPr>
        <w:t>En cuanto a los criterios que deben ten</w:t>
      </w:r>
      <w:r w:rsidR="00C6374A">
        <w:rPr>
          <w:rFonts w:ascii="Arial" w:eastAsia="Calibri" w:hAnsi="Arial" w:cs="Arial"/>
          <w:color w:val="000000" w:themeColor="text1"/>
          <w:lang w:val="es-ES_tradnl"/>
        </w:rPr>
        <w:t>erse</w:t>
      </w:r>
      <w:r w:rsidRPr="004A182D">
        <w:rPr>
          <w:rFonts w:ascii="Arial" w:eastAsia="Calibri" w:hAnsi="Arial" w:cs="Arial"/>
          <w:color w:val="000000" w:themeColor="text1"/>
          <w:lang w:val="es-ES_tradnl"/>
        </w:rPr>
        <w:t xml:space="preserve"> en cuenta para la subsanabilidad de las propuestas, esta Agencia unificó su criterio mediante el concepto C</w:t>
      </w:r>
      <w:r w:rsidR="00C6374A">
        <w:rPr>
          <w:rFonts w:ascii="Arial" w:eastAsia="Calibri" w:hAnsi="Arial" w:cs="Arial"/>
          <w:color w:val="000000" w:themeColor="text1"/>
          <w:lang w:val="es-ES_tradnl"/>
        </w:rPr>
        <w:t>U</w:t>
      </w:r>
      <w:r w:rsidRPr="004A182D">
        <w:rPr>
          <w:rFonts w:ascii="Arial" w:eastAsia="Calibri" w:hAnsi="Arial" w:cs="Arial"/>
          <w:color w:val="000000" w:themeColor="text1"/>
          <w:lang w:val="es-ES_tradnl"/>
        </w:rPr>
        <w:t xml:space="preserve">-060 del 16 de enero de 2020, reiterado por los conceptos C-218 del 2 de febrero de 2020, C-267 del 4 de mayo de 2020, C-283 del 4 de mayo de 2020, C-307 del 21 de mayo de 2020, C-365 del 30 de junio de 2020, C-391 del 10 de agosto de 2020, C-675 del 25 de noviembre de 2020, C-683 del 25 de noviembre de 2020, C-730 del 14 de diciembre de 2020 y C-779 de 18 de enero de 2021. Particularmente, en </w:t>
      </w:r>
      <w:r>
        <w:rPr>
          <w:rFonts w:ascii="Arial" w:eastAsia="Calibri" w:hAnsi="Arial" w:cs="Arial"/>
          <w:color w:val="000000" w:themeColor="text1"/>
          <w:lang w:val="es-ES_tradnl"/>
        </w:rPr>
        <w:t xml:space="preserve">los </w:t>
      </w:r>
      <w:r w:rsidRPr="004A182D">
        <w:rPr>
          <w:rFonts w:ascii="Arial" w:eastAsia="Calibri" w:hAnsi="Arial" w:cs="Arial"/>
          <w:color w:val="000000" w:themeColor="text1"/>
          <w:lang w:val="es-ES_tradnl"/>
        </w:rPr>
        <w:t>concepto</w:t>
      </w:r>
      <w:r>
        <w:rPr>
          <w:rFonts w:ascii="Arial" w:eastAsia="Calibri" w:hAnsi="Arial" w:cs="Arial"/>
          <w:color w:val="000000" w:themeColor="text1"/>
          <w:lang w:val="es-ES_tradnl"/>
        </w:rPr>
        <w:t>s</w:t>
      </w:r>
      <w:r w:rsidRPr="004A182D">
        <w:rPr>
          <w:rFonts w:ascii="Arial" w:eastAsia="Calibri" w:hAnsi="Arial" w:cs="Arial"/>
          <w:color w:val="000000" w:themeColor="text1"/>
          <w:lang w:val="es-ES_tradnl"/>
        </w:rPr>
        <w:t xml:space="preserve"> C-055 del 10 de marzo de 2021</w:t>
      </w:r>
      <w:r>
        <w:rPr>
          <w:rFonts w:ascii="Arial" w:eastAsia="Calibri" w:hAnsi="Arial" w:cs="Arial"/>
          <w:color w:val="000000" w:themeColor="text1"/>
          <w:lang w:val="es-ES_tradnl"/>
        </w:rPr>
        <w:t xml:space="preserve"> y C-332 del 7 de mayo de 2021,</w:t>
      </w:r>
      <w:r w:rsidRPr="004A182D">
        <w:rPr>
          <w:rFonts w:ascii="Arial" w:eastAsia="Calibri" w:hAnsi="Arial" w:cs="Arial"/>
          <w:color w:val="000000" w:themeColor="text1"/>
          <w:lang w:val="es-ES_tradnl"/>
        </w:rPr>
        <w:t xml:space="preserve"> se estudió la aplicación de la regla de subsanabilidad en los procesos de concurso de méritos adelantados con documentos tipo de interventoría de obra pública de infraestructura de transporte. Las tesis expuestas en los anteriores conceptos se reiteran a continuación y se complementan en lo pertinente.</w:t>
      </w:r>
    </w:p>
    <w:p w14:paraId="40D623B5" w14:textId="77777777" w:rsidR="004A182D" w:rsidRPr="004A182D" w:rsidRDefault="004A182D" w:rsidP="004A182D">
      <w:pPr>
        <w:spacing w:after="0" w:line="276" w:lineRule="auto"/>
        <w:jc w:val="both"/>
        <w:rPr>
          <w:rFonts w:ascii="Arial" w:eastAsia="Arial" w:hAnsi="Arial" w:cs="Arial"/>
          <w:b/>
          <w:bCs/>
          <w:color w:val="000000"/>
          <w:lang w:val="es-ES_tradnl"/>
        </w:rPr>
      </w:pPr>
    </w:p>
    <w:p w14:paraId="72249F0F" w14:textId="19C859EC" w:rsidR="004A182D" w:rsidRPr="004A182D" w:rsidRDefault="004A182D" w:rsidP="004A182D">
      <w:pPr>
        <w:spacing w:after="0" w:line="276" w:lineRule="auto"/>
        <w:jc w:val="both"/>
        <w:rPr>
          <w:rFonts w:ascii="Arial" w:eastAsia="Arial" w:hAnsi="Arial" w:cs="Arial"/>
          <w:b/>
          <w:bCs/>
          <w:color w:val="000000"/>
          <w:lang w:val="es-ES_tradnl"/>
        </w:rPr>
      </w:pPr>
      <w:r w:rsidRPr="004A182D">
        <w:rPr>
          <w:rFonts w:ascii="Arial" w:eastAsia="Arial" w:hAnsi="Arial" w:cs="Arial"/>
          <w:b/>
          <w:bCs/>
          <w:color w:val="000000"/>
          <w:lang w:val="es-ES_tradnl"/>
        </w:rPr>
        <w:t>2.1. Fundamento normativo de los documentos tipo</w:t>
      </w:r>
      <w:r w:rsidR="00C6374A">
        <w:rPr>
          <w:rFonts w:ascii="Arial" w:eastAsia="Arial" w:hAnsi="Arial" w:cs="Arial"/>
          <w:b/>
          <w:bCs/>
          <w:color w:val="000000"/>
          <w:lang w:val="es-ES_tradnl"/>
        </w:rPr>
        <w:t>, e</w:t>
      </w:r>
      <w:r w:rsidRPr="004A182D">
        <w:rPr>
          <w:rFonts w:ascii="Arial" w:eastAsia="Arial" w:hAnsi="Arial" w:cs="Arial"/>
          <w:b/>
          <w:bCs/>
          <w:color w:val="000000"/>
          <w:lang w:val="es-ES_tradnl"/>
        </w:rPr>
        <w:t>n particular el documento tipo para interventoría de obras de infraestructura de transporte</w:t>
      </w:r>
    </w:p>
    <w:p w14:paraId="01F6E728" w14:textId="77777777" w:rsidR="004A182D" w:rsidRPr="004A182D" w:rsidRDefault="004A182D" w:rsidP="004A182D">
      <w:pPr>
        <w:spacing w:after="0" w:line="240" w:lineRule="auto"/>
        <w:jc w:val="both"/>
        <w:rPr>
          <w:rFonts w:ascii="Arial" w:eastAsia="Calibri" w:hAnsi="Arial" w:cs="Arial"/>
          <w:color w:val="000000"/>
          <w:lang w:val="es-ES_tradnl"/>
        </w:rPr>
      </w:pPr>
    </w:p>
    <w:p w14:paraId="780EA1CD" w14:textId="30A04E6C" w:rsidR="004A182D" w:rsidRPr="004A182D" w:rsidRDefault="004A182D" w:rsidP="004A182D">
      <w:pPr>
        <w:spacing w:after="120" w:line="276" w:lineRule="auto"/>
        <w:jc w:val="both"/>
        <w:rPr>
          <w:rFonts w:ascii="Arial" w:eastAsia="Calibri" w:hAnsi="Arial" w:cs="Arial"/>
          <w:color w:val="000000"/>
          <w:lang w:val="es-ES_tradnl"/>
        </w:rPr>
      </w:pPr>
      <w:r w:rsidRPr="004A182D">
        <w:rPr>
          <w:rFonts w:ascii="Arial" w:eastAsia="Calibri" w:hAnsi="Arial" w:cs="Arial"/>
          <w:color w:val="000000"/>
          <w:lang w:val="es-ES_tradnl"/>
        </w:rPr>
        <w:t>La adopción de los documentos tipo obligatorios en el ordenamiento jurídico colombiano se incluyó por primera vez en el parágrafo 3 del artículo 2 de la Ley 1150 de 2007, que facultó al gobierno nacional para expedirlos, pero solo cuando se tratara de la adquisición o suministro de bienes y servicios de características técnicas uniformes y de común utilización</w:t>
      </w:r>
      <w:r w:rsidR="00C6374A" w:rsidRPr="004A182D">
        <w:rPr>
          <w:rFonts w:ascii="Arial" w:eastAsia="Calibri" w:hAnsi="Arial" w:cs="Arial"/>
          <w:color w:val="000000"/>
          <w:vertAlign w:val="superscript"/>
          <w:lang w:val="es-ES_tradnl"/>
        </w:rPr>
        <w:footnoteReference w:id="3"/>
      </w:r>
      <w:r w:rsidRPr="004A182D">
        <w:rPr>
          <w:rFonts w:ascii="Arial" w:eastAsia="Calibri" w:hAnsi="Arial" w:cs="Arial"/>
          <w:color w:val="000000"/>
          <w:lang w:val="es-ES_tradnl"/>
        </w:rPr>
        <w:t xml:space="preserve">. </w:t>
      </w:r>
    </w:p>
    <w:p w14:paraId="64621F1F" w14:textId="77777777" w:rsidR="004A182D" w:rsidRPr="004A182D" w:rsidRDefault="004A182D" w:rsidP="004A182D">
      <w:pPr>
        <w:spacing w:after="0" w:line="276" w:lineRule="auto"/>
        <w:ind w:firstLine="708"/>
        <w:jc w:val="both"/>
        <w:rPr>
          <w:rFonts w:ascii="Arial" w:eastAsia="Calibri" w:hAnsi="Arial" w:cs="Arial"/>
          <w:color w:val="000000"/>
          <w:lang w:val="es-ES_tradnl"/>
        </w:rPr>
      </w:pPr>
      <w:r w:rsidRPr="004A182D">
        <w:rPr>
          <w:rFonts w:ascii="Arial" w:eastAsia="Calibri" w:hAnsi="Arial" w:cs="Arial"/>
          <w:color w:val="000000"/>
          <w:lang w:val="es-ES_tradnl"/>
        </w:rPr>
        <w:lastRenderedPageBreak/>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Es importante señalar que en virtud de la Ley 1882 de 2018 se expidieron varios documentos tipo para el sector de infraestructura de transporte y, por tanto, es importante explicar el procedimiento previsto en dicho cuerpo normativo. </w:t>
      </w:r>
    </w:p>
    <w:p w14:paraId="2350DD87" w14:textId="10ED60BA" w:rsidR="004A182D" w:rsidRPr="004A182D" w:rsidRDefault="004A182D" w:rsidP="004A182D">
      <w:pPr>
        <w:spacing w:before="120" w:after="120" w:line="276" w:lineRule="auto"/>
        <w:ind w:firstLine="708"/>
        <w:jc w:val="both"/>
        <w:rPr>
          <w:rFonts w:ascii="Arial" w:eastAsia="Calibri" w:hAnsi="Arial" w:cs="Arial"/>
          <w:color w:val="000000"/>
          <w:lang w:val="es-ES_tradnl"/>
        </w:rPr>
      </w:pPr>
      <w:r w:rsidRPr="004A182D">
        <w:rPr>
          <w:rFonts w:ascii="Arial" w:eastAsia="Calibri" w:hAnsi="Arial" w:cs="Arial"/>
          <w:color w:val="000000"/>
          <w:lang w:val="es-ES_tradnl"/>
        </w:rPr>
        <w:t>La Ley 1882 de 2018, en el artículo 4, establecía que el gobierno nacional adoptaría los documentos tipo para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4A182D">
        <w:rPr>
          <w:rFonts w:ascii="Arial" w:eastAsia="Calibri" w:hAnsi="Arial" w:cs="Arial"/>
          <w:color w:val="000000"/>
          <w:vertAlign w:val="superscript"/>
          <w:lang w:val="es-ES_tradnl"/>
        </w:rPr>
        <w:footnoteReference w:id="4"/>
      </w:r>
      <w:r w:rsidRPr="004A182D">
        <w:rPr>
          <w:rFonts w:ascii="Arial" w:eastAsia="Calibri" w:hAnsi="Arial" w:cs="Arial"/>
          <w:color w:val="000000"/>
          <w:lang w:val="es-ES_tradnl"/>
        </w:rPr>
        <w:t>.</w:t>
      </w:r>
    </w:p>
    <w:p w14:paraId="704F41C8" w14:textId="7DA46ABA" w:rsidR="004A182D" w:rsidRPr="004A182D" w:rsidRDefault="004A182D" w:rsidP="004A182D">
      <w:pPr>
        <w:spacing w:before="120" w:after="120" w:line="276" w:lineRule="auto"/>
        <w:jc w:val="both"/>
        <w:rPr>
          <w:rFonts w:ascii="Arial" w:eastAsia="Calibri" w:hAnsi="Arial" w:cs="Arial"/>
          <w:color w:val="000000"/>
          <w:lang w:val="es-ES_tradnl"/>
        </w:rPr>
      </w:pPr>
      <w:r w:rsidRPr="004A182D">
        <w:rPr>
          <w:rFonts w:ascii="Arial" w:eastAsia="Calibri" w:hAnsi="Arial" w:cs="Arial"/>
          <w:color w:val="000000"/>
          <w:lang w:val="es-ES_tradnl"/>
        </w:rPr>
        <w:tab/>
      </w:r>
      <w:r w:rsidR="00C6374A">
        <w:rPr>
          <w:rFonts w:ascii="Arial" w:eastAsia="Calibri" w:hAnsi="Arial" w:cs="Arial"/>
          <w:color w:val="000000"/>
          <w:lang w:val="es-ES_tradnl"/>
        </w:rPr>
        <w:t>Además</w:t>
      </w:r>
      <w:r w:rsidRPr="004A182D">
        <w:rPr>
          <w:rFonts w:ascii="Arial" w:eastAsia="Calibri" w:hAnsi="Arial" w:cs="Arial"/>
          <w:color w:val="000000"/>
          <w:lang w:val="es-ES_tradnl"/>
        </w:rPr>
        <w:t xml:space="preserve">,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estos efectos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2B9B8946" w14:textId="77777777" w:rsidR="004A182D" w:rsidRPr="004A182D" w:rsidRDefault="004A182D" w:rsidP="004A182D">
      <w:pPr>
        <w:spacing w:before="120" w:after="120" w:line="276" w:lineRule="auto"/>
        <w:jc w:val="both"/>
        <w:rPr>
          <w:rFonts w:ascii="Arial" w:eastAsia="Calibri" w:hAnsi="Arial" w:cs="Arial"/>
          <w:color w:val="000000"/>
          <w:lang w:val="es-ES_tradnl"/>
        </w:rPr>
      </w:pPr>
      <w:r w:rsidRPr="004A182D">
        <w:rPr>
          <w:rFonts w:ascii="Arial" w:eastAsia="Calibri" w:hAnsi="Arial" w:cs="Arial"/>
          <w:color w:val="000000"/>
          <w:lang w:val="es-ES_tradnl"/>
        </w:rPr>
        <w:tab/>
        <w:t xml:space="preserve">De la norma descrita se desprendía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w:t>
      </w:r>
      <w:r w:rsidRPr="004A182D">
        <w:rPr>
          <w:rFonts w:ascii="Arial" w:eastAsia="Calibri" w:hAnsi="Arial" w:cs="Arial"/>
          <w:color w:val="000000"/>
          <w:lang w:val="es-ES_tradnl"/>
        </w:rPr>
        <w:lastRenderedPageBreak/>
        <w:t xml:space="preserve">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08EE0066" w14:textId="77777777" w:rsidR="004A182D" w:rsidRPr="004A182D" w:rsidRDefault="004A182D" w:rsidP="004A182D">
      <w:pPr>
        <w:spacing w:before="120" w:after="120" w:line="276" w:lineRule="auto"/>
        <w:jc w:val="both"/>
        <w:rPr>
          <w:rFonts w:ascii="Arial" w:eastAsia="Calibri" w:hAnsi="Arial" w:cs="Arial"/>
          <w:color w:val="000000"/>
          <w:lang w:val="es-ES_tradnl"/>
        </w:rPr>
      </w:pPr>
      <w:r w:rsidRPr="004A182D">
        <w:rPr>
          <w:rFonts w:ascii="Arial" w:eastAsia="Calibri" w:hAnsi="Arial" w:cs="Arial"/>
          <w:color w:val="000000"/>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8" w:name="_Hlk48665985"/>
      <w:r w:rsidRPr="004A182D">
        <w:rPr>
          <w:rFonts w:ascii="Arial" w:eastAsia="Calibri" w:hAnsi="Arial" w:cs="Arial"/>
          <w:color w:val="000000"/>
          <w:lang w:val="es-ES_tradnl"/>
        </w:rPr>
        <w:t>y los criterios de escogencia, elementos propios del procedimiento de selección del contratista, materia en la que existe reserva de ley y que no se encuentra atribuida a la regulación de las entidades territoriales</w:t>
      </w:r>
      <w:bookmarkEnd w:id="8"/>
      <w:r w:rsidRPr="004A182D">
        <w:rPr>
          <w:rFonts w:ascii="Arial" w:eastAsia="Calibri" w:hAnsi="Arial" w:cs="Arial"/>
          <w:color w:val="000000"/>
          <w:lang w:val="es-ES_tradnl"/>
        </w:rPr>
        <w:t>. De igual manera, se establece que esta autonomía se garantiza con la identificación autónoma de sus necesidades y la configuración de los elementos del contrato</w:t>
      </w:r>
      <w:r w:rsidRPr="004A182D">
        <w:rPr>
          <w:rFonts w:ascii="Arial" w:eastAsia="Calibri" w:hAnsi="Arial" w:cs="Arial"/>
          <w:color w:val="000000"/>
          <w:vertAlign w:val="superscript"/>
          <w:lang w:val="es-ES_tradnl"/>
        </w:rPr>
        <w:footnoteReference w:id="5"/>
      </w:r>
      <w:r w:rsidRPr="004A182D">
        <w:rPr>
          <w:rFonts w:ascii="Arial" w:eastAsia="Calibri" w:hAnsi="Arial" w:cs="Arial"/>
          <w:color w:val="000000"/>
          <w:lang w:val="es-ES_tradnl"/>
        </w:rPr>
        <w:t>.</w:t>
      </w:r>
    </w:p>
    <w:p w14:paraId="2D9204D9" w14:textId="77777777" w:rsidR="004A182D" w:rsidRPr="004A182D" w:rsidRDefault="004A182D" w:rsidP="004A182D">
      <w:pPr>
        <w:spacing w:before="120" w:after="120" w:line="276" w:lineRule="auto"/>
        <w:jc w:val="both"/>
        <w:rPr>
          <w:rFonts w:ascii="Arial" w:eastAsia="Calibri" w:hAnsi="Arial" w:cs="Arial"/>
          <w:color w:val="000000"/>
          <w:lang w:val="es-ES_tradnl"/>
        </w:rPr>
      </w:pPr>
      <w:r w:rsidRPr="004A182D">
        <w:rPr>
          <w:rFonts w:ascii="Arial" w:eastAsia="Calibri" w:hAnsi="Arial" w:cs="Arial"/>
          <w:color w:val="000000"/>
          <w:lang w:val="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esta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55D0D0B9" w14:textId="77777777" w:rsidR="004A182D" w:rsidRPr="004A182D" w:rsidRDefault="004A182D" w:rsidP="004A182D">
      <w:pPr>
        <w:spacing w:before="120" w:after="120" w:line="276" w:lineRule="auto"/>
        <w:jc w:val="both"/>
        <w:rPr>
          <w:rFonts w:ascii="Arial" w:eastAsia="Calibri" w:hAnsi="Arial" w:cs="Arial"/>
          <w:lang w:val="es-ES_tradnl"/>
        </w:rPr>
      </w:pPr>
      <w:r w:rsidRPr="004A182D">
        <w:rPr>
          <w:rFonts w:ascii="Arial" w:eastAsia="Calibri" w:hAnsi="Arial" w:cs="Arial"/>
          <w:color w:val="000000"/>
          <w:lang w:val="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4A182D">
        <w:rPr>
          <w:rFonts w:ascii="Arial" w:eastAsia="Calibri" w:hAnsi="Arial" w:cs="Arial"/>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w:t>
      </w:r>
      <w:r w:rsidRPr="004A182D">
        <w:rPr>
          <w:rFonts w:ascii="Arial" w:eastAsia="Calibri" w:hAnsi="Arial" w:cs="Arial"/>
          <w:lang w:val="es-ES_tradnl"/>
        </w:rPr>
        <w:lastRenderedPageBreak/>
        <w:t xml:space="preserve">el Decreto 342 del 5 de marzo de 2019, relacionado con los documentos tipo para los procesos de selección de licitación de obra pública de infraestructura de transporte. </w:t>
      </w:r>
    </w:p>
    <w:p w14:paraId="46E42585" w14:textId="77777777" w:rsidR="004A182D" w:rsidRPr="004A182D" w:rsidRDefault="004A182D" w:rsidP="004A182D">
      <w:pPr>
        <w:spacing w:before="120" w:after="120" w:line="276" w:lineRule="auto"/>
        <w:ind w:firstLine="708"/>
        <w:jc w:val="both"/>
        <w:rPr>
          <w:rFonts w:ascii="Arial" w:eastAsia="Calibri" w:hAnsi="Arial" w:cs="Arial"/>
          <w:color w:val="000000"/>
          <w:lang w:val="es-ES_tradnl"/>
        </w:rPr>
      </w:pPr>
      <w:r w:rsidRPr="004A182D">
        <w:rPr>
          <w:rFonts w:ascii="Arial" w:eastAsia="Calibri" w:hAnsi="Arial" w:cs="Arial"/>
          <w:lang w:val="es-ES_tradnl"/>
        </w:rPr>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4A182D" w:rsidDel="00A434AB">
        <w:rPr>
          <w:rFonts w:ascii="Arial" w:eastAsia="Calibri" w:hAnsi="Arial" w:cs="Arial"/>
          <w:lang w:val="es-ES_tradnl"/>
        </w:rPr>
        <w:t xml:space="preserve"> </w:t>
      </w:r>
      <w:r w:rsidRPr="004A182D">
        <w:rPr>
          <w:rFonts w:ascii="Arial" w:eastAsia="Calibri" w:hAnsi="Arial" w:cs="Arial"/>
          <w:lang w:val="es-ES_tradnl"/>
        </w:rPr>
        <w:t xml:space="preserve">de infraestructura de transporte que se surtieran por la modalidad de mínima cuantía. Estos documentos fueron implementados y desarrollados por la Agencia Nacional de Contratación Pública </w:t>
      </w:r>
      <w:bookmarkStart w:id="9" w:name="_Hlk37841850"/>
      <w:r w:rsidRPr="004A182D">
        <w:rPr>
          <w:rFonts w:ascii="Arial" w:eastAsia="Calibri" w:hAnsi="Arial" w:cs="Arial"/>
          <w:lang w:val="es-ES_tradnl"/>
        </w:rPr>
        <w:t xml:space="preserve">– Colombia Compra Eficiente, </w:t>
      </w:r>
      <w:bookmarkEnd w:id="9"/>
      <w:r w:rsidRPr="004A182D">
        <w:rPr>
          <w:rFonts w:ascii="Arial" w:eastAsia="Calibri" w:hAnsi="Arial" w:cs="Arial"/>
          <w:lang w:val="es-ES_tradnl"/>
        </w:rPr>
        <w:t>por medio de la Resolución 1798 de 1 de abril de 2019 –derogada por la Resolución 045 del 14 de febrero de 2020–, la Resolución 044 del 14 de febrero de 2020 y la Resolución 094 del 21 de mayo de 2020.</w:t>
      </w:r>
    </w:p>
    <w:p w14:paraId="05CC8ED9" w14:textId="77777777" w:rsidR="009A19B3" w:rsidRDefault="004A182D" w:rsidP="000233A8">
      <w:pPr>
        <w:ind w:firstLine="708"/>
        <w:jc w:val="both"/>
        <w:rPr>
          <w:rFonts w:ascii="Times New Roman" w:hAnsi="Times New Roman" w:cs="Times New Roman"/>
          <w:szCs w:val="24"/>
          <w:lang w:eastAsia="es-MX"/>
        </w:rPr>
      </w:pPr>
      <w:r w:rsidRPr="004A182D">
        <w:rPr>
          <w:rFonts w:ascii="Arial" w:eastAsia="Calibri" w:hAnsi="Arial" w:cs="Arial"/>
          <w:color w:val="000000" w:themeColor="text1"/>
          <w:lang w:val="es-ES_tradnl" w:eastAsia="es-ES"/>
        </w:rPr>
        <w:t>Por otra parte</w:t>
      </w:r>
      <w:r w:rsidRPr="004A182D">
        <w:rPr>
          <w:rFonts w:ascii="Arial" w:eastAsia="Calibri" w:hAnsi="Arial" w:cs="Arial"/>
          <w:i/>
          <w:iCs/>
          <w:color w:val="000000" w:themeColor="text1"/>
          <w:lang w:val="es-ES_tradnl" w:eastAsia="es-ES"/>
        </w:rPr>
        <w:t>,</w:t>
      </w:r>
      <w:r w:rsidRPr="004A182D">
        <w:rPr>
          <w:rFonts w:ascii="Arial" w:eastAsia="Calibri" w:hAnsi="Arial" w:cs="Arial"/>
          <w:color w:val="000000" w:themeColor="text1"/>
          <w:lang w:val="es-ES_tradnl" w:eastAsia="es-ES"/>
        </w:rPr>
        <w:t xml:space="preserve"> </w:t>
      </w:r>
      <w:r w:rsidR="009A19B3">
        <w:rPr>
          <w:rFonts w:ascii="Arial" w:hAnsi="Arial" w:cs="Arial"/>
          <w:color w:val="0D0D0D"/>
          <w:bdr w:val="none" w:sz="0" w:space="0" w:color="auto" w:frame="1"/>
          <w:lang w:eastAsia="es-CO"/>
        </w:rPr>
        <w:t>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009A19B3">
        <w:rPr>
          <w:rStyle w:val="Refdenotaalpie"/>
          <w:rFonts w:ascii="Arial" w:hAnsi="Arial" w:cs="Arial"/>
          <w:color w:val="0D0D0D"/>
          <w:bdr w:val="none" w:sz="0" w:space="0" w:color="auto" w:frame="1"/>
          <w:lang w:eastAsia="es-CO"/>
        </w:rPr>
        <w:footnoteReference w:id="6"/>
      </w:r>
      <w:r w:rsidR="009A19B3">
        <w:rPr>
          <w:rFonts w:ascii="Arial" w:hAnsi="Arial" w:cs="Arial"/>
          <w:color w:val="0D0D0D"/>
          <w:bdr w:val="none" w:sz="0" w:space="0" w:color="auto" w:frame="1"/>
          <w:lang w:eastAsia="es-CO"/>
        </w:rPr>
        <w:t>.  </w:t>
      </w:r>
      <w:r w:rsidR="009A19B3">
        <w:rPr>
          <w:rFonts w:ascii="Times New Roman" w:hAnsi="Times New Roman" w:cs="Times New Roman"/>
          <w:szCs w:val="24"/>
          <w:lang w:eastAsia="es-MX"/>
        </w:rPr>
        <w:t xml:space="preserve"> </w:t>
      </w:r>
    </w:p>
    <w:p w14:paraId="2B5A4611" w14:textId="264ED382" w:rsidR="00C6374A" w:rsidRDefault="004A182D" w:rsidP="004A182D">
      <w:pPr>
        <w:spacing w:before="120" w:after="0" w:line="276" w:lineRule="auto"/>
        <w:ind w:firstLine="709"/>
        <w:jc w:val="both"/>
        <w:rPr>
          <w:rFonts w:ascii="Arial" w:eastAsia="Calibri" w:hAnsi="Arial" w:cs="Arial"/>
          <w:color w:val="000000" w:themeColor="text1"/>
          <w:lang w:val="es-ES_tradnl" w:eastAsia="es-ES"/>
        </w:rPr>
      </w:pPr>
      <w:r w:rsidRPr="004A182D">
        <w:rPr>
          <w:rFonts w:ascii="Arial" w:eastAsia="Calibri" w:hAnsi="Arial" w:cs="Arial"/>
          <w:color w:val="000000" w:themeColor="text1"/>
          <w:lang w:val="es-ES_tradnl" w:eastAsia="es-ES"/>
        </w:rPr>
        <w:lastRenderedPageBreak/>
        <w:t xml:space="preserve"> </w:t>
      </w:r>
    </w:p>
    <w:p w14:paraId="398030C4" w14:textId="60655AD3" w:rsidR="004A182D" w:rsidRPr="004A182D" w:rsidRDefault="004A182D" w:rsidP="004A182D">
      <w:pPr>
        <w:spacing w:before="120" w:after="0" w:line="276" w:lineRule="auto"/>
        <w:ind w:firstLine="709"/>
        <w:jc w:val="both"/>
        <w:rPr>
          <w:rFonts w:ascii="Arial" w:eastAsia="Calibri" w:hAnsi="Arial" w:cs="Arial"/>
          <w:color w:val="000000" w:themeColor="text1"/>
          <w:lang w:val="es-ES_tradnl" w:eastAsia="es-ES"/>
        </w:rPr>
      </w:pPr>
      <w:r w:rsidRPr="004A182D">
        <w:rPr>
          <w:rFonts w:ascii="Arial" w:eastAsia="Calibri" w:hAnsi="Arial" w:cs="Arial"/>
          <w:color w:val="000000" w:themeColor="text1"/>
          <w:lang w:val="es-ES_tradnl" w:eastAsia="es-ES"/>
        </w:rPr>
        <w:t xml:space="preserve">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Además, con fundamento en esta ley, expidió la Resolución 240 del 27 de noviembre de 2020, «Por la cual se actualizan los Documentos Tipo para los procesos de selección de licitación de obra pública de infraestructura de transporte y se deroga la Resolución 0045 de 2020». </w:t>
      </w:r>
    </w:p>
    <w:p w14:paraId="22B8049F" w14:textId="6019639D" w:rsidR="00D25DA1" w:rsidRPr="00D25DA1" w:rsidRDefault="004A182D" w:rsidP="00D25DA1">
      <w:pPr>
        <w:spacing w:before="120" w:after="0" w:line="276" w:lineRule="auto"/>
        <w:ind w:firstLine="709"/>
        <w:jc w:val="both"/>
        <w:rPr>
          <w:rFonts w:ascii="Arial" w:eastAsia="Calibri" w:hAnsi="Arial" w:cs="Arial"/>
          <w:color w:val="000000"/>
          <w:lang w:val="es-ES_tradnl" w:eastAsia="es-ES"/>
        </w:rPr>
      </w:pPr>
      <w:r w:rsidRPr="004A182D">
        <w:rPr>
          <w:rFonts w:ascii="Arial" w:eastAsia="Calibri" w:hAnsi="Arial" w:cs="Arial"/>
          <w:color w:val="000000" w:themeColor="text1"/>
          <w:lang w:val="es-ES_tradnl" w:eastAsia="es-ES"/>
        </w:rPr>
        <w:t>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la Resolución 269 de 2020, «Por la cual se adopta el documento tipo para los procesos de gestión catastral con enfoque multipropósito que se celebren a través de contratos interadministrativos»</w:t>
      </w:r>
      <w:r w:rsidR="00D25DA1" w:rsidRPr="00D25DA1">
        <w:rPr>
          <w:rFonts w:ascii="Arial" w:eastAsia="Calibri" w:hAnsi="Arial" w:cs="Arial"/>
          <w:color w:val="000000" w:themeColor="text1"/>
          <w:lang w:val="es-ES_tradnl" w:eastAsia="es-ES"/>
        </w:rPr>
        <w:t xml:space="preserve"> y la </w:t>
      </w:r>
      <w:r w:rsidR="00D25DA1" w:rsidRPr="00D25DA1">
        <w:rPr>
          <w:rFonts w:ascii="Arial" w:eastAsia="Calibri" w:hAnsi="Arial" w:cs="Arial"/>
          <w:color w:val="000000"/>
          <w:lang w:val="es-ES_tradnl" w:eastAsia="es-ES"/>
        </w:rPr>
        <w:t>resolución 193 de 2021</w:t>
      </w:r>
      <w:r w:rsidR="00690F0F">
        <w:rPr>
          <w:rFonts w:ascii="Arial" w:eastAsia="Calibri" w:hAnsi="Arial" w:cs="Arial"/>
          <w:color w:val="000000"/>
          <w:lang w:val="es-ES_tradnl" w:eastAsia="es-ES"/>
        </w:rPr>
        <w:t>,</w:t>
      </w:r>
      <w:r w:rsidR="00D25DA1" w:rsidRPr="00D25DA1">
        <w:rPr>
          <w:rFonts w:ascii="Arial" w:eastAsia="Calibri" w:hAnsi="Arial" w:cs="Arial"/>
          <w:color w:val="000000"/>
          <w:lang w:val="es-ES_tradnl" w:eastAsia="es-ES"/>
        </w:rPr>
        <w:t xml:space="preserve"> «</w:t>
      </w:r>
      <w:r w:rsidR="00D25DA1" w:rsidRPr="00D25DA1">
        <w:rPr>
          <w:rFonts w:ascii="Arial" w:hAnsi="Arial" w:cs="Arial"/>
        </w:rPr>
        <w:t>Por la cual se adoptan los documentos tipo para los procesos de selección de concurso de méritos, para contratar la consultoría de estudios de ingeniería de infraestructura de transporte».</w:t>
      </w:r>
    </w:p>
    <w:p w14:paraId="53BDA186" w14:textId="3914F433" w:rsidR="004A182D" w:rsidRPr="004A182D" w:rsidRDefault="004A182D" w:rsidP="004A182D">
      <w:pPr>
        <w:spacing w:before="120" w:after="0" w:line="276" w:lineRule="auto"/>
        <w:ind w:firstLine="709"/>
        <w:jc w:val="both"/>
        <w:rPr>
          <w:rFonts w:ascii="Arial" w:eastAsia="Calibri" w:hAnsi="Arial" w:cs="Arial"/>
          <w:color w:val="000000" w:themeColor="text1"/>
          <w:lang w:val="es-ES_tradnl" w:eastAsia="es-ES"/>
        </w:rPr>
      </w:pPr>
      <w:r w:rsidRPr="004A182D">
        <w:rPr>
          <w:rFonts w:ascii="Arial" w:eastAsia="Calibri" w:hAnsi="Arial" w:cs="Arial"/>
          <w:color w:val="000000" w:themeColor="text1"/>
          <w:lang w:val="es-ES_tradnl" w:eastAsia="es-ES"/>
        </w:rPr>
        <w:t>Como se deriva de lo anterior, la Resolución 256 del 11 de diciembre de 2020, «por la cual se adoptan los documentos tipo para los procesos de selección de concursos de méritos, para contratar la interventoría de obras públicas de infraestructura de transporte» se adoptó en vigencia de la Ley 2022 de 2020. En tal sentido, este documento tipo</w:t>
      </w:r>
      <w:r w:rsidR="00690F0F">
        <w:rPr>
          <w:rFonts w:ascii="Arial" w:eastAsia="Calibri" w:hAnsi="Arial" w:cs="Arial"/>
          <w:color w:val="000000" w:themeColor="text1"/>
          <w:lang w:val="es-ES_tradnl" w:eastAsia="es-ES"/>
        </w:rPr>
        <w:t xml:space="preserve"> es</w:t>
      </w:r>
      <w:r w:rsidRPr="004A182D">
        <w:rPr>
          <w:rFonts w:ascii="Arial" w:eastAsia="Calibri" w:hAnsi="Arial" w:cs="Arial"/>
          <w:color w:val="000000" w:themeColor="text1"/>
          <w:lang w:val="es-ES_tradnl" w:eastAsia="es-ES"/>
        </w:rPr>
        <w:t xml:space="preserve"> obligatorio para todas las entidades sometidas al Estatuto General de Contratación de la Administración Pública, que adelanten procesos de concursos de méritos para contratar la interventoría de cualquiera de los proyectos señalados en la «Matriz 1 – Experiencia». Lo </w:t>
      </w:r>
      <w:r w:rsidRPr="004A182D">
        <w:rPr>
          <w:rFonts w:ascii="Arial" w:eastAsia="Calibri" w:hAnsi="Arial" w:cs="Arial"/>
          <w:color w:val="000000" w:themeColor="text1"/>
          <w:lang w:val="es-ES_tradnl" w:eastAsia="es-ES"/>
        </w:rPr>
        <w:lastRenderedPageBreak/>
        <w:t>anterior se deriva de lo dispuesto en el «documento base» del documento tipo de interventoría, al prescribir que:</w:t>
      </w:r>
    </w:p>
    <w:p w14:paraId="2CEA82AC" w14:textId="77777777" w:rsidR="004A182D" w:rsidRPr="004A182D" w:rsidRDefault="004A182D" w:rsidP="004A182D">
      <w:pPr>
        <w:spacing w:after="0" w:line="276" w:lineRule="auto"/>
        <w:ind w:firstLine="709"/>
        <w:jc w:val="both"/>
        <w:rPr>
          <w:rFonts w:ascii="Arial" w:eastAsia="Calibri" w:hAnsi="Arial" w:cs="Arial"/>
          <w:color w:val="000000" w:themeColor="text1"/>
          <w:lang w:val="es-ES_tradnl" w:eastAsia="es-ES"/>
        </w:rPr>
      </w:pPr>
    </w:p>
    <w:p w14:paraId="3BA3D707" w14:textId="77777777" w:rsidR="004A182D" w:rsidRPr="004A182D" w:rsidRDefault="004A182D" w:rsidP="004A182D">
      <w:pPr>
        <w:spacing w:after="0" w:line="240" w:lineRule="auto"/>
        <w:ind w:left="709" w:right="709"/>
        <w:jc w:val="both"/>
        <w:rPr>
          <w:rFonts w:ascii="Arial" w:eastAsia="Calibri" w:hAnsi="Arial" w:cs="Arial"/>
          <w:color w:val="000000" w:themeColor="text1"/>
          <w:sz w:val="21"/>
          <w:szCs w:val="21"/>
          <w:lang w:val="es-ES_tradnl" w:eastAsia="es-ES"/>
        </w:rPr>
      </w:pPr>
      <w:r w:rsidRPr="004A182D">
        <w:rPr>
          <w:rFonts w:ascii="Arial" w:eastAsia="Calibri" w:hAnsi="Arial" w:cs="Arial"/>
          <w:color w:val="000000" w:themeColor="text1"/>
          <w:sz w:val="21"/>
          <w:szCs w:val="21"/>
          <w:lang w:val="es-ES_tradnl" w:eastAsia="es-ES"/>
        </w:rPr>
        <w:t>Este documento tipo aplica a los procesos de interventoría de obras públicas de infraestructuras de transporte celebrados en cualquiera de sus modalidades de selección, que correspondan con las actividades definidas en la Matriz 1 – Experiencia. En consecuencia, las actividades de infraestructura de transporte no contempladas en la Matriz 1 – Experiencia no tienen que aplicarlos; sin perjuicio de lo previsto en el artículo 4 de la resolución que adopta los documentos tipo de interventoría de obra pública de infraestructura de transporte.</w:t>
      </w:r>
    </w:p>
    <w:p w14:paraId="177CF984" w14:textId="77777777" w:rsidR="004A182D" w:rsidRPr="004A182D" w:rsidRDefault="004A182D" w:rsidP="004A182D">
      <w:pPr>
        <w:spacing w:after="0" w:line="276" w:lineRule="auto"/>
        <w:jc w:val="both"/>
        <w:rPr>
          <w:rFonts w:ascii="Arial" w:eastAsia="Calibri" w:hAnsi="Arial" w:cs="Arial"/>
          <w:color w:val="000000" w:themeColor="text1"/>
          <w:lang w:val="es-ES_tradnl" w:eastAsia="es-ES"/>
        </w:rPr>
      </w:pPr>
    </w:p>
    <w:p w14:paraId="307D0BDB" w14:textId="0C398AA5" w:rsidR="004A182D" w:rsidRPr="004A182D" w:rsidRDefault="004A182D" w:rsidP="004A182D">
      <w:pPr>
        <w:spacing w:after="0" w:line="276" w:lineRule="auto"/>
        <w:ind w:firstLine="709"/>
        <w:jc w:val="both"/>
        <w:rPr>
          <w:rFonts w:ascii="Arial" w:eastAsia="Calibri" w:hAnsi="Arial" w:cs="Arial"/>
          <w:color w:val="000000" w:themeColor="text1"/>
          <w:lang w:val="es-ES_tradnl" w:eastAsia="es-ES"/>
        </w:rPr>
      </w:pPr>
      <w:r w:rsidRPr="004A182D">
        <w:rPr>
          <w:rFonts w:ascii="Arial" w:eastAsia="Calibri" w:hAnsi="Arial" w:cs="Arial"/>
          <w:color w:val="000000" w:themeColor="text1"/>
          <w:lang w:val="es-ES_tradnl" w:eastAsia="es-ES"/>
        </w:rPr>
        <w:t xml:space="preserve">En tal sentido, siempre que se vaya a contratar la interventoría de alguno de los proyectos señalados en la «Matriz 1 – Experiencia» y la modalidad de selección aplicable sea el concurso de méritos, las entidades estatales deben aplicar este documento tipo, </w:t>
      </w:r>
      <w:r w:rsidR="00690F0F">
        <w:rPr>
          <w:rFonts w:ascii="Arial" w:eastAsia="Calibri" w:hAnsi="Arial" w:cs="Arial"/>
          <w:color w:val="000000" w:themeColor="text1"/>
          <w:lang w:val="es-ES_tradnl" w:eastAsia="es-ES"/>
        </w:rPr>
        <w:t>pues –conforme al artículo 2 de la Resolución 256 de 2020– «D</w:t>
      </w:r>
      <w:r w:rsidR="00690F0F" w:rsidRPr="00690F0F">
        <w:rPr>
          <w:rFonts w:ascii="Arial" w:eastAsia="Calibri" w:hAnsi="Arial" w:cs="Arial"/>
          <w:color w:val="000000" w:themeColor="text1"/>
          <w:lang w:eastAsia="es-ES"/>
        </w:rPr>
        <w:t xml:space="preserve">e conformidad con el artículo 1 de la Ley 2022 de 2020, </w:t>
      </w:r>
      <w:r w:rsidR="00690F0F">
        <w:rPr>
          <w:rFonts w:ascii="Arial" w:eastAsia="Calibri" w:hAnsi="Arial" w:cs="Arial"/>
          <w:color w:val="000000" w:themeColor="text1"/>
          <w:lang w:eastAsia="es-ES"/>
        </w:rPr>
        <w:t>l</w:t>
      </w:r>
      <w:r w:rsidR="00690F0F" w:rsidRPr="00690F0F">
        <w:rPr>
          <w:rFonts w:ascii="Arial" w:eastAsia="Calibri" w:hAnsi="Arial" w:cs="Arial"/>
          <w:color w:val="000000" w:themeColor="text1"/>
          <w:lang w:eastAsia="es-ES"/>
        </w:rPr>
        <w:t>os documentos tipo son obligatorios en la actividad contractual de las entidades estatales sometidas al Estatuto General de Contratación de la Administración Pública, en consecuencia, las entidades estatales al adelantar sus procedimientos de selección solo podrán modificarlos en los aspectos en que los documentos tipo lo permitan</w:t>
      </w:r>
      <w:r w:rsidR="00690F0F">
        <w:rPr>
          <w:rFonts w:ascii="Arial" w:eastAsia="Calibri" w:hAnsi="Arial" w:cs="Arial"/>
          <w:color w:val="000000" w:themeColor="text1"/>
          <w:lang w:eastAsia="es-ES"/>
        </w:rPr>
        <w:t>»</w:t>
      </w:r>
      <w:r w:rsidRPr="004A182D">
        <w:rPr>
          <w:rFonts w:ascii="Arial" w:eastAsia="Calibri" w:hAnsi="Arial" w:cs="Arial"/>
          <w:color w:val="000000" w:themeColor="text1"/>
          <w:lang w:val="es-ES_tradnl" w:eastAsia="es-ES"/>
        </w:rPr>
        <w:t>.</w:t>
      </w:r>
    </w:p>
    <w:p w14:paraId="483C8E4D" w14:textId="77777777" w:rsidR="004A182D" w:rsidRPr="004A182D" w:rsidRDefault="004A182D" w:rsidP="004A182D">
      <w:pPr>
        <w:spacing w:after="0" w:line="276" w:lineRule="auto"/>
        <w:jc w:val="both"/>
        <w:rPr>
          <w:rFonts w:ascii="Arial" w:eastAsia="Calibri" w:hAnsi="Arial" w:cs="Arial"/>
          <w:b/>
          <w:bCs/>
          <w:color w:val="000000" w:themeColor="text1"/>
          <w:lang w:val="es-ES_tradnl"/>
        </w:rPr>
      </w:pPr>
    </w:p>
    <w:p w14:paraId="562BED39" w14:textId="7A842CDF" w:rsidR="004A182D" w:rsidRPr="004A182D" w:rsidRDefault="004A182D" w:rsidP="004A182D">
      <w:pPr>
        <w:spacing w:after="0" w:line="276" w:lineRule="auto"/>
        <w:jc w:val="both"/>
        <w:rPr>
          <w:rFonts w:ascii="Arial" w:eastAsia="Calibri" w:hAnsi="Arial" w:cs="Arial"/>
          <w:b/>
          <w:bCs/>
          <w:color w:val="000000" w:themeColor="text1"/>
          <w:lang w:val="es-ES_tradnl"/>
        </w:rPr>
      </w:pPr>
      <w:r w:rsidRPr="004A182D">
        <w:rPr>
          <w:rFonts w:ascii="Arial" w:eastAsia="Calibri" w:hAnsi="Arial" w:cs="Arial"/>
          <w:b/>
          <w:bCs/>
          <w:color w:val="000000" w:themeColor="text1"/>
          <w:lang w:val="es-ES_tradnl"/>
        </w:rPr>
        <w:t>2.2. Subsanabilidad de la experiencia mínima habilitante del proponente en los documentos tipo para procesos de selección de concurso de méritos</w:t>
      </w:r>
      <w:r w:rsidR="00690F0F">
        <w:rPr>
          <w:rFonts w:ascii="Arial" w:eastAsia="Calibri" w:hAnsi="Arial" w:cs="Arial"/>
          <w:b/>
          <w:bCs/>
          <w:color w:val="000000" w:themeColor="text1"/>
          <w:lang w:val="es-ES_tradnl"/>
        </w:rPr>
        <w:t xml:space="preserve"> de</w:t>
      </w:r>
      <w:r w:rsidRPr="004A182D">
        <w:rPr>
          <w:rFonts w:ascii="Arial" w:eastAsia="Calibri" w:hAnsi="Arial" w:cs="Arial"/>
          <w:b/>
          <w:bCs/>
          <w:color w:val="000000" w:themeColor="text1"/>
          <w:lang w:val="es-ES_tradnl"/>
        </w:rPr>
        <w:t xml:space="preserve"> la interventoría </w:t>
      </w:r>
      <w:r w:rsidR="00690F0F">
        <w:rPr>
          <w:rFonts w:ascii="Arial" w:eastAsia="Calibri" w:hAnsi="Arial" w:cs="Arial"/>
          <w:b/>
          <w:bCs/>
          <w:color w:val="000000" w:themeColor="text1"/>
          <w:lang w:val="es-ES_tradnl"/>
        </w:rPr>
        <w:t>para</w:t>
      </w:r>
      <w:r w:rsidRPr="004A182D">
        <w:rPr>
          <w:rFonts w:ascii="Arial" w:eastAsia="Calibri" w:hAnsi="Arial" w:cs="Arial"/>
          <w:b/>
          <w:bCs/>
          <w:color w:val="000000" w:themeColor="text1"/>
          <w:lang w:val="es-ES_tradnl"/>
        </w:rPr>
        <w:t xml:space="preserve"> obras públicas de infraestructura de transporte</w:t>
      </w:r>
    </w:p>
    <w:p w14:paraId="6E3887F5" w14:textId="77777777" w:rsidR="004A182D" w:rsidRPr="004A182D" w:rsidRDefault="004A182D" w:rsidP="004A182D">
      <w:pPr>
        <w:spacing w:after="0" w:line="240" w:lineRule="auto"/>
        <w:jc w:val="both"/>
        <w:rPr>
          <w:rFonts w:ascii="Arial" w:eastAsia="Calibri" w:hAnsi="Arial" w:cs="Arial"/>
          <w:b/>
          <w:bCs/>
          <w:color w:val="000000" w:themeColor="text1"/>
          <w:lang w:val="es-ES_tradnl"/>
        </w:rPr>
      </w:pPr>
    </w:p>
    <w:p w14:paraId="09C4C38F" w14:textId="77777777" w:rsidR="004A182D" w:rsidRPr="004A182D" w:rsidRDefault="004A182D" w:rsidP="004A182D">
      <w:pPr>
        <w:spacing w:after="120" w:line="276" w:lineRule="auto"/>
        <w:jc w:val="both"/>
        <w:rPr>
          <w:rFonts w:ascii="Arial" w:hAnsi="Arial" w:cs="Arial"/>
          <w:color w:val="000000" w:themeColor="text1"/>
          <w:lang w:val="es-ES_tradnl"/>
        </w:rPr>
      </w:pPr>
      <w:r w:rsidRPr="004A182D">
        <w:rPr>
          <w:rFonts w:ascii="Arial" w:hAnsi="Arial" w:cs="Arial"/>
          <w:color w:val="000000" w:themeColor="text1"/>
          <w:lang w:val="es-ES_tradnl"/>
        </w:rPr>
        <w:t xml:space="preserve">Esta Subdirección se ha pronunciado en diversas oportunidades acerca del alcance de la regla de la subsanabilidad, contenida actualmente en el artículo 5 de la Ley 1150 de 2007. Al respecto, la postura que se reitera en el presente concepto es la siguiente: por regla general, i) la falta de entrega o ii) los defectos de los requisitos que no asignen puntaje son subsanables. La excepción se encuentra en los casos, previstos en la ley, que limitan la subsanabilidad, es decir, en la prohibición de entregar la garantía de seriedad de la oferta que no fue aportada con la propuesta y de acreditar circunstancias ocurridas con posterioridad al cierre del proceso. En tal sentido, tampoco es posible subsanar </w:t>
      </w:r>
      <w:r w:rsidRPr="004A182D">
        <w:rPr>
          <w:rFonts w:ascii="Arial" w:eastAsia="Calibri" w:hAnsi="Arial" w:cs="Arial"/>
          <w:bCs/>
          <w:color w:val="000000" w:themeColor="text1"/>
          <w:lang w:val="es-ES_tradnl"/>
        </w:rPr>
        <w:t>requisitos de la propuesta que afecten la asignación de puntaje.</w:t>
      </w:r>
    </w:p>
    <w:p w14:paraId="5C8EFAAC" w14:textId="77777777" w:rsidR="004A182D" w:rsidRPr="004A182D" w:rsidRDefault="004A182D" w:rsidP="004A182D">
      <w:pPr>
        <w:spacing w:before="120" w:after="120" w:line="276" w:lineRule="auto"/>
        <w:ind w:firstLine="708"/>
        <w:jc w:val="both"/>
        <w:rPr>
          <w:rFonts w:ascii="Arial" w:hAnsi="Arial" w:cs="Arial"/>
          <w:color w:val="000000" w:themeColor="text1"/>
          <w:lang w:val="es-ES_tradnl"/>
        </w:rPr>
      </w:pPr>
      <w:r w:rsidRPr="004A182D">
        <w:rPr>
          <w:rFonts w:ascii="Arial" w:hAnsi="Arial" w:cs="Arial"/>
          <w:color w:val="000000" w:themeColor="text1"/>
          <w:lang w:val="es-ES_tradnl"/>
        </w:rPr>
        <w:t xml:space="preserve">En efecto, la Agencia Nacional de Contratación Pública – Colombia Compra Eficiente, en el Concepto CU–060 de 16 de enero de 2020, unificó su criterio en torno al alcance de la regla de la subsanabilidad, contenida en el artículo 5 de la Ley 1150 de 2007. En dicho concepto se unificó la </w:t>
      </w:r>
      <w:r w:rsidRPr="004A182D">
        <w:rPr>
          <w:rFonts w:ascii="Arial" w:eastAsia="Calibri" w:hAnsi="Arial" w:cs="Arial"/>
          <w:color w:val="000000" w:themeColor="text1"/>
          <w:lang w:val="es-ES_tradnl"/>
        </w:rPr>
        <w:t xml:space="preserve">tesis expuesta en los conceptos con radicado No. 4201913000006471 del 28 de octubre de 2019, 4201912000006711 del 12 de noviembre de 2019 y 4201912000006496 del 15 de noviembre de 2019, la cual ha sido reiterada en </w:t>
      </w:r>
      <w:r w:rsidRPr="004A182D">
        <w:rPr>
          <w:rFonts w:ascii="Arial" w:eastAsia="Calibri" w:hAnsi="Arial" w:cs="Arial"/>
          <w:color w:val="000000" w:themeColor="text1"/>
          <w:lang w:val="es-ES_tradnl"/>
        </w:rPr>
        <w:lastRenderedPageBreak/>
        <w:t>varios conceptos expedidos con posterioridad al concepto de unificación</w:t>
      </w:r>
      <w:r w:rsidRPr="004A182D">
        <w:rPr>
          <w:rFonts w:ascii="Arial" w:eastAsia="Calibri" w:hAnsi="Arial" w:cs="Arial"/>
          <w:color w:val="000000" w:themeColor="text1"/>
          <w:vertAlign w:val="superscript"/>
          <w:lang w:val="es-ES_tradnl"/>
        </w:rPr>
        <w:footnoteReference w:id="7"/>
      </w:r>
      <w:r w:rsidRPr="004A182D">
        <w:rPr>
          <w:rFonts w:ascii="Arial" w:eastAsia="Calibri" w:hAnsi="Arial" w:cs="Arial"/>
          <w:color w:val="000000" w:themeColor="text1"/>
          <w:lang w:val="es-MX"/>
        </w:rPr>
        <w:t>.</w:t>
      </w:r>
      <w:r w:rsidRPr="004A182D">
        <w:rPr>
          <w:rFonts w:ascii="Arial" w:hAnsi="Arial" w:cs="Arial"/>
          <w:color w:val="000000" w:themeColor="text1"/>
          <w:lang w:val="es-ES_tradnl"/>
        </w:rPr>
        <w:t xml:space="preserve"> De las tesis desarrolladas se tomarán algunas consideraciones para ilustrar el alcance de la regla de subsanabilidad.</w:t>
      </w:r>
    </w:p>
    <w:p w14:paraId="74337B63" w14:textId="3BBA6258" w:rsidR="004A182D" w:rsidRPr="004A182D" w:rsidRDefault="00FF7D05" w:rsidP="004A182D">
      <w:pPr>
        <w:spacing w:before="120" w:after="0" w:line="276" w:lineRule="auto"/>
        <w:ind w:firstLine="709"/>
        <w:jc w:val="both"/>
        <w:rPr>
          <w:rFonts w:ascii="Arial" w:hAnsi="Arial" w:cs="Arial"/>
          <w:color w:val="000000" w:themeColor="text1"/>
          <w:lang w:val="es-ES_tradnl"/>
        </w:rPr>
      </w:pPr>
      <w:r>
        <w:rPr>
          <w:rFonts w:ascii="Arial" w:hAnsi="Arial" w:cs="Arial"/>
          <w:color w:val="000000" w:themeColor="text1"/>
          <w:lang w:val="es-ES_tradnl"/>
        </w:rPr>
        <w:t>Sobre este punto</w:t>
      </w:r>
      <w:r w:rsidR="004A182D" w:rsidRPr="004A182D">
        <w:rPr>
          <w:rFonts w:ascii="Arial" w:hAnsi="Arial" w:cs="Arial"/>
          <w:color w:val="000000" w:themeColor="text1"/>
          <w:lang w:val="es-ES_tradnl"/>
        </w:rPr>
        <w:t>,</w:t>
      </w:r>
      <w:r>
        <w:rPr>
          <w:rFonts w:ascii="Arial" w:hAnsi="Arial" w:cs="Arial"/>
          <w:color w:val="000000" w:themeColor="text1"/>
          <w:lang w:val="es-ES_tradnl"/>
        </w:rPr>
        <w:t xml:space="preserve"> es de precisar que</w:t>
      </w:r>
      <w:r w:rsidR="004A182D" w:rsidRPr="004A182D">
        <w:rPr>
          <w:rFonts w:ascii="Arial" w:hAnsi="Arial" w:cs="Arial"/>
          <w:color w:val="000000" w:themeColor="text1"/>
          <w:lang w:val="es-ES_tradnl"/>
        </w:rPr>
        <w:t xml:space="preserve"> el régimen actual de subsanabilidad de ofertas está regulado en el parágrafo 1 del artículo 5 de la Ley 1150 de 2007, modificado por el artículo 5 de la Ley 1882 de 2018. La disposición vigente establece:</w:t>
      </w:r>
    </w:p>
    <w:p w14:paraId="76117C2C" w14:textId="77777777" w:rsidR="004A182D" w:rsidRPr="004A182D" w:rsidRDefault="004A182D" w:rsidP="004A182D">
      <w:pPr>
        <w:tabs>
          <w:tab w:val="left" w:pos="426"/>
        </w:tabs>
        <w:spacing w:after="0" w:line="240" w:lineRule="auto"/>
        <w:ind w:left="709" w:right="709"/>
        <w:jc w:val="both"/>
        <w:rPr>
          <w:rFonts w:ascii="Arial" w:eastAsia="Calibri" w:hAnsi="Arial" w:cs="Arial"/>
          <w:bCs/>
          <w:color w:val="000000" w:themeColor="text1"/>
          <w:sz w:val="21"/>
          <w:szCs w:val="21"/>
          <w:lang w:val="es-ES_tradnl"/>
        </w:rPr>
      </w:pPr>
    </w:p>
    <w:p w14:paraId="17D5A3E4" w14:textId="77777777" w:rsidR="004A182D" w:rsidRPr="004A182D" w:rsidRDefault="004A182D" w:rsidP="004A182D">
      <w:pPr>
        <w:tabs>
          <w:tab w:val="left" w:pos="426"/>
        </w:tabs>
        <w:spacing w:after="0" w:line="240" w:lineRule="auto"/>
        <w:ind w:left="709" w:right="709"/>
        <w:jc w:val="both"/>
        <w:rPr>
          <w:rFonts w:ascii="Arial" w:eastAsia="Calibri" w:hAnsi="Arial" w:cs="Arial"/>
          <w:bCs/>
          <w:color w:val="000000" w:themeColor="text1"/>
          <w:sz w:val="21"/>
          <w:szCs w:val="21"/>
          <w:lang w:val="es-ES_tradnl"/>
        </w:rPr>
      </w:pPr>
      <w:r w:rsidRPr="004A182D">
        <w:rPr>
          <w:rFonts w:ascii="Arial" w:eastAsia="Calibri" w:hAnsi="Arial" w:cs="Arial"/>
          <w:bCs/>
          <w:color w:val="000000" w:themeColor="text1"/>
          <w:sz w:val="21"/>
          <w:szCs w:val="21"/>
          <w:lang w:val="es-ES_tradnl"/>
        </w:rPr>
        <w:t xml:space="preserve">Artículo 5°. De la selección objetiva. </w:t>
      </w:r>
    </w:p>
    <w:p w14:paraId="79FD17B3" w14:textId="77777777" w:rsidR="004A182D" w:rsidRPr="004A182D" w:rsidRDefault="004A182D" w:rsidP="004A182D">
      <w:pPr>
        <w:tabs>
          <w:tab w:val="left" w:pos="426"/>
        </w:tabs>
        <w:spacing w:after="0" w:line="240" w:lineRule="auto"/>
        <w:ind w:left="709" w:right="709"/>
        <w:jc w:val="both"/>
        <w:rPr>
          <w:rFonts w:ascii="Arial" w:eastAsia="Calibri" w:hAnsi="Arial" w:cs="Arial"/>
          <w:bCs/>
          <w:color w:val="000000" w:themeColor="text1"/>
          <w:sz w:val="21"/>
          <w:szCs w:val="21"/>
          <w:lang w:val="es-ES_tradnl"/>
        </w:rPr>
      </w:pPr>
      <w:r w:rsidRPr="004A182D">
        <w:rPr>
          <w:rFonts w:ascii="Arial" w:eastAsia="Calibri" w:hAnsi="Arial" w:cs="Arial"/>
          <w:bCs/>
          <w:color w:val="000000" w:themeColor="text1"/>
          <w:sz w:val="21"/>
          <w:szCs w:val="21"/>
          <w:lang w:val="es-ES_tradnl"/>
        </w:rPr>
        <w:t xml:space="preserve">[... ] </w:t>
      </w:r>
    </w:p>
    <w:p w14:paraId="7D831EDE" w14:textId="77777777" w:rsidR="004A182D" w:rsidRPr="004A182D" w:rsidRDefault="004A182D" w:rsidP="004A182D">
      <w:pPr>
        <w:tabs>
          <w:tab w:val="left" w:pos="426"/>
        </w:tabs>
        <w:spacing w:after="0" w:line="240" w:lineRule="auto"/>
        <w:ind w:left="709" w:right="709"/>
        <w:jc w:val="both"/>
        <w:rPr>
          <w:rFonts w:ascii="Arial" w:eastAsia="Calibri" w:hAnsi="Arial" w:cs="Arial"/>
          <w:bCs/>
          <w:color w:val="000000" w:themeColor="text1"/>
          <w:sz w:val="21"/>
          <w:szCs w:val="21"/>
          <w:lang w:val="es-ES_tradnl"/>
        </w:rPr>
      </w:pPr>
      <w:r w:rsidRPr="004A182D">
        <w:rPr>
          <w:rFonts w:ascii="Arial" w:eastAsia="Calibri" w:hAnsi="Arial" w:cs="Arial"/>
          <w:bCs/>
          <w:color w:val="000000" w:themeColor="text1"/>
          <w:sz w:val="21"/>
          <w:szCs w:val="21"/>
          <w:lang w:val="es-ES_tradnl"/>
        </w:rPr>
        <w:t>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p>
    <w:p w14:paraId="2A4419C5" w14:textId="77777777" w:rsidR="004A182D" w:rsidRPr="004A182D" w:rsidRDefault="004A182D" w:rsidP="004A182D">
      <w:pPr>
        <w:spacing w:after="0" w:line="276" w:lineRule="auto"/>
        <w:ind w:firstLine="709"/>
        <w:jc w:val="both"/>
        <w:rPr>
          <w:rFonts w:ascii="Arial" w:hAnsi="Arial" w:cs="Arial"/>
          <w:color w:val="000000" w:themeColor="text1"/>
          <w:lang w:val="es-ES_tradnl"/>
        </w:rPr>
      </w:pPr>
    </w:p>
    <w:p w14:paraId="119D5C6E" w14:textId="77777777" w:rsidR="004A182D" w:rsidRPr="004A182D" w:rsidRDefault="004A182D" w:rsidP="004A182D">
      <w:pPr>
        <w:spacing w:after="120" w:line="276" w:lineRule="auto"/>
        <w:ind w:firstLine="709"/>
        <w:jc w:val="both"/>
        <w:rPr>
          <w:rFonts w:ascii="Arial" w:eastAsia="Calibri" w:hAnsi="Arial" w:cs="Arial"/>
          <w:bCs/>
          <w:color w:val="000000" w:themeColor="text1"/>
          <w:sz w:val="21"/>
          <w:szCs w:val="21"/>
          <w:lang w:val="es-ES_tradnl"/>
        </w:rPr>
      </w:pPr>
      <w:r w:rsidRPr="004A182D">
        <w:rPr>
          <w:rFonts w:ascii="Arial" w:hAnsi="Arial" w:cs="Arial"/>
          <w:color w:val="000000" w:themeColor="text1"/>
          <w:lang w:val="es-ES_tradnl"/>
        </w:rPr>
        <w:t xml:space="preserve">Esta norma, conservando la filosofía de las disposiciones anteriores que regulaban el régimen de subsanabilidad de ofertas, mantiene el criterio de la Ley 80 de 1993, relativo a que todo lo que no sea necesario para la comparación de propuestas no es título suficiente para su rechazo; y ii) mantiene el criterio aclaratorio de la Ley 1150 de 2007, según el cual todo lo que no afecte la asignación de puntaje puede subsanarse. Pese a que la disposición tiene varios elementos adicionales relevantes, para efectos de la consulta, basta con destacar los elementos anteriores, particularmente, que la subsanación procede sobre </w:t>
      </w:r>
      <w:r w:rsidRPr="004A182D">
        <w:rPr>
          <w:rFonts w:ascii="Arial" w:eastAsia="Calibri" w:hAnsi="Arial" w:cs="Arial"/>
          <w:bCs/>
          <w:color w:val="000000" w:themeColor="text1"/>
          <w:lang w:val="es-ES_tradnl"/>
        </w:rPr>
        <w:t>todos aquellos requisitos de la propuesta que no afecten la asignación de puntaje.</w:t>
      </w:r>
    </w:p>
    <w:p w14:paraId="5CEFB4D6" w14:textId="77777777" w:rsidR="004A182D" w:rsidRPr="004A182D" w:rsidRDefault="004A182D" w:rsidP="004A182D">
      <w:pPr>
        <w:spacing w:after="120" w:line="276" w:lineRule="auto"/>
        <w:ind w:firstLine="709"/>
        <w:jc w:val="both"/>
        <w:rPr>
          <w:rFonts w:ascii="Arial" w:hAnsi="Arial" w:cs="Arial"/>
          <w:color w:val="000000" w:themeColor="text1"/>
          <w:lang w:val="es-ES_tradnl"/>
        </w:rPr>
      </w:pPr>
      <w:r w:rsidRPr="004A182D">
        <w:rPr>
          <w:rFonts w:ascii="Arial" w:hAnsi="Arial" w:cs="Arial"/>
          <w:color w:val="000000" w:themeColor="text1"/>
          <w:lang w:val="es-ES_tradnl"/>
        </w:rPr>
        <w:t xml:space="preserve">Teniendo en cuenta lo anterior, debe destacarse, por otro lado, que de conformidad con el artículo 5 de la Ley 1150 de 2007, las condiciones de experiencia podrán exigirse en los procedimientos de selección como requisito habilitante. Por regla general, la experiencia no se podrá establecer como requisito de asignación de puntaje, constituyendo la selección de consultores uno de los casos excepcionales en que podrán utilizarse criterios de </w:t>
      </w:r>
      <w:r w:rsidRPr="004A182D">
        <w:rPr>
          <w:rFonts w:ascii="Arial" w:hAnsi="Arial" w:cs="Arial"/>
          <w:color w:val="000000" w:themeColor="text1"/>
          <w:lang w:val="es-ES_tradnl"/>
        </w:rPr>
        <w:lastRenderedPageBreak/>
        <w:t>experiencia específica del oferente y del equipo de trabajo como factores de calificación de las propuestas</w:t>
      </w:r>
      <w:r w:rsidRPr="004A182D">
        <w:rPr>
          <w:rFonts w:ascii="Arial" w:hAnsi="Arial" w:cs="Arial"/>
          <w:color w:val="000000" w:themeColor="text1"/>
          <w:vertAlign w:val="superscript"/>
          <w:lang w:val="es-ES_tradnl"/>
        </w:rPr>
        <w:footnoteReference w:id="8"/>
      </w:r>
      <w:r w:rsidRPr="004A182D">
        <w:rPr>
          <w:rFonts w:ascii="Arial" w:hAnsi="Arial" w:cs="Arial"/>
          <w:color w:val="000000" w:themeColor="text1"/>
          <w:lang w:val="es-ES_tradnl"/>
        </w:rPr>
        <w:t>.</w:t>
      </w:r>
    </w:p>
    <w:p w14:paraId="72F95D84" w14:textId="77777777" w:rsidR="004A182D" w:rsidRPr="004A182D" w:rsidRDefault="004A182D" w:rsidP="004A182D">
      <w:pPr>
        <w:spacing w:after="0" w:line="276" w:lineRule="auto"/>
        <w:ind w:firstLine="709"/>
        <w:jc w:val="both"/>
        <w:rPr>
          <w:rFonts w:ascii="Arial" w:eastAsia="Calibri" w:hAnsi="Arial" w:cs="Arial"/>
          <w:bCs/>
          <w:color w:val="000000" w:themeColor="text1"/>
          <w:lang w:val="es-ES_tradnl"/>
        </w:rPr>
      </w:pPr>
      <w:r w:rsidRPr="004A182D">
        <w:rPr>
          <w:rFonts w:ascii="Arial" w:hAnsi="Arial" w:cs="Arial"/>
          <w:color w:val="000000" w:themeColor="text1"/>
          <w:lang w:val="es-ES_tradnl"/>
        </w:rPr>
        <w:t>El caso excepcional indicado en la norma aplica a los documentos tipo analizados en este concepto, dirigidos a la celebración de contratos de consultoría, género dentro del cual se enmarcan los de interventoría</w:t>
      </w:r>
      <w:r w:rsidRPr="004A182D">
        <w:rPr>
          <w:rFonts w:ascii="Arial" w:hAnsi="Arial" w:cs="Arial"/>
          <w:color w:val="000000" w:themeColor="text1"/>
          <w:vertAlign w:val="superscript"/>
          <w:lang w:val="es-ES_tradnl"/>
        </w:rPr>
        <w:footnoteReference w:id="9"/>
      </w:r>
      <w:r w:rsidRPr="004A182D">
        <w:rPr>
          <w:rFonts w:ascii="Arial" w:hAnsi="Arial" w:cs="Arial"/>
          <w:color w:val="000000" w:themeColor="text1"/>
          <w:lang w:val="es-ES_tradnl"/>
        </w:rPr>
        <w:t xml:space="preserve">. En este sentido, como se precisará, el enfoque adoptado en el documento tipo de interventoría consiste en permitir exclusivamente la subsanación de la experiencia mínima –habilitante–, toda vez que de conformidad con los fundamentos anteriores, no es posible subsanar los </w:t>
      </w:r>
      <w:r w:rsidRPr="004A182D">
        <w:rPr>
          <w:rFonts w:ascii="Arial" w:eastAsia="Calibri" w:hAnsi="Arial" w:cs="Arial"/>
          <w:bCs/>
          <w:color w:val="000000" w:themeColor="text1"/>
          <w:lang w:val="es-ES_tradnl"/>
        </w:rPr>
        <w:t>requisitos de la propuesta que afecten la asignación de puntaje. De esta manera, el «documento base» del documento tipo de interventoría establece en el numeral 3.8.1. lo siguiente:</w:t>
      </w:r>
    </w:p>
    <w:p w14:paraId="638580BF" w14:textId="77777777" w:rsidR="004A182D" w:rsidRPr="004A182D" w:rsidRDefault="004A182D" w:rsidP="004A182D">
      <w:pPr>
        <w:spacing w:after="0" w:line="276" w:lineRule="auto"/>
        <w:ind w:firstLine="709"/>
        <w:jc w:val="both"/>
        <w:rPr>
          <w:rFonts w:ascii="Arial" w:eastAsia="Calibri" w:hAnsi="Arial" w:cs="Arial"/>
          <w:bCs/>
          <w:color w:val="000000" w:themeColor="text1"/>
          <w:sz w:val="21"/>
          <w:szCs w:val="21"/>
          <w:lang w:val="es-ES_tradnl"/>
        </w:rPr>
      </w:pPr>
    </w:p>
    <w:p w14:paraId="13A8F987" w14:textId="77777777" w:rsidR="004A182D" w:rsidRPr="004A182D" w:rsidRDefault="004A182D" w:rsidP="004A182D">
      <w:pPr>
        <w:tabs>
          <w:tab w:val="left" w:pos="426"/>
        </w:tabs>
        <w:spacing w:after="120" w:line="240" w:lineRule="auto"/>
        <w:ind w:left="709" w:right="709"/>
        <w:jc w:val="both"/>
        <w:rPr>
          <w:rFonts w:ascii="Arial" w:eastAsia="Calibri" w:hAnsi="Arial" w:cs="Arial"/>
          <w:bCs/>
          <w:color w:val="000000" w:themeColor="text1"/>
          <w:sz w:val="21"/>
          <w:szCs w:val="21"/>
          <w:lang w:val="es-ES_tradnl"/>
        </w:rPr>
      </w:pPr>
      <w:bookmarkStart w:id="10" w:name="_Toc58777511"/>
      <w:r w:rsidRPr="004A182D">
        <w:rPr>
          <w:rFonts w:ascii="Arial" w:eastAsia="Calibri" w:hAnsi="Arial" w:cs="Arial"/>
          <w:bCs/>
          <w:color w:val="000000" w:themeColor="text1"/>
          <w:sz w:val="21"/>
          <w:szCs w:val="21"/>
          <w:lang w:val="es-ES_tradnl"/>
        </w:rPr>
        <w:t>3.8.1. EXIGENCIA MÍNIMA DE LA EXPERIENCIA DEL PROPONENTE</w:t>
      </w:r>
      <w:bookmarkEnd w:id="10"/>
    </w:p>
    <w:p w14:paraId="54797739" w14:textId="77777777" w:rsidR="004A182D" w:rsidRPr="004A182D" w:rsidRDefault="004A182D" w:rsidP="004A182D">
      <w:pPr>
        <w:tabs>
          <w:tab w:val="left" w:pos="426"/>
        </w:tabs>
        <w:spacing w:after="120" w:line="240" w:lineRule="auto"/>
        <w:ind w:left="709" w:right="709"/>
        <w:jc w:val="both"/>
        <w:rPr>
          <w:rFonts w:ascii="Arial" w:eastAsia="Calibri" w:hAnsi="Arial" w:cs="Arial"/>
          <w:bCs/>
          <w:color w:val="000000" w:themeColor="text1"/>
          <w:sz w:val="21"/>
          <w:szCs w:val="21"/>
          <w:lang w:val="es-ES_tradnl"/>
        </w:rPr>
      </w:pPr>
      <w:r w:rsidRPr="004A182D">
        <w:rPr>
          <w:rFonts w:ascii="Arial" w:eastAsia="Calibri" w:hAnsi="Arial" w:cs="Arial"/>
          <w:bCs/>
          <w:i/>
          <w:iCs/>
          <w:color w:val="000000" w:themeColor="text1"/>
          <w:sz w:val="21"/>
          <w:szCs w:val="21"/>
          <w:lang w:val="es-ES_tradnl"/>
        </w:rPr>
        <w:t>Para habilitarse en el procedimiento de selección, el proponente acreditará que la sumatoria de los contratos aportados como experiencia es mayor o igual al 100% respecto del valor total del presupuesto oficial establecido para el presente proceso de selección expresado en SMMLV</w:t>
      </w:r>
      <w:r w:rsidRPr="004A182D">
        <w:rPr>
          <w:rFonts w:ascii="Arial" w:eastAsia="Calibri" w:hAnsi="Arial" w:cs="Arial"/>
          <w:bCs/>
          <w:color w:val="000000" w:themeColor="text1"/>
          <w:sz w:val="21"/>
          <w:szCs w:val="21"/>
          <w:lang w:val="es-ES_tradnl"/>
        </w:rPr>
        <w:t>. Estos contratos serán verificados en el RUP y en el Formato 3 – Experiencia, para los proponentes que no están obligados a estar inscritos en el RUP, cumpliendo con los requisitos de experiencia previstos en el numeral “10.1 Experiencia del proponente”.</w:t>
      </w:r>
    </w:p>
    <w:p w14:paraId="52DFB4FA" w14:textId="77777777" w:rsidR="004A182D" w:rsidRPr="004A182D" w:rsidRDefault="004A182D" w:rsidP="004A182D">
      <w:pPr>
        <w:tabs>
          <w:tab w:val="left" w:pos="426"/>
        </w:tabs>
        <w:spacing w:after="0" w:line="240" w:lineRule="auto"/>
        <w:ind w:left="709" w:right="709"/>
        <w:jc w:val="both"/>
        <w:rPr>
          <w:rFonts w:ascii="Arial" w:eastAsia="Calibri" w:hAnsi="Arial" w:cs="Arial"/>
          <w:bCs/>
          <w:color w:val="000000" w:themeColor="text1"/>
          <w:sz w:val="21"/>
          <w:szCs w:val="21"/>
          <w:lang w:val="es-ES_tradnl"/>
        </w:rPr>
      </w:pPr>
      <w:r w:rsidRPr="004A182D">
        <w:rPr>
          <w:rFonts w:ascii="Arial" w:eastAsia="Calibri" w:hAnsi="Arial" w:cs="Arial"/>
          <w:bCs/>
          <w:color w:val="000000" w:themeColor="text1"/>
          <w:sz w:val="21"/>
          <w:szCs w:val="21"/>
          <w:lang w:val="es-ES_tradnl"/>
        </w:rPr>
        <w:t>En caso que con los contratos aportados no se acredite este porcentaje mínimo, la entidad solicitará al proponente que subsane su oferta en los términos del numeral 1.6. Si el proponente subsana el requisito mínimo de experiencia, se habilitará en el proceso de contratación, pero no será objeto de puntuación en relación con este factor de evaluación, por lo que obtendrá cero (0) puntos por el factor “experiencia del proponente”.</w:t>
      </w:r>
    </w:p>
    <w:p w14:paraId="6B2EAA8B" w14:textId="77777777" w:rsidR="004A182D" w:rsidRPr="004A182D" w:rsidRDefault="004A182D" w:rsidP="004A182D">
      <w:pPr>
        <w:spacing w:after="0" w:line="240" w:lineRule="auto"/>
        <w:jc w:val="both"/>
        <w:rPr>
          <w:rFonts w:ascii="Arial" w:hAnsi="Arial" w:cs="Arial"/>
          <w:color w:val="000000" w:themeColor="text1"/>
          <w:lang w:val="es-ES_tradnl"/>
        </w:rPr>
      </w:pPr>
    </w:p>
    <w:p w14:paraId="78517A86" w14:textId="77777777" w:rsidR="004A182D" w:rsidRPr="004A182D" w:rsidRDefault="004A182D" w:rsidP="004A182D">
      <w:pPr>
        <w:spacing w:after="120" w:line="276" w:lineRule="auto"/>
        <w:ind w:firstLine="709"/>
        <w:jc w:val="both"/>
        <w:rPr>
          <w:rFonts w:ascii="Arial" w:hAnsi="Arial" w:cs="Arial"/>
          <w:color w:val="000000" w:themeColor="text1"/>
          <w:lang w:val="es-ES_tradnl"/>
        </w:rPr>
      </w:pPr>
      <w:r w:rsidRPr="004A182D">
        <w:rPr>
          <w:rFonts w:ascii="Arial" w:hAnsi="Arial" w:cs="Arial"/>
          <w:color w:val="000000" w:themeColor="text1"/>
          <w:lang w:val="es-ES_tradnl"/>
        </w:rPr>
        <w:t xml:space="preserve">Como se observa, en el documento tipo de interventoría se estableció un requisito mínimo de experiencia habilitante, consistente en que el proponente debe acreditar que la sumatoria de los contratos aportados como experiencia es mayor o igual al 100% respecto </w:t>
      </w:r>
      <w:r w:rsidRPr="004A182D">
        <w:rPr>
          <w:rFonts w:ascii="Arial" w:hAnsi="Arial" w:cs="Arial"/>
          <w:color w:val="000000" w:themeColor="text1"/>
          <w:lang w:val="es-ES_tradnl"/>
        </w:rPr>
        <w:lastRenderedPageBreak/>
        <w:t xml:space="preserve">del valor total del presupuesto oficial expresado en SMMLV. El fundamento para exigir esta experiencia mínima radica en la inconveniencia de adjudicarle el contrato a un proponente que, por ejemplo, no cuenta con ninguna experiencia o no logra acreditar esta idoneidad mínima. En tal sentido, el cumplimiento de la exigencia indicada de demostrar una experiencia mínima constituye un requisito para participar en el procedimiento de selección y solo en relación con quienes cumplan tal exigencia mínima se ponderarán sus ofertas en relación con la asignación de puntaje. De esta manera, las ofertas que no cumplan este requisito o no logren subsanarse conforme a la regla anterior, deberán rechazarse. </w:t>
      </w:r>
    </w:p>
    <w:p w14:paraId="68D65366" w14:textId="109DFAFB" w:rsidR="004A182D" w:rsidRPr="004A182D" w:rsidRDefault="004A182D" w:rsidP="004A182D">
      <w:pPr>
        <w:spacing w:after="120" w:line="276" w:lineRule="auto"/>
        <w:ind w:firstLine="709"/>
        <w:jc w:val="both"/>
        <w:rPr>
          <w:rFonts w:ascii="Arial" w:hAnsi="Arial" w:cs="Arial"/>
          <w:color w:val="000000" w:themeColor="text1"/>
          <w:lang w:val="es-ES_tradnl"/>
        </w:rPr>
      </w:pPr>
      <w:r w:rsidRPr="004A182D">
        <w:rPr>
          <w:rFonts w:ascii="Arial" w:hAnsi="Arial" w:cs="Arial"/>
          <w:color w:val="000000" w:themeColor="text1"/>
          <w:lang w:val="es-ES_tradnl"/>
        </w:rPr>
        <w:t>Ahora bien, como se indicó, de acuerdo con el parágrafo 1 del artículo 5 de la Ley 1150 de 2007, todos aquellos requisitos de la propuesta que no afecten la asignación de puntaje podrán subsanarse, regla de donde se deriva la imposibilidad de subsanar aquellos que incidan en la asignación de puntaje. No obstante, debe destacarse que la experiencia del proponente es también un factor que otorga puntaje, conforme a las reglas del numeral 4.1 del Documento Base, las cuales permiten valorar la totalidad de la experiencia acreditada por los proponentes que cumplieron con la experiencia mínima habilitante, y asignar un puntaje en función de tal valoración. Teniendo en cuenta lo anterior,</w:t>
      </w:r>
      <w:r w:rsidRPr="004A182D" w:rsidDel="006D5A9A">
        <w:rPr>
          <w:rFonts w:ascii="Arial" w:hAnsi="Arial" w:cs="Arial"/>
          <w:color w:val="000000" w:themeColor="text1"/>
          <w:lang w:val="es-ES_tradnl"/>
        </w:rPr>
        <w:t xml:space="preserve"> </w:t>
      </w:r>
      <w:r w:rsidRPr="004A182D">
        <w:rPr>
          <w:rFonts w:ascii="Arial" w:hAnsi="Arial" w:cs="Arial"/>
          <w:color w:val="000000" w:themeColor="text1"/>
          <w:lang w:val="es-ES_tradnl"/>
        </w:rPr>
        <w:t xml:space="preserve">en principio, se presentaría una dificultad para la subsanación de la experiencia mínima habilitante, ya que ella hacer parte de la experiencia en función de la cual se otorga puntaje. </w:t>
      </w:r>
    </w:p>
    <w:p w14:paraId="014A5F7A" w14:textId="179ADDE4" w:rsidR="004A182D" w:rsidRPr="004A182D" w:rsidRDefault="004A182D" w:rsidP="004A182D">
      <w:pPr>
        <w:spacing w:after="120" w:line="276" w:lineRule="auto"/>
        <w:ind w:firstLine="709"/>
        <w:jc w:val="both"/>
        <w:rPr>
          <w:rFonts w:ascii="Arial" w:eastAsia="Calibri" w:hAnsi="Arial" w:cs="Arial"/>
          <w:bCs/>
          <w:color w:val="000000" w:themeColor="text1"/>
          <w:lang w:val="es-ES_tradnl"/>
        </w:rPr>
      </w:pPr>
      <w:r w:rsidRPr="004A182D">
        <w:rPr>
          <w:rFonts w:ascii="Arial" w:hAnsi="Arial" w:cs="Arial"/>
          <w:color w:val="000000" w:themeColor="text1"/>
          <w:lang w:val="es-ES_tradnl"/>
        </w:rPr>
        <w:t>Debido a lo anterior, la Agencia al elaborar el documento tipo optó por ser garantista en cuanto a la posibilidad de subsanar el requisito habilitante de experiencia; pero evitando incurrir en la prohibición de permitir la subsanación de requisitos de la propuesta que incidieran en la asignación de puntaje. En este sentido, como se desprende de la literalidad del numeral 3.8.1, la subsanabilidad de la experiencia solo se presenta en los casos en que con los contratos aportados por el proponente no se logre cumplir con la experiencia mínima habilitante, esto es, «</w:t>
      </w:r>
      <w:r w:rsidRPr="004A182D">
        <w:rPr>
          <w:rFonts w:ascii="Arial" w:eastAsia="Calibri" w:hAnsi="Arial" w:cs="Arial"/>
          <w:bCs/>
          <w:color w:val="000000" w:themeColor="text1"/>
          <w:lang w:val="es-ES_tradnl"/>
        </w:rPr>
        <w:t>En</w:t>
      </w:r>
      <w:r w:rsidR="006B6329">
        <w:rPr>
          <w:rFonts w:ascii="Arial" w:eastAsia="Calibri" w:hAnsi="Arial" w:cs="Arial"/>
          <w:bCs/>
          <w:color w:val="000000" w:themeColor="text1"/>
          <w:lang w:val="es-ES_tradnl"/>
        </w:rPr>
        <w:t xml:space="preserve"> </w:t>
      </w:r>
      <w:r w:rsidRPr="004A182D">
        <w:rPr>
          <w:rFonts w:ascii="Arial" w:eastAsia="Calibri" w:hAnsi="Arial" w:cs="Arial"/>
          <w:bCs/>
          <w:color w:val="000000" w:themeColor="text1"/>
          <w:lang w:val="es-ES_tradnl"/>
        </w:rPr>
        <w:t>caso que con los contratos aportados no se acredite este porcentaje mínimo, la entidad solicitará al proponente que subsane su oferta en los términos del numeral 1.6». De esta manera, la subsanabilidad únicamente tendrá por efecto habilitar al oferente cuando acredite la experiencia que se solicita como requisito habilitante, permitiendo que en el evento en que se subsane, sea susceptible de adjudicársele el contrato, evitando que, eventualmente, el proceso tenga que declararse desierto, en los casos en que tal proponente se convierta en el único habilitado.</w:t>
      </w:r>
    </w:p>
    <w:p w14:paraId="1D3D829F" w14:textId="6E910EE7" w:rsidR="004A182D" w:rsidRPr="004A182D" w:rsidRDefault="004A182D" w:rsidP="004A182D">
      <w:pPr>
        <w:spacing w:after="120" w:line="276" w:lineRule="auto"/>
        <w:ind w:firstLine="709"/>
        <w:jc w:val="both"/>
        <w:rPr>
          <w:rFonts w:ascii="Arial" w:eastAsia="Calibri" w:hAnsi="Arial" w:cs="Arial"/>
          <w:bCs/>
          <w:color w:val="000000" w:themeColor="text1"/>
          <w:lang w:val="es-ES_tradnl"/>
        </w:rPr>
      </w:pPr>
      <w:r w:rsidRPr="004A182D">
        <w:rPr>
          <w:rFonts w:ascii="Arial" w:eastAsia="Calibri" w:hAnsi="Arial" w:cs="Arial"/>
          <w:bCs/>
          <w:color w:val="000000" w:themeColor="text1"/>
          <w:lang w:val="es-ES_tradnl"/>
        </w:rPr>
        <w:t>De esta manera, la subsanación procede únicamente con la finalidad de habilitarse en el procedimiento de selección, pero no para subsanar la experiencia incidiendo en la asignación de puntaje. Por este motivo, se dispone que cuando el proponente tenga que subsanar la experiencia por no cumplir el requisito mínimo habilitante se le asignarán cero puntos por el criterio de asignación de puntaje «experiencia del proponente». Esta regulación se ajusta al ordenamiento, toda vez que si se permitiera la subsanación de la experiencia para efectos de la asignación de puntaje se estaría excediendo la regla del parágrafo 1 del artículo 5 de la Ley 1150 de 2007.</w:t>
      </w:r>
    </w:p>
    <w:p w14:paraId="5BC8C32F" w14:textId="77777777" w:rsidR="004A182D" w:rsidRPr="004A182D" w:rsidRDefault="004A182D" w:rsidP="004A182D">
      <w:pPr>
        <w:spacing w:after="120" w:line="276" w:lineRule="auto"/>
        <w:ind w:firstLine="709"/>
        <w:jc w:val="both"/>
        <w:rPr>
          <w:rFonts w:ascii="Arial" w:eastAsia="Calibri" w:hAnsi="Arial" w:cs="Arial"/>
          <w:bCs/>
          <w:color w:val="000000" w:themeColor="text1"/>
          <w:lang w:val="es-ES_tradnl"/>
        </w:rPr>
      </w:pPr>
      <w:r w:rsidRPr="004A182D">
        <w:rPr>
          <w:rFonts w:ascii="Arial" w:eastAsia="Calibri" w:hAnsi="Arial" w:cs="Arial"/>
          <w:bCs/>
          <w:color w:val="000000" w:themeColor="text1"/>
          <w:lang w:val="es-ES_tradnl"/>
        </w:rPr>
        <w:lastRenderedPageBreak/>
        <w:t>En armonía con lo anterior y con la regla precisa de subsanabilidad establecida en el documento tipo de interventoría, en los supuestos en que el proponente cumpla con el requisito mínimo de experiencia habilitante, no será posible subsanar aspectos relacionados con la experiencia, debido a que ello implicaría subsanar un requisito que incidiría en la asignación de puntaje.</w:t>
      </w:r>
    </w:p>
    <w:p w14:paraId="3FF4DAF9" w14:textId="77777777" w:rsidR="004A182D" w:rsidRPr="004A182D" w:rsidRDefault="004A182D" w:rsidP="004A182D">
      <w:pPr>
        <w:spacing w:after="120" w:line="276" w:lineRule="auto"/>
        <w:ind w:firstLine="709"/>
        <w:jc w:val="both"/>
        <w:rPr>
          <w:rFonts w:ascii="Arial" w:eastAsia="Calibri" w:hAnsi="Arial" w:cs="Arial"/>
          <w:bCs/>
          <w:color w:val="000000" w:themeColor="text1"/>
          <w:lang w:val="es-ES_tradnl"/>
        </w:rPr>
      </w:pPr>
      <w:r w:rsidRPr="004A182D">
        <w:rPr>
          <w:rFonts w:ascii="Arial" w:eastAsia="Calibri" w:hAnsi="Arial" w:cs="Arial"/>
          <w:bCs/>
          <w:color w:val="000000" w:themeColor="text1"/>
          <w:lang w:val="es-ES_tradnl"/>
        </w:rPr>
        <w:t xml:space="preserve">Ahora bien, la regla anterior no implica limitar o incidir en la posibilidad de presentar </w:t>
      </w:r>
      <w:r w:rsidRPr="004A182D">
        <w:rPr>
          <w:rFonts w:ascii="Arial" w:eastAsia="Calibri" w:hAnsi="Arial" w:cs="Arial"/>
          <w:bCs/>
          <w:i/>
          <w:iCs/>
          <w:color w:val="000000" w:themeColor="text1"/>
          <w:lang w:val="es-ES_tradnl"/>
        </w:rPr>
        <w:t xml:space="preserve">explicaciones o aclaraciones </w:t>
      </w:r>
      <w:r w:rsidRPr="004A182D">
        <w:rPr>
          <w:rFonts w:ascii="Arial" w:eastAsia="Calibri" w:hAnsi="Arial" w:cs="Arial"/>
          <w:bCs/>
          <w:color w:val="000000" w:themeColor="text1"/>
          <w:lang w:val="es-ES_tradnl"/>
        </w:rPr>
        <w:t>del contenido de las ofertas, actuación que esta Agencia y la jurisprudencia ha diferenciado de la posibilidad de subsanar, fundamentando tal actuación en el artículo 30, numeral 7 de la Ley 80 de 1993</w:t>
      </w:r>
      <w:r w:rsidRPr="004A182D">
        <w:rPr>
          <w:rFonts w:ascii="Arial" w:eastAsia="Calibri" w:hAnsi="Arial" w:cs="Arial"/>
          <w:bCs/>
          <w:color w:val="000000" w:themeColor="text1"/>
          <w:vertAlign w:val="superscript"/>
          <w:lang w:val="es-ES_tradnl"/>
        </w:rPr>
        <w:footnoteReference w:id="10"/>
      </w:r>
      <w:r w:rsidRPr="004A182D">
        <w:rPr>
          <w:rFonts w:ascii="Arial" w:eastAsia="Calibri" w:hAnsi="Arial" w:cs="Arial"/>
          <w:bCs/>
          <w:color w:val="000000" w:themeColor="text1"/>
          <w:lang w:val="es-ES_tradnl"/>
        </w:rPr>
        <w:t xml:space="preserve">. De esta manera, es posible que las entidades requieran al proponente para que explique o aclare el contenido de lo que está presente en la oferta, lo que procede tanto frente a los requisitos habilitantes como los que asignan puntaje. En efecto, en el «documento base» del documento tipo de interventoría se establece en el numeral 1.6. –inciso segundo–: «En caso de ser necesario, la entidad debe solicitar a los proponentes durante el proceso de evaluación, y a más tardar en el informe de evaluación, las aclaraciones, precisiones o solicitud de documentos que puedan ser subsanables. </w:t>
      </w:r>
      <w:r w:rsidRPr="004A182D">
        <w:rPr>
          <w:rFonts w:ascii="Arial" w:eastAsia="Calibri" w:hAnsi="Arial" w:cs="Arial"/>
          <w:bCs/>
          <w:i/>
          <w:iCs/>
          <w:color w:val="000000" w:themeColor="text1"/>
          <w:lang w:val="es-ES_tradnl"/>
        </w:rPr>
        <w:t>No obstante, los proponentes no podrán completar, adicionar o mejorar sus propuestas en los aspectos que otorgan puntaje, los cuales podrán ser objeto de aclaraciones y explicaciones</w:t>
      </w:r>
      <w:r w:rsidRPr="004A182D">
        <w:rPr>
          <w:rFonts w:ascii="Arial" w:eastAsia="Calibri" w:hAnsi="Arial" w:cs="Arial"/>
          <w:bCs/>
          <w:color w:val="000000" w:themeColor="text1"/>
          <w:lang w:val="es-ES_tradnl"/>
        </w:rPr>
        <w:t xml:space="preserve">». </w:t>
      </w:r>
    </w:p>
    <w:p w14:paraId="2F814C0A" w14:textId="77777777" w:rsidR="004A182D" w:rsidRPr="004A182D" w:rsidRDefault="004A182D" w:rsidP="006B347C">
      <w:pPr>
        <w:spacing w:after="0" w:line="276" w:lineRule="auto"/>
        <w:ind w:firstLine="709"/>
        <w:jc w:val="both"/>
        <w:rPr>
          <w:rFonts w:ascii="Arial" w:eastAsia="Calibri" w:hAnsi="Arial" w:cs="Arial"/>
          <w:bCs/>
          <w:color w:val="000000" w:themeColor="text1"/>
          <w:lang w:val="es-ES_tradnl"/>
        </w:rPr>
      </w:pPr>
      <w:r w:rsidRPr="004A182D">
        <w:rPr>
          <w:rFonts w:ascii="Arial" w:eastAsia="Calibri" w:hAnsi="Arial" w:cs="Arial"/>
          <w:bCs/>
          <w:color w:val="000000" w:themeColor="text1"/>
          <w:lang w:val="es-ES_tradnl"/>
        </w:rPr>
        <w:t>Así las cosas, el «Anexo 3 – Glosario» del documento tipo de interventoría en relación con esta posibilidad establece la siguiente remisión: «Aclaraciones y explicaciones de ofertas: Se remite a las nociones desarrolladas en la sentencia del Consejo de Estado, Sección Tercera, Subsección C, del 12 de noviembre de 2014, Radicado 27.986, Consejero Ponente: Enrique Gil Botero». De esta manera, la posibilidad de «subsanar» la experiencia mínima habilitante, no incide en la posibilidad amplia de presentar «aclaraciones o explicaciones» del contenido de las ofertas.</w:t>
      </w:r>
    </w:p>
    <w:p w14:paraId="12BE7D08" w14:textId="77777777" w:rsidR="004A182D" w:rsidRPr="004A182D" w:rsidRDefault="004A182D" w:rsidP="006B347C">
      <w:pPr>
        <w:spacing w:after="0" w:line="240" w:lineRule="auto"/>
        <w:jc w:val="both"/>
        <w:rPr>
          <w:rFonts w:ascii="Arial" w:hAnsi="Arial" w:cs="Arial"/>
          <w:b/>
          <w:bCs/>
          <w:color w:val="000000" w:themeColor="text1"/>
          <w:lang w:val="es-ES_tradnl"/>
        </w:rPr>
      </w:pPr>
    </w:p>
    <w:p w14:paraId="30CF48A4" w14:textId="427E21F9" w:rsidR="004A182D" w:rsidRPr="006B347C" w:rsidRDefault="006B347C" w:rsidP="006B347C">
      <w:pPr>
        <w:spacing w:after="0"/>
        <w:rPr>
          <w:rFonts w:ascii="Arial" w:hAnsi="Arial" w:cs="Arial"/>
          <w:b/>
          <w:bCs/>
        </w:rPr>
      </w:pPr>
      <w:r w:rsidRPr="006B347C">
        <w:rPr>
          <w:rFonts w:ascii="Arial" w:hAnsi="Arial" w:cs="Arial"/>
          <w:b/>
          <w:bCs/>
        </w:rPr>
        <w:t xml:space="preserve">2. </w:t>
      </w:r>
      <w:r w:rsidR="004A182D" w:rsidRPr="006B347C">
        <w:rPr>
          <w:rFonts w:ascii="Arial" w:hAnsi="Arial" w:cs="Arial"/>
          <w:b/>
          <w:bCs/>
        </w:rPr>
        <w:t xml:space="preserve">Respuesta </w:t>
      </w:r>
    </w:p>
    <w:p w14:paraId="1B228E48" w14:textId="77777777" w:rsidR="004A182D" w:rsidRPr="004A182D" w:rsidRDefault="004A182D" w:rsidP="006B347C">
      <w:pPr>
        <w:tabs>
          <w:tab w:val="left" w:pos="284"/>
        </w:tabs>
        <w:spacing w:after="0" w:line="240" w:lineRule="auto"/>
        <w:ind w:right="709"/>
        <w:contextualSpacing/>
        <w:jc w:val="both"/>
        <w:rPr>
          <w:rFonts w:ascii="Arial" w:hAnsi="Arial" w:cs="Arial"/>
          <w:lang w:val="es-ES_tradnl"/>
        </w:rPr>
      </w:pPr>
    </w:p>
    <w:p w14:paraId="57A02060" w14:textId="4DF5AE6D" w:rsidR="006B347C" w:rsidRPr="006B347C" w:rsidRDefault="000C368A" w:rsidP="000233A8">
      <w:pPr>
        <w:spacing w:after="120" w:line="240" w:lineRule="auto"/>
        <w:ind w:left="709" w:right="709"/>
        <w:jc w:val="both"/>
        <w:rPr>
          <w:rFonts w:ascii="Arial" w:hAnsi="Arial" w:cs="Arial"/>
          <w:color w:val="000000" w:themeColor="text1"/>
          <w:sz w:val="21"/>
          <w:szCs w:val="21"/>
          <w:lang w:val="es-MX"/>
        </w:rPr>
      </w:pPr>
      <w:r>
        <w:rPr>
          <w:rFonts w:ascii="Arial" w:hAnsi="Arial" w:cs="Arial"/>
          <w:color w:val="000000" w:themeColor="text1"/>
          <w:sz w:val="21"/>
          <w:szCs w:val="21"/>
          <w:lang w:val="es-MX"/>
        </w:rPr>
        <w:t xml:space="preserve">i) </w:t>
      </w:r>
      <w:r w:rsidR="006B347C" w:rsidRPr="006B347C">
        <w:rPr>
          <w:rFonts w:ascii="Arial" w:hAnsi="Arial" w:cs="Arial"/>
          <w:color w:val="000000" w:themeColor="text1"/>
          <w:sz w:val="21"/>
          <w:szCs w:val="21"/>
          <w:lang w:val="es-MX"/>
        </w:rPr>
        <w:t xml:space="preserve">«¿la entidad podrá no asignar puntos a un oferente que por diferentes condiciones anexa liquidación o acta de recibo final (con un objeto que a priori cumple con el alcance del objeto según los requerimientos) pero que a consideración de la entidad establezca insuficiente y se acobije a lo establecido en el numeral 10.1.4. y 10.1.5 (lo (sic) cuales son opcionales o si son necesarias). para solicitar mas (sic) información como sabana de cantidades, ducho esto la entidad habilita al oferente pero lo descarta para la asignar puntaje </w:t>
      </w:r>
      <w:r w:rsidR="006B347C" w:rsidRPr="006B347C">
        <w:rPr>
          <w:rFonts w:ascii="Arial" w:hAnsi="Arial" w:cs="Arial"/>
          <w:color w:val="000000" w:themeColor="text1"/>
          <w:sz w:val="21"/>
          <w:szCs w:val="21"/>
          <w:lang w:val="es-MX"/>
        </w:rPr>
        <w:lastRenderedPageBreak/>
        <w:t xml:space="preserve">según numeral 4.1. debido a que consideran que el mismo no cumplió el requisito del valor del 100% y están subsanando dicho requisito?». </w:t>
      </w:r>
    </w:p>
    <w:p w14:paraId="366EAEC5" w14:textId="146B2377" w:rsidR="004A182D" w:rsidRPr="000233A8" w:rsidRDefault="000C368A" w:rsidP="000233A8">
      <w:pPr>
        <w:spacing w:after="0" w:line="240" w:lineRule="auto"/>
        <w:ind w:left="709" w:right="709"/>
        <w:jc w:val="both"/>
        <w:rPr>
          <w:rFonts w:ascii="Arial" w:hAnsi="Arial" w:cs="Arial"/>
          <w:color w:val="000000" w:themeColor="text1"/>
          <w:sz w:val="21"/>
          <w:szCs w:val="21"/>
          <w:lang w:val="es-MX"/>
        </w:rPr>
      </w:pPr>
      <w:r>
        <w:rPr>
          <w:rFonts w:ascii="Arial" w:hAnsi="Arial" w:cs="Arial"/>
          <w:color w:val="000000" w:themeColor="text1"/>
          <w:sz w:val="21"/>
          <w:szCs w:val="21"/>
          <w:lang w:val="es-MX"/>
        </w:rPr>
        <w:t xml:space="preserve">ii) </w:t>
      </w:r>
      <w:r w:rsidR="006B347C" w:rsidRPr="000233A8">
        <w:rPr>
          <w:rFonts w:ascii="Arial" w:hAnsi="Arial" w:cs="Arial"/>
          <w:color w:val="000000" w:themeColor="text1"/>
          <w:sz w:val="21"/>
          <w:szCs w:val="21"/>
          <w:lang w:val="es-MX"/>
        </w:rPr>
        <w:t>«¿Ese proceso anteriormente esta (sic) bien ejecutado?».</w:t>
      </w:r>
    </w:p>
    <w:p w14:paraId="73E5466F" w14:textId="77777777" w:rsidR="006B347C" w:rsidRPr="006B347C" w:rsidRDefault="006B347C" w:rsidP="000233A8">
      <w:pPr>
        <w:pStyle w:val="Prrafodelista"/>
        <w:spacing w:after="0" w:line="276" w:lineRule="auto"/>
        <w:ind w:left="1429"/>
        <w:jc w:val="both"/>
        <w:rPr>
          <w:rFonts w:ascii="Arial" w:hAnsi="Arial" w:cs="Arial"/>
          <w:color w:val="000000" w:themeColor="text1"/>
          <w:lang w:val="es-MX"/>
        </w:rPr>
      </w:pPr>
    </w:p>
    <w:p w14:paraId="1400660F" w14:textId="71830670" w:rsidR="00AC6F42" w:rsidRPr="00AC6F42" w:rsidRDefault="00AC6F42" w:rsidP="000233A8">
      <w:pPr>
        <w:spacing w:after="120" w:line="276" w:lineRule="auto"/>
        <w:jc w:val="both"/>
        <w:rPr>
          <w:rFonts w:ascii="Arial" w:hAnsi="Arial" w:cs="Arial"/>
          <w:color w:val="000000" w:themeColor="text1"/>
          <w:lang w:val="es-ES_tradnl"/>
        </w:rPr>
      </w:pPr>
      <w:r w:rsidRPr="00AC6F42">
        <w:rPr>
          <w:rFonts w:ascii="Arial" w:eastAsia="Calibri" w:hAnsi="Arial" w:cs="Arial"/>
          <w:bCs/>
          <w:lang w:val="es-MX"/>
        </w:rPr>
        <w:t xml:space="preserve">De conformidad con las consideraciones desarrolladas en este concepto, </w:t>
      </w:r>
      <w:r w:rsidRPr="00AC6F42">
        <w:rPr>
          <w:rFonts w:ascii="Arial" w:eastAsia="Calibri" w:hAnsi="Arial" w:cs="Arial"/>
          <w:color w:val="000000"/>
          <w:lang w:val="es-ES"/>
        </w:rPr>
        <w:t xml:space="preserve">la Subdirección, resolverá de forma conjunta las dos preguntas planteadas en </w:t>
      </w:r>
      <w:r w:rsidR="000503A3">
        <w:rPr>
          <w:rFonts w:ascii="Arial" w:eastAsia="Calibri" w:hAnsi="Arial" w:cs="Arial"/>
          <w:color w:val="000000"/>
          <w:lang w:val="es-ES"/>
        </w:rPr>
        <w:t xml:space="preserve">la </w:t>
      </w:r>
      <w:r w:rsidRPr="00AC6F42">
        <w:rPr>
          <w:rFonts w:ascii="Arial" w:eastAsia="Calibri" w:hAnsi="Arial" w:cs="Arial"/>
          <w:color w:val="000000"/>
          <w:lang w:val="es-ES"/>
        </w:rPr>
        <w:t>consulta conforme a las normas generales en materia de contratación estatal.</w:t>
      </w:r>
      <w:r w:rsidR="006864FC">
        <w:rPr>
          <w:rFonts w:ascii="Arial" w:hAnsi="Arial" w:cs="Arial"/>
          <w:color w:val="000000" w:themeColor="text1"/>
          <w:lang w:val="es-ES_tradnl"/>
        </w:rPr>
        <w:t xml:space="preserve"> </w:t>
      </w:r>
      <w:r w:rsidRPr="00AC6F42">
        <w:rPr>
          <w:rFonts w:ascii="Arial" w:hAnsi="Arial" w:cs="Arial"/>
          <w:color w:val="000000" w:themeColor="text1"/>
          <w:lang w:val="es-ES_tradnl"/>
        </w:rPr>
        <w:t xml:space="preserve">En este sentido, el documento tipo de interventoría estableció un requisito mínimo de experiencia habilitante, </w:t>
      </w:r>
      <w:r w:rsidR="006864FC">
        <w:rPr>
          <w:rFonts w:ascii="Arial" w:hAnsi="Arial" w:cs="Arial"/>
          <w:color w:val="000000" w:themeColor="text1"/>
          <w:lang w:val="es-ES_tradnl"/>
        </w:rPr>
        <w:t>por el</w:t>
      </w:r>
      <w:r w:rsidRPr="00AC6F42">
        <w:rPr>
          <w:rFonts w:ascii="Arial" w:hAnsi="Arial" w:cs="Arial"/>
          <w:color w:val="000000" w:themeColor="text1"/>
          <w:lang w:val="es-ES_tradnl"/>
        </w:rPr>
        <w:t xml:space="preserve"> que el proponente debe acreditar que la sumatoria de los contratos aportados como experiencia es mayor o igual al 100% respecto del valor total del presupuesto oficial expresado en SMMLV. En tal sentido, el cumplimiento de la exigencia indicada de demostrar una experiencia mínima constituye un requisito para participar en el procedimiento de selección y solo en relación con quienes cumplan </w:t>
      </w:r>
      <w:r w:rsidR="006864FC">
        <w:rPr>
          <w:rFonts w:ascii="Arial" w:hAnsi="Arial" w:cs="Arial"/>
          <w:color w:val="000000" w:themeColor="text1"/>
          <w:lang w:val="es-ES_tradnl"/>
        </w:rPr>
        <w:t>esta</w:t>
      </w:r>
      <w:r w:rsidRPr="00AC6F42">
        <w:rPr>
          <w:rFonts w:ascii="Arial" w:hAnsi="Arial" w:cs="Arial"/>
          <w:color w:val="000000" w:themeColor="text1"/>
          <w:lang w:val="es-ES_tradnl"/>
        </w:rPr>
        <w:t xml:space="preserve"> exigencia mínima se ponderarán sus ofertas en relación con la asignación de puntaje. De esta manera, las ofertas que no cumplan este requisito o no logren subsanarse conforme a la regla anterior, deberán rechazarse. </w:t>
      </w:r>
    </w:p>
    <w:p w14:paraId="5B3E0848" w14:textId="23D1170C" w:rsidR="006864FC" w:rsidRDefault="00AC6F42" w:rsidP="00AC6F42">
      <w:pPr>
        <w:spacing w:after="120" w:line="276" w:lineRule="auto"/>
        <w:ind w:firstLine="709"/>
        <w:jc w:val="both"/>
        <w:rPr>
          <w:rFonts w:ascii="Arial" w:hAnsi="Arial" w:cs="Arial"/>
          <w:color w:val="000000" w:themeColor="text1"/>
          <w:lang w:val="es-ES_tradnl"/>
        </w:rPr>
      </w:pPr>
      <w:r w:rsidRPr="00AC6F42">
        <w:rPr>
          <w:rFonts w:ascii="Arial" w:hAnsi="Arial" w:cs="Arial"/>
          <w:color w:val="000000" w:themeColor="text1"/>
          <w:lang w:val="es-ES_tradnl"/>
        </w:rPr>
        <w:t xml:space="preserve">Ahora bien, de acuerdo con el parágrafo 1 del artículo 5 de la Ley 1150 de 2007, todos aquellos requisitos de la propuesta que no afecten la asignación de puntaje podrán subsanarse, regla de donde se deriva la imposibilidad de subsanar aquellos que incidan en la asignación de puntaje. Debido a lo anterior, la Agencia al elaborar el documento tipo de interventoría optó por ser garantista en cuanto a la posibilidad de subsanar el requisito habilitante de experiencia; pero evitando incurrir en la prohibición de permitir la subsanación de requisitos de la propuesta que incidieran en la asignación de puntaje. </w:t>
      </w:r>
    </w:p>
    <w:p w14:paraId="3FE0A483" w14:textId="4352D18E" w:rsidR="00AC6F42" w:rsidRPr="00AC6F42" w:rsidRDefault="00AC6F42" w:rsidP="00AC6F42">
      <w:pPr>
        <w:spacing w:after="120" w:line="276" w:lineRule="auto"/>
        <w:ind w:firstLine="709"/>
        <w:jc w:val="both"/>
        <w:rPr>
          <w:rFonts w:ascii="Arial" w:eastAsia="Calibri" w:hAnsi="Arial" w:cs="Arial"/>
          <w:bCs/>
          <w:color w:val="000000" w:themeColor="text1"/>
          <w:lang w:val="es-ES_tradnl"/>
        </w:rPr>
      </w:pPr>
      <w:r w:rsidRPr="00AC6F42">
        <w:rPr>
          <w:rFonts w:ascii="Arial" w:hAnsi="Arial" w:cs="Arial"/>
          <w:color w:val="000000" w:themeColor="text1"/>
          <w:lang w:val="es-ES_tradnl"/>
        </w:rPr>
        <w:t>En este sentido, como se desprende de la literalidad del numeral 3.8.1, la subsanabilidad de la experiencia solo se presenta en los casos en que con los contratos aportados por el proponente no se logre cumplir con la experiencia mínima habilitante, esto es, «</w:t>
      </w:r>
      <w:r w:rsidRPr="00AC6F42">
        <w:rPr>
          <w:rFonts w:ascii="Arial" w:eastAsia="Calibri" w:hAnsi="Arial" w:cs="Arial"/>
          <w:bCs/>
          <w:color w:val="000000" w:themeColor="text1"/>
          <w:lang w:val="es-ES_tradnl"/>
        </w:rPr>
        <w:t>En caso que con los contratos aportados no se acredite este porcentaje mínimo, la entidad solicitará al proponente que subsane su oferta en los términos del numeral 1.6». De esta manera, la subsanabilidad únicamente tendrá por efecto habilitar al oferente cuando acredite la experiencia que se solicita como requisito habilitante, permitiendo que en el evento en que se subsane, sea susceptible de adjudicársele el contrato, evitando que, eventualmente, el proceso tenga que declararse desierto, en los casos en que tal proponente se convierta en el único habilitado.</w:t>
      </w:r>
    </w:p>
    <w:p w14:paraId="2814186C" w14:textId="4EC25BAE" w:rsidR="00AC6F42" w:rsidRPr="00AC6F42" w:rsidRDefault="004D0239" w:rsidP="00AC6F42">
      <w:pPr>
        <w:spacing w:after="120" w:line="276" w:lineRule="auto"/>
        <w:ind w:firstLine="709"/>
        <w:jc w:val="both"/>
        <w:rPr>
          <w:rFonts w:ascii="Arial" w:eastAsia="Calibri" w:hAnsi="Arial" w:cs="Arial"/>
          <w:bCs/>
          <w:color w:val="000000" w:themeColor="text1"/>
          <w:lang w:val="es-ES_tradnl"/>
        </w:rPr>
      </w:pPr>
      <w:r>
        <w:rPr>
          <w:rFonts w:ascii="Arial" w:eastAsia="Calibri" w:hAnsi="Arial" w:cs="Arial"/>
          <w:bCs/>
          <w:color w:val="000000" w:themeColor="text1"/>
          <w:lang w:val="es-ES_tradnl"/>
        </w:rPr>
        <w:t>Asi las cosas</w:t>
      </w:r>
      <w:r w:rsidR="00AC6F42" w:rsidRPr="00AC6F42">
        <w:rPr>
          <w:rFonts w:ascii="Arial" w:eastAsia="Calibri" w:hAnsi="Arial" w:cs="Arial"/>
          <w:bCs/>
          <w:color w:val="000000" w:themeColor="text1"/>
          <w:lang w:val="es-ES_tradnl"/>
        </w:rPr>
        <w:t xml:space="preserve">, la subsanación procede únicamente con la finalidad de habilitarse en el procedimiento de selección, pero no para subsanar la experiencia incidiendo en la asignación de puntaje. Por este motivo, se dispone que cuando el proponente tenga que subsanar la experiencia por no cumplir el requisito mínimo habilitante se le asignarán cero puntos por el criterio de asignación de puntaje «experiencia del proponente». Esta regulación se ajusta al ordenamiento, toda vez que si se permitiera la subsanación de la </w:t>
      </w:r>
      <w:r w:rsidR="00AC6F42" w:rsidRPr="00AC6F42">
        <w:rPr>
          <w:rFonts w:ascii="Arial" w:eastAsia="Calibri" w:hAnsi="Arial" w:cs="Arial"/>
          <w:bCs/>
          <w:color w:val="000000" w:themeColor="text1"/>
          <w:lang w:val="es-ES_tradnl"/>
        </w:rPr>
        <w:lastRenderedPageBreak/>
        <w:t>experiencia para efectos de la asignación de puntaje se estaría excediendo la regla del parágrafo 1 del artículo 5 de la Ley 1150 de 2007.</w:t>
      </w:r>
    </w:p>
    <w:p w14:paraId="25F9B11E" w14:textId="77777777" w:rsidR="00AC6F42" w:rsidRPr="00AC6F42" w:rsidRDefault="00AC6F42" w:rsidP="00AC6F42">
      <w:pPr>
        <w:spacing w:after="120" w:line="276" w:lineRule="auto"/>
        <w:ind w:firstLine="709"/>
        <w:jc w:val="both"/>
        <w:rPr>
          <w:rFonts w:ascii="Arial" w:eastAsia="Calibri" w:hAnsi="Arial" w:cs="Arial"/>
          <w:bCs/>
          <w:color w:val="000000" w:themeColor="text1"/>
          <w:lang w:val="es-ES_tradnl"/>
        </w:rPr>
      </w:pPr>
      <w:r w:rsidRPr="00AC6F42">
        <w:rPr>
          <w:rFonts w:ascii="Arial" w:eastAsia="Calibri" w:hAnsi="Arial" w:cs="Arial"/>
          <w:bCs/>
          <w:color w:val="000000" w:themeColor="text1"/>
          <w:lang w:val="es-ES_tradnl"/>
        </w:rPr>
        <w:t>En armonía con lo anterior y con la regla precisa de subsanabilidad establecida en el documento tipo de interventoría, en los supuestos en que el proponente cumpla con el requisito mínimo de experiencia habilitante, no será posible subsanar aspectos relacionados con la experiencia, debido a que ello implicaría subsanar un requisito que incidiría en la asignación de puntaje.</w:t>
      </w:r>
    </w:p>
    <w:p w14:paraId="56D2A1B5" w14:textId="77777777" w:rsidR="004A182D" w:rsidRPr="004A182D" w:rsidRDefault="004A182D" w:rsidP="004A182D">
      <w:pPr>
        <w:spacing w:after="0" w:line="276" w:lineRule="auto"/>
        <w:ind w:firstLine="708"/>
        <w:jc w:val="both"/>
        <w:rPr>
          <w:rFonts w:ascii="Arial" w:eastAsia="Calibri" w:hAnsi="Arial" w:cs="Arial"/>
          <w:lang w:val="es-MX"/>
        </w:rPr>
      </w:pPr>
    </w:p>
    <w:p w14:paraId="69928D4B" w14:textId="77777777" w:rsidR="004A182D" w:rsidRPr="004A182D" w:rsidRDefault="004A182D" w:rsidP="004A182D">
      <w:pPr>
        <w:spacing w:after="120" w:line="276" w:lineRule="auto"/>
        <w:ind w:right="51"/>
        <w:jc w:val="both"/>
        <w:rPr>
          <w:rFonts w:ascii="Arial" w:eastAsia="Times New Roman" w:hAnsi="Arial" w:cs="Arial"/>
          <w:bdr w:val="none" w:sz="0" w:space="0" w:color="auto" w:frame="1"/>
          <w:shd w:val="clear" w:color="auto" w:fill="FFFFFF"/>
          <w:lang w:val="es-ES_tradnl" w:eastAsia="es-ES_tradnl"/>
        </w:rPr>
      </w:pPr>
      <w:r w:rsidRPr="004A182D">
        <w:rPr>
          <w:rFonts w:ascii="Arial" w:eastAsia="Times New Roman" w:hAnsi="Arial" w:cs="Arial"/>
          <w:bdr w:val="none" w:sz="0" w:space="0" w:color="auto" w:frame="1"/>
          <w:shd w:val="clear" w:color="auto" w:fill="FFFFFF"/>
          <w:lang w:val="es-ES_tradnl" w:eastAsia="es-ES_tradnl"/>
        </w:rPr>
        <w:t>Este concepto tiene el alcance previsto en el artículo 28 del Código de Procedimiento Administrativo y de lo Contencioso Administrativo.</w:t>
      </w:r>
    </w:p>
    <w:bookmarkEnd w:id="2"/>
    <w:p w14:paraId="36436FB5" w14:textId="77777777" w:rsidR="004A182D" w:rsidRPr="004A182D" w:rsidRDefault="004A182D" w:rsidP="004A182D">
      <w:pPr>
        <w:spacing w:after="120" w:line="276" w:lineRule="auto"/>
        <w:ind w:right="51"/>
        <w:jc w:val="both"/>
        <w:rPr>
          <w:rFonts w:ascii="Arial" w:eastAsia="Calibri" w:hAnsi="Arial" w:cs="Arial"/>
          <w:lang w:val="es-ES_tradnl"/>
        </w:rPr>
      </w:pPr>
    </w:p>
    <w:p w14:paraId="54213716" w14:textId="42B29E0C" w:rsidR="004A182D" w:rsidRDefault="004A182D" w:rsidP="004A182D">
      <w:pPr>
        <w:spacing w:after="0" w:line="240" w:lineRule="auto"/>
        <w:jc w:val="both"/>
        <w:rPr>
          <w:rFonts w:ascii="Arial" w:eastAsia="Times New Roman" w:hAnsi="Arial" w:cs="Arial"/>
          <w:lang w:val="es-ES_tradnl" w:eastAsia="es-CO"/>
        </w:rPr>
      </w:pPr>
      <w:bookmarkStart w:id="11" w:name="_Hlk84867712"/>
      <w:r w:rsidRPr="004A182D">
        <w:rPr>
          <w:rFonts w:ascii="Arial" w:eastAsia="Times New Roman" w:hAnsi="Arial" w:cs="Arial"/>
          <w:lang w:val="es-ES_tradnl" w:eastAsia="es-CO"/>
        </w:rPr>
        <w:t>Atentamente,</w:t>
      </w:r>
    </w:p>
    <w:p w14:paraId="59660AEC" w14:textId="195D1409" w:rsidR="000233A8" w:rsidRDefault="000233A8" w:rsidP="004A182D">
      <w:pPr>
        <w:spacing w:after="0" w:line="240" w:lineRule="auto"/>
        <w:jc w:val="both"/>
        <w:rPr>
          <w:rFonts w:ascii="Arial" w:eastAsia="Times New Roman" w:hAnsi="Arial" w:cs="Arial"/>
          <w:lang w:val="es-ES_tradnl" w:eastAsia="es-CO"/>
        </w:rPr>
      </w:pPr>
    </w:p>
    <w:p w14:paraId="22D65518" w14:textId="138B3990" w:rsidR="00475279" w:rsidRDefault="00475279" w:rsidP="004A182D">
      <w:pPr>
        <w:spacing w:after="0" w:line="240" w:lineRule="auto"/>
        <w:jc w:val="both"/>
        <w:rPr>
          <w:rFonts w:ascii="Arial" w:eastAsia="Times New Roman" w:hAnsi="Arial" w:cs="Arial"/>
          <w:lang w:val="es-ES_tradnl" w:eastAsia="es-CO"/>
        </w:rPr>
      </w:pPr>
    </w:p>
    <w:p w14:paraId="789C3B0D" w14:textId="068B2DBD" w:rsidR="000233A8" w:rsidRDefault="00715E53" w:rsidP="00715E53">
      <w:pPr>
        <w:spacing w:after="0" w:line="240" w:lineRule="auto"/>
        <w:jc w:val="center"/>
        <w:rPr>
          <w:rFonts w:ascii="Arial" w:eastAsia="Times New Roman" w:hAnsi="Arial" w:cs="Arial"/>
          <w:lang w:val="es-ES_tradnl" w:eastAsia="es-CO"/>
        </w:rPr>
      </w:pPr>
      <w:r>
        <w:rPr>
          <w:noProof/>
        </w:rPr>
        <w:drawing>
          <wp:inline distT="0" distB="0" distL="0" distR="0" wp14:anchorId="246664C2" wp14:editId="073429B1">
            <wp:extent cx="3124200" cy="1000125"/>
            <wp:effectExtent l="0" t="0" r="0" b="9525"/>
            <wp:docPr id="6" name="Imagen 6"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 Carta&#10;&#10;Descripción generada automáticamente"/>
                    <pic:cNvPicPr>
                      <a:picLocks noChangeAspect="1"/>
                    </pic:cNvPicPr>
                  </pic:nvPicPr>
                  <pic:blipFill>
                    <a:blip r:embed="rId12"/>
                    <a:stretch>
                      <a:fillRect/>
                    </a:stretch>
                  </pic:blipFill>
                  <pic:spPr>
                    <a:xfrm>
                      <a:off x="0" y="0"/>
                      <a:ext cx="3124200" cy="1000125"/>
                    </a:xfrm>
                    <a:prstGeom prst="rect">
                      <a:avLst/>
                    </a:prstGeom>
                  </pic:spPr>
                </pic:pic>
              </a:graphicData>
            </a:graphic>
          </wp:inline>
        </w:drawing>
      </w:r>
    </w:p>
    <w:bookmarkEnd w:id="0"/>
    <w:bookmarkEnd w:id="1"/>
    <w:p w14:paraId="194B3A03" w14:textId="69D33F62" w:rsidR="004A182D" w:rsidRPr="004A182D" w:rsidRDefault="004A182D" w:rsidP="004A182D">
      <w:pPr>
        <w:spacing w:after="0" w:line="240" w:lineRule="auto"/>
        <w:jc w:val="center"/>
        <w:rPr>
          <w:rFonts w:ascii="Arial" w:eastAsia="Times New Roman" w:hAnsi="Arial" w:cs="Arial"/>
          <w:lang w:val="es-ES_tradnl" w:eastAsia="es-CO"/>
        </w:rPr>
      </w:pPr>
    </w:p>
    <w:p w14:paraId="75FD3198" w14:textId="77777777" w:rsidR="004A182D" w:rsidRPr="004A182D" w:rsidRDefault="004A182D" w:rsidP="004A182D">
      <w:pPr>
        <w:spacing w:after="0" w:line="240" w:lineRule="auto"/>
        <w:jc w:val="center"/>
        <w:rPr>
          <w:rFonts w:ascii="Arial" w:eastAsia="Times New Roman" w:hAnsi="Arial" w:cs="Arial"/>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A182D" w:rsidRPr="004A182D" w14:paraId="4E4A00A6" w14:textId="77777777" w:rsidTr="00ED6A5D">
        <w:trPr>
          <w:trHeight w:val="315"/>
        </w:trPr>
        <w:tc>
          <w:tcPr>
            <w:tcW w:w="812" w:type="dxa"/>
            <w:vAlign w:val="center"/>
            <w:hideMark/>
          </w:tcPr>
          <w:p w14:paraId="0D649061" w14:textId="77777777" w:rsidR="004A182D" w:rsidRPr="004A182D" w:rsidRDefault="004A182D" w:rsidP="004A182D">
            <w:pPr>
              <w:rPr>
                <w:rFonts w:ascii="Arial" w:eastAsia="Times New Roman" w:hAnsi="Arial" w:cs="Arial"/>
                <w:sz w:val="16"/>
                <w:lang w:val="es-ES_tradnl" w:eastAsia="es-ES"/>
              </w:rPr>
            </w:pPr>
            <w:r w:rsidRPr="004A182D">
              <w:rPr>
                <w:rFonts w:ascii="Arial" w:eastAsia="Times New Roman" w:hAnsi="Arial" w:cs="Arial"/>
                <w:sz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57B3B82" w14:textId="53F0FD86" w:rsidR="004A182D" w:rsidRDefault="004A182D" w:rsidP="004A182D">
            <w:pPr>
              <w:rPr>
                <w:rFonts w:ascii="Arial" w:eastAsia="Times New Roman" w:hAnsi="Arial" w:cs="Arial"/>
                <w:sz w:val="16"/>
                <w:lang w:val="es-ES_tradnl" w:eastAsia="es-ES"/>
              </w:rPr>
            </w:pPr>
            <w:r>
              <w:rPr>
                <w:rFonts w:ascii="Arial" w:eastAsia="Times New Roman" w:hAnsi="Arial" w:cs="Arial"/>
                <w:sz w:val="16"/>
                <w:lang w:val="es-ES_tradnl" w:eastAsia="es-ES"/>
              </w:rPr>
              <w:t>Carlos Mario Castrillón Endo</w:t>
            </w:r>
          </w:p>
          <w:p w14:paraId="311D5B72" w14:textId="13378F25" w:rsidR="004A182D" w:rsidRPr="004A182D" w:rsidRDefault="004A182D" w:rsidP="004A182D">
            <w:pPr>
              <w:rPr>
                <w:rFonts w:ascii="Arial" w:eastAsia="Times New Roman" w:hAnsi="Arial" w:cs="Arial"/>
                <w:sz w:val="16"/>
                <w:lang w:val="es-ES_tradnl" w:eastAsia="es-ES"/>
              </w:rPr>
            </w:pPr>
            <w:r w:rsidRPr="004A182D">
              <w:rPr>
                <w:rFonts w:ascii="Arial" w:eastAsia="Times New Roman" w:hAnsi="Arial" w:cs="Arial"/>
                <w:sz w:val="16"/>
                <w:lang w:val="es-ES_tradnl" w:eastAsia="es-ES"/>
              </w:rPr>
              <w:t>Contratista de la Subdirección de Gestión Contractual</w:t>
            </w:r>
          </w:p>
        </w:tc>
      </w:tr>
      <w:tr w:rsidR="004A182D" w:rsidRPr="004A182D" w14:paraId="24C3F493" w14:textId="77777777" w:rsidTr="00ED6A5D">
        <w:trPr>
          <w:trHeight w:val="330"/>
        </w:trPr>
        <w:tc>
          <w:tcPr>
            <w:tcW w:w="812" w:type="dxa"/>
            <w:vAlign w:val="center"/>
            <w:hideMark/>
          </w:tcPr>
          <w:p w14:paraId="0807D127" w14:textId="77777777" w:rsidR="004A182D" w:rsidRPr="004A182D" w:rsidRDefault="004A182D" w:rsidP="004A182D">
            <w:pPr>
              <w:rPr>
                <w:rFonts w:ascii="Arial" w:eastAsia="Times New Roman" w:hAnsi="Arial" w:cs="Arial"/>
                <w:sz w:val="16"/>
                <w:lang w:val="es-ES_tradnl" w:eastAsia="es-ES"/>
              </w:rPr>
            </w:pPr>
            <w:r w:rsidRPr="004A182D">
              <w:rPr>
                <w:rFonts w:ascii="Arial" w:eastAsia="Times New Roman" w:hAnsi="Arial" w:cs="Arial"/>
                <w:sz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3BB254" w14:textId="3CE408EF" w:rsidR="004A182D" w:rsidRDefault="004A182D" w:rsidP="004A182D">
            <w:pPr>
              <w:rPr>
                <w:rFonts w:ascii="Arial" w:eastAsia="Times New Roman" w:hAnsi="Arial" w:cs="Arial"/>
                <w:sz w:val="16"/>
                <w:lang w:val="es-ES_tradnl" w:eastAsia="es-ES"/>
              </w:rPr>
            </w:pPr>
            <w:r>
              <w:rPr>
                <w:rFonts w:ascii="Arial" w:eastAsia="Times New Roman" w:hAnsi="Arial" w:cs="Arial"/>
                <w:sz w:val="16"/>
                <w:lang w:val="es-ES_tradnl" w:eastAsia="es-ES"/>
              </w:rPr>
              <w:t>Juan David Montoya Penagos</w:t>
            </w:r>
          </w:p>
          <w:p w14:paraId="315F015C" w14:textId="2F825676" w:rsidR="004A182D" w:rsidRPr="004A182D" w:rsidRDefault="004A182D" w:rsidP="004A182D">
            <w:pPr>
              <w:rPr>
                <w:rFonts w:ascii="Arial" w:eastAsia="Times New Roman" w:hAnsi="Arial" w:cs="Arial"/>
                <w:sz w:val="16"/>
                <w:lang w:val="es-ES_tradnl" w:eastAsia="es-ES"/>
              </w:rPr>
            </w:pPr>
            <w:r w:rsidRPr="004A182D">
              <w:rPr>
                <w:rFonts w:ascii="Arial" w:eastAsia="Times New Roman" w:hAnsi="Arial" w:cs="Arial"/>
                <w:sz w:val="16"/>
                <w:lang w:val="es-ES_tradnl" w:eastAsia="es-ES"/>
              </w:rPr>
              <w:t>Gestor T1-1</w:t>
            </w:r>
            <w:r>
              <w:rPr>
                <w:rFonts w:ascii="Arial" w:eastAsia="Times New Roman" w:hAnsi="Arial" w:cs="Arial"/>
                <w:sz w:val="16"/>
                <w:lang w:val="es-ES_tradnl" w:eastAsia="es-ES"/>
              </w:rPr>
              <w:t>5</w:t>
            </w:r>
            <w:r w:rsidRPr="004A182D">
              <w:rPr>
                <w:rFonts w:ascii="Arial" w:eastAsia="Times New Roman" w:hAnsi="Arial" w:cs="Arial"/>
                <w:sz w:val="16"/>
                <w:lang w:val="es-ES_tradnl" w:eastAsia="es-ES"/>
              </w:rPr>
              <w:t xml:space="preserve"> de la Subdirección de Gestión Contractual</w:t>
            </w:r>
          </w:p>
        </w:tc>
      </w:tr>
      <w:tr w:rsidR="004A182D" w:rsidRPr="004A182D" w14:paraId="68503CD5" w14:textId="77777777" w:rsidTr="00ED6A5D">
        <w:trPr>
          <w:trHeight w:val="300"/>
        </w:trPr>
        <w:tc>
          <w:tcPr>
            <w:tcW w:w="812" w:type="dxa"/>
            <w:vAlign w:val="center"/>
            <w:hideMark/>
          </w:tcPr>
          <w:p w14:paraId="0C8A7031" w14:textId="77777777" w:rsidR="004A182D" w:rsidRPr="004A182D" w:rsidRDefault="004A182D" w:rsidP="004A182D">
            <w:pPr>
              <w:rPr>
                <w:rFonts w:ascii="Arial" w:eastAsia="Times New Roman" w:hAnsi="Arial" w:cs="Arial"/>
                <w:sz w:val="16"/>
                <w:lang w:val="es-ES_tradnl" w:eastAsia="es-ES"/>
              </w:rPr>
            </w:pPr>
            <w:r w:rsidRPr="004A182D">
              <w:rPr>
                <w:rFonts w:ascii="Arial" w:eastAsia="Times New Roman" w:hAnsi="Arial" w:cs="Arial"/>
                <w:sz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B2B5168" w14:textId="77777777" w:rsidR="00923CFD" w:rsidRDefault="00923CFD" w:rsidP="00923CFD">
            <w:pPr>
              <w:jc w:val="both"/>
              <w:rPr>
                <w:rFonts w:ascii="Arial" w:hAnsi="Arial" w:cs="Arial"/>
                <w:color w:val="000000" w:themeColor="text1"/>
                <w:sz w:val="16"/>
                <w:szCs w:val="16"/>
                <w:lang w:eastAsia="es-ES"/>
              </w:rPr>
            </w:pPr>
            <w:r w:rsidRPr="00883309">
              <w:rPr>
                <w:rFonts w:ascii="Arial" w:hAnsi="Arial" w:cs="Arial"/>
                <w:color w:val="000000" w:themeColor="text1"/>
                <w:sz w:val="16"/>
                <w:szCs w:val="16"/>
                <w:lang w:eastAsia="es-ES"/>
              </w:rPr>
              <w:t xml:space="preserve">Juan David Marín López </w:t>
            </w:r>
          </w:p>
          <w:p w14:paraId="06EDB548" w14:textId="081F61BF" w:rsidR="004A182D" w:rsidRPr="004A182D" w:rsidRDefault="00923CFD" w:rsidP="004A182D">
            <w:pPr>
              <w:rPr>
                <w:rFonts w:ascii="Arial" w:eastAsia="Times New Roman" w:hAnsi="Arial" w:cs="Arial"/>
                <w:sz w:val="16"/>
                <w:lang w:val="es-ES_tradnl" w:eastAsia="es-ES"/>
              </w:rPr>
            </w:pPr>
            <w:r w:rsidRPr="00883309">
              <w:rPr>
                <w:rFonts w:ascii="Arial" w:hAnsi="Arial" w:cs="Arial"/>
                <w:color w:val="000000" w:themeColor="text1"/>
                <w:sz w:val="16"/>
                <w:szCs w:val="16"/>
                <w:lang w:eastAsia="es-ES"/>
              </w:rPr>
              <w:t>Subdirector de Gestión Contractual ANCP – CCE (E</w:t>
            </w:r>
            <w:r>
              <w:rPr>
                <w:rFonts w:ascii="Arial" w:hAnsi="Arial" w:cs="Arial"/>
                <w:color w:val="000000" w:themeColor="text1"/>
                <w:sz w:val="16"/>
                <w:szCs w:val="16"/>
                <w:lang w:eastAsia="es-ES"/>
              </w:rPr>
              <w:t>)</w:t>
            </w:r>
          </w:p>
        </w:tc>
      </w:tr>
    </w:tbl>
    <w:p w14:paraId="693AA1A0" w14:textId="77777777" w:rsidR="004A182D" w:rsidRPr="004A182D" w:rsidRDefault="004A182D" w:rsidP="004A182D">
      <w:pPr>
        <w:spacing w:after="0" w:line="240" w:lineRule="auto"/>
        <w:rPr>
          <w:lang w:val="es-ES_tradnl"/>
        </w:rPr>
      </w:pPr>
    </w:p>
    <w:bookmarkEnd w:id="11"/>
    <w:p w14:paraId="74F5CBEA" w14:textId="66B76E50" w:rsidR="00FB347B" w:rsidRDefault="00FB347B"/>
    <w:sectPr w:rsidR="00FB347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D0D6" w14:textId="77777777" w:rsidR="00B42398" w:rsidRDefault="00B42398" w:rsidP="004A182D">
      <w:pPr>
        <w:spacing w:after="0" w:line="240" w:lineRule="auto"/>
      </w:pPr>
      <w:r>
        <w:separator/>
      </w:r>
    </w:p>
  </w:endnote>
  <w:endnote w:type="continuationSeparator" w:id="0">
    <w:p w14:paraId="2D66F903" w14:textId="77777777" w:rsidR="00B42398" w:rsidRDefault="00B42398" w:rsidP="004A1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DA2B" w14:textId="77777777" w:rsidR="008217B7" w:rsidRDefault="00B42398" w:rsidP="00322937">
    <w:pPr>
      <w:pStyle w:val="Sinespaciado"/>
      <w:jc w:val="right"/>
      <w:rPr>
        <w:rFonts w:ascii="Arial" w:hAnsi="Arial" w:cs="Arial"/>
        <w:sz w:val="18"/>
        <w:szCs w:val="18"/>
      </w:rPr>
    </w:pPr>
  </w:p>
  <w:p w14:paraId="57597418" w14:textId="77777777" w:rsidR="00F501D2" w:rsidRDefault="00B42398" w:rsidP="00322937">
    <w:pPr>
      <w:pStyle w:val="Sinespaciado"/>
      <w:jc w:val="right"/>
      <w:rPr>
        <w:rFonts w:ascii="Arial" w:hAnsi="Arial" w:cs="Arial"/>
        <w:sz w:val="18"/>
        <w:szCs w:val="18"/>
      </w:rPr>
    </w:pPr>
  </w:p>
  <w:p w14:paraId="1DC799B5" w14:textId="77777777" w:rsidR="00FE42ED" w:rsidRPr="008217B7" w:rsidRDefault="00E274CD"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0D607831" w14:textId="77777777" w:rsidR="009047C5" w:rsidRDefault="00E274CD" w:rsidP="00322937">
    <w:pPr>
      <w:pStyle w:val="Piedepgina"/>
      <w:jc w:val="center"/>
      <w:rPr>
        <w:lang w:val="es-ES"/>
      </w:rPr>
    </w:pPr>
    <w:r>
      <w:rPr>
        <w:noProof/>
        <w:lang w:val="es-419" w:eastAsia="es-419"/>
      </w:rPr>
      <w:drawing>
        <wp:inline distT="0" distB="0" distL="0" distR="0" wp14:anchorId="61D806E8" wp14:editId="378DCFDE">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48EFB58F" w14:textId="77777777" w:rsidR="00322937" w:rsidRPr="00E756AC" w:rsidRDefault="00B42398" w:rsidP="007B0854">
    <w:pPr>
      <w:pStyle w:val="Piedepgina"/>
      <w:jc w:val="center"/>
      <w:rPr>
        <w:sz w:val="18"/>
        <w:szCs w:val="18"/>
        <w:lang w:val="es-ES"/>
      </w:rPr>
    </w:pPr>
  </w:p>
  <w:p w14:paraId="2F150CE9" w14:textId="77777777" w:rsidR="004A34D2" w:rsidRPr="00E756AC" w:rsidRDefault="00B42398"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2335" w14:textId="77777777" w:rsidR="00B42398" w:rsidRDefault="00B42398" w:rsidP="004A182D">
      <w:pPr>
        <w:spacing w:after="0" w:line="240" w:lineRule="auto"/>
      </w:pPr>
      <w:r>
        <w:separator/>
      </w:r>
    </w:p>
  </w:footnote>
  <w:footnote w:type="continuationSeparator" w:id="0">
    <w:p w14:paraId="70F14713" w14:textId="77777777" w:rsidR="00B42398" w:rsidRDefault="00B42398" w:rsidP="004A182D">
      <w:pPr>
        <w:spacing w:after="0" w:line="240" w:lineRule="auto"/>
      </w:pPr>
      <w:r>
        <w:continuationSeparator/>
      </w:r>
    </w:p>
  </w:footnote>
  <w:footnote w:id="1">
    <w:p w14:paraId="7D614D12" w14:textId="77777777" w:rsidR="0053409C" w:rsidRDefault="0053409C" w:rsidP="0053409C">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18D6B6FC" w14:textId="77777777" w:rsidR="0053409C" w:rsidRPr="00B51F71" w:rsidRDefault="0053409C" w:rsidP="0053409C">
      <w:pPr>
        <w:pStyle w:val="Textonotapie"/>
        <w:ind w:firstLine="708"/>
        <w:jc w:val="both"/>
        <w:rPr>
          <w:rFonts w:ascii="Arial" w:hAnsi="Arial" w:cs="Arial"/>
          <w:sz w:val="19"/>
          <w:szCs w:val="19"/>
          <w:lang w:val="es-ES"/>
        </w:rPr>
      </w:pPr>
      <w:r w:rsidRPr="00B51F71">
        <w:rPr>
          <w:rStyle w:val="Refdenotaalpie"/>
          <w:rFonts w:ascii="Arial" w:hAnsi="Arial" w:cs="Arial"/>
          <w:sz w:val="19"/>
          <w:szCs w:val="19"/>
        </w:rPr>
        <w:footnoteRef/>
      </w:r>
      <w:r w:rsidRPr="00B51F71">
        <w:rPr>
          <w:rFonts w:ascii="Arial" w:hAnsi="Arial" w:cs="Arial"/>
          <w:sz w:val="19"/>
          <w:szCs w:val="19"/>
        </w:rPr>
        <w:t xml:space="preserve"> </w:t>
      </w:r>
      <w:r>
        <w:rPr>
          <w:rFonts w:ascii="Arial" w:hAnsi="Arial" w:cs="Arial"/>
          <w:sz w:val="19"/>
          <w:szCs w:val="19"/>
        </w:rPr>
        <w:t>Ibidem.</w:t>
      </w:r>
    </w:p>
  </w:footnote>
  <w:footnote w:id="3">
    <w:p w14:paraId="04BDB819" w14:textId="77777777" w:rsidR="00C6374A" w:rsidRPr="00331208" w:rsidRDefault="00C6374A" w:rsidP="00C6374A">
      <w:pPr>
        <w:pStyle w:val="Textonotapie"/>
        <w:ind w:firstLine="709"/>
        <w:jc w:val="both"/>
        <w:rPr>
          <w:rFonts w:ascii="Arial" w:hAnsi="Arial" w:cs="Arial"/>
          <w:color w:val="000000" w:themeColor="text1"/>
          <w:sz w:val="19"/>
          <w:szCs w:val="19"/>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7D4C4F80" w14:textId="77777777" w:rsidR="00C6374A" w:rsidRPr="00331208" w:rsidRDefault="00C6374A" w:rsidP="00C6374A">
      <w:pPr>
        <w:pStyle w:val="Textonotapie"/>
        <w:ind w:firstLine="709"/>
        <w:jc w:val="both"/>
        <w:rPr>
          <w:rFonts w:ascii="Arial" w:hAnsi="Arial" w:cs="Arial"/>
          <w:color w:val="000000" w:themeColor="text1"/>
          <w:sz w:val="19"/>
          <w:szCs w:val="19"/>
          <w:lang w:val="es-CO"/>
        </w:rPr>
      </w:pPr>
    </w:p>
  </w:footnote>
  <w:footnote w:id="4">
    <w:p w14:paraId="5C439D5C" w14:textId="77777777" w:rsidR="004A182D" w:rsidRPr="00331208" w:rsidRDefault="004A182D" w:rsidP="004A182D">
      <w:pPr>
        <w:pStyle w:val="Textonotapie"/>
        <w:ind w:firstLine="709"/>
        <w:jc w:val="both"/>
        <w:rPr>
          <w:rFonts w:ascii="Arial" w:hAnsi="Arial" w:cs="Arial"/>
          <w:color w:val="000000" w:themeColor="text1"/>
          <w:sz w:val="19"/>
          <w:szCs w:val="19"/>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CO"/>
        </w:rPr>
        <w:t xml:space="preserve">Ley 1882 de 2018: «Artículo 4. </w:t>
      </w:r>
      <w:r w:rsidRPr="00331208">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28F8C5BD" w14:textId="77777777" w:rsidR="004A182D" w:rsidRPr="00331208" w:rsidRDefault="004A182D" w:rsidP="004A182D">
      <w:pPr>
        <w:pStyle w:val="Textonotapie"/>
        <w:ind w:firstLine="709"/>
        <w:jc w:val="both"/>
        <w:rPr>
          <w:rFonts w:ascii="Arial" w:hAnsi="Arial" w:cs="Arial"/>
          <w:color w:val="000000" w:themeColor="text1"/>
          <w:sz w:val="19"/>
          <w:szCs w:val="19"/>
          <w:lang w:val="es-CO"/>
        </w:rPr>
      </w:pPr>
      <w:r w:rsidRPr="00331208">
        <w:rPr>
          <w:rFonts w:ascii="Arial" w:hAnsi="Arial" w:cs="Arial"/>
          <w:color w:val="000000" w:themeColor="text1"/>
          <w:sz w:val="19"/>
          <w:szCs w:val="19"/>
          <w:lang w:val="es-CO"/>
        </w:rPr>
        <w:t>»La facultad de adoptar documentos tipo la tendrá el Gobierno nacional, cuando lo considere necesario, en relación con otros contratos o procesos de selección.</w:t>
      </w:r>
    </w:p>
    <w:p w14:paraId="6AC6AC0A" w14:textId="77777777" w:rsidR="004A182D" w:rsidRPr="00331208" w:rsidRDefault="004A182D" w:rsidP="004A182D">
      <w:pPr>
        <w:pStyle w:val="Textonotapie"/>
        <w:ind w:firstLine="709"/>
        <w:jc w:val="both"/>
        <w:rPr>
          <w:rFonts w:ascii="Arial" w:hAnsi="Arial" w:cs="Arial"/>
          <w:color w:val="000000" w:themeColor="text1"/>
          <w:sz w:val="19"/>
          <w:szCs w:val="19"/>
          <w:lang w:val="es-CO"/>
        </w:rPr>
      </w:pPr>
      <w:r w:rsidRPr="00331208">
        <w:rPr>
          <w:rFonts w:ascii="Arial" w:hAnsi="Arial" w:cs="Arial"/>
          <w:color w:val="000000" w:themeColor="text1"/>
          <w:sz w:val="19"/>
          <w:szCs w:val="19"/>
          <w:lang w:val="es-CO"/>
        </w:rPr>
        <w:t>»Los pliegos tipo se adoptarán por categorías de acuerdo con la cuantía de la contratación, según la reglamentación que expida el Gobierno nacional».</w:t>
      </w:r>
    </w:p>
  </w:footnote>
  <w:footnote w:id="5">
    <w:p w14:paraId="62C2E74E" w14:textId="77777777" w:rsidR="004A182D" w:rsidRPr="00331208" w:rsidRDefault="004A182D" w:rsidP="004A182D">
      <w:pPr>
        <w:pStyle w:val="Textonotapie"/>
        <w:ind w:firstLine="709"/>
        <w:jc w:val="both"/>
        <w:rPr>
          <w:rFonts w:ascii="Arial" w:hAnsi="Arial" w:cs="Arial"/>
          <w:color w:val="000000" w:themeColor="text1"/>
          <w:sz w:val="19"/>
          <w:szCs w:val="19"/>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6">
    <w:p w14:paraId="3797A3BB" w14:textId="77777777" w:rsidR="009A19B3" w:rsidRDefault="009A19B3" w:rsidP="000233A8">
      <w:pPr>
        <w:shd w:val="clear" w:color="auto" w:fill="FFFFFF"/>
        <w:spacing w:after="0"/>
        <w:ind w:firstLine="709"/>
        <w:jc w:val="both"/>
        <w:textAlignment w:val="baseline"/>
        <w:rPr>
          <w:rFonts w:ascii="Calibri" w:hAnsi="Calibri" w:cs="Calibri"/>
          <w:color w:val="000000"/>
          <w:sz w:val="20"/>
          <w:szCs w:val="20"/>
          <w:lang w:eastAsia="es-CO"/>
        </w:rPr>
      </w:pPr>
      <w:r>
        <w:rPr>
          <w:rStyle w:val="Refdenotaalpie"/>
        </w:rPr>
        <w:footnoteRef/>
      </w:r>
      <w:r>
        <w:t xml:space="preserve"> </w:t>
      </w:r>
      <w:r>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4F711161" w14:textId="77777777" w:rsidR="009A19B3" w:rsidRDefault="009A19B3" w:rsidP="000233A8">
      <w:pPr>
        <w:shd w:val="clear" w:color="auto" w:fill="FFFFFF"/>
        <w:spacing w:after="0"/>
        <w:ind w:firstLine="709"/>
        <w:jc w:val="both"/>
        <w:textAlignment w:val="baseline"/>
        <w:rPr>
          <w:rFonts w:ascii="Calibri" w:hAnsi="Calibri" w:cs="Calibri"/>
          <w:color w:val="000000"/>
          <w:sz w:val="20"/>
          <w:szCs w:val="20"/>
          <w:lang w:eastAsia="es-CO"/>
        </w:rPr>
      </w:pPr>
      <w:r>
        <w:rPr>
          <w:rFonts w:ascii="Arial"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3FB484EA" w14:textId="77777777" w:rsidR="009A19B3" w:rsidRDefault="009A19B3" w:rsidP="000233A8">
      <w:pPr>
        <w:shd w:val="clear" w:color="auto" w:fill="FFFFFF"/>
        <w:spacing w:after="0"/>
        <w:ind w:firstLine="709"/>
        <w:jc w:val="both"/>
        <w:textAlignment w:val="baseline"/>
        <w:rPr>
          <w:rFonts w:ascii="Calibri" w:hAnsi="Calibri" w:cs="Calibri"/>
          <w:color w:val="000000"/>
          <w:sz w:val="20"/>
          <w:szCs w:val="20"/>
          <w:lang w:eastAsia="es-CO"/>
        </w:rPr>
      </w:pPr>
      <w:r>
        <w:rPr>
          <w:rFonts w:ascii="Arial" w:hAnsi="Arial" w:cs="Arial"/>
          <w:color w:val="000000"/>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B5BD436" w14:textId="77777777" w:rsidR="009A19B3" w:rsidRDefault="009A19B3" w:rsidP="000233A8">
      <w:pPr>
        <w:shd w:val="clear" w:color="auto" w:fill="FFFFFF"/>
        <w:spacing w:after="0"/>
        <w:ind w:firstLine="709"/>
        <w:jc w:val="both"/>
        <w:textAlignment w:val="baseline"/>
        <w:rPr>
          <w:rFonts w:ascii="Calibri" w:hAnsi="Calibri" w:cs="Calibri"/>
          <w:color w:val="000000"/>
          <w:sz w:val="20"/>
          <w:szCs w:val="20"/>
          <w:lang w:eastAsia="es-CO"/>
        </w:rPr>
      </w:pPr>
      <w:r>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6A54FDC7" w14:textId="65D3AD76" w:rsidR="009A19B3" w:rsidRPr="000233A8" w:rsidRDefault="009A19B3" w:rsidP="000233A8">
      <w:pPr>
        <w:shd w:val="clear" w:color="auto" w:fill="FFFFFF"/>
        <w:spacing w:after="0"/>
        <w:ind w:firstLine="708"/>
        <w:jc w:val="both"/>
        <w:textAlignment w:val="baseline"/>
        <w:rPr>
          <w:rFonts w:ascii="Calibri" w:hAnsi="Calibri" w:cs="Calibri"/>
          <w:color w:val="000000"/>
          <w:lang w:eastAsia="es-CO"/>
        </w:rPr>
      </w:pPr>
      <w:r>
        <w:rPr>
          <w:rFonts w:ascii="Arial" w:hAnsi="Arial" w:cs="Arial"/>
          <w:color w:val="000000"/>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footnote>
  <w:footnote w:id="7">
    <w:p w14:paraId="6A3075EC" w14:textId="77777777" w:rsidR="004A182D" w:rsidRPr="00331208" w:rsidRDefault="004A182D" w:rsidP="004A182D">
      <w:pPr>
        <w:pStyle w:val="Textonotapie"/>
        <w:ind w:firstLine="708"/>
        <w:jc w:val="both"/>
        <w:rPr>
          <w:rFonts w:ascii="Arial" w:hAnsi="Arial" w:cs="Arial"/>
          <w:color w:val="000000" w:themeColor="text1"/>
          <w:sz w:val="19"/>
          <w:szCs w:val="19"/>
          <w:lang w:val="es-ES"/>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Cfr. conceptos C-218 de 2020, C-267 de 2020, C-283 de 2020, C-307 de 2020, C-365 de 2020, C-391 de 2020, C-675 de 2020, C-683 de 2020, C-730 de 2020 y C-779 de 2020. Los conceptos expedidos por la Agencia pueden consultarse en el siguiente link: http://relatoria.colombiacompra.gov.co/busqueda/conceptos.</w:t>
      </w:r>
    </w:p>
    <w:p w14:paraId="6028CFB9" w14:textId="77777777" w:rsidR="004A182D" w:rsidRPr="00331208" w:rsidRDefault="004A182D" w:rsidP="004A182D">
      <w:pPr>
        <w:pStyle w:val="Textonotapie"/>
        <w:ind w:firstLine="708"/>
        <w:jc w:val="both"/>
        <w:rPr>
          <w:rFonts w:ascii="Arial" w:hAnsi="Arial" w:cs="Arial"/>
          <w:color w:val="000000" w:themeColor="text1"/>
          <w:sz w:val="19"/>
          <w:szCs w:val="19"/>
          <w:lang w:val="es-CO"/>
        </w:rPr>
      </w:pPr>
    </w:p>
  </w:footnote>
  <w:footnote w:id="8">
    <w:p w14:paraId="18B5E91D" w14:textId="77777777" w:rsidR="004A182D" w:rsidRPr="00331208" w:rsidRDefault="004A182D" w:rsidP="004A182D">
      <w:pPr>
        <w:pStyle w:val="Textonotapie"/>
        <w:ind w:firstLine="708"/>
        <w:jc w:val="both"/>
        <w:rPr>
          <w:rFonts w:ascii="Arial" w:hAnsi="Arial" w:cs="Arial"/>
          <w:color w:val="000000" w:themeColor="text1"/>
          <w:sz w:val="19"/>
          <w:szCs w:val="19"/>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Las conclusiones indicadas se fundamentan en los numerales primero y cuarto de la Ley 1150 de 2007, de donde se destaca en cursivas lo más relevante: «1. La capacidad jurídica y </w:t>
      </w:r>
      <w:r w:rsidRPr="00331208">
        <w:rPr>
          <w:rFonts w:ascii="Arial" w:hAnsi="Arial" w:cs="Arial"/>
          <w:i/>
          <w:iCs/>
          <w:color w:val="000000" w:themeColor="text1"/>
          <w:sz w:val="19"/>
          <w:szCs w:val="19"/>
        </w:rPr>
        <w:t>las condiciones de experiencia</w:t>
      </w:r>
      <w:r w:rsidRPr="00331208">
        <w:rPr>
          <w:rFonts w:ascii="Arial" w:hAnsi="Arial" w:cs="Arial"/>
          <w:color w:val="000000" w:themeColor="text1"/>
          <w:sz w:val="19"/>
          <w:szCs w:val="19"/>
        </w:rPr>
        <w:t xml:space="preserve">, capacidad financiera y de organización de los proponentes </w:t>
      </w:r>
      <w:r w:rsidRPr="00331208">
        <w:rPr>
          <w:rFonts w:ascii="Arial" w:hAnsi="Arial" w:cs="Arial"/>
          <w:i/>
          <w:iCs/>
          <w:color w:val="000000" w:themeColor="text1"/>
          <w:sz w:val="19"/>
          <w:szCs w:val="19"/>
        </w:rPr>
        <w:t>serán objeto de verificación de cumplimiento como requisitos habilitantes para la participación en el proceso de selección y no otorgarán puntaje, con excepción de lo previsto en el numeral 4 del presente artículo […]</w:t>
      </w:r>
      <w:r w:rsidRPr="00331208">
        <w:rPr>
          <w:rFonts w:ascii="Arial" w:hAnsi="Arial" w:cs="Arial"/>
          <w:color w:val="000000" w:themeColor="text1"/>
          <w:sz w:val="19"/>
          <w:szCs w:val="19"/>
        </w:rPr>
        <w:t xml:space="preserve">. </w:t>
      </w:r>
    </w:p>
    <w:p w14:paraId="15BCCF82" w14:textId="77777777" w:rsidR="004A182D" w:rsidRPr="00331208" w:rsidRDefault="004A182D" w:rsidP="004A182D">
      <w:pPr>
        <w:pStyle w:val="Textonotapie"/>
        <w:ind w:firstLine="708"/>
        <w:jc w:val="both"/>
        <w:rPr>
          <w:rFonts w:ascii="Arial" w:hAnsi="Arial" w:cs="Arial"/>
          <w:color w:val="000000" w:themeColor="text1"/>
          <w:sz w:val="19"/>
          <w:szCs w:val="19"/>
        </w:rPr>
      </w:pPr>
      <w:r w:rsidRPr="00331208">
        <w:rPr>
          <w:rFonts w:ascii="Arial" w:hAnsi="Arial" w:cs="Arial"/>
          <w:color w:val="000000" w:themeColor="text1"/>
          <w:sz w:val="19"/>
          <w:szCs w:val="19"/>
        </w:rPr>
        <w:t>[…]</w:t>
      </w:r>
    </w:p>
    <w:p w14:paraId="07717D21" w14:textId="77777777" w:rsidR="004A182D" w:rsidRPr="00331208" w:rsidRDefault="004A182D" w:rsidP="004A182D">
      <w:pPr>
        <w:pStyle w:val="NormalWeb"/>
        <w:spacing w:after="0"/>
        <w:ind w:firstLine="708"/>
        <w:jc w:val="both"/>
        <w:rPr>
          <w:rFonts w:ascii="Arial" w:hAnsi="Arial" w:cs="Arial"/>
          <w:color w:val="000000" w:themeColor="text1"/>
          <w:sz w:val="19"/>
          <w:szCs w:val="19"/>
        </w:rPr>
      </w:pPr>
      <w:r w:rsidRPr="00331208">
        <w:rPr>
          <w:rFonts w:ascii="Arial" w:hAnsi="Arial" w:cs="Arial"/>
          <w:color w:val="000000" w:themeColor="text1"/>
          <w:sz w:val="19"/>
          <w:szCs w:val="19"/>
        </w:rPr>
        <w:t xml:space="preserve">«4. </w:t>
      </w:r>
      <w:r w:rsidRPr="00331208">
        <w:rPr>
          <w:rFonts w:ascii="Arial" w:hAnsi="Arial" w:cs="Arial"/>
          <w:i/>
          <w:iCs/>
          <w:color w:val="000000" w:themeColor="text1"/>
          <w:sz w:val="19"/>
          <w:szCs w:val="19"/>
        </w:rPr>
        <w:t>En los procesos para la selección de consultores</w:t>
      </w:r>
      <w:r w:rsidRPr="00331208">
        <w:rPr>
          <w:rFonts w:ascii="Arial" w:hAnsi="Arial" w:cs="Arial"/>
          <w:color w:val="000000" w:themeColor="text1"/>
          <w:sz w:val="19"/>
          <w:szCs w:val="19"/>
        </w:rPr>
        <w:t xml:space="preserve"> se hará uso de factores de calificación destinados a valorar los aspectos técnicos de la oferta o proyecto. De conformidad con las condiciones que señale el reglamento, </w:t>
      </w:r>
      <w:r w:rsidRPr="00331208">
        <w:rPr>
          <w:rFonts w:ascii="Arial" w:hAnsi="Arial" w:cs="Arial"/>
          <w:i/>
          <w:iCs/>
          <w:color w:val="000000" w:themeColor="text1"/>
          <w:sz w:val="19"/>
          <w:szCs w:val="19"/>
        </w:rPr>
        <w:t xml:space="preserve">se podrán utilizar criterios de experiencia específica del oferente </w:t>
      </w:r>
      <w:r w:rsidRPr="00331208">
        <w:rPr>
          <w:rFonts w:ascii="Arial" w:hAnsi="Arial" w:cs="Arial"/>
          <w:color w:val="000000" w:themeColor="text1"/>
          <w:sz w:val="19"/>
          <w:szCs w:val="19"/>
        </w:rPr>
        <w:t>y del equipo de trabajo, en el campo de que se trate» (Cursivas fuera del original).</w:t>
      </w:r>
    </w:p>
    <w:p w14:paraId="27DA18BB" w14:textId="77777777" w:rsidR="004A182D" w:rsidRPr="00331208" w:rsidRDefault="004A182D" w:rsidP="004A182D">
      <w:pPr>
        <w:pStyle w:val="Textonotapie"/>
        <w:ind w:firstLine="708"/>
        <w:jc w:val="both"/>
        <w:rPr>
          <w:rFonts w:ascii="Arial" w:hAnsi="Arial" w:cs="Arial"/>
          <w:color w:val="000000" w:themeColor="text1"/>
          <w:sz w:val="19"/>
          <w:szCs w:val="19"/>
          <w:lang w:val="es-CO"/>
        </w:rPr>
      </w:pPr>
    </w:p>
  </w:footnote>
  <w:footnote w:id="9">
    <w:p w14:paraId="74F38B2F" w14:textId="77777777" w:rsidR="004A182D" w:rsidRPr="00331208" w:rsidRDefault="004A182D" w:rsidP="004A182D">
      <w:pPr>
        <w:pStyle w:val="NormalWeb"/>
        <w:spacing w:after="0"/>
        <w:ind w:firstLine="708"/>
        <w:jc w:val="both"/>
        <w:rPr>
          <w:rFonts w:ascii="Arial" w:hAnsi="Arial" w:cs="Arial"/>
          <w:color w:val="000000" w:themeColor="text1"/>
          <w:sz w:val="19"/>
          <w:szCs w:val="19"/>
        </w:rPr>
      </w:pPr>
      <w:r w:rsidRPr="00331208">
        <w:rPr>
          <w:rFonts w:ascii="Arial" w:hAnsi="Arial" w:cs="Arial"/>
          <w:color w:val="000000" w:themeColor="text1"/>
          <w:sz w:val="19"/>
          <w:szCs w:val="19"/>
          <w:vertAlign w:val="superscript"/>
        </w:rPr>
        <w:footnoteRef/>
      </w:r>
      <w:r w:rsidRPr="00331208">
        <w:rPr>
          <w:rFonts w:ascii="Arial" w:hAnsi="Arial" w:cs="Arial"/>
          <w:color w:val="000000" w:themeColor="text1"/>
          <w:sz w:val="19"/>
          <w:szCs w:val="19"/>
        </w:rPr>
        <w:t xml:space="preserve"> Artículo 32 de la Ley 80 de 1993, artículo 2, inciso 2, establece que: «Son también contratos de consultoría los que tienen por objeto la interventoría […]».</w:t>
      </w:r>
    </w:p>
    <w:p w14:paraId="3E2F6E54" w14:textId="77777777" w:rsidR="004A182D" w:rsidRPr="00331208" w:rsidRDefault="004A182D" w:rsidP="004A182D">
      <w:pPr>
        <w:pStyle w:val="Textonotapie"/>
        <w:ind w:firstLine="708"/>
        <w:jc w:val="both"/>
        <w:rPr>
          <w:rFonts w:ascii="Arial" w:hAnsi="Arial" w:cs="Arial"/>
          <w:sz w:val="19"/>
          <w:szCs w:val="19"/>
          <w:lang w:val="es-CO"/>
        </w:rPr>
      </w:pPr>
      <w:r w:rsidRPr="00331208">
        <w:rPr>
          <w:rFonts w:ascii="Arial" w:hAnsi="Arial" w:cs="Arial"/>
          <w:sz w:val="19"/>
          <w:szCs w:val="19"/>
        </w:rPr>
        <w:t xml:space="preserve"> </w:t>
      </w:r>
    </w:p>
  </w:footnote>
  <w:footnote w:id="10">
    <w:p w14:paraId="3CA867DB" w14:textId="77777777" w:rsidR="004A182D" w:rsidRPr="00331208" w:rsidRDefault="004A182D" w:rsidP="004A182D">
      <w:pPr>
        <w:pStyle w:val="Textonotapie"/>
        <w:ind w:firstLine="708"/>
        <w:jc w:val="both"/>
        <w:rPr>
          <w:rFonts w:ascii="Arial" w:hAnsi="Arial" w:cs="Arial"/>
          <w:sz w:val="19"/>
          <w:szCs w:val="19"/>
          <w:lang w:val="es-CO"/>
        </w:rPr>
      </w:pPr>
      <w:r w:rsidRPr="00331208">
        <w:rPr>
          <w:rStyle w:val="Refdenotaalpie"/>
          <w:rFonts w:ascii="Arial" w:hAnsi="Arial" w:cs="Arial"/>
          <w:sz w:val="19"/>
          <w:szCs w:val="19"/>
        </w:rPr>
        <w:footnoteRef/>
      </w:r>
      <w:r w:rsidRPr="00331208">
        <w:rPr>
          <w:rFonts w:ascii="Arial" w:hAnsi="Arial" w:cs="Arial"/>
          <w:sz w:val="19"/>
          <w:szCs w:val="19"/>
        </w:rPr>
        <w:t xml:space="preserve"> </w:t>
      </w:r>
      <w:r>
        <w:rPr>
          <w:rFonts w:ascii="Arial" w:hAnsi="Arial" w:cs="Arial"/>
          <w:sz w:val="19"/>
          <w:szCs w:val="19"/>
        </w:rPr>
        <w:t xml:space="preserve">«7o. </w:t>
      </w:r>
      <w:r w:rsidRPr="00331208">
        <w:rPr>
          <w:rFonts w:ascii="Arial" w:hAnsi="Arial" w:cs="Arial"/>
          <w:sz w:val="19"/>
          <w:szCs w:val="19"/>
        </w:rPr>
        <w:t>De acuerdo con la naturaleza, objeto y cuantía del contrato, en los pliegos de condiciones, se señalará el plazo razonable dentro del cual la entidad deberá elaborar los estudios técnicos, económicos y jurídicos necesarios para la evaluación de las propuestas y para solicitar a los proponentes las aclaraciones y explicaciones que se estimen indispensables</w:t>
      </w:r>
      <w:r>
        <w:rPr>
          <w:rFonts w:ascii="Arial" w:hAnsi="Arial" w:cs="Arial"/>
          <w:sz w:val="19"/>
          <w:szCs w:val="19"/>
        </w:rPr>
        <w:t>»</w:t>
      </w:r>
      <w:r w:rsidRPr="00331208">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4F5E" w14:textId="77777777" w:rsidR="007B0854" w:rsidRDefault="00E274CD">
    <w:pPr>
      <w:pStyle w:val="Encabezado"/>
    </w:pPr>
    <w:r>
      <w:rPr>
        <w:noProof/>
        <w:lang w:val="es-419" w:eastAsia="es-419"/>
      </w:rPr>
      <w:drawing>
        <wp:anchor distT="0" distB="0" distL="114300" distR="114300" simplePos="0" relativeHeight="251659264" behindDoc="1" locked="0" layoutInCell="1" allowOverlap="1" wp14:anchorId="06AC5577" wp14:editId="1C5772B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97755A9"/>
    <w:multiLevelType w:val="hybridMultilevel"/>
    <w:tmpl w:val="7A1870B4"/>
    <w:lvl w:ilvl="0" w:tplc="1AA6CD6E">
      <w:start w:val="2"/>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0D8262A4"/>
    <w:multiLevelType w:val="hybridMultilevel"/>
    <w:tmpl w:val="73EC947C"/>
    <w:lvl w:ilvl="0" w:tplc="39422330">
      <w:start w:val="1"/>
      <w:numFmt w:val="lowerRoman"/>
      <w:lvlText w:val="%1)"/>
      <w:lvlJc w:val="left"/>
      <w:pPr>
        <w:ind w:left="2280" w:hanging="720"/>
      </w:pPr>
      <w:rPr>
        <w:rFonts w:hint="default"/>
        <w:sz w:val="20"/>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22F54483"/>
    <w:multiLevelType w:val="hybridMultilevel"/>
    <w:tmpl w:val="BCD252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77F527C"/>
    <w:multiLevelType w:val="multilevel"/>
    <w:tmpl w:val="6B46E08E"/>
    <w:lvl w:ilvl="0">
      <w:start w:val="3"/>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3A4562"/>
    <w:multiLevelType w:val="hybridMultilevel"/>
    <w:tmpl w:val="520600E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6363E59"/>
    <w:multiLevelType w:val="hybridMultilevel"/>
    <w:tmpl w:val="1DA00A86"/>
    <w:lvl w:ilvl="0" w:tplc="6F440D64">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72BB31B0"/>
    <w:multiLevelType w:val="hybridMultilevel"/>
    <w:tmpl w:val="261A41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481312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0471111">
    <w:abstractNumId w:val="7"/>
  </w:num>
  <w:num w:numId="3" w16cid:durableId="1150320268">
    <w:abstractNumId w:val="3"/>
  </w:num>
  <w:num w:numId="4" w16cid:durableId="1903100795">
    <w:abstractNumId w:val="5"/>
  </w:num>
  <w:num w:numId="5" w16cid:durableId="684405385">
    <w:abstractNumId w:val="6"/>
  </w:num>
  <w:num w:numId="6" w16cid:durableId="193078687">
    <w:abstractNumId w:val="2"/>
  </w:num>
  <w:num w:numId="7" w16cid:durableId="2088722502">
    <w:abstractNumId w:val="4"/>
  </w:num>
  <w:num w:numId="8" w16cid:durableId="30309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26D"/>
    <w:rsid w:val="000233A8"/>
    <w:rsid w:val="000503A3"/>
    <w:rsid w:val="00052EE2"/>
    <w:rsid w:val="000811D7"/>
    <w:rsid w:val="000A6964"/>
    <w:rsid w:val="000C368A"/>
    <w:rsid w:val="001425C6"/>
    <w:rsid w:val="00174D61"/>
    <w:rsid w:val="00181A0F"/>
    <w:rsid w:val="001A5C14"/>
    <w:rsid w:val="001C0B77"/>
    <w:rsid w:val="001E3E69"/>
    <w:rsid w:val="00200FA0"/>
    <w:rsid w:val="00307AF7"/>
    <w:rsid w:val="003764D5"/>
    <w:rsid w:val="003F1283"/>
    <w:rsid w:val="00464F7E"/>
    <w:rsid w:val="00475279"/>
    <w:rsid w:val="004A182D"/>
    <w:rsid w:val="004C1856"/>
    <w:rsid w:val="004D0239"/>
    <w:rsid w:val="0053409C"/>
    <w:rsid w:val="00550602"/>
    <w:rsid w:val="005A3892"/>
    <w:rsid w:val="006864FC"/>
    <w:rsid w:val="00690F0F"/>
    <w:rsid w:val="006B347C"/>
    <w:rsid w:val="006B6329"/>
    <w:rsid w:val="00715E53"/>
    <w:rsid w:val="007C6AC7"/>
    <w:rsid w:val="00836C9D"/>
    <w:rsid w:val="00860ACA"/>
    <w:rsid w:val="00923CFD"/>
    <w:rsid w:val="00975910"/>
    <w:rsid w:val="009A19B3"/>
    <w:rsid w:val="00A13310"/>
    <w:rsid w:val="00A3057A"/>
    <w:rsid w:val="00AC2D0A"/>
    <w:rsid w:val="00AC6F42"/>
    <w:rsid w:val="00AE25A1"/>
    <w:rsid w:val="00B42398"/>
    <w:rsid w:val="00C26F78"/>
    <w:rsid w:val="00C6374A"/>
    <w:rsid w:val="00C70339"/>
    <w:rsid w:val="00CF719E"/>
    <w:rsid w:val="00D25DA1"/>
    <w:rsid w:val="00D7097E"/>
    <w:rsid w:val="00D75D2D"/>
    <w:rsid w:val="00DC2E7A"/>
    <w:rsid w:val="00E274CD"/>
    <w:rsid w:val="00E63E71"/>
    <w:rsid w:val="00E719EA"/>
    <w:rsid w:val="00EA426D"/>
    <w:rsid w:val="00EC6FD1"/>
    <w:rsid w:val="00F510DE"/>
    <w:rsid w:val="00FB347B"/>
    <w:rsid w:val="00FF7D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D05D"/>
  <w15:chartTrackingRefBased/>
  <w15:docId w15:val="{93043961-65C5-4773-84F4-533A300E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A18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A182D"/>
  </w:style>
  <w:style w:type="paragraph" w:styleId="NormalWeb">
    <w:name w:val="Normal (Web)"/>
    <w:basedOn w:val="Normal"/>
    <w:uiPriority w:val="99"/>
    <w:semiHidden/>
    <w:unhideWhenUsed/>
    <w:rsid w:val="004A182D"/>
    <w:rPr>
      <w:rFonts w:ascii="Times New Roman" w:hAnsi="Times New Roman" w:cs="Times New Roman"/>
      <w:sz w:val="24"/>
      <w:szCs w:val="24"/>
    </w:rPr>
  </w:style>
  <w:style w:type="paragraph" w:styleId="Piedepgina">
    <w:name w:val="footer"/>
    <w:basedOn w:val="Normal"/>
    <w:link w:val="PiedepginaCar"/>
    <w:uiPriority w:val="99"/>
    <w:unhideWhenUsed/>
    <w:rsid w:val="004A182D"/>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4A182D"/>
    <w:rPr>
      <w:sz w:val="24"/>
      <w:lang w:val="es-MX"/>
    </w:rPr>
  </w:style>
  <w:style w:type="table" w:styleId="Tablaconcuadrcula">
    <w:name w:val="Table Grid"/>
    <w:basedOn w:val="Tablanormal"/>
    <w:uiPriority w:val="39"/>
    <w:rsid w:val="004A1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A182D"/>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182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182D"/>
    <w:pPr>
      <w:spacing w:after="0" w:line="240" w:lineRule="auto"/>
    </w:pPr>
    <w:rPr>
      <w:sz w:val="20"/>
      <w:szCs w:val="20"/>
      <w:lang w:val="es-MX"/>
    </w:rPr>
  </w:style>
  <w:style w:type="character" w:customStyle="1" w:styleId="TextonotapieCar1">
    <w:name w:val="Texto nota pie Car1"/>
    <w:basedOn w:val="Fuentedeprrafopredeter"/>
    <w:uiPriority w:val="99"/>
    <w:semiHidden/>
    <w:rsid w:val="004A182D"/>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A182D"/>
    <w:rPr>
      <w:vertAlign w:val="superscript"/>
    </w:rPr>
  </w:style>
  <w:style w:type="character" w:styleId="Hipervnculo">
    <w:name w:val="Hyperlink"/>
    <w:basedOn w:val="Fuentedeprrafopredeter"/>
    <w:uiPriority w:val="99"/>
    <w:unhideWhenUsed/>
    <w:rsid w:val="004A182D"/>
    <w:rPr>
      <w:color w:val="0563C1" w:themeColor="hyperlink"/>
      <w:u w:val="single"/>
    </w:rPr>
  </w:style>
  <w:style w:type="paragraph" w:customStyle="1" w:styleId="Appelnotedebasde">
    <w:name w:val="Appel note de bas de..."/>
    <w:basedOn w:val="Normal"/>
    <w:link w:val="Refdenotaalpie"/>
    <w:uiPriority w:val="99"/>
    <w:rsid w:val="004A182D"/>
    <w:pPr>
      <w:spacing w:line="240" w:lineRule="exact"/>
    </w:pPr>
    <w:rPr>
      <w:vertAlign w:val="superscript"/>
    </w:rPr>
  </w:style>
  <w:style w:type="paragraph" w:styleId="Prrafodelista">
    <w:name w:val="List Paragraph"/>
    <w:basedOn w:val="Normal"/>
    <w:uiPriority w:val="34"/>
    <w:qFormat/>
    <w:rsid w:val="004A182D"/>
    <w:pPr>
      <w:ind w:left="720"/>
      <w:contextualSpacing/>
    </w:pPr>
  </w:style>
  <w:style w:type="paragraph" w:customStyle="1" w:styleId="InviasNormal">
    <w:name w:val="Invias Normal"/>
    <w:basedOn w:val="Normal"/>
    <w:link w:val="InviasNormalCar"/>
    <w:qFormat/>
    <w:rsid w:val="0053409C"/>
    <w:pPr>
      <w:tabs>
        <w:tab w:val="left" w:pos="-142"/>
      </w:tabs>
      <w:autoSpaceDE w:val="0"/>
      <w:autoSpaceDN w:val="0"/>
      <w:adjustRightInd w:val="0"/>
      <w:spacing w:before="120" w:after="240" w:line="240" w:lineRule="auto"/>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53409C"/>
    <w:rPr>
      <w:rFonts w:ascii="Arial Narrow" w:eastAsia="Times New Roman" w:hAnsi="Arial Narrow" w:cs="Times New Roman"/>
      <w:sz w:val="24"/>
      <w:szCs w:val="24"/>
      <w:lang w:val="x-none" w:eastAsia="es-ES"/>
    </w:rPr>
  </w:style>
  <w:style w:type="character" w:styleId="Refdecomentario">
    <w:name w:val="annotation reference"/>
    <w:basedOn w:val="Fuentedeprrafopredeter"/>
    <w:uiPriority w:val="99"/>
    <w:semiHidden/>
    <w:unhideWhenUsed/>
    <w:rsid w:val="007C6AC7"/>
    <w:rPr>
      <w:sz w:val="16"/>
      <w:szCs w:val="16"/>
    </w:rPr>
  </w:style>
  <w:style w:type="paragraph" w:styleId="Textocomentario">
    <w:name w:val="annotation text"/>
    <w:basedOn w:val="Normal"/>
    <w:link w:val="TextocomentarioCar"/>
    <w:uiPriority w:val="99"/>
    <w:semiHidden/>
    <w:unhideWhenUsed/>
    <w:rsid w:val="007C6A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6AC7"/>
    <w:rPr>
      <w:sz w:val="20"/>
      <w:szCs w:val="20"/>
    </w:rPr>
  </w:style>
  <w:style w:type="paragraph" w:styleId="Asuntodelcomentario">
    <w:name w:val="annotation subject"/>
    <w:basedOn w:val="Textocomentario"/>
    <w:next w:val="Textocomentario"/>
    <w:link w:val="AsuntodelcomentarioCar"/>
    <w:uiPriority w:val="99"/>
    <w:semiHidden/>
    <w:unhideWhenUsed/>
    <w:rsid w:val="007C6AC7"/>
    <w:rPr>
      <w:b/>
      <w:bCs/>
    </w:rPr>
  </w:style>
  <w:style w:type="character" w:customStyle="1" w:styleId="AsuntodelcomentarioCar">
    <w:name w:val="Asunto del comentario Car"/>
    <w:basedOn w:val="TextocomentarioCar"/>
    <w:link w:val="Asuntodelcomentario"/>
    <w:uiPriority w:val="99"/>
    <w:semiHidden/>
    <w:rsid w:val="007C6A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71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EBCD8-E7D3-4311-8394-B5B98B3F3336}">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F539CFA-BD69-45C2-ADE2-87522C68F8A8}">
  <ds:schemaRefs>
    <ds:schemaRef ds:uri="http://schemas.openxmlformats.org/officeDocument/2006/bibliography"/>
  </ds:schemaRefs>
</ds:datastoreItem>
</file>

<file path=customXml/itemProps3.xml><?xml version="1.0" encoding="utf-8"?>
<ds:datastoreItem xmlns:ds="http://schemas.openxmlformats.org/officeDocument/2006/customXml" ds:itemID="{DDACE662-69C1-4D2B-ACE8-91115AFF993E}">
  <ds:schemaRefs>
    <ds:schemaRef ds:uri="http://schemas.microsoft.com/sharepoint/v3/contenttype/forms"/>
  </ds:schemaRefs>
</ds:datastoreItem>
</file>

<file path=customXml/itemProps4.xml><?xml version="1.0" encoding="utf-8"?>
<ds:datastoreItem xmlns:ds="http://schemas.openxmlformats.org/officeDocument/2006/customXml" ds:itemID="{073EC25F-912B-4BAD-9C34-0519612C0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5931</Words>
  <Characters>32626</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Martin Rojas Mejia</cp:lastModifiedBy>
  <cp:revision>4</cp:revision>
  <dcterms:created xsi:type="dcterms:W3CDTF">2022-04-26T20:35:00Z</dcterms:created>
  <dcterms:modified xsi:type="dcterms:W3CDTF">2022-05-04T21:30:00Z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