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Pr="00A03B01" w:rsidRDefault="00E05AA3" w:rsidP="00A03B01">
      <w:pPr>
        <w:jc w:val="both"/>
        <w:rPr>
          <w:rFonts w:ascii="Arial" w:hAnsi="Arial" w:cs="Arial"/>
          <w:b/>
          <w:bCs/>
          <w:color w:val="000000" w:themeColor="text1"/>
          <w:sz w:val="22"/>
          <w:szCs w:val="22"/>
          <w:lang w:val="es-ES_tradnl" w:eastAsia="es-ES"/>
        </w:rPr>
      </w:pPr>
      <w:bookmarkStart w:id="0" w:name="_Hlk28946138"/>
      <w:bookmarkStart w:id="1" w:name="_Hlk29548183"/>
    </w:p>
    <w:p w14:paraId="3993CEDE" w14:textId="25478142" w:rsidR="00A03B01" w:rsidRPr="00A03B01" w:rsidRDefault="007E377C" w:rsidP="00A03B01">
      <w:pPr>
        <w:jc w:val="both"/>
        <w:rPr>
          <w:rFonts w:ascii="Arial" w:hAnsi="Arial" w:cs="Arial"/>
          <w:b/>
          <w:bCs/>
          <w:color w:val="000000" w:themeColor="text1"/>
          <w:sz w:val="22"/>
          <w:szCs w:val="22"/>
          <w:lang w:val="es-ES_tradnl" w:eastAsia="es-ES"/>
        </w:rPr>
      </w:pPr>
      <w:r>
        <w:rPr>
          <w:rFonts w:ascii="Arial" w:hAnsi="Arial" w:cs="Arial"/>
          <w:b/>
          <w:bCs/>
          <w:color w:val="000000" w:themeColor="text1"/>
          <w:sz w:val="22"/>
          <w:szCs w:val="22"/>
          <w:lang w:val="es-ES_tradnl" w:eastAsia="es-ES"/>
        </w:rPr>
        <w:t xml:space="preserve">RÉGIMEN DE LAS </w:t>
      </w:r>
      <w:r w:rsidR="00A03B01" w:rsidRPr="00A03B01">
        <w:rPr>
          <w:rFonts w:ascii="Arial" w:hAnsi="Arial" w:cs="Arial"/>
          <w:b/>
          <w:bCs/>
          <w:color w:val="000000" w:themeColor="text1"/>
          <w:sz w:val="22"/>
          <w:szCs w:val="22"/>
          <w:lang w:val="es-ES_tradnl" w:eastAsia="es-ES"/>
        </w:rPr>
        <w:t xml:space="preserve">GARANTIAS EN LOS PROCESOS DE CONTRATACIÓN PÚBLICA – </w:t>
      </w:r>
      <w:r>
        <w:rPr>
          <w:rFonts w:ascii="Arial" w:hAnsi="Arial" w:cs="Arial"/>
          <w:b/>
          <w:bCs/>
          <w:color w:val="000000" w:themeColor="text1"/>
          <w:sz w:val="22"/>
          <w:szCs w:val="22"/>
          <w:lang w:val="es-ES_tradnl" w:eastAsia="es-ES"/>
        </w:rPr>
        <w:t>Aspectos generales</w:t>
      </w:r>
      <w:r w:rsidR="00A03B01" w:rsidRPr="00A03B01">
        <w:rPr>
          <w:rFonts w:ascii="Arial" w:hAnsi="Arial" w:cs="Arial"/>
          <w:b/>
          <w:bCs/>
          <w:color w:val="000000" w:themeColor="text1"/>
          <w:sz w:val="22"/>
          <w:szCs w:val="22"/>
          <w:lang w:val="es-ES_tradnl" w:eastAsia="es-ES"/>
        </w:rPr>
        <w:t xml:space="preserve"> –</w:t>
      </w:r>
      <w:r>
        <w:rPr>
          <w:rFonts w:ascii="Arial" w:hAnsi="Arial" w:cs="Arial"/>
          <w:b/>
          <w:bCs/>
          <w:color w:val="000000" w:themeColor="text1"/>
          <w:sz w:val="22"/>
          <w:szCs w:val="22"/>
          <w:lang w:val="es-ES_tradnl" w:eastAsia="es-ES"/>
        </w:rPr>
        <w:t xml:space="preserve"> finalidades</w:t>
      </w:r>
    </w:p>
    <w:p w14:paraId="2EADBE7D" w14:textId="18F6515F" w:rsidR="00A03B01" w:rsidRDefault="00A03B01" w:rsidP="00A03B01">
      <w:pPr>
        <w:jc w:val="both"/>
        <w:rPr>
          <w:rFonts w:ascii="Arial" w:hAnsi="Arial" w:cs="Arial"/>
          <w:bCs/>
          <w:color w:val="000000" w:themeColor="text1"/>
          <w:sz w:val="20"/>
          <w:szCs w:val="20"/>
          <w:lang w:val="es-ES_tradnl" w:eastAsia="es-ES"/>
        </w:rPr>
      </w:pPr>
    </w:p>
    <w:p w14:paraId="3AC422CF" w14:textId="77777777" w:rsidR="007E377C" w:rsidRPr="00BD6B9E" w:rsidRDefault="007E377C" w:rsidP="00A03B01">
      <w:pPr>
        <w:jc w:val="both"/>
        <w:rPr>
          <w:rFonts w:ascii="Arial" w:eastAsia="Calibri" w:hAnsi="Arial" w:cs="Arial"/>
          <w:color w:val="000000" w:themeColor="text1"/>
          <w:sz w:val="20"/>
          <w:szCs w:val="20"/>
          <w:lang w:val="es-ES"/>
        </w:rPr>
      </w:pPr>
      <w:r w:rsidRPr="00BD6B9E">
        <w:rPr>
          <w:rFonts w:ascii="Arial" w:hAnsi="Arial" w:cs="Arial"/>
          <w:color w:val="000000"/>
          <w:sz w:val="20"/>
          <w:szCs w:val="20"/>
          <w:shd w:val="clear" w:color="auto" w:fill="FFFFFF"/>
        </w:rPr>
        <w:t>Por regla general, para seleccionar contratistas y para ejecutar contratos se requiere la constitución de garantías. Por un lado, l</w:t>
      </w:r>
      <w:r w:rsidRPr="00BD6B9E">
        <w:rPr>
          <w:rFonts w:ascii="Arial" w:eastAsia="Calibri" w:hAnsi="Arial" w:cs="Arial"/>
          <w:color w:val="000000" w:themeColor="text1"/>
          <w:sz w:val="20"/>
          <w:szCs w:val="20"/>
          <w:lang w:val="es-ES"/>
        </w:rPr>
        <w:t xml:space="preserve">a </w:t>
      </w:r>
      <w:r w:rsidRPr="00BD6B9E">
        <w:rPr>
          <w:rFonts w:ascii="Arial" w:eastAsia="Calibri" w:hAnsi="Arial" w:cs="Arial"/>
          <w:i/>
          <w:iCs/>
          <w:color w:val="000000" w:themeColor="text1"/>
          <w:sz w:val="20"/>
          <w:szCs w:val="20"/>
          <w:lang w:val="es-ES"/>
        </w:rPr>
        <w:t>garantía de seriedad</w:t>
      </w:r>
      <w:r w:rsidRPr="00BD6B9E">
        <w:rPr>
          <w:rFonts w:ascii="Arial" w:eastAsia="Calibri" w:hAnsi="Arial" w:cs="Arial"/>
          <w:color w:val="000000" w:themeColor="text1"/>
          <w:sz w:val="20"/>
          <w:szCs w:val="20"/>
          <w:lang w:val="es-ES"/>
        </w:rPr>
        <w:t xml:space="preserve"> respalda al principio de irrevocabilidad de la oferta, caso en el cual los proponentes que pierdan interés en la adjudicación resarcirán los perjuicios causados por su retiro del proceso de selección. Naturalmente, esta garantía solo la constituyen quienes presenten las propuestas, motivo por el cual sus efectos no se extienden a personas ajenas a la actividad precontractual, sin perjuicio de que la póliza sea un mecanismo conminatorio, en la medida en que obliga a celebrar el contrato, so pena de hacerla efectiva. De esta manera, la exigencia permite que solo se presenten personas con la capacidad técnica y financiera suficiente para ejecutarlo en caso de adjudicación, desestimulando la presentación de ofertas que no son serias, cuya evaluación entorpece la buena marcha de la Administración, y en especial la celeridad y eficiencia de los procedimientos contractuales.</w:t>
      </w:r>
    </w:p>
    <w:p w14:paraId="2381A298" w14:textId="77777777" w:rsidR="007E377C" w:rsidRPr="00BD6B9E" w:rsidRDefault="007E377C" w:rsidP="00A03B01">
      <w:pPr>
        <w:jc w:val="both"/>
        <w:rPr>
          <w:rFonts w:ascii="Arial" w:eastAsia="Calibri" w:hAnsi="Arial" w:cs="Arial"/>
          <w:color w:val="000000" w:themeColor="text1"/>
          <w:sz w:val="20"/>
          <w:szCs w:val="20"/>
          <w:lang w:val="es-ES"/>
        </w:rPr>
      </w:pPr>
    </w:p>
    <w:p w14:paraId="408AC515" w14:textId="77777777" w:rsidR="007E377C" w:rsidRPr="00BD6B9E" w:rsidRDefault="007E377C" w:rsidP="00A03B01">
      <w:pPr>
        <w:jc w:val="both"/>
        <w:rPr>
          <w:rFonts w:ascii="Arial" w:hAnsi="Arial" w:cs="Arial"/>
          <w:color w:val="000000" w:themeColor="text1"/>
          <w:sz w:val="20"/>
          <w:szCs w:val="20"/>
          <w:lang w:val="es-ES_tradnl"/>
        </w:rPr>
      </w:pPr>
      <w:r w:rsidRPr="00BD6B9E">
        <w:rPr>
          <w:rFonts w:ascii="Arial" w:eastAsia="Calibri" w:hAnsi="Arial" w:cs="Arial"/>
          <w:color w:val="000000" w:themeColor="text1"/>
          <w:sz w:val="20"/>
          <w:szCs w:val="20"/>
          <w:lang w:val="es-ES"/>
        </w:rPr>
        <w:t xml:space="preserve">En contraste, mediante la </w:t>
      </w:r>
      <w:r w:rsidRPr="00BD6B9E">
        <w:rPr>
          <w:rFonts w:ascii="Arial" w:eastAsia="Calibri" w:hAnsi="Arial" w:cs="Arial"/>
          <w:i/>
          <w:iCs/>
          <w:color w:val="000000" w:themeColor="text1"/>
          <w:sz w:val="20"/>
          <w:szCs w:val="20"/>
          <w:lang w:val="es-ES"/>
        </w:rPr>
        <w:t>garantía de única de cumplimiento</w:t>
      </w:r>
      <w:r w:rsidRPr="00BD6B9E">
        <w:rPr>
          <w:rFonts w:ascii="Arial" w:eastAsia="Calibri" w:hAnsi="Arial" w:cs="Arial"/>
          <w:color w:val="000000" w:themeColor="text1"/>
          <w:sz w:val="20"/>
          <w:szCs w:val="20"/>
          <w:lang w:val="es-ES"/>
        </w:rPr>
        <w:t xml:space="preserve">, el contratista ampara los perjuicios que le pueda generar a la entidad el incumplimiento de las obligaciones derivadas del contrato. En esta medida, tienen como objetivo reparar los perjuicios causados por conductas atribuibles al contratista, por lo que estos últimos son un presupuesto necesario para el pago que cubre la garantía. </w:t>
      </w:r>
      <w:r w:rsidRPr="00BD6B9E">
        <w:rPr>
          <w:rFonts w:ascii="Arial" w:hAnsi="Arial" w:cs="Arial"/>
          <w:color w:val="000000" w:themeColor="text1"/>
          <w:sz w:val="20"/>
          <w:szCs w:val="20"/>
          <w:lang w:val="es-ES_tradnl"/>
        </w:rPr>
        <w:t>Para estos efectos es única, ya que «[…] La prioridad […] es que no haya garantías separadas para los diferentes riesgos, aunque existan varias garantías para diferentes proporciones del interés asegurado […]».</w:t>
      </w:r>
    </w:p>
    <w:p w14:paraId="704CA696" w14:textId="77777777" w:rsidR="007E377C" w:rsidRDefault="007E377C" w:rsidP="00A03B01">
      <w:pPr>
        <w:jc w:val="both"/>
        <w:rPr>
          <w:rFonts w:ascii="Arial" w:hAnsi="Arial" w:cs="Arial"/>
          <w:color w:val="000000" w:themeColor="text1"/>
          <w:sz w:val="22"/>
          <w:lang w:val="es-ES_tradnl"/>
        </w:rPr>
      </w:pPr>
    </w:p>
    <w:p w14:paraId="4C99B9ED" w14:textId="4ECA6719" w:rsidR="00A03B01" w:rsidRDefault="00A03B01" w:rsidP="00A03B01">
      <w:pPr>
        <w:jc w:val="both"/>
        <w:rPr>
          <w:rFonts w:ascii="Arial" w:hAnsi="Arial" w:cs="Arial"/>
          <w:sz w:val="20"/>
          <w:szCs w:val="20"/>
        </w:rPr>
      </w:pPr>
    </w:p>
    <w:p w14:paraId="45E2087E" w14:textId="6A23CCBA" w:rsidR="00A03B01" w:rsidRPr="00EE1289" w:rsidRDefault="007E377C" w:rsidP="00A03B01">
      <w:pPr>
        <w:jc w:val="both"/>
        <w:rPr>
          <w:rFonts w:ascii="Arial" w:hAnsi="Arial" w:cs="Arial"/>
          <w:b/>
          <w:bCs/>
          <w:color w:val="000000" w:themeColor="text1"/>
          <w:sz w:val="20"/>
          <w:szCs w:val="20"/>
          <w:lang w:val="es-ES_tradnl" w:eastAsia="es-ES"/>
        </w:rPr>
      </w:pPr>
      <w:r>
        <w:rPr>
          <w:rFonts w:ascii="Arial" w:hAnsi="Arial" w:cs="Arial"/>
          <w:b/>
          <w:bCs/>
          <w:color w:val="000000" w:themeColor="text1"/>
          <w:sz w:val="22"/>
          <w:szCs w:val="20"/>
          <w:lang w:val="es-ES_tradnl" w:eastAsia="es-ES"/>
        </w:rPr>
        <w:t>RÉGIMEN DE LAS GARANTÍAS</w:t>
      </w:r>
      <w:r w:rsidR="00A03B01" w:rsidRPr="00EE1289">
        <w:rPr>
          <w:rFonts w:ascii="Arial" w:hAnsi="Arial" w:cs="Arial"/>
          <w:b/>
          <w:bCs/>
          <w:color w:val="000000" w:themeColor="text1"/>
          <w:sz w:val="22"/>
          <w:szCs w:val="20"/>
          <w:lang w:val="es-ES_tradnl" w:eastAsia="es-ES"/>
        </w:rPr>
        <w:t xml:space="preserve">- Características- </w:t>
      </w:r>
      <w:r>
        <w:rPr>
          <w:rFonts w:ascii="Arial" w:hAnsi="Arial" w:cs="Arial"/>
          <w:b/>
          <w:bCs/>
          <w:color w:val="000000" w:themeColor="text1"/>
          <w:sz w:val="22"/>
          <w:szCs w:val="20"/>
          <w:lang w:val="es-ES_tradnl" w:eastAsia="es-ES"/>
        </w:rPr>
        <w:t>Tipos</w:t>
      </w:r>
    </w:p>
    <w:p w14:paraId="65BBAA94" w14:textId="2DDFDE64" w:rsidR="00A03B01" w:rsidRDefault="00A03B01" w:rsidP="00BD6B9E">
      <w:pPr>
        <w:jc w:val="both"/>
        <w:rPr>
          <w:rFonts w:ascii="Arial" w:hAnsi="Arial" w:cs="Arial"/>
          <w:bCs/>
          <w:color w:val="000000" w:themeColor="text1"/>
          <w:sz w:val="20"/>
          <w:szCs w:val="20"/>
          <w:lang w:val="es-ES_tradnl" w:eastAsia="es-ES"/>
        </w:rPr>
      </w:pPr>
    </w:p>
    <w:p w14:paraId="08D8B918" w14:textId="2B76B928" w:rsidR="00BD6B9E" w:rsidRPr="00BD6B9E" w:rsidRDefault="00BD6B9E" w:rsidP="00BD6B9E">
      <w:pPr>
        <w:spacing w:after="120"/>
        <w:jc w:val="both"/>
        <w:rPr>
          <w:rFonts w:ascii="Arial" w:hAnsi="Arial" w:cs="Arial"/>
          <w:color w:val="000000" w:themeColor="text1"/>
          <w:sz w:val="20"/>
          <w:szCs w:val="20"/>
          <w:lang w:val="es-ES_tradnl"/>
        </w:rPr>
      </w:pPr>
      <w:r w:rsidRPr="00BD6B9E">
        <w:rPr>
          <w:rFonts w:ascii="Arial" w:hAnsi="Arial" w:cs="Arial"/>
          <w:color w:val="000000" w:themeColor="text1"/>
          <w:sz w:val="20"/>
          <w:szCs w:val="20"/>
          <w:lang w:val="es-ES_tradnl"/>
        </w:rPr>
        <w:t xml:space="preserve">Conforme al artículo 7 de la Ley 1150 de 2007, pueden otorgarse a través de: i) contratos de seguro, </w:t>
      </w:r>
      <w:proofErr w:type="spellStart"/>
      <w:r w:rsidRPr="00BD6B9E">
        <w:rPr>
          <w:rFonts w:ascii="Arial" w:hAnsi="Arial" w:cs="Arial"/>
          <w:color w:val="000000" w:themeColor="text1"/>
          <w:sz w:val="20"/>
          <w:szCs w:val="20"/>
          <w:lang w:val="es-ES_tradnl"/>
        </w:rPr>
        <w:t>ii</w:t>
      </w:r>
      <w:proofErr w:type="spellEnd"/>
      <w:r w:rsidRPr="00BD6B9E">
        <w:rPr>
          <w:rFonts w:ascii="Arial" w:hAnsi="Arial" w:cs="Arial"/>
          <w:color w:val="000000" w:themeColor="text1"/>
          <w:sz w:val="20"/>
          <w:szCs w:val="20"/>
          <w:lang w:val="es-ES_tradnl"/>
        </w:rPr>
        <w:t xml:space="preserve">) garantías bancarias o </w:t>
      </w:r>
      <w:proofErr w:type="spellStart"/>
      <w:r w:rsidRPr="00BD6B9E">
        <w:rPr>
          <w:rFonts w:ascii="Arial" w:hAnsi="Arial" w:cs="Arial"/>
          <w:color w:val="000000" w:themeColor="text1"/>
          <w:sz w:val="20"/>
          <w:szCs w:val="20"/>
          <w:lang w:val="es-ES_tradnl"/>
        </w:rPr>
        <w:t>iii</w:t>
      </w:r>
      <w:proofErr w:type="spellEnd"/>
      <w:r w:rsidRPr="00BD6B9E">
        <w:rPr>
          <w:rFonts w:ascii="Arial" w:hAnsi="Arial" w:cs="Arial"/>
          <w:color w:val="000000" w:themeColor="text1"/>
          <w:sz w:val="20"/>
          <w:szCs w:val="20"/>
          <w:lang w:val="es-ES_tradnl"/>
        </w:rPr>
        <w:t>) los demás mecanismos de cobertura del riesgo que disponga el reglamento. Igualmente establece que «[…] tratándose de pólizas, las mismas no expirarán por falta de pago de la prima o por revocatoria unilateral […]». Esta norma es una excepción a la terminación automática del contrato de seguro prevista en los artículos 1068 y 1071 del Código de Comercio. De esta manera, las garantías previstas en la ley tienen como objetivo asegurar la solvencia del garante.</w:t>
      </w:r>
    </w:p>
    <w:p w14:paraId="0A6103AF" w14:textId="77777777" w:rsidR="00BD6B9E" w:rsidRDefault="00BD6B9E" w:rsidP="00BD6B9E">
      <w:pPr>
        <w:jc w:val="both"/>
        <w:rPr>
          <w:rFonts w:ascii="Arial" w:hAnsi="Arial" w:cs="Arial"/>
          <w:color w:val="000000" w:themeColor="text1"/>
          <w:sz w:val="20"/>
          <w:szCs w:val="20"/>
        </w:rPr>
      </w:pPr>
      <w:r w:rsidRPr="00BD6B9E">
        <w:rPr>
          <w:rFonts w:ascii="Arial" w:hAnsi="Arial" w:cs="Arial"/>
          <w:color w:val="000000" w:themeColor="text1"/>
          <w:sz w:val="20"/>
          <w:szCs w:val="20"/>
        </w:rPr>
        <w:t>El Decreto 1082 de 2015 reglamenta las condiciones en que debe cumplirse esta obligación. Los artículos 2.2.1.2.3.1.1 a 2.2.1.2.3.1.19 del Decreto Único Reglamentario del sector Administrativo de Planeación Nacional regulan asuntos como las clases de garantías permitidas, su indivisibilidad, los diferentes riesgos que deben ser objeto de garantía, la vigencia y valores mínimos que deben cubrir</w:t>
      </w:r>
      <w:r>
        <w:rPr>
          <w:rFonts w:ascii="Arial" w:hAnsi="Arial" w:cs="Arial"/>
          <w:color w:val="000000" w:themeColor="text1"/>
          <w:sz w:val="20"/>
          <w:szCs w:val="20"/>
        </w:rPr>
        <w:t xml:space="preserve"> los amparos, entre otros aspectos. </w:t>
      </w:r>
    </w:p>
    <w:p w14:paraId="148D8904" w14:textId="65F1A0B3" w:rsidR="00EE1289" w:rsidRPr="00EE1289" w:rsidRDefault="00EE1289" w:rsidP="00BD6B9E">
      <w:pPr>
        <w:jc w:val="both"/>
        <w:rPr>
          <w:rFonts w:ascii="Arial" w:hAnsi="Arial" w:cs="Arial"/>
          <w:bCs/>
          <w:color w:val="000000" w:themeColor="text1"/>
          <w:sz w:val="22"/>
          <w:lang w:val="es-ES_tradnl"/>
        </w:rPr>
      </w:pPr>
    </w:p>
    <w:p w14:paraId="01AEE8AB" w14:textId="6CFE1845" w:rsidR="00EE1289" w:rsidRPr="00EE1289" w:rsidRDefault="00EE1289" w:rsidP="00EE1289">
      <w:pPr>
        <w:jc w:val="both"/>
        <w:rPr>
          <w:rFonts w:ascii="Arial" w:hAnsi="Arial" w:cs="Arial"/>
          <w:b/>
          <w:bCs/>
          <w:color w:val="000000" w:themeColor="text1"/>
          <w:sz w:val="22"/>
          <w:lang w:val="es-ES_tradnl"/>
        </w:rPr>
      </w:pPr>
      <w:r w:rsidRPr="00EE1289">
        <w:rPr>
          <w:rFonts w:ascii="Arial" w:hAnsi="Arial" w:cs="Arial"/>
          <w:b/>
          <w:bCs/>
          <w:color w:val="000000" w:themeColor="text1"/>
          <w:sz w:val="22"/>
          <w:lang w:val="es-ES_tradnl"/>
        </w:rPr>
        <w:t xml:space="preserve">GARANTÍAS CONTRACTUALES- Circular Conjunta 01 de 2021- autenticidad de las garantías- deber de verificación. </w:t>
      </w:r>
    </w:p>
    <w:p w14:paraId="77446E6A" w14:textId="0065746F" w:rsidR="00EE1289" w:rsidRDefault="00EE1289" w:rsidP="00EE1289">
      <w:pPr>
        <w:jc w:val="both"/>
        <w:rPr>
          <w:rFonts w:ascii="Arial" w:hAnsi="Arial" w:cs="Arial"/>
          <w:bCs/>
          <w:color w:val="000000" w:themeColor="text1"/>
          <w:sz w:val="20"/>
          <w:lang w:val="es-ES_tradnl"/>
        </w:rPr>
      </w:pPr>
    </w:p>
    <w:p w14:paraId="4F307C46" w14:textId="41BC7BC1" w:rsidR="00EE1289" w:rsidRDefault="00EE1289" w:rsidP="00EE1289">
      <w:pPr>
        <w:jc w:val="both"/>
        <w:rPr>
          <w:rFonts w:ascii="Arial" w:hAnsi="Arial" w:cs="Arial"/>
          <w:sz w:val="20"/>
          <w:szCs w:val="21"/>
        </w:rPr>
      </w:pPr>
      <w:r w:rsidRPr="00EE1289">
        <w:rPr>
          <w:rFonts w:ascii="Arial" w:hAnsi="Arial" w:cs="Arial"/>
          <w:bCs/>
          <w:color w:val="000000" w:themeColor="text1"/>
          <w:sz w:val="20"/>
          <w:lang w:val="es-ES_tradnl"/>
        </w:rPr>
        <w:t>La Superintendencia de Industria y Comercio y la Agencia Nacional de Contratación Pública Colombia Compra Eficiente expidieron una Circular Conjunta 01 de 2020,</w:t>
      </w:r>
      <w:r w:rsidRPr="00EE1289">
        <w:rPr>
          <w:rFonts w:ascii="Arial" w:eastAsia="Calibri" w:hAnsi="Arial" w:cs="Arial"/>
          <w:bCs/>
          <w:color w:val="000000" w:themeColor="text1"/>
          <w:sz w:val="20"/>
          <w:szCs w:val="22"/>
        </w:rPr>
        <w:t xml:space="preserve"> en la que se establecen obligaciones para los establecimientos de crédito, entidades aseguradoras y sociedades fiduciarias que expiden los tipos de garantías que expiden los tipos de garantías, lo cual implica que deban expedirse por medio de</w:t>
      </w:r>
      <w:r w:rsidRPr="00EE1289">
        <w:rPr>
          <w:rFonts w:ascii="Arial" w:hAnsi="Arial" w:cs="Arial"/>
          <w:sz w:val="20"/>
          <w:szCs w:val="21"/>
        </w:rPr>
        <w:t xml:space="preserve"> documentos electrónicos integrales con valor legal y técnicamente asegurados mediante firmado digital y estampado cronológico, además de poseer mecanismos tecnológicos como pueden ser códigos QR, hash, alfanuméricos o CUFE, entre otros, que permitan </w:t>
      </w:r>
      <w:r w:rsidRPr="00EE1289">
        <w:rPr>
          <w:rFonts w:ascii="Arial" w:hAnsi="Arial" w:cs="Arial"/>
          <w:sz w:val="20"/>
          <w:szCs w:val="21"/>
        </w:rPr>
        <w:lastRenderedPageBreak/>
        <w:t>la verificación en línea y la disposición de un punto de contacto. Así mismo, las entidades públicas están en la obligación de verificar en línea la autenticidad de las pólizas y dejar constancia de la consulta en el expediente contractual.</w:t>
      </w:r>
    </w:p>
    <w:p w14:paraId="76E46643" w14:textId="15196044" w:rsidR="00EE1289" w:rsidRPr="00580E1E" w:rsidRDefault="00EE1289" w:rsidP="00580E1E">
      <w:pPr>
        <w:jc w:val="both"/>
        <w:rPr>
          <w:rFonts w:ascii="Arial" w:hAnsi="Arial" w:cs="Arial"/>
          <w:sz w:val="22"/>
          <w:szCs w:val="20"/>
        </w:rPr>
      </w:pPr>
    </w:p>
    <w:p w14:paraId="098ED976" w14:textId="3A56D9BA" w:rsidR="00580E1E" w:rsidRPr="00580E1E" w:rsidRDefault="00580E1E" w:rsidP="00580E1E">
      <w:pPr>
        <w:jc w:val="both"/>
        <w:rPr>
          <w:rFonts w:ascii="Arial" w:hAnsi="Arial" w:cs="Arial"/>
          <w:b/>
          <w:sz w:val="22"/>
          <w:szCs w:val="20"/>
        </w:rPr>
      </w:pPr>
      <w:r w:rsidRPr="00580E1E">
        <w:rPr>
          <w:rFonts w:ascii="Arial" w:hAnsi="Arial" w:cs="Arial"/>
          <w:b/>
          <w:sz w:val="22"/>
          <w:szCs w:val="20"/>
        </w:rPr>
        <w:t xml:space="preserve">PRINCIPIO DE PUBLICIDAD – Ley 1150 de 2007 – Ley 1712 de 2014- Concepto- Características. </w:t>
      </w:r>
    </w:p>
    <w:p w14:paraId="48A4A744" w14:textId="77777777" w:rsidR="00147C42" w:rsidRPr="00580E1E" w:rsidRDefault="00147C42" w:rsidP="00580E1E">
      <w:pPr>
        <w:jc w:val="both"/>
        <w:rPr>
          <w:rFonts w:ascii="Arial" w:hAnsi="Arial" w:cs="Arial"/>
          <w:sz w:val="20"/>
          <w:szCs w:val="20"/>
        </w:rPr>
      </w:pPr>
    </w:p>
    <w:p w14:paraId="5F83EBFE" w14:textId="77777777" w:rsidR="00580E1E" w:rsidRPr="00580E1E" w:rsidRDefault="00580E1E" w:rsidP="00580E1E">
      <w:pPr>
        <w:widowControl w:val="0"/>
        <w:tabs>
          <w:tab w:val="left" w:pos="728"/>
        </w:tabs>
        <w:autoSpaceDE w:val="0"/>
        <w:autoSpaceDN w:val="0"/>
        <w:spacing w:after="120"/>
        <w:jc w:val="both"/>
        <w:rPr>
          <w:rFonts w:ascii="Arial" w:eastAsia="Arial" w:hAnsi="Arial" w:cs="Arial"/>
          <w:sz w:val="20"/>
          <w:szCs w:val="20"/>
          <w:lang w:val="es-ES" w:eastAsia="en-US"/>
        </w:rPr>
      </w:pPr>
      <w:r w:rsidRPr="00580E1E">
        <w:rPr>
          <w:rFonts w:ascii="Arial" w:eastAsia="Arial" w:hAnsi="Arial" w:cs="Arial"/>
          <w:sz w:val="20"/>
          <w:szCs w:val="20"/>
          <w:lang w:val="es-ES" w:eastAsia="en-US"/>
        </w:rPr>
        <w:t xml:space="preserve">El principio de publicidad impone a las autoridades administrativas el deber de dar a conocer sus actos, contratos y decisiones, para que se divulguen y eventualmente se controlen las actuaciones. El literal c) del artículo 3 de la Ley 1150 de 2007 dispone que el Sistema Electrónico para la Contratación Pública –SECOP– «contará con la información oficial de la contratación realizada con dineros públicos, para lo cual establecerá los patrones a que haya lugar y se encargará de su difusión a través de canales electrónicos». </w:t>
      </w:r>
    </w:p>
    <w:p w14:paraId="63016150" w14:textId="2C85E350" w:rsidR="00580E1E" w:rsidRPr="00580E1E" w:rsidRDefault="00580E1E" w:rsidP="00580E1E">
      <w:pPr>
        <w:widowControl w:val="0"/>
        <w:tabs>
          <w:tab w:val="left" w:pos="728"/>
        </w:tabs>
        <w:autoSpaceDE w:val="0"/>
        <w:autoSpaceDN w:val="0"/>
        <w:spacing w:after="120"/>
        <w:jc w:val="both"/>
        <w:rPr>
          <w:rFonts w:ascii="Arial" w:eastAsia="Arial" w:hAnsi="Arial" w:cs="Arial"/>
          <w:sz w:val="20"/>
          <w:szCs w:val="20"/>
          <w:lang w:val="es-ES" w:eastAsia="en-US"/>
        </w:rPr>
      </w:pPr>
      <w:r w:rsidRPr="00580E1E">
        <w:rPr>
          <w:rFonts w:ascii="Arial" w:eastAsia="Arial" w:hAnsi="Arial" w:cs="Arial"/>
          <w:sz w:val="20"/>
          <w:szCs w:val="20"/>
          <w:lang w:val="es-ES" w:eastAsia="en-US"/>
        </w:rPr>
        <w:t xml:space="preserve">De otra parte, la Ley 1712 de 2014 identifica como principios que orientan el acceso a la información pública el de máxima publicidad y el de transparencia en la información. El primero establece que toda información en posesión, bajo control o custodia de un sujeto obligado es pública y no podrá ser reservada o limitada sino por disposición constitucional o legal. Por su parte, el segundo alude al deber de los sujetos de proporcionar y facilitar el acceso a la misma en los términos más amplios posibles, y a través de los medios y procedimientos que establezca la ley. </w:t>
      </w:r>
    </w:p>
    <w:p w14:paraId="4D68F099" w14:textId="0C18F0D6" w:rsidR="00EE1289" w:rsidRPr="00580E1E" w:rsidRDefault="00EE1289" w:rsidP="00580E1E">
      <w:pPr>
        <w:jc w:val="both"/>
        <w:rPr>
          <w:rFonts w:ascii="Arial" w:hAnsi="Arial" w:cs="Arial"/>
          <w:bCs/>
          <w:color w:val="000000" w:themeColor="text1"/>
          <w:sz w:val="20"/>
          <w:szCs w:val="20"/>
          <w:lang w:val="es-ES_tradnl" w:eastAsia="es-ES"/>
        </w:rPr>
      </w:pPr>
    </w:p>
    <w:p w14:paraId="03C92EBA" w14:textId="1855DAAB" w:rsidR="00580E1E" w:rsidRPr="00580E1E" w:rsidRDefault="00580E1E" w:rsidP="00580E1E">
      <w:pPr>
        <w:widowControl w:val="0"/>
        <w:autoSpaceDE w:val="0"/>
        <w:autoSpaceDN w:val="0"/>
        <w:spacing w:after="120"/>
        <w:jc w:val="both"/>
        <w:rPr>
          <w:rFonts w:ascii="Arial" w:eastAsia="Arial" w:hAnsi="Arial" w:cs="Arial"/>
          <w:b/>
          <w:sz w:val="22"/>
          <w:szCs w:val="20"/>
          <w:lang w:val="es-ES" w:eastAsia="en-US"/>
        </w:rPr>
      </w:pPr>
      <w:r w:rsidRPr="00580E1E">
        <w:rPr>
          <w:rFonts w:ascii="Arial" w:eastAsia="Arial" w:hAnsi="Arial" w:cs="Arial"/>
          <w:b/>
          <w:sz w:val="22"/>
          <w:szCs w:val="20"/>
          <w:lang w:val="es-ES" w:eastAsia="en-US"/>
        </w:rPr>
        <w:t xml:space="preserve">PRINCIPIO DE PUBLICIDAD – documentos relacionados con el proceso de contratación pública- obligatoriedad SECOP. </w:t>
      </w:r>
    </w:p>
    <w:p w14:paraId="4C3B2CD5" w14:textId="531F29C9" w:rsidR="00EE1289" w:rsidRDefault="00EE1289" w:rsidP="00EE1289">
      <w:pPr>
        <w:jc w:val="both"/>
        <w:rPr>
          <w:rFonts w:ascii="Arial" w:hAnsi="Arial" w:cs="Arial"/>
          <w:bCs/>
          <w:color w:val="000000" w:themeColor="text1"/>
          <w:sz w:val="16"/>
          <w:szCs w:val="20"/>
          <w:lang w:val="es-ES_tradnl" w:eastAsia="es-ES"/>
        </w:rPr>
      </w:pPr>
    </w:p>
    <w:p w14:paraId="03A414AA" w14:textId="77777777" w:rsidR="00BD6B9E" w:rsidRPr="00BD6B9E" w:rsidRDefault="00BD6B9E" w:rsidP="00BD6B9E">
      <w:pPr>
        <w:widowControl w:val="0"/>
        <w:autoSpaceDE w:val="0"/>
        <w:autoSpaceDN w:val="0"/>
        <w:spacing w:after="120"/>
        <w:jc w:val="both"/>
        <w:rPr>
          <w:rFonts w:ascii="Arial" w:eastAsia="Arial" w:hAnsi="Arial" w:cs="Arial"/>
          <w:sz w:val="20"/>
          <w:szCs w:val="20"/>
          <w:lang w:val="es-ES" w:eastAsia="en-US"/>
        </w:rPr>
      </w:pPr>
      <w:r w:rsidRPr="00BD6B9E">
        <w:rPr>
          <w:rFonts w:ascii="Arial" w:eastAsia="Arial" w:hAnsi="Arial" w:cs="Arial"/>
          <w:sz w:val="20"/>
          <w:szCs w:val="20"/>
          <w:lang w:val="es-ES" w:eastAsia="en-US"/>
        </w:rPr>
        <w:t xml:space="preserve">En virtud del artículo 3 de la Ley 1150 de 2007, desarrollado por el artículo 2.2.1.1.1.7.1 del Decreto 1082 de 2015, las entidades están obligadas a publicar en el SECOP todos los documentos relacionados con el </w:t>
      </w:r>
      <w:r w:rsidRPr="00BD6B9E">
        <w:rPr>
          <w:rFonts w:ascii="Arial" w:eastAsia="Arial" w:hAnsi="Arial" w:cs="Arial"/>
          <w:i/>
          <w:iCs/>
          <w:sz w:val="20"/>
          <w:szCs w:val="20"/>
          <w:lang w:val="es-ES" w:eastAsia="en-US"/>
        </w:rPr>
        <w:t>Proceso de Contratación</w:t>
      </w:r>
      <w:r w:rsidRPr="00BD6B9E">
        <w:rPr>
          <w:rFonts w:ascii="Arial" w:eastAsia="Arial" w:hAnsi="Arial" w:cs="Arial"/>
          <w:sz w:val="20"/>
          <w:szCs w:val="20"/>
          <w:lang w:val="es-ES" w:eastAsia="en-US"/>
        </w:rPr>
        <w:t xml:space="preserve"> expedidos durante las etapas precontractual, de ejecución y </w:t>
      </w:r>
      <w:proofErr w:type="spellStart"/>
      <w:r w:rsidRPr="00BD6B9E">
        <w:rPr>
          <w:rFonts w:ascii="Arial" w:eastAsia="Arial" w:hAnsi="Arial" w:cs="Arial"/>
          <w:sz w:val="20"/>
          <w:szCs w:val="20"/>
          <w:lang w:val="es-ES" w:eastAsia="en-US"/>
        </w:rPr>
        <w:t>postcontractual</w:t>
      </w:r>
      <w:proofErr w:type="spellEnd"/>
      <w:r w:rsidRPr="00BD6B9E">
        <w:rPr>
          <w:rFonts w:ascii="Arial" w:eastAsia="Arial" w:hAnsi="Arial" w:cs="Arial"/>
          <w:sz w:val="20"/>
          <w:szCs w:val="20"/>
          <w:lang w:val="es-ES" w:eastAsia="en-US"/>
        </w:rPr>
        <w:t xml:space="preserve">. Este deber aplica a todas las modalidades de selección y entidades regidas por el Estatuto General de Contratación de la Administración Pública, y solo se encuentran excluidas las ofertas perdedoras y los documentos expedidos en el marco de operaciones de bolsa de productos. </w:t>
      </w:r>
    </w:p>
    <w:p w14:paraId="48B9682B" w14:textId="73838E84" w:rsidR="00BD6B9E" w:rsidRPr="00BD6B9E" w:rsidRDefault="00BD6B9E" w:rsidP="00BD6B9E">
      <w:pPr>
        <w:spacing w:before="120" w:after="120"/>
        <w:jc w:val="both"/>
        <w:rPr>
          <w:rFonts w:ascii="Arial" w:eastAsia="Arial" w:hAnsi="Arial" w:cs="Arial"/>
          <w:sz w:val="20"/>
          <w:szCs w:val="20"/>
          <w:lang w:val="es-ES" w:eastAsia="en-US"/>
        </w:rPr>
      </w:pPr>
      <w:r w:rsidRPr="00BD6B9E">
        <w:rPr>
          <w:rFonts w:ascii="Arial" w:eastAsia="Calibri" w:hAnsi="Arial" w:cs="Arial"/>
          <w:sz w:val="20"/>
          <w:szCs w:val="20"/>
          <w:lang w:val="es-ES" w:eastAsia="en-US"/>
        </w:rPr>
        <w:t xml:space="preserve">[…] el deber de publicar la actividad contractual de las entidades estatales no solo está regulado en el artículo 3 de la Ley 1150 de 2007 y en el </w:t>
      </w:r>
      <w:r w:rsidRPr="00BD6B9E">
        <w:rPr>
          <w:rFonts w:ascii="Arial" w:eastAsia="Arial" w:hAnsi="Arial" w:cs="Arial"/>
          <w:sz w:val="20"/>
          <w:szCs w:val="20"/>
          <w:lang w:val="es-ES" w:eastAsia="en-US"/>
        </w:rPr>
        <w:t xml:space="preserve">artículo 2.2.1.1.1.7.1 del Decreto 1082 de 2015, sino también en la Ley 1712 de 2014 y en el Decreto 1081 de 2015. Estas normas no solo refuerzan y complementan al régimen de contratación estatal en cuanto a la publicidad, sino que lo amplía, para incluir la publicación de los «procedimientos» y la información relativa a la «gestión contractual», sin el condicionamiento de tratarse exclusivamente de los </w:t>
      </w:r>
      <w:r w:rsidRPr="00BD6B9E">
        <w:rPr>
          <w:rFonts w:ascii="Arial" w:eastAsia="Arial" w:hAnsi="Arial" w:cs="Arial"/>
          <w:i/>
          <w:iCs/>
          <w:sz w:val="20"/>
          <w:szCs w:val="20"/>
          <w:lang w:val="es-ES" w:eastAsia="en-US"/>
        </w:rPr>
        <w:t xml:space="preserve">Documentos del Proceso </w:t>
      </w:r>
      <w:r w:rsidRPr="00BD6B9E">
        <w:rPr>
          <w:rFonts w:ascii="Arial" w:eastAsia="Arial" w:hAnsi="Arial" w:cs="Arial"/>
          <w:sz w:val="20"/>
          <w:szCs w:val="20"/>
          <w:lang w:val="es-ES" w:eastAsia="en-US"/>
        </w:rPr>
        <w:t xml:space="preserve">expedidos por la «entidad estatal». </w:t>
      </w:r>
    </w:p>
    <w:p w14:paraId="6D92EA98" w14:textId="21F422EE" w:rsidR="00EE1289" w:rsidRDefault="00EE1289" w:rsidP="00EE1289">
      <w:pPr>
        <w:jc w:val="both"/>
        <w:rPr>
          <w:rFonts w:ascii="Arial" w:hAnsi="Arial" w:cs="Arial"/>
          <w:bCs/>
          <w:color w:val="000000" w:themeColor="text1"/>
          <w:sz w:val="16"/>
          <w:szCs w:val="20"/>
          <w:lang w:val="es-ES_tradnl" w:eastAsia="es-ES"/>
        </w:rPr>
      </w:pPr>
    </w:p>
    <w:p w14:paraId="2DECC0A1" w14:textId="0652AC28" w:rsidR="00EE1289" w:rsidRDefault="00EE1289" w:rsidP="00EE1289">
      <w:pPr>
        <w:jc w:val="both"/>
        <w:rPr>
          <w:rFonts w:ascii="Arial" w:hAnsi="Arial" w:cs="Arial"/>
          <w:bCs/>
          <w:color w:val="000000" w:themeColor="text1"/>
          <w:sz w:val="16"/>
          <w:szCs w:val="20"/>
          <w:lang w:val="es-ES_tradnl" w:eastAsia="es-ES"/>
        </w:rPr>
      </w:pPr>
    </w:p>
    <w:p w14:paraId="2CA329E3" w14:textId="29EA2A93" w:rsidR="00BD6B9E" w:rsidRDefault="00BD6B9E" w:rsidP="00EE1289">
      <w:pPr>
        <w:jc w:val="both"/>
        <w:rPr>
          <w:rFonts w:ascii="Arial" w:hAnsi="Arial" w:cs="Arial"/>
          <w:bCs/>
          <w:color w:val="000000" w:themeColor="text1"/>
          <w:sz w:val="16"/>
          <w:szCs w:val="20"/>
          <w:lang w:val="es-ES_tradnl" w:eastAsia="es-ES"/>
        </w:rPr>
      </w:pPr>
    </w:p>
    <w:p w14:paraId="177009C5" w14:textId="7DA1076C" w:rsidR="00BD6B9E" w:rsidRDefault="00BD6B9E" w:rsidP="00EE1289">
      <w:pPr>
        <w:jc w:val="both"/>
        <w:rPr>
          <w:rFonts w:ascii="Arial" w:hAnsi="Arial" w:cs="Arial"/>
          <w:bCs/>
          <w:color w:val="000000" w:themeColor="text1"/>
          <w:sz w:val="16"/>
          <w:szCs w:val="20"/>
          <w:lang w:val="es-ES_tradnl" w:eastAsia="es-ES"/>
        </w:rPr>
      </w:pPr>
    </w:p>
    <w:p w14:paraId="25A6BB56" w14:textId="620AD9E7" w:rsidR="00BD6B9E" w:rsidRDefault="00BD6B9E" w:rsidP="00EE1289">
      <w:pPr>
        <w:jc w:val="both"/>
        <w:rPr>
          <w:rFonts w:ascii="Arial" w:hAnsi="Arial" w:cs="Arial"/>
          <w:bCs/>
          <w:color w:val="000000" w:themeColor="text1"/>
          <w:sz w:val="16"/>
          <w:szCs w:val="20"/>
          <w:lang w:val="es-ES_tradnl" w:eastAsia="es-ES"/>
        </w:rPr>
      </w:pPr>
    </w:p>
    <w:p w14:paraId="5556529A" w14:textId="60568284" w:rsidR="00BD6B9E" w:rsidRDefault="00BD6B9E" w:rsidP="00EE1289">
      <w:pPr>
        <w:jc w:val="both"/>
        <w:rPr>
          <w:rFonts w:ascii="Arial" w:hAnsi="Arial" w:cs="Arial"/>
          <w:bCs/>
          <w:color w:val="000000" w:themeColor="text1"/>
          <w:sz w:val="16"/>
          <w:szCs w:val="20"/>
          <w:lang w:val="es-ES_tradnl" w:eastAsia="es-ES"/>
        </w:rPr>
      </w:pPr>
    </w:p>
    <w:p w14:paraId="71D9E707" w14:textId="58BD5622" w:rsidR="00BD6B9E" w:rsidRDefault="00BD6B9E" w:rsidP="00EE1289">
      <w:pPr>
        <w:jc w:val="both"/>
        <w:rPr>
          <w:rFonts w:ascii="Arial" w:hAnsi="Arial" w:cs="Arial"/>
          <w:bCs/>
          <w:color w:val="000000" w:themeColor="text1"/>
          <w:sz w:val="16"/>
          <w:szCs w:val="20"/>
          <w:lang w:val="es-ES_tradnl" w:eastAsia="es-ES"/>
        </w:rPr>
      </w:pPr>
    </w:p>
    <w:p w14:paraId="729E4CA9" w14:textId="3DE82B86" w:rsidR="00BD6B9E" w:rsidRDefault="00BD6B9E" w:rsidP="00EE1289">
      <w:pPr>
        <w:jc w:val="both"/>
        <w:rPr>
          <w:rFonts w:ascii="Arial" w:hAnsi="Arial" w:cs="Arial"/>
          <w:bCs/>
          <w:color w:val="000000" w:themeColor="text1"/>
          <w:sz w:val="16"/>
          <w:szCs w:val="20"/>
          <w:lang w:val="es-ES_tradnl" w:eastAsia="es-ES"/>
        </w:rPr>
      </w:pPr>
    </w:p>
    <w:p w14:paraId="0EDA9949" w14:textId="247D964A" w:rsidR="00BD6B9E" w:rsidRDefault="00BD6B9E" w:rsidP="00EE1289">
      <w:pPr>
        <w:jc w:val="both"/>
        <w:rPr>
          <w:rFonts w:ascii="Arial" w:hAnsi="Arial" w:cs="Arial"/>
          <w:bCs/>
          <w:color w:val="000000" w:themeColor="text1"/>
          <w:sz w:val="16"/>
          <w:szCs w:val="20"/>
          <w:lang w:val="es-ES_tradnl" w:eastAsia="es-ES"/>
        </w:rPr>
      </w:pPr>
    </w:p>
    <w:p w14:paraId="00FB5E51" w14:textId="31B6B4B4" w:rsidR="00BD6B9E" w:rsidRDefault="00BD6B9E" w:rsidP="00EE1289">
      <w:pPr>
        <w:jc w:val="both"/>
        <w:rPr>
          <w:rFonts w:ascii="Arial" w:hAnsi="Arial" w:cs="Arial"/>
          <w:bCs/>
          <w:color w:val="000000" w:themeColor="text1"/>
          <w:sz w:val="16"/>
          <w:szCs w:val="20"/>
          <w:lang w:val="es-ES_tradnl" w:eastAsia="es-ES"/>
        </w:rPr>
      </w:pPr>
    </w:p>
    <w:p w14:paraId="493F1E5A" w14:textId="65470465" w:rsidR="00BD6B9E" w:rsidRDefault="00BD6B9E" w:rsidP="00EE1289">
      <w:pPr>
        <w:jc w:val="both"/>
        <w:rPr>
          <w:rFonts w:ascii="Arial" w:hAnsi="Arial" w:cs="Arial"/>
          <w:bCs/>
          <w:color w:val="000000" w:themeColor="text1"/>
          <w:sz w:val="16"/>
          <w:szCs w:val="20"/>
          <w:lang w:val="es-ES_tradnl" w:eastAsia="es-ES"/>
        </w:rPr>
      </w:pPr>
    </w:p>
    <w:p w14:paraId="7080965E" w14:textId="3D5E2B43" w:rsidR="00BD6B9E" w:rsidRDefault="00BD6B9E" w:rsidP="00EE1289">
      <w:pPr>
        <w:jc w:val="both"/>
        <w:rPr>
          <w:rFonts w:ascii="Arial" w:hAnsi="Arial" w:cs="Arial"/>
          <w:bCs/>
          <w:color w:val="000000" w:themeColor="text1"/>
          <w:sz w:val="16"/>
          <w:szCs w:val="20"/>
          <w:lang w:val="es-ES_tradnl" w:eastAsia="es-ES"/>
        </w:rPr>
      </w:pPr>
    </w:p>
    <w:p w14:paraId="60AE71CB" w14:textId="3D5B9345" w:rsidR="00BD6B9E" w:rsidRDefault="00BD6B9E" w:rsidP="00EE1289">
      <w:pPr>
        <w:jc w:val="both"/>
        <w:rPr>
          <w:rFonts w:ascii="Arial" w:hAnsi="Arial" w:cs="Arial"/>
          <w:bCs/>
          <w:color w:val="000000" w:themeColor="text1"/>
          <w:sz w:val="16"/>
          <w:szCs w:val="20"/>
          <w:lang w:val="es-ES_tradnl" w:eastAsia="es-ES"/>
        </w:rPr>
      </w:pPr>
    </w:p>
    <w:p w14:paraId="2D627971" w14:textId="44DFB9C7" w:rsidR="00BD6B9E" w:rsidRDefault="00BD6B9E" w:rsidP="00EE1289">
      <w:pPr>
        <w:jc w:val="both"/>
        <w:rPr>
          <w:rFonts w:ascii="Arial" w:hAnsi="Arial" w:cs="Arial"/>
          <w:bCs/>
          <w:color w:val="000000" w:themeColor="text1"/>
          <w:sz w:val="16"/>
          <w:szCs w:val="20"/>
          <w:lang w:val="es-ES_tradnl" w:eastAsia="es-ES"/>
        </w:rPr>
      </w:pPr>
    </w:p>
    <w:bookmarkEnd w:id="0"/>
    <w:bookmarkEnd w:id="1"/>
    <w:p w14:paraId="28325303" w14:textId="77777777" w:rsidR="009E6192" w:rsidRPr="009E6192" w:rsidRDefault="009E6192" w:rsidP="009E6192">
      <w:pPr>
        <w:widowControl w:val="0"/>
        <w:autoSpaceDE w:val="0"/>
        <w:autoSpaceDN w:val="0"/>
        <w:ind w:left="4825"/>
        <w:rPr>
          <w:rFonts w:eastAsia="Arial MT" w:hAnsi="Arial MT" w:cs="Arial MT"/>
          <w:sz w:val="20"/>
          <w:szCs w:val="22"/>
          <w:lang w:val="es-ES" w:eastAsia="en-US"/>
        </w:rPr>
      </w:pPr>
      <w:r w:rsidRPr="009E6192">
        <w:rPr>
          <w:rFonts w:eastAsia="Arial MT" w:hAnsi="Arial MT" w:cs="Arial MT"/>
          <w:noProof/>
          <w:sz w:val="20"/>
          <w:szCs w:val="22"/>
          <w:lang w:eastAsia="es-CO"/>
        </w:rPr>
        <w:lastRenderedPageBreak/>
        <w:drawing>
          <wp:inline distT="0" distB="0" distL="0" distR="0" wp14:anchorId="6DB47C53" wp14:editId="4012699F">
            <wp:extent cx="2379945" cy="608838"/>
            <wp:effectExtent l="0" t="0" r="0" b="0"/>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379945" cy="608838"/>
                    </a:xfrm>
                    <a:prstGeom prst="rect">
                      <a:avLst/>
                    </a:prstGeom>
                  </pic:spPr>
                </pic:pic>
              </a:graphicData>
            </a:graphic>
          </wp:inline>
        </w:drawing>
      </w:r>
    </w:p>
    <w:p w14:paraId="2DA75DC1" w14:textId="77777777" w:rsidR="009E6192" w:rsidRPr="009E6192" w:rsidRDefault="009E6192" w:rsidP="009E6192">
      <w:pPr>
        <w:widowControl w:val="0"/>
        <w:autoSpaceDE w:val="0"/>
        <w:autoSpaceDN w:val="0"/>
        <w:spacing w:before="10"/>
        <w:rPr>
          <w:rFonts w:eastAsia="Arial MT" w:hAnsi="Arial MT" w:cs="Arial MT"/>
          <w:sz w:val="21"/>
          <w:szCs w:val="22"/>
          <w:lang w:val="es-ES" w:eastAsia="en-US"/>
        </w:rPr>
      </w:pPr>
    </w:p>
    <w:p w14:paraId="08C4806B" w14:textId="77777777" w:rsidR="009E6192" w:rsidRPr="009E6192" w:rsidRDefault="009E6192" w:rsidP="009E6192">
      <w:pPr>
        <w:widowControl w:val="0"/>
        <w:autoSpaceDE w:val="0"/>
        <w:autoSpaceDN w:val="0"/>
        <w:spacing w:before="94"/>
        <w:ind w:right="533"/>
        <w:jc w:val="right"/>
        <w:rPr>
          <w:rFonts w:ascii="Arial" w:eastAsia="Arial MT" w:hAnsi="Arial MT" w:cs="Arial MT"/>
          <w:b/>
          <w:sz w:val="18"/>
          <w:szCs w:val="22"/>
          <w:lang w:val="es-ES" w:eastAsia="en-US"/>
        </w:rPr>
      </w:pPr>
      <w:r w:rsidRPr="009E6192">
        <w:rPr>
          <w:rFonts w:ascii="Arial" w:eastAsia="Arial MT" w:hAnsi="Arial MT" w:cs="Arial MT"/>
          <w:b/>
          <w:color w:val="585858"/>
          <w:sz w:val="18"/>
          <w:szCs w:val="22"/>
          <w:lang w:val="es-ES" w:eastAsia="en-US"/>
        </w:rPr>
        <w:t>CCE-DES-FM-17</w:t>
      </w:r>
    </w:p>
    <w:p w14:paraId="757F5166" w14:textId="77777777" w:rsidR="009E6192" w:rsidRPr="009E6192" w:rsidRDefault="009E6192" w:rsidP="009E6192">
      <w:pPr>
        <w:widowControl w:val="0"/>
        <w:autoSpaceDE w:val="0"/>
        <w:autoSpaceDN w:val="0"/>
        <w:rPr>
          <w:rFonts w:ascii="Arial" w:eastAsia="Arial MT" w:hAnsi="Arial MT" w:cs="Arial MT"/>
          <w:b/>
          <w:sz w:val="20"/>
          <w:szCs w:val="22"/>
          <w:lang w:val="es-ES" w:eastAsia="en-US"/>
        </w:rPr>
      </w:pPr>
    </w:p>
    <w:p w14:paraId="3062AFAA" w14:textId="77777777" w:rsidR="009E6192" w:rsidRPr="009E6192" w:rsidRDefault="009E6192" w:rsidP="009E6192">
      <w:pPr>
        <w:widowControl w:val="0"/>
        <w:autoSpaceDE w:val="0"/>
        <w:autoSpaceDN w:val="0"/>
        <w:ind w:left="100"/>
        <w:rPr>
          <w:rFonts w:ascii="Arial MT" w:eastAsia="Arial MT" w:hAnsi="Arial MT" w:cs="Arial MT"/>
          <w:sz w:val="22"/>
          <w:szCs w:val="22"/>
          <w:lang w:val="es-ES" w:eastAsia="en-US"/>
        </w:rPr>
      </w:pPr>
      <w:r w:rsidRPr="009E6192">
        <w:rPr>
          <w:rFonts w:ascii="Arial MT" w:eastAsia="Arial MT" w:hAnsi="Arial MT" w:cs="Arial MT"/>
          <w:color w:val="4E4D4D"/>
          <w:sz w:val="22"/>
          <w:szCs w:val="22"/>
          <w:lang w:val="es-ES" w:eastAsia="en-US"/>
        </w:rPr>
        <w:t>Bogotá,</w:t>
      </w:r>
      <w:r w:rsidRPr="009E6192">
        <w:rPr>
          <w:rFonts w:ascii="Arial MT" w:eastAsia="Arial MT" w:hAnsi="Arial MT" w:cs="Arial MT"/>
          <w:color w:val="4E4D4D"/>
          <w:spacing w:val="-3"/>
          <w:sz w:val="22"/>
          <w:szCs w:val="22"/>
          <w:lang w:val="es-ES" w:eastAsia="en-US"/>
        </w:rPr>
        <w:t xml:space="preserve"> </w:t>
      </w:r>
      <w:r w:rsidRPr="009E6192">
        <w:rPr>
          <w:rFonts w:ascii="Arial MT" w:eastAsia="Arial MT" w:hAnsi="Arial MT" w:cs="Arial MT"/>
          <w:color w:val="4E4D4D"/>
          <w:sz w:val="22"/>
          <w:szCs w:val="22"/>
          <w:lang w:val="es-ES" w:eastAsia="en-US"/>
        </w:rPr>
        <w:t>29</w:t>
      </w:r>
      <w:r w:rsidRPr="009E6192">
        <w:rPr>
          <w:rFonts w:ascii="Arial MT" w:eastAsia="Arial MT" w:hAnsi="Arial MT" w:cs="Arial MT"/>
          <w:color w:val="4E4D4D"/>
          <w:spacing w:val="-6"/>
          <w:sz w:val="22"/>
          <w:szCs w:val="22"/>
          <w:lang w:val="es-ES" w:eastAsia="en-US"/>
        </w:rPr>
        <w:t xml:space="preserve"> </w:t>
      </w:r>
      <w:proofErr w:type="gramStart"/>
      <w:r w:rsidRPr="009E6192">
        <w:rPr>
          <w:rFonts w:ascii="Arial MT" w:eastAsia="Arial MT" w:hAnsi="Arial MT" w:cs="Arial MT"/>
          <w:color w:val="4E4D4D"/>
          <w:sz w:val="22"/>
          <w:szCs w:val="22"/>
          <w:lang w:val="es-ES" w:eastAsia="en-US"/>
        </w:rPr>
        <w:t>Septiembre</w:t>
      </w:r>
      <w:proofErr w:type="gramEnd"/>
      <w:r w:rsidRPr="009E6192">
        <w:rPr>
          <w:rFonts w:ascii="Arial MT" w:eastAsia="Arial MT" w:hAnsi="Arial MT" w:cs="Arial MT"/>
          <w:color w:val="4E4D4D"/>
          <w:spacing w:val="-3"/>
          <w:sz w:val="22"/>
          <w:szCs w:val="22"/>
          <w:lang w:val="es-ES" w:eastAsia="en-US"/>
        </w:rPr>
        <w:t xml:space="preserve"> </w:t>
      </w:r>
      <w:r w:rsidRPr="009E6192">
        <w:rPr>
          <w:rFonts w:ascii="Arial MT" w:eastAsia="Arial MT" w:hAnsi="Arial MT" w:cs="Arial MT"/>
          <w:color w:val="4E4D4D"/>
          <w:sz w:val="22"/>
          <w:szCs w:val="22"/>
          <w:lang w:val="es-ES" w:eastAsia="en-US"/>
        </w:rPr>
        <w:t>2021</w:t>
      </w:r>
    </w:p>
    <w:p w14:paraId="54F9DF1A" w14:textId="77777777" w:rsidR="009E6192" w:rsidRPr="009E6192" w:rsidRDefault="009E6192" w:rsidP="009E6192">
      <w:pPr>
        <w:widowControl w:val="0"/>
        <w:autoSpaceDE w:val="0"/>
        <w:autoSpaceDN w:val="0"/>
        <w:rPr>
          <w:rFonts w:ascii="Arial MT" w:eastAsia="Arial MT" w:hAnsi="Arial MT" w:cs="Arial MT"/>
          <w:szCs w:val="22"/>
          <w:lang w:val="es-ES" w:eastAsia="en-US"/>
        </w:rPr>
      </w:pPr>
    </w:p>
    <w:p w14:paraId="10F0DA31" w14:textId="77777777" w:rsidR="009E6192" w:rsidRPr="009E6192" w:rsidRDefault="009E6192" w:rsidP="009E6192">
      <w:pPr>
        <w:widowControl w:val="0"/>
        <w:autoSpaceDE w:val="0"/>
        <w:autoSpaceDN w:val="0"/>
        <w:rPr>
          <w:rFonts w:ascii="Arial MT" w:eastAsia="Arial MT" w:hAnsi="Arial MT" w:cs="Arial MT"/>
          <w:szCs w:val="22"/>
          <w:lang w:val="es-ES" w:eastAsia="en-US"/>
        </w:rPr>
      </w:pPr>
    </w:p>
    <w:p w14:paraId="02EF32F1" w14:textId="77777777" w:rsidR="009E6192" w:rsidRPr="009E6192" w:rsidRDefault="009E6192" w:rsidP="009E6192">
      <w:pPr>
        <w:widowControl w:val="0"/>
        <w:autoSpaceDE w:val="0"/>
        <w:autoSpaceDN w:val="0"/>
        <w:spacing w:before="167"/>
        <w:ind w:left="100"/>
        <w:rPr>
          <w:rFonts w:ascii="Arial MT" w:eastAsia="Arial MT" w:hAnsi="Arial MT" w:cs="Arial MT"/>
          <w:sz w:val="22"/>
          <w:szCs w:val="22"/>
          <w:lang w:val="es-ES" w:eastAsia="en-US"/>
        </w:rPr>
      </w:pPr>
      <w:r w:rsidRPr="009E6192">
        <w:rPr>
          <w:rFonts w:ascii="Arial MT" w:eastAsia="Arial MT" w:hAnsi="Arial MT" w:cs="Arial MT"/>
          <w:sz w:val="22"/>
          <w:szCs w:val="22"/>
          <w:lang w:val="es-ES" w:eastAsia="en-US"/>
        </w:rPr>
        <w:t>Señor</w:t>
      </w:r>
    </w:p>
    <w:p w14:paraId="2D81F050" w14:textId="77777777" w:rsidR="009E6192" w:rsidRPr="009E6192" w:rsidRDefault="009E6192" w:rsidP="009E6192">
      <w:pPr>
        <w:widowControl w:val="0"/>
        <w:autoSpaceDE w:val="0"/>
        <w:autoSpaceDN w:val="0"/>
        <w:ind w:left="100"/>
        <w:outlineLvl w:val="0"/>
        <w:rPr>
          <w:rFonts w:ascii="Arial" w:eastAsia="Arial" w:hAnsi="Arial" w:cs="Arial"/>
          <w:b/>
          <w:bCs/>
          <w:sz w:val="22"/>
          <w:szCs w:val="22"/>
          <w:lang w:val="es-ES" w:eastAsia="en-US"/>
        </w:rPr>
      </w:pPr>
      <w:r w:rsidRPr="009E6192">
        <w:rPr>
          <w:rFonts w:ascii="Arial" w:eastAsia="Arial" w:hAnsi="Arial" w:cs="Arial"/>
          <w:b/>
          <w:bCs/>
          <w:sz w:val="22"/>
          <w:szCs w:val="22"/>
          <w:lang w:val="es-ES" w:eastAsia="en-US"/>
        </w:rPr>
        <w:t>Juan</w:t>
      </w:r>
      <w:r w:rsidRPr="009E6192">
        <w:rPr>
          <w:rFonts w:ascii="Arial" w:eastAsia="Arial" w:hAnsi="Arial" w:cs="Arial"/>
          <w:b/>
          <w:bCs/>
          <w:spacing w:val="-7"/>
          <w:sz w:val="22"/>
          <w:szCs w:val="22"/>
          <w:lang w:val="es-ES" w:eastAsia="en-US"/>
        </w:rPr>
        <w:t xml:space="preserve"> </w:t>
      </w:r>
      <w:r w:rsidRPr="009E6192">
        <w:rPr>
          <w:rFonts w:ascii="Arial" w:eastAsia="Arial" w:hAnsi="Arial" w:cs="Arial"/>
          <w:b/>
          <w:bCs/>
          <w:sz w:val="22"/>
          <w:szCs w:val="22"/>
          <w:lang w:val="es-ES" w:eastAsia="en-US"/>
        </w:rPr>
        <w:t>Fernando</w:t>
      </w:r>
      <w:r w:rsidRPr="009E6192">
        <w:rPr>
          <w:rFonts w:ascii="Arial" w:eastAsia="Arial" w:hAnsi="Arial" w:cs="Arial"/>
          <w:b/>
          <w:bCs/>
          <w:spacing w:val="-7"/>
          <w:sz w:val="22"/>
          <w:szCs w:val="22"/>
          <w:lang w:val="es-ES" w:eastAsia="en-US"/>
        </w:rPr>
        <w:t xml:space="preserve"> </w:t>
      </w:r>
      <w:r w:rsidRPr="009E6192">
        <w:rPr>
          <w:rFonts w:ascii="Arial" w:eastAsia="Arial" w:hAnsi="Arial" w:cs="Arial"/>
          <w:b/>
          <w:bCs/>
          <w:sz w:val="22"/>
          <w:szCs w:val="22"/>
          <w:lang w:val="es-ES" w:eastAsia="en-US"/>
        </w:rPr>
        <w:t>Quintero</w:t>
      </w:r>
    </w:p>
    <w:p w14:paraId="6CECFFB5" w14:textId="77777777" w:rsidR="009E6192" w:rsidRPr="009E6192" w:rsidRDefault="009E6192" w:rsidP="009E6192">
      <w:pPr>
        <w:widowControl w:val="0"/>
        <w:autoSpaceDE w:val="0"/>
        <w:autoSpaceDN w:val="0"/>
        <w:ind w:left="100"/>
        <w:rPr>
          <w:rFonts w:ascii="Arial MT" w:eastAsia="Arial MT" w:hAnsi="Arial MT" w:cs="Arial MT"/>
          <w:sz w:val="22"/>
          <w:szCs w:val="22"/>
          <w:lang w:val="es-ES" w:eastAsia="en-US"/>
        </w:rPr>
      </w:pPr>
      <w:r w:rsidRPr="009E6192">
        <w:rPr>
          <w:rFonts w:ascii="Arial MT" w:eastAsia="Arial MT" w:hAnsi="Arial MT" w:cs="Arial MT"/>
          <w:sz w:val="22"/>
          <w:szCs w:val="22"/>
          <w:lang w:val="es-ES" w:eastAsia="en-US"/>
        </w:rPr>
        <w:t>Bogotá</w:t>
      </w:r>
      <w:r w:rsidRPr="009E6192">
        <w:rPr>
          <w:rFonts w:ascii="Arial MT" w:eastAsia="Arial MT" w:hAnsi="Arial MT" w:cs="Arial MT"/>
          <w:spacing w:val="-6"/>
          <w:sz w:val="22"/>
          <w:szCs w:val="22"/>
          <w:lang w:val="es-ES" w:eastAsia="en-US"/>
        </w:rPr>
        <w:t xml:space="preserve"> </w:t>
      </w:r>
      <w:r w:rsidRPr="009E6192">
        <w:rPr>
          <w:rFonts w:ascii="Arial MT" w:eastAsia="Arial MT" w:hAnsi="Arial MT" w:cs="Arial MT"/>
          <w:sz w:val="22"/>
          <w:szCs w:val="22"/>
          <w:lang w:val="es-ES" w:eastAsia="en-US"/>
        </w:rPr>
        <w:t>D.C.</w:t>
      </w:r>
    </w:p>
    <w:p w14:paraId="2C6B461D" w14:textId="173B7C5C" w:rsidR="009E6192" w:rsidRPr="009E6192" w:rsidRDefault="009E6192" w:rsidP="009E6192">
      <w:pPr>
        <w:widowControl w:val="0"/>
        <w:autoSpaceDE w:val="0"/>
        <w:autoSpaceDN w:val="0"/>
        <w:rPr>
          <w:rFonts w:ascii="Arial MT" w:eastAsia="Arial MT" w:hAnsi="Arial MT" w:cs="Arial MT"/>
          <w:sz w:val="20"/>
          <w:szCs w:val="22"/>
          <w:lang w:val="es-ES" w:eastAsia="en-US"/>
        </w:rPr>
      </w:pPr>
    </w:p>
    <w:p w14:paraId="2A6D9EF4" w14:textId="77777777" w:rsidR="009E6192" w:rsidRPr="009E6192" w:rsidRDefault="009E6192" w:rsidP="009E6192">
      <w:pPr>
        <w:widowControl w:val="0"/>
        <w:autoSpaceDE w:val="0"/>
        <w:autoSpaceDN w:val="0"/>
        <w:ind w:left="2790"/>
        <w:outlineLvl w:val="0"/>
        <w:rPr>
          <w:rFonts w:ascii="Arial" w:eastAsia="Arial" w:hAnsi="Arial" w:cs="Arial"/>
          <w:b/>
          <w:bCs/>
          <w:sz w:val="22"/>
          <w:szCs w:val="22"/>
          <w:lang w:val="es-ES" w:eastAsia="en-US"/>
        </w:rPr>
      </w:pPr>
      <w:r w:rsidRPr="009E6192">
        <w:rPr>
          <w:rFonts w:ascii="Arial" w:eastAsia="Arial" w:hAnsi="Arial" w:cs="Arial"/>
          <w:b/>
          <w:bCs/>
          <w:sz w:val="22"/>
          <w:szCs w:val="22"/>
          <w:lang w:val="es-ES" w:eastAsia="en-US"/>
        </w:rPr>
        <w:t>Concepto</w:t>
      </w:r>
      <w:r w:rsidRPr="009E6192">
        <w:rPr>
          <w:rFonts w:ascii="Arial" w:eastAsia="Arial" w:hAnsi="Arial" w:cs="Arial"/>
          <w:b/>
          <w:bCs/>
          <w:spacing w:val="-4"/>
          <w:sz w:val="22"/>
          <w:szCs w:val="22"/>
          <w:lang w:val="es-ES" w:eastAsia="en-US"/>
        </w:rPr>
        <w:t xml:space="preserve"> </w:t>
      </w:r>
      <w:r w:rsidRPr="009E6192">
        <w:rPr>
          <w:rFonts w:ascii="Arial" w:eastAsia="Arial" w:hAnsi="Arial" w:cs="Arial"/>
          <w:b/>
          <w:bCs/>
          <w:sz w:val="22"/>
          <w:szCs w:val="22"/>
          <w:lang w:val="es-ES" w:eastAsia="en-US"/>
        </w:rPr>
        <w:t>C</w:t>
      </w:r>
      <w:r w:rsidRPr="009E6192">
        <w:rPr>
          <w:rFonts w:ascii="Arial" w:eastAsia="Arial" w:hAnsi="Arial" w:cs="Arial"/>
          <w:b/>
          <w:bCs/>
          <w:spacing w:val="-2"/>
          <w:sz w:val="22"/>
          <w:szCs w:val="22"/>
          <w:lang w:val="es-ES" w:eastAsia="en-US"/>
        </w:rPr>
        <w:t xml:space="preserve"> </w:t>
      </w:r>
      <w:r w:rsidRPr="009E6192">
        <w:rPr>
          <w:rFonts w:ascii="Arial" w:eastAsia="Arial" w:hAnsi="Arial" w:cs="Arial"/>
          <w:b/>
          <w:bCs/>
          <w:sz w:val="22"/>
          <w:szCs w:val="22"/>
          <w:lang w:val="es-ES" w:eastAsia="en-US"/>
        </w:rPr>
        <w:t>‒</w:t>
      </w:r>
      <w:r w:rsidRPr="009E6192">
        <w:rPr>
          <w:rFonts w:ascii="Arial" w:eastAsia="Arial" w:hAnsi="Arial" w:cs="Arial"/>
          <w:b/>
          <w:bCs/>
          <w:spacing w:val="-3"/>
          <w:sz w:val="22"/>
          <w:szCs w:val="22"/>
          <w:lang w:val="es-ES" w:eastAsia="en-US"/>
        </w:rPr>
        <w:t xml:space="preserve"> </w:t>
      </w:r>
      <w:r w:rsidRPr="009E6192">
        <w:rPr>
          <w:rFonts w:ascii="Arial" w:eastAsia="Arial" w:hAnsi="Arial" w:cs="Arial"/>
          <w:b/>
          <w:bCs/>
          <w:sz w:val="22"/>
          <w:szCs w:val="22"/>
          <w:lang w:val="es-ES" w:eastAsia="en-US"/>
        </w:rPr>
        <w:t>533</w:t>
      </w:r>
      <w:r w:rsidRPr="009E6192">
        <w:rPr>
          <w:rFonts w:ascii="Arial" w:eastAsia="Arial" w:hAnsi="Arial" w:cs="Arial"/>
          <w:b/>
          <w:bCs/>
          <w:spacing w:val="-4"/>
          <w:sz w:val="22"/>
          <w:szCs w:val="22"/>
          <w:lang w:val="es-ES" w:eastAsia="en-US"/>
        </w:rPr>
        <w:t xml:space="preserve"> </w:t>
      </w:r>
      <w:r w:rsidRPr="009E6192">
        <w:rPr>
          <w:rFonts w:ascii="Arial" w:eastAsia="Arial" w:hAnsi="Arial" w:cs="Arial"/>
          <w:b/>
          <w:bCs/>
          <w:sz w:val="22"/>
          <w:szCs w:val="22"/>
          <w:lang w:val="es-ES" w:eastAsia="en-US"/>
        </w:rPr>
        <w:t>de</w:t>
      </w:r>
      <w:r w:rsidRPr="009E6192">
        <w:rPr>
          <w:rFonts w:ascii="Arial" w:eastAsia="Arial" w:hAnsi="Arial" w:cs="Arial"/>
          <w:b/>
          <w:bCs/>
          <w:spacing w:val="-3"/>
          <w:sz w:val="22"/>
          <w:szCs w:val="22"/>
          <w:lang w:val="es-ES" w:eastAsia="en-US"/>
        </w:rPr>
        <w:t xml:space="preserve"> </w:t>
      </w:r>
      <w:r w:rsidRPr="009E6192">
        <w:rPr>
          <w:rFonts w:ascii="Arial" w:eastAsia="Arial" w:hAnsi="Arial" w:cs="Arial"/>
          <w:b/>
          <w:bCs/>
          <w:sz w:val="22"/>
          <w:szCs w:val="22"/>
          <w:lang w:val="es-ES" w:eastAsia="en-US"/>
        </w:rPr>
        <w:t>2021</w:t>
      </w:r>
    </w:p>
    <w:p w14:paraId="1BD594F9" w14:textId="1F05145B" w:rsidR="00B95C30" w:rsidRPr="00E807B5"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0254DD" w14:paraId="19DFC051" w14:textId="77777777" w:rsidTr="008F4163">
        <w:tc>
          <w:tcPr>
            <w:tcW w:w="2689" w:type="dxa"/>
          </w:tcPr>
          <w:p w14:paraId="6BC0D1AC" w14:textId="77777777" w:rsidR="00B95C30" w:rsidRPr="000254DD" w:rsidRDefault="00B95C30" w:rsidP="008F4163">
            <w:pPr>
              <w:jc w:val="both"/>
              <w:rPr>
                <w:rFonts w:ascii="Arial" w:eastAsia="Calibri" w:hAnsi="Arial" w:cs="Arial"/>
                <w:b/>
                <w:color w:val="000000" w:themeColor="text1"/>
                <w:sz w:val="22"/>
                <w:lang w:val="es-ES_tradnl"/>
              </w:rPr>
            </w:pPr>
            <w:r w:rsidRPr="000254DD">
              <w:rPr>
                <w:rFonts w:ascii="Arial" w:eastAsia="Calibri" w:hAnsi="Arial" w:cs="Arial"/>
                <w:b/>
                <w:color w:val="000000" w:themeColor="text1"/>
                <w:sz w:val="22"/>
                <w:lang w:val="es-ES_tradnl"/>
              </w:rPr>
              <w:t xml:space="preserve">Temas:                                      </w:t>
            </w:r>
          </w:p>
        </w:tc>
        <w:tc>
          <w:tcPr>
            <w:tcW w:w="6237" w:type="dxa"/>
          </w:tcPr>
          <w:p w14:paraId="0DAB5EA9" w14:textId="37E50208" w:rsidR="00B95C30" w:rsidRDefault="00BD6B9E" w:rsidP="00BD6B9E">
            <w:pPr>
              <w:spacing w:line="276" w:lineRule="auto"/>
              <w:jc w:val="both"/>
              <w:rPr>
                <w:rFonts w:ascii="Arial" w:eastAsia="Arial" w:hAnsi="Arial" w:cs="Arial"/>
                <w:sz w:val="22"/>
                <w:szCs w:val="20"/>
                <w:lang w:val="es-ES" w:eastAsia="en-US"/>
              </w:rPr>
            </w:pPr>
            <w:r w:rsidRPr="00BD6B9E">
              <w:rPr>
                <w:rFonts w:ascii="Arial" w:hAnsi="Arial" w:cs="Arial"/>
                <w:bCs/>
                <w:color w:val="000000" w:themeColor="text1"/>
                <w:sz w:val="22"/>
                <w:szCs w:val="22"/>
                <w:lang w:val="es-ES_tradnl" w:eastAsia="es-ES"/>
              </w:rPr>
              <w:t xml:space="preserve">RÉGIMEN DE LAS GARANTIAS EN LOS PROCESOS DE CONTRATACIÓN PÚBLICA – Aspectos generales – finalidades / </w:t>
            </w:r>
            <w:r w:rsidRPr="00BD6B9E">
              <w:rPr>
                <w:rFonts w:ascii="Arial" w:hAnsi="Arial" w:cs="Arial"/>
                <w:bCs/>
                <w:color w:val="000000" w:themeColor="text1"/>
                <w:sz w:val="22"/>
                <w:szCs w:val="20"/>
                <w:lang w:val="es-ES_tradnl" w:eastAsia="es-ES"/>
              </w:rPr>
              <w:t xml:space="preserve">RÉGIMEN DE LAS GARANTÍAS- Características- Tipos / </w:t>
            </w:r>
            <w:r w:rsidR="00013DDC" w:rsidRPr="00BD6B9E">
              <w:rPr>
                <w:rFonts w:ascii="Arial" w:hAnsi="Arial" w:cs="Arial"/>
                <w:bCs/>
                <w:color w:val="000000" w:themeColor="text1"/>
                <w:sz w:val="22"/>
                <w:lang w:val="es-ES_tradnl"/>
              </w:rPr>
              <w:t xml:space="preserve">Circular Conjunta 01 de 2021- autenticidad de las garantías- deber de verificación / </w:t>
            </w:r>
            <w:r w:rsidR="00013DDC" w:rsidRPr="00BD6B9E">
              <w:rPr>
                <w:rFonts w:ascii="Arial" w:hAnsi="Arial" w:cs="Arial"/>
                <w:sz w:val="22"/>
                <w:szCs w:val="20"/>
              </w:rPr>
              <w:t xml:space="preserve">PRINCIPIO DE PUBLICIDAD – Ley 1150 de 2007 – Ley 1712 de 2014- Concepto- Características / </w:t>
            </w:r>
            <w:r w:rsidR="00013DDC" w:rsidRPr="00BD6B9E">
              <w:rPr>
                <w:rFonts w:ascii="Arial" w:eastAsia="Arial" w:hAnsi="Arial" w:cs="Arial"/>
                <w:sz w:val="22"/>
                <w:szCs w:val="20"/>
                <w:lang w:val="es-ES" w:eastAsia="en-US"/>
              </w:rPr>
              <w:t>PRINCIPIO DE PUBLICIDAD – documentos relacionados con el proceso de contratación pública- obligatoriedad SECOP</w:t>
            </w:r>
            <w:r>
              <w:rPr>
                <w:rFonts w:ascii="Arial" w:eastAsia="Arial" w:hAnsi="Arial" w:cs="Arial"/>
                <w:sz w:val="22"/>
                <w:szCs w:val="20"/>
                <w:lang w:val="es-ES" w:eastAsia="en-US"/>
              </w:rPr>
              <w:t>.</w:t>
            </w:r>
          </w:p>
          <w:p w14:paraId="5F389CAF" w14:textId="77F85A41" w:rsidR="00BD6B9E" w:rsidRPr="00BD6B9E" w:rsidRDefault="00BD6B9E" w:rsidP="00BD6B9E">
            <w:pPr>
              <w:jc w:val="both"/>
              <w:rPr>
                <w:rFonts w:ascii="Arial" w:eastAsia="Calibri" w:hAnsi="Arial" w:cs="Arial"/>
                <w:color w:val="000000" w:themeColor="text1"/>
                <w:sz w:val="22"/>
                <w:highlight w:val="yellow"/>
                <w:lang w:val="es-ES_tradnl"/>
              </w:rPr>
            </w:pPr>
          </w:p>
        </w:tc>
      </w:tr>
      <w:tr w:rsidR="00B95C30" w:rsidRPr="000254DD" w14:paraId="27CD52AB" w14:textId="77777777" w:rsidTr="000254DD">
        <w:trPr>
          <w:trHeight w:val="80"/>
        </w:trPr>
        <w:tc>
          <w:tcPr>
            <w:tcW w:w="2689" w:type="dxa"/>
          </w:tcPr>
          <w:p w14:paraId="37E195A1" w14:textId="1BA218D5" w:rsidR="00B95C30" w:rsidRPr="000254DD" w:rsidRDefault="00B95C30" w:rsidP="008F4163">
            <w:pPr>
              <w:spacing w:before="120"/>
              <w:jc w:val="both"/>
              <w:rPr>
                <w:rFonts w:ascii="Arial" w:eastAsia="Calibri" w:hAnsi="Arial" w:cs="Arial"/>
                <w:color w:val="000000" w:themeColor="text1"/>
                <w:sz w:val="22"/>
                <w:lang w:val="es-ES_tradnl"/>
              </w:rPr>
            </w:pPr>
            <w:r w:rsidRPr="000254DD">
              <w:rPr>
                <w:rFonts w:ascii="Arial" w:eastAsia="Calibri" w:hAnsi="Arial" w:cs="Arial"/>
                <w:b/>
                <w:color w:val="000000" w:themeColor="text1"/>
                <w:sz w:val="22"/>
                <w:lang w:val="es-ES_tradnl"/>
              </w:rPr>
              <w:t>Radicación</w:t>
            </w:r>
            <w:r w:rsidRPr="000254DD">
              <w:rPr>
                <w:rFonts w:ascii="Arial" w:eastAsia="Calibri" w:hAnsi="Arial" w:cs="Arial"/>
                <w:color w:val="000000" w:themeColor="text1"/>
                <w:sz w:val="22"/>
                <w:lang w:val="es-ES_tradnl"/>
              </w:rPr>
              <w:t xml:space="preserve">:                              </w:t>
            </w:r>
          </w:p>
        </w:tc>
        <w:tc>
          <w:tcPr>
            <w:tcW w:w="6237" w:type="dxa"/>
          </w:tcPr>
          <w:p w14:paraId="09088B1B" w14:textId="436507EB" w:rsidR="00B95C30" w:rsidRPr="000254DD" w:rsidRDefault="00B95C30" w:rsidP="006A79D0">
            <w:pPr>
              <w:spacing w:before="120"/>
              <w:jc w:val="both"/>
              <w:rPr>
                <w:rFonts w:ascii="Arial" w:eastAsia="Calibri" w:hAnsi="Arial" w:cs="Arial"/>
                <w:color w:val="000000" w:themeColor="text1"/>
                <w:sz w:val="22"/>
                <w:highlight w:val="yellow"/>
                <w:lang w:val="es-ES_tradnl"/>
              </w:rPr>
            </w:pPr>
            <w:r w:rsidRPr="000254DD">
              <w:rPr>
                <w:rFonts w:ascii="Arial" w:eastAsia="Calibri" w:hAnsi="Arial" w:cs="Arial"/>
                <w:color w:val="000000" w:themeColor="text1"/>
                <w:sz w:val="22"/>
                <w:lang w:val="es-ES_tradnl"/>
              </w:rPr>
              <w:t xml:space="preserve">Respuesta a consulta # </w:t>
            </w:r>
            <w:r w:rsidR="006A79D0" w:rsidRPr="006A79D0">
              <w:rPr>
                <w:rFonts w:ascii="Arial" w:eastAsia="Calibri" w:hAnsi="Arial" w:cs="Arial"/>
                <w:color w:val="000000" w:themeColor="text1"/>
                <w:sz w:val="22"/>
                <w:lang w:val="es-ES_tradnl"/>
              </w:rPr>
              <w:t>P20210818007350</w:t>
            </w:r>
          </w:p>
        </w:tc>
      </w:tr>
    </w:tbl>
    <w:p w14:paraId="6643BC73" w14:textId="6D94E4B0" w:rsidR="002E3C26" w:rsidRPr="000254DD" w:rsidRDefault="002E3C26" w:rsidP="003C3339">
      <w:pPr>
        <w:jc w:val="both"/>
        <w:rPr>
          <w:rFonts w:ascii="Arial" w:eastAsia="Calibri" w:hAnsi="Arial" w:cs="Arial"/>
          <w:color w:val="000000" w:themeColor="text1"/>
          <w:sz w:val="22"/>
          <w:lang w:val="es-ES_tradnl"/>
        </w:rPr>
      </w:pPr>
    </w:p>
    <w:p w14:paraId="0416277B" w14:textId="77777777" w:rsidR="00FD1854" w:rsidRPr="000254DD" w:rsidRDefault="00FD1854" w:rsidP="003C3339">
      <w:pPr>
        <w:jc w:val="both"/>
        <w:rPr>
          <w:rFonts w:ascii="Arial" w:eastAsia="Calibri" w:hAnsi="Arial" w:cs="Arial"/>
          <w:color w:val="000000" w:themeColor="text1"/>
          <w:sz w:val="22"/>
          <w:lang w:val="es-ES_tradnl"/>
        </w:rPr>
      </w:pPr>
    </w:p>
    <w:p w14:paraId="1CF4AEA0" w14:textId="2C5F44F5" w:rsidR="003C3339" w:rsidRPr="00E807B5" w:rsidRDefault="003C3339" w:rsidP="003C3339">
      <w:pPr>
        <w:jc w:val="both"/>
        <w:rPr>
          <w:rFonts w:ascii="Arial" w:eastAsia="Calibri" w:hAnsi="Arial" w:cs="Arial"/>
          <w:color w:val="000000" w:themeColor="text1"/>
          <w:sz w:val="22"/>
          <w:lang w:val="es-ES_tradnl"/>
        </w:rPr>
      </w:pPr>
      <w:r w:rsidRPr="00E807B5">
        <w:rPr>
          <w:rFonts w:ascii="Arial" w:eastAsia="Calibri" w:hAnsi="Arial" w:cs="Arial"/>
          <w:color w:val="000000" w:themeColor="text1"/>
          <w:sz w:val="22"/>
          <w:lang w:val="es-ES_tradnl"/>
        </w:rPr>
        <w:t>Estimad</w:t>
      </w:r>
      <w:r w:rsidR="00B549B3" w:rsidRPr="00E807B5">
        <w:rPr>
          <w:rFonts w:ascii="Arial" w:eastAsia="Calibri" w:hAnsi="Arial" w:cs="Arial"/>
          <w:color w:val="000000" w:themeColor="text1"/>
          <w:sz w:val="22"/>
          <w:lang w:val="es-ES_tradnl"/>
        </w:rPr>
        <w:t>o</w:t>
      </w:r>
      <w:r w:rsidRPr="00E807B5">
        <w:rPr>
          <w:rFonts w:ascii="Arial" w:eastAsia="Calibri" w:hAnsi="Arial" w:cs="Arial"/>
          <w:color w:val="000000" w:themeColor="text1"/>
          <w:sz w:val="22"/>
          <w:lang w:val="es-ES_tradnl"/>
        </w:rPr>
        <w:t xml:space="preserve"> </w:t>
      </w:r>
      <w:r w:rsidR="00B549B3" w:rsidRPr="00E807B5">
        <w:rPr>
          <w:rFonts w:ascii="Arial" w:eastAsia="Calibri" w:hAnsi="Arial" w:cs="Arial"/>
          <w:color w:val="000000" w:themeColor="text1"/>
          <w:sz w:val="22"/>
          <w:lang w:val="es-ES_tradnl"/>
        </w:rPr>
        <w:t xml:space="preserve">señor </w:t>
      </w:r>
      <w:r w:rsidR="00013DDC">
        <w:rPr>
          <w:rFonts w:ascii="Arial" w:eastAsia="Calibri" w:hAnsi="Arial" w:cs="Arial"/>
          <w:color w:val="000000" w:themeColor="text1"/>
          <w:sz w:val="22"/>
          <w:lang w:val="es-ES_tradnl"/>
        </w:rPr>
        <w:t>Quintero:</w:t>
      </w:r>
    </w:p>
    <w:p w14:paraId="1EAE5543" w14:textId="77777777" w:rsidR="00DD5B04" w:rsidRPr="00E807B5" w:rsidRDefault="00DD5B04" w:rsidP="00DF76A2">
      <w:pPr>
        <w:jc w:val="both"/>
        <w:rPr>
          <w:rFonts w:ascii="Arial" w:eastAsia="Calibri" w:hAnsi="Arial" w:cs="Arial"/>
          <w:color w:val="000000" w:themeColor="text1"/>
          <w:sz w:val="22"/>
          <w:lang w:val="es-ES_tradnl"/>
        </w:rPr>
      </w:pPr>
    </w:p>
    <w:p w14:paraId="2109B2D3" w14:textId="506FCC7D" w:rsidR="00DD5B04" w:rsidRPr="00E807B5" w:rsidRDefault="00DD5B04" w:rsidP="00DF76A2">
      <w:pPr>
        <w:spacing w:line="276" w:lineRule="auto"/>
        <w:jc w:val="both"/>
        <w:rPr>
          <w:rFonts w:ascii="Arial" w:eastAsia="Calibri" w:hAnsi="Arial" w:cs="Arial"/>
          <w:color w:val="000000" w:themeColor="text1"/>
          <w:sz w:val="22"/>
          <w:lang w:val="es-ES_tradnl"/>
        </w:rPr>
      </w:pPr>
      <w:r w:rsidRPr="00E807B5">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E807B5">
        <w:rPr>
          <w:rFonts w:ascii="Arial" w:eastAsia="Calibri" w:hAnsi="Arial" w:cs="Arial"/>
          <w:color w:val="000000" w:themeColor="text1"/>
          <w:sz w:val="22"/>
          <w:lang w:val="es-ES_tradnl"/>
        </w:rPr>
        <w:t>–</w:t>
      </w:r>
      <w:r w:rsidRPr="00E807B5">
        <w:rPr>
          <w:rFonts w:ascii="Arial" w:eastAsia="Calibri" w:hAnsi="Arial" w:cs="Arial"/>
          <w:color w:val="000000" w:themeColor="text1"/>
          <w:sz w:val="22"/>
          <w:lang w:val="es-ES_tradnl"/>
        </w:rPr>
        <w:t xml:space="preserve"> Colombia Compra Eficiente</w:t>
      </w:r>
      <w:r w:rsidR="008C3C57" w:rsidRPr="00E807B5">
        <w:rPr>
          <w:rFonts w:ascii="Arial" w:eastAsia="Calibri" w:hAnsi="Arial" w:cs="Arial"/>
          <w:color w:val="000000" w:themeColor="text1"/>
          <w:sz w:val="22"/>
          <w:lang w:val="es-ES_tradnl"/>
        </w:rPr>
        <w:t xml:space="preserve"> </w:t>
      </w:r>
      <w:r w:rsidR="00436B3F">
        <w:rPr>
          <w:rFonts w:ascii="Arial" w:eastAsia="Calibri" w:hAnsi="Arial" w:cs="Arial"/>
          <w:color w:val="000000" w:themeColor="text1"/>
          <w:sz w:val="22"/>
          <w:lang w:val="es-ES_tradnl"/>
        </w:rPr>
        <w:t xml:space="preserve">responde a su consulta del </w:t>
      </w:r>
      <w:r w:rsidR="009433FA">
        <w:rPr>
          <w:rFonts w:ascii="Arial" w:eastAsia="Calibri" w:hAnsi="Arial" w:cs="Arial"/>
          <w:color w:val="000000" w:themeColor="text1"/>
          <w:sz w:val="22"/>
          <w:lang w:val="es-ES_tradnl"/>
        </w:rPr>
        <w:t>18 de agosto</w:t>
      </w:r>
      <w:r w:rsidR="00436B3F">
        <w:rPr>
          <w:rFonts w:ascii="Arial" w:eastAsia="Calibri" w:hAnsi="Arial" w:cs="Arial"/>
          <w:color w:val="000000" w:themeColor="text1"/>
          <w:sz w:val="22"/>
          <w:lang w:val="es-ES_tradnl"/>
        </w:rPr>
        <w:t xml:space="preserve"> de 2021. </w:t>
      </w:r>
    </w:p>
    <w:p w14:paraId="0C1E0712" w14:textId="77777777" w:rsidR="00DD5B04" w:rsidRPr="00E807B5" w:rsidRDefault="00DD5B04" w:rsidP="00DF76A2">
      <w:pPr>
        <w:spacing w:line="276" w:lineRule="auto"/>
        <w:jc w:val="both"/>
        <w:rPr>
          <w:rFonts w:ascii="Arial" w:eastAsia="Calibri" w:hAnsi="Arial" w:cs="Arial"/>
          <w:b/>
          <w:color w:val="000000" w:themeColor="text1"/>
          <w:sz w:val="22"/>
          <w:lang w:val="es-ES_tradnl"/>
        </w:rPr>
      </w:pPr>
    </w:p>
    <w:p w14:paraId="7701FCC7" w14:textId="04D99004" w:rsidR="00DD5B04" w:rsidRPr="00E807B5"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807B5">
        <w:rPr>
          <w:rFonts w:ascii="Arial" w:eastAsia="Calibri" w:hAnsi="Arial" w:cs="Arial"/>
          <w:b/>
          <w:color w:val="000000" w:themeColor="text1"/>
          <w:sz w:val="22"/>
          <w:lang w:val="es-ES_tradnl"/>
        </w:rPr>
        <w:t>Problema</w:t>
      </w:r>
      <w:r w:rsidR="009433FA">
        <w:rPr>
          <w:rFonts w:ascii="Arial" w:eastAsia="Calibri" w:hAnsi="Arial" w:cs="Arial"/>
          <w:b/>
          <w:color w:val="000000" w:themeColor="text1"/>
          <w:sz w:val="22"/>
          <w:lang w:val="es-ES_tradnl"/>
        </w:rPr>
        <w:t>s</w:t>
      </w:r>
      <w:r w:rsidRPr="00E807B5">
        <w:rPr>
          <w:rFonts w:ascii="Arial" w:eastAsia="Calibri" w:hAnsi="Arial" w:cs="Arial"/>
          <w:b/>
          <w:color w:val="000000" w:themeColor="text1"/>
          <w:sz w:val="22"/>
          <w:lang w:val="es-ES_tradnl"/>
        </w:rPr>
        <w:t xml:space="preserve"> planteado</w:t>
      </w:r>
      <w:r w:rsidR="009433FA">
        <w:rPr>
          <w:rFonts w:ascii="Arial" w:eastAsia="Calibri" w:hAnsi="Arial" w:cs="Arial"/>
          <w:b/>
          <w:color w:val="000000" w:themeColor="text1"/>
          <w:sz w:val="22"/>
          <w:lang w:val="es-ES_tradnl"/>
        </w:rPr>
        <w:t>s</w:t>
      </w:r>
      <w:r w:rsidRPr="00E807B5">
        <w:rPr>
          <w:rFonts w:ascii="Arial" w:eastAsia="Calibri" w:hAnsi="Arial" w:cs="Arial"/>
          <w:b/>
          <w:color w:val="000000" w:themeColor="text1"/>
          <w:sz w:val="22"/>
          <w:lang w:val="es-ES_tradnl"/>
        </w:rPr>
        <w:t xml:space="preserve"> </w:t>
      </w:r>
    </w:p>
    <w:p w14:paraId="224B43D3" w14:textId="77777777" w:rsidR="00DD5B04" w:rsidRPr="00E807B5"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4BD1A156" w14:textId="589DCB49" w:rsidR="00436B3F" w:rsidRPr="006A79D0" w:rsidRDefault="009433FA" w:rsidP="006A79D0">
      <w:pPr>
        <w:spacing w:line="276" w:lineRule="auto"/>
        <w:jc w:val="both"/>
        <w:rPr>
          <w:rFonts w:ascii="Arial" w:hAnsi="Arial" w:cs="Arial"/>
          <w:color w:val="000000" w:themeColor="text1"/>
          <w:sz w:val="22"/>
          <w:szCs w:val="22"/>
          <w:lang w:val="es-ES_tradnl"/>
        </w:rPr>
      </w:pPr>
      <w:r>
        <w:rPr>
          <w:rFonts w:ascii="Arial" w:hAnsi="Arial" w:cs="Arial"/>
          <w:sz w:val="22"/>
          <w:lang w:val="es-ES_tradnl"/>
        </w:rPr>
        <w:t>Usted realiza las siguientes preguntas</w:t>
      </w:r>
      <w:r w:rsidR="006251D3" w:rsidRPr="00974B94">
        <w:rPr>
          <w:rFonts w:ascii="Arial" w:hAnsi="Arial" w:cs="Arial"/>
          <w:sz w:val="22"/>
          <w:lang w:val="es-ES_tradnl"/>
        </w:rPr>
        <w:t>:</w:t>
      </w:r>
      <w:r w:rsidR="006251D3" w:rsidRPr="00974B94">
        <w:rPr>
          <w:rFonts w:ascii="Arial" w:hAnsi="Arial" w:cs="Arial"/>
          <w:sz w:val="21"/>
          <w:szCs w:val="21"/>
          <w:lang w:val="es-ES_tradnl"/>
        </w:rPr>
        <w:t xml:space="preserve"> </w:t>
      </w:r>
      <w:r>
        <w:rPr>
          <w:rFonts w:ascii="Arial" w:hAnsi="Arial" w:cs="Arial"/>
          <w:sz w:val="21"/>
          <w:szCs w:val="21"/>
          <w:lang w:val="es-ES_tradnl"/>
        </w:rPr>
        <w:t xml:space="preserve">i) </w:t>
      </w:r>
      <w:r w:rsidR="00974B94" w:rsidRPr="00E807B5">
        <w:rPr>
          <w:rFonts w:ascii="Arial" w:hAnsi="Arial" w:cs="Arial"/>
          <w:color w:val="000000" w:themeColor="text1"/>
          <w:sz w:val="22"/>
          <w:szCs w:val="22"/>
          <w:lang w:val="es-ES_tradnl"/>
        </w:rPr>
        <w:t>«</w:t>
      </w:r>
      <w:r w:rsidR="006A79D0" w:rsidRPr="006A79D0">
        <w:rPr>
          <w:rFonts w:ascii="Arial" w:hAnsi="Arial" w:cs="Arial"/>
          <w:color w:val="000000" w:themeColor="text1"/>
          <w:sz w:val="22"/>
          <w:szCs w:val="22"/>
          <w:lang w:val="es-ES_tradnl"/>
        </w:rPr>
        <w:t>Existe alguna guía, directriz o procedimiento que deban utilizar las entidades públicas para verificar que las pólizas que se aportan en los dife</w:t>
      </w:r>
      <w:r w:rsidR="006A79D0">
        <w:rPr>
          <w:rFonts w:ascii="Arial" w:hAnsi="Arial" w:cs="Arial"/>
          <w:color w:val="000000" w:themeColor="text1"/>
          <w:sz w:val="22"/>
          <w:szCs w:val="22"/>
          <w:lang w:val="es-ES_tradnl"/>
        </w:rPr>
        <w:t>rentes contratos no sean falsas</w:t>
      </w:r>
      <w:r>
        <w:rPr>
          <w:rFonts w:ascii="Arial" w:hAnsi="Arial" w:cs="Arial"/>
          <w:color w:val="000000" w:themeColor="text1"/>
          <w:sz w:val="22"/>
          <w:szCs w:val="22"/>
          <w:lang w:val="es-ES_tradnl"/>
        </w:rPr>
        <w:t xml:space="preserve">» y </w:t>
      </w:r>
      <w:proofErr w:type="spellStart"/>
      <w:r>
        <w:rPr>
          <w:rFonts w:ascii="Arial" w:hAnsi="Arial" w:cs="Arial"/>
          <w:color w:val="000000" w:themeColor="text1"/>
          <w:sz w:val="22"/>
          <w:szCs w:val="22"/>
          <w:lang w:val="es-ES_tradnl"/>
        </w:rPr>
        <w:t>ii</w:t>
      </w:r>
      <w:proofErr w:type="spellEnd"/>
      <w:r>
        <w:rPr>
          <w:rFonts w:ascii="Arial" w:hAnsi="Arial" w:cs="Arial"/>
          <w:color w:val="000000" w:themeColor="text1"/>
          <w:sz w:val="22"/>
          <w:szCs w:val="22"/>
          <w:lang w:val="es-ES_tradnl"/>
        </w:rPr>
        <w:t>) «</w:t>
      </w:r>
      <w:r w:rsidR="006A79D0" w:rsidRPr="006A79D0">
        <w:rPr>
          <w:rFonts w:ascii="Arial" w:hAnsi="Arial" w:cs="Arial"/>
          <w:color w:val="000000" w:themeColor="text1"/>
          <w:sz w:val="22"/>
          <w:szCs w:val="22"/>
          <w:lang w:val="es-ES_tradnl"/>
        </w:rPr>
        <w:t>Existe alguna norma o directriz que exija que en todos los contratos que suscribe el estado sea obligatoria la publicación de los informes</w:t>
      </w:r>
      <w:r w:rsidR="006A79D0">
        <w:rPr>
          <w:rFonts w:ascii="Arial" w:hAnsi="Arial" w:cs="Arial"/>
          <w:color w:val="000000" w:themeColor="text1"/>
          <w:sz w:val="22"/>
          <w:szCs w:val="22"/>
          <w:lang w:val="es-ES_tradnl"/>
        </w:rPr>
        <w:t xml:space="preserve"> que presentan los contratistas</w:t>
      </w:r>
      <w:r w:rsidR="00974B94" w:rsidRPr="00E807B5">
        <w:rPr>
          <w:rFonts w:ascii="Arial" w:hAnsi="Arial" w:cs="Arial"/>
          <w:color w:val="000000" w:themeColor="text1"/>
          <w:sz w:val="22"/>
          <w:szCs w:val="22"/>
          <w:lang w:val="es-ES_tradnl"/>
        </w:rPr>
        <w:t>»</w:t>
      </w:r>
      <w:r w:rsidR="00436B3F" w:rsidRPr="00974B94">
        <w:rPr>
          <w:rFonts w:ascii="Arial" w:hAnsi="Arial" w:cs="Arial"/>
          <w:sz w:val="22"/>
          <w:szCs w:val="22"/>
          <w:bdr w:val="none" w:sz="0" w:space="0" w:color="auto" w:frame="1"/>
        </w:rPr>
        <w:t>.</w:t>
      </w:r>
    </w:p>
    <w:p w14:paraId="0EA7C998" w14:textId="561DA8C3" w:rsidR="006D4AB2" w:rsidRPr="00E807B5" w:rsidRDefault="006D4AB2" w:rsidP="006B3EB4">
      <w:pPr>
        <w:spacing w:line="276" w:lineRule="auto"/>
        <w:jc w:val="both"/>
        <w:rPr>
          <w:rFonts w:ascii="Arial" w:hAnsi="Arial" w:cs="Arial"/>
          <w:color w:val="000000" w:themeColor="text1"/>
          <w:sz w:val="22"/>
          <w:szCs w:val="22"/>
          <w:lang w:val="es-ES_tradnl"/>
        </w:rPr>
      </w:pPr>
    </w:p>
    <w:p w14:paraId="124D2DCA" w14:textId="77777777" w:rsidR="00DD5B04" w:rsidRPr="00E807B5"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807B5">
        <w:rPr>
          <w:rFonts w:ascii="Arial" w:eastAsia="Calibri" w:hAnsi="Arial" w:cs="Arial"/>
          <w:b/>
          <w:color w:val="000000" w:themeColor="text1"/>
          <w:sz w:val="22"/>
          <w:lang w:val="es-ES_tradnl"/>
        </w:rPr>
        <w:lastRenderedPageBreak/>
        <w:t>Consideraciones</w:t>
      </w:r>
    </w:p>
    <w:p w14:paraId="7D050D2E" w14:textId="77777777" w:rsidR="00435703" w:rsidRPr="00E807B5" w:rsidRDefault="00435703" w:rsidP="00DF76A2">
      <w:pPr>
        <w:spacing w:line="276" w:lineRule="auto"/>
        <w:jc w:val="both"/>
        <w:rPr>
          <w:rFonts w:ascii="Arial" w:eastAsia="Calibri" w:hAnsi="Arial" w:cs="Arial"/>
          <w:color w:val="000000" w:themeColor="text1"/>
          <w:sz w:val="22"/>
          <w:szCs w:val="22"/>
          <w:lang w:val="es-ES_tradnl"/>
        </w:rPr>
      </w:pPr>
    </w:p>
    <w:p w14:paraId="52FC1CE9" w14:textId="757D1FC6" w:rsidR="005C624E" w:rsidRDefault="005C624E" w:rsidP="005C624E">
      <w:pPr>
        <w:spacing w:after="120" w:line="276" w:lineRule="auto"/>
        <w:jc w:val="both"/>
        <w:rPr>
          <w:rFonts w:ascii="Arial" w:hAnsi="Arial" w:cs="Arial"/>
          <w:sz w:val="22"/>
          <w:szCs w:val="22"/>
        </w:rPr>
      </w:pPr>
      <w:r w:rsidRPr="00A073F1">
        <w:rPr>
          <w:rFonts w:ascii="Arial" w:eastAsiaTheme="minorHAnsi" w:hAnsi="Arial" w:cs="Arial"/>
          <w:bCs/>
          <w:sz w:val="22"/>
          <w:szCs w:val="22"/>
          <w:lang w:eastAsia="en-US"/>
        </w:rPr>
        <w:t>En ejercicio de las competencias establecidas en los artículos 3.5 y 11.8 del Decreto</w:t>
      </w:r>
      <w:r>
        <w:rPr>
          <w:rFonts w:ascii="Arial" w:eastAsiaTheme="minorHAnsi" w:hAnsi="Arial" w:cs="Arial"/>
          <w:bCs/>
          <w:sz w:val="22"/>
          <w:szCs w:val="22"/>
          <w:lang w:eastAsia="en-US"/>
        </w:rPr>
        <w:t xml:space="preserve"> Ley</w:t>
      </w:r>
      <w:r w:rsidRPr="00A073F1">
        <w:rPr>
          <w:rFonts w:ascii="Arial" w:eastAsiaTheme="minorHAnsi" w:hAnsi="Arial" w:cs="Arial"/>
          <w:bCs/>
          <w:sz w:val="22"/>
          <w:szCs w:val="22"/>
          <w:lang w:eastAsia="en-US"/>
        </w:rPr>
        <w:t xml:space="preserve">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eastAsiaTheme="minorHAnsi" w:hAnsi="Arial" w:cs="Arial"/>
          <w:bCs/>
          <w:sz w:val="22"/>
          <w:szCs w:val="22"/>
          <w:lang w:eastAsia="en-US"/>
        </w:rPr>
        <w:t xml:space="preserve"> En este sentido, </w:t>
      </w:r>
      <w:r>
        <w:rPr>
          <w:rFonts w:ascii="Arial" w:hAnsi="Arial" w:cs="Arial"/>
          <w:sz w:val="22"/>
          <w:szCs w:val="22"/>
        </w:rPr>
        <w:t>L</w:t>
      </w:r>
      <w:r w:rsidRPr="00A073F1">
        <w:rPr>
          <w:rFonts w:ascii="Arial" w:hAnsi="Arial" w:cs="Arial"/>
          <w:sz w:val="22"/>
          <w:szCs w:val="22"/>
        </w:rPr>
        <w:t xml:space="preserve">a Subdirección </w:t>
      </w:r>
      <w:r>
        <w:rPr>
          <w:rFonts w:ascii="Arial" w:hAnsi="Arial" w:cs="Arial"/>
          <w:sz w:val="22"/>
          <w:szCs w:val="22"/>
        </w:rPr>
        <w:t xml:space="preserve">de Gestión Contractual </w:t>
      </w:r>
      <w:r w:rsidRPr="00A073F1">
        <w:rPr>
          <w:rFonts w:ascii="Arial" w:hAnsi="Arial" w:cs="Arial"/>
          <w:sz w:val="22"/>
          <w:szCs w:val="22"/>
        </w:rPr>
        <w:t>–dentro de los límites de sus atribuciones– resolverá la consulta conforme a las normas generales en materia de contratación estatal. Con este objetivo, a c</w:t>
      </w:r>
      <w:r>
        <w:rPr>
          <w:rFonts w:ascii="Arial" w:hAnsi="Arial" w:cs="Arial"/>
          <w:sz w:val="22"/>
          <w:szCs w:val="22"/>
        </w:rPr>
        <w:t>ontinuación, se analizan</w:t>
      </w:r>
      <w:r w:rsidRPr="00A073F1">
        <w:rPr>
          <w:rFonts w:ascii="Arial" w:hAnsi="Arial" w:cs="Arial"/>
          <w:sz w:val="22"/>
          <w:szCs w:val="22"/>
        </w:rPr>
        <w:t xml:space="preserve"> </w:t>
      </w:r>
      <w:r>
        <w:rPr>
          <w:rFonts w:ascii="Arial" w:hAnsi="Arial" w:cs="Arial"/>
          <w:sz w:val="22"/>
          <w:szCs w:val="22"/>
        </w:rPr>
        <w:t xml:space="preserve">dos temas: i) </w:t>
      </w:r>
      <w:r w:rsidR="00BD6B9E">
        <w:rPr>
          <w:rFonts w:ascii="Arial" w:hAnsi="Arial" w:cs="Arial"/>
          <w:sz w:val="22"/>
          <w:szCs w:val="22"/>
        </w:rPr>
        <w:t>aspectos generales del régimen de las garantías en la contratación estatal y mecanismos de verificación</w:t>
      </w:r>
      <w:r>
        <w:rPr>
          <w:rFonts w:ascii="Arial" w:hAnsi="Arial" w:cs="Arial"/>
          <w:sz w:val="22"/>
          <w:szCs w:val="22"/>
        </w:rPr>
        <w:t>;</w:t>
      </w:r>
      <w:r w:rsidR="009433FA">
        <w:rPr>
          <w:rFonts w:ascii="Arial" w:hAnsi="Arial" w:cs="Arial"/>
          <w:sz w:val="22"/>
          <w:szCs w:val="22"/>
        </w:rPr>
        <w:t xml:space="preserve"> y</w:t>
      </w:r>
      <w:r>
        <w:rPr>
          <w:rFonts w:ascii="Arial" w:hAnsi="Arial" w:cs="Arial"/>
          <w:sz w:val="22"/>
          <w:szCs w:val="22"/>
        </w:rPr>
        <w:t xml:space="preserve"> </w:t>
      </w:r>
      <w:proofErr w:type="spellStart"/>
      <w:r>
        <w:rPr>
          <w:rFonts w:ascii="Arial" w:hAnsi="Arial" w:cs="Arial"/>
          <w:sz w:val="22"/>
          <w:szCs w:val="22"/>
        </w:rPr>
        <w:t>ii</w:t>
      </w:r>
      <w:proofErr w:type="spellEnd"/>
      <w:r>
        <w:rPr>
          <w:rFonts w:ascii="Arial" w:hAnsi="Arial" w:cs="Arial"/>
          <w:sz w:val="22"/>
          <w:szCs w:val="22"/>
        </w:rPr>
        <w:t xml:space="preserve">) la publicidad de las actuaciones en el marco de la ejecución de los contratos estatales. </w:t>
      </w:r>
    </w:p>
    <w:p w14:paraId="0B207AF2" w14:textId="584BC601" w:rsidR="009433FA" w:rsidRPr="001D1DFF" w:rsidRDefault="009433FA" w:rsidP="007E377C">
      <w:pPr>
        <w:tabs>
          <w:tab w:val="left" w:pos="426"/>
        </w:tabs>
        <w:spacing w:line="276" w:lineRule="auto"/>
        <w:jc w:val="both"/>
        <w:rPr>
          <w:rFonts w:ascii="Arial" w:eastAsiaTheme="minorHAnsi" w:hAnsi="Arial" w:cs="Arial"/>
          <w:bCs/>
          <w:sz w:val="22"/>
          <w:szCs w:val="22"/>
          <w:lang w:eastAsia="en-US"/>
        </w:rPr>
      </w:pPr>
      <w:r>
        <w:rPr>
          <w:rFonts w:ascii="Arial" w:eastAsia="Calibri" w:hAnsi="Arial" w:cs="Arial"/>
          <w:color w:val="000000" w:themeColor="text1"/>
          <w:sz w:val="22"/>
          <w:szCs w:val="22"/>
          <w:lang w:val="es-ES_tradnl"/>
        </w:rPr>
        <w:tab/>
      </w:r>
      <w:r>
        <w:rPr>
          <w:rFonts w:ascii="Arial" w:eastAsia="Calibri" w:hAnsi="Arial" w:cs="Arial"/>
          <w:color w:val="000000" w:themeColor="text1"/>
          <w:sz w:val="22"/>
          <w:szCs w:val="22"/>
          <w:lang w:val="es-ES_tradnl"/>
        </w:rPr>
        <w:tab/>
      </w:r>
      <w:r w:rsidRPr="008853AB">
        <w:rPr>
          <w:rFonts w:ascii="Arial" w:eastAsia="Calibri" w:hAnsi="Arial" w:cs="Arial"/>
          <w:color w:val="000000" w:themeColor="text1"/>
          <w:sz w:val="22"/>
          <w:szCs w:val="22"/>
          <w:lang w:val="es-ES_tradnl"/>
        </w:rPr>
        <w:t xml:space="preserve">La Subdirección de Gestión Contractual analizó la garantía de cumplimiento de los contratos estatales en los </w:t>
      </w:r>
      <w:r w:rsidR="00A66A8A">
        <w:rPr>
          <w:rFonts w:ascii="Arial" w:eastAsia="Calibri" w:hAnsi="Arial" w:cs="Arial"/>
          <w:color w:val="000000" w:themeColor="text1"/>
          <w:sz w:val="22"/>
          <w:szCs w:val="22"/>
          <w:lang w:val="es-ES_tradnl"/>
        </w:rPr>
        <w:t>C</w:t>
      </w:r>
      <w:r w:rsidRPr="008853AB">
        <w:rPr>
          <w:rFonts w:ascii="Arial" w:eastAsia="Calibri" w:hAnsi="Arial" w:cs="Arial"/>
          <w:color w:val="000000" w:themeColor="text1"/>
          <w:sz w:val="22"/>
          <w:szCs w:val="22"/>
          <w:lang w:val="es-ES_tradnl"/>
        </w:rPr>
        <w:t>onceptos C-479 del 27 de julio de 2020 y C-625 del 28 de septiembre d</w:t>
      </w:r>
      <w:r>
        <w:rPr>
          <w:rFonts w:ascii="Arial" w:eastAsia="Calibri" w:hAnsi="Arial" w:cs="Arial"/>
          <w:color w:val="000000" w:themeColor="text1"/>
          <w:sz w:val="22"/>
          <w:szCs w:val="22"/>
          <w:lang w:val="es-ES_tradnl"/>
        </w:rPr>
        <w:t xml:space="preserve">el 2020. </w:t>
      </w:r>
      <w:r>
        <w:rPr>
          <w:rFonts w:ascii="Arial" w:eastAsiaTheme="minorHAnsi" w:hAnsi="Arial" w:cs="Arial"/>
          <w:color w:val="000000"/>
          <w:sz w:val="22"/>
          <w:szCs w:val="22"/>
          <w:shd w:val="clear" w:color="auto" w:fill="FFFFFF"/>
          <w:lang w:val="es-MX" w:eastAsia="en-US"/>
        </w:rPr>
        <w:t>Igualmente</w:t>
      </w:r>
      <w:r w:rsidRPr="00595BC4">
        <w:rPr>
          <w:rFonts w:ascii="Arial" w:eastAsiaTheme="minorHAnsi" w:hAnsi="Arial" w:cs="Arial"/>
          <w:color w:val="000000"/>
          <w:sz w:val="22"/>
          <w:szCs w:val="22"/>
          <w:shd w:val="clear" w:color="auto" w:fill="FFFFFF"/>
          <w:lang w:val="es-MX" w:eastAsia="en-US"/>
        </w:rPr>
        <w:t>, a través del Concepto C</w:t>
      </w:r>
      <w:r w:rsidR="00A66A8A">
        <w:rPr>
          <w:rFonts w:ascii="Arial" w:eastAsiaTheme="minorHAnsi" w:hAnsi="Arial" w:cs="Arial"/>
          <w:color w:val="000000"/>
          <w:sz w:val="22"/>
          <w:szCs w:val="22"/>
          <w:shd w:val="clear" w:color="auto" w:fill="FFFFFF"/>
          <w:lang w:val="es-MX" w:eastAsia="en-US"/>
        </w:rPr>
        <w:t>U</w:t>
      </w:r>
      <w:r w:rsidRPr="00595BC4">
        <w:rPr>
          <w:rFonts w:ascii="Arial" w:eastAsiaTheme="minorHAnsi" w:hAnsi="Arial" w:cs="Arial"/>
          <w:color w:val="000000"/>
          <w:sz w:val="22"/>
          <w:szCs w:val="22"/>
          <w:shd w:val="clear" w:color="auto" w:fill="FFFFFF"/>
          <w:lang w:val="es-MX" w:eastAsia="en-US"/>
        </w:rPr>
        <w:t>-367 del 23 de julio de 2020, unificó su posición sobre la publicidad de la información contractual en el SECOP. En relación con documentos que deben publicarse en el marco de los contratos de prestación de servicios, también analizó este tema en los Conceptos C-521 del 11 de agosto de 2020 y C-544 del 28 de agosto de 2020.</w:t>
      </w:r>
      <w:r w:rsidR="00510415">
        <w:rPr>
          <w:rFonts w:ascii="Arial" w:eastAsiaTheme="minorHAnsi" w:hAnsi="Arial" w:cs="Arial"/>
          <w:color w:val="000000"/>
          <w:sz w:val="22"/>
          <w:szCs w:val="22"/>
          <w:shd w:val="clear" w:color="auto" w:fill="FFFFFF"/>
          <w:lang w:val="es-MX" w:eastAsia="en-US"/>
        </w:rPr>
        <w:t xml:space="preserve"> </w:t>
      </w:r>
      <w:r>
        <w:rPr>
          <w:rFonts w:ascii="Arial" w:eastAsia="Calibri" w:hAnsi="Arial" w:cs="Arial"/>
          <w:color w:val="000000" w:themeColor="text1"/>
          <w:sz w:val="22"/>
          <w:szCs w:val="22"/>
          <w:lang w:val="es-ES_tradnl"/>
        </w:rPr>
        <w:t>La tesis desarrollada en</w:t>
      </w:r>
      <w:r w:rsidRPr="008853AB">
        <w:rPr>
          <w:rFonts w:ascii="Arial" w:eastAsia="Calibri" w:hAnsi="Arial" w:cs="Arial"/>
          <w:color w:val="000000" w:themeColor="text1"/>
          <w:sz w:val="22"/>
          <w:szCs w:val="22"/>
          <w:lang w:val="es-ES_tradnl"/>
        </w:rPr>
        <w:t xml:space="preserve"> los conceptos </w:t>
      </w:r>
      <w:r>
        <w:rPr>
          <w:rFonts w:ascii="Arial" w:eastAsia="Calibri" w:hAnsi="Arial" w:cs="Arial"/>
          <w:color w:val="000000" w:themeColor="text1"/>
          <w:sz w:val="22"/>
          <w:szCs w:val="22"/>
          <w:lang w:val="es-ES_tradnl"/>
        </w:rPr>
        <w:t xml:space="preserve">precitados </w:t>
      </w:r>
      <w:r w:rsidRPr="008853AB">
        <w:rPr>
          <w:rFonts w:ascii="Arial" w:eastAsia="Calibri" w:hAnsi="Arial" w:cs="Arial"/>
          <w:color w:val="000000" w:themeColor="text1"/>
          <w:sz w:val="22"/>
          <w:szCs w:val="22"/>
          <w:lang w:val="es-ES_tradnl"/>
        </w:rPr>
        <w:t>se reitera a continuación</w:t>
      </w:r>
      <w:r>
        <w:rPr>
          <w:rFonts w:ascii="Arial" w:eastAsia="Calibri" w:hAnsi="Arial" w:cs="Arial"/>
          <w:color w:val="000000" w:themeColor="text1"/>
          <w:sz w:val="22"/>
          <w:szCs w:val="22"/>
          <w:lang w:val="es-ES_tradnl"/>
        </w:rPr>
        <w:t xml:space="preserve"> y se complementa</w:t>
      </w:r>
      <w:r w:rsidRPr="008853AB">
        <w:rPr>
          <w:rFonts w:ascii="Arial" w:eastAsia="Calibri" w:hAnsi="Arial" w:cs="Arial"/>
          <w:color w:val="000000" w:themeColor="text1"/>
          <w:sz w:val="22"/>
          <w:szCs w:val="22"/>
          <w:lang w:val="es-ES_tradnl"/>
        </w:rPr>
        <w:t xml:space="preserve"> </w:t>
      </w:r>
      <w:r w:rsidR="00A66A8A">
        <w:rPr>
          <w:rFonts w:ascii="Arial" w:eastAsia="Calibri" w:hAnsi="Arial" w:cs="Arial"/>
          <w:color w:val="000000" w:themeColor="text1"/>
          <w:sz w:val="22"/>
          <w:szCs w:val="22"/>
          <w:lang w:val="es-ES_tradnl"/>
        </w:rPr>
        <w:t>en lo pertinente:</w:t>
      </w:r>
    </w:p>
    <w:p w14:paraId="0D27A697" w14:textId="4F25E485" w:rsidR="00F433CB" w:rsidRDefault="00F433CB" w:rsidP="00F433CB">
      <w:pPr>
        <w:spacing w:line="276" w:lineRule="auto"/>
        <w:jc w:val="both"/>
        <w:rPr>
          <w:rFonts w:ascii="Arial" w:eastAsia="Calibri" w:hAnsi="Arial" w:cs="Arial"/>
          <w:color w:val="000000" w:themeColor="text1"/>
          <w:sz w:val="22"/>
        </w:rPr>
      </w:pPr>
    </w:p>
    <w:p w14:paraId="04EE3CC8" w14:textId="0C2554D2" w:rsidR="006A79D0" w:rsidRPr="006A79D0" w:rsidRDefault="006A79D0" w:rsidP="006A79D0">
      <w:pPr>
        <w:tabs>
          <w:tab w:val="left" w:pos="426"/>
        </w:tabs>
        <w:spacing w:line="276" w:lineRule="auto"/>
        <w:jc w:val="both"/>
        <w:rPr>
          <w:rFonts w:ascii="Arial" w:eastAsia="Calibri" w:hAnsi="Arial" w:cs="Arial"/>
          <w:b/>
          <w:color w:val="000000" w:themeColor="text1"/>
          <w:sz w:val="22"/>
          <w:szCs w:val="22"/>
        </w:rPr>
      </w:pPr>
      <w:r w:rsidRPr="006A79D0">
        <w:rPr>
          <w:rFonts w:ascii="Arial" w:eastAsia="Calibri" w:hAnsi="Arial" w:cs="Arial"/>
          <w:b/>
          <w:color w:val="000000" w:themeColor="text1"/>
          <w:sz w:val="22"/>
        </w:rPr>
        <w:t xml:space="preserve">2.1. </w:t>
      </w:r>
      <w:r w:rsidR="004F0B4D">
        <w:rPr>
          <w:rFonts w:ascii="Arial" w:eastAsia="Calibri" w:hAnsi="Arial" w:cs="Arial"/>
          <w:b/>
          <w:color w:val="000000" w:themeColor="text1"/>
          <w:sz w:val="22"/>
          <w:szCs w:val="22"/>
        </w:rPr>
        <w:t>Aspectos generales del régimen de g</w:t>
      </w:r>
      <w:r w:rsidRPr="006A79D0">
        <w:rPr>
          <w:rFonts w:ascii="Arial" w:eastAsia="Calibri" w:hAnsi="Arial" w:cs="Arial"/>
          <w:b/>
          <w:color w:val="000000" w:themeColor="text1"/>
          <w:sz w:val="22"/>
          <w:szCs w:val="22"/>
        </w:rPr>
        <w:t>arantía</w:t>
      </w:r>
      <w:r w:rsidR="002C3793">
        <w:rPr>
          <w:rFonts w:ascii="Arial" w:eastAsia="Calibri" w:hAnsi="Arial" w:cs="Arial"/>
          <w:b/>
          <w:color w:val="000000" w:themeColor="text1"/>
          <w:sz w:val="22"/>
          <w:szCs w:val="22"/>
        </w:rPr>
        <w:t>s en la contratación estatal y mecanismos de verificación</w:t>
      </w:r>
    </w:p>
    <w:p w14:paraId="191661B4" w14:textId="77777777" w:rsidR="006A79D0" w:rsidRPr="00064944" w:rsidRDefault="006A79D0" w:rsidP="006A79D0">
      <w:pPr>
        <w:tabs>
          <w:tab w:val="left" w:pos="426"/>
        </w:tabs>
        <w:spacing w:line="276" w:lineRule="auto"/>
        <w:jc w:val="both"/>
        <w:rPr>
          <w:rFonts w:ascii="Arial" w:hAnsi="Arial" w:cs="Arial"/>
          <w:b/>
          <w:sz w:val="22"/>
          <w:szCs w:val="22"/>
        </w:rPr>
      </w:pPr>
    </w:p>
    <w:p w14:paraId="581507B1" w14:textId="2725988C" w:rsidR="00B57A7D" w:rsidRDefault="00B57A7D" w:rsidP="00B57A7D">
      <w:pPr>
        <w:spacing w:after="120" w:line="276" w:lineRule="auto"/>
        <w:jc w:val="both"/>
        <w:rPr>
          <w:rFonts w:ascii="Arial" w:eastAsia="Calibri" w:hAnsi="Arial" w:cs="Arial"/>
          <w:color w:val="000000" w:themeColor="text1"/>
          <w:sz w:val="22"/>
          <w:lang w:val="es-ES"/>
        </w:rPr>
      </w:pPr>
      <w:r>
        <w:rPr>
          <w:rFonts w:ascii="Arial" w:hAnsi="Arial" w:cs="Arial"/>
          <w:color w:val="000000"/>
          <w:sz w:val="22"/>
          <w:shd w:val="clear" w:color="auto" w:fill="FFFFFF"/>
        </w:rPr>
        <w:t>P</w:t>
      </w:r>
      <w:r w:rsidRPr="0059064D">
        <w:rPr>
          <w:rFonts w:ascii="Arial" w:hAnsi="Arial" w:cs="Arial"/>
          <w:color w:val="000000"/>
          <w:sz w:val="22"/>
          <w:shd w:val="clear" w:color="auto" w:fill="FFFFFF"/>
        </w:rPr>
        <w:t xml:space="preserve">or regla general, para seleccionar contratistas y para </w:t>
      </w:r>
      <w:r>
        <w:rPr>
          <w:rFonts w:ascii="Arial" w:hAnsi="Arial" w:cs="Arial"/>
          <w:color w:val="000000"/>
          <w:sz w:val="22"/>
          <w:shd w:val="clear" w:color="auto" w:fill="FFFFFF"/>
        </w:rPr>
        <w:t>ejecutar</w:t>
      </w:r>
      <w:r w:rsidRPr="0059064D">
        <w:rPr>
          <w:rFonts w:ascii="Arial" w:hAnsi="Arial" w:cs="Arial"/>
          <w:color w:val="000000"/>
          <w:sz w:val="22"/>
          <w:shd w:val="clear" w:color="auto" w:fill="FFFFFF"/>
        </w:rPr>
        <w:t xml:space="preserve"> contratos se requiere la constitución de garantías. </w:t>
      </w:r>
      <w:bookmarkStart w:id="2" w:name="_Hlk47893233"/>
      <w:r>
        <w:rPr>
          <w:rFonts w:ascii="Arial" w:hAnsi="Arial" w:cs="Arial"/>
          <w:color w:val="000000"/>
          <w:sz w:val="22"/>
          <w:shd w:val="clear" w:color="auto" w:fill="FFFFFF"/>
        </w:rPr>
        <w:t>Por un lado, l</w:t>
      </w:r>
      <w:r>
        <w:rPr>
          <w:rFonts w:ascii="Arial" w:eastAsia="Calibri" w:hAnsi="Arial" w:cs="Arial"/>
          <w:color w:val="000000" w:themeColor="text1"/>
          <w:sz w:val="22"/>
          <w:lang w:val="es-ES"/>
        </w:rPr>
        <w:t xml:space="preserve">a </w:t>
      </w:r>
      <w:r w:rsidRPr="004004EF">
        <w:rPr>
          <w:rFonts w:ascii="Arial" w:eastAsia="Calibri" w:hAnsi="Arial" w:cs="Arial"/>
          <w:i/>
          <w:iCs/>
          <w:color w:val="000000" w:themeColor="text1"/>
          <w:sz w:val="22"/>
          <w:lang w:val="es-ES"/>
        </w:rPr>
        <w:t>garantía de seriedad</w:t>
      </w:r>
      <w:r w:rsidRPr="00386009">
        <w:rPr>
          <w:rFonts w:ascii="Arial" w:eastAsia="Calibri" w:hAnsi="Arial" w:cs="Arial"/>
          <w:color w:val="000000" w:themeColor="text1"/>
          <w:sz w:val="22"/>
          <w:lang w:val="es-ES"/>
        </w:rPr>
        <w:t xml:space="preserve"> respalda al principio de irrevocabilidad de la oferta, caso en el cual los proponentes que pierdan interés en la adjudicación resarcir</w:t>
      </w:r>
      <w:r>
        <w:rPr>
          <w:rFonts w:ascii="Arial" w:eastAsia="Calibri" w:hAnsi="Arial" w:cs="Arial"/>
          <w:color w:val="000000" w:themeColor="text1"/>
          <w:sz w:val="22"/>
          <w:lang w:val="es-ES"/>
        </w:rPr>
        <w:t>án</w:t>
      </w:r>
      <w:r w:rsidRPr="00386009">
        <w:rPr>
          <w:rFonts w:ascii="Arial" w:eastAsia="Calibri" w:hAnsi="Arial" w:cs="Arial"/>
          <w:color w:val="000000" w:themeColor="text1"/>
          <w:sz w:val="22"/>
          <w:lang w:val="es-ES"/>
        </w:rPr>
        <w:t xml:space="preserve"> los perjuicios causados por su retiro del proceso de selección. Naturalmente, </w:t>
      </w:r>
      <w:r>
        <w:rPr>
          <w:rFonts w:ascii="Arial" w:eastAsia="Calibri" w:hAnsi="Arial" w:cs="Arial"/>
          <w:color w:val="000000" w:themeColor="text1"/>
          <w:sz w:val="22"/>
          <w:lang w:val="es-ES"/>
        </w:rPr>
        <w:t>esta</w:t>
      </w:r>
      <w:r w:rsidRPr="00386009">
        <w:rPr>
          <w:rFonts w:ascii="Arial" w:eastAsia="Calibri" w:hAnsi="Arial" w:cs="Arial"/>
          <w:color w:val="000000" w:themeColor="text1"/>
          <w:sz w:val="22"/>
          <w:lang w:val="es-ES"/>
        </w:rPr>
        <w:t xml:space="preserve"> garantía solo la constituyen quienes presenten</w:t>
      </w:r>
      <w:r>
        <w:rPr>
          <w:rFonts w:ascii="Arial" w:eastAsia="Calibri" w:hAnsi="Arial" w:cs="Arial"/>
          <w:color w:val="000000" w:themeColor="text1"/>
          <w:sz w:val="22"/>
          <w:lang w:val="es-ES"/>
        </w:rPr>
        <w:t xml:space="preserve"> las</w:t>
      </w:r>
      <w:r w:rsidRPr="00386009">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propuestas</w:t>
      </w:r>
      <w:r w:rsidRPr="00386009">
        <w:rPr>
          <w:rFonts w:ascii="Arial" w:eastAsia="Calibri" w:hAnsi="Arial" w:cs="Arial"/>
          <w:color w:val="000000" w:themeColor="text1"/>
          <w:sz w:val="22"/>
          <w:lang w:val="es-ES"/>
        </w:rPr>
        <w:t>, motivo por el cual sus efectos no se extienden a personas ajenas a la actividad precontractual</w:t>
      </w:r>
      <w:r w:rsidR="000730A2">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 xml:space="preserve"> sin perjuicio de que la póliza sea un mecanismo conminatorio, en la medida en que obliga a celebra</w:t>
      </w:r>
      <w:r>
        <w:rPr>
          <w:rFonts w:ascii="Arial" w:eastAsia="Calibri" w:hAnsi="Arial" w:cs="Arial"/>
          <w:color w:val="000000" w:themeColor="text1"/>
          <w:sz w:val="22"/>
          <w:lang w:val="es-ES"/>
        </w:rPr>
        <w:t>r e</w:t>
      </w:r>
      <w:r w:rsidRPr="00386009">
        <w:rPr>
          <w:rFonts w:ascii="Arial" w:eastAsia="Calibri" w:hAnsi="Arial" w:cs="Arial"/>
          <w:color w:val="000000" w:themeColor="text1"/>
          <w:sz w:val="22"/>
          <w:lang w:val="es-ES"/>
        </w:rPr>
        <w:t xml:space="preserve">l contrato, so pena de hacerla efectiva. De esta manera, la exigencia permite que solo se presenten personas con la capacidad técnica y financiera suficiente para ejecutarlo en caso de adjudicación, desestimulando la presentación de ofertas </w:t>
      </w:r>
      <w:r>
        <w:rPr>
          <w:rFonts w:ascii="Arial" w:eastAsia="Calibri" w:hAnsi="Arial" w:cs="Arial"/>
          <w:color w:val="000000" w:themeColor="text1"/>
          <w:sz w:val="22"/>
          <w:lang w:val="es-ES"/>
        </w:rPr>
        <w:t xml:space="preserve">que </w:t>
      </w:r>
      <w:r w:rsidRPr="00386009">
        <w:rPr>
          <w:rFonts w:ascii="Arial" w:eastAsia="Calibri" w:hAnsi="Arial" w:cs="Arial"/>
          <w:color w:val="000000" w:themeColor="text1"/>
          <w:sz w:val="22"/>
          <w:lang w:val="es-ES"/>
        </w:rPr>
        <w:t xml:space="preserve">no </w:t>
      </w:r>
      <w:r>
        <w:rPr>
          <w:rFonts w:ascii="Arial" w:eastAsia="Calibri" w:hAnsi="Arial" w:cs="Arial"/>
          <w:color w:val="000000" w:themeColor="text1"/>
          <w:sz w:val="22"/>
          <w:lang w:val="es-ES"/>
        </w:rPr>
        <w:t xml:space="preserve">son </w:t>
      </w:r>
      <w:r w:rsidRPr="00386009">
        <w:rPr>
          <w:rFonts w:ascii="Arial" w:eastAsia="Calibri" w:hAnsi="Arial" w:cs="Arial"/>
          <w:color w:val="000000" w:themeColor="text1"/>
          <w:sz w:val="22"/>
          <w:lang w:val="es-ES"/>
        </w:rPr>
        <w:t>serias, cuy</w:t>
      </w:r>
      <w:r>
        <w:rPr>
          <w:rFonts w:ascii="Arial" w:eastAsia="Calibri" w:hAnsi="Arial" w:cs="Arial"/>
          <w:color w:val="000000" w:themeColor="text1"/>
          <w:sz w:val="22"/>
          <w:lang w:val="es-ES"/>
        </w:rPr>
        <w:t xml:space="preserve">a evaluación </w:t>
      </w:r>
      <w:r w:rsidRPr="00386009">
        <w:rPr>
          <w:rFonts w:ascii="Arial" w:eastAsia="Calibri" w:hAnsi="Arial" w:cs="Arial"/>
          <w:color w:val="000000" w:themeColor="text1"/>
          <w:sz w:val="22"/>
          <w:lang w:val="es-ES"/>
        </w:rPr>
        <w:t>entorpece la buena marcha de la Administración, y en especial la celeridad y eficiencia de los proce</w:t>
      </w:r>
      <w:r>
        <w:rPr>
          <w:rFonts w:ascii="Arial" w:eastAsia="Calibri" w:hAnsi="Arial" w:cs="Arial"/>
          <w:color w:val="000000" w:themeColor="text1"/>
          <w:sz w:val="22"/>
          <w:lang w:val="es-ES"/>
        </w:rPr>
        <w:t xml:space="preserve">dimientos </w:t>
      </w:r>
      <w:r w:rsidRPr="00386009">
        <w:rPr>
          <w:rFonts w:ascii="Arial" w:eastAsia="Calibri" w:hAnsi="Arial" w:cs="Arial"/>
          <w:color w:val="000000" w:themeColor="text1"/>
          <w:sz w:val="22"/>
          <w:lang w:val="es-ES"/>
        </w:rPr>
        <w:t>contractuales</w:t>
      </w:r>
      <w:bookmarkEnd w:id="2"/>
      <w:r w:rsidRPr="00386009">
        <w:rPr>
          <w:rStyle w:val="Refdenotaalpie"/>
          <w:rFonts w:ascii="Arial" w:eastAsia="Calibri" w:hAnsi="Arial" w:cs="Arial"/>
          <w:color w:val="000000" w:themeColor="text1"/>
          <w:sz w:val="22"/>
          <w:lang w:val="es-ES"/>
        </w:rPr>
        <w:footnoteReference w:id="2"/>
      </w:r>
      <w:r w:rsidRPr="00386009">
        <w:rPr>
          <w:rFonts w:ascii="Arial" w:eastAsia="Calibri" w:hAnsi="Arial" w:cs="Arial"/>
          <w:color w:val="000000" w:themeColor="text1"/>
          <w:sz w:val="22"/>
          <w:lang w:val="es-ES"/>
        </w:rPr>
        <w:t>.</w:t>
      </w:r>
    </w:p>
    <w:p w14:paraId="39D5091D" w14:textId="257061A3" w:rsidR="00B57A7D" w:rsidRPr="007E4AB0" w:rsidRDefault="00B57A7D" w:rsidP="00B57A7D">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contraste, mediante la </w:t>
      </w:r>
      <w:r w:rsidRPr="00773E59">
        <w:rPr>
          <w:rFonts w:ascii="Arial" w:eastAsia="Calibri" w:hAnsi="Arial" w:cs="Arial"/>
          <w:i/>
          <w:iCs/>
          <w:color w:val="000000" w:themeColor="text1"/>
          <w:sz w:val="22"/>
          <w:lang w:val="es-ES"/>
        </w:rPr>
        <w:t>garantía de única de cumplimiento</w:t>
      </w:r>
      <w:r>
        <w:rPr>
          <w:rFonts w:ascii="Arial" w:eastAsia="Calibri" w:hAnsi="Arial" w:cs="Arial"/>
          <w:color w:val="000000" w:themeColor="text1"/>
          <w:sz w:val="22"/>
          <w:lang w:val="es-ES"/>
        </w:rPr>
        <w:t xml:space="preserve">, el contratista ampara los perjuicios que le pueda generar a la entidad el incumplimiento de las obligaciones </w:t>
      </w:r>
      <w:r>
        <w:rPr>
          <w:rFonts w:ascii="Arial" w:eastAsia="Calibri" w:hAnsi="Arial" w:cs="Arial"/>
          <w:color w:val="000000" w:themeColor="text1"/>
          <w:sz w:val="22"/>
          <w:lang w:val="es-ES"/>
        </w:rPr>
        <w:lastRenderedPageBreak/>
        <w:t>derivadas del contrato</w:t>
      </w:r>
      <w:r>
        <w:rPr>
          <w:rStyle w:val="Refdenotaalpie"/>
          <w:rFonts w:ascii="Arial" w:eastAsia="Calibri" w:hAnsi="Arial" w:cs="Arial"/>
          <w:color w:val="000000" w:themeColor="text1"/>
          <w:sz w:val="22"/>
          <w:lang w:val="es-ES"/>
        </w:rPr>
        <w:footnoteReference w:id="3"/>
      </w:r>
      <w:r>
        <w:rPr>
          <w:rFonts w:ascii="Arial" w:eastAsia="Calibri" w:hAnsi="Arial" w:cs="Arial"/>
          <w:color w:val="000000" w:themeColor="text1"/>
          <w:sz w:val="22"/>
          <w:lang w:val="es-ES"/>
        </w:rPr>
        <w:t xml:space="preserve">. En esta medida, tienen como objetivo reparar los perjuicios causados por conductas atribuibles al contratista, por lo que estos últimos son un presupuesto necesario para el pago que cubre la garantía. </w:t>
      </w:r>
      <w:r w:rsidRPr="008F1741">
        <w:rPr>
          <w:rFonts w:ascii="Arial" w:hAnsi="Arial" w:cs="Arial"/>
          <w:color w:val="000000" w:themeColor="text1"/>
          <w:sz w:val="22"/>
          <w:lang w:val="es-ES_tradnl"/>
        </w:rPr>
        <w:t>Para estos efectos</w:t>
      </w:r>
      <w:r>
        <w:rPr>
          <w:rFonts w:ascii="Arial" w:hAnsi="Arial" w:cs="Arial"/>
          <w:color w:val="000000" w:themeColor="text1"/>
          <w:sz w:val="22"/>
          <w:lang w:val="es-ES_tradnl"/>
        </w:rPr>
        <w:t xml:space="preserve"> es única, ya que</w:t>
      </w:r>
      <w:r w:rsidRPr="008F1741">
        <w:rPr>
          <w:rFonts w:ascii="Arial" w:hAnsi="Arial" w:cs="Arial"/>
          <w:color w:val="000000" w:themeColor="text1"/>
          <w:sz w:val="22"/>
          <w:lang w:val="es-ES_tradnl"/>
        </w:rPr>
        <w:t xml:space="preserve"> «[…] La prioridad […] es que no haya garantías separadas para los diferentes riesgos, aunque existan varias garantías para diferentes proporciones del interés asegurado […]»</w:t>
      </w:r>
      <w:r w:rsidRPr="008F1741">
        <w:rPr>
          <w:rStyle w:val="Refdenotaalpie"/>
          <w:rFonts w:ascii="Arial" w:hAnsi="Arial" w:cs="Arial"/>
          <w:color w:val="000000" w:themeColor="text1"/>
          <w:sz w:val="22"/>
          <w:lang w:val="es-ES_tradnl"/>
        </w:rPr>
        <w:footnoteReference w:id="4"/>
      </w:r>
      <w:r w:rsidRPr="008F1741">
        <w:rPr>
          <w:rFonts w:ascii="Arial" w:hAnsi="Arial" w:cs="Arial"/>
          <w:color w:val="000000" w:themeColor="text1"/>
          <w:sz w:val="22"/>
          <w:lang w:val="es-ES_tradnl"/>
        </w:rPr>
        <w:t xml:space="preserve">.    </w:t>
      </w:r>
    </w:p>
    <w:p w14:paraId="3CCB6205" w14:textId="77777777" w:rsidR="00B57A7D" w:rsidRDefault="00B57A7D" w:rsidP="00B57A7D">
      <w:pPr>
        <w:spacing w:after="120" w:line="276" w:lineRule="auto"/>
        <w:ind w:firstLine="708"/>
        <w:jc w:val="both"/>
        <w:rPr>
          <w:rFonts w:ascii="Arial" w:hAnsi="Arial" w:cs="Arial"/>
          <w:color w:val="000000" w:themeColor="text1"/>
          <w:sz w:val="22"/>
          <w:lang w:val="es-ES_tradnl"/>
        </w:rPr>
      </w:pPr>
      <w:r w:rsidRPr="0059064D">
        <w:rPr>
          <w:rFonts w:ascii="Arial" w:hAnsi="Arial" w:cs="Arial"/>
          <w:color w:val="000000" w:themeColor="text1"/>
          <w:sz w:val="22"/>
          <w:lang w:val="es-ES_tradnl"/>
        </w:rPr>
        <w:t>Desde esta perspectiva, ambas</w:t>
      </w:r>
      <w:r>
        <w:rPr>
          <w:rFonts w:ascii="Arial" w:hAnsi="Arial" w:cs="Arial"/>
          <w:color w:val="000000" w:themeColor="text1"/>
          <w:sz w:val="22"/>
          <w:lang w:val="es-ES_tradnl"/>
        </w:rPr>
        <w:t xml:space="preserve"> garantías</w:t>
      </w:r>
      <w:r w:rsidRPr="0059064D">
        <w:rPr>
          <w:rFonts w:ascii="Arial" w:hAnsi="Arial" w:cs="Arial"/>
          <w:color w:val="000000" w:themeColor="text1"/>
          <w:sz w:val="22"/>
          <w:lang w:val="es-ES_tradnl"/>
        </w:rPr>
        <w:t xml:space="preserve"> constituyen una obligación de seguridad, es decir, aquella donde el interés del acreedor no consiste en una utilidad específica y tangible, sino en la tranquilidad frente a ciertos riesgos por la cobertura de sus consecuencias nocivas.</w:t>
      </w:r>
      <w:r>
        <w:rPr>
          <w:rFonts w:ascii="Arial" w:hAnsi="Arial" w:cs="Arial"/>
          <w:color w:val="000000" w:themeColor="text1"/>
          <w:sz w:val="22"/>
          <w:lang w:val="es-ES_tradnl"/>
        </w:rPr>
        <w:t xml:space="preserve"> Conforme al artículo 7 de la Ley 1150 de 2007, </w:t>
      </w:r>
      <w:r w:rsidRPr="008F1741">
        <w:rPr>
          <w:rFonts w:ascii="Arial" w:hAnsi="Arial" w:cs="Arial"/>
          <w:color w:val="000000" w:themeColor="text1"/>
          <w:sz w:val="22"/>
          <w:lang w:val="es-ES_tradnl"/>
        </w:rPr>
        <w:t xml:space="preserve">pueden otorgarse a través de: i) contratos de seguro, </w:t>
      </w:r>
      <w:proofErr w:type="spellStart"/>
      <w:r w:rsidRPr="008F1741">
        <w:rPr>
          <w:rFonts w:ascii="Arial" w:hAnsi="Arial" w:cs="Arial"/>
          <w:color w:val="000000" w:themeColor="text1"/>
          <w:sz w:val="22"/>
          <w:lang w:val="es-ES_tradnl"/>
        </w:rPr>
        <w:t>ii</w:t>
      </w:r>
      <w:proofErr w:type="spellEnd"/>
      <w:r w:rsidRPr="008F1741">
        <w:rPr>
          <w:rFonts w:ascii="Arial" w:hAnsi="Arial" w:cs="Arial"/>
          <w:color w:val="000000" w:themeColor="text1"/>
          <w:sz w:val="22"/>
          <w:lang w:val="es-ES_tradnl"/>
        </w:rPr>
        <w:t xml:space="preserve">) garantías bancarias o </w:t>
      </w:r>
      <w:proofErr w:type="spellStart"/>
      <w:r w:rsidRPr="008F1741">
        <w:rPr>
          <w:rFonts w:ascii="Arial" w:hAnsi="Arial" w:cs="Arial"/>
          <w:color w:val="000000" w:themeColor="text1"/>
          <w:sz w:val="22"/>
          <w:lang w:val="es-ES_tradnl"/>
        </w:rPr>
        <w:t>iii</w:t>
      </w:r>
      <w:proofErr w:type="spellEnd"/>
      <w:r w:rsidRPr="008F1741">
        <w:rPr>
          <w:rFonts w:ascii="Arial" w:hAnsi="Arial" w:cs="Arial"/>
          <w:color w:val="000000" w:themeColor="text1"/>
          <w:sz w:val="22"/>
          <w:lang w:val="es-ES_tradnl"/>
        </w:rPr>
        <w:t>) los demás mecanismos de cobertura del riesgo que disponga el reglamento. Igualmente establece que «[…] tratándose de pólizas, las mismas no expirarán por falta de pago de la prima o por revocatoria unilateral […]». Esta norma es una excepción a la terminación automática del contrato de seguro prevista en los artículos 1068 y 1071 del Código de Comercio</w:t>
      </w:r>
      <w:r w:rsidRPr="008F1741">
        <w:rPr>
          <w:rStyle w:val="Refdenotaalpie"/>
          <w:rFonts w:ascii="Arial" w:hAnsi="Arial" w:cs="Arial"/>
          <w:color w:val="000000" w:themeColor="text1"/>
          <w:sz w:val="22"/>
          <w:lang w:val="es-ES_tradnl"/>
        </w:rPr>
        <w:footnoteReference w:id="5"/>
      </w:r>
      <w:r w:rsidRPr="008F1741">
        <w:rPr>
          <w:rFonts w:ascii="Arial" w:hAnsi="Arial" w:cs="Arial"/>
          <w:color w:val="000000" w:themeColor="text1"/>
          <w:sz w:val="22"/>
          <w:lang w:val="es-ES_tradnl"/>
        </w:rPr>
        <w:t xml:space="preserve">. </w:t>
      </w:r>
      <w:r>
        <w:rPr>
          <w:rFonts w:ascii="Arial" w:hAnsi="Arial" w:cs="Arial"/>
          <w:color w:val="000000" w:themeColor="text1"/>
          <w:sz w:val="22"/>
          <w:lang w:val="es-ES_tradnl"/>
        </w:rPr>
        <w:t>De esta manera, l</w:t>
      </w:r>
      <w:r w:rsidRPr="008F1741">
        <w:rPr>
          <w:rFonts w:ascii="Arial" w:hAnsi="Arial" w:cs="Arial"/>
          <w:color w:val="000000" w:themeColor="text1"/>
          <w:sz w:val="22"/>
          <w:lang w:val="es-ES_tradnl"/>
        </w:rPr>
        <w:t xml:space="preserve">as garantías previstas </w:t>
      </w:r>
      <w:r>
        <w:rPr>
          <w:rFonts w:ascii="Arial" w:hAnsi="Arial" w:cs="Arial"/>
          <w:color w:val="000000" w:themeColor="text1"/>
          <w:sz w:val="22"/>
          <w:lang w:val="es-ES_tradnl"/>
        </w:rPr>
        <w:t>en la ley</w:t>
      </w:r>
      <w:r w:rsidRPr="008F1741">
        <w:rPr>
          <w:rFonts w:ascii="Arial" w:hAnsi="Arial" w:cs="Arial"/>
          <w:color w:val="000000" w:themeColor="text1"/>
          <w:sz w:val="22"/>
          <w:lang w:val="es-ES_tradnl"/>
        </w:rPr>
        <w:t xml:space="preserve"> tienen como objetivo asegurar la solvencia del garante</w:t>
      </w:r>
      <w:r w:rsidRPr="008F1741">
        <w:rPr>
          <w:rStyle w:val="Refdenotaalpie"/>
          <w:rFonts w:ascii="Arial" w:hAnsi="Arial" w:cs="Arial"/>
          <w:color w:val="000000" w:themeColor="text1"/>
          <w:sz w:val="22"/>
          <w:lang w:val="es-ES_tradnl"/>
        </w:rPr>
        <w:footnoteReference w:id="6"/>
      </w:r>
      <w:r w:rsidRPr="008F1741">
        <w:rPr>
          <w:rFonts w:ascii="Arial" w:hAnsi="Arial" w:cs="Arial"/>
          <w:color w:val="000000" w:themeColor="text1"/>
          <w:sz w:val="22"/>
          <w:lang w:val="es-ES_tradnl"/>
        </w:rPr>
        <w:t>.</w:t>
      </w:r>
    </w:p>
    <w:p w14:paraId="1846C7F9" w14:textId="041F18A0" w:rsidR="00B57A7D" w:rsidRPr="00692DC1" w:rsidRDefault="00B57A7D" w:rsidP="00903199">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E</w:t>
      </w:r>
      <w:r w:rsidRPr="00692DC1">
        <w:rPr>
          <w:rFonts w:ascii="Arial" w:hAnsi="Arial" w:cs="Arial"/>
          <w:color w:val="000000" w:themeColor="text1"/>
          <w:sz w:val="22"/>
        </w:rPr>
        <w:t>l Decreto 1082 de 2015</w:t>
      </w:r>
      <w:r>
        <w:rPr>
          <w:rFonts w:ascii="Arial" w:hAnsi="Arial" w:cs="Arial"/>
          <w:color w:val="000000" w:themeColor="text1"/>
          <w:sz w:val="22"/>
        </w:rPr>
        <w:t xml:space="preserve"> reglamenta</w:t>
      </w:r>
      <w:r w:rsidRPr="00CC0D80">
        <w:rPr>
          <w:rFonts w:ascii="Arial" w:hAnsi="Arial" w:cs="Arial"/>
          <w:color w:val="000000" w:themeColor="text1"/>
          <w:sz w:val="22"/>
        </w:rPr>
        <w:t xml:space="preserve"> </w:t>
      </w:r>
      <w:r>
        <w:rPr>
          <w:rFonts w:ascii="Arial" w:hAnsi="Arial" w:cs="Arial"/>
          <w:color w:val="000000" w:themeColor="text1"/>
          <w:sz w:val="22"/>
        </w:rPr>
        <w:t>l</w:t>
      </w:r>
      <w:r w:rsidRPr="00692DC1">
        <w:rPr>
          <w:rFonts w:ascii="Arial" w:hAnsi="Arial" w:cs="Arial"/>
          <w:color w:val="000000" w:themeColor="text1"/>
          <w:sz w:val="22"/>
        </w:rPr>
        <w:t>as condiciones en que debe cumplirse esta obligación</w:t>
      </w:r>
      <w:r>
        <w:rPr>
          <w:rFonts w:ascii="Arial" w:hAnsi="Arial" w:cs="Arial"/>
          <w:color w:val="000000" w:themeColor="text1"/>
          <w:sz w:val="22"/>
        </w:rPr>
        <w:t>. Los</w:t>
      </w:r>
      <w:r w:rsidRPr="00692DC1">
        <w:rPr>
          <w:rFonts w:ascii="Arial" w:hAnsi="Arial" w:cs="Arial"/>
          <w:color w:val="000000" w:themeColor="text1"/>
          <w:sz w:val="22"/>
        </w:rPr>
        <w:t xml:space="preserve"> artículos 2.2.1.2.3.1.1 </w:t>
      </w:r>
      <w:r>
        <w:rPr>
          <w:rFonts w:ascii="Arial" w:hAnsi="Arial" w:cs="Arial"/>
          <w:color w:val="000000" w:themeColor="text1"/>
          <w:sz w:val="22"/>
        </w:rPr>
        <w:t>a</w:t>
      </w:r>
      <w:r w:rsidRPr="00692DC1">
        <w:rPr>
          <w:rFonts w:ascii="Arial" w:hAnsi="Arial" w:cs="Arial"/>
          <w:color w:val="000000" w:themeColor="text1"/>
          <w:sz w:val="22"/>
        </w:rPr>
        <w:t xml:space="preserve"> 2.2.1.2.3.1.19</w:t>
      </w:r>
      <w:r>
        <w:rPr>
          <w:rFonts w:ascii="Arial" w:hAnsi="Arial" w:cs="Arial"/>
          <w:color w:val="000000" w:themeColor="text1"/>
          <w:sz w:val="22"/>
        </w:rPr>
        <w:t xml:space="preserve"> del </w:t>
      </w:r>
      <w:r w:rsidRPr="002E3B35">
        <w:rPr>
          <w:rFonts w:ascii="Arial" w:hAnsi="Arial" w:cs="Arial"/>
          <w:color w:val="000000" w:themeColor="text1"/>
          <w:sz w:val="22"/>
        </w:rPr>
        <w:t xml:space="preserve">Decreto Único Reglamentario del </w:t>
      </w:r>
      <w:r w:rsidRPr="002E3B35">
        <w:rPr>
          <w:rFonts w:ascii="Arial" w:hAnsi="Arial" w:cs="Arial"/>
          <w:color w:val="000000" w:themeColor="text1"/>
          <w:sz w:val="22"/>
        </w:rPr>
        <w:lastRenderedPageBreak/>
        <w:t>sector Administrativo de Planeación Nacional</w:t>
      </w:r>
      <w:r w:rsidRPr="00692DC1">
        <w:rPr>
          <w:rFonts w:ascii="Arial" w:hAnsi="Arial" w:cs="Arial"/>
          <w:color w:val="000000" w:themeColor="text1"/>
          <w:sz w:val="22"/>
        </w:rPr>
        <w:t xml:space="preserve"> </w:t>
      </w:r>
      <w:r>
        <w:rPr>
          <w:rFonts w:ascii="Arial" w:hAnsi="Arial" w:cs="Arial"/>
          <w:color w:val="000000" w:themeColor="text1"/>
          <w:sz w:val="22"/>
        </w:rPr>
        <w:t>regulan</w:t>
      </w:r>
      <w:r w:rsidRPr="00692DC1">
        <w:rPr>
          <w:rFonts w:ascii="Arial" w:hAnsi="Arial" w:cs="Arial"/>
          <w:color w:val="000000" w:themeColor="text1"/>
          <w:sz w:val="22"/>
        </w:rPr>
        <w:t xml:space="preserve"> asuntos como las clases de garantías permitidas, </w:t>
      </w:r>
      <w:r w:rsidR="000C4F94">
        <w:rPr>
          <w:rFonts w:ascii="Arial" w:hAnsi="Arial" w:cs="Arial"/>
          <w:color w:val="000000" w:themeColor="text1"/>
          <w:sz w:val="22"/>
        </w:rPr>
        <w:t>su</w:t>
      </w:r>
      <w:r w:rsidRPr="00692DC1">
        <w:rPr>
          <w:rFonts w:ascii="Arial" w:hAnsi="Arial" w:cs="Arial"/>
          <w:color w:val="000000" w:themeColor="text1"/>
          <w:sz w:val="22"/>
        </w:rPr>
        <w:t xml:space="preserve"> indivisibilidad, los diferentes riesgos que deben ser objeto de garantía, la vigencia y valores mínimos que deben cubrir los amparos, entre otros aspectos. </w:t>
      </w:r>
    </w:p>
    <w:p w14:paraId="7DCA63CD" w14:textId="38006095" w:rsidR="00B57A7D" w:rsidRPr="007E377C" w:rsidRDefault="00B57A7D" w:rsidP="007E377C">
      <w:pPr>
        <w:spacing w:before="120" w:after="120" w:line="276" w:lineRule="auto"/>
        <w:ind w:firstLine="708"/>
        <w:jc w:val="both"/>
        <w:rPr>
          <w:rFonts w:ascii="Arial" w:hAnsi="Arial" w:cs="Arial"/>
          <w:color w:val="000000" w:themeColor="text1"/>
          <w:sz w:val="22"/>
          <w:lang w:eastAsia="es-CO"/>
        </w:rPr>
      </w:pPr>
      <w:r w:rsidRPr="00692DC1">
        <w:rPr>
          <w:rFonts w:ascii="Arial" w:hAnsi="Arial" w:cs="Arial"/>
          <w:color w:val="000000" w:themeColor="text1"/>
          <w:sz w:val="22"/>
        </w:rPr>
        <w:t>El artículo 2.2.1.2.3.1.3, por ejemplo, establece que la «garantía de cobertura del Riesgo es indivisible», además de la obligación de los contratantes de establecer en los pliegos de condiciones las garantías exigidas para cada per</w:t>
      </w:r>
      <w:r w:rsidR="000C4F94">
        <w:rPr>
          <w:rFonts w:ascii="Arial" w:hAnsi="Arial" w:cs="Arial"/>
          <w:color w:val="000000" w:themeColor="text1"/>
          <w:sz w:val="22"/>
        </w:rPr>
        <w:t>í</w:t>
      </w:r>
      <w:r w:rsidRPr="00692DC1">
        <w:rPr>
          <w:rFonts w:ascii="Arial" w:hAnsi="Arial" w:cs="Arial"/>
          <w:color w:val="000000" w:themeColor="text1"/>
          <w:sz w:val="22"/>
        </w:rPr>
        <w:t>odo contractual</w:t>
      </w:r>
      <w:r w:rsidRPr="00692DC1">
        <w:rPr>
          <w:rStyle w:val="Refdenotaalpie"/>
          <w:rFonts w:ascii="Arial" w:hAnsi="Arial" w:cs="Arial"/>
          <w:color w:val="000000" w:themeColor="text1"/>
          <w:sz w:val="22"/>
        </w:rPr>
        <w:footnoteReference w:id="7"/>
      </w:r>
      <w:r w:rsidRPr="00692DC1">
        <w:rPr>
          <w:rFonts w:ascii="Arial" w:hAnsi="Arial" w:cs="Arial"/>
          <w:color w:val="000000" w:themeColor="text1"/>
          <w:sz w:val="22"/>
        </w:rPr>
        <w:t xml:space="preserve">. </w:t>
      </w:r>
      <w:r>
        <w:rPr>
          <w:rFonts w:ascii="Arial" w:hAnsi="Arial" w:cs="Arial"/>
          <w:color w:val="000000" w:themeColor="text1"/>
          <w:sz w:val="22"/>
        </w:rPr>
        <w:t>Por su parte,</w:t>
      </w:r>
      <w:r w:rsidRPr="00692DC1">
        <w:rPr>
          <w:rFonts w:ascii="Arial" w:hAnsi="Arial" w:cs="Arial"/>
          <w:color w:val="000000" w:themeColor="text1"/>
          <w:sz w:val="22"/>
        </w:rPr>
        <w:t xml:space="preserve"> el artículo 2.2.1.3.1.7 prescribe que la garantía de cumplimiento debe cubrir: i) el buen manejo y correcta inversión del anticipo; </w:t>
      </w:r>
      <w:proofErr w:type="spellStart"/>
      <w:r w:rsidRPr="00692DC1">
        <w:rPr>
          <w:rFonts w:ascii="Arial" w:hAnsi="Arial" w:cs="Arial"/>
          <w:color w:val="000000" w:themeColor="text1"/>
          <w:sz w:val="22"/>
        </w:rPr>
        <w:t>ii</w:t>
      </w:r>
      <w:proofErr w:type="spellEnd"/>
      <w:r w:rsidRPr="00692DC1">
        <w:rPr>
          <w:rFonts w:ascii="Arial" w:hAnsi="Arial" w:cs="Arial"/>
          <w:color w:val="000000" w:themeColor="text1"/>
          <w:sz w:val="22"/>
        </w:rPr>
        <w:t xml:space="preserve">) la devolución del pago anticipado; </w:t>
      </w:r>
      <w:proofErr w:type="spellStart"/>
      <w:r w:rsidRPr="00692DC1">
        <w:rPr>
          <w:rFonts w:ascii="Arial" w:hAnsi="Arial" w:cs="Arial"/>
          <w:color w:val="000000" w:themeColor="text1"/>
          <w:sz w:val="22"/>
        </w:rPr>
        <w:t>iii</w:t>
      </w:r>
      <w:proofErr w:type="spellEnd"/>
      <w:r w:rsidRPr="00692DC1">
        <w:rPr>
          <w:rFonts w:ascii="Arial" w:hAnsi="Arial" w:cs="Arial"/>
          <w:color w:val="000000" w:themeColor="text1"/>
          <w:sz w:val="22"/>
        </w:rPr>
        <w:t xml:space="preserve">) </w:t>
      </w:r>
      <w:r>
        <w:rPr>
          <w:rFonts w:ascii="Arial" w:hAnsi="Arial" w:cs="Arial"/>
          <w:color w:val="000000" w:themeColor="text1"/>
          <w:sz w:val="22"/>
        </w:rPr>
        <w:t xml:space="preserve">el </w:t>
      </w:r>
      <w:r w:rsidRPr="00692DC1">
        <w:rPr>
          <w:rFonts w:ascii="Arial" w:hAnsi="Arial" w:cs="Arial"/>
          <w:color w:val="000000" w:themeColor="text1"/>
          <w:sz w:val="22"/>
        </w:rPr>
        <w:t xml:space="preserve">cumplimiento del contrato; </w:t>
      </w:r>
      <w:proofErr w:type="spellStart"/>
      <w:r w:rsidRPr="00692DC1">
        <w:rPr>
          <w:rFonts w:ascii="Arial" w:hAnsi="Arial" w:cs="Arial"/>
          <w:color w:val="000000" w:themeColor="text1"/>
          <w:sz w:val="22"/>
        </w:rPr>
        <w:t>iv</w:t>
      </w:r>
      <w:proofErr w:type="spellEnd"/>
      <w:r w:rsidRPr="00692DC1">
        <w:rPr>
          <w:rFonts w:ascii="Arial" w:hAnsi="Arial" w:cs="Arial"/>
          <w:color w:val="000000" w:themeColor="text1"/>
          <w:sz w:val="22"/>
        </w:rPr>
        <w:t xml:space="preserve">) </w:t>
      </w:r>
      <w:r>
        <w:rPr>
          <w:rFonts w:ascii="Arial" w:hAnsi="Arial" w:cs="Arial"/>
          <w:color w:val="000000" w:themeColor="text1"/>
          <w:sz w:val="22"/>
        </w:rPr>
        <w:t xml:space="preserve">el </w:t>
      </w:r>
      <w:r w:rsidRPr="00692DC1">
        <w:rPr>
          <w:rFonts w:ascii="Arial" w:hAnsi="Arial" w:cs="Arial"/>
          <w:color w:val="000000" w:themeColor="text1"/>
          <w:sz w:val="22"/>
        </w:rPr>
        <w:t xml:space="preserve">pago de salarios, prestaciones sociales legales e indemnizaciones laborales; v) </w:t>
      </w:r>
      <w:r>
        <w:rPr>
          <w:rFonts w:ascii="Arial" w:hAnsi="Arial" w:cs="Arial"/>
          <w:color w:val="000000" w:themeColor="text1"/>
          <w:sz w:val="22"/>
        </w:rPr>
        <w:t xml:space="preserve"> la </w:t>
      </w:r>
      <w:r w:rsidRPr="00692DC1">
        <w:rPr>
          <w:rFonts w:ascii="Arial" w:hAnsi="Arial" w:cs="Arial"/>
          <w:color w:val="000000" w:themeColor="text1"/>
          <w:sz w:val="22"/>
        </w:rPr>
        <w:t xml:space="preserve">estabilidad y calidad de la obra; vi) </w:t>
      </w:r>
      <w:r>
        <w:rPr>
          <w:rFonts w:ascii="Arial" w:hAnsi="Arial" w:cs="Arial"/>
          <w:color w:val="000000" w:themeColor="text1"/>
          <w:sz w:val="22"/>
        </w:rPr>
        <w:t xml:space="preserve">la </w:t>
      </w:r>
      <w:r w:rsidRPr="00692DC1">
        <w:rPr>
          <w:rFonts w:ascii="Arial" w:hAnsi="Arial" w:cs="Arial"/>
          <w:color w:val="000000" w:themeColor="text1"/>
          <w:sz w:val="22"/>
          <w:lang w:eastAsia="es-CO"/>
        </w:rPr>
        <w:t xml:space="preserve">calidad del servicio; </w:t>
      </w:r>
      <w:proofErr w:type="spellStart"/>
      <w:r w:rsidRPr="00692DC1">
        <w:rPr>
          <w:rFonts w:ascii="Arial" w:hAnsi="Arial" w:cs="Arial"/>
          <w:color w:val="000000" w:themeColor="text1"/>
          <w:sz w:val="22"/>
          <w:lang w:eastAsia="es-CO"/>
        </w:rPr>
        <w:t>vii</w:t>
      </w:r>
      <w:proofErr w:type="spellEnd"/>
      <w:r w:rsidRPr="00692DC1">
        <w:rPr>
          <w:rFonts w:ascii="Arial" w:hAnsi="Arial" w:cs="Arial"/>
          <w:color w:val="000000" w:themeColor="text1"/>
          <w:sz w:val="22"/>
          <w:lang w:eastAsia="es-CO"/>
        </w:rPr>
        <w:t xml:space="preserve">) </w:t>
      </w:r>
      <w:r>
        <w:rPr>
          <w:rFonts w:ascii="Arial" w:hAnsi="Arial" w:cs="Arial"/>
          <w:color w:val="000000" w:themeColor="text1"/>
          <w:sz w:val="22"/>
          <w:lang w:eastAsia="es-CO"/>
        </w:rPr>
        <w:t xml:space="preserve">la </w:t>
      </w:r>
      <w:r w:rsidRPr="00692DC1">
        <w:rPr>
          <w:rFonts w:ascii="Arial" w:hAnsi="Arial" w:cs="Arial"/>
          <w:color w:val="000000" w:themeColor="text1"/>
          <w:sz w:val="22"/>
          <w:lang w:eastAsia="es-CO"/>
        </w:rPr>
        <w:t xml:space="preserve">calidad y correcto funcionamiento de los bienes; y </w:t>
      </w:r>
      <w:proofErr w:type="spellStart"/>
      <w:r w:rsidRPr="00692DC1">
        <w:rPr>
          <w:rFonts w:ascii="Arial" w:hAnsi="Arial" w:cs="Arial"/>
          <w:color w:val="000000" w:themeColor="text1"/>
          <w:sz w:val="22"/>
          <w:lang w:eastAsia="es-CO"/>
        </w:rPr>
        <w:t>viii</w:t>
      </w:r>
      <w:proofErr w:type="spellEnd"/>
      <w:r w:rsidRPr="00692DC1">
        <w:rPr>
          <w:rFonts w:ascii="Arial" w:hAnsi="Arial" w:cs="Arial"/>
          <w:color w:val="000000" w:themeColor="text1"/>
          <w:sz w:val="22"/>
          <w:lang w:eastAsia="es-CO"/>
        </w:rPr>
        <w:t>) los demás incumplimientos de las obligaciones que la entidad estatal considere deben ser amparados</w:t>
      </w:r>
      <w:r w:rsidRPr="00692DC1">
        <w:rPr>
          <w:rStyle w:val="Refdenotaalpie"/>
          <w:rFonts w:ascii="Arial" w:hAnsi="Arial" w:cs="Arial"/>
          <w:color w:val="000000" w:themeColor="text1"/>
          <w:sz w:val="22"/>
          <w:lang w:eastAsia="es-CO"/>
        </w:rPr>
        <w:footnoteReference w:id="8"/>
      </w:r>
      <w:r w:rsidRPr="00692DC1">
        <w:rPr>
          <w:rFonts w:ascii="Arial" w:hAnsi="Arial" w:cs="Arial"/>
          <w:color w:val="000000" w:themeColor="text1"/>
          <w:sz w:val="22"/>
          <w:lang w:eastAsia="es-CO"/>
        </w:rPr>
        <w:t xml:space="preserve">. </w:t>
      </w:r>
    </w:p>
    <w:p w14:paraId="3CAAC6CD" w14:textId="34E793F5" w:rsidR="009C4428" w:rsidRDefault="00B57A7D" w:rsidP="008301D8">
      <w:pPr>
        <w:spacing w:line="276" w:lineRule="auto"/>
        <w:ind w:firstLine="709"/>
        <w:jc w:val="both"/>
        <w:rPr>
          <w:rFonts w:ascii="Arial" w:hAnsi="Arial" w:cs="Arial"/>
          <w:bCs/>
          <w:color w:val="000000" w:themeColor="text1"/>
          <w:sz w:val="22"/>
          <w:lang w:val="es-ES_tradnl"/>
        </w:rPr>
      </w:pPr>
      <w:r>
        <w:rPr>
          <w:rFonts w:ascii="Arial" w:hAnsi="Arial" w:cs="Arial"/>
          <w:bCs/>
          <w:color w:val="000000" w:themeColor="text1"/>
          <w:sz w:val="22"/>
          <w:lang w:val="es-ES_tradnl"/>
        </w:rPr>
        <w:lastRenderedPageBreak/>
        <w:t>En este contexto general de la materia, l</w:t>
      </w:r>
      <w:r w:rsidR="00296FAA">
        <w:rPr>
          <w:rFonts w:ascii="Arial" w:hAnsi="Arial" w:cs="Arial"/>
          <w:bCs/>
          <w:color w:val="000000" w:themeColor="text1"/>
          <w:sz w:val="22"/>
          <w:lang w:val="es-ES_tradnl"/>
        </w:rPr>
        <w:t>o importante es que las</w:t>
      </w:r>
      <w:r w:rsidR="00557DED">
        <w:rPr>
          <w:rFonts w:ascii="Arial" w:hAnsi="Arial" w:cs="Arial"/>
          <w:bCs/>
          <w:color w:val="000000" w:themeColor="text1"/>
          <w:sz w:val="22"/>
          <w:lang w:val="es-ES_tradnl"/>
        </w:rPr>
        <w:t xml:space="preserve"> garantías constituyen mecanismos de cobertura de riesgos en los procesos de contratación pública. Sin embarg</w:t>
      </w:r>
      <w:r w:rsidR="009C4428">
        <w:rPr>
          <w:rFonts w:ascii="Arial" w:hAnsi="Arial" w:cs="Arial"/>
          <w:bCs/>
          <w:color w:val="000000" w:themeColor="text1"/>
          <w:sz w:val="22"/>
          <w:lang w:val="es-ES_tradnl"/>
        </w:rPr>
        <w:t xml:space="preserve">o, queda la inquietud de cómo la entidad pública puede hacer un control o verificación de la autenticidad de las pólizas de seguro, garantías bancarias o patrimonios autónomos. Al respecto, la Superintendencia de Industria y Comercio y </w:t>
      </w:r>
      <w:r w:rsidR="008429CC">
        <w:rPr>
          <w:rFonts w:ascii="Arial" w:hAnsi="Arial" w:cs="Arial"/>
          <w:bCs/>
          <w:color w:val="000000" w:themeColor="text1"/>
          <w:sz w:val="22"/>
          <w:lang w:val="es-ES_tradnl"/>
        </w:rPr>
        <w:t xml:space="preserve">la Agencia Nacional de Contratación Pública - </w:t>
      </w:r>
      <w:r w:rsidR="009C4428">
        <w:rPr>
          <w:rFonts w:ascii="Arial" w:hAnsi="Arial" w:cs="Arial"/>
          <w:bCs/>
          <w:color w:val="000000" w:themeColor="text1"/>
          <w:sz w:val="22"/>
          <w:lang w:val="es-ES_tradnl"/>
        </w:rPr>
        <w:t>Colombia Compra E</w:t>
      </w:r>
      <w:r w:rsidR="00EE1289">
        <w:rPr>
          <w:rFonts w:ascii="Arial" w:hAnsi="Arial" w:cs="Arial"/>
          <w:bCs/>
          <w:color w:val="000000" w:themeColor="text1"/>
          <w:sz w:val="22"/>
          <w:lang w:val="es-ES_tradnl"/>
        </w:rPr>
        <w:t>ficiente expidieron</w:t>
      </w:r>
      <w:r w:rsidR="009C4428">
        <w:rPr>
          <w:rFonts w:ascii="Arial" w:hAnsi="Arial" w:cs="Arial"/>
          <w:bCs/>
          <w:color w:val="000000" w:themeColor="text1"/>
          <w:sz w:val="22"/>
          <w:lang w:val="es-ES_tradnl"/>
        </w:rPr>
        <w:t xml:space="preserve"> una</w:t>
      </w:r>
      <w:r w:rsidR="008301D8">
        <w:rPr>
          <w:rFonts w:ascii="Arial" w:hAnsi="Arial" w:cs="Arial"/>
          <w:bCs/>
          <w:color w:val="000000" w:themeColor="text1"/>
          <w:sz w:val="22"/>
          <w:lang w:val="es-ES_tradnl"/>
        </w:rPr>
        <w:t xml:space="preserve"> Circular Conjunta 01 de</w:t>
      </w:r>
      <w:r>
        <w:rPr>
          <w:rFonts w:ascii="Arial" w:hAnsi="Arial" w:cs="Arial"/>
          <w:bCs/>
          <w:color w:val="000000" w:themeColor="text1"/>
          <w:sz w:val="22"/>
          <w:lang w:val="es-ES_tradnl"/>
        </w:rPr>
        <w:t>l 20 de agosto de</w:t>
      </w:r>
      <w:r w:rsidR="008301D8">
        <w:rPr>
          <w:rFonts w:ascii="Arial" w:hAnsi="Arial" w:cs="Arial"/>
          <w:bCs/>
          <w:color w:val="000000" w:themeColor="text1"/>
          <w:sz w:val="22"/>
          <w:lang w:val="es-ES_tradnl"/>
        </w:rPr>
        <w:t xml:space="preserve"> 202</w:t>
      </w:r>
      <w:r>
        <w:rPr>
          <w:rFonts w:ascii="Arial" w:hAnsi="Arial" w:cs="Arial"/>
          <w:bCs/>
          <w:color w:val="000000" w:themeColor="text1"/>
          <w:sz w:val="22"/>
          <w:lang w:val="es-ES_tradnl"/>
        </w:rPr>
        <w:t>1</w:t>
      </w:r>
      <w:r w:rsidR="009C4428">
        <w:rPr>
          <w:rFonts w:ascii="Arial" w:hAnsi="Arial" w:cs="Arial"/>
          <w:bCs/>
          <w:color w:val="000000" w:themeColor="text1"/>
          <w:sz w:val="22"/>
          <w:lang w:val="es-ES_tradnl"/>
        </w:rPr>
        <w:t>,</w:t>
      </w:r>
      <w:r w:rsidR="008301D8">
        <w:rPr>
          <w:rFonts w:ascii="Arial" w:hAnsi="Arial" w:cs="Arial"/>
          <w:bCs/>
          <w:color w:val="000000" w:themeColor="text1"/>
          <w:sz w:val="22"/>
          <w:lang w:val="es-ES_tradnl"/>
        </w:rPr>
        <w:t xml:space="preserve"> en la que se</w:t>
      </w:r>
      <w:r w:rsidR="009C4428">
        <w:rPr>
          <w:rFonts w:ascii="Arial" w:hAnsi="Arial" w:cs="Arial"/>
          <w:bCs/>
          <w:color w:val="000000" w:themeColor="text1"/>
          <w:sz w:val="22"/>
          <w:lang w:val="es-ES_tradnl"/>
        </w:rPr>
        <w:t xml:space="preserve"> establecen las siguientes directrices</w:t>
      </w:r>
      <w:r w:rsidR="008301D8">
        <w:rPr>
          <w:rFonts w:ascii="Arial" w:hAnsi="Arial" w:cs="Arial"/>
          <w:bCs/>
          <w:color w:val="000000" w:themeColor="text1"/>
          <w:sz w:val="22"/>
          <w:lang w:val="es-ES_tradnl"/>
        </w:rPr>
        <w:t>:</w:t>
      </w:r>
    </w:p>
    <w:p w14:paraId="00406044" w14:textId="77777777" w:rsidR="008301D8" w:rsidRDefault="008301D8" w:rsidP="007E377C">
      <w:pPr>
        <w:spacing w:line="276" w:lineRule="auto"/>
        <w:ind w:firstLine="709"/>
        <w:jc w:val="both"/>
        <w:rPr>
          <w:rFonts w:ascii="Arial" w:hAnsi="Arial" w:cs="Arial"/>
          <w:bCs/>
          <w:color w:val="000000" w:themeColor="text1"/>
          <w:sz w:val="22"/>
          <w:lang w:val="es-ES_tradnl"/>
        </w:rPr>
      </w:pPr>
    </w:p>
    <w:p w14:paraId="52C9E80E" w14:textId="77777777" w:rsidR="008301D8" w:rsidRPr="008301D8" w:rsidRDefault="008301D8" w:rsidP="008301D8">
      <w:pPr>
        <w:spacing w:after="120"/>
        <w:ind w:left="709" w:right="709"/>
        <w:jc w:val="both"/>
        <w:rPr>
          <w:rFonts w:ascii="Arial" w:hAnsi="Arial" w:cs="Arial"/>
          <w:sz w:val="21"/>
          <w:szCs w:val="21"/>
        </w:rPr>
      </w:pPr>
      <w:r w:rsidRPr="008301D8">
        <w:rPr>
          <w:rFonts w:ascii="Arial" w:hAnsi="Arial" w:cs="Arial"/>
          <w:sz w:val="21"/>
          <w:szCs w:val="21"/>
        </w:rPr>
        <w:t xml:space="preserve">PRIMERA: Las entidades vigiladas por la Superintendencia Financiera de Colombia deberán ajustar los procedimientos actualmente existentes para facilitar a los beneficiarios e interesados, la confirmación del origen, características y elementos relevantes de las garantías bancarias, los contratos de seguro de cumplimiento y los patrimonios autónomos otorgados como garantías, los cuales deben ser expedidos a través de documentos electrónicos integrales con valor legal y técnicamente asegurados mediante firmado digital y estampado cronológico, además de poseer mecanismos tecnológicos como pueden ser códigos QR, hash, alfanuméricos o CUFE, entre otros, que permitan la verificación en línea, por Internet o a través de aplicaciones móviles. Lo anterior, con el propósito de garantizar su validez, integridad y completitud. </w:t>
      </w:r>
    </w:p>
    <w:p w14:paraId="5CB56853" w14:textId="72CD8DE8" w:rsidR="008301D8" w:rsidRPr="008301D8" w:rsidRDefault="008301D8" w:rsidP="008301D8">
      <w:pPr>
        <w:spacing w:after="120"/>
        <w:ind w:left="709" w:right="709"/>
        <w:jc w:val="both"/>
        <w:rPr>
          <w:rFonts w:ascii="Arial" w:hAnsi="Arial" w:cs="Arial"/>
          <w:sz w:val="21"/>
          <w:szCs w:val="21"/>
        </w:rPr>
      </w:pPr>
      <w:r w:rsidRPr="008301D8">
        <w:rPr>
          <w:rFonts w:ascii="Arial" w:hAnsi="Arial" w:cs="Arial"/>
          <w:sz w:val="21"/>
          <w:szCs w:val="21"/>
        </w:rPr>
        <w:t>Adicionalmente, deberán disponer de un punto de contacto telefónico o virtual para que las entidades del Estado puedan solicitar cualquier requerimiento orientado a absolver las consultas que sobre el particular sean pertinentes.</w:t>
      </w:r>
    </w:p>
    <w:p w14:paraId="3D7BB7EB" w14:textId="4D8F615A" w:rsidR="008301D8" w:rsidRPr="008301D8" w:rsidRDefault="008301D8" w:rsidP="008301D8">
      <w:pPr>
        <w:spacing w:after="120"/>
        <w:ind w:left="709" w:right="709"/>
        <w:jc w:val="both"/>
        <w:rPr>
          <w:rFonts w:ascii="Arial" w:hAnsi="Arial" w:cs="Arial"/>
          <w:sz w:val="21"/>
          <w:szCs w:val="21"/>
        </w:rPr>
      </w:pPr>
      <w:r w:rsidRPr="008301D8">
        <w:rPr>
          <w:rFonts w:ascii="Arial" w:hAnsi="Arial" w:cs="Arial"/>
          <w:sz w:val="21"/>
          <w:szCs w:val="21"/>
        </w:rPr>
        <w:t xml:space="preserve">Asimismo, las Entidades Públicas deberán acudir a los mecanismos de verificación en línea que se encuentran previstos en el presente artículo, con el propósito de verificar la validez, idoneidad y suficiencia de los documentos que se entregan como soporte de las garantías que amparan los contratos estatales. </w:t>
      </w:r>
    </w:p>
    <w:p w14:paraId="49FF9DAD" w14:textId="7A5F84EF" w:rsidR="008301D8" w:rsidRPr="008301D8" w:rsidRDefault="008301D8" w:rsidP="008301D8">
      <w:pPr>
        <w:spacing w:after="120"/>
        <w:ind w:left="709" w:right="709"/>
        <w:jc w:val="both"/>
        <w:rPr>
          <w:rFonts w:ascii="Arial" w:hAnsi="Arial" w:cs="Arial"/>
          <w:sz w:val="21"/>
          <w:szCs w:val="21"/>
        </w:rPr>
      </w:pPr>
      <w:r w:rsidRPr="008301D8">
        <w:rPr>
          <w:rFonts w:ascii="Arial" w:hAnsi="Arial" w:cs="Arial"/>
          <w:sz w:val="21"/>
          <w:szCs w:val="21"/>
        </w:rPr>
        <w:lastRenderedPageBreak/>
        <w:t xml:space="preserve">Esta verificación deberá realizarse de manera previa a que las entidades públicas aprueben o rechacen las garantías. Del mencionado acto de consulta, se dejará constancia expresa en el expediente contractual. </w:t>
      </w:r>
    </w:p>
    <w:p w14:paraId="1A44BE04" w14:textId="77777777" w:rsidR="008301D8" w:rsidRPr="008301D8" w:rsidRDefault="008301D8" w:rsidP="008301D8">
      <w:pPr>
        <w:spacing w:after="120"/>
        <w:ind w:left="709" w:right="709"/>
        <w:jc w:val="both"/>
        <w:rPr>
          <w:rFonts w:ascii="Arial" w:hAnsi="Arial" w:cs="Arial"/>
          <w:sz w:val="21"/>
          <w:szCs w:val="21"/>
        </w:rPr>
      </w:pPr>
      <w:r w:rsidRPr="008301D8">
        <w:rPr>
          <w:rFonts w:ascii="Arial" w:hAnsi="Arial" w:cs="Arial"/>
          <w:sz w:val="21"/>
          <w:szCs w:val="21"/>
        </w:rPr>
        <w:t xml:space="preserve">SEGUNDA: Las entidades vigiladas por la Superintendencia Financiera podrán dar cumplimiento a las anteriores instrucciones a través de herramientas centralizadas de información, administradas por terceros, sin que ello implique una delegación de su responsabilidad. </w:t>
      </w:r>
    </w:p>
    <w:p w14:paraId="37746BE3" w14:textId="77777777" w:rsidR="008301D8" w:rsidRPr="008301D8" w:rsidRDefault="008301D8" w:rsidP="008301D8">
      <w:pPr>
        <w:spacing w:after="120"/>
        <w:ind w:left="709" w:right="709"/>
        <w:jc w:val="both"/>
        <w:rPr>
          <w:rFonts w:ascii="Arial" w:hAnsi="Arial" w:cs="Arial"/>
          <w:sz w:val="21"/>
          <w:szCs w:val="21"/>
        </w:rPr>
      </w:pPr>
      <w:r w:rsidRPr="008301D8">
        <w:rPr>
          <w:rFonts w:ascii="Arial" w:hAnsi="Arial" w:cs="Arial"/>
          <w:sz w:val="21"/>
          <w:szCs w:val="21"/>
        </w:rPr>
        <w:t>TERCERA: Los anteriores mecanismos deberán estar en operación a más tardar en los 30 días calendario siguientes a la fecha de publicación de la presente Circular.</w:t>
      </w:r>
    </w:p>
    <w:p w14:paraId="6C1243FC" w14:textId="21182F14" w:rsidR="009C4428" w:rsidRPr="008301D8" w:rsidRDefault="008301D8" w:rsidP="007E377C">
      <w:pPr>
        <w:ind w:left="709" w:right="709"/>
        <w:jc w:val="both"/>
        <w:rPr>
          <w:rFonts w:ascii="Arial" w:hAnsi="Arial" w:cs="Arial"/>
          <w:bCs/>
          <w:color w:val="000000" w:themeColor="text1"/>
          <w:sz w:val="21"/>
          <w:szCs w:val="21"/>
          <w:lang w:val="es-ES_tradnl"/>
        </w:rPr>
      </w:pPr>
      <w:r w:rsidRPr="008301D8">
        <w:rPr>
          <w:rFonts w:ascii="Arial" w:hAnsi="Arial" w:cs="Arial"/>
          <w:sz w:val="21"/>
          <w:szCs w:val="21"/>
        </w:rPr>
        <w:t>CUARTA: Las entidades vigiladas por la Superintendencia Financiera, destinatarias de la presente circular, deberán apoyar a la Agencia Nacional de Contratación Pública -Colombia Compra Eficiente, en las actividades que se adelanten para orientar a las Entidades Estatales en el cumplimiento de las instrucciones impartidas</w:t>
      </w:r>
      <w:r>
        <w:rPr>
          <w:rStyle w:val="Refdenotaalpie"/>
          <w:rFonts w:ascii="Arial" w:hAnsi="Arial" w:cs="Arial"/>
          <w:sz w:val="21"/>
          <w:szCs w:val="21"/>
        </w:rPr>
        <w:footnoteReference w:id="9"/>
      </w:r>
      <w:r w:rsidRPr="008301D8">
        <w:rPr>
          <w:rFonts w:ascii="Arial" w:hAnsi="Arial" w:cs="Arial"/>
          <w:sz w:val="21"/>
          <w:szCs w:val="21"/>
        </w:rPr>
        <w:t>.</w:t>
      </w:r>
    </w:p>
    <w:p w14:paraId="4C607B4B" w14:textId="08BEADDD" w:rsidR="006A79D0" w:rsidRDefault="006A79D0" w:rsidP="008301D8">
      <w:pPr>
        <w:spacing w:line="276" w:lineRule="auto"/>
        <w:jc w:val="both"/>
        <w:rPr>
          <w:rFonts w:ascii="Arial" w:eastAsia="Calibri" w:hAnsi="Arial" w:cs="Arial"/>
          <w:bCs/>
          <w:color w:val="000000" w:themeColor="text1"/>
          <w:sz w:val="22"/>
          <w:szCs w:val="22"/>
        </w:rPr>
      </w:pPr>
    </w:p>
    <w:p w14:paraId="4D8ABAF4" w14:textId="6B963679" w:rsidR="008301D8" w:rsidRDefault="008301D8" w:rsidP="008301D8">
      <w:pPr>
        <w:spacing w:line="276" w:lineRule="auto"/>
        <w:jc w:val="both"/>
        <w:rPr>
          <w:rFonts w:ascii="Arial" w:hAnsi="Arial" w:cs="Arial"/>
          <w:sz w:val="21"/>
          <w:szCs w:val="21"/>
        </w:rPr>
      </w:pPr>
      <w:r>
        <w:rPr>
          <w:rFonts w:ascii="Arial" w:eastAsia="Calibri" w:hAnsi="Arial" w:cs="Arial"/>
          <w:bCs/>
          <w:color w:val="000000" w:themeColor="text1"/>
          <w:sz w:val="22"/>
          <w:szCs w:val="22"/>
        </w:rPr>
        <w:tab/>
        <w:t>Teniendo en cuenta lo regulado en esta Circular</w:t>
      </w:r>
      <w:r w:rsidR="008B3146">
        <w:rPr>
          <w:rFonts w:ascii="Arial" w:eastAsia="Calibri" w:hAnsi="Arial" w:cs="Arial"/>
          <w:bCs/>
          <w:color w:val="000000" w:themeColor="text1"/>
          <w:sz w:val="22"/>
          <w:szCs w:val="22"/>
        </w:rPr>
        <w:t xml:space="preserve"> Conjunta</w:t>
      </w:r>
      <w:r>
        <w:rPr>
          <w:rFonts w:ascii="Arial" w:eastAsia="Calibri" w:hAnsi="Arial" w:cs="Arial"/>
          <w:bCs/>
          <w:color w:val="000000" w:themeColor="text1"/>
          <w:sz w:val="22"/>
          <w:szCs w:val="22"/>
        </w:rPr>
        <w:t xml:space="preserve">, </w:t>
      </w:r>
      <w:r w:rsidR="008B3146">
        <w:rPr>
          <w:rFonts w:ascii="Arial" w:eastAsia="Calibri" w:hAnsi="Arial" w:cs="Arial"/>
          <w:bCs/>
          <w:color w:val="000000" w:themeColor="text1"/>
          <w:sz w:val="22"/>
          <w:szCs w:val="22"/>
        </w:rPr>
        <w:t>se establecen obli</w:t>
      </w:r>
      <w:r w:rsidR="00EE1289">
        <w:rPr>
          <w:rFonts w:ascii="Arial" w:eastAsia="Calibri" w:hAnsi="Arial" w:cs="Arial"/>
          <w:bCs/>
          <w:color w:val="000000" w:themeColor="text1"/>
          <w:sz w:val="22"/>
          <w:szCs w:val="22"/>
        </w:rPr>
        <w:t>gaciones para lo</w:t>
      </w:r>
      <w:r w:rsidR="008B3146">
        <w:rPr>
          <w:rFonts w:ascii="Arial" w:eastAsia="Calibri" w:hAnsi="Arial" w:cs="Arial"/>
          <w:bCs/>
          <w:color w:val="000000" w:themeColor="text1"/>
          <w:sz w:val="22"/>
          <w:szCs w:val="22"/>
        </w:rPr>
        <w:t xml:space="preserve">s </w:t>
      </w:r>
      <w:r w:rsidR="00EE1289">
        <w:rPr>
          <w:rFonts w:ascii="Arial" w:eastAsia="Calibri" w:hAnsi="Arial" w:cs="Arial"/>
          <w:bCs/>
          <w:color w:val="000000" w:themeColor="text1"/>
          <w:sz w:val="22"/>
          <w:szCs w:val="22"/>
        </w:rPr>
        <w:t xml:space="preserve">establecimientos de crédito, entidades aseguradoras y sociedades fiduciarias que expiden los tipos de garantías </w:t>
      </w:r>
      <w:r w:rsidR="008B3146">
        <w:rPr>
          <w:rFonts w:ascii="Arial" w:eastAsia="Calibri" w:hAnsi="Arial" w:cs="Arial"/>
          <w:bCs/>
          <w:color w:val="000000" w:themeColor="text1"/>
          <w:sz w:val="22"/>
          <w:szCs w:val="22"/>
        </w:rPr>
        <w:t>que expiden los tipos de garantías, lo cual implica que deban expedirse por medio de</w:t>
      </w:r>
      <w:r w:rsidR="008B3146" w:rsidRPr="008301D8">
        <w:rPr>
          <w:rFonts w:ascii="Arial" w:hAnsi="Arial" w:cs="Arial"/>
          <w:sz w:val="21"/>
          <w:szCs w:val="21"/>
        </w:rPr>
        <w:t xml:space="preserve"> documentos electrónicos integrales con valor legal y técnicamente asegurados mediante firmado digital y estampado cronológico, además de poseer mecanismos tecnológicos como pueden ser códigos QR, hash, alfanuméricos o CUFE, entre otros, que permitan la verificación en línea</w:t>
      </w:r>
      <w:r w:rsidR="008B3146">
        <w:rPr>
          <w:rFonts w:ascii="Arial" w:hAnsi="Arial" w:cs="Arial"/>
          <w:sz w:val="21"/>
          <w:szCs w:val="21"/>
        </w:rPr>
        <w:t xml:space="preserve"> y la disposición de un punto de contacto. Así mismo, las entidades públicas están en la obligación de verificar en línea la autenticidad de las pólizas y dejar constancia </w:t>
      </w:r>
      <w:r w:rsidR="008F1E01">
        <w:rPr>
          <w:rFonts w:ascii="Arial" w:hAnsi="Arial" w:cs="Arial"/>
          <w:sz w:val="21"/>
          <w:szCs w:val="21"/>
        </w:rPr>
        <w:t>de la consulta en el expediente contractual</w:t>
      </w:r>
      <w:r w:rsidR="008B3146">
        <w:rPr>
          <w:rFonts w:ascii="Arial" w:hAnsi="Arial" w:cs="Arial"/>
          <w:sz w:val="21"/>
          <w:szCs w:val="21"/>
        </w:rPr>
        <w:t xml:space="preserve">. </w:t>
      </w:r>
    </w:p>
    <w:p w14:paraId="1FEF5AAC" w14:textId="2CBA48B8" w:rsidR="008B3146" w:rsidRPr="00064944" w:rsidRDefault="008B3146" w:rsidP="008301D8">
      <w:pPr>
        <w:spacing w:line="276" w:lineRule="auto"/>
        <w:jc w:val="both"/>
        <w:rPr>
          <w:rFonts w:ascii="Arial" w:eastAsia="Calibri" w:hAnsi="Arial" w:cs="Arial"/>
          <w:bCs/>
          <w:color w:val="000000" w:themeColor="text1"/>
          <w:sz w:val="22"/>
          <w:szCs w:val="22"/>
        </w:rPr>
      </w:pPr>
    </w:p>
    <w:p w14:paraId="7BBCACF0" w14:textId="5D18E546" w:rsidR="006A79D0" w:rsidRPr="006A79D0" w:rsidRDefault="006A79D0" w:rsidP="006A79D0">
      <w:pPr>
        <w:spacing w:line="276" w:lineRule="auto"/>
        <w:jc w:val="both"/>
        <w:rPr>
          <w:rFonts w:ascii="Arial" w:eastAsia="Calibri" w:hAnsi="Arial" w:cs="Arial"/>
          <w:b/>
          <w:color w:val="000000" w:themeColor="text1"/>
          <w:sz w:val="22"/>
        </w:rPr>
      </w:pPr>
      <w:r w:rsidRPr="006A79D0">
        <w:rPr>
          <w:rFonts w:ascii="Arial" w:eastAsia="Calibri" w:hAnsi="Arial" w:cs="Arial"/>
          <w:b/>
          <w:color w:val="000000" w:themeColor="text1"/>
          <w:sz w:val="22"/>
        </w:rPr>
        <w:t>2.2. Publicidad de las</w:t>
      </w:r>
      <w:r w:rsidR="00013DDC">
        <w:rPr>
          <w:rFonts w:ascii="Arial" w:eastAsia="Calibri" w:hAnsi="Arial" w:cs="Arial"/>
          <w:b/>
          <w:color w:val="000000" w:themeColor="text1"/>
          <w:sz w:val="22"/>
        </w:rPr>
        <w:t xml:space="preserve"> actuaciones en el marco de los procesos de contratación pública</w:t>
      </w:r>
    </w:p>
    <w:p w14:paraId="0B154769" w14:textId="77777777" w:rsidR="006A79D0" w:rsidRPr="006A79D0" w:rsidRDefault="006A79D0" w:rsidP="006A79D0">
      <w:pPr>
        <w:spacing w:line="276" w:lineRule="auto"/>
        <w:jc w:val="both"/>
        <w:rPr>
          <w:rFonts w:ascii="Arial" w:eastAsia="Calibri" w:hAnsi="Arial" w:cs="Arial"/>
          <w:color w:val="000000" w:themeColor="text1"/>
          <w:sz w:val="22"/>
        </w:rPr>
      </w:pPr>
    </w:p>
    <w:p w14:paraId="7794D25F" w14:textId="56B50B7B" w:rsidR="00595BC4" w:rsidRPr="00595BC4" w:rsidRDefault="00595BC4" w:rsidP="00595BC4">
      <w:pPr>
        <w:widowControl w:val="0"/>
        <w:tabs>
          <w:tab w:val="left" w:pos="728"/>
        </w:tabs>
        <w:autoSpaceDE w:val="0"/>
        <w:autoSpaceDN w:val="0"/>
        <w:spacing w:after="120" w:line="276" w:lineRule="auto"/>
        <w:jc w:val="both"/>
        <w:rPr>
          <w:rFonts w:ascii="Arial" w:eastAsia="Arial" w:hAnsi="Arial" w:cs="Arial"/>
          <w:sz w:val="22"/>
          <w:szCs w:val="22"/>
          <w:lang w:val="es-ES" w:eastAsia="en-US"/>
        </w:rPr>
      </w:pPr>
      <w:r w:rsidRPr="00595BC4">
        <w:rPr>
          <w:rFonts w:ascii="Arial" w:eastAsia="Arial" w:hAnsi="Arial" w:cs="Arial"/>
          <w:sz w:val="22"/>
          <w:szCs w:val="22"/>
          <w:lang w:val="es-ES" w:eastAsia="en-US"/>
        </w:rPr>
        <w:t xml:space="preserve">El principio de publicidad impone a las autoridades administrativas el deber de dar a conocer sus actos, contratos y decisiones, para que se divulguen y eventualmente se controlen las actuaciones. El literal c) del artículo 3 de la Ley 1150 de 2007 dispone que el Sistema Electrónico para la Contratación Pública –SECOP– «contará con la información oficial de la contratación realizada con dineros públicos, para lo cual establecerá los patrones a que haya lugar y se encargará de su difusión a través de canales electrónicos». </w:t>
      </w:r>
    </w:p>
    <w:p w14:paraId="235775B5" w14:textId="77777777" w:rsidR="00595BC4" w:rsidRPr="00595BC4" w:rsidRDefault="00595BC4" w:rsidP="00595BC4">
      <w:pPr>
        <w:widowControl w:val="0"/>
        <w:tabs>
          <w:tab w:val="left" w:pos="728"/>
        </w:tabs>
        <w:autoSpaceDE w:val="0"/>
        <w:autoSpaceDN w:val="0"/>
        <w:spacing w:after="120" w:line="276" w:lineRule="auto"/>
        <w:jc w:val="both"/>
        <w:rPr>
          <w:rFonts w:ascii="Arial" w:eastAsia="Arial" w:hAnsi="Arial" w:cs="Arial"/>
          <w:sz w:val="22"/>
          <w:szCs w:val="22"/>
          <w:lang w:val="es-ES" w:eastAsia="en-US"/>
        </w:rPr>
      </w:pPr>
      <w:r w:rsidRPr="00595BC4">
        <w:rPr>
          <w:rFonts w:ascii="Arial" w:eastAsia="Arial" w:hAnsi="Arial" w:cs="Arial"/>
          <w:sz w:val="22"/>
          <w:szCs w:val="22"/>
          <w:lang w:val="es-ES" w:eastAsia="en-US"/>
        </w:rPr>
        <w:tab/>
        <w:t xml:space="preserve">De otra parte, la Ley 1712 de 2014 identifica como principios que orientan el acceso a la información pública el de máxima publicidad y el de transparencia en la información. El primero establece que toda información en posesión, bajo control o custodia de un sujeto </w:t>
      </w:r>
      <w:r w:rsidRPr="00595BC4">
        <w:rPr>
          <w:rFonts w:ascii="Arial" w:eastAsia="Arial" w:hAnsi="Arial" w:cs="Arial"/>
          <w:sz w:val="22"/>
          <w:szCs w:val="22"/>
          <w:lang w:val="es-ES" w:eastAsia="en-US"/>
        </w:rPr>
        <w:lastRenderedPageBreak/>
        <w:t xml:space="preserve">obligado es pública y no podrá ser reservada o limitada sino por disposición constitucional o legal. Por su parte, el segundo alude al deber de los sujetos de proporcionar y facilitar el acceso a la misma en los términos más amplios posibles, y a través de los medios y procedimientos que establezca la ley. </w:t>
      </w:r>
    </w:p>
    <w:p w14:paraId="6D4B6982" w14:textId="7A865874" w:rsidR="00595BC4" w:rsidRPr="00595BC4" w:rsidRDefault="00595BC4" w:rsidP="00595BC4">
      <w:pPr>
        <w:widowControl w:val="0"/>
        <w:tabs>
          <w:tab w:val="left" w:pos="728"/>
        </w:tabs>
        <w:autoSpaceDE w:val="0"/>
        <w:autoSpaceDN w:val="0"/>
        <w:spacing w:after="120" w:line="276" w:lineRule="auto"/>
        <w:jc w:val="both"/>
        <w:rPr>
          <w:rFonts w:ascii="Arial" w:eastAsia="Arial" w:hAnsi="Arial" w:cs="Arial"/>
          <w:sz w:val="22"/>
          <w:szCs w:val="22"/>
          <w:lang w:val="es-ES" w:eastAsia="en-US"/>
        </w:rPr>
      </w:pPr>
      <w:r w:rsidRPr="00595BC4">
        <w:rPr>
          <w:rFonts w:ascii="Arial" w:eastAsia="Arial" w:hAnsi="Arial" w:cs="Arial"/>
          <w:sz w:val="22"/>
          <w:szCs w:val="22"/>
          <w:lang w:val="es-ES" w:eastAsia="en-US"/>
        </w:rPr>
        <w:tab/>
        <w:t xml:space="preserve">La ley citada </w:t>
      </w:r>
      <w:r w:rsidR="00903199">
        <w:rPr>
          <w:rFonts w:ascii="Arial" w:eastAsia="Arial" w:hAnsi="Arial" w:cs="Arial"/>
          <w:sz w:val="22"/>
          <w:szCs w:val="22"/>
          <w:lang w:val="es-ES" w:eastAsia="en-US"/>
        </w:rPr>
        <w:t>dispone</w:t>
      </w:r>
      <w:r w:rsidRPr="00595BC4">
        <w:rPr>
          <w:rFonts w:ascii="Arial" w:eastAsia="Arial" w:hAnsi="Arial" w:cs="Arial"/>
          <w:sz w:val="22"/>
          <w:szCs w:val="22"/>
          <w:lang w:val="es-ES" w:eastAsia="en-US"/>
        </w:rPr>
        <w:t>, en el literal e) del artículo 9, que los sujetos obligados, que son todas las entidades públicas</w:t>
      </w:r>
      <w:r w:rsidRPr="00595BC4">
        <w:rPr>
          <w:rFonts w:ascii="Arial" w:eastAsia="Arial" w:hAnsi="Arial" w:cs="Arial"/>
          <w:sz w:val="22"/>
          <w:szCs w:val="22"/>
          <w:vertAlign w:val="superscript"/>
          <w:lang w:val="es-ES" w:eastAsia="en-US"/>
        </w:rPr>
        <w:footnoteReference w:id="10"/>
      </w:r>
      <w:r w:rsidRPr="00595BC4">
        <w:rPr>
          <w:rFonts w:ascii="Arial" w:eastAsia="Arial" w:hAnsi="Arial" w:cs="Arial"/>
          <w:sz w:val="22"/>
          <w:szCs w:val="22"/>
          <w:lang w:val="es-ES" w:eastAsia="en-US"/>
        </w:rPr>
        <w:t>, deben publicar la información relativa a su contratación. Esta obligación fue en principio desarrollada por el Decreto 103 de 2015, compilado en el Decreto 1081 de 2015, el cual dispuso que la publicación de la información contractual de los sujetos obligados, que contratan con cargo a recursos públicos, debe hacerse en el Sistema Electrónico de Contratación Pública –SECOP–</w:t>
      </w:r>
      <w:r w:rsidRPr="00595BC4">
        <w:rPr>
          <w:rFonts w:ascii="Arial" w:eastAsia="Arial" w:hAnsi="Arial" w:cs="Arial"/>
          <w:sz w:val="22"/>
          <w:szCs w:val="22"/>
          <w:vertAlign w:val="superscript"/>
          <w:lang w:val="es-ES" w:eastAsia="en-US"/>
        </w:rPr>
        <w:footnoteReference w:id="11"/>
      </w:r>
      <w:r w:rsidRPr="00595BC4">
        <w:rPr>
          <w:rFonts w:ascii="Arial" w:eastAsia="Arial" w:hAnsi="Arial" w:cs="Arial"/>
          <w:sz w:val="22"/>
          <w:szCs w:val="22"/>
          <w:lang w:val="es-ES" w:eastAsia="en-US"/>
        </w:rPr>
        <w:t>.</w:t>
      </w:r>
    </w:p>
    <w:p w14:paraId="011B8862" w14:textId="77777777" w:rsidR="00595BC4" w:rsidRPr="00595BC4" w:rsidRDefault="00595BC4" w:rsidP="00595BC4">
      <w:pPr>
        <w:widowControl w:val="0"/>
        <w:tabs>
          <w:tab w:val="left" w:pos="728"/>
        </w:tabs>
        <w:autoSpaceDE w:val="0"/>
        <w:autoSpaceDN w:val="0"/>
        <w:spacing w:after="120" w:line="276" w:lineRule="auto"/>
        <w:jc w:val="both"/>
        <w:rPr>
          <w:rFonts w:ascii="Arial" w:eastAsia="Arial" w:hAnsi="Arial" w:cs="Arial"/>
          <w:sz w:val="22"/>
          <w:szCs w:val="22"/>
          <w:lang w:val="es-ES" w:eastAsia="en-US"/>
        </w:rPr>
      </w:pPr>
      <w:r w:rsidRPr="00595BC4">
        <w:rPr>
          <w:rFonts w:ascii="Arial" w:eastAsia="Arial" w:hAnsi="Arial" w:cs="Arial"/>
          <w:sz w:val="22"/>
          <w:szCs w:val="22"/>
          <w:lang w:val="es-ES" w:eastAsia="en-US"/>
        </w:rPr>
        <w:tab/>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184BB74D" w14:textId="0EFC5421" w:rsidR="00595BC4" w:rsidRPr="00595BC4" w:rsidRDefault="00595BC4" w:rsidP="00595BC4">
      <w:pPr>
        <w:widowControl w:val="0"/>
        <w:tabs>
          <w:tab w:val="left" w:pos="728"/>
        </w:tabs>
        <w:autoSpaceDE w:val="0"/>
        <w:autoSpaceDN w:val="0"/>
        <w:spacing w:after="120" w:line="276" w:lineRule="auto"/>
        <w:jc w:val="both"/>
        <w:rPr>
          <w:rFonts w:ascii="Arial" w:eastAsiaTheme="minorHAnsi" w:hAnsi="Arial" w:cs="Arial"/>
          <w:sz w:val="22"/>
          <w:szCs w:val="22"/>
          <w:lang w:val="es-ES" w:eastAsia="en-US"/>
        </w:rPr>
      </w:pPr>
      <w:r w:rsidRPr="00595BC4">
        <w:rPr>
          <w:rFonts w:ascii="Arial" w:eastAsia="Arial" w:hAnsi="Arial" w:cs="Arial"/>
          <w:sz w:val="22"/>
          <w:szCs w:val="22"/>
          <w:lang w:val="es-ES" w:eastAsia="en-US"/>
        </w:rPr>
        <w:tab/>
      </w:r>
      <w:r w:rsidRPr="00595BC4">
        <w:rPr>
          <w:rFonts w:ascii="Arial" w:eastAsiaTheme="minorHAnsi" w:hAnsi="Arial" w:cs="Arial"/>
          <w:sz w:val="22"/>
          <w:szCs w:val="22"/>
          <w:lang w:val="es-ES" w:eastAsia="en-US"/>
        </w:rPr>
        <w:t xml:space="preserve">El deber de publicidad que se desprende del artículo 3 de la Ley 1150 de 2007 está reglamentado por el artículo 2.2.1.1.1.7.1 del Decreto 1082 de 2015, el cual </w:t>
      </w:r>
      <w:r w:rsidR="00903199">
        <w:rPr>
          <w:rFonts w:ascii="Arial" w:eastAsiaTheme="minorHAnsi" w:hAnsi="Arial" w:cs="Arial"/>
          <w:sz w:val="22"/>
          <w:szCs w:val="22"/>
          <w:lang w:val="es-ES" w:eastAsia="en-US"/>
        </w:rPr>
        <w:t>dispone</w:t>
      </w:r>
      <w:r w:rsidR="00903199" w:rsidRPr="00595BC4">
        <w:rPr>
          <w:rFonts w:ascii="Arial" w:eastAsiaTheme="minorHAnsi" w:hAnsi="Arial" w:cs="Arial"/>
          <w:sz w:val="22"/>
          <w:szCs w:val="22"/>
          <w:lang w:val="es-ES" w:eastAsia="en-US"/>
        </w:rPr>
        <w:t xml:space="preserve"> </w:t>
      </w:r>
      <w:r w:rsidRPr="00595BC4">
        <w:rPr>
          <w:rFonts w:ascii="Arial" w:eastAsiaTheme="minorHAnsi" w:hAnsi="Arial" w:cs="Arial"/>
          <w:sz w:val="22"/>
          <w:szCs w:val="22"/>
          <w:lang w:val="es-ES" w:eastAsia="en-US"/>
        </w:rPr>
        <w:t>los documentos que deben publicarse y al SECOP como medio de publicación</w:t>
      </w:r>
      <w:r w:rsidRPr="00595BC4">
        <w:rPr>
          <w:rFonts w:ascii="Arial" w:eastAsiaTheme="minorHAnsi" w:hAnsi="Arial" w:cs="Arial"/>
          <w:sz w:val="22"/>
          <w:szCs w:val="22"/>
          <w:vertAlign w:val="superscript"/>
          <w:lang w:val="es-ES" w:eastAsia="en-US"/>
        </w:rPr>
        <w:footnoteReference w:id="12"/>
      </w:r>
      <w:r w:rsidRPr="00595BC4">
        <w:rPr>
          <w:rFonts w:ascii="Arial" w:eastAsiaTheme="minorHAnsi" w:hAnsi="Arial" w:cs="Arial"/>
          <w:sz w:val="22"/>
          <w:szCs w:val="22"/>
          <w:lang w:val="es-ES" w:eastAsia="en-US"/>
        </w:rPr>
        <w:t xml:space="preserve">. De acuerdo </w:t>
      </w:r>
      <w:r w:rsidRPr="00595BC4">
        <w:rPr>
          <w:rFonts w:ascii="Arial" w:eastAsiaTheme="minorHAnsi" w:hAnsi="Arial" w:cs="Arial"/>
          <w:sz w:val="22"/>
          <w:szCs w:val="22"/>
          <w:lang w:val="es-ES" w:eastAsia="en-US"/>
        </w:rPr>
        <w:lastRenderedPageBreak/>
        <w:t>con esto, las entidades deben cumplir con el principio de publicidad respecto de su actividad contractual como garantía para los administrados, para conocer las actuaciones y participar en el control de estas, siendo el SECOP la herramienta que dispuso el Estado para que las entidades cumplan el principio de publicidad.</w:t>
      </w:r>
    </w:p>
    <w:p w14:paraId="2BC3B215" w14:textId="01341E61" w:rsidR="00595BC4" w:rsidRPr="00595BC4" w:rsidRDefault="00595BC4" w:rsidP="00595BC4">
      <w:pPr>
        <w:widowControl w:val="0"/>
        <w:tabs>
          <w:tab w:val="left" w:pos="728"/>
        </w:tabs>
        <w:autoSpaceDE w:val="0"/>
        <w:autoSpaceDN w:val="0"/>
        <w:spacing w:after="120" w:line="276" w:lineRule="auto"/>
        <w:jc w:val="both"/>
        <w:rPr>
          <w:rFonts w:ascii="Arial" w:eastAsiaTheme="minorHAnsi" w:hAnsi="Arial" w:cs="Arial"/>
          <w:sz w:val="22"/>
          <w:szCs w:val="22"/>
          <w:lang w:val="es-ES" w:eastAsia="en-US"/>
        </w:rPr>
      </w:pPr>
      <w:r w:rsidRPr="00595BC4">
        <w:rPr>
          <w:rFonts w:ascii="Arial" w:eastAsiaTheme="minorHAnsi" w:hAnsi="Arial" w:cs="Arial"/>
          <w:sz w:val="22"/>
          <w:szCs w:val="22"/>
          <w:lang w:val="es-ES" w:eastAsia="en-US"/>
        </w:rPr>
        <w:tab/>
        <w:t>Ahora bien, las entidades estatales, conforme al artículo 2.2.1.1.1.7.1 del Decreto 1082 de 2015, tienen la obligación de publicar en el SECOP «[…] los Documentos del Proceso y los actos administrativos del Proceso de Contratación […]». La expresión Documentos del Proceso está definida en el artículo 2.2.1.1.1.3.1 del Decreto 1082 de 2015, donde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0D939BF2" w14:textId="77777777" w:rsidR="00595BC4" w:rsidRPr="00595BC4" w:rsidRDefault="00595BC4" w:rsidP="00595BC4">
      <w:pPr>
        <w:widowControl w:val="0"/>
        <w:autoSpaceDE w:val="0"/>
        <w:autoSpaceDN w:val="0"/>
        <w:spacing w:after="120" w:line="276" w:lineRule="auto"/>
        <w:ind w:firstLine="709"/>
        <w:jc w:val="both"/>
        <w:rPr>
          <w:rFonts w:ascii="Arial" w:eastAsia="Arial" w:hAnsi="Arial" w:cs="Arial"/>
          <w:sz w:val="22"/>
          <w:szCs w:val="22"/>
          <w:lang w:val="es-ES" w:eastAsia="en-US"/>
        </w:rPr>
      </w:pPr>
      <w:r w:rsidRPr="00595BC4">
        <w:rPr>
          <w:rFonts w:ascii="Arial" w:eastAsia="Arial" w:hAnsi="Arial" w:cs="Arial"/>
          <w:sz w:val="22"/>
          <w:szCs w:val="22"/>
          <w:lang w:val="es-ES" w:eastAsia="en-US"/>
        </w:rPr>
        <w:t xml:space="preserve">No obstante, para identificar los documentos que deben publicarse, es necesario realizar una interpretación sistemática de las disposiciones del Decreto 1082 del 2015, comoquiera que el anterior no es un listado taxativo, sino enunciativo. En efecto, además de los documentos enlistados, el artículo 2.2.1.1.1.3.1 </w:t>
      </w:r>
      <w:proofErr w:type="spellStart"/>
      <w:r w:rsidRPr="00595BC4">
        <w:rPr>
          <w:rFonts w:ascii="Arial" w:eastAsia="Arial" w:hAnsi="Arial" w:cs="Arial"/>
          <w:i/>
          <w:iCs/>
          <w:sz w:val="22"/>
          <w:szCs w:val="22"/>
          <w:lang w:val="es-ES" w:eastAsia="en-US"/>
        </w:rPr>
        <w:t>Ibídem</w:t>
      </w:r>
      <w:proofErr w:type="spellEnd"/>
      <w:r w:rsidRPr="00595BC4">
        <w:rPr>
          <w:rFonts w:ascii="Arial" w:eastAsia="Arial" w:hAnsi="Arial" w:cs="Arial"/>
          <w:sz w:val="22"/>
          <w:szCs w:val="22"/>
          <w:lang w:val="es-ES" w:eastAsia="en-US"/>
        </w:rPr>
        <w:t xml:space="preserve"> recoge en la noción de </w:t>
      </w:r>
      <w:r w:rsidRPr="00595BC4">
        <w:rPr>
          <w:rFonts w:ascii="Arial" w:eastAsia="Arial" w:hAnsi="Arial" w:cs="Arial"/>
          <w:i/>
          <w:iCs/>
          <w:sz w:val="22"/>
          <w:szCs w:val="22"/>
          <w:lang w:val="es-ES" w:eastAsia="en-US"/>
        </w:rPr>
        <w:t>Documentos del Proceso</w:t>
      </w:r>
      <w:r w:rsidRPr="00595BC4">
        <w:rPr>
          <w:rFonts w:ascii="Arial" w:eastAsia="Arial" w:hAnsi="Arial" w:cs="Arial"/>
          <w:sz w:val="22"/>
          <w:szCs w:val="22"/>
          <w:lang w:val="es-ES" w:eastAsia="en-US"/>
        </w:rPr>
        <w:t xml:space="preserve"> «cualquier otro documento expedido por la Entidad Estatal durante el </w:t>
      </w:r>
      <w:r w:rsidRPr="00595BC4">
        <w:rPr>
          <w:rFonts w:ascii="Arial" w:eastAsia="Arial" w:hAnsi="Arial" w:cs="Arial"/>
          <w:i/>
          <w:iCs/>
          <w:sz w:val="22"/>
          <w:szCs w:val="22"/>
          <w:lang w:val="es-ES" w:eastAsia="en-US"/>
        </w:rPr>
        <w:t>Proceso de Contratación»</w:t>
      </w:r>
      <w:r w:rsidRPr="00595BC4">
        <w:rPr>
          <w:rFonts w:ascii="Arial" w:eastAsia="Arial" w:hAnsi="Arial" w:cs="Arial"/>
          <w:sz w:val="22"/>
          <w:szCs w:val="22"/>
          <w:lang w:val="es-ES" w:eastAsia="en-US"/>
        </w:rPr>
        <w:t xml:space="preserve">. Este mismo artículo define la expresión </w:t>
      </w:r>
      <w:r w:rsidRPr="00595BC4">
        <w:rPr>
          <w:rFonts w:ascii="Arial" w:eastAsia="Arial" w:hAnsi="Arial" w:cs="Arial"/>
          <w:i/>
          <w:iCs/>
          <w:sz w:val="22"/>
          <w:szCs w:val="22"/>
          <w:lang w:val="es-ES" w:eastAsia="en-US"/>
        </w:rPr>
        <w:t>Proceso de Contratación</w:t>
      </w:r>
      <w:r w:rsidRPr="00595BC4">
        <w:rPr>
          <w:rFonts w:ascii="Arial" w:eastAsia="Arial" w:hAnsi="Arial" w:cs="Arial"/>
          <w:sz w:val="22"/>
          <w:szCs w:val="22"/>
          <w:lang w:val="es-ES" w:eastAsia="en-U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72D2599B" w14:textId="77777777" w:rsidR="00595BC4" w:rsidRPr="00595BC4" w:rsidRDefault="00595BC4" w:rsidP="00595BC4">
      <w:pPr>
        <w:widowControl w:val="0"/>
        <w:autoSpaceDE w:val="0"/>
        <w:autoSpaceDN w:val="0"/>
        <w:spacing w:after="120" w:line="276" w:lineRule="auto"/>
        <w:ind w:firstLine="708"/>
        <w:jc w:val="both"/>
        <w:rPr>
          <w:rFonts w:ascii="Arial" w:eastAsia="Arial" w:hAnsi="Arial" w:cs="Arial"/>
          <w:sz w:val="22"/>
          <w:szCs w:val="22"/>
          <w:lang w:val="es-ES" w:eastAsia="en-US"/>
        </w:rPr>
      </w:pPr>
      <w:r w:rsidRPr="00595BC4">
        <w:rPr>
          <w:rFonts w:ascii="Arial" w:eastAsia="Arial" w:hAnsi="Arial" w:cs="Arial"/>
          <w:sz w:val="22"/>
          <w:szCs w:val="22"/>
          <w:lang w:val="es-ES" w:eastAsia="en-US"/>
        </w:rPr>
        <w:t xml:space="preserve">En todo caso, de conformidad con la segunda parte del inciso primero del artículo 2.2.1.1.1.7.1 </w:t>
      </w:r>
      <w:proofErr w:type="spellStart"/>
      <w:r w:rsidRPr="00595BC4">
        <w:rPr>
          <w:rFonts w:ascii="Arial" w:eastAsia="Arial" w:hAnsi="Arial" w:cs="Arial"/>
          <w:i/>
          <w:iCs/>
          <w:sz w:val="22"/>
          <w:szCs w:val="22"/>
          <w:lang w:val="es-ES" w:eastAsia="en-US"/>
        </w:rPr>
        <w:t>Ibídem</w:t>
      </w:r>
      <w:proofErr w:type="spellEnd"/>
      <w:r w:rsidRPr="00595BC4">
        <w:rPr>
          <w:rFonts w:ascii="Arial" w:eastAsia="Arial" w:hAnsi="Arial" w:cs="Arial"/>
          <w:sz w:val="22"/>
          <w:szCs w:val="22"/>
          <w:lang w:val="es-ES" w:eastAsia="en-US"/>
        </w:rPr>
        <w:t xml:space="preserve">, el deber de publicar las actuaciones realizadas en el marco del proceso de contratación, en lo referente a las ofertas presentadas, solo se predica de la propuesta del adjudicatario, así que no es necesario publicar las demás. </w:t>
      </w:r>
      <w:r w:rsidRPr="00595BC4">
        <w:rPr>
          <w:rFonts w:ascii="Arial" w:eastAsia="Arial" w:hAnsi="Arial" w:cs="Arial"/>
          <w:i/>
          <w:iCs/>
          <w:sz w:val="22"/>
          <w:szCs w:val="22"/>
          <w:lang w:val="es-ES" w:eastAsia="en-US"/>
        </w:rPr>
        <w:t xml:space="preserve"> </w:t>
      </w:r>
      <w:r w:rsidRPr="00595BC4">
        <w:rPr>
          <w:rFonts w:ascii="Arial" w:eastAsia="Arial" w:hAnsi="Arial" w:cs="Arial"/>
          <w:sz w:val="22"/>
          <w:szCs w:val="22"/>
          <w:lang w:val="es-ES" w:eastAsia="en-US"/>
        </w:rPr>
        <w:t>Del deber de publicidad, de conformidad con la tercera parte del inciso primero de la referida norma, también se encuentran exentos los documentos de las operaciones que se realicen en bolsa de productos.</w:t>
      </w:r>
    </w:p>
    <w:p w14:paraId="0AC48AD5" w14:textId="477E1F0B" w:rsidR="00595BC4" w:rsidRPr="00595BC4" w:rsidRDefault="00595BC4" w:rsidP="00595BC4">
      <w:pPr>
        <w:widowControl w:val="0"/>
        <w:autoSpaceDE w:val="0"/>
        <w:autoSpaceDN w:val="0"/>
        <w:spacing w:after="120" w:line="276" w:lineRule="auto"/>
        <w:ind w:firstLine="709"/>
        <w:jc w:val="both"/>
        <w:rPr>
          <w:rFonts w:ascii="Arial" w:eastAsia="Arial" w:hAnsi="Arial" w:cs="Arial"/>
          <w:sz w:val="22"/>
          <w:szCs w:val="22"/>
          <w:lang w:val="es-ES" w:eastAsia="en-US"/>
        </w:rPr>
      </w:pPr>
      <w:r w:rsidRPr="00595BC4">
        <w:rPr>
          <w:rFonts w:ascii="Arial" w:eastAsia="Arial" w:hAnsi="Arial" w:cs="Arial"/>
          <w:sz w:val="22"/>
          <w:szCs w:val="22"/>
          <w:lang w:val="es-ES" w:eastAsia="en-US"/>
        </w:rPr>
        <w:t>De lo anterior puede concluir</w:t>
      </w:r>
      <w:r w:rsidR="00903199">
        <w:rPr>
          <w:rFonts w:ascii="Arial" w:eastAsia="Arial" w:hAnsi="Arial" w:cs="Arial"/>
          <w:sz w:val="22"/>
          <w:szCs w:val="22"/>
          <w:lang w:val="es-ES" w:eastAsia="en-US"/>
        </w:rPr>
        <w:t>se</w:t>
      </w:r>
      <w:r w:rsidRPr="00595BC4">
        <w:rPr>
          <w:rFonts w:ascii="Arial" w:eastAsia="Arial" w:hAnsi="Arial" w:cs="Arial"/>
          <w:sz w:val="22"/>
          <w:szCs w:val="22"/>
          <w:lang w:val="es-ES" w:eastAsia="en-US"/>
        </w:rPr>
        <w:t xml:space="preserve"> que, en virtud de lo dispuesto en el artículo 3 de la Ley 1150 de 2007, desarrollado por el artículo 2.2.1.1.1.7.1. del Decreto 1082 de 2015, las entidades están obligadas a publicar en el SECOP todos los documentos relacionados con el </w:t>
      </w:r>
      <w:r w:rsidRPr="00595BC4">
        <w:rPr>
          <w:rFonts w:ascii="Arial" w:eastAsia="Arial" w:hAnsi="Arial" w:cs="Arial"/>
          <w:i/>
          <w:iCs/>
          <w:sz w:val="22"/>
          <w:szCs w:val="22"/>
          <w:lang w:val="es-ES" w:eastAsia="en-US"/>
        </w:rPr>
        <w:t>Proceso de Contratación</w:t>
      </w:r>
      <w:r w:rsidRPr="00595BC4">
        <w:rPr>
          <w:rFonts w:ascii="Arial" w:eastAsia="Arial" w:hAnsi="Arial" w:cs="Arial"/>
          <w:sz w:val="22"/>
          <w:szCs w:val="22"/>
          <w:lang w:val="es-ES" w:eastAsia="en-US"/>
        </w:rPr>
        <w:t xml:space="preserve"> expedidos durante las etapas precontractual, de ejecución y </w:t>
      </w:r>
      <w:proofErr w:type="spellStart"/>
      <w:r w:rsidRPr="00595BC4">
        <w:rPr>
          <w:rFonts w:ascii="Arial" w:eastAsia="Arial" w:hAnsi="Arial" w:cs="Arial"/>
          <w:sz w:val="22"/>
          <w:szCs w:val="22"/>
          <w:lang w:val="es-ES" w:eastAsia="en-US"/>
        </w:rPr>
        <w:t>postcontractual</w:t>
      </w:r>
      <w:proofErr w:type="spellEnd"/>
      <w:r w:rsidRPr="00595BC4">
        <w:rPr>
          <w:rFonts w:ascii="Arial" w:eastAsia="Arial" w:hAnsi="Arial" w:cs="Arial"/>
          <w:sz w:val="22"/>
          <w:szCs w:val="22"/>
          <w:lang w:val="es-ES" w:eastAsia="en-US"/>
        </w:rPr>
        <w:t xml:space="preserve">. Este deber aplica a todas las modalidades de selección y entidades regidas por el Estatuto General de Contratación de la Administración Pública, y solo se encuentran excluidas las ofertas perdedoras y los documentos expedidos en el marco de operaciones de bolsa de productos. </w:t>
      </w:r>
    </w:p>
    <w:p w14:paraId="310EBE75" w14:textId="4C79BE7D" w:rsidR="00595BC4" w:rsidRPr="00595BC4" w:rsidRDefault="00595BC4" w:rsidP="00595BC4">
      <w:pPr>
        <w:spacing w:before="120" w:after="120" w:line="276" w:lineRule="auto"/>
        <w:ind w:firstLine="709"/>
        <w:jc w:val="both"/>
        <w:rPr>
          <w:rFonts w:ascii="Arial" w:eastAsia="Calibri" w:hAnsi="Arial" w:cs="Arial"/>
          <w:sz w:val="22"/>
          <w:szCs w:val="22"/>
          <w:lang w:val="es-ES" w:eastAsia="en-US"/>
        </w:rPr>
      </w:pPr>
      <w:r w:rsidRPr="00595BC4">
        <w:rPr>
          <w:rFonts w:ascii="Arial" w:eastAsia="Calibri" w:hAnsi="Arial" w:cs="Arial"/>
          <w:sz w:val="22"/>
          <w:szCs w:val="22"/>
          <w:lang w:val="es-ES" w:eastAsia="en-US"/>
        </w:rPr>
        <w:lastRenderedPageBreak/>
        <w:t xml:space="preserve">Adicionalmente, el deber de publicar la actividad contractual de las entidades estatales no solo está regulado en el artículo 3 de la Ley 1150 de 2007 y en el </w:t>
      </w:r>
      <w:r w:rsidRPr="00595BC4">
        <w:rPr>
          <w:rFonts w:ascii="Arial" w:eastAsia="Arial" w:hAnsi="Arial" w:cs="Arial"/>
          <w:sz w:val="22"/>
          <w:szCs w:val="22"/>
          <w:lang w:val="es-ES" w:eastAsia="en-US"/>
        </w:rPr>
        <w:t xml:space="preserve">artículo 2.2.1.1.1.7.1 del Decreto 1082 de 2015, sino también en la Ley 1712 de 2014 y en el Decreto 1081 de 2015. Estas normas no solo refuerzan y complementan al régimen de contratación estatal en cuanto a la publicidad, sino que lo amplía, para incluir la publicación de los «procedimientos» y la información relativa a la «gestión contractual», sin el condicionamiento de tratarse exclusivamente de los </w:t>
      </w:r>
      <w:r w:rsidRPr="00595BC4">
        <w:rPr>
          <w:rFonts w:ascii="Arial" w:eastAsia="Arial" w:hAnsi="Arial" w:cs="Arial"/>
          <w:i/>
          <w:iCs/>
          <w:sz w:val="22"/>
          <w:szCs w:val="22"/>
          <w:lang w:val="es-ES" w:eastAsia="en-US"/>
        </w:rPr>
        <w:t xml:space="preserve">Documentos del Proceso </w:t>
      </w:r>
      <w:r w:rsidRPr="00595BC4">
        <w:rPr>
          <w:rFonts w:ascii="Arial" w:eastAsia="Arial" w:hAnsi="Arial" w:cs="Arial"/>
          <w:sz w:val="22"/>
          <w:szCs w:val="22"/>
          <w:lang w:val="es-ES" w:eastAsia="en-US"/>
        </w:rPr>
        <w:t>expedidos por la «entidad estatal».</w:t>
      </w:r>
    </w:p>
    <w:p w14:paraId="1DAD675F" w14:textId="758DB060" w:rsidR="00595BC4" w:rsidRPr="00595BC4" w:rsidRDefault="00595BC4" w:rsidP="00595BC4">
      <w:pPr>
        <w:spacing w:before="120" w:after="120" w:line="276" w:lineRule="auto"/>
        <w:ind w:firstLine="709"/>
        <w:jc w:val="both"/>
        <w:rPr>
          <w:rFonts w:ascii="Arial" w:eastAsia="Calibri" w:hAnsi="Arial" w:cs="Arial"/>
          <w:sz w:val="22"/>
          <w:szCs w:val="22"/>
          <w:lang w:val="es-ES" w:eastAsia="en-US"/>
        </w:rPr>
      </w:pPr>
      <w:r w:rsidRPr="00595BC4">
        <w:rPr>
          <w:rFonts w:ascii="Arial" w:eastAsia="Calibri" w:hAnsi="Arial" w:cs="Arial"/>
          <w:sz w:val="22"/>
          <w:szCs w:val="22"/>
          <w:lang w:val="es-ES" w:eastAsia="en-US"/>
        </w:rPr>
        <w:t xml:space="preserve">Las publicaciones que corresponde efectuar a las entidades estatales, como sujetos obligados por la normativa de la transparencia y acceso a la información pública, antes que una derogación o subrogación del contenido del deber de publicidad regulado por el EGCAP, suponen una ampliación de su alcance, que lo </w:t>
      </w:r>
      <w:r w:rsidR="002840DD">
        <w:rPr>
          <w:rFonts w:ascii="Arial" w:eastAsia="Calibri" w:hAnsi="Arial" w:cs="Arial"/>
          <w:sz w:val="22"/>
          <w:szCs w:val="22"/>
          <w:lang w:val="es-ES" w:eastAsia="en-US"/>
        </w:rPr>
        <w:t>extiende</w:t>
      </w:r>
      <w:r w:rsidRPr="00595BC4">
        <w:rPr>
          <w:rFonts w:ascii="Arial" w:eastAsia="Calibri" w:hAnsi="Arial" w:cs="Arial"/>
          <w:sz w:val="22"/>
          <w:szCs w:val="22"/>
          <w:lang w:val="es-ES" w:eastAsia="en-US"/>
        </w:rPr>
        <w:t xml:space="preserve"> de la simple publicación de la información «producida por la entidad estatal» asociada a la noción de </w:t>
      </w:r>
      <w:r w:rsidRPr="00595BC4">
        <w:rPr>
          <w:rFonts w:ascii="Arial" w:eastAsia="Calibri" w:hAnsi="Arial" w:cs="Arial"/>
          <w:i/>
          <w:iCs/>
          <w:sz w:val="22"/>
          <w:szCs w:val="22"/>
          <w:lang w:val="es-ES" w:eastAsia="en-US"/>
        </w:rPr>
        <w:t>Documentos del Proceso</w:t>
      </w:r>
      <w:r w:rsidRPr="00595BC4">
        <w:rPr>
          <w:rFonts w:ascii="Arial" w:eastAsia="Calibri" w:hAnsi="Arial" w:cs="Arial"/>
          <w:sz w:val="22"/>
          <w:szCs w:val="22"/>
          <w:lang w:val="es-ES" w:eastAsia="en-US"/>
        </w:rPr>
        <w:t xml:space="preserve">. Esto implica que la publicación que corresponde a las entidades estatales, como sujetos obligados en el marco de la Ley 1712 de 2014, se extiende a todo el desarrollo del procedimiento, desde la etapa de planeación hasta el vencimiento de las garantías, incluyendo cada actuación que se produzca en ese lapso.  </w:t>
      </w:r>
    </w:p>
    <w:p w14:paraId="20636B53" w14:textId="3BF2574B" w:rsidR="00595BC4" w:rsidRDefault="00595BC4" w:rsidP="00595BC4">
      <w:pPr>
        <w:widowControl w:val="0"/>
        <w:autoSpaceDE w:val="0"/>
        <w:autoSpaceDN w:val="0"/>
        <w:spacing w:after="120" w:line="276" w:lineRule="auto"/>
        <w:ind w:firstLine="709"/>
        <w:jc w:val="both"/>
        <w:rPr>
          <w:rFonts w:ascii="Arial" w:eastAsiaTheme="minorHAnsi" w:hAnsi="Arial" w:cs="Arial"/>
          <w:sz w:val="22"/>
          <w:szCs w:val="22"/>
          <w:lang w:val="es-MX" w:eastAsia="en-US"/>
        </w:rPr>
      </w:pPr>
      <w:r w:rsidRPr="00595BC4">
        <w:rPr>
          <w:rFonts w:ascii="Arial" w:eastAsia="Arial" w:hAnsi="Arial" w:cs="Arial"/>
          <w:sz w:val="22"/>
          <w:szCs w:val="22"/>
          <w:lang w:val="es-ES" w:eastAsia="en-US"/>
        </w:rPr>
        <w:t xml:space="preserve">Conforme a esto, las entidades estarán obligadas a publicar todos los documentos que se produzcan en el marco del </w:t>
      </w:r>
      <w:r w:rsidRPr="00595BC4">
        <w:rPr>
          <w:rFonts w:ascii="Arial" w:eastAsia="Arial" w:hAnsi="Arial" w:cs="Arial"/>
          <w:i/>
          <w:iCs/>
          <w:sz w:val="22"/>
          <w:szCs w:val="22"/>
          <w:lang w:val="es-ES" w:eastAsia="en-US"/>
        </w:rPr>
        <w:t>Proceso de Contratación</w:t>
      </w:r>
      <w:r w:rsidRPr="00595BC4">
        <w:rPr>
          <w:rFonts w:ascii="Arial" w:eastAsia="Arial" w:hAnsi="Arial" w:cs="Arial"/>
          <w:sz w:val="22"/>
          <w:szCs w:val="22"/>
          <w:lang w:val="es-ES" w:eastAsia="en-US"/>
        </w:rPr>
        <w:t>, de conformidad con las normas que regulan la respectiva modalidad de selección. En este sentido</w:t>
      </w:r>
      <w:r w:rsidR="004746EA">
        <w:rPr>
          <w:rFonts w:ascii="Arial" w:eastAsia="Arial" w:hAnsi="Arial" w:cs="Arial"/>
          <w:sz w:val="22"/>
          <w:szCs w:val="22"/>
          <w:lang w:val="es-ES" w:eastAsia="en-US"/>
        </w:rPr>
        <w:t>,</w:t>
      </w:r>
      <w:r w:rsidRPr="00595BC4">
        <w:rPr>
          <w:rFonts w:ascii="Arial" w:eastAsia="Arial" w:hAnsi="Arial" w:cs="Arial"/>
          <w:sz w:val="22"/>
          <w:szCs w:val="22"/>
          <w:lang w:val="es-ES" w:eastAsia="en-US"/>
        </w:rPr>
        <w:t xml:space="preserve"> resulta necesario precisar que, en lo que tiene que ver con la modalidad de selección de contratación directa, </w:t>
      </w:r>
      <w:bookmarkStart w:id="5" w:name="_Hlk48034832"/>
      <w:r w:rsidRPr="00595BC4">
        <w:rPr>
          <w:rFonts w:ascii="Arial" w:eastAsia="Arial" w:hAnsi="Arial" w:cs="Arial"/>
          <w:sz w:val="22"/>
          <w:szCs w:val="22"/>
          <w:lang w:val="es-ES" w:eastAsia="en-US"/>
        </w:rPr>
        <w:t xml:space="preserve">en virtud de lo dispuesto en el artículo </w:t>
      </w:r>
      <w:r w:rsidRPr="00595BC4">
        <w:rPr>
          <w:rFonts w:ascii="Arial" w:eastAsiaTheme="minorHAnsi" w:hAnsi="Arial" w:cs="Arial"/>
          <w:sz w:val="22"/>
          <w:szCs w:val="22"/>
          <w:lang w:val="es-MX" w:eastAsia="en-US"/>
        </w:rPr>
        <w:t>2.2.1.2.1.4.3 del Decreto 1082 de 2015</w:t>
      </w:r>
      <w:r w:rsidRPr="00595BC4">
        <w:rPr>
          <w:rFonts w:ascii="Arial" w:eastAsiaTheme="minorHAnsi" w:hAnsi="Arial" w:cs="Arial"/>
          <w:b/>
          <w:bCs/>
          <w:sz w:val="22"/>
          <w:szCs w:val="22"/>
          <w:vertAlign w:val="superscript"/>
          <w:lang w:val="es-MX" w:eastAsia="en-US"/>
        </w:rPr>
        <w:footnoteReference w:id="13"/>
      </w:r>
      <w:r w:rsidRPr="00595BC4">
        <w:rPr>
          <w:rFonts w:ascii="Arial" w:eastAsiaTheme="minorHAnsi" w:hAnsi="Arial" w:cs="Arial"/>
          <w:sz w:val="22"/>
          <w:szCs w:val="22"/>
          <w:lang w:val="es-MX" w:eastAsia="en-US"/>
        </w:rPr>
        <w:t xml:space="preserve">, las entidades no están obligadas a publicar los estudios y documentos previos relacionados con: i) la contratación de empréstitos, </w:t>
      </w:r>
      <w:proofErr w:type="spellStart"/>
      <w:r w:rsidRPr="00595BC4">
        <w:rPr>
          <w:rFonts w:ascii="Arial" w:eastAsiaTheme="minorHAnsi" w:hAnsi="Arial" w:cs="Arial"/>
          <w:sz w:val="22"/>
          <w:szCs w:val="22"/>
          <w:lang w:val="es-MX" w:eastAsia="en-US"/>
        </w:rPr>
        <w:t>ii</w:t>
      </w:r>
      <w:proofErr w:type="spellEnd"/>
      <w:r w:rsidRPr="00595BC4">
        <w:rPr>
          <w:rFonts w:ascii="Arial" w:eastAsiaTheme="minorHAnsi" w:hAnsi="Arial" w:cs="Arial"/>
          <w:sz w:val="22"/>
          <w:szCs w:val="22"/>
          <w:lang w:val="es-MX" w:eastAsia="en-US"/>
        </w:rPr>
        <w:t>) los contratos</w:t>
      </w:r>
      <w:r w:rsidRPr="00595BC4">
        <w:rPr>
          <w:rFonts w:ascii="Arial" w:eastAsiaTheme="minorHAnsi" w:hAnsi="Arial" w:cs="Arial"/>
          <w:b/>
          <w:bCs/>
          <w:sz w:val="22"/>
          <w:szCs w:val="22"/>
          <w:lang w:val="es-MX" w:eastAsia="en-US"/>
        </w:rPr>
        <w:t xml:space="preserve"> </w:t>
      </w:r>
      <w:r w:rsidRPr="00595BC4">
        <w:rPr>
          <w:rFonts w:ascii="Arial" w:eastAsiaTheme="minorHAnsi" w:hAnsi="Arial" w:cs="Arial"/>
          <w:sz w:val="22"/>
          <w:szCs w:val="22"/>
          <w:lang w:val="es-MX" w:eastAsia="en-US"/>
        </w:rPr>
        <w:t xml:space="preserve">interadministrativos que celebre el Ministerio de Hacienda y Crédito Público con el Banco de la República, y </w:t>
      </w:r>
      <w:proofErr w:type="spellStart"/>
      <w:r w:rsidRPr="00595BC4">
        <w:rPr>
          <w:rFonts w:ascii="Arial" w:eastAsiaTheme="minorHAnsi" w:hAnsi="Arial" w:cs="Arial"/>
          <w:sz w:val="22"/>
          <w:szCs w:val="22"/>
          <w:lang w:val="es-MX" w:eastAsia="en-US"/>
        </w:rPr>
        <w:t>iii</w:t>
      </w:r>
      <w:proofErr w:type="spellEnd"/>
      <w:r w:rsidRPr="00595BC4">
        <w:rPr>
          <w:rFonts w:ascii="Arial" w:eastAsiaTheme="minorHAnsi" w:hAnsi="Arial" w:cs="Arial"/>
          <w:sz w:val="22"/>
          <w:szCs w:val="22"/>
          <w:lang w:val="es-MX" w:eastAsia="en-US"/>
        </w:rPr>
        <w:t>) los contratos a los que se refiere el artículo 2.2.1.2.1.4.6 del Decreto 1082 de 2015, relacionados con bienes y servicios del Sector Defensa, la Dirección Nacional de Inteligencia y la Unidad Nacional de Protección que requieren reserva para su adquisición</w:t>
      </w:r>
      <w:bookmarkEnd w:id="5"/>
      <w:r w:rsidRPr="00595BC4">
        <w:rPr>
          <w:rFonts w:ascii="Arial" w:eastAsiaTheme="minorHAnsi" w:hAnsi="Arial" w:cs="Arial"/>
          <w:sz w:val="22"/>
          <w:szCs w:val="22"/>
          <w:vertAlign w:val="superscript"/>
          <w:lang w:val="es-MX" w:eastAsia="en-US"/>
        </w:rPr>
        <w:footnoteReference w:id="14"/>
      </w:r>
      <w:r w:rsidRPr="00595BC4">
        <w:rPr>
          <w:rFonts w:ascii="Arial" w:eastAsiaTheme="minorHAnsi" w:hAnsi="Arial" w:cs="Arial"/>
          <w:sz w:val="22"/>
          <w:szCs w:val="22"/>
          <w:lang w:val="es-MX" w:eastAsia="en-US"/>
        </w:rPr>
        <w:t>.</w:t>
      </w:r>
    </w:p>
    <w:p w14:paraId="51876BD9" w14:textId="779F5414" w:rsidR="008F1E01" w:rsidRDefault="00903199" w:rsidP="00013DDC">
      <w:pPr>
        <w:widowControl w:val="0"/>
        <w:autoSpaceDE w:val="0"/>
        <w:autoSpaceDN w:val="0"/>
        <w:spacing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lastRenderedPageBreak/>
        <w:t>Salvo restricciones referentes a causales de reserva de información prescritas en el ordenamiento jurídico</w:t>
      </w:r>
      <w:r>
        <w:rPr>
          <w:rFonts w:ascii="Arial" w:hAnsi="Arial" w:cs="Arial"/>
          <w:sz w:val="22"/>
        </w:rPr>
        <w:t>, d</w:t>
      </w:r>
      <w:r w:rsidR="00065B01">
        <w:rPr>
          <w:rFonts w:ascii="Arial" w:hAnsi="Arial" w:cs="Arial"/>
          <w:sz w:val="22"/>
        </w:rPr>
        <w:t xml:space="preserve">ado que los informes presentados en el marco de los contratos de prestación de servicios están ligados a la ejecución de </w:t>
      </w:r>
      <w:proofErr w:type="gramStart"/>
      <w:r w:rsidR="00065B01">
        <w:rPr>
          <w:rFonts w:ascii="Arial" w:hAnsi="Arial" w:cs="Arial"/>
          <w:sz w:val="22"/>
        </w:rPr>
        <w:t>los mismos</w:t>
      </w:r>
      <w:proofErr w:type="gramEnd"/>
      <w:r w:rsidR="00065B01">
        <w:rPr>
          <w:rFonts w:ascii="Arial" w:hAnsi="Arial" w:cs="Arial"/>
          <w:sz w:val="22"/>
        </w:rPr>
        <w:t>, estos documentos hacen parte de la «gestión contractual» y deben publicarse en el SECOP en el término previsto en el artículo 2.2.1.1.1.7.1 del Decreto 1082 de 2015. Esto conforme a la interpretación armónica entre la Ley 1150 de 2007, la Ley 1712 de 2014 y los reglamentos de ambas normas en los términos anteriormente explicados</w:t>
      </w:r>
      <w:r w:rsidR="008F1E01">
        <w:rPr>
          <w:rFonts w:ascii="Arial" w:eastAsiaTheme="minorHAnsi" w:hAnsi="Arial" w:cs="Arial"/>
          <w:sz w:val="22"/>
          <w:szCs w:val="22"/>
          <w:lang w:val="es-MX" w:eastAsia="en-US"/>
        </w:rPr>
        <w:t xml:space="preserve">. </w:t>
      </w:r>
    </w:p>
    <w:p w14:paraId="2C199517" w14:textId="77777777" w:rsidR="00013DDC" w:rsidRPr="00595BC4" w:rsidRDefault="00013DDC" w:rsidP="00013DDC">
      <w:pPr>
        <w:widowControl w:val="0"/>
        <w:autoSpaceDE w:val="0"/>
        <w:autoSpaceDN w:val="0"/>
        <w:spacing w:line="276" w:lineRule="auto"/>
        <w:ind w:firstLine="709"/>
        <w:jc w:val="both"/>
        <w:rPr>
          <w:rFonts w:ascii="Arial" w:eastAsiaTheme="minorHAnsi" w:hAnsi="Arial" w:cs="Arial"/>
          <w:sz w:val="22"/>
          <w:szCs w:val="22"/>
          <w:lang w:val="es-MX" w:eastAsia="en-US"/>
        </w:rPr>
      </w:pPr>
    </w:p>
    <w:p w14:paraId="1631129B" w14:textId="0951EDE9" w:rsidR="005B17E7" w:rsidRPr="008F1E01" w:rsidRDefault="008F1E01" w:rsidP="008F1E01">
      <w:pPr>
        <w:tabs>
          <w:tab w:val="left" w:pos="284"/>
        </w:tabs>
        <w:spacing w:line="276" w:lineRule="auto"/>
        <w:rPr>
          <w:rFonts w:ascii="Arial" w:hAnsi="Arial" w:cs="Arial"/>
          <w:b/>
          <w:bCs/>
          <w:color w:val="000000" w:themeColor="text1"/>
          <w:sz w:val="22"/>
        </w:rPr>
      </w:pPr>
      <w:r>
        <w:rPr>
          <w:rFonts w:ascii="Arial" w:hAnsi="Arial" w:cs="Arial"/>
          <w:b/>
          <w:bCs/>
          <w:color w:val="000000" w:themeColor="text1"/>
          <w:sz w:val="22"/>
        </w:rPr>
        <w:t xml:space="preserve">3. </w:t>
      </w:r>
      <w:r w:rsidR="005B17E7" w:rsidRPr="008F1E01">
        <w:rPr>
          <w:rFonts w:ascii="Arial" w:hAnsi="Arial" w:cs="Arial"/>
          <w:b/>
          <w:bCs/>
          <w:color w:val="000000" w:themeColor="text1"/>
          <w:sz w:val="22"/>
        </w:rPr>
        <w:t>Respuesta</w:t>
      </w:r>
    </w:p>
    <w:p w14:paraId="73A38C29" w14:textId="77777777" w:rsidR="005B17E7" w:rsidRPr="00064944" w:rsidRDefault="005B17E7" w:rsidP="005B17E7">
      <w:pPr>
        <w:pStyle w:val="Prrafodelista"/>
        <w:tabs>
          <w:tab w:val="left" w:pos="284"/>
        </w:tabs>
        <w:spacing w:line="276" w:lineRule="auto"/>
        <w:ind w:left="0"/>
        <w:rPr>
          <w:rFonts w:ascii="Arial" w:hAnsi="Arial" w:cs="Arial"/>
          <w:b/>
          <w:bCs/>
          <w:color w:val="000000" w:themeColor="text1"/>
          <w:sz w:val="22"/>
          <w:lang w:val="es-CO"/>
        </w:rPr>
      </w:pPr>
      <w:r w:rsidRPr="00064944">
        <w:rPr>
          <w:rFonts w:ascii="Arial" w:hAnsi="Arial" w:cs="Arial"/>
          <w:b/>
          <w:bCs/>
          <w:color w:val="000000" w:themeColor="text1"/>
          <w:sz w:val="22"/>
          <w:lang w:val="es-CO"/>
        </w:rPr>
        <w:t xml:space="preserve"> </w:t>
      </w:r>
    </w:p>
    <w:p w14:paraId="3BED6470" w14:textId="366981E5" w:rsidR="008F1E01" w:rsidRPr="008F1E01" w:rsidRDefault="00903199" w:rsidP="008F1E01">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i) «</w:t>
      </w:r>
      <w:r w:rsidR="008F1E01" w:rsidRPr="008F1E01">
        <w:rPr>
          <w:rFonts w:ascii="Arial" w:hAnsi="Arial" w:cs="Arial"/>
          <w:color w:val="000000" w:themeColor="text1"/>
          <w:sz w:val="21"/>
          <w:szCs w:val="21"/>
          <w:lang w:val="es-ES_tradnl"/>
        </w:rPr>
        <w:t>Existe alguna guía, directriz o procedimiento que deban utilizar las entidades públicas para verificar que las pólizas que se aportan en los diferentes contratos no sean falsas</w:t>
      </w:r>
      <w:r>
        <w:rPr>
          <w:rFonts w:ascii="Arial" w:hAnsi="Arial" w:cs="Arial"/>
          <w:color w:val="000000" w:themeColor="text1"/>
          <w:sz w:val="21"/>
          <w:szCs w:val="21"/>
          <w:lang w:val="es-ES_tradnl"/>
        </w:rPr>
        <w:t>».</w:t>
      </w:r>
      <w:r w:rsidR="008F1E01" w:rsidRPr="008F1E01">
        <w:rPr>
          <w:rFonts w:ascii="Arial" w:hAnsi="Arial" w:cs="Arial"/>
          <w:color w:val="000000" w:themeColor="text1"/>
          <w:sz w:val="21"/>
          <w:szCs w:val="21"/>
          <w:lang w:val="es-ES_tradnl"/>
        </w:rPr>
        <w:t xml:space="preserve"> </w:t>
      </w:r>
    </w:p>
    <w:p w14:paraId="004D427E" w14:textId="77777777" w:rsidR="008F1E01" w:rsidRDefault="008F1E01" w:rsidP="00F433CB">
      <w:pPr>
        <w:spacing w:line="276" w:lineRule="auto"/>
        <w:jc w:val="both"/>
        <w:rPr>
          <w:rFonts w:ascii="Arial" w:hAnsi="Arial" w:cs="Arial"/>
          <w:color w:val="000000" w:themeColor="text1"/>
          <w:sz w:val="22"/>
          <w:szCs w:val="22"/>
          <w:lang w:val="es-ES_tradnl"/>
        </w:rPr>
      </w:pPr>
    </w:p>
    <w:p w14:paraId="2084E707" w14:textId="6824CC77" w:rsidR="008F1E01" w:rsidRPr="007E377C" w:rsidRDefault="008F1E01" w:rsidP="00F433CB">
      <w:pPr>
        <w:spacing w:line="276" w:lineRule="auto"/>
        <w:jc w:val="both"/>
        <w:rPr>
          <w:rFonts w:ascii="Arial" w:hAnsi="Arial" w:cs="Arial"/>
          <w:sz w:val="22"/>
          <w:szCs w:val="22"/>
        </w:rPr>
      </w:pPr>
      <w:r w:rsidRPr="00903199">
        <w:rPr>
          <w:rFonts w:ascii="Arial" w:hAnsi="Arial" w:cs="Arial"/>
          <w:color w:val="000000" w:themeColor="text1"/>
          <w:sz w:val="22"/>
          <w:szCs w:val="22"/>
          <w:lang w:val="es-ES_tradnl"/>
        </w:rPr>
        <w:t>La Superintendencia de Industria y Comercio y la Agencia Nacional de Contratación Pública –Colombia Compra E</w:t>
      </w:r>
      <w:r w:rsidR="00A85F1E" w:rsidRPr="00903199">
        <w:rPr>
          <w:rFonts w:ascii="Arial" w:hAnsi="Arial" w:cs="Arial"/>
          <w:color w:val="000000" w:themeColor="text1"/>
          <w:sz w:val="22"/>
          <w:szCs w:val="22"/>
          <w:lang w:val="es-ES_tradnl"/>
        </w:rPr>
        <w:t xml:space="preserve">ficiente </w:t>
      </w:r>
      <w:r w:rsidR="00903199" w:rsidRPr="00903199">
        <w:rPr>
          <w:rFonts w:ascii="Arial" w:hAnsi="Arial" w:cs="Arial"/>
          <w:color w:val="000000" w:themeColor="text1"/>
          <w:sz w:val="22"/>
          <w:szCs w:val="22"/>
          <w:lang w:val="es-ES_tradnl"/>
        </w:rPr>
        <w:t xml:space="preserve">expidieron </w:t>
      </w:r>
      <w:r w:rsidRPr="00903199">
        <w:rPr>
          <w:rFonts w:ascii="Arial" w:hAnsi="Arial" w:cs="Arial"/>
          <w:color w:val="000000" w:themeColor="text1"/>
          <w:sz w:val="22"/>
          <w:szCs w:val="22"/>
          <w:lang w:val="es-ES_tradnl"/>
        </w:rPr>
        <w:t>la Circular Co</w:t>
      </w:r>
      <w:r w:rsidR="00A85F1E" w:rsidRPr="00903199">
        <w:rPr>
          <w:rFonts w:ascii="Arial" w:hAnsi="Arial" w:cs="Arial"/>
          <w:color w:val="000000" w:themeColor="text1"/>
          <w:sz w:val="22"/>
          <w:szCs w:val="22"/>
          <w:lang w:val="es-ES_tradnl"/>
        </w:rPr>
        <w:t xml:space="preserve">njunta 01 de 2020, la cual está dirigida a los representantes legales de los establecimientos de crédito, entidades aseguradoras, sociedades fiduciarias y entidades públicas. En dicha </w:t>
      </w:r>
      <w:r w:rsidR="00D6732C">
        <w:rPr>
          <w:rFonts w:ascii="Arial" w:hAnsi="Arial" w:cs="Arial"/>
          <w:color w:val="000000" w:themeColor="text1"/>
          <w:sz w:val="22"/>
          <w:szCs w:val="22"/>
          <w:lang w:val="es-ES_tradnl"/>
        </w:rPr>
        <w:t>C</w:t>
      </w:r>
      <w:r w:rsidR="00A85F1E" w:rsidRPr="00903199">
        <w:rPr>
          <w:rFonts w:ascii="Arial" w:hAnsi="Arial" w:cs="Arial"/>
          <w:color w:val="000000" w:themeColor="text1"/>
          <w:sz w:val="22"/>
          <w:szCs w:val="22"/>
          <w:lang w:val="es-ES_tradnl"/>
        </w:rPr>
        <w:t xml:space="preserve">ircular </w:t>
      </w:r>
      <w:r w:rsidR="00A85F1E" w:rsidRPr="00903199">
        <w:rPr>
          <w:rFonts w:ascii="Arial" w:eastAsia="Calibri" w:hAnsi="Arial" w:cs="Arial"/>
          <w:bCs/>
          <w:color w:val="000000" w:themeColor="text1"/>
          <w:sz w:val="22"/>
          <w:szCs w:val="22"/>
        </w:rPr>
        <w:t>se establecen obligaciones para los diferentes establecimientos de crédito, entidades aseguradoras y sociedades fiduciarias que expiden los tipos de garantías, lo cual implica que deban expedirse por medio de</w:t>
      </w:r>
      <w:r w:rsidR="00A85F1E" w:rsidRPr="007E377C">
        <w:rPr>
          <w:rFonts w:ascii="Arial" w:hAnsi="Arial" w:cs="Arial"/>
          <w:sz w:val="22"/>
          <w:szCs w:val="22"/>
        </w:rPr>
        <w:t xml:space="preserve"> documentos electrónicos integrales con valor legal y técnicamente asegurados mediante firmado digital y estampado cronológico, además de poseer mecanismos tecnológicos como pueden ser códigos QR, hash, alfanuméricos o CUFE, entre otros, lo cual permitan la verificación en línea y la disposición de un punto de contacto. Así mismo, las entidades públicas están en la obligación de verificar en línea la autenticidad de las pólizas y dejar constancia de la consulta en el expediente contractual. </w:t>
      </w:r>
    </w:p>
    <w:p w14:paraId="33492FB7" w14:textId="77777777" w:rsidR="008F1E01" w:rsidRPr="008F1E01" w:rsidRDefault="008F1E01" w:rsidP="008F1E01">
      <w:pPr>
        <w:ind w:left="709" w:right="709"/>
        <w:jc w:val="both"/>
        <w:rPr>
          <w:rFonts w:ascii="Arial" w:hAnsi="Arial" w:cs="Arial"/>
          <w:color w:val="000000" w:themeColor="text1"/>
          <w:sz w:val="21"/>
          <w:szCs w:val="21"/>
          <w:lang w:val="es-ES_tradnl"/>
        </w:rPr>
      </w:pPr>
    </w:p>
    <w:p w14:paraId="3C44B268" w14:textId="66C4E152" w:rsidR="00595BC4" w:rsidRPr="008F1E01" w:rsidRDefault="00903199" w:rsidP="008F1E01">
      <w:pPr>
        <w:ind w:left="709" w:right="709"/>
        <w:jc w:val="both"/>
        <w:rPr>
          <w:rFonts w:ascii="Arial" w:hAnsi="Arial" w:cs="Arial"/>
          <w:sz w:val="21"/>
          <w:szCs w:val="21"/>
          <w:bdr w:val="none" w:sz="0" w:space="0" w:color="auto" w:frame="1"/>
        </w:rPr>
      </w:pPr>
      <w:proofErr w:type="spellStart"/>
      <w:r>
        <w:rPr>
          <w:rFonts w:ascii="Arial" w:hAnsi="Arial" w:cs="Arial"/>
          <w:color w:val="000000" w:themeColor="text1"/>
          <w:sz w:val="21"/>
          <w:szCs w:val="21"/>
          <w:lang w:val="es-ES_tradnl"/>
        </w:rPr>
        <w:t>ii</w:t>
      </w:r>
      <w:proofErr w:type="spellEnd"/>
      <w:r>
        <w:rPr>
          <w:rFonts w:ascii="Arial" w:hAnsi="Arial" w:cs="Arial"/>
          <w:color w:val="000000" w:themeColor="text1"/>
          <w:sz w:val="21"/>
          <w:szCs w:val="21"/>
          <w:lang w:val="es-ES_tradnl"/>
        </w:rPr>
        <w:t>) «</w:t>
      </w:r>
      <w:r w:rsidR="008F1E01" w:rsidRPr="008F1E01">
        <w:rPr>
          <w:rFonts w:ascii="Arial" w:hAnsi="Arial" w:cs="Arial"/>
          <w:color w:val="000000" w:themeColor="text1"/>
          <w:sz w:val="21"/>
          <w:szCs w:val="21"/>
          <w:lang w:val="es-ES_tradnl"/>
        </w:rPr>
        <w:t>Existe alguna norma o directriz que exija que en todos los contratos que suscribe el estado sea obligatoria la publicación de los informes que presentan los contratistas</w:t>
      </w:r>
      <w:r>
        <w:rPr>
          <w:rFonts w:ascii="Arial" w:hAnsi="Arial" w:cs="Arial"/>
          <w:color w:val="000000" w:themeColor="text1"/>
          <w:sz w:val="21"/>
          <w:szCs w:val="21"/>
          <w:lang w:val="es-ES_tradnl"/>
        </w:rPr>
        <w:t>»</w:t>
      </w:r>
      <w:r w:rsidR="008F1E01" w:rsidRPr="008F1E01">
        <w:rPr>
          <w:rFonts w:ascii="Arial" w:hAnsi="Arial" w:cs="Arial"/>
          <w:sz w:val="21"/>
          <w:szCs w:val="21"/>
          <w:bdr w:val="none" w:sz="0" w:space="0" w:color="auto" w:frame="1"/>
        </w:rPr>
        <w:t>.</w:t>
      </w:r>
    </w:p>
    <w:p w14:paraId="726F0E57" w14:textId="1B16FE7E" w:rsidR="008F1E01" w:rsidRDefault="008F1E01" w:rsidP="00F433CB">
      <w:pPr>
        <w:spacing w:line="276" w:lineRule="auto"/>
        <w:jc w:val="both"/>
        <w:rPr>
          <w:rFonts w:ascii="Arial" w:eastAsia="Calibri" w:hAnsi="Arial" w:cs="Arial"/>
          <w:color w:val="000000" w:themeColor="text1"/>
          <w:sz w:val="22"/>
        </w:rPr>
      </w:pPr>
    </w:p>
    <w:p w14:paraId="0E2FFCBD" w14:textId="1C632189" w:rsidR="005609CE" w:rsidRPr="00595BC4" w:rsidRDefault="005609CE" w:rsidP="005609CE">
      <w:pPr>
        <w:widowControl w:val="0"/>
        <w:autoSpaceDE w:val="0"/>
        <w:autoSpaceDN w:val="0"/>
        <w:spacing w:after="120" w:line="276" w:lineRule="auto"/>
        <w:jc w:val="both"/>
        <w:rPr>
          <w:rFonts w:ascii="Arial" w:eastAsia="Arial" w:hAnsi="Arial" w:cs="Arial"/>
          <w:sz w:val="22"/>
          <w:szCs w:val="22"/>
          <w:lang w:val="es-ES" w:eastAsia="en-US"/>
        </w:rPr>
      </w:pPr>
      <w:r>
        <w:rPr>
          <w:rFonts w:ascii="Arial" w:eastAsia="Arial" w:hAnsi="Arial" w:cs="Arial"/>
          <w:sz w:val="22"/>
          <w:szCs w:val="22"/>
          <w:lang w:val="es-ES" w:eastAsia="en-US"/>
        </w:rPr>
        <w:t xml:space="preserve">En </w:t>
      </w:r>
      <w:r w:rsidRPr="00595BC4">
        <w:rPr>
          <w:rFonts w:ascii="Arial" w:eastAsia="Arial" w:hAnsi="Arial" w:cs="Arial"/>
          <w:sz w:val="22"/>
          <w:szCs w:val="22"/>
          <w:lang w:val="es-ES" w:eastAsia="en-US"/>
        </w:rPr>
        <w:t xml:space="preserve">virtud del artículo 3 de la Ley 1150 de 2007, desarrollado por el artículo 2.2.1.1.1.7.1 del Decreto 1082 de 2015, las entidades están obligadas a publicar en el SECOP todos los documentos relacionados con el </w:t>
      </w:r>
      <w:r w:rsidRPr="00595BC4">
        <w:rPr>
          <w:rFonts w:ascii="Arial" w:eastAsia="Arial" w:hAnsi="Arial" w:cs="Arial"/>
          <w:i/>
          <w:iCs/>
          <w:sz w:val="22"/>
          <w:szCs w:val="22"/>
          <w:lang w:val="es-ES" w:eastAsia="en-US"/>
        </w:rPr>
        <w:t>Proceso de Contratación</w:t>
      </w:r>
      <w:r w:rsidRPr="00595BC4">
        <w:rPr>
          <w:rFonts w:ascii="Arial" w:eastAsia="Arial" w:hAnsi="Arial" w:cs="Arial"/>
          <w:sz w:val="22"/>
          <w:szCs w:val="22"/>
          <w:lang w:val="es-ES" w:eastAsia="en-US"/>
        </w:rPr>
        <w:t xml:space="preserve"> expedidos durante las etapas precontractual, de ejecución y </w:t>
      </w:r>
      <w:proofErr w:type="spellStart"/>
      <w:r w:rsidRPr="00595BC4">
        <w:rPr>
          <w:rFonts w:ascii="Arial" w:eastAsia="Arial" w:hAnsi="Arial" w:cs="Arial"/>
          <w:sz w:val="22"/>
          <w:szCs w:val="22"/>
          <w:lang w:val="es-ES" w:eastAsia="en-US"/>
        </w:rPr>
        <w:t>postcontractual</w:t>
      </w:r>
      <w:proofErr w:type="spellEnd"/>
      <w:r w:rsidRPr="00595BC4">
        <w:rPr>
          <w:rFonts w:ascii="Arial" w:eastAsia="Arial" w:hAnsi="Arial" w:cs="Arial"/>
          <w:sz w:val="22"/>
          <w:szCs w:val="22"/>
          <w:lang w:val="es-ES" w:eastAsia="en-US"/>
        </w:rPr>
        <w:t xml:space="preserve">. Este deber aplica a todas las modalidades de selección y entidades regidas por el Estatuto General de Contratación de la Administración Pública, y solo se encuentran excluidas las ofertas perdedoras y los documentos expedidos en el marco de operaciones de bolsa de productos. </w:t>
      </w:r>
    </w:p>
    <w:p w14:paraId="5A68BB20" w14:textId="220A4F2D" w:rsidR="00806035" w:rsidRDefault="005609CE" w:rsidP="005609CE">
      <w:pPr>
        <w:spacing w:before="120" w:after="120" w:line="276" w:lineRule="auto"/>
        <w:ind w:firstLine="709"/>
        <w:jc w:val="both"/>
        <w:rPr>
          <w:rFonts w:ascii="Arial" w:eastAsia="Arial" w:hAnsi="Arial" w:cs="Arial"/>
          <w:sz w:val="22"/>
          <w:szCs w:val="22"/>
          <w:lang w:val="es-ES" w:eastAsia="en-US"/>
        </w:rPr>
      </w:pPr>
      <w:r w:rsidRPr="00595BC4">
        <w:rPr>
          <w:rFonts w:ascii="Arial" w:eastAsia="Calibri" w:hAnsi="Arial" w:cs="Arial"/>
          <w:sz w:val="22"/>
          <w:szCs w:val="22"/>
          <w:lang w:val="es-ES" w:eastAsia="en-US"/>
        </w:rPr>
        <w:t xml:space="preserve">Adicionalmente, el deber de publicar la actividad contractual de las entidades estatales no solo está regulado en el artículo 3 de la Ley 1150 de 2007 y en el </w:t>
      </w:r>
      <w:r w:rsidRPr="00595BC4">
        <w:rPr>
          <w:rFonts w:ascii="Arial" w:eastAsia="Arial" w:hAnsi="Arial" w:cs="Arial"/>
          <w:sz w:val="22"/>
          <w:szCs w:val="22"/>
          <w:lang w:val="es-ES" w:eastAsia="en-US"/>
        </w:rPr>
        <w:t xml:space="preserve">artículo 2.2.1.1.1.7.1 del Decreto 1082 de 2015, sino también en la Ley 1712 de 2014 y en el Decreto </w:t>
      </w:r>
      <w:r w:rsidRPr="00595BC4">
        <w:rPr>
          <w:rFonts w:ascii="Arial" w:eastAsia="Arial" w:hAnsi="Arial" w:cs="Arial"/>
          <w:sz w:val="22"/>
          <w:szCs w:val="22"/>
          <w:lang w:val="es-ES" w:eastAsia="en-US"/>
        </w:rPr>
        <w:lastRenderedPageBreak/>
        <w:t xml:space="preserve">1081 de 2015. Estas normas no solo refuerzan y complementan al régimen de contratación estatal en cuanto a la publicidad, sino que lo amplía, para incluir la publicación de los «procedimientos» y la información relativa a la «gestión contractual», sin el condicionamiento de tratarse exclusivamente de los </w:t>
      </w:r>
      <w:r w:rsidRPr="00595BC4">
        <w:rPr>
          <w:rFonts w:ascii="Arial" w:eastAsia="Arial" w:hAnsi="Arial" w:cs="Arial"/>
          <w:i/>
          <w:iCs/>
          <w:sz w:val="22"/>
          <w:szCs w:val="22"/>
          <w:lang w:val="es-ES" w:eastAsia="en-US"/>
        </w:rPr>
        <w:t xml:space="preserve">Documentos del Proceso </w:t>
      </w:r>
      <w:r w:rsidRPr="00595BC4">
        <w:rPr>
          <w:rFonts w:ascii="Arial" w:eastAsia="Arial" w:hAnsi="Arial" w:cs="Arial"/>
          <w:sz w:val="22"/>
          <w:szCs w:val="22"/>
          <w:lang w:val="es-ES" w:eastAsia="en-US"/>
        </w:rPr>
        <w:t>expedidos por la «entidad estatal».</w:t>
      </w:r>
      <w:r>
        <w:rPr>
          <w:rFonts w:ascii="Arial" w:eastAsia="Arial" w:hAnsi="Arial" w:cs="Arial"/>
          <w:sz w:val="22"/>
          <w:szCs w:val="22"/>
          <w:lang w:val="es-ES" w:eastAsia="en-US"/>
        </w:rPr>
        <w:t xml:space="preserve"> </w:t>
      </w:r>
    </w:p>
    <w:p w14:paraId="61FF973B" w14:textId="3D766AE1" w:rsidR="005609CE" w:rsidRPr="007E377C" w:rsidRDefault="005055E4" w:rsidP="007E377C">
      <w:pPr>
        <w:widowControl w:val="0"/>
        <w:autoSpaceDE w:val="0"/>
        <w:autoSpaceDN w:val="0"/>
        <w:spacing w:line="276" w:lineRule="auto"/>
        <w:ind w:firstLine="709"/>
        <w:jc w:val="both"/>
        <w:rPr>
          <w:rFonts w:ascii="Arial" w:eastAsiaTheme="minorHAnsi" w:hAnsi="Arial" w:cs="Arial"/>
          <w:sz w:val="22"/>
          <w:szCs w:val="22"/>
          <w:lang w:val="es-MX" w:eastAsia="en-US"/>
        </w:rPr>
      </w:pPr>
      <w:r>
        <w:rPr>
          <w:rFonts w:ascii="Arial" w:eastAsia="Arial" w:hAnsi="Arial" w:cs="Arial"/>
          <w:sz w:val="22"/>
          <w:szCs w:val="22"/>
          <w:lang w:val="es-ES" w:eastAsia="en-US"/>
        </w:rPr>
        <w:t>Por ello</w:t>
      </w:r>
      <w:r w:rsidR="005609CE">
        <w:rPr>
          <w:rFonts w:ascii="Arial" w:eastAsia="Arial" w:hAnsi="Arial" w:cs="Arial"/>
          <w:sz w:val="22"/>
          <w:szCs w:val="22"/>
          <w:lang w:val="es-ES" w:eastAsia="en-US"/>
        </w:rPr>
        <w:t xml:space="preserve">, </w:t>
      </w:r>
      <w:r w:rsidR="00806035">
        <w:rPr>
          <w:rFonts w:ascii="Arial" w:eastAsiaTheme="minorHAnsi" w:hAnsi="Arial" w:cs="Arial"/>
          <w:sz w:val="22"/>
          <w:szCs w:val="22"/>
          <w:lang w:val="es-MX" w:eastAsia="en-US"/>
        </w:rPr>
        <w:t>salvo restricciones referentes a causales de reserva de información prescritas en el ordenamiento jurídico</w:t>
      </w:r>
      <w:r w:rsidR="00806035">
        <w:rPr>
          <w:rFonts w:ascii="Arial" w:hAnsi="Arial" w:cs="Arial"/>
          <w:sz w:val="22"/>
        </w:rPr>
        <w:t xml:space="preserve">, dado que los informes presentados en el marco de los contratos de prestación de servicios están ligados a la ejecución de </w:t>
      </w:r>
      <w:proofErr w:type="gramStart"/>
      <w:r w:rsidR="00806035">
        <w:rPr>
          <w:rFonts w:ascii="Arial" w:hAnsi="Arial" w:cs="Arial"/>
          <w:sz w:val="22"/>
        </w:rPr>
        <w:t>los mismos</w:t>
      </w:r>
      <w:proofErr w:type="gramEnd"/>
      <w:r w:rsidR="00806035">
        <w:rPr>
          <w:rFonts w:ascii="Arial" w:hAnsi="Arial" w:cs="Arial"/>
          <w:sz w:val="22"/>
        </w:rPr>
        <w:t>, estos documentos hacen parte de la «gestión contractual» y deben publicarse en el SECOP en el término previsto en el artículo 2.2.1.1.1.7.1 del Decreto 1082 de 2015. Esto conforme a la interpretación armónica entre la Ley 1150 de 2007, la Ley 1712 de 2014 y los reglamentos de ambas normas en los términos anteriormente explicados</w:t>
      </w:r>
      <w:r w:rsidR="005609CE">
        <w:rPr>
          <w:rFonts w:ascii="Arial" w:eastAsiaTheme="minorHAnsi" w:hAnsi="Arial" w:cs="Arial"/>
          <w:sz w:val="22"/>
          <w:szCs w:val="22"/>
          <w:lang w:val="es-MX" w:eastAsia="en-US"/>
        </w:rPr>
        <w:t>.</w:t>
      </w:r>
    </w:p>
    <w:p w14:paraId="14F36DD7" w14:textId="77777777" w:rsidR="00806035" w:rsidRPr="00E807B5" w:rsidRDefault="00806035" w:rsidP="007E377C">
      <w:pPr>
        <w:spacing w:after="120" w:line="276" w:lineRule="auto"/>
        <w:jc w:val="both"/>
        <w:rPr>
          <w:rFonts w:ascii="Arial" w:eastAsia="Calibri" w:hAnsi="Arial" w:cs="Arial"/>
          <w:color w:val="000000" w:themeColor="text1"/>
          <w:sz w:val="22"/>
        </w:rPr>
      </w:pPr>
    </w:p>
    <w:p w14:paraId="7B2C921D" w14:textId="5AFFCB70" w:rsidR="00DD5B04" w:rsidRPr="00E807B5" w:rsidRDefault="00DD5B04" w:rsidP="007E377C">
      <w:pPr>
        <w:spacing w:line="276" w:lineRule="auto"/>
        <w:jc w:val="both"/>
        <w:rPr>
          <w:rFonts w:ascii="Arial" w:hAnsi="Arial" w:cs="Arial"/>
          <w:color w:val="000000" w:themeColor="text1"/>
          <w:sz w:val="22"/>
          <w:lang w:val="es-ES_tradnl"/>
        </w:rPr>
      </w:pPr>
      <w:r w:rsidRPr="00E807B5">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E807B5"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151B0829" w:rsidR="00DD5B04" w:rsidRPr="00E807B5"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E807B5">
        <w:rPr>
          <w:rFonts w:ascii="Arial" w:hAnsi="Arial" w:cs="Arial"/>
          <w:color w:val="000000" w:themeColor="text1"/>
          <w:sz w:val="22"/>
          <w:szCs w:val="22"/>
          <w:lang w:val="es-ES_tradnl"/>
        </w:rPr>
        <w:t>Atentamente,</w:t>
      </w:r>
    </w:p>
    <w:p w14:paraId="4914DA25" w14:textId="77777777" w:rsidR="00A80849" w:rsidRPr="00E807B5" w:rsidRDefault="00A80849"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CBAE239" w14:textId="0CE627CC" w:rsidR="00425C43" w:rsidRPr="00E807B5" w:rsidRDefault="001206DA" w:rsidP="001206DA">
      <w:pPr>
        <w:pStyle w:val="NormalWeb"/>
        <w:spacing w:before="0" w:beforeAutospacing="0" w:after="0" w:afterAutospacing="0" w:line="276" w:lineRule="auto"/>
        <w:jc w:val="center"/>
        <w:rPr>
          <w:lang w:val="es-ES_tradnl"/>
        </w:rPr>
      </w:pPr>
      <w:r>
        <w:rPr>
          <w:noProof/>
        </w:rPr>
        <w:drawing>
          <wp:inline distT="0" distB="0" distL="0" distR="0" wp14:anchorId="74917C59" wp14:editId="5392757A">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pic:cNvPicPr>
                  </pic:nvPicPr>
                  <pic:blipFill>
                    <a:blip r:embed="rId12"/>
                    <a:stretch>
                      <a:fillRect/>
                    </a:stretch>
                  </pic:blipFill>
                  <pic:spPr>
                    <a:xfrm>
                      <a:off x="0" y="0"/>
                      <a:ext cx="2514600" cy="1114425"/>
                    </a:xfrm>
                    <a:prstGeom prst="rect">
                      <a:avLst/>
                    </a:prstGeom>
                  </pic:spPr>
                </pic:pic>
              </a:graphicData>
            </a:graphic>
          </wp:inline>
        </w:drawing>
      </w:r>
    </w:p>
    <w:p w14:paraId="49730030" w14:textId="217D35F3" w:rsidR="00DD5B04" w:rsidRPr="00E807B5"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E807B5" w14:paraId="0C7DC5F7" w14:textId="77777777" w:rsidTr="008F4163">
        <w:trPr>
          <w:trHeight w:val="315"/>
        </w:trPr>
        <w:tc>
          <w:tcPr>
            <w:tcW w:w="812" w:type="dxa"/>
            <w:vAlign w:val="center"/>
            <w:hideMark/>
          </w:tcPr>
          <w:p w14:paraId="5BDB1AC9" w14:textId="77777777" w:rsidR="00DD5B04" w:rsidRPr="00E807B5" w:rsidRDefault="00DD5B04" w:rsidP="00DF76A2">
            <w:pPr>
              <w:jc w:val="both"/>
              <w:rPr>
                <w:rFonts w:ascii="Arial" w:hAnsi="Arial" w:cs="Arial"/>
                <w:color w:val="000000" w:themeColor="text1"/>
                <w:sz w:val="16"/>
                <w:szCs w:val="16"/>
                <w:lang w:val="es-ES_tradnl" w:eastAsia="es-ES"/>
              </w:rPr>
            </w:pPr>
            <w:r w:rsidRPr="00E807B5">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0324E861" w:rsidR="00DD5B04" w:rsidRPr="00E807B5" w:rsidRDefault="000254DD"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José Luis Sánchez Cardona</w:t>
            </w:r>
            <w:r w:rsidR="005E38E9" w:rsidRPr="00E807B5">
              <w:rPr>
                <w:rFonts w:ascii="Arial" w:hAnsi="Arial" w:cs="Arial"/>
                <w:color w:val="000000" w:themeColor="text1"/>
                <w:sz w:val="16"/>
                <w:szCs w:val="16"/>
                <w:lang w:val="es-ES_tradnl" w:eastAsia="es-ES"/>
              </w:rPr>
              <w:t xml:space="preserve"> </w:t>
            </w:r>
          </w:p>
          <w:p w14:paraId="240C71FD" w14:textId="31312C95" w:rsidR="00DD5B04" w:rsidRPr="00E807B5" w:rsidRDefault="00DD5B04" w:rsidP="00DF76A2">
            <w:pPr>
              <w:jc w:val="both"/>
              <w:rPr>
                <w:rFonts w:ascii="Arial" w:hAnsi="Arial" w:cs="Arial"/>
                <w:color w:val="000000" w:themeColor="text1"/>
                <w:sz w:val="16"/>
                <w:szCs w:val="16"/>
                <w:lang w:val="es-ES_tradnl" w:eastAsia="es-ES"/>
              </w:rPr>
            </w:pPr>
            <w:r w:rsidRPr="00E807B5">
              <w:rPr>
                <w:rFonts w:ascii="Arial" w:hAnsi="Arial" w:cs="Arial"/>
                <w:color w:val="000000" w:themeColor="text1"/>
                <w:sz w:val="16"/>
                <w:szCs w:val="16"/>
                <w:lang w:val="es-ES_tradnl" w:eastAsia="es-ES"/>
              </w:rPr>
              <w:t>Contratista</w:t>
            </w:r>
            <w:r w:rsidR="00FF0050" w:rsidRPr="00E807B5">
              <w:rPr>
                <w:rFonts w:ascii="Arial" w:hAnsi="Arial" w:cs="Arial"/>
                <w:color w:val="000000" w:themeColor="text1"/>
                <w:sz w:val="16"/>
                <w:szCs w:val="16"/>
                <w:lang w:val="es-ES_tradnl" w:eastAsia="es-ES"/>
              </w:rPr>
              <w:t xml:space="preserve"> de la </w:t>
            </w:r>
            <w:r w:rsidRPr="00E807B5">
              <w:rPr>
                <w:rFonts w:ascii="Arial" w:hAnsi="Arial" w:cs="Arial"/>
                <w:color w:val="000000" w:themeColor="text1"/>
                <w:sz w:val="16"/>
                <w:szCs w:val="16"/>
                <w:lang w:val="es-ES_tradnl" w:eastAsia="es-ES"/>
              </w:rPr>
              <w:t>Subdirección de Gestión Contractual</w:t>
            </w:r>
          </w:p>
        </w:tc>
      </w:tr>
      <w:tr w:rsidR="00DD5B04" w:rsidRPr="00E807B5" w14:paraId="2F8FD650" w14:textId="77777777" w:rsidTr="008F4163">
        <w:trPr>
          <w:trHeight w:val="330"/>
        </w:trPr>
        <w:tc>
          <w:tcPr>
            <w:tcW w:w="812" w:type="dxa"/>
            <w:vAlign w:val="center"/>
            <w:hideMark/>
          </w:tcPr>
          <w:p w14:paraId="50203A0B" w14:textId="77777777" w:rsidR="00DD5B04" w:rsidRPr="00E807B5" w:rsidRDefault="00DD5B04" w:rsidP="00DF76A2">
            <w:pPr>
              <w:jc w:val="both"/>
              <w:rPr>
                <w:rFonts w:ascii="Arial" w:hAnsi="Arial" w:cs="Arial"/>
                <w:color w:val="000000" w:themeColor="text1"/>
                <w:sz w:val="16"/>
                <w:szCs w:val="16"/>
                <w:lang w:val="es-ES_tradnl" w:eastAsia="es-ES"/>
              </w:rPr>
            </w:pPr>
            <w:r w:rsidRPr="00E807B5">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2312DC" w14:textId="63F08010" w:rsidR="008623A7" w:rsidRPr="00E807B5" w:rsidRDefault="00013DDC" w:rsidP="008623A7">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Juan David Montoya Penagos</w:t>
            </w:r>
          </w:p>
          <w:p w14:paraId="130B3228" w14:textId="7A834F20" w:rsidR="002B08BA" w:rsidRPr="00E807B5" w:rsidRDefault="005E38E9" w:rsidP="00C05A61">
            <w:pPr>
              <w:jc w:val="both"/>
              <w:rPr>
                <w:rFonts w:ascii="Arial" w:hAnsi="Arial" w:cs="Arial"/>
                <w:color w:val="000000" w:themeColor="text1"/>
                <w:sz w:val="16"/>
                <w:szCs w:val="16"/>
                <w:lang w:val="es-ES_tradnl" w:eastAsia="es-ES"/>
              </w:rPr>
            </w:pPr>
            <w:r w:rsidRPr="00E807B5">
              <w:rPr>
                <w:rFonts w:ascii="Arial" w:hAnsi="Arial" w:cs="Arial"/>
                <w:color w:val="000000" w:themeColor="text1"/>
                <w:sz w:val="16"/>
                <w:szCs w:val="16"/>
                <w:lang w:val="es-ES_tradnl" w:eastAsia="es-ES"/>
              </w:rPr>
              <w:t>G</w:t>
            </w:r>
            <w:r w:rsidR="003D281F" w:rsidRPr="00E807B5">
              <w:rPr>
                <w:rFonts w:ascii="Arial" w:hAnsi="Arial" w:cs="Arial"/>
                <w:color w:val="000000" w:themeColor="text1"/>
                <w:sz w:val="16"/>
                <w:szCs w:val="16"/>
                <w:lang w:val="es-ES_tradnl" w:eastAsia="es-ES"/>
              </w:rPr>
              <w:t xml:space="preserve">estor </w:t>
            </w:r>
            <w:r w:rsidR="00015642" w:rsidRPr="00E807B5">
              <w:rPr>
                <w:rFonts w:ascii="Arial" w:hAnsi="Arial" w:cs="Arial"/>
                <w:color w:val="000000" w:themeColor="text1"/>
                <w:sz w:val="16"/>
                <w:szCs w:val="16"/>
                <w:lang w:val="es-ES_tradnl" w:eastAsia="es-ES"/>
              </w:rPr>
              <w:t>T1-</w:t>
            </w:r>
            <w:r w:rsidR="003D281F" w:rsidRPr="00E807B5">
              <w:rPr>
                <w:rFonts w:ascii="Arial" w:hAnsi="Arial" w:cs="Arial"/>
                <w:color w:val="000000" w:themeColor="text1"/>
                <w:sz w:val="16"/>
                <w:szCs w:val="16"/>
                <w:lang w:val="es-ES_tradnl" w:eastAsia="es-ES"/>
              </w:rPr>
              <w:t xml:space="preserve">15 </w:t>
            </w:r>
            <w:r w:rsidR="00015642" w:rsidRPr="00E807B5">
              <w:rPr>
                <w:rFonts w:ascii="Arial" w:hAnsi="Arial" w:cs="Arial"/>
                <w:color w:val="000000" w:themeColor="text1"/>
                <w:sz w:val="16"/>
                <w:szCs w:val="16"/>
                <w:lang w:val="es-ES_tradnl" w:eastAsia="es-ES"/>
              </w:rPr>
              <w:t xml:space="preserve">de la </w:t>
            </w:r>
            <w:r w:rsidR="003D281F" w:rsidRPr="00E807B5">
              <w:rPr>
                <w:rFonts w:ascii="Arial" w:hAnsi="Arial" w:cs="Arial"/>
                <w:color w:val="000000" w:themeColor="text1"/>
                <w:sz w:val="16"/>
                <w:szCs w:val="16"/>
                <w:lang w:val="es-ES_tradnl" w:eastAsia="es-ES"/>
              </w:rPr>
              <w:t xml:space="preserve">Subdirección de Gestión Contractual </w:t>
            </w:r>
            <w:r w:rsidR="00015642" w:rsidRPr="00E807B5">
              <w:rPr>
                <w:rFonts w:ascii="Arial" w:hAnsi="Arial" w:cs="Arial"/>
                <w:color w:val="000000" w:themeColor="text1"/>
                <w:sz w:val="16"/>
                <w:szCs w:val="16"/>
                <w:lang w:val="es-ES_tradnl" w:eastAsia="es-ES"/>
              </w:rPr>
              <w:t xml:space="preserve"> </w:t>
            </w:r>
          </w:p>
        </w:tc>
      </w:tr>
      <w:tr w:rsidR="00DD5B04" w:rsidRPr="005E4B72" w14:paraId="0FCBCA4A" w14:textId="77777777" w:rsidTr="008F4163">
        <w:trPr>
          <w:trHeight w:val="300"/>
        </w:trPr>
        <w:tc>
          <w:tcPr>
            <w:tcW w:w="812" w:type="dxa"/>
            <w:vAlign w:val="center"/>
            <w:hideMark/>
          </w:tcPr>
          <w:p w14:paraId="3C1D943A" w14:textId="29B4D648" w:rsidR="00DD5B04" w:rsidRPr="00E807B5" w:rsidRDefault="00DD5B04" w:rsidP="00DF76A2">
            <w:pPr>
              <w:jc w:val="both"/>
              <w:rPr>
                <w:rFonts w:ascii="Arial" w:hAnsi="Arial" w:cs="Arial"/>
                <w:color w:val="000000" w:themeColor="text1"/>
                <w:sz w:val="16"/>
                <w:szCs w:val="16"/>
                <w:lang w:val="es-ES_tradnl" w:eastAsia="es-ES"/>
              </w:rPr>
            </w:pPr>
            <w:r w:rsidRPr="00E807B5">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E807B5" w:rsidRDefault="00C05A61" w:rsidP="00DF76A2">
            <w:pPr>
              <w:jc w:val="both"/>
              <w:rPr>
                <w:rFonts w:ascii="Arial" w:hAnsi="Arial" w:cs="Arial"/>
                <w:color w:val="000000" w:themeColor="text1"/>
                <w:sz w:val="16"/>
                <w:szCs w:val="16"/>
                <w:lang w:val="es-ES_tradnl" w:eastAsia="es-ES"/>
              </w:rPr>
            </w:pPr>
            <w:r w:rsidRPr="00E807B5">
              <w:rPr>
                <w:rFonts w:ascii="Arial" w:hAnsi="Arial" w:cs="Arial"/>
                <w:color w:val="000000" w:themeColor="text1"/>
                <w:sz w:val="16"/>
                <w:szCs w:val="16"/>
                <w:lang w:val="es-ES_tradnl" w:eastAsia="es-ES"/>
              </w:rPr>
              <w:t xml:space="preserve">Jorge </w:t>
            </w:r>
            <w:r w:rsidR="00647A36" w:rsidRPr="00E807B5">
              <w:rPr>
                <w:rFonts w:ascii="Arial" w:hAnsi="Arial" w:cs="Arial"/>
                <w:color w:val="000000" w:themeColor="text1"/>
                <w:sz w:val="16"/>
                <w:szCs w:val="16"/>
                <w:lang w:val="es-ES_tradnl" w:eastAsia="es-ES"/>
              </w:rPr>
              <w:t xml:space="preserve">Augusto </w:t>
            </w:r>
            <w:r w:rsidRPr="00E807B5">
              <w:rPr>
                <w:rFonts w:ascii="Arial" w:hAnsi="Arial" w:cs="Arial"/>
                <w:color w:val="000000" w:themeColor="text1"/>
                <w:sz w:val="16"/>
                <w:szCs w:val="16"/>
                <w:lang w:val="es-ES_tradnl" w:eastAsia="es-ES"/>
              </w:rPr>
              <w:t>Tirado Navarro</w:t>
            </w:r>
          </w:p>
          <w:p w14:paraId="1ADC483B" w14:textId="384FAF72" w:rsidR="00DD5B04" w:rsidRPr="005E4B72" w:rsidRDefault="00DD5B04" w:rsidP="00DF76A2">
            <w:pPr>
              <w:jc w:val="both"/>
              <w:rPr>
                <w:rFonts w:ascii="Arial" w:hAnsi="Arial" w:cs="Arial"/>
                <w:color w:val="000000" w:themeColor="text1"/>
                <w:sz w:val="16"/>
                <w:szCs w:val="16"/>
                <w:lang w:val="es-ES_tradnl" w:eastAsia="es-ES"/>
              </w:rPr>
            </w:pPr>
            <w:r w:rsidRPr="00E807B5">
              <w:rPr>
                <w:rFonts w:ascii="Arial" w:hAnsi="Arial" w:cs="Arial"/>
                <w:color w:val="000000" w:themeColor="text1"/>
                <w:sz w:val="16"/>
                <w:szCs w:val="16"/>
                <w:lang w:val="es-ES_tradnl" w:eastAsia="es-ES"/>
              </w:rPr>
              <w:t>Subdirector de Gestión Contractual</w:t>
            </w:r>
            <w:r w:rsidR="003D369D" w:rsidRPr="00E807B5">
              <w:rPr>
                <w:rFonts w:ascii="Arial" w:hAnsi="Arial" w:cs="Arial"/>
                <w:color w:val="000000" w:themeColor="text1"/>
                <w:sz w:val="16"/>
                <w:szCs w:val="16"/>
                <w:lang w:val="es-ES_tradnl" w:eastAsia="es-ES"/>
              </w:rPr>
              <w:t xml:space="preserve"> ANCP – CCE</w:t>
            </w:r>
          </w:p>
        </w:tc>
      </w:tr>
    </w:tbl>
    <w:p w14:paraId="35B56F46" w14:textId="3D4E0A65" w:rsidR="00630845" w:rsidRDefault="00630845" w:rsidP="00215B8E">
      <w:pPr>
        <w:jc w:val="both"/>
        <w:rPr>
          <w:rFonts w:ascii="Arial" w:hAnsi="Arial" w:cs="Arial"/>
          <w:lang w:val="es-ES_tradnl"/>
        </w:rPr>
      </w:pPr>
    </w:p>
    <w:p w14:paraId="75F18CB2" w14:textId="3A836A92" w:rsidR="00630845" w:rsidRDefault="00630845" w:rsidP="00630845">
      <w:pPr>
        <w:rPr>
          <w:rFonts w:ascii="Arial" w:hAnsi="Arial" w:cs="Arial"/>
          <w:lang w:val="es-ES_tradnl"/>
        </w:rPr>
      </w:pPr>
    </w:p>
    <w:p w14:paraId="5E9C37DB" w14:textId="5057876E" w:rsidR="00746E08" w:rsidRPr="00322342" w:rsidRDefault="00630845" w:rsidP="00322342">
      <w:pPr>
        <w:tabs>
          <w:tab w:val="left" w:pos="3795"/>
        </w:tabs>
        <w:rPr>
          <w:rFonts w:ascii="Arial" w:hAnsi="Arial" w:cs="Arial"/>
          <w:lang w:val="es-ES_tradnl"/>
        </w:rPr>
      </w:pPr>
      <w:r>
        <w:rPr>
          <w:rFonts w:ascii="Arial" w:hAnsi="Arial" w:cs="Arial"/>
          <w:lang w:val="es-ES_tradnl"/>
        </w:rPr>
        <w:tab/>
      </w:r>
    </w:p>
    <w:sectPr w:rsidR="00746E08" w:rsidRPr="0032234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76AA1" w14:textId="77777777" w:rsidR="00372241" w:rsidRDefault="00372241">
      <w:r>
        <w:separator/>
      </w:r>
    </w:p>
  </w:endnote>
  <w:endnote w:type="continuationSeparator" w:id="0">
    <w:p w14:paraId="35F45631" w14:textId="77777777" w:rsidR="00372241" w:rsidRDefault="00372241">
      <w:r>
        <w:continuationSeparator/>
      </w:r>
    </w:p>
  </w:endnote>
  <w:endnote w:type="continuationNotice" w:id="1">
    <w:p w14:paraId="5B6FD43D" w14:textId="77777777" w:rsidR="00372241" w:rsidRDefault="00372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E807B5" w:rsidRDefault="00E807B5" w:rsidP="00322937">
    <w:pPr>
      <w:pStyle w:val="Sinespaciado"/>
      <w:jc w:val="right"/>
      <w:rPr>
        <w:rFonts w:ascii="Arial" w:hAnsi="Arial" w:cs="Arial"/>
        <w:sz w:val="18"/>
        <w:szCs w:val="18"/>
      </w:rPr>
    </w:pPr>
  </w:p>
  <w:p w14:paraId="7A3785F3" w14:textId="430850A7" w:rsidR="00E807B5" w:rsidRPr="008217B7" w:rsidRDefault="00E807B5"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1033F">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1033F">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E807B5" w:rsidRDefault="00E807B5"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807B5" w:rsidRDefault="00E807B5" w:rsidP="007B0854">
    <w:pPr>
      <w:pStyle w:val="Piedepgina"/>
      <w:jc w:val="center"/>
      <w:rPr>
        <w:lang w:val="es-ES"/>
      </w:rPr>
    </w:pPr>
  </w:p>
  <w:p w14:paraId="6C0EFC49" w14:textId="77777777" w:rsidR="00E807B5" w:rsidRPr="007B0854" w:rsidRDefault="00E807B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89F80" w14:textId="77777777" w:rsidR="00372241" w:rsidRDefault="00372241">
      <w:r>
        <w:separator/>
      </w:r>
    </w:p>
  </w:footnote>
  <w:footnote w:type="continuationSeparator" w:id="0">
    <w:p w14:paraId="0E1E38CD" w14:textId="77777777" w:rsidR="00372241" w:rsidRDefault="00372241">
      <w:r>
        <w:continuationSeparator/>
      </w:r>
    </w:p>
  </w:footnote>
  <w:footnote w:type="continuationNotice" w:id="1">
    <w:p w14:paraId="1ADF3C73" w14:textId="77777777" w:rsidR="00372241" w:rsidRDefault="00372241"/>
  </w:footnote>
  <w:footnote w:id="2">
    <w:p w14:paraId="339446B0" w14:textId="77777777" w:rsidR="00B57A7D" w:rsidRDefault="00B57A7D" w:rsidP="00B57A7D">
      <w:pPr>
        <w:pStyle w:val="Textonotapie"/>
        <w:ind w:firstLine="708"/>
        <w:jc w:val="both"/>
        <w:rPr>
          <w:rFonts w:ascii="Arial" w:hAnsi="Arial" w:cs="Arial"/>
          <w:color w:val="000000" w:themeColor="text1"/>
          <w:sz w:val="19"/>
          <w:szCs w:val="19"/>
        </w:rPr>
      </w:pPr>
      <w:r w:rsidRPr="003D2AAA">
        <w:rPr>
          <w:rStyle w:val="Refdenotaalpie"/>
          <w:rFonts w:ascii="Arial" w:hAnsi="Arial" w:cs="Arial"/>
          <w:color w:val="000000" w:themeColor="text1"/>
          <w:sz w:val="19"/>
          <w:szCs w:val="19"/>
        </w:rPr>
        <w:footnoteRef/>
      </w:r>
      <w:r w:rsidRPr="003D2AAA">
        <w:rPr>
          <w:rFonts w:ascii="Arial" w:hAnsi="Arial" w:cs="Arial"/>
          <w:color w:val="000000" w:themeColor="text1"/>
          <w:sz w:val="19"/>
          <w:szCs w:val="19"/>
        </w:rPr>
        <w:t xml:space="preserve"> </w:t>
      </w:r>
      <w:r w:rsidRPr="00131337">
        <w:rPr>
          <w:rFonts w:ascii="Arial" w:hAnsi="Arial" w:cs="Arial"/>
          <w:color w:val="000000" w:themeColor="text1"/>
          <w:sz w:val="19"/>
          <w:szCs w:val="19"/>
        </w:rPr>
        <w:t xml:space="preserve">CORTE CONSTITUCIONAL. Sentencia C-452 de 1999. M.P. Eduardo Cifuentes Muñoz. </w:t>
      </w:r>
    </w:p>
    <w:p w14:paraId="5A689FFC" w14:textId="77777777" w:rsidR="00B57A7D" w:rsidRPr="00131337" w:rsidRDefault="00B57A7D" w:rsidP="00B57A7D">
      <w:pPr>
        <w:pStyle w:val="Textonotapie"/>
        <w:ind w:firstLine="708"/>
        <w:jc w:val="both"/>
        <w:rPr>
          <w:rFonts w:ascii="Arial" w:hAnsi="Arial" w:cs="Arial"/>
          <w:color w:val="000000" w:themeColor="text1"/>
          <w:sz w:val="19"/>
          <w:szCs w:val="19"/>
        </w:rPr>
      </w:pPr>
    </w:p>
  </w:footnote>
  <w:footnote w:id="3">
    <w:p w14:paraId="7ACE5C69" w14:textId="77777777" w:rsidR="00B57A7D" w:rsidRDefault="00B57A7D" w:rsidP="00B57A7D">
      <w:pPr>
        <w:pStyle w:val="Textonotapie"/>
        <w:ind w:firstLine="708"/>
        <w:jc w:val="both"/>
        <w:rPr>
          <w:rFonts w:ascii="Arial" w:hAnsi="Arial" w:cs="Arial"/>
          <w:sz w:val="19"/>
          <w:szCs w:val="19"/>
        </w:rPr>
      </w:pPr>
      <w:r w:rsidRPr="008F1741">
        <w:rPr>
          <w:rStyle w:val="Refdenotaalpie"/>
          <w:rFonts w:ascii="Arial" w:hAnsi="Arial" w:cs="Arial"/>
          <w:sz w:val="19"/>
          <w:szCs w:val="19"/>
        </w:rPr>
        <w:footnoteRef/>
      </w:r>
      <w:r w:rsidRPr="008F1741">
        <w:rPr>
          <w:rFonts w:ascii="Arial" w:hAnsi="Arial" w:cs="Arial"/>
          <w:sz w:val="19"/>
          <w:szCs w:val="19"/>
        </w:rPr>
        <w:t xml:space="preserve"> </w:t>
      </w:r>
      <w:r>
        <w:rPr>
          <w:rFonts w:ascii="Arial" w:hAnsi="Arial" w:cs="Arial"/>
          <w:sz w:val="19"/>
          <w:szCs w:val="19"/>
        </w:rPr>
        <w:t xml:space="preserve">Para la jurisprudencia, «[…] </w:t>
      </w:r>
      <w:r w:rsidRPr="008F1741">
        <w:rPr>
          <w:rFonts w:ascii="Arial" w:hAnsi="Arial" w:cs="Arial"/>
          <w:sz w:val="19"/>
          <w:szCs w:val="19"/>
        </w:rPr>
        <w:t>los seguros de cumplimiento, específicamente, el de contratos estatales, son aquellos que garantizan al acreedor (entidad estatal) que serán resarcidos los daños que pueda provocar el incumplimiento de las obligaciones del deudor (contratista) dentro del marco de una relación contractual. Así, pues, el riesgo asegurado en esta categoría de seguros, visto de manera general, lo constituye el incumplimiento de las obligaciones contractuales a cargo del deudor (contratista), quien a su vez es el tomador de la póliza, de modo que el objeto de las obligaciones garantizadas es lo que determina o particulariza el riesgo asegurado</w:t>
      </w:r>
      <w:r>
        <w:rPr>
          <w:rFonts w:ascii="Arial" w:hAnsi="Arial" w:cs="Arial"/>
          <w:sz w:val="19"/>
          <w:szCs w:val="19"/>
        </w:rPr>
        <w:t>» (</w:t>
      </w:r>
      <w:r w:rsidRPr="008F1741">
        <w:rPr>
          <w:rFonts w:ascii="Arial" w:hAnsi="Arial" w:cs="Arial"/>
          <w:sz w:val="19"/>
          <w:szCs w:val="19"/>
        </w:rPr>
        <w:t>CONSEJO DE ESTADO. Sección Tercera. Subsección A. Sentencia del 12 de febrero de 2015.</w:t>
      </w:r>
      <w:r>
        <w:rPr>
          <w:rFonts w:ascii="Arial" w:hAnsi="Arial" w:cs="Arial"/>
          <w:sz w:val="19"/>
          <w:szCs w:val="19"/>
        </w:rPr>
        <w:t xml:space="preserve"> </w:t>
      </w:r>
      <w:proofErr w:type="spellStart"/>
      <w:r>
        <w:rPr>
          <w:rFonts w:ascii="Arial" w:hAnsi="Arial" w:cs="Arial"/>
          <w:sz w:val="19"/>
          <w:szCs w:val="19"/>
        </w:rPr>
        <w:t>Exp</w:t>
      </w:r>
      <w:proofErr w:type="spellEnd"/>
      <w:r>
        <w:rPr>
          <w:rFonts w:ascii="Arial" w:hAnsi="Arial" w:cs="Arial"/>
          <w:sz w:val="19"/>
          <w:szCs w:val="19"/>
        </w:rPr>
        <w:t xml:space="preserve">. </w:t>
      </w:r>
      <w:r w:rsidRPr="008F1741">
        <w:rPr>
          <w:rFonts w:ascii="Arial" w:hAnsi="Arial" w:cs="Arial"/>
          <w:sz w:val="19"/>
          <w:szCs w:val="19"/>
        </w:rPr>
        <w:t xml:space="preserve"> 28278</w:t>
      </w:r>
      <w:r>
        <w:rPr>
          <w:rFonts w:ascii="Arial" w:hAnsi="Arial" w:cs="Arial"/>
          <w:sz w:val="19"/>
          <w:szCs w:val="19"/>
        </w:rPr>
        <w:t>. C.P</w:t>
      </w:r>
      <w:r w:rsidRPr="008F1741">
        <w:rPr>
          <w:rFonts w:ascii="Arial" w:hAnsi="Arial" w:cs="Arial"/>
          <w:sz w:val="19"/>
          <w:szCs w:val="19"/>
        </w:rPr>
        <w:t>. Carlos Alberto Zambrano Barrera</w:t>
      </w:r>
      <w:r>
        <w:rPr>
          <w:rFonts w:ascii="Arial" w:hAnsi="Arial" w:cs="Arial"/>
          <w:sz w:val="19"/>
          <w:szCs w:val="19"/>
        </w:rPr>
        <w:t>)</w:t>
      </w:r>
      <w:r w:rsidRPr="008F1741">
        <w:rPr>
          <w:rFonts w:ascii="Arial" w:hAnsi="Arial" w:cs="Arial"/>
          <w:sz w:val="19"/>
          <w:szCs w:val="19"/>
        </w:rPr>
        <w:t>.</w:t>
      </w:r>
    </w:p>
    <w:p w14:paraId="59BC2E7D" w14:textId="77777777" w:rsidR="00B57A7D" w:rsidRPr="008F1741" w:rsidRDefault="00B57A7D" w:rsidP="00B57A7D">
      <w:pPr>
        <w:pStyle w:val="Textonotapie"/>
        <w:ind w:firstLine="708"/>
        <w:jc w:val="both"/>
        <w:rPr>
          <w:rFonts w:ascii="Arial" w:hAnsi="Arial" w:cs="Arial"/>
          <w:sz w:val="19"/>
          <w:szCs w:val="19"/>
          <w:lang w:val="es-ES"/>
        </w:rPr>
      </w:pPr>
    </w:p>
  </w:footnote>
  <w:footnote w:id="4">
    <w:p w14:paraId="2350657A" w14:textId="77777777" w:rsidR="00B57A7D" w:rsidRPr="007E4AB0" w:rsidRDefault="00B57A7D" w:rsidP="00B57A7D">
      <w:pPr>
        <w:pStyle w:val="Textonotapie"/>
        <w:ind w:firstLine="709"/>
        <w:jc w:val="both"/>
        <w:rPr>
          <w:rFonts w:ascii="Arial" w:hAnsi="Arial" w:cs="Arial"/>
          <w:color w:val="000000" w:themeColor="text1"/>
          <w:sz w:val="19"/>
          <w:szCs w:val="19"/>
        </w:rPr>
      </w:pPr>
      <w:r w:rsidRPr="007E4AB0">
        <w:rPr>
          <w:rStyle w:val="Refdenotaalpie"/>
          <w:rFonts w:ascii="Arial" w:hAnsi="Arial" w:cs="Arial"/>
          <w:color w:val="000000" w:themeColor="text1"/>
          <w:sz w:val="19"/>
          <w:szCs w:val="19"/>
        </w:rPr>
        <w:footnoteRef/>
      </w:r>
      <w:r w:rsidRPr="007E4AB0">
        <w:rPr>
          <w:rFonts w:ascii="Arial" w:hAnsi="Arial" w:cs="Arial"/>
          <w:color w:val="000000" w:themeColor="text1"/>
          <w:sz w:val="19"/>
          <w:szCs w:val="19"/>
        </w:rPr>
        <w:t xml:space="preserve"> ORDÓÑEZ </w:t>
      </w:r>
      <w:proofErr w:type="spellStart"/>
      <w:r w:rsidRPr="007E4AB0">
        <w:rPr>
          <w:rFonts w:ascii="Arial" w:hAnsi="Arial" w:cs="Arial"/>
          <w:color w:val="000000" w:themeColor="text1"/>
          <w:sz w:val="19"/>
          <w:szCs w:val="19"/>
        </w:rPr>
        <w:t>ORDÓÑEZ</w:t>
      </w:r>
      <w:proofErr w:type="spellEnd"/>
      <w:r w:rsidRPr="007E4AB0">
        <w:rPr>
          <w:rFonts w:ascii="Arial" w:hAnsi="Arial" w:cs="Arial"/>
          <w:color w:val="000000" w:themeColor="text1"/>
          <w:sz w:val="19"/>
          <w:szCs w:val="19"/>
        </w:rPr>
        <w:t>, Andrés E. Seguro de cumplimiento de los contratos estatales en Colombia. Bogotá: Universidad Externado de Colombia, 2011. p. 44.</w:t>
      </w:r>
    </w:p>
    <w:p w14:paraId="5E51BAA8" w14:textId="77777777" w:rsidR="00B57A7D" w:rsidRPr="00A93947" w:rsidRDefault="00B57A7D" w:rsidP="00B57A7D">
      <w:pPr>
        <w:pStyle w:val="Textonotapie"/>
        <w:ind w:firstLine="709"/>
        <w:jc w:val="both"/>
        <w:rPr>
          <w:rFonts w:ascii="Bookman Old Style" w:hAnsi="Bookman Old Style"/>
          <w:color w:val="000000" w:themeColor="text1"/>
          <w:sz w:val="19"/>
          <w:szCs w:val="19"/>
          <w:lang w:val="es-ES"/>
        </w:rPr>
      </w:pPr>
    </w:p>
  </w:footnote>
  <w:footnote w:id="5">
    <w:p w14:paraId="0072A7DC" w14:textId="77777777" w:rsidR="00B57A7D" w:rsidRPr="007E4AB0" w:rsidRDefault="00B57A7D" w:rsidP="00B57A7D">
      <w:pPr>
        <w:pStyle w:val="Textonotapie"/>
        <w:ind w:firstLine="709"/>
        <w:jc w:val="both"/>
        <w:rPr>
          <w:rFonts w:ascii="Arial" w:hAnsi="Arial" w:cs="Arial"/>
          <w:color w:val="000000" w:themeColor="text1"/>
          <w:sz w:val="19"/>
          <w:szCs w:val="19"/>
          <w:lang w:val="es-ES"/>
        </w:rPr>
      </w:pPr>
      <w:r w:rsidRPr="007E4AB0">
        <w:rPr>
          <w:rStyle w:val="Refdenotaalpie"/>
          <w:rFonts w:ascii="Arial" w:hAnsi="Arial" w:cs="Arial"/>
          <w:color w:val="000000" w:themeColor="text1"/>
          <w:sz w:val="19"/>
          <w:szCs w:val="19"/>
        </w:rPr>
        <w:footnoteRef/>
      </w:r>
      <w:r w:rsidRPr="007E4AB0">
        <w:rPr>
          <w:rFonts w:ascii="Arial" w:hAnsi="Arial" w:cs="Arial"/>
          <w:color w:val="000000" w:themeColor="text1"/>
          <w:sz w:val="19"/>
          <w:szCs w:val="19"/>
        </w:rPr>
        <w:t xml:space="preserve"> Al respecto, el inciso primero del artículo 1068 del Código de Comercio dispone lo siguiente: «La mora en el pago de la prima de la póliza o de los certificados o anexos que se expidan con fundamento en ella, producirá la terminación automática del contrato y dará derecho al asegurador para exigir el pago de la prima devengada y de los gastos causados con ocasión de la expedición del contrato. </w:t>
      </w:r>
      <w:r w:rsidRPr="007E4AB0">
        <w:rPr>
          <w:rFonts w:ascii="Arial" w:hAnsi="Arial" w:cs="Arial"/>
          <w:color w:val="000000" w:themeColor="text1"/>
          <w:sz w:val="19"/>
          <w:szCs w:val="19"/>
          <w:lang w:val="es-ES"/>
        </w:rPr>
        <w:t xml:space="preserve">Igualmente, el inciso primero del artículo 1071 </w:t>
      </w:r>
      <w:r w:rsidRPr="007E4AB0">
        <w:rPr>
          <w:rFonts w:ascii="Arial" w:hAnsi="Arial" w:cs="Arial"/>
          <w:i/>
          <w:iCs/>
          <w:color w:val="000000" w:themeColor="text1"/>
          <w:sz w:val="19"/>
          <w:szCs w:val="19"/>
          <w:lang w:val="es-ES"/>
        </w:rPr>
        <w:t>ibidem</w:t>
      </w:r>
      <w:r w:rsidRPr="007E4AB0">
        <w:rPr>
          <w:rFonts w:ascii="Arial" w:hAnsi="Arial" w:cs="Arial"/>
          <w:color w:val="000000" w:themeColor="text1"/>
          <w:sz w:val="19"/>
          <w:szCs w:val="19"/>
          <w:lang w:val="es-ES"/>
        </w:rPr>
        <w:t xml:space="preserve"> prescribe: «El contrato de seguro podrá ser revocado unilateralmente por los contratantes. Por el asegurador, mediante noticia escrita al asegurado, enviada a su última dirección conocida, con no menos de diez días de antelación, contados a partir de la fecha del envío; por el asegurado, en cualquier momento, mediante aviso escrito al asegurador».  </w:t>
      </w:r>
    </w:p>
    <w:p w14:paraId="499E5AD1" w14:textId="77777777" w:rsidR="00B57A7D" w:rsidRPr="007E4AB0" w:rsidRDefault="00B57A7D" w:rsidP="00B57A7D">
      <w:pPr>
        <w:pStyle w:val="Textonotapie"/>
        <w:ind w:firstLine="709"/>
        <w:jc w:val="both"/>
        <w:rPr>
          <w:rFonts w:ascii="Arial" w:hAnsi="Arial" w:cs="Arial"/>
          <w:color w:val="000000" w:themeColor="text1"/>
          <w:sz w:val="19"/>
          <w:szCs w:val="19"/>
        </w:rPr>
      </w:pPr>
    </w:p>
  </w:footnote>
  <w:footnote w:id="6">
    <w:p w14:paraId="5B0EF119" w14:textId="77777777" w:rsidR="00B57A7D" w:rsidRPr="007E4AB0" w:rsidRDefault="00B57A7D" w:rsidP="00B57A7D">
      <w:pPr>
        <w:pStyle w:val="Textonotapie"/>
        <w:ind w:firstLine="709"/>
        <w:jc w:val="both"/>
        <w:rPr>
          <w:rFonts w:ascii="Arial" w:hAnsi="Arial" w:cs="Arial"/>
          <w:color w:val="000000" w:themeColor="text1"/>
          <w:sz w:val="19"/>
          <w:szCs w:val="19"/>
        </w:rPr>
      </w:pPr>
      <w:r w:rsidRPr="007E4AB0">
        <w:rPr>
          <w:rStyle w:val="Refdenotaalpie"/>
          <w:rFonts w:ascii="Arial" w:hAnsi="Arial" w:cs="Arial"/>
          <w:color w:val="000000" w:themeColor="text1"/>
          <w:sz w:val="19"/>
          <w:szCs w:val="19"/>
        </w:rPr>
        <w:footnoteRef/>
      </w:r>
      <w:r w:rsidRPr="007E4AB0">
        <w:rPr>
          <w:rFonts w:ascii="Arial" w:hAnsi="Arial" w:cs="Arial"/>
          <w:color w:val="000000" w:themeColor="text1"/>
          <w:sz w:val="19"/>
          <w:szCs w:val="19"/>
        </w:rPr>
        <w:t xml:space="preserve"> ESCOBAR GIL, Rodrigo. Teoría general de los contratos de la Administración pública. Bogotá: Legis, 2000. p. 247. Respecto a las pólizas, la doctrina explica que «En rigor, el seguro no elimina el </w:t>
      </w:r>
      <w:proofErr w:type="gramStart"/>
      <w:r w:rsidRPr="007E4AB0">
        <w:rPr>
          <w:rFonts w:ascii="Arial" w:hAnsi="Arial" w:cs="Arial"/>
          <w:color w:val="000000" w:themeColor="text1"/>
          <w:sz w:val="19"/>
          <w:szCs w:val="19"/>
        </w:rPr>
        <w:t>daño</w:t>
      </w:r>
      <w:proofErr w:type="gramEnd"/>
      <w:r w:rsidRPr="007E4AB0">
        <w:rPr>
          <w:rFonts w:ascii="Arial" w:hAnsi="Arial" w:cs="Arial"/>
          <w:color w:val="000000" w:themeColor="text1"/>
          <w:sz w:val="19"/>
          <w:szCs w:val="19"/>
        </w:rPr>
        <w:t xml:space="preserve"> sino que tolera que sus consecuencias resulten transferidas (trasladadas) por el sujeto amenazado por un evento económicamente desfavorable, a otro (asegurador) que, a esos fines, ha constituido una mutualidad especialmente "preparada para absorber el riesgo de indemnización”» (Cfr. STIGLITZ, Rubén S. Derecho de seguros. Tomo I. Tercera Edición. Buenos Aires: Abeledo – Perrot, 2001. p. 21).</w:t>
      </w:r>
    </w:p>
    <w:p w14:paraId="674423F9" w14:textId="77777777" w:rsidR="00B57A7D" w:rsidRPr="00A93947" w:rsidRDefault="00B57A7D" w:rsidP="00B57A7D">
      <w:pPr>
        <w:pStyle w:val="Textonotapie"/>
        <w:ind w:firstLine="709"/>
        <w:jc w:val="both"/>
        <w:rPr>
          <w:rFonts w:ascii="Bookman Old Style" w:hAnsi="Bookman Old Style"/>
          <w:color w:val="000000" w:themeColor="text1"/>
          <w:sz w:val="19"/>
          <w:szCs w:val="19"/>
          <w:lang w:val="es-ES"/>
        </w:rPr>
      </w:pPr>
    </w:p>
  </w:footnote>
  <w:footnote w:id="7">
    <w:p w14:paraId="3C24E3C5" w14:textId="77777777" w:rsidR="00B57A7D" w:rsidRPr="00692DC1" w:rsidRDefault="00B57A7D" w:rsidP="00B57A7D">
      <w:pPr>
        <w:pStyle w:val="Textonotapie"/>
        <w:ind w:firstLine="708"/>
        <w:jc w:val="both"/>
        <w:rPr>
          <w:rFonts w:ascii="Arial" w:hAnsi="Arial" w:cs="Arial"/>
          <w:color w:val="000000" w:themeColor="text1"/>
          <w:sz w:val="18"/>
          <w:szCs w:val="18"/>
          <w:lang w:val="es-CO"/>
        </w:rPr>
      </w:pPr>
      <w:r w:rsidRPr="00692DC1">
        <w:rPr>
          <w:rStyle w:val="Refdenotaalpie"/>
          <w:rFonts w:ascii="Arial" w:hAnsi="Arial" w:cs="Arial"/>
          <w:color w:val="000000" w:themeColor="text1"/>
          <w:sz w:val="18"/>
          <w:szCs w:val="18"/>
        </w:rPr>
        <w:footnoteRef/>
      </w:r>
      <w:r w:rsidRPr="00692DC1">
        <w:rPr>
          <w:rFonts w:ascii="Arial" w:hAnsi="Arial" w:cs="Arial"/>
          <w:color w:val="000000" w:themeColor="text1"/>
          <w:sz w:val="18"/>
          <w:szCs w:val="18"/>
        </w:rPr>
        <w:t xml:space="preserve"> </w:t>
      </w:r>
      <w:r w:rsidRPr="00692DC1">
        <w:rPr>
          <w:rFonts w:ascii="Arial" w:hAnsi="Arial" w:cs="Arial"/>
          <w:color w:val="000000" w:themeColor="text1"/>
          <w:sz w:val="18"/>
          <w:szCs w:val="18"/>
          <w:lang w:val="es-CO"/>
        </w:rPr>
        <w:t xml:space="preserve">«Artículo 2.2.1.2.3.1.3. Indivisibilidad de la garantía. La garantía de cobertura del Riesgo es indivisible. Sin embargo, en los contratos con un plazo mayor a cinco (5) años las garantías pueden cubrir los Riesgos de la Etapa del Contrato o del Periodo Contractual, de acuerdo con lo previsto en el contrato. </w:t>
      </w:r>
    </w:p>
    <w:p w14:paraId="6E42CE03" w14:textId="77777777" w:rsidR="00B57A7D" w:rsidRPr="00692DC1" w:rsidRDefault="00B57A7D" w:rsidP="00B57A7D">
      <w:pPr>
        <w:pStyle w:val="Textonotapie"/>
        <w:ind w:firstLine="708"/>
        <w:jc w:val="both"/>
        <w:rPr>
          <w:rFonts w:ascii="Arial" w:hAnsi="Arial" w:cs="Arial"/>
          <w:color w:val="000000" w:themeColor="text1"/>
          <w:sz w:val="18"/>
          <w:szCs w:val="18"/>
          <w:lang w:val="es-CO"/>
        </w:rPr>
      </w:pPr>
      <w:proofErr w:type="gramStart"/>
      <w:r w:rsidRPr="00692DC1">
        <w:rPr>
          <w:rFonts w:ascii="Arial" w:hAnsi="Arial" w:cs="Arial"/>
          <w:color w:val="000000" w:themeColor="text1"/>
          <w:sz w:val="18"/>
          <w:szCs w:val="18"/>
          <w:lang w:val="es-CO"/>
        </w:rPr>
        <w:t>»En</w:t>
      </w:r>
      <w:proofErr w:type="gramEnd"/>
      <w:r w:rsidRPr="00692DC1">
        <w:rPr>
          <w:rFonts w:ascii="Arial" w:hAnsi="Arial" w:cs="Arial"/>
          <w:color w:val="000000" w:themeColor="text1"/>
          <w:sz w:val="18"/>
          <w:szCs w:val="18"/>
          <w:lang w:val="es-CO"/>
        </w:rPr>
        <w:t xml:space="preserve"> consecuencia, la Entidad Estatal en los pliegos de condiciones para la Contratación debe indicar las garantías que exige en cada Etapa del Contrato o cada Periodo Contractual así: </w:t>
      </w:r>
    </w:p>
    <w:p w14:paraId="13E633F1" w14:textId="77777777" w:rsidR="00B57A7D" w:rsidRPr="00692DC1" w:rsidRDefault="00B57A7D" w:rsidP="00B57A7D">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»1. La Entidad Estatal debe exigir una garantía independiente para cada Etapa del Contrato o cada Periodo Contractual o cada unidad funcional en el caso de las Asociaciones </w:t>
      </w:r>
      <w:proofErr w:type="gramStart"/>
      <w:r w:rsidRPr="00692DC1">
        <w:rPr>
          <w:rFonts w:ascii="Arial" w:hAnsi="Arial" w:cs="Arial"/>
          <w:color w:val="000000" w:themeColor="text1"/>
          <w:sz w:val="18"/>
          <w:szCs w:val="18"/>
          <w:lang w:val="es-CO"/>
        </w:rPr>
        <w:t>Público Privadas</w:t>
      </w:r>
      <w:proofErr w:type="gramEnd"/>
      <w:r w:rsidRPr="00692DC1">
        <w:rPr>
          <w:rFonts w:ascii="Arial" w:hAnsi="Arial" w:cs="Arial"/>
          <w:color w:val="000000" w:themeColor="text1"/>
          <w:sz w:val="18"/>
          <w:szCs w:val="18"/>
          <w:lang w:val="es-CO"/>
        </w:rPr>
        <w:t xml:space="preserve">, cuya vigencia debe ser por lo menos la misma establecida para la Etapa del Contrato o Periodo Contractual respectivo. </w:t>
      </w:r>
    </w:p>
    <w:p w14:paraId="016358EE" w14:textId="77777777" w:rsidR="00B57A7D" w:rsidRPr="00692DC1" w:rsidRDefault="00B57A7D" w:rsidP="00B57A7D">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»2. La Entidad Estatal debe calcular el valor asegurado para cada Etapa del Contrato, Periodo Contractual o unidad funcional, tomando el valor de las obligaciones del contratista para cada Etapa del Contrato, Periodo Contractual o unidad funcional y de acuerdo con las reglas de suficiencia de las garantías establecidas en el presente título. </w:t>
      </w:r>
    </w:p>
    <w:p w14:paraId="5B5754A9" w14:textId="77777777" w:rsidR="00B57A7D" w:rsidRPr="00692DC1" w:rsidRDefault="00B57A7D" w:rsidP="00B57A7D">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»3. Antes del vencimiento de cada Etapa del Contrato o cada Periodo Contractual, el contratista está obligado a obtener una nueva garantía que ampare el cumplimiento de sus obligaciones para la Etapa del Contrato o Periodo Contractual subsiguiente, si no lo hiciere se aplicarán las reglas previstas para el restablecimiento de la garantía. </w:t>
      </w:r>
    </w:p>
    <w:p w14:paraId="4057CC0F" w14:textId="77777777" w:rsidR="00B57A7D" w:rsidRPr="00692DC1" w:rsidRDefault="00B57A7D" w:rsidP="00B57A7D">
      <w:pPr>
        <w:pStyle w:val="Textonotapie"/>
        <w:ind w:firstLine="708"/>
        <w:jc w:val="both"/>
        <w:rPr>
          <w:rFonts w:ascii="Arial" w:hAnsi="Arial" w:cs="Arial"/>
          <w:color w:val="000000" w:themeColor="text1"/>
          <w:sz w:val="18"/>
          <w:szCs w:val="18"/>
          <w:lang w:val="es-CO"/>
        </w:rPr>
      </w:pPr>
      <w:proofErr w:type="gramStart"/>
      <w:r w:rsidRPr="00692DC1">
        <w:rPr>
          <w:rFonts w:ascii="Arial" w:hAnsi="Arial" w:cs="Arial"/>
          <w:color w:val="000000" w:themeColor="text1"/>
          <w:sz w:val="18"/>
          <w:szCs w:val="18"/>
          <w:lang w:val="es-CO"/>
        </w:rPr>
        <w:t>»Si</w:t>
      </w:r>
      <w:proofErr w:type="gramEnd"/>
      <w:r w:rsidRPr="00692DC1">
        <w:rPr>
          <w:rFonts w:ascii="Arial" w:hAnsi="Arial" w:cs="Arial"/>
          <w:color w:val="000000" w:themeColor="text1"/>
          <w:sz w:val="18"/>
          <w:szCs w:val="18"/>
          <w:lang w:val="es-CO"/>
        </w:rPr>
        <w:t xml:space="preserve"> el garante de una Etapa del Contrato o un Periodo Contractual decide no continuar garantizando la Etapa del Contrato o Periodo Contractual subsiguiente, debe informar su decisión por escrito a la Entidad Estatal garantizada seis (6) meses antes del vencimiento del plazo de la garantía. Este aviso no afecta la garantía de la Etapa Contractual o Periodo Contractual en ejecución. Si el garante no da el aviso con la anticipación mencionada y el contratista no obtiene una nueva garantía, queda obligado a garantizar la Etapa del Contrato o el Periodo Contractual subsiguiente».</w:t>
      </w:r>
    </w:p>
    <w:p w14:paraId="033C39A3" w14:textId="77777777" w:rsidR="00B57A7D" w:rsidRPr="00692DC1" w:rsidRDefault="00B57A7D" w:rsidP="00B57A7D">
      <w:pPr>
        <w:pStyle w:val="Textonotapie"/>
        <w:jc w:val="both"/>
        <w:rPr>
          <w:rFonts w:ascii="Arial" w:hAnsi="Arial" w:cs="Arial"/>
          <w:color w:val="000000" w:themeColor="text1"/>
          <w:sz w:val="18"/>
          <w:szCs w:val="18"/>
          <w:lang w:val="es-CO"/>
        </w:rPr>
      </w:pPr>
    </w:p>
  </w:footnote>
  <w:footnote w:id="8">
    <w:p w14:paraId="387BE20E" w14:textId="77777777" w:rsidR="00B57A7D" w:rsidRPr="00692DC1" w:rsidRDefault="00B57A7D" w:rsidP="00B57A7D">
      <w:pPr>
        <w:pStyle w:val="Textonotapie"/>
        <w:ind w:firstLine="708"/>
        <w:jc w:val="both"/>
        <w:rPr>
          <w:rFonts w:ascii="Arial" w:hAnsi="Arial" w:cs="Arial"/>
          <w:color w:val="000000" w:themeColor="text1"/>
          <w:sz w:val="18"/>
          <w:szCs w:val="18"/>
          <w:lang w:val="es-CO"/>
        </w:rPr>
      </w:pPr>
      <w:r w:rsidRPr="00692DC1">
        <w:rPr>
          <w:rStyle w:val="Refdenotaalpie"/>
          <w:rFonts w:ascii="Arial" w:hAnsi="Arial" w:cs="Arial"/>
          <w:color w:val="000000" w:themeColor="text1"/>
          <w:sz w:val="18"/>
          <w:szCs w:val="18"/>
        </w:rPr>
        <w:footnoteRef/>
      </w:r>
      <w:r w:rsidRPr="00692DC1">
        <w:rPr>
          <w:rFonts w:ascii="Arial" w:hAnsi="Arial" w:cs="Arial"/>
          <w:color w:val="000000" w:themeColor="text1"/>
          <w:sz w:val="18"/>
          <w:szCs w:val="18"/>
        </w:rPr>
        <w:t xml:space="preserve"> </w:t>
      </w:r>
      <w:r w:rsidRPr="00692DC1">
        <w:rPr>
          <w:rFonts w:ascii="Arial" w:hAnsi="Arial" w:cs="Arial"/>
          <w:color w:val="000000" w:themeColor="text1"/>
          <w:sz w:val="18"/>
          <w:szCs w:val="18"/>
          <w:lang w:val="es-CO"/>
        </w:rPr>
        <w:t xml:space="preserve">«Artículo </w:t>
      </w:r>
      <w:bookmarkStart w:id="3" w:name="_Hlk67919994"/>
      <w:r w:rsidRPr="00692DC1">
        <w:rPr>
          <w:rFonts w:ascii="Arial" w:hAnsi="Arial" w:cs="Arial"/>
          <w:color w:val="000000" w:themeColor="text1"/>
          <w:sz w:val="18"/>
          <w:szCs w:val="18"/>
          <w:lang w:val="es-CO"/>
        </w:rPr>
        <w:t>2.2.1.2.3.1.7</w:t>
      </w:r>
      <w:bookmarkEnd w:id="3"/>
      <w:r w:rsidRPr="00692DC1">
        <w:rPr>
          <w:rFonts w:ascii="Arial" w:hAnsi="Arial" w:cs="Arial"/>
          <w:color w:val="000000" w:themeColor="text1"/>
          <w:sz w:val="18"/>
          <w:szCs w:val="18"/>
          <w:lang w:val="es-CO"/>
        </w:rPr>
        <w:t xml:space="preserve">. Garantía de cumplimiento. La garantía de cumplimiento del contrato debe cubrir: </w:t>
      </w:r>
    </w:p>
    <w:p w14:paraId="039C03A4" w14:textId="77777777" w:rsidR="00B57A7D" w:rsidRPr="00692DC1" w:rsidRDefault="00B57A7D" w:rsidP="00B57A7D">
      <w:pPr>
        <w:pStyle w:val="Textonotapie"/>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  </w:t>
      </w:r>
      <w:r w:rsidRPr="00692DC1">
        <w:rPr>
          <w:rFonts w:ascii="Arial" w:hAnsi="Arial" w:cs="Arial"/>
          <w:color w:val="000000" w:themeColor="text1"/>
          <w:sz w:val="18"/>
          <w:szCs w:val="18"/>
          <w:lang w:val="es-CO"/>
        </w:rPr>
        <w:tab/>
        <w:t>»1. Buen manejo y correcta inversión del anticipo. Este amparo cubre los perjuicios sufridos por la Entidad Estatal con ocasión de: (i) la no inversión del anticipo; (</w:t>
      </w:r>
      <w:proofErr w:type="spellStart"/>
      <w:r w:rsidRPr="00692DC1">
        <w:rPr>
          <w:rFonts w:ascii="Arial" w:hAnsi="Arial" w:cs="Arial"/>
          <w:color w:val="000000" w:themeColor="text1"/>
          <w:sz w:val="18"/>
          <w:szCs w:val="18"/>
          <w:lang w:val="es-CO"/>
        </w:rPr>
        <w:t>ii</w:t>
      </w:r>
      <w:proofErr w:type="spellEnd"/>
      <w:r w:rsidRPr="00692DC1">
        <w:rPr>
          <w:rFonts w:ascii="Arial" w:hAnsi="Arial" w:cs="Arial"/>
          <w:color w:val="000000" w:themeColor="text1"/>
          <w:sz w:val="18"/>
          <w:szCs w:val="18"/>
          <w:lang w:val="es-CO"/>
        </w:rPr>
        <w:t>) el uso indebido del anticipo; y (</w:t>
      </w:r>
      <w:proofErr w:type="spellStart"/>
      <w:r w:rsidRPr="00692DC1">
        <w:rPr>
          <w:rFonts w:ascii="Arial" w:hAnsi="Arial" w:cs="Arial"/>
          <w:color w:val="000000" w:themeColor="text1"/>
          <w:sz w:val="18"/>
          <w:szCs w:val="18"/>
          <w:lang w:val="es-CO"/>
        </w:rPr>
        <w:t>iii</w:t>
      </w:r>
      <w:proofErr w:type="spellEnd"/>
      <w:r w:rsidRPr="00692DC1">
        <w:rPr>
          <w:rFonts w:ascii="Arial" w:hAnsi="Arial" w:cs="Arial"/>
          <w:color w:val="000000" w:themeColor="text1"/>
          <w:sz w:val="18"/>
          <w:szCs w:val="18"/>
          <w:lang w:val="es-CO"/>
        </w:rPr>
        <w:t>) la apropiación indebida de los recursos recibidos en calidad de anticipo</w:t>
      </w:r>
    </w:p>
    <w:p w14:paraId="134458D0" w14:textId="77777777" w:rsidR="00B57A7D" w:rsidRPr="00692DC1" w:rsidRDefault="00B57A7D" w:rsidP="00B57A7D">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»2. Devolución del pago anticipado. Este amparo cubre los perjuicios sufridos por la Entidad Estatal por la no devolución total o parcial del dinero entregado al contratista a título de pago anticipado, cuando a ello hubiere lugar. </w:t>
      </w:r>
    </w:p>
    <w:p w14:paraId="400FD9D0" w14:textId="77777777" w:rsidR="00B57A7D" w:rsidRPr="00692DC1" w:rsidRDefault="00B57A7D" w:rsidP="00B57A7D">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»3. Cumplimiento del contrato. Este amparo cubre a la Entidad Estatal de los perjuicios derivados de: </w:t>
      </w:r>
    </w:p>
    <w:p w14:paraId="3B23C785" w14:textId="77777777" w:rsidR="00B57A7D" w:rsidRPr="00692DC1" w:rsidRDefault="00B57A7D" w:rsidP="00B57A7D">
      <w:pPr>
        <w:pStyle w:val="Textonotapie"/>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  </w:t>
      </w:r>
      <w:r w:rsidRPr="00692DC1">
        <w:rPr>
          <w:rFonts w:ascii="Arial" w:hAnsi="Arial" w:cs="Arial"/>
          <w:color w:val="000000" w:themeColor="text1"/>
          <w:sz w:val="18"/>
          <w:szCs w:val="18"/>
          <w:lang w:val="es-CO"/>
        </w:rPr>
        <w:tab/>
        <w:t xml:space="preserve">»3.1. </w:t>
      </w:r>
      <w:bookmarkStart w:id="4" w:name="_Hlk67920056"/>
      <w:r w:rsidRPr="00692DC1">
        <w:rPr>
          <w:rFonts w:ascii="Arial" w:hAnsi="Arial" w:cs="Arial"/>
          <w:color w:val="000000" w:themeColor="text1"/>
          <w:sz w:val="18"/>
          <w:szCs w:val="18"/>
          <w:lang w:val="es-CO"/>
        </w:rPr>
        <w:t xml:space="preserve">El incumplimiento total o parcial del contrato, cuando el incumplimiento es imputable al contratista; </w:t>
      </w:r>
    </w:p>
    <w:p w14:paraId="66AA13AE" w14:textId="77777777" w:rsidR="00B57A7D" w:rsidRPr="00692DC1" w:rsidRDefault="00B57A7D" w:rsidP="00B57A7D">
      <w:pPr>
        <w:pStyle w:val="Textonotapie"/>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  </w:t>
      </w:r>
      <w:r w:rsidRPr="00692DC1">
        <w:rPr>
          <w:rFonts w:ascii="Arial" w:hAnsi="Arial" w:cs="Arial"/>
          <w:color w:val="000000" w:themeColor="text1"/>
          <w:sz w:val="18"/>
          <w:szCs w:val="18"/>
          <w:lang w:val="es-CO"/>
        </w:rPr>
        <w:tab/>
        <w:t xml:space="preserve">»3.2. El cumplimiento tardío o defectuoso del contrato, cuando el incumplimiento es imputable al contratista; </w:t>
      </w:r>
    </w:p>
    <w:p w14:paraId="25C1D64D" w14:textId="77777777" w:rsidR="00B57A7D" w:rsidRPr="00692DC1" w:rsidRDefault="00B57A7D" w:rsidP="00B57A7D">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»3.3. Los daños imputables al contratista por entregas parciales de la obra, cuando el contrato no prevé entregas parciales; y </w:t>
      </w:r>
    </w:p>
    <w:bookmarkEnd w:id="4"/>
    <w:p w14:paraId="18470484" w14:textId="77777777" w:rsidR="00B57A7D" w:rsidRPr="00692DC1" w:rsidRDefault="00B57A7D" w:rsidP="00B57A7D">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»3.4. El pago del valor de las multas y de la cláusula penal pecuniaria. </w:t>
      </w:r>
    </w:p>
    <w:p w14:paraId="77850CCC" w14:textId="77777777" w:rsidR="00B57A7D" w:rsidRPr="00692DC1" w:rsidRDefault="00B57A7D" w:rsidP="00B57A7D">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 </w:t>
      </w:r>
    </w:p>
    <w:p w14:paraId="4648EDF0" w14:textId="77777777" w:rsidR="00B57A7D" w:rsidRPr="00692DC1" w:rsidRDefault="00B57A7D" w:rsidP="00B57A7D">
      <w:pPr>
        <w:pStyle w:val="Textonotapie"/>
        <w:ind w:firstLine="708"/>
        <w:jc w:val="both"/>
        <w:rPr>
          <w:rFonts w:ascii="Arial" w:hAnsi="Arial" w:cs="Arial"/>
          <w:color w:val="000000" w:themeColor="text1"/>
          <w:sz w:val="18"/>
          <w:szCs w:val="18"/>
          <w:lang w:val="es-CO"/>
        </w:rPr>
      </w:pPr>
      <w:proofErr w:type="gramStart"/>
      <w:r w:rsidRPr="00692DC1">
        <w:rPr>
          <w:rFonts w:ascii="Arial" w:hAnsi="Arial" w:cs="Arial"/>
          <w:color w:val="000000" w:themeColor="text1"/>
          <w:sz w:val="18"/>
          <w:szCs w:val="18"/>
          <w:lang w:val="es-CO"/>
        </w:rPr>
        <w:t>»La</w:t>
      </w:r>
      <w:proofErr w:type="gramEnd"/>
      <w:r w:rsidRPr="00692DC1">
        <w:rPr>
          <w:rFonts w:ascii="Arial" w:hAnsi="Arial" w:cs="Arial"/>
          <w:color w:val="000000" w:themeColor="text1"/>
          <w:sz w:val="18"/>
          <w:szCs w:val="18"/>
          <w:lang w:val="es-CO"/>
        </w:rPr>
        <w:t xml:space="preserve"> Entidad Estatal no debe exigir una garantía para cubrir este Riesgo en los contratos que se ejecuten fuera del territorio nacional con personal contratado bajo un régimen jurídico distinto al colombiano. </w:t>
      </w:r>
    </w:p>
    <w:p w14:paraId="76DCE587" w14:textId="77777777" w:rsidR="00B57A7D" w:rsidRPr="00692DC1" w:rsidRDefault="00B57A7D" w:rsidP="00B57A7D">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»5. Estabilidad y calidad de la obra. Este amparo cubre a la Entidad Estatal de los perjuicios ocasionados por cualquier tipo de daño o deterioro, imputable al contratista, sufrido por la obra entregada a satisfacción. </w:t>
      </w:r>
    </w:p>
    <w:p w14:paraId="135E67FA" w14:textId="77777777" w:rsidR="00B57A7D" w:rsidRPr="00692DC1" w:rsidRDefault="00B57A7D" w:rsidP="00B57A7D">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»6. Calidad del servicio. Este amparo cubre a la Entidad Estatal por los perjuicios derivados de la deficiente calidad del servicio prestado. </w:t>
      </w:r>
    </w:p>
    <w:p w14:paraId="27C7A615" w14:textId="77777777" w:rsidR="00B57A7D" w:rsidRPr="00692DC1" w:rsidRDefault="00B57A7D" w:rsidP="00B57A7D">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»7. Calidad y correcto funcionamiento de los bienes. Este amparo debe cubrir la calidad y el correcto funcionamiento de los bienes que recibe la Entidad Estatal en cumplimiento de un contrato. </w:t>
      </w:r>
    </w:p>
    <w:p w14:paraId="313B3950" w14:textId="77777777" w:rsidR="00B57A7D" w:rsidRPr="00692DC1" w:rsidRDefault="00B57A7D" w:rsidP="00B57A7D">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»8. Los demás incumplimientos de obligaciones que la Entidad Estatal considere deben ser amparados de manera proporcional y acorde a la naturaleza del contrato».</w:t>
      </w:r>
    </w:p>
    <w:p w14:paraId="4812890E" w14:textId="77777777" w:rsidR="00B57A7D" w:rsidRPr="00692DC1" w:rsidRDefault="00B57A7D" w:rsidP="00B57A7D">
      <w:pPr>
        <w:pStyle w:val="Textonotapie"/>
        <w:ind w:firstLine="708"/>
        <w:jc w:val="both"/>
        <w:rPr>
          <w:rFonts w:ascii="Arial" w:hAnsi="Arial" w:cs="Arial"/>
          <w:color w:val="000000" w:themeColor="text1"/>
          <w:sz w:val="18"/>
          <w:szCs w:val="18"/>
          <w:lang w:val="es-CO"/>
        </w:rPr>
      </w:pPr>
    </w:p>
  </w:footnote>
  <w:footnote w:id="9">
    <w:p w14:paraId="37D2D1F5" w14:textId="3347D255" w:rsidR="008301D8" w:rsidRPr="00013DDC" w:rsidRDefault="008301D8" w:rsidP="00013DDC">
      <w:pPr>
        <w:pStyle w:val="Textonotapie"/>
        <w:ind w:firstLine="708"/>
        <w:jc w:val="both"/>
        <w:rPr>
          <w:rFonts w:ascii="Arial" w:hAnsi="Arial" w:cs="Arial"/>
          <w:sz w:val="19"/>
          <w:szCs w:val="19"/>
        </w:rPr>
      </w:pPr>
      <w:r w:rsidRPr="00013DDC">
        <w:rPr>
          <w:rStyle w:val="Refdenotaalpie"/>
          <w:rFonts w:ascii="Arial" w:hAnsi="Arial" w:cs="Arial"/>
          <w:sz w:val="19"/>
          <w:szCs w:val="19"/>
        </w:rPr>
        <w:footnoteRef/>
      </w:r>
      <w:r w:rsidRPr="00013DDC">
        <w:rPr>
          <w:rFonts w:ascii="Arial" w:hAnsi="Arial" w:cs="Arial"/>
          <w:sz w:val="19"/>
          <w:szCs w:val="19"/>
        </w:rPr>
        <w:t xml:space="preserve"> </w:t>
      </w:r>
      <w:r w:rsidR="00013DDC" w:rsidRPr="00013DDC">
        <w:rPr>
          <w:rFonts w:ascii="Arial" w:hAnsi="Arial" w:cs="Arial"/>
          <w:sz w:val="19"/>
          <w:szCs w:val="19"/>
        </w:rPr>
        <w:t xml:space="preserve">SUPERINTENDENCIA DE INDUSTRIA Y COMERCIO Y AGENCIA NACIONAL DE CONTRATACIÓN PÚBLICA –COLOMBIA COMPRA EFICIENTE. Circular Conjunta 01 del 20 de agosto de 2021. </w:t>
      </w:r>
    </w:p>
  </w:footnote>
  <w:footnote w:id="10">
    <w:p w14:paraId="40B6F6BF" w14:textId="77777777" w:rsidR="00595BC4" w:rsidRPr="00851936" w:rsidRDefault="00595BC4" w:rsidP="00595BC4">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4624C8B1" w14:textId="77777777" w:rsidR="00595BC4" w:rsidRPr="00851936" w:rsidRDefault="00595BC4" w:rsidP="00595BC4">
      <w:pPr>
        <w:pStyle w:val="Textonotapie"/>
        <w:ind w:right="49" w:firstLine="709"/>
        <w:jc w:val="both"/>
        <w:rPr>
          <w:rFonts w:ascii="Arial" w:hAnsi="Arial" w:cs="Arial"/>
          <w:color w:val="000000" w:themeColor="text1"/>
          <w:sz w:val="19"/>
          <w:szCs w:val="19"/>
        </w:rPr>
      </w:pPr>
      <w:proofErr w:type="gramStart"/>
      <w:r w:rsidRPr="00851936">
        <w:rPr>
          <w:rFonts w:ascii="Arial" w:hAnsi="Arial" w:cs="Arial"/>
          <w:color w:val="000000" w:themeColor="text1"/>
          <w:sz w:val="19"/>
          <w:szCs w:val="19"/>
        </w:rPr>
        <w:t>»a</w:t>
      </w:r>
      <w:proofErr w:type="gramEnd"/>
      <w:r w:rsidRPr="00851936">
        <w:rPr>
          <w:rFonts w:ascii="Arial" w:hAnsi="Arial" w:cs="Arial"/>
          <w:color w:val="000000" w:themeColor="text1"/>
          <w:sz w:val="19"/>
          <w:szCs w:val="19"/>
        </w:rPr>
        <w:t>)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0C33F6D6" w14:textId="77777777" w:rsidR="00595BC4" w:rsidRPr="00851936" w:rsidRDefault="00595BC4" w:rsidP="00595BC4">
      <w:pPr>
        <w:pStyle w:val="Textonotapie"/>
        <w:ind w:right="49" w:firstLine="709"/>
        <w:jc w:val="both"/>
        <w:rPr>
          <w:rFonts w:ascii="Arial" w:hAnsi="Arial" w:cs="Arial"/>
          <w:color w:val="000000" w:themeColor="text1"/>
          <w:sz w:val="19"/>
          <w:szCs w:val="19"/>
        </w:rPr>
      </w:pPr>
    </w:p>
  </w:footnote>
  <w:footnote w:id="11">
    <w:p w14:paraId="40911CA0" w14:textId="77777777" w:rsidR="00595BC4" w:rsidRPr="00851936" w:rsidRDefault="00595BC4" w:rsidP="00595BC4">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vertAlign w:val="superscript"/>
          <w:lang w:val="es-ES" w:eastAsia="es-ES"/>
        </w:rPr>
        <w:footnoteRef/>
      </w:r>
      <w:r w:rsidRPr="00851936">
        <w:rPr>
          <w:rFonts w:ascii="Arial" w:hAnsi="Arial" w:cs="Arial"/>
          <w:color w:val="000000" w:themeColor="text1"/>
          <w:sz w:val="19"/>
          <w:szCs w:val="19"/>
          <w:vertAlign w:val="superscript"/>
          <w:lang w:val="es-ES" w:eastAsia="es-ES"/>
        </w:rPr>
        <w:t xml:space="preserve"> </w:t>
      </w:r>
      <w:r w:rsidRPr="00851936">
        <w:rPr>
          <w:rFonts w:ascii="Arial" w:hAnsi="Arial" w:cs="Arial"/>
          <w:color w:val="000000" w:themeColor="text1"/>
          <w:sz w:val="19"/>
          <w:szCs w:val="19"/>
          <w:lang w:val="es-ES" w:eastAsia="es-ES"/>
        </w:rPr>
        <w:t>«</w:t>
      </w:r>
      <w:r w:rsidRPr="00851936">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1A03F866" w14:textId="77777777" w:rsidR="00595BC4" w:rsidRPr="00851936" w:rsidRDefault="00595BC4" w:rsidP="00595BC4">
      <w:pPr>
        <w:pStyle w:val="Textonotapie"/>
        <w:ind w:right="49" w:firstLine="709"/>
        <w:jc w:val="both"/>
        <w:rPr>
          <w:rFonts w:ascii="Arial" w:hAnsi="Arial" w:cs="Arial"/>
          <w:color w:val="000000" w:themeColor="text1"/>
          <w:sz w:val="19"/>
          <w:szCs w:val="19"/>
          <w:lang w:val="es-ES" w:eastAsia="es-ES"/>
        </w:rPr>
      </w:pPr>
      <w:r w:rsidRPr="00851936">
        <w:rPr>
          <w:rFonts w:ascii="Arial" w:hAnsi="Arial" w:cs="Arial"/>
          <w:color w:val="000000" w:themeColor="text1"/>
          <w:sz w:val="19"/>
          <w:szCs w:val="19"/>
        </w:rPr>
        <w:t>[…].</w:t>
      </w:r>
    </w:p>
    <w:p w14:paraId="255D2577" w14:textId="77777777" w:rsidR="00595BC4" w:rsidRDefault="00595BC4" w:rsidP="00595BC4">
      <w:pPr>
        <w:pStyle w:val="Textonotapie"/>
        <w:ind w:right="49" w:firstLine="709"/>
        <w:jc w:val="both"/>
        <w:rPr>
          <w:rFonts w:ascii="Arial" w:hAnsi="Arial" w:cs="Arial"/>
          <w:color w:val="000000" w:themeColor="text1"/>
          <w:sz w:val="19"/>
          <w:szCs w:val="19"/>
          <w:lang w:val="es-ES" w:eastAsia="es-ES"/>
        </w:rPr>
      </w:pPr>
      <w:proofErr w:type="gramStart"/>
      <w:r w:rsidRPr="00851936">
        <w:rPr>
          <w:rFonts w:ascii="Arial" w:hAnsi="Arial" w:cs="Arial"/>
          <w:color w:val="000000" w:themeColor="text1"/>
          <w:sz w:val="19"/>
          <w:szCs w:val="19"/>
          <w:lang w:val="es-ES" w:eastAsia="es-ES"/>
        </w:rPr>
        <w:t>»Los</w:t>
      </w:r>
      <w:proofErr w:type="gramEnd"/>
      <w:r w:rsidRPr="00851936">
        <w:rPr>
          <w:rFonts w:ascii="Arial" w:hAnsi="Arial" w:cs="Arial"/>
          <w:color w:val="000000" w:themeColor="text1"/>
          <w:sz w:val="19"/>
          <w:szCs w:val="19"/>
          <w:lang w:val="es-ES" w:eastAsia="es-ES"/>
        </w:rPr>
        <w:t xml:space="preserve"> sujetos obligados que contratan con recursos públicos y recursos privados, deben publicar la información de su gestión contractual con cargo a recursos públicos en el Sistema Electrónico para la Contratación Pública [SECOP]».</w:t>
      </w:r>
    </w:p>
    <w:p w14:paraId="017319DB" w14:textId="77777777" w:rsidR="00595BC4" w:rsidRPr="00851936" w:rsidRDefault="00595BC4" w:rsidP="00595BC4">
      <w:pPr>
        <w:pStyle w:val="Textonotapie"/>
        <w:ind w:right="49" w:firstLine="709"/>
        <w:jc w:val="both"/>
        <w:rPr>
          <w:rFonts w:ascii="Arial" w:hAnsi="Arial" w:cs="Arial"/>
          <w:color w:val="000000" w:themeColor="text1"/>
          <w:sz w:val="19"/>
          <w:szCs w:val="19"/>
          <w:lang w:val="es-ES" w:eastAsia="es-ES"/>
        </w:rPr>
      </w:pPr>
    </w:p>
  </w:footnote>
  <w:footnote w:id="12">
    <w:p w14:paraId="37B38EF2" w14:textId="77777777" w:rsidR="00595BC4" w:rsidRPr="00851936" w:rsidRDefault="00595BC4" w:rsidP="00595BC4">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7E7FB014" w14:textId="77777777" w:rsidR="00595BC4" w:rsidRPr="00851936" w:rsidRDefault="00595BC4" w:rsidP="00595BC4">
      <w:pPr>
        <w:pStyle w:val="Textonotapie"/>
        <w:ind w:right="49" w:firstLine="708"/>
        <w:jc w:val="both"/>
        <w:rPr>
          <w:rFonts w:ascii="Arial" w:hAnsi="Arial" w:cs="Arial"/>
          <w:color w:val="000000" w:themeColor="text1"/>
          <w:sz w:val="19"/>
          <w:szCs w:val="19"/>
          <w:lang w:val="es-ES"/>
        </w:rPr>
      </w:pPr>
      <w:proofErr w:type="gramStart"/>
      <w:r w:rsidRPr="00851936">
        <w:rPr>
          <w:rFonts w:ascii="Arial" w:hAnsi="Arial" w:cs="Arial"/>
          <w:color w:val="000000" w:themeColor="text1"/>
          <w:sz w:val="19"/>
          <w:szCs w:val="19"/>
        </w:rPr>
        <w:t>»La</w:t>
      </w:r>
      <w:proofErr w:type="gramEnd"/>
      <w:r w:rsidRPr="00851936">
        <w:rPr>
          <w:rFonts w:ascii="Arial" w:hAnsi="Arial" w:cs="Arial"/>
          <w:color w:val="000000" w:themeColor="text1"/>
          <w:sz w:val="19"/>
          <w:szCs w:val="19"/>
        </w:rPr>
        <w:t xml:space="preserve">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 w:id="13">
    <w:p w14:paraId="0392F697" w14:textId="77777777" w:rsidR="00595BC4" w:rsidRPr="00CF4478" w:rsidRDefault="00595BC4" w:rsidP="00595BC4">
      <w:pPr>
        <w:pStyle w:val="Textonotapie"/>
        <w:ind w:firstLine="708"/>
        <w:jc w:val="both"/>
        <w:rPr>
          <w:rFonts w:ascii="Arial" w:hAnsi="Arial" w:cs="Arial"/>
          <w:sz w:val="19"/>
          <w:szCs w:val="19"/>
          <w:lang w:val="es-CO"/>
        </w:rPr>
      </w:pPr>
      <w:r w:rsidRPr="00CF4478">
        <w:rPr>
          <w:rStyle w:val="Refdenotaalpie"/>
          <w:rFonts w:ascii="Arial" w:hAnsi="Arial" w:cs="Arial"/>
          <w:sz w:val="19"/>
          <w:szCs w:val="19"/>
        </w:rPr>
        <w:footnoteRef/>
      </w:r>
      <w:r w:rsidRPr="00CF4478">
        <w:rPr>
          <w:rFonts w:ascii="Arial" w:hAnsi="Arial" w:cs="Arial"/>
          <w:sz w:val="19"/>
          <w:szCs w:val="19"/>
        </w:rPr>
        <w:t xml:space="preserve"> Decreto 1082 de 2015 «Artículo 2.2.1.2.1.4.3. No publicidad de estudios y documentos previos. Los estudios y documentos previos elaborados para los siguientes Procesos de Contratación no son públicos: a) la contratación de empréstitos; b) los contratos interadministrativos que celebre el Ministerio de Hacienda y Crédito Público con el Banco de la República, y c) los contratos a los que se refiere el 2.2.1.2.1.4.6 del presente decreto».</w:t>
      </w:r>
    </w:p>
  </w:footnote>
  <w:footnote w:id="14">
    <w:p w14:paraId="380AB421" w14:textId="77777777" w:rsidR="00595BC4" w:rsidRPr="00CF4478" w:rsidRDefault="00595BC4" w:rsidP="00595BC4">
      <w:pPr>
        <w:pStyle w:val="Textonotapie"/>
        <w:rPr>
          <w:rFonts w:ascii="Arial" w:hAnsi="Arial" w:cs="Arial"/>
          <w:sz w:val="19"/>
          <w:szCs w:val="19"/>
        </w:rPr>
      </w:pPr>
    </w:p>
    <w:p w14:paraId="0DAD3573" w14:textId="77777777" w:rsidR="00595BC4" w:rsidRPr="00CF4478" w:rsidRDefault="00595BC4" w:rsidP="00595BC4">
      <w:pPr>
        <w:pStyle w:val="Textonotapie"/>
        <w:ind w:firstLine="708"/>
        <w:jc w:val="both"/>
        <w:rPr>
          <w:rFonts w:ascii="Arial" w:hAnsi="Arial" w:cs="Arial"/>
          <w:sz w:val="19"/>
          <w:szCs w:val="19"/>
        </w:rPr>
      </w:pPr>
      <w:r w:rsidRPr="00CF4478">
        <w:rPr>
          <w:rStyle w:val="Refdenotaalpie"/>
          <w:rFonts w:ascii="Arial" w:hAnsi="Arial" w:cs="Arial"/>
          <w:sz w:val="19"/>
          <w:szCs w:val="19"/>
        </w:rPr>
        <w:footnoteRef/>
      </w:r>
      <w:r w:rsidRPr="00CF4478">
        <w:rPr>
          <w:rFonts w:ascii="Arial" w:hAnsi="Arial" w:cs="Arial"/>
          <w:sz w:val="19"/>
          <w:szCs w:val="19"/>
        </w:rPr>
        <w:t xml:space="preserve"> Decreto 1082 de 2015 «Artículo 2.2.1.2.1.4.6. Contratación de Bienes y Servicios en el Sector Defensa, </w:t>
      </w:r>
      <w:bookmarkStart w:id="6" w:name="_Hlk48034091"/>
      <w:r w:rsidRPr="00CF4478">
        <w:rPr>
          <w:rFonts w:ascii="Arial" w:hAnsi="Arial" w:cs="Arial"/>
          <w:sz w:val="19"/>
          <w:szCs w:val="19"/>
        </w:rPr>
        <w:t>la Dirección Nacional de Inteligencia y la Unidad Nacional de Protección</w:t>
      </w:r>
      <w:bookmarkEnd w:id="6"/>
      <w:r w:rsidRPr="00CF4478">
        <w:rPr>
          <w:rFonts w:ascii="Arial" w:hAnsi="Arial" w:cs="Arial"/>
          <w:sz w:val="19"/>
          <w:szCs w:val="19"/>
        </w:rPr>
        <w:t xml:space="preserve"> que necesiten reserva para su adquisición. Las Entidades Estatales no están obligadas a publicar los Documentos del Proceso para adquirir bienes y servicios en el Sector Defensa, la Dirección Nacional de Inteligencia y la Unidad Nacional de Protección que requieren reserva. En estos procesos de contratación la adquisición debe hacerse en condiciones de mercado sin que sea necesario recibir varias ofertas».</w:t>
      </w:r>
    </w:p>
    <w:p w14:paraId="48E83FFD" w14:textId="77777777" w:rsidR="00595BC4" w:rsidRPr="00CF4478" w:rsidRDefault="00595BC4" w:rsidP="00595BC4">
      <w:pPr>
        <w:pStyle w:val="Textonotapie"/>
        <w:ind w:firstLine="708"/>
        <w:rPr>
          <w:lang w:val="es-CO"/>
        </w:rPr>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807B5" w:rsidRDefault="00E807B5">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307327074">
    <w:abstractNumId w:val="10"/>
  </w:num>
  <w:num w:numId="2" w16cid:durableId="1198471582">
    <w:abstractNumId w:val="8"/>
  </w:num>
  <w:num w:numId="3" w16cid:durableId="375274235">
    <w:abstractNumId w:val="14"/>
  </w:num>
  <w:num w:numId="4" w16cid:durableId="1980110720">
    <w:abstractNumId w:val="18"/>
  </w:num>
  <w:num w:numId="5" w16cid:durableId="456994684">
    <w:abstractNumId w:val="22"/>
  </w:num>
  <w:num w:numId="6" w16cid:durableId="183117185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8396942">
    <w:abstractNumId w:val="20"/>
  </w:num>
  <w:num w:numId="8" w16cid:durableId="325283969">
    <w:abstractNumId w:val="0"/>
  </w:num>
  <w:num w:numId="9" w16cid:durableId="1608273958">
    <w:abstractNumId w:val="4"/>
  </w:num>
  <w:num w:numId="10" w16cid:durableId="15314517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64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9073252">
    <w:abstractNumId w:val="9"/>
  </w:num>
  <w:num w:numId="13" w16cid:durableId="1301689745">
    <w:abstractNumId w:val="12"/>
  </w:num>
  <w:num w:numId="14" w16cid:durableId="114909617">
    <w:abstractNumId w:val="7"/>
  </w:num>
  <w:num w:numId="15" w16cid:durableId="17172613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579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2516504">
    <w:abstractNumId w:val="24"/>
  </w:num>
  <w:num w:numId="18" w16cid:durableId="1245527434">
    <w:abstractNumId w:val="15"/>
  </w:num>
  <w:num w:numId="19" w16cid:durableId="336468711">
    <w:abstractNumId w:val="2"/>
  </w:num>
  <w:num w:numId="20" w16cid:durableId="1525098609">
    <w:abstractNumId w:val="25"/>
  </w:num>
  <w:num w:numId="21" w16cid:durableId="399987096">
    <w:abstractNumId w:val="17"/>
  </w:num>
  <w:num w:numId="22" w16cid:durableId="1371957500">
    <w:abstractNumId w:val="6"/>
  </w:num>
  <w:num w:numId="23" w16cid:durableId="1259827944">
    <w:abstractNumId w:val="5"/>
  </w:num>
  <w:num w:numId="24" w16cid:durableId="353920368">
    <w:abstractNumId w:val="23"/>
  </w:num>
  <w:num w:numId="25" w16cid:durableId="1199707218">
    <w:abstractNumId w:val="19"/>
  </w:num>
  <w:num w:numId="26" w16cid:durableId="1776516639">
    <w:abstractNumId w:val="3"/>
  </w:num>
  <w:num w:numId="27" w16cid:durableId="1331715465">
    <w:abstractNumId w:val="16"/>
  </w:num>
  <w:num w:numId="28" w16cid:durableId="5950174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68973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C40"/>
    <w:rsid w:val="000112B4"/>
    <w:rsid w:val="00011DCC"/>
    <w:rsid w:val="00012532"/>
    <w:rsid w:val="00012B9E"/>
    <w:rsid w:val="00012F37"/>
    <w:rsid w:val="00012FBA"/>
    <w:rsid w:val="00013C6B"/>
    <w:rsid w:val="00013DDC"/>
    <w:rsid w:val="0001406B"/>
    <w:rsid w:val="000143F8"/>
    <w:rsid w:val="00014624"/>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4DD"/>
    <w:rsid w:val="00025D0A"/>
    <w:rsid w:val="000263F0"/>
    <w:rsid w:val="00026407"/>
    <w:rsid w:val="00026608"/>
    <w:rsid w:val="00027787"/>
    <w:rsid w:val="000278D2"/>
    <w:rsid w:val="0002797C"/>
    <w:rsid w:val="00031364"/>
    <w:rsid w:val="000315E1"/>
    <w:rsid w:val="0003236E"/>
    <w:rsid w:val="0003339A"/>
    <w:rsid w:val="000341F2"/>
    <w:rsid w:val="00035046"/>
    <w:rsid w:val="000351F2"/>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CB9"/>
    <w:rsid w:val="0005602F"/>
    <w:rsid w:val="00056565"/>
    <w:rsid w:val="00056F66"/>
    <w:rsid w:val="0005702F"/>
    <w:rsid w:val="00057930"/>
    <w:rsid w:val="00061010"/>
    <w:rsid w:val="00061470"/>
    <w:rsid w:val="00061D06"/>
    <w:rsid w:val="00062BDF"/>
    <w:rsid w:val="00062CDD"/>
    <w:rsid w:val="00063AD6"/>
    <w:rsid w:val="000640AF"/>
    <w:rsid w:val="00064940"/>
    <w:rsid w:val="00064CAE"/>
    <w:rsid w:val="00064DB7"/>
    <w:rsid w:val="00064FA7"/>
    <w:rsid w:val="00065195"/>
    <w:rsid w:val="0006536C"/>
    <w:rsid w:val="00065B01"/>
    <w:rsid w:val="00065D20"/>
    <w:rsid w:val="0006626E"/>
    <w:rsid w:val="000701A0"/>
    <w:rsid w:val="00070AF1"/>
    <w:rsid w:val="000714DE"/>
    <w:rsid w:val="0007254F"/>
    <w:rsid w:val="00072878"/>
    <w:rsid w:val="000730A2"/>
    <w:rsid w:val="0007357C"/>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87D1F"/>
    <w:rsid w:val="000914D6"/>
    <w:rsid w:val="00091569"/>
    <w:rsid w:val="00092057"/>
    <w:rsid w:val="00092CDB"/>
    <w:rsid w:val="00092DCA"/>
    <w:rsid w:val="000936F7"/>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EC4"/>
    <w:rsid w:val="000A0ED1"/>
    <w:rsid w:val="000A1258"/>
    <w:rsid w:val="000A12DB"/>
    <w:rsid w:val="000A17C8"/>
    <w:rsid w:val="000A1B74"/>
    <w:rsid w:val="000A20AD"/>
    <w:rsid w:val="000A20D7"/>
    <w:rsid w:val="000A2128"/>
    <w:rsid w:val="000A2142"/>
    <w:rsid w:val="000A31FB"/>
    <w:rsid w:val="000A362F"/>
    <w:rsid w:val="000A3B49"/>
    <w:rsid w:val="000A464B"/>
    <w:rsid w:val="000A46FE"/>
    <w:rsid w:val="000A47E6"/>
    <w:rsid w:val="000A4810"/>
    <w:rsid w:val="000A52C0"/>
    <w:rsid w:val="000A5836"/>
    <w:rsid w:val="000A5AAF"/>
    <w:rsid w:val="000A5F97"/>
    <w:rsid w:val="000A600A"/>
    <w:rsid w:val="000A648E"/>
    <w:rsid w:val="000A73BB"/>
    <w:rsid w:val="000A73E8"/>
    <w:rsid w:val="000A7EF4"/>
    <w:rsid w:val="000B081A"/>
    <w:rsid w:val="000B0A15"/>
    <w:rsid w:val="000B103F"/>
    <w:rsid w:val="000B1437"/>
    <w:rsid w:val="000B1470"/>
    <w:rsid w:val="000B17EC"/>
    <w:rsid w:val="000B244D"/>
    <w:rsid w:val="000B2B86"/>
    <w:rsid w:val="000B3051"/>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F6D"/>
    <w:rsid w:val="000C4F49"/>
    <w:rsid w:val="000C4F94"/>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ED2"/>
    <w:rsid w:val="000D1CEB"/>
    <w:rsid w:val="000D218D"/>
    <w:rsid w:val="000D2563"/>
    <w:rsid w:val="000D25BF"/>
    <w:rsid w:val="000D3582"/>
    <w:rsid w:val="000D3FDC"/>
    <w:rsid w:val="000D490B"/>
    <w:rsid w:val="000D4E38"/>
    <w:rsid w:val="000D50DB"/>
    <w:rsid w:val="000D6288"/>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819"/>
    <w:rsid w:val="00116328"/>
    <w:rsid w:val="001163CF"/>
    <w:rsid w:val="00116A1C"/>
    <w:rsid w:val="001174C9"/>
    <w:rsid w:val="00117E69"/>
    <w:rsid w:val="001206DA"/>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DB9"/>
    <w:rsid w:val="0013695C"/>
    <w:rsid w:val="00136BF7"/>
    <w:rsid w:val="00136C78"/>
    <w:rsid w:val="001378B9"/>
    <w:rsid w:val="00137E75"/>
    <w:rsid w:val="00137FFA"/>
    <w:rsid w:val="00140109"/>
    <w:rsid w:val="0014029B"/>
    <w:rsid w:val="00140464"/>
    <w:rsid w:val="00140A4F"/>
    <w:rsid w:val="001413AB"/>
    <w:rsid w:val="00141DBF"/>
    <w:rsid w:val="00142E96"/>
    <w:rsid w:val="00142EFD"/>
    <w:rsid w:val="00143AD6"/>
    <w:rsid w:val="00144335"/>
    <w:rsid w:val="0014502F"/>
    <w:rsid w:val="00145282"/>
    <w:rsid w:val="001453B0"/>
    <w:rsid w:val="001454D9"/>
    <w:rsid w:val="0014553F"/>
    <w:rsid w:val="00145D8E"/>
    <w:rsid w:val="00146083"/>
    <w:rsid w:val="001462F7"/>
    <w:rsid w:val="00146312"/>
    <w:rsid w:val="00146418"/>
    <w:rsid w:val="001471AB"/>
    <w:rsid w:val="001474D7"/>
    <w:rsid w:val="00147C42"/>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60401"/>
    <w:rsid w:val="00160D4E"/>
    <w:rsid w:val="00161DDA"/>
    <w:rsid w:val="00161E62"/>
    <w:rsid w:val="00161F1C"/>
    <w:rsid w:val="0016200B"/>
    <w:rsid w:val="0016204B"/>
    <w:rsid w:val="00162552"/>
    <w:rsid w:val="00163C03"/>
    <w:rsid w:val="00163D7A"/>
    <w:rsid w:val="00164281"/>
    <w:rsid w:val="00165703"/>
    <w:rsid w:val="00166204"/>
    <w:rsid w:val="0016685F"/>
    <w:rsid w:val="0016712F"/>
    <w:rsid w:val="00167503"/>
    <w:rsid w:val="001676A9"/>
    <w:rsid w:val="00167A15"/>
    <w:rsid w:val="00167A50"/>
    <w:rsid w:val="00167D1A"/>
    <w:rsid w:val="00167DF5"/>
    <w:rsid w:val="00170001"/>
    <w:rsid w:val="00170472"/>
    <w:rsid w:val="00172198"/>
    <w:rsid w:val="0017236C"/>
    <w:rsid w:val="00172612"/>
    <w:rsid w:val="00172817"/>
    <w:rsid w:val="001734E3"/>
    <w:rsid w:val="001737C5"/>
    <w:rsid w:val="001742BF"/>
    <w:rsid w:val="001742E1"/>
    <w:rsid w:val="00175E49"/>
    <w:rsid w:val="0017649F"/>
    <w:rsid w:val="0017655B"/>
    <w:rsid w:val="001805C1"/>
    <w:rsid w:val="00180A2E"/>
    <w:rsid w:val="001813AF"/>
    <w:rsid w:val="001817E9"/>
    <w:rsid w:val="001829CD"/>
    <w:rsid w:val="00182F01"/>
    <w:rsid w:val="001833C2"/>
    <w:rsid w:val="001841E2"/>
    <w:rsid w:val="00184219"/>
    <w:rsid w:val="00184F27"/>
    <w:rsid w:val="0018519B"/>
    <w:rsid w:val="00185966"/>
    <w:rsid w:val="00185A2D"/>
    <w:rsid w:val="00185AFE"/>
    <w:rsid w:val="00185E78"/>
    <w:rsid w:val="00185F7F"/>
    <w:rsid w:val="00187177"/>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E8C"/>
    <w:rsid w:val="001962EC"/>
    <w:rsid w:val="001963DD"/>
    <w:rsid w:val="001965DB"/>
    <w:rsid w:val="0019673D"/>
    <w:rsid w:val="00196D01"/>
    <w:rsid w:val="00196DC9"/>
    <w:rsid w:val="00196E95"/>
    <w:rsid w:val="001A0236"/>
    <w:rsid w:val="001A0915"/>
    <w:rsid w:val="001A0929"/>
    <w:rsid w:val="001A0AF8"/>
    <w:rsid w:val="001A147D"/>
    <w:rsid w:val="001A1490"/>
    <w:rsid w:val="001A18D5"/>
    <w:rsid w:val="001A1A38"/>
    <w:rsid w:val="001A1BE0"/>
    <w:rsid w:val="001A1D4A"/>
    <w:rsid w:val="001A3011"/>
    <w:rsid w:val="001A3284"/>
    <w:rsid w:val="001A4A9B"/>
    <w:rsid w:val="001A4DAF"/>
    <w:rsid w:val="001A54CD"/>
    <w:rsid w:val="001A66DF"/>
    <w:rsid w:val="001A67D0"/>
    <w:rsid w:val="001A6863"/>
    <w:rsid w:val="001A7591"/>
    <w:rsid w:val="001A75B1"/>
    <w:rsid w:val="001A7B06"/>
    <w:rsid w:val="001B0366"/>
    <w:rsid w:val="001B0444"/>
    <w:rsid w:val="001B096B"/>
    <w:rsid w:val="001B0F9F"/>
    <w:rsid w:val="001B123C"/>
    <w:rsid w:val="001B19D8"/>
    <w:rsid w:val="001B1A0D"/>
    <w:rsid w:val="001B1BF1"/>
    <w:rsid w:val="001B2456"/>
    <w:rsid w:val="001B449C"/>
    <w:rsid w:val="001B4AA2"/>
    <w:rsid w:val="001B4ADE"/>
    <w:rsid w:val="001B5530"/>
    <w:rsid w:val="001B5EF8"/>
    <w:rsid w:val="001B5F4C"/>
    <w:rsid w:val="001B71E8"/>
    <w:rsid w:val="001C07C6"/>
    <w:rsid w:val="001C15C9"/>
    <w:rsid w:val="001C19CD"/>
    <w:rsid w:val="001C22D5"/>
    <w:rsid w:val="001C2515"/>
    <w:rsid w:val="001C26FB"/>
    <w:rsid w:val="001C33C1"/>
    <w:rsid w:val="001C3801"/>
    <w:rsid w:val="001C3E30"/>
    <w:rsid w:val="001C3E5C"/>
    <w:rsid w:val="001C5072"/>
    <w:rsid w:val="001C5B2A"/>
    <w:rsid w:val="001C5DCD"/>
    <w:rsid w:val="001C600B"/>
    <w:rsid w:val="001C6476"/>
    <w:rsid w:val="001C6898"/>
    <w:rsid w:val="001C6DD8"/>
    <w:rsid w:val="001C7C7B"/>
    <w:rsid w:val="001D068D"/>
    <w:rsid w:val="001D12D1"/>
    <w:rsid w:val="001D15DF"/>
    <w:rsid w:val="001D2EEE"/>
    <w:rsid w:val="001D30F3"/>
    <w:rsid w:val="001D31A0"/>
    <w:rsid w:val="001D338E"/>
    <w:rsid w:val="001D56E9"/>
    <w:rsid w:val="001D65AC"/>
    <w:rsid w:val="001D716B"/>
    <w:rsid w:val="001D796A"/>
    <w:rsid w:val="001D7A84"/>
    <w:rsid w:val="001D7C79"/>
    <w:rsid w:val="001E003B"/>
    <w:rsid w:val="001E1CC4"/>
    <w:rsid w:val="001E1D38"/>
    <w:rsid w:val="001E28A0"/>
    <w:rsid w:val="001E320D"/>
    <w:rsid w:val="001E3FFE"/>
    <w:rsid w:val="001E4258"/>
    <w:rsid w:val="001E5140"/>
    <w:rsid w:val="001E5D6A"/>
    <w:rsid w:val="001E600E"/>
    <w:rsid w:val="001E6A94"/>
    <w:rsid w:val="001E70FB"/>
    <w:rsid w:val="001E780A"/>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B"/>
    <w:rsid w:val="002315A0"/>
    <w:rsid w:val="00231748"/>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6001"/>
    <w:rsid w:val="00246E0D"/>
    <w:rsid w:val="00247712"/>
    <w:rsid w:val="00250A9E"/>
    <w:rsid w:val="00250EC6"/>
    <w:rsid w:val="002515C7"/>
    <w:rsid w:val="00251866"/>
    <w:rsid w:val="00251A9F"/>
    <w:rsid w:val="00251ABD"/>
    <w:rsid w:val="00252492"/>
    <w:rsid w:val="00252B35"/>
    <w:rsid w:val="00253070"/>
    <w:rsid w:val="0025316D"/>
    <w:rsid w:val="00253A02"/>
    <w:rsid w:val="00253B81"/>
    <w:rsid w:val="002540D8"/>
    <w:rsid w:val="002544AA"/>
    <w:rsid w:val="00254AE9"/>
    <w:rsid w:val="002554DE"/>
    <w:rsid w:val="00255575"/>
    <w:rsid w:val="00255E11"/>
    <w:rsid w:val="00255EA6"/>
    <w:rsid w:val="00256835"/>
    <w:rsid w:val="002569F0"/>
    <w:rsid w:val="00256C01"/>
    <w:rsid w:val="00256D3E"/>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DB6"/>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B4F"/>
    <w:rsid w:val="00280F3D"/>
    <w:rsid w:val="0028106A"/>
    <w:rsid w:val="002815C0"/>
    <w:rsid w:val="00281EB4"/>
    <w:rsid w:val="00282E03"/>
    <w:rsid w:val="0028308E"/>
    <w:rsid w:val="002834E9"/>
    <w:rsid w:val="00283A52"/>
    <w:rsid w:val="00283C5E"/>
    <w:rsid w:val="00283E26"/>
    <w:rsid w:val="002840DD"/>
    <w:rsid w:val="0028428F"/>
    <w:rsid w:val="00284CFC"/>
    <w:rsid w:val="00285832"/>
    <w:rsid w:val="00285969"/>
    <w:rsid w:val="0028663B"/>
    <w:rsid w:val="00286CEC"/>
    <w:rsid w:val="002870F9"/>
    <w:rsid w:val="002871A9"/>
    <w:rsid w:val="00287505"/>
    <w:rsid w:val="002879EB"/>
    <w:rsid w:val="00287BDB"/>
    <w:rsid w:val="0029031D"/>
    <w:rsid w:val="00290781"/>
    <w:rsid w:val="00291454"/>
    <w:rsid w:val="00291470"/>
    <w:rsid w:val="00291784"/>
    <w:rsid w:val="00291CF4"/>
    <w:rsid w:val="002920DF"/>
    <w:rsid w:val="002929BB"/>
    <w:rsid w:val="00294238"/>
    <w:rsid w:val="00294368"/>
    <w:rsid w:val="00294B78"/>
    <w:rsid w:val="00295416"/>
    <w:rsid w:val="002956FB"/>
    <w:rsid w:val="00295949"/>
    <w:rsid w:val="00295D7C"/>
    <w:rsid w:val="0029624A"/>
    <w:rsid w:val="00296922"/>
    <w:rsid w:val="00296FAA"/>
    <w:rsid w:val="00297098"/>
    <w:rsid w:val="00297B2A"/>
    <w:rsid w:val="002A05D4"/>
    <w:rsid w:val="002A06DB"/>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24B4"/>
    <w:rsid w:val="002C2B3A"/>
    <w:rsid w:val="002C2B87"/>
    <w:rsid w:val="002C3793"/>
    <w:rsid w:val="002C3CF4"/>
    <w:rsid w:val="002C441A"/>
    <w:rsid w:val="002C4A73"/>
    <w:rsid w:val="002C4B84"/>
    <w:rsid w:val="002C4C0C"/>
    <w:rsid w:val="002C5016"/>
    <w:rsid w:val="002C5C2F"/>
    <w:rsid w:val="002C5D0F"/>
    <w:rsid w:val="002C60B9"/>
    <w:rsid w:val="002C6F77"/>
    <w:rsid w:val="002C704D"/>
    <w:rsid w:val="002C7102"/>
    <w:rsid w:val="002D0845"/>
    <w:rsid w:val="002D0933"/>
    <w:rsid w:val="002D19BB"/>
    <w:rsid w:val="002D1A9B"/>
    <w:rsid w:val="002D20F8"/>
    <w:rsid w:val="002D22BD"/>
    <w:rsid w:val="002D22C5"/>
    <w:rsid w:val="002D233E"/>
    <w:rsid w:val="002D302A"/>
    <w:rsid w:val="002D36C6"/>
    <w:rsid w:val="002D37C1"/>
    <w:rsid w:val="002D444B"/>
    <w:rsid w:val="002D46B4"/>
    <w:rsid w:val="002D4A45"/>
    <w:rsid w:val="002D4B42"/>
    <w:rsid w:val="002D4B43"/>
    <w:rsid w:val="002D4BC1"/>
    <w:rsid w:val="002D5A1B"/>
    <w:rsid w:val="002D64CE"/>
    <w:rsid w:val="002D65BC"/>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F0073"/>
    <w:rsid w:val="002F1C67"/>
    <w:rsid w:val="002F2077"/>
    <w:rsid w:val="002F240B"/>
    <w:rsid w:val="002F27DE"/>
    <w:rsid w:val="002F2F50"/>
    <w:rsid w:val="002F2FBC"/>
    <w:rsid w:val="002F33EC"/>
    <w:rsid w:val="002F34E3"/>
    <w:rsid w:val="002F3601"/>
    <w:rsid w:val="002F3C19"/>
    <w:rsid w:val="002F3E4E"/>
    <w:rsid w:val="002F40E2"/>
    <w:rsid w:val="002F45F6"/>
    <w:rsid w:val="002F5A6F"/>
    <w:rsid w:val="002F692F"/>
    <w:rsid w:val="002F7575"/>
    <w:rsid w:val="002F7961"/>
    <w:rsid w:val="002F7B66"/>
    <w:rsid w:val="002F7C8C"/>
    <w:rsid w:val="00300CB4"/>
    <w:rsid w:val="00300E24"/>
    <w:rsid w:val="003033BA"/>
    <w:rsid w:val="00303C19"/>
    <w:rsid w:val="003043A3"/>
    <w:rsid w:val="00304BD4"/>
    <w:rsid w:val="0030500A"/>
    <w:rsid w:val="003052EB"/>
    <w:rsid w:val="0030575F"/>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4CA8"/>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0F55"/>
    <w:rsid w:val="0032137B"/>
    <w:rsid w:val="00321BD6"/>
    <w:rsid w:val="00321FA3"/>
    <w:rsid w:val="00322342"/>
    <w:rsid w:val="003227D3"/>
    <w:rsid w:val="00322937"/>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382"/>
    <w:rsid w:val="00332453"/>
    <w:rsid w:val="0033251B"/>
    <w:rsid w:val="00333712"/>
    <w:rsid w:val="00333A88"/>
    <w:rsid w:val="00334C39"/>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99A"/>
    <w:rsid w:val="00343EFB"/>
    <w:rsid w:val="00344760"/>
    <w:rsid w:val="003454E8"/>
    <w:rsid w:val="00345574"/>
    <w:rsid w:val="0034680A"/>
    <w:rsid w:val="00346C62"/>
    <w:rsid w:val="00347202"/>
    <w:rsid w:val="0034778E"/>
    <w:rsid w:val="00347A5A"/>
    <w:rsid w:val="003501E2"/>
    <w:rsid w:val="00351716"/>
    <w:rsid w:val="00351E10"/>
    <w:rsid w:val="0035213C"/>
    <w:rsid w:val="003533F4"/>
    <w:rsid w:val="003536F6"/>
    <w:rsid w:val="00353DD5"/>
    <w:rsid w:val="00355131"/>
    <w:rsid w:val="00355F74"/>
    <w:rsid w:val="003560DB"/>
    <w:rsid w:val="003564DB"/>
    <w:rsid w:val="00356F87"/>
    <w:rsid w:val="00357198"/>
    <w:rsid w:val="00357E83"/>
    <w:rsid w:val="00360CF3"/>
    <w:rsid w:val="0036137C"/>
    <w:rsid w:val="00361A59"/>
    <w:rsid w:val="00361ED9"/>
    <w:rsid w:val="003622B1"/>
    <w:rsid w:val="00363348"/>
    <w:rsid w:val="003637D4"/>
    <w:rsid w:val="00363857"/>
    <w:rsid w:val="00363D59"/>
    <w:rsid w:val="003640F7"/>
    <w:rsid w:val="00364E04"/>
    <w:rsid w:val="00365D3A"/>
    <w:rsid w:val="003664FF"/>
    <w:rsid w:val="00366BD2"/>
    <w:rsid w:val="003670B8"/>
    <w:rsid w:val="003704A3"/>
    <w:rsid w:val="0037058F"/>
    <w:rsid w:val="003706F2"/>
    <w:rsid w:val="003707CB"/>
    <w:rsid w:val="0037124F"/>
    <w:rsid w:val="00372241"/>
    <w:rsid w:val="00373827"/>
    <w:rsid w:val="0037401C"/>
    <w:rsid w:val="0037507B"/>
    <w:rsid w:val="00375C7C"/>
    <w:rsid w:val="00375DA0"/>
    <w:rsid w:val="00377027"/>
    <w:rsid w:val="00377135"/>
    <w:rsid w:val="00380272"/>
    <w:rsid w:val="003805DB"/>
    <w:rsid w:val="0038152A"/>
    <w:rsid w:val="00382BAD"/>
    <w:rsid w:val="003835FD"/>
    <w:rsid w:val="00384DF1"/>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878"/>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52B"/>
    <w:rsid w:val="003A493F"/>
    <w:rsid w:val="003A4A8E"/>
    <w:rsid w:val="003A563C"/>
    <w:rsid w:val="003A581E"/>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4317"/>
    <w:rsid w:val="003C4C1F"/>
    <w:rsid w:val="003C4D9F"/>
    <w:rsid w:val="003C4F32"/>
    <w:rsid w:val="003C5247"/>
    <w:rsid w:val="003C5E8A"/>
    <w:rsid w:val="003C622C"/>
    <w:rsid w:val="003C6505"/>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60E"/>
    <w:rsid w:val="003F0F7F"/>
    <w:rsid w:val="003F115C"/>
    <w:rsid w:val="003F153A"/>
    <w:rsid w:val="003F1767"/>
    <w:rsid w:val="003F1C15"/>
    <w:rsid w:val="003F23D1"/>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202B"/>
    <w:rsid w:val="00402DE1"/>
    <w:rsid w:val="00402EEB"/>
    <w:rsid w:val="004037C2"/>
    <w:rsid w:val="00404041"/>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2D2"/>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639C"/>
    <w:rsid w:val="00426FB4"/>
    <w:rsid w:val="004273FA"/>
    <w:rsid w:val="004275A7"/>
    <w:rsid w:val="00430186"/>
    <w:rsid w:val="00430F17"/>
    <w:rsid w:val="0043269A"/>
    <w:rsid w:val="004333C2"/>
    <w:rsid w:val="00433415"/>
    <w:rsid w:val="00434787"/>
    <w:rsid w:val="00434C13"/>
    <w:rsid w:val="00435128"/>
    <w:rsid w:val="0043549E"/>
    <w:rsid w:val="00435703"/>
    <w:rsid w:val="00435BD5"/>
    <w:rsid w:val="00436323"/>
    <w:rsid w:val="0043683F"/>
    <w:rsid w:val="00436B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77"/>
    <w:rsid w:val="0044374D"/>
    <w:rsid w:val="00443B55"/>
    <w:rsid w:val="00443D27"/>
    <w:rsid w:val="00444038"/>
    <w:rsid w:val="0044500B"/>
    <w:rsid w:val="00446037"/>
    <w:rsid w:val="004463DB"/>
    <w:rsid w:val="0044642F"/>
    <w:rsid w:val="0044772C"/>
    <w:rsid w:val="00447C11"/>
    <w:rsid w:val="00450846"/>
    <w:rsid w:val="00451023"/>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70A6A"/>
    <w:rsid w:val="00470D73"/>
    <w:rsid w:val="00470D92"/>
    <w:rsid w:val="00470E92"/>
    <w:rsid w:val="0047179C"/>
    <w:rsid w:val="00471DF7"/>
    <w:rsid w:val="004721A4"/>
    <w:rsid w:val="004734CF"/>
    <w:rsid w:val="004746EA"/>
    <w:rsid w:val="0047586C"/>
    <w:rsid w:val="00475C5A"/>
    <w:rsid w:val="00475C9C"/>
    <w:rsid w:val="0047676B"/>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4F0F"/>
    <w:rsid w:val="00484F40"/>
    <w:rsid w:val="0048540C"/>
    <w:rsid w:val="00485996"/>
    <w:rsid w:val="004861B4"/>
    <w:rsid w:val="00486226"/>
    <w:rsid w:val="00486BD0"/>
    <w:rsid w:val="00486D00"/>
    <w:rsid w:val="00486FF7"/>
    <w:rsid w:val="00487263"/>
    <w:rsid w:val="0048734F"/>
    <w:rsid w:val="0048742E"/>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26F"/>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22F7"/>
    <w:rsid w:val="004C2A3E"/>
    <w:rsid w:val="004C2B27"/>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F1C"/>
    <w:rsid w:val="004E25C7"/>
    <w:rsid w:val="004E2A35"/>
    <w:rsid w:val="004E40CE"/>
    <w:rsid w:val="004E5736"/>
    <w:rsid w:val="004E5A3C"/>
    <w:rsid w:val="004E5B36"/>
    <w:rsid w:val="004E5D5D"/>
    <w:rsid w:val="004E6045"/>
    <w:rsid w:val="004E6F43"/>
    <w:rsid w:val="004E7200"/>
    <w:rsid w:val="004E787E"/>
    <w:rsid w:val="004E7AA1"/>
    <w:rsid w:val="004F0960"/>
    <w:rsid w:val="004F0A5C"/>
    <w:rsid w:val="004F0B4D"/>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E74"/>
    <w:rsid w:val="0050160F"/>
    <w:rsid w:val="0050273B"/>
    <w:rsid w:val="0050284E"/>
    <w:rsid w:val="00502911"/>
    <w:rsid w:val="0050306F"/>
    <w:rsid w:val="00503EC8"/>
    <w:rsid w:val="005055E4"/>
    <w:rsid w:val="00505DCB"/>
    <w:rsid w:val="005075CA"/>
    <w:rsid w:val="00507B06"/>
    <w:rsid w:val="00507BF1"/>
    <w:rsid w:val="00510415"/>
    <w:rsid w:val="0051074C"/>
    <w:rsid w:val="00510DE9"/>
    <w:rsid w:val="00510E2B"/>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4E5"/>
    <w:rsid w:val="00523903"/>
    <w:rsid w:val="005239B6"/>
    <w:rsid w:val="00523C45"/>
    <w:rsid w:val="00523EE1"/>
    <w:rsid w:val="00523F41"/>
    <w:rsid w:val="00524165"/>
    <w:rsid w:val="005246E7"/>
    <w:rsid w:val="00524B08"/>
    <w:rsid w:val="00524C38"/>
    <w:rsid w:val="00524FD2"/>
    <w:rsid w:val="00525621"/>
    <w:rsid w:val="00526431"/>
    <w:rsid w:val="00526BBF"/>
    <w:rsid w:val="00527532"/>
    <w:rsid w:val="00527DEB"/>
    <w:rsid w:val="00527E57"/>
    <w:rsid w:val="00527F2C"/>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35B9"/>
    <w:rsid w:val="00554D57"/>
    <w:rsid w:val="005551AA"/>
    <w:rsid w:val="0055604C"/>
    <w:rsid w:val="005564CA"/>
    <w:rsid w:val="005568EA"/>
    <w:rsid w:val="00557140"/>
    <w:rsid w:val="0055715A"/>
    <w:rsid w:val="0055729E"/>
    <w:rsid w:val="00557984"/>
    <w:rsid w:val="00557A3F"/>
    <w:rsid w:val="00557DED"/>
    <w:rsid w:val="005609CE"/>
    <w:rsid w:val="00560C87"/>
    <w:rsid w:val="00560F51"/>
    <w:rsid w:val="00561249"/>
    <w:rsid w:val="0056182B"/>
    <w:rsid w:val="00561A88"/>
    <w:rsid w:val="00561AF3"/>
    <w:rsid w:val="00561E0B"/>
    <w:rsid w:val="00562141"/>
    <w:rsid w:val="00562D86"/>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8040C"/>
    <w:rsid w:val="00580D6D"/>
    <w:rsid w:val="00580E1E"/>
    <w:rsid w:val="005813DE"/>
    <w:rsid w:val="00581796"/>
    <w:rsid w:val="00581B45"/>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C03"/>
    <w:rsid w:val="00591E2A"/>
    <w:rsid w:val="005923C4"/>
    <w:rsid w:val="005938C3"/>
    <w:rsid w:val="00593EA2"/>
    <w:rsid w:val="00593F75"/>
    <w:rsid w:val="005940A0"/>
    <w:rsid w:val="0059429A"/>
    <w:rsid w:val="00594A54"/>
    <w:rsid w:val="00594CBE"/>
    <w:rsid w:val="00595AF6"/>
    <w:rsid w:val="00595BC4"/>
    <w:rsid w:val="00596AF7"/>
    <w:rsid w:val="00596CCE"/>
    <w:rsid w:val="005A1976"/>
    <w:rsid w:val="005A2120"/>
    <w:rsid w:val="005A2501"/>
    <w:rsid w:val="005A2C80"/>
    <w:rsid w:val="005A3066"/>
    <w:rsid w:val="005A3B35"/>
    <w:rsid w:val="005A3C4B"/>
    <w:rsid w:val="005A3E5A"/>
    <w:rsid w:val="005A43F3"/>
    <w:rsid w:val="005A496F"/>
    <w:rsid w:val="005A4A56"/>
    <w:rsid w:val="005A4F69"/>
    <w:rsid w:val="005A5608"/>
    <w:rsid w:val="005A5A3D"/>
    <w:rsid w:val="005A6035"/>
    <w:rsid w:val="005A6B75"/>
    <w:rsid w:val="005A6E00"/>
    <w:rsid w:val="005A7157"/>
    <w:rsid w:val="005A718A"/>
    <w:rsid w:val="005A7885"/>
    <w:rsid w:val="005B12B2"/>
    <w:rsid w:val="005B143B"/>
    <w:rsid w:val="005B17E7"/>
    <w:rsid w:val="005B19BD"/>
    <w:rsid w:val="005B1E45"/>
    <w:rsid w:val="005B21C4"/>
    <w:rsid w:val="005B2A28"/>
    <w:rsid w:val="005B3621"/>
    <w:rsid w:val="005B3EBE"/>
    <w:rsid w:val="005B4948"/>
    <w:rsid w:val="005B501D"/>
    <w:rsid w:val="005B54CC"/>
    <w:rsid w:val="005B74AD"/>
    <w:rsid w:val="005B7E96"/>
    <w:rsid w:val="005C0297"/>
    <w:rsid w:val="005C0429"/>
    <w:rsid w:val="005C084F"/>
    <w:rsid w:val="005C0E92"/>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624E"/>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1595"/>
    <w:rsid w:val="005E1F1D"/>
    <w:rsid w:val="005E273D"/>
    <w:rsid w:val="005E3278"/>
    <w:rsid w:val="005E363B"/>
    <w:rsid w:val="005E3736"/>
    <w:rsid w:val="005E38E9"/>
    <w:rsid w:val="005E4B72"/>
    <w:rsid w:val="005E52C9"/>
    <w:rsid w:val="005F02D8"/>
    <w:rsid w:val="005F1D88"/>
    <w:rsid w:val="005F305B"/>
    <w:rsid w:val="005F3361"/>
    <w:rsid w:val="005F3AC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473"/>
    <w:rsid w:val="0060139A"/>
    <w:rsid w:val="006013C9"/>
    <w:rsid w:val="00601B66"/>
    <w:rsid w:val="00601FC4"/>
    <w:rsid w:val="00602B45"/>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33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FD"/>
    <w:rsid w:val="00630845"/>
    <w:rsid w:val="00631059"/>
    <w:rsid w:val="006310C3"/>
    <w:rsid w:val="00631245"/>
    <w:rsid w:val="006312E1"/>
    <w:rsid w:val="0063161E"/>
    <w:rsid w:val="00631BB5"/>
    <w:rsid w:val="00631DD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0004"/>
    <w:rsid w:val="00641078"/>
    <w:rsid w:val="00641242"/>
    <w:rsid w:val="00642A32"/>
    <w:rsid w:val="00642D7A"/>
    <w:rsid w:val="006433D5"/>
    <w:rsid w:val="00643412"/>
    <w:rsid w:val="00645CEB"/>
    <w:rsid w:val="00646B20"/>
    <w:rsid w:val="00646D0F"/>
    <w:rsid w:val="00646D57"/>
    <w:rsid w:val="00646D69"/>
    <w:rsid w:val="00647A36"/>
    <w:rsid w:val="00647DCC"/>
    <w:rsid w:val="00647EFA"/>
    <w:rsid w:val="00647F14"/>
    <w:rsid w:val="00650027"/>
    <w:rsid w:val="00650BBF"/>
    <w:rsid w:val="00650E89"/>
    <w:rsid w:val="00651B9C"/>
    <w:rsid w:val="00651C47"/>
    <w:rsid w:val="00651D91"/>
    <w:rsid w:val="00652E70"/>
    <w:rsid w:val="0065339A"/>
    <w:rsid w:val="00653469"/>
    <w:rsid w:val="00653A14"/>
    <w:rsid w:val="0065443A"/>
    <w:rsid w:val="00654A38"/>
    <w:rsid w:val="00655301"/>
    <w:rsid w:val="00655371"/>
    <w:rsid w:val="00655507"/>
    <w:rsid w:val="00656855"/>
    <w:rsid w:val="00656C4B"/>
    <w:rsid w:val="00656EEE"/>
    <w:rsid w:val="006572A7"/>
    <w:rsid w:val="006573EA"/>
    <w:rsid w:val="006606A4"/>
    <w:rsid w:val="00660748"/>
    <w:rsid w:val="00661029"/>
    <w:rsid w:val="006610C3"/>
    <w:rsid w:val="0066135A"/>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67F76"/>
    <w:rsid w:val="0067064C"/>
    <w:rsid w:val="00670B20"/>
    <w:rsid w:val="00670E12"/>
    <w:rsid w:val="00670F27"/>
    <w:rsid w:val="00671E42"/>
    <w:rsid w:val="0067271C"/>
    <w:rsid w:val="00672E80"/>
    <w:rsid w:val="0067333F"/>
    <w:rsid w:val="006739E4"/>
    <w:rsid w:val="00673DD7"/>
    <w:rsid w:val="00673ECF"/>
    <w:rsid w:val="0067426B"/>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90780"/>
    <w:rsid w:val="00690839"/>
    <w:rsid w:val="006908DB"/>
    <w:rsid w:val="00690DE9"/>
    <w:rsid w:val="00691563"/>
    <w:rsid w:val="00691DE9"/>
    <w:rsid w:val="00691EAA"/>
    <w:rsid w:val="00692245"/>
    <w:rsid w:val="00692745"/>
    <w:rsid w:val="00692FCD"/>
    <w:rsid w:val="00692FFA"/>
    <w:rsid w:val="00693772"/>
    <w:rsid w:val="00693984"/>
    <w:rsid w:val="00693B77"/>
    <w:rsid w:val="00694160"/>
    <w:rsid w:val="006959A5"/>
    <w:rsid w:val="00695C0C"/>
    <w:rsid w:val="00696736"/>
    <w:rsid w:val="00696A05"/>
    <w:rsid w:val="00697665"/>
    <w:rsid w:val="006978E1"/>
    <w:rsid w:val="00697C9A"/>
    <w:rsid w:val="00697E68"/>
    <w:rsid w:val="00697FC1"/>
    <w:rsid w:val="006A0274"/>
    <w:rsid w:val="006A112B"/>
    <w:rsid w:val="006A27BC"/>
    <w:rsid w:val="006A2948"/>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9D0"/>
    <w:rsid w:val="006A7CB5"/>
    <w:rsid w:val="006A7FD0"/>
    <w:rsid w:val="006B025C"/>
    <w:rsid w:val="006B08ED"/>
    <w:rsid w:val="006B2534"/>
    <w:rsid w:val="006B28DE"/>
    <w:rsid w:val="006B2CB2"/>
    <w:rsid w:val="006B347D"/>
    <w:rsid w:val="006B3E19"/>
    <w:rsid w:val="006B3EB4"/>
    <w:rsid w:val="006B4488"/>
    <w:rsid w:val="006B50C4"/>
    <w:rsid w:val="006B53AE"/>
    <w:rsid w:val="006B58B4"/>
    <w:rsid w:val="006B67AC"/>
    <w:rsid w:val="006B786A"/>
    <w:rsid w:val="006B7E4E"/>
    <w:rsid w:val="006C003A"/>
    <w:rsid w:val="006C0630"/>
    <w:rsid w:val="006C0AB9"/>
    <w:rsid w:val="006C107C"/>
    <w:rsid w:val="006C189C"/>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0E05"/>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C34"/>
    <w:rsid w:val="006E359B"/>
    <w:rsid w:val="006E39D1"/>
    <w:rsid w:val="006E3B05"/>
    <w:rsid w:val="006E437F"/>
    <w:rsid w:val="006E4D5B"/>
    <w:rsid w:val="006E602F"/>
    <w:rsid w:val="006E6720"/>
    <w:rsid w:val="006E7275"/>
    <w:rsid w:val="006E77B8"/>
    <w:rsid w:val="006E77DF"/>
    <w:rsid w:val="006E7AAF"/>
    <w:rsid w:val="006F0F74"/>
    <w:rsid w:val="006F13BA"/>
    <w:rsid w:val="006F15CC"/>
    <w:rsid w:val="006F15F6"/>
    <w:rsid w:val="006F275F"/>
    <w:rsid w:val="006F2AE6"/>
    <w:rsid w:val="006F36EA"/>
    <w:rsid w:val="006F3D9B"/>
    <w:rsid w:val="006F4147"/>
    <w:rsid w:val="006F4315"/>
    <w:rsid w:val="006F4CB0"/>
    <w:rsid w:val="006F4F78"/>
    <w:rsid w:val="006F547E"/>
    <w:rsid w:val="006F5CCF"/>
    <w:rsid w:val="006F6469"/>
    <w:rsid w:val="006F6F04"/>
    <w:rsid w:val="006F71F5"/>
    <w:rsid w:val="007000A6"/>
    <w:rsid w:val="00700610"/>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2C51"/>
    <w:rsid w:val="00723040"/>
    <w:rsid w:val="00723251"/>
    <w:rsid w:val="00723475"/>
    <w:rsid w:val="007236C4"/>
    <w:rsid w:val="00724635"/>
    <w:rsid w:val="00724F21"/>
    <w:rsid w:val="00725134"/>
    <w:rsid w:val="0072554B"/>
    <w:rsid w:val="00725AFD"/>
    <w:rsid w:val="00726603"/>
    <w:rsid w:val="007266AC"/>
    <w:rsid w:val="00727B1D"/>
    <w:rsid w:val="00727DDC"/>
    <w:rsid w:val="00730CD6"/>
    <w:rsid w:val="00730F74"/>
    <w:rsid w:val="0073114B"/>
    <w:rsid w:val="00731380"/>
    <w:rsid w:val="00732029"/>
    <w:rsid w:val="00732151"/>
    <w:rsid w:val="007341D8"/>
    <w:rsid w:val="00734952"/>
    <w:rsid w:val="00734990"/>
    <w:rsid w:val="00734FF5"/>
    <w:rsid w:val="00735B78"/>
    <w:rsid w:val="00735DA7"/>
    <w:rsid w:val="00736700"/>
    <w:rsid w:val="007368B4"/>
    <w:rsid w:val="00737229"/>
    <w:rsid w:val="007378E0"/>
    <w:rsid w:val="00740529"/>
    <w:rsid w:val="00740876"/>
    <w:rsid w:val="00740F18"/>
    <w:rsid w:val="00741358"/>
    <w:rsid w:val="00741626"/>
    <w:rsid w:val="00742332"/>
    <w:rsid w:val="00742886"/>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A27"/>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5887"/>
    <w:rsid w:val="007963F6"/>
    <w:rsid w:val="00796DC8"/>
    <w:rsid w:val="00796E80"/>
    <w:rsid w:val="0079744F"/>
    <w:rsid w:val="0079776F"/>
    <w:rsid w:val="007979AD"/>
    <w:rsid w:val="00797A9C"/>
    <w:rsid w:val="007A0EAB"/>
    <w:rsid w:val="007A2341"/>
    <w:rsid w:val="007A2754"/>
    <w:rsid w:val="007A38A1"/>
    <w:rsid w:val="007A3BBE"/>
    <w:rsid w:val="007A4766"/>
    <w:rsid w:val="007A5947"/>
    <w:rsid w:val="007A717B"/>
    <w:rsid w:val="007A7714"/>
    <w:rsid w:val="007B0313"/>
    <w:rsid w:val="007B0487"/>
    <w:rsid w:val="007B0854"/>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F3B"/>
    <w:rsid w:val="007C4241"/>
    <w:rsid w:val="007C425E"/>
    <w:rsid w:val="007C55FF"/>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7A62"/>
    <w:rsid w:val="007D7B1C"/>
    <w:rsid w:val="007D7CFC"/>
    <w:rsid w:val="007E0812"/>
    <w:rsid w:val="007E18DF"/>
    <w:rsid w:val="007E2C36"/>
    <w:rsid w:val="007E350D"/>
    <w:rsid w:val="007E377C"/>
    <w:rsid w:val="007E39C8"/>
    <w:rsid w:val="007E3ACA"/>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D9D"/>
    <w:rsid w:val="00805898"/>
    <w:rsid w:val="008059C6"/>
    <w:rsid w:val="00805AD7"/>
    <w:rsid w:val="00805BD6"/>
    <w:rsid w:val="00805CEF"/>
    <w:rsid w:val="00805DE3"/>
    <w:rsid w:val="00806035"/>
    <w:rsid w:val="00807C35"/>
    <w:rsid w:val="00807F35"/>
    <w:rsid w:val="00807F69"/>
    <w:rsid w:val="008100F7"/>
    <w:rsid w:val="00810206"/>
    <w:rsid w:val="0081022B"/>
    <w:rsid w:val="00811898"/>
    <w:rsid w:val="00811CDC"/>
    <w:rsid w:val="008124D8"/>
    <w:rsid w:val="00813A41"/>
    <w:rsid w:val="00813A7B"/>
    <w:rsid w:val="00813F04"/>
    <w:rsid w:val="0081513E"/>
    <w:rsid w:val="00815DA5"/>
    <w:rsid w:val="00816221"/>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B43"/>
    <w:rsid w:val="0082633B"/>
    <w:rsid w:val="008268FB"/>
    <w:rsid w:val="00826F71"/>
    <w:rsid w:val="00827CC0"/>
    <w:rsid w:val="008301D8"/>
    <w:rsid w:val="008306AB"/>
    <w:rsid w:val="00831026"/>
    <w:rsid w:val="0083119B"/>
    <w:rsid w:val="00831BAE"/>
    <w:rsid w:val="00832216"/>
    <w:rsid w:val="008328D4"/>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29CC"/>
    <w:rsid w:val="00843615"/>
    <w:rsid w:val="00843698"/>
    <w:rsid w:val="00843A4B"/>
    <w:rsid w:val="00843B57"/>
    <w:rsid w:val="00843B60"/>
    <w:rsid w:val="00843D33"/>
    <w:rsid w:val="008444F0"/>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304C"/>
    <w:rsid w:val="008536BB"/>
    <w:rsid w:val="00853A3C"/>
    <w:rsid w:val="008548CA"/>
    <w:rsid w:val="00856C06"/>
    <w:rsid w:val="00856F87"/>
    <w:rsid w:val="0085790B"/>
    <w:rsid w:val="008579B9"/>
    <w:rsid w:val="00857C95"/>
    <w:rsid w:val="00857E78"/>
    <w:rsid w:val="00860AEF"/>
    <w:rsid w:val="00860B18"/>
    <w:rsid w:val="00860D5E"/>
    <w:rsid w:val="0086122C"/>
    <w:rsid w:val="00861310"/>
    <w:rsid w:val="00861F53"/>
    <w:rsid w:val="008623A7"/>
    <w:rsid w:val="0086289E"/>
    <w:rsid w:val="008629CB"/>
    <w:rsid w:val="0086394E"/>
    <w:rsid w:val="00863F8A"/>
    <w:rsid w:val="00863FE3"/>
    <w:rsid w:val="008640C4"/>
    <w:rsid w:val="00864241"/>
    <w:rsid w:val="00864423"/>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34A1"/>
    <w:rsid w:val="00874607"/>
    <w:rsid w:val="008747E9"/>
    <w:rsid w:val="00874915"/>
    <w:rsid w:val="00874B89"/>
    <w:rsid w:val="00875403"/>
    <w:rsid w:val="00875434"/>
    <w:rsid w:val="00875C1F"/>
    <w:rsid w:val="00876215"/>
    <w:rsid w:val="0087646C"/>
    <w:rsid w:val="00876815"/>
    <w:rsid w:val="00876B1C"/>
    <w:rsid w:val="00877932"/>
    <w:rsid w:val="00877E1A"/>
    <w:rsid w:val="008808C7"/>
    <w:rsid w:val="0088106B"/>
    <w:rsid w:val="0088107D"/>
    <w:rsid w:val="0088187A"/>
    <w:rsid w:val="00881E64"/>
    <w:rsid w:val="00882E39"/>
    <w:rsid w:val="00883CE1"/>
    <w:rsid w:val="008850EB"/>
    <w:rsid w:val="00885228"/>
    <w:rsid w:val="008853AB"/>
    <w:rsid w:val="008857E3"/>
    <w:rsid w:val="0088662A"/>
    <w:rsid w:val="00886DF2"/>
    <w:rsid w:val="00886FB9"/>
    <w:rsid w:val="00887057"/>
    <w:rsid w:val="00887080"/>
    <w:rsid w:val="00887C79"/>
    <w:rsid w:val="0089107B"/>
    <w:rsid w:val="008913CC"/>
    <w:rsid w:val="008914AE"/>
    <w:rsid w:val="008919CF"/>
    <w:rsid w:val="00891F84"/>
    <w:rsid w:val="00891FC3"/>
    <w:rsid w:val="008928EC"/>
    <w:rsid w:val="00892E5D"/>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63F"/>
    <w:rsid w:val="008B3045"/>
    <w:rsid w:val="008B3146"/>
    <w:rsid w:val="008B47A6"/>
    <w:rsid w:val="008B5C7C"/>
    <w:rsid w:val="008B63FE"/>
    <w:rsid w:val="008B672C"/>
    <w:rsid w:val="008B7781"/>
    <w:rsid w:val="008C065F"/>
    <w:rsid w:val="008C0743"/>
    <w:rsid w:val="008C0B4C"/>
    <w:rsid w:val="008C11F0"/>
    <w:rsid w:val="008C165C"/>
    <w:rsid w:val="008C1DBA"/>
    <w:rsid w:val="008C24E7"/>
    <w:rsid w:val="008C2500"/>
    <w:rsid w:val="008C2CAC"/>
    <w:rsid w:val="008C3C57"/>
    <w:rsid w:val="008C3E2A"/>
    <w:rsid w:val="008C425B"/>
    <w:rsid w:val="008C45BD"/>
    <w:rsid w:val="008C4B19"/>
    <w:rsid w:val="008C4F47"/>
    <w:rsid w:val="008C5194"/>
    <w:rsid w:val="008C62D4"/>
    <w:rsid w:val="008C6B0C"/>
    <w:rsid w:val="008C6B89"/>
    <w:rsid w:val="008C6B97"/>
    <w:rsid w:val="008C7EF7"/>
    <w:rsid w:val="008D18AA"/>
    <w:rsid w:val="008D1A2A"/>
    <w:rsid w:val="008D1ADE"/>
    <w:rsid w:val="008D2986"/>
    <w:rsid w:val="008D35D9"/>
    <w:rsid w:val="008D3B36"/>
    <w:rsid w:val="008D3B85"/>
    <w:rsid w:val="008D462D"/>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E7EAA"/>
    <w:rsid w:val="008F1056"/>
    <w:rsid w:val="008F1E01"/>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71AB"/>
    <w:rsid w:val="008F7905"/>
    <w:rsid w:val="008F7989"/>
    <w:rsid w:val="008F7A7E"/>
    <w:rsid w:val="00901F1D"/>
    <w:rsid w:val="009028E8"/>
    <w:rsid w:val="00902E5C"/>
    <w:rsid w:val="00903199"/>
    <w:rsid w:val="0090363E"/>
    <w:rsid w:val="00903E0D"/>
    <w:rsid w:val="009046E5"/>
    <w:rsid w:val="009047C5"/>
    <w:rsid w:val="00910683"/>
    <w:rsid w:val="00910E00"/>
    <w:rsid w:val="00910E04"/>
    <w:rsid w:val="009116CE"/>
    <w:rsid w:val="00911714"/>
    <w:rsid w:val="00911D04"/>
    <w:rsid w:val="00911EFF"/>
    <w:rsid w:val="00912294"/>
    <w:rsid w:val="0091310F"/>
    <w:rsid w:val="009136D4"/>
    <w:rsid w:val="0091480F"/>
    <w:rsid w:val="00914B9A"/>
    <w:rsid w:val="00914C3F"/>
    <w:rsid w:val="00914F33"/>
    <w:rsid w:val="009157E6"/>
    <w:rsid w:val="00915A9E"/>
    <w:rsid w:val="00915EFE"/>
    <w:rsid w:val="00915FCE"/>
    <w:rsid w:val="00916528"/>
    <w:rsid w:val="00916AFE"/>
    <w:rsid w:val="00916FC8"/>
    <w:rsid w:val="009170D3"/>
    <w:rsid w:val="0091759C"/>
    <w:rsid w:val="00917720"/>
    <w:rsid w:val="00920026"/>
    <w:rsid w:val="00920298"/>
    <w:rsid w:val="009203E2"/>
    <w:rsid w:val="00920F61"/>
    <w:rsid w:val="0092119E"/>
    <w:rsid w:val="00921304"/>
    <w:rsid w:val="00921395"/>
    <w:rsid w:val="00921805"/>
    <w:rsid w:val="00921E63"/>
    <w:rsid w:val="00922379"/>
    <w:rsid w:val="00922B4A"/>
    <w:rsid w:val="00923396"/>
    <w:rsid w:val="00923F56"/>
    <w:rsid w:val="009243B6"/>
    <w:rsid w:val="00924770"/>
    <w:rsid w:val="00925346"/>
    <w:rsid w:val="00925743"/>
    <w:rsid w:val="0092579F"/>
    <w:rsid w:val="00926068"/>
    <w:rsid w:val="00927DD3"/>
    <w:rsid w:val="00927E8D"/>
    <w:rsid w:val="00927F23"/>
    <w:rsid w:val="00930521"/>
    <w:rsid w:val="009307CD"/>
    <w:rsid w:val="00930BC9"/>
    <w:rsid w:val="00931364"/>
    <w:rsid w:val="00931365"/>
    <w:rsid w:val="00931451"/>
    <w:rsid w:val="009314FA"/>
    <w:rsid w:val="0093194F"/>
    <w:rsid w:val="00931BF3"/>
    <w:rsid w:val="00931C55"/>
    <w:rsid w:val="00932014"/>
    <w:rsid w:val="00933333"/>
    <w:rsid w:val="00933390"/>
    <w:rsid w:val="0093349A"/>
    <w:rsid w:val="0093352B"/>
    <w:rsid w:val="009338BA"/>
    <w:rsid w:val="00933FCB"/>
    <w:rsid w:val="00934396"/>
    <w:rsid w:val="009346C8"/>
    <w:rsid w:val="00934BEF"/>
    <w:rsid w:val="00934CEC"/>
    <w:rsid w:val="00934E69"/>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DD0"/>
    <w:rsid w:val="009433FA"/>
    <w:rsid w:val="009439B6"/>
    <w:rsid w:val="00943FCD"/>
    <w:rsid w:val="009444B4"/>
    <w:rsid w:val="00944644"/>
    <w:rsid w:val="00946A24"/>
    <w:rsid w:val="009470D4"/>
    <w:rsid w:val="00947337"/>
    <w:rsid w:val="00947E6E"/>
    <w:rsid w:val="0095041D"/>
    <w:rsid w:val="009512FA"/>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2FA0"/>
    <w:rsid w:val="00963550"/>
    <w:rsid w:val="00964138"/>
    <w:rsid w:val="0096470C"/>
    <w:rsid w:val="009648D6"/>
    <w:rsid w:val="009649AE"/>
    <w:rsid w:val="00964B3F"/>
    <w:rsid w:val="00964C98"/>
    <w:rsid w:val="00967BEF"/>
    <w:rsid w:val="00971441"/>
    <w:rsid w:val="009715D4"/>
    <w:rsid w:val="0097179A"/>
    <w:rsid w:val="009731F4"/>
    <w:rsid w:val="009732A4"/>
    <w:rsid w:val="00973C05"/>
    <w:rsid w:val="00973CFF"/>
    <w:rsid w:val="0097494E"/>
    <w:rsid w:val="00974999"/>
    <w:rsid w:val="00974B58"/>
    <w:rsid w:val="00974B94"/>
    <w:rsid w:val="00974CBD"/>
    <w:rsid w:val="00975390"/>
    <w:rsid w:val="00975445"/>
    <w:rsid w:val="009761ED"/>
    <w:rsid w:val="0098022F"/>
    <w:rsid w:val="009810DE"/>
    <w:rsid w:val="00981B91"/>
    <w:rsid w:val="009822D7"/>
    <w:rsid w:val="009827E6"/>
    <w:rsid w:val="00982F84"/>
    <w:rsid w:val="009831C3"/>
    <w:rsid w:val="0098427D"/>
    <w:rsid w:val="0098450A"/>
    <w:rsid w:val="00984567"/>
    <w:rsid w:val="00985102"/>
    <w:rsid w:val="009854BC"/>
    <w:rsid w:val="00985A66"/>
    <w:rsid w:val="0098606C"/>
    <w:rsid w:val="009865D5"/>
    <w:rsid w:val="00987123"/>
    <w:rsid w:val="009876F2"/>
    <w:rsid w:val="00987C77"/>
    <w:rsid w:val="00987F55"/>
    <w:rsid w:val="00987FDA"/>
    <w:rsid w:val="00987FED"/>
    <w:rsid w:val="00990345"/>
    <w:rsid w:val="00990701"/>
    <w:rsid w:val="0099119C"/>
    <w:rsid w:val="0099137A"/>
    <w:rsid w:val="00991CFE"/>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231D"/>
    <w:rsid w:val="009B2374"/>
    <w:rsid w:val="009B2E29"/>
    <w:rsid w:val="009B3163"/>
    <w:rsid w:val="009B35AE"/>
    <w:rsid w:val="009B422F"/>
    <w:rsid w:val="009B46BC"/>
    <w:rsid w:val="009B4D1A"/>
    <w:rsid w:val="009B519D"/>
    <w:rsid w:val="009B558B"/>
    <w:rsid w:val="009B5981"/>
    <w:rsid w:val="009B6D21"/>
    <w:rsid w:val="009B78ED"/>
    <w:rsid w:val="009C0D57"/>
    <w:rsid w:val="009C181C"/>
    <w:rsid w:val="009C1A44"/>
    <w:rsid w:val="009C1C7F"/>
    <w:rsid w:val="009C1EC7"/>
    <w:rsid w:val="009C28A2"/>
    <w:rsid w:val="009C3239"/>
    <w:rsid w:val="009C37CC"/>
    <w:rsid w:val="009C3828"/>
    <w:rsid w:val="009C3AD3"/>
    <w:rsid w:val="009C3AF4"/>
    <w:rsid w:val="009C3D2C"/>
    <w:rsid w:val="009C3E47"/>
    <w:rsid w:val="009C4428"/>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3872"/>
    <w:rsid w:val="009E476A"/>
    <w:rsid w:val="009E4E05"/>
    <w:rsid w:val="009E56FF"/>
    <w:rsid w:val="009E59A3"/>
    <w:rsid w:val="009E5CB1"/>
    <w:rsid w:val="009E5E56"/>
    <w:rsid w:val="009E6192"/>
    <w:rsid w:val="009E61EA"/>
    <w:rsid w:val="009E6990"/>
    <w:rsid w:val="009E6FEE"/>
    <w:rsid w:val="009E7924"/>
    <w:rsid w:val="009F00B9"/>
    <w:rsid w:val="009F060F"/>
    <w:rsid w:val="009F0781"/>
    <w:rsid w:val="009F0850"/>
    <w:rsid w:val="009F1BDF"/>
    <w:rsid w:val="009F1EAE"/>
    <w:rsid w:val="009F369D"/>
    <w:rsid w:val="009F36FE"/>
    <w:rsid w:val="009F3D92"/>
    <w:rsid w:val="009F4990"/>
    <w:rsid w:val="009F4C1D"/>
    <w:rsid w:val="009F4F25"/>
    <w:rsid w:val="009F59C2"/>
    <w:rsid w:val="009F5A2A"/>
    <w:rsid w:val="009F5ABB"/>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B01"/>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BB6"/>
    <w:rsid w:val="00A11E78"/>
    <w:rsid w:val="00A12355"/>
    <w:rsid w:val="00A12574"/>
    <w:rsid w:val="00A127D2"/>
    <w:rsid w:val="00A1284E"/>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5B0F"/>
    <w:rsid w:val="00A25BBB"/>
    <w:rsid w:val="00A25F2F"/>
    <w:rsid w:val="00A27FB6"/>
    <w:rsid w:val="00A30121"/>
    <w:rsid w:val="00A30368"/>
    <w:rsid w:val="00A3043A"/>
    <w:rsid w:val="00A30E02"/>
    <w:rsid w:val="00A30F6A"/>
    <w:rsid w:val="00A31C3E"/>
    <w:rsid w:val="00A32254"/>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AE8"/>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F2F"/>
    <w:rsid w:val="00A65DBF"/>
    <w:rsid w:val="00A6611E"/>
    <w:rsid w:val="00A668BA"/>
    <w:rsid w:val="00A66A8A"/>
    <w:rsid w:val="00A66DDA"/>
    <w:rsid w:val="00A66FA7"/>
    <w:rsid w:val="00A67D7D"/>
    <w:rsid w:val="00A67E16"/>
    <w:rsid w:val="00A67EB1"/>
    <w:rsid w:val="00A703CC"/>
    <w:rsid w:val="00A70C5C"/>
    <w:rsid w:val="00A710A2"/>
    <w:rsid w:val="00A71EA7"/>
    <w:rsid w:val="00A730AD"/>
    <w:rsid w:val="00A73690"/>
    <w:rsid w:val="00A73855"/>
    <w:rsid w:val="00A73D39"/>
    <w:rsid w:val="00A73D64"/>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5F1E"/>
    <w:rsid w:val="00A86E0B"/>
    <w:rsid w:val="00A90792"/>
    <w:rsid w:val="00A90F12"/>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5779"/>
    <w:rsid w:val="00AA58A1"/>
    <w:rsid w:val="00AA61C7"/>
    <w:rsid w:val="00AA669D"/>
    <w:rsid w:val="00AA66ED"/>
    <w:rsid w:val="00AA6B59"/>
    <w:rsid w:val="00AA6B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537"/>
    <w:rsid w:val="00AC0A84"/>
    <w:rsid w:val="00AC1508"/>
    <w:rsid w:val="00AC1600"/>
    <w:rsid w:val="00AC2A0B"/>
    <w:rsid w:val="00AC2BEE"/>
    <w:rsid w:val="00AC2E53"/>
    <w:rsid w:val="00AC46B0"/>
    <w:rsid w:val="00AC484F"/>
    <w:rsid w:val="00AC4B20"/>
    <w:rsid w:val="00AC56F2"/>
    <w:rsid w:val="00AC5897"/>
    <w:rsid w:val="00AC71C3"/>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AD4"/>
    <w:rsid w:val="00AE2CA7"/>
    <w:rsid w:val="00AE2F1D"/>
    <w:rsid w:val="00AE4C81"/>
    <w:rsid w:val="00AE586F"/>
    <w:rsid w:val="00AE6582"/>
    <w:rsid w:val="00AE6DC5"/>
    <w:rsid w:val="00AE7686"/>
    <w:rsid w:val="00AE799A"/>
    <w:rsid w:val="00AE7A7C"/>
    <w:rsid w:val="00AF0E81"/>
    <w:rsid w:val="00AF117A"/>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25CB"/>
    <w:rsid w:val="00B52697"/>
    <w:rsid w:val="00B531DB"/>
    <w:rsid w:val="00B54215"/>
    <w:rsid w:val="00B549B3"/>
    <w:rsid w:val="00B54D8F"/>
    <w:rsid w:val="00B55857"/>
    <w:rsid w:val="00B55C69"/>
    <w:rsid w:val="00B56851"/>
    <w:rsid w:val="00B56D6E"/>
    <w:rsid w:val="00B572F7"/>
    <w:rsid w:val="00B57A7D"/>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78B"/>
    <w:rsid w:val="00BB0888"/>
    <w:rsid w:val="00BB0DF1"/>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3CC"/>
    <w:rsid w:val="00BC4834"/>
    <w:rsid w:val="00BC4A97"/>
    <w:rsid w:val="00BC4EC9"/>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B9E"/>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C05"/>
    <w:rsid w:val="00BF6FC6"/>
    <w:rsid w:val="00BF7C52"/>
    <w:rsid w:val="00BF7F99"/>
    <w:rsid w:val="00C00713"/>
    <w:rsid w:val="00C009A0"/>
    <w:rsid w:val="00C01F74"/>
    <w:rsid w:val="00C02558"/>
    <w:rsid w:val="00C0285F"/>
    <w:rsid w:val="00C028F5"/>
    <w:rsid w:val="00C02F35"/>
    <w:rsid w:val="00C03305"/>
    <w:rsid w:val="00C03515"/>
    <w:rsid w:val="00C03738"/>
    <w:rsid w:val="00C037A6"/>
    <w:rsid w:val="00C043F5"/>
    <w:rsid w:val="00C044E3"/>
    <w:rsid w:val="00C04607"/>
    <w:rsid w:val="00C04BDB"/>
    <w:rsid w:val="00C052C6"/>
    <w:rsid w:val="00C05A61"/>
    <w:rsid w:val="00C05FBA"/>
    <w:rsid w:val="00C05FEE"/>
    <w:rsid w:val="00C06CCF"/>
    <w:rsid w:val="00C0794D"/>
    <w:rsid w:val="00C10E78"/>
    <w:rsid w:val="00C10EF1"/>
    <w:rsid w:val="00C1159D"/>
    <w:rsid w:val="00C11B78"/>
    <w:rsid w:val="00C1233E"/>
    <w:rsid w:val="00C12FB3"/>
    <w:rsid w:val="00C138BC"/>
    <w:rsid w:val="00C13D85"/>
    <w:rsid w:val="00C1427C"/>
    <w:rsid w:val="00C145FE"/>
    <w:rsid w:val="00C14639"/>
    <w:rsid w:val="00C14E82"/>
    <w:rsid w:val="00C14FF6"/>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7DD"/>
    <w:rsid w:val="00C238F4"/>
    <w:rsid w:val="00C2393A"/>
    <w:rsid w:val="00C23A99"/>
    <w:rsid w:val="00C245EE"/>
    <w:rsid w:val="00C24850"/>
    <w:rsid w:val="00C24AE1"/>
    <w:rsid w:val="00C24B8D"/>
    <w:rsid w:val="00C24BD7"/>
    <w:rsid w:val="00C24BF1"/>
    <w:rsid w:val="00C24D71"/>
    <w:rsid w:val="00C25813"/>
    <w:rsid w:val="00C27143"/>
    <w:rsid w:val="00C27490"/>
    <w:rsid w:val="00C27D37"/>
    <w:rsid w:val="00C309E8"/>
    <w:rsid w:val="00C32017"/>
    <w:rsid w:val="00C32571"/>
    <w:rsid w:val="00C325CD"/>
    <w:rsid w:val="00C3322E"/>
    <w:rsid w:val="00C337F5"/>
    <w:rsid w:val="00C3383E"/>
    <w:rsid w:val="00C33B90"/>
    <w:rsid w:val="00C33C81"/>
    <w:rsid w:val="00C34161"/>
    <w:rsid w:val="00C34B32"/>
    <w:rsid w:val="00C34B5F"/>
    <w:rsid w:val="00C34C1D"/>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E7"/>
    <w:rsid w:val="00C432FB"/>
    <w:rsid w:val="00C438A2"/>
    <w:rsid w:val="00C439BE"/>
    <w:rsid w:val="00C4539B"/>
    <w:rsid w:val="00C45466"/>
    <w:rsid w:val="00C455C1"/>
    <w:rsid w:val="00C4581D"/>
    <w:rsid w:val="00C4635B"/>
    <w:rsid w:val="00C47472"/>
    <w:rsid w:val="00C500F0"/>
    <w:rsid w:val="00C504A7"/>
    <w:rsid w:val="00C506C9"/>
    <w:rsid w:val="00C50A16"/>
    <w:rsid w:val="00C51C97"/>
    <w:rsid w:val="00C51C9A"/>
    <w:rsid w:val="00C52C68"/>
    <w:rsid w:val="00C52D98"/>
    <w:rsid w:val="00C52DA1"/>
    <w:rsid w:val="00C53D24"/>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33BA"/>
    <w:rsid w:val="00C74306"/>
    <w:rsid w:val="00C760DC"/>
    <w:rsid w:val="00C8082B"/>
    <w:rsid w:val="00C81A88"/>
    <w:rsid w:val="00C81BD5"/>
    <w:rsid w:val="00C81D46"/>
    <w:rsid w:val="00C82298"/>
    <w:rsid w:val="00C8331F"/>
    <w:rsid w:val="00C833B4"/>
    <w:rsid w:val="00C83C3E"/>
    <w:rsid w:val="00C84284"/>
    <w:rsid w:val="00C84887"/>
    <w:rsid w:val="00C84E33"/>
    <w:rsid w:val="00C856A1"/>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76FC"/>
    <w:rsid w:val="00CA7E7B"/>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61B3"/>
    <w:rsid w:val="00CB6F83"/>
    <w:rsid w:val="00CB72AE"/>
    <w:rsid w:val="00CC00CD"/>
    <w:rsid w:val="00CC0579"/>
    <w:rsid w:val="00CC09B4"/>
    <w:rsid w:val="00CC0AF3"/>
    <w:rsid w:val="00CC0BC6"/>
    <w:rsid w:val="00CC0E68"/>
    <w:rsid w:val="00CC1409"/>
    <w:rsid w:val="00CC1780"/>
    <w:rsid w:val="00CC1897"/>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1017"/>
    <w:rsid w:val="00CD19EA"/>
    <w:rsid w:val="00CD205D"/>
    <w:rsid w:val="00CD2A22"/>
    <w:rsid w:val="00CD2B50"/>
    <w:rsid w:val="00CD3172"/>
    <w:rsid w:val="00CD3A6D"/>
    <w:rsid w:val="00CD4506"/>
    <w:rsid w:val="00CD520B"/>
    <w:rsid w:val="00CD5663"/>
    <w:rsid w:val="00CD592E"/>
    <w:rsid w:val="00CD5982"/>
    <w:rsid w:val="00CD5A1A"/>
    <w:rsid w:val="00CD6438"/>
    <w:rsid w:val="00CD73C6"/>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D5"/>
    <w:rsid w:val="00CF4AF7"/>
    <w:rsid w:val="00CF4D20"/>
    <w:rsid w:val="00CF5E78"/>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3DD"/>
    <w:rsid w:val="00D047E0"/>
    <w:rsid w:val="00D04B9F"/>
    <w:rsid w:val="00D04D43"/>
    <w:rsid w:val="00D04FFB"/>
    <w:rsid w:val="00D055FE"/>
    <w:rsid w:val="00D058E9"/>
    <w:rsid w:val="00D0612A"/>
    <w:rsid w:val="00D1060D"/>
    <w:rsid w:val="00D10D14"/>
    <w:rsid w:val="00D10E7C"/>
    <w:rsid w:val="00D11182"/>
    <w:rsid w:val="00D1137B"/>
    <w:rsid w:val="00D11807"/>
    <w:rsid w:val="00D11DB3"/>
    <w:rsid w:val="00D126C8"/>
    <w:rsid w:val="00D12D82"/>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230"/>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36D"/>
    <w:rsid w:val="00D56C96"/>
    <w:rsid w:val="00D57940"/>
    <w:rsid w:val="00D60327"/>
    <w:rsid w:val="00D61384"/>
    <w:rsid w:val="00D61526"/>
    <w:rsid w:val="00D61B44"/>
    <w:rsid w:val="00D61C39"/>
    <w:rsid w:val="00D61F81"/>
    <w:rsid w:val="00D620A6"/>
    <w:rsid w:val="00D62BE6"/>
    <w:rsid w:val="00D63766"/>
    <w:rsid w:val="00D63912"/>
    <w:rsid w:val="00D63923"/>
    <w:rsid w:val="00D6451B"/>
    <w:rsid w:val="00D646E4"/>
    <w:rsid w:val="00D64B57"/>
    <w:rsid w:val="00D651A1"/>
    <w:rsid w:val="00D652C0"/>
    <w:rsid w:val="00D65DEA"/>
    <w:rsid w:val="00D6650F"/>
    <w:rsid w:val="00D66579"/>
    <w:rsid w:val="00D6732C"/>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4983"/>
    <w:rsid w:val="00D84C00"/>
    <w:rsid w:val="00D85494"/>
    <w:rsid w:val="00D8582C"/>
    <w:rsid w:val="00D85D61"/>
    <w:rsid w:val="00D8616D"/>
    <w:rsid w:val="00D8711B"/>
    <w:rsid w:val="00D87384"/>
    <w:rsid w:val="00D8771B"/>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C97"/>
    <w:rsid w:val="00DA530A"/>
    <w:rsid w:val="00DA5989"/>
    <w:rsid w:val="00DA5AB1"/>
    <w:rsid w:val="00DA5F9D"/>
    <w:rsid w:val="00DA69B2"/>
    <w:rsid w:val="00DA6A57"/>
    <w:rsid w:val="00DA7462"/>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653E"/>
    <w:rsid w:val="00DB6895"/>
    <w:rsid w:val="00DB6E46"/>
    <w:rsid w:val="00DB7117"/>
    <w:rsid w:val="00DB7760"/>
    <w:rsid w:val="00DB7DD4"/>
    <w:rsid w:val="00DC00B4"/>
    <w:rsid w:val="00DC0585"/>
    <w:rsid w:val="00DC0954"/>
    <w:rsid w:val="00DC0DF8"/>
    <w:rsid w:val="00DC15BA"/>
    <w:rsid w:val="00DC18CD"/>
    <w:rsid w:val="00DC1A68"/>
    <w:rsid w:val="00DC30B8"/>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CE8"/>
    <w:rsid w:val="00DE0D15"/>
    <w:rsid w:val="00DE1410"/>
    <w:rsid w:val="00DE20C6"/>
    <w:rsid w:val="00DE3119"/>
    <w:rsid w:val="00DE3E0B"/>
    <w:rsid w:val="00DE3FF0"/>
    <w:rsid w:val="00DE4105"/>
    <w:rsid w:val="00DE5189"/>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7D5"/>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62D7"/>
    <w:rsid w:val="00E16382"/>
    <w:rsid w:val="00E1699C"/>
    <w:rsid w:val="00E16E75"/>
    <w:rsid w:val="00E1746D"/>
    <w:rsid w:val="00E174E8"/>
    <w:rsid w:val="00E2012A"/>
    <w:rsid w:val="00E205A2"/>
    <w:rsid w:val="00E205DC"/>
    <w:rsid w:val="00E20BA4"/>
    <w:rsid w:val="00E210D0"/>
    <w:rsid w:val="00E23137"/>
    <w:rsid w:val="00E23980"/>
    <w:rsid w:val="00E241E9"/>
    <w:rsid w:val="00E257C3"/>
    <w:rsid w:val="00E25A2C"/>
    <w:rsid w:val="00E25CB3"/>
    <w:rsid w:val="00E25DA4"/>
    <w:rsid w:val="00E25EB2"/>
    <w:rsid w:val="00E26237"/>
    <w:rsid w:val="00E26BBB"/>
    <w:rsid w:val="00E26CB8"/>
    <w:rsid w:val="00E26D16"/>
    <w:rsid w:val="00E26FCF"/>
    <w:rsid w:val="00E27165"/>
    <w:rsid w:val="00E275D9"/>
    <w:rsid w:val="00E30444"/>
    <w:rsid w:val="00E3044A"/>
    <w:rsid w:val="00E30E49"/>
    <w:rsid w:val="00E31A4A"/>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36B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30A2"/>
    <w:rsid w:val="00E630C0"/>
    <w:rsid w:val="00E63107"/>
    <w:rsid w:val="00E6312C"/>
    <w:rsid w:val="00E634E6"/>
    <w:rsid w:val="00E63DCE"/>
    <w:rsid w:val="00E64700"/>
    <w:rsid w:val="00E65074"/>
    <w:rsid w:val="00E65E70"/>
    <w:rsid w:val="00E66087"/>
    <w:rsid w:val="00E66B2D"/>
    <w:rsid w:val="00E66D79"/>
    <w:rsid w:val="00E66F5A"/>
    <w:rsid w:val="00E66FF9"/>
    <w:rsid w:val="00E6706F"/>
    <w:rsid w:val="00E670DD"/>
    <w:rsid w:val="00E673A2"/>
    <w:rsid w:val="00E67856"/>
    <w:rsid w:val="00E679C8"/>
    <w:rsid w:val="00E70314"/>
    <w:rsid w:val="00E70552"/>
    <w:rsid w:val="00E71704"/>
    <w:rsid w:val="00E719F2"/>
    <w:rsid w:val="00E724E7"/>
    <w:rsid w:val="00E72B41"/>
    <w:rsid w:val="00E732C1"/>
    <w:rsid w:val="00E7347B"/>
    <w:rsid w:val="00E73792"/>
    <w:rsid w:val="00E73D03"/>
    <w:rsid w:val="00E746A6"/>
    <w:rsid w:val="00E7471C"/>
    <w:rsid w:val="00E7498A"/>
    <w:rsid w:val="00E7514E"/>
    <w:rsid w:val="00E76537"/>
    <w:rsid w:val="00E77784"/>
    <w:rsid w:val="00E77AF5"/>
    <w:rsid w:val="00E807B5"/>
    <w:rsid w:val="00E820F4"/>
    <w:rsid w:val="00E823F9"/>
    <w:rsid w:val="00E82C1F"/>
    <w:rsid w:val="00E83671"/>
    <w:rsid w:val="00E839C4"/>
    <w:rsid w:val="00E840EE"/>
    <w:rsid w:val="00E84314"/>
    <w:rsid w:val="00E849CA"/>
    <w:rsid w:val="00E84A71"/>
    <w:rsid w:val="00E8556F"/>
    <w:rsid w:val="00E86556"/>
    <w:rsid w:val="00E86D35"/>
    <w:rsid w:val="00E86DC2"/>
    <w:rsid w:val="00E86E32"/>
    <w:rsid w:val="00E86F2E"/>
    <w:rsid w:val="00E8732E"/>
    <w:rsid w:val="00E9011F"/>
    <w:rsid w:val="00E906EB"/>
    <w:rsid w:val="00E90AEC"/>
    <w:rsid w:val="00E9170E"/>
    <w:rsid w:val="00E919FB"/>
    <w:rsid w:val="00E91E47"/>
    <w:rsid w:val="00E9241E"/>
    <w:rsid w:val="00E92460"/>
    <w:rsid w:val="00E924FE"/>
    <w:rsid w:val="00E92E62"/>
    <w:rsid w:val="00E93804"/>
    <w:rsid w:val="00E9429D"/>
    <w:rsid w:val="00E95434"/>
    <w:rsid w:val="00E96467"/>
    <w:rsid w:val="00E966DA"/>
    <w:rsid w:val="00E96948"/>
    <w:rsid w:val="00E9737B"/>
    <w:rsid w:val="00E97A3F"/>
    <w:rsid w:val="00E97F0A"/>
    <w:rsid w:val="00EA0100"/>
    <w:rsid w:val="00EA0BCE"/>
    <w:rsid w:val="00EA1532"/>
    <w:rsid w:val="00EA22FA"/>
    <w:rsid w:val="00EA274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85F"/>
    <w:rsid w:val="00EB1910"/>
    <w:rsid w:val="00EB2D83"/>
    <w:rsid w:val="00EB2E97"/>
    <w:rsid w:val="00EB3416"/>
    <w:rsid w:val="00EB45AE"/>
    <w:rsid w:val="00EB4AE1"/>
    <w:rsid w:val="00EB52F4"/>
    <w:rsid w:val="00EB5694"/>
    <w:rsid w:val="00EB5779"/>
    <w:rsid w:val="00EB5D2F"/>
    <w:rsid w:val="00EB67F1"/>
    <w:rsid w:val="00EB6ADA"/>
    <w:rsid w:val="00EB72CD"/>
    <w:rsid w:val="00EB749A"/>
    <w:rsid w:val="00EB76B6"/>
    <w:rsid w:val="00EB7D8A"/>
    <w:rsid w:val="00EC04F7"/>
    <w:rsid w:val="00EC05E2"/>
    <w:rsid w:val="00EC0D2E"/>
    <w:rsid w:val="00EC0E84"/>
    <w:rsid w:val="00EC16E2"/>
    <w:rsid w:val="00EC1CE7"/>
    <w:rsid w:val="00EC1DAE"/>
    <w:rsid w:val="00EC26F1"/>
    <w:rsid w:val="00EC30E7"/>
    <w:rsid w:val="00EC3C94"/>
    <w:rsid w:val="00EC44DF"/>
    <w:rsid w:val="00EC4FB9"/>
    <w:rsid w:val="00EC5393"/>
    <w:rsid w:val="00EC5741"/>
    <w:rsid w:val="00EC5DA3"/>
    <w:rsid w:val="00EC6014"/>
    <w:rsid w:val="00EC6B3E"/>
    <w:rsid w:val="00EC6F2D"/>
    <w:rsid w:val="00EC73DE"/>
    <w:rsid w:val="00EC7637"/>
    <w:rsid w:val="00EC7CF2"/>
    <w:rsid w:val="00ED046C"/>
    <w:rsid w:val="00ED053A"/>
    <w:rsid w:val="00ED0D46"/>
    <w:rsid w:val="00ED17B8"/>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89"/>
    <w:rsid w:val="00EE12EA"/>
    <w:rsid w:val="00EE13DA"/>
    <w:rsid w:val="00EE1668"/>
    <w:rsid w:val="00EE168D"/>
    <w:rsid w:val="00EE1EDB"/>
    <w:rsid w:val="00EE24E2"/>
    <w:rsid w:val="00EE2BF0"/>
    <w:rsid w:val="00EE3295"/>
    <w:rsid w:val="00EE366D"/>
    <w:rsid w:val="00EE5454"/>
    <w:rsid w:val="00EE54C4"/>
    <w:rsid w:val="00EE59B5"/>
    <w:rsid w:val="00EE5FB7"/>
    <w:rsid w:val="00EE6783"/>
    <w:rsid w:val="00EE6AC4"/>
    <w:rsid w:val="00EE7B54"/>
    <w:rsid w:val="00EE7C47"/>
    <w:rsid w:val="00EE7C88"/>
    <w:rsid w:val="00EE7C8B"/>
    <w:rsid w:val="00EF0209"/>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D25"/>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E28"/>
    <w:rsid w:val="00F14EA9"/>
    <w:rsid w:val="00F15505"/>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79E"/>
    <w:rsid w:val="00F3399B"/>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5679"/>
    <w:rsid w:val="00F561D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15AC"/>
    <w:rsid w:val="00F8297B"/>
    <w:rsid w:val="00F83B33"/>
    <w:rsid w:val="00F83CAE"/>
    <w:rsid w:val="00F840BF"/>
    <w:rsid w:val="00F8427A"/>
    <w:rsid w:val="00F843DF"/>
    <w:rsid w:val="00F84646"/>
    <w:rsid w:val="00F84899"/>
    <w:rsid w:val="00F85585"/>
    <w:rsid w:val="00F859F0"/>
    <w:rsid w:val="00F85CC1"/>
    <w:rsid w:val="00F86602"/>
    <w:rsid w:val="00F866C5"/>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4F77"/>
    <w:rsid w:val="00F952E4"/>
    <w:rsid w:val="00F9537B"/>
    <w:rsid w:val="00F96079"/>
    <w:rsid w:val="00F963FC"/>
    <w:rsid w:val="00F97CF1"/>
    <w:rsid w:val="00FA015F"/>
    <w:rsid w:val="00FA0EBD"/>
    <w:rsid w:val="00FA0FAC"/>
    <w:rsid w:val="00FA10F7"/>
    <w:rsid w:val="00FA1DA2"/>
    <w:rsid w:val="00FA3414"/>
    <w:rsid w:val="00FA347A"/>
    <w:rsid w:val="00FA3CDE"/>
    <w:rsid w:val="00FA49B7"/>
    <w:rsid w:val="00FA5043"/>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1D2A"/>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3508"/>
    <w:rsid w:val="00FD393C"/>
    <w:rsid w:val="00FD3AFF"/>
    <w:rsid w:val="00FD43BB"/>
    <w:rsid w:val="00FD47F6"/>
    <w:rsid w:val="00FD4AF3"/>
    <w:rsid w:val="00FD4B22"/>
    <w:rsid w:val="00FD72B1"/>
    <w:rsid w:val="00FD798D"/>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432"/>
    <w:rsid w:val="00FE72A0"/>
    <w:rsid w:val="00FF0050"/>
    <w:rsid w:val="00FF045F"/>
    <w:rsid w:val="00FF13CE"/>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character" w:customStyle="1" w:styleId="apple-converted-space">
    <w:name w:val="apple-converted-space"/>
    <w:basedOn w:val="Fuentedeprrafopredeter"/>
    <w:rsid w:val="00885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F47BF136-F01F-4BD7-8C75-81EF4DDBACB4}">
  <ds:schemaRefs>
    <ds:schemaRef ds:uri="http://schemas.openxmlformats.org/officeDocument/2006/bibliography"/>
  </ds:schemaRefs>
</ds:datastoreItem>
</file>

<file path=customXml/itemProps4.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13</Pages>
  <Words>4421</Words>
  <Characters>24317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2020-01-30T15:05:00Z</cp:lastPrinted>
  <dcterms:created xsi:type="dcterms:W3CDTF">2022-04-22T17:12:00Z</dcterms:created>
  <dcterms:modified xsi:type="dcterms:W3CDTF">2022-04-22T17:12:00Z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