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963B" w14:textId="473D02B5" w:rsidR="00E05AA3" w:rsidRDefault="00E05AA3" w:rsidP="008E36E3">
      <w:pPr>
        <w:rPr>
          <w:rFonts w:ascii="Arial" w:hAnsi="Arial" w:cs="Arial"/>
          <w:bCs/>
          <w:color w:val="000000" w:themeColor="text1"/>
          <w:sz w:val="20"/>
          <w:szCs w:val="20"/>
          <w:lang w:val="es-ES_tradnl" w:eastAsia="es-ES"/>
        </w:rPr>
      </w:pPr>
      <w:bookmarkStart w:id="0" w:name="_Hlk28946138"/>
      <w:bookmarkStart w:id="1" w:name="_Hlk29548183"/>
    </w:p>
    <w:p w14:paraId="0A9DB82B" w14:textId="77777777" w:rsidR="00787A46" w:rsidRPr="004E4581" w:rsidRDefault="00787A46" w:rsidP="008E36E3">
      <w:pPr>
        <w:rPr>
          <w:rFonts w:ascii="Arial" w:hAnsi="Arial" w:cs="Arial"/>
          <w:bCs/>
          <w:color w:val="000000" w:themeColor="text1"/>
          <w:sz w:val="20"/>
          <w:szCs w:val="20"/>
          <w:lang w:val="es-ES_tradnl" w:eastAsia="es-ES"/>
        </w:rPr>
      </w:pPr>
    </w:p>
    <w:p w14:paraId="346AE9F5" w14:textId="4873E163" w:rsidR="0030575F" w:rsidRPr="004E4581" w:rsidRDefault="00B55C69" w:rsidP="0030575F">
      <w:pPr>
        <w:jc w:val="right"/>
        <w:rPr>
          <w:rFonts w:ascii="Arial" w:eastAsia="Calibri" w:hAnsi="Arial" w:cs="Arial"/>
          <w:b/>
          <w:color w:val="000000" w:themeColor="text1"/>
          <w:sz w:val="20"/>
          <w:szCs w:val="20"/>
          <w:lang w:val="es-ES_tradnl"/>
        </w:rPr>
      </w:pPr>
      <w:r w:rsidRPr="004E4581">
        <w:rPr>
          <w:rFonts w:ascii="Arial" w:hAnsi="Arial" w:cs="Arial"/>
          <w:bCs/>
          <w:color w:val="000000" w:themeColor="text1"/>
          <w:sz w:val="20"/>
          <w:szCs w:val="20"/>
          <w:lang w:val="es-ES_tradnl" w:eastAsia="es-ES"/>
        </w:rPr>
        <w:t>CCE-DES-FM-17</w:t>
      </w:r>
      <w:bookmarkEnd w:id="0"/>
      <w:bookmarkEnd w:id="1"/>
    </w:p>
    <w:p w14:paraId="1AB44428" w14:textId="43E104D8" w:rsidR="007446F6" w:rsidRPr="004E4581" w:rsidRDefault="007446F6" w:rsidP="00C128B2">
      <w:pPr>
        <w:spacing w:after="120"/>
        <w:contextualSpacing/>
        <w:jc w:val="both"/>
        <w:rPr>
          <w:rFonts w:ascii="Arial" w:eastAsia="Calibri" w:hAnsi="Arial" w:cs="Arial"/>
          <w:b/>
          <w:bCs/>
          <w:color w:val="000000" w:themeColor="text1"/>
          <w:sz w:val="22"/>
          <w:szCs w:val="22"/>
          <w:lang w:val="es-MX" w:eastAsia="en-US"/>
        </w:rPr>
      </w:pPr>
      <w:bookmarkStart w:id="2" w:name="_Hlk79765235"/>
    </w:p>
    <w:p w14:paraId="2E56D937" w14:textId="209A65B0" w:rsidR="0030575F" w:rsidRPr="004E4581" w:rsidRDefault="0030575F" w:rsidP="00C128B2">
      <w:pPr>
        <w:spacing w:after="120"/>
        <w:contextualSpacing/>
        <w:jc w:val="both"/>
        <w:rPr>
          <w:rFonts w:ascii="Arial" w:eastAsia="Calibri" w:hAnsi="Arial" w:cs="Arial"/>
          <w:b/>
          <w:bCs/>
          <w:color w:val="000000" w:themeColor="text1"/>
          <w:sz w:val="22"/>
          <w:szCs w:val="22"/>
          <w:lang w:val="es-MX" w:eastAsia="en-US"/>
        </w:rPr>
      </w:pPr>
      <w:r w:rsidRPr="004E4581">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861F5C" w:rsidRDefault="0030575F" w:rsidP="00C128B2">
      <w:pPr>
        <w:spacing w:after="120"/>
        <w:contextualSpacing/>
        <w:jc w:val="both"/>
        <w:rPr>
          <w:rFonts w:ascii="Arial" w:eastAsia="Calibri" w:hAnsi="Arial" w:cs="Arial"/>
          <w:color w:val="000000" w:themeColor="text1"/>
          <w:sz w:val="20"/>
          <w:szCs w:val="20"/>
          <w:lang w:val="es-MX" w:eastAsia="en-US"/>
        </w:rPr>
      </w:pPr>
    </w:p>
    <w:p w14:paraId="7A434A5B" w14:textId="2557170C" w:rsidR="0030575F" w:rsidRPr="00861F5C" w:rsidRDefault="00861F5C" w:rsidP="00C128B2">
      <w:pPr>
        <w:tabs>
          <w:tab w:val="left" w:pos="426"/>
        </w:tabs>
        <w:spacing w:after="120"/>
        <w:jc w:val="both"/>
        <w:rPr>
          <w:rFonts w:ascii="Arial" w:eastAsia="Calibri" w:hAnsi="Arial" w:cs="Arial"/>
          <w:bCs/>
          <w:color w:val="000000" w:themeColor="text1"/>
          <w:sz w:val="20"/>
          <w:szCs w:val="20"/>
        </w:rPr>
      </w:pPr>
      <w:r w:rsidRPr="00861F5C">
        <w:rPr>
          <w:rFonts w:ascii="Arial" w:hAnsi="Arial" w:cs="Arial"/>
          <w:bCs/>
          <w:color w:val="000000" w:themeColor="text1"/>
          <w:sz w:val="20"/>
          <w:szCs w:val="20"/>
          <w:lang w:eastAsia="es-CO"/>
        </w:rPr>
        <w:t xml:space="preserve">[…] la Ley 996 de 2005 </w:t>
      </w:r>
      <w:r w:rsidRPr="00861F5C">
        <w:rPr>
          <w:rFonts w:ascii="Arial" w:eastAsia="Calibri" w:hAnsi="Arial" w:cs="Arial"/>
          <w:b/>
          <w:bCs/>
          <w:color w:val="000000" w:themeColor="text1"/>
          <w:sz w:val="20"/>
          <w:szCs w:val="20"/>
          <w:lang w:eastAsia="en-US"/>
        </w:rPr>
        <w:t>«</w:t>
      </w:r>
      <w:r w:rsidRPr="00861F5C">
        <w:rPr>
          <w:rStyle w:val="Textoennegrita"/>
          <w:rFonts w:ascii="Arial" w:hAnsi="Arial" w:cs="Arial"/>
          <w:b w:val="0"/>
          <w:color w:val="000000" w:themeColor="text1"/>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861F5C">
        <w:rPr>
          <w:rFonts w:ascii="Arial" w:eastAsia="Calibri" w:hAnsi="Arial" w:cs="Arial"/>
          <w:bCs/>
          <w:color w:val="000000" w:themeColor="text1"/>
          <w:sz w:val="20"/>
          <w:szCs w:val="20"/>
          <w:lang w:eastAsia="en-US"/>
        </w:rPr>
        <w:t>»,</w:t>
      </w:r>
      <w:r w:rsidRPr="00861F5C">
        <w:rPr>
          <w:rStyle w:val="Textoennegrita"/>
          <w:rFonts w:ascii="Arial" w:hAnsi="Arial" w:cs="Arial"/>
          <w:color w:val="000000" w:themeColor="text1"/>
          <w:sz w:val="20"/>
          <w:szCs w:val="20"/>
          <w:shd w:val="clear" w:color="auto" w:fill="FFFFFF"/>
        </w:rPr>
        <w:t xml:space="preserve"> </w:t>
      </w:r>
      <w:r w:rsidRPr="00861F5C">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4E4581" w:rsidRDefault="0030575F" w:rsidP="00C128B2">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4E4581" w:rsidRDefault="0030575F" w:rsidP="00C128B2">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E4581">
        <w:rPr>
          <w:rFonts w:ascii="Arial" w:eastAsia="Calibri" w:hAnsi="Arial" w:cs="Arial"/>
          <w:b/>
          <w:bCs/>
          <w:color w:val="000000" w:themeColor="text1"/>
          <w:sz w:val="22"/>
          <w:szCs w:val="22"/>
          <w:lang w:val="es-MX" w:eastAsia="en-US"/>
        </w:rPr>
        <w:t>LEY DE GARANTÍAS ELECTORALES ‒</w:t>
      </w:r>
      <w:bookmarkEnd w:id="3"/>
      <w:r w:rsidRPr="004E4581">
        <w:rPr>
          <w:rFonts w:ascii="Arial" w:eastAsia="Calibri" w:hAnsi="Arial" w:cs="Arial"/>
          <w:b/>
          <w:bCs/>
          <w:color w:val="000000" w:themeColor="text1"/>
          <w:sz w:val="22"/>
          <w:szCs w:val="22"/>
          <w:lang w:val="es-MX" w:eastAsia="en-US"/>
        </w:rPr>
        <w:t xml:space="preserve"> Restricciones </w:t>
      </w:r>
      <w:bookmarkStart w:id="5" w:name="_Hlk77157034"/>
      <w:r w:rsidRPr="004E4581">
        <w:rPr>
          <w:rFonts w:ascii="Arial" w:eastAsia="Calibri" w:hAnsi="Arial" w:cs="Arial"/>
          <w:b/>
          <w:bCs/>
          <w:color w:val="000000" w:themeColor="text1"/>
          <w:sz w:val="22"/>
          <w:szCs w:val="22"/>
          <w:lang w:val="es-MX" w:eastAsia="en-US"/>
        </w:rPr>
        <w:t xml:space="preserve">‒ </w:t>
      </w:r>
      <w:bookmarkEnd w:id="5"/>
      <w:r w:rsidRPr="004E4581">
        <w:rPr>
          <w:rFonts w:ascii="Arial" w:eastAsia="Calibri" w:hAnsi="Arial" w:cs="Arial"/>
          <w:b/>
          <w:bCs/>
          <w:color w:val="000000" w:themeColor="text1"/>
          <w:sz w:val="22"/>
          <w:szCs w:val="22"/>
          <w:lang w:val="es-MX" w:eastAsia="en-US"/>
        </w:rPr>
        <w:t>Contratación</w:t>
      </w:r>
      <w:bookmarkStart w:id="6" w:name="_Hlk77153098"/>
      <w:r w:rsidRPr="004E4581">
        <w:rPr>
          <w:rFonts w:ascii="Arial" w:eastAsia="Calibri" w:hAnsi="Arial" w:cs="Arial"/>
          <w:b/>
          <w:bCs/>
          <w:color w:val="000000" w:themeColor="text1"/>
          <w:sz w:val="22"/>
          <w:szCs w:val="22"/>
          <w:lang w:val="es-MX" w:eastAsia="en-US"/>
        </w:rPr>
        <w:t xml:space="preserve"> ‒ Tipos de elección</w:t>
      </w:r>
      <w:bookmarkEnd w:id="6"/>
      <w:r w:rsidRPr="004E4581">
        <w:rPr>
          <w:rFonts w:ascii="Arial" w:eastAsia="Calibri" w:hAnsi="Arial" w:cs="Arial"/>
          <w:b/>
          <w:bCs/>
          <w:color w:val="000000" w:themeColor="text1"/>
          <w:sz w:val="22"/>
          <w:szCs w:val="22"/>
          <w:lang w:val="es-MX" w:eastAsia="en-US"/>
        </w:rPr>
        <w:t xml:space="preserve"> </w:t>
      </w:r>
    </w:p>
    <w:p w14:paraId="16CB6979" w14:textId="77777777" w:rsidR="0030575F" w:rsidRPr="00861F5C" w:rsidRDefault="0030575F" w:rsidP="00C128B2">
      <w:pPr>
        <w:tabs>
          <w:tab w:val="left" w:pos="426"/>
        </w:tabs>
        <w:jc w:val="both"/>
        <w:rPr>
          <w:rFonts w:ascii="Arial" w:eastAsia="Calibri" w:hAnsi="Arial" w:cs="Arial"/>
          <w:b/>
          <w:bCs/>
          <w:color w:val="000000" w:themeColor="text1"/>
          <w:sz w:val="20"/>
          <w:szCs w:val="20"/>
          <w:lang w:val="es-MX" w:eastAsia="en-US"/>
        </w:rPr>
      </w:pPr>
    </w:p>
    <w:p w14:paraId="149A097F" w14:textId="602E9BBA" w:rsidR="0030575F" w:rsidRPr="00861F5C" w:rsidRDefault="00861F5C" w:rsidP="00C128B2">
      <w:pPr>
        <w:spacing w:after="120"/>
        <w:jc w:val="both"/>
        <w:rPr>
          <w:rFonts w:ascii="Arial" w:eastAsia="Arial" w:hAnsi="Arial" w:cs="Arial"/>
          <w:color w:val="000000" w:themeColor="text1"/>
          <w:sz w:val="20"/>
          <w:szCs w:val="20"/>
          <w:lang w:val="es-ES" w:eastAsia="es-ES" w:bidi="es-ES"/>
        </w:rPr>
      </w:pPr>
      <w:r w:rsidRPr="00861F5C">
        <w:rPr>
          <w:rFonts w:ascii="Arial" w:hAnsi="Arial" w:cs="Arial"/>
          <w:bCs/>
          <w:color w:val="000000" w:themeColor="text1"/>
          <w:sz w:val="20"/>
          <w:szCs w:val="20"/>
          <w:lang w:val="es-MX" w:eastAsia="es-CO"/>
        </w:rPr>
        <w:t xml:space="preserve">La </w:t>
      </w:r>
      <w:r w:rsidRPr="00861F5C">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61F5C">
        <w:rPr>
          <w:rFonts w:ascii="Arial" w:eastAsia="Calibri" w:hAnsi="Arial" w:cs="Arial"/>
          <w:color w:val="000000" w:themeColor="text1"/>
          <w:sz w:val="20"/>
          <w:szCs w:val="20"/>
          <w:lang w:eastAsia="en-US"/>
        </w:rPr>
        <w:t xml:space="preserve">Por una parte, el artículo 33 de la Ley 996 de 2005 establece una prohibición que impide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la contratación directa por parte de todos los entes del Estado</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 xml:space="preserve"> durante los cuatro (4) meses anteriores a las elecciones presidenciales, salvo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val="es-MX" w:eastAsia="en-US"/>
        </w:rPr>
        <w:t>.</w:t>
      </w:r>
      <w:r w:rsidR="0030575F" w:rsidRPr="00861F5C">
        <w:rPr>
          <w:rFonts w:ascii="Arial" w:eastAsia="Calibri" w:hAnsi="Arial" w:cs="Arial"/>
          <w:noProof/>
          <w:color w:val="000000" w:themeColor="text1"/>
          <w:sz w:val="20"/>
          <w:szCs w:val="20"/>
          <w:lang w:val="es-ES_tradnl" w:eastAsia="en-US"/>
        </w:rPr>
        <w:t>.</w:t>
      </w:r>
    </w:p>
    <w:bookmarkEnd w:id="4"/>
    <w:p w14:paraId="746B0C00" w14:textId="77777777" w:rsidR="0030575F" w:rsidRPr="004E4581" w:rsidRDefault="0030575F" w:rsidP="00C128B2">
      <w:pPr>
        <w:tabs>
          <w:tab w:val="left" w:pos="426"/>
        </w:tabs>
        <w:jc w:val="both"/>
        <w:rPr>
          <w:rFonts w:ascii="Arial" w:eastAsia="Calibri" w:hAnsi="Arial" w:cs="Arial"/>
          <w:noProof/>
          <w:color w:val="000000" w:themeColor="text1"/>
          <w:sz w:val="20"/>
          <w:szCs w:val="20"/>
          <w:lang w:val="es-ES_tradnl" w:eastAsia="en-US"/>
        </w:rPr>
      </w:pPr>
    </w:p>
    <w:p w14:paraId="49B8450D" w14:textId="55964CE5" w:rsidR="0030575F" w:rsidRPr="004E4581" w:rsidRDefault="0030575F" w:rsidP="00C128B2">
      <w:pPr>
        <w:tabs>
          <w:tab w:val="left" w:pos="426"/>
        </w:tabs>
        <w:jc w:val="both"/>
        <w:rPr>
          <w:rFonts w:ascii="Arial" w:eastAsia="Calibri" w:hAnsi="Arial" w:cs="Arial"/>
          <w:b/>
          <w:bCs/>
          <w:color w:val="000000" w:themeColor="text1"/>
          <w:sz w:val="22"/>
          <w:szCs w:val="22"/>
          <w:lang w:val="es-MX" w:eastAsia="en-US"/>
        </w:rPr>
      </w:pPr>
      <w:bookmarkStart w:id="7" w:name="_Hlk77157138"/>
      <w:r w:rsidRPr="004E4581">
        <w:rPr>
          <w:rFonts w:ascii="Arial" w:eastAsia="Calibri" w:hAnsi="Arial" w:cs="Arial"/>
          <w:b/>
          <w:bCs/>
          <w:color w:val="000000" w:themeColor="text1"/>
          <w:sz w:val="22"/>
          <w:szCs w:val="22"/>
          <w:lang w:val="es-MX" w:eastAsia="en-US"/>
        </w:rPr>
        <w:t>LEY DE GARANTÍAS ELECTORALES ‒ Prohibiciones ‒ Ámbito temporal</w:t>
      </w:r>
    </w:p>
    <w:p w14:paraId="3D3DD0AD" w14:textId="77777777" w:rsidR="0030575F" w:rsidRPr="004E4581" w:rsidRDefault="0030575F" w:rsidP="00C128B2">
      <w:pPr>
        <w:tabs>
          <w:tab w:val="left" w:pos="426"/>
        </w:tabs>
        <w:jc w:val="both"/>
        <w:rPr>
          <w:rFonts w:ascii="Arial" w:eastAsia="Calibri" w:hAnsi="Arial" w:cs="Arial"/>
          <w:noProof/>
          <w:color w:val="000000" w:themeColor="text1"/>
          <w:sz w:val="20"/>
          <w:szCs w:val="20"/>
          <w:lang w:val="es-ES_tradnl" w:eastAsia="en-US"/>
        </w:rPr>
      </w:pPr>
    </w:p>
    <w:bookmarkEnd w:id="7"/>
    <w:p w14:paraId="1C9AA7F3" w14:textId="09F2168D" w:rsidR="00861F5C" w:rsidRPr="00861F5C" w:rsidRDefault="00861F5C" w:rsidP="00C128B2">
      <w:pPr>
        <w:spacing w:after="120"/>
        <w:jc w:val="both"/>
        <w:rPr>
          <w:rFonts w:ascii="Arial" w:eastAsia="Arial" w:hAnsi="Arial" w:cs="Arial"/>
          <w:color w:val="000000" w:themeColor="text1"/>
          <w:sz w:val="20"/>
          <w:szCs w:val="20"/>
          <w:lang w:val="es-ES" w:eastAsia="es-ES" w:bidi="es-ES"/>
        </w:rPr>
      </w:pPr>
      <w:r w:rsidRPr="00861F5C">
        <w:rPr>
          <w:rFonts w:ascii="Arial" w:eastAsia="Arial" w:hAnsi="Arial" w:cs="Arial"/>
          <w:color w:val="000000" w:themeColor="text1"/>
          <w:sz w:val="20"/>
          <w:szCs w:val="20"/>
          <w:lang w:val="es-ES" w:eastAsia="es-ES" w:bidi="es-ES"/>
        </w:rPr>
        <w:lastRenderedPageBreak/>
        <w:t xml:space="preserve">[…] la Ley 996 de 2005 regula dos tipos de restricciones en materia de contratación, a saber: i) La del artículo 33 que opera solo respecto de las elecciones presidenciales, en virtud de la cual queda proscrita </w:t>
      </w:r>
      <w:r w:rsidRPr="00861F5C">
        <w:rPr>
          <w:rFonts w:ascii="Arial" w:eastAsia="Calibri" w:hAnsi="Arial" w:cs="Arial"/>
          <w:color w:val="000000" w:themeColor="text1"/>
          <w:sz w:val="20"/>
          <w:szCs w:val="20"/>
          <w:lang w:eastAsia="en-US"/>
        </w:rPr>
        <w:t xml:space="preserve">la </w:t>
      </w:r>
      <w:r w:rsidRPr="00861F5C">
        <w:rPr>
          <w:rFonts w:ascii="Arial" w:eastAsia="Calibri" w:hAnsi="Arial" w:cs="Arial"/>
          <w:i/>
          <w:iCs/>
          <w:color w:val="000000" w:themeColor="text1"/>
          <w:sz w:val="20"/>
          <w:szCs w:val="20"/>
          <w:lang w:eastAsia="en-US"/>
        </w:rPr>
        <w:t>contratación directa</w:t>
      </w:r>
      <w:r w:rsidRPr="00861F5C">
        <w:rPr>
          <w:rFonts w:ascii="Arial" w:eastAsia="Calibri" w:hAnsi="Arial" w:cs="Arial"/>
          <w:color w:val="000000" w:themeColor="text1"/>
          <w:sz w:val="20"/>
          <w:szCs w:val="20"/>
          <w:lang w:eastAsia="en-US"/>
        </w:rPr>
        <w:t xml:space="preserve"> por parte de todos los entes del Estado</w:t>
      </w:r>
      <w:r w:rsidRPr="00861F5C">
        <w:rPr>
          <w:rFonts w:ascii="Arial" w:eastAsia="Arial" w:hAnsi="Arial" w:cs="Arial"/>
          <w:color w:val="000000" w:themeColor="text1"/>
          <w:sz w:val="20"/>
          <w:szCs w:val="20"/>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 ii) La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p>
    <w:p w14:paraId="1F1BADBF" w14:textId="77777777" w:rsidR="0030575F" w:rsidRPr="00861F5C" w:rsidRDefault="0030575F" w:rsidP="00C128B2">
      <w:pPr>
        <w:tabs>
          <w:tab w:val="left" w:pos="426"/>
        </w:tabs>
        <w:jc w:val="both"/>
        <w:rPr>
          <w:rFonts w:ascii="Arial" w:eastAsia="Calibri" w:hAnsi="Arial" w:cs="Arial"/>
          <w:color w:val="000000" w:themeColor="text1"/>
          <w:sz w:val="20"/>
          <w:szCs w:val="20"/>
          <w:lang w:val="es-ES" w:eastAsia="en-US"/>
        </w:rPr>
      </w:pPr>
    </w:p>
    <w:p w14:paraId="09EA6DCC" w14:textId="4E86CF6D" w:rsidR="0030575F" w:rsidRPr="00C47AD9" w:rsidRDefault="00C47AD9" w:rsidP="00C128B2">
      <w:pPr>
        <w:jc w:val="both"/>
        <w:rPr>
          <w:rFonts w:ascii="Arial" w:eastAsia="Calibri" w:hAnsi="Arial" w:cs="Arial"/>
          <w:b/>
          <w:color w:val="000000" w:themeColor="text1"/>
          <w:sz w:val="22"/>
          <w:szCs w:val="22"/>
          <w:lang w:val="es-MX" w:eastAsia="en-US"/>
        </w:rPr>
      </w:pPr>
      <w:r w:rsidRPr="00C47AD9">
        <w:rPr>
          <w:rFonts w:ascii="Arial" w:eastAsia="Calibri" w:hAnsi="Arial" w:cs="Arial"/>
          <w:b/>
          <w:color w:val="000000" w:themeColor="text1"/>
          <w:sz w:val="22"/>
          <w:szCs w:val="22"/>
          <w:lang w:val="es-MX" w:eastAsia="en-US"/>
        </w:rPr>
        <w:t>DESTINATARIOS DE LA LEY DE GARANTÍAS ELECTORALES – parágrafo del artículo 38 de la Ley 996 de 2005</w:t>
      </w:r>
    </w:p>
    <w:p w14:paraId="24D06E0D" w14:textId="4D94C426" w:rsidR="00C47AD9" w:rsidRPr="00C47AD9" w:rsidRDefault="00C47AD9" w:rsidP="00C47AD9">
      <w:pPr>
        <w:jc w:val="both"/>
        <w:rPr>
          <w:rFonts w:ascii="Arial" w:eastAsia="Calibri" w:hAnsi="Arial" w:cs="Arial"/>
          <w:b/>
          <w:color w:val="000000" w:themeColor="text1"/>
          <w:sz w:val="20"/>
          <w:szCs w:val="20"/>
          <w:highlight w:val="yellow"/>
          <w:lang w:val="es-MX" w:eastAsia="en-US"/>
        </w:rPr>
      </w:pPr>
    </w:p>
    <w:p w14:paraId="2F0A4C47" w14:textId="77777777" w:rsidR="00856433" w:rsidRPr="00787A46" w:rsidRDefault="00856433" w:rsidP="00787A46">
      <w:pPr>
        <w:widowControl w:val="0"/>
        <w:autoSpaceDE w:val="0"/>
        <w:autoSpaceDN w:val="0"/>
        <w:spacing w:after="120"/>
        <w:ind w:right="108"/>
        <w:jc w:val="both"/>
        <w:rPr>
          <w:rFonts w:ascii="Arial" w:eastAsia="Arial" w:hAnsi="Arial" w:cs="Arial"/>
          <w:color w:val="000000"/>
          <w:sz w:val="20"/>
          <w:szCs w:val="20"/>
          <w:lang w:val="es-ES" w:eastAsia="en-US"/>
        </w:rPr>
      </w:pPr>
      <w:r w:rsidRPr="00787A46">
        <w:rPr>
          <w:rFonts w:ascii="Arial" w:eastAsia="Arial" w:hAnsi="Arial" w:cs="Arial"/>
          <w:color w:val="000000"/>
          <w:sz w:val="20"/>
          <w:szCs w:val="20"/>
          <w:lang w:val="es-ES" w:eastAsia="en-US"/>
        </w:rPr>
        <w:t xml:space="preserve">Para desarrollar el tema propuesto, es necesario analizar los destinatarios de la restricción del parágrafo del artículo 38 de la Ley 996 de 2005, toda vez que –a diferencia del artículo 33 </w:t>
      </w:r>
      <w:r w:rsidRPr="00787A46">
        <w:rPr>
          <w:rFonts w:ascii="Arial" w:eastAsia="Arial" w:hAnsi="Arial" w:cs="Arial"/>
          <w:i/>
          <w:iCs/>
          <w:color w:val="000000"/>
          <w:sz w:val="20"/>
          <w:szCs w:val="20"/>
          <w:lang w:val="es-ES" w:eastAsia="en-US"/>
        </w:rPr>
        <w:t>ibidem</w:t>
      </w:r>
      <w:r w:rsidRPr="00787A46">
        <w:rPr>
          <w:rFonts w:ascii="Arial" w:eastAsia="Arial" w:hAnsi="Arial" w:cs="Arial"/>
          <w:color w:val="000000"/>
          <w:sz w:val="20"/>
          <w:szCs w:val="20"/>
          <w:lang w:val="es-ES" w:eastAsia="en-US"/>
        </w:rPr>
        <w:t xml:space="preserve"> que alude a todos los entes del Estado– se presenta una lista taxativa de entidades. En tal sentido, este parágrafo debe interpretarse de forma restrictiva, por lo que no es posible aplicarlo a organismos del Estado. </w:t>
      </w:r>
    </w:p>
    <w:p w14:paraId="01BE2C7A" w14:textId="133AEBF9" w:rsidR="00786B97" w:rsidRPr="00787A46" w:rsidRDefault="00856433" w:rsidP="00787A46">
      <w:pPr>
        <w:widowControl w:val="0"/>
        <w:autoSpaceDE w:val="0"/>
        <w:autoSpaceDN w:val="0"/>
        <w:spacing w:before="119"/>
        <w:jc w:val="both"/>
        <w:rPr>
          <w:rFonts w:ascii="Arial" w:eastAsia="Arial" w:hAnsi="Arial" w:cs="Arial"/>
          <w:color w:val="000000" w:themeColor="text1"/>
          <w:sz w:val="20"/>
          <w:szCs w:val="20"/>
          <w:lang w:val="es-ES" w:eastAsia="es-ES" w:bidi="es-ES"/>
        </w:rPr>
      </w:pPr>
      <w:r w:rsidRPr="00787A46">
        <w:rPr>
          <w:rFonts w:ascii="Arial" w:eastAsia="Arial" w:hAnsi="Arial" w:cs="Arial"/>
          <w:color w:val="000000"/>
          <w:sz w:val="20"/>
          <w:szCs w:val="20"/>
          <w:lang w:val="es-ES" w:eastAsia="en-US"/>
        </w:rPr>
        <w:t>Este artículo establece que la prohibición para celebrar contratos o convenios interadministrativos es para los gobernadores, alcaldes municipales y/o distritales, secretarios, gerentes y directores de entidades descentralizadas, de orden municipal, departamental o distrital. Ahora bien, es importante precisar que esta restricción  aplica a las entidades descentralizadas por servicios del nivel territorial, cuya forma de creación se encuentra regulada en el artículo 69 de la Ley 489 de 1998</w:t>
      </w:r>
    </w:p>
    <w:p w14:paraId="2B155FF7" w14:textId="77777777" w:rsidR="00C47AD9" w:rsidRPr="00787A46" w:rsidRDefault="00C47AD9" w:rsidP="00787A46">
      <w:pPr>
        <w:jc w:val="both"/>
        <w:rPr>
          <w:rFonts w:ascii="Arial" w:hAnsi="Arial" w:cs="Arial"/>
          <w:color w:val="000000" w:themeColor="text1"/>
          <w:sz w:val="20"/>
          <w:szCs w:val="20"/>
        </w:rPr>
      </w:pPr>
    </w:p>
    <w:p w14:paraId="6E0F3EB3" w14:textId="17C0C9FF" w:rsidR="00C47AD9" w:rsidRPr="00787A46" w:rsidRDefault="00787A46" w:rsidP="00787A46">
      <w:pPr>
        <w:jc w:val="both"/>
        <w:rPr>
          <w:rFonts w:ascii="Arial" w:hAnsi="Arial" w:cs="Arial"/>
          <w:color w:val="000000" w:themeColor="text1"/>
          <w:sz w:val="20"/>
          <w:szCs w:val="20"/>
        </w:rPr>
      </w:pPr>
      <w:r w:rsidRPr="00787A46">
        <w:rPr>
          <w:rFonts w:ascii="Arial" w:hAnsi="Arial" w:cs="Arial"/>
          <w:iCs/>
          <w:color w:val="000000"/>
          <w:sz w:val="20"/>
          <w:szCs w:val="20"/>
          <w:shd w:val="clear" w:color="auto" w:fill="FFFFFF"/>
        </w:rPr>
        <w:t xml:space="preserve">[…] </w:t>
      </w:r>
      <w:r w:rsidR="00856433" w:rsidRPr="00787A46">
        <w:rPr>
          <w:rFonts w:ascii="Arial" w:hAnsi="Arial" w:cs="Arial"/>
          <w:iCs/>
          <w:color w:val="000000"/>
          <w:sz w:val="20"/>
          <w:szCs w:val="20"/>
          <w:shd w:val="clear" w:color="auto" w:fill="FFFFFF"/>
        </w:rPr>
        <w:t>a</w:t>
      </w:r>
      <w:r w:rsidR="00856433" w:rsidRPr="00787A46">
        <w:rPr>
          <w:rFonts w:ascii="Arial" w:eastAsia="Arial" w:hAnsi="Arial" w:cs="Arial"/>
          <w:color w:val="000000"/>
          <w:sz w:val="20"/>
          <w:szCs w:val="20"/>
          <w:lang w:val="es-ES" w:eastAsia="en-US"/>
        </w:rPr>
        <w:t xml:space="preserve">l momento de interpretar los sujetos destinatarios del parágrafo del artículo 38 de la Ley 996 de 2005 debe tenerse en cuenta tres (3) criterios interpretativos: i) </w:t>
      </w:r>
      <w:r w:rsidR="00856433" w:rsidRPr="00787A46">
        <w:rPr>
          <w:rFonts w:ascii="Arial" w:eastAsia="Arial" w:hAnsi="Arial" w:cs="Arial"/>
          <w:i/>
          <w:color w:val="000000"/>
          <w:sz w:val="20"/>
          <w:szCs w:val="20"/>
          <w:lang w:val="es-ES" w:eastAsia="en-US"/>
        </w:rPr>
        <w:t>criterio restrictivo</w:t>
      </w:r>
      <w:r w:rsidR="00856433" w:rsidRPr="00787A46">
        <w:rPr>
          <w:rFonts w:ascii="Arial" w:eastAsia="Arial" w:hAnsi="Arial" w:cs="Arial"/>
          <w:color w:val="000000"/>
          <w:sz w:val="20"/>
          <w:szCs w:val="20"/>
          <w:lang w:val="es-ES" w:eastAsia="en-US"/>
        </w:rPr>
        <w:t xml:space="preserve">, que consiste en que el parágrafo del artículo 38 de la Ley 996 restringe la suscripción de convenios o contratos interadministrativos a una categoría de entidades; ii) </w:t>
      </w:r>
      <w:r w:rsidR="00856433" w:rsidRPr="00787A46">
        <w:rPr>
          <w:rFonts w:ascii="Arial" w:eastAsia="Arial" w:hAnsi="Arial" w:cs="Arial"/>
          <w:i/>
          <w:iCs/>
          <w:color w:val="000000"/>
          <w:sz w:val="20"/>
          <w:szCs w:val="20"/>
          <w:lang w:val="es-ES" w:eastAsia="en-US"/>
        </w:rPr>
        <w:t>criterio material</w:t>
      </w:r>
      <w:r w:rsidR="00856433" w:rsidRPr="00787A46">
        <w:rPr>
          <w:rFonts w:ascii="Arial" w:eastAsia="Arial" w:hAnsi="Arial" w:cs="Arial"/>
          <w:color w:val="000000"/>
          <w:sz w:val="20"/>
          <w:szCs w:val="20"/>
          <w:lang w:val="es-ES" w:eastAsia="en-US"/>
        </w:rPr>
        <w:t xml:space="preserve">, que se refiere a un determinado tipo de entidades del Estado de la rama ejecutiva del nivel territorial; y iii) </w:t>
      </w:r>
      <w:r w:rsidR="00856433" w:rsidRPr="00787A46">
        <w:rPr>
          <w:rFonts w:ascii="Arial" w:eastAsia="Arial" w:hAnsi="Arial" w:cs="Arial"/>
          <w:i/>
          <w:color w:val="000000"/>
          <w:sz w:val="20"/>
          <w:szCs w:val="20"/>
          <w:lang w:val="es-ES" w:eastAsia="en-US"/>
        </w:rPr>
        <w:t>criterio residual</w:t>
      </w:r>
      <w:r w:rsidR="00856433" w:rsidRPr="00787A46">
        <w:rPr>
          <w:rFonts w:ascii="Arial" w:eastAsia="Arial" w:hAnsi="Arial" w:cs="Arial"/>
          <w:color w:val="000000"/>
          <w:sz w:val="20"/>
          <w:szCs w:val="20"/>
          <w:lang w:val="es-ES" w:eastAsia="en-US"/>
        </w:rPr>
        <w:t>, que consiste en señalar que no le son aplicables las prohibiciones a aquellas entidades que no pertenezcan a las categorías establecidas en la norma. Estos tres (3) criterios interpretativos permiten identificar a quienes aplican las restricciones, por lo que cada órgano del Estado deberá revisar si se encuentra en el tipo de entidades que estableció el artículo 38 de la Ley 996 de 2005.</w:t>
      </w:r>
    </w:p>
    <w:p w14:paraId="1813DB7C" w14:textId="77777777" w:rsidR="00787A46" w:rsidRPr="00787A46" w:rsidRDefault="00787A46" w:rsidP="00787A46">
      <w:pPr>
        <w:jc w:val="both"/>
        <w:rPr>
          <w:rFonts w:ascii="Arial" w:eastAsia="Arial" w:hAnsi="Arial" w:cs="Arial"/>
          <w:sz w:val="20"/>
          <w:szCs w:val="20"/>
          <w:lang w:val="es-ES" w:eastAsia="en-US"/>
        </w:rPr>
      </w:pPr>
    </w:p>
    <w:p w14:paraId="59E54D2A" w14:textId="50109860" w:rsidR="00C47AD9" w:rsidRPr="00787A46" w:rsidRDefault="00787A46" w:rsidP="00787A46">
      <w:pPr>
        <w:jc w:val="both"/>
        <w:rPr>
          <w:rFonts w:ascii="Arial" w:hAnsi="Arial" w:cs="Arial"/>
          <w:color w:val="000000" w:themeColor="text1"/>
          <w:sz w:val="20"/>
          <w:szCs w:val="20"/>
        </w:rPr>
      </w:pPr>
      <w:r w:rsidRPr="00787A46">
        <w:rPr>
          <w:rFonts w:ascii="Arial" w:eastAsia="Arial" w:hAnsi="Arial" w:cs="Arial"/>
          <w:sz w:val="20"/>
          <w:szCs w:val="20"/>
          <w:lang w:val="es-ES" w:eastAsia="en-US"/>
        </w:rPr>
        <w:t xml:space="preserve">[…] </w:t>
      </w:r>
      <w:r w:rsidR="00856433" w:rsidRPr="00787A46">
        <w:rPr>
          <w:rFonts w:ascii="Arial" w:eastAsia="Arial" w:hAnsi="Arial" w:cs="Arial"/>
          <w:sz w:val="20"/>
          <w:szCs w:val="20"/>
          <w:lang w:val="es-ES" w:eastAsia="en-US"/>
        </w:rPr>
        <w:t xml:space="preserve">se observa que órganos de control, como las personerías y las contralorías, no hacen parte de la rama ejecutiva, aunque se encuentren en el nivel territorial del departamento o municipio donde realizan sus funciones. Lo anterior, por cuanto al tratarse de órganos de control, </w:t>
      </w:r>
      <w:r w:rsidR="00856433" w:rsidRPr="00787A46">
        <w:rPr>
          <w:rFonts w:ascii="Arial" w:hAnsi="Arial" w:cs="Arial"/>
          <w:sz w:val="20"/>
          <w:szCs w:val="20"/>
          <w:shd w:val="clear" w:color="auto" w:fill="FFFFFF"/>
          <w:lang w:eastAsia="es-MX"/>
        </w:rPr>
        <w:t>no forman parte rama ejecutiva del poder público, como tampoco del nivel central o del nivel descentralizado, pues, sencillamente, constituyen órganos autónomos e independientes.   </w:t>
      </w:r>
    </w:p>
    <w:p w14:paraId="4CCE3314" w14:textId="77777777" w:rsidR="00C47AD9" w:rsidRPr="00787A46" w:rsidRDefault="00C47AD9" w:rsidP="00787A46">
      <w:pPr>
        <w:jc w:val="both"/>
        <w:rPr>
          <w:rFonts w:ascii="Arial" w:hAnsi="Arial" w:cs="Arial"/>
          <w:color w:val="000000" w:themeColor="text1"/>
          <w:sz w:val="20"/>
          <w:szCs w:val="20"/>
        </w:rPr>
      </w:pPr>
    </w:p>
    <w:p w14:paraId="1D8A528C" w14:textId="77777777" w:rsidR="00C47AD9" w:rsidRPr="00787A46" w:rsidRDefault="00C47AD9" w:rsidP="00787A46">
      <w:pPr>
        <w:jc w:val="both"/>
        <w:rPr>
          <w:rFonts w:ascii="Arial" w:hAnsi="Arial" w:cs="Arial"/>
          <w:color w:val="000000" w:themeColor="text1"/>
          <w:sz w:val="20"/>
          <w:szCs w:val="20"/>
        </w:rPr>
      </w:pPr>
    </w:p>
    <w:p w14:paraId="5E8D74E3" w14:textId="77777777" w:rsidR="00C47AD9" w:rsidRDefault="00C47AD9" w:rsidP="00C47AD9">
      <w:pPr>
        <w:rPr>
          <w:rFonts w:ascii="Arial" w:hAnsi="Arial" w:cs="Arial"/>
          <w:color w:val="000000" w:themeColor="text1"/>
          <w:sz w:val="22"/>
        </w:rPr>
      </w:pPr>
    </w:p>
    <w:p w14:paraId="73CA12DC" w14:textId="77777777" w:rsidR="00C47AD9" w:rsidRDefault="00C47AD9" w:rsidP="00C47AD9">
      <w:pPr>
        <w:rPr>
          <w:rFonts w:ascii="Arial" w:hAnsi="Arial" w:cs="Arial"/>
          <w:color w:val="000000" w:themeColor="text1"/>
          <w:sz w:val="22"/>
        </w:rPr>
      </w:pPr>
    </w:p>
    <w:p w14:paraId="59B0DE4E" w14:textId="061DE5B7" w:rsidR="002C3719" w:rsidRDefault="002C3719" w:rsidP="00C128B2">
      <w:pPr>
        <w:widowControl w:val="0"/>
        <w:autoSpaceDE w:val="0"/>
        <w:autoSpaceDN w:val="0"/>
        <w:spacing w:before="119"/>
        <w:jc w:val="both"/>
        <w:rPr>
          <w:rFonts w:ascii="Arial" w:eastAsia="Arial" w:hAnsi="Arial" w:cs="Arial"/>
          <w:color w:val="000000" w:themeColor="text1"/>
          <w:sz w:val="20"/>
          <w:szCs w:val="20"/>
          <w:lang w:val="es-ES" w:eastAsia="es-ES" w:bidi="es-ES"/>
        </w:rPr>
      </w:pPr>
    </w:p>
    <w:p w14:paraId="6A1D7925" w14:textId="77777777" w:rsidR="002C3719" w:rsidRPr="002C3719" w:rsidRDefault="002C3719" w:rsidP="002C3719">
      <w:pPr>
        <w:widowControl w:val="0"/>
        <w:autoSpaceDE w:val="0"/>
        <w:autoSpaceDN w:val="0"/>
        <w:ind w:left="4825"/>
        <w:rPr>
          <w:rFonts w:eastAsia="Arial MT" w:hAnsi="Arial MT" w:cs="Arial MT"/>
          <w:sz w:val="20"/>
          <w:szCs w:val="22"/>
          <w:lang w:val="es-ES" w:eastAsia="en-US"/>
        </w:rPr>
      </w:pPr>
      <w:r w:rsidRPr="002C3719">
        <w:rPr>
          <w:rFonts w:eastAsia="Arial MT" w:hAnsi="Arial MT" w:cs="Arial MT"/>
          <w:noProof/>
          <w:sz w:val="20"/>
          <w:szCs w:val="22"/>
          <w:lang w:eastAsia="es-CO"/>
        </w:rPr>
        <w:lastRenderedPageBreak/>
        <w:drawing>
          <wp:inline distT="0" distB="0" distL="0" distR="0" wp14:anchorId="2AD2B0DA" wp14:editId="6FD76765">
            <wp:extent cx="2379945" cy="60883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5CE8DE55" w14:textId="72A960F2" w:rsidR="002C3719" w:rsidRPr="002C3719" w:rsidRDefault="002C3719" w:rsidP="002C3719">
      <w:pPr>
        <w:widowControl w:val="0"/>
        <w:autoSpaceDE w:val="0"/>
        <w:autoSpaceDN w:val="0"/>
        <w:rPr>
          <w:rFonts w:eastAsia="Arial MT" w:hAnsi="Arial MT" w:cs="Arial MT"/>
          <w:sz w:val="20"/>
          <w:szCs w:val="22"/>
          <w:lang w:val="es-ES" w:eastAsia="en-US"/>
        </w:rPr>
      </w:pPr>
    </w:p>
    <w:p w14:paraId="6CA659CA" w14:textId="77777777" w:rsidR="002C3719" w:rsidRPr="002C3719" w:rsidRDefault="002C3719" w:rsidP="002C3719">
      <w:pPr>
        <w:widowControl w:val="0"/>
        <w:autoSpaceDE w:val="0"/>
        <w:autoSpaceDN w:val="0"/>
        <w:spacing w:before="94"/>
        <w:ind w:right="533"/>
        <w:jc w:val="right"/>
        <w:rPr>
          <w:rFonts w:ascii="Arial" w:eastAsia="Arial MT" w:hAnsi="Arial MT" w:cs="Arial MT"/>
          <w:b/>
          <w:sz w:val="18"/>
          <w:szCs w:val="22"/>
          <w:lang w:val="es-ES" w:eastAsia="en-US"/>
        </w:rPr>
      </w:pPr>
      <w:r w:rsidRPr="002C3719">
        <w:rPr>
          <w:rFonts w:ascii="Arial" w:eastAsia="Arial MT" w:hAnsi="Arial MT" w:cs="Arial MT"/>
          <w:b/>
          <w:color w:val="585858"/>
          <w:sz w:val="18"/>
          <w:szCs w:val="22"/>
          <w:lang w:val="es-ES" w:eastAsia="en-US"/>
        </w:rPr>
        <w:t>CCE-DES-FM-17</w:t>
      </w:r>
    </w:p>
    <w:p w14:paraId="0033799D" w14:textId="22831CB5" w:rsidR="002C3719" w:rsidRPr="002C3719" w:rsidRDefault="002C3719" w:rsidP="002C3719">
      <w:pPr>
        <w:widowControl w:val="0"/>
        <w:autoSpaceDE w:val="0"/>
        <w:autoSpaceDN w:val="0"/>
        <w:spacing w:before="10"/>
        <w:rPr>
          <w:rFonts w:ascii="Arial" w:eastAsia="Arial MT" w:hAnsi="Arial MT" w:cs="Arial MT"/>
          <w:b/>
          <w:sz w:val="15"/>
          <w:szCs w:val="22"/>
          <w:lang w:val="es-ES" w:eastAsia="en-US"/>
        </w:rPr>
      </w:pPr>
    </w:p>
    <w:p w14:paraId="51CD27DE" w14:textId="77777777" w:rsidR="002C3719" w:rsidRPr="00934C78" w:rsidRDefault="002C3719" w:rsidP="002C3719">
      <w:pPr>
        <w:widowControl w:val="0"/>
        <w:autoSpaceDE w:val="0"/>
        <w:autoSpaceDN w:val="0"/>
        <w:spacing w:before="93"/>
        <w:ind w:left="100"/>
        <w:rPr>
          <w:rFonts w:ascii="Arial" w:eastAsia="Arial MT" w:hAnsi="Arial" w:cs="Arial"/>
          <w:sz w:val="22"/>
          <w:szCs w:val="22"/>
          <w:lang w:val="es-ES" w:eastAsia="en-US"/>
        </w:rPr>
      </w:pPr>
      <w:r w:rsidRPr="00934C78">
        <w:rPr>
          <w:rFonts w:ascii="Arial" w:eastAsia="Arial MT" w:hAnsi="Arial" w:cs="Arial"/>
          <w:sz w:val="22"/>
          <w:szCs w:val="22"/>
          <w:lang w:val="es-ES" w:eastAsia="en-US"/>
        </w:rPr>
        <w:t>Bogotá</w:t>
      </w:r>
      <w:r w:rsidRPr="00934C78">
        <w:rPr>
          <w:rFonts w:ascii="Arial" w:eastAsia="Arial MT" w:hAnsi="Arial" w:cs="Arial"/>
          <w:spacing w:val="-6"/>
          <w:sz w:val="22"/>
          <w:szCs w:val="22"/>
          <w:lang w:val="es-ES" w:eastAsia="en-US"/>
        </w:rPr>
        <w:t xml:space="preserve"> </w:t>
      </w:r>
      <w:r w:rsidRPr="00934C78">
        <w:rPr>
          <w:rFonts w:ascii="Arial" w:eastAsia="Arial MT" w:hAnsi="Arial" w:cs="Arial"/>
          <w:sz w:val="22"/>
          <w:szCs w:val="22"/>
          <w:lang w:val="es-ES" w:eastAsia="en-US"/>
        </w:rPr>
        <w:t>D.C.,</w:t>
      </w:r>
    </w:p>
    <w:p w14:paraId="467F5374" w14:textId="77777777" w:rsidR="002C3719" w:rsidRPr="00934C78" w:rsidRDefault="002C3719" w:rsidP="002C3719">
      <w:pPr>
        <w:widowControl w:val="0"/>
        <w:autoSpaceDE w:val="0"/>
        <w:autoSpaceDN w:val="0"/>
        <w:rPr>
          <w:rFonts w:ascii="Arial" w:eastAsia="Arial MT" w:hAnsi="Arial" w:cs="Arial"/>
          <w:sz w:val="22"/>
          <w:szCs w:val="22"/>
          <w:lang w:val="es-ES" w:eastAsia="en-US"/>
        </w:rPr>
      </w:pPr>
    </w:p>
    <w:p w14:paraId="1DB16F45" w14:textId="77777777" w:rsidR="002C3719" w:rsidRPr="00934C78" w:rsidRDefault="002C3719" w:rsidP="002C3719">
      <w:pPr>
        <w:widowControl w:val="0"/>
        <w:autoSpaceDE w:val="0"/>
        <w:autoSpaceDN w:val="0"/>
        <w:rPr>
          <w:rFonts w:ascii="Arial" w:eastAsia="Arial MT" w:hAnsi="Arial" w:cs="Arial"/>
          <w:sz w:val="22"/>
          <w:szCs w:val="22"/>
          <w:lang w:val="es-ES" w:eastAsia="en-US"/>
        </w:rPr>
      </w:pPr>
    </w:p>
    <w:p w14:paraId="3B0673A6" w14:textId="77777777" w:rsidR="002C3719" w:rsidRPr="00934C78" w:rsidRDefault="002C3719" w:rsidP="002C3719">
      <w:pPr>
        <w:widowControl w:val="0"/>
        <w:autoSpaceDE w:val="0"/>
        <w:autoSpaceDN w:val="0"/>
        <w:ind w:left="100"/>
        <w:rPr>
          <w:rFonts w:ascii="Arial" w:eastAsia="Arial MT" w:hAnsi="Arial" w:cs="Arial"/>
          <w:sz w:val="22"/>
          <w:szCs w:val="22"/>
          <w:lang w:val="es-ES" w:eastAsia="en-US"/>
        </w:rPr>
      </w:pPr>
      <w:r w:rsidRPr="00934C78">
        <w:rPr>
          <w:rFonts w:ascii="Arial" w:eastAsia="Arial MT" w:hAnsi="Arial" w:cs="Arial"/>
          <w:sz w:val="22"/>
          <w:szCs w:val="22"/>
          <w:lang w:val="es-ES" w:eastAsia="en-US"/>
        </w:rPr>
        <w:t>Señora</w:t>
      </w:r>
    </w:p>
    <w:p w14:paraId="018F6905" w14:textId="77777777" w:rsidR="002C3719" w:rsidRPr="00934C78" w:rsidRDefault="002C3719" w:rsidP="002C3719">
      <w:pPr>
        <w:widowControl w:val="0"/>
        <w:autoSpaceDE w:val="0"/>
        <w:autoSpaceDN w:val="0"/>
        <w:ind w:left="100"/>
        <w:outlineLvl w:val="0"/>
        <w:rPr>
          <w:rFonts w:ascii="Arial" w:eastAsia="Arial" w:hAnsi="Arial" w:cs="Arial"/>
          <w:b/>
          <w:bCs/>
          <w:sz w:val="22"/>
          <w:szCs w:val="22"/>
          <w:lang w:val="es-ES" w:eastAsia="en-US"/>
        </w:rPr>
      </w:pPr>
      <w:r w:rsidRPr="00934C78">
        <w:rPr>
          <w:rFonts w:ascii="Arial" w:eastAsia="Arial" w:hAnsi="Arial" w:cs="Arial"/>
          <w:b/>
          <w:bCs/>
          <w:sz w:val="22"/>
          <w:szCs w:val="22"/>
          <w:lang w:val="es-ES" w:eastAsia="en-US"/>
        </w:rPr>
        <w:t>Diana</w:t>
      </w:r>
      <w:r w:rsidRPr="00934C78">
        <w:rPr>
          <w:rFonts w:ascii="Arial" w:eastAsia="Arial" w:hAnsi="Arial" w:cs="Arial"/>
          <w:b/>
          <w:bCs/>
          <w:spacing w:val="-7"/>
          <w:sz w:val="22"/>
          <w:szCs w:val="22"/>
          <w:lang w:val="es-ES" w:eastAsia="en-US"/>
        </w:rPr>
        <w:t xml:space="preserve"> </w:t>
      </w:r>
      <w:r w:rsidRPr="00934C78">
        <w:rPr>
          <w:rFonts w:ascii="Arial" w:eastAsia="Arial" w:hAnsi="Arial" w:cs="Arial"/>
          <w:b/>
          <w:bCs/>
          <w:sz w:val="22"/>
          <w:szCs w:val="22"/>
          <w:lang w:val="es-ES" w:eastAsia="en-US"/>
        </w:rPr>
        <w:t>Carolina</w:t>
      </w:r>
      <w:r w:rsidRPr="00934C78">
        <w:rPr>
          <w:rFonts w:ascii="Arial" w:eastAsia="Arial" w:hAnsi="Arial" w:cs="Arial"/>
          <w:b/>
          <w:bCs/>
          <w:spacing w:val="-7"/>
          <w:sz w:val="22"/>
          <w:szCs w:val="22"/>
          <w:lang w:val="es-ES" w:eastAsia="en-US"/>
        </w:rPr>
        <w:t xml:space="preserve"> </w:t>
      </w:r>
      <w:r w:rsidRPr="00934C78">
        <w:rPr>
          <w:rFonts w:ascii="Arial" w:eastAsia="Arial" w:hAnsi="Arial" w:cs="Arial"/>
          <w:b/>
          <w:bCs/>
          <w:sz w:val="22"/>
          <w:szCs w:val="22"/>
          <w:lang w:val="es-ES" w:eastAsia="en-US"/>
        </w:rPr>
        <w:t>Beltrán</w:t>
      </w:r>
      <w:r w:rsidRPr="00934C78">
        <w:rPr>
          <w:rFonts w:ascii="Arial" w:eastAsia="Arial" w:hAnsi="Arial" w:cs="Arial"/>
          <w:b/>
          <w:bCs/>
          <w:spacing w:val="-7"/>
          <w:sz w:val="22"/>
          <w:szCs w:val="22"/>
          <w:lang w:val="es-ES" w:eastAsia="en-US"/>
        </w:rPr>
        <w:t xml:space="preserve"> </w:t>
      </w:r>
      <w:r w:rsidRPr="00934C78">
        <w:rPr>
          <w:rFonts w:ascii="Arial" w:eastAsia="Arial" w:hAnsi="Arial" w:cs="Arial"/>
          <w:b/>
          <w:bCs/>
          <w:sz w:val="22"/>
          <w:szCs w:val="22"/>
          <w:lang w:val="es-ES" w:eastAsia="en-US"/>
        </w:rPr>
        <w:t>Herrera</w:t>
      </w:r>
    </w:p>
    <w:p w14:paraId="75BCA3C1" w14:textId="77777777" w:rsidR="002C3719" w:rsidRPr="00934C78" w:rsidRDefault="002C3719" w:rsidP="002C3719">
      <w:pPr>
        <w:widowControl w:val="0"/>
        <w:autoSpaceDE w:val="0"/>
        <w:autoSpaceDN w:val="0"/>
        <w:ind w:left="100"/>
        <w:rPr>
          <w:rFonts w:ascii="Arial" w:eastAsia="Arial MT" w:hAnsi="Arial" w:cs="Arial"/>
          <w:sz w:val="22"/>
          <w:szCs w:val="22"/>
          <w:lang w:val="es-ES" w:eastAsia="en-US"/>
        </w:rPr>
      </w:pPr>
      <w:r w:rsidRPr="00934C78">
        <w:rPr>
          <w:rFonts w:ascii="Arial" w:eastAsia="Arial MT" w:hAnsi="Arial" w:cs="Arial"/>
          <w:sz w:val="22"/>
          <w:szCs w:val="22"/>
          <w:lang w:val="es-ES" w:eastAsia="en-US"/>
        </w:rPr>
        <w:t>Bogotá</w:t>
      </w:r>
      <w:r w:rsidRPr="00934C78">
        <w:rPr>
          <w:rFonts w:ascii="Arial" w:eastAsia="Arial MT" w:hAnsi="Arial" w:cs="Arial"/>
          <w:spacing w:val="-6"/>
          <w:sz w:val="22"/>
          <w:szCs w:val="22"/>
          <w:lang w:val="es-ES" w:eastAsia="en-US"/>
        </w:rPr>
        <w:t xml:space="preserve"> </w:t>
      </w:r>
      <w:r w:rsidRPr="00934C78">
        <w:rPr>
          <w:rFonts w:ascii="Arial" w:eastAsia="Arial MT" w:hAnsi="Arial" w:cs="Arial"/>
          <w:sz w:val="22"/>
          <w:szCs w:val="22"/>
          <w:lang w:val="es-ES" w:eastAsia="en-US"/>
        </w:rPr>
        <w:t>D.C.</w:t>
      </w:r>
    </w:p>
    <w:p w14:paraId="60E31321" w14:textId="77777777" w:rsidR="002C3719" w:rsidRPr="00934C78" w:rsidRDefault="002C3719" w:rsidP="002C3719">
      <w:pPr>
        <w:widowControl w:val="0"/>
        <w:autoSpaceDE w:val="0"/>
        <w:autoSpaceDN w:val="0"/>
        <w:rPr>
          <w:rFonts w:ascii="Arial" w:eastAsia="Arial MT" w:hAnsi="Arial" w:cs="Arial"/>
          <w:sz w:val="22"/>
          <w:szCs w:val="22"/>
          <w:lang w:val="es-ES" w:eastAsia="en-US"/>
        </w:rPr>
      </w:pPr>
    </w:p>
    <w:p w14:paraId="0261D3A6" w14:textId="77777777" w:rsidR="002C3719" w:rsidRPr="00934C78" w:rsidRDefault="002C3719" w:rsidP="002C3719">
      <w:pPr>
        <w:widowControl w:val="0"/>
        <w:autoSpaceDE w:val="0"/>
        <w:autoSpaceDN w:val="0"/>
        <w:rPr>
          <w:rFonts w:ascii="Arial" w:eastAsia="Arial MT" w:hAnsi="Arial" w:cs="Arial"/>
          <w:sz w:val="22"/>
          <w:szCs w:val="22"/>
          <w:lang w:val="es-ES" w:eastAsia="en-US"/>
        </w:rPr>
      </w:pPr>
    </w:p>
    <w:p w14:paraId="7E01480A" w14:textId="77777777" w:rsidR="002C3719" w:rsidRPr="00934C78" w:rsidRDefault="002C3719" w:rsidP="002C3719">
      <w:pPr>
        <w:widowControl w:val="0"/>
        <w:autoSpaceDE w:val="0"/>
        <w:autoSpaceDN w:val="0"/>
        <w:ind w:left="2790"/>
        <w:jc w:val="both"/>
        <w:outlineLvl w:val="0"/>
        <w:rPr>
          <w:rFonts w:ascii="Arial" w:eastAsia="Arial" w:hAnsi="Arial" w:cs="Arial"/>
          <w:b/>
          <w:bCs/>
          <w:sz w:val="22"/>
          <w:szCs w:val="22"/>
          <w:lang w:val="es-ES" w:eastAsia="en-US"/>
        </w:rPr>
      </w:pPr>
      <w:r w:rsidRPr="00934C78">
        <w:rPr>
          <w:rFonts w:ascii="Arial" w:eastAsia="Arial" w:hAnsi="Arial" w:cs="Arial"/>
          <w:b/>
          <w:bCs/>
          <w:sz w:val="22"/>
          <w:szCs w:val="22"/>
          <w:lang w:val="es-ES" w:eastAsia="en-US"/>
        </w:rPr>
        <w:t>Concepto</w:t>
      </w:r>
      <w:r w:rsidRPr="00934C78">
        <w:rPr>
          <w:rFonts w:ascii="Arial" w:eastAsia="Arial" w:hAnsi="Arial" w:cs="Arial"/>
          <w:b/>
          <w:bCs/>
          <w:spacing w:val="-4"/>
          <w:sz w:val="22"/>
          <w:szCs w:val="22"/>
          <w:lang w:val="es-ES" w:eastAsia="en-US"/>
        </w:rPr>
        <w:t xml:space="preserve"> </w:t>
      </w:r>
      <w:r w:rsidRPr="00934C78">
        <w:rPr>
          <w:rFonts w:ascii="Arial" w:eastAsia="Arial" w:hAnsi="Arial" w:cs="Arial"/>
          <w:b/>
          <w:bCs/>
          <w:sz w:val="22"/>
          <w:szCs w:val="22"/>
          <w:lang w:val="es-ES" w:eastAsia="en-US"/>
        </w:rPr>
        <w:t>C</w:t>
      </w:r>
      <w:r w:rsidRPr="00934C78">
        <w:rPr>
          <w:rFonts w:ascii="Arial" w:eastAsia="Arial" w:hAnsi="Arial" w:cs="Arial"/>
          <w:b/>
          <w:bCs/>
          <w:spacing w:val="-2"/>
          <w:sz w:val="22"/>
          <w:szCs w:val="22"/>
          <w:lang w:val="es-ES" w:eastAsia="en-US"/>
        </w:rPr>
        <w:t xml:space="preserve"> </w:t>
      </w:r>
      <w:r w:rsidRPr="00934C78">
        <w:rPr>
          <w:rFonts w:ascii="Arial" w:eastAsia="Arial" w:hAnsi="Arial" w:cs="Arial"/>
          <w:b/>
          <w:bCs/>
          <w:sz w:val="22"/>
          <w:szCs w:val="22"/>
          <w:lang w:val="es-ES" w:eastAsia="en-US"/>
        </w:rPr>
        <w:t>‒</w:t>
      </w:r>
      <w:r w:rsidRPr="00934C78">
        <w:rPr>
          <w:rFonts w:ascii="Arial" w:eastAsia="Arial" w:hAnsi="Arial" w:cs="Arial"/>
          <w:b/>
          <w:bCs/>
          <w:spacing w:val="-3"/>
          <w:sz w:val="22"/>
          <w:szCs w:val="22"/>
          <w:lang w:val="es-ES" w:eastAsia="en-US"/>
        </w:rPr>
        <w:t xml:space="preserve"> </w:t>
      </w:r>
      <w:r w:rsidRPr="00934C78">
        <w:rPr>
          <w:rFonts w:ascii="Arial" w:eastAsia="Arial" w:hAnsi="Arial" w:cs="Arial"/>
          <w:b/>
          <w:bCs/>
          <w:sz w:val="22"/>
          <w:szCs w:val="22"/>
          <w:lang w:val="es-ES" w:eastAsia="en-US"/>
        </w:rPr>
        <w:t>523</w:t>
      </w:r>
      <w:r w:rsidRPr="00934C78">
        <w:rPr>
          <w:rFonts w:ascii="Arial" w:eastAsia="Arial" w:hAnsi="Arial" w:cs="Arial"/>
          <w:b/>
          <w:bCs/>
          <w:spacing w:val="-4"/>
          <w:sz w:val="22"/>
          <w:szCs w:val="22"/>
          <w:lang w:val="es-ES" w:eastAsia="en-US"/>
        </w:rPr>
        <w:t xml:space="preserve"> </w:t>
      </w:r>
      <w:r w:rsidRPr="00934C78">
        <w:rPr>
          <w:rFonts w:ascii="Arial" w:eastAsia="Arial" w:hAnsi="Arial" w:cs="Arial"/>
          <w:b/>
          <w:bCs/>
          <w:sz w:val="22"/>
          <w:szCs w:val="22"/>
          <w:lang w:val="es-ES" w:eastAsia="en-US"/>
        </w:rPr>
        <w:t>de</w:t>
      </w:r>
      <w:r w:rsidRPr="00934C78">
        <w:rPr>
          <w:rFonts w:ascii="Arial" w:eastAsia="Arial" w:hAnsi="Arial" w:cs="Arial"/>
          <w:b/>
          <w:bCs/>
          <w:spacing w:val="-3"/>
          <w:sz w:val="22"/>
          <w:szCs w:val="22"/>
          <w:lang w:val="es-ES" w:eastAsia="en-US"/>
        </w:rPr>
        <w:t xml:space="preserve"> </w:t>
      </w:r>
      <w:r w:rsidRPr="00934C78">
        <w:rPr>
          <w:rFonts w:ascii="Arial" w:eastAsia="Arial" w:hAnsi="Arial" w:cs="Arial"/>
          <w:b/>
          <w:bCs/>
          <w:sz w:val="22"/>
          <w:szCs w:val="22"/>
          <w:lang w:val="es-ES" w:eastAsia="en-US"/>
        </w:rPr>
        <w:t>2021</w:t>
      </w:r>
    </w:p>
    <w:p w14:paraId="1235A571" w14:textId="77777777" w:rsidR="002C3719" w:rsidRPr="00934C78" w:rsidRDefault="002C3719" w:rsidP="002C3719">
      <w:pPr>
        <w:widowControl w:val="0"/>
        <w:autoSpaceDE w:val="0"/>
        <w:autoSpaceDN w:val="0"/>
        <w:rPr>
          <w:rFonts w:ascii="Arial" w:eastAsia="Arial MT" w:hAnsi="Arial" w:cs="Arial"/>
          <w:b/>
          <w:sz w:val="22"/>
          <w:szCs w:val="22"/>
          <w:lang w:val="es-ES" w:eastAsia="en-US"/>
        </w:rPr>
      </w:pPr>
    </w:p>
    <w:p w14:paraId="2F18A98F" w14:textId="11EC172D" w:rsidR="002C3719" w:rsidRPr="00934C78" w:rsidRDefault="002C3719" w:rsidP="002C3719">
      <w:pPr>
        <w:widowControl w:val="0"/>
        <w:tabs>
          <w:tab w:val="left" w:pos="2789"/>
        </w:tabs>
        <w:autoSpaceDE w:val="0"/>
        <w:autoSpaceDN w:val="0"/>
        <w:ind w:left="100"/>
        <w:jc w:val="both"/>
        <w:rPr>
          <w:rFonts w:ascii="Arial" w:eastAsia="Arial MT" w:hAnsi="Arial" w:cs="Arial"/>
          <w:sz w:val="22"/>
          <w:szCs w:val="22"/>
          <w:lang w:val="es-ES" w:eastAsia="en-US"/>
        </w:rPr>
      </w:pPr>
      <w:r w:rsidRPr="00934C78">
        <w:rPr>
          <w:rFonts w:ascii="Arial" w:eastAsia="Arial MT" w:hAnsi="Arial" w:cs="Arial"/>
          <w:b/>
          <w:sz w:val="22"/>
          <w:szCs w:val="22"/>
          <w:lang w:val="es-ES" w:eastAsia="en-US"/>
        </w:rPr>
        <w:t>Temas:</w:t>
      </w:r>
      <w:r w:rsidRPr="00934C78">
        <w:rPr>
          <w:rFonts w:ascii="Arial" w:eastAsia="Arial MT" w:hAnsi="Arial" w:cs="Arial"/>
          <w:b/>
          <w:sz w:val="22"/>
          <w:szCs w:val="22"/>
          <w:lang w:val="es-ES" w:eastAsia="en-US"/>
        </w:rPr>
        <w:tab/>
      </w:r>
      <w:r w:rsidRPr="00934C78">
        <w:rPr>
          <w:rFonts w:ascii="Arial" w:eastAsia="Arial MT" w:hAnsi="Arial" w:cs="Arial"/>
          <w:sz w:val="22"/>
          <w:szCs w:val="22"/>
          <w:lang w:val="es-ES" w:eastAsia="en-US"/>
        </w:rPr>
        <w:t>LEY</w:t>
      </w:r>
      <w:r w:rsidRPr="00934C78">
        <w:rPr>
          <w:rFonts w:ascii="Arial" w:eastAsia="Arial MT" w:hAnsi="Arial" w:cs="Arial"/>
          <w:spacing w:val="40"/>
          <w:sz w:val="22"/>
          <w:szCs w:val="22"/>
          <w:lang w:val="es-ES" w:eastAsia="en-US"/>
        </w:rPr>
        <w:t xml:space="preserve"> </w:t>
      </w:r>
      <w:r w:rsidRPr="00934C78">
        <w:rPr>
          <w:rFonts w:ascii="Arial" w:eastAsia="Arial MT" w:hAnsi="Arial" w:cs="Arial"/>
          <w:sz w:val="22"/>
          <w:szCs w:val="22"/>
          <w:lang w:val="es-ES" w:eastAsia="en-US"/>
        </w:rPr>
        <w:t>DE</w:t>
      </w:r>
      <w:r w:rsidRPr="00934C78">
        <w:rPr>
          <w:rFonts w:ascii="Arial" w:eastAsia="Arial MT" w:hAnsi="Arial" w:cs="Arial"/>
          <w:spacing w:val="40"/>
          <w:sz w:val="22"/>
          <w:szCs w:val="22"/>
          <w:lang w:val="es-ES" w:eastAsia="en-US"/>
        </w:rPr>
        <w:t xml:space="preserve"> </w:t>
      </w:r>
      <w:r w:rsidRPr="00934C78">
        <w:rPr>
          <w:rFonts w:ascii="Arial" w:eastAsia="Arial MT" w:hAnsi="Arial" w:cs="Arial"/>
          <w:sz w:val="22"/>
          <w:szCs w:val="22"/>
          <w:lang w:val="es-ES" w:eastAsia="en-US"/>
        </w:rPr>
        <w:t>GARANTÍAS</w:t>
      </w:r>
      <w:r w:rsidRPr="00934C78">
        <w:rPr>
          <w:rFonts w:ascii="Arial" w:eastAsia="Arial MT" w:hAnsi="Arial" w:cs="Arial"/>
          <w:spacing w:val="42"/>
          <w:sz w:val="22"/>
          <w:szCs w:val="22"/>
          <w:lang w:val="es-ES" w:eastAsia="en-US"/>
        </w:rPr>
        <w:t xml:space="preserve"> </w:t>
      </w:r>
      <w:r w:rsidRPr="00934C78">
        <w:rPr>
          <w:rFonts w:ascii="Arial" w:eastAsia="Arial MT" w:hAnsi="Arial" w:cs="Arial"/>
          <w:sz w:val="22"/>
          <w:szCs w:val="22"/>
          <w:lang w:val="es-ES" w:eastAsia="en-US"/>
        </w:rPr>
        <w:t>ELECTORALES</w:t>
      </w:r>
      <w:r w:rsidRPr="00934C78">
        <w:rPr>
          <w:rFonts w:ascii="Arial" w:eastAsia="Arial MT" w:hAnsi="Arial" w:cs="Arial"/>
          <w:spacing w:val="42"/>
          <w:sz w:val="22"/>
          <w:szCs w:val="22"/>
          <w:lang w:val="es-ES" w:eastAsia="en-US"/>
        </w:rPr>
        <w:t xml:space="preserve"> </w:t>
      </w:r>
      <w:r w:rsidRPr="00934C78">
        <w:rPr>
          <w:rFonts w:ascii="Arial" w:eastAsia="Arial MT" w:hAnsi="Arial" w:cs="Arial"/>
          <w:sz w:val="22"/>
          <w:szCs w:val="22"/>
          <w:lang w:val="es-ES" w:eastAsia="en-US"/>
        </w:rPr>
        <w:t>–</w:t>
      </w:r>
      <w:r w:rsidRPr="00934C78">
        <w:rPr>
          <w:rFonts w:ascii="Arial" w:eastAsia="Arial MT" w:hAnsi="Arial" w:cs="Arial"/>
          <w:spacing w:val="40"/>
          <w:sz w:val="22"/>
          <w:szCs w:val="22"/>
          <w:lang w:val="es-ES" w:eastAsia="en-US"/>
        </w:rPr>
        <w:t xml:space="preserve"> </w:t>
      </w:r>
      <w:r w:rsidRPr="00934C78">
        <w:rPr>
          <w:rFonts w:ascii="Arial" w:eastAsia="Arial MT" w:hAnsi="Arial" w:cs="Arial"/>
          <w:sz w:val="22"/>
          <w:szCs w:val="22"/>
          <w:lang w:val="es-ES" w:eastAsia="en-US"/>
        </w:rPr>
        <w:t>Finalidad</w:t>
      </w:r>
      <w:r w:rsidRPr="00934C78">
        <w:rPr>
          <w:rFonts w:ascii="Arial" w:eastAsia="Arial MT" w:hAnsi="Arial" w:cs="Arial"/>
          <w:spacing w:val="41"/>
          <w:sz w:val="22"/>
          <w:szCs w:val="22"/>
          <w:lang w:val="es-ES" w:eastAsia="en-US"/>
        </w:rPr>
        <w:t xml:space="preserve"> </w:t>
      </w:r>
      <w:r w:rsidRPr="00934C78">
        <w:rPr>
          <w:rFonts w:ascii="Arial" w:eastAsia="Arial MT" w:hAnsi="Arial" w:cs="Arial"/>
          <w:sz w:val="22"/>
          <w:szCs w:val="22"/>
          <w:lang w:val="es-ES" w:eastAsia="en-US"/>
        </w:rPr>
        <w:t>/</w:t>
      </w:r>
      <w:r w:rsidRPr="00934C78">
        <w:rPr>
          <w:rFonts w:ascii="Arial" w:eastAsia="Arial MT" w:hAnsi="Arial" w:cs="Arial"/>
          <w:spacing w:val="41"/>
          <w:sz w:val="22"/>
          <w:szCs w:val="22"/>
          <w:lang w:val="es-ES" w:eastAsia="en-US"/>
        </w:rPr>
        <w:t xml:space="preserve"> </w:t>
      </w:r>
      <w:r w:rsidR="006E153F" w:rsidRPr="00934C78">
        <w:rPr>
          <w:rFonts w:ascii="Arial" w:eastAsia="Arial MT" w:hAnsi="Arial" w:cs="Arial"/>
          <w:sz w:val="22"/>
          <w:szCs w:val="22"/>
          <w:lang w:val="es-ES" w:eastAsia="en-US"/>
        </w:rPr>
        <w:t>LEY</w:t>
      </w:r>
    </w:p>
    <w:p w14:paraId="602D8DB1" w14:textId="380226E1" w:rsidR="002C3719" w:rsidRPr="00934C78" w:rsidRDefault="006E153F" w:rsidP="002C3719">
      <w:pPr>
        <w:widowControl w:val="0"/>
        <w:autoSpaceDE w:val="0"/>
        <w:autoSpaceDN w:val="0"/>
        <w:ind w:left="2790" w:right="111"/>
        <w:jc w:val="both"/>
        <w:rPr>
          <w:rFonts w:ascii="Arial" w:eastAsia="Arial MT" w:hAnsi="Arial" w:cs="Arial"/>
          <w:sz w:val="22"/>
          <w:szCs w:val="22"/>
          <w:lang w:val="es-ES" w:eastAsia="en-US"/>
        </w:rPr>
      </w:pPr>
      <w:r w:rsidRPr="00934C78">
        <w:rPr>
          <w:rFonts w:ascii="Arial" w:eastAsia="Arial MT" w:hAnsi="Arial" w:cs="Arial"/>
          <w:w w:val="95"/>
          <w:sz w:val="22"/>
          <w:szCs w:val="22"/>
          <w:lang w:val="es-ES" w:eastAsia="en-US"/>
        </w:rPr>
        <w:t xml:space="preserve">DE </w:t>
      </w:r>
      <w:r w:rsidR="002C3719" w:rsidRPr="00934C78">
        <w:rPr>
          <w:rFonts w:ascii="Arial" w:eastAsia="Arial MT" w:hAnsi="Arial" w:cs="Arial"/>
          <w:w w:val="95"/>
          <w:sz w:val="22"/>
          <w:szCs w:val="22"/>
          <w:lang w:val="es-ES" w:eastAsia="en-US"/>
        </w:rPr>
        <w:t>GARANTÍAS ELECTORALES ‒ Restricciones ‒ Contratación ‒</w:t>
      </w:r>
      <w:r w:rsidR="002C3719" w:rsidRPr="00934C78">
        <w:rPr>
          <w:rFonts w:ascii="Arial" w:eastAsia="Arial MT" w:hAnsi="Arial" w:cs="Arial"/>
          <w:spacing w:val="1"/>
          <w:w w:val="95"/>
          <w:sz w:val="22"/>
          <w:szCs w:val="22"/>
          <w:lang w:val="es-ES" w:eastAsia="en-US"/>
        </w:rPr>
        <w:t xml:space="preserve"> </w:t>
      </w:r>
      <w:r w:rsidR="002C3719" w:rsidRPr="00934C78">
        <w:rPr>
          <w:rFonts w:ascii="Arial" w:eastAsia="Arial MT" w:hAnsi="Arial" w:cs="Arial"/>
          <w:sz w:val="22"/>
          <w:szCs w:val="22"/>
          <w:lang w:val="es-ES" w:eastAsia="en-US"/>
        </w:rPr>
        <w:t xml:space="preserve">Tipos de elección / LEY DE GARANTÍAS ELECTORALES </w:t>
      </w:r>
      <w:r w:rsidR="002C3719" w:rsidRPr="00934C78">
        <w:rPr>
          <w:rFonts w:ascii="Arial" w:eastAsia="Arial MT" w:hAnsi="Arial" w:cs="Arial"/>
          <w:w w:val="95"/>
          <w:sz w:val="22"/>
          <w:szCs w:val="22"/>
          <w:lang w:val="es-ES" w:eastAsia="en-US"/>
        </w:rPr>
        <w:t>‒</w:t>
      </w:r>
      <w:r w:rsidR="002C3719" w:rsidRPr="00934C78">
        <w:rPr>
          <w:rFonts w:ascii="Arial" w:eastAsia="Arial MT" w:hAnsi="Arial" w:cs="Arial"/>
          <w:spacing w:val="1"/>
          <w:w w:val="95"/>
          <w:sz w:val="22"/>
          <w:szCs w:val="22"/>
          <w:lang w:val="es-ES" w:eastAsia="en-US"/>
        </w:rPr>
        <w:t xml:space="preserve"> </w:t>
      </w:r>
      <w:r w:rsidR="002C3719" w:rsidRPr="00934C78">
        <w:rPr>
          <w:rFonts w:ascii="Arial" w:eastAsia="Arial MT" w:hAnsi="Arial" w:cs="Arial"/>
          <w:w w:val="95"/>
          <w:sz w:val="22"/>
          <w:szCs w:val="22"/>
          <w:lang w:val="es-ES" w:eastAsia="en-US"/>
        </w:rPr>
        <w:t>Prohibiciones ‒ Ámbito temporal / DESTINATARIOS DE LA LEY</w:t>
      </w:r>
      <w:r w:rsidR="002C3719" w:rsidRPr="00934C78">
        <w:rPr>
          <w:rFonts w:ascii="Arial" w:eastAsia="Arial MT" w:hAnsi="Arial" w:cs="Arial"/>
          <w:spacing w:val="1"/>
          <w:w w:val="95"/>
          <w:sz w:val="22"/>
          <w:szCs w:val="22"/>
          <w:lang w:val="es-ES" w:eastAsia="en-US"/>
        </w:rPr>
        <w:t xml:space="preserve"> </w:t>
      </w:r>
      <w:r w:rsidR="002C3719" w:rsidRPr="00934C78">
        <w:rPr>
          <w:rFonts w:ascii="Arial" w:eastAsia="Arial MT" w:hAnsi="Arial" w:cs="Arial"/>
          <w:sz w:val="22"/>
          <w:szCs w:val="22"/>
          <w:lang w:val="es-ES" w:eastAsia="en-US"/>
        </w:rPr>
        <w:t>DE GARANTÍAS ELECTORALES – parágrafo del artículo 38 de</w:t>
      </w:r>
      <w:r w:rsidR="002C3719" w:rsidRPr="00934C78">
        <w:rPr>
          <w:rFonts w:ascii="Arial" w:eastAsia="Arial MT" w:hAnsi="Arial" w:cs="Arial"/>
          <w:spacing w:val="-60"/>
          <w:sz w:val="22"/>
          <w:szCs w:val="22"/>
          <w:lang w:val="es-ES" w:eastAsia="en-US"/>
        </w:rPr>
        <w:t xml:space="preserve"> </w:t>
      </w:r>
      <w:r w:rsidR="002C3719" w:rsidRPr="00934C78">
        <w:rPr>
          <w:rFonts w:ascii="Arial" w:eastAsia="Arial MT" w:hAnsi="Arial" w:cs="Arial"/>
          <w:sz w:val="22"/>
          <w:szCs w:val="22"/>
          <w:lang w:val="es-ES" w:eastAsia="en-US"/>
        </w:rPr>
        <w:t>la</w:t>
      </w:r>
      <w:r w:rsidR="002C3719" w:rsidRPr="00934C78">
        <w:rPr>
          <w:rFonts w:ascii="Arial" w:eastAsia="Arial MT" w:hAnsi="Arial" w:cs="Arial"/>
          <w:spacing w:val="-2"/>
          <w:sz w:val="22"/>
          <w:szCs w:val="22"/>
          <w:lang w:val="es-ES" w:eastAsia="en-US"/>
        </w:rPr>
        <w:t xml:space="preserve"> </w:t>
      </w:r>
      <w:r w:rsidR="002C3719" w:rsidRPr="00934C78">
        <w:rPr>
          <w:rFonts w:ascii="Arial" w:eastAsia="Arial MT" w:hAnsi="Arial" w:cs="Arial"/>
          <w:sz w:val="22"/>
          <w:szCs w:val="22"/>
          <w:lang w:val="es-ES" w:eastAsia="en-US"/>
        </w:rPr>
        <w:t>Ley</w:t>
      </w:r>
      <w:r w:rsidR="002C3719" w:rsidRPr="00934C78">
        <w:rPr>
          <w:rFonts w:ascii="Arial" w:eastAsia="Arial MT" w:hAnsi="Arial" w:cs="Arial"/>
          <w:spacing w:val="-1"/>
          <w:sz w:val="22"/>
          <w:szCs w:val="22"/>
          <w:lang w:val="es-ES" w:eastAsia="en-US"/>
        </w:rPr>
        <w:t xml:space="preserve"> </w:t>
      </w:r>
      <w:r w:rsidR="002C3719" w:rsidRPr="00934C78">
        <w:rPr>
          <w:rFonts w:ascii="Arial" w:eastAsia="Arial MT" w:hAnsi="Arial" w:cs="Arial"/>
          <w:sz w:val="22"/>
          <w:szCs w:val="22"/>
          <w:lang w:val="es-ES" w:eastAsia="en-US"/>
        </w:rPr>
        <w:t>996</w:t>
      </w:r>
      <w:r w:rsidR="002C3719" w:rsidRPr="00934C78">
        <w:rPr>
          <w:rFonts w:ascii="Arial" w:eastAsia="Arial MT" w:hAnsi="Arial" w:cs="Arial"/>
          <w:spacing w:val="-1"/>
          <w:sz w:val="22"/>
          <w:szCs w:val="22"/>
          <w:lang w:val="es-ES" w:eastAsia="en-US"/>
        </w:rPr>
        <w:t xml:space="preserve"> </w:t>
      </w:r>
      <w:r w:rsidR="002C3719" w:rsidRPr="00934C78">
        <w:rPr>
          <w:rFonts w:ascii="Arial" w:eastAsia="Arial MT" w:hAnsi="Arial" w:cs="Arial"/>
          <w:sz w:val="22"/>
          <w:szCs w:val="22"/>
          <w:lang w:val="es-ES" w:eastAsia="en-US"/>
        </w:rPr>
        <w:t>de</w:t>
      </w:r>
      <w:r w:rsidR="002C3719" w:rsidRPr="00934C78">
        <w:rPr>
          <w:rFonts w:ascii="Arial" w:eastAsia="Arial MT" w:hAnsi="Arial" w:cs="Arial"/>
          <w:spacing w:val="-1"/>
          <w:sz w:val="22"/>
          <w:szCs w:val="22"/>
          <w:lang w:val="es-ES" w:eastAsia="en-US"/>
        </w:rPr>
        <w:t xml:space="preserve"> </w:t>
      </w:r>
      <w:r w:rsidR="002C3719" w:rsidRPr="00934C78">
        <w:rPr>
          <w:rFonts w:ascii="Arial" w:eastAsia="Arial MT" w:hAnsi="Arial" w:cs="Arial"/>
          <w:sz w:val="22"/>
          <w:szCs w:val="22"/>
          <w:lang w:val="es-ES" w:eastAsia="en-US"/>
        </w:rPr>
        <w:t>2005.</w:t>
      </w:r>
    </w:p>
    <w:p w14:paraId="4EA1A8B9" w14:textId="77777777" w:rsidR="002C3719" w:rsidRPr="00934C78" w:rsidRDefault="002C3719" w:rsidP="002C3719">
      <w:pPr>
        <w:widowControl w:val="0"/>
        <w:tabs>
          <w:tab w:val="left" w:pos="2789"/>
        </w:tabs>
        <w:autoSpaceDE w:val="0"/>
        <w:autoSpaceDN w:val="0"/>
        <w:spacing w:before="130"/>
        <w:ind w:left="100"/>
        <w:rPr>
          <w:rFonts w:ascii="Arial" w:eastAsia="Arial MT" w:hAnsi="Arial" w:cs="Arial"/>
          <w:sz w:val="22"/>
          <w:szCs w:val="22"/>
          <w:lang w:val="es-ES" w:eastAsia="en-US"/>
        </w:rPr>
      </w:pPr>
      <w:r w:rsidRPr="00934C78">
        <w:rPr>
          <w:rFonts w:ascii="Arial" w:eastAsia="Arial MT" w:hAnsi="Arial" w:cs="Arial"/>
          <w:b/>
          <w:sz w:val="22"/>
          <w:szCs w:val="22"/>
          <w:lang w:val="es-ES" w:eastAsia="en-US"/>
        </w:rPr>
        <w:t>Radicación</w:t>
      </w:r>
      <w:r w:rsidRPr="00934C78">
        <w:rPr>
          <w:rFonts w:ascii="Arial" w:eastAsia="Arial MT" w:hAnsi="Arial" w:cs="Arial"/>
          <w:sz w:val="22"/>
          <w:szCs w:val="22"/>
          <w:lang w:val="es-ES" w:eastAsia="en-US"/>
        </w:rPr>
        <w:t>:</w:t>
      </w:r>
      <w:r w:rsidRPr="00934C78">
        <w:rPr>
          <w:rFonts w:ascii="Arial" w:eastAsia="Arial MT" w:hAnsi="Arial" w:cs="Arial"/>
          <w:sz w:val="22"/>
          <w:szCs w:val="22"/>
          <w:lang w:val="es-ES" w:eastAsia="en-US"/>
        </w:rPr>
        <w:tab/>
        <w:t>Respuesta</w:t>
      </w:r>
      <w:r w:rsidRPr="00934C78">
        <w:rPr>
          <w:rFonts w:ascii="Arial" w:eastAsia="Arial MT" w:hAnsi="Arial" w:cs="Arial"/>
          <w:spacing w:val="-6"/>
          <w:sz w:val="22"/>
          <w:szCs w:val="22"/>
          <w:lang w:val="es-ES" w:eastAsia="en-US"/>
        </w:rPr>
        <w:t xml:space="preserve"> </w:t>
      </w:r>
      <w:r w:rsidRPr="00934C78">
        <w:rPr>
          <w:rFonts w:ascii="Arial" w:eastAsia="Arial MT" w:hAnsi="Arial" w:cs="Arial"/>
          <w:sz w:val="22"/>
          <w:szCs w:val="22"/>
          <w:lang w:val="es-ES" w:eastAsia="en-US"/>
        </w:rPr>
        <w:t>a</w:t>
      </w:r>
      <w:r w:rsidRPr="00934C78">
        <w:rPr>
          <w:rFonts w:ascii="Arial" w:eastAsia="Arial MT" w:hAnsi="Arial" w:cs="Arial"/>
          <w:spacing w:val="-5"/>
          <w:sz w:val="22"/>
          <w:szCs w:val="22"/>
          <w:lang w:val="es-ES" w:eastAsia="en-US"/>
        </w:rPr>
        <w:t xml:space="preserve"> </w:t>
      </w:r>
      <w:r w:rsidRPr="00934C78">
        <w:rPr>
          <w:rFonts w:ascii="Arial" w:eastAsia="Arial MT" w:hAnsi="Arial" w:cs="Arial"/>
          <w:sz w:val="22"/>
          <w:szCs w:val="22"/>
          <w:lang w:val="es-ES" w:eastAsia="en-US"/>
        </w:rPr>
        <w:t>consulta</w:t>
      </w:r>
      <w:r w:rsidRPr="00934C78">
        <w:rPr>
          <w:rFonts w:ascii="Arial" w:eastAsia="Arial MT" w:hAnsi="Arial" w:cs="Arial"/>
          <w:spacing w:val="-6"/>
          <w:sz w:val="22"/>
          <w:szCs w:val="22"/>
          <w:lang w:val="es-ES" w:eastAsia="en-US"/>
        </w:rPr>
        <w:t xml:space="preserve"> </w:t>
      </w:r>
      <w:r w:rsidRPr="00934C78">
        <w:rPr>
          <w:rFonts w:ascii="Arial" w:eastAsia="Arial MT" w:hAnsi="Arial" w:cs="Arial"/>
          <w:sz w:val="22"/>
          <w:szCs w:val="22"/>
          <w:lang w:val="es-ES" w:eastAsia="en-US"/>
        </w:rPr>
        <w:t>#</w:t>
      </w:r>
      <w:r w:rsidRPr="00934C78">
        <w:rPr>
          <w:rFonts w:ascii="Arial" w:eastAsia="Arial MT" w:hAnsi="Arial" w:cs="Arial"/>
          <w:spacing w:val="-3"/>
          <w:sz w:val="22"/>
          <w:szCs w:val="22"/>
          <w:lang w:val="es-ES" w:eastAsia="en-US"/>
        </w:rPr>
        <w:t xml:space="preserve"> </w:t>
      </w:r>
      <w:r w:rsidRPr="00934C78">
        <w:rPr>
          <w:rFonts w:ascii="Arial" w:eastAsia="Arial MT" w:hAnsi="Arial" w:cs="Arial"/>
          <w:color w:val="313130"/>
          <w:sz w:val="22"/>
          <w:szCs w:val="22"/>
          <w:lang w:val="es-ES" w:eastAsia="en-US"/>
        </w:rPr>
        <w:t>P20210827007750</w:t>
      </w:r>
    </w:p>
    <w:p w14:paraId="6643BC73" w14:textId="26B4CE97" w:rsidR="002E3C26" w:rsidRPr="004E4581" w:rsidRDefault="002E3C26" w:rsidP="003C3339">
      <w:pPr>
        <w:jc w:val="both"/>
        <w:rPr>
          <w:rFonts w:ascii="Arial" w:eastAsia="Calibri" w:hAnsi="Arial" w:cs="Arial"/>
          <w:color w:val="000000" w:themeColor="text1"/>
          <w:sz w:val="22"/>
          <w:lang w:val="es-ES_tradnl"/>
        </w:rPr>
      </w:pPr>
      <w:bookmarkStart w:id="8" w:name="_Hlk80951783"/>
      <w:bookmarkEnd w:id="2"/>
    </w:p>
    <w:p w14:paraId="0416277B" w14:textId="77777777" w:rsidR="00FD1854" w:rsidRPr="004E4581" w:rsidRDefault="00FD1854" w:rsidP="003C3339">
      <w:pPr>
        <w:jc w:val="both"/>
        <w:rPr>
          <w:rFonts w:ascii="Arial" w:eastAsia="Calibri" w:hAnsi="Arial" w:cs="Arial"/>
          <w:color w:val="000000" w:themeColor="text1"/>
          <w:sz w:val="22"/>
          <w:lang w:val="es-ES_tradnl"/>
        </w:rPr>
      </w:pPr>
    </w:p>
    <w:p w14:paraId="1CF4AEA0" w14:textId="41D7D700" w:rsidR="003C3339" w:rsidRPr="004E4581" w:rsidRDefault="003C3339" w:rsidP="003C3339">
      <w:pPr>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Estimad</w:t>
      </w:r>
      <w:r w:rsidR="00E20339">
        <w:rPr>
          <w:rFonts w:ascii="Arial" w:eastAsia="Calibri" w:hAnsi="Arial" w:cs="Arial"/>
          <w:color w:val="000000" w:themeColor="text1"/>
          <w:sz w:val="22"/>
          <w:lang w:val="es-ES_tradnl"/>
        </w:rPr>
        <w:t>a</w:t>
      </w:r>
      <w:r w:rsidRPr="004E4581">
        <w:rPr>
          <w:rFonts w:ascii="Arial" w:eastAsia="Calibri" w:hAnsi="Arial" w:cs="Arial"/>
          <w:color w:val="000000" w:themeColor="text1"/>
          <w:sz w:val="22"/>
          <w:lang w:val="es-ES_tradnl"/>
        </w:rPr>
        <w:t xml:space="preserve"> </w:t>
      </w:r>
      <w:r w:rsidR="00786B97">
        <w:rPr>
          <w:rFonts w:ascii="Arial" w:eastAsia="Calibri" w:hAnsi="Arial" w:cs="Arial"/>
          <w:color w:val="000000" w:themeColor="text1"/>
          <w:sz w:val="22"/>
          <w:lang w:val="es-ES_tradnl"/>
        </w:rPr>
        <w:t>S</w:t>
      </w:r>
      <w:r w:rsidR="00B549B3" w:rsidRPr="004E4581">
        <w:rPr>
          <w:rFonts w:ascii="Arial" w:eastAsia="Calibri" w:hAnsi="Arial" w:cs="Arial"/>
          <w:color w:val="000000" w:themeColor="text1"/>
          <w:sz w:val="22"/>
          <w:lang w:val="es-ES_tradnl"/>
        </w:rPr>
        <w:t>eñor</w:t>
      </w:r>
      <w:r w:rsidR="00786B97">
        <w:rPr>
          <w:rFonts w:ascii="Arial" w:eastAsia="Calibri" w:hAnsi="Arial" w:cs="Arial"/>
          <w:color w:val="000000" w:themeColor="text1"/>
          <w:sz w:val="22"/>
          <w:lang w:val="es-ES_tradnl"/>
        </w:rPr>
        <w:t>a</w:t>
      </w:r>
      <w:r w:rsidR="00B549B3" w:rsidRPr="004E4581">
        <w:rPr>
          <w:rFonts w:ascii="Arial" w:eastAsia="Calibri" w:hAnsi="Arial" w:cs="Arial"/>
          <w:color w:val="000000" w:themeColor="text1"/>
          <w:sz w:val="22"/>
          <w:lang w:val="es-ES_tradnl"/>
        </w:rPr>
        <w:t xml:space="preserve"> </w:t>
      </w:r>
      <w:r w:rsidR="00D66425">
        <w:rPr>
          <w:rFonts w:ascii="Arial" w:eastAsia="Calibri" w:hAnsi="Arial" w:cs="Arial"/>
          <w:color w:val="000000" w:themeColor="text1"/>
          <w:sz w:val="22"/>
          <w:lang w:val="es-ES_tradnl"/>
        </w:rPr>
        <w:t>Beltrán</w:t>
      </w:r>
      <w:r w:rsidR="00E746A6" w:rsidRPr="004E4581">
        <w:rPr>
          <w:rFonts w:ascii="Arial" w:eastAsia="Calibri" w:hAnsi="Arial" w:cs="Arial"/>
          <w:color w:val="000000" w:themeColor="text1"/>
          <w:sz w:val="22"/>
          <w:lang w:val="es-ES_tradnl"/>
        </w:rPr>
        <w:t xml:space="preserve">: </w:t>
      </w:r>
    </w:p>
    <w:p w14:paraId="1EAE5543" w14:textId="77777777" w:rsidR="00DD5B04" w:rsidRPr="004E4581" w:rsidRDefault="00DD5B04" w:rsidP="00DF76A2">
      <w:pPr>
        <w:jc w:val="both"/>
        <w:rPr>
          <w:rFonts w:ascii="Arial" w:eastAsia="Calibri" w:hAnsi="Arial" w:cs="Arial"/>
          <w:color w:val="000000" w:themeColor="text1"/>
          <w:sz w:val="22"/>
          <w:lang w:val="es-ES_tradnl"/>
        </w:rPr>
      </w:pPr>
    </w:p>
    <w:p w14:paraId="2109B2D3" w14:textId="64FD85F5" w:rsidR="00DD5B04" w:rsidRPr="004E4581" w:rsidRDefault="00DD5B04" w:rsidP="00DF76A2">
      <w:pPr>
        <w:spacing w:line="276" w:lineRule="auto"/>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4E4581">
        <w:rPr>
          <w:rFonts w:ascii="Arial" w:eastAsia="Calibri" w:hAnsi="Arial" w:cs="Arial"/>
          <w:color w:val="000000" w:themeColor="text1"/>
          <w:sz w:val="22"/>
          <w:lang w:val="es-ES_tradnl"/>
        </w:rPr>
        <w:t>–</w:t>
      </w:r>
      <w:r w:rsidRPr="004E4581">
        <w:rPr>
          <w:rFonts w:ascii="Arial" w:eastAsia="Calibri" w:hAnsi="Arial" w:cs="Arial"/>
          <w:color w:val="000000" w:themeColor="text1"/>
          <w:sz w:val="22"/>
          <w:lang w:val="es-ES_tradnl"/>
        </w:rPr>
        <w:t xml:space="preserve"> Colombia Compra Eficiente</w:t>
      </w:r>
      <w:r w:rsidR="008C3C57" w:rsidRPr="004E4581">
        <w:rPr>
          <w:rFonts w:ascii="Arial" w:eastAsia="Calibri" w:hAnsi="Arial" w:cs="Arial"/>
          <w:color w:val="000000" w:themeColor="text1"/>
          <w:sz w:val="22"/>
          <w:lang w:val="es-ES_tradnl"/>
        </w:rPr>
        <w:t xml:space="preserve"> </w:t>
      </w:r>
      <w:r w:rsidR="00436B3F" w:rsidRPr="004E4581">
        <w:rPr>
          <w:rFonts w:ascii="Arial" w:eastAsia="Calibri" w:hAnsi="Arial" w:cs="Arial"/>
          <w:color w:val="000000" w:themeColor="text1"/>
          <w:sz w:val="22"/>
          <w:lang w:val="es-ES_tradnl"/>
        </w:rPr>
        <w:t xml:space="preserve">responde a su consulta del </w:t>
      </w:r>
      <w:r w:rsidR="00786B97">
        <w:rPr>
          <w:rFonts w:ascii="Arial" w:eastAsia="Calibri" w:hAnsi="Arial" w:cs="Arial"/>
          <w:color w:val="000000" w:themeColor="text1"/>
          <w:sz w:val="22"/>
          <w:lang w:val="es-ES_tradnl"/>
        </w:rPr>
        <w:t xml:space="preserve">27 de agosto de 2021. </w:t>
      </w:r>
    </w:p>
    <w:p w14:paraId="0C1E0712" w14:textId="77777777" w:rsidR="00DD5B04" w:rsidRPr="004E458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E45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Problema planteado </w:t>
      </w:r>
    </w:p>
    <w:p w14:paraId="224B43D3" w14:textId="77777777" w:rsidR="00DD5B04" w:rsidRPr="004E45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2CD6EDA" w14:textId="4E8DF344" w:rsidR="005E0EF4" w:rsidRDefault="00E20339" w:rsidP="00436B3F">
      <w:pPr>
        <w:spacing w:line="276" w:lineRule="auto"/>
        <w:jc w:val="both"/>
        <w:rPr>
          <w:rFonts w:ascii="Arial" w:hAnsi="Arial" w:cs="Arial"/>
          <w:color w:val="000000" w:themeColor="text1"/>
          <w:sz w:val="22"/>
          <w:szCs w:val="22"/>
          <w:bdr w:val="none" w:sz="0" w:space="0" w:color="auto" w:frame="1"/>
        </w:rPr>
      </w:pPr>
      <w:r>
        <w:rPr>
          <w:rFonts w:ascii="Arial" w:hAnsi="Arial" w:cs="Arial"/>
          <w:color w:val="000000" w:themeColor="text1"/>
          <w:sz w:val="22"/>
          <w:lang w:val="es-ES_tradnl"/>
        </w:rPr>
        <w:t>Usted</w:t>
      </w:r>
      <w:r w:rsidR="00E746A6" w:rsidRPr="004E4581">
        <w:rPr>
          <w:rFonts w:ascii="Arial" w:hAnsi="Arial" w:cs="Arial"/>
          <w:color w:val="000000" w:themeColor="text1"/>
          <w:sz w:val="22"/>
          <w:lang w:val="es-ES_tradnl"/>
        </w:rPr>
        <w:t xml:space="preserve"> </w:t>
      </w:r>
      <w:r>
        <w:rPr>
          <w:rFonts w:ascii="Arial" w:hAnsi="Arial" w:cs="Arial"/>
          <w:color w:val="000000" w:themeColor="text1"/>
          <w:sz w:val="22"/>
          <w:lang w:val="es-ES_tradnl"/>
        </w:rPr>
        <w:t>realiza la siguiente pregunta</w:t>
      </w:r>
      <w:r w:rsidR="006251D3" w:rsidRPr="004E4581">
        <w:rPr>
          <w:rFonts w:ascii="Arial" w:hAnsi="Arial" w:cs="Arial"/>
          <w:color w:val="000000" w:themeColor="text1"/>
          <w:sz w:val="22"/>
          <w:lang w:val="es-ES_tradnl"/>
        </w:rPr>
        <w:t>:</w:t>
      </w:r>
      <w:r w:rsidR="006251D3" w:rsidRPr="004E4581">
        <w:rPr>
          <w:rFonts w:ascii="Arial" w:hAnsi="Arial" w:cs="Arial"/>
          <w:color w:val="000000" w:themeColor="text1"/>
          <w:sz w:val="21"/>
          <w:szCs w:val="21"/>
          <w:lang w:val="es-ES_tradnl"/>
        </w:rPr>
        <w:t xml:space="preserve"> </w:t>
      </w:r>
    </w:p>
    <w:p w14:paraId="40B36B89" w14:textId="77777777" w:rsidR="00D66425" w:rsidRDefault="00D66425" w:rsidP="00436B3F">
      <w:pPr>
        <w:spacing w:line="276" w:lineRule="auto"/>
        <w:jc w:val="both"/>
        <w:rPr>
          <w:rFonts w:ascii="Arial" w:hAnsi="Arial" w:cs="Arial"/>
          <w:color w:val="000000" w:themeColor="text1"/>
          <w:sz w:val="22"/>
          <w:szCs w:val="22"/>
          <w:bdr w:val="none" w:sz="0" w:space="0" w:color="auto" w:frame="1"/>
        </w:rPr>
      </w:pPr>
    </w:p>
    <w:p w14:paraId="20916DA9" w14:textId="36BA5045" w:rsidR="00D66425" w:rsidRPr="00D66425" w:rsidRDefault="00D66425" w:rsidP="00787A46">
      <w:pPr>
        <w:pStyle w:val="NormalWeb"/>
        <w:spacing w:before="0" w:beforeAutospacing="0" w:after="120" w:afterAutospacing="0"/>
        <w:ind w:left="709" w:right="709"/>
        <w:jc w:val="both"/>
        <w:rPr>
          <w:rFonts w:ascii="Arial" w:hAnsi="Arial" w:cs="Arial"/>
          <w:color w:val="000000"/>
          <w:sz w:val="21"/>
          <w:szCs w:val="21"/>
        </w:rPr>
      </w:pPr>
      <w:r w:rsidRPr="00D66425">
        <w:rPr>
          <w:rFonts w:ascii="Arial" w:hAnsi="Arial" w:cs="Arial"/>
          <w:color w:val="000000"/>
          <w:sz w:val="21"/>
          <w:szCs w:val="21"/>
        </w:rPr>
        <w:t>El parágrafo del artículo 38 de la ley 966 de 2005 señala:</w:t>
      </w:r>
    </w:p>
    <w:p w14:paraId="609B8262" w14:textId="24A6355E" w:rsidR="00D66425" w:rsidRPr="00D66425" w:rsidRDefault="00D66425" w:rsidP="00787A46">
      <w:pPr>
        <w:pStyle w:val="NormalWeb"/>
        <w:spacing w:before="0" w:beforeAutospacing="0" w:after="120" w:afterAutospacing="0"/>
        <w:ind w:left="709" w:right="709"/>
        <w:jc w:val="both"/>
        <w:rPr>
          <w:rFonts w:ascii="Arial" w:hAnsi="Arial" w:cs="Arial"/>
          <w:color w:val="000000"/>
          <w:sz w:val="21"/>
          <w:szCs w:val="21"/>
        </w:rPr>
      </w:pPr>
      <w:r w:rsidRPr="00D66425">
        <w:rPr>
          <w:rFonts w:ascii="Arial" w:hAnsi="Arial" w:cs="Arial"/>
          <w:color w:val="000000"/>
          <w:sz w:val="21"/>
          <w:szCs w:val="21"/>
        </w:rPr>
        <w:t xml:space="preserve">“Parágrafo.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w:t>
      </w:r>
      <w:r w:rsidRPr="00D66425">
        <w:rPr>
          <w:rFonts w:ascii="Arial" w:hAnsi="Arial" w:cs="Arial"/>
          <w:color w:val="000000"/>
          <w:sz w:val="21"/>
          <w:szCs w:val="21"/>
        </w:rPr>
        <w:lastRenderedPageBreak/>
        <w:t>sus juntas directivas, en o para reuniones de carácter proselitista en las que participen los candidatos a cargos de elección popular. Tampoco podrán hacerlo cuando participen voceros de los candidatos”</w:t>
      </w:r>
    </w:p>
    <w:p w14:paraId="58BCFD5B" w14:textId="77777777" w:rsidR="00D66425" w:rsidRPr="00D66425" w:rsidRDefault="00D66425" w:rsidP="00D66425">
      <w:pPr>
        <w:pStyle w:val="NormalWeb"/>
        <w:spacing w:before="0" w:beforeAutospacing="0" w:after="0" w:afterAutospacing="0"/>
        <w:ind w:left="709" w:right="709"/>
        <w:jc w:val="both"/>
        <w:rPr>
          <w:rFonts w:ascii="Arial" w:hAnsi="Arial" w:cs="Arial"/>
          <w:color w:val="000000"/>
          <w:sz w:val="21"/>
          <w:szCs w:val="21"/>
        </w:rPr>
      </w:pPr>
      <w:r w:rsidRPr="00D66425">
        <w:rPr>
          <w:rFonts w:ascii="Arial" w:hAnsi="Arial" w:cs="Arial"/>
          <w:color w:val="000000"/>
          <w:sz w:val="21"/>
          <w:szCs w:val="21"/>
        </w:rPr>
        <w:t>¿Este parágrafo también es aplicable para entes de control de orden territorial?</w:t>
      </w:r>
    </w:p>
    <w:p w14:paraId="037E7D68" w14:textId="78124F54" w:rsidR="007446F6" w:rsidRPr="004E4581"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4E45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Consideraciones</w:t>
      </w:r>
    </w:p>
    <w:p w14:paraId="7D050D2E" w14:textId="77777777" w:rsidR="00435703" w:rsidRPr="004E4581" w:rsidRDefault="00435703" w:rsidP="00DF76A2">
      <w:pPr>
        <w:spacing w:line="276" w:lineRule="auto"/>
        <w:jc w:val="both"/>
        <w:rPr>
          <w:rFonts w:ascii="Arial" w:eastAsia="Calibri" w:hAnsi="Arial" w:cs="Arial"/>
          <w:color w:val="000000" w:themeColor="text1"/>
          <w:sz w:val="22"/>
          <w:szCs w:val="22"/>
          <w:lang w:val="es-ES_tradnl"/>
        </w:rPr>
      </w:pPr>
    </w:p>
    <w:p w14:paraId="2100A875" w14:textId="175A29DF" w:rsidR="00E670DD" w:rsidRPr="00D66425" w:rsidRDefault="00D66425" w:rsidP="00787A46">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rPr>
        <w:t>La Agencia Nacional de C</w:t>
      </w:r>
      <w:r w:rsidR="00E670DD" w:rsidRPr="004E4581">
        <w:rPr>
          <w:rFonts w:ascii="Arial" w:eastAsia="Calibri" w:hAnsi="Arial" w:cs="Arial"/>
          <w:color w:val="000000" w:themeColor="text1"/>
          <w:sz w:val="22"/>
        </w:rPr>
        <w:t xml:space="preserve">ontratación Pública </w:t>
      </w:r>
      <w:bookmarkStart w:id="9" w:name="_Hlk80949389"/>
      <w:r w:rsidR="00E670DD" w:rsidRPr="004E4581">
        <w:rPr>
          <w:rFonts w:ascii="Arial" w:eastAsia="Calibri" w:hAnsi="Arial" w:cs="Arial"/>
          <w:color w:val="000000" w:themeColor="text1"/>
          <w:sz w:val="22"/>
        </w:rPr>
        <w:t>–</w:t>
      </w:r>
      <w:bookmarkEnd w:id="9"/>
      <w:r w:rsidR="00E20339">
        <w:rPr>
          <w:rFonts w:ascii="Arial" w:eastAsia="Calibri" w:hAnsi="Arial" w:cs="Arial"/>
          <w:color w:val="000000" w:themeColor="text1"/>
          <w:sz w:val="22"/>
        </w:rPr>
        <w:t xml:space="preserve"> </w:t>
      </w:r>
      <w:r w:rsidR="00E670DD" w:rsidRPr="004E4581">
        <w:rPr>
          <w:rFonts w:ascii="Arial" w:eastAsia="Calibri" w:hAnsi="Arial" w:cs="Arial"/>
          <w:color w:val="000000" w:themeColor="text1"/>
          <w:sz w:val="22"/>
        </w:rPr>
        <w:t>Colombia Compra Eficiente se ha pronunciado en diferentes ocasiones sobre la Ley de Garantías,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4E4581">
        <w:rPr>
          <w:rFonts w:ascii="Arial" w:eastAsia="Calibri" w:hAnsi="Arial" w:cs="Arial"/>
          <w:color w:val="000000" w:themeColor="text1"/>
          <w:sz w:val="22"/>
        </w:rPr>
        <w:t xml:space="preserve">, </w:t>
      </w:r>
      <w:r w:rsidR="00974B94" w:rsidRPr="004E4581">
        <w:rPr>
          <w:rFonts w:ascii="Arial" w:eastAsia="Calibri" w:hAnsi="Arial" w:cs="Arial"/>
          <w:color w:val="000000" w:themeColor="text1"/>
          <w:sz w:val="22"/>
        </w:rPr>
        <w:t xml:space="preserve"> C-227 del 24 de mayo de 2021</w:t>
      </w:r>
      <w:r w:rsidR="005E0EF4">
        <w:rPr>
          <w:rFonts w:ascii="Arial" w:eastAsia="Calibri" w:hAnsi="Arial" w:cs="Arial"/>
          <w:color w:val="000000" w:themeColor="text1"/>
          <w:sz w:val="22"/>
        </w:rPr>
        <w:t xml:space="preserve">, </w:t>
      </w:r>
      <w:r w:rsidR="0030575F" w:rsidRPr="004E4581">
        <w:rPr>
          <w:rFonts w:ascii="Arial" w:eastAsia="Calibri" w:hAnsi="Arial" w:cs="Arial"/>
          <w:color w:val="000000" w:themeColor="text1"/>
          <w:sz w:val="22"/>
        </w:rPr>
        <w:t>3</w:t>
      </w:r>
      <w:r w:rsidR="00E746A6" w:rsidRPr="004E4581">
        <w:rPr>
          <w:rFonts w:ascii="Arial" w:eastAsia="Calibri" w:hAnsi="Arial" w:cs="Arial"/>
          <w:color w:val="000000" w:themeColor="text1"/>
          <w:sz w:val="22"/>
        </w:rPr>
        <w:t>96 de</w:t>
      </w:r>
      <w:r w:rsidR="0030575F" w:rsidRPr="004E4581">
        <w:rPr>
          <w:rFonts w:ascii="Arial" w:eastAsia="Calibri" w:hAnsi="Arial" w:cs="Arial"/>
          <w:color w:val="000000" w:themeColor="text1"/>
          <w:sz w:val="22"/>
        </w:rPr>
        <w:t>l 13 de agosto de</w:t>
      </w:r>
      <w:r w:rsidR="00E746A6" w:rsidRPr="004E4581">
        <w:rPr>
          <w:rFonts w:ascii="Arial" w:eastAsia="Calibri" w:hAnsi="Arial" w:cs="Arial"/>
          <w:color w:val="000000" w:themeColor="text1"/>
          <w:sz w:val="22"/>
        </w:rPr>
        <w:t xml:space="preserve"> 2021</w:t>
      </w:r>
      <w:r w:rsidR="005E0EF4">
        <w:rPr>
          <w:rFonts w:ascii="Arial" w:eastAsia="Calibri" w:hAnsi="Arial" w:cs="Arial"/>
          <w:color w:val="000000" w:themeColor="text1"/>
          <w:sz w:val="22"/>
        </w:rPr>
        <w:t xml:space="preserve"> y 439 del 27 de agosto de 2021</w:t>
      </w:r>
      <w:r w:rsidR="00974B94" w:rsidRPr="004E4581">
        <w:rPr>
          <w:rFonts w:ascii="Arial" w:eastAsia="Calibri" w:hAnsi="Arial" w:cs="Arial"/>
          <w:color w:val="000000" w:themeColor="text1"/>
          <w:sz w:val="22"/>
        </w:rPr>
        <w:t xml:space="preserve">. Teniendo en cuenta </w:t>
      </w:r>
      <w:r w:rsidR="002D283F" w:rsidRPr="004E4581">
        <w:rPr>
          <w:rFonts w:ascii="Arial" w:eastAsia="Calibri" w:hAnsi="Arial" w:cs="Arial"/>
          <w:color w:val="000000" w:themeColor="text1"/>
          <w:sz w:val="22"/>
        </w:rPr>
        <w:t>los conceptos anteriores y</w:t>
      </w:r>
      <w:r w:rsidR="00974B94" w:rsidRPr="004E4581">
        <w:rPr>
          <w:rFonts w:ascii="Arial" w:eastAsia="Calibri" w:hAnsi="Arial" w:cs="Arial"/>
          <w:color w:val="000000" w:themeColor="text1"/>
          <w:sz w:val="22"/>
        </w:rPr>
        <w:t xml:space="preserve"> </w:t>
      </w:r>
      <w:r w:rsidR="002D283F" w:rsidRPr="004E4581">
        <w:rPr>
          <w:rFonts w:ascii="Arial" w:eastAsia="Calibri" w:hAnsi="Arial" w:cs="Arial"/>
          <w:color w:val="000000" w:themeColor="text1"/>
          <w:sz w:val="22"/>
        </w:rPr>
        <w:t>analizando</w:t>
      </w:r>
      <w:r w:rsidR="00974B94" w:rsidRPr="004E4581">
        <w:rPr>
          <w:rFonts w:ascii="Arial" w:eastAsia="Calibri" w:hAnsi="Arial" w:cs="Arial"/>
          <w:color w:val="000000" w:themeColor="text1"/>
          <w:sz w:val="22"/>
        </w:rPr>
        <w:t xml:space="preserve"> la pregunta en cuestión se </w:t>
      </w:r>
      <w:r w:rsidR="002D283F" w:rsidRPr="004E4581">
        <w:rPr>
          <w:rFonts w:ascii="Arial" w:eastAsia="Calibri" w:hAnsi="Arial" w:cs="Arial"/>
          <w:color w:val="000000" w:themeColor="text1"/>
          <w:sz w:val="22"/>
        </w:rPr>
        <w:t>realizan las siguientes consideraciones.</w:t>
      </w:r>
      <w:r w:rsidR="00974B94" w:rsidRPr="004E4581">
        <w:rPr>
          <w:rFonts w:ascii="Arial" w:eastAsia="Calibri" w:hAnsi="Arial" w:cs="Arial"/>
          <w:color w:val="000000" w:themeColor="text1"/>
          <w:sz w:val="22"/>
        </w:rPr>
        <w:t xml:space="preserve"> </w:t>
      </w:r>
    </w:p>
    <w:p w14:paraId="0D27A697" w14:textId="452E95D1" w:rsidR="00F433CB" w:rsidRPr="004E4581" w:rsidRDefault="00F433CB" w:rsidP="00F433CB">
      <w:pPr>
        <w:spacing w:line="276" w:lineRule="auto"/>
        <w:jc w:val="both"/>
        <w:rPr>
          <w:rFonts w:ascii="Arial" w:eastAsia="Calibri" w:hAnsi="Arial" w:cs="Arial"/>
          <w:color w:val="000000" w:themeColor="text1"/>
          <w:sz w:val="22"/>
        </w:rPr>
      </w:pPr>
    </w:p>
    <w:p w14:paraId="3E0F71A2" w14:textId="77777777" w:rsidR="00B83D27" w:rsidRPr="00E807B5" w:rsidRDefault="00B83D27" w:rsidP="00B83D27">
      <w:pPr>
        <w:spacing w:line="276" w:lineRule="auto"/>
        <w:jc w:val="both"/>
        <w:rPr>
          <w:rFonts w:ascii="Arial" w:hAnsi="Arial" w:cs="Arial"/>
          <w:b/>
          <w:bCs/>
          <w:color w:val="000000" w:themeColor="text1"/>
          <w:sz w:val="22"/>
          <w:szCs w:val="22"/>
          <w:lang w:val="es-ES_tradnl"/>
        </w:rPr>
      </w:pPr>
      <w:r w:rsidRPr="00E807B5">
        <w:rPr>
          <w:rFonts w:ascii="Arial" w:eastAsia="Calibri" w:hAnsi="Arial" w:cs="Arial"/>
          <w:b/>
          <w:bCs/>
          <w:color w:val="000000" w:themeColor="text1"/>
          <w:sz w:val="22"/>
        </w:rPr>
        <w:t>2.1. Finalidad y restricciones de la Ley de Garantías Electorales</w:t>
      </w:r>
    </w:p>
    <w:p w14:paraId="718719E8" w14:textId="77777777" w:rsidR="00B83D27" w:rsidRPr="00E807B5" w:rsidRDefault="00B83D27" w:rsidP="00B83D27">
      <w:pPr>
        <w:spacing w:line="276" w:lineRule="auto"/>
        <w:jc w:val="both"/>
        <w:rPr>
          <w:rFonts w:ascii="Arial" w:eastAsia="Calibri" w:hAnsi="Arial" w:cs="Arial"/>
          <w:color w:val="000000" w:themeColor="text1"/>
          <w:sz w:val="22"/>
          <w:szCs w:val="22"/>
          <w:lang w:val="es-ES_tradnl"/>
        </w:rPr>
      </w:pPr>
    </w:p>
    <w:p w14:paraId="66F9D31D" w14:textId="77777777" w:rsidR="00B83D27" w:rsidRPr="00E807B5" w:rsidRDefault="00B83D27" w:rsidP="00B83D27">
      <w:pPr>
        <w:tabs>
          <w:tab w:val="left" w:pos="426"/>
        </w:tabs>
        <w:spacing w:after="120" w:line="276" w:lineRule="auto"/>
        <w:jc w:val="both"/>
        <w:rPr>
          <w:rFonts w:ascii="Arial" w:eastAsia="Calibri" w:hAnsi="Arial" w:cs="Arial"/>
          <w:bCs/>
          <w:sz w:val="22"/>
        </w:rPr>
      </w:pPr>
      <w:r w:rsidRPr="00E807B5">
        <w:rPr>
          <w:rFonts w:ascii="Arial" w:eastAsia="Calibri" w:hAnsi="Arial" w:cs="Arial"/>
          <w:bCs/>
          <w:sz w:val="22"/>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w:t>
      </w:r>
      <w:r w:rsidRPr="00E807B5">
        <w:rPr>
          <w:rStyle w:val="Refdenotaalpie"/>
          <w:rFonts w:ascii="Arial" w:eastAsia="Calibri" w:hAnsi="Arial" w:cs="Arial"/>
          <w:bCs/>
          <w:sz w:val="22"/>
        </w:rPr>
        <w:footnoteReference w:id="2"/>
      </w:r>
      <w:r w:rsidRPr="00E807B5">
        <w:rPr>
          <w:rFonts w:ascii="Arial" w:eastAsia="Calibri" w:hAnsi="Arial" w:cs="Arial"/>
          <w:bCs/>
          <w:sz w:val="22"/>
        </w:rPr>
        <w:t xml:space="preserve">. </w:t>
      </w:r>
    </w:p>
    <w:p w14:paraId="1924E6DD" w14:textId="77777777" w:rsidR="00B83D27" w:rsidRPr="00E807B5" w:rsidRDefault="00B83D27" w:rsidP="00B83D27">
      <w:pPr>
        <w:tabs>
          <w:tab w:val="left" w:pos="426"/>
        </w:tabs>
        <w:spacing w:line="276" w:lineRule="auto"/>
        <w:jc w:val="both"/>
        <w:rPr>
          <w:rFonts w:ascii="Arial" w:hAnsi="Arial" w:cs="Arial"/>
          <w:bCs/>
          <w:color w:val="000000"/>
          <w:sz w:val="22"/>
          <w:lang w:eastAsia="es-CO"/>
        </w:rPr>
      </w:pPr>
      <w:r w:rsidRPr="00E807B5">
        <w:rPr>
          <w:rFonts w:ascii="Arial" w:hAnsi="Arial" w:cs="Arial"/>
          <w:bCs/>
          <w:color w:val="000000"/>
          <w:sz w:val="22"/>
          <w:lang w:eastAsia="es-CO"/>
        </w:rPr>
        <w:tab/>
        <w:t xml:space="preserve">En el mismo sentido, la Ley 996 de 2005 se suma al andamiaje de orden constitucional y legal que se ha ocupado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w:t>
      </w:r>
      <w:r w:rsidRPr="00E807B5">
        <w:rPr>
          <w:rFonts w:ascii="Arial" w:hAnsi="Arial" w:cs="Arial"/>
          <w:bCs/>
          <w:color w:val="000000"/>
          <w:sz w:val="22"/>
          <w:lang w:eastAsia="es-CO"/>
        </w:rPr>
        <w:lastRenderedPageBreak/>
        <w:t>implique destinación de recursos públicos.</w:t>
      </w:r>
      <w:r w:rsidRPr="00E807B5">
        <w:rPr>
          <w:rFonts w:ascii="Arial" w:eastAsia="Calibri" w:hAnsi="Arial" w:cs="Arial"/>
          <w:noProof/>
          <w:sz w:val="22"/>
          <w:lang w:val="es-ES_tradnl"/>
        </w:rPr>
        <w:t xml:space="preserve"> </w:t>
      </w:r>
      <w:r w:rsidRPr="00E807B5">
        <w:rPr>
          <w:rFonts w:ascii="Arial" w:hAnsi="Arial" w:cs="Arial"/>
          <w:bCs/>
          <w:color w:val="000000"/>
          <w:sz w:val="22"/>
          <w:lang w:eastAsia="es-CO"/>
        </w:rPr>
        <w:t>En armonía con lo anterior, la Corte Constitucional –en la Sentencia C-1153 de 2005– considera que:</w:t>
      </w:r>
    </w:p>
    <w:p w14:paraId="37B97245" w14:textId="77777777" w:rsidR="00B83D27" w:rsidRPr="00E807B5" w:rsidRDefault="00B83D27" w:rsidP="00B83D27">
      <w:pPr>
        <w:ind w:right="709"/>
        <w:jc w:val="both"/>
        <w:rPr>
          <w:rFonts w:ascii="Arial" w:hAnsi="Arial" w:cs="Arial"/>
          <w:sz w:val="21"/>
          <w:szCs w:val="21"/>
          <w:lang w:val="es-ES" w:eastAsia="es-CO"/>
        </w:rPr>
      </w:pPr>
    </w:p>
    <w:p w14:paraId="60618D91" w14:textId="77777777" w:rsidR="00B83D27" w:rsidRPr="00E807B5" w:rsidRDefault="00B83D27" w:rsidP="00B83D27">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1980DEFA" w14:textId="77777777" w:rsidR="00B83D27" w:rsidRPr="00E807B5" w:rsidRDefault="00B83D27" w:rsidP="00B83D27">
      <w:pPr>
        <w:ind w:left="709" w:right="709"/>
        <w:jc w:val="both"/>
        <w:rPr>
          <w:rFonts w:ascii="Arial" w:hAnsi="Arial" w:cs="Arial"/>
          <w:bCs/>
          <w:color w:val="000000"/>
          <w:sz w:val="21"/>
          <w:szCs w:val="21"/>
          <w:lang w:eastAsia="es-CO"/>
        </w:rPr>
      </w:pPr>
    </w:p>
    <w:p w14:paraId="7FF6D47D" w14:textId="1B773397" w:rsidR="00B83D27" w:rsidRPr="00E807B5" w:rsidRDefault="00B83D27" w:rsidP="00B83D27">
      <w:pPr>
        <w:spacing w:line="276" w:lineRule="auto"/>
        <w:ind w:firstLine="709"/>
        <w:jc w:val="both"/>
        <w:rPr>
          <w:rFonts w:ascii="Arial" w:hAnsi="Arial" w:cs="Arial"/>
          <w:bCs/>
          <w:color w:val="000000"/>
          <w:sz w:val="22"/>
          <w:lang w:eastAsia="es-CO"/>
        </w:rPr>
      </w:pPr>
      <w:r w:rsidRPr="00E807B5">
        <w:rPr>
          <w:rFonts w:ascii="Arial" w:hAnsi="Arial" w:cs="Arial"/>
          <w:bCs/>
          <w:color w:val="000000"/>
          <w:sz w:val="22"/>
          <w:lang w:eastAsia="es-CO"/>
        </w:rPr>
        <w:t>Siguiendo el derrotero mencionado,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 En efecto, lo anterior fue indicado por la Sala de Consulta y Servicio Civil del Consejo de Estado al precisar que:</w:t>
      </w:r>
    </w:p>
    <w:p w14:paraId="3B42BE0A" w14:textId="77777777" w:rsidR="00B83D27" w:rsidRPr="00E807B5" w:rsidRDefault="00B83D27" w:rsidP="00B83D27">
      <w:pPr>
        <w:ind w:firstLine="709"/>
        <w:jc w:val="both"/>
        <w:rPr>
          <w:rFonts w:ascii="Arial" w:hAnsi="Arial" w:cs="Arial"/>
          <w:bCs/>
          <w:color w:val="000000"/>
          <w:sz w:val="22"/>
          <w:lang w:eastAsia="es-CO"/>
        </w:rPr>
      </w:pPr>
    </w:p>
    <w:p w14:paraId="2015F82F" w14:textId="4702DC3B" w:rsidR="00B83D27" w:rsidRPr="00E807B5" w:rsidRDefault="00B83D27" w:rsidP="00787A46">
      <w:pPr>
        <w:spacing w:after="120"/>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5DEE132" w14:textId="77777777" w:rsidR="00B83D27" w:rsidRPr="00E807B5" w:rsidRDefault="00B83D27" w:rsidP="00B83D27">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La jurisprudencia de la Corte Constitucional</w:t>
      </w:r>
      <w:r w:rsidRPr="00E807B5">
        <w:rPr>
          <w:rStyle w:val="Refdenotaalpie"/>
          <w:rFonts w:ascii="Arial" w:hAnsi="Arial" w:cs="Arial"/>
          <w:bCs/>
          <w:color w:val="000000"/>
          <w:sz w:val="21"/>
          <w:szCs w:val="21"/>
          <w:lang w:eastAsia="es-CO"/>
        </w:rPr>
        <w:footnoteReference w:id="3"/>
      </w:r>
      <w:r w:rsidRPr="00E807B5">
        <w:rPr>
          <w:rFonts w:ascii="Arial" w:hAnsi="Arial" w:cs="Arial"/>
          <w:bCs/>
          <w:color w:val="000000"/>
          <w:sz w:val="21"/>
          <w:szCs w:val="21"/>
          <w:lang w:eastAsia="es-CO"/>
        </w:rPr>
        <w:t> y del Consejo de Estado</w:t>
      </w:r>
      <w:r w:rsidRPr="00E807B5">
        <w:rPr>
          <w:rStyle w:val="Refdenotaalpie"/>
          <w:rFonts w:ascii="Arial" w:hAnsi="Arial" w:cs="Arial"/>
          <w:bCs/>
          <w:color w:val="000000"/>
          <w:sz w:val="21"/>
          <w:szCs w:val="21"/>
          <w:lang w:eastAsia="es-CO"/>
        </w:rPr>
        <w:footnoteReference w:id="4"/>
      </w:r>
      <w:r w:rsidRPr="00E807B5">
        <w:rPr>
          <w:rFonts w:ascii="Arial" w:hAnsi="Arial" w:cs="Arial"/>
          <w:bCs/>
          <w:color w:val="000000"/>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w:t>
      </w:r>
      <w:r w:rsidRPr="00E807B5">
        <w:rPr>
          <w:rFonts w:ascii="Arial" w:hAnsi="Arial" w:cs="Arial"/>
          <w:bCs/>
          <w:color w:val="000000"/>
          <w:sz w:val="21"/>
          <w:szCs w:val="21"/>
          <w:lang w:eastAsia="es-CO"/>
        </w:rPr>
        <w:lastRenderedPageBreak/>
        <w:t>que contemplan, pues como entrañan una limitación -así fuere justificada- a la libertad de actuar o capacidad de obrar, sobrepasar sus precisos términos comporta el desconocimiento de la voluntad del legislador</w:t>
      </w:r>
      <w:r w:rsidRPr="00E807B5">
        <w:rPr>
          <w:rStyle w:val="Refdenotaalpie"/>
          <w:rFonts w:ascii="Arial" w:hAnsi="Arial" w:cs="Arial"/>
          <w:bCs/>
          <w:color w:val="000000"/>
          <w:sz w:val="22"/>
          <w:lang w:eastAsia="es-CO"/>
        </w:rPr>
        <w:footnoteReference w:id="5"/>
      </w:r>
      <w:r w:rsidRPr="00E807B5">
        <w:rPr>
          <w:rFonts w:ascii="Arial" w:hAnsi="Arial" w:cs="Arial"/>
          <w:bCs/>
          <w:color w:val="000000"/>
          <w:sz w:val="21"/>
          <w:szCs w:val="21"/>
          <w:lang w:eastAsia="es-CO"/>
        </w:rPr>
        <w:t>.</w:t>
      </w:r>
    </w:p>
    <w:p w14:paraId="5271DE88" w14:textId="77777777" w:rsidR="00B83D27" w:rsidRPr="00E807B5" w:rsidRDefault="00B83D27" w:rsidP="00B83D27">
      <w:pPr>
        <w:spacing w:line="276" w:lineRule="auto"/>
        <w:ind w:right="709"/>
        <w:jc w:val="both"/>
        <w:rPr>
          <w:rFonts w:ascii="Arial" w:hAnsi="Arial" w:cs="Arial"/>
          <w:bCs/>
          <w:color w:val="000000"/>
          <w:sz w:val="22"/>
          <w:szCs w:val="22"/>
          <w:lang w:eastAsia="es-CO"/>
        </w:rPr>
      </w:pPr>
    </w:p>
    <w:p w14:paraId="7572D70D" w14:textId="77777777" w:rsidR="00B83D27" w:rsidRPr="00E807B5" w:rsidRDefault="00B83D27" w:rsidP="00B83D27">
      <w:pPr>
        <w:widowControl w:val="0"/>
        <w:autoSpaceDE w:val="0"/>
        <w:autoSpaceDN w:val="0"/>
        <w:spacing w:after="120" w:line="276" w:lineRule="auto"/>
        <w:ind w:right="113" w:firstLine="708"/>
        <w:jc w:val="both"/>
        <w:rPr>
          <w:rFonts w:ascii="Arial" w:eastAsia="Arial" w:hAnsi="Arial" w:cs="Arial"/>
          <w:sz w:val="22"/>
          <w:lang w:val="es-ES" w:eastAsia="es-ES" w:bidi="es-ES"/>
        </w:rPr>
      </w:pPr>
      <w:r w:rsidRPr="00E807B5">
        <w:rPr>
          <w:rFonts w:ascii="Arial" w:eastAsia="Arial" w:hAnsi="Arial" w:cs="Arial"/>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51B11125" w14:textId="77777777" w:rsidR="00B83D27" w:rsidRPr="00E807B5" w:rsidRDefault="00B83D27" w:rsidP="00B83D27">
      <w:pPr>
        <w:spacing w:after="160" w:line="276" w:lineRule="auto"/>
        <w:ind w:firstLine="708"/>
        <w:jc w:val="both"/>
        <w:rPr>
          <w:rFonts w:ascii="Arial" w:eastAsia="Calibri" w:hAnsi="Arial" w:cs="Arial"/>
          <w:sz w:val="22"/>
        </w:rPr>
      </w:pPr>
      <w:r w:rsidRPr="00E807B5">
        <w:rPr>
          <w:rFonts w:ascii="Arial" w:eastAsia="Calibri" w:hAnsi="Arial" w:cs="Arial"/>
          <w:sz w:val="22"/>
        </w:rPr>
        <w:t xml:space="preserve">Conforme a esto, el artículo 33 de la Ley 996 de 2005 prohíbe </w:t>
      </w:r>
      <w:r w:rsidRPr="00E807B5">
        <w:rPr>
          <w:rFonts w:ascii="Arial" w:eastAsia="Calibri" w:hAnsi="Arial" w:cs="Arial"/>
          <w:bCs/>
          <w:sz w:val="22"/>
        </w:rPr>
        <w:t xml:space="preserve">«[…] </w:t>
      </w:r>
      <w:r w:rsidRPr="00E807B5">
        <w:rPr>
          <w:rFonts w:ascii="Arial" w:eastAsia="Calibri" w:hAnsi="Arial" w:cs="Arial"/>
          <w:sz w:val="22"/>
        </w:rPr>
        <w:t>la contratación directa por parte de todos los entes del Estado</w:t>
      </w:r>
      <w:r w:rsidRPr="00E807B5">
        <w:rPr>
          <w:rFonts w:ascii="Arial" w:eastAsia="Calibri" w:hAnsi="Arial" w:cs="Arial"/>
          <w:bCs/>
          <w:sz w:val="22"/>
        </w:rPr>
        <w:t>»</w:t>
      </w:r>
      <w:r w:rsidRPr="00E807B5">
        <w:rPr>
          <w:rFonts w:ascii="Arial" w:eastAsia="Calibri" w:hAnsi="Arial" w:cs="Arial"/>
          <w:sz w:val="22"/>
        </w:rPr>
        <w:t xml:space="preserve"> durante los cuatro (4) meses anteriores a las elecciones presidenciales, salvo </w:t>
      </w:r>
      <w:r w:rsidRPr="00E807B5">
        <w:rPr>
          <w:rFonts w:ascii="Arial" w:eastAsia="Calibri" w:hAnsi="Arial" w:cs="Arial"/>
          <w:bCs/>
          <w:sz w:val="22"/>
        </w:rPr>
        <w:t xml:space="preserve">«[…] </w:t>
      </w:r>
      <w:r w:rsidRPr="00E807B5">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807B5">
        <w:rPr>
          <w:rFonts w:ascii="Arial" w:eastAsia="Calibri" w:hAnsi="Arial" w:cs="Arial"/>
          <w:bCs/>
          <w:sz w:val="22"/>
        </w:rPr>
        <w:t>»</w:t>
      </w:r>
      <w:r w:rsidRPr="00E807B5">
        <w:rPr>
          <w:rFonts w:ascii="Arial" w:eastAsia="Calibri" w:hAnsi="Arial" w:cs="Arial"/>
          <w:bCs/>
          <w:sz w:val="22"/>
          <w:vertAlign w:val="superscript"/>
        </w:rPr>
        <w:footnoteReference w:id="6"/>
      </w:r>
      <w:r w:rsidRPr="00E807B5">
        <w:rPr>
          <w:rFonts w:ascii="Arial" w:eastAsia="Calibri" w:hAnsi="Arial" w:cs="Arial"/>
          <w:sz w:val="22"/>
        </w:rPr>
        <w:t>.</w:t>
      </w:r>
    </w:p>
    <w:p w14:paraId="10EBA95D" w14:textId="77777777" w:rsidR="00B83D27" w:rsidRPr="00E807B5" w:rsidRDefault="00B83D27" w:rsidP="00B83D27">
      <w:pPr>
        <w:spacing w:line="276" w:lineRule="auto"/>
        <w:ind w:firstLine="708"/>
        <w:jc w:val="both"/>
        <w:rPr>
          <w:rFonts w:ascii="Arial" w:eastAsia="Calibri" w:hAnsi="Arial" w:cs="Arial"/>
          <w:sz w:val="22"/>
        </w:rPr>
      </w:pPr>
      <w:r w:rsidRPr="00E807B5">
        <w:rPr>
          <w:rFonts w:ascii="Arial" w:eastAsia="Calibri" w:hAnsi="Arial" w:cs="Arial"/>
          <w:sz w:val="22"/>
        </w:rPr>
        <w:t xml:space="preserve">Por su parte, el parágrafo del artículo 38 de la Ley 996 de 2005 prevé una restricción, aplicable respecto de cualquier tipo de elección, que prohíbe a los gobernadores, alcaldes municipales o distritales, secretarios, gerentes y directores de entidades descentralizadas del orden municipal, departamental o distrital </w:t>
      </w:r>
      <w:r w:rsidRPr="00E807B5">
        <w:rPr>
          <w:rFonts w:ascii="Arial" w:eastAsia="Calibri" w:hAnsi="Arial" w:cs="Arial"/>
          <w:bCs/>
          <w:sz w:val="22"/>
        </w:rPr>
        <w:t xml:space="preserve">«[…] </w:t>
      </w:r>
      <w:r w:rsidRPr="00E807B5">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807B5">
        <w:rPr>
          <w:rFonts w:ascii="Arial" w:eastAsia="Calibri" w:hAnsi="Arial" w:cs="Arial"/>
          <w:bCs/>
          <w:sz w:val="19"/>
          <w:szCs w:val="19"/>
        </w:rPr>
        <w:t>»</w:t>
      </w:r>
      <w:r w:rsidRPr="00E807B5">
        <w:rPr>
          <w:rFonts w:ascii="Arial" w:eastAsia="Calibri" w:hAnsi="Arial" w:cs="Arial"/>
          <w:bCs/>
          <w:sz w:val="19"/>
          <w:szCs w:val="19"/>
          <w:vertAlign w:val="superscript"/>
        </w:rPr>
        <w:footnoteReference w:id="7"/>
      </w:r>
      <w:r w:rsidRPr="00E807B5">
        <w:rPr>
          <w:rFonts w:ascii="Arial" w:eastAsia="Calibri" w:hAnsi="Arial" w:cs="Arial"/>
          <w:sz w:val="22"/>
        </w:rPr>
        <w:t xml:space="preserve">. </w:t>
      </w:r>
      <w:r w:rsidRPr="00E807B5">
        <w:rPr>
          <w:rFonts w:ascii="Arial" w:eastAsia="Arial" w:hAnsi="Arial" w:cs="Arial"/>
          <w:sz w:val="22"/>
          <w:lang w:val="es-ES" w:eastAsia="es-ES" w:bidi="es-ES"/>
        </w:rPr>
        <w:t xml:space="preserve">La Sala de Consulta y </w:t>
      </w:r>
      <w:r w:rsidRPr="00E807B5">
        <w:rPr>
          <w:rFonts w:ascii="Arial" w:eastAsia="Arial" w:hAnsi="Arial" w:cs="Arial"/>
          <w:sz w:val="22"/>
          <w:lang w:val="es-ES" w:eastAsia="es-ES" w:bidi="es-ES"/>
        </w:rPr>
        <w:lastRenderedPageBreak/>
        <w:t>Servicio Civil del Consejo de Estado aclara la distinción en las prohibiciones de la Ley 996 de 2005, dependiendo del tipo de elección que se trate, en los siguientes términos:</w:t>
      </w:r>
    </w:p>
    <w:p w14:paraId="3BCCFDFF" w14:textId="77777777" w:rsidR="00B83D27" w:rsidRPr="00E807B5" w:rsidRDefault="00B83D27" w:rsidP="00787A46">
      <w:pPr>
        <w:widowControl w:val="0"/>
        <w:autoSpaceDE w:val="0"/>
        <w:autoSpaceDN w:val="0"/>
        <w:spacing w:line="276" w:lineRule="auto"/>
        <w:ind w:right="812"/>
        <w:jc w:val="both"/>
        <w:rPr>
          <w:rFonts w:ascii="Arial" w:eastAsia="Arial" w:hAnsi="Arial" w:cs="Arial"/>
          <w:sz w:val="22"/>
          <w:lang w:val="es-ES" w:eastAsia="es-ES" w:bidi="es-ES"/>
        </w:rPr>
      </w:pPr>
    </w:p>
    <w:p w14:paraId="4238F5BB" w14:textId="77777777" w:rsidR="00B83D27" w:rsidRPr="00787A46" w:rsidRDefault="00B83D27" w:rsidP="00B83D27">
      <w:pPr>
        <w:widowControl w:val="0"/>
        <w:autoSpaceDE w:val="0"/>
        <w:autoSpaceDN w:val="0"/>
        <w:ind w:left="709" w:right="709"/>
        <w:jc w:val="both"/>
        <w:rPr>
          <w:rFonts w:ascii="Arial" w:eastAsia="Arial" w:hAnsi="Arial" w:cs="Arial"/>
          <w:sz w:val="21"/>
          <w:szCs w:val="21"/>
          <w:lang w:val="es-ES" w:eastAsia="es-ES" w:bidi="es-ES"/>
        </w:rPr>
      </w:pPr>
      <w:r w:rsidRPr="00787A46">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87A46">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87A46">
        <w:rPr>
          <w:rFonts w:ascii="Arial" w:eastAsia="Arial" w:hAnsi="Arial" w:cs="Arial"/>
          <w:sz w:val="21"/>
          <w:szCs w:val="21"/>
          <w:vertAlign w:val="superscript"/>
          <w:lang w:val="es-ES" w:eastAsia="es-ES" w:bidi="es-ES"/>
        </w:rPr>
        <w:footnoteReference w:id="8"/>
      </w:r>
      <w:r w:rsidRPr="00787A46">
        <w:rPr>
          <w:rFonts w:ascii="Arial" w:eastAsia="Arial" w:hAnsi="Arial" w:cs="Arial"/>
          <w:bCs/>
          <w:sz w:val="21"/>
          <w:szCs w:val="21"/>
          <w:lang w:val="es-ES" w:eastAsia="es-ES" w:bidi="es-ES"/>
        </w:rPr>
        <w:t>.</w:t>
      </w:r>
      <w:r w:rsidRPr="00787A46">
        <w:rPr>
          <w:rFonts w:ascii="Calibri" w:eastAsia="Arial" w:hAnsi="Calibri" w:cs="Arial"/>
          <w:position w:val="8"/>
          <w:sz w:val="21"/>
          <w:szCs w:val="21"/>
          <w:lang w:val="es-ES" w:eastAsia="es-ES" w:bidi="es-ES"/>
        </w:rPr>
        <w:t xml:space="preserve"> </w:t>
      </w:r>
    </w:p>
    <w:p w14:paraId="1E37D576" w14:textId="77777777" w:rsidR="00B83D27" w:rsidRPr="00787A46" w:rsidRDefault="00B83D27" w:rsidP="00787A46">
      <w:pPr>
        <w:widowControl w:val="0"/>
        <w:autoSpaceDE w:val="0"/>
        <w:autoSpaceDN w:val="0"/>
        <w:spacing w:before="8" w:line="276" w:lineRule="auto"/>
        <w:jc w:val="both"/>
        <w:rPr>
          <w:rFonts w:ascii="Arial" w:eastAsia="Arial" w:hAnsi="Arial" w:cs="Arial"/>
          <w:sz w:val="22"/>
          <w:szCs w:val="22"/>
          <w:lang w:val="es-ES" w:eastAsia="es-ES" w:bidi="es-ES"/>
        </w:rPr>
      </w:pPr>
    </w:p>
    <w:p w14:paraId="5F04D121" w14:textId="77777777" w:rsidR="00B83D27" w:rsidRPr="00E807B5" w:rsidRDefault="00B83D27" w:rsidP="00B83D27">
      <w:pPr>
        <w:spacing w:line="276" w:lineRule="auto"/>
        <w:ind w:firstLine="708"/>
        <w:jc w:val="both"/>
        <w:rPr>
          <w:rFonts w:ascii="Arial" w:eastAsia="Arial" w:hAnsi="Arial" w:cs="Arial"/>
          <w:sz w:val="22"/>
          <w:lang w:val="es-ES" w:eastAsia="es-ES" w:bidi="es-ES"/>
        </w:rPr>
      </w:pPr>
      <w:r w:rsidRPr="00E807B5">
        <w:rPr>
          <w:rFonts w:ascii="Arial" w:eastAsia="Arial" w:hAnsi="Arial" w:cs="Arial"/>
          <w:sz w:val="22"/>
          <w:lang w:val="es-ES" w:eastAsia="es-ES" w:bidi="es-ES"/>
        </w:rPr>
        <w:t xml:space="preserve">De lo anterior se desprende que la Ley 996 de 2005 establece dos tipos de restricciones en materia de contratación, las cuales coinciden parcialmente. Por un lado, la del artículo 33 que opera solo respecto de las elecciones presidenciales, en virtud de la cual queda proscrita la contratación directa dentro de los cuatro (4) meses anteriores a la celebración de los comicios, salvo las aludidas excepciones. Por otra parte, la del artículo 38, aplicable respecto de cualquier tipo de elección, que prohíbe la celebración de convenios interadministrativos que impliquen la ejecución de recursos públicos. </w:t>
      </w:r>
    </w:p>
    <w:p w14:paraId="53F68395" w14:textId="2C9FABFE" w:rsidR="00F96356" w:rsidRPr="00F96356" w:rsidRDefault="00F96356" w:rsidP="00F96356">
      <w:pPr>
        <w:spacing w:line="276" w:lineRule="auto"/>
        <w:jc w:val="both"/>
        <w:rPr>
          <w:rFonts w:ascii="Arial" w:eastAsia="Arial" w:hAnsi="Arial" w:cs="Arial"/>
          <w:b/>
          <w:color w:val="000000" w:themeColor="text1"/>
          <w:sz w:val="22"/>
          <w:szCs w:val="22"/>
          <w:lang w:val="es-ES" w:eastAsia="es-ES" w:bidi="es-ES"/>
        </w:rPr>
      </w:pPr>
      <w:bookmarkStart w:id="11" w:name="_Hlk79762439"/>
    </w:p>
    <w:p w14:paraId="04960D2A" w14:textId="3CC7A368" w:rsidR="00F96356" w:rsidRDefault="00F96356" w:rsidP="00D152B9">
      <w:pPr>
        <w:jc w:val="both"/>
        <w:rPr>
          <w:rFonts w:ascii="Arial" w:eastAsia="Arial" w:hAnsi="Arial" w:cs="Arial"/>
          <w:b/>
          <w:color w:val="000000" w:themeColor="text1"/>
          <w:sz w:val="22"/>
          <w:szCs w:val="22"/>
          <w:lang w:val="es-ES" w:eastAsia="es-ES" w:bidi="es-ES"/>
        </w:rPr>
      </w:pPr>
      <w:r w:rsidRPr="00F96356">
        <w:rPr>
          <w:rFonts w:ascii="Arial" w:eastAsia="Arial" w:hAnsi="Arial" w:cs="Arial"/>
          <w:b/>
          <w:color w:val="000000" w:themeColor="text1"/>
          <w:sz w:val="22"/>
          <w:szCs w:val="22"/>
          <w:lang w:val="es-ES" w:eastAsia="es-ES" w:bidi="es-ES"/>
        </w:rPr>
        <w:t>2.</w:t>
      </w:r>
      <w:r w:rsidR="00B83D27">
        <w:rPr>
          <w:rFonts w:ascii="Arial" w:eastAsia="Arial" w:hAnsi="Arial" w:cs="Arial"/>
          <w:b/>
          <w:color w:val="000000" w:themeColor="text1"/>
          <w:sz w:val="22"/>
          <w:szCs w:val="22"/>
          <w:lang w:val="es-ES" w:eastAsia="es-ES" w:bidi="es-ES"/>
        </w:rPr>
        <w:t>2</w:t>
      </w:r>
      <w:r w:rsidRPr="00F96356">
        <w:rPr>
          <w:rFonts w:ascii="Arial" w:eastAsia="Arial" w:hAnsi="Arial" w:cs="Arial"/>
          <w:b/>
          <w:color w:val="000000" w:themeColor="text1"/>
          <w:sz w:val="22"/>
          <w:szCs w:val="22"/>
          <w:lang w:val="es-ES" w:eastAsia="es-ES" w:bidi="es-ES"/>
        </w:rPr>
        <w:t xml:space="preserve">. </w:t>
      </w:r>
      <w:r w:rsidR="005337F3">
        <w:rPr>
          <w:rFonts w:ascii="Arial" w:eastAsia="Arial" w:hAnsi="Arial" w:cs="Arial"/>
          <w:b/>
          <w:color w:val="000000" w:themeColor="text1"/>
          <w:sz w:val="22"/>
          <w:szCs w:val="22"/>
          <w:lang w:val="es-ES" w:eastAsia="es-ES" w:bidi="es-ES"/>
        </w:rPr>
        <w:t>Destinatarios del parágrafo del artículo 38 de la Ley de garantías electorales</w:t>
      </w:r>
    </w:p>
    <w:p w14:paraId="2915C3FE" w14:textId="72119489" w:rsidR="00C65753" w:rsidRDefault="00C65753" w:rsidP="00F96356">
      <w:pPr>
        <w:spacing w:line="276" w:lineRule="auto"/>
        <w:jc w:val="both"/>
        <w:rPr>
          <w:rFonts w:ascii="Arial" w:eastAsia="Arial" w:hAnsi="Arial" w:cs="Arial"/>
          <w:b/>
          <w:color w:val="000000" w:themeColor="text1"/>
          <w:sz w:val="22"/>
          <w:szCs w:val="22"/>
          <w:lang w:val="es-ES" w:eastAsia="es-ES" w:bidi="es-ES"/>
        </w:rPr>
      </w:pPr>
    </w:p>
    <w:p w14:paraId="67657DE3" w14:textId="1C6AEC6F" w:rsidR="00AA0522" w:rsidRDefault="00836016" w:rsidP="000F47DB">
      <w:pPr>
        <w:widowControl w:val="0"/>
        <w:autoSpaceDE w:val="0"/>
        <w:autoSpaceDN w:val="0"/>
        <w:spacing w:after="120" w:line="276" w:lineRule="auto"/>
        <w:ind w:right="108"/>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Para desarrollar e</w:t>
      </w:r>
      <w:r w:rsidR="00DC4340">
        <w:rPr>
          <w:rFonts w:ascii="Arial" w:eastAsia="Arial" w:hAnsi="Arial" w:cs="Arial"/>
          <w:color w:val="000000"/>
          <w:sz w:val="22"/>
          <w:szCs w:val="22"/>
          <w:lang w:val="es-ES" w:eastAsia="en-US"/>
        </w:rPr>
        <w:t>l tema propuesto, es necesario analizar los destinatarios de la restricción del parágrafo del artículo 38 de la Ley 996 de 2005</w:t>
      </w:r>
      <w:r w:rsidR="00AA0522">
        <w:rPr>
          <w:rFonts w:ascii="Arial" w:eastAsia="Arial" w:hAnsi="Arial" w:cs="Arial"/>
          <w:color w:val="000000"/>
          <w:sz w:val="22"/>
          <w:szCs w:val="22"/>
          <w:lang w:val="es-ES" w:eastAsia="en-US"/>
        </w:rPr>
        <w:t xml:space="preserve">, toda vez que </w:t>
      </w:r>
      <w:r w:rsidR="00D8760B">
        <w:rPr>
          <w:rFonts w:ascii="Arial" w:eastAsia="Arial" w:hAnsi="Arial" w:cs="Arial"/>
          <w:color w:val="000000"/>
          <w:sz w:val="22"/>
          <w:szCs w:val="22"/>
          <w:lang w:val="es-ES" w:eastAsia="en-US"/>
        </w:rPr>
        <w:t xml:space="preserve">–a diferencia del artículo 33 </w:t>
      </w:r>
      <w:r w:rsidR="00AB542C" w:rsidRPr="00787A46">
        <w:rPr>
          <w:rFonts w:ascii="Arial" w:eastAsia="Arial" w:hAnsi="Arial" w:cs="Arial"/>
          <w:i/>
          <w:iCs/>
          <w:color w:val="000000"/>
          <w:sz w:val="22"/>
          <w:szCs w:val="22"/>
          <w:lang w:val="es-ES" w:eastAsia="en-US"/>
        </w:rPr>
        <w:t>ibidem</w:t>
      </w:r>
      <w:r w:rsidR="00AB542C">
        <w:rPr>
          <w:rFonts w:ascii="Arial" w:eastAsia="Arial" w:hAnsi="Arial" w:cs="Arial"/>
          <w:color w:val="000000"/>
          <w:sz w:val="22"/>
          <w:szCs w:val="22"/>
          <w:lang w:val="es-ES" w:eastAsia="en-US"/>
        </w:rPr>
        <w:t xml:space="preserve"> </w:t>
      </w:r>
      <w:r w:rsidR="00D8760B">
        <w:rPr>
          <w:rFonts w:ascii="Arial" w:eastAsia="Arial" w:hAnsi="Arial" w:cs="Arial"/>
          <w:color w:val="000000"/>
          <w:sz w:val="22"/>
          <w:szCs w:val="22"/>
          <w:lang w:val="es-ES" w:eastAsia="en-US"/>
        </w:rPr>
        <w:t xml:space="preserve">que alude a todos los entes del Estado– </w:t>
      </w:r>
      <w:r w:rsidR="00AA0522">
        <w:rPr>
          <w:rFonts w:ascii="Arial" w:eastAsia="Arial" w:hAnsi="Arial" w:cs="Arial"/>
          <w:color w:val="000000"/>
          <w:sz w:val="22"/>
          <w:szCs w:val="22"/>
          <w:lang w:val="es-ES" w:eastAsia="en-US"/>
        </w:rPr>
        <w:t xml:space="preserve">se presenta </w:t>
      </w:r>
      <w:r w:rsidR="00D8760B">
        <w:rPr>
          <w:rFonts w:ascii="Arial" w:eastAsia="Arial" w:hAnsi="Arial" w:cs="Arial"/>
          <w:color w:val="000000"/>
          <w:sz w:val="22"/>
          <w:szCs w:val="22"/>
          <w:lang w:val="es-ES" w:eastAsia="en-US"/>
        </w:rPr>
        <w:t>una lista taxativa</w:t>
      </w:r>
      <w:r w:rsidR="00DC4340">
        <w:rPr>
          <w:rFonts w:ascii="Arial" w:eastAsia="Arial" w:hAnsi="Arial" w:cs="Arial"/>
          <w:color w:val="000000"/>
          <w:sz w:val="22"/>
          <w:szCs w:val="22"/>
          <w:lang w:val="es-ES" w:eastAsia="en-US"/>
        </w:rPr>
        <w:t xml:space="preserve"> de entidades. En tal sentido</w:t>
      </w:r>
      <w:r w:rsidR="001E3A04">
        <w:rPr>
          <w:rFonts w:ascii="Arial" w:eastAsia="Arial" w:hAnsi="Arial" w:cs="Arial"/>
          <w:color w:val="000000"/>
          <w:sz w:val="22"/>
          <w:szCs w:val="22"/>
          <w:lang w:val="es-ES" w:eastAsia="en-US"/>
        </w:rPr>
        <w:t>, este parágrafo debe interpretarse de forma restrictiva, por lo que no e</w:t>
      </w:r>
      <w:r w:rsidR="000F47DB">
        <w:rPr>
          <w:rFonts w:ascii="Arial" w:eastAsia="Arial" w:hAnsi="Arial" w:cs="Arial"/>
          <w:color w:val="000000"/>
          <w:sz w:val="22"/>
          <w:szCs w:val="22"/>
          <w:lang w:val="es-ES" w:eastAsia="en-US"/>
        </w:rPr>
        <w:t>s posible aplicarl</w:t>
      </w:r>
      <w:r w:rsidR="00D8760B">
        <w:rPr>
          <w:rFonts w:ascii="Arial" w:eastAsia="Arial" w:hAnsi="Arial" w:cs="Arial"/>
          <w:color w:val="000000"/>
          <w:sz w:val="22"/>
          <w:szCs w:val="22"/>
          <w:lang w:val="es-ES" w:eastAsia="en-US"/>
        </w:rPr>
        <w:t>o</w:t>
      </w:r>
      <w:r w:rsidR="000F47DB">
        <w:rPr>
          <w:rFonts w:ascii="Arial" w:eastAsia="Arial" w:hAnsi="Arial" w:cs="Arial"/>
          <w:color w:val="000000"/>
          <w:sz w:val="22"/>
          <w:szCs w:val="22"/>
          <w:lang w:val="es-ES" w:eastAsia="en-US"/>
        </w:rPr>
        <w:t xml:space="preserve"> a </w:t>
      </w:r>
      <w:r w:rsidR="00AB542C">
        <w:rPr>
          <w:rFonts w:ascii="Arial" w:eastAsia="Arial" w:hAnsi="Arial" w:cs="Arial"/>
          <w:color w:val="000000"/>
          <w:sz w:val="22"/>
          <w:szCs w:val="22"/>
          <w:lang w:val="es-ES" w:eastAsia="en-US"/>
        </w:rPr>
        <w:t>organismos</w:t>
      </w:r>
      <w:r w:rsidR="000F47DB">
        <w:rPr>
          <w:rFonts w:ascii="Arial" w:eastAsia="Arial" w:hAnsi="Arial" w:cs="Arial"/>
          <w:color w:val="000000"/>
          <w:sz w:val="22"/>
          <w:szCs w:val="22"/>
          <w:lang w:val="es-ES" w:eastAsia="en-US"/>
        </w:rPr>
        <w:t xml:space="preserve"> del Estado. </w:t>
      </w:r>
    </w:p>
    <w:p w14:paraId="1C55906E" w14:textId="2635D2C1" w:rsidR="009F0641" w:rsidRDefault="00AA0522" w:rsidP="00A64309">
      <w:pPr>
        <w:widowControl w:val="0"/>
        <w:autoSpaceDE w:val="0"/>
        <w:autoSpaceDN w:val="0"/>
        <w:spacing w:line="276" w:lineRule="auto"/>
        <w:ind w:right="108"/>
        <w:jc w:val="both"/>
        <w:rPr>
          <w:rFonts w:ascii="Arial" w:eastAsia="Arial" w:hAnsi="Arial" w:cs="Arial"/>
          <w:color w:val="000000"/>
          <w:sz w:val="22"/>
          <w:szCs w:val="22"/>
          <w:lang w:val="es-ES" w:eastAsia="en-US"/>
        </w:rPr>
      </w:pPr>
      <w:r>
        <w:rPr>
          <w:rFonts w:ascii="Arial" w:eastAsia="Arial" w:hAnsi="Arial" w:cs="Arial"/>
          <w:color w:val="000000"/>
          <w:sz w:val="22"/>
          <w:szCs w:val="22"/>
          <w:lang w:val="es-ES" w:eastAsia="en-US"/>
        </w:rPr>
        <w:tab/>
        <w:t xml:space="preserve">Este artículo establece que la </w:t>
      </w:r>
      <w:r w:rsidR="00B367D8">
        <w:rPr>
          <w:rFonts w:ascii="Arial" w:eastAsia="Arial" w:hAnsi="Arial" w:cs="Arial"/>
          <w:color w:val="000000"/>
          <w:sz w:val="22"/>
          <w:szCs w:val="22"/>
          <w:lang w:val="es-ES" w:eastAsia="en-US"/>
        </w:rPr>
        <w:t>prohibición para celebrar</w:t>
      </w:r>
      <w:r>
        <w:rPr>
          <w:rFonts w:ascii="Arial" w:eastAsia="Arial" w:hAnsi="Arial" w:cs="Arial"/>
          <w:color w:val="000000"/>
          <w:sz w:val="22"/>
          <w:szCs w:val="22"/>
          <w:lang w:val="es-ES" w:eastAsia="en-US"/>
        </w:rPr>
        <w:t xml:space="preserve"> contratos o convenios interadministrativos</w:t>
      </w:r>
      <w:r w:rsidR="00171AE1">
        <w:rPr>
          <w:rFonts w:ascii="Arial" w:eastAsia="Arial" w:hAnsi="Arial" w:cs="Arial"/>
          <w:color w:val="000000"/>
          <w:sz w:val="22"/>
          <w:szCs w:val="22"/>
          <w:lang w:val="es-ES" w:eastAsia="en-US"/>
        </w:rPr>
        <w:t xml:space="preserve"> </w:t>
      </w:r>
      <w:r>
        <w:rPr>
          <w:rFonts w:ascii="Arial" w:eastAsia="Arial" w:hAnsi="Arial" w:cs="Arial"/>
          <w:color w:val="000000"/>
          <w:sz w:val="22"/>
          <w:szCs w:val="22"/>
          <w:lang w:val="es-ES" w:eastAsia="en-US"/>
        </w:rPr>
        <w:t xml:space="preserve">es para los gobernadores, alcaldes municipales y/o distritales, secretarios, gerentes y directores de entidades descentralizadas, de orden municipal, departamental o distrital. Ahora bien, </w:t>
      </w:r>
      <w:r w:rsidR="00534431">
        <w:rPr>
          <w:rFonts w:ascii="Arial" w:eastAsia="Arial" w:hAnsi="Arial" w:cs="Arial"/>
          <w:color w:val="000000"/>
          <w:sz w:val="22"/>
          <w:szCs w:val="22"/>
          <w:lang w:val="es-ES" w:eastAsia="en-US"/>
        </w:rPr>
        <w:t xml:space="preserve">es importante precisar que esta restricción  aplica a las entidades descentralizadas </w:t>
      </w:r>
      <w:r w:rsidR="00C47AD9">
        <w:rPr>
          <w:rFonts w:ascii="Arial" w:eastAsia="Arial" w:hAnsi="Arial" w:cs="Arial"/>
          <w:color w:val="000000"/>
          <w:sz w:val="22"/>
          <w:szCs w:val="22"/>
          <w:lang w:val="es-ES" w:eastAsia="en-US"/>
        </w:rPr>
        <w:t xml:space="preserve">por servicios </w:t>
      </w:r>
      <w:r w:rsidR="00534431">
        <w:rPr>
          <w:rFonts w:ascii="Arial" w:eastAsia="Arial" w:hAnsi="Arial" w:cs="Arial"/>
          <w:color w:val="000000"/>
          <w:sz w:val="22"/>
          <w:szCs w:val="22"/>
          <w:lang w:val="es-ES" w:eastAsia="en-US"/>
        </w:rPr>
        <w:t xml:space="preserve">del nivel territorial, </w:t>
      </w:r>
      <w:r w:rsidR="007F3A65">
        <w:rPr>
          <w:rFonts w:ascii="Arial" w:eastAsia="Arial" w:hAnsi="Arial" w:cs="Arial"/>
          <w:color w:val="000000"/>
          <w:sz w:val="22"/>
          <w:szCs w:val="22"/>
          <w:lang w:val="es-ES" w:eastAsia="en-US"/>
        </w:rPr>
        <w:t xml:space="preserve">cuya </w:t>
      </w:r>
      <w:r w:rsidR="009F0641">
        <w:rPr>
          <w:rFonts w:ascii="Arial" w:eastAsia="Arial" w:hAnsi="Arial" w:cs="Arial"/>
          <w:color w:val="000000"/>
          <w:sz w:val="22"/>
          <w:szCs w:val="22"/>
          <w:lang w:val="es-ES" w:eastAsia="en-US"/>
        </w:rPr>
        <w:t>forma de creación</w:t>
      </w:r>
      <w:r w:rsidR="007F3A65">
        <w:rPr>
          <w:rFonts w:ascii="Arial" w:eastAsia="Arial" w:hAnsi="Arial" w:cs="Arial"/>
          <w:color w:val="000000"/>
          <w:sz w:val="22"/>
          <w:szCs w:val="22"/>
          <w:lang w:val="es-ES" w:eastAsia="en-US"/>
        </w:rPr>
        <w:t xml:space="preserve"> se encuentra regulada</w:t>
      </w:r>
      <w:r w:rsidR="009F0641">
        <w:rPr>
          <w:rFonts w:ascii="Arial" w:eastAsia="Arial" w:hAnsi="Arial" w:cs="Arial"/>
          <w:color w:val="000000"/>
          <w:sz w:val="22"/>
          <w:szCs w:val="22"/>
          <w:lang w:val="es-ES" w:eastAsia="en-US"/>
        </w:rPr>
        <w:t xml:space="preserve"> en el artículo 69 de la Ley 489 de 1998, </w:t>
      </w:r>
      <w:r w:rsidR="007F3A65">
        <w:rPr>
          <w:rFonts w:ascii="Arial" w:eastAsia="Arial" w:hAnsi="Arial" w:cs="Arial"/>
          <w:color w:val="000000"/>
          <w:sz w:val="22"/>
          <w:szCs w:val="22"/>
          <w:lang w:val="es-ES" w:eastAsia="en-US"/>
        </w:rPr>
        <w:t>el cual</w:t>
      </w:r>
      <w:r w:rsidR="009F0641">
        <w:rPr>
          <w:rFonts w:ascii="Arial" w:eastAsia="Arial" w:hAnsi="Arial" w:cs="Arial"/>
          <w:color w:val="000000"/>
          <w:sz w:val="22"/>
          <w:szCs w:val="22"/>
          <w:lang w:val="es-ES" w:eastAsia="en-US"/>
        </w:rPr>
        <w:t xml:space="preserve"> prescribe: </w:t>
      </w:r>
    </w:p>
    <w:p w14:paraId="6E3DED6B" w14:textId="77777777" w:rsidR="00A64309" w:rsidRDefault="00A64309" w:rsidP="00787A46">
      <w:pPr>
        <w:widowControl w:val="0"/>
        <w:autoSpaceDE w:val="0"/>
        <w:autoSpaceDN w:val="0"/>
        <w:spacing w:line="276" w:lineRule="auto"/>
        <w:ind w:right="108"/>
        <w:jc w:val="both"/>
        <w:rPr>
          <w:rFonts w:ascii="Arial" w:eastAsia="Arial" w:hAnsi="Arial" w:cs="Arial"/>
          <w:color w:val="000000"/>
          <w:sz w:val="22"/>
          <w:szCs w:val="22"/>
          <w:lang w:val="es-ES" w:eastAsia="en-US"/>
        </w:rPr>
      </w:pPr>
    </w:p>
    <w:p w14:paraId="58421D9E" w14:textId="486AD6B5" w:rsidR="009F0641" w:rsidRDefault="009F0641" w:rsidP="00A64309">
      <w:pPr>
        <w:widowControl w:val="0"/>
        <w:autoSpaceDE w:val="0"/>
        <w:autoSpaceDN w:val="0"/>
        <w:ind w:left="709" w:right="709"/>
        <w:jc w:val="both"/>
        <w:rPr>
          <w:rFonts w:ascii="Arial" w:hAnsi="Arial" w:cs="Arial"/>
          <w:sz w:val="21"/>
          <w:szCs w:val="21"/>
        </w:rPr>
      </w:pPr>
      <w:r w:rsidRPr="009F0641">
        <w:rPr>
          <w:rFonts w:ascii="Arial" w:hAnsi="Arial" w:cs="Arial"/>
          <w:sz w:val="21"/>
          <w:szCs w:val="21"/>
        </w:rPr>
        <w:t xml:space="preserve">Las entidades descentralizadas, en el orden nacional, se crean por la ley, </w:t>
      </w:r>
      <w:r w:rsidRPr="001E5CD5">
        <w:rPr>
          <w:rFonts w:ascii="Arial" w:hAnsi="Arial" w:cs="Arial"/>
          <w:i/>
          <w:sz w:val="21"/>
          <w:szCs w:val="21"/>
        </w:rPr>
        <w:t>en el orden departamental, distrital y municipal, por la ordenanza o el acuerdo, o con su autorización, de conformidad con las disposiciones de la presente ley</w:t>
      </w:r>
      <w:r w:rsidRPr="009F0641">
        <w:rPr>
          <w:rFonts w:ascii="Arial" w:hAnsi="Arial" w:cs="Arial"/>
          <w:sz w:val="21"/>
          <w:szCs w:val="21"/>
        </w:rPr>
        <w:t>. El proyecto respectivo deberá acompañarse del estudio demostrativo que justifique la iniciativa, con la observancia de los prin</w:t>
      </w:r>
      <w:r>
        <w:rPr>
          <w:rFonts w:ascii="Arial" w:hAnsi="Arial" w:cs="Arial"/>
          <w:sz w:val="21"/>
          <w:szCs w:val="21"/>
        </w:rPr>
        <w:t xml:space="preserve">cipios señalados en el artículo </w:t>
      </w:r>
      <w:hyperlink r:id="rId12" w:anchor="209" w:history="1">
        <w:r w:rsidRPr="009F0641">
          <w:rPr>
            <w:rFonts w:ascii="Arial" w:hAnsi="Arial" w:cs="Arial"/>
            <w:sz w:val="21"/>
            <w:szCs w:val="21"/>
          </w:rPr>
          <w:t>209</w:t>
        </w:r>
      </w:hyperlink>
      <w:r>
        <w:rPr>
          <w:rFonts w:ascii="Arial" w:hAnsi="Arial" w:cs="Arial"/>
          <w:sz w:val="21"/>
          <w:szCs w:val="21"/>
        </w:rPr>
        <w:t xml:space="preserve"> </w:t>
      </w:r>
      <w:r w:rsidR="001E5CD5">
        <w:rPr>
          <w:rFonts w:ascii="Arial" w:hAnsi="Arial" w:cs="Arial"/>
          <w:sz w:val="21"/>
          <w:szCs w:val="21"/>
        </w:rPr>
        <w:t xml:space="preserve">de la Constitución Política (énfasis fuera de texto). </w:t>
      </w:r>
    </w:p>
    <w:p w14:paraId="45BBAF93" w14:textId="77777777" w:rsidR="00A64309" w:rsidRPr="00787A46" w:rsidRDefault="00A64309" w:rsidP="00787A46">
      <w:pPr>
        <w:widowControl w:val="0"/>
        <w:autoSpaceDE w:val="0"/>
        <w:autoSpaceDN w:val="0"/>
        <w:spacing w:line="276" w:lineRule="auto"/>
        <w:ind w:left="709" w:right="709"/>
        <w:jc w:val="both"/>
        <w:rPr>
          <w:rFonts w:ascii="Arial" w:eastAsia="Arial" w:hAnsi="Arial" w:cs="Arial"/>
          <w:sz w:val="22"/>
          <w:szCs w:val="22"/>
          <w:lang w:val="es-ES" w:eastAsia="en-US"/>
        </w:rPr>
      </w:pPr>
    </w:p>
    <w:p w14:paraId="137EB8F0" w14:textId="662A2DFC" w:rsidR="00A64309" w:rsidRDefault="00531672" w:rsidP="00A64309">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r>
        <w:rPr>
          <w:rFonts w:ascii="Arial" w:eastAsia="Arial" w:hAnsi="Arial" w:cs="Arial"/>
          <w:color w:val="000000"/>
          <w:sz w:val="22"/>
          <w:szCs w:val="22"/>
          <w:lang w:val="es-ES" w:eastAsia="en-US"/>
        </w:rPr>
        <w:t xml:space="preserve">Este tipo de entidades descentralizadas son una manifestación de la descentralización administrativa por servicios, </w:t>
      </w:r>
      <w:r w:rsidR="001E5CD5">
        <w:rPr>
          <w:rFonts w:ascii="Arial" w:eastAsia="Arial" w:hAnsi="Arial" w:cs="Arial"/>
          <w:color w:val="000000"/>
          <w:sz w:val="22"/>
          <w:szCs w:val="22"/>
          <w:lang w:val="es-ES" w:eastAsia="en-US"/>
        </w:rPr>
        <w:t>la cual tiene su fundamento constitucional en el artículo 209</w:t>
      </w:r>
      <w:r w:rsidR="00AB542C">
        <w:rPr>
          <w:rFonts w:ascii="Arial" w:eastAsia="Arial" w:hAnsi="Arial" w:cs="Arial"/>
          <w:color w:val="000000"/>
          <w:sz w:val="22"/>
          <w:szCs w:val="22"/>
          <w:lang w:val="es-ES" w:eastAsia="en-US"/>
        </w:rPr>
        <w:t xml:space="preserve"> superior</w:t>
      </w:r>
      <w:r w:rsidR="001E5CD5">
        <w:rPr>
          <w:rFonts w:ascii="Arial" w:eastAsia="Arial" w:hAnsi="Arial" w:cs="Arial"/>
          <w:color w:val="000000"/>
          <w:sz w:val="22"/>
          <w:szCs w:val="22"/>
          <w:lang w:val="es-ES" w:eastAsia="en-US"/>
        </w:rPr>
        <w:t xml:space="preserve">. En esta línea, la Corte Constitucional en Sentencia </w:t>
      </w:r>
      <w:r w:rsidR="00A64309">
        <w:rPr>
          <w:rFonts w:ascii="Arial" w:eastAsia="Arial" w:hAnsi="Arial" w:cs="Arial"/>
          <w:color w:val="000000"/>
          <w:sz w:val="22"/>
          <w:szCs w:val="22"/>
          <w:lang w:val="es-ES" w:eastAsia="en-US"/>
        </w:rPr>
        <w:t xml:space="preserve">C-736 de 2007 </w:t>
      </w:r>
      <w:r w:rsidR="001E5CD5">
        <w:rPr>
          <w:rFonts w:ascii="Arial" w:eastAsia="Arial" w:hAnsi="Arial" w:cs="Arial"/>
          <w:color w:val="000000"/>
          <w:sz w:val="22"/>
          <w:szCs w:val="22"/>
          <w:lang w:val="es-ES" w:eastAsia="en-US"/>
        </w:rPr>
        <w:t>alude a las entidades descentralizadas por servicios</w:t>
      </w:r>
      <w:r w:rsidR="00A64309">
        <w:rPr>
          <w:rFonts w:ascii="Arial" w:eastAsia="Arial" w:hAnsi="Arial" w:cs="Arial"/>
          <w:color w:val="000000"/>
          <w:sz w:val="22"/>
          <w:szCs w:val="22"/>
          <w:lang w:val="es-ES" w:eastAsia="en-US"/>
        </w:rPr>
        <w:t xml:space="preserve"> del nivel territorial</w:t>
      </w:r>
      <w:r w:rsidR="001E5CD5">
        <w:rPr>
          <w:rFonts w:ascii="Arial" w:eastAsia="Arial" w:hAnsi="Arial" w:cs="Arial"/>
          <w:color w:val="000000"/>
          <w:sz w:val="22"/>
          <w:szCs w:val="22"/>
          <w:lang w:val="es-ES" w:eastAsia="en-US"/>
        </w:rPr>
        <w:t xml:space="preserve">, </w:t>
      </w:r>
      <w:r w:rsidR="00A64309">
        <w:rPr>
          <w:rFonts w:ascii="Arial" w:eastAsia="Arial" w:hAnsi="Arial" w:cs="Arial"/>
          <w:color w:val="000000"/>
          <w:sz w:val="22"/>
          <w:szCs w:val="22"/>
          <w:lang w:val="es-ES" w:eastAsia="en-US"/>
        </w:rPr>
        <w:t>expresando:</w:t>
      </w:r>
    </w:p>
    <w:p w14:paraId="52881917" w14:textId="00D55732" w:rsidR="00A64309" w:rsidRPr="00A64309" w:rsidRDefault="00A64309" w:rsidP="00787A46">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r>
        <w:rPr>
          <w:rFonts w:ascii="Arial" w:eastAsia="Arial" w:hAnsi="Arial" w:cs="Arial"/>
          <w:color w:val="000000"/>
          <w:sz w:val="22"/>
          <w:szCs w:val="22"/>
          <w:lang w:val="es-ES" w:eastAsia="en-US"/>
        </w:rPr>
        <w:t xml:space="preserve"> </w:t>
      </w:r>
    </w:p>
    <w:p w14:paraId="39056596" w14:textId="7B331ADF" w:rsidR="00A64309" w:rsidRPr="00A64309" w:rsidRDefault="00A64309" w:rsidP="00A64309">
      <w:pPr>
        <w:shd w:val="clear" w:color="auto" w:fill="FFFFFF"/>
        <w:ind w:left="709" w:right="709"/>
        <w:jc w:val="both"/>
        <w:rPr>
          <w:rFonts w:ascii="Arial" w:hAnsi="Arial" w:cs="Arial"/>
          <w:sz w:val="21"/>
          <w:szCs w:val="21"/>
          <w:lang w:eastAsia="es-CO"/>
        </w:rPr>
      </w:pPr>
      <w:r w:rsidRPr="00A64309">
        <w:rPr>
          <w:rFonts w:ascii="Arial" w:hAnsi="Arial" w:cs="Arial"/>
          <w:sz w:val="21"/>
          <w:szCs w:val="21"/>
          <w:lang w:eastAsia="es-CO"/>
        </w:rPr>
        <w:t>De igual manera, en el numeral 7° del artículo 300 de la Carta y en el numeral 6° del artículo 313 </w:t>
      </w:r>
      <w:r w:rsidRPr="00A64309">
        <w:rPr>
          <w:rFonts w:ascii="Arial" w:hAnsi="Arial" w:cs="Arial"/>
          <w:i/>
          <w:iCs/>
          <w:sz w:val="21"/>
          <w:szCs w:val="21"/>
          <w:lang w:eastAsia="es-CO"/>
        </w:rPr>
        <w:t>ibídem,</w:t>
      </w:r>
      <w:r w:rsidRPr="00A64309">
        <w:rPr>
          <w:rFonts w:ascii="Arial" w:hAnsi="Arial" w:cs="Arial"/>
          <w:sz w:val="21"/>
          <w:szCs w:val="21"/>
          <w:lang w:eastAsia="es-CO"/>
        </w:rPr>
        <w:t> el constituyente admitió la descentralización por servicios en el nivel territorial, cuando concedió a las asambleas y a los concejos la facultad de crear los establecimientos públicos y las empresas industriales o comerciales del departamento o del municipio, según sea el caso, y de autorizar la formación de sociedades de economía mixta de estos niveles territoriales. Por su parte, de conformidad con lo dispuesto por el artículo 210 de la Constitución, el constituyente indicó que competía al legislador determinar el régimen jurídico de las entidades descentralizadas de cualquier nivel territorial</w:t>
      </w:r>
      <w:r w:rsidR="00967A4A">
        <w:rPr>
          <w:rStyle w:val="Refdenotaalpie"/>
          <w:rFonts w:ascii="Arial" w:hAnsi="Arial" w:cs="Arial"/>
          <w:sz w:val="21"/>
          <w:szCs w:val="21"/>
          <w:lang w:eastAsia="es-CO"/>
        </w:rPr>
        <w:footnoteReference w:id="9"/>
      </w:r>
      <w:r w:rsidRPr="00A64309">
        <w:rPr>
          <w:rFonts w:ascii="Arial" w:hAnsi="Arial" w:cs="Arial"/>
          <w:sz w:val="21"/>
          <w:szCs w:val="21"/>
          <w:lang w:eastAsia="es-CO"/>
        </w:rPr>
        <w:t>.</w:t>
      </w:r>
    </w:p>
    <w:p w14:paraId="0B3604E7" w14:textId="77777777" w:rsidR="001E5CD5" w:rsidRDefault="001E5CD5" w:rsidP="00787A46">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p>
    <w:p w14:paraId="252E47BB" w14:textId="0C71D63B" w:rsidR="00A64309" w:rsidRDefault="00A64309" w:rsidP="000F47DB">
      <w:pPr>
        <w:widowControl w:val="0"/>
        <w:autoSpaceDE w:val="0"/>
        <w:autoSpaceDN w:val="0"/>
        <w:spacing w:after="120" w:line="276" w:lineRule="auto"/>
        <w:ind w:right="108" w:firstLine="708"/>
        <w:jc w:val="both"/>
        <w:rPr>
          <w:rFonts w:ascii="Arial" w:hAnsi="Arial" w:cs="Arial"/>
          <w:iCs/>
          <w:color w:val="000000"/>
          <w:sz w:val="22"/>
          <w:szCs w:val="22"/>
          <w:shd w:val="clear" w:color="auto" w:fill="FFFFFF"/>
        </w:rPr>
      </w:pPr>
      <w:r w:rsidRPr="008D39C2">
        <w:rPr>
          <w:rFonts w:ascii="Arial" w:eastAsia="Arial" w:hAnsi="Arial" w:cs="Arial"/>
          <w:color w:val="000000"/>
          <w:sz w:val="22"/>
          <w:szCs w:val="22"/>
          <w:lang w:val="es-ES" w:eastAsia="en-US"/>
        </w:rPr>
        <w:t xml:space="preserve">Las entidades descentralizadas </w:t>
      </w:r>
      <w:r w:rsidR="008D39C2">
        <w:rPr>
          <w:rFonts w:ascii="Arial" w:eastAsia="Arial" w:hAnsi="Arial" w:cs="Arial"/>
          <w:color w:val="000000"/>
          <w:sz w:val="22"/>
          <w:szCs w:val="22"/>
          <w:lang w:val="es-ES" w:eastAsia="en-US"/>
        </w:rPr>
        <w:t xml:space="preserve">por servicios </w:t>
      </w:r>
      <w:r w:rsidRPr="008D39C2">
        <w:rPr>
          <w:rFonts w:ascii="Arial" w:eastAsia="Arial" w:hAnsi="Arial" w:cs="Arial"/>
          <w:color w:val="000000"/>
          <w:sz w:val="22"/>
          <w:szCs w:val="22"/>
          <w:lang w:val="es-ES" w:eastAsia="en-US"/>
        </w:rPr>
        <w:t xml:space="preserve">del nivel territorial pueden estar adscritas </w:t>
      </w:r>
      <w:r w:rsidR="008D39C2" w:rsidRPr="008D39C2">
        <w:rPr>
          <w:rFonts w:ascii="Arial" w:eastAsia="Arial" w:hAnsi="Arial" w:cs="Arial"/>
          <w:color w:val="000000"/>
          <w:sz w:val="22"/>
          <w:szCs w:val="22"/>
          <w:lang w:val="es-ES" w:eastAsia="en-US"/>
        </w:rPr>
        <w:t xml:space="preserve">o vinculadas, </w:t>
      </w:r>
      <w:r w:rsidR="008D39C2" w:rsidRPr="008D39C2">
        <w:rPr>
          <w:rFonts w:ascii="Arial" w:hAnsi="Arial" w:cs="Arial"/>
          <w:iCs/>
          <w:color w:val="000000"/>
          <w:sz w:val="22"/>
          <w:szCs w:val="22"/>
          <w:shd w:val="clear" w:color="auto" w:fill="FFFFFF"/>
        </w:rPr>
        <w:t>tales como</w:t>
      </w:r>
      <w:r w:rsidR="008D39C2">
        <w:rPr>
          <w:rFonts w:ascii="Arial" w:hAnsi="Arial" w:cs="Arial"/>
          <w:iCs/>
          <w:color w:val="000000"/>
          <w:sz w:val="22"/>
          <w:szCs w:val="22"/>
          <w:shd w:val="clear" w:color="auto" w:fill="FFFFFF"/>
        </w:rPr>
        <w:t xml:space="preserve"> los establecimientos públicos</w:t>
      </w:r>
      <w:r w:rsidR="008D39C2" w:rsidRPr="008D39C2">
        <w:rPr>
          <w:rFonts w:ascii="Arial" w:hAnsi="Arial" w:cs="Arial"/>
          <w:iCs/>
          <w:color w:val="000000"/>
          <w:sz w:val="22"/>
          <w:szCs w:val="22"/>
          <w:shd w:val="clear" w:color="auto" w:fill="FFFFFF"/>
        </w:rPr>
        <w:t>, las empresas industri</w:t>
      </w:r>
      <w:r w:rsidR="008D39C2">
        <w:rPr>
          <w:rFonts w:ascii="Arial" w:hAnsi="Arial" w:cs="Arial"/>
          <w:iCs/>
          <w:color w:val="000000"/>
          <w:sz w:val="22"/>
          <w:szCs w:val="22"/>
          <w:shd w:val="clear" w:color="auto" w:fill="FFFFFF"/>
        </w:rPr>
        <w:t xml:space="preserve">ales y comerciales del Estado, </w:t>
      </w:r>
      <w:r w:rsidR="008D39C2" w:rsidRPr="008D39C2">
        <w:rPr>
          <w:rFonts w:ascii="Arial" w:hAnsi="Arial" w:cs="Arial"/>
          <w:iCs/>
          <w:color w:val="000000"/>
          <w:sz w:val="22"/>
          <w:szCs w:val="22"/>
          <w:shd w:val="clear" w:color="auto" w:fill="FFFFFF"/>
        </w:rPr>
        <w:t>las sociedades de economía mixta</w:t>
      </w:r>
      <w:r w:rsidR="008D39C2">
        <w:rPr>
          <w:rFonts w:ascii="Arial" w:hAnsi="Arial" w:cs="Arial"/>
          <w:iCs/>
          <w:color w:val="000000"/>
          <w:sz w:val="22"/>
          <w:szCs w:val="22"/>
          <w:shd w:val="clear" w:color="auto" w:fill="FFFFFF"/>
        </w:rPr>
        <w:t xml:space="preserve">, entidades sin ánimo de lucro públicas o con participación mayoritaria del Estado, entre otras.  </w:t>
      </w:r>
    </w:p>
    <w:p w14:paraId="5A232145" w14:textId="7CEFCE4A" w:rsidR="00AB2DDE" w:rsidRDefault="008D39C2" w:rsidP="00AB2DDE">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r>
        <w:rPr>
          <w:rFonts w:ascii="Arial" w:hAnsi="Arial" w:cs="Arial"/>
          <w:iCs/>
          <w:color w:val="000000"/>
          <w:sz w:val="22"/>
          <w:szCs w:val="22"/>
          <w:shd w:val="clear" w:color="auto" w:fill="FFFFFF"/>
        </w:rPr>
        <w:t xml:space="preserve">A partir de esta conceptualización, </w:t>
      </w:r>
      <w:r w:rsidR="00AB542C">
        <w:rPr>
          <w:rFonts w:ascii="Arial" w:hAnsi="Arial" w:cs="Arial"/>
          <w:iCs/>
          <w:color w:val="000000"/>
          <w:sz w:val="22"/>
          <w:szCs w:val="22"/>
          <w:shd w:val="clear" w:color="auto" w:fill="FFFFFF"/>
        </w:rPr>
        <w:t>a</w:t>
      </w:r>
      <w:r w:rsidR="000F47DB">
        <w:rPr>
          <w:rFonts w:ascii="Arial" w:eastAsia="Arial" w:hAnsi="Arial" w:cs="Arial"/>
          <w:color w:val="000000"/>
          <w:sz w:val="22"/>
          <w:szCs w:val="22"/>
          <w:lang w:val="es-ES" w:eastAsia="en-US"/>
        </w:rPr>
        <w:t>l momento de interpretar los sujetos destinatarios del parágrafo del artículo 38 de la Ley 996 de 20</w:t>
      </w:r>
      <w:r w:rsidR="00791036">
        <w:rPr>
          <w:rFonts w:ascii="Arial" w:eastAsia="Arial" w:hAnsi="Arial" w:cs="Arial"/>
          <w:color w:val="000000"/>
          <w:sz w:val="22"/>
          <w:szCs w:val="22"/>
          <w:lang w:val="es-ES" w:eastAsia="en-US"/>
        </w:rPr>
        <w:t>0</w:t>
      </w:r>
      <w:r w:rsidR="000F47DB">
        <w:rPr>
          <w:rFonts w:ascii="Arial" w:eastAsia="Arial" w:hAnsi="Arial" w:cs="Arial"/>
          <w:color w:val="000000"/>
          <w:sz w:val="22"/>
          <w:szCs w:val="22"/>
          <w:lang w:val="es-ES" w:eastAsia="en-US"/>
        </w:rPr>
        <w:t>5 debe tener</w:t>
      </w:r>
      <w:r>
        <w:rPr>
          <w:rFonts w:ascii="Arial" w:eastAsia="Arial" w:hAnsi="Arial" w:cs="Arial"/>
          <w:color w:val="000000"/>
          <w:sz w:val="22"/>
          <w:szCs w:val="22"/>
          <w:lang w:val="es-ES" w:eastAsia="en-US"/>
        </w:rPr>
        <w:t>se</w:t>
      </w:r>
      <w:r w:rsidR="000F47DB">
        <w:rPr>
          <w:rFonts w:ascii="Arial" w:eastAsia="Arial" w:hAnsi="Arial" w:cs="Arial"/>
          <w:color w:val="000000"/>
          <w:sz w:val="22"/>
          <w:szCs w:val="22"/>
          <w:lang w:val="es-ES" w:eastAsia="en-US"/>
        </w:rPr>
        <w:t xml:space="preserve"> en cuenta </w:t>
      </w:r>
      <w:r w:rsidR="00531672">
        <w:rPr>
          <w:rFonts w:ascii="Arial" w:eastAsia="Arial" w:hAnsi="Arial" w:cs="Arial"/>
          <w:color w:val="000000"/>
          <w:sz w:val="22"/>
          <w:szCs w:val="22"/>
          <w:lang w:val="es-ES" w:eastAsia="en-US"/>
        </w:rPr>
        <w:t xml:space="preserve">tres </w:t>
      </w:r>
      <w:r w:rsidR="00AB542C">
        <w:rPr>
          <w:rFonts w:ascii="Arial" w:eastAsia="Arial" w:hAnsi="Arial" w:cs="Arial"/>
          <w:color w:val="000000"/>
          <w:sz w:val="22"/>
          <w:szCs w:val="22"/>
          <w:lang w:val="es-ES" w:eastAsia="en-US"/>
        </w:rPr>
        <w:t xml:space="preserve">(3) </w:t>
      </w:r>
      <w:r w:rsidR="000F47DB">
        <w:rPr>
          <w:rFonts w:ascii="Arial" w:eastAsia="Arial" w:hAnsi="Arial" w:cs="Arial"/>
          <w:color w:val="000000"/>
          <w:sz w:val="22"/>
          <w:szCs w:val="22"/>
          <w:lang w:val="es-ES" w:eastAsia="en-US"/>
        </w:rPr>
        <w:t xml:space="preserve">criterios interpretativos: </w:t>
      </w:r>
      <w:r w:rsidR="00132165">
        <w:rPr>
          <w:rFonts w:ascii="Arial" w:eastAsia="Arial" w:hAnsi="Arial" w:cs="Arial"/>
          <w:color w:val="000000"/>
          <w:sz w:val="22"/>
          <w:szCs w:val="22"/>
          <w:lang w:val="es-ES" w:eastAsia="en-US"/>
        </w:rPr>
        <w:t xml:space="preserve">i) </w:t>
      </w:r>
      <w:r w:rsidR="00132165" w:rsidRPr="00132165">
        <w:rPr>
          <w:rFonts w:ascii="Arial" w:eastAsia="Arial" w:hAnsi="Arial" w:cs="Arial"/>
          <w:i/>
          <w:color w:val="000000"/>
          <w:sz w:val="22"/>
          <w:szCs w:val="22"/>
          <w:lang w:val="es-ES" w:eastAsia="en-US"/>
        </w:rPr>
        <w:t>criterio restrictivo</w:t>
      </w:r>
      <w:r w:rsidR="00132165">
        <w:rPr>
          <w:rFonts w:ascii="Arial" w:eastAsia="Arial" w:hAnsi="Arial" w:cs="Arial"/>
          <w:color w:val="000000"/>
          <w:sz w:val="22"/>
          <w:szCs w:val="22"/>
          <w:lang w:val="es-ES" w:eastAsia="en-US"/>
        </w:rPr>
        <w:t xml:space="preserve">, que consiste en que el parágrafo del artículo 38 de la Ley 996 </w:t>
      </w:r>
      <w:r w:rsidR="00AB542C">
        <w:rPr>
          <w:rFonts w:ascii="Arial" w:eastAsia="Arial" w:hAnsi="Arial" w:cs="Arial"/>
          <w:color w:val="000000"/>
          <w:sz w:val="22"/>
          <w:szCs w:val="22"/>
          <w:lang w:val="es-ES" w:eastAsia="en-US"/>
        </w:rPr>
        <w:t>restringe</w:t>
      </w:r>
      <w:r w:rsidR="00132165">
        <w:rPr>
          <w:rFonts w:ascii="Arial" w:eastAsia="Arial" w:hAnsi="Arial" w:cs="Arial"/>
          <w:color w:val="000000"/>
          <w:sz w:val="22"/>
          <w:szCs w:val="22"/>
          <w:lang w:val="es-ES" w:eastAsia="en-US"/>
        </w:rPr>
        <w:t xml:space="preserve"> la suscripción de convenios </w:t>
      </w:r>
      <w:r w:rsidR="00AB542C">
        <w:rPr>
          <w:rFonts w:ascii="Arial" w:eastAsia="Arial" w:hAnsi="Arial" w:cs="Arial"/>
          <w:color w:val="000000"/>
          <w:sz w:val="22"/>
          <w:szCs w:val="22"/>
          <w:lang w:val="es-ES" w:eastAsia="en-US"/>
        </w:rPr>
        <w:t>o</w:t>
      </w:r>
      <w:r w:rsidR="00132165">
        <w:rPr>
          <w:rFonts w:ascii="Arial" w:eastAsia="Arial" w:hAnsi="Arial" w:cs="Arial"/>
          <w:color w:val="000000"/>
          <w:sz w:val="22"/>
          <w:szCs w:val="22"/>
          <w:lang w:val="es-ES" w:eastAsia="en-US"/>
        </w:rPr>
        <w:t xml:space="preserve"> contratos interadministrativos a una categoría de entidades; </w:t>
      </w:r>
      <w:r w:rsidR="00531672">
        <w:rPr>
          <w:rFonts w:ascii="Arial" w:eastAsia="Arial" w:hAnsi="Arial" w:cs="Arial"/>
          <w:color w:val="000000"/>
          <w:sz w:val="22"/>
          <w:szCs w:val="22"/>
          <w:lang w:val="es-ES" w:eastAsia="en-US"/>
        </w:rPr>
        <w:t xml:space="preserve">ii) </w:t>
      </w:r>
      <w:r w:rsidR="00531672" w:rsidRPr="00787A46">
        <w:rPr>
          <w:rFonts w:ascii="Arial" w:eastAsia="Arial" w:hAnsi="Arial" w:cs="Arial"/>
          <w:i/>
          <w:iCs/>
          <w:color w:val="000000"/>
          <w:sz w:val="22"/>
          <w:szCs w:val="22"/>
          <w:lang w:val="es-ES" w:eastAsia="en-US"/>
        </w:rPr>
        <w:t>criterio material</w:t>
      </w:r>
      <w:r>
        <w:rPr>
          <w:rFonts w:ascii="Arial" w:eastAsia="Arial" w:hAnsi="Arial" w:cs="Arial"/>
          <w:color w:val="000000"/>
          <w:sz w:val="22"/>
          <w:szCs w:val="22"/>
          <w:lang w:val="es-ES" w:eastAsia="en-US"/>
        </w:rPr>
        <w:t>, que se refiere a un determinado tipo de entidades del Estado</w:t>
      </w:r>
      <w:r w:rsidR="00280DA8">
        <w:rPr>
          <w:rFonts w:ascii="Arial" w:eastAsia="Arial" w:hAnsi="Arial" w:cs="Arial"/>
          <w:color w:val="000000"/>
          <w:sz w:val="22"/>
          <w:szCs w:val="22"/>
          <w:lang w:val="es-ES" w:eastAsia="en-US"/>
        </w:rPr>
        <w:t xml:space="preserve"> </w:t>
      </w:r>
      <w:r w:rsidR="00B367D8">
        <w:rPr>
          <w:rFonts w:ascii="Arial" w:eastAsia="Arial" w:hAnsi="Arial" w:cs="Arial"/>
          <w:color w:val="000000"/>
          <w:sz w:val="22"/>
          <w:szCs w:val="22"/>
          <w:lang w:val="es-ES" w:eastAsia="en-US"/>
        </w:rPr>
        <w:t xml:space="preserve">de la rama ejecutiva </w:t>
      </w:r>
      <w:r w:rsidR="00280DA8">
        <w:rPr>
          <w:rFonts w:ascii="Arial" w:eastAsia="Arial" w:hAnsi="Arial" w:cs="Arial"/>
          <w:color w:val="000000"/>
          <w:sz w:val="22"/>
          <w:szCs w:val="22"/>
          <w:lang w:val="es-ES" w:eastAsia="en-US"/>
        </w:rPr>
        <w:t>del nivel territorial</w:t>
      </w:r>
      <w:r>
        <w:rPr>
          <w:rFonts w:ascii="Arial" w:eastAsia="Arial" w:hAnsi="Arial" w:cs="Arial"/>
          <w:color w:val="000000"/>
          <w:sz w:val="22"/>
          <w:szCs w:val="22"/>
          <w:lang w:val="es-ES" w:eastAsia="en-US"/>
        </w:rPr>
        <w:t xml:space="preserve">; </w:t>
      </w:r>
      <w:r w:rsidR="00132165">
        <w:rPr>
          <w:rFonts w:ascii="Arial" w:eastAsia="Arial" w:hAnsi="Arial" w:cs="Arial"/>
          <w:color w:val="000000"/>
          <w:sz w:val="22"/>
          <w:szCs w:val="22"/>
          <w:lang w:val="es-ES" w:eastAsia="en-US"/>
        </w:rPr>
        <w:t>y i</w:t>
      </w:r>
      <w:r>
        <w:rPr>
          <w:rFonts w:ascii="Arial" w:eastAsia="Arial" w:hAnsi="Arial" w:cs="Arial"/>
          <w:color w:val="000000"/>
          <w:sz w:val="22"/>
          <w:szCs w:val="22"/>
          <w:lang w:val="es-ES" w:eastAsia="en-US"/>
        </w:rPr>
        <w:t>i</w:t>
      </w:r>
      <w:r w:rsidR="00132165">
        <w:rPr>
          <w:rFonts w:ascii="Arial" w:eastAsia="Arial" w:hAnsi="Arial" w:cs="Arial"/>
          <w:color w:val="000000"/>
          <w:sz w:val="22"/>
          <w:szCs w:val="22"/>
          <w:lang w:val="es-ES" w:eastAsia="en-US"/>
        </w:rPr>
        <w:t xml:space="preserve">i) </w:t>
      </w:r>
      <w:r w:rsidR="00132165" w:rsidRPr="00132165">
        <w:rPr>
          <w:rFonts w:ascii="Arial" w:eastAsia="Arial" w:hAnsi="Arial" w:cs="Arial"/>
          <w:i/>
          <w:color w:val="000000"/>
          <w:sz w:val="22"/>
          <w:szCs w:val="22"/>
          <w:lang w:val="es-ES" w:eastAsia="en-US"/>
        </w:rPr>
        <w:t>criterio residual</w:t>
      </w:r>
      <w:r w:rsidR="00132165">
        <w:rPr>
          <w:rFonts w:ascii="Arial" w:eastAsia="Arial" w:hAnsi="Arial" w:cs="Arial"/>
          <w:color w:val="000000"/>
          <w:sz w:val="22"/>
          <w:szCs w:val="22"/>
          <w:lang w:val="es-ES" w:eastAsia="en-US"/>
        </w:rPr>
        <w:t xml:space="preserve">, que consiste en señalar que no le son aplicables las </w:t>
      </w:r>
      <w:r w:rsidR="00AB542C">
        <w:rPr>
          <w:rFonts w:ascii="Arial" w:eastAsia="Arial" w:hAnsi="Arial" w:cs="Arial"/>
          <w:color w:val="000000"/>
          <w:sz w:val="22"/>
          <w:szCs w:val="22"/>
          <w:lang w:val="es-ES" w:eastAsia="en-US"/>
        </w:rPr>
        <w:t>prohibiciones</w:t>
      </w:r>
      <w:r w:rsidR="00132165">
        <w:rPr>
          <w:rFonts w:ascii="Arial" w:eastAsia="Arial" w:hAnsi="Arial" w:cs="Arial"/>
          <w:color w:val="000000"/>
          <w:sz w:val="22"/>
          <w:szCs w:val="22"/>
          <w:lang w:val="es-ES" w:eastAsia="en-US"/>
        </w:rPr>
        <w:t xml:space="preserve"> a aquellas entidades que no pertenezcan a las categorías establecidas en la norma. </w:t>
      </w:r>
      <w:r>
        <w:rPr>
          <w:rFonts w:ascii="Arial" w:eastAsia="Arial" w:hAnsi="Arial" w:cs="Arial"/>
          <w:color w:val="000000"/>
          <w:sz w:val="22"/>
          <w:szCs w:val="22"/>
          <w:lang w:val="es-ES" w:eastAsia="en-US"/>
        </w:rPr>
        <w:t>Estos tres</w:t>
      </w:r>
      <w:r w:rsidR="00AB542C">
        <w:rPr>
          <w:rFonts w:ascii="Arial" w:eastAsia="Arial" w:hAnsi="Arial" w:cs="Arial"/>
          <w:color w:val="000000"/>
          <w:sz w:val="22"/>
          <w:szCs w:val="22"/>
          <w:lang w:val="es-ES" w:eastAsia="en-US"/>
        </w:rPr>
        <w:t xml:space="preserve"> (3)</w:t>
      </w:r>
      <w:r w:rsidR="00132165">
        <w:rPr>
          <w:rFonts w:ascii="Arial" w:eastAsia="Arial" w:hAnsi="Arial" w:cs="Arial"/>
          <w:color w:val="000000"/>
          <w:sz w:val="22"/>
          <w:szCs w:val="22"/>
          <w:lang w:val="es-ES" w:eastAsia="en-US"/>
        </w:rPr>
        <w:t xml:space="preserve"> criterios interpretativos permiten identificar a quienes aplica</w:t>
      </w:r>
      <w:r w:rsidR="00AB542C">
        <w:rPr>
          <w:rFonts w:ascii="Arial" w:eastAsia="Arial" w:hAnsi="Arial" w:cs="Arial"/>
          <w:color w:val="000000"/>
          <w:sz w:val="22"/>
          <w:szCs w:val="22"/>
          <w:lang w:val="es-ES" w:eastAsia="en-US"/>
        </w:rPr>
        <w:t>n</w:t>
      </w:r>
      <w:r w:rsidR="00132165">
        <w:rPr>
          <w:rFonts w:ascii="Arial" w:eastAsia="Arial" w:hAnsi="Arial" w:cs="Arial"/>
          <w:color w:val="000000"/>
          <w:sz w:val="22"/>
          <w:szCs w:val="22"/>
          <w:lang w:val="es-ES" w:eastAsia="en-US"/>
        </w:rPr>
        <w:t xml:space="preserve"> las restricciones</w:t>
      </w:r>
      <w:r>
        <w:rPr>
          <w:rFonts w:ascii="Arial" w:eastAsia="Arial" w:hAnsi="Arial" w:cs="Arial"/>
          <w:color w:val="000000"/>
          <w:sz w:val="22"/>
          <w:szCs w:val="22"/>
          <w:lang w:val="es-ES" w:eastAsia="en-US"/>
        </w:rPr>
        <w:t xml:space="preserve">, por lo que cada </w:t>
      </w:r>
      <w:r w:rsidR="00AB542C">
        <w:rPr>
          <w:rFonts w:ascii="Arial" w:eastAsia="Arial" w:hAnsi="Arial" w:cs="Arial"/>
          <w:color w:val="000000"/>
          <w:sz w:val="22"/>
          <w:szCs w:val="22"/>
          <w:lang w:val="es-ES" w:eastAsia="en-US"/>
        </w:rPr>
        <w:t xml:space="preserve">órgano </w:t>
      </w:r>
      <w:r>
        <w:rPr>
          <w:rFonts w:ascii="Arial" w:eastAsia="Arial" w:hAnsi="Arial" w:cs="Arial"/>
          <w:color w:val="000000"/>
          <w:sz w:val="22"/>
          <w:szCs w:val="22"/>
          <w:lang w:val="es-ES" w:eastAsia="en-US"/>
        </w:rPr>
        <w:t>del Estado deberá revisar si se encuentra en</w:t>
      </w:r>
      <w:r w:rsidR="00967A4A">
        <w:rPr>
          <w:rFonts w:ascii="Arial" w:eastAsia="Arial" w:hAnsi="Arial" w:cs="Arial"/>
          <w:color w:val="000000"/>
          <w:sz w:val="22"/>
          <w:szCs w:val="22"/>
          <w:lang w:val="es-ES" w:eastAsia="en-US"/>
        </w:rPr>
        <w:t xml:space="preserve"> el tipo de entidades que estableció el artículo 38 de la Ley 996 de 2005</w:t>
      </w:r>
      <w:bookmarkEnd w:id="11"/>
      <w:r w:rsidR="00967A4A">
        <w:rPr>
          <w:rFonts w:ascii="Arial" w:eastAsia="Arial" w:hAnsi="Arial" w:cs="Arial"/>
          <w:color w:val="000000"/>
          <w:sz w:val="22"/>
          <w:szCs w:val="22"/>
          <w:lang w:val="es-ES" w:eastAsia="en-US"/>
        </w:rPr>
        <w:t>.</w:t>
      </w:r>
      <w:r w:rsidR="00AB2DDE">
        <w:rPr>
          <w:rFonts w:ascii="Arial" w:eastAsia="Arial" w:hAnsi="Arial" w:cs="Arial"/>
          <w:color w:val="000000"/>
          <w:sz w:val="22"/>
          <w:szCs w:val="22"/>
          <w:lang w:val="es-ES" w:eastAsia="en-US"/>
        </w:rPr>
        <w:t xml:space="preserve"> Al respecto, el artículo 68 de la Ley 489 de 1998 dispone que:</w:t>
      </w:r>
    </w:p>
    <w:p w14:paraId="2955C6D6" w14:textId="77777777" w:rsidR="00AB2DDE" w:rsidRDefault="00AB2DDE" w:rsidP="00787A46">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p>
    <w:p w14:paraId="5C003282" w14:textId="77777777" w:rsidR="00AB2DDE" w:rsidRPr="00787A46" w:rsidRDefault="00AB2DDE" w:rsidP="00787A46">
      <w:pPr>
        <w:widowControl w:val="0"/>
        <w:autoSpaceDE w:val="0"/>
        <w:autoSpaceDN w:val="0"/>
        <w:spacing w:after="120"/>
        <w:ind w:left="709" w:right="709"/>
        <w:jc w:val="both"/>
        <w:rPr>
          <w:rFonts w:ascii="Arial" w:eastAsia="Arial" w:hAnsi="Arial" w:cs="Arial"/>
          <w:color w:val="000000"/>
          <w:sz w:val="21"/>
          <w:szCs w:val="21"/>
          <w:lang w:val="es-ES" w:eastAsia="en-US"/>
        </w:rPr>
      </w:pPr>
      <w:r w:rsidRPr="00787A46">
        <w:rPr>
          <w:rFonts w:ascii="Arial" w:eastAsia="Arial" w:hAnsi="Arial" w:cs="Arial"/>
          <w:color w:val="000000"/>
          <w:sz w:val="21"/>
          <w:szCs w:val="21"/>
          <w:lang w:val="es-ES" w:eastAsia="en-US"/>
        </w:rPr>
        <w:t xml:space="preserve">Son entidades descentralizadas del orden nacional, los establecimientos </w:t>
      </w:r>
      <w:r w:rsidRPr="00787A46">
        <w:rPr>
          <w:rFonts w:ascii="Arial" w:eastAsia="Arial" w:hAnsi="Arial" w:cs="Arial"/>
          <w:color w:val="000000"/>
          <w:sz w:val="21"/>
          <w:szCs w:val="21"/>
          <w:lang w:val="es-ES" w:eastAsia="en-US"/>
        </w:rPr>
        <w:lastRenderedPageBreak/>
        <w:t xml:space="preserve">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w:t>
      </w:r>
      <w:bookmarkStart w:id="12" w:name="_Hlk84577953"/>
      <w:r w:rsidRPr="00787A46">
        <w:rPr>
          <w:rFonts w:ascii="Arial" w:eastAsia="Arial" w:hAnsi="Arial" w:cs="Arial"/>
          <w:color w:val="000000"/>
          <w:sz w:val="21"/>
          <w:szCs w:val="21"/>
          <w:lang w:val="es-ES" w:eastAsia="en-US"/>
        </w:rPr>
        <w:t>objeto principal sea el ejercicio de funciones administrativas, la prestación de servicios públicos o la realización de actividades industriales o comerciales con personería jurídica, autonomía administrativa y patrimonio propio</w:t>
      </w:r>
      <w:bookmarkEnd w:id="12"/>
      <w:r w:rsidRPr="00787A46">
        <w:rPr>
          <w:rFonts w:ascii="Arial" w:eastAsia="Arial" w:hAnsi="Arial" w:cs="Arial"/>
          <w:color w:val="000000"/>
          <w:sz w:val="21"/>
          <w:szCs w:val="21"/>
          <w:lang w:val="es-ES" w:eastAsia="en-US"/>
        </w:rPr>
        <w:t>. Como órganos del Estado aun cuando gozan de autonomía administrativa están sujetas al control político y a la suprema dirección del órgano de la administración al cual están adscritas.</w:t>
      </w:r>
    </w:p>
    <w:p w14:paraId="701D398E" w14:textId="429F5568" w:rsidR="00AB2DDE" w:rsidRPr="00787A46" w:rsidRDefault="00AB2DDE" w:rsidP="00787A46">
      <w:pPr>
        <w:widowControl w:val="0"/>
        <w:autoSpaceDE w:val="0"/>
        <w:autoSpaceDN w:val="0"/>
        <w:spacing w:after="120"/>
        <w:ind w:left="709" w:right="709"/>
        <w:jc w:val="both"/>
        <w:rPr>
          <w:rFonts w:ascii="Arial" w:eastAsia="Arial" w:hAnsi="Arial" w:cs="Arial"/>
          <w:color w:val="000000"/>
          <w:sz w:val="21"/>
          <w:szCs w:val="21"/>
          <w:lang w:val="es-ES" w:eastAsia="en-US"/>
        </w:rPr>
      </w:pPr>
      <w:r w:rsidRPr="00787A46">
        <w:rPr>
          <w:rFonts w:ascii="Arial" w:eastAsia="Arial" w:hAnsi="Arial" w:cs="Arial"/>
          <w:color w:val="000000"/>
          <w:sz w:val="21"/>
          <w:szCs w:val="21"/>
          <w:lang w:val="es-ES" w:eastAsia="en-US"/>
        </w:rPr>
        <w:t>Las entidades descentralizadas se sujetan a las reglas señaladas en la Constitución Política, en la presente ley, en las leyes que las creen y determinen su estructura orgánica y a sus estatutos internos.</w:t>
      </w:r>
    </w:p>
    <w:p w14:paraId="2B302596" w14:textId="759C5629" w:rsidR="00AB2DDE" w:rsidRPr="00787A46" w:rsidRDefault="00AB2DDE" w:rsidP="00787A46">
      <w:pPr>
        <w:widowControl w:val="0"/>
        <w:autoSpaceDE w:val="0"/>
        <w:autoSpaceDN w:val="0"/>
        <w:spacing w:after="120"/>
        <w:ind w:left="709" w:right="709"/>
        <w:jc w:val="both"/>
        <w:rPr>
          <w:rFonts w:ascii="Arial" w:eastAsia="Arial" w:hAnsi="Arial" w:cs="Arial"/>
          <w:color w:val="000000"/>
          <w:sz w:val="21"/>
          <w:szCs w:val="21"/>
          <w:lang w:val="es-ES" w:eastAsia="en-US"/>
        </w:rPr>
      </w:pPr>
      <w:r w:rsidRPr="00787A46">
        <w:rPr>
          <w:rFonts w:ascii="Arial" w:eastAsia="Arial" w:hAnsi="Arial" w:cs="Arial"/>
          <w:color w:val="000000"/>
          <w:sz w:val="21"/>
          <w:szCs w:val="21"/>
          <w:lang w:val="es-ES" w:eastAsia="en-US"/>
        </w:rPr>
        <w:t>Los organismos y entidades descentralizados, sujetos a regímenes especiales por mandato de la Constitución Política, se someterán a las disposiciones que para ellos establezca la respectiva ley.</w:t>
      </w:r>
    </w:p>
    <w:p w14:paraId="7536FE53" w14:textId="2047983C" w:rsidR="00435B36" w:rsidRPr="00787A46" w:rsidRDefault="00AB2DDE" w:rsidP="00787A46">
      <w:pPr>
        <w:widowControl w:val="0"/>
        <w:autoSpaceDE w:val="0"/>
        <w:autoSpaceDN w:val="0"/>
        <w:ind w:left="709" w:right="709"/>
        <w:jc w:val="both"/>
        <w:rPr>
          <w:rFonts w:ascii="Arial" w:eastAsia="Arial" w:hAnsi="Arial" w:cs="Arial"/>
          <w:color w:val="000000"/>
          <w:sz w:val="21"/>
          <w:szCs w:val="21"/>
          <w:lang w:val="es-ES" w:eastAsia="en-US"/>
        </w:rPr>
      </w:pPr>
      <w:r w:rsidRPr="00787A46">
        <w:rPr>
          <w:rFonts w:ascii="Arial" w:eastAsia="Arial" w:hAnsi="Arial" w:cs="Arial"/>
          <w:color w:val="000000"/>
          <w:sz w:val="21"/>
          <w:szCs w:val="21"/>
          <w:lang w:val="es-ES" w:eastAsia="en-US"/>
        </w:rPr>
        <w:t xml:space="preserve">PARAGRAFO 1o. </w:t>
      </w:r>
      <w:r w:rsidRPr="00787A46">
        <w:rPr>
          <w:rFonts w:ascii="Arial" w:eastAsia="Arial" w:hAnsi="Arial" w:cs="Arial"/>
          <w:i/>
          <w:iCs/>
          <w:color w:val="000000"/>
          <w:sz w:val="21"/>
          <w:szCs w:val="21"/>
          <w:lang w:val="es-ES" w:eastAsia="en-US"/>
        </w:rPr>
        <w:t>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w:t>
      </w:r>
      <w:r w:rsidRPr="00787A46">
        <w:rPr>
          <w:rFonts w:ascii="Arial" w:eastAsia="Arial" w:hAnsi="Arial" w:cs="Arial"/>
          <w:color w:val="000000"/>
          <w:sz w:val="21"/>
          <w:szCs w:val="21"/>
          <w:lang w:val="es-ES" w:eastAsia="en-US"/>
        </w:rPr>
        <w:t>.</w:t>
      </w:r>
      <w:r w:rsidR="00EA5CAC" w:rsidRPr="00787A46">
        <w:rPr>
          <w:rFonts w:ascii="Arial" w:eastAsia="Arial" w:hAnsi="Arial" w:cs="Arial"/>
          <w:color w:val="000000"/>
          <w:sz w:val="21"/>
          <w:szCs w:val="21"/>
          <w:lang w:val="es-ES" w:eastAsia="en-US"/>
        </w:rPr>
        <w:t xml:space="preserve"> </w:t>
      </w:r>
    </w:p>
    <w:p w14:paraId="75A80AD6" w14:textId="492B7663" w:rsidR="00AB2DDE" w:rsidRDefault="00AB2DDE">
      <w:pPr>
        <w:widowControl w:val="0"/>
        <w:autoSpaceDE w:val="0"/>
        <w:autoSpaceDN w:val="0"/>
        <w:ind w:left="709" w:right="709"/>
        <w:jc w:val="both"/>
        <w:rPr>
          <w:rFonts w:ascii="Arial" w:eastAsia="Arial" w:hAnsi="Arial" w:cs="Arial"/>
          <w:color w:val="000000"/>
          <w:sz w:val="21"/>
          <w:szCs w:val="21"/>
          <w:lang w:val="es-ES" w:eastAsia="en-US"/>
        </w:rPr>
      </w:pPr>
      <w:r w:rsidRPr="00787A46">
        <w:rPr>
          <w:rFonts w:ascii="Arial" w:eastAsia="Arial" w:hAnsi="Arial" w:cs="Arial"/>
          <w:color w:val="000000"/>
          <w:sz w:val="21"/>
          <w:szCs w:val="21"/>
          <w:lang w:val="es-ES" w:eastAsia="en-US"/>
        </w:rPr>
        <w:t>[…]</w:t>
      </w:r>
      <w:r>
        <w:rPr>
          <w:rFonts w:ascii="Arial" w:eastAsia="Arial" w:hAnsi="Arial" w:cs="Arial"/>
          <w:color w:val="000000"/>
          <w:sz w:val="21"/>
          <w:szCs w:val="21"/>
          <w:lang w:val="es-ES" w:eastAsia="en-US"/>
        </w:rPr>
        <w:t xml:space="preserve"> (Cursiva fuera de texto)</w:t>
      </w:r>
    </w:p>
    <w:p w14:paraId="076C08BB" w14:textId="5697AD66" w:rsidR="001B5EA1" w:rsidRDefault="001B5EA1" w:rsidP="001B5EA1">
      <w:pPr>
        <w:widowControl w:val="0"/>
        <w:autoSpaceDE w:val="0"/>
        <w:autoSpaceDN w:val="0"/>
        <w:ind w:right="709"/>
        <w:jc w:val="both"/>
        <w:rPr>
          <w:rFonts w:ascii="Arial" w:eastAsia="Arial" w:hAnsi="Arial" w:cs="Arial"/>
          <w:color w:val="000000"/>
          <w:sz w:val="21"/>
          <w:szCs w:val="21"/>
          <w:lang w:val="es-ES" w:eastAsia="en-US"/>
        </w:rPr>
      </w:pPr>
    </w:p>
    <w:p w14:paraId="7BB9C1AA" w14:textId="77777777" w:rsidR="00AB2DDE" w:rsidRDefault="00AB2DDE" w:rsidP="00787A46">
      <w:pPr>
        <w:widowControl w:val="0"/>
        <w:autoSpaceDE w:val="0"/>
        <w:autoSpaceDN w:val="0"/>
        <w:spacing w:line="276" w:lineRule="auto"/>
        <w:ind w:left="709" w:right="709"/>
        <w:jc w:val="both"/>
        <w:rPr>
          <w:rFonts w:ascii="Arial" w:eastAsia="Arial" w:hAnsi="Arial" w:cs="Arial"/>
          <w:color w:val="000000"/>
          <w:sz w:val="22"/>
          <w:szCs w:val="22"/>
          <w:lang w:val="es-ES" w:eastAsia="en-US"/>
        </w:rPr>
      </w:pPr>
      <w:bookmarkStart w:id="13" w:name="39"/>
      <w:bookmarkStart w:id="14" w:name="40"/>
      <w:bookmarkEnd w:id="13"/>
      <w:bookmarkEnd w:id="14"/>
    </w:p>
    <w:p w14:paraId="127AA696" w14:textId="5D11066F" w:rsidR="004740C0" w:rsidRPr="00787A46" w:rsidRDefault="00184BF9" w:rsidP="00552D32">
      <w:pPr>
        <w:widowControl w:val="0"/>
        <w:autoSpaceDE w:val="0"/>
        <w:autoSpaceDN w:val="0"/>
        <w:spacing w:after="120" w:line="276" w:lineRule="auto"/>
        <w:ind w:right="108" w:firstLine="708"/>
        <w:jc w:val="both"/>
        <w:rPr>
          <w:rFonts w:ascii="Arial" w:eastAsia="Arial" w:hAnsi="Arial" w:cs="Arial"/>
          <w:sz w:val="22"/>
          <w:szCs w:val="22"/>
          <w:lang w:val="es-ES" w:eastAsia="en-US"/>
        </w:rPr>
      </w:pPr>
      <w:r w:rsidRPr="00787A46">
        <w:rPr>
          <w:rFonts w:ascii="Arial" w:eastAsia="Arial" w:hAnsi="Arial" w:cs="Arial"/>
          <w:sz w:val="22"/>
          <w:szCs w:val="22"/>
          <w:lang w:val="es-ES" w:eastAsia="en-US"/>
        </w:rPr>
        <w:t>De conformidad con la norma anteriormente citada</w:t>
      </w:r>
      <w:r w:rsidR="00EA5CAC" w:rsidRPr="00787A46">
        <w:rPr>
          <w:rFonts w:ascii="Arial" w:eastAsia="Arial" w:hAnsi="Arial" w:cs="Arial"/>
          <w:sz w:val="22"/>
          <w:szCs w:val="22"/>
          <w:lang w:val="es-ES" w:eastAsia="en-US"/>
        </w:rPr>
        <w:t xml:space="preserve">, </w:t>
      </w:r>
      <w:r w:rsidR="004740C0" w:rsidRPr="00787A46">
        <w:rPr>
          <w:rFonts w:ascii="Arial" w:eastAsia="Arial" w:hAnsi="Arial" w:cs="Arial"/>
          <w:sz w:val="22"/>
          <w:szCs w:val="22"/>
          <w:lang w:val="es-ES" w:eastAsia="en-US"/>
        </w:rPr>
        <w:t xml:space="preserve">se observa que </w:t>
      </w:r>
      <w:r w:rsidR="00EA5CAC" w:rsidRPr="00787A46">
        <w:rPr>
          <w:rFonts w:ascii="Arial" w:eastAsia="Arial" w:hAnsi="Arial" w:cs="Arial"/>
          <w:sz w:val="22"/>
          <w:szCs w:val="22"/>
          <w:lang w:val="es-ES" w:eastAsia="en-US"/>
        </w:rPr>
        <w:t>órganos de control</w:t>
      </w:r>
      <w:r w:rsidR="00435B36" w:rsidRPr="00787A46">
        <w:rPr>
          <w:rFonts w:ascii="Arial" w:eastAsia="Arial" w:hAnsi="Arial" w:cs="Arial"/>
          <w:sz w:val="22"/>
          <w:szCs w:val="22"/>
          <w:lang w:val="es-ES" w:eastAsia="en-US"/>
        </w:rPr>
        <w:t>,</w:t>
      </w:r>
      <w:r w:rsidR="00EA5CAC" w:rsidRPr="00787A46">
        <w:rPr>
          <w:rFonts w:ascii="Arial" w:eastAsia="Arial" w:hAnsi="Arial" w:cs="Arial"/>
          <w:sz w:val="22"/>
          <w:szCs w:val="22"/>
          <w:lang w:val="es-ES" w:eastAsia="en-US"/>
        </w:rPr>
        <w:t xml:space="preserve"> como las personerías y las </w:t>
      </w:r>
      <w:r w:rsidR="00435B36" w:rsidRPr="00787A46">
        <w:rPr>
          <w:rFonts w:ascii="Arial" w:eastAsia="Arial" w:hAnsi="Arial" w:cs="Arial"/>
          <w:sz w:val="22"/>
          <w:szCs w:val="22"/>
          <w:lang w:val="es-ES" w:eastAsia="en-US"/>
        </w:rPr>
        <w:t>contralorías, no hacen parte de la rama ejecutiva, aunque se encuentren en el nivel territorial</w:t>
      </w:r>
      <w:r w:rsidR="00967A4A" w:rsidRPr="00787A46">
        <w:rPr>
          <w:rFonts w:ascii="Arial" w:eastAsia="Arial" w:hAnsi="Arial" w:cs="Arial"/>
          <w:sz w:val="22"/>
          <w:szCs w:val="22"/>
          <w:lang w:val="es-ES" w:eastAsia="en-US"/>
        </w:rPr>
        <w:t xml:space="preserve"> </w:t>
      </w:r>
      <w:r w:rsidR="00435B36" w:rsidRPr="00787A46">
        <w:rPr>
          <w:rFonts w:ascii="Arial" w:eastAsia="Arial" w:hAnsi="Arial" w:cs="Arial"/>
          <w:sz w:val="22"/>
          <w:szCs w:val="22"/>
          <w:lang w:val="es-ES" w:eastAsia="en-US"/>
        </w:rPr>
        <w:t xml:space="preserve">del departamento o municipio donde realizan sus funciones. </w:t>
      </w:r>
      <w:r w:rsidR="004740C0" w:rsidRPr="00787A46">
        <w:rPr>
          <w:rFonts w:ascii="Arial" w:eastAsia="Arial" w:hAnsi="Arial" w:cs="Arial"/>
          <w:sz w:val="22"/>
          <w:szCs w:val="22"/>
          <w:lang w:val="es-ES" w:eastAsia="en-US"/>
        </w:rPr>
        <w:t xml:space="preserve">Lo anterior, por cuanto al tratarse de órganos de control, </w:t>
      </w:r>
      <w:r w:rsidR="004740C0" w:rsidRPr="00787A46">
        <w:rPr>
          <w:rFonts w:ascii="Arial" w:hAnsi="Arial" w:cs="Arial"/>
          <w:sz w:val="22"/>
          <w:szCs w:val="22"/>
          <w:shd w:val="clear" w:color="auto" w:fill="FFFFFF"/>
          <w:lang w:eastAsia="es-MX"/>
        </w:rPr>
        <w:t xml:space="preserve">no </w:t>
      </w:r>
      <w:r w:rsidR="00856433" w:rsidRPr="00787A46">
        <w:rPr>
          <w:rFonts w:ascii="Arial" w:hAnsi="Arial" w:cs="Arial"/>
          <w:sz w:val="22"/>
          <w:szCs w:val="22"/>
          <w:shd w:val="clear" w:color="auto" w:fill="FFFFFF"/>
          <w:lang w:eastAsia="es-MX"/>
        </w:rPr>
        <w:t xml:space="preserve">forman parte </w:t>
      </w:r>
      <w:r w:rsidR="004740C0" w:rsidRPr="00787A46">
        <w:rPr>
          <w:rFonts w:ascii="Arial" w:hAnsi="Arial" w:cs="Arial"/>
          <w:sz w:val="22"/>
          <w:szCs w:val="22"/>
          <w:shd w:val="clear" w:color="auto" w:fill="FFFFFF"/>
          <w:lang w:eastAsia="es-MX"/>
        </w:rPr>
        <w:t>rama</w:t>
      </w:r>
      <w:r w:rsidR="00856433" w:rsidRPr="00787A46">
        <w:rPr>
          <w:rFonts w:ascii="Arial" w:hAnsi="Arial" w:cs="Arial"/>
          <w:sz w:val="22"/>
          <w:szCs w:val="22"/>
          <w:shd w:val="clear" w:color="auto" w:fill="FFFFFF"/>
          <w:lang w:eastAsia="es-MX"/>
        </w:rPr>
        <w:t xml:space="preserve"> ejecutiva</w:t>
      </w:r>
      <w:r w:rsidR="004740C0" w:rsidRPr="00787A46">
        <w:rPr>
          <w:rFonts w:ascii="Arial" w:hAnsi="Arial" w:cs="Arial"/>
          <w:sz w:val="22"/>
          <w:szCs w:val="22"/>
          <w:shd w:val="clear" w:color="auto" w:fill="FFFFFF"/>
          <w:lang w:eastAsia="es-MX"/>
        </w:rPr>
        <w:t xml:space="preserve"> del poder público, como tampoco del nivel central o del nivel descentralizado, pues, sencillamente, constituyen órganos autónomos e independientes.   </w:t>
      </w:r>
    </w:p>
    <w:p w14:paraId="2BF699E8" w14:textId="1C16E2E4" w:rsidR="00FE69C4" w:rsidRPr="00787A46" w:rsidRDefault="00435B36" w:rsidP="00791036">
      <w:pPr>
        <w:widowControl w:val="0"/>
        <w:autoSpaceDE w:val="0"/>
        <w:autoSpaceDN w:val="0"/>
        <w:spacing w:after="120" w:line="276" w:lineRule="auto"/>
        <w:ind w:right="108" w:firstLine="708"/>
        <w:jc w:val="both"/>
        <w:rPr>
          <w:rFonts w:ascii="Arial" w:eastAsia="Arial" w:hAnsi="Arial" w:cs="Arial"/>
          <w:sz w:val="22"/>
          <w:szCs w:val="22"/>
          <w:lang w:val="es-ES" w:eastAsia="en-US"/>
        </w:rPr>
      </w:pPr>
      <w:r w:rsidRPr="00787A46">
        <w:rPr>
          <w:rFonts w:ascii="Arial" w:eastAsia="Arial" w:hAnsi="Arial" w:cs="Arial"/>
          <w:sz w:val="22"/>
          <w:szCs w:val="22"/>
          <w:lang w:val="es-ES" w:eastAsia="en-US"/>
        </w:rPr>
        <w:t xml:space="preserve">En efecto, a estos órganos alude el </w:t>
      </w:r>
      <w:r w:rsidR="00E81C22" w:rsidRPr="00787A46">
        <w:rPr>
          <w:rFonts w:ascii="Arial" w:eastAsia="Arial" w:hAnsi="Arial" w:cs="Arial"/>
          <w:sz w:val="22"/>
          <w:szCs w:val="22"/>
          <w:lang w:val="es-ES" w:eastAsia="en-US"/>
        </w:rPr>
        <w:t xml:space="preserve">inciso segundo del </w:t>
      </w:r>
      <w:r w:rsidRPr="00787A46">
        <w:rPr>
          <w:rFonts w:ascii="Arial" w:eastAsia="Arial" w:hAnsi="Arial" w:cs="Arial"/>
          <w:sz w:val="22"/>
          <w:szCs w:val="22"/>
          <w:lang w:val="es-ES" w:eastAsia="en-US"/>
        </w:rPr>
        <w:t>artículo 113 constitucional cuando dispone que, además de</w:t>
      </w:r>
      <w:r w:rsidR="00E81C22" w:rsidRPr="00787A46">
        <w:rPr>
          <w:rFonts w:ascii="Arial" w:eastAsia="Arial" w:hAnsi="Arial" w:cs="Arial"/>
          <w:sz w:val="22"/>
          <w:szCs w:val="22"/>
          <w:lang w:val="es-ES" w:eastAsia="en-US"/>
        </w:rPr>
        <w:t xml:space="preserve"> quienes ejercer</w:t>
      </w:r>
      <w:r w:rsidRPr="00787A46">
        <w:rPr>
          <w:rFonts w:ascii="Arial" w:eastAsia="Arial" w:hAnsi="Arial" w:cs="Arial"/>
          <w:sz w:val="22"/>
          <w:szCs w:val="22"/>
          <w:lang w:val="es-ES" w:eastAsia="en-US"/>
        </w:rPr>
        <w:t xml:space="preserve"> las funciones legislativas</w:t>
      </w:r>
      <w:r w:rsidR="00E81C22" w:rsidRPr="00787A46">
        <w:rPr>
          <w:rFonts w:ascii="Arial" w:eastAsia="Arial" w:hAnsi="Arial" w:cs="Arial"/>
          <w:sz w:val="22"/>
          <w:szCs w:val="22"/>
          <w:lang w:val="es-ES" w:eastAsia="en-US"/>
        </w:rPr>
        <w:t>, ejecutivas</w:t>
      </w:r>
      <w:r w:rsidRPr="00787A46">
        <w:rPr>
          <w:rFonts w:ascii="Arial" w:eastAsia="Arial" w:hAnsi="Arial" w:cs="Arial"/>
          <w:sz w:val="22"/>
          <w:szCs w:val="22"/>
          <w:lang w:val="es-ES" w:eastAsia="en-US"/>
        </w:rPr>
        <w:t xml:space="preserve"> y judiciales, «[…] </w:t>
      </w:r>
      <w:r w:rsidR="00E81C22" w:rsidRPr="00787A46">
        <w:rPr>
          <w:rFonts w:ascii="Arial" w:eastAsia="Arial" w:hAnsi="Arial" w:cs="Arial"/>
          <w:sz w:val="22"/>
          <w:szCs w:val="22"/>
          <w:lang w:val="es-ES" w:eastAsia="en-US"/>
        </w:rPr>
        <w:t>existen otros, autónomos e independientes, para el cumplimiento de las demás funciones del Estado […]»</w:t>
      </w:r>
      <w:r w:rsidR="00BC1BC0" w:rsidRPr="00787A46">
        <w:rPr>
          <w:rStyle w:val="Refdenotaalpie"/>
          <w:rFonts w:ascii="Arial" w:eastAsia="Arial" w:hAnsi="Arial" w:cs="Arial"/>
          <w:sz w:val="22"/>
          <w:szCs w:val="22"/>
          <w:lang w:val="es-ES" w:eastAsia="en-US"/>
        </w:rPr>
        <w:footnoteReference w:id="10"/>
      </w:r>
      <w:r w:rsidR="00E81C22" w:rsidRPr="00787A46">
        <w:rPr>
          <w:rFonts w:ascii="Arial" w:eastAsia="Arial" w:hAnsi="Arial" w:cs="Arial"/>
          <w:sz w:val="22"/>
          <w:szCs w:val="22"/>
          <w:lang w:val="es-ES" w:eastAsia="en-US"/>
        </w:rPr>
        <w:t>.</w:t>
      </w:r>
      <w:r w:rsidR="00DB2D48" w:rsidRPr="00787A46">
        <w:rPr>
          <w:rFonts w:ascii="Arial" w:eastAsia="Arial" w:hAnsi="Arial" w:cs="Arial"/>
          <w:sz w:val="22"/>
          <w:szCs w:val="22"/>
          <w:lang w:val="es-ES" w:eastAsia="en-US"/>
        </w:rPr>
        <w:t xml:space="preserve"> </w:t>
      </w:r>
    </w:p>
    <w:p w14:paraId="78601BB8" w14:textId="7130C788" w:rsidR="009E26F7" w:rsidRPr="00787A46" w:rsidRDefault="00FE69C4" w:rsidP="00787A46">
      <w:pPr>
        <w:spacing w:line="276" w:lineRule="auto"/>
        <w:ind w:firstLine="700"/>
        <w:jc w:val="both"/>
        <w:rPr>
          <w:rFonts w:ascii="Arial" w:hAnsi="Arial" w:cs="Arial"/>
          <w:sz w:val="22"/>
          <w:szCs w:val="22"/>
          <w:lang w:eastAsia="es-MX"/>
        </w:rPr>
      </w:pPr>
      <w:r w:rsidRPr="00787A46">
        <w:rPr>
          <w:rFonts w:ascii="Arial" w:hAnsi="Arial" w:cs="Arial"/>
          <w:sz w:val="22"/>
          <w:szCs w:val="22"/>
          <w:lang w:eastAsia="es-MX"/>
        </w:rPr>
        <w:lastRenderedPageBreak/>
        <w:t xml:space="preserve">Sobre ese punto, cabe precisar que las personerías son organismos de control y vigilancia de las respectivas entidades territoriales, que ejercen la función de Ministerio Público y que están encargadas de la defensa, protección y promoción de los Derechos Humanos en su jurisdicción, así como de ejercer el control disciplinario en el municipio, la guarda del interés público y de los principios del Estado Social de Derecho y de la promoción del control social de la gestión pública. Así lo dispone el artículo 118 de la Constitución Política </w:t>
      </w:r>
      <w:r w:rsidR="009E26F7" w:rsidRPr="00787A46">
        <w:rPr>
          <w:rFonts w:ascii="Arial" w:hAnsi="Arial" w:cs="Arial"/>
          <w:sz w:val="22"/>
          <w:szCs w:val="22"/>
          <w:lang w:eastAsia="es-MX"/>
        </w:rPr>
        <w:t>el cual establece</w:t>
      </w:r>
      <w:r w:rsidRPr="00787A46">
        <w:rPr>
          <w:rFonts w:ascii="Arial" w:hAnsi="Arial" w:cs="Arial"/>
          <w:sz w:val="22"/>
          <w:szCs w:val="22"/>
          <w:lang w:eastAsia="es-MX"/>
        </w:rPr>
        <w:t>:</w:t>
      </w:r>
    </w:p>
    <w:p w14:paraId="19CBD19D" w14:textId="77777777" w:rsidR="009E26F7" w:rsidRPr="00787A46" w:rsidRDefault="009E26F7" w:rsidP="00787A46">
      <w:pPr>
        <w:jc w:val="both"/>
        <w:rPr>
          <w:rFonts w:ascii="Arial" w:hAnsi="Arial" w:cs="Arial"/>
          <w:sz w:val="22"/>
          <w:szCs w:val="22"/>
          <w:lang w:eastAsia="es-MX"/>
        </w:rPr>
      </w:pPr>
    </w:p>
    <w:p w14:paraId="18E2C9C6" w14:textId="77777777" w:rsidR="009E26F7" w:rsidRPr="00787A46" w:rsidRDefault="009E26F7" w:rsidP="00787A46">
      <w:pPr>
        <w:ind w:left="709" w:right="709"/>
        <w:jc w:val="both"/>
        <w:rPr>
          <w:rFonts w:ascii="Arial" w:hAnsi="Arial" w:cs="Arial"/>
          <w:sz w:val="21"/>
          <w:szCs w:val="21"/>
          <w:lang w:eastAsia="es-MX"/>
        </w:rPr>
      </w:pPr>
      <w:r w:rsidRPr="00787A46">
        <w:rPr>
          <w:rFonts w:ascii="Arial" w:hAnsi="Arial" w:cs="Arial"/>
          <w:sz w:val="21"/>
          <w:szCs w:val="21"/>
          <w:lang w:eastAsia="es-MX"/>
        </w:rPr>
        <w:t>“</w:t>
      </w:r>
      <w:r w:rsidR="00FE69C4" w:rsidRPr="00787A46">
        <w:rPr>
          <w:rFonts w:ascii="Arial" w:hAnsi="Arial" w:cs="Arial"/>
          <w:sz w:val="21"/>
          <w:szCs w:val="21"/>
          <w:lang w:eastAsia="es-MX"/>
        </w:rPr>
        <w:t xml:space="preserve">ARTÍCULO 118.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 </w:t>
      </w:r>
    </w:p>
    <w:p w14:paraId="34013097" w14:textId="77777777" w:rsidR="009E26F7" w:rsidRPr="00787A46" w:rsidRDefault="009E26F7" w:rsidP="00787A46">
      <w:pPr>
        <w:jc w:val="both"/>
        <w:rPr>
          <w:lang w:eastAsia="es-MX"/>
        </w:rPr>
      </w:pPr>
    </w:p>
    <w:p w14:paraId="259A8F1E" w14:textId="568FEDB8" w:rsidR="00856433" w:rsidRPr="00787A46" w:rsidRDefault="00FE69C4" w:rsidP="00787A46">
      <w:pPr>
        <w:spacing w:after="120" w:line="276" w:lineRule="auto"/>
        <w:ind w:firstLine="708"/>
        <w:jc w:val="both"/>
        <w:rPr>
          <w:rFonts w:ascii="Arial" w:hAnsi="Arial" w:cs="Arial"/>
          <w:sz w:val="22"/>
          <w:szCs w:val="22"/>
          <w:lang w:eastAsia="es-MX"/>
        </w:rPr>
      </w:pPr>
      <w:r w:rsidRPr="00787A46">
        <w:rPr>
          <w:rFonts w:ascii="Arial" w:hAnsi="Arial" w:cs="Arial"/>
          <w:sz w:val="22"/>
          <w:szCs w:val="22"/>
          <w:lang w:eastAsia="es-MX"/>
        </w:rPr>
        <w:t>De acuerdo con la norma trascrita, las personerías municipales ejercen la función de Ministerio Público en el ámbito de sus jurisdicciones, es decir, en las respectivas entidades territoriales.</w:t>
      </w:r>
      <w:r w:rsidR="00856433" w:rsidRPr="00787A46">
        <w:rPr>
          <w:rFonts w:ascii="Arial" w:hAnsi="Arial" w:cs="Arial"/>
          <w:sz w:val="22"/>
          <w:szCs w:val="22"/>
          <w:lang w:eastAsia="es-MX"/>
        </w:rPr>
        <w:t xml:space="preserve"> </w:t>
      </w:r>
      <w:r w:rsidR="009E26F7" w:rsidRPr="00787A46">
        <w:rPr>
          <w:rFonts w:ascii="Arial" w:hAnsi="Arial" w:cs="Arial"/>
          <w:sz w:val="22"/>
          <w:szCs w:val="22"/>
          <w:lang w:eastAsia="es-MX"/>
        </w:rPr>
        <w:t xml:space="preserve">Por su parte, las Contralorías Territoriales tienen reconocimiento constitucional en el artículo 272, y su función es la de </w:t>
      </w:r>
      <w:r w:rsidR="00791036" w:rsidRPr="00787A46">
        <w:rPr>
          <w:rFonts w:ascii="Arial" w:hAnsi="Arial" w:cs="Arial"/>
          <w:sz w:val="22"/>
          <w:szCs w:val="22"/>
          <w:lang w:eastAsia="es-MX"/>
        </w:rPr>
        <w:t>ejercer la vigilancia fiscal de los departamentos, distritos y municipios, según su competencia.</w:t>
      </w:r>
    </w:p>
    <w:p w14:paraId="0FC791D9" w14:textId="45FB31CB" w:rsidR="00F33C92" w:rsidRPr="00787A46" w:rsidRDefault="00856433" w:rsidP="00787A46">
      <w:pPr>
        <w:spacing w:line="276" w:lineRule="auto"/>
        <w:jc w:val="both"/>
        <w:rPr>
          <w:rFonts w:ascii="Arial" w:eastAsia="Arial" w:hAnsi="Arial" w:cs="Arial"/>
          <w:sz w:val="22"/>
          <w:szCs w:val="22"/>
          <w:lang w:eastAsia="en-US"/>
        </w:rPr>
      </w:pPr>
      <w:r w:rsidRPr="00787A46">
        <w:rPr>
          <w:rFonts w:ascii="Arial" w:hAnsi="Arial" w:cs="Arial"/>
          <w:sz w:val="22"/>
          <w:szCs w:val="22"/>
          <w:lang w:eastAsia="es-MX"/>
        </w:rPr>
        <w:tab/>
      </w:r>
      <w:r w:rsidR="00791036" w:rsidRPr="00787A46">
        <w:rPr>
          <w:rFonts w:ascii="Arial" w:hAnsi="Arial" w:cs="Arial"/>
          <w:sz w:val="22"/>
          <w:szCs w:val="22"/>
          <w:lang w:eastAsia="es-MX"/>
        </w:rPr>
        <w:t>De conformidad con lo expuesto, se concluy</w:t>
      </w:r>
      <w:r w:rsidRPr="00787A46">
        <w:rPr>
          <w:rFonts w:ascii="Arial" w:hAnsi="Arial" w:cs="Arial"/>
          <w:sz w:val="22"/>
          <w:szCs w:val="22"/>
          <w:lang w:eastAsia="es-MX"/>
        </w:rPr>
        <w:t>e que</w:t>
      </w:r>
      <w:r w:rsidR="00791036" w:rsidRPr="00787A46">
        <w:rPr>
          <w:rFonts w:ascii="Arial" w:hAnsi="Arial" w:cs="Arial"/>
          <w:sz w:val="22"/>
          <w:szCs w:val="22"/>
          <w:lang w:eastAsia="es-MX"/>
        </w:rPr>
        <w:t xml:space="preserve"> las contralorías territoriales y las personerías no son destinatarios de </w:t>
      </w:r>
      <w:r w:rsidR="007F3A65" w:rsidRPr="00787A46">
        <w:rPr>
          <w:rFonts w:ascii="Arial" w:eastAsia="Arial" w:hAnsi="Arial" w:cs="Arial"/>
          <w:sz w:val="22"/>
          <w:szCs w:val="22"/>
          <w:lang w:eastAsia="en-US"/>
        </w:rPr>
        <w:t xml:space="preserve"> la restricción contemplada en el </w:t>
      </w:r>
      <w:r w:rsidR="00E73846" w:rsidRPr="00787A46">
        <w:rPr>
          <w:rFonts w:ascii="Arial" w:eastAsia="Arial" w:hAnsi="Arial" w:cs="Arial"/>
          <w:sz w:val="22"/>
          <w:szCs w:val="22"/>
          <w:lang w:eastAsia="en-US"/>
        </w:rPr>
        <w:t>parágrafo del artículo 38 de la Ley de Garantías</w:t>
      </w:r>
      <w:r w:rsidR="00791036" w:rsidRPr="00787A46">
        <w:rPr>
          <w:rFonts w:ascii="Arial" w:eastAsia="Arial" w:hAnsi="Arial" w:cs="Arial"/>
          <w:sz w:val="22"/>
          <w:szCs w:val="22"/>
          <w:lang w:eastAsia="en-US"/>
        </w:rPr>
        <w:t>, en tanto que no se encuentran dentro de los supuestos de hecho de la norma.</w:t>
      </w:r>
    </w:p>
    <w:p w14:paraId="6C6860FB" w14:textId="77777777" w:rsidR="001B5EA1" w:rsidRPr="00787A46" w:rsidRDefault="001B5EA1" w:rsidP="00787A46">
      <w:pPr>
        <w:widowControl w:val="0"/>
        <w:autoSpaceDE w:val="0"/>
        <w:autoSpaceDN w:val="0"/>
        <w:spacing w:line="276" w:lineRule="auto"/>
        <w:ind w:right="108"/>
        <w:jc w:val="both"/>
        <w:rPr>
          <w:rFonts w:ascii="Arial" w:eastAsia="Arial" w:hAnsi="Arial" w:cs="Arial"/>
          <w:sz w:val="22"/>
          <w:szCs w:val="22"/>
          <w:lang w:val="es-ES" w:eastAsia="en-US"/>
        </w:rPr>
      </w:pPr>
    </w:p>
    <w:p w14:paraId="5071167E" w14:textId="77777777" w:rsidR="008A6AA1" w:rsidRPr="00787A46" w:rsidRDefault="008A6AA1" w:rsidP="008A6AA1">
      <w:pPr>
        <w:tabs>
          <w:tab w:val="left" w:pos="0"/>
        </w:tabs>
        <w:jc w:val="both"/>
        <w:rPr>
          <w:rFonts w:ascii="Arial" w:eastAsia="Calibri" w:hAnsi="Arial" w:cs="Arial"/>
          <w:b/>
          <w:sz w:val="22"/>
          <w:lang w:val="es-ES_tradnl"/>
        </w:rPr>
      </w:pPr>
      <w:r w:rsidRPr="00787A46">
        <w:rPr>
          <w:rFonts w:ascii="Arial" w:eastAsia="Calibri" w:hAnsi="Arial" w:cs="Arial"/>
          <w:b/>
          <w:sz w:val="22"/>
          <w:lang w:val="es-ES_tradnl"/>
        </w:rPr>
        <w:t>3. Respuestas</w:t>
      </w:r>
    </w:p>
    <w:p w14:paraId="1D78D111" w14:textId="77777777" w:rsidR="008A6AA1" w:rsidRPr="00787A46" w:rsidRDefault="008A6AA1" w:rsidP="006618E4">
      <w:pPr>
        <w:tabs>
          <w:tab w:val="left" w:pos="0"/>
        </w:tabs>
        <w:jc w:val="both"/>
        <w:rPr>
          <w:rFonts w:ascii="Arial" w:eastAsia="Calibri" w:hAnsi="Arial" w:cs="Arial"/>
          <w:sz w:val="22"/>
          <w:lang w:val="es-ES_tradnl"/>
        </w:rPr>
      </w:pPr>
    </w:p>
    <w:p w14:paraId="0AF19422" w14:textId="2D0616A8" w:rsidR="00786B97" w:rsidRPr="00787A46" w:rsidRDefault="00803AB0" w:rsidP="00787A46">
      <w:pPr>
        <w:pStyle w:val="NormalWeb"/>
        <w:spacing w:before="0" w:beforeAutospacing="0" w:after="120" w:afterAutospacing="0"/>
        <w:ind w:left="709" w:right="709"/>
        <w:jc w:val="both"/>
        <w:rPr>
          <w:rFonts w:ascii="Arial" w:hAnsi="Arial" w:cs="Arial"/>
          <w:sz w:val="21"/>
          <w:szCs w:val="21"/>
        </w:rPr>
      </w:pPr>
      <w:r w:rsidRPr="00787A46">
        <w:rPr>
          <w:rFonts w:ascii="Arial" w:hAnsi="Arial" w:cs="Arial"/>
          <w:sz w:val="21"/>
          <w:szCs w:val="21"/>
          <w:lang w:val="es-ES_tradnl"/>
        </w:rPr>
        <w:t>«</w:t>
      </w:r>
      <w:r w:rsidR="00786B97" w:rsidRPr="00787A46">
        <w:rPr>
          <w:rFonts w:ascii="Arial" w:hAnsi="Arial" w:cs="Arial"/>
          <w:sz w:val="21"/>
          <w:szCs w:val="21"/>
        </w:rPr>
        <w:t>El parágrafo del artículo 38 de la ley 966 de 2005 señala:</w:t>
      </w:r>
    </w:p>
    <w:p w14:paraId="75292D7E" w14:textId="5D9FF7D5" w:rsidR="00786B97" w:rsidRPr="00787A46" w:rsidRDefault="00786B97" w:rsidP="00787A46">
      <w:pPr>
        <w:pStyle w:val="NormalWeb"/>
        <w:spacing w:before="0" w:beforeAutospacing="0" w:after="120" w:afterAutospacing="0"/>
        <w:ind w:left="709" w:right="709"/>
        <w:jc w:val="both"/>
        <w:rPr>
          <w:rFonts w:ascii="Arial" w:hAnsi="Arial" w:cs="Arial"/>
          <w:sz w:val="21"/>
          <w:szCs w:val="21"/>
        </w:rPr>
      </w:pPr>
      <w:r w:rsidRPr="00787A46">
        <w:rPr>
          <w:rFonts w:ascii="Arial" w:hAnsi="Arial" w:cs="Arial"/>
          <w:sz w:val="21"/>
          <w:szCs w:val="21"/>
        </w:rPr>
        <w:t>“Parágrafo.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758D4830" w14:textId="17067ED6" w:rsidR="00B41D66" w:rsidRPr="00787A46" w:rsidRDefault="00786B97" w:rsidP="00787A46">
      <w:pPr>
        <w:pStyle w:val="NormalWeb"/>
        <w:spacing w:before="0" w:beforeAutospacing="0" w:after="0" w:afterAutospacing="0"/>
        <w:ind w:left="709" w:right="709"/>
        <w:jc w:val="both"/>
        <w:rPr>
          <w:rFonts w:ascii="Arial" w:hAnsi="Arial" w:cs="Arial"/>
          <w:sz w:val="21"/>
          <w:szCs w:val="21"/>
        </w:rPr>
      </w:pPr>
      <w:r w:rsidRPr="00787A46">
        <w:rPr>
          <w:rFonts w:ascii="Arial" w:hAnsi="Arial" w:cs="Arial"/>
          <w:sz w:val="21"/>
          <w:szCs w:val="21"/>
        </w:rPr>
        <w:t>¿Este parágrafo también es aplicable para entes de control de orden territorial?</w:t>
      </w:r>
      <w:r w:rsidR="00630845" w:rsidRPr="00787A46">
        <w:rPr>
          <w:rFonts w:ascii="Arial" w:hAnsi="Arial" w:cs="Arial"/>
          <w:sz w:val="21"/>
          <w:szCs w:val="21"/>
          <w:lang w:val="es-ES_tradnl"/>
        </w:rPr>
        <w:t>»</w:t>
      </w:r>
      <w:r w:rsidR="00630845" w:rsidRPr="00787A46">
        <w:rPr>
          <w:rFonts w:ascii="Arial" w:hAnsi="Arial" w:cs="Arial"/>
          <w:sz w:val="21"/>
          <w:szCs w:val="21"/>
          <w:bdr w:val="none" w:sz="0" w:space="0" w:color="auto" w:frame="1"/>
        </w:rPr>
        <w:t>.</w:t>
      </w:r>
    </w:p>
    <w:p w14:paraId="435A2A67" w14:textId="77777777" w:rsidR="00791036" w:rsidRPr="00787A46" w:rsidRDefault="00791036" w:rsidP="006B3EB4">
      <w:pPr>
        <w:spacing w:line="276" w:lineRule="auto"/>
        <w:ind w:right="709"/>
        <w:jc w:val="both"/>
        <w:rPr>
          <w:rFonts w:ascii="Arial" w:hAnsi="Arial" w:cs="Arial"/>
          <w:sz w:val="22"/>
          <w:szCs w:val="22"/>
        </w:rPr>
      </w:pPr>
    </w:p>
    <w:p w14:paraId="2FBAF5C6" w14:textId="41B14C1A" w:rsidR="00FD3D80" w:rsidRPr="00787A46" w:rsidRDefault="00FD3D80" w:rsidP="00FD3D80">
      <w:pPr>
        <w:spacing w:after="120" w:line="276" w:lineRule="auto"/>
        <w:ind w:firstLine="708"/>
        <w:jc w:val="both"/>
        <w:rPr>
          <w:rFonts w:ascii="Arial" w:eastAsia="Calibri" w:hAnsi="Arial" w:cs="Arial"/>
          <w:bCs/>
          <w:sz w:val="22"/>
          <w:szCs w:val="22"/>
          <w:lang w:val="es-ES_tradnl" w:eastAsia="en-US"/>
        </w:rPr>
      </w:pPr>
      <w:r w:rsidRPr="00787A46">
        <w:rPr>
          <w:rFonts w:ascii="Arial" w:eastAsia="Calibri" w:hAnsi="Arial" w:cs="Arial"/>
          <w:bCs/>
          <w:sz w:val="22"/>
          <w:szCs w:val="22"/>
          <w:lang w:val="es-ES_tradnl" w:eastAsia="en-US"/>
        </w:rPr>
        <w:t xml:space="preserve">Teniendo en cuenta el marco jurídico analizado y en especial lo </w:t>
      </w:r>
      <w:r w:rsidR="001B5EA1" w:rsidRPr="00787A46">
        <w:rPr>
          <w:rFonts w:ascii="Arial" w:eastAsia="Calibri" w:hAnsi="Arial" w:cs="Arial"/>
          <w:bCs/>
          <w:sz w:val="22"/>
          <w:szCs w:val="22"/>
          <w:lang w:val="es-ES_tradnl" w:eastAsia="en-US"/>
        </w:rPr>
        <w:t>dispuesto</w:t>
      </w:r>
      <w:r w:rsidRPr="00787A46">
        <w:rPr>
          <w:rFonts w:ascii="Arial" w:eastAsia="Calibri" w:hAnsi="Arial" w:cs="Arial"/>
          <w:bCs/>
          <w:sz w:val="22"/>
          <w:szCs w:val="22"/>
          <w:lang w:val="es-ES_tradnl" w:eastAsia="en-US"/>
        </w:rPr>
        <w:t xml:space="preserve"> en el parágrafo del artículo 38 de la Ley 996 de 2005, se establece la restricción para la </w:t>
      </w:r>
      <w:r w:rsidRPr="00787A46">
        <w:rPr>
          <w:rFonts w:ascii="Arial" w:eastAsia="Calibri" w:hAnsi="Arial" w:cs="Arial"/>
          <w:bCs/>
          <w:sz w:val="22"/>
          <w:szCs w:val="22"/>
          <w:lang w:val="es-ES_tradnl" w:eastAsia="en-US"/>
        </w:rPr>
        <w:lastRenderedPageBreak/>
        <w:t xml:space="preserve">celebración de contratos o convenios interadministrativos es para los gobernadores, alcaldes municipales y/ o distritales, secretarios, gerentes y directores de entidades descentralizadas, de orden municipal, departamental o distrital. </w:t>
      </w:r>
    </w:p>
    <w:p w14:paraId="151BDAB1" w14:textId="77777777" w:rsidR="005B43E2" w:rsidRPr="00787A46" w:rsidRDefault="005B43E2" w:rsidP="00787A46">
      <w:pPr>
        <w:widowControl w:val="0"/>
        <w:autoSpaceDE w:val="0"/>
        <w:autoSpaceDN w:val="0"/>
        <w:spacing w:after="120" w:line="276" w:lineRule="auto"/>
        <w:ind w:right="108" w:firstLine="709"/>
        <w:jc w:val="both"/>
        <w:rPr>
          <w:rFonts w:ascii="Arial" w:eastAsia="Arial" w:hAnsi="Arial" w:cs="Arial"/>
          <w:sz w:val="22"/>
          <w:szCs w:val="22"/>
          <w:lang w:val="es-ES" w:eastAsia="en-US"/>
        </w:rPr>
      </w:pPr>
      <w:r w:rsidRPr="00787A46">
        <w:rPr>
          <w:rFonts w:ascii="Arial" w:hAnsi="Arial" w:cs="Arial"/>
          <w:iCs/>
          <w:sz w:val="22"/>
          <w:szCs w:val="22"/>
          <w:shd w:val="clear" w:color="auto" w:fill="FFFFFF"/>
        </w:rPr>
        <w:t>Conforme a la explicación precedente, a</w:t>
      </w:r>
      <w:r w:rsidRPr="00787A46">
        <w:rPr>
          <w:rFonts w:ascii="Arial" w:eastAsia="Arial" w:hAnsi="Arial" w:cs="Arial"/>
          <w:sz w:val="22"/>
          <w:szCs w:val="22"/>
          <w:lang w:val="es-ES" w:eastAsia="en-US"/>
        </w:rPr>
        <w:t xml:space="preserve">l momento de interpretar los sujetos destinatarios del parágrafo del artículo 38 de la Ley 996 de 2055 debe tenerse en cuenta tres (3) criterios interpretativos: i) </w:t>
      </w:r>
      <w:r w:rsidRPr="00787A46">
        <w:rPr>
          <w:rFonts w:ascii="Arial" w:eastAsia="Arial" w:hAnsi="Arial" w:cs="Arial"/>
          <w:i/>
          <w:sz w:val="22"/>
          <w:szCs w:val="22"/>
          <w:lang w:val="es-ES" w:eastAsia="en-US"/>
        </w:rPr>
        <w:t>criterio restrictivo</w:t>
      </w:r>
      <w:r w:rsidRPr="00787A46">
        <w:rPr>
          <w:rFonts w:ascii="Arial" w:eastAsia="Arial" w:hAnsi="Arial" w:cs="Arial"/>
          <w:sz w:val="22"/>
          <w:szCs w:val="22"/>
          <w:lang w:val="es-ES" w:eastAsia="en-US"/>
        </w:rPr>
        <w:t xml:space="preserve">, que consiste en que el parágrafo del artículo 38 de la Ley 996 restringe la suscripción de convenios o contratos interadministrativos a una categoría de entidades; ii) </w:t>
      </w:r>
      <w:r w:rsidRPr="00787A46">
        <w:rPr>
          <w:rFonts w:ascii="Arial" w:eastAsia="Arial" w:hAnsi="Arial" w:cs="Arial"/>
          <w:i/>
          <w:iCs/>
          <w:sz w:val="22"/>
          <w:szCs w:val="22"/>
          <w:lang w:val="es-ES" w:eastAsia="en-US"/>
        </w:rPr>
        <w:t>criterio material</w:t>
      </w:r>
      <w:r w:rsidRPr="00787A46">
        <w:rPr>
          <w:rFonts w:ascii="Arial" w:eastAsia="Arial" w:hAnsi="Arial" w:cs="Arial"/>
          <w:sz w:val="22"/>
          <w:szCs w:val="22"/>
          <w:lang w:val="es-ES" w:eastAsia="en-US"/>
        </w:rPr>
        <w:t xml:space="preserve">, que se refiere a un determinado tipo de entidades del Estado de la rama ejecutiva del nivel territorial; y iii) </w:t>
      </w:r>
      <w:r w:rsidRPr="00787A46">
        <w:rPr>
          <w:rFonts w:ascii="Arial" w:eastAsia="Arial" w:hAnsi="Arial" w:cs="Arial"/>
          <w:i/>
          <w:sz w:val="22"/>
          <w:szCs w:val="22"/>
          <w:lang w:val="es-ES" w:eastAsia="en-US"/>
        </w:rPr>
        <w:t>criterio residual</w:t>
      </w:r>
      <w:r w:rsidRPr="00787A46">
        <w:rPr>
          <w:rFonts w:ascii="Arial" w:eastAsia="Arial" w:hAnsi="Arial" w:cs="Arial"/>
          <w:sz w:val="22"/>
          <w:szCs w:val="22"/>
          <w:lang w:val="es-ES" w:eastAsia="en-US"/>
        </w:rPr>
        <w:t xml:space="preserve">, que consiste en señalar que no le son aplicables las prohibiciones a aquellas entidades que no pertenezcan a las categorías establecidas en la norma. </w:t>
      </w:r>
    </w:p>
    <w:p w14:paraId="0EF88942" w14:textId="4E1DF655" w:rsidR="005B43E2" w:rsidRPr="00787A46" w:rsidRDefault="00AC0FA7" w:rsidP="00787A46">
      <w:pPr>
        <w:widowControl w:val="0"/>
        <w:autoSpaceDE w:val="0"/>
        <w:autoSpaceDN w:val="0"/>
        <w:spacing w:after="120" w:line="276" w:lineRule="auto"/>
        <w:ind w:right="108" w:firstLine="708"/>
        <w:jc w:val="both"/>
        <w:rPr>
          <w:rFonts w:ascii="Arial" w:eastAsia="Arial" w:hAnsi="Arial" w:cs="Arial"/>
          <w:sz w:val="22"/>
          <w:szCs w:val="22"/>
          <w:lang w:eastAsia="en-US"/>
        </w:rPr>
      </w:pPr>
      <w:r w:rsidRPr="00787A46">
        <w:rPr>
          <w:rFonts w:ascii="Arial" w:eastAsia="Arial" w:hAnsi="Arial" w:cs="Arial"/>
          <w:sz w:val="22"/>
          <w:szCs w:val="22"/>
          <w:lang w:val="es-ES" w:eastAsia="en-US"/>
        </w:rPr>
        <w:t>Ahora bien, teniendo en cuenta que los destinatarios de la restricción contemplada en el artículo 38 de la Ley 996 de 2006 pertenecen a la rama ejecutiva del nivel territorial se concluye que las Contralorías Territoriales y las personerías no les</w:t>
      </w:r>
      <w:r w:rsidR="00552D32" w:rsidRPr="00787A46">
        <w:rPr>
          <w:rFonts w:ascii="Arial" w:eastAsia="Arial" w:hAnsi="Arial" w:cs="Arial"/>
          <w:sz w:val="22"/>
          <w:szCs w:val="22"/>
          <w:lang w:val="es-ES" w:eastAsia="en-US"/>
        </w:rPr>
        <w:t xml:space="preserve"> </w:t>
      </w:r>
      <w:r w:rsidRPr="00787A46">
        <w:rPr>
          <w:rFonts w:ascii="Arial" w:eastAsia="Arial" w:hAnsi="Arial" w:cs="Arial"/>
          <w:sz w:val="22"/>
          <w:szCs w:val="22"/>
          <w:lang w:val="es-ES" w:eastAsia="en-US"/>
        </w:rPr>
        <w:t>aplica dicha disposición. Lo anterior, por cuanto no solamente no se encuentran den</w:t>
      </w:r>
      <w:r w:rsidR="00552D32" w:rsidRPr="00787A46">
        <w:rPr>
          <w:rFonts w:ascii="Arial" w:eastAsia="Arial" w:hAnsi="Arial" w:cs="Arial"/>
          <w:sz w:val="22"/>
          <w:szCs w:val="22"/>
          <w:lang w:val="es-ES" w:eastAsia="en-US"/>
        </w:rPr>
        <w:t>t</w:t>
      </w:r>
      <w:r w:rsidRPr="00787A46">
        <w:rPr>
          <w:rFonts w:ascii="Arial" w:eastAsia="Arial" w:hAnsi="Arial" w:cs="Arial"/>
          <w:sz w:val="22"/>
          <w:szCs w:val="22"/>
          <w:lang w:val="es-ES" w:eastAsia="en-US"/>
        </w:rPr>
        <w:t xml:space="preserve">ro de los sujetos que </w:t>
      </w:r>
      <w:r w:rsidR="00552D32" w:rsidRPr="00787A46">
        <w:rPr>
          <w:rFonts w:ascii="Arial" w:eastAsia="Arial" w:hAnsi="Arial" w:cs="Arial"/>
          <w:sz w:val="22"/>
          <w:szCs w:val="22"/>
          <w:lang w:val="es-ES" w:eastAsia="en-US"/>
        </w:rPr>
        <w:t>pertenecen</w:t>
      </w:r>
      <w:r w:rsidRPr="00787A46">
        <w:rPr>
          <w:rFonts w:ascii="Arial" w:eastAsia="Arial" w:hAnsi="Arial" w:cs="Arial"/>
          <w:sz w:val="22"/>
          <w:szCs w:val="22"/>
          <w:lang w:val="es-ES" w:eastAsia="en-US"/>
        </w:rPr>
        <w:t xml:space="preserve"> a nivel descentralizado a la administración, según lo contemplado en el </w:t>
      </w:r>
      <w:r w:rsidR="00552D32" w:rsidRPr="00787A46">
        <w:rPr>
          <w:rFonts w:ascii="Arial" w:eastAsia="Arial" w:hAnsi="Arial" w:cs="Arial"/>
          <w:sz w:val="22"/>
          <w:szCs w:val="22"/>
          <w:lang w:val="es-ES" w:eastAsia="en-US"/>
        </w:rPr>
        <w:t>artículo</w:t>
      </w:r>
      <w:r w:rsidRPr="00787A46">
        <w:rPr>
          <w:rFonts w:ascii="Arial" w:eastAsia="Arial" w:hAnsi="Arial" w:cs="Arial"/>
          <w:sz w:val="22"/>
          <w:szCs w:val="22"/>
          <w:lang w:val="es-ES" w:eastAsia="en-US"/>
        </w:rPr>
        <w:t xml:space="preserve"> 68 de la Ley 489 de 1998, sino además porque </w:t>
      </w:r>
      <w:r w:rsidR="00552D32" w:rsidRPr="00787A46">
        <w:rPr>
          <w:rFonts w:ascii="Arial" w:eastAsia="Arial" w:hAnsi="Arial" w:cs="Arial"/>
          <w:sz w:val="22"/>
          <w:szCs w:val="22"/>
          <w:lang w:val="es-ES" w:eastAsia="en-US"/>
        </w:rPr>
        <w:t xml:space="preserve">al tratarse de órganos de control, </w:t>
      </w:r>
      <w:r w:rsidR="00552D32" w:rsidRPr="00787A46">
        <w:rPr>
          <w:rFonts w:ascii="Arial" w:hAnsi="Arial" w:cs="Arial"/>
          <w:sz w:val="22"/>
          <w:szCs w:val="22"/>
          <w:shd w:val="clear" w:color="auto" w:fill="FFFFFF"/>
          <w:lang w:eastAsia="es-MX"/>
        </w:rPr>
        <w:t>no hacen parte</w:t>
      </w:r>
      <w:r w:rsidR="00787A46">
        <w:rPr>
          <w:rFonts w:ascii="Arial" w:hAnsi="Arial" w:cs="Arial"/>
          <w:sz w:val="22"/>
          <w:szCs w:val="22"/>
          <w:shd w:val="clear" w:color="auto" w:fill="FFFFFF"/>
          <w:lang w:eastAsia="es-MX"/>
        </w:rPr>
        <w:t xml:space="preserve"> de la </w:t>
      </w:r>
      <w:r w:rsidR="00552D32" w:rsidRPr="00787A46">
        <w:rPr>
          <w:rFonts w:ascii="Arial" w:hAnsi="Arial" w:cs="Arial"/>
          <w:sz w:val="22"/>
          <w:szCs w:val="22"/>
          <w:shd w:val="clear" w:color="auto" w:fill="FFFFFF"/>
          <w:lang w:eastAsia="es-MX"/>
        </w:rPr>
        <w:t>rama</w:t>
      </w:r>
      <w:r w:rsidR="00787A46">
        <w:rPr>
          <w:rFonts w:ascii="Arial" w:hAnsi="Arial" w:cs="Arial"/>
          <w:sz w:val="22"/>
          <w:szCs w:val="22"/>
          <w:shd w:val="clear" w:color="auto" w:fill="FFFFFF"/>
          <w:lang w:eastAsia="es-MX"/>
        </w:rPr>
        <w:t xml:space="preserve"> ejecutiva</w:t>
      </w:r>
      <w:r w:rsidR="00552D32" w:rsidRPr="00787A46">
        <w:rPr>
          <w:rFonts w:ascii="Arial" w:hAnsi="Arial" w:cs="Arial"/>
          <w:sz w:val="22"/>
          <w:szCs w:val="22"/>
          <w:shd w:val="clear" w:color="auto" w:fill="FFFFFF"/>
          <w:lang w:eastAsia="es-MX"/>
        </w:rPr>
        <w:t xml:space="preserve"> del poder público, de acuerdo a lo dispuesto en el artículo 118 de la Constitución.</w:t>
      </w:r>
    </w:p>
    <w:p w14:paraId="40B241CC" w14:textId="0756B5EC" w:rsidR="00FD3D80" w:rsidRPr="00787A46" w:rsidRDefault="005B43E2" w:rsidP="00787A46">
      <w:pPr>
        <w:widowControl w:val="0"/>
        <w:autoSpaceDE w:val="0"/>
        <w:autoSpaceDN w:val="0"/>
        <w:spacing w:after="120" w:line="276" w:lineRule="auto"/>
        <w:ind w:right="108" w:firstLine="708"/>
        <w:jc w:val="both"/>
        <w:rPr>
          <w:rFonts w:ascii="Arial" w:eastAsia="Calibri" w:hAnsi="Arial" w:cs="Arial"/>
          <w:bCs/>
          <w:sz w:val="22"/>
          <w:szCs w:val="22"/>
          <w:lang w:val="es-ES_tradnl" w:eastAsia="en-US"/>
        </w:rPr>
      </w:pPr>
      <w:r w:rsidRPr="00787A46">
        <w:rPr>
          <w:rFonts w:ascii="Arial" w:eastAsia="Arial" w:hAnsi="Arial" w:cs="Arial"/>
          <w:sz w:val="22"/>
          <w:szCs w:val="22"/>
          <w:lang w:eastAsia="en-US"/>
        </w:rPr>
        <w:t xml:space="preserve">En consecuencia, pese a que estos órganos de control desarrollan sus actividades </w:t>
      </w:r>
      <w:r w:rsidR="00552D32" w:rsidRPr="00787A46">
        <w:rPr>
          <w:rFonts w:ascii="Arial" w:eastAsia="Arial" w:hAnsi="Arial" w:cs="Arial"/>
          <w:sz w:val="22"/>
          <w:szCs w:val="22"/>
          <w:lang w:eastAsia="en-US"/>
        </w:rPr>
        <w:t>en el</w:t>
      </w:r>
      <w:r w:rsidRPr="00787A46">
        <w:rPr>
          <w:rFonts w:ascii="Arial" w:eastAsia="Arial" w:hAnsi="Arial" w:cs="Arial"/>
          <w:sz w:val="22"/>
          <w:szCs w:val="22"/>
          <w:lang w:eastAsia="en-US"/>
        </w:rPr>
        <w:t xml:space="preserve"> ámbito territorial, la Agencia </w:t>
      </w:r>
      <w:r w:rsidR="00552D32" w:rsidRPr="00787A46">
        <w:rPr>
          <w:rFonts w:ascii="Arial" w:eastAsia="Arial" w:hAnsi="Arial" w:cs="Arial"/>
          <w:sz w:val="22"/>
          <w:szCs w:val="22"/>
          <w:lang w:eastAsia="en-US"/>
        </w:rPr>
        <w:t>concluye</w:t>
      </w:r>
      <w:r w:rsidRPr="00787A46">
        <w:rPr>
          <w:rFonts w:ascii="Arial" w:eastAsia="Arial" w:hAnsi="Arial" w:cs="Arial"/>
          <w:sz w:val="22"/>
          <w:szCs w:val="22"/>
          <w:lang w:eastAsia="en-US"/>
        </w:rPr>
        <w:t xml:space="preserve"> </w:t>
      </w:r>
      <w:r w:rsidR="00552D32" w:rsidRPr="00787A46">
        <w:rPr>
          <w:rFonts w:ascii="Arial" w:eastAsia="Arial" w:hAnsi="Arial" w:cs="Arial"/>
          <w:sz w:val="22"/>
          <w:szCs w:val="22"/>
          <w:lang w:eastAsia="en-US"/>
        </w:rPr>
        <w:t xml:space="preserve">que </w:t>
      </w:r>
      <w:r w:rsidRPr="00787A46">
        <w:rPr>
          <w:rFonts w:ascii="Arial" w:eastAsia="Arial" w:hAnsi="Arial" w:cs="Arial"/>
          <w:sz w:val="22"/>
          <w:szCs w:val="22"/>
          <w:lang w:eastAsia="en-US"/>
        </w:rPr>
        <w:t xml:space="preserve">no están dentro de las restricciones del parágrafo del artículo 38 de la Ley de Garantías conforme a los tres (3) criterios explicados anteriormente. </w:t>
      </w:r>
    </w:p>
    <w:p w14:paraId="7B2C921D" w14:textId="0F779FF9" w:rsidR="00DD5B04" w:rsidRPr="00787A46" w:rsidRDefault="00DD5B04" w:rsidP="00861F5C">
      <w:pPr>
        <w:spacing w:line="276" w:lineRule="auto"/>
        <w:jc w:val="both"/>
        <w:rPr>
          <w:rFonts w:ascii="Arial" w:hAnsi="Arial" w:cs="Arial"/>
          <w:sz w:val="22"/>
          <w:lang w:val="es-ES_tradnl"/>
        </w:rPr>
      </w:pPr>
      <w:r w:rsidRPr="00787A46">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E4581">
        <w:rPr>
          <w:rFonts w:ascii="Arial" w:hAnsi="Arial" w:cs="Arial"/>
          <w:color w:val="000000" w:themeColor="text1"/>
          <w:sz w:val="22"/>
          <w:szCs w:val="22"/>
          <w:lang w:val="es-ES_tradnl"/>
        </w:rPr>
        <w:t>Atentamente,</w:t>
      </w:r>
    </w:p>
    <w:p w14:paraId="49730030" w14:textId="220FBCA0" w:rsidR="00DD5B04" w:rsidRPr="008E36E3" w:rsidRDefault="00B37747" w:rsidP="00787A46">
      <w:pPr>
        <w:pStyle w:val="NormalWeb"/>
        <w:spacing w:before="0" w:beforeAutospacing="0" w:after="0" w:afterAutospacing="0" w:line="276" w:lineRule="auto"/>
        <w:jc w:val="center"/>
        <w:rPr>
          <w:color w:val="000000" w:themeColor="text1"/>
          <w:lang w:val="es-ES_tradnl"/>
        </w:rPr>
      </w:pPr>
      <w:r>
        <w:rPr>
          <w:noProof/>
        </w:rPr>
        <w:drawing>
          <wp:inline distT="0" distB="0" distL="0" distR="0" wp14:anchorId="50C40870" wp14:editId="0B848104">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3"/>
                    <a:stretch>
                      <a:fillRect/>
                    </a:stretch>
                  </pic:blipFill>
                  <pic:spPr>
                    <a:xfrm>
                      <a:off x="0" y="0"/>
                      <a:ext cx="3124200" cy="10001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4581" w:rsidRPr="004E4581" w14:paraId="0C7DC5F7" w14:textId="77777777" w:rsidTr="008F4163">
        <w:trPr>
          <w:trHeight w:val="315"/>
        </w:trPr>
        <w:tc>
          <w:tcPr>
            <w:tcW w:w="812" w:type="dxa"/>
            <w:vAlign w:val="center"/>
            <w:hideMark/>
          </w:tcPr>
          <w:p w14:paraId="5BDB1AC9"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4E4581" w:rsidRDefault="000254DD"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José Luis Sánchez Cardona</w:t>
            </w:r>
            <w:r w:rsidR="005E38E9" w:rsidRPr="004E4581">
              <w:rPr>
                <w:rFonts w:ascii="Arial" w:hAnsi="Arial" w:cs="Arial"/>
                <w:color w:val="000000" w:themeColor="text1"/>
                <w:sz w:val="16"/>
                <w:szCs w:val="16"/>
                <w:lang w:val="es-ES_tradnl" w:eastAsia="es-ES"/>
              </w:rPr>
              <w:t xml:space="preserve"> </w:t>
            </w:r>
          </w:p>
          <w:p w14:paraId="240C71FD" w14:textId="31312C95"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Contratista</w:t>
            </w:r>
            <w:r w:rsidR="00FF0050" w:rsidRPr="004E4581">
              <w:rPr>
                <w:rFonts w:ascii="Arial" w:hAnsi="Arial" w:cs="Arial"/>
                <w:color w:val="000000" w:themeColor="text1"/>
                <w:sz w:val="16"/>
                <w:szCs w:val="16"/>
                <w:lang w:val="es-ES_tradnl" w:eastAsia="es-ES"/>
              </w:rPr>
              <w:t xml:space="preserve"> de la </w:t>
            </w:r>
            <w:r w:rsidRPr="004E4581">
              <w:rPr>
                <w:rFonts w:ascii="Arial" w:hAnsi="Arial" w:cs="Arial"/>
                <w:color w:val="000000" w:themeColor="text1"/>
                <w:sz w:val="16"/>
                <w:szCs w:val="16"/>
                <w:lang w:val="es-ES_tradnl" w:eastAsia="es-ES"/>
              </w:rPr>
              <w:t>Subdirección de Gestión Contractual</w:t>
            </w:r>
          </w:p>
        </w:tc>
      </w:tr>
      <w:tr w:rsidR="004E4581" w:rsidRPr="004E4581" w14:paraId="2F8FD650" w14:textId="77777777" w:rsidTr="008F4163">
        <w:trPr>
          <w:trHeight w:val="330"/>
        </w:trPr>
        <w:tc>
          <w:tcPr>
            <w:tcW w:w="812" w:type="dxa"/>
            <w:vAlign w:val="center"/>
            <w:hideMark/>
          </w:tcPr>
          <w:p w14:paraId="50203A0B"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6F3F195D" w:rsidR="008623A7" w:rsidRPr="004E4581" w:rsidRDefault="00883309" w:rsidP="008623A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Penagos </w:t>
            </w:r>
          </w:p>
          <w:p w14:paraId="130B3228" w14:textId="7A834F20" w:rsidR="002B08BA" w:rsidRPr="004E4581" w:rsidRDefault="005E38E9" w:rsidP="00C05A61">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G</w:t>
            </w:r>
            <w:r w:rsidR="003D281F" w:rsidRPr="004E4581">
              <w:rPr>
                <w:rFonts w:ascii="Arial" w:hAnsi="Arial" w:cs="Arial"/>
                <w:color w:val="000000" w:themeColor="text1"/>
                <w:sz w:val="16"/>
                <w:szCs w:val="16"/>
                <w:lang w:val="es-ES_tradnl" w:eastAsia="es-ES"/>
              </w:rPr>
              <w:t xml:space="preserve">estor </w:t>
            </w:r>
            <w:r w:rsidR="00015642" w:rsidRPr="004E4581">
              <w:rPr>
                <w:rFonts w:ascii="Arial" w:hAnsi="Arial" w:cs="Arial"/>
                <w:color w:val="000000" w:themeColor="text1"/>
                <w:sz w:val="16"/>
                <w:szCs w:val="16"/>
                <w:lang w:val="es-ES_tradnl" w:eastAsia="es-ES"/>
              </w:rPr>
              <w:t>T1-</w:t>
            </w:r>
            <w:r w:rsidR="003D281F" w:rsidRPr="004E4581">
              <w:rPr>
                <w:rFonts w:ascii="Arial" w:hAnsi="Arial" w:cs="Arial"/>
                <w:color w:val="000000" w:themeColor="text1"/>
                <w:sz w:val="16"/>
                <w:szCs w:val="16"/>
                <w:lang w:val="es-ES_tradnl" w:eastAsia="es-ES"/>
              </w:rPr>
              <w:t xml:space="preserve">15 </w:t>
            </w:r>
            <w:r w:rsidR="00015642" w:rsidRPr="004E4581">
              <w:rPr>
                <w:rFonts w:ascii="Arial" w:hAnsi="Arial" w:cs="Arial"/>
                <w:color w:val="000000" w:themeColor="text1"/>
                <w:sz w:val="16"/>
                <w:szCs w:val="16"/>
                <w:lang w:val="es-ES_tradnl" w:eastAsia="es-ES"/>
              </w:rPr>
              <w:t xml:space="preserve">de la </w:t>
            </w:r>
            <w:r w:rsidR="003D281F" w:rsidRPr="004E4581">
              <w:rPr>
                <w:rFonts w:ascii="Arial" w:hAnsi="Arial" w:cs="Arial"/>
                <w:color w:val="000000" w:themeColor="text1"/>
                <w:sz w:val="16"/>
                <w:szCs w:val="16"/>
                <w:lang w:val="es-ES_tradnl" w:eastAsia="es-ES"/>
              </w:rPr>
              <w:t xml:space="preserve">Subdirección de Gestión Contractual </w:t>
            </w:r>
            <w:r w:rsidR="00015642" w:rsidRPr="004E4581">
              <w:rPr>
                <w:rFonts w:ascii="Arial" w:hAnsi="Arial" w:cs="Arial"/>
                <w:color w:val="000000" w:themeColor="text1"/>
                <w:sz w:val="16"/>
                <w:szCs w:val="16"/>
                <w:lang w:val="es-ES_tradnl" w:eastAsia="es-ES"/>
              </w:rPr>
              <w:t xml:space="preserve"> </w:t>
            </w:r>
          </w:p>
        </w:tc>
      </w:tr>
      <w:tr w:rsidR="00DD5B04" w:rsidRPr="004E4581" w14:paraId="0FCBCA4A" w14:textId="77777777" w:rsidTr="008F4163">
        <w:trPr>
          <w:trHeight w:val="300"/>
        </w:trPr>
        <w:tc>
          <w:tcPr>
            <w:tcW w:w="812" w:type="dxa"/>
            <w:vAlign w:val="center"/>
            <w:hideMark/>
          </w:tcPr>
          <w:p w14:paraId="3C1D943A" w14:textId="29B4D648"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6F4312" w14:textId="77777777" w:rsidR="00883309" w:rsidRDefault="00883309" w:rsidP="00DF76A2">
            <w:pPr>
              <w:jc w:val="both"/>
              <w:rPr>
                <w:rFonts w:ascii="Arial" w:hAnsi="Arial" w:cs="Arial"/>
                <w:color w:val="000000" w:themeColor="text1"/>
                <w:sz w:val="16"/>
                <w:szCs w:val="16"/>
                <w:lang w:eastAsia="es-ES"/>
              </w:rPr>
            </w:pPr>
            <w:r w:rsidRPr="00883309">
              <w:rPr>
                <w:rFonts w:ascii="Arial" w:hAnsi="Arial" w:cs="Arial"/>
                <w:color w:val="000000" w:themeColor="text1"/>
                <w:sz w:val="16"/>
                <w:szCs w:val="16"/>
                <w:lang w:eastAsia="es-ES"/>
              </w:rPr>
              <w:t xml:space="preserve">Juan David Marín López </w:t>
            </w:r>
          </w:p>
          <w:p w14:paraId="1ADC483B" w14:textId="23D20531" w:rsidR="00DD5B04" w:rsidRPr="004E4581" w:rsidRDefault="00883309" w:rsidP="00DF76A2">
            <w:pPr>
              <w:jc w:val="both"/>
              <w:rPr>
                <w:rFonts w:ascii="Arial" w:hAnsi="Arial" w:cs="Arial"/>
                <w:color w:val="000000" w:themeColor="text1"/>
                <w:sz w:val="16"/>
                <w:szCs w:val="16"/>
                <w:lang w:val="es-ES_tradnl" w:eastAsia="es-ES"/>
              </w:rPr>
            </w:pPr>
            <w:r w:rsidRPr="00883309">
              <w:rPr>
                <w:rFonts w:ascii="Arial" w:hAnsi="Arial" w:cs="Arial"/>
                <w:color w:val="000000" w:themeColor="text1"/>
                <w:sz w:val="16"/>
                <w:szCs w:val="16"/>
                <w:lang w:eastAsia="es-ES"/>
              </w:rPr>
              <w:t>Subdirector de Gestión Contractual ANCP – CCE (E</w:t>
            </w:r>
            <w:r>
              <w:rPr>
                <w:rFonts w:ascii="Arial" w:hAnsi="Arial" w:cs="Arial"/>
                <w:color w:val="000000" w:themeColor="text1"/>
                <w:sz w:val="16"/>
                <w:szCs w:val="16"/>
                <w:lang w:eastAsia="es-ES"/>
              </w:rPr>
              <w:t>)</w:t>
            </w:r>
          </w:p>
        </w:tc>
      </w:tr>
    </w:tbl>
    <w:p w14:paraId="35B56F46" w14:textId="3D4E0A65" w:rsidR="00630845" w:rsidRPr="004E4581" w:rsidRDefault="00630845" w:rsidP="00215B8E">
      <w:pPr>
        <w:jc w:val="both"/>
        <w:rPr>
          <w:rFonts w:ascii="Arial" w:hAnsi="Arial" w:cs="Arial"/>
          <w:color w:val="000000" w:themeColor="text1"/>
          <w:lang w:val="es-ES_tradnl"/>
        </w:rPr>
      </w:pPr>
    </w:p>
    <w:bookmarkEnd w:id="8"/>
    <w:p w14:paraId="75F18CB2" w14:textId="3A836A92" w:rsidR="00630845" w:rsidRPr="004E4581" w:rsidRDefault="00630845" w:rsidP="00630845">
      <w:pPr>
        <w:rPr>
          <w:rFonts w:ascii="Arial" w:hAnsi="Arial" w:cs="Arial"/>
          <w:color w:val="000000" w:themeColor="text1"/>
          <w:lang w:val="es-ES_tradnl"/>
        </w:rPr>
      </w:pPr>
    </w:p>
    <w:p w14:paraId="5E9C37DB" w14:textId="5057876E" w:rsidR="00746E08" w:rsidRPr="004E4581" w:rsidRDefault="00630845" w:rsidP="00322342">
      <w:pPr>
        <w:tabs>
          <w:tab w:val="left" w:pos="3795"/>
        </w:tabs>
        <w:rPr>
          <w:rFonts w:ascii="Arial" w:hAnsi="Arial" w:cs="Arial"/>
          <w:color w:val="000000" w:themeColor="text1"/>
          <w:lang w:val="es-ES_tradnl"/>
        </w:rPr>
      </w:pPr>
      <w:r w:rsidRPr="004E4581">
        <w:rPr>
          <w:rFonts w:ascii="Arial" w:hAnsi="Arial" w:cs="Arial"/>
          <w:color w:val="000000" w:themeColor="text1"/>
          <w:lang w:val="es-ES_tradnl"/>
        </w:rPr>
        <w:lastRenderedPageBreak/>
        <w:tab/>
      </w:r>
    </w:p>
    <w:sectPr w:rsidR="00746E08" w:rsidRPr="004E4581"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F180" w14:textId="77777777" w:rsidR="00372E92" w:rsidRDefault="00372E92">
      <w:r>
        <w:separator/>
      </w:r>
    </w:p>
  </w:endnote>
  <w:endnote w:type="continuationSeparator" w:id="0">
    <w:p w14:paraId="075825C7" w14:textId="77777777" w:rsidR="00372E92" w:rsidRDefault="00372E92">
      <w:r>
        <w:continuationSeparator/>
      </w:r>
    </w:p>
  </w:endnote>
  <w:endnote w:type="continuationNotice" w:id="1">
    <w:p w14:paraId="3D95A195" w14:textId="77777777" w:rsidR="00372E92" w:rsidRDefault="00372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02615562"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34C78">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34C78">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847A" w14:textId="77777777" w:rsidR="00372E92" w:rsidRDefault="00372E92">
      <w:r>
        <w:separator/>
      </w:r>
    </w:p>
  </w:footnote>
  <w:footnote w:type="continuationSeparator" w:id="0">
    <w:p w14:paraId="35FFD9AB" w14:textId="77777777" w:rsidR="00372E92" w:rsidRDefault="00372E92">
      <w:r>
        <w:continuationSeparator/>
      </w:r>
    </w:p>
  </w:footnote>
  <w:footnote w:type="continuationNotice" w:id="1">
    <w:p w14:paraId="5C2CDC93" w14:textId="77777777" w:rsidR="00372E92" w:rsidRDefault="00372E92"/>
  </w:footnote>
  <w:footnote w:id="2">
    <w:p w14:paraId="3340CA60" w14:textId="42D4CB56" w:rsidR="00787A46" w:rsidRPr="00787A46" w:rsidRDefault="00B83D27" w:rsidP="00787A46">
      <w:pPr>
        <w:pStyle w:val="Textonotapie"/>
        <w:ind w:firstLine="709"/>
        <w:jc w:val="both"/>
        <w:rPr>
          <w:rFonts w:ascii="Arial" w:hAnsi="Arial" w:cs="Arial"/>
          <w:sz w:val="18"/>
          <w:szCs w:val="18"/>
        </w:rPr>
      </w:pPr>
      <w:r w:rsidRPr="00787A46">
        <w:rPr>
          <w:rStyle w:val="Refdenotaalpie"/>
          <w:rFonts w:ascii="Arial" w:hAnsi="Arial" w:cs="Arial"/>
          <w:sz w:val="18"/>
          <w:szCs w:val="18"/>
        </w:rPr>
        <w:footnoteRef/>
      </w:r>
      <w:r w:rsidRPr="00787A46">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E0E00DA" w14:textId="77777777" w:rsidR="00B83D27" w:rsidRPr="00787A46" w:rsidRDefault="00B83D27" w:rsidP="00B83D27">
      <w:pPr>
        <w:pStyle w:val="Textonotapie"/>
        <w:ind w:firstLine="709"/>
        <w:jc w:val="both"/>
        <w:rPr>
          <w:rFonts w:ascii="Arial" w:hAnsi="Arial" w:cs="Arial"/>
          <w:sz w:val="18"/>
          <w:szCs w:val="18"/>
        </w:rPr>
      </w:pPr>
      <w:r w:rsidRPr="00787A46">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386AFD70" w14:textId="2016E234" w:rsidR="00B83D27" w:rsidRPr="00787A46" w:rsidRDefault="00B83D27" w:rsidP="00787A46">
      <w:pPr>
        <w:pStyle w:val="Textonotapie"/>
        <w:ind w:firstLine="709"/>
        <w:jc w:val="both"/>
        <w:rPr>
          <w:rFonts w:ascii="Arial" w:hAnsi="Arial" w:cs="Arial"/>
          <w:sz w:val="18"/>
          <w:szCs w:val="18"/>
          <w:lang w:val="es-CO"/>
        </w:rPr>
      </w:pPr>
      <w:r w:rsidRPr="00787A46">
        <w:rPr>
          <w:rStyle w:val="Refdenotaalpie"/>
          <w:rFonts w:ascii="Arial" w:hAnsi="Arial" w:cs="Arial"/>
          <w:sz w:val="18"/>
          <w:szCs w:val="18"/>
        </w:rPr>
        <w:footnoteRef/>
      </w:r>
      <w:r w:rsidRPr="00787A46">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4">
    <w:p w14:paraId="7B898441" w14:textId="77777777" w:rsidR="00B83D27" w:rsidRPr="00787A46" w:rsidRDefault="00B83D27" w:rsidP="00B83D27">
      <w:pPr>
        <w:pStyle w:val="Textonotapie"/>
        <w:ind w:firstLine="709"/>
        <w:jc w:val="both"/>
        <w:rPr>
          <w:rFonts w:ascii="Arial" w:hAnsi="Arial" w:cs="Arial"/>
          <w:sz w:val="18"/>
          <w:szCs w:val="18"/>
          <w:lang w:val="es-CO"/>
        </w:rPr>
      </w:pPr>
      <w:r w:rsidRPr="00787A46">
        <w:rPr>
          <w:rStyle w:val="Refdenotaalpie"/>
          <w:rFonts w:ascii="Arial" w:hAnsi="Arial" w:cs="Arial"/>
          <w:sz w:val="18"/>
          <w:szCs w:val="18"/>
        </w:rPr>
        <w:footnoteRef/>
      </w:r>
      <w:r w:rsidRPr="00787A46">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5A3B842" w14:textId="77777777" w:rsidR="00B83D27" w:rsidRPr="00787A46" w:rsidRDefault="00B83D27" w:rsidP="00B83D27">
      <w:pPr>
        <w:pStyle w:val="Textonotapie"/>
        <w:ind w:firstLine="709"/>
        <w:rPr>
          <w:rFonts w:ascii="Arial" w:hAnsi="Arial" w:cs="Arial"/>
          <w:sz w:val="18"/>
          <w:szCs w:val="18"/>
          <w:lang w:val="es-CO"/>
        </w:rPr>
      </w:pPr>
    </w:p>
  </w:footnote>
  <w:footnote w:id="5">
    <w:p w14:paraId="493BE970" w14:textId="28F0B0A5" w:rsidR="00B83D27" w:rsidRPr="00787A46" w:rsidRDefault="00B83D27" w:rsidP="00787A46">
      <w:pPr>
        <w:pStyle w:val="Textonotapie"/>
        <w:ind w:firstLine="709"/>
        <w:jc w:val="both"/>
        <w:rPr>
          <w:rFonts w:ascii="Arial" w:hAnsi="Arial" w:cs="Arial"/>
          <w:sz w:val="18"/>
          <w:szCs w:val="18"/>
          <w:lang w:val="es-CO"/>
        </w:rPr>
      </w:pPr>
      <w:r w:rsidRPr="00787A46">
        <w:rPr>
          <w:rStyle w:val="Refdenotaalpie"/>
          <w:rFonts w:ascii="Arial" w:hAnsi="Arial" w:cs="Arial"/>
          <w:sz w:val="18"/>
          <w:szCs w:val="18"/>
        </w:rPr>
        <w:footnoteRef/>
      </w:r>
      <w:r w:rsidRPr="00787A46">
        <w:rPr>
          <w:rFonts w:ascii="Arial" w:hAnsi="Arial" w:cs="Arial"/>
          <w:sz w:val="18"/>
          <w:szCs w:val="18"/>
        </w:rPr>
        <w:t xml:space="preserve"> Consejo de Estado, Sala de Consulta y Servicio Civil de fecha 24 de julio de 2013, radicado 2166, Consejero Ponente Álvaro Namén Vargas.  </w:t>
      </w:r>
    </w:p>
  </w:footnote>
  <w:footnote w:id="6">
    <w:p w14:paraId="1A775803" w14:textId="77777777" w:rsidR="00B83D27" w:rsidRPr="00787A46" w:rsidRDefault="00B83D27" w:rsidP="00B83D27">
      <w:pPr>
        <w:ind w:firstLine="708"/>
        <w:rPr>
          <w:rFonts w:ascii="Arial" w:hAnsi="Arial" w:cs="Arial"/>
          <w:sz w:val="18"/>
          <w:szCs w:val="18"/>
        </w:rPr>
      </w:pPr>
      <w:r w:rsidRPr="00787A46">
        <w:rPr>
          <w:rStyle w:val="Refdenotaalpie"/>
          <w:rFonts w:ascii="Arial" w:hAnsi="Arial" w:cs="Arial"/>
          <w:sz w:val="18"/>
          <w:szCs w:val="18"/>
        </w:rPr>
        <w:footnoteRef/>
      </w:r>
      <w:r w:rsidRPr="00787A46">
        <w:rPr>
          <w:rFonts w:ascii="Arial" w:hAnsi="Arial" w:cs="Arial"/>
          <w:sz w:val="18"/>
          <w:szCs w:val="18"/>
        </w:rPr>
        <w:t xml:space="preserve"> </w:t>
      </w:r>
      <w:r w:rsidRPr="00787A46">
        <w:rPr>
          <w:rFonts w:ascii="Arial" w:eastAsia="Calibri" w:hAnsi="Arial" w:cs="Arial"/>
          <w:bCs/>
          <w:color w:val="000000"/>
          <w:sz w:val="18"/>
          <w:szCs w:val="18"/>
        </w:rPr>
        <w:t>«</w:t>
      </w:r>
      <w:r w:rsidRPr="00787A46">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A2C4A65" w14:textId="34B575EB" w:rsidR="00787A46" w:rsidRPr="00787A46" w:rsidRDefault="00B83D27" w:rsidP="00787A46">
      <w:pPr>
        <w:ind w:firstLine="708"/>
        <w:jc w:val="both"/>
        <w:rPr>
          <w:sz w:val="18"/>
          <w:szCs w:val="18"/>
        </w:rPr>
      </w:pPr>
      <w:r w:rsidRPr="00787A46">
        <w:rPr>
          <w:rFonts w:ascii="Arial" w:eastAsia="Calibri" w:hAnsi="Arial" w:cs="Arial"/>
          <w:bCs/>
          <w:color w:val="000000"/>
          <w:sz w:val="18"/>
          <w:szCs w:val="18"/>
        </w:rPr>
        <w:t>»</w:t>
      </w:r>
      <w:r w:rsidRPr="00787A46">
        <w:rPr>
          <w:rFonts w:ascii="Arial" w:hAnsi="Arial" w:cs="Arial"/>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87A46">
        <w:rPr>
          <w:rFonts w:ascii="Arial" w:eastAsia="Calibri" w:hAnsi="Arial" w:cs="Arial"/>
          <w:bCs/>
          <w:color w:val="000000"/>
          <w:sz w:val="18"/>
          <w:szCs w:val="18"/>
        </w:rPr>
        <w:t>»</w:t>
      </w:r>
      <w:r w:rsidRPr="00787A46">
        <w:rPr>
          <w:rFonts w:ascii="Arial" w:hAnsi="Arial" w:cs="Arial"/>
          <w:sz w:val="18"/>
          <w:szCs w:val="18"/>
        </w:rPr>
        <w:t>.</w:t>
      </w:r>
    </w:p>
  </w:footnote>
  <w:footnote w:id="7">
    <w:p w14:paraId="283D05EC" w14:textId="77777777" w:rsidR="00B83D27" w:rsidRPr="00787A46" w:rsidRDefault="00B83D27" w:rsidP="00B83D27">
      <w:pPr>
        <w:pStyle w:val="NormalWeb"/>
        <w:spacing w:before="0" w:beforeAutospacing="0" w:after="0" w:afterAutospacing="0"/>
        <w:ind w:firstLine="708"/>
        <w:jc w:val="both"/>
        <w:rPr>
          <w:rFonts w:ascii="Arial" w:hAnsi="Arial" w:cs="Arial"/>
          <w:sz w:val="18"/>
          <w:szCs w:val="18"/>
          <w:lang w:val="es-MX"/>
        </w:rPr>
      </w:pPr>
      <w:r w:rsidRPr="00787A46">
        <w:rPr>
          <w:rStyle w:val="Refdenotaalpie"/>
          <w:rFonts w:ascii="Arial" w:hAnsi="Arial" w:cs="Arial"/>
          <w:sz w:val="18"/>
          <w:szCs w:val="18"/>
        </w:rPr>
        <w:footnoteRef/>
      </w:r>
      <w:r w:rsidRPr="00787A46">
        <w:rPr>
          <w:rFonts w:ascii="Arial" w:hAnsi="Arial" w:cs="Arial"/>
          <w:sz w:val="18"/>
          <w:szCs w:val="18"/>
        </w:rPr>
        <w:t xml:space="preserve"> </w:t>
      </w:r>
      <w:bookmarkStart w:id="10" w:name="38"/>
      <w:r w:rsidRPr="00787A46">
        <w:rPr>
          <w:rFonts w:ascii="Arial" w:eastAsia="Calibri" w:hAnsi="Arial" w:cs="Arial"/>
          <w:bCs/>
          <w:color w:val="000000"/>
          <w:sz w:val="18"/>
          <w:szCs w:val="18"/>
        </w:rPr>
        <w:t>«</w:t>
      </w:r>
      <w:r w:rsidRPr="00787A46">
        <w:rPr>
          <w:rFonts w:ascii="Arial" w:hAnsi="Arial" w:cs="Arial"/>
          <w:sz w:val="18"/>
          <w:szCs w:val="18"/>
          <w:lang w:val="es-MX"/>
        </w:rPr>
        <w:t>Artículo 38. Prohibiciones para los servidores públicos. A los empleados del Estado les está prohibido:</w:t>
      </w:r>
      <w:bookmarkEnd w:id="10"/>
    </w:p>
    <w:p w14:paraId="4818FA0A" w14:textId="77777777" w:rsidR="00B83D27" w:rsidRPr="00787A46" w:rsidRDefault="00B83D27" w:rsidP="00B83D27">
      <w:pPr>
        <w:pStyle w:val="NormalWeb"/>
        <w:spacing w:before="0" w:beforeAutospacing="0" w:after="0" w:afterAutospacing="0"/>
        <w:ind w:firstLine="708"/>
        <w:jc w:val="both"/>
        <w:rPr>
          <w:rFonts w:ascii="Arial" w:hAnsi="Arial" w:cs="Arial"/>
          <w:sz w:val="18"/>
          <w:szCs w:val="18"/>
          <w:lang w:val="es-MX"/>
        </w:rPr>
      </w:pPr>
      <w:r w:rsidRPr="00787A46">
        <w:rPr>
          <w:rFonts w:ascii="Arial" w:eastAsia="Calibri" w:hAnsi="Arial" w:cs="Arial"/>
          <w:bCs/>
          <w:color w:val="000000"/>
          <w:sz w:val="18"/>
          <w:szCs w:val="18"/>
        </w:rPr>
        <w:t>»</w:t>
      </w:r>
      <w:r w:rsidRPr="00787A46">
        <w:rPr>
          <w:rFonts w:ascii="Arial" w:hAnsi="Arial" w:cs="Arial"/>
          <w:sz w:val="18"/>
          <w:szCs w:val="18"/>
          <w:lang w:val="es-MX"/>
        </w:rPr>
        <w:t>[…]</w:t>
      </w:r>
    </w:p>
    <w:p w14:paraId="0C66DB67" w14:textId="7E377B77" w:rsidR="00787A46" w:rsidRPr="00787A46" w:rsidRDefault="00B83D27" w:rsidP="00787A46">
      <w:pPr>
        <w:pStyle w:val="NormalWeb"/>
        <w:spacing w:before="0" w:beforeAutospacing="0" w:after="0" w:afterAutospacing="0"/>
        <w:ind w:firstLine="708"/>
        <w:jc w:val="both"/>
        <w:rPr>
          <w:sz w:val="18"/>
          <w:szCs w:val="18"/>
        </w:rPr>
      </w:pPr>
      <w:r w:rsidRPr="00787A46">
        <w:rPr>
          <w:rFonts w:ascii="Arial" w:eastAsia="Calibri" w:hAnsi="Arial" w:cs="Arial"/>
          <w:bCs/>
          <w:color w:val="000000"/>
          <w:sz w:val="18"/>
          <w:szCs w:val="18"/>
        </w:rPr>
        <w:t>»</w:t>
      </w:r>
      <w:r w:rsidRPr="00787A46">
        <w:rPr>
          <w:rStyle w:val="baj"/>
          <w:rFonts w:ascii="Arial" w:hAnsi="Arial" w:cs="Arial"/>
          <w:sz w:val="18"/>
          <w:szCs w:val="18"/>
          <w:lang w:val="es-MX"/>
        </w:rPr>
        <w:t>Parágrafo.</w:t>
      </w:r>
      <w:r w:rsidRPr="00787A46">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87A46">
        <w:rPr>
          <w:rFonts w:ascii="Arial" w:eastAsia="Calibri" w:hAnsi="Arial" w:cs="Arial"/>
          <w:bCs/>
          <w:color w:val="000000"/>
          <w:sz w:val="18"/>
          <w:szCs w:val="18"/>
        </w:rPr>
        <w:t>»</w:t>
      </w:r>
      <w:r w:rsidRPr="00787A46">
        <w:rPr>
          <w:rFonts w:ascii="Arial" w:hAnsi="Arial" w:cs="Arial"/>
          <w:sz w:val="18"/>
          <w:szCs w:val="18"/>
          <w:lang w:val="es-MX"/>
        </w:rPr>
        <w:t>.</w:t>
      </w:r>
    </w:p>
  </w:footnote>
  <w:footnote w:id="8">
    <w:p w14:paraId="2D3449A1" w14:textId="4F06FDC5" w:rsidR="00B83D27" w:rsidRPr="00787A46" w:rsidRDefault="00B83D27" w:rsidP="00787A46">
      <w:pPr>
        <w:ind w:left="100" w:right="244" w:firstLine="707"/>
        <w:rPr>
          <w:sz w:val="18"/>
          <w:szCs w:val="18"/>
        </w:rPr>
      </w:pPr>
      <w:r w:rsidRPr="00787A46">
        <w:rPr>
          <w:rStyle w:val="Refdenotaalpie"/>
          <w:rFonts w:ascii="Arial" w:hAnsi="Arial" w:cs="Arial"/>
          <w:sz w:val="18"/>
          <w:szCs w:val="18"/>
        </w:rPr>
        <w:footnoteRef/>
      </w:r>
      <w:r w:rsidRPr="00787A46">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9">
    <w:p w14:paraId="0BB82464" w14:textId="12F91876" w:rsidR="00967A4A" w:rsidRPr="00787A46" w:rsidRDefault="00967A4A" w:rsidP="007601BC">
      <w:pPr>
        <w:pStyle w:val="Textonotapie"/>
        <w:ind w:firstLine="708"/>
        <w:rPr>
          <w:sz w:val="18"/>
          <w:szCs w:val="18"/>
          <w:lang w:val="es-CO"/>
        </w:rPr>
      </w:pPr>
      <w:r w:rsidRPr="00787A46">
        <w:rPr>
          <w:rStyle w:val="Refdenotaalpie"/>
          <w:rFonts w:ascii="Arial" w:hAnsi="Arial" w:cs="Arial"/>
          <w:sz w:val="18"/>
          <w:szCs w:val="18"/>
        </w:rPr>
        <w:footnoteRef/>
      </w:r>
      <w:r w:rsidRPr="00787A46">
        <w:rPr>
          <w:rFonts w:ascii="Arial" w:hAnsi="Arial" w:cs="Arial"/>
          <w:sz w:val="18"/>
          <w:szCs w:val="18"/>
        </w:rPr>
        <w:t xml:space="preserve"> </w:t>
      </w:r>
      <w:r w:rsidR="007601BC" w:rsidRPr="00787A46">
        <w:rPr>
          <w:rFonts w:ascii="Arial" w:hAnsi="Arial" w:cs="Arial"/>
          <w:sz w:val="18"/>
          <w:szCs w:val="18"/>
        </w:rPr>
        <w:t>Corte Constitucional. Sentencia C-736 de 2007. M.P. Marco Gerardo Monroy Cabra</w:t>
      </w:r>
      <w:r w:rsidR="007601BC" w:rsidRPr="00787A46">
        <w:rPr>
          <w:sz w:val="18"/>
          <w:szCs w:val="18"/>
        </w:rPr>
        <w:t xml:space="preserve">. </w:t>
      </w:r>
    </w:p>
  </w:footnote>
  <w:footnote w:id="10">
    <w:p w14:paraId="6B80740A" w14:textId="3B1D183F" w:rsidR="00BC1BC0" w:rsidRPr="00787A46" w:rsidRDefault="00BC1BC0" w:rsidP="00787A46">
      <w:pPr>
        <w:pStyle w:val="Textonotapie"/>
        <w:ind w:firstLine="708"/>
        <w:jc w:val="both"/>
        <w:rPr>
          <w:rFonts w:ascii="Arial" w:hAnsi="Arial" w:cs="Arial"/>
          <w:sz w:val="19"/>
          <w:szCs w:val="19"/>
        </w:rPr>
      </w:pPr>
      <w:r w:rsidRPr="00787A46">
        <w:rPr>
          <w:rStyle w:val="Refdenotaalpie"/>
          <w:rFonts w:ascii="Arial" w:hAnsi="Arial" w:cs="Arial"/>
          <w:sz w:val="18"/>
          <w:szCs w:val="18"/>
        </w:rPr>
        <w:footnoteRef/>
      </w:r>
      <w:r w:rsidRPr="00787A46">
        <w:rPr>
          <w:rFonts w:ascii="Arial" w:hAnsi="Arial" w:cs="Arial"/>
          <w:sz w:val="18"/>
          <w:szCs w:val="18"/>
        </w:rPr>
        <w:t xml:space="preserve"> Al respecto, la doctrina considera que «La nueva norma (artículo 113) se refiere a ramas, por una parte, y a órganos, por otra. Reconoce la existencia de solo tres ramas, correspondientes a las tres funciones clá</w:t>
      </w:r>
      <w:r w:rsidR="00935DF9" w:rsidRPr="00787A46">
        <w:rPr>
          <w:rFonts w:ascii="Arial" w:hAnsi="Arial" w:cs="Arial"/>
          <w:sz w:val="18"/>
          <w:szCs w:val="18"/>
        </w:rPr>
        <w:t xml:space="preserve">sicas –legislativa, ejecutiva y judicial–, pero acepta la conformación de otros órganos independientes de aquellas con funciones propias no reducibles a las tradicionales de Estado. En este sentido, aunque se rinde tributo a la tridivisión, como expresión de un cierto respeto místico por el número 3 –de evidentes resonancias religiosas–, el artículo 113 avanza en el reconocimiento de nuevas dependencias orgánicas, cuales son: los órganos de control y la organización electoral cuya configuración autónoma aparece en los artículos 117 y 220 constitucionales, respectivamente» (Cfr. CHINCHILLA, Tulio Elí. Constitución Política de Colombia Comentada por la Comisión Colombiana de Juristas. Consultado el 5 de octubre de 2021 en la página </w:t>
      </w:r>
      <w:hyperlink r:id="rId1" w:history="1">
        <w:r w:rsidR="00935DF9" w:rsidRPr="00787A46">
          <w:rPr>
            <w:rStyle w:val="Hipervnculo"/>
            <w:rFonts w:ascii="Arial" w:hAnsi="Arial" w:cs="Arial"/>
            <w:color w:val="0E63A8" w:themeColor="text2"/>
            <w:sz w:val="18"/>
            <w:szCs w:val="18"/>
          </w:rPr>
          <w:t>https://www.coljuristas.org/documentos/libros_e_informes/cpc_titulo_v.pdf</w:t>
        </w:r>
      </w:hyperlink>
      <w:r w:rsidR="00935DF9" w:rsidRPr="00787A46">
        <w:rPr>
          <w:rFonts w:ascii="Arial" w:hAnsi="Arial" w:cs="Arial"/>
          <w:sz w:val="18"/>
          <w:szCs w:val="18"/>
        </w:rPr>
        <w:t>).</w:t>
      </w:r>
      <w:r w:rsidR="00935DF9">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04834902">
    <w:abstractNumId w:val="10"/>
  </w:num>
  <w:num w:numId="2" w16cid:durableId="1487281190">
    <w:abstractNumId w:val="8"/>
  </w:num>
  <w:num w:numId="3" w16cid:durableId="649284975">
    <w:abstractNumId w:val="14"/>
  </w:num>
  <w:num w:numId="4" w16cid:durableId="104009450">
    <w:abstractNumId w:val="18"/>
  </w:num>
  <w:num w:numId="5" w16cid:durableId="1734624028">
    <w:abstractNumId w:val="22"/>
  </w:num>
  <w:num w:numId="6" w16cid:durableId="7682799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723353">
    <w:abstractNumId w:val="20"/>
  </w:num>
  <w:num w:numId="8" w16cid:durableId="1931039984">
    <w:abstractNumId w:val="0"/>
  </w:num>
  <w:num w:numId="9" w16cid:durableId="1947224872">
    <w:abstractNumId w:val="4"/>
  </w:num>
  <w:num w:numId="10" w16cid:durableId="1470441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0518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1489761">
    <w:abstractNumId w:val="9"/>
  </w:num>
  <w:num w:numId="13" w16cid:durableId="450319214">
    <w:abstractNumId w:val="12"/>
  </w:num>
  <w:num w:numId="14" w16cid:durableId="1334186558">
    <w:abstractNumId w:val="7"/>
  </w:num>
  <w:num w:numId="15" w16cid:durableId="93193295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54697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141369">
    <w:abstractNumId w:val="24"/>
  </w:num>
  <w:num w:numId="18" w16cid:durableId="800465887">
    <w:abstractNumId w:val="15"/>
  </w:num>
  <w:num w:numId="19" w16cid:durableId="1958641183">
    <w:abstractNumId w:val="2"/>
  </w:num>
  <w:num w:numId="20" w16cid:durableId="1713505623">
    <w:abstractNumId w:val="25"/>
  </w:num>
  <w:num w:numId="21" w16cid:durableId="477920587">
    <w:abstractNumId w:val="17"/>
  </w:num>
  <w:num w:numId="22" w16cid:durableId="667058036">
    <w:abstractNumId w:val="6"/>
  </w:num>
  <w:num w:numId="23" w16cid:durableId="939678993">
    <w:abstractNumId w:val="5"/>
  </w:num>
  <w:num w:numId="24" w16cid:durableId="2088113718">
    <w:abstractNumId w:val="23"/>
  </w:num>
  <w:num w:numId="25" w16cid:durableId="619141408">
    <w:abstractNumId w:val="19"/>
  </w:num>
  <w:num w:numId="26" w16cid:durableId="252396003">
    <w:abstractNumId w:val="3"/>
  </w:num>
  <w:num w:numId="27" w16cid:durableId="673722964">
    <w:abstractNumId w:val="16"/>
  </w:num>
  <w:num w:numId="28" w16cid:durableId="240913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7137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B4"/>
    <w:rsid w:val="00011DCC"/>
    <w:rsid w:val="00012010"/>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BBB"/>
    <w:rsid w:val="00023DAE"/>
    <w:rsid w:val="00024855"/>
    <w:rsid w:val="00024896"/>
    <w:rsid w:val="000254DD"/>
    <w:rsid w:val="00025D0A"/>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87703"/>
    <w:rsid w:val="00090FE8"/>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7DB"/>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165"/>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1AE1"/>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BF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5530"/>
    <w:rsid w:val="001B5EA1"/>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20D"/>
    <w:rsid w:val="001E3A04"/>
    <w:rsid w:val="001E3FFE"/>
    <w:rsid w:val="001E4258"/>
    <w:rsid w:val="001E5140"/>
    <w:rsid w:val="001E5CD5"/>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DA8"/>
    <w:rsid w:val="00280F3D"/>
    <w:rsid w:val="0028106A"/>
    <w:rsid w:val="002815C0"/>
    <w:rsid w:val="00281EB4"/>
    <w:rsid w:val="00282D16"/>
    <w:rsid w:val="00282E03"/>
    <w:rsid w:val="0028308E"/>
    <w:rsid w:val="002834B7"/>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719"/>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2E92"/>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58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36"/>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37"/>
    <w:rsid w:val="00470D73"/>
    <w:rsid w:val="00470D92"/>
    <w:rsid w:val="00470E92"/>
    <w:rsid w:val="0047179C"/>
    <w:rsid w:val="00471DF7"/>
    <w:rsid w:val="004721A4"/>
    <w:rsid w:val="004734CF"/>
    <w:rsid w:val="004740C0"/>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801"/>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715"/>
    <w:rsid w:val="004F0960"/>
    <w:rsid w:val="004F0A5C"/>
    <w:rsid w:val="004F1596"/>
    <w:rsid w:val="004F163F"/>
    <w:rsid w:val="004F18A0"/>
    <w:rsid w:val="004F1A08"/>
    <w:rsid w:val="004F2746"/>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807"/>
    <w:rsid w:val="00526A17"/>
    <w:rsid w:val="00526BBF"/>
    <w:rsid w:val="00527532"/>
    <w:rsid w:val="00527DEB"/>
    <w:rsid w:val="00527E57"/>
    <w:rsid w:val="00527F2C"/>
    <w:rsid w:val="005302C8"/>
    <w:rsid w:val="00530405"/>
    <w:rsid w:val="00530522"/>
    <w:rsid w:val="005305E5"/>
    <w:rsid w:val="0053086F"/>
    <w:rsid w:val="00530CBA"/>
    <w:rsid w:val="00530DD7"/>
    <w:rsid w:val="00530F38"/>
    <w:rsid w:val="00531672"/>
    <w:rsid w:val="00531E9A"/>
    <w:rsid w:val="00531F26"/>
    <w:rsid w:val="0053277C"/>
    <w:rsid w:val="005327C0"/>
    <w:rsid w:val="00532B61"/>
    <w:rsid w:val="00533101"/>
    <w:rsid w:val="005337F3"/>
    <w:rsid w:val="00533CA9"/>
    <w:rsid w:val="00534431"/>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2D32"/>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1CC"/>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2550"/>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3E2"/>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292"/>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0EF4"/>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184"/>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030"/>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3F"/>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6F7772"/>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8D0"/>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1BC"/>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B97"/>
    <w:rsid w:val="00786FAD"/>
    <w:rsid w:val="00787A27"/>
    <w:rsid w:val="00787A46"/>
    <w:rsid w:val="00787B1B"/>
    <w:rsid w:val="00787D90"/>
    <w:rsid w:val="00787F5E"/>
    <w:rsid w:val="00790164"/>
    <w:rsid w:val="007905C6"/>
    <w:rsid w:val="00790A24"/>
    <w:rsid w:val="00790A37"/>
    <w:rsid w:val="00790A60"/>
    <w:rsid w:val="00791036"/>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2147"/>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65"/>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016"/>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433"/>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106"/>
    <w:rsid w:val="0088187A"/>
    <w:rsid w:val="00881E64"/>
    <w:rsid w:val="00882E39"/>
    <w:rsid w:val="0088330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4B62"/>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9C2"/>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6E3"/>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A23"/>
    <w:rsid w:val="00901F1D"/>
    <w:rsid w:val="009028E8"/>
    <w:rsid w:val="00902E5C"/>
    <w:rsid w:val="0090363E"/>
    <w:rsid w:val="00903E0D"/>
    <w:rsid w:val="009046E5"/>
    <w:rsid w:val="009047C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16C"/>
    <w:rsid w:val="00933333"/>
    <w:rsid w:val="00933390"/>
    <w:rsid w:val="0093349A"/>
    <w:rsid w:val="0093352B"/>
    <w:rsid w:val="009338BA"/>
    <w:rsid w:val="00933FCB"/>
    <w:rsid w:val="00934396"/>
    <w:rsid w:val="009346C8"/>
    <w:rsid w:val="00934BEF"/>
    <w:rsid w:val="00934C78"/>
    <w:rsid w:val="00934CEC"/>
    <w:rsid w:val="00934E69"/>
    <w:rsid w:val="00935CF8"/>
    <w:rsid w:val="00935DF9"/>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A61"/>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6EAE"/>
    <w:rsid w:val="00967A4A"/>
    <w:rsid w:val="00967BEF"/>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2C2"/>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A792C"/>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26F7"/>
    <w:rsid w:val="009E476A"/>
    <w:rsid w:val="009E4E05"/>
    <w:rsid w:val="009E56FF"/>
    <w:rsid w:val="009E59A3"/>
    <w:rsid w:val="009E5CB1"/>
    <w:rsid w:val="009E5E56"/>
    <w:rsid w:val="009E61EA"/>
    <w:rsid w:val="009E6990"/>
    <w:rsid w:val="009E6FEE"/>
    <w:rsid w:val="009E7924"/>
    <w:rsid w:val="009F00B9"/>
    <w:rsid w:val="009F060F"/>
    <w:rsid w:val="009F0641"/>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145"/>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309"/>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522"/>
    <w:rsid w:val="00AA08E7"/>
    <w:rsid w:val="00AA0A06"/>
    <w:rsid w:val="00AA1351"/>
    <w:rsid w:val="00AA184C"/>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2DDE"/>
    <w:rsid w:val="00AB358D"/>
    <w:rsid w:val="00AB37A1"/>
    <w:rsid w:val="00AB3BAD"/>
    <w:rsid w:val="00AB3CFD"/>
    <w:rsid w:val="00AB49BC"/>
    <w:rsid w:val="00AB4DEE"/>
    <w:rsid w:val="00AB4E32"/>
    <w:rsid w:val="00AB542C"/>
    <w:rsid w:val="00AB5BE7"/>
    <w:rsid w:val="00AB5C19"/>
    <w:rsid w:val="00AB724B"/>
    <w:rsid w:val="00AB726C"/>
    <w:rsid w:val="00AB72B4"/>
    <w:rsid w:val="00AB7411"/>
    <w:rsid w:val="00AB7A7A"/>
    <w:rsid w:val="00AC02AA"/>
    <w:rsid w:val="00AC0537"/>
    <w:rsid w:val="00AC0A84"/>
    <w:rsid w:val="00AC0FA7"/>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1C13"/>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7D8"/>
    <w:rsid w:val="00B36C99"/>
    <w:rsid w:val="00B36D2B"/>
    <w:rsid w:val="00B37657"/>
    <w:rsid w:val="00B3774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3D27"/>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2AF"/>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1BC0"/>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831"/>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B5A"/>
    <w:rsid w:val="00C06CCF"/>
    <w:rsid w:val="00C0794D"/>
    <w:rsid w:val="00C10E78"/>
    <w:rsid w:val="00C10EF1"/>
    <w:rsid w:val="00C1159D"/>
    <w:rsid w:val="00C11B78"/>
    <w:rsid w:val="00C11C21"/>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47AD9"/>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1F9"/>
    <w:rsid w:val="00C6325B"/>
    <w:rsid w:val="00C63DDD"/>
    <w:rsid w:val="00C63E99"/>
    <w:rsid w:val="00C649B8"/>
    <w:rsid w:val="00C64A64"/>
    <w:rsid w:val="00C65151"/>
    <w:rsid w:val="00C65753"/>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3C5C"/>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67C6"/>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52B9"/>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0D2"/>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425"/>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60B"/>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2D48"/>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340"/>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6CC"/>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174E8"/>
    <w:rsid w:val="00E2012A"/>
    <w:rsid w:val="00E20339"/>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846"/>
    <w:rsid w:val="00E73D03"/>
    <w:rsid w:val="00E746A6"/>
    <w:rsid w:val="00E7471C"/>
    <w:rsid w:val="00E7498A"/>
    <w:rsid w:val="00E7514E"/>
    <w:rsid w:val="00E76537"/>
    <w:rsid w:val="00E77784"/>
    <w:rsid w:val="00E77AF5"/>
    <w:rsid w:val="00E807B5"/>
    <w:rsid w:val="00E8143D"/>
    <w:rsid w:val="00E81C22"/>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AC"/>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C92"/>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56"/>
    <w:rsid w:val="00F963FC"/>
    <w:rsid w:val="00F97CF1"/>
    <w:rsid w:val="00FA015F"/>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3D80"/>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69C4"/>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Mencinsinresolver4">
    <w:name w:val="Mención sin resolver4"/>
    <w:basedOn w:val="Fuentedeprrafopredeter"/>
    <w:uiPriority w:val="99"/>
    <w:semiHidden/>
    <w:unhideWhenUsed/>
    <w:rsid w:val="00935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17508486">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27413">
      <w:bodyDiv w:val="1"/>
      <w:marLeft w:val="0"/>
      <w:marRight w:val="0"/>
      <w:marTop w:val="0"/>
      <w:marBottom w:val="0"/>
      <w:divBdr>
        <w:top w:val="none" w:sz="0" w:space="0" w:color="auto"/>
        <w:left w:val="none" w:sz="0" w:space="0" w:color="auto"/>
        <w:bottom w:val="none" w:sz="0" w:space="0" w:color="auto"/>
        <w:right w:val="none" w:sz="0" w:space="0" w:color="auto"/>
      </w:divBdr>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886">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8999665">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792809">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318206">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27892497">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juristas.org/documentos/libros_e_informes/cpc_titulo_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A85E5E5-109F-4B00-A6E3-5C0528DC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Pages>
  <Words>4410</Words>
  <Characters>24261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2021-08-27T20:19:00Z</cp:lastPrinted>
  <dcterms:created xsi:type="dcterms:W3CDTF">2022-04-22T17:08:00Z</dcterms:created>
  <dcterms:modified xsi:type="dcterms:W3CDTF">2022-05-04T21:46:00Z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