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6072" w14:textId="3E0D5479" w:rsidR="00DE7D58" w:rsidRDefault="00904CD9" w:rsidP="00904CD9">
      <w:pPr>
        <w:spacing w:line="276" w:lineRule="auto"/>
        <w:jc w:val="right"/>
        <w:rPr>
          <w:rFonts w:ascii="Arial" w:eastAsia="Calibri" w:hAnsi="Arial" w:cs="Arial"/>
          <w:sz w:val="20"/>
          <w:szCs w:val="20"/>
          <w:lang w:val="es-CO"/>
        </w:rPr>
      </w:pPr>
      <w:bookmarkStart w:id="0" w:name="_Hlk29890381"/>
      <w:bookmarkEnd w:id="0"/>
      <w:r w:rsidRPr="00BB0056">
        <w:rPr>
          <w:rFonts w:ascii="Arial" w:eastAsia="Times New Roman" w:hAnsi="Arial" w:cs="Arial"/>
          <w:b/>
          <w:bCs/>
          <w:sz w:val="16"/>
          <w:szCs w:val="16"/>
          <w:lang w:val="es-CO" w:eastAsia="es-ES"/>
        </w:rPr>
        <w:t>CCE-DES-FM-17</w:t>
      </w:r>
    </w:p>
    <w:p w14:paraId="38FF1264" w14:textId="77777777" w:rsidR="00904CD9" w:rsidRPr="00BB0056" w:rsidRDefault="00904CD9" w:rsidP="001E1694">
      <w:pPr>
        <w:spacing w:line="276" w:lineRule="auto"/>
        <w:rPr>
          <w:rFonts w:ascii="Arial" w:eastAsia="Calibri" w:hAnsi="Arial" w:cs="Arial"/>
          <w:sz w:val="20"/>
          <w:szCs w:val="20"/>
          <w:lang w:val="es-CO"/>
        </w:rPr>
      </w:pPr>
    </w:p>
    <w:p w14:paraId="15BB3A70" w14:textId="77777777" w:rsidR="00503872" w:rsidRPr="00006C9C" w:rsidRDefault="00503872" w:rsidP="00B02705">
      <w:pPr>
        <w:jc w:val="both"/>
        <w:rPr>
          <w:rFonts w:ascii="Arial" w:eastAsia="Calibri" w:hAnsi="Arial" w:cs="Arial"/>
          <w:b/>
          <w:bCs/>
          <w:sz w:val="22"/>
        </w:rPr>
      </w:pPr>
      <w:r w:rsidRPr="00006C9C">
        <w:rPr>
          <w:rFonts w:ascii="Arial" w:eastAsia="Calibri" w:hAnsi="Arial" w:cs="Arial"/>
          <w:b/>
          <w:bCs/>
          <w:sz w:val="22"/>
        </w:rPr>
        <w:t xml:space="preserve">DOCUMENTOS TIPO – Matriz 1 – Experiencia general </w:t>
      </w:r>
      <w:r w:rsidRPr="00006C9C">
        <w:rPr>
          <w:rFonts w:ascii="Arial" w:eastAsia="Arial" w:hAnsi="Arial" w:cs="Arial"/>
          <w:b/>
          <w:bCs/>
          <w:sz w:val="22"/>
        </w:rPr>
        <w:t>– Experiencia</w:t>
      </w:r>
      <w:r w:rsidRPr="00006C9C">
        <w:rPr>
          <w:rFonts w:ascii="Arial" w:eastAsia="Calibri" w:hAnsi="Arial" w:cs="Arial"/>
          <w:b/>
          <w:bCs/>
          <w:sz w:val="22"/>
        </w:rPr>
        <w:t xml:space="preserve"> específica</w:t>
      </w:r>
    </w:p>
    <w:p w14:paraId="4ABD91AF" w14:textId="77777777" w:rsidR="00503872" w:rsidRPr="00006C9C" w:rsidRDefault="00503872" w:rsidP="00B02705">
      <w:pPr>
        <w:jc w:val="both"/>
        <w:rPr>
          <w:rFonts w:ascii="Arial" w:eastAsia="Calibri" w:hAnsi="Arial" w:cs="Arial"/>
          <w:b/>
          <w:sz w:val="20"/>
          <w:szCs w:val="20"/>
        </w:rPr>
      </w:pPr>
    </w:p>
    <w:p w14:paraId="14CE2E34" w14:textId="577748D0" w:rsidR="0091085E" w:rsidRPr="00006C9C" w:rsidRDefault="00503872" w:rsidP="00B02705">
      <w:pPr>
        <w:jc w:val="both"/>
        <w:rPr>
          <w:rFonts w:ascii="Arial" w:eastAsia="Calibri" w:hAnsi="Arial" w:cs="Arial"/>
          <w:sz w:val="20"/>
          <w:szCs w:val="20"/>
        </w:rPr>
      </w:pPr>
      <w:r w:rsidRPr="00006C9C">
        <w:rPr>
          <w:rFonts w:ascii="Arial" w:eastAsia="Calibri" w:hAnsi="Arial" w:cs="Arial"/>
          <w:sz w:val="20"/>
          <w:szCs w:val="20"/>
        </w:rPr>
        <w:t>[…] la «experiencia general» y la «experiencia específica»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w:t>
      </w:r>
      <w:r w:rsidR="0091085E" w:rsidRPr="00006C9C">
        <w:rPr>
          <w:rFonts w:ascii="Arial" w:eastAsia="Calibri" w:hAnsi="Arial" w:cs="Arial"/>
          <w:sz w:val="20"/>
          <w:szCs w:val="20"/>
          <w:lang w:val="es-CO"/>
        </w:rPr>
        <w:t>.</w:t>
      </w:r>
    </w:p>
    <w:p w14:paraId="420648A0" w14:textId="77777777" w:rsidR="00904CD9" w:rsidRPr="00006C9C" w:rsidRDefault="00904CD9" w:rsidP="00B02705">
      <w:pPr>
        <w:jc w:val="both"/>
        <w:rPr>
          <w:rFonts w:ascii="Arial" w:eastAsia="Calibri" w:hAnsi="Arial" w:cs="Arial"/>
          <w:sz w:val="20"/>
          <w:szCs w:val="20"/>
          <w:lang w:val="es-CO"/>
        </w:rPr>
      </w:pPr>
    </w:p>
    <w:p w14:paraId="3BB70E99" w14:textId="60C86778" w:rsidR="00503872" w:rsidRPr="00006C9C" w:rsidRDefault="00503872" w:rsidP="00B02705">
      <w:pPr>
        <w:jc w:val="both"/>
        <w:rPr>
          <w:rFonts w:ascii="Arial" w:eastAsia="Calibri" w:hAnsi="Arial" w:cs="Arial"/>
          <w:b/>
          <w:bCs/>
          <w:sz w:val="22"/>
        </w:rPr>
      </w:pPr>
      <w:r w:rsidRPr="00006C9C">
        <w:rPr>
          <w:rFonts w:ascii="Arial" w:eastAsia="Calibri" w:hAnsi="Arial" w:cs="Arial"/>
          <w:b/>
          <w:bCs/>
          <w:sz w:val="22"/>
        </w:rPr>
        <w:t>INALTERABILIDAD – Documentos tipo – Licitación pública – Fundamento</w:t>
      </w:r>
    </w:p>
    <w:p w14:paraId="78B7DDDE" w14:textId="77777777" w:rsidR="00503872" w:rsidRPr="00006C9C" w:rsidRDefault="00503872" w:rsidP="00B02705">
      <w:pPr>
        <w:jc w:val="both"/>
        <w:rPr>
          <w:rFonts w:ascii="Arial" w:eastAsia="Calibri" w:hAnsi="Arial" w:cs="Arial"/>
          <w:sz w:val="20"/>
          <w:szCs w:val="20"/>
        </w:rPr>
      </w:pPr>
    </w:p>
    <w:p w14:paraId="737CCBB0" w14:textId="2F950F57" w:rsidR="00BF0945" w:rsidRPr="00006C9C" w:rsidRDefault="00727A8F" w:rsidP="00B02705">
      <w:pPr>
        <w:jc w:val="both"/>
        <w:rPr>
          <w:rFonts w:ascii="Arial" w:eastAsia="Calibri" w:hAnsi="Arial" w:cs="Arial"/>
          <w:sz w:val="20"/>
          <w:szCs w:val="20"/>
          <w:lang w:val="es-CO"/>
        </w:rPr>
      </w:pPr>
      <w:r w:rsidRPr="00006C9C">
        <w:rPr>
          <w:rFonts w:ascii="Arial" w:eastAsia="Calibri" w:hAnsi="Arial" w:cs="Arial"/>
          <w:bCs/>
          <w:sz w:val="20"/>
          <w:szCs w:val="20"/>
        </w:rPr>
        <w:t xml:space="preserve">Para el procedimiento de licitación pública, el artículo 3 de la </w:t>
      </w:r>
      <w:proofErr w:type="spellStart"/>
      <w:r w:rsidRPr="00006C9C">
        <w:rPr>
          <w:rFonts w:ascii="Arial" w:eastAsia="Calibri" w:hAnsi="Arial" w:cs="Arial"/>
          <w:bCs/>
          <w:sz w:val="20"/>
          <w:szCs w:val="20"/>
        </w:rPr>
        <w:t>la</w:t>
      </w:r>
      <w:proofErr w:type="spellEnd"/>
      <w:r w:rsidRPr="00006C9C">
        <w:rPr>
          <w:rFonts w:ascii="Arial" w:eastAsia="Calibri" w:hAnsi="Arial" w:cs="Arial"/>
          <w:bCs/>
          <w:sz w:val="20"/>
          <w:szCs w:val="20"/>
        </w:rPr>
        <w:t xml:space="preserve"> Resolución No. 240 del 27 de noviembre de 2020 dispone la inalterabilidad de los documentos tipo, la cual consiste en que las entidades estatales no pueden incluir o modificar en los </w:t>
      </w:r>
      <w:r w:rsidRPr="00006C9C">
        <w:rPr>
          <w:rFonts w:ascii="Arial" w:eastAsia="Calibri" w:hAnsi="Arial" w:cs="Arial"/>
          <w:bCs/>
          <w:i/>
          <w:iCs/>
          <w:sz w:val="20"/>
          <w:szCs w:val="20"/>
        </w:rPr>
        <w:t>Documentos del Proceso</w:t>
      </w:r>
      <w:r w:rsidRPr="00006C9C">
        <w:rPr>
          <w:rFonts w:ascii="Arial" w:eastAsia="Calibri" w:hAnsi="Arial" w:cs="Arial"/>
          <w:bCs/>
          <w:sz w:val="20"/>
          <w:szCs w:val="20"/>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 </w:t>
      </w:r>
    </w:p>
    <w:p w14:paraId="4906C65F" w14:textId="23F4F598" w:rsidR="00503872" w:rsidRPr="00006C9C" w:rsidRDefault="00503872" w:rsidP="00B02705">
      <w:pPr>
        <w:jc w:val="both"/>
        <w:rPr>
          <w:rFonts w:ascii="Arial" w:eastAsia="Calibri" w:hAnsi="Arial" w:cs="Arial"/>
          <w:sz w:val="20"/>
          <w:szCs w:val="20"/>
          <w:lang w:val="es-CO"/>
        </w:rPr>
      </w:pPr>
    </w:p>
    <w:p w14:paraId="1A61ED14" w14:textId="468A7133" w:rsidR="00503872" w:rsidRPr="00006C9C" w:rsidRDefault="00503872" w:rsidP="00B02705">
      <w:pPr>
        <w:jc w:val="both"/>
        <w:rPr>
          <w:rFonts w:ascii="Arial" w:eastAsia="Calibri" w:hAnsi="Arial" w:cs="Arial"/>
          <w:b/>
          <w:bCs/>
          <w:sz w:val="22"/>
        </w:rPr>
      </w:pPr>
      <w:r w:rsidRPr="00006C9C">
        <w:rPr>
          <w:rFonts w:ascii="Arial" w:eastAsia="Calibri" w:hAnsi="Arial" w:cs="Arial"/>
          <w:b/>
          <w:bCs/>
          <w:sz w:val="22"/>
        </w:rPr>
        <w:t xml:space="preserve">EXPERIENCIA – Longitud de la vía – Alcance  </w:t>
      </w:r>
    </w:p>
    <w:p w14:paraId="39D0E96A" w14:textId="77777777" w:rsidR="00503872" w:rsidRPr="00006C9C" w:rsidRDefault="00503872" w:rsidP="00B02705">
      <w:pPr>
        <w:jc w:val="both"/>
        <w:rPr>
          <w:rFonts w:ascii="Arial" w:eastAsia="Calibri" w:hAnsi="Arial" w:cs="Arial"/>
          <w:sz w:val="20"/>
          <w:szCs w:val="20"/>
        </w:rPr>
      </w:pPr>
    </w:p>
    <w:p w14:paraId="1E97567C" w14:textId="45BDDB22" w:rsidR="00503872" w:rsidRDefault="00727A8F" w:rsidP="00B02705">
      <w:pPr>
        <w:jc w:val="both"/>
        <w:rPr>
          <w:rFonts w:ascii="Arial" w:eastAsia="Calibri" w:hAnsi="Arial" w:cs="Arial"/>
          <w:sz w:val="20"/>
          <w:szCs w:val="20"/>
          <w:highlight w:val="yellow"/>
          <w:lang w:val="es-CO"/>
        </w:rPr>
      </w:pPr>
      <w:r w:rsidRPr="00006C9C">
        <w:rPr>
          <w:rFonts w:ascii="Arial" w:eastAsia="Calibri" w:hAnsi="Arial" w:cs="Arial"/>
          <w:bCs/>
          <w:sz w:val="20"/>
          <w:szCs w:val="20"/>
        </w:rPr>
        <w:t xml:space="preserve">[…] la longitud de la </w:t>
      </w:r>
      <w:proofErr w:type="gramStart"/>
      <w:r w:rsidRPr="00006C9C">
        <w:rPr>
          <w:rFonts w:ascii="Arial" w:eastAsia="Calibri" w:hAnsi="Arial" w:cs="Arial"/>
          <w:bCs/>
          <w:sz w:val="20"/>
          <w:szCs w:val="20"/>
        </w:rPr>
        <w:t>vía  a</w:t>
      </w:r>
      <w:proofErr w:type="gramEnd"/>
      <w:r w:rsidRPr="00006C9C">
        <w:rPr>
          <w:rFonts w:ascii="Arial" w:eastAsia="Calibri" w:hAnsi="Arial" w:cs="Arial"/>
          <w:bCs/>
          <w:sz w:val="20"/>
          <w:szCs w:val="20"/>
        </w:rPr>
        <w:t xml:space="preserve"> intervenir equivale al total de la caracterización vial en kilómetros lineales. Esta conclusión no solo se sustenta en la interpretación literal de la «Matriz 1 – Experiencia» sino también en las definiciones del «Anexo 3 – Glosario», el cual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construir […]», el porcentaje requerido para acreditar la experiencia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 con el fin de facilitar a los proponentes la acreditación de la experiencia específica.</w:t>
      </w:r>
    </w:p>
    <w:p w14:paraId="1F8C74E8" w14:textId="1A307786" w:rsidR="00757A66" w:rsidRDefault="00757A66" w:rsidP="00B02705">
      <w:pPr>
        <w:jc w:val="both"/>
        <w:rPr>
          <w:rFonts w:ascii="Arial" w:eastAsia="Calibri" w:hAnsi="Arial" w:cs="Arial"/>
          <w:sz w:val="20"/>
          <w:szCs w:val="20"/>
          <w:lang w:val="es-CO"/>
        </w:rPr>
      </w:pPr>
    </w:p>
    <w:p w14:paraId="0CE45275" w14:textId="77777777" w:rsidR="00006C9C" w:rsidRPr="006F27FF" w:rsidRDefault="00006C9C" w:rsidP="00B02705">
      <w:pPr>
        <w:jc w:val="both"/>
        <w:rPr>
          <w:rFonts w:ascii="Arial" w:eastAsia="Calibri" w:hAnsi="Arial" w:cs="Arial"/>
          <w:b/>
          <w:sz w:val="22"/>
        </w:rPr>
      </w:pPr>
      <w:r w:rsidRPr="006F27FF">
        <w:rPr>
          <w:rFonts w:ascii="Arial" w:eastAsia="Calibri" w:hAnsi="Arial" w:cs="Arial"/>
          <w:b/>
          <w:sz w:val="22"/>
        </w:rPr>
        <w:t xml:space="preserve">DOCUMENTOS TIPO </w:t>
      </w:r>
      <w:r w:rsidRPr="006F27FF">
        <w:rPr>
          <w:rFonts w:ascii="Arial" w:eastAsia="Calibri" w:hAnsi="Arial" w:cs="Arial"/>
          <w:b/>
          <w:sz w:val="22"/>
        </w:rPr>
        <w:softHyphen/>
        <w:t>– Infraestructura de transporte – Versión 3 – Matriz 1 Experiencia – Complejidad alta, media o baja – Cambio</w:t>
      </w:r>
    </w:p>
    <w:p w14:paraId="2E3C0442" w14:textId="77777777" w:rsidR="00006C9C" w:rsidRPr="00E81E00" w:rsidRDefault="00006C9C" w:rsidP="00B02705">
      <w:pPr>
        <w:jc w:val="both"/>
        <w:rPr>
          <w:rFonts w:ascii="Arial" w:eastAsia="Calibri" w:hAnsi="Arial" w:cs="Arial"/>
          <w:b/>
        </w:rPr>
      </w:pPr>
    </w:p>
    <w:p w14:paraId="4F7C22D4" w14:textId="77777777" w:rsidR="00006C9C" w:rsidRPr="0055101F" w:rsidRDefault="00006C9C" w:rsidP="00B02705">
      <w:pPr>
        <w:spacing w:after="120"/>
        <w:ind w:right="51"/>
        <w:jc w:val="both"/>
        <w:rPr>
          <w:rFonts w:ascii="Arial" w:hAnsi="Arial" w:cs="Arial"/>
          <w:sz w:val="20"/>
          <w:szCs w:val="20"/>
        </w:rPr>
      </w:pPr>
      <w:r w:rsidRPr="0055101F">
        <w:rPr>
          <w:rFonts w:ascii="Arial" w:hAnsi="Arial" w:cs="Arial"/>
          <w:sz w:val="20"/>
          <w:szCs w:val="20"/>
        </w:rPr>
        <w:t xml:space="preserve">Como se indicó en el numeral 2.1 de este documento, 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 por esta resolución se creó el numeral «3.5.1 Determinación de los requisitos mínimos de experiencia según la Matriz 1 – Experiencia», en el cual la entidad debe justificar, expresa y suficientemente la complejidad del proyecto, determinando si es de baja–media o alta complejidad, y en función de ello implementar alguna </w:t>
      </w:r>
      <w:proofErr w:type="gramStart"/>
      <w:r w:rsidRPr="0055101F">
        <w:rPr>
          <w:rFonts w:ascii="Arial" w:hAnsi="Arial" w:cs="Arial"/>
          <w:sz w:val="20"/>
          <w:szCs w:val="20"/>
        </w:rPr>
        <w:t>de  las</w:t>
      </w:r>
      <w:proofErr w:type="gramEnd"/>
      <w:r w:rsidRPr="0055101F">
        <w:rPr>
          <w:rFonts w:ascii="Arial" w:hAnsi="Arial" w:cs="Arial"/>
          <w:sz w:val="20"/>
          <w:szCs w:val="20"/>
        </w:rPr>
        <w:t xml:space="preserve"> variantes de la «Matriz 1 – Experiencia», ya sea la de proyectos de baja–media, o la elaborada para proyectos de alta complejidad técnica. En otras palabras, a partir de la actualización </w:t>
      </w:r>
      <w:r w:rsidRPr="0055101F">
        <w:rPr>
          <w:rFonts w:ascii="Arial" w:hAnsi="Arial" w:cs="Arial"/>
          <w:sz w:val="20"/>
          <w:szCs w:val="20"/>
        </w:rPr>
        <w:lastRenderedPageBreak/>
        <w:t xml:space="preserve">de los documentos tipo de licitación de obra pública de infraestructura de transporte – versión 3 se crean dos Matrices de experiencia: i) una para proyectos de complejidad técnica baja o media y ii) otra para proyectos de complejidad técnica alta. </w:t>
      </w:r>
    </w:p>
    <w:p w14:paraId="68510A76" w14:textId="77777777" w:rsidR="00006C9C" w:rsidRPr="0055101F" w:rsidRDefault="00006C9C" w:rsidP="00B02705">
      <w:pPr>
        <w:jc w:val="both"/>
        <w:textAlignment w:val="baseline"/>
        <w:rPr>
          <w:rFonts w:ascii="Arial" w:hAnsi="Arial" w:cs="Arial"/>
          <w:sz w:val="20"/>
          <w:szCs w:val="20"/>
        </w:rPr>
      </w:pPr>
      <w:r w:rsidRPr="0055101F">
        <w:rPr>
          <w:rFonts w:ascii="Arial" w:hAnsi="Arial" w:cs="Arial"/>
          <w:sz w:val="20"/>
          <w:szCs w:val="20"/>
        </w:rPr>
        <w:t>Sin perjuicio de la implementación de este cambio, el método para determinar los requisitos de experiencia estandarizados a partir de la Matriz 1 sigue siendo el mismo que en las versiones anteriores, con la salvedad de que ahora, antes de proceder a acotar el requisito a exigirse, la entidad debe determinar y justificar si el proyecto es de media–baja o de alta complejidad técnica y, en función de ello, aplicar alguna de las matrices de experiencia. En ese orden, la entidad debe establecer si aplica la matriz 1 de proyectos de complejidad media-baja o la de proyectos de complejidad alta, para luego subsumir el objeto contractual en alguno de los tipos de obra y actividades incluidos en la misma, estableciendo los requisitos de experiencia exigibles según la cantidad de SMMLV del presupuesto oficial del respectivo proceso de contratación.</w:t>
      </w:r>
    </w:p>
    <w:p w14:paraId="080B3CD8" w14:textId="77777777" w:rsidR="00006C9C" w:rsidRDefault="00006C9C" w:rsidP="00B02705">
      <w:pPr>
        <w:textAlignment w:val="baseline"/>
        <w:rPr>
          <w:rFonts w:ascii="Arial" w:hAnsi="Arial" w:cs="Arial"/>
          <w:lang w:eastAsia="es-CO"/>
        </w:rPr>
      </w:pPr>
    </w:p>
    <w:p w14:paraId="6655C9C9" w14:textId="77777777" w:rsidR="00DE7D58" w:rsidRDefault="00DE7D58" w:rsidP="00B02705">
      <w:pPr>
        <w:jc w:val="both"/>
        <w:rPr>
          <w:rFonts w:ascii="Arial" w:eastAsia="Arial" w:hAnsi="Arial" w:cs="Arial"/>
          <w:b/>
          <w:sz w:val="22"/>
        </w:rPr>
      </w:pPr>
    </w:p>
    <w:p w14:paraId="01B862C3" w14:textId="7D97B889" w:rsidR="00DE7D58" w:rsidRDefault="00DE7D58" w:rsidP="00B02705">
      <w:pPr>
        <w:jc w:val="both"/>
        <w:rPr>
          <w:rFonts w:ascii="Arial" w:hAnsi="Arial" w:cs="Arial"/>
          <w:b/>
          <w:sz w:val="22"/>
          <w:shd w:val="clear" w:color="auto" w:fill="FFFFFF"/>
        </w:rPr>
      </w:pPr>
      <w:r w:rsidRPr="00CD4012">
        <w:rPr>
          <w:rFonts w:ascii="Arial" w:eastAsia="Arial" w:hAnsi="Arial" w:cs="Arial"/>
          <w:b/>
          <w:sz w:val="22"/>
        </w:rPr>
        <w:t xml:space="preserve">DOCUMENTOS TIPO – </w:t>
      </w:r>
      <w:r w:rsidRPr="00CD4012">
        <w:rPr>
          <w:rFonts w:ascii="Arial" w:hAnsi="Arial" w:cs="Arial"/>
          <w:b/>
          <w:color w:val="000000" w:themeColor="text1"/>
          <w:sz w:val="22"/>
        </w:rPr>
        <w:t xml:space="preserve">Matriz 1 - Experiencia </w:t>
      </w:r>
      <w:r w:rsidRPr="00CD4012">
        <w:rPr>
          <w:rFonts w:ascii="Arial" w:eastAsia="Calibri" w:hAnsi="Arial" w:cs="Arial"/>
          <w:b/>
          <w:sz w:val="22"/>
          <w:lang w:eastAsia="es-ES_tradnl"/>
        </w:rPr>
        <w:t>–</w:t>
      </w:r>
      <w:r>
        <w:rPr>
          <w:rFonts w:ascii="Arial" w:hAnsi="Arial" w:cs="Arial"/>
          <w:b/>
          <w:color w:val="000000" w:themeColor="text1"/>
          <w:sz w:val="22"/>
        </w:rPr>
        <w:t xml:space="preserve"> Infraestructura de Transporte</w:t>
      </w:r>
      <w:r w:rsidRPr="00CD4012">
        <w:rPr>
          <w:rFonts w:ascii="Arial" w:hAnsi="Arial" w:cs="Arial"/>
          <w:b/>
          <w:bCs/>
          <w:sz w:val="22"/>
        </w:rPr>
        <w:t xml:space="preserve">–Acreditación de experiencia – </w:t>
      </w:r>
      <w:r>
        <w:rPr>
          <w:rFonts w:ascii="Arial" w:hAnsi="Arial" w:cs="Arial"/>
          <w:b/>
          <w:sz w:val="22"/>
          <w:shd w:val="clear" w:color="auto" w:fill="FFFFFF"/>
        </w:rPr>
        <w:t>C</w:t>
      </w:r>
      <w:r w:rsidRPr="007B192E">
        <w:rPr>
          <w:rFonts w:ascii="Arial" w:hAnsi="Arial" w:cs="Arial"/>
          <w:b/>
          <w:sz w:val="22"/>
          <w:shd w:val="clear" w:color="auto" w:fill="FFFFFF"/>
        </w:rPr>
        <w:t xml:space="preserve">onstrucción de un box </w:t>
      </w:r>
      <w:proofErr w:type="spellStart"/>
      <w:r w:rsidRPr="007B192E">
        <w:rPr>
          <w:rFonts w:ascii="Arial" w:hAnsi="Arial" w:cs="Arial"/>
          <w:b/>
          <w:sz w:val="22"/>
          <w:shd w:val="clear" w:color="auto" w:fill="FFFFFF"/>
        </w:rPr>
        <w:t>culvert</w:t>
      </w:r>
      <w:proofErr w:type="spellEnd"/>
      <w:r>
        <w:rPr>
          <w:rFonts w:ascii="Arial" w:hAnsi="Arial" w:cs="Arial"/>
          <w:b/>
          <w:sz w:val="22"/>
          <w:shd w:val="clear" w:color="auto" w:fill="FFFFFF"/>
        </w:rPr>
        <w:t xml:space="preserve"> </w:t>
      </w:r>
      <w:r w:rsidR="007A2E32">
        <w:rPr>
          <w:rFonts w:ascii="Arial" w:hAnsi="Arial" w:cs="Arial"/>
          <w:b/>
          <w:sz w:val="22"/>
          <w:shd w:val="clear" w:color="auto" w:fill="FFFFFF"/>
        </w:rPr>
        <w:t>–</w:t>
      </w:r>
    </w:p>
    <w:p w14:paraId="23862A4F" w14:textId="77777777" w:rsidR="007A2E32" w:rsidRDefault="007A2E32" w:rsidP="00B02705">
      <w:pPr>
        <w:jc w:val="both"/>
        <w:rPr>
          <w:rFonts w:ascii="Arial" w:hAnsi="Arial" w:cs="Arial"/>
          <w:b/>
          <w:sz w:val="22"/>
          <w:shd w:val="clear" w:color="auto" w:fill="FFFFFF"/>
        </w:rPr>
      </w:pPr>
    </w:p>
    <w:p w14:paraId="6DC1B5A0" w14:textId="684FBA67" w:rsidR="00DE7D58" w:rsidRPr="00B02705" w:rsidRDefault="007A2E32" w:rsidP="00B02705">
      <w:pPr>
        <w:spacing w:before="120" w:after="120"/>
        <w:jc w:val="both"/>
        <w:rPr>
          <w:rFonts w:ascii="Arial" w:hAnsi="Arial" w:cs="Arial"/>
          <w:sz w:val="20"/>
          <w:szCs w:val="20"/>
          <w:shd w:val="clear" w:color="auto" w:fill="FFFFFF"/>
        </w:rPr>
      </w:pPr>
      <w:r w:rsidRPr="00B02705">
        <w:rPr>
          <w:rFonts w:ascii="Arial" w:hAnsi="Arial" w:cs="Arial"/>
          <w:sz w:val="20"/>
          <w:szCs w:val="20"/>
        </w:rPr>
        <w:t xml:space="preserve">[…] </w:t>
      </w:r>
      <w:r w:rsidR="00DE7D58" w:rsidRPr="00B02705">
        <w:rPr>
          <w:rFonts w:ascii="Arial" w:hAnsi="Arial" w:cs="Arial"/>
          <w:sz w:val="20"/>
          <w:szCs w:val="20"/>
          <w:shd w:val="clear" w:color="auto" w:fill="FFFFFF"/>
        </w:rPr>
        <w:t xml:space="preserve">un </w:t>
      </w:r>
      <w:r w:rsidR="00DE7D58" w:rsidRPr="00B02705">
        <w:rPr>
          <w:rFonts w:ascii="Arial" w:hAnsi="Arial" w:cs="Arial"/>
          <w:i/>
          <w:iCs/>
          <w:sz w:val="20"/>
          <w:szCs w:val="20"/>
          <w:shd w:val="clear" w:color="auto" w:fill="FFFFFF"/>
        </w:rPr>
        <w:t xml:space="preserve">box </w:t>
      </w:r>
      <w:proofErr w:type="spellStart"/>
      <w:r w:rsidR="00DE7D58" w:rsidRPr="00B02705">
        <w:rPr>
          <w:rFonts w:ascii="Arial" w:hAnsi="Arial" w:cs="Arial"/>
          <w:i/>
          <w:iCs/>
          <w:sz w:val="20"/>
          <w:szCs w:val="20"/>
          <w:shd w:val="clear" w:color="auto" w:fill="FFFFFF"/>
        </w:rPr>
        <w:t>culvert</w:t>
      </w:r>
      <w:proofErr w:type="spellEnd"/>
      <w:r w:rsidR="00DE7D58" w:rsidRPr="00B02705">
        <w:rPr>
          <w:rFonts w:ascii="Arial" w:hAnsi="Arial" w:cs="Arial"/>
          <w:i/>
          <w:iCs/>
          <w:sz w:val="20"/>
          <w:szCs w:val="20"/>
          <w:shd w:val="clear" w:color="auto" w:fill="FFFFFF"/>
        </w:rPr>
        <w:t xml:space="preserve"> </w:t>
      </w:r>
      <w:r w:rsidR="00DE7D58" w:rsidRPr="00B02705">
        <w:rPr>
          <w:rFonts w:ascii="Arial" w:hAnsi="Arial" w:cs="Arial"/>
          <w:sz w:val="20"/>
          <w:szCs w:val="20"/>
          <w:shd w:val="clear" w:color="auto" w:fill="FFFFFF"/>
        </w:rPr>
        <w:t xml:space="preserve">es una infraestructura de drenaje concebida para permitir el paso de cuerpos de agua, corrientes hídricas e incluso de personas y animales por debajo de una vía. Ello quiere decir que la construcción de un </w:t>
      </w:r>
      <w:r w:rsidR="00DE7D58" w:rsidRPr="00B02705">
        <w:rPr>
          <w:rFonts w:ascii="Arial" w:hAnsi="Arial" w:cs="Arial"/>
          <w:i/>
          <w:iCs/>
          <w:sz w:val="20"/>
          <w:szCs w:val="20"/>
          <w:shd w:val="clear" w:color="auto" w:fill="FFFFFF"/>
        </w:rPr>
        <w:t xml:space="preserve">box </w:t>
      </w:r>
      <w:proofErr w:type="spellStart"/>
      <w:r w:rsidR="00DE7D58" w:rsidRPr="00B02705">
        <w:rPr>
          <w:rFonts w:ascii="Arial" w:hAnsi="Arial" w:cs="Arial"/>
          <w:i/>
          <w:iCs/>
          <w:sz w:val="20"/>
          <w:szCs w:val="20"/>
          <w:shd w:val="clear" w:color="auto" w:fill="FFFFFF"/>
        </w:rPr>
        <w:t>culvert</w:t>
      </w:r>
      <w:proofErr w:type="spellEnd"/>
      <w:r w:rsidR="00DE7D58" w:rsidRPr="00B02705">
        <w:rPr>
          <w:rFonts w:ascii="Arial" w:hAnsi="Arial" w:cs="Arial"/>
          <w:i/>
          <w:iCs/>
          <w:sz w:val="20"/>
          <w:szCs w:val="20"/>
          <w:shd w:val="clear" w:color="auto" w:fill="FFFFFF"/>
        </w:rPr>
        <w:t xml:space="preserve">, </w:t>
      </w:r>
      <w:r w:rsidR="00DE7D58" w:rsidRPr="00B02705">
        <w:rPr>
          <w:rFonts w:ascii="Arial" w:hAnsi="Arial" w:cs="Arial"/>
          <w:sz w:val="20"/>
          <w:szCs w:val="20"/>
          <w:shd w:val="clear" w:color="auto" w:fill="FFFFFF"/>
        </w:rPr>
        <w:t xml:space="preserve">necesariamente se encuentra asociada a la intervención de una infraestructura de transporte. Sobre esto conviene recordar que la construcción de obras de drenaje, de conformidad con el «Anexo 3 – Glosario», constituye una de las actividades de obra que corresponden a proyectos de mejoramiento de vías. </w:t>
      </w:r>
      <w:r w:rsidRPr="00B02705">
        <w:rPr>
          <w:rFonts w:ascii="Arial" w:hAnsi="Arial" w:cs="Arial"/>
          <w:sz w:val="20"/>
          <w:szCs w:val="20"/>
          <w:shd w:val="clear" w:color="auto" w:fill="FFFFFF"/>
        </w:rPr>
        <w:t xml:space="preserve">[…] </w:t>
      </w:r>
      <w:r w:rsidR="00DE7D58" w:rsidRPr="00B02705">
        <w:rPr>
          <w:rFonts w:ascii="Arial" w:hAnsi="Arial" w:cs="Arial"/>
          <w:sz w:val="20"/>
          <w:szCs w:val="20"/>
          <w:shd w:val="clear" w:color="auto" w:fill="FFFFFF"/>
        </w:rPr>
        <w:t xml:space="preserve">de acuerdo con el Manual de drenaje para carreteras del INVIAS, una alcantarilla es un conducto relativamente corto a través del cual se cruza el agua bajo la vía de un costado a otro. Incluye, por lo tanto, conductos de cualquier sección geométrica: circulares y alcantarillas de cajón principalmente. Por tal motivo, los denominados box </w:t>
      </w:r>
      <w:proofErr w:type="spellStart"/>
      <w:r w:rsidR="00DE7D58" w:rsidRPr="00B02705">
        <w:rPr>
          <w:rFonts w:ascii="Arial" w:hAnsi="Arial" w:cs="Arial"/>
          <w:sz w:val="20"/>
          <w:szCs w:val="20"/>
          <w:shd w:val="clear" w:color="auto" w:fill="FFFFFF"/>
        </w:rPr>
        <w:t>coulvert</w:t>
      </w:r>
      <w:proofErr w:type="spellEnd"/>
      <w:r w:rsidR="00DE7D58" w:rsidRPr="00B02705">
        <w:rPr>
          <w:rFonts w:ascii="Arial" w:hAnsi="Arial" w:cs="Arial"/>
          <w:sz w:val="20"/>
          <w:szCs w:val="20"/>
          <w:shd w:val="clear" w:color="auto" w:fill="FFFFFF"/>
        </w:rPr>
        <w:t xml:space="preserve"> son </w:t>
      </w:r>
      <w:proofErr w:type="spellStart"/>
      <w:r w:rsidR="00DE7D58" w:rsidRPr="00B02705">
        <w:rPr>
          <w:rFonts w:ascii="Arial" w:hAnsi="Arial" w:cs="Arial"/>
          <w:sz w:val="20"/>
          <w:szCs w:val="20"/>
          <w:shd w:val="clear" w:color="auto" w:fill="FFFFFF"/>
        </w:rPr>
        <w:t>alcatarillas</w:t>
      </w:r>
      <w:proofErr w:type="spellEnd"/>
      <w:r w:rsidR="00DE7D58" w:rsidRPr="00B02705">
        <w:rPr>
          <w:rFonts w:ascii="Arial" w:hAnsi="Arial" w:cs="Arial"/>
          <w:sz w:val="20"/>
          <w:szCs w:val="20"/>
          <w:shd w:val="clear" w:color="auto" w:fill="FFFFFF"/>
        </w:rPr>
        <w:t xml:space="preserve"> de cajón. Adicionalmente, de acuerdo con el listado de actividades que hacen parte de las actividades de mejoramiento de acuerdo con lo definido en el artículo 12 de la Ley 1682 de 2013, desarrollado en el Decreto 769 de 2014, el cual fue compilado en el Decreto Único Reglamentario 1076 de 2015 para el sector ambiente y desarrollo sostenible en los artículos 2.2.2.5.1.1. </w:t>
      </w:r>
      <w:proofErr w:type="gramStart"/>
      <w:r w:rsidR="00DE7D58" w:rsidRPr="00B02705">
        <w:rPr>
          <w:rFonts w:ascii="Arial" w:hAnsi="Arial" w:cs="Arial"/>
          <w:sz w:val="20"/>
          <w:szCs w:val="20"/>
          <w:shd w:val="clear" w:color="auto" w:fill="FFFFFF"/>
        </w:rPr>
        <w:t>al  2.2.2.5.4.6.</w:t>
      </w:r>
      <w:proofErr w:type="gramEnd"/>
      <w:r w:rsidR="00DE7D58" w:rsidRPr="00B02705">
        <w:rPr>
          <w:rFonts w:ascii="Arial" w:hAnsi="Arial" w:cs="Arial"/>
          <w:sz w:val="20"/>
          <w:szCs w:val="20"/>
          <w:shd w:val="clear" w:color="auto" w:fill="FFFFFF"/>
        </w:rPr>
        <w:t xml:space="preserve">, se indica que una de las actividades de mejoramiento para el modo terrestre-carretero son la </w:t>
      </w:r>
      <w:r w:rsidR="00DE7D58" w:rsidRPr="00B02705">
        <w:rPr>
          <w:rFonts w:ascii="Arial" w:hAnsi="Arial" w:cs="Arial"/>
          <w:sz w:val="20"/>
          <w:szCs w:val="20"/>
          <w:shd w:val="clear" w:color="auto" w:fill="FFFFFF"/>
          <w:lang w:val="es-CO"/>
        </w:rPr>
        <w:t xml:space="preserve">adecuación y construcción de obras de drenaje y subdrenaje transversal y longitudinal. Siendo las alcantarillas de cajón una estructura de drenaje transversal a la infraestructura de transporte, las cuales son elaborados en concreto reforzado según las condiciones técnicas propias del proyecto, el cual deberá poder soportar las condiciones hidráulicas y estructurales a los esfuerzos que sea sometida. </w:t>
      </w:r>
    </w:p>
    <w:p w14:paraId="76B099C8" w14:textId="77777777" w:rsidR="00DE7D58" w:rsidRDefault="00DE7D58" w:rsidP="00B02705">
      <w:pPr>
        <w:jc w:val="both"/>
        <w:rPr>
          <w:rFonts w:ascii="Arial" w:eastAsia="Arial" w:hAnsi="Arial" w:cs="Arial"/>
          <w:b/>
          <w:sz w:val="22"/>
        </w:rPr>
      </w:pPr>
    </w:p>
    <w:p w14:paraId="62193D9C" w14:textId="2891A265" w:rsidR="00CD4012" w:rsidRPr="00CD4012" w:rsidRDefault="00CD4012" w:rsidP="00B02705">
      <w:pPr>
        <w:jc w:val="both"/>
        <w:rPr>
          <w:rFonts w:ascii="Arial" w:eastAsia="Arial" w:hAnsi="Arial" w:cs="Arial"/>
          <w:b/>
          <w:sz w:val="22"/>
        </w:rPr>
      </w:pPr>
      <w:r w:rsidRPr="00CD4012">
        <w:rPr>
          <w:rFonts w:ascii="Arial" w:eastAsia="Arial" w:hAnsi="Arial" w:cs="Arial"/>
          <w:b/>
          <w:sz w:val="22"/>
        </w:rPr>
        <w:t xml:space="preserve">DOCUMENTOS TIPO – </w:t>
      </w:r>
      <w:r w:rsidRPr="00CD4012">
        <w:rPr>
          <w:rFonts w:ascii="Arial" w:hAnsi="Arial" w:cs="Arial"/>
          <w:b/>
          <w:color w:val="000000" w:themeColor="text1"/>
          <w:sz w:val="22"/>
        </w:rPr>
        <w:t xml:space="preserve">Matriz 1 - Experiencia </w:t>
      </w:r>
      <w:r w:rsidRPr="00CD4012">
        <w:rPr>
          <w:rFonts w:ascii="Arial" w:eastAsia="Calibri" w:hAnsi="Arial" w:cs="Arial"/>
          <w:b/>
          <w:sz w:val="22"/>
          <w:lang w:eastAsia="es-ES_tradnl"/>
        </w:rPr>
        <w:t>–</w:t>
      </w:r>
      <w:r>
        <w:rPr>
          <w:rFonts w:ascii="Arial" w:hAnsi="Arial" w:cs="Arial"/>
          <w:b/>
          <w:color w:val="000000" w:themeColor="text1"/>
          <w:sz w:val="22"/>
        </w:rPr>
        <w:t xml:space="preserve"> Infraestructura de Transporte</w:t>
      </w:r>
      <w:r w:rsidRPr="00CD4012">
        <w:rPr>
          <w:rFonts w:ascii="Arial" w:hAnsi="Arial" w:cs="Arial"/>
          <w:b/>
          <w:bCs/>
          <w:sz w:val="22"/>
        </w:rPr>
        <w:t>–Acreditación de experiencia – Contratos con pluralidad de actividades</w:t>
      </w:r>
    </w:p>
    <w:p w14:paraId="34D1C748" w14:textId="050C4195" w:rsidR="00CD4012" w:rsidRDefault="00CD4012" w:rsidP="00B02705">
      <w:pPr>
        <w:jc w:val="both"/>
        <w:rPr>
          <w:rFonts w:ascii="Arial" w:eastAsia="Calibri" w:hAnsi="Arial" w:cs="Arial"/>
          <w:b/>
          <w:color w:val="000000" w:themeColor="text1"/>
        </w:rPr>
      </w:pPr>
    </w:p>
    <w:p w14:paraId="4CEA8C20" w14:textId="531557BC" w:rsidR="00912BD6" w:rsidRPr="00B02705" w:rsidRDefault="00912BD6" w:rsidP="00B02705">
      <w:pPr>
        <w:spacing w:after="120"/>
        <w:jc w:val="both"/>
        <w:rPr>
          <w:rFonts w:ascii="Arial" w:hAnsi="Arial" w:cs="Arial"/>
          <w:sz w:val="20"/>
          <w:szCs w:val="20"/>
          <w:shd w:val="clear" w:color="auto" w:fill="FFFFFF"/>
        </w:rPr>
      </w:pPr>
      <w:r w:rsidRPr="00B02705">
        <w:rPr>
          <w:rFonts w:ascii="Arial" w:hAnsi="Arial" w:cs="Arial"/>
          <w:sz w:val="20"/>
          <w:szCs w:val="20"/>
        </w:rPr>
        <w:t xml:space="preserve">[…] se considera que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w:t>
      </w:r>
    </w:p>
    <w:p w14:paraId="5D0E8AAE" w14:textId="77777777" w:rsidR="00912BD6" w:rsidRPr="00B02705" w:rsidRDefault="00912BD6" w:rsidP="00B02705">
      <w:pPr>
        <w:spacing w:before="120"/>
        <w:jc w:val="both"/>
        <w:rPr>
          <w:rFonts w:ascii="Arial" w:eastAsia="Times New Roman" w:hAnsi="Arial" w:cs="Arial"/>
          <w:bCs/>
          <w:sz w:val="20"/>
          <w:szCs w:val="20"/>
          <w:lang w:val="es-CO" w:eastAsia="es-ES_tradnl"/>
        </w:rPr>
      </w:pPr>
      <w:r w:rsidRPr="00B02705">
        <w:rPr>
          <w:rFonts w:ascii="Arial" w:eastAsia="Times New Roman" w:hAnsi="Arial" w:cs="Arial"/>
          <w:sz w:val="20"/>
          <w:szCs w:val="20"/>
          <w:lang w:val="es-CO" w:eastAsia="es-ES_tradnl"/>
        </w:rPr>
        <w:t xml:space="preserve">La </w:t>
      </w:r>
      <w:r w:rsidRPr="00B02705">
        <w:rPr>
          <w:rFonts w:ascii="Arial" w:eastAsia="Times New Roman" w:hAnsi="Arial" w:cs="Arial"/>
          <w:bCs/>
          <w:sz w:val="20"/>
          <w:szCs w:val="20"/>
          <w:lang w:val="es-CO" w:eastAsia="es-ES_tradnl"/>
        </w:rPr>
        <w:t xml:space="preserve">entidad </w:t>
      </w:r>
      <w:r w:rsidRPr="00B02705">
        <w:rPr>
          <w:rFonts w:ascii="Arial" w:eastAsia="Times New Roman" w:hAnsi="Arial" w:cs="Arial"/>
          <w:sz w:val="20"/>
          <w:szCs w:val="20"/>
          <w:lang w:eastAsia="es-ES_tradnl"/>
        </w:rPr>
        <w:t>expidió la</w:t>
      </w:r>
      <w:r w:rsidRPr="00B02705">
        <w:rPr>
          <w:rFonts w:ascii="Arial" w:eastAsia="Times New Roman" w:hAnsi="Arial" w:cs="Arial"/>
          <w:bCs/>
          <w:sz w:val="20"/>
          <w:szCs w:val="20"/>
          <w:lang w:eastAsia="es-ES_tradnl"/>
        </w:rPr>
        <w:t xml:space="preserve"> Resolución 161 del 17 de junio de 2021, por la cual</w:t>
      </w:r>
      <w:r w:rsidRPr="00B02705">
        <w:rPr>
          <w:rFonts w:ascii="Arial" w:eastAsia="Times New Roman" w:hAnsi="Arial" w:cs="Arial"/>
          <w:sz w:val="20"/>
          <w:szCs w:val="20"/>
          <w:lang w:val="es-CO" w:eastAsia="es-ES_tradnl"/>
        </w:rPr>
        <w:t xml:space="preserve"> </w:t>
      </w:r>
      <w:r w:rsidRPr="00B02705">
        <w:rPr>
          <w:rFonts w:ascii="Arial" w:eastAsia="Times New Roman" w:hAnsi="Arial" w:cs="Arial"/>
          <w:bCs/>
          <w:sz w:val="20"/>
          <w:szCs w:val="20"/>
          <w:lang w:val="es-CO" w:eastAsia="es-ES_tradnl"/>
        </w:rPr>
        <w:t xml:space="preserve">se modifican los documentos tipo adoptados por la Agencia Nacional de Contratación Pública –Colombia Compra </w:t>
      </w:r>
      <w:r w:rsidRPr="00B02705">
        <w:rPr>
          <w:rFonts w:ascii="Arial" w:eastAsia="Times New Roman" w:hAnsi="Arial" w:cs="Arial"/>
          <w:bCs/>
          <w:sz w:val="20"/>
          <w:szCs w:val="20"/>
          <w:lang w:val="es-CO" w:eastAsia="es-ES_tradnl"/>
        </w:rPr>
        <w:lastRenderedPageBreak/>
        <w:t xml:space="preserve">Eficiente– y se establece así la versión 3. Con base en esta Resolución se </w:t>
      </w:r>
      <w:r w:rsidRPr="00B02705">
        <w:rPr>
          <w:rFonts w:ascii="Arial" w:eastAsia="Times New Roman" w:hAnsi="Arial" w:cs="Arial"/>
          <w:bCs/>
          <w:sz w:val="20"/>
          <w:szCs w:val="20"/>
          <w:lang w:val="es-ES_tradnl" w:eastAsia="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 Particularmente, frente a la acreditación de la experiencia se</w:t>
      </w:r>
      <w:r w:rsidRPr="00B02705">
        <w:rPr>
          <w:rFonts w:ascii="Arial" w:eastAsia="Times New Roman" w:hAnsi="Arial" w:cs="Arial"/>
          <w:bCs/>
          <w:sz w:val="20"/>
          <w:szCs w:val="20"/>
          <w:lang w:val="es-CO" w:eastAsia="es-ES_tradnl"/>
        </w:rPr>
        <w:t xml:space="preserve"> aclaró la forma en la cual se acredita esta cuando en un contrato se ejecutan varias actividades, de las cuales solo algunas se ajustan a lo exigido por la «Matriz 1 - Experiencia». </w:t>
      </w:r>
    </w:p>
    <w:p w14:paraId="11EB1400" w14:textId="77777777" w:rsidR="00912BD6" w:rsidRPr="00B02705" w:rsidRDefault="00912BD6" w:rsidP="00B02705">
      <w:pPr>
        <w:pStyle w:val="NormalWeb"/>
        <w:spacing w:before="120" w:beforeAutospacing="0" w:after="0" w:afterAutospacing="0"/>
        <w:jc w:val="both"/>
        <w:rPr>
          <w:rFonts w:ascii="Arial" w:hAnsi="Arial" w:cs="Arial"/>
          <w:spacing w:val="2"/>
          <w:sz w:val="20"/>
          <w:szCs w:val="20"/>
        </w:rPr>
      </w:pPr>
      <w:r w:rsidRPr="00B02705">
        <w:rPr>
          <w:rFonts w:ascii="Arial" w:hAnsi="Arial" w:cs="Arial"/>
          <w:bCs/>
          <w:sz w:val="20"/>
          <w:szCs w:val="20"/>
          <w:lang w:eastAsia="es-ES_tradnl"/>
        </w:rPr>
        <w:t>Por ello, el artículo 22 de dicha resolución adicionó el literal i) al numeral 3.5.2 de los documentos tipo de infraestructura de infraestructura de transporte así: «</w:t>
      </w:r>
      <w:r w:rsidRPr="00B02705">
        <w:rPr>
          <w:rFonts w:ascii="Arial" w:hAnsi="Arial" w:cs="Arial"/>
          <w:spacing w:val="2"/>
          <w:sz w:val="20"/>
          <w:szCs w:val="20"/>
        </w:rPr>
        <w:t xml:space="preserve"> j. Cuando el contrato que se pretende acreditar como experiencia contenga varias actividades, de las cuales solo alguna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w:t>
      </w:r>
      <w:r w:rsidRPr="00B02705">
        <w:rPr>
          <w:rFonts w:ascii="Arial" w:hAnsi="Arial" w:cs="Arial"/>
          <w:bCs/>
          <w:sz w:val="20"/>
          <w:szCs w:val="20"/>
          <w:lang w:eastAsia="es-ES_tradnl"/>
        </w:rPr>
        <w:t>».</w:t>
      </w:r>
    </w:p>
    <w:p w14:paraId="1AC083B6" w14:textId="77777777" w:rsidR="00CD4012" w:rsidRDefault="00CD4012" w:rsidP="00B02705">
      <w:pPr>
        <w:jc w:val="both"/>
        <w:rPr>
          <w:rFonts w:ascii="Arial" w:eastAsia="Calibri" w:hAnsi="Arial" w:cs="Arial"/>
          <w:b/>
          <w:color w:val="000000" w:themeColor="text1"/>
        </w:rPr>
      </w:pPr>
    </w:p>
    <w:p w14:paraId="3229D421" w14:textId="3ADBBBCD" w:rsidR="00006C9C" w:rsidRPr="006F27FF" w:rsidRDefault="00006C9C" w:rsidP="00B02705">
      <w:pPr>
        <w:jc w:val="both"/>
        <w:rPr>
          <w:rFonts w:ascii="Arial" w:eastAsia="Calibri" w:hAnsi="Arial" w:cs="Arial"/>
          <w:b/>
          <w:color w:val="000000" w:themeColor="text1"/>
          <w:sz w:val="22"/>
        </w:rPr>
      </w:pPr>
      <w:r w:rsidRPr="006F27FF">
        <w:rPr>
          <w:rFonts w:ascii="Arial" w:eastAsia="Calibri" w:hAnsi="Arial" w:cs="Arial"/>
          <w:b/>
          <w:color w:val="000000" w:themeColor="text1"/>
          <w:sz w:val="22"/>
        </w:rPr>
        <w:t>DOCUMENTOS TIPO – Licitación – Versión 3 – Combinación de experiencias – Matriz 1</w:t>
      </w:r>
    </w:p>
    <w:p w14:paraId="09BBCF88" w14:textId="77777777" w:rsidR="00006C9C" w:rsidRDefault="00006C9C" w:rsidP="00B02705">
      <w:pPr>
        <w:jc w:val="both"/>
        <w:rPr>
          <w:rFonts w:ascii="Arial" w:hAnsi="Arial" w:cs="Arial"/>
          <w:color w:val="000000" w:themeColor="text1"/>
          <w:lang w:val="es-ES"/>
        </w:rPr>
      </w:pPr>
    </w:p>
    <w:p w14:paraId="05154A35" w14:textId="77777777" w:rsidR="00006C9C" w:rsidRPr="0055101F" w:rsidRDefault="00006C9C" w:rsidP="00B02705">
      <w:pPr>
        <w:spacing w:after="120"/>
        <w:jc w:val="both"/>
        <w:rPr>
          <w:rFonts w:ascii="Arial" w:eastAsia="Calibri" w:hAnsi="Arial" w:cs="Arial"/>
          <w:color w:val="000000"/>
          <w:sz w:val="20"/>
          <w:szCs w:val="20"/>
        </w:rPr>
      </w:pPr>
      <w:r w:rsidRPr="0055101F">
        <w:rPr>
          <w:rFonts w:ascii="Arial" w:eastAsia="Calibri" w:hAnsi="Arial" w:cs="Arial"/>
          <w:color w:val="000000" w:themeColor="text1"/>
          <w:sz w:val="20"/>
          <w:szCs w:val="20"/>
        </w:rPr>
        <w:t>[…]</w:t>
      </w:r>
      <w:r w:rsidRPr="0055101F">
        <w:rPr>
          <w:rFonts w:ascii="Arial" w:eastAsia="Calibri" w:hAnsi="Arial" w:cs="Arial"/>
          <w:color w:val="000000"/>
          <w:sz w:val="20"/>
          <w:szCs w:val="20"/>
        </w:rPr>
        <w:t>, en el acápite de «Reglas para definir la experiencia exigible en el proceso de contratación» de la «Matriz 1 – Experiencia», tanto de baja o mediana y alta complejidad de los documentos tipo actuales se establece la regla […]</w:t>
      </w:r>
    </w:p>
    <w:p w14:paraId="1CCC96C4" w14:textId="77777777" w:rsidR="00006C9C" w:rsidRPr="0055101F" w:rsidRDefault="00006C9C" w:rsidP="00B02705">
      <w:pPr>
        <w:spacing w:after="120"/>
        <w:ind w:right="709"/>
        <w:jc w:val="both"/>
        <w:rPr>
          <w:rFonts w:ascii="Arial" w:eastAsia="Calibri" w:hAnsi="Arial" w:cs="Arial"/>
          <w:color w:val="000000"/>
          <w:sz w:val="20"/>
          <w:szCs w:val="20"/>
        </w:rPr>
      </w:pPr>
      <w:r w:rsidRPr="0055101F">
        <w:rPr>
          <w:rFonts w:ascii="Arial" w:eastAsia="Calibri" w:hAnsi="Arial" w:cs="Arial"/>
          <w:color w:val="000000"/>
          <w:sz w:val="20"/>
          <w:szCs w:val="20"/>
        </w:rPr>
        <w:t>[…]</w:t>
      </w:r>
    </w:p>
    <w:p w14:paraId="6FC0A9ED" w14:textId="77777777" w:rsidR="00006C9C" w:rsidRPr="0055101F" w:rsidRDefault="00006C9C" w:rsidP="00B02705">
      <w:pPr>
        <w:spacing w:after="120"/>
        <w:jc w:val="both"/>
        <w:rPr>
          <w:rFonts w:ascii="Arial" w:eastAsia="Calibri" w:hAnsi="Arial" w:cs="Arial"/>
          <w:color w:val="000000"/>
          <w:sz w:val="20"/>
          <w:szCs w:val="20"/>
          <w:lang w:val="es-ES_tradnl"/>
        </w:rPr>
      </w:pPr>
      <w:r w:rsidRPr="0055101F">
        <w:rPr>
          <w:rFonts w:ascii="Arial" w:eastAsia="Calibri" w:hAnsi="Arial" w:cs="Arial"/>
          <w:color w:val="000000"/>
          <w:sz w:val="20"/>
          <w:szCs w:val="20"/>
        </w:rPr>
        <w:t>Como se advierte de lo anterior, en la versión 3 de los documentos tipo se reguló de forma pormenorizada y explicada suficientemente la forma en que procede exigir experiencias combinadas asociadas a diferentes actividades a contratar de la «Matriz 1 – Experiencia», tanto de baja o mediana y alta complejidad. En tal sentido, se prescribe que esta posibilidad se puede utilizar «</w:t>
      </w:r>
      <w:r w:rsidRPr="0055101F">
        <w:rPr>
          <w:rFonts w:ascii="Arial" w:eastAsia="Calibri" w:hAnsi="Arial" w:cs="Arial"/>
          <w:color w:val="000000"/>
          <w:sz w:val="20"/>
          <w:szCs w:val="20"/>
          <w:lang w:val="es-ES_tradnl"/>
        </w:rPr>
        <w:t xml:space="preserve">Cuando el objeto del proceso de contratación contemple la ejecución de dos o más “Actividades a Contratar” (ej.: 1.1 y 7.1)», supuesto en el cual se plantean las dos opciones relacionadas con: i) solicitar solo la experiencia asociada a la «actividad a contratar» de mayor relevancia en el contrato o ii) combinar experiencias de las 2 </w:t>
      </w:r>
      <w:proofErr w:type="spellStart"/>
      <w:r w:rsidRPr="0055101F">
        <w:rPr>
          <w:rFonts w:ascii="Arial" w:eastAsia="Calibri" w:hAnsi="Arial" w:cs="Arial"/>
          <w:color w:val="000000"/>
          <w:sz w:val="20"/>
          <w:szCs w:val="20"/>
          <w:lang w:val="es-ES_tradnl"/>
        </w:rPr>
        <w:t>ó</w:t>
      </w:r>
      <w:proofErr w:type="spellEnd"/>
      <w:r w:rsidRPr="0055101F">
        <w:rPr>
          <w:rFonts w:ascii="Arial" w:eastAsia="Calibri" w:hAnsi="Arial" w:cs="Arial"/>
          <w:color w:val="000000"/>
          <w:sz w:val="20"/>
          <w:szCs w:val="20"/>
          <w:lang w:val="es-ES_tradnl"/>
        </w:rPr>
        <w:t xml:space="preserve"> más «actividades a contratar» que se van a ejecutar en desarrollo del contrato, de acuerdo con las reglas establecidas en el aparte citado previamente.</w:t>
      </w:r>
    </w:p>
    <w:p w14:paraId="506612BD" w14:textId="77777777" w:rsidR="00757A66" w:rsidRDefault="00757A66" w:rsidP="00CD4012">
      <w:pPr>
        <w:jc w:val="both"/>
        <w:rPr>
          <w:rFonts w:ascii="Arial" w:eastAsia="Calibri" w:hAnsi="Arial" w:cs="Arial"/>
          <w:sz w:val="20"/>
          <w:szCs w:val="20"/>
          <w:lang w:val="es-CO"/>
        </w:rPr>
      </w:pPr>
    </w:p>
    <w:p w14:paraId="077E7BD9" w14:textId="77777777" w:rsidR="00503872" w:rsidRDefault="00503872" w:rsidP="00503872">
      <w:pPr>
        <w:jc w:val="both"/>
        <w:rPr>
          <w:rFonts w:ascii="Arial" w:eastAsia="Calibri" w:hAnsi="Arial" w:cs="Arial"/>
          <w:sz w:val="20"/>
          <w:szCs w:val="20"/>
          <w:lang w:val="es-CO"/>
        </w:rPr>
      </w:pPr>
    </w:p>
    <w:p w14:paraId="43FCD381" w14:textId="77777777" w:rsidR="00503872" w:rsidRPr="00BB0056" w:rsidRDefault="00503872" w:rsidP="00503872">
      <w:pPr>
        <w:jc w:val="both"/>
        <w:rPr>
          <w:rFonts w:ascii="Arial" w:eastAsia="Calibri" w:hAnsi="Arial" w:cs="Arial"/>
          <w:sz w:val="20"/>
          <w:szCs w:val="20"/>
          <w:lang w:val="es-CO"/>
        </w:rPr>
      </w:pPr>
    </w:p>
    <w:p w14:paraId="685552F6" w14:textId="0D0C7576" w:rsidR="00904CD9" w:rsidRDefault="00904CD9" w:rsidP="00904CD9">
      <w:pPr>
        <w:jc w:val="both"/>
        <w:rPr>
          <w:rFonts w:ascii="Arial" w:eastAsia="Calibri" w:hAnsi="Arial" w:cs="Arial"/>
          <w:bCs/>
          <w:sz w:val="20"/>
          <w:szCs w:val="20"/>
          <w:lang w:val="es-CO"/>
        </w:rPr>
      </w:pPr>
    </w:p>
    <w:p w14:paraId="3202F0E8" w14:textId="5645534B" w:rsidR="006F27FF" w:rsidRDefault="006F27FF" w:rsidP="00904CD9">
      <w:pPr>
        <w:jc w:val="both"/>
        <w:rPr>
          <w:rFonts w:ascii="Arial" w:eastAsia="Calibri" w:hAnsi="Arial" w:cs="Arial"/>
          <w:bCs/>
          <w:sz w:val="20"/>
          <w:szCs w:val="20"/>
          <w:lang w:val="es-CO"/>
        </w:rPr>
      </w:pPr>
    </w:p>
    <w:p w14:paraId="3C994368" w14:textId="26F70EF9" w:rsidR="006F27FF" w:rsidRDefault="006F27FF" w:rsidP="00904CD9">
      <w:pPr>
        <w:jc w:val="both"/>
        <w:rPr>
          <w:rFonts w:ascii="Arial" w:eastAsia="Calibri" w:hAnsi="Arial" w:cs="Arial"/>
          <w:bCs/>
          <w:sz w:val="20"/>
          <w:szCs w:val="20"/>
          <w:lang w:val="es-CO"/>
        </w:rPr>
      </w:pPr>
    </w:p>
    <w:p w14:paraId="6F063175" w14:textId="01722153" w:rsidR="006F27FF" w:rsidRDefault="006F27FF" w:rsidP="00904CD9">
      <w:pPr>
        <w:jc w:val="both"/>
        <w:rPr>
          <w:rFonts w:ascii="Arial" w:eastAsia="Calibri" w:hAnsi="Arial" w:cs="Arial"/>
          <w:bCs/>
          <w:sz w:val="20"/>
          <w:szCs w:val="20"/>
          <w:lang w:val="es-CO"/>
        </w:rPr>
      </w:pPr>
    </w:p>
    <w:p w14:paraId="127517A4" w14:textId="06364DC9" w:rsidR="006F27FF" w:rsidRDefault="006F27FF" w:rsidP="00904CD9">
      <w:pPr>
        <w:jc w:val="both"/>
        <w:rPr>
          <w:rFonts w:ascii="Arial" w:eastAsia="Calibri" w:hAnsi="Arial" w:cs="Arial"/>
          <w:bCs/>
          <w:sz w:val="20"/>
          <w:szCs w:val="20"/>
          <w:lang w:val="es-CO"/>
        </w:rPr>
      </w:pPr>
    </w:p>
    <w:p w14:paraId="6C52CAF8" w14:textId="4AB137B0" w:rsidR="006F27FF" w:rsidRDefault="006F27FF" w:rsidP="00904CD9">
      <w:pPr>
        <w:jc w:val="both"/>
        <w:rPr>
          <w:rFonts w:ascii="Arial" w:eastAsia="Calibri" w:hAnsi="Arial" w:cs="Arial"/>
          <w:bCs/>
          <w:sz w:val="20"/>
          <w:szCs w:val="20"/>
          <w:lang w:val="es-CO"/>
        </w:rPr>
      </w:pPr>
    </w:p>
    <w:p w14:paraId="0BB23335" w14:textId="54C12487" w:rsidR="006F27FF" w:rsidRDefault="006F27FF" w:rsidP="00904CD9">
      <w:pPr>
        <w:jc w:val="both"/>
        <w:rPr>
          <w:rFonts w:ascii="Arial" w:eastAsia="Calibri" w:hAnsi="Arial" w:cs="Arial"/>
          <w:bCs/>
          <w:sz w:val="20"/>
          <w:szCs w:val="20"/>
          <w:lang w:val="es-CO"/>
        </w:rPr>
      </w:pPr>
    </w:p>
    <w:p w14:paraId="10A31F25" w14:textId="5DC36241" w:rsidR="006F27FF" w:rsidRDefault="006F27FF" w:rsidP="00904CD9">
      <w:pPr>
        <w:jc w:val="both"/>
        <w:rPr>
          <w:rFonts w:ascii="Arial" w:eastAsia="Calibri" w:hAnsi="Arial" w:cs="Arial"/>
          <w:bCs/>
          <w:sz w:val="20"/>
          <w:szCs w:val="20"/>
          <w:lang w:val="es-CO"/>
        </w:rPr>
      </w:pPr>
    </w:p>
    <w:p w14:paraId="2B9D5199" w14:textId="09D10C05" w:rsidR="006F27FF" w:rsidRDefault="006F27FF" w:rsidP="00904CD9">
      <w:pPr>
        <w:jc w:val="both"/>
        <w:rPr>
          <w:rFonts w:ascii="Arial" w:eastAsia="Calibri" w:hAnsi="Arial" w:cs="Arial"/>
          <w:bCs/>
          <w:sz w:val="20"/>
          <w:szCs w:val="20"/>
          <w:lang w:val="es-CO"/>
        </w:rPr>
      </w:pPr>
    </w:p>
    <w:p w14:paraId="33C6D98F" w14:textId="5AABE20B" w:rsidR="006F27FF" w:rsidRDefault="006F27FF" w:rsidP="00904CD9">
      <w:pPr>
        <w:jc w:val="both"/>
        <w:rPr>
          <w:rFonts w:ascii="Arial" w:eastAsia="Calibri" w:hAnsi="Arial" w:cs="Arial"/>
          <w:bCs/>
          <w:sz w:val="20"/>
          <w:szCs w:val="20"/>
          <w:lang w:val="es-CO"/>
        </w:rPr>
      </w:pPr>
    </w:p>
    <w:p w14:paraId="0F0BA4C7" w14:textId="758A0CAA" w:rsidR="006F27FF" w:rsidRDefault="006F27FF" w:rsidP="00904CD9">
      <w:pPr>
        <w:jc w:val="both"/>
        <w:rPr>
          <w:rFonts w:ascii="Arial" w:eastAsia="Calibri" w:hAnsi="Arial" w:cs="Arial"/>
          <w:bCs/>
          <w:sz w:val="20"/>
          <w:szCs w:val="20"/>
          <w:lang w:val="es-CO"/>
        </w:rPr>
      </w:pPr>
    </w:p>
    <w:p w14:paraId="4C14D822" w14:textId="26BF3E41" w:rsidR="006F27FF" w:rsidRDefault="006F27FF" w:rsidP="00904CD9">
      <w:pPr>
        <w:jc w:val="both"/>
        <w:rPr>
          <w:rFonts w:ascii="Arial" w:eastAsia="Calibri" w:hAnsi="Arial" w:cs="Arial"/>
          <w:bCs/>
          <w:sz w:val="20"/>
          <w:szCs w:val="20"/>
          <w:lang w:val="es-CO"/>
        </w:rPr>
      </w:pPr>
    </w:p>
    <w:p w14:paraId="1A6267D6" w14:textId="77777777" w:rsidR="00757862" w:rsidRPr="00757862" w:rsidRDefault="00757862" w:rsidP="00757862">
      <w:pPr>
        <w:widowControl w:val="0"/>
        <w:autoSpaceDE w:val="0"/>
        <w:autoSpaceDN w:val="0"/>
        <w:ind w:left="4825"/>
        <w:rPr>
          <w:rFonts w:ascii="Times New Roman" w:eastAsia="Arial MT" w:hAnsi="Arial MT" w:cs="Arial MT"/>
          <w:sz w:val="20"/>
          <w:lang w:val="es-ES"/>
        </w:rPr>
      </w:pPr>
      <w:r w:rsidRPr="00757862">
        <w:rPr>
          <w:rFonts w:ascii="Times New Roman" w:eastAsia="Arial MT" w:hAnsi="Arial MT" w:cs="Arial MT"/>
          <w:noProof/>
          <w:sz w:val="20"/>
          <w:lang w:val="es-CO" w:eastAsia="es-CO"/>
        </w:rPr>
        <w:lastRenderedPageBreak/>
        <w:drawing>
          <wp:inline distT="0" distB="0" distL="0" distR="0" wp14:anchorId="65F515A1" wp14:editId="064BB482">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4C362A60" w14:textId="77777777" w:rsidR="00757862" w:rsidRPr="00757862" w:rsidRDefault="00757862" w:rsidP="00757862">
      <w:pPr>
        <w:widowControl w:val="0"/>
        <w:autoSpaceDE w:val="0"/>
        <w:autoSpaceDN w:val="0"/>
        <w:spacing w:before="10"/>
        <w:rPr>
          <w:rFonts w:ascii="Times New Roman" w:eastAsia="Arial MT" w:hAnsi="Arial MT" w:cs="Arial MT"/>
          <w:sz w:val="21"/>
          <w:lang w:val="es-ES"/>
        </w:rPr>
      </w:pPr>
    </w:p>
    <w:p w14:paraId="5504701A" w14:textId="77777777" w:rsidR="00757862" w:rsidRPr="00757862" w:rsidRDefault="00757862" w:rsidP="00757862">
      <w:pPr>
        <w:widowControl w:val="0"/>
        <w:autoSpaceDE w:val="0"/>
        <w:autoSpaceDN w:val="0"/>
        <w:spacing w:before="94"/>
        <w:ind w:right="533"/>
        <w:jc w:val="right"/>
        <w:rPr>
          <w:rFonts w:ascii="Arial" w:eastAsia="Arial MT" w:hAnsi="Arial MT" w:cs="Arial MT"/>
          <w:b/>
          <w:sz w:val="18"/>
          <w:lang w:val="es-ES"/>
        </w:rPr>
      </w:pPr>
      <w:r w:rsidRPr="00757862">
        <w:rPr>
          <w:rFonts w:ascii="Arial" w:eastAsia="Arial MT" w:hAnsi="Arial MT" w:cs="Arial MT"/>
          <w:b/>
          <w:color w:val="585858"/>
          <w:sz w:val="18"/>
          <w:lang w:val="es-ES"/>
        </w:rPr>
        <w:t>CCE-DES-FM-17</w:t>
      </w:r>
    </w:p>
    <w:p w14:paraId="05CF7CE2" w14:textId="79068D53" w:rsidR="00757862" w:rsidRPr="00757862" w:rsidRDefault="00757862" w:rsidP="00757862">
      <w:pPr>
        <w:widowControl w:val="0"/>
        <w:autoSpaceDE w:val="0"/>
        <w:autoSpaceDN w:val="0"/>
        <w:rPr>
          <w:rFonts w:ascii="Arial" w:eastAsia="Arial MT" w:hAnsi="Arial MT" w:cs="Arial MT"/>
          <w:b/>
          <w:sz w:val="20"/>
          <w:lang w:val="es-ES"/>
        </w:rPr>
      </w:pPr>
    </w:p>
    <w:p w14:paraId="03F695A4" w14:textId="77777777" w:rsidR="00757862" w:rsidRPr="00757862" w:rsidRDefault="00757862" w:rsidP="00757862">
      <w:pPr>
        <w:widowControl w:val="0"/>
        <w:autoSpaceDE w:val="0"/>
        <w:autoSpaceDN w:val="0"/>
        <w:ind w:left="100"/>
        <w:rPr>
          <w:rFonts w:ascii="Arial MT" w:eastAsia="Arial MT" w:hAnsi="Arial MT" w:cs="Arial MT"/>
          <w:sz w:val="22"/>
          <w:lang w:val="es-ES"/>
        </w:rPr>
      </w:pPr>
      <w:r w:rsidRPr="00757862">
        <w:rPr>
          <w:rFonts w:ascii="Arial MT" w:eastAsia="Arial MT" w:hAnsi="Arial MT" w:cs="Arial MT"/>
          <w:color w:val="4E4D4D"/>
          <w:sz w:val="22"/>
          <w:lang w:val="es-ES"/>
        </w:rPr>
        <w:t>Bogotá,</w:t>
      </w:r>
      <w:r w:rsidRPr="00757862">
        <w:rPr>
          <w:rFonts w:ascii="Arial MT" w:eastAsia="Arial MT" w:hAnsi="Arial MT" w:cs="Arial MT"/>
          <w:color w:val="4E4D4D"/>
          <w:spacing w:val="-3"/>
          <w:sz w:val="22"/>
          <w:lang w:val="es-ES"/>
        </w:rPr>
        <w:t xml:space="preserve"> </w:t>
      </w:r>
      <w:r w:rsidRPr="00757862">
        <w:rPr>
          <w:rFonts w:ascii="Arial MT" w:eastAsia="Arial MT" w:hAnsi="Arial MT" w:cs="Arial MT"/>
          <w:color w:val="4E4D4D"/>
          <w:sz w:val="22"/>
          <w:lang w:val="es-ES"/>
        </w:rPr>
        <w:t>19</w:t>
      </w:r>
      <w:r w:rsidRPr="00757862">
        <w:rPr>
          <w:rFonts w:ascii="Arial MT" w:eastAsia="Arial MT" w:hAnsi="Arial MT" w:cs="Arial MT"/>
          <w:color w:val="4E4D4D"/>
          <w:spacing w:val="-6"/>
          <w:sz w:val="22"/>
          <w:lang w:val="es-ES"/>
        </w:rPr>
        <w:t xml:space="preserve"> </w:t>
      </w:r>
      <w:proofErr w:type="gramStart"/>
      <w:r w:rsidRPr="00757862">
        <w:rPr>
          <w:rFonts w:ascii="Arial MT" w:eastAsia="Arial MT" w:hAnsi="Arial MT" w:cs="Arial MT"/>
          <w:color w:val="4E4D4D"/>
          <w:sz w:val="22"/>
          <w:lang w:val="es-ES"/>
        </w:rPr>
        <w:t>Septiembre</w:t>
      </w:r>
      <w:proofErr w:type="gramEnd"/>
      <w:r w:rsidRPr="00757862">
        <w:rPr>
          <w:rFonts w:ascii="Arial MT" w:eastAsia="Arial MT" w:hAnsi="Arial MT" w:cs="Arial MT"/>
          <w:color w:val="4E4D4D"/>
          <w:spacing w:val="-6"/>
          <w:sz w:val="22"/>
          <w:lang w:val="es-ES"/>
        </w:rPr>
        <w:t xml:space="preserve"> </w:t>
      </w:r>
      <w:r w:rsidRPr="00757862">
        <w:rPr>
          <w:rFonts w:ascii="Arial MT" w:eastAsia="Arial MT" w:hAnsi="Arial MT" w:cs="Arial MT"/>
          <w:color w:val="4E4D4D"/>
          <w:sz w:val="22"/>
          <w:lang w:val="es-ES"/>
        </w:rPr>
        <w:t>2021</w:t>
      </w:r>
    </w:p>
    <w:p w14:paraId="5110B1AA" w14:textId="20A88AAF" w:rsidR="00757862" w:rsidRPr="00757862" w:rsidRDefault="00757862" w:rsidP="00757862">
      <w:pPr>
        <w:widowControl w:val="0"/>
        <w:autoSpaceDE w:val="0"/>
        <w:autoSpaceDN w:val="0"/>
        <w:rPr>
          <w:rFonts w:ascii="Arial MT" w:eastAsia="Arial MT" w:hAnsi="Arial MT" w:cs="Arial MT"/>
          <w:lang w:val="es-ES"/>
        </w:rPr>
      </w:pPr>
    </w:p>
    <w:p w14:paraId="087CBA00" w14:textId="77777777" w:rsidR="00757862" w:rsidRPr="00757862" w:rsidRDefault="00757862" w:rsidP="00757862">
      <w:pPr>
        <w:widowControl w:val="0"/>
        <w:autoSpaceDE w:val="0"/>
        <w:autoSpaceDN w:val="0"/>
        <w:spacing w:before="167"/>
        <w:ind w:left="100"/>
        <w:rPr>
          <w:rFonts w:ascii="Arial MT" w:eastAsia="Arial MT" w:hAnsi="Arial MT" w:cs="Arial MT"/>
          <w:sz w:val="22"/>
          <w:lang w:val="es-ES"/>
        </w:rPr>
      </w:pPr>
      <w:r w:rsidRPr="00757862">
        <w:rPr>
          <w:rFonts w:ascii="Arial MT" w:eastAsia="Arial MT" w:hAnsi="Arial MT" w:cs="Arial MT"/>
          <w:sz w:val="22"/>
          <w:lang w:val="es-ES"/>
        </w:rPr>
        <w:t>Señor</w:t>
      </w:r>
    </w:p>
    <w:p w14:paraId="33F8536A" w14:textId="77777777" w:rsidR="00757862" w:rsidRPr="00757862" w:rsidRDefault="00757862" w:rsidP="00757862">
      <w:pPr>
        <w:widowControl w:val="0"/>
        <w:autoSpaceDE w:val="0"/>
        <w:autoSpaceDN w:val="0"/>
        <w:ind w:left="100"/>
        <w:outlineLvl w:val="0"/>
        <w:rPr>
          <w:rFonts w:ascii="Arial" w:eastAsia="Arial" w:hAnsi="Arial" w:cs="Arial"/>
          <w:b/>
          <w:bCs/>
          <w:sz w:val="22"/>
          <w:lang w:val="es-ES"/>
        </w:rPr>
      </w:pPr>
      <w:r w:rsidRPr="00757862">
        <w:rPr>
          <w:rFonts w:ascii="Arial" w:eastAsia="Arial" w:hAnsi="Arial" w:cs="Arial"/>
          <w:b/>
          <w:bCs/>
          <w:sz w:val="22"/>
          <w:lang w:val="es-ES"/>
        </w:rPr>
        <w:t>Luis</w:t>
      </w:r>
      <w:r w:rsidRPr="00757862">
        <w:rPr>
          <w:rFonts w:ascii="Arial" w:eastAsia="Arial" w:hAnsi="Arial" w:cs="Arial"/>
          <w:b/>
          <w:bCs/>
          <w:spacing w:val="-6"/>
          <w:sz w:val="22"/>
          <w:lang w:val="es-ES"/>
        </w:rPr>
        <w:t xml:space="preserve"> </w:t>
      </w:r>
      <w:r w:rsidRPr="00757862">
        <w:rPr>
          <w:rFonts w:ascii="Arial" w:eastAsia="Arial" w:hAnsi="Arial" w:cs="Arial"/>
          <w:b/>
          <w:bCs/>
          <w:sz w:val="22"/>
          <w:lang w:val="es-ES"/>
        </w:rPr>
        <w:t>Daniel</w:t>
      </w:r>
      <w:r w:rsidRPr="00757862">
        <w:rPr>
          <w:rFonts w:ascii="Arial" w:eastAsia="Arial" w:hAnsi="Arial" w:cs="Arial"/>
          <w:b/>
          <w:bCs/>
          <w:spacing w:val="-5"/>
          <w:sz w:val="22"/>
          <w:lang w:val="es-ES"/>
        </w:rPr>
        <w:t xml:space="preserve"> </w:t>
      </w:r>
      <w:r w:rsidRPr="00757862">
        <w:rPr>
          <w:rFonts w:ascii="Arial" w:eastAsia="Arial" w:hAnsi="Arial" w:cs="Arial"/>
          <w:b/>
          <w:bCs/>
          <w:sz w:val="22"/>
          <w:lang w:val="es-ES"/>
        </w:rPr>
        <w:t>García</w:t>
      </w:r>
    </w:p>
    <w:p w14:paraId="58A4D2F0" w14:textId="77777777" w:rsidR="00757862" w:rsidRPr="00757862" w:rsidRDefault="00757862" w:rsidP="00757862">
      <w:pPr>
        <w:widowControl w:val="0"/>
        <w:autoSpaceDE w:val="0"/>
        <w:autoSpaceDN w:val="0"/>
        <w:ind w:left="100"/>
        <w:rPr>
          <w:rFonts w:ascii="Arial MT" w:eastAsia="Arial MT" w:hAnsi="Arial MT" w:cs="Arial MT"/>
          <w:sz w:val="22"/>
          <w:lang w:val="es-ES"/>
        </w:rPr>
      </w:pPr>
      <w:r w:rsidRPr="00757862">
        <w:rPr>
          <w:rFonts w:ascii="Arial MT" w:eastAsia="Arial MT" w:hAnsi="Arial MT" w:cs="Arial MT"/>
          <w:spacing w:val="-1"/>
          <w:sz w:val="22"/>
          <w:lang w:val="es-ES"/>
        </w:rPr>
        <w:t xml:space="preserve">E-mail: </w:t>
      </w:r>
      <w:hyperlink r:id="rId12">
        <w:r w:rsidRPr="00757862">
          <w:rPr>
            <w:rFonts w:ascii="Arial MT" w:eastAsia="Arial MT" w:hAnsi="Arial MT" w:cs="Arial MT"/>
            <w:spacing w:val="-1"/>
            <w:sz w:val="22"/>
            <w:lang w:val="es-ES"/>
          </w:rPr>
          <w:t>luisdanielgarcialdg@hotmail.com</w:t>
        </w:r>
      </w:hyperlink>
    </w:p>
    <w:p w14:paraId="463D1B54" w14:textId="77777777" w:rsidR="00757862" w:rsidRPr="00757862" w:rsidRDefault="00757862" w:rsidP="00757862">
      <w:pPr>
        <w:widowControl w:val="0"/>
        <w:autoSpaceDE w:val="0"/>
        <w:autoSpaceDN w:val="0"/>
        <w:rPr>
          <w:rFonts w:ascii="Arial MT" w:eastAsia="Arial MT" w:hAnsi="Arial MT" w:cs="Arial MT"/>
          <w:lang w:val="es-ES"/>
        </w:rPr>
      </w:pPr>
    </w:p>
    <w:p w14:paraId="314E2CB3" w14:textId="77777777" w:rsidR="00757862" w:rsidRPr="00757862" w:rsidRDefault="00757862" w:rsidP="00757862">
      <w:pPr>
        <w:widowControl w:val="0"/>
        <w:autoSpaceDE w:val="0"/>
        <w:autoSpaceDN w:val="0"/>
        <w:rPr>
          <w:rFonts w:ascii="Arial MT" w:eastAsia="Arial MT" w:hAnsi="Arial MT" w:cs="Arial MT"/>
          <w:sz w:val="20"/>
          <w:lang w:val="es-ES"/>
        </w:rPr>
      </w:pPr>
    </w:p>
    <w:p w14:paraId="1F1597EF" w14:textId="77777777" w:rsidR="00757862" w:rsidRPr="00757862" w:rsidRDefault="00757862" w:rsidP="00757862">
      <w:pPr>
        <w:widowControl w:val="0"/>
        <w:autoSpaceDE w:val="0"/>
        <w:autoSpaceDN w:val="0"/>
        <w:ind w:left="2790"/>
        <w:outlineLvl w:val="0"/>
        <w:rPr>
          <w:rFonts w:ascii="Arial" w:eastAsia="Arial" w:hAnsi="Arial" w:cs="Arial"/>
          <w:b/>
          <w:bCs/>
          <w:sz w:val="22"/>
          <w:lang w:val="es-ES"/>
        </w:rPr>
      </w:pPr>
      <w:r w:rsidRPr="00757862">
        <w:rPr>
          <w:rFonts w:ascii="Arial" w:eastAsia="Arial" w:hAnsi="Arial" w:cs="Arial"/>
          <w:b/>
          <w:bCs/>
          <w:sz w:val="22"/>
          <w:lang w:val="es-ES"/>
        </w:rPr>
        <w:t>Concepto</w:t>
      </w:r>
      <w:r w:rsidRPr="00757862">
        <w:rPr>
          <w:rFonts w:ascii="Arial" w:eastAsia="Arial" w:hAnsi="Arial" w:cs="Arial"/>
          <w:b/>
          <w:bCs/>
          <w:spacing w:val="-4"/>
          <w:sz w:val="22"/>
          <w:lang w:val="es-ES"/>
        </w:rPr>
        <w:t xml:space="preserve"> </w:t>
      </w:r>
      <w:r w:rsidRPr="00757862">
        <w:rPr>
          <w:rFonts w:ascii="Arial" w:eastAsia="Arial" w:hAnsi="Arial" w:cs="Arial"/>
          <w:b/>
          <w:bCs/>
          <w:sz w:val="22"/>
          <w:lang w:val="es-ES"/>
        </w:rPr>
        <w:t>C</w:t>
      </w:r>
      <w:r w:rsidRPr="00757862">
        <w:rPr>
          <w:rFonts w:ascii="Arial" w:eastAsia="Arial" w:hAnsi="Arial" w:cs="Arial"/>
          <w:b/>
          <w:bCs/>
          <w:spacing w:val="-2"/>
          <w:sz w:val="22"/>
          <w:lang w:val="es-ES"/>
        </w:rPr>
        <w:t xml:space="preserve"> </w:t>
      </w:r>
      <w:r w:rsidRPr="00757862">
        <w:rPr>
          <w:rFonts w:ascii="Arial" w:eastAsia="Arial" w:hAnsi="Arial" w:cs="Arial"/>
          <w:b/>
          <w:bCs/>
          <w:sz w:val="22"/>
          <w:lang w:val="es-ES"/>
        </w:rPr>
        <w:t>–</w:t>
      </w:r>
      <w:r w:rsidRPr="00757862">
        <w:rPr>
          <w:rFonts w:ascii="Arial" w:eastAsia="Arial" w:hAnsi="Arial" w:cs="Arial"/>
          <w:b/>
          <w:bCs/>
          <w:spacing w:val="-3"/>
          <w:sz w:val="22"/>
          <w:lang w:val="es-ES"/>
        </w:rPr>
        <w:t xml:space="preserve"> </w:t>
      </w:r>
      <w:r w:rsidRPr="00757862">
        <w:rPr>
          <w:rFonts w:ascii="Arial" w:eastAsia="Arial" w:hAnsi="Arial" w:cs="Arial"/>
          <w:b/>
          <w:bCs/>
          <w:sz w:val="22"/>
          <w:lang w:val="es-ES"/>
        </w:rPr>
        <w:t>507</w:t>
      </w:r>
      <w:r w:rsidRPr="00757862">
        <w:rPr>
          <w:rFonts w:ascii="Arial" w:eastAsia="Arial" w:hAnsi="Arial" w:cs="Arial"/>
          <w:b/>
          <w:bCs/>
          <w:spacing w:val="-4"/>
          <w:sz w:val="22"/>
          <w:lang w:val="es-ES"/>
        </w:rPr>
        <w:t xml:space="preserve"> </w:t>
      </w:r>
      <w:r w:rsidRPr="00757862">
        <w:rPr>
          <w:rFonts w:ascii="Arial" w:eastAsia="Arial" w:hAnsi="Arial" w:cs="Arial"/>
          <w:b/>
          <w:bCs/>
          <w:sz w:val="22"/>
          <w:lang w:val="es-ES"/>
        </w:rPr>
        <w:t>de</w:t>
      </w:r>
      <w:r w:rsidRPr="00757862">
        <w:rPr>
          <w:rFonts w:ascii="Arial" w:eastAsia="Arial" w:hAnsi="Arial" w:cs="Arial"/>
          <w:b/>
          <w:bCs/>
          <w:spacing w:val="-3"/>
          <w:sz w:val="22"/>
          <w:lang w:val="es-ES"/>
        </w:rPr>
        <w:t xml:space="preserve"> </w:t>
      </w:r>
      <w:r w:rsidRPr="00757862">
        <w:rPr>
          <w:rFonts w:ascii="Arial" w:eastAsia="Arial" w:hAnsi="Arial" w:cs="Arial"/>
          <w:b/>
          <w:bCs/>
          <w:sz w:val="22"/>
          <w:lang w:val="es-ES"/>
        </w:rPr>
        <w:t>2021</w:t>
      </w:r>
    </w:p>
    <w:p w14:paraId="1A727B8D" w14:textId="77777777" w:rsidR="00757862" w:rsidRPr="00757862" w:rsidRDefault="00757862" w:rsidP="00757862">
      <w:pPr>
        <w:widowControl w:val="0"/>
        <w:autoSpaceDE w:val="0"/>
        <w:autoSpaceDN w:val="0"/>
        <w:spacing w:before="10"/>
        <w:rPr>
          <w:rFonts w:ascii="Arial" w:eastAsia="Arial MT" w:hAnsi="Arial MT" w:cs="Arial MT"/>
          <w:b/>
          <w:sz w:val="13"/>
          <w:lang w:val="es-ES"/>
        </w:rPr>
      </w:pPr>
    </w:p>
    <w:p w14:paraId="0B222A1D" w14:textId="4B49CF7E" w:rsidR="00757862" w:rsidRPr="00757862" w:rsidRDefault="00757862" w:rsidP="001E1694">
      <w:pPr>
        <w:widowControl w:val="0"/>
        <w:tabs>
          <w:tab w:val="left" w:pos="2789"/>
        </w:tabs>
        <w:autoSpaceDE w:val="0"/>
        <w:autoSpaceDN w:val="0"/>
        <w:spacing w:before="93"/>
        <w:ind w:left="2790" w:right="111" w:hanging="2689"/>
        <w:jc w:val="both"/>
        <w:rPr>
          <w:rFonts w:ascii="Arial MT" w:eastAsia="Arial MT" w:hAnsi="Arial MT" w:cs="Arial MT"/>
          <w:sz w:val="22"/>
          <w:lang w:val="es-ES"/>
        </w:rPr>
      </w:pPr>
      <w:r w:rsidRPr="00757862">
        <w:rPr>
          <w:rFonts w:ascii="Arial" w:eastAsia="Arial MT" w:hAnsi="Arial" w:cs="Arial MT"/>
          <w:b/>
          <w:sz w:val="22"/>
          <w:lang w:val="es-ES"/>
        </w:rPr>
        <w:t>Temas:</w:t>
      </w:r>
      <w:r w:rsidRPr="00757862">
        <w:rPr>
          <w:rFonts w:ascii="Arial" w:eastAsia="Arial MT" w:hAnsi="Arial" w:cs="Arial MT"/>
          <w:b/>
          <w:sz w:val="22"/>
          <w:lang w:val="es-ES"/>
        </w:rPr>
        <w:tab/>
      </w:r>
      <w:r w:rsidRPr="00757862">
        <w:rPr>
          <w:rFonts w:ascii="Arial MT" w:eastAsia="Arial MT" w:hAnsi="Arial MT" w:cs="Arial MT"/>
          <w:sz w:val="22"/>
          <w:lang w:val="es-ES"/>
        </w:rPr>
        <w:t>DOCUMENTOS</w:t>
      </w:r>
      <w:r w:rsidRPr="00757862">
        <w:rPr>
          <w:rFonts w:ascii="Arial MT" w:eastAsia="Arial MT" w:hAnsi="Arial MT" w:cs="Arial MT"/>
          <w:spacing w:val="20"/>
          <w:sz w:val="22"/>
          <w:lang w:val="es-ES"/>
        </w:rPr>
        <w:t xml:space="preserve"> </w:t>
      </w:r>
      <w:r w:rsidRPr="00757862">
        <w:rPr>
          <w:rFonts w:ascii="Arial MT" w:eastAsia="Arial MT" w:hAnsi="Arial MT" w:cs="Arial MT"/>
          <w:sz w:val="22"/>
          <w:lang w:val="es-ES"/>
        </w:rPr>
        <w:t>TIPO</w:t>
      </w:r>
      <w:r w:rsidRPr="00757862">
        <w:rPr>
          <w:rFonts w:ascii="Arial MT" w:eastAsia="Arial MT" w:hAnsi="Arial MT" w:cs="Arial MT"/>
          <w:spacing w:val="20"/>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20"/>
          <w:sz w:val="22"/>
          <w:lang w:val="es-ES"/>
        </w:rPr>
        <w:t xml:space="preserve"> </w:t>
      </w:r>
      <w:r w:rsidRPr="00757862">
        <w:rPr>
          <w:rFonts w:ascii="Arial MT" w:eastAsia="Arial MT" w:hAnsi="Arial MT" w:cs="Arial MT"/>
          <w:sz w:val="22"/>
          <w:lang w:val="es-ES"/>
        </w:rPr>
        <w:t>Matriz</w:t>
      </w:r>
      <w:r w:rsidRPr="00757862">
        <w:rPr>
          <w:rFonts w:ascii="Arial MT" w:eastAsia="Arial MT" w:hAnsi="Arial MT" w:cs="Arial MT"/>
          <w:spacing w:val="20"/>
          <w:sz w:val="22"/>
          <w:lang w:val="es-ES"/>
        </w:rPr>
        <w:t xml:space="preserve"> </w:t>
      </w:r>
      <w:r w:rsidRPr="00757862">
        <w:rPr>
          <w:rFonts w:ascii="Arial MT" w:eastAsia="Arial MT" w:hAnsi="Arial MT" w:cs="Arial MT"/>
          <w:sz w:val="22"/>
          <w:lang w:val="es-ES"/>
        </w:rPr>
        <w:t>1</w:t>
      </w:r>
      <w:r w:rsidRPr="00757862">
        <w:rPr>
          <w:rFonts w:ascii="Arial MT" w:eastAsia="Arial MT" w:hAnsi="Arial MT" w:cs="Arial MT"/>
          <w:spacing w:val="20"/>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20"/>
          <w:sz w:val="22"/>
          <w:lang w:val="es-ES"/>
        </w:rPr>
        <w:t xml:space="preserve"> </w:t>
      </w:r>
      <w:r w:rsidRPr="00757862">
        <w:rPr>
          <w:rFonts w:ascii="Arial MT" w:eastAsia="Arial MT" w:hAnsi="Arial MT" w:cs="Arial MT"/>
          <w:sz w:val="22"/>
          <w:lang w:val="es-ES"/>
        </w:rPr>
        <w:t>Experiencia</w:t>
      </w:r>
      <w:r w:rsidRPr="00757862">
        <w:rPr>
          <w:rFonts w:ascii="Arial MT" w:eastAsia="Arial MT" w:hAnsi="Arial MT" w:cs="Arial MT"/>
          <w:spacing w:val="22"/>
          <w:sz w:val="22"/>
          <w:lang w:val="es-ES"/>
        </w:rPr>
        <w:t xml:space="preserve"> </w:t>
      </w:r>
      <w:r w:rsidRPr="00757862">
        <w:rPr>
          <w:rFonts w:ascii="Arial MT" w:eastAsia="Arial MT" w:hAnsi="Arial MT" w:cs="Arial MT"/>
          <w:sz w:val="22"/>
          <w:lang w:val="es-ES"/>
        </w:rPr>
        <w:t>general</w:t>
      </w:r>
      <w:r w:rsidRPr="00757862">
        <w:rPr>
          <w:rFonts w:ascii="Arial MT" w:eastAsia="Arial MT" w:hAnsi="Arial MT" w:cs="Arial MT"/>
          <w:spacing w:val="20"/>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59"/>
          <w:sz w:val="22"/>
          <w:lang w:val="es-ES"/>
        </w:rPr>
        <w:t xml:space="preserve"> </w:t>
      </w:r>
      <w:r w:rsidRPr="00757862">
        <w:rPr>
          <w:rFonts w:ascii="Arial MT" w:eastAsia="Arial MT" w:hAnsi="Arial MT" w:cs="Arial MT"/>
          <w:sz w:val="22"/>
          <w:lang w:val="es-ES"/>
        </w:rPr>
        <w:t>Experiencia</w:t>
      </w:r>
      <w:r w:rsidRPr="00757862">
        <w:rPr>
          <w:rFonts w:ascii="Arial MT" w:eastAsia="Arial MT" w:hAnsi="Arial MT" w:cs="Arial MT"/>
          <w:spacing w:val="-2"/>
          <w:sz w:val="22"/>
          <w:lang w:val="es-ES"/>
        </w:rPr>
        <w:t xml:space="preserve"> </w:t>
      </w:r>
      <w:r w:rsidRPr="00757862">
        <w:rPr>
          <w:rFonts w:ascii="Arial MT" w:eastAsia="Arial MT" w:hAnsi="Arial MT" w:cs="Arial MT"/>
          <w:sz w:val="22"/>
          <w:lang w:val="es-ES"/>
        </w:rPr>
        <w:t>específica</w:t>
      </w:r>
      <w:r w:rsidRPr="00757862">
        <w:rPr>
          <w:rFonts w:ascii="Arial MT" w:eastAsia="Arial MT" w:hAnsi="Arial MT" w:cs="Arial MT"/>
          <w:spacing w:val="-2"/>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3"/>
          <w:sz w:val="22"/>
          <w:lang w:val="es-ES"/>
        </w:rPr>
        <w:t xml:space="preserve"> </w:t>
      </w:r>
      <w:r w:rsidRPr="00757862">
        <w:rPr>
          <w:rFonts w:ascii="Arial MT" w:eastAsia="Arial MT" w:hAnsi="Arial MT" w:cs="Arial MT"/>
          <w:sz w:val="22"/>
          <w:lang w:val="es-ES"/>
        </w:rPr>
        <w:t>INALTERABILIDAD</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3"/>
          <w:sz w:val="22"/>
          <w:lang w:val="es-ES"/>
        </w:rPr>
        <w:t xml:space="preserve"> </w:t>
      </w:r>
      <w:r w:rsidRPr="00757862">
        <w:rPr>
          <w:rFonts w:ascii="Arial MT" w:eastAsia="Arial MT" w:hAnsi="Arial MT" w:cs="Arial MT"/>
          <w:sz w:val="22"/>
          <w:lang w:val="es-ES"/>
        </w:rPr>
        <w:t>Documentos</w:t>
      </w:r>
      <w:r w:rsidRPr="00757862">
        <w:rPr>
          <w:rFonts w:ascii="Arial MT" w:eastAsia="Arial MT" w:hAnsi="Arial MT" w:cs="Arial MT"/>
          <w:spacing w:val="-3"/>
          <w:sz w:val="22"/>
          <w:lang w:val="es-ES"/>
        </w:rPr>
        <w:t xml:space="preserve"> </w:t>
      </w:r>
      <w:r w:rsidRPr="00757862">
        <w:rPr>
          <w:rFonts w:ascii="Arial MT" w:eastAsia="Arial MT" w:hAnsi="Arial MT" w:cs="Arial MT"/>
          <w:sz w:val="22"/>
          <w:lang w:val="es-ES"/>
        </w:rPr>
        <w:t>tipo– Licitación pública – Fundamento / EXPERIENCIA – Longitud</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de la vía – Alcance / DOCUMENTOS TIPO – Infraestructura de</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transporte</w:t>
      </w:r>
      <w:r w:rsidRPr="00757862">
        <w:rPr>
          <w:rFonts w:ascii="Arial MT" w:eastAsia="Arial MT" w:hAnsi="Arial MT" w:cs="Arial MT"/>
          <w:spacing w:val="-14"/>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15"/>
          <w:sz w:val="22"/>
          <w:lang w:val="es-ES"/>
        </w:rPr>
        <w:t xml:space="preserve"> </w:t>
      </w:r>
      <w:r w:rsidRPr="00757862">
        <w:rPr>
          <w:rFonts w:ascii="Arial MT" w:eastAsia="Arial MT" w:hAnsi="Arial MT" w:cs="Arial MT"/>
          <w:sz w:val="22"/>
          <w:lang w:val="es-ES"/>
        </w:rPr>
        <w:t>Versión</w:t>
      </w:r>
      <w:r w:rsidRPr="00757862">
        <w:rPr>
          <w:rFonts w:ascii="Arial MT" w:eastAsia="Arial MT" w:hAnsi="Arial MT" w:cs="Arial MT"/>
          <w:spacing w:val="-14"/>
          <w:sz w:val="22"/>
          <w:lang w:val="es-ES"/>
        </w:rPr>
        <w:t xml:space="preserve"> </w:t>
      </w:r>
      <w:r w:rsidRPr="00757862">
        <w:rPr>
          <w:rFonts w:ascii="Arial MT" w:eastAsia="Arial MT" w:hAnsi="Arial MT" w:cs="Arial MT"/>
          <w:sz w:val="22"/>
          <w:lang w:val="es-ES"/>
        </w:rPr>
        <w:t>3</w:t>
      </w:r>
      <w:r w:rsidRPr="00757862">
        <w:rPr>
          <w:rFonts w:ascii="Arial MT" w:eastAsia="Arial MT" w:hAnsi="Arial MT" w:cs="Arial MT"/>
          <w:spacing w:val="-14"/>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15"/>
          <w:sz w:val="22"/>
          <w:lang w:val="es-ES"/>
        </w:rPr>
        <w:t xml:space="preserve"> </w:t>
      </w:r>
      <w:r w:rsidRPr="00757862">
        <w:rPr>
          <w:rFonts w:ascii="Arial MT" w:eastAsia="Arial MT" w:hAnsi="Arial MT" w:cs="Arial MT"/>
          <w:sz w:val="22"/>
          <w:lang w:val="es-ES"/>
        </w:rPr>
        <w:t>Matriz</w:t>
      </w:r>
      <w:r w:rsidRPr="00757862">
        <w:rPr>
          <w:rFonts w:ascii="Arial MT" w:eastAsia="Arial MT" w:hAnsi="Arial MT" w:cs="Arial MT"/>
          <w:spacing w:val="-15"/>
          <w:sz w:val="22"/>
          <w:lang w:val="es-ES"/>
        </w:rPr>
        <w:t xml:space="preserve"> </w:t>
      </w:r>
      <w:r w:rsidRPr="00757862">
        <w:rPr>
          <w:rFonts w:ascii="Arial MT" w:eastAsia="Arial MT" w:hAnsi="Arial MT" w:cs="Arial MT"/>
          <w:sz w:val="22"/>
          <w:lang w:val="es-ES"/>
        </w:rPr>
        <w:t>1</w:t>
      </w:r>
      <w:r w:rsidRPr="00757862">
        <w:rPr>
          <w:rFonts w:ascii="Arial MT" w:eastAsia="Arial MT" w:hAnsi="Arial MT" w:cs="Arial MT"/>
          <w:spacing w:val="-14"/>
          <w:sz w:val="22"/>
          <w:lang w:val="es-ES"/>
        </w:rPr>
        <w:t xml:space="preserve"> </w:t>
      </w:r>
      <w:r w:rsidRPr="00757862">
        <w:rPr>
          <w:rFonts w:ascii="Arial MT" w:eastAsia="Arial MT" w:hAnsi="Arial MT" w:cs="Arial MT"/>
          <w:sz w:val="22"/>
          <w:lang w:val="es-ES"/>
        </w:rPr>
        <w:t>Experiencia</w:t>
      </w:r>
      <w:r w:rsidRPr="00757862">
        <w:rPr>
          <w:rFonts w:ascii="Arial MT" w:eastAsia="Arial MT" w:hAnsi="Arial MT" w:cs="Arial MT"/>
          <w:spacing w:val="-13"/>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15"/>
          <w:sz w:val="22"/>
          <w:lang w:val="es-ES"/>
        </w:rPr>
        <w:t xml:space="preserve"> </w:t>
      </w:r>
      <w:r w:rsidRPr="00757862">
        <w:rPr>
          <w:rFonts w:ascii="Arial MT" w:eastAsia="Arial MT" w:hAnsi="Arial MT" w:cs="Arial MT"/>
          <w:sz w:val="22"/>
          <w:lang w:val="es-ES"/>
        </w:rPr>
        <w:t>Complejidad</w:t>
      </w:r>
      <w:r w:rsidRPr="00757862">
        <w:rPr>
          <w:rFonts w:ascii="Arial MT" w:eastAsia="Arial MT" w:hAnsi="Arial MT" w:cs="Arial MT"/>
          <w:spacing w:val="-15"/>
          <w:sz w:val="22"/>
          <w:lang w:val="es-ES"/>
        </w:rPr>
        <w:t xml:space="preserve"> </w:t>
      </w:r>
      <w:r w:rsidRPr="00757862">
        <w:rPr>
          <w:rFonts w:ascii="Arial MT" w:eastAsia="Arial MT" w:hAnsi="Arial MT" w:cs="Arial MT"/>
          <w:sz w:val="22"/>
          <w:lang w:val="es-ES"/>
        </w:rPr>
        <w:t>alta,</w:t>
      </w:r>
      <w:r w:rsidRPr="00757862">
        <w:rPr>
          <w:rFonts w:ascii="Arial MT" w:eastAsia="Arial MT" w:hAnsi="Arial MT" w:cs="Arial MT"/>
          <w:spacing w:val="-58"/>
          <w:sz w:val="22"/>
          <w:lang w:val="es-ES"/>
        </w:rPr>
        <w:t xml:space="preserve"> </w:t>
      </w:r>
      <w:r w:rsidRPr="00757862">
        <w:rPr>
          <w:rFonts w:ascii="Arial MT" w:eastAsia="Arial MT" w:hAnsi="Arial MT" w:cs="Arial MT"/>
          <w:sz w:val="22"/>
          <w:lang w:val="es-ES"/>
        </w:rPr>
        <w:t>media o baja – Cambio / DOCUMENTOS TIPO – Matriz 1 -</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Experiencia</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Infraestructura</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de</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Transporte–Acreditación</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de</w:t>
      </w:r>
      <w:r w:rsidRPr="00757862">
        <w:rPr>
          <w:rFonts w:ascii="Arial MT" w:eastAsia="Arial MT" w:hAnsi="Arial MT" w:cs="Arial MT"/>
          <w:spacing w:val="-59"/>
          <w:sz w:val="22"/>
          <w:lang w:val="es-ES"/>
        </w:rPr>
        <w:t xml:space="preserve"> </w:t>
      </w:r>
      <w:r w:rsidRPr="00757862">
        <w:rPr>
          <w:rFonts w:ascii="Arial MT" w:eastAsia="Arial MT" w:hAnsi="Arial MT" w:cs="Arial MT"/>
          <w:sz w:val="22"/>
          <w:lang w:val="es-ES"/>
        </w:rPr>
        <w:t xml:space="preserve">experiencia – Construcción de un box </w:t>
      </w:r>
      <w:proofErr w:type="spellStart"/>
      <w:r w:rsidRPr="00757862">
        <w:rPr>
          <w:rFonts w:ascii="Arial MT" w:eastAsia="Arial MT" w:hAnsi="Arial MT" w:cs="Arial MT"/>
          <w:sz w:val="22"/>
          <w:lang w:val="es-ES"/>
        </w:rPr>
        <w:t>culvert</w:t>
      </w:r>
      <w:proofErr w:type="spellEnd"/>
      <w:r w:rsidRPr="00757862">
        <w:rPr>
          <w:rFonts w:ascii="Arial MT" w:eastAsia="Arial MT" w:hAnsi="Arial MT" w:cs="Arial MT"/>
          <w:sz w:val="22"/>
          <w:lang w:val="es-ES"/>
        </w:rPr>
        <w:t xml:space="preserve"> </w:t>
      </w:r>
      <w:r w:rsidRPr="00757862">
        <w:rPr>
          <w:rFonts w:ascii="Arial" w:eastAsia="Arial MT" w:hAnsi="Arial" w:cs="Arial MT"/>
          <w:b/>
          <w:sz w:val="22"/>
          <w:lang w:val="es-ES"/>
        </w:rPr>
        <w:t xml:space="preserve">/ </w:t>
      </w:r>
      <w:r w:rsidRPr="00757862">
        <w:rPr>
          <w:rFonts w:ascii="Arial MT" w:eastAsia="Arial MT" w:hAnsi="Arial MT" w:cs="Arial MT"/>
          <w:sz w:val="22"/>
          <w:lang w:val="es-ES"/>
        </w:rPr>
        <w:t>DOCUMENTOS</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TIPO – Matriz 1 - Experiencia – Infraestructura de Transporte–</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Acreditación</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de</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experiencia</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Contratos</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con</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pluralidad</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de</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actividades / DOCUMENTOS TIPO – Licitación – Versión 3 –</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Combinación</w:t>
      </w:r>
      <w:r w:rsidRPr="00757862">
        <w:rPr>
          <w:rFonts w:ascii="Arial MT" w:eastAsia="Arial MT" w:hAnsi="Arial MT" w:cs="Arial MT"/>
          <w:spacing w:val="-2"/>
          <w:sz w:val="22"/>
          <w:lang w:val="es-ES"/>
        </w:rPr>
        <w:t xml:space="preserve"> </w:t>
      </w:r>
      <w:r w:rsidRPr="00757862">
        <w:rPr>
          <w:rFonts w:ascii="Arial MT" w:eastAsia="Arial MT" w:hAnsi="Arial MT" w:cs="Arial MT"/>
          <w:sz w:val="22"/>
          <w:lang w:val="es-ES"/>
        </w:rPr>
        <w:t>de</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experiencias</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w:t>
      </w:r>
      <w:r w:rsidRPr="00757862">
        <w:rPr>
          <w:rFonts w:ascii="Arial MT" w:eastAsia="Arial MT" w:hAnsi="Arial MT" w:cs="Arial MT"/>
          <w:spacing w:val="-2"/>
          <w:sz w:val="22"/>
          <w:lang w:val="es-ES"/>
        </w:rPr>
        <w:t xml:space="preserve"> </w:t>
      </w:r>
      <w:r w:rsidRPr="00757862">
        <w:rPr>
          <w:rFonts w:ascii="Arial MT" w:eastAsia="Arial MT" w:hAnsi="Arial MT" w:cs="Arial MT"/>
          <w:sz w:val="22"/>
          <w:lang w:val="es-ES"/>
        </w:rPr>
        <w:t>Matriz</w:t>
      </w:r>
      <w:r w:rsidRPr="00757862">
        <w:rPr>
          <w:rFonts w:ascii="Arial MT" w:eastAsia="Arial MT" w:hAnsi="Arial MT" w:cs="Arial MT"/>
          <w:spacing w:val="-1"/>
          <w:sz w:val="22"/>
          <w:lang w:val="es-ES"/>
        </w:rPr>
        <w:t xml:space="preserve"> </w:t>
      </w:r>
      <w:r w:rsidRPr="00757862">
        <w:rPr>
          <w:rFonts w:ascii="Arial MT" w:eastAsia="Arial MT" w:hAnsi="Arial MT" w:cs="Arial MT"/>
          <w:sz w:val="22"/>
          <w:lang w:val="es-ES"/>
        </w:rPr>
        <w:t>1</w:t>
      </w:r>
    </w:p>
    <w:p w14:paraId="470941AC" w14:textId="327C4733" w:rsidR="00757862" w:rsidRPr="00757862" w:rsidRDefault="00757862" w:rsidP="00757862">
      <w:pPr>
        <w:widowControl w:val="0"/>
        <w:autoSpaceDE w:val="0"/>
        <w:autoSpaceDN w:val="0"/>
        <w:rPr>
          <w:rFonts w:ascii="Arial MT" w:eastAsia="Arial MT" w:hAnsi="Arial MT" w:cs="Arial MT"/>
          <w:lang w:val="es-ES"/>
        </w:rPr>
      </w:pPr>
    </w:p>
    <w:p w14:paraId="49294305" w14:textId="77777777" w:rsidR="00757862" w:rsidRPr="00757862" w:rsidRDefault="00757862" w:rsidP="00757862">
      <w:pPr>
        <w:widowControl w:val="0"/>
        <w:tabs>
          <w:tab w:val="left" w:pos="2789"/>
        </w:tabs>
        <w:autoSpaceDE w:val="0"/>
        <w:autoSpaceDN w:val="0"/>
        <w:spacing w:before="144"/>
        <w:ind w:left="100"/>
        <w:rPr>
          <w:rFonts w:ascii="Arial MT" w:eastAsia="Arial MT" w:hAnsi="Arial MT" w:cs="Arial MT"/>
          <w:sz w:val="22"/>
          <w:lang w:val="es-ES"/>
        </w:rPr>
      </w:pPr>
      <w:r w:rsidRPr="00757862">
        <w:rPr>
          <w:rFonts w:ascii="Arial" w:eastAsia="Arial MT" w:hAnsi="Arial" w:cs="Arial MT"/>
          <w:b/>
          <w:sz w:val="22"/>
          <w:lang w:val="es-ES"/>
        </w:rPr>
        <w:t>Radicación:</w:t>
      </w:r>
      <w:r w:rsidRPr="00757862">
        <w:rPr>
          <w:rFonts w:ascii="Arial" w:eastAsia="Arial MT" w:hAnsi="Arial" w:cs="Arial MT"/>
          <w:b/>
          <w:sz w:val="22"/>
          <w:lang w:val="es-ES"/>
        </w:rPr>
        <w:tab/>
      </w:r>
      <w:r w:rsidRPr="00757862">
        <w:rPr>
          <w:rFonts w:ascii="Arial MT" w:eastAsia="Arial MT" w:hAnsi="Arial MT" w:cs="Arial MT"/>
          <w:sz w:val="22"/>
          <w:lang w:val="es-ES"/>
        </w:rPr>
        <w:t>Respuesta</w:t>
      </w:r>
      <w:r w:rsidRPr="00757862">
        <w:rPr>
          <w:rFonts w:ascii="Arial MT" w:eastAsia="Arial MT" w:hAnsi="Arial MT" w:cs="Arial MT"/>
          <w:spacing w:val="-6"/>
          <w:sz w:val="22"/>
          <w:lang w:val="es-ES"/>
        </w:rPr>
        <w:t xml:space="preserve"> </w:t>
      </w:r>
      <w:r w:rsidRPr="00757862">
        <w:rPr>
          <w:rFonts w:ascii="Arial MT" w:eastAsia="Arial MT" w:hAnsi="Arial MT" w:cs="Arial MT"/>
          <w:sz w:val="22"/>
          <w:lang w:val="es-ES"/>
        </w:rPr>
        <w:t>a</w:t>
      </w:r>
      <w:r w:rsidRPr="00757862">
        <w:rPr>
          <w:rFonts w:ascii="Arial MT" w:eastAsia="Arial MT" w:hAnsi="Arial MT" w:cs="Arial MT"/>
          <w:spacing w:val="-6"/>
          <w:sz w:val="22"/>
          <w:lang w:val="es-ES"/>
        </w:rPr>
        <w:t xml:space="preserve"> </w:t>
      </w:r>
      <w:r w:rsidRPr="00757862">
        <w:rPr>
          <w:rFonts w:ascii="Arial MT" w:eastAsia="Arial MT" w:hAnsi="Arial MT" w:cs="Arial MT"/>
          <w:sz w:val="22"/>
          <w:lang w:val="es-ES"/>
        </w:rPr>
        <w:t>la</w:t>
      </w:r>
      <w:r w:rsidRPr="00757862">
        <w:rPr>
          <w:rFonts w:ascii="Arial MT" w:eastAsia="Arial MT" w:hAnsi="Arial MT" w:cs="Arial MT"/>
          <w:spacing w:val="-5"/>
          <w:sz w:val="22"/>
          <w:lang w:val="es-ES"/>
        </w:rPr>
        <w:t xml:space="preserve"> </w:t>
      </w:r>
      <w:r w:rsidRPr="00757862">
        <w:rPr>
          <w:rFonts w:ascii="Arial MT" w:eastAsia="Arial MT" w:hAnsi="Arial MT" w:cs="Arial MT"/>
          <w:sz w:val="22"/>
          <w:lang w:val="es-ES"/>
        </w:rPr>
        <w:t>consulta</w:t>
      </w:r>
      <w:r w:rsidRPr="00757862">
        <w:rPr>
          <w:rFonts w:ascii="Arial MT" w:eastAsia="Arial MT" w:hAnsi="Arial MT" w:cs="Arial MT"/>
          <w:spacing w:val="-6"/>
          <w:sz w:val="22"/>
          <w:lang w:val="es-ES"/>
        </w:rPr>
        <w:t xml:space="preserve"> </w:t>
      </w:r>
      <w:r w:rsidRPr="00757862">
        <w:rPr>
          <w:rFonts w:ascii="Arial MT" w:eastAsia="Arial MT" w:hAnsi="Arial MT" w:cs="Arial MT"/>
          <w:sz w:val="22"/>
          <w:lang w:val="es-ES"/>
        </w:rPr>
        <w:t>P20210806006957</w:t>
      </w:r>
    </w:p>
    <w:p w14:paraId="4EFCE0FF" w14:textId="77777777" w:rsidR="00757862" w:rsidRPr="00757862" w:rsidRDefault="00757862" w:rsidP="00757862">
      <w:pPr>
        <w:widowControl w:val="0"/>
        <w:autoSpaceDE w:val="0"/>
        <w:autoSpaceDN w:val="0"/>
        <w:rPr>
          <w:rFonts w:ascii="Arial MT" w:eastAsia="Arial MT" w:hAnsi="Arial MT" w:cs="Arial MT"/>
          <w:lang w:val="es-ES"/>
        </w:rPr>
      </w:pPr>
    </w:p>
    <w:p w14:paraId="5F87200B" w14:textId="77777777" w:rsidR="001F3C7B" w:rsidRPr="00667C72" w:rsidRDefault="001F3C7B" w:rsidP="00DE7D58">
      <w:pPr>
        <w:jc w:val="both"/>
        <w:rPr>
          <w:rFonts w:ascii="Arial" w:eastAsia="Calibri" w:hAnsi="Arial" w:cs="Arial"/>
          <w:sz w:val="22"/>
          <w:lang w:val="es-CO"/>
        </w:rPr>
      </w:pPr>
    </w:p>
    <w:p w14:paraId="23FFBBCE" w14:textId="742E733D" w:rsidR="00904CD9" w:rsidRPr="00667C72" w:rsidRDefault="00904CD9" w:rsidP="00904CD9">
      <w:pPr>
        <w:rPr>
          <w:rFonts w:ascii="Arial" w:eastAsia="Calibri" w:hAnsi="Arial" w:cs="Arial"/>
          <w:sz w:val="22"/>
          <w:lang w:val="es-CO"/>
        </w:rPr>
      </w:pPr>
      <w:r w:rsidRPr="00667C72">
        <w:rPr>
          <w:rFonts w:ascii="Arial" w:eastAsia="Calibri" w:hAnsi="Arial" w:cs="Arial"/>
          <w:sz w:val="22"/>
          <w:lang w:val="es-CO"/>
        </w:rPr>
        <w:t xml:space="preserve">Estimado señor </w:t>
      </w:r>
      <w:r w:rsidR="00FD7994" w:rsidRPr="00667C72">
        <w:rPr>
          <w:rFonts w:ascii="Arial" w:eastAsia="Calibri" w:hAnsi="Arial" w:cs="Arial"/>
          <w:sz w:val="22"/>
          <w:lang w:val="es-CO"/>
        </w:rPr>
        <w:t>García:</w:t>
      </w:r>
    </w:p>
    <w:p w14:paraId="24D48CA1" w14:textId="77777777" w:rsidR="00904CD9" w:rsidRPr="00667C72" w:rsidRDefault="00904CD9" w:rsidP="00904CD9">
      <w:pPr>
        <w:rPr>
          <w:rFonts w:ascii="Arial" w:eastAsia="Calibri" w:hAnsi="Arial" w:cs="Arial"/>
          <w:sz w:val="22"/>
          <w:lang w:val="es-CO"/>
        </w:rPr>
      </w:pPr>
    </w:p>
    <w:p w14:paraId="0923B836" w14:textId="512A710C" w:rsidR="00904CD9" w:rsidRPr="00667C72" w:rsidRDefault="00912BD6" w:rsidP="00904CD9">
      <w:pPr>
        <w:spacing w:line="276" w:lineRule="auto"/>
        <w:ind w:right="49"/>
        <w:jc w:val="both"/>
        <w:rPr>
          <w:rFonts w:ascii="Arial" w:eastAsia="Calibri" w:hAnsi="Arial" w:cs="Arial"/>
          <w:sz w:val="22"/>
          <w:lang w:val="es-CO"/>
        </w:rPr>
      </w:pPr>
      <w:r w:rsidRPr="00E807B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Pr>
          <w:rFonts w:ascii="Arial" w:eastAsia="Calibri" w:hAnsi="Arial" w:cs="Arial"/>
          <w:color w:val="000000" w:themeColor="text1"/>
          <w:sz w:val="22"/>
          <w:lang w:val="es-ES_tradnl"/>
        </w:rPr>
        <w:t xml:space="preserve"> y dentro de los términos establecidos en el artículo 14 de la Ley 1437 de 2011, modificados por el artículo 5 del Decreto Legislativo 491 del 28 de marzo de 2020,</w:t>
      </w:r>
      <w:r w:rsidRPr="00E807B5">
        <w:rPr>
          <w:rFonts w:ascii="Arial" w:eastAsia="Calibri" w:hAnsi="Arial" w:cs="Arial"/>
          <w:color w:val="000000" w:themeColor="text1"/>
          <w:sz w:val="22"/>
          <w:lang w:val="es-ES_tradnl"/>
        </w:rPr>
        <w:t xml:space="preserve"> la Agencia Nacional de Contratación Pública – Colombia Compra Eficiente responde su consulta </w:t>
      </w:r>
      <w:r w:rsidRPr="003E3D12">
        <w:rPr>
          <w:rFonts w:ascii="Arial" w:eastAsia="Calibri" w:hAnsi="Arial" w:cs="Arial"/>
          <w:color w:val="000000" w:themeColor="text1"/>
          <w:sz w:val="22"/>
          <w:lang w:val="es-ES_tradnl"/>
        </w:rPr>
        <w:t>d</w:t>
      </w:r>
      <w:r>
        <w:rPr>
          <w:rFonts w:ascii="Arial" w:eastAsia="Calibri" w:hAnsi="Arial" w:cs="Arial"/>
          <w:color w:val="000000" w:themeColor="text1"/>
          <w:sz w:val="22"/>
          <w:lang w:val="es-ES_tradnl"/>
        </w:rPr>
        <w:t>el</w:t>
      </w:r>
      <w:r w:rsidR="00FD7994" w:rsidRPr="00667C72">
        <w:rPr>
          <w:rFonts w:ascii="Arial" w:eastAsia="Calibri" w:hAnsi="Arial" w:cs="Arial"/>
          <w:sz w:val="22"/>
          <w:lang w:val="es-CO"/>
        </w:rPr>
        <w:t xml:space="preserve"> 5 de agosto de 2021.</w:t>
      </w:r>
    </w:p>
    <w:p w14:paraId="3A5E9A2D" w14:textId="77777777" w:rsidR="00904CD9" w:rsidRPr="00667C72" w:rsidRDefault="00904CD9" w:rsidP="00904CD9">
      <w:pPr>
        <w:spacing w:line="276" w:lineRule="auto"/>
        <w:jc w:val="both"/>
        <w:rPr>
          <w:rFonts w:ascii="Arial" w:eastAsia="Calibri" w:hAnsi="Arial" w:cs="Arial"/>
          <w:sz w:val="22"/>
          <w:lang w:val="es-CO"/>
        </w:rPr>
      </w:pPr>
    </w:p>
    <w:p w14:paraId="5A4D90C7" w14:textId="3CFBE737" w:rsidR="00904CD9" w:rsidRPr="00667C72"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667C72">
        <w:rPr>
          <w:rFonts w:ascii="Arial" w:eastAsia="Calibri" w:hAnsi="Arial" w:cs="Arial"/>
          <w:b/>
          <w:sz w:val="22"/>
          <w:lang w:val="es-CO"/>
        </w:rPr>
        <w:t xml:space="preserve">Problema planteado </w:t>
      </w:r>
    </w:p>
    <w:p w14:paraId="6CB819BA" w14:textId="77777777" w:rsidR="00904CD9" w:rsidRPr="00667C72" w:rsidRDefault="00904CD9" w:rsidP="00FD7994">
      <w:pPr>
        <w:tabs>
          <w:tab w:val="left" w:pos="426"/>
        </w:tabs>
        <w:spacing w:line="276" w:lineRule="auto"/>
        <w:jc w:val="both"/>
        <w:rPr>
          <w:rFonts w:ascii="Arial" w:eastAsia="Calibri" w:hAnsi="Arial" w:cs="Arial"/>
          <w:b/>
          <w:sz w:val="22"/>
          <w:lang w:val="es-CO"/>
        </w:rPr>
      </w:pPr>
    </w:p>
    <w:p w14:paraId="75720074" w14:textId="5D8FE7F6" w:rsidR="00904CD9" w:rsidRPr="0021571D" w:rsidRDefault="00E23732" w:rsidP="0021571D">
      <w:pPr>
        <w:spacing w:line="276" w:lineRule="auto"/>
        <w:jc w:val="both"/>
        <w:rPr>
          <w:rFonts w:ascii="Arial" w:eastAsia="Calibri" w:hAnsi="Arial" w:cs="Arial"/>
          <w:sz w:val="22"/>
          <w:lang w:val="es-CO"/>
        </w:rPr>
      </w:pPr>
      <w:r w:rsidRPr="00667C72">
        <w:rPr>
          <w:rFonts w:ascii="Arial" w:eastAsia="Calibri" w:hAnsi="Arial" w:cs="Arial"/>
          <w:sz w:val="22"/>
          <w:lang w:val="es-CO"/>
        </w:rPr>
        <w:lastRenderedPageBreak/>
        <w:t xml:space="preserve">Para efectos de los «Documentos Tipo – Versión </w:t>
      </w:r>
      <w:r w:rsidR="00114D72" w:rsidRPr="00667C72">
        <w:rPr>
          <w:rFonts w:ascii="Arial" w:eastAsia="Calibri" w:hAnsi="Arial" w:cs="Arial"/>
          <w:sz w:val="22"/>
          <w:lang w:val="es-CO"/>
        </w:rPr>
        <w:t>3</w:t>
      </w:r>
      <w:r w:rsidRPr="00667C72">
        <w:rPr>
          <w:rFonts w:ascii="Arial" w:eastAsia="Calibri" w:hAnsi="Arial" w:cs="Arial"/>
          <w:sz w:val="22"/>
          <w:lang w:val="es-CO"/>
        </w:rPr>
        <w:t>» de licitación para obra pública de infraestructura de transporte</w:t>
      </w:r>
      <w:r w:rsidR="00114D72" w:rsidRPr="00667C72">
        <w:rPr>
          <w:rFonts w:ascii="Arial" w:eastAsia="Calibri" w:hAnsi="Arial" w:cs="Arial"/>
          <w:sz w:val="22"/>
          <w:lang w:val="es-CO"/>
        </w:rPr>
        <w:t xml:space="preserve">, respecto a la acreditación de la experiencia </w:t>
      </w:r>
      <w:r w:rsidRPr="00667C72">
        <w:rPr>
          <w:rFonts w:ascii="Arial" w:eastAsia="Calibri" w:hAnsi="Arial" w:cs="Arial"/>
          <w:sz w:val="22"/>
          <w:lang w:val="es-CO"/>
        </w:rPr>
        <w:t>u</w:t>
      </w:r>
      <w:r w:rsidR="00904CD9" w:rsidRPr="00667C72">
        <w:rPr>
          <w:rFonts w:ascii="Arial" w:eastAsia="Calibri" w:hAnsi="Arial" w:cs="Arial"/>
          <w:sz w:val="22"/>
          <w:lang w:val="es-CO"/>
        </w:rPr>
        <w:t>sted realiza la</w:t>
      </w:r>
      <w:r w:rsidR="00E163A8" w:rsidRPr="00667C72">
        <w:rPr>
          <w:rFonts w:ascii="Arial" w:eastAsia="Calibri" w:hAnsi="Arial" w:cs="Arial"/>
          <w:sz w:val="22"/>
          <w:lang w:val="es-CO"/>
        </w:rPr>
        <w:t>s</w:t>
      </w:r>
      <w:r w:rsidR="00904CD9" w:rsidRPr="00667C72">
        <w:rPr>
          <w:rFonts w:ascii="Arial" w:eastAsia="Calibri" w:hAnsi="Arial" w:cs="Arial"/>
          <w:sz w:val="22"/>
          <w:lang w:val="es-CO"/>
        </w:rPr>
        <w:t xml:space="preserve"> siguient</w:t>
      </w:r>
      <w:r w:rsidR="00B5146F" w:rsidRPr="00667C72">
        <w:rPr>
          <w:rFonts w:ascii="Arial" w:eastAsia="Calibri" w:hAnsi="Arial" w:cs="Arial"/>
          <w:sz w:val="22"/>
          <w:lang w:val="es-CO"/>
        </w:rPr>
        <w:t>e</w:t>
      </w:r>
      <w:r w:rsidR="00E163A8" w:rsidRPr="00667C72">
        <w:rPr>
          <w:rFonts w:ascii="Arial" w:eastAsia="Calibri" w:hAnsi="Arial" w:cs="Arial"/>
          <w:sz w:val="22"/>
          <w:lang w:val="es-CO"/>
        </w:rPr>
        <w:t>s</w:t>
      </w:r>
      <w:r w:rsidR="00904CD9" w:rsidRPr="00667C72">
        <w:rPr>
          <w:rFonts w:ascii="Arial" w:eastAsia="Calibri" w:hAnsi="Arial" w:cs="Arial"/>
          <w:sz w:val="22"/>
          <w:lang w:val="es-CO"/>
        </w:rPr>
        <w:t xml:space="preserve"> pregunta</w:t>
      </w:r>
      <w:r w:rsidR="00E163A8" w:rsidRPr="00667C72">
        <w:rPr>
          <w:rFonts w:ascii="Arial" w:eastAsia="Calibri" w:hAnsi="Arial" w:cs="Arial"/>
          <w:sz w:val="22"/>
          <w:lang w:val="es-CO"/>
        </w:rPr>
        <w:t>s</w:t>
      </w:r>
      <w:r w:rsidR="00904CD9" w:rsidRPr="00667C72">
        <w:rPr>
          <w:rFonts w:ascii="Arial" w:eastAsia="Calibri" w:hAnsi="Arial" w:cs="Arial"/>
          <w:sz w:val="22"/>
          <w:lang w:val="es-CO"/>
        </w:rPr>
        <w:t>:</w:t>
      </w:r>
      <w:r w:rsidR="00114D72" w:rsidRPr="00667C72">
        <w:rPr>
          <w:rFonts w:ascii="Arial" w:eastAsia="Calibri" w:hAnsi="Arial" w:cs="Arial"/>
          <w:sz w:val="22"/>
          <w:lang w:val="es-CO"/>
        </w:rPr>
        <w:t xml:space="preserve"> </w:t>
      </w:r>
      <w:bookmarkStart w:id="1" w:name="_Hlk81476722"/>
      <w:r w:rsidR="001F3C7B">
        <w:rPr>
          <w:rFonts w:ascii="Arial" w:eastAsia="Calibri" w:hAnsi="Arial" w:cs="Arial"/>
          <w:sz w:val="22"/>
          <w:lang w:val="es-CO"/>
        </w:rPr>
        <w:t xml:space="preserve">i) </w:t>
      </w:r>
      <w:r w:rsidR="00114D72" w:rsidRPr="00667C72">
        <w:rPr>
          <w:rFonts w:ascii="Arial" w:eastAsia="Calibri" w:hAnsi="Arial" w:cs="Arial"/>
          <w:sz w:val="22"/>
          <w:lang w:val="es-CO"/>
        </w:rPr>
        <w:t>«</w:t>
      </w:r>
      <w:r w:rsidR="00FD7994" w:rsidRPr="00667C72">
        <w:rPr>
          <w:rFonts w:ascii="Arial" w:eastAsia="Calibri" w:hAnsi="Arial" w:cs="Arial"/>
          <w:sz w:val="22"/>
          <w:lang w:val="es-CO"/>
        </w:rPr>
        <w:t xml:space="preserve">[…] </w:t>
      </w:r>
      <w:r w:rsidR="00E163A8" w:rsidRPr="00667C72">
        <w:rPr>
          <w:rFonts w:ascii="Arial" w:hAnsi="Arial" w:cs="Arial"/>
          <w:color w:val="000000" w:themeColor="text1"/>
          <w:sz w:val="22"/>
        </w:rPr>
        <w:t>¿se puede acreditar por los proponentes contratos ejecutados de obras en vías urbanas y/o pavimentos urbanos y/o puentes urbanos para cumplir con las exigencias de la ACTIVIDAD 6.4 (PROYECTOS DE CONSTRUCCIÓN O MEJORAMIENTO O REHABILITACIÓN DE ESPACIO PÚBLICO ASOCIADO A LA INFRAESTRUCTURA DE TRANSPORTE)</w:t>
      </w:r>
      <w:r w:rsidR="00FD7994" w:rsidRPr="00667C72">
        <w:rPr>
          <w:rFonts w:ascii="Arial" w:hAnsi="Arial" w:cs="Arial"/>
          <w:color w:val="000000" w:themeColor="text1"/>
          <w:sz w:val="22"/>
        </w:rPr>
        <w:t>?</w:t>
      </w:r>
      <w:r w:rsidR="008D56F0">
        <w:rPr>
          <w:rFonts w:ascii="Arial" w:hAnsi="Arial" w:cs="Arial"/>
          <w:color w:val="000000" w:themeColor="text1"/>
          <w:sz w:val="22"/>
        </w:rPr>
        <w:t xml:space="preserve">», </w:t>
      </w:r>
      <w:r w:rsidR="008D56F0">
        <w:rPr>
          <w:rFonts w:ascii="Arial" w:eastAsia="Calibri" w:hAnsi="Arial" w:cs="Arial"/>
          <w:sz w:val="22"/>
          <w:lang w:val="es-CO"/>
        </w:rPr>
        <w:t>ii)</w:t>
      </w:r>
      <w:r w:rsidR="00F52A68" w:rsidRPr="00667C72">
        <w:rPr>
          <w:rFonts w:ascii="Arial" w:eastAsia="Calibri" w:hAnsi="Arial" w:cs="Arial"/>
          <w:sz w:val="22"/>
          <w:lang w:val="es-CO"/>
        </w:rPr>
        <w:t xml:space="preserve"> </w:t>
      </w:r>
      <w:r w:rsidR="008D56F0">
        <w:rPr>
          <w:rFonts w:ascii="Arial" w:eastAsia="Calibri" w:hAnsi="Arial" w:cs="Arial"/>
          <w:sz w:val="22"/>
          <w:lang w:val="es-CO"/>
        </w:rPr>
        <w:t>«</w:t>
      </w:r>
      <w:r w:rsidR="00FD7994" w:rsidRPr="00667C72">
        <w:rPr>
          <w:rFonts w:ascii="Arial" w:eastAsia="Calibri" w:hAnsi="Arial" w:cs="Arial"/>
          <w:sz w:val="22"/>
          <w:lang w:val="es-CO"/>
        </w:rPr>
        <w:t xml:space="preserve">[…] </w:t>
      </w:r>
      <w:r w:rsidR="00FD7994" w:rsidRPr="00667C72">
        <w:rPr>
          <w:rFonts w:ascii="Arial" w:hAnsi="Arial" w:cs="Arial"/>
          <w:color w:val="000000" w:themeColor="text1"/>
          <w:sz w:val="22"/>
        </w:rPr>
        <w:t>Cómo debería ser la evaluación de la experiencia, si un proponente presenta para acreditar el numeral 3.5.2 del pliego definitivo del proceso, un contrato que se ejecutó la actividad de pavimento y además actividades de</w:t>
      </w:r>
      <w:r w:rsidR="00F52A68" w:rsidRPr="00667C72">
        <w:rPr>
          <w:rFonts w:ascii="Arial" w:hAnsi="Arial" w:cs="Arial"/>
          <w:color w:val="000000" w:themeColor="text1"/>
          <w:sz w:val="22"/>
        </w:rPr>
        <w:t xml:space="preserve"> </w:t>
      </w:r>
      <w:r w:rsidR="00FD7994" w:rsidRPr="00667C72">
        <w:rPr>
          <w:rFonts w:ascii="Arial" w:hAnsi="Arial" w:cs="Arial"/>
          <w:color w:val="000000" w:themeColor="text1"/>
          <w:sz w:val="22"/>
        </w:rPr>
        <w:t>andenes y alcantarillado sanitario o pluvial o acueducto?. En este caso, ¿solo se le puede</w:t>
      </w:r>
      <w:r w:rsidR="00F52A68" w:rsidRPr="00667C72">
        <w:rPr>
          <w:rFonts w:ascii="Arial" w:hAnsi="Arial" w:cs="Arial"/>
          <w:color w:val="000000" w:themeColor="text1"/>
          <w:sz w:val="22"/>
        </w:rPr>
        <w:t xml:space="preserve"> </w:t>
      </w:r>
      <w:r w:rsidR="00FD7994" w:rsidRPr="00667C72">
        <w:rPr>
          <w:rFonts w:ascii="Arial" w:hAnsi="Arial" w:cs="Arial"/>
          <w:color w:val="000000" w:themeColor="text1"/>
          <w:sz w:val="22"/>
        </w:rPr>
        <w:t>validar la actividad de pavimento?</w:t>
      </w:r>
      <w:r w:rsidR="008D56F0">
        <w:rPr>
          <w:rFonts w:ascii="Arial" w:hAnsi="Arial" w:cs="Arial"/>
          <w:color w:val="000000" w:themeColor="text1"/>
          <w:sz w:val="22"/>
        </w:rPr>
        <w:t>», iii)</w:t>
      </w:r>
      <w:r w:rsidR="00F52A68" w:rsidRPr="00667C72">
        <w:rPr>
          <w:rFonts w:ascii="Arial" w:hAnsi="Arial" w:cs="Arial"/>
          <w:color w:val="000000" w:themeColor="text1"/>
          <w:sz w:val="22"/>
        </w:rPr>
        <w:t xml:space="preserve"> </w:t>
      </w:r>
      <w:r w:rsidR="008D56F0">
        <w:rPr>
          <w:rFonts w:ascii="Arial" w:hAnsi="Arial" w:cs="Arial"/>
          <w:color w:val="000000" w:themeColor="text1"/>
          <w:sz w:val="22"/>
        </w:rPr>
        <w:t>«</w:t>
      </w:r>
      <w:r w:rsidR="00667C72" w:rsidRPr="00667C72">
        <w:rPr>
          <w:rFonts w:ascii="Arial" w:hAnsi="Arial" w:cs="Arial"/>
          <w:color w:val="000000" w:themeColor="text1"/>
          <w:sz w:val="22"/>
        </w:rPr>
        <w:t>¿Cómo debería ser la evaluación de la experiencia especifica al exigir el pliego tipo que, “Por lo menos uno (1) de los contratos válidos aportados como experiencia general cuente con una longitud intervenida que corresponda al 70% de la longitud de vía a intervenir mediante el proceso de contratación”?</w:t>
      </w:r>
      <w:r w:rsidR="00BD44E7">
        <w:rPr>
          <w:rFonts w:ascii="Arial" w:hAnsi="Arial" w:cs="Arial"/>
          <w:color w:val="000000" w:themeColor="text1"/>
          <w:sz w:val="22"/>
        </w:rPr>
        <w:t>», iv) «</w:t>
      </w:r>
      <w:r w:rsidR="00FD7994" w:rsidRPr="00667C72">
        <w:rPr>
          <w:rFonts w:ascii="Arial" w:hAnsi="Arial" w:cs="Arial"/>
          <w:color w:val="000000" w:themeColor="text1"/>
          <w:sz w:val="22"/>
        </w:rPr>
        <w:t xml:space="preserve">[…] </w:t>
      </w:r>
      <w:r w:rsidR="00DE3A59" w:rsidRPr="00667C72">
        <w:rPr>
          <w:rFonts w:ascii="Arial" w:hAnsi="Arial" w:cs="Arial"/>
          <w:color w:val="000000" w:themeColor="text1"/>
          <w:sz w:val="22"/>
        </w:rPr>
        <w:t xml:space="preserve">¿Es legal que quieran clasificar una estructura de box </w:t>
      </w:r>
      <w:proofErr w:type="spellStart"/>
      <w:r w:rsidR="00DE3A59" w:rsidRPr="00667C72">
        <w:rPr>
          <w:rFonts w:ascii="Arial" w:hAnsi="Arial" w:cs="Arial"/>
          <w:color w:val="000000" w:themeColor="text1"/>
          <w:sz w:val="22"/>
        </w:rPr>
        <w:t>coulvert</w:t>
      </w:r>
      <w:proofErr w:type="spellEnd"/>
      <w:r w:rsidR="00DE3A59" w:rsidRPr="00667C72">
        <w:rPr>
          <w:rFonts w:ascii="Arial" w:hAnsi="Arial" w:cs="Arial"/>
          <w:color w:val="000000" w:themeColor="text1"/>
          <w:sz w:val="22"/>
        </w:rPr>
        <w:t xml:space="preserve"> como un puente vehicular en concreto?</w:t>
      </w:r>
      <w:r w:rsidR="00BD44E7">
        <w:rPr>
          <w:rFonts w:ascii="Arial" w:hAnsi="Arial" w:cs="Arial"/>
          <w:color w:val="000000" w:themeColor="text1"/>
          <w:sz w:val="22"/>
        </w:rPr>
        <w:t>», v) «</w:t>
      </w:r>
      <w:r w:rsidR="00DE3A59" w:rsidRPr="00667C72">
        <w:rPr>
          <w:rFonts w:ascii="Arial" w:hAnsi="Arial" w:cs="Arial"/>
          <w:color w:val="000000" w:themeColor="text1"/>
          <w:sz w:val="22"/>
        </w:rPr>
        <w:t>[…] ¿Es legal que la entidad pública exija experiencia especifica en la ACTIVIDAD 7.1 con base en el valor del presupuesto oficial global que incluye además del puente la construcción de la vía terciaria?</w:t>
      </w:r>
      <w:r w:rsidR="00BD44E7">
        <w:rPr>
          <w:rFonts w:ascii="Arial" w:hAnsi="Arial" w:cs="Arial"/>
          <w:color w:val="000000" w:themeColor="text1"/>
          <w:sz w:val="22"/>
        </w:rPr>
        <w:t>».</w:t>
      </w:r>
    </w:p>
    <w:bookmarkEnd w:id="1"/>
    <w:p w14:paraId="1E437AFA" w14:textId="77777777" w:rsidR="00E23732" w:rsidRPr="00BB0056" w:rsidRDefault="00E23732" w:rsidP="00904CD9">
      <w:pPr>
        <w:tabs>
          <w:tab w:val="left" w:pos="426"/>
        </w:tabs>
        <w:spacing w:line="276" w:lineRule="auto"/>
        <w:jc w:val="both"/>
        <w:rPr>
          <w:rFonts w:ascii="Arial" w:eastAsia="Calibri" w:hAnsi="Arial" w:cs="Arial"/>
          <w:sz w:val="22"/>
          <w:lang w:val="es-CO"/>
        </w:rPr>
      </w:pPr>
    </w:p>
    <w:p w14:paraId="3188584E" w14:textId="6F489ECD" w:rsidR="00904CD9" w:rsidRDefault="00904CD9" w:rsidP="00904CD9">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00108CC" w14:textId="35222373" w:rsidR="00C439A1" w:rsidRDefault="00C439A1" w:rsidP="00C439A1">
      <w:pPr>
        <w:tabs>
          <w:tab w:val="left" w:pos="426"/>
        </w:tabs>
        <w:spacing w:line="276" w:lineRule="auto"/>
        <w:jc w:val="both"/>
        <w:rPr>
          <w:rFonts w:ascii="Arial" w:eastAsia="Calibri" w:hAnsi="Arial" w:cs="Arial"/>
          <w:b/>
          <w:sz w:val="22"/>
          <w:lang w:val="es-CO"/>
        </w:rPr>
      </w:pPr>
    </w:p>
    <w:p w14:paraId="2730B7A4" w14:textId="397CF6D6" w:rsidR="009F4F93" w:rsidRDefault="00C439A1" w:rsidP="00DE7D58">
      <w:pPr>
        <w:spacing w:after="120" w:line="276" w:lineRule="auto"/>
        <w:jc w:val="both"/>
        <w:rPr>
          <w:rFonts w:ascii="Arial" w:hAnsi="Arial" w:cs="Arial"/>
          <w:sz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Pr>
          <w:rFonts w:ascii="Arial" w:hAnsi="Arial" w:cs="Arial"/>
          <w:sz w:val="22"/>
        </w:rPr>
        <w:t>C</w:t>
      </w:r>
      <w:r w:rsidRPr="003A4F71">
        <w:rPr>
          <w:rFonts w:ascii="Arial" w:hAnsi="Arial" w:cs="Arial"/>
          <w:sz w:val="22"/>
        </w:rPr>
        <w:t xml:space="preserve">onceptos </w:t>
      </w:r>
      <w:r w:rsidRPr="0057593D">
        <w:rPr>
          <w:rFonts w:ascii="Arial" w:hAnsi="Arial" w:cs="Arial"/>
          <w:sz w:val="22"/>
        </w:rPr>
        <w:t>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y C-152 del 12 de abril de 2021</w:t>
      </w:r>
      <w:r w:rsidR="00757A66">
        <w:rPr>
          <w:rFonts w:ascii="Arial" w:hAnsi="Arial" w:cs="Arial"/>
          <w:sz w:val="22"/>
        </w:rPr>
        <w:t xml:space="preserve"> y </w:t>
      </w:r>
      <w:r w:rsidR="00CF7584">
        <w:rPr>
          <w:rFonts w:ascii="Arial" w:hAnsi="Arial" w:cs="Arial"/>
          <w:sz w:val="22"/>
        </w:rPr>
        <w:t>403 del 10 de agosto de 2021</w:t>
      </w:r>
      <w:r w:rsidRPr="0057593D">
        <w:rPr>
          <w:rFonts w:ascii="Arial" w:hAnsi="Arial" w:cs="Arial"/>
          <w:sz w:val="22"/>
        </w:rPr>
        <w:t>.</w:t>
      </w:r>
      <w:r w:rsidRPr="003A4F71">
        <w:rPr>
          <w:rFonts w:ascii="Arial" w:hAnsi="Arial" w:cs="Arial"/>
          <w:sz w:val="22"/>
        </w:rPr>
        <w:t xml:space="preserve"> </w:t>
      </w:r>
    </w:p>
    <w:p w14:paraId="699E6F9C" w14:textId="2D819CCE" w:rsidR="00C439A1" w:rsidRPr="003A4F71" w:rsidRDefault="009F4F93" w:rsidP="00DE7D58">
      <w:pPr>
        <w:spacing w:after="120" w:line="276" w:lineRule="auto"/>
        <w:ind w:firstLine="708"/>
        <w:jc w:val="both"/>
        <w:rPr>
          <w:rFonts w:ascii="Arial" w:hAnsi="Arial" w:cs="Arial"/>
          <w:sz w:val="22"/>
        </w:rPr>
      </w:pPr>
      <w:r>
        <w:rPr>
          <w:rFonts w:ascii="Arial" w:hAnsi="Arial" w:cs="Arial"/>
          <w:sz w:val="22"/>
        </w:rPr>
        <w:t xml:space="preserve">Además, </w:t>
      </w:r>
      <w:r w:rsidRPr="001340BA">
        <w:rPr>
          <w:rFonts w:ascii="Arial" w:hAnsi="Arial" w:cs="Arial"/>
          <w:sz w:val="22"/>
        </w:rPr>
        <w:t xml:space="preserve"> </w:t>
      </w:r>
      <w:r>
        <w:rPr>
          <w:rFonts w:ascii="Arial" w:hAnsi="Arial" w:cs="Arial"/>
          <w:sz w:val="22"/>
        </w:rPr>
        <w:t xml:space="preserve">en el Concepto con radicado de salida No. 2201913000007824 del 21 de octubre de 2019, se refirió a la posibilidad de fraccionar la valoración de la experiencia cuando esta se acredita mediante contratos con pluralidad de actividades que cumplen parcialmente el requisito de experiencia exigido, al cual se le dio alcance mediante el </w:t>
      </w:r>
      <w:r>
        <w:rPr>
          <w:rFonts w:ascii="Arial" w:hAnsi="Arial" w:cs="Arial"/>
          <w:sz w:val="22"/>
        </w:rPr>
        <w:lastRenderedPageBreak/>
        <w:t>concepto C-531 del 21 de agosto de 2020 y posteriormente reiterado en los conceptos C-020 del 25 de febrero de 2021, C-082 del 18 de marzo de 2021, C-111 del 29 de marzo de 2021, C-283 del 15 de junio de 2021, C-301 del 16 de junio de 2021 y C-454 del 1 de septiembre de 2021.</w:t>
      </w:r>
      <w:r w:rsidR="006F4573">
        <w:rPr>
          <w:rFonts w:ascii="Arial" w:hAnsi="Arial" w:cs="Arial"/>
          <w:sz w:val="22"/>
        </w:rPr>
        <w:t xml:space="preserve"> </w:t>
      </w:r>
      <w:r w:rsidR="00C439A1" w:rsidRPr="003A4F71">
        <w:rPr>
          <w:rFonts w:ascii="Arial" w:hAnsi="Arial" w:cs="Arial"/>
          <w:sz w:val="22"/>
        </w:rPr>
        <w:t>En lo pertinente, la tesis expuesta en estos conceptos se reitera a continuación:</w:t>
      </w:r>
    </w:p>
    <w:p w14:paraId="79B6D215" w14:textId="77777777" w:rsidR="00C439A1" w:rsidRDefault="00C439A1" w:rsidP="00C439A1">
      <w:pPr>
        <w:tabs>
          <w:tab w:val="left" w:pos="426"/>
        </w:tabs>
        <w:spacing w:line="276" w:lineRule="auto"/>
        <w:jc w:val="both"/>
        <w:rPr>
          <w:rFonts w:ascii="Arial" w:eastAsia="Calibri" w:hAnsi="Arial" w:cs="Arial"/>
          <w:b/>
          <w:sz w:val="22"/>
          <w:lang w:val="es-CO"/>
        </w:rPr>
      </w:pPr>
    </w:p>
    <w:p w14:paraId="32FD80C3" w14:textId="464252C7" w:rsidR="00843BC4" w:rsidRDefault="00C439A1" w:rsidP="009B4391">
      <w:pPr>
        <w:tabs>
          <w:tab w:val="left" w:pos="426"/>
        </w:tabs>
        <w:jc w:val="both"/>
        <w:rPr>
          <w:rFonts w:ascii="Arial" w:eastAsia="Calibri" w:hAnsi="Arial" w:cs="Arial"/>
          <w:b/>
          <w:sz w:val="22"/>
          <w:lang w:val="es-CO"/>
        </w:rPr>
      </w:pPr>
      <w:r>
        <w:rPr>
          <w:rFonts w:ascii="Arial" w:eastAsia="Calibri" w:hAnsi="Arial" w:cs="Arial"/>
          <w:b/>
          <w:sz w:val="22"/>
          <w:lang w:val="es-CO"/>
        </w:rPr>
        <w:t xml:space="preserve">2.1. Generalidades de los documentos tipo </w:t>
      </w:r>
      <w:r w:rsidR="00611D3C">
        <w:rPr>
          <w:rFonts w:ascii="Arial" w:eastAsia="Calibri" w:hAnsi="Arial" w:cs="Arial"/>
          <w:b/>
          <w:sz w:val="22"/>
          <w:lang w:val="es-CO"/>
        </w:rPr>
        <w:t>de infraestructura de transporte</w:t>
      </w:r>
    </w:p>
    <w:p w14:paraId="37931115" w14:textId="77777777" w:rsidR="00C439A1" w:rsidRDefault="00C439A1" w:rsidP="00C439A1">
      <w:pPr>
        <w:shd w:val="clear" w:color="auto" w:fill="FFFFFF"/>
        <w:spacing w:line="276" w:lineRule="auto"/>
        <w:jc w:val="both"/>
        <w:rPr>
          <w:rFonts w:ascii="Arial" w:eastAsia="Calibri" w:hAnsi="Arial" w:cs="Arial"/>
          <w:b/>
          <w:sz w:val="22"/>
          <w:lang w:val="es-CO"/>
        </w:rPr>
      </w:pPr>
    </w:p>
    <w:p w14:paraId="458DC2E7" w14:textId="1AC2A079" w:rsidR="002A4E44" w:rsidRPr="0043040E" w:rsidRDefault="002A4E44" w:rsidP="00C439A1">
      <w:pPr>
        <w:shd w:val="clear" w:color="auto" w:fill="FFFFFF"/>
        <w:spacing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6A7AFB32" w14:textId="77777777" w:rsidR="002A4E44" w:rsidRPr="0043040E"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0B03A0DB" w14:textId="77777777" w:rsidR="002A4E44" w:rsidRDefault="002A4E44" w:rsidP="002A4E44">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253EB66B" w14:textId="77777777" w:rsidR="002A4E44" w:rsidRPr="0043040E" w:rsidRDefault="002A4E44" w:rsidP="002A4E44">
      <w:pPr>
        <w:shd w:val="clear" w:color="auto" w:fill="FFFFFF"/>
        <w:spacing w:line="276" w:lineRule="auto"/>
        <w:ind w:firstLine="709"/>
        <w:jc w:val="both"/>
        <w:rPr>
          <w:rFonts w:ascii="Arial" w:hAnsi="Arial" w:cs="Arial"/>
          <w:color w:val="000000"/>
          <w:sz w:val="22"/>
          <w:lang w:eastAsia="es-CO"/>
        </w:rPr>
      </w:pPr>
    </w:p>
    <w:p w14:paraId="71E8FDEF" w14:textId="77777777" w:rsidR="002A4E44" w:rsidRDefault="002A4E44" w:rsidP="002A4E44">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w:t>
      </w:r>
      <w:r w:rsidRPr="0043040E">
        <w:rPr>
          <w:rFonts w:ascii="Arial" w:hAnsi="Arial" w:cs="Arial"/>
          <w:color w:val="0D0D0D"/>
          <w:sz w:val="21"/>
          <w:szCs w:val="21"/>
          <w:bdr w:val="none" w:sz="0" w:space="0" w:color="auto" w:frame="1"/>
          <w:lang w:eastAsia="es-CO"/>
        </w:rPr>
        <w:lastRenderedPageBreak/>
        <w:t>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1262BC94" w14:textId="77777777" w:rsidR="002A4E44" w:rsidRPr="00346E84" w:rsidRDefault="002A4E44" w:rsidP="002A4E44">
      <w:pPr>
        <w:shd w:val="clear" w:color="auto" w:fill="FFFFFF"/>
        <w:spacing w:line="276" w:lineRule="auto"/>
        <w:ind w:left="709" w:right="709"/>
        <w:jc w:val="both"/>
        <w:rPr>
          <w:rFonts w:ascii="Arial" w:hAnsi="Arial" w:cs="Arial"/>
          <w:color w:val="000000"/>
          <w:sz w:val="22"/>
          <w:lang w:eastAsia="es-CO"/>
        </w:rPr>
      </w:pPr>
    </w:p>
    <w:p w14:paraId="70E92BE4" w14:textId="4BE1FE86" w:rsidR="002A4E44" w:rsidRPr="00B57F79" w:rsidRDefault="002A4E44" w:rsidP="002A4E44">
      <w:pPr>
        <w:shd w:val="clear" w:color="auto" w:fill="FFFFFF"/>
        <w:spacing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w:t>
      </w:r>
      <w:r w:rsidR="00DE3A59" w:rsidRPr="00B57F79">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57F79">
        <w:rPr>
          <w:rStyle w:val="Refdenotaalpie"/>
          <w:rFonts w:ascii="Arial" w:hAnsi="Arial" w:cs="Arial"/>
          <w:color w:val="0D0D0D"/>
          <w:sz w:val="22"/>
          <w:bdr w:val="none" w:sz="0" w:space="0" w:color="auto" w:frame="1"/>
          <w:lang w:eastAsia="es-CO"/>
        </w:rPr>
        <w:footnoteReference w:id="5"/>
      </w:r>
      <w:r w:rsidRPr="00B57F79">
        <w:rPr>
          <w:rFonts w:ascii="Arial" w:hAnsi="Arial" w:cs="Arial"/>
          <w:color w:val="0D0D0D"/>
          <w:sz w:val="22"/>
          <w:bdr w:val="none" w:sz="0" w:space="0" w:color="auto" w:frame="1"/>
          <w:lang w:eastAsia="es-CO"/>
        </w:rPr>
        <w:t>.  </w:t>
      </w:r>
    </w:p>
    <w:p w14:paraId="3C45B786" w14:textId="77777777" w:rsidR="002A4E44" w:rsidRPr="00B57F79" w:rsidRDefault="002A4E44" w:rsidP="002A4E44">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599E6685" w14:textId="77777777"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CCFEA2A" w14:textId="77777777"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3F570BAC" w14:textId="7D23A9F5"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w:t>
      </w:r>
      <w:r w:rsidR="003776F1" w:rsidRPr="00B57F79">
        <w:rPr>
          <w:rFonts w:ascii="Arial" w:hAnsi="Arial" w:cs="Arial"/>
          <w:color w:val="0D0D0D"/>
          <w:sz w:val="22"/>
          <w:bdr w:val="none" w:sz="0" w:space="0" w:color="auto" w:frame="1"/>
          <w:lang w:eastAsia="es-CO"/>
        </w:rPr>
        <w:t xml:space="preserve">Lo anterior se materializó </w:t>
      </w:r>
      <w:r w:rsidRPr="00B57F79">
        <w:rPr>
          <w:rFonts w:ascii="Arial" w:hAnsi="Arial" w:cs="Arial"/>
          <w:color w:val="0D0D0D"/>
          <w:sz w:val="22"/>
          <w:bdr w:val="none" w:sz="0" w:space="0" w:color="auto" w:frame="1"/>
          <w:lang w:eastAsia="es-CO"/>
        </w:rPr>
        <w:t>con la expedición de la Resolución No. 1798 del 1º de abril de 2019 que implementó la Versión 1 de los documentos tipo para procesos de licitación de obra pública de infraestructura de transporte. </w:t>
      </w:r>
    </w:p>
    <w:p w14:paraId="0967AB17" w14:textId="5B753700" w:rsidR="002A4E44" w:rsidRPr="00B57F79" w:rsidRDefault="002A4E44" w:rsidP="00F52A68">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w:t>
      </w:r>
      <w:r w:rsidRPr="00B57F79">
        <w:rPr>
          <w:rFonts w:ascii="Arial" w:hAnsi="Arial" w:cs="Arial"/>
          <w:color w:val="0D0D0D"/>
          <w:sz w:val="22"/>
          <w:bdr w:val="none" w:sz="0" w:space="0" w:color="auto" w:frame="1"/>
          <w:lang w:eastAsia="es-CO"/>
        </w:rPr>
        <w:lastRenderedPageBreak/>
        <w:t>de licitación de obra pública de infraestructura de transporte y se deroga la Resolución 1798 de 2019».  </w:t>
      </w:r>
    </w:p>
    <w:p w14:paraId="691B5085" w14:textId="32E38811" w:rsidR="002A4E44" w:rsidRPr="00B57F79"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sidR="00F52A68" w:rsidRPr="00B57F79">
        <w:rPr>
          <w:rFonts w:ascii="Arial" w:hAnsi="Arial" w:cs="Arial"/>
          <w:color w:val="0D0D0D"/>
          <w:sz w:val="22"/>
          <w:bdr w:val="none" w:sz="0" w:space="0" w:color="auto" w:frame="1"/>
          <w:lang w:eastAsia="es-CO"/>
        </w:rPr>
        <w:t xml:space="preserve">En este Decreto se autorizó </w:t>
      </w:r>
      <w:r w:rsidRPr="00B57F79">
        <w:rPr>
          <w:rFonts w:ascii="Arial" w:hAnsi="Arial" w:cs="Arial"/>
          <w:color w:val="0D0D0D"/>
          <w:sz w:val="22"/>
          <w:bdr w:val="none" w:sz="0" w:space="0" w:color="auto" w:frame="1"/>
          <w:lang w:eastAsia="es-CO"/>
        </w:rPr>
        <w:t>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57ECDCE0" w14:textId="20707E68" w:rsidR="002A4E44" w:rsidRPr="00B57F79" w:rsidRDefault="002A4E44" w:rsidP="00C439A1">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B57F79">
        <w:rPr>
          <w:rFonts w:ascii="Arial" w:hAnsi="Arial" w:cs="Arial"/>
          <w:i/>
          <w:iCs/>
          <w:color w:val="0D0D0D"/>
          <w:sz w:val="22"/>
          <w:bdr w:val="none" w:sz="0" w:space="0" w:color="auto" w:frame="1"/>
          <w:lang w:eastAsia="es-CO"/>
        </w:rPr>
        <w:t>ibidem</w:t>
      </w:r>
      <w:r w:rsidRPr="00B57F79">
        <w:rPr>
          <w:rFonts w:ascii="Arial" w:hAnsi="Arial" w:cs="Arial"/>
          <w:color w:val="0D0D0D"/>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34E2600E" w14:textId="77777777" w:rsidR="002A4E44" w:rsidRPr="00B57F79"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B8BDB64" w14:textId="4982AB51" w:rsidR="002A4E44" w:rsidRPr="00B57F79"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w:t>
      </w:r>
      <w:r w:rsidR="00F52A68"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2.2.1.2.6.3.3</w:t>
      </w:r>
      <w:r w:rsidR="00F52A68"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6F6C7127" w14:textId="796E7DEC" w:rsidR="002A4E44" w:rsidRDefault="00F52A68" w:rsidP="002A4E44">
      <w:pPr>
        <w:pStyle w:val="Normal11pt"/>
        <w:spacing w:before="120" w:line="276" w:lineRule="auto"/>
        <w:ind w:left="0" w:firstLine="709"/>
        <w:rPr>
          <w:color w:val="0D0D0D"/>
          <w:bdr w:val="none" w:sz="0" w:space="0" w:color="auto" w:frame="1"/>
          <w:lang w:eastAsia="es-CO"/>
        </w:rPr>
      </w:pPr>
      <w:r w:rsidRPr="00B57F79">
        <w:rPr>
          <w:color w:val="0D0D0D"/>
          <w:bdr w:val="none" w:sz="0" w:space="0" w:color="auto" w:frame="1"/>
          <w:lang w:eastAsia="es-CO"/>
        </w:rPr>
        <w:t xml:space="preserve">Esta agencia analizando </w:t>
      </w:r>
      <w:r w:rsidR="002A4E44" w:rsidRPr="00B57F79">
        <w:rPr>
          <w:color w:val="0D0D0D"/>
          <w:bdr w:val="none" w:sz="0" w:space="0" w:color="auto" w:frame="1"/>
          <w:lang w:eastAsia="es-CO"/>
        </w:rPr>
        <w:t xml:space="preserve">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bajo la competencia prevista en la Ley 2022 de 2020, Colombia Compra Eficiente expide las Resoluciones No. 240 y 241 del 27 de noviembre 2020 </w:t>
      </w:r>
      <w:r w:rsidR="00D945B8">
        <w:rPr>
          <w:color w:val="0D0D0D"/>
          <w:bdr w:val="none" w:sz="0" w:space="0" w:color="auto" w:frame="1"/>
          <w:lang w:eastAsia="es-CO"/>
        </w:rPr>
        <w:t>mediante</w:t>
      </w:r>
      <w:r w:rsidR="002A4E44" w:rsidRPr="00B57F79">
        <w:rPr>
          <w:color w:val="0D0D0D"/>
          <w:bdr w:val="none" w:sz="0" w:space="0" w:color="auto" w:frame="1"/>
          <w:lang w:eastAsia="es-CO"/>
        </w:rPr>
        <w:t xml:space="preserve"> las cuales se adoptan los documentos tipo de licitación de obra </w:t>
      </w:r>
      <w:r w:rsidR="002A4E44" w:rsidRPr="00B57F79">
        <w:rPr>
          <w:color w:val="0D0D0D"/>
          <w:bdr w:val="none" w:sz="0" w:space="0" w:color="auto" w:frame="1"/>
          <w:lang w:eastAsia="es-CO"/>
        </w:rPr>
        <w:lastRenderedPageBreak/>
        <w:t xml:space="preserve">pública – versión 3 y de selección abreviada de menor cuantía – versión 2 de infraestructura de transporte, los cuales son obligatorios a partir del 1º de enero de 2021. Incluso, con la expedición de la Ley de Emprendimiento, estos se ajustaron </w:t>
      </w:r>
      <w:r w:rsidR="003A3686" w:rsidRPr="00B57F79">
        <w:rPr>
          <w:color w:val="0D0D0D"/>
          <w:bdr w:val="none" w:sz="0" w:space="0" w:color="auto" w:frame="1"/>
          <w:lang w:eastAsia="es-CO"/>
        </w:rPr>
        <w:t>mediante</w:t>
      </w:r>
      <w:r w:rsidR="002A4E44" w:rsidRPr="00B57F79">
        <w:rPr>
          <w:color w:val="0D0D0D"/>
          <w:bdr w:val="none" w:sz="0" w:space="0" w:color="auto" w:frame="1"/>
          <w:lang w:eastAsia="es-CO"/>
        </w:rPr>
        <w:t xml:space="preserv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6457D38F" w14:textId="77777777" w:rsidR="00163B50" w:rsidRDefault="00163B50" w:rsidP="00DE7D58">
      <w:pPr>
        <w:pStyle w:val="Normal11pt"/>
        <w:spacing w:line="276" w:lineRule="auto"/>
        <w:ind w:left="0" w:firstLine="709"/>
        <w:rPr>
          <w:color w:val="0D0D0D"/>
          <w:bdr w:val="none" w:sz="0" w:space="0" w:color="auto" w:frame="1"/>
          <w:lang w:eastAsia="es-CO"/>
        </w:rPr>
      </w:pPr>
    </w:p>
    <w:p w14:paraId="7B910B1D" w14:textId="3F099DB2" w:rsidR="00A07B99" w:rsidRPr="005977A4" w:rsidRDefault="00A07B99" w:rsidP="00163B50">
      <w:pPr>
        <w:pStyle w:val="Normal11pt"/>
        <w:spacing w:line="276" w:lineRule="auto"/>
        <w:ind w:left="0"/>
        <w:rPr>
          <w:rFonts w:eastAsia="Calibri"/>
          <w:b/>
          <w:bCs/>
          <w:lang w:val="es-CO"/>
        </w:rPr>
      </w:pPr>
      <w:r w:rsidRPr="00DE7D58">
        <w:rPr>
          <w:b/>
          <w:bCs/>
          <w:color w:val="0D0D0D"/>
          <w:bdr w:val="none" w:sz="0" w:space="0" w:color="auto" w:frame="1"/>
          <w:lang w:eastAsia="es-CO"/>
        </w:rPr>
        <w:t xml:space="preserve">2.2. </w:t>
      </w:r>
      <w:r w:rsidR="00163B50" w:rsidRPr="00DE7D58">
        <w:rPr>
          <w:b/>
          <w:bCs/>
          <w:color w:val="0D0D0D"/>
          <w:bdr w:val="none" w:sz="0" w:space="0" w:color="auto" w:frame="1"/>
          <w:lang w:eastAsia="es-CO"/>
        </w:rPr>
        <w:t>Acreditación de la</w:t>
      </w:r>
      <w:r w:rsidR="00163B50" w:rsidRPr="005977A4">
        <w:rPr>
          <w:rFonts w:eastAsia="Calibri"/>
          <w:b/>
          <w:bCs/>
          <w:lang w:val="es-CO"/>
        </w:rPr>
        <w:t xml:space="preserve"> experiencia en la longitud de vía a intervenir</w:t>
      </w:r>
      <w:r w:rsidR="00C61197">
        <w:rPr>
          <w:rFonts w:eastAsia="Calibri"/>
          <w:b/>
          <w:bCs/>
          <w:lang w:val="es-CO"/>
        </w:rPr>
        <w:t xml:space="preserve"> y en actividades relacionadas con </w:t>
      </w:r>
      <w:r w:rsidR="00C61197">
        <w:rPr>
          <w:rFonts w:cs="Times New Roman"/>
          <w:b/>
          <w:sz w:val="21"/>
          <w:szCs w:val="21"/>
          <w:lang w:val="es-ES"/>
        </w:rPr>
        <w:t>e</w:t>
      </w:r>
      <w:r w:rsidR="00C61197" w:rsidRPr="00090683">
        <w:rPr>
          <w:rFonts w:cs="Times New Roman"/>
          <w:b/>
          <w:sz w:val="21"/>
          <w:szCs w:val="21"/>
          <w:lang w:val="es-ES"/>
        </w:rPr>
        <w:t xml:space="preserve">spacio </w:t>
      </w:r>
      <w:r w:rsidR="00491F45" w:rsidRPr="00090683">
        <w:rPr>
          <w:rFonts w:cs="Times New Roman"/>
          <w:b/>
          <w:sz w:val="21"/>
          <w:szCs w:val="21"/>
          <w:lang w:val="es-ES"/>
        </w:rPr>
        <w:t>público asociado a la infraestructura de transporte</w:t>
      </w:r>
    </w:p>
    <w:p w14:paraId="31A30633" w14:textId="77777777" w:rsidR="00163B50" w:rsidRPr="00B57F79" w:rsidRDefault="00163B50" w:rsidP="00DE7D58">
      <w:pPr>
        <w:pStyle w:val="Normal11pt"/>
        <w:spacing w:line="276" w:lineRule="auto"/>
        <w:ind w:left="0"/>
        <w:rPr>
          <w:rFonts w:eastAsia="Calibri"/>
          <w:color w:val="000000" w:themeColor="text1"/>
        </w:rPr>
      </w:pPr>
    </w:p>
    <w:p w14:paraId="495A75F4" w14:textId="1EE1BA93" w:rsidR="00F0755F" w:rsidRPr="00B57F79" w:rsidRDefault="00CE163D" w:rsidP="00DE7D58">
      <w:pPr>
        <w:spacing w:line="276" w:lineRule="auto"/>
        <w:jc w:val="both"/>
        <w:rPr>
          <w:rFonts w:ascii="Arial" w:hAnsi="Arial" w:cs="Arial"/>
          <w:sz w:val="22"/>
        </w:rPr>
      </w:pPr>
      <w:r w:rsidRPr="00B57F79">
        <w:rPr>
          <w:rFonts w:ascii="Arial" w:hAnsi="Arial" w:cs="Arial"/>
          <w:sz w:val="22"/>
        </w:rPr>
        <w:t>De conformidad con</w:t>
      </w:r>
      <w:r w:rsidR="003112B5" w:rsidRPr="00B57F79">
        <w:rPr>
          <w:rFonts w:ascii="Arial" w:hAnsi="Arial" w:cs="Arial"/>
          <w:sz w:val="22"/>
        </w:rPr>
        <w:t xml:space="preserve"> el marco normativo anteriormente expuesto</w:t>
      </w:r>
      <w:r w:rsidR="00F0755F" w:rsidRPr="00B57F79">
        <w:rPr>
          <w:rFonts w:ascii="Arial" w:hAnsi="Arial" w:cs="Arial"/>
          <w:sz w:val="22"/>
        </w:rPr>
        <w:t xml:space="preserve">, </w:t>
      </w:r>
      <w:r w:rsidR="007363BD" w:rsidRPr="00B57F79">
        <w:rPr>
          <w:rFonts w:ascii="Arial" w:hAnsi="Arial" w:cs="Arial"/>
          <w:sz w:val="22"/>
        </w:rPr>
        <w:t xml:space="preserve">y teniendo en cuenta </w:t>
      </w:r>
      <w:r w:rsidR="00F0755F" w:rsidRPr="00B57F79">
        <w:rPr>
          <w:rFonts w:ascii="Arial" w:hAnsi="Arial" w:cs="Arial"/>
          <w:sz w:val="22"/>
        </w:rPr>
        <w:t xml:space="preserve">las condiciones fijadas en </w:t>
      </w:r>
      <w:r w:rsidR="00903815" w:rsidRPr="00B57F79">
        <w:rPr>
          <w:rFonts w:ascii="Arial" w:hAnsi="Arial" w:cs="Arial"/>
          <w:sz w:val="22"/>
        </w:rPr>
        <w:t>el</w:t>
      </w:r>
      <w:r w:rsidR="00F0755F" w:rsidRPr="00B57F79">
        <w:rPr>
          <w:rFonts w:ascii="Arial" w:hAnsi="Arial" w:cs="Arial"/>
          <w:sz w:val="22"/>
        </w:rPr>
        <w:t xml:space="preserve"> «Documento Base»</w:t>
      </w:r>
      <w:r w:rsidR="00903815" w:rsidRPr="00B57F79">
        <w:rPr>
          <w:rFonts w:ascii="Arial" w:hAnsi="Arial" w:cs="Arial"/>
          <w:sz w:val="22"/>
        </w:rPr>
        <w:t xml:space="preserve"> de la Resolución No. 240 del 27 de noviembre de 2020</w:t>
      </w:r>
      <w:r w:rsidR="00F0755F" w:rsidRPr="00B57F79">
        <w:rPr>
          <w:rFonts w:ascii="Arial" w:hAnsi="Arial" w:cs="Arial"/>
          <w:sz w:val="22"/>
        </w:rPr>
        <w:t xml:space="preserve">,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sidR="00C02F56" w:rsidRPr="00B57F79">
        <w:rPr>
          <w:rFonts w:ascii="Arial" w:hAnsi="Arial" w:cs="Arial"/>
          <w:sz w:val="22"/>
        </w:rPr>
        <w:t>Por último</w:t>
      </w:r>
      <w:r w:rsidR="00F0755F" w:rsidRPr="00B57F79">
        <w:rPr>
          <w:rFonts w:ascii="Arial" w:hAnsi="Arial" w:cs="Arial"/>
          <w:sz w:val="22"/>
        </w:rPr>
        <w:t xml:space="preserve">, el número de contratos aportados por el proponente debe certificar un valor mínimo correspondiente a un porcentaje del presupuesto oficial del proceso de obra expresado en SMMLV, cuya verificación se hará de acuerdo </w:t>
      </w:r>
      <w:r w:rsidR="00D945B8">
        <w:rPr>
          <w:rFonts w:ascii="Arial" w:hAnsi="Arial" w:cs="Arial"/>
          <w:sz w:val="22"/>
        </w:rPr>
        <w:t>con</w:t>
      </w:r>
      <w:r w:rsidR="00F0755F" w:rsidRPr="00B57F79">
        <w:rPr>
          <w:rFonts w:ascii="Arial" w:hAnsi="Arial" w:cs="Arial"/>
          <w:sz w:val="22"/>
        </w:rPr>
        <w:t xml:space="preserve"> la sumatoria de los valores totales ejecutados de los contratos que cumplan con los requisitos establecidos en el pliego de condiciones. </w:t>
      </w:r>
    </w:p>
    <w:p w14:paraId="2E6BEDBB" w14:textId="77777777" w:rsidR="00F0755F" w:rsidRPr="00B57F79" w:rsidRDefault="00F0755F" w:rsidP="00F0755F">
      <w:pPr>
        <w:spacing w:before="120" w:line="276" w:lineRule="auto"/>
        <w:ind w:firstLine="708"/>
        <w:jc w:val="both"/>
        <w:rPr>
          <w:rFonts w:ascii="Arial" w:hAnsi="Arial" w:cs="Arial"/>
          <w:sz w:val="22"/>
        </w:rPr>
      </w:pPr>
      <w:r w:rsidRPr="00B57F79">
        <w:rPr>
          <w:rFonts w:ascii="Arial" w:hAnsi="Arial" w:cs="Arial"/>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7D8BDB79" w14:textId="331F8158" w:rsidR="00F0755F" w:rsidRPr="00B57F79" w:rsidRDefault="00C02F56" w:rsidP="00F0755F">
      <w:pPr>
        <w:spacing w:before="120" w:line="276" w:lineRule="auto"/>
        <w:ind w:firstLine="708"/>
        <w:jc w:val="both"/>
        <w:rPr>
          <w:rFonts w:ascii="Arial" w:hAnsi="Arial" w:cs="Arial"/>
          <w:sz w:val="22"/>
        </w:rPr>
      </w:pPr>
      <w:r w:rsidRPr="00B57F79">
        <w:rPr>
          <w:rFonts w:ascii="Arial" w:hAnsi="Arial" w:cs="Arial"/>
          <w:sz w:val="22"/>
        </w:rPr>
        <w:t>En relación con e</w:t>
      </w:r>
      <w:r w:rsidR="00F0755F" w:rsidRPr="00B57F79">
        <w:rPr>
          <w:rFonts w:ascii="Arial" w:hAnsi="Arial" w:cs="Arial"/>
          <w:sz w:val="22"/>
        </w:rPr>
        <w:t>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w:t>
      </w:r>
      <w:r w:rsidR="00903815" w:rsidRPr="00B57F79">
        <w:rPr>
          <w:rFonts w:ascii="Arial" w:hAnsi="Arial" w:cs="Arial"/>
          <w:sz w:val="22"/>
        </w:rPr>
        <w:t>, prevención o mitigación</w:t>
      </w:r>
      <w:r w:rsidR="00F0755F" w:rsidRPr="00B57F79">
        <w:rPr>
          <w:rFonts w:ascii="Arial" w:hAnsi="Arial" w:cs="Arial"/>
          <w:sz w:val="22"/>
        </w:rPr>
        <w:t xml:space="preserve"> de emergencias diferentes a contratación directa, 5) obras férreas, 6) obras de infraestructura vial urbana, 7) obras en puentes y 8) obras aeroportuarias. Est</w:t>
      </w:r>
      <w:r w:rsidR="00903815" w:rsidRPr="00B57F79">
        <w:rPr>
          <w:rFonts w:ascii="Arial" w:hAnsi="Arial" w:cs="Arial"/>
          <w:sz w:val="22"/>
        </w:rPr>
        <w:t>a</w:t>
      </w:r>
      <w:r w:rsidR="00F0755F" w:rsidRPr="00B57F79">
        <w:rPr>
          <w:rFonts w:ascii="Arial" w:hAnsi="Arial" w:cs="Arial"/>
          <w:sz w:val="22"/>
        </w:rPr>
        <w:t xml:space="preserve">s determinan el marco para la aplicación de los </w:t>
      </w:r>
      <w:r w:rsidR="003112B5" w:rsidRPr="00B57F79">
        <w:rPr>
          <w:rFonts w:ascii="Arial" w:hAnsi="Arial" w:cs="Arial"/>
          <w:sz w:val="22"/>
        </w:rPr>
        <w:t>documentos tipo</w:t>
      </w:r>
      <w:r w:rsidR="00F0755F" w:rsidRPr="00B57F79">
        <w:rPr>
          <w:rFonts w:ascii="Arial" w:hAnsi="Arial" w:cs="Arial"/>
          <w:sz w:val="22"/>
        </w:rPr>
        <w:t xml:space="preserve">, dado que comprenden todas aquellas actividades que constituyen obra pública de infraestructura de transporte y </w:t>
      </w:r>
      <w:r w:rsidR="00F0755F" w:rsidRPr="00B57F79">
        <w:rPr>
          <w:rFonts w:ascii="Arial" w:hAnsi="Arial" w:cs="Arial"/>
          <w:sz w:val="22"/>
        </w:rPr>
        <w:lastRenderedPageBreak/>
        <w:t xml:space="preserve">que han sido objeto de estandarización mediante </w:t>
      </w:r>
      <w:r w:rsidR="00903815" w:rsidRPr="00B57F79">
        <w:rPr>
          <w:rFonts w:ascii="Arial" w:hAnsi="Arial" w:cs="Arial"/>
          <w:sz w:val="22"/>
        </w:rPr>
        <w:t>la Resolución No. 240 del 27 de noviembre de 2020</w:t>
      </w:r>
      <w:r w:rsidR="00F0755F" w:rsidRPr="00B57F79">
        <w:rPr>
          <w:rFonts w:ascii="Arial" w:hAnsi="Arial" w:cs="Arial"/>
          <w:sz w:val="22"/>
        </w:rPr>
        <w:t xml:space="preserve"> para </w:t>
      </w:r>
      <w:r w:rsidR="00903815" w:rsidRPr="00B57F79">
        <w:rPr>
          <w:rFonts w:ascii="Arial" w:hAnsi="Arial" w:cs="Arial"/>
          <w:sz w:val="22"/>
        </w:rPr>
        <w:t xml:space="preserve">los </w:t>
      </w:r>
      <w:r w:rsidR="00F0755F" w:rsidRPr="00B57F79">
        <w:rPr>
          <w:rFonts w:ascii="Arial" w:hAnsi="Arial" w:cs="Arial"/>
          <w:sz w:val="22"/>
        </w:rPr>
        <w:t>procesos de licitación pública.</w:t>
      </w:r>
    </w:p>
    <w:p w14:paraId="796FA82A" w14:textId="09B341B2" w:rsidR="00F0755F" w:rsidRPr="00B57F79" w:rsidRDefault="00F0755F" w:rsidP="00F0755F">
      <w:pPr>
        <w:spacing w:before="120" w:line="276" w:lineRule="auto"/>
        <w:ind w:firstLine="708"/>
        <w:jc w:val="both"/>
        <w:rPr>
          <w:rFonts w:ascii="Arial" w:hAnsi="Arial" w:cs="Arial"/>
          <w:sz w:val="22"/>
        </w:rPr>
      </w:pPr>
      <w:r w:rsidRPr="00B57F79">
        <w:rPr>
          <w:rFonts w:ascii="Arial" w:hAnsi="Arial" w:cs="Arial"/>
          <w:sz w:val="22"/>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«1. OBRAS EN VÍAS PRIMARIAS O SECUNDARIAS» la entidad podrá verificar la experiencia requerida en su proceso, de acuerdo con las siguientes actividades: «1.1 Proyectos de construcción de vías», «1.2 Proyectos de mejoramiento de vías»</w:t>
      </w:r>
      <w:r w:rsidR="00903815" w:rsidRPr="00B57F79">
        <w:rPr>
          <w:rFonts w:ascii="Arial" w:hAnsi="Arial" w:cs="Arial"/>
          <w:sz w:val="22"/>
        </w:rPr>
        <w:t>,</w:t>
      </w:r>
      <w:r w:rsidRPr="00B57F79">
        <w:rPr>
          <w:rFonts w:ascii="Arial" w:hAnsi="Arial" w:cs="Arial"/>
          <w:sz w:val="22"/>
        </w:rPr>
        <w:t xml:space="preserve"> «1.3 Proyectos de rehabilitación o mantenimiento de carretera»</w:t>
      </w:r>
      <w:r w:rsidR="00903815" w:rsidRPr="00B57F79">
        <w:rPr>
          <w:rFonts w:ascii="Arial" w:hAnsi="Arial" w:cs="Arial"/>
          <w:sz w:val="22"/>
        </w:rPr>
        <w:t>, «1.4 Proyectos de demarcación o señalización (horizontal o vertical) de infraestructura de transporte» y/o «1.5 Proyectos de demarcación o señalización (horizontal o vertical) de espacio público asociado a la infraestructura de transporte».</w:t>
      </w:r>
    </w:p>
    <w:p w14:paraId="4B935329" w14:textId="2C6E1317" w:rsidR="00F0755F" w:rsidRPr="00B57F79" w:rsidRDefault="00F0755F" w:rsidP="00F0755F">
      <w:pPr>
        <w:spacing w:before="120" w:line="276" w:lineRule="auto"/>
        <w:ind w:firstLine="708"/>
        <w:jc w:val="both"/>
        <w:rPr>
          <w:rFonts w:ascii="Arial" w:hAnsi="Arial" w:cs="Arial"/>
          <w:sz w:val="22"/>
        </w:rPr>
      </w:pPr>
      <w:r w:rsidRPr="00B57F79">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w:t>
      </w:r>
      <w:r w:rsidR="001E30CF" w:rsidRPr="00B57F79">
        <w:rPr>
          <w:rFonts w:ascii="Arial" w:hAnsi="Arial" w:cs="Arial"/>
          <w:sz w:val="22"/>
        </w:rPr>
        <w:t xml:space="preserve"> inciso 3 del</w:t>
      </w:r>
      <w:r w:rsidRPr="00B57F79">
        <w:rPr>
          <w:rFonts w:ascii="Arial" w:hAnsi="Arial" w:cs="Arial"/>
          <w:sz w:val="22"/>
        </w:rPr>
        <w:t xml:space="preserve"> artículo 4 de la Ley 1882 de 2018, conforme </w:t>
      </w:r>
      <w:r w:rsidR="001E30CF" w:rsidRPr="00B57F79">
        <w:rPr>
          <w:rFonts w:ascii="Arial" w:hAnsi="Arial" w:cs="Arial"/>
          <w:sz w:val="22"/>
        </w:rPr>
        <w:t>al cual</w:t>
      </w:r>
      <w:r w:rsidRPr="00B57F79">
        <w:rPr>
          <w:rFonts w:ascii="Arial" w:hAnsi="Arial" w:cs="Arial"/>
          <w:sz w:val="22"/>
        </w:rPr>
        <w:t xml:space="preserve"> las condiciones habilitantes fijadas en los documentos tipo deben tener en cuenta </w:t>
      </w:r>
      <w:r w:rsidR="001E30CF" w:rsidRPr="00B57F79">
        <w:rPr>
          <w:rFonts w:ascii="Arial" w:hAnsi="Arial" w:cs="Arial"/>
          <w:sz w:val="22"/>
        </w:rPr>
        <w:t>la cuantía, la naturaleza y especialidad de la contratación</w:t>
      </w:r>
      <w:r w:rsidRPr="00B57F79">
        <w:rPr>
          <w:rFonts w:ascii="Arial" w:hAnsi="Arial" w:cs="Arial"/>
          <w:sz w:val="22"/>
        </w:rPr>
        <w:t xml:space="preserve">. </w:t>
      </w:r>
    </w:p>
    <w:p w14:paraId="6DEA2821" w14:textId="0C08E8AD" w:rsidR="00F0755F" w:rsidRPr="00B57F79" w:rsidRDefault="00F0755F" w:rsidP="00F0755F">
      <w:pPr>
        <w:spacing w:before="120" w:after="120" w:line="276" w:lineRule="auto"/>
        <w:ind w:firstLine="709"/>
        <w:jc w:val="both"/>
        <w:rPr>
          <w:rFonts w:ascii="Arial" w:hAnsi="Arial" w:cs="Arial"/>
          <w:sz w:val="22"/>
        </w:rPr>
      </w:pPr>
      <w:r w:rsidRPr="00B57F79">
        <w:rPr>
          <w:rFonts w:ascii="Arial" w:hAnsi="Arial" w:cs="Arial"/>
          <w:sz w:val="22"/>
        </w:rPr>
        <w:t>Estos tres factores determinan el requisito de experiencia establecido en los documentos desarrollados por la Agencia Nac</w:t>
      </w:r>
      <w:r w:rsidR="0021571D">
        <w:rPr>
          <w:rFonts w:ascii="Arial" w:hAnsi="Arial" w:cs="Arial"/>
          <w:sz w:val="22"/>
        </w:rPr>
        <w:t>ional de Contratación Pública –</w:t>
      </w:r>
      <w:r w:rsidRPr="00B57F79">
        <w:rPr>
          <w:rFonts w:ascii="Arial" w:hAnsi="Arial" w:cs="Arial"/>
          <w:sz w:val="22"/>
        </w:rPr>
        <w:t>Colombia Compra Eficiente</w:t>
      </w:r>
      <w:r w:rsidR="0021571D">
        <w:rPr>
          <w:rFonts w:ascii="Arial" w:hAnsi="Arial" w:cs="Arial"/>
          <w:sz w:val="22"/>
        </w:rPr>
        <w:t>–</w:t>
      </w:r>
      <w:r w:rsidRPr="00B57F79">
        <w:rPr>
          <w:rFonts w:ascii="Arial" w:hAnsi="Arial" w:cs="Arial"/>
          <w:sz w:val="22"/>
        </w:rPr>
        <w:t xml:space="preserve">, e incluido en la Matriz 1, que es resultado del mandato establecido en el artículo 4 de la Ley 1882 de 2018, </w:t>
      </w:r>
      <w:r w:rsidR="00782024" w:rsidRPr="00B57F79">
        <w:rPr>
          <w:rFonts w:ascii="Arial" w:hAnsi="Arial" w:cs="Arial"/>
          <w:sz w:val="22"/>
        </w:rPr>
        <w:t>por lo que son</w:t>
      </w:r>
      <w:r w:rsidRPr="00B57F79">
        <w:rPr>
          <w:rFonts w:ascii="Arial" w:hAnsi="Arial" w:cs="Arial"/>
          <w:sz w:val="22"/>
        </w:rPr>
        <w:t xml:space="preserve"> de obligatorio cumplimiento. Igualmente, se encuentran sometidos a la </w:t>
      </w:r>
      <w:r w:rsidR="001E30CF" w:rsidRPr="00B57F79">
        <w:rPr>
          <w:rFonts w:ascii="Arial" w:hAnsi="Arial" w:cs="Arial"/>
          <w:sz w:val="22"/>
        </w:rPr>
        <w:t xml:space="preserve">regulación prevista en la Resolución No. 240 del 27 de noviembre de 2020 y, por tanto, la regla general es que no </w:t>
      </w:r>
      <w:r w:rsidRPr="00B57F79">
        <w:rPr>
          <w:rFonts w:ascii="Arial" w:hAnsi="Arial" w:cs="Arial"/>
          <w:sz w:val="22"/>
        </w:rPr>
        <w:t xml:space="preserve">pueden ser alterados, modificados o adicionados en su contenido. </w:t>
      </w:r>
    </w:p>
    <w:p w14:paraId="7070EA9D" w14:textId="0102EDB8" w:rsidR="00A53490" w:rsidRPr="00B57F79" w:rsidRDefault="00A53490" w:rsidP="00F0755F">
      <w:pPr>
        <w:spacing w:before="120" w:after="120" w:line="276" w:lineRule="auto"/>
        <w:ind w:firstLine="709"/>
        <w:jc w:val="both"/>
        <w:rPr>
          <w:rFonts w:ascii="Arial" w:hAnsi="Arial" w:cs="Arial"/>
          <w:sz w:val="22"/>
        </w:rPr>
      </w:pPr>
      <w:r w:rsidRPr="00B57F79">
        <w:rPr>
          <w:rFonts w:ascii="Arial" w:hAnsi="Arial" w:cs="Arial"/>
          <w:sz w:val="22"/>
        </w:rPr>
        <w:t xml:space="preserve">Ahora bien, el documento base adoptado creó el numeral «3.5.1 Determinación de los requisitos mínimos de experiencia según la Matriz 1 – Experiencia», en el cual la entidad debe justificar, expresa y suficientemente la complejidad del proyecto, determinando si es de baja, media o alta complejidad, y en función de ello implementar alguna </w:t>
      </w:r>
      <w:proofErr w:type="gramStart"/>
      <w:r w:rsidRPr="00B57F79">
        <w:rPr>
          <w:rFonts w:ascii="Arial" w:hAnsi="Arial" w:cs="Arial"/>
          <w:sz w:val="22"/>
        </w:rPr>
        <w:t>de  las</w:t>
      </w:r>
      <w:proofErr w:type="gramEnd"/>
      <w:r w:rsidRPr="00B57F79">
        <w:rPr>
          <w:rFonts w:ascii="Arial" w:hAnsi="Arial" w:cs="Arial"/>
          <w:sz w:val="22"/>
        </w:rPr>
        <w:t xml:space="preserve">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 Matrices de experiencia: i) para proyectos de baja o media complejidad técnica y ii) para proyectos de alta complejidad técnica.</w:t>
      </w:r>
    </w:p>
    <w:p w14:paraId="686652BB" w14:textId="28E9184A" w:rsidR="00A53490" w:rsidRPr="00B57F79" w:rsidRDefault="00A53490" w:rsidP="00FD7994">
      <w:pPr>
        <w:spacing w:after="120" w:line="276" w:lineRule="auto"/>
        <w:ind w:right="51" w:firstLine="708"/>
        <w:jc w:val="both"/>
        <w:rPr>
          <w:rFonts w:ascii="Arial" w:hAnsi="Arial" w:cs="Arial"/>
          <w:sz w:val="22"/>
        </w:rPr>
      </w:pPr>
      <w:r w:rsidRPr="00B57F79">
        <w:rPr>
          <w:rFonts w:ascii="Arial" w:hAnsi="Arial" w:cs="Arial"/>
          <w:sz w:val="22"/>
        </w:rPr>
        <w:lastRenderedPageBreak/>
        <w:t xml:space="preserve">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 baja o alta complejidad técnica y en función de ello aplicar la matriz correspondiente.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6490709C" w14:textId="5E5531A4" w:rsidR="0002665B" w:rsidRPr="00B57F79" w:rsidRDefault="0002665B" w:rsidP="0002665B">
      <w:pPr>
        <w:spacing w:before="120" w:line="276" w:lineRule="auto"/>
        <w:ind w:firstLine="708"/>
        <w:jc w:val="both"/>
        <w:rPr>
          <w:rFonts w:ascii="Arial" w:hAnsi="Arial" w:cs="Arial"/>
          <w:sz w:val="22"/>
        </w:rPr>
      </w:pPr>
      <w:r w:rsidRPr="00B57F79">
        <w:rPr>
          <w:rFonts w:ascii="Arial" w:hAnsi="Arial" w:cs="Arial"/>
          <w:sz w:val="22"/>
        </w:rPr>
        <w:t>De esta manera, la entidad estatal que adelanta un proceso de contratación de licitación de obra pública de infraestructura de transporte debe definir la experiencia exigible</w:t>
      </w:r>
      <w:r w:rsidR="00106085" w:rsidRPr="00B57F79">
        <w:rPr>
          <w:rFonts w:ascii="Arial" w:hAnsi="Arial" w:cs="Arial"/>
          <w:sz w:val="22"/>
        </w:rPr>
        <w:t>,</w:t>
      </w:r>
      <w:r w:rsidRPr="00B57F79">
        <w:rPr>
          <w:rFonts w:ascii="Arial" w:hAnsi="Arial" w:cs="Arial"/>
          <w:sz w:val="22"/>
        </w:rPr>
        <w:t xml:space="preserve"> teniendo en cuenta las condiciones fijadas en la Matriz 1, de acuerdo con los siguientes pasos:</w:t>
      </w:r>
    </w:p>
    <w:p w14:paraId="143CEE7C" w14:textId="5266E75F" w:rsidR="0002665B" w:rsidRPr="00B57F79" w:rsidRDefault="0002665B" w:rsidP="0002665B">
      <w:pPr>
        <w:spacing w:before="120" w:line="276" w:lineRule="auto"/>
        <w:ind w:firstLine="708"/>
        <w:jc w:val="both"/>
        <w:rPr>
          <w:rFonts w:ascii="Arial" w:hAnsi="Arial" w:cs="Arial"/>
          <w:sz w:val="22"/>
        </w:rPr>
      </w:pPr>
      <w:r w:rsidRPr="00B57F79">
        <w:rPr>
          <w:rFonts w:ascii="Arial" w:hAnsi="Arial" w:cs="Arial"/>
          <w:sz w:val="22"/>
        </w:rPr>
        <w:t>a) Establecer si se trata de un proyecto de complejidad baja-media o alta, y en función de ello establecer la Matriz 1 aplicable.</w:t>
      </w:r>
    </w:p>
    <w:p w14:paraId="0095CE69" w14:textId="54BF6C59" w:rsidR="0002665B" w:rsidRPr="00B57F79" w:rsidRDefault="0002665B" w:rsidP="0002665B">
      <w:pPr>
        <w:spacing w:before="120" w:line="276" w:lineRule="auto"/>
        <w:ind w:firstLine="708"/>
        <w:jc w:val="both"/>
        <w:rPr>
          <w:rFonts w:ascii="Arial" w:hAnsi="Arial" w:cs="Arial"/>
          <w:sz w:val="22"/>
        </w:rPr>
      </w:pPr>
      <w:r w:rsidRPr="00B57F79">
        <w:rPr>
          <w:rFonts w:ascii="Arial" w:hAnsi="Arial" w:cs="Arial"/>
          <w:sz w:val="22"/>
        </w:rPr>
        <w:t>b) Identificada la respectiva Matriz 1, la entidad deberá determinar el tipo de infraestructura sobre el cual recae la obra a ejecutar. Al respecto esta matriz contiene ocho (8) secciones que corresponden a los tipos de infraestructura estandarizados.</w:t>
      </w:r>
    </w:p>
    <w:p w14:paraId="0E1C50F0" w14:textId="77777777" w:rsidR="0002665B" w:rsidRPr="00B57F79" w:rsidRDefault="0002665B" w:rsidP="0002665B">
      <w:pPr>
        <w:spacing w:before="120" w:line="276" w:lineRule="auto"/>
        <w:ind w:firstLine="708"/>
        <w:jc w:val="both"/>
        <w:rPr>
          <w:rFonts w:ascii="Arial" w:hAnsi="Arial" w:cs="Arial"/>
          <w:sz w:val="22"/>
        </w:rPr>
      </w:pPr>
      <w:r w:rsidRPr="00B57F79">
        <w:rPr>
          <w:rFonts w:ascii="Arial" w:hAnsi="Arial" w:cs="Arial"/>
          <w:sz w:val="22"/>
        </w:rPr>
        <w:t xml:space="preserve">c) Definido el tipo de infraestructura, identificar la </w:t>
      </w:r>
      <w:r w:rsidRPr="00B57F79">
        <w:rPr>
          <w:rFonts w:ascii="Arial" w:eastAsia="Calibri" w:hAnsi="Arial" w:cs="Arial"/>
          <w:sz w:val="22"/>
        </w:rPr>
        <w:t>«</w:t>
      </w:r>
      <w:r w:rsidRPr="00B57F79">
        <w:rPr>
          <w:rFonts w:ascii="Arial" w:hAnsi="Arial" w:cs="Arial"/>
          <w:sz w:val="22"/>
        </w:rPr>
        <w:t>ACTIVIDAD A CONTRATAR</w:t>
      </w:r>
      <w:r w:rsidRPr="00B57F79">
        <w:rPr>
          <w:rFonts w:ascii="Arial" w:eastAsia="Calibri" w:hAnsi="Arial" w:cs="Arial"/>
          <w:sz w:val="22"/>
        </w:rPr>
        <w:t>»</w:t>
      </w:r>
      <w:r w:rsidRPr="00B57F79">
        <w:rPr>
          <w:rFonts w:ascii="Arial" w:hAnsi="Arial" w:cs="Arial"/>
          <w:sz w:val="22"/>
        </w:rPr>
        <w:t xml:space="preserve"> acorde con la matriz 1. </w:t>
      </w:r>
    </w:p>
    <w:p w14:paraId="6F59C2E7" w14:textId="77777777" w:rsidR="0002665B" w:rsidRPr="00B57F79" w:rsidRDefault="0002665B" w:rsidP="0002665B">
      <w:pPr>
        <w:spacing w:before="120" w:line="276" w:lineRule="auto"/>
        <w:ind w:firstLine="708"/>
        <w:jc w:val="both"/>
        <w:rPr>
          <w:rFonts w:ascii="Arial" w:hAnsi="Arial" w:cs="Arial"/>
          <w:sz w:val="22"/>
        </w:rPr>
      </w:pPr>
      <w:r w:rsidRPr="00B57F79">
        <w:rPr>
          <w:rFonts w:ascii="Arial" w:hAnsi="Arial" w:cs="Arial"/>
          <w:sz w:val="22"/>
        </w:rPr>
        <w:t xml:space="preserve">c) Identificar el rango en el cual se encuentra el proceso de contratación de acuerdo con el presupuesto oficial. </w:t>
      </w:r>
    </w:p>
    <w:p w14:paraId="61971AB4" w14:textId="130E76E6" w:rsidR="0002665B" w:rsidRPr="00B57F79" w:rsidRDefault="0002665B" w:rsidP="0002665B">
      <w:pPr>
        <w:spacing w:before="120" w:after="120" w:line="276" w:lineRule="auto"/>
        <w:ind w:firstLine="709"/>
        <w:jc w:val="both"/>
        <w:rPr>
          <w:rFonts w:ascii="Arial" w:hAnsi="Arial" w:cs="Arial"/>
          <w:sz w:val="22"/>
        </w:rPr>
      </w:pPr>
      <w:r w:rsidRPr="00B57F79">
        <w:rPr>
          <w:rFonts w:ascii="Arial" w:hAnsi="Arial" w:cs="Arial"/>
          <w:sz w:val="22"/>
        </w:rPr>
        <w:t xml:space="preserve">d) Identificar la </w:t>
      </w:r>
      <w:r w:rsidRPr="00B57F79">
        <w:rPr>
          <w:rFonts w:ascii="Arial" w:eastAsia="Calibri" w:hAnsi="Arial" w:cs="Arial"/>
          <w:sz w:val="22"/>
        </w:rPr>
        <w:t>«</w:t>
      </w:r>
      <w:r w:rsidRPr="00B57F79">
        <w:rPr>
          <w:rFonts w:ascii="Arial" w:hAnsi="Arial" w:cs="Arial"/>
          <w:sz w:val="22"/>
        </w:rPr>
        <w:t>experiencia general</w:t>
      </w:r>
      <w:r w:rsidRPr="00B57F79">
        <w:rPr>
          <w:rFonts w:ascii="Arial" w:eastAsia="Calibri" w:hAnsi="Arial" w:cs="Arial"/>
          <w:sz w:val="22"/>
        </w:rPr>
        <w:t>»</w:t>
      </w:r>
      <w:r w:rsidRPr="00B57F79">
        <w:rPr>
          <w:rFonts w:ascii="Arial" w:hAnsi="Arial" w:cs="Arial"/>
          <w:sz w:val="22"/>
        </w:rPr>
        <w:t xml:space="preserve"> exigible acorde con la Matriz 1 teniendo en cuenta la actividad a contratar y el rango de la cuantía del Proceso de Contratación. </w:t>
      </w:r>
    </w:p>
    <w:p w14:paraId="7CE85A82" w14:textId="77777777" w:rsidR="0002665B" w:rsidRPr="00B57F79" w:rsidRDefault="0002665B" w:rsidP="0002665B">
      <w:pPr>
        <w:spacing w:after="120" w:line="276" w:lineRule="auto"/>
        <w:ind w:firstLine="709"/>
        <w:jc w:val="both"/>
        <w:rPr>
          <w:rFonts w:ascii="Arial" w:hAnsi="Arial" w:cs="Arial"/>
          <w:sz w:val="22"/>
        </w:rPr>
      </w:pPr>
      <w:r w:rsidRPr="00B57F79">
        <w:rPr>
          <w:rFonts w:ascii="Arial" w:hAnsi="Arial" w:cs="Arial"/>
          <w:sz w:val="22"/>
        </w:rPr>
        <w:t xml:space="preserve">e) Identificar la </w:t>
      </w:r>
      <w:r w:rsidRPr="00B57F79">
        <w:rPr>
          <w:rFonts w:ascii="Arial" w:eastAsia="Calibri" w:hAnsi="Arial" w:cs="Arial"/>
          <w:sz w:val="22"/>
        </w:rPr>
        <w:t>«</w:t>
      </w:r>
      <w:r w:rsidRPr="00B57F79">
        <w:rPr>
          <w:rFonts w:ascii="Arial" w:hAnsi="Arial" w:cs="Arial"/>
          <w:sz w:val="22"/>
        </w:rPr>
        <w:t>experiencia específica</w:t>
      </w:r>
      <w:r w:rsidRPr="00B57F79">
        <w:rPr>
          <w:rFonts w:ascii="Arial" w:eastAsia="Calibri" w:hAnsi="Arial" w:cs="Arial"/>
          <w:sz w:val="22"/>
        </w:rPr>
        <w:t>»</w:t>
      </w:r>
      <w:r w:rsidRPr="00B57F79">
        <w:rPr>
          <w:rFonts w:ascii="Arial" w:hAnsi="Arial" w:cs="Arial"/>
          <w:sz w:val="22"/>
        </w:rPr>
        <w:t xml:space="preserve"> exigible y el porcentaje de dimensionamiento que se puede solicitar acorde con la longitud a ejecutar, de acuerdo con la cuantía del proceso de contratación. Cuando en la </w:t>
      </w:r>
      <w:r w:rsidRPr="00B57F79">
        <w:rPr>
          <w:rFonts w:ascii="Arial" w:eastAsia="Calibri" w:hAnsi="Arial" w:cs="Arial"/>
          <w:sz w:val="22"/>
        </w:rPr>
        <w:t>«</w:t>
      </w:r>
      <w:r w:rsidRPr="00B57F79">
        <w:rPr>
          <w:rFonts w:ascii="Arial" w:hAnsi="Arial" w:cs="Arial"/>
          <w:sz w:val="22"/>
        </w:rPr>
        <w:t>experiencia específica</w:t>
      </w:r>
      <w:r w:rsidRPr="00B57F79">
        <w:rPr>
          <w:rFonts w:ascii="Arial" w:eastAsia="Calibri" w:hAnsi="Arial" w:cs="Arial"/>
          <w:sz w:val="22"/>
        </w:rPr>
        <w:t>»</w:t>
      </w:r>
      <w:r w:rsidRPr="00B57F79">
        <w:rPr>
          <w:rFonts w:ascii="Arial" w:hAnsi="Arial" w:cs="Arial"/>
          <w:sz w:val="22"/>
        </w:rPr>
        <w:t xml:space="preserve"> se indiquen las siglas </w:t>
      </w:r>
      <w:r w:rsidRPr="00B57F79">
        <w:rPr>
          <w:rFonts w:ascii="Arial" w:hAnsi="Arial" w:cs="Arial"/>
          <w:i/>
          <w:iCs/>
          <w:sz w:val="22"/>
        </w:rPr>
        <w:t>N.A</w:t>
      </w:r>
      <w:r w:rsidRPr="00B57F79">
        <w:rPr>
          <w:rFonts w:ascii="Arial" w:hAnsi="Arial" w:cs="Arial"/>
          <w:sz w:val="22"/>
        </w:rPr>
        <w:t xml:space="preserve"> significa que la entidad estatal no puede exigir a los proponentes experiencia específica en los procesos de contratación. </w:t>
      </w:r>
    </w:p>
    <w:p w14:paraId="78E51560" w14:textId="2174A17A" w:rsidR="0002665B" w:rsidRPr="00B57F79" w:rsidRDefault="0002665B" w:rsidP="0002665B">
      <w:pPr>
        <w:spacing w:after="120" w:line="276" w:lineRule="auto"/>
        <w:ind w:firstLine="709"/>
        <w:jc w:val="both"/>
        <w:rPr>
          <w:rFonts w:ascii="Arial" w:hAnsi="Arial" w:cs="Arial"/>
          <w:sz w:val="22"/>
        </w:rPr>
      </w:pPr>
      <w:r w:rsidRPr="00B57F79">
        <w:rPr>
          <w:rFonts w:ascii="Arial" w:hAnsi="Arial" w:cs="Arial"/>
          <w:sz w:val="22"/>
        </w:rPr>
        <w:t>f) Establecidos los requisitos de experiencia exigibles, la entidad deberá consignarlos en los apartados grises entre corchetes del literal A del numeral 3.5.2 del documento base, para que los oferentes puedan conocer los requisitos de experiencia general y espec</w:t>
      </w:r>
      <w:r w:rsidR="005148C5" w:rsidRPr="00B57F79">
        <w:rPr>
          <w:rFonts w:ascii="Arial" w:hAnsi="Arial" w:cs="Arial"/>
          <w:sz w:val="22"/>
        </w:rPr>
        <w:t>í</w:t>
      </w:r>
      <w:r w:rsidRPr="00B57F79">
        <w:rPr>
          <w:rFonts w:ascii="Arial" w:hAnsi="Arial" w:cs="Arial"/>
          <w:sz w:val="22"/>
        </w:rPr>
        <w:t>fica exigidos por la entidad.</w:t>
      </w:r>
    </w:p>
    <w:p w14:paraId="00DF2B4A" w14:textId="482EC09D" w:rsidR="00F0755F" w:rsidRPr="00B57F79" w:rsidRDefault="0002665B">
      <w:pPr>
        <w:spacing w:before="120" w:line="276" w:lineRule="auto"/>
        <w:ind w:firstLine="708"/>
        <w:jc w:val="both"/>
        <w:rPr>
          <w:rFonts w:ascii="Arial" w:hAnsi="Arial" w:cs="Arial"/>
          <w:sz w:val="22"/>
        </w:rPr>
      </w:pPr>
      <w:r w:rsidRPr="00B57F79">
        <w:rPr>
          <w:rFonts w:ascii="Arial" w:hAnsi="Arial" w:cs="Arial"/>
          <w:sz w:val="22"/>
        </w:rPr>
        <w:t xml:space="preserve">Varios de los requisitos de experiencia general y específica contemplados en la Matriz 1 exigen que los contratos que se aporten para acreditarlos den cuenta de la </w:t>
      </w:r>
      <w:r w:rsidRPr="00B57F79">
        <w:rPr>
          <w:rFonts w:ascii="Arial" w:hAnsi="Arial" w:cs="Arial"/>
          <w:sz w:val="22"/>
        </w:rPr>
        <w:lastRenderedPageBreak/>
        <w:t>ejecución de cierto porcentaje de dimensionamiento respecto del proyecto ofertado, o un porcentaje del presupuesto oficial del mismo. El dimensionamiento supone que la experiencia a exigirse estará determinada por la longitud –u otra magnitud– que se pretende intervenir, de tal manera que a quienes estén interesados en participar se le exigirá, por ejemplo, acreditar experiencia específica en proyectos en donde hayan intervenido un porcentaje de dicha longitud establecida en kilómetros en la Matriz 1. De</w:t>
      </w:r>
      <w:r w:rsidR="00370640">
        <w:rPr>
          <w:rFonts w:ascii="Arial" w:hAnsi="Arial" w:cs="Arial"/>
          <w:sz w:val="22"/>
        </w:rPr>
        <w:t xml:space="preserve"> igu</w:t>
      </w:r>
      <w:r w:rsidR="00460FD4">
        <w:rPr>
          <w:rFonts w:ascii="Arial" w:hAnsi="Arial" w:cs="Arial"/>
          <w:sz w:val="22"/>
        </w:rPr>
        <w:t>al forma</w:t>
      </w:r>
      <w:r w:rsidRPr="00B57F79">
        <w:rPr>
          <w:rFonts w:ascii="Arial" w:hAnsi="Arial" w:cs="Arial"/>
          <w:sz w:val="22"/>
        </w:rPr>
        <w:t xml:space="preserve">, cuando se exijan requisitos en función del porcentaje del presupuesto oficial, el valor de el o los contratos que se aporten deberán igualar o superar la equivalencia del porcentaje exigible expresado en SMMLV. </w:t>
      </w:r>
      <w:r w:rsidR="00F0755F" w:rsidRPr="00B57F79">
        <w:rPr>
          <w:rFonts w:ascii="Arial" w:hAnsi="Arial" w:cs="Arial"/>
          <w:sz w:val="22"/>
        </w:rPr>
        <w:t xml:space="preserve"> </w:t>
      </w:r>
    </w:p>
    <w:p w14:paraId="0C8C6D2F" w14:textId="3D5657C9" w:rsidR="00F0755F" w:rsidRPr="00B57F79" w:rsidRDefault="00F0755F" w:rsidP="00F0755F">
      <w:pPr>
        <w:spacing w:before="120" w:after="120" w:line="276" w:lineRule="auto"/>
        <w:ind w:firstLine="708"/>
        <w:jc w:val="both"/>
        <w:rPr>
          <w:rFonts w:ascii="Arial" w:hAnsi="Arial" w:cs="Arial"/>
          <w:color w:val="000000" w:themeColor="text1"/>
          <w:sz w:val="22"/>
          <w:lang w:val="es-CO"/>
        </w:rPr>
      </w:pPr>
      <w:r w:rsidRPr="00B57F79">
        <w:rPr>
          <w:rFonts w:ascii="Arial" w:hAnsi="Arial" w:cs="Arial"/>
          <w:color w:val="000000" w:themeColor="text1"/>
          <w:sz w:val="22"/>
          <w:lang w:val="es-CO"/>
        </w:rPr>
        <w:t xml:space="preserve">A manera de ejemplo, </w:t>
      </w:r>
      <w:r w:rsidR="00F803F1" w:rsidRPr="00B57F79">
        <w:rPr>
          <w:rFonts w:ascii="Arial" w:hAnsi="Arial" w:cs="Arial"/>
          <w:color w:val="000000" w:themeColor="text1"/>
          <w:sz w:val="22"/>
          <w:lang w:val="es-CO"/>
        </w:rPr>
        <w:t>para efectos de</w:t>
      </w:r>
      <w:r w:rsidR="00B243F7" w:rsidRPr="00B57F79">
        <w:rPr>
          <w:rFonts w:ascii="Arial" w:hAnsi="Arial" w:cs="Arial"/>
          <w:color w:val="000000" w:themeColor="text1"/>
          <w:sz w:val="22"/>
          <w:lang w:val="es-CO"/>
        </w:rPr>
        <w:t xml:space="preserve"> </w:t>
      </w:r>
      <w:r w:rsidR="00F803F1" w:rsidRPr="00B57F79">
        <w:rPr>
          <w:rFonts w:ascii="Arial" w:hAnsi="Arial" w:cs="Arial"/>
          <w:color w:val="000000" w:themeColor="text1"/>
          <w:sz w:val="22"/>
          <w:lang w:val="es-CO"/>
        </w:rPr>
        <w:t>l</w:t>
      </w:r>
      <w:r w:rsidR="00B243F7" w:rsidRPr="00B57F79">
        <w:rPr>
          <w:rFonts w:ascii="Arial" w:hAnsi="Arial" w:cs="Arial"/>
          <w:color w:val="000000" w:themeColor="text1"/>
          <w:sz w:val="22"/>
          <w:lang w:val="es-CO"/>
        </w:rPr>
        <w:t>os</w:t>
      </w:r>
      <w:r w:rsidR="00F803F1" w:rsidRPr="00B57F79">
        <w:rPr>
          <w:rFonts w:ascii="Arial" w:hAnsi="Arial" w:cs="Arial"/>
          <w:color w:val="000000" w:themeColor="text1"/>
          <w:sz w:val="22"/>
          <w:lang w:val="es-CO"/>
        </w:rPr>
        <w:t xml:space="preserve"> «Documento</w:t>
      </w:r>
      <w:r w:rsidR="00B243F7" w:rsidRPr="00B57F79">
        <w:rPr>
          <w:rFonts w:ascii="Arial" w:hAnsi="Arial" w:cs="Arial"/>
          <w:color w:val="000000" w:themeColor="text1"/>
          <w:sz w:val="22"/>
          <w:lang w:val="es-CO"/>
        </w:rPr>
        <w:t>s</w:t>
      </w:r>
      <w:r w:rsidR="00F803F1" w:rsidRPr="00B57F79">
        <w:rPr>
          <w:rFonts w:ascii="Arial" w:hAnsi="Arial" w:cs="Arial"/>
          <w:color w:val="000000" w:themeColor="text1"/>
          <w:sz w:val="22"/>
          <w:lang w:val="es-CO"/>
        </w:rPr>
        <w:t xml:space="preserve"> Tipo – Versión </w:t>
      </w:r>
      <w:r w:rsidR="0002665B" w:rsidRPr="00B57F79">
        <w:rPr>
          <w:rFonts w:ascii="Arial" w:hAnsi="Arial" w:cs="Arial"/>
          <w:color w:val="000000" w:themeColor="text1"/>
          <w:sz w:val="22"/>
          <w:lang w:val="es-CO"/>
        </w:rPr>
        <w:t>3</w:t>
      </w:r>
      <w:r w:rsidR="00F803F1" w:rsidRPr="00B57F79">
        <w:rPr>
          <w:rFonts w:ascii="Arial" w:hAnsi="Arial" w:cs="Arial"/>
          <w:color w:val="000000" w:themeColor="text1"/>
          <w:sz w:val="22"/>
          <w:lang w:val="es-CO"/>
        </w:rPr>
        <w:t xml:space="preserve">» de licitación pública, </w:t>
      </w:r>
      <w:r w:rsidRPr="00B57F79">
        <w:rPr>
          <w:rFonts w:ascii="Arial" w:hAnsi="Arial" w:cs="Arial"/>
          <w:color w:val="000000" w:themeColor="text1"/>
          <w:sz w:val="22"/>
          <w:lang w:val="es-CO"/>
        </w:rPr>
        <w:t>se identifica la experiencia general y específica que la entidad estatal solicitará en un contrato cuyo objeto consista en el mantenimiento de vías terciarias, de acuerdo con las características y parámetros explicados previamente:</w:t>
      </w:r>
    </w:p>
    <w:p w14:paraId="02455981" w14:textId="77777777" w:rsidR="00F0755F" w:rsidRPr="00B57F79" w:rsidRDefault="00F0755F" w:rsidP="00F0755F">
      <w:pPr>
        <w:spacing w:after="120" w:line="276" w:lineRule="auto"/>
        <w:ind w:firstLine="709"/>
        <w:jc w:val="both"/>
        <w:rPr>
          <w:rFonts w:ascii="Arial" w:hAnsi="Arial" w:cs="Arial"/>
          <w:color w:val="000000" w:themeColor="text1"/>
          <w:sz w:val="22"/>
          <w:lang w:val="es-CO"/>
        </w:rPr>
      </w:pPr>
      <w:r w:rsidRPr="00B57F79">
        <w:rPr>
          <w:rFonts w:ascii="Arial" w:hAnsi="Arial" w:cs="Arial"/>
          <w:color w:val="000000" w:themeColor="text1"/>
          <w:sz w:val="22"/>
          <w:lang w:val="es-CO"/>
        </w:rPr>
        <w:t xml:space="preserve">a) De acuerdo con la </w:t>
      </w:r>
      <w:r w:rsidRPr="00B57F79">
        <w:rPr>
          <w:rFonts w:ascii="Arial" w:eastAsia="Calibri" w:hAnsi="Arial" w:cs="Arial"/>
          <w:color w:val="000000" w:themeColor="text1"/>
          <w:sz w:val="22"/>
          <w:lang w:val="es-CO"/>
        </w:rPr>
        <w:t>«</w:t>
      </w:r>
      <w:r w:rsidRPr="00B57F79">
        <w:rPr>
          <w:rFonts w:ascii="Arial" w:hAnsi="Arial" w:cs="Arial"/>
          <w:color w:val="000000" w:themeColor="text1"/>
          <w:sz w:val="22"/>
          <w:lang w:val="es-CO"/>
        </w:rPr>
        <w:t>Matriz 1 – Experiencia</w:t>
      </w:r>
      <w:r w:rsidRPr="00B57F79">
        <w:rPr>
          <w:rFonts w:ascii="Arial" w:eastAsia="Calibri" w:hAnsi="Arial" w:cs="Arial"/>
          <w:color w:val="000000" w:themeColor="text1"/>
          <w:sz w:val="22"/>
          <w:lang w:val="es-CO"/>
        </w:rPr>
        <w:t>»</w:t>
      </w:r>
      <w:r w:rsidRPr="00B57F79">
        <w:rPr>
          <w:rFonts w:ascii="Arial" w:hAnsi="Arial" w:cs="Arial"/>
          <w:color w:val="000000" w:themeColor="text1"/>
          <w:sz w:val="22"/>
          <w:lang w:val="es-CO"/>
        </w:rPr>
        <w:t xml:space="preserve"> el tipo de infraestructura que se relaciona con el objeto contractual es </w:t>
      </w:r>
      <w:r w:rsidRPr="00B57F79">
        <w:rPr>
          <w:rFonts w:ascii="Arial" w:eastAsia="Calibri" w:hAnsi="Arial" w:cs="Arial"/>
          <w:color w:val="000000" w:themeColor="text1"/>
          <w:sz w:val="22"/>
          <w:lang w:val="es-CO"/>
        </w:rPr>
        <w:t>«</w:t>
      </w:r>
      <w:r w:rsidRPr="00B57F79">
        <w:rPr>
          <w:rFonts w:ascii="Arial" w:hAnsi="Arial" w:cs="Arial"/>
          <w:color w:val="000000" w:themeColor="text1"/>
          <w:sz w:val="22"/>
          <w:lang w:val="es-CO"/>
        </w:rPr>
        <w:t>2. OBRAS EN VÍAS TERCIARIAS</w:t>
      </w:r>
      <w:r w:rsidRPr="00B57F79">
        <w:rPr>
          <w:rFonts w:ascii="Arial" w:eastAsia="Calibri" w:hAnsi="Arial" w:cs="Arial"/>
          <w:color w:val="000000" w:themeColor="text1"/>
          <w:sz w:val="22"/>
          <w:lang w:val="es-CO"/>
        </w:rPr>
        <w:t>»</w:t>
      </w:r>
      <w:r w:rsidRPr="00B57F79">
        <w:rPr>
          <w:rFonts w:ascii="Arial" w:hAnsi="Arial" w:cs="Arial"/>
          <w:color w:val="000000" w:themeColor="text1"/>
          <w:sz w:val="22"/>
          <w:lang w:val="es-CO"/>
        </w:rPr>
        <w:t>.</w:t>
      </w:r>
    </w:p>
    <w:p w14:paraId="39875609" w14:textId="77777777" w:rsidR="00F0755F" w:rsidRPr="00B57F79" w:rsidRDefault="00F0755F" w:rsidP="00F0755F">
      <w:pPr>
        <w:spacing w:after="120" w:line="276" w:lineRule="auto"/>
        <w:ind w:firstLine="709"/>
        <w:jc w:val="both"/>
        <w:rPr>
          <w:rFonts w:ascii="Arial" w:hAnsi="Arial" w:cs="Arial"/>
          <w:color w:val="000000" w:themeColor="text1"/>
          <w:sz w:val="22"/>
          <w:lang w:val="es-CO"/>
        </w:rPr>
      </w:pPr>
      <w:r w:rsidRPr="00B57F79">
        <w:rPr>
          <w:rFonts w:ascii="Arial" w:hAnsi="Arial" w:cs="Arial"/>
          <w:color w:val="000000" w:themeColor="text1"/>
          <w:sz w:val="22"/>
          <w:lang w:val="es-CO"/>
        </w:rPr>
        <w:t xml:space="preserve">b) La actividad que se relaciona es el numeral </w:t>
      </w:r>
      <w:r w:rsidRPr="00B57F79">
        <w:rPr>
          <w:rFonts w:ascii="Arial" w:eastAsia="Calibri" w:hAnsi="Arial" w:cs="Arial"/>
          <w:color w:val="000000" w:themeColor="text1"/>
          <w:sz w:val="22"/>
          <w:lang w:val="es-CO"/>
        </w:rPr>
        <w:t>«</w:t>
      </w:r>
      <w:r w:rsidRPr="00B57F79">
        <w:rPr>
          <w:rFonts w:ascii="Arial" w:hAnsi="Arial" w:cs="Arial"/>
          <w:color w:val="000000" w:themeColor="text1"/>
          <w:sz w:val="22"/>
          <w:lang w:val="es-CO"/>
        </w:rPr>
        <w:t>2.2 MEJORAMIENTO EN VÍAS TERCIARIAS</w:t>
      </w:r>
      <w:r w:rsidRPr="00B57F79">
        <w:rPr>
          <w:rFonts w:ascii="Arial" w:eastAsia="Calibri" w:hAnsi="Arial" w:cs="Arial"/>
          <w:color w:val="000000" w:themeColor="text1"/>
          <w:sz w:val="22"/>
          <w:lang w:val="es-CO"/>
        </w:rPr>
        <w:t>»</w:t>
      </w:r>
      <w:r w:rsidRPr="00B57F79">
        <w:rPr>
          <w:rFonts w:ascii="Arial" w:hAnsi="Arial" w:cs="Arial"/>
          <w:color w:val="000000" w:themeColor="text1"/>
          <w:sz w:val="22"/>
          <w:lang w:val="es-CO"/>
        </w:rPr>
        <w:t>.</w:t>
      </w:r>
    </w:p>
    <w:p w14:paraId="17FC60E4" w14:textId="77777777" w:rsidR="00F0755F" w:rsidRPr="00B57F79" w:rsidRDefault="00F0755F" w:rsidP="00F0755F">
      <w:pPr>
        <w:spacing w:after="120" w:line="276" w:lineRule="auto"/>
        <w:ind w:firstLine="709"/>
        <w:jc w:val="both"/>
        <w:rPr>
          <w:rFonts w:ascii="Arial" w:hAnsi="Arial" w:cs="Arial"/>
          <w:color w:val="000000" w:themeColor="text1"/>
          <w:sz w:val="22"/>
          <w:lang w:val="es-CO"/>
        </w:rPr>
      </w:pPr>
      <w:r w:rsidRPr="00B57F79">
        <w:rPr>
          <w:rFonts w:ascii="Arial" w:hAnsi="Arial" w:cs="Arial"/>
          <w:color w:val="000000" w:themeColor="text1"/>
          <w:sz w:val="22"/>
          <w:lang w:val="es-CO"/>
        </w:rPr>
        <w:t xml:space="preserve">c) </w:t>
      </w:r>
      <w:r w:rsidRPr="00B57F79">
        <w:rPr>
          <w:rFonts w:ascii="Arial" w:eastAsia="Calibri" w:hAnsi="Arial" w:cs="Arial"/>
          <w:color w:val="000000" w:themeColor="text1"/>
          <w:sz w:val="22"/>
          <w:lang w:val="es-CO"/>
        </w:rPr>
        <w:t xml:space="preserve">La experiencia general que se debe solicitar en este proceso de contratación es «CONSTRUCCIÓN O MEJORAMIENTO EN PAVIMENTO ASFALTICO O CONCRECTO HIDRÁÚLICO O PLACA HUELLA DE VÍAS PRIMARIAS O SECUNDARIAS O VÍAS TERCIARIAS O VÍAS URBANAS O PISTAS DE AEROPUERTOS». Al respecto, incluye una nota la cual dispone que «Será válida la experiencia que haya sido ejecutada a través de Construcción o Mejoramiento o Mantenimiento de Vías en Asfalto Natural o </w:t>
      </w:r>
      <w:proofErr w:type="spellStart"/>
      <w:r w:rsidRPr="00B57F79">
        <w:rPr>
          <w:rFonts w:ascii="Arial" w:eastAsia="Calibri" w:hAnsi="Arial" w:cs="Arial"/>
          <w:color w:val="000000" w:themeColor="text1"/>
          <w:sz w:val="22"/>
          <w:lang w:val="es-CO"/>
        </w:rPr>
        <w:t>Asfaltita</w:t>
      </w:r>
      <w:proofErr w:type="spellEnd"/>
      <w:r w:rsidRPr="00B57F79">
        <w:rPr>
          <w:rFonts w:ascii="Arial" w:eastAsia="Calibri" w:hAnsi="Arial" w:cs="Arial"/>
          <w:color w:val="000000" w:themeColor="text1"/>
          <w:sz w:val="22"/>
          <w:lang w:val="es-CO"/>
        </w:rPr>
        <w:t>». De ninguna manera la entidad podrá modificar la experiencia exigible, dado que así fue establecida en la «Matriz 1 – Experiencia».</w:t>
      </w:r>
    </w:p>
    <w:p w14:paraId="481DD3CF" w14:textId="3D14B7B6" w:rsidR="00F0755F" w:rsidRPr="00B57F79" w:rsidRDefault="00F0755F" w:rsidP="008C0AF6">
      <w:pPr>
        <w:spacing w:after="120" w:line="276" w:lineRule="auto"/>
        <w:ind w:firstLine="709"/>
        <w:jc w:val="both"/>
        <w:rPr>
          <w:rFonts w:ascii="Arial" w:eastAsia="Calibri" w:hAnsi="Arial" w:cs="Arial"/>
          <w:color w:val="000000" w:themeColor="text1"/>
          <w:sz w:val="22"/>
          <w:lang w:val="es-CO"/>
        </w:rPr>
      </w:pPr>
      <w:r w:rsidRPr="00B57F79">
        <w:rPr>
          <w:rFonts w:ascii="Arial" w:hAnsi="Arial" w:cs="Arial"/>
          <w:color w:val="000000" w:themeColor="text1"/>
          <w:sz w:val="22"/>
          <w:lang w:val="es-CO"/>
        </w:rPr>
        <w:t xml:space="preserve">d) </w:t>
      </w:r>
      <w:r w:rsidRPr="00B57F79">
        <w:rPr>
          <w:rFonts w:ascii="Arial" w:eastAsia="Calibri" w:hAnsi="Arial" w:cs="Arial"/>
          <w:color w:val="000000" w:themeColor="text1"/>
          <w:sz w:val="22"/>
          <w:lang w:val="es-CO"/>
        </w:rPr>
        <w:t xml:space="preserve">La experiencia específica depende de la cuantía del proceso de contratación: para contratos de menos de 100 SMMLV o entre 100 a 1.000 SMMLV, la entidad estatal no puede exigir experiencia específica en sus procesos de contratación; entre 1.001 y 27.000 SMMLV, la entidad deberá exigir por lo menos un contrato cuya longitud intervenida corresponda al 50% de la longitud de la vía a construir mediante el proceso de contratación; finalmente, cuando es mayor a 27.001 SMMLV, la entidad deberá exigir que por lo menos uno de los contratos válidos aportados acredite que la longitud intervenida corresponde al 100% de la longitud de vía a construir mediante el proceso de contratación. </w:t>
      </w:r>
    </w:p>
    <w:p w14:paraId="26D6DBCE" w14:textId="34729BBA" w:rsidR="000E00A8" w:rsidRPr="00B57F79" w:rsidRDefault="008C0AF6" w:rsidP="000E00A8">
      <w:pPr>
        <w:spacing w:after="120" w:line="276" w:lineRule="auto"/>
        <w:jc w:val="both"/>
        <w:rPr>
          <w:rFonts w:ascii="Arial" w:eastAsia="Calibri" w:hAnsi="Arial" w:cs="Arial"/>
          <w:color w:val="000000" w:themeColor="text1"/>
          <w:sz w:val="22"/>
          <w:lang w:val="es-CO"/>
        </w:rPr>
      </w:pPr>
      <w:r w:rsidRPr="00B57F79">
        <w:rPr>
          <w:rFonts w:ascii="Arial" w:eastAsia="Calibri" w:hAnsi="Arial" w:cs="Arial"/>
          <w:color w:val="000000" w:themeColor="text1"/>
          <w:sz w:val="22"/>
          <w:lang w:val="es-CO"/>
        </w:rPr>
        <w:tab/>
      </w:r>
      <w:r w:rsidR="000E00A8" w:rsidRPr="00B57F79">
        <w:rPr>
          <w:rFonts w:ascii="Arial" w:eastAsia="Calibri" w:hAnsi="Arial" w:cs="Arial"/>
          <w:color w:val="000000" w:themeColor="text1"/>
          <w:sz w:val="22"/>
          <w:lang w:val="es-CO"/>
        </w:rPr>
        <w:t>Para la aplicación de este último criterio es importante tener en cuenta que</w:t>
      </w:r>
      <w:r w:rsidR="001428CF" w:rsidRPr="00B57F79">
        <w:rPr>
          <w:rFonts w:ascii="Arial" w:eastAsia="Calibri" w:hAnsi="Arial" w:cs="Arial"/>
          <w:color w:val="000000" w:themeColor="text1"/>
          <w:sz w:val="22"/>
          <w:lang w:val="es-CO"/>
        </w:rPr>
        <w:t xml:space="preserve">, salvo </w:t>
      </w:r>
      <w:r w:rsidR="005216BC" w:rsidRPr="00B57F79">
        <w:rPr>
          <w:rFonts w:ascii="Arial" w:eastAsia="Calibri" w:hAnsi="Arial" w:cs="Arial"/>
          <w:color w:val="000000" w:themeColor="text1"/>
          <w:sz w:val="22"/>
          <w:lang w:val="es-CO"/>
        </w:rPr>
        <w:t>la ejecución</w:t>
      </w:r>
      <w:r w:rsidR="001428CF" w:rsidRPr="00B57F79">
        <w:rPr>
          <w:rFonts w:ascii="Arial" w:eastAsia="Calibri" w:hAnsi="Arial" w:cs="Arial"/>
          <w:color w:val="000000" w:themeColor="text1"/>
          <w:sz w:val="22"/>
          <w:lang w:val="es-CO"/>
        </w:rPr>
        <w:t xml:space="preserve"> por </w:t>
      </w:r>
      <w:r w:rsidR="005C24FC" w:rsidRPr="00B57F79">
        <w:rPr>
          <w:rFonts w:ascii="Arial" w:eastAsia="Calibri" w:hAnsi="Arial" w:cs="Arial"/>
          <w:color w:val="000000" w:themeColor="text1"/>
          <w:sz w:val="22"/>
          <w:lang w:val="es-CO"/>
        </w:rPr>
        <w:t>segmentos viales</w:t>
      </w:r>
      <w:r w:rsidR="001428CF" w:rsidRPr="00B57F79">
        <w:rPr>
          <w:rFonts w:ascii="Arial" w:eastAsia="Calibri" w:hAnsi="Arial" w:cs="Arial"/>
          <w:color w:val="000000" w:themeColor="text1"/>
          <w:sz w:val="22"/>
          <w:lang w:val="es-CO"/>
        </w:rPr>
        <w:t>,</w:t>
      </w:r>
      <w:r w:rsidR="000E00A8" w:rsidRPr="00B57F79">
        <w:rPr>
          <w:rFonts w:ascii="Arial" w:eastAsia="Calibri" w:hAnsi="Arial" w:cs="Arial"/>
          <w:color w:val="000000" w:themeColor="text1"/>
          <w:sz w:val="22"/>
          <w:lang w:val="es-CO"/>
        </w:rPr>
        <w:t xml:space="preserve"> la longitud de la vía equivale </w:t>
      </w:r>
      <w:r w:rsidR="00AF6FAC" w:rsidRPr="00B57F79">
        <w:rPr>
          <w:rFonts w:ascii="Arial" w:eastAsia="Calibri" w:hAnsi="Arial" w:cs="Arial"/>
          <w:color w:val="000000" w:themeColor="text1"/>
          <w:sz w:val="22"/>
          <w:lang w:val="es-CO"/>
        </w:rPr>
        <w:t>a la distancia en kilómetros lineales entre el punto de inicio y de finalización de las obras</w:t>
      </w:r>
      <w:r w:rsidR="000E00A8" w:rsidRPr="00B57F79">
        <w:rPr>
          <w:rFonts w:ascii="Arial" w:eastAsia="Calibri" w:hAnsi="Arial" w:cs="Arial"/>
          <w:color w:val="000000" w:themeColor="text1"/>
          <w:sz w:val="22"/>
          <w:lang w:val="es-CO"/>
        </w:rPr>
        <w:t xml:space="preserve">. Por ejemplo, si el tramo del proyecto se extiende desde el kilómetro 20+000 hasta el kilómetro 50+000, esto significa </w:t>
      </w:r>
      <w:r w:rsidR="000E00A8" w:rsidRPr="00B57F79">
        <w:rPr>
          <w:rFonts w:ascii="Arial" w:eastAsia="Calibri" w:hAnsi="Arial" w:cs="Arial"/>
          <w:color w:val="000000" w:themeColor="text1"/>
          <w:sz w:val="22"/>
          <w:lang w:val="es-CO"/>
        </w:rPr>
        <w:lastRenderedPageBreak/>
        <w:t xml:space="preserve">que la longitud de la vía a intervenir es de 30 kilómetros. Por tanto, para calcular la experiencia específica en función de la cuantía, el proponente deberá acreditar que en por los menos uno de los contratos que certifican la experiencia general intervino la mitad de la vía –15 kilómetros, cuando el valor del presupuesto oficial oscila entre los 1.001 y los 27.000 SMMLV– o su totalidad –30 kilómetros, si el presupuesto es mayor de 27.001 SMMLV–.  </w:t>
      </w:r>
    </w:p>
    <w:p w14:paraId="250F43CA" w14:textId="2BCD0304" w:rsidR="00727EAE" w:rsidRPr="00B57F79" w:rsidRDefault="000E00A8" w:rsidP="000E00A8">
      <w:pPr>
        <w:spacing w:after="120" w:line="276" w:lineRule="auto"/>
        <w:jc w:val="both"/>
        <w:rPr>
          <w:rFonts w:ascii="Arial" w:eastAsia="Calibri" w:hAnsi="Arial" w:cs="Arial"/>
          <w:color w:val="000000" w:themeColor="text1"/>
          <w:sz w:val="22"/>
          <w:lang w:val="es-CO"/>
        </w:rPr>
      </w:pPr>
      <w:r w:rsidRPr="00B57F79">
        <w:rPr>
          <w:rFonts w:ascii="Arial" w:eastAsia="Calibri" w:hAnsi="Arial" w:cs="Arial"/>
          <w:color w:val="000000" w:themeColor="text1"/>
          <w:sz w:val="22"/>
          <w:lang w:val="es-CO"/>
        </w:rPr>
        <w:tab/>
        <w:t xml:space="preserve">Esta conclusión no solo se sustenta en la interpretación literal de la «Matriz 1 – Experiencia» sino también en las definiciones del «Anexo 3 – Glosario». En efecto, el anexo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w:t>
      </w:r>
      <w:proofErr w:type="spellStart"/>
      <w:r w:rsidR="00BD3D5B" w:rsidRPr="00B57F79">
        <w:rPr>
          <w:rFonts w:ascii="Arial" w:eastAsia="Calibri" w:hAnsi="Arial" w:cs="Arial"/>
          <w:color w:val="000000" w:themeColor="text1"/>
          <w:sz w:val="22"/>
          <w:lang w:val="es-CO"/>
        </w:rPr>
        <w:t>intevenir</w:t>
      </w:r>
      <w:proofErr w:type="spellEnd"/>
      <w:r w:rsidRPr="00B57F79">
        <w:rPr>
          <w:rFonts w:ascii="Arial" w:eastAsia="Calibri" w:hAnsi="Arial" w:cs="Arial"/>
          <w:color w:val="000000" w:themeColor="text1"/>
          <w:sz w:val="22"/>
          <w:lang w:val="es-CO"/>
        </w:rPr>
        <w:t xml:space="preserve"> […]», el porcentaje requerido para acreditar la experiencia específica del proponente equivale a la distancia en kilómetros lineales entre el punto de inicio y de finalización de las obras, o como la longitud total producto de la sumatoria de tramos discontinuos de intervención en el escenario en el cual sea realizado por segmentos viales.</w:t>
      </w:r>
      <w:r w:rsidR="007D55E9" w:rsidRPr="00B57F79">
        <w:rPr>
          <w:rFonts w:ascii="Arial" w:eastAsia="Calibri" w:hAnsi="Arial" w:cs="Arial"/>
          <w:color w:val="000000" w:themeColor="text1"/>
          <w:sz w:val="22"/>
          <w:lang w:val="es-CO"/>
        </w:rPr>
        <w:t xml:space="preserve"> Esta longitud debe precisarla la entidad contratante en los documentos del proceso con el fin de facilitar a los proponentes la acreditación de la experiencia específica.</w:t>
      </w:r>
      <w:r w:rsidRPr="00B57F79">
        <w:rPr>
          <w:rFonts w:ascii="Arial" w:eastAsia="Calibri" w:hAnsi="Arial" w:cs="Arial"/>
          <w:color w:val="000000" w:themeColor="text1"/>
          <w:sz w:val="22"/>
          <w:lang w:val="es-CO"/>
        </w:rPr>
        <w:t xml:space="preserve"> </w:t>
      </w:r>
      <w:r w:rsidR="008C0AF6" w:rsidRPr="00B57F79">
        <w:rPr>
          <w:rFonts w:ascii="Arial" w:eastAsia="Calibri" w:hAnsi="Arial" w:cs="Arial"/>
          <w:color w:val="000000" w:themeColor="text1"/>
          <w:sz w:val="22"/>
          <w:lang w:val="es-CO"/>
        </w:rPr>
        <w:t xml:space="preserve"> </w:t>
      </w:r>
    </w:p>
    <w:p w14:paraId="21A1D996" w14:textId="23CD7EFF" w:rsidR="00FB0D40" w:rsidRPr="00B57F79" w:rsidRDefault="008C0AF6" w:rsidP="00FB0D40">
      <w:pPr>
        <w:spacing w:after="120" w:line="276" w:lineRule="auto"/>
        <w:ind w:firstLine="708"/>
        <w:jc w:val="both"/>
        <w:rPr>
          <w:rFonts w:ascii="Arial" w:hAnsi="Arial" w:cs="Arial"/>
          <w:color w:val="000000" w:themeColor="text1"/>
          <w:sz w:val="22"/>
          <w:lang w:val="es-CO"/>
        </w:rPr>
      </w:pPr>
      <w:r w:rsidRPr="00B57F79">
        <w:rPr>
          <w:rFonts w:ascii="Arial" w:hAnsi="Arial" w:cs="Arial"/>
          <w:color w:val="000000" w:themeColor="text1"/>
          <w:sz w:val="22"/>
          <w:lang w:val="es-CO"/>
        </w:rPr>
        <w:t>En síntesis</w:t>
      </w:r>
      <w:r w:rsidR="00F0755F" w:rsidRPr="00B57F79">
        <w:rPr>
          <w:rFonts w:ascii="Arial" w:hAnsi="Arial" w:cs="Arial"/>
          <w:color w:val="000000" w:themeColor="text1"/>
          <w:sz w:val="22"/>
          <w:lang w:val="es-CO"/>
        </w:rPr>
        <w:t xml:space="preserve">, la </w:t>
      </w:r>
      <w:r w:rsidR="00F0755F" w:rsidRPr="00B57F79">
        <w:rPr>
          <w:rFonts w:ascii="Arial" w:eastAsia="Calibri" w:hAnsi="Arial" w:cs="Arial"/>
          <w:color w:val="000000" w:themeColor="text1"/>
          <w:sz w:val="22"/>
          <w:lang w:val="es-CO"/>
        </w:rPr>
        <w:t>«</w:t>
      </w:r>
      <w:r w:rsidR="00F0755F" w:rsidRPr="00B57F79">
        <w:rPr>
          <w:rFonts w:ascii="Arial" w:hAnsi="Arial" w:cs="Arial"/>
          <w:color w:val="000000" w:themeColor="text1"/>
          <w:sz w:val="22"/>
          <w:lang w:val="es-CO"/>
        </w:rPr>
        <w:t>experiencia general</w:t>
      </w:r>
      <w:r w:rsidR="00F0755F" w:rsidRPr="00B57F79">
        <w:rPr>
          <w:rFonts w:ascii="Arial" w:eastAsia="Calibri" w:hAnsi="Arial" w:cs="Arial"/>
          <w:color w:val="000000" w:themeColor="text1"/>
          <w:sz w:val="22"/>
          <w:lang w:val="es-CO"/>
        </w:rPr>
        <w:t>»</w:t>
      </w:r>
      <w:r w:rsidR="00F0755F" w:rsidRPr="00B57F79">
        <w:rPr>
          <w:rFonts w:ascii="Arial" w:hAnsi="Arial" w:cs="Arial"/>
          <w:color w:val="000000" w:themeColor="text1"/>
          <w:sz w:val="22"/>
          <w:lang w:val="es-CO"/>
        </w:rPr>
        <w:t xml:space="preserve"> y la </w:t>
      </w:r>
      <w:r w:rsidR="00F0755F" w:rsidRPr="00B57F79">
        <w:rPr>
          <w:rFonts w:ascii="Arial" w:eastAsia="Calibri" w:hAnsi="Arial" w:cs="Arial"/>
          <w:color w:val="000000" w:themeColor="text1"/>
          <w:sz w:val="22"/>
          <w:lang w:val="es-CO"/>
        </w:rPr>
        <w:t>«</w:t>
      </w:r>
      <w:r w:rsidR="00F0755F" w:rsidRPr="00B57F79">
        <w:rPr>
          <w:rFonts w:ascii="Arial" w:hAnsi="Arial" w:cs="Arial"/>
          <w:color w:val="000000" w:themeColor="text1"/>
          <w:sz w:val="22"/>
          <w:lang w:val="es-CO"/>
        </w:rPr>
        <w:t>experiencia específica</w:t>
      </w:r>
      <w:r w:rsidR="00F0755F" w:rsidRPr="00B57F79">
        <w:rPr>
          <w:rFonts w:ascii="Arial" w:eastAsia="Calibri" w:hAnsi="Arial" w:cs="Arial"/>
          <w:color w:val="000000" w:themeColor="text1"/>
          <w:sz w:val="22"/>
          <w:lang w:val="es-CO"/>
        </w:rPr>
        <w:t>»</w:t>
      </w:r>
      <w:r w:rsidR="00F0755F" w:rsidRPr="00B57F79">
        <w:rPr>
          <w:rFonts w:ascii="Arial" w:hAnsi="Arial" w:cs="Arial"/>
          <w:color w:val="000000" w:themeColor="text1"/>
          <w:sz w:val="22"/>
          <w:lang w:val="es-CO"/>
        </w:rPr>
        <w:t xml:space="preserve">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 </w:t>
      </w:r>
    </w:p>
    <w:p w14:paraId="368673CD" w14:textId="202ABBDA" w:rsidR="00904CD9" w:rsidRDefault="00F0755F" w:rsidP="00DE7D58">
      <w:pPr>
        <w:spacing w:before="120" w:after="120" w:line="276" w:lineRule="auto"/>
        <w:ind w:firstLine="709"/>
        <w:jc w:val="both"/>
        <w:rPr>
          <w:rStyle w:val="normaltextrun"/>
          <w:rFonts w:ascii="Arial" w:hAnsi="Arial" w:cs="Arial"/>
          <w:color w:val="000000"/>
          <w:sz w:val="22"/>
          <w:shd w:val="clear" w:color="auto" w:fill="FFFFFF"/>
          <w:lang w:val="es-ES"/>
        </w:rPr>
      </w:pPr>
      <w:r w:rsidRPr="00B57F79">
        <w:rPr>
          <w:rFonts w:ascii="Arial" w:hAnsi="Arial" w:cs="Arial"/>
          <w:color w:val="000000" w:themeColor="text1"/>
          <w:sz w:val="22"/>
          <w:lang w:val="es-CO"/>
        </w:rPr>
        <w:t>De esta forma</w:t>
      </w:r>
      <w:r w:rsidRPr="00B57F79">
        <w:rPr>
          <w:rStyle w:val="normaltextrun"/>
          <w:rFonts w:ascii="Arial" w:hAnsi="Arial" w:cs="Arial"/>
          <w:color w:val="000000"/>
          <w:sz w:val="22"/>
          <w:shd w:val="clear" w:color="auto" w:fill="FFFFFF"/>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w:t>
      </w:r>
      <w:r w:rsidR="00F803F1" w:rsidRPr="00B57F79">
        <w:rPr>
          <w:rStyle w:val="normaltextrun"/>
          <w:rFonts w:ascii="Arial" w:hAnsi="Arial" w:cs="Arial"/>
          <w:color w:val="000000"/>
          <w:sz w:val="22"/>
          <w:shd w:val="clear" w:color="auto" w:fill="FFFFFF"/>
          <w:lang w:val="es-ES"/>
        </w:rPr>
        <w:t>í</w:t>
      </w:r>
      <w:r w:rsidRPr="00B57F79">
        <w:rPr>
          <w:rStyle w:val="normaltextrun"/>
          <w:rFonts w:ascii="Arial" w:hAnsi="Arial" w:cs="Arial"/>
          <w:color w:val="000000"/>
          <w:sz w:val="22"/>
          <w:shd w:val="clear" w:color="auto" w:fill="FFFFFF"/>
          <w:lang w:val="es-ES"/>
        </w:rPr>
        <w:t>fica.</w:t>
      </w:r>
    </w:p>
    <w:p w14:paraId="2093FCF0" w14:textId="44A01928" w:rsidR="00C17996" w:rsidRDefault="00527891" w:rsidP="00DE7D58">
      <w:pPr>
        <w:spacing w:line="276" w:lineRule="auto"/>
        <w:ind w:firstLine="708"/>
        <w:jc w:val="both"/>
        <w:rPr>
          <w:rFonts w:ascii="Arial" w:eastAsia="Calibri" w:hAnsi="Arial" w:cs="Arial"/>
          <w:sz w:val="22"/>
          <w:lang w:val="es-CO"/>
        </w:rPr>
      </w:pPr>
      <w:r>
        <w:rPr>
          <w:rStyle w:val="normaltextrun"/>
          <w:rFonts w:ascii="Arial" w:hAnsi="Arial" w:cs="Arial"/>
          <w:color w:val="000000"/>
          <w:sz w:val="22"/>
          <w:shd w:val="clear" w:color="auto" w:fill="FFFFFF"/>
          <w:lang w:val="es-ES"/>
        </w:rPr>
        <w:t>Ahora bien,</w:t>
      </w:r>
      <w:r w:rsidR="003914FA">
        <w:rPr>
          <w:rStyle w:val="normaltextrun"/>
          <w:rFonts w:ascii="Arial" w:hAnsi="Arial" w:cs="Arial"/>
          <w:color w:val="000000"/>
          <w:sz w:val="22"/>
          <w:shd w:val="clear" w:color="auto" w:fill="FFFFFF"/>
          <w:lang w:val="es-ES"/>
        </w:rPr>
        <w:t xml:space="preserve"> respecto a la actividad a contratar,</w:t>
      </w:r>
      <w:r w:rsidR="00E45E0B">
        <w:rPr>
          <w:rStyle w:val="normaltextrun"/>
          <w:rFonts w:ascii="Arial" w:hAnsi="Arial" w:cs="Arial"/>
          <w:color w:val="000000"/>
          <w:sz w:val="22"/>
          <w:shd w:val="clear" w:color="auto" w:fill="FFFFFF"/>
          <w:lang w:val="es-ES"/>
        </w:rPr>
        <w:t xml:space="preserve"> también es necesario tener en cuenta que</w:t>
      </w:r>
      <w:r>
        <w:rPr>
          <w:rStyle w:val="normaltextrun"/>
          <w:rFonts w:ascii="Arial" w:hAnsi="Arial" w:cs="Arial"/>
          <w:color w:val="000000"/>
          <w:sz w:val="22"/>
          <w:shd w:val="clear" w:color="auto" w:fill="FFFFFF"/>
          <w:lang w:val="es-ES"/>
        </w:rPr>
        <w:t xml:space="preserve"> </w:t>
      </w:r>
      <w:r w:rsidR="00C17996" w:rsidRPr="00B57F79">
        <w:rPr>
          <w:rFonts w:ascii="Arial" w:eastAsia="Calibri" w:hAnsi="Arial" w:cs="Arial"/>
          <w:sz w:val="22"/>
          <w:lang w:val="es-CO"/>
        </w:rPr>
        <w:t xml:space="preserve">la definición </w:t>
      </w:r>
      <w:r w:rsidR="00460FD4">
        <w:rPr>
          <w:rFonts w:ascii="Arial" w:eastAsia="Calibri" w:hAnsi="Arial" w:cs="Arial"/>
          <w:sz w:val="22"/>
          <w:lang w:val="es-CO"/>
        </w:rPr>
        <w:t>de</w:t>
      </w:r>
      <w:r w:rsidR="00C17996" w:rsidRPr="00B57F79">
        <w:rPr>
          <w:rFonts w:ascii="Arial" w:eastAsia="Calibri" w:hAnsi="Arial" w:cs="Arial"/>
          <w:sz w:val="22"/>
          <w:lang w:val="es-CO"/>
        </w:rPr>
        <w:t xml:space="preserve"> </w:t>
      </w:r>
      <w:r w:rsidR="00C17996">
        <w:rPr>
          <w:rFonts w:ascii="Arial" w:eastAsia="Calibri" w:hAnsi="Arial" w:cs="Arial"/>
          <w:sz w:val="22"/>
          <w:lang w:val="es-CO"/>
        </w:rPr>
        <w:t>e</w:t>
      </w:r>
      <w:r w:rsidR="00C17996" w:rsidRPr="00B57F79">
        <w:rPr>
          <w:rFonts w:ascii="Arial" w:eastAsia="Calibri" w:hAnsi="Arial" w:cs="Arial"/>
          <w:sz w:val="22"/>
          <w:lang w:val="es-CO"/>
        </w:rPr>
        <w:t xml:space="preserve">spacio </w:t>
      </w:r>
      <w:r w:rsidR="00C17996">
        <w:rPr>
          <w:rFonts w:ascii="Arial" w:eastAsia="Calibri" w:hAnsi="Arial" w:cs="Arial"/>
          <w:sz w:val="22"/>
          <w:lang w:val="es-CO"/>
        </w:rPr>
        <w:t>p</w:t>
      </w:r>
      <w:r w:rsidR="00C17996" w:rsidRPr="00B57F79">
        <w:rPr>
          <w:rFonts w:ascii="Arial" w:eastAsia="Calibri" w:hAnsi="Arial" w:cs="Arial"/>
          <w:sz w:val="22"/>
          <w:lang w:val="es-CO"/>
        </w:rPr>
        <w:t xml:space="preserve">úblico asociado a la infraestructura de transporte no establece una lista taxativa de </w:t>
      </w:r>
      <w:r w:rsidR="00641EB9">
        <w:rPr>
          <w:rFonts w:ascii="Arial" w:eastAsia="Calibri" w:hAnsi="Arial" w:cs="Arial"/>
          <w:sz w:val="22"/>
          <w:lang w:val="es-CO"/>
        </w:rPr>
        <w:t>labores</w:t>
      </w:r>
      <w:r w:rsidR="00C17996" w:rsidRPr="00B57F79">
        <w:rPr>
          <w:rFonts w:ascii="Arial" w:eastAsia="Calibri" w:hAnsi="Arial" w:cs="Arial"/>
          <w:sz w:val="22"/>
          <w:lang w:val="es-CO"/>
        </w:rPr>
        <w:t xml:space="preserve"> que se consideran como experiencia</w:t>
      </w:r>
      <w:r w:rsidR="003960C7">
        <w:rPr>
          <w:rFonts w:ascii="Arial" w:eastAsia="Calibri" w:hAnsi="Arial" w:cs="Arial"/>
          <w:sz w:val="22"/>
          <w:lang w:val="es-CO"/>
        </w:rPr>
        <w:t>.</w:t>
      </w:r>
      <w:r w:rsidR="00C17996" w:rsidRPr="00B57F79">
        <w:rPr>
          <w:rFonts w:ascii="Arial" w:eastAsia="Calibri" w:hAnsi="Arial" w:cs="Arial"/>
          <w:sz w:val="22"/>
          <w:lang w:val="es-CO"/>
        </w:rPr>
        <w:t xml:space="preserve"> </w:t>
      </w:r>
      <w:r w:rsidR="003960C7">
        <w:rPr>
          <w:rFonts w:ascii="Arial" w:eastAsia="Calibri" w:hAnsi="Arial" w:cs="Arial"/>
          <w:sz w:val="22"/>
          <w:lang w:val="es-CO"/>
        </w:rPr>
        <w:t>P</w:t>
      </w:r>
      <w:r w:rsidR="00C17996" w:rsidRPr="00B57F79">
        <w:rPr>
          <w:rFonts w:ascii="Arial" w:eastAsia="Calibri" w:hAnsi="Arial" w:cs="Arial"/>
          <w:sz w:val="22"/>
          <w:lang w:val="es-CO"/>
        </w:rPr>
        <w:t xml:space="preserve">or el contrario, </w:t>
      </w:r>
      <w:r w:rsidR="00A34378">
        <w:rPr>
          <w:rFonts w:ascii="Arial" w:eastAsia="Calibri" w:hAnsi="Arial" w:cs="Arial"/>
          <w:sz w:val="22"/>
          <w:lang w:val="es-CO"/>
        </w:rPr>
        <w:t>los documentos tipo disponen</w:t>
      </w:r>
      <w:r w:rsidR="00C17996" w:rsidRPr="00B57F79">
        <w:rPr>
          <w:rFonts w:ascii="Arial" w:eastAsia="Calibri" w:hAnsi="Arial" w:cs="Arial"/>
          <w:sz w:val="22"/>
          <w:lang w:val="es-CO"/>
        </w:rPr>
        <w:t xml:space="preserve"> una lista enunciativa de </w:t>
      </w:r>
      <w:r w:rsidR="00641EB9">
        <w:rPr>
          <w:rFonts w:ascii="Arial" w:eastAsia="Calibri" w:hAnsi="Arial" w:cs="Arial"/>
          <w:sz w:val="22"/>
          <w:lang w:val="es-CO"/>
        </w:rPr>
        <w:t>aquellas</w:t>
      </w:r>
      <w:r w:rsidR="00C17996" w:rsidRPr="00B57F79">
        <w:rPr>
          <w:rFonts w:ascii="Arial" w:eastAsia="Calibri" w:hAnsi="Arial" w:cs="Arial"/>
          <w:sz w:val="22"/>
          <w:lang w:val="es-CO"/>
        </w:rPr>
        <w:t>.</w:t>
      </w:r>
      <w:r w:rsidR="00C17996">
        <w:rPr>
          <w:rFonts w:ascii="Arial" w:eastAsia="Calibri" w:hAnsi="Arial" w:cs="Arial"/>
          <w:sz w:val="22"/>
          <w:lang w:val="es-CO"/>
        </w:rPr>
        <w:t xml:space="preserve"> Al respecto, </w:t>
      </w:r>
      <w:r w:rsidR="00641EB9">
        <w:rPr>
          <w:rFonts w:ascii="Arial" w:eastAsia="Calibri" w:hAnsi="Arial" w:cs="Arial"/>
          <w:sz w:val="22"/>
          <w:lang w:val="es-CO"/>
        </w:rPr>
        <w:t>el</w:t>
      </w:r>
      <w:r w:rsidR="00881730">
        <w:rPr>
          <w:rFonts w:ascii="Arial" w:eastAsia="Calibri" w:hAnsi="Arial" w:cs="Arial"/>
          <w:sz w:val="22"/>
          <w:lang w:val="es-CO"/>
        </w:rPr>
        <w:t xml:space="preserve"> numeral </w:t>
      </w:r>
      <w:r w:rsidR="0052099D">
        <w:rPr>
          <w:rFonts w:ascii="Arial" w:eastAsia="Calibri" w:hAnsi="Arial" w:cs="Arial"/>
          <w:sz w:val="22"/>
          <w:lang w:val="es-CO"/>
        </w:rPr>
        <w:t>2.36 del</w:t>
      </w:r>
      <w:r w:rsidR="00641EB9">
        <w:rPr>
          <w:rFonts w:ascii="Arial" w:eastAsia="Calibri" w:hAnsi="Arial" w:cs="Arial"/>
          <w:sz w:val="22"/>
          <w:lang w:val="es-CO"/>
        </w:rPr>
        <w:t xml:space="preserve"> </w:t>
      </w:r>
      <w:r w:rsidR="00881730">
        <w:rPr>
          <w:rFonts w:ascii="Arial" w:eastAsia="Calibri" w:hAnsi="Arial" w:cs="Arial"/>
          <w:sz w:val="22"/>
          <w:lang w:val="es-CO"/>
        </w:rPr>
        <w:t xml:space="preserve">«Anexo 3 – Glosario» </w:t>
      </w:r>
      <w:r w:rsidR="0052099D">
        <w:rPr>
          <w:rFonts w:ascii="Arial" w:eastAsia="Calibri" w:hAnsi="Arial" w:cs="Arial"/>
          <w:sz w:val="22"/>
          <w:lang w:val="es-CO"/>
        </w:rPr>
        <w:t>lo define como</w:t>
      </w:r>
      <w:r w:rsidR="00C17996">
        <w:rPr>
          <w:rFonts w:ascii="Arial" w:eastAsia="Calibri" w:hAnsi="Arial" w:cs="Arial"/>
          <w:sz w:val="22"/>
          <w:lang w:val="es-CO"/>
        </w:rPr>
        <w:t xml:space="preserve">: </w:t>
      </w:r>
      <w:r w:rsidR="00C17996" w:rsidRPr="00B57F79">
        <w:rPr>
          <w:rFonts w:ascii="Arial" w:eastAsia="Calibri" w:hAnsi="Arial" w:cs="Arial"/>
          <w:sz w:val="22"/>
          <w:lang w:val="es-CO"/>
        </w:rPr>
        <w:t xml:space="preserve"> </w:t>
      </w:r>
    </w:p>
    <w:p w14:paraId="685B5814" w14:textId="77777777" w:rsidR="00C17996" w:rsidRDefault="00C17996" w:rsidP="00C17996">
      <w:pPr>
        <w:spacing w:line="276" w:lineRule="auto"/>
        <w:jc w:val="both"/>
        <w:rPr>
          <w:rFonts w:ascii="Arial" w:eastAsia="Calibri" w:hAnsi="Arial" w:cs="Arial"/>
          <w:sz w:val="22"/>
          <w:lang w:val="es-CO"/>
        </w:rPr>
      </w:pPr>
    </w:p>
    <w:p w14:paraId="134EEFC1" w14:textId="37F2AB5E" w:rsidR="00C17996" w:rsidRPr="00DE7D58" w:rsidRDefault="000E2297" w:rsidP="00DE7D58">
      <w:pPr>
        <w:autoSpaceDE w:val="0"/>
        <w:autoSpaceDN w:val="0"/>
        <w:adjustRightInd w:val="0"/>
        <w:ind w:left="709" w:right="709"/>
        <w:jc w:val="both"/>
        <w:rPr>
          <w:rFonts w:ascii="Arial" w:eastAsia="Times New Roman" w:hAnsi="Arial" w:cs="Times New Roman"/>
          <w:sz w:val="21"/>
          <w:szCs w:val="21"/>
          <w:lang w:val="es-ES" w:eastAsia="es-ES"/>
        </w:rPr>
      </w:pPr>
      <w:r>
        <w:rPr>
          <w:rFonts w:ascii="Arial" w:eastAsia="Times New Roman" w:hAnsi="Arial" w:cs="Times New Roman"/>
          <w:b/>
          <w:sz w:val="21"/>
          <w:szCs w:val="21"/>
          <w:lang w:val="es-ES" w:eastAsia="es-ES"/>
        </w:rPr>
        <w:t xml:space="preserve">2.36. </w:t>
      </w:r>
      <w:r w:rsidR="00C17996" w:rsidRPr="00DE7D58">
        <w:rPr>
          <w:rFonts w:ascii="Arial" w:eastAsia="Times New Roman" w:hAnsi="Arial" w:cs="Times New Roman"/>
          <w:b/>
          <w:sz w:val="21"/>
          <w:szCs w:val="21"/>
          <w:lang w:val="es-ES" w:eastAsia="es-ES"/>
        </w:rPr>
        <w:t xml:space="preserve">Espacio Público Asociado a la Infraestructura de Transporte: </w:t>
      </w:r>
      <w:r w:rsidR="00C17996" w:rsidRPr="00DE7D58">
        <w:rPr>
          <w:rFonts w:ascii="Arial" w:eastAsia="Times New Roman" w:hAnsi="Arial" w:cs="Times New Roman"/>
          <w:sz w:val="21"/>
          <w:szCs w:val="21"/>
          <w:lang w:val="es-ES" w:eastAsia="es-ES"/>
        </w:rPr>
        <w:t xml:space="preserve">Elementos constitutivos artificiales o construidos, tales como:  </w:t>
      </w:r>
    </w:p>
    <w:p w14:paraId="3E1A784C" w14:textId="77777777" w:rsidR="0052099D" w:rsidRPr="00090683" w:rsidRDefault="0052099D" w:rsidP="00DE7D58">
      <w:pPr>
        <w:pStyle w:val="Prrafodelista"/>
        <w:autoSpaceDE w:val="0"/>
        <w:autoSpaceDN w:val="0"/>
        <w:adjustRightInd w:val="0"/>
        <w:ind w:left="1134" w:right="709"/>
        <w:jc w:val="both"/>
        <w:rPr>
          <w:rFonts w:ascii="Arial" w:eastAsia="Times New Roman" w:hAnsi="Arial" w:cs="Times New Roman"/>
          <w:sz w:val="21"/>
          <w:szCs w:val="21"/>
          <w:lang w:val="es-ES" w:eastAsia="es-ES"/>
        </w:rPr>
      </w:pPr>
    </w:p>
    <w:p w14:paraId="56507596" w14:textId="77777777" w:rsidR="00C17996" w:rsidRPr="00090683" w:rsidRDefault="00C17996" w:rsidP="00DE7D58">
      <w:pPr>
        <w:ind w:left="709" w:right="709"/>
        <w:contextualSpacing/>
        <w:rPr>
          <w:rFonts w:ascii="Arial" w:eastAsia="Arial" w:hAnsi="Arial" w:cs="Times New Roman"/>
          <w:sz w:val="21"/>
          <w:szCs w:val="21"/>
          <w:lang w:val="es-ES"/>
        </w:rPr>
      </w:pPr>
      <w:r w:rsidRPr="00090683">
        <w:rPr>
          <w:rFonts w:ascii="Arial" w:eastAsia="Arial" w:hAnsi="Arial" w:cs="Times New Roman"/>
          <w:sz w:val="21"/>
          <w:szCs w:val="21"/>
          <w:lang w:val="es-ES"/>
        </w:rPr>
        <w:lastRenderedPageBreak/>
        <w:t xml:space="preserve">Áreas integrantes de los perfiles viales peatonal y vehicular, constituidas por: </w:t>
      </w:r>
    </w:p>
    <w:p w14:paraId="67BBD75A" w14:textId="77777777" w:rsidR="00C17996" w:rsidRPr="00090683" w:rsidRDefault="00C17996" w:rsidP="00C17996">
      <w:pPr>
        <w:ind w:left="709" w:right="709"/>
        <w:contextualSpacing/>
        <w:rPr>
          <w:rFonts w:ascii="Arial" w:eastAsia="Arial" w:hAnsi="Arial" w:cs="Times New Roman"/>
          <w:sz w:val="21"/>
          <w:szCs w:val="21"/>
          <w:lang w:val="es-ES"/>
        </w:rPr>
      </w:pPr>
    </w:p>
    <w:p w14:paraId="2C418C0F" w14:textId="77777777" w:rsidR="00C17996" w:rsidRPr="00090683" w:rsidRDefault="00C17996" w:rsidP="00C17996">
      <w:pPr>
        <w:numPr>
          <w:ilvl w:val="1"/>
          <w:numId w:val="13"/>
        </w:numPr>
        <w:ind w:left="709" w:right="709"/>
        <w:contextualSpacing/>
        <w:jc w:val="both"/>
        <w:rPr>
          <w:rFonts w:ascii="Arial" w:eastAsia="Arial" w:hAnsi="Arial" w:cs="Times New Roman"/>
          <w:sz w:val="21"/>
          <w:szCs w:val="21"/>
          <w:lang w:val="es-ES"/>
        </w:rPr>
      </w:pPr>
      <w:r w:rsidRPr="00090683">
        <w:rPr>
          <w:rFonts w:ascii="Arial" w:eastAsia="Arial" w:hAnsi="Arial" w:cs="Times New Roman"/>
          <w:sz w:val="21"/>
          <w:szCs w:val="21"/>
          <w:lang w:val="es-ES"/>
        </w:rPr>
        <w:t xml:space="preserve">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090683">
        <w:rPr>
          <w:rFonts w:ascii="Arial" w:eastAsia="Arial" w:hAnsi="Arial" w:cs="Times New Roman"/>
          <w:sz w:val="21"/>
          <w:szCs w:val="21"/>
          <w:lang w:val="es-ES"/>
        </w:rPr>
        <w:t>ciclopistas</w:t>
      </w:r>
      <w:proofErr w:type="spellEnd"/>
      <w:r w:rsidRPr="00090683">
        <w:rPr>
          <w:rFonts w:ascii="Arial" w:eastAsia="Arial" w:hAnsi="Arial" w:cs="Times New Roman"/>
          <w:sz w:val="21"/>
          <w:szCs w:val="21"/>
          <w:lang w:val="es-ES"/>
        </w:rPr>
        <w:t xml:space="preserve">, ciclovías, estacionamiento para bicicletas, estacionamiento para motocicletas, estacionamiento bajo espacio público, zonas azules, bahías de estacionamiento, bermas, separadores, reductores de velocidad, calzadas, carriles. </w:t>
      </w:r>
    </w:p>
    <w:p w14:paraId="69A6F8A8" w14:textId="77777777" w:rsidR="00C17996" w:rsidRPr="00090683" w:rsidRDefault="00C17996" w:rsidP="00C17996">
      <w:pPr>
        <w:ind w:left="709" w:right="709"/>
        <w:contextualSpacing/>
        <w:jc w:val="both"/>
        <w:rPr>
          <w:rFonts w:ascii="Arial" w:eastAsia="Arial" w:hAnsi="Arial" w:cs="Times New Roman"/>
          <w:sz w:val="21"/>
          <w:szCs w:val="21"/>
          <w:lang w:val="es-ES"/>
        </w:rPr>
      </w:pPr>
    </w:p>
    <w:p w14:paraId="459E43BC" w14:textId="77777777" w:rsidR="00C17996" w:rsidRPr="00090683" w:rsidRDefault="00C17996" w:rsidP="00C17996">
      <w:pPr>
        <w:numPr>
          <w:ilvl w:val="1"/>
          <w:numId w:val="13"/>
        </w:numPr>
        <w:ind w:left="709" w:right="709"/>
        <w:contextualSpacing/>
        <w:jc w:val="both"/>
        <w:rPr>
          <w:rFonts w:ascii="Arial" w:eastAsia="Arial" w:hAnsi="Arial" w:cs="Times New Roman"/>
          <w:sz w:val="21"/>
          <w:szCs w:val="21"/>
          <w:lang w:val="es-ES"/>
        </w:rPr>
      </w:pPr>
      <w:r w:rsidRPr="00090683">
        <w:rPr>
          <w:rFonts w:ascii="Arial" w:eastAsia="Arial" w:hAnsi="Arial" w:cs="Times New Roman"/>
          <w:sz w:val="21"/>
          <w:szCs w:val="21"/>
          <w:lang w:val="es-ES"/>
        </w:rPr>
        <w:t xml:space="preserve">Los componentes de los cruces o intersecciones, tales como: esquinas, glorietas, orejas, puentes vehiculares, túneles y viaductos. </w:t>
      </w:r>
    </w:p>
    <w:p w14:paraId="6399630E" w14:textId="77777777" w:rsidR="00C17996" w:rsidRPr="00090683" w:rsidRDefault="00C17996" w:rsidP="00C17996">
      <w:pPr>
        <w:ind w:left="709" w:right="709"/>
        <w:contextualSpacing/>
        <w:rPr>
          <w:rFonts w:ascii="Arial" w:eastAsia="Arial" w:hAnsi="Arial" w:cs="Times New Roman"/>
          <w:sz w:val="21"/>
          <w:szCs w:val="21"/>
          <w:lang w:val="es-ES"/>
        </w:rPr>
      </w:pPr>
    </w:p>
    <w:p w14:paraId="0E79EF2C" w14:textId="77777777" w:rsidR="00C17996" w:rsidRPr="00090683" w:rsidRDefault="00C17996" w:rsidP="00C17996">
      <w:pPr>
        <w:ind w:left="709" w:right="709"/>
        <w:jc w:val="both"/>
        <w:rPr>
          <w:rFonts w:ascii="Arial" w:eastAsia="Arial" w:hAnsi="Arial" w:cs="Times New Roman"/>
          <w:sz w:val="21"/>
          <w:szCs w:val="21"/>
          <w:lang w:val="es-ES"/>
        </w:rPr>
      </w:pPr>
      <w:r w:rsidRPr="00090683">
        <w:rPr>
          <w:rFonts w:ascii="Arial" w:eastAsia="Arial" w:hAnsi="Arial" w:cs="Times New Roman"/>
          <w:sz w:val="21"/>
          <w:szCs w:val="21"/>
          <w:lang w:val="es-ES"/>
        </w:rPr>
        <w:t xml:space="preserve">Para los fines de los Documentos Tipo se entiende que estos elementos del Espacio Público deberán estar asociados o vinculados a una infraestructura de transporte. </w:t>
      </w:r>
    </w:p>
    <w:p w14:paraId="76D931B7" w14:textId="77777777" w:rsidR="00C17996" w:rsidRDefault="00C17996" w:rsidP="00C17996">
      <w:pPr>
        <w:spacing w:line="276" w:lineRule="auto"/>
        <w:jc w:val="both"/>
        <w:rPr>
          <w:rFonts w:ascii="Arial" w:eastAsia="Calibri" w:hAnsi="Arial" w:cs="Arial"/>
          <w:sz w:val="22"/>
          <w:lang w:val="es-CO"/>
        </w:rPr>
      </w:pPr>
    </w:p>
    <w:p w14:paraId="22754B93" w14:textId="678B1DAC" w:rsidR="00527891" w:rsidRPr="00DE7D58" w:rsidRDefault="00C17996" w:rsidP="00DE7D58">
      <w:pPr>
        <w:spacing w:line="276" w:lineRule="auto"/>
        <w:ind w:firstLine="708"/>
        <w:jc w:val="both"/>
        <w:rPr>
          <w:rStyle w:val="normaltextrun"/>
          <w:rFonts w:ascii="Arial" w:eastAsia="Calibri" w:hAnsi="Arial" w:cs="Arial"/>
          <w:sz w:val="22"/>
          <w:lang w:val="es-CO"/>
        </w:rPr>
      </w:pPr>
      <w:r w:rsidRPr="00B57F79">
        <w:rPr>
          <w:rFonts w:ascii="Arial" w:eastAsia="Calibri" w:hAnsi="Arial" w:cs="Arial"/>
          <w:sz w:val="22"/>
          <w:lang w:val="es-CO"/>
        </w:rPr>
        <w:t xml:space="preserve">En este sentido, debe revisarse si la actividad que se solicita como experiencia está relacionada con lo prescrito en el Glosario </w:t>
      </w:r>
      <w:r>
        <w:rPr>
          <w:rFonts w:ascii="Arial" w:eastAsia="Calibri" w:hAnsi="Arial" w:cs="Arial"/>
          <w:sz w:val="22"/>
          <w:lang w:val="es-CO"/>
        </w:rPr>
        <w:t xml:space="preserve">y las exigencias de experiencia general y específica para la actividad a contratar </w:t>
      </w:r>
      <w:r w:rsidRPr="00B57F79">
        <w:rPr>
          <w:rFonts w:ascii="Arial" w:eastAsia="Calibri" w:hAnsi="Arial" w:cs="Arial"/>
          <w:sz w:val="22"/>
          <w:lang w:val="es-CO"/>
        </w:rPr>
        <w:t xml:space="preserve">para ser tenida en cuenta como experiencia dentro del proceso de selección. </w:t>
      </w:r>
      <w:r w:rsidR="006F3EF7">
        <w:rPr>
          <w:rFonts w:ascii="Arial" w:eastAsia="Calibri" w:hAnsi="Arial" w:cs="Arial"/>
          <w:sz w:val="22"/>
          <w:lang w:val="es-CO"/>
        </w:rPr>
        <w:t xml:space="preserve">Esto tomando como base que el </w:t>
      </w:r>
      <w:r w:rsidR="00C51D0E">
        <w:rPr>
          <w:rFonts w:ascii="Arial" w:eastAsia="Calibri" w:hAnsi="Arial" w:cs="Arial"/>
          <w:sz w:val="22"/>
          <w:lang w:val="es-CO"/>
        </w:rPr>
        <w:t xml:space="preserve">«Anexo 3 – Glosario» es una pauta para interpretar </w:t>
      </w:r>
      <w:r w:rsidR="00C54884">
        <w:rPr>
          <w:rFonts w:ascii="Arial" w:eastAsia="Calibri" w:hAnsi="Arial" w:cs="Arial"/>
          <w:sz w:val="22"/>
          <w:lang w:val="es-CO"/>
        </w:rPr>
        <w:t>el alcance del documento base y la matriz de experiencia</w:t>
      </w:r>
      <w:r w:rsidR="004D40F7">
        <w:rPr>
          <w:rFonts w:ascii="Arial" w:eastAsia="Calibri" w:hAnsi="Arial" w:cs="Arial"/>
          <w:sz w:val="22"/>
          <w:lang w:val="es-CO"/>
        </w:rPr>
        <w:t>.</w:t>
      </w:r>
    </w:p>
    <w:p w14:paraId="6E2E3431" w14:textId="1824383A" w:rsidR="009B4391" w:rsidRPr="00B57F79" w:rsidRDefault="00727EAE">
      <w:pPr>
        <w:spacing w:before="120" w:line="276" w:lineRule="auto"/>
        <w:ind w:firstLine="708"/>
        <w:jc w:val="both"/>
        <w:rPr>
          <w:rFonts w:ascii="Arial" w:hAnsi="Arial" w:cs="Arial"/>
          <w:sz w:val="22"/>
          <w:shd w:val="clear" w:color="auto" w:fill="FFFFFF"/>
        </w:rPr>
      </w:pPr>
      <w:r w:rsidRPr="00B57F79">
        <w:rPr>
          <w:rFonts w:ascii="Arial" w:hAnsi="Arial" w:cs="Arial"/>
          <w:sz w:val="22"/>
          <w:shd w:val="clear" w:color="auto" w:fill="FFFFFF"/>
        </w:rPr>
        <w:t xml:space="preserve">Para el procedimiento de licitación pública, el artículo </w:t>
      </w:r>
      <w:r w:rsidR="007E39F0" w:rsidRPr="00B57F79">
        <w:rPr>
          <w:rFonts w:ascii="Arial" w:hAnsi="Arial" w:cs="Arial"/>
          <w:sz w:val="22"/>
          <w:shd w:val="clear" w:color="auto" w:fill="FFFFFF"/>
        </w:rPr>
        <w:t xml:space="preserve">3 de la </w:t>
      </w:r>
      <w:proofErr w:type="spellStart"/>
      <w:r w:rsidR="007E39F0" w:rsidRPr="00B57F79">
        <w:rPr>
          <w:rFonts w:ascii="Arial" w:hAnsi="Arial" w:cs="Arial"/>
          <w:sz w:val="22"/>
        </w:rPr>
        <w:t>la</w:t>
      </w:r>
      <w:proofErr w:type="spellEnd"/>
      <w:r w:rsidR="007E39F0" w:rsidRPr="00B57F79">
        <w:rPr>
          <w:rFonts w:ascii="Arial" w:hAnsi="Arial" w:cs="Arial"/>
          <w:sz w:val="22"/>
        </w:rPr>
        <w:t xml:space="preserve"> Resolución No. 240 del 27 de noviembre de 2020</w:t>
      </w:r>
      <w:r w:rsidRPr="00B57F79">
        <w:rPr>
          <w:rFonts w:ascii="Arial" w:hAnsi="Arial" w:cs="Arial"/>
          <w:sz w:val="22"/>
          <w:shd w:val="clear" w:color="auto" w:fill="FFFFFF"/>
        </w:rPr>
        <w:t xml:space="preserve"> dispone la inalterabilidad de los </w:t>
      </w:r>
      <w:r w:rsidR="007E39F0" w:rsidRPr="00B57F79">
        <w:rPr>
          <w:rFonts w:ascii="Arial" w:hAnsi="Arial" w:cs="Arial"/>
          <w:sz w:val="22"/>
          <w:shd w:val="clear" w:color="auto" w:fill="FFFFFF"/>
        </w:rPr>
        <w:t>documentos tipo</w:t>
      </w:r>
      <w:r w:rsidRPr="00B57F79">
        <w:rPr>
          <w:rFonts w:ascii="Arial" w:hAnsi="Arial" w:cs="Arial"/>
          <w:sz w:val="22"/>
          <w:shd w:val="clear" w:color="auto" w:fill="FFFFFF"/>
        </w:rPr>
        <w:t xml:space="preserve">, la cual consiste en que las entidades estatales no pueden incluir o modificar en los </w:t>
      </w:r>
      <w:r w:rsidRPr="00B57F79">
        <w:rPr>
          <w:rFonts w:ascii="Arial" w:hAnsi="Arial" w:cs="Arial"/>
          <w:i/>
          <w:iCs/>
          <w:sz w:val="22"/>
          <w:shd w:val="clear" w:color="auto" w:fill="FFFFFF"/>
        </w:rPr>
        <w:t>Documentos del Proceso</w:t>
      </w:r>
      <w:r w:rsidRPr="00B57F79">
        <w:rPr>
          <w:rFonts w:ascii="Arial" w:hAnsi="Arial" w:cs="Arial"/>
          <w:sz w:val="22"/>
          <w:shd w:val="clear" w:color="auto" w:fill="FFFFFF"/>
        </w:rPr>
        <w:t xml:space="preserve"> las condiciones habilitantes, los factores técnicos y económicos de escogencia y los sistemas de ponderación distintos a los señalados en los </w:t>
      </w:r>
      <w:r w:rsidR="007E39F0" w:rsidRPr="00B57F79">
        <w:rPr>
          <w:rFonts w:ascii="Arial" w:hAnsi="Arial" w:cs="Arial"/>
          <w:sz w:val="22"/>
          <w:shd w:val="clear" w:color="auto" w:fill="FFFFFF"/>
        </w:rPr>
        <w:t>documentos tipo</w:t>
      </w:r>
      <w:r w:rsidRPr="00B57F79">
        <w:rPr>
          <w:rFonts w:ascii="Arial" w:hAnsi="Arial" w:cs="Arial"/>
          <w:sz w:val="22"/>
          <w:shd w:val="clear" w:color="auto" w:fill="FFFFFF"/>
        </w:rPr>
        <w:t xml:space="preserve">. En consecuencia, las condiciones establecidas en los documentos que adopte </w:t>
      </w:r>
      <w:r w:rsidR="007E39F0" w:rsidRPr="00B57F79">
        <w:rPr>
          <w:rFonts w:ascii="Arial" w:hAnsi="Arial" w:cs="Arial"/>
          <w:sz w:val="22"/>
          <w:shd w:val="clear" w:color="auto" w:fill="FFFFFF"/>
        </w:rPr>
        <w:t>Colombia Compra Eficiente</w:t>
      </w:r>
      <w:r w:rsidRPr="00B57F79">
        <w:rPr>
          <w:rFonts w:ascii="Arial" w:hAnsi="Arial" w:cs="Arial"/>
          <w:sz w:val="22"/>
          <w:shd w:val="clear" w:color="auto" w:fill="FFFFFF"/>
        </w:rPr>
        <w:t xml:space="preserve">, en ejercicio del mandato establecido en el artículo </w:t>
      </w:r>
      <w:r w:rsidR="007E39F0" w:rsidRPr="00B57F79">
        <w:rPr>
          <w:rFonts w:ascii="Arial" w:hAnsi="Arial" w:cs="Arial"/>
          <w:sz w:val="22"/>
          <w:shd w:val="clear" w:color="auto" w:fill="FFFFFF"/>
        </w:rPr>
        <w:t>1</w:t>
      </w:r>
      <w:r w:rsidRPr="00B57F79">
        <w:rPr>
          <w:rFonts w:ascii="Arial" w:hAnsi="Arial" w:cs="Arial"/>
          <w:sz w:val="22"/>
          <w:shd w:val="clear" w:color="auto" w:fill="FFFFFF"/>
        </w:rPr>
        <w:t xml:space="preserve"> de la Ley </w:t>
      </w:r>
      <w:r w:rsidR="007E39F0" w:rsidRPr="00B57F79">
        <w:rPr>
          <w:rFonts w:ascii="Arial" w:hAnsi="Arial" w:cs="Arial"/>
          <w:sz w:val="22"/>
          <w:shd w:val="clear" w:color="auto" w:fill="FFFFFF"/>
        </w:rPr>
        <w:t>2022</w:t>
      </w:r>
      <w:r w:rsidRPr="00B57F79">
        <w:rPr>
          <w:rFonts w:ascii="Arial" w:hAnsi="Arial" w:cs="Arial"/>
          <w:sz w:val="22"/>
          <w:shd w:val="clear" w:color="auto" w:fill="FFFFFF"/>
        </w:rPr>
        <w:t xml:space="preserve"> de </w:t>
      </w:r>
      <w:r w:rsidR="007E39F0" w:rsidRPr="00B57F79">
        <w:rPr>
          <w:rFonts w:ascii="Arial" w:hAnsi="Arial" w:cs="Arial"/>
          <w:sz w:val="22"/>
          <w:shd w:val="clear" w:color="auto" w:fill="FFFFFF"/>
        </w:rPr>
        <w:t>2020</w:t>
      </w:r>
      <w:r w:rsidRPr="00B57F79">
        <w:rPr>
          <w:rFonts w:ascii="Arial" w:hAnsi="Arial" w:cs="Arial"/>
          <w:sz w:val="22"/>
          <w:shd w:val="clear" w:color="auto" w:fill="FFFFFF"/>
        </w:rPr>
        <w:t xml:space="preserve">, son de obligatorio cumplimiento para las entidades sometidas al Estatuto General de Contratación de la Administración Pública que adelanten procesos que deban regirse por su contenido, y no pueden variarse los requisitos fijados en ellos. </w:t>
      </w:r>
    </w:p>
    <w:p w14:paraId="3B2D89C6" w14:textId="496AA311" w:rsidR="00936908" w:rsidRDefault="00936908" w:rsidP="00DE7D58">
      <w:pPr>
        <w:spacing w:line="276" w:lineRule="auto"/>
        <w:ind w:firstLine="708"/>
        <w:jc w:val="both"/>
        <w:rPr>
          <w:rFonts w:ascii="Arial" w:hAnsi="Arial" w:cs="Arial"/>
          <w:sz w:val="22"/>
          <w:shd w:val="clear" w:color="auto" w:fill="FFFFFF"/>
        </w:rPr>
      </w:pPr>
    </w:p>
    <w:p w14:paraId="6BB941EE" w14:textId="4CF1F05E" w:rsidR="00C8556C" w:rsidRDefault="00936908" w:rsidP="00EA4DB3">
      <w:pPr>
        <w:spacing w:line="276" w:lineRule="auto"/>
        <w:jc w:val="both"/>
        <w:rPr>
          <w:rFonts w:ascii="Arial" w:hAnsi="Arial" w:cs="Arial"/>
          <w:b/>
          <w:sz w:val="22"/>
          <w:shd w:val="clear" w:color="auto" w:fill="FFFFFF"/>
        </w:rPr>
      </w:pPr>
      <w:r w:rsidRPr="00936908">
        <w:rPr>
          <w:rFonts w:ascii="Arial" w:hAnsi="Arial" w:cs="Arial"/>
          <w:b/>
          <w:sz w:val="22"/>
          <w:shd w:val="clear" w:color="auto" w:fill="FFFFFF"/>
        </w:rPr>
        <w:t>2.</w:t>
      </w:r>
      <w:r w:rsidR="00163B50">
        <w:rPr>
          <w:rFonts w:ascii="Arial" w:hAnsi="Arial" w:cs="Arial"/>
          <w:b/>
          <w:sz w:val="22"/>
          <w:shd w:val="clear" w:color="auto" w:fill="FFFFFF"/>
        </w:rPr>
        <w:t>3</w:t>
      </w:r>
      <w:r w:rsidRPr="00936908">
        <w:rPr>
          <w:rFonts w:ascii="Arial" w:hAnsi="Arial" w:cs="Arial"/>
          <w:b/>
          <w:sz w:val="22"/>
          <w:shd w:val="clear" w:color="auto" w:fill="FFFFFF"/>
        </w:rPr>
        <w:t xml:space="preserve">. </w:t>
      </w:r>
      <w:r w:rsidR="007B192E">
        <w:rPr>
          <w:rFonts w:ascii="Arial" w:hAnsi="Arial" w:cs="Arial"/>
          <w:b/>
          <w:sz w:val="22"/>
          <w:shd w:val="clear" w:color="auto" w:fill="FFFFFF"/>
        </w:rPr>
        <w:t>C</w:t>
      </w:r>
      <w:r w:rsidR="007B192E" w:rsidRPr="007B192E">
        <w:rPr>
          <w:rFonts w:ascii="Arial" w:hAnsi="Arial" w:cs="Arial"/>
          <w:b/>
          <w:sz w:val="22"/>
          <w:shd w:val="clear" w:color="auto" w:fill="FFFFFF"/>
        </w:rPr>
        <w:t xml:space="preserve">onstrucción de un box </w:t>
      </w:r>
      <w:proofErr w:type="spellStart"/>
      <w:r w:rsidR="007B192E" w:rsidRPr="007B192E">
        <w:rPr>
          <w:rFonts w:ascii="Arial" w:hAnsi="Arial" w:cs="Arial"/>
          <w:b/>
          <w:sz w:val="22"/>
          <w:shd w:val="clear" w:color="auto" w:fill="FFFFFF"/>
        </w:rPr>
        <w:t>culvert</w:t>
      </w:r>
      <w:proofErr w:type="spellEnd"/>
      <w:r w:rsidR="007B192E">
        <w:rPr>
          <w:rFonts w:ascii="Arial" w:hAnsi="Arial" w:cs="Arial"/>
          <w:b/>
          <w:sz w:val="22"/>
          <w:shd w:val="clear" w:color="auto" w:fill="FFFFFF"/>
        </w:rPr>
        <w:t xml:space="preserve"> en los documentos tipo de infraestructura de transporte</w:t>
      </w:r>
    </w:p>
    <w:p w14:paraId="55EC8704" w14:textId="6E048615" w:rsidR="0073364E" w:rsidRDefault="0073364E" w:rsidP="00EA4DB3">
      <w:pPr>
        <w:spacing w:line="276" w:lineRule="auto"/>
        <w:jc w:val="both"/>
        <w:rPr>
          <w:rFonts w:ascii="Arial" w:hAnsi="Arial" w:cs="Arial"/>
          <w:b/>
          <w:sz w:val="22"/>
          <w:shd w:val="clear" w:color="auto" w:fill="FFFFFF"/>
        </w:rPr>
      </w:pPr>
    </w:p>
    <w:p w14:paraId="08701142" w14:textId="789F2202" w:rsidR="009967F8" w:rsidRDefault="000B26E7" w:rsidP="00DE7D58">
      <w:pPr>
        <w:spacing w:after="120" w:line="276" w:lineRule="auto"/>
        <w:jc w:val="both"/>
        <w:rPr>
          <w:rFonts w:ascii="Helvetica" w:hAnsi="Helvetica"/>
          <w:sz w:val="21"/>
          <w:szCs w:val="21"/>
          <w:shd w:val="clear" w:color="auto" w:fill="FFFFFF"/>
        </w:rPr>
      </w:pPr>
      <w:r>
        <w:rPr>
          <w:rFonts w:ascii="Arial" w:hAnsi="Arial" w:cs="Arial"/>
          <w:sz w:val="22"/>
        </w:rPr>
        <w:t>En la consulta se</w:t>
      </w:r>
      <w:r w:rsidR="00935661" w:rsidRPr="00F1486B">
        <w:rPr>
          <w:rFonts w:ascii="Arial" w:hAnsi="Arial" w:cs="Arial"/>
          <w:sz w:val="22"/>
        </w:rPr>
        <w:t xml:space="preserve"> indaga sobre la obligatoriedad de aplicar Documentos Tipo para la construcción de un </w:t>
      </w:r>
      <w:r w:rsidR="00935661" w:rsidRPr="00F1486B">
        <w:rPr>
          <w:rFonts w:ascii="Arial" w:hAnsi="Arial" w:cs="Arial"/>
          <w:i/>
          <w:iCs/>
          <w:sz w:val="22"/>
        </w:rPr>
        <w:t xml:space="preserve">box </w:t>
      </w:r>
      <w:proofErr w:type="spellStart"/>
      <w:r w:rsidR="00935661" w:rsidRPr="00F1486B">
        <w:rPr>
          <w:rFonts w:ascii="Arial" w:hAnsi="Arial" w:cs="Arial"/>
          <w:i/>
          <w:iCs/>
          <w:sz w:val="22"/>
        </w:rPr>
        <w:t>culvert</w:t>
      </w:r>
      <w:proofErr w:type="spellEnd"/>
      <w:r w:rsidR="00935661" w:rsidRPr="00F1486B">
        <w:rPr>
          <w:rFonts w:ascii="Arial" w:hAnsi="Arial" w:cs="Arial"/>
          <w:sz w:val="22"/>
        </w:rPr>
        <w:t xml:space="preserve">. Al respecto es necesario recordar que la referida expresión constituye un anglicismo que hace referencia a un tipo de infraestructura «construida </w:t>
      </w:r>
      <w:r w:rsidR="00935661" w:rsidRPr="00F1486B">
        <w:rPr>
          <w:rFonts w:ascii="Arial" w:hAnsi="Arial" w:cs="Arial"/>
          <w:i/>
          <w:iCs/>
          <w:sz w:val="22"/>
        </w:rPr>
        <w:t>in situ</w:t>
      </w:r>
      <w:r w:rsidR="00935661" w:rsidRPr="00F1486B">
        <w:rPr>
          <w:rFonts w:ascii="Arial" w:hAnsi="Arial" w:cs="Arial"/>
          <w:sz w:val="22"/>
        </w:rPr>
        <w:t xml:space="preserve"> o prefabricada en concreto, con forma de caja, que se encuentra debajo de un terraplén </w:t>
      </w:r>
      <w:r w:rsidR="00935661" w:rsidRPr="00F1486B">
        <w:rPr>
          <w:rFonts w:ascii="Arial" w:hAnsi="Arial" w:cs="Arial"/>
          <w:sz w:val="22"/>
        </w:rPr>
        <w:lastRenderedPageBreak/>
        <w:t>para drenar el agua de un lado de la carretera al otro»</w:t>
      </w:r>
      <w:r w:rsidR="00935661" w:rsidRPr="00F1486B">
        <w:rPr>
          <w:rStyle w:val="Refdenotaalpie"/>
          <w:rFonts w:ascii="Arial" w:hAnsi="Arial" w:cs="Arial"/>
          <w:sz w:val="22"/>
        </w:rPr>
        <w:footnoteReference w:id="6"/>
      </w:r>
      <w:r w:rsidR="00935661" w:rsidRPr="00F1486B">
        <w:rPr>
          <w:rFonts w:ascii="Arial" w:hAnsi="Arial" w:cs="Arial"/>
          <w:sz w:val="22"/>
        </w:rPr>
        <w:t>. En otras palabras, es «</w:t>
      </w:r>
      <w:r w:rsidR="00935661" w:rsidRPr="00F1486B">
        <w:rPr>
          <w:rFonts w:ascii="Helvetica" w:hAnsi="Helvetica"/>
          <w:sz w:val="21"/>
          <w:szCs w:val="21"/>
          <w:shd w:val="clear" w:color="auto" w:fill="FFFFFF"/>
        </w:rPr>
        <w:t>una estructura de sección cuadrada o rectangular que se fabrica de concreto armado a desnivel y permiten el paso de personas, animales y cuerpos de agua de un lado a otro de la vía»</w:t>
      </w:r>
      <w:r w:rsidR="00935661" w:rsidRPr="00F1486B">
        <w:rPr>
          <w:rStyle w:val="Refdenotaalpie"/>
          <w:rFonts w:ascii="Helvetica" w:hAnsi="Helvetica"/>
          <w:sz w:val="21"/>
          <w:szCs w:val="21"/>
          <w:shd w:val="clear" w:color="auto" w:fill="FFFFFF"/>
        </w:rPr>
        <w:footnoteReference w:id="7"/>
      </w:r>
      <w:r w:rsidR="00935661" w:rsidRPr="00F1486B">
        <w:rPr>
          <w:rFonts w:ascii="Helvetica" w:hAnsi="Helvetica"/>
          <w:sz w:val="21"/>
          <w:szCs w:val="21"/>
          <w:shd w:val="clear" w:color="auto" w:fill="FFFFFF"/>
        </w:rPr>
        <w:t>.</w:t>
      </w:r>
    </w:p>
    <w:p w14:paraId="60881FB9" w14:textId="1666D2E2" w:rsidR="00935661" w:rsidRDefault="00935661" w:rsidP="00DE7D58">
      <w:pPr>
        <w:spacing w:before="120" w:after="120" w:line="276" w:lineRule="auto"/>
        <w:jc w:val="both"/>
        <w:rPr>
          <w:rFonts w:ascii="Arial" w:hAnsi="Arial" w:cs="Arial"/>
          <w:sz w:val="22"/>
          <w:shd w:val="clear" w:color="auto" w:fill="FFFFFF"/>
        </w:rPr>
      </w:pPr>
      <w:r w:rsidRPr="00F1486B">
        <w:rPr>
          <w:rFonts w:ascii="Arial" w:hAnsi="Arial" w:cs="Arial"/>
          <w:sz w:val="22"/>
          <w:shd w:val="clear" w:color="auto" w:fill="FFFFFF"/>
        </w:rPr>
        <w:tab/>
        <w:t xml:space="preserve">Conforme a tal aproximación técnica, un </w:t>
      </w:r>
      <w:r w:rsidRPr="00F1486B">
        <w:rPr>
          <w:rFonts w:ascii="Arial" w:hAnsi="Arial" w:cs="Arial"/>
          <w:i/>
          <w:iCs/>
          <w:sz w:val="22"/>
          <w:shd w:val="clear" w:color="auto" w:fill="FFFFFF"/>
        </w:rPr>
        <w:t xml:space="preserve">box </w:t>
      </w:r>
      <w:proofErr w:type="spellStart"/>
      <w:r w:rsidRPr="00F1486B">
        <w:rPr>
          <w:rFonts w:ascii="Arial" w:hAnsi="Arial" w:cs="Arial"/>
          <w:i/>
          <w:iCs/>
          <w:sz w:val="22"/>
          <w:shd w:val="clear" w:color="auto" w:fill="FFFFFF"/>
        </w:rPr>
        <w:t>culvert</w:t>
      </w:r>
      <w:proofErr w:type="spellEnd"/>
      <w:r w:rsidRPr="00F1486B">
        <w:rPr>
          <w:rFonts w:ascii="Arial" w:hAnsi="Arial" w:cs="Arial"/>
          <w:i/>
          <w:iCs/>
          <w:sz w:val="22"/>
          <w:shd w:val="clear" w:color="auto" w:fill="FFFFFF"/>
        </w:rPr>
        <w:t xml:space="preserve"> </w:t>
      </w:r>
      <w:r w:rsidRPr="00F1486B">
        <w:rPr>
          <w:rFonts w:ascii="Arial" w:hAnsi="Arial" w:cs="Arial"/>
          <w:sz w:val="22"/>
          <w:shd w:val="clear" w:color="auto" w:fill="FFFFFF"/>
        </w:rPr>
        <w:t>es una infraestructura</w:t>
      </w:r>
      <w:r>
        <w:rPr>
          <w:rFonts w:ascii="Arial" w:hAnsi="Arial" w:cs="Arial"/>
          <w:sz w:val="22"/>
          <w:shd w:val="clear" w:color="auto" w:fill="FFFFFF"/>
        </w:rPr>
        <w:t xml:space="preserve"> de</w:t>
      </w:r>
      <w:r w:rsidRPr="00F1486B">
        <w:rPr>
          <w:rFonts w:ascii="Arial" w:hAnsi="Arial" w:cs="Arial"/>
          <w:sz w:val="22"/>
          <w:shd w:val="clear" w:color="auto" w:fill="FFFFFF"/>
        </w:rPr>
        <w:t xml:space="preserve"> drenaje concebida para permitir el paso de cuerpos de agua, corrientes hídricas e incluso de personas y animales por debajo de una vía. Ello quiere decir que la construcción de un </w:t>
      </w:r>
      <w:r w:rsidRPr="00F1486B">
        <w:rPr>
          <w:rFonts w:ascii="Arial" w:hAnsi="Arial" w:cs="Arial"/>
          <w:i/>
          <w:iCs/>
          <w:sz w:val="22"/>
          <w:shd w:val="clear" w:color="auto" w:fill="FFFFFF"/>
        </w:rPr>
        <w:t xml:space="preserve">box </w:t>
      </w:r>
      <w:proofErr w:type="spellStart"/>
      <w:r w:rsidRPr="00F1486B">
        <w:rPr>
          <w:rFonts w:ascii="Arial" w:hAnsi="Arial" w:cs="Arial"/>
          <w:i/>
          <w:iCs/>
          <w:sz w:val="22"/>
          <w:shd w:val="clear" w:color="auto" w:fill="FFFFFF"/>
        </w:rPr>
        <w:t>culvert</w:t>
      </w:r>
      <w:proofErr w:type="spellEnd"/>
      <w:r w:rsidRPr="00F1486B">
        <w:rPr>
          <w:rFonts w:ascii="Arial" w:hAnsi="Arial" w:cs="Arial"/>
          <w:i/>
          <w:iCs/>
          <w:sz w:val="22"/>
          <w:shd w:val="clear" w:color="auto" w:fill="FFFFFF"/>
        </w:rPr>
        <w:t xml:space="preserve">, </w:t>
      </w:r>
      <w:r w:rsidRPr="00F1486B">
        <w:rPr>
          <w:rFonts w:ascii="Arial" w:hAnsi="Arial" w:cs="Arial"/>
          <w:sz w:val="22"/>
          <w:shd w:val="clear" w:color="auto" w:fill="FFFFFF"/>
        </w:rPr>
        <w:t xml:space="preserve">necesariamente se encuentra asociada a la intervención de una infraestructura de transporte. </w:t>
      </w:r>
      <w:r w:rsidRPr="00C44219">
        <w:rPr>
          <w:rFonts w:ascii="Arial" w:hAnsi="Arial" w:cs="Arial"/>
          <w:sz w:val="22"/>
          <w:shd w:val="clear" w:color="auto" w:fill="FFFFFF"/>
        </w:rPr>
        <w:t>Sobre esto conviene recordar que la construcción de obras de drenaje, de conformidad con el «Anexo 3 – Glosario», constituye una de las actividades de obra que corresponden a proyectos de mejoramiento de vías</w:t>
      </w:r>
      <w:r w:rsidRPr="00C44219">
        <w:rPr>
          <w:rStyle w:val="Refdenotaalpie"/>
          <w:rFonts w:ascii="Arial" w:hAnsi="Arial" w:cs="Arial"/>
          <w:sz w:val="22"/>
          <w:shd w:val="clear" w:color="auto" w:fill="FFFFFF"/>
        </w:rPr>
        <w:footnoteReference w:id="8"/>
      </w:r>
      <w:r w:rsidRPr="00C44219">
        <w:rPr>
          <w:rFonts w:ascii="Arial" w:hAnsi="Arial" w:cs="Arial"/>
          <w:sz w:val="22"/>
          <w:shd w:val="clear" w:color="auto" w:fill="FFFFFF"/>
        </w:rPr>
        <w:t>.</w:t>
      </w:r>
      <w:r w:rsidRPr="00F1486B">
        <w:rPr>
          <w:rFonts w:ascii="Arial" w:hAnsi="Arial" w:cs="Arial"/>
          <w:sz w:val="22"/>
          <w:shd w:val="clear" w:color="auto" w:fill="FFFFFF"/>
        </w:rPr>
        <w:t xml:space="preserve"> </w:t>
      </w:r>
    </w:p>
    <w:p w14:paraId="1643C14E" w14:textId="2D38EA4A" w:rsidR="000F07B8" w:rsidRPr="00823256" w:rsidRDefault="000F07B8" w:rsidP="000F07B8">
      <w:pPr>
        <w:spacing w:line="276" w:lineRule="auto"/>
        <w:ind w:firstLine="708"/>
        <w:jc w:val="both"/>
        <w:rPr>
          <w:rFonts w:ascii="Arial" w:hAnsi="Arial" w:cs="Arial"/>
          <w:sz w:val="22"/>
          <w:shd w:val="clear" w:color="auto" w:fill="FFFFFF"/>
        </w:rPr>
      </w:pPr>
      <w:r w:rsidRPr="00823256">
        <w:rPr>
          <w:rFonts w:ascii="Arial" w:hAnsi="Arial" w:cs="Arial"/>
          <w:sz w:val="22"/>
          <w:shd w:val="clear" w:color="auto" w:fill="FFFFFF"/>
        </w:rPr>
        <w:t>Para efectos de la consulta, de acuerdo con el Manual de drenaje para carreteras</w:t>
      </w:r>
      <w:r w:rsidRPr="00823256">
        <w:rPr>
          <w:rStyle w:val="Refdenotaalpie"/>
          <w:rFonts w:ascii="Arial" w:hAnsi="Arial" w:cs="Arial"/>
          <w:sz w:val="22"/>
          <w:shd w:val="clear" w:color="auto" w:fill="FFFFFF"/>
        </w:rPr>
        <w:footnoteReference w:id="9"/>
      </w:r>
      <w:r w:rsidRPr="00823256">
        <w:rPr>
          <w:rFonts w:ascii="Arial" w:hAnsi="Arial" w:cs="Arial"/>
          <w:sz w:val="22"/>
          <w:shd w:val="clear" w:color="auto" w:fill="FFFFFF"/>
        </w:rPr>
        <w:t xml:space="preserve"> del INVIAS, una alcantarilla es un conducto relativamente corto a través del cual se cruza el agua bajo la vía de un costado a otro. Incluye, por lo tanto, conductos de cualquier sección geométrica: circulares y alcantarillas de cajón principalmente. Por tal motivo, los denominados box </w:t>
      </w:r>
      <w:proofErr w:type="spellStart"/>
      <w:r w:rsidRPr="00823256">
        <w:rPr>
          <w:rFonts w:ascii="Arial" w:hAnsi="Arial" w:cs="Arial"/>
          <w:sz w:val="22"/>
          <w:shd w:val="clear" w:color="auto" w:fill="FFFFFF"/>
        </w:rPr>
        <w:t>coulvert</w:t>
      </w:r>
      <w:proofErr w:type="spellEnd"/>
      <w:r w:rsidRPr="00823256">
        <w:rPr>
          <w:rFonts w:ascii="Arial" w:hAnsi="Arial" w:cs="Arial"/>
          <w:sz w:val="22"/>
          <w:shd w:val="clear" w:color="auto" w:fill="FFFFFF"/>
        </w:rPr>
        <w:t xml:space="preserve"> son </w:t>
      </w:r>
      <w:proofErr w:type="spellStart"/>
      <w:r w:rsidRPr="00823256">
        <w:rPr>
          <w:rFonts w:ascii="Arial" w:hAnsi="Arial" w:cs="Arial"/>
          <w:sz w:val="22"/>
          <w:shd w:val="clear" w:color="auto" w:fill="FFFFFF"/>
        </w:rPr>
        <w:t>alcatarillas</w:t>
      </w:r>
      <w:proofErr w:type="spellEnd"/>
      <w:r w:rsidRPr="00823256">
        <w:rPr>
          <w:rFonts w:ascii="Arial" w:hAnsi="Arial" w:cs="Arial"/>
          <w:sz w:val="22"/>
          <w:shd w:val="clear" w:color="auto" w:fill="FFFFFF"/>
        </w:rPr>
        <w:t xml:space="preserve"> de cajón. Adicionalmente, de acuerdo con el listado de actividades que hacen parte de las actividades de mejoramiento de acuerdo con lo definido en el artículo 12 de la Ley 1682 de 2013, desarrollado en el Decreto 769 de 2014, el cual fue compilado en el Decreto Único Reglamentario 1076 de 2015 para el sector ambiente y desarrollo sostenible en los artículos 2.2.2.5.1.1. </w:t>
      </w:r>
      <w:proofErr w:type="gramStart"/>
      <w:r w:rsidRPr="00823256">
        <w:rPr>
          <w:rFonts w:ascii="Arial" w:hAnsi="Arial" w:cs="Arial"/>
          <w:sz w:val="22"/>
          <w:shd w:val="clear" w:color="auto" w:fill="FFFFFF"/>
        </w:rPr>
        <w:t>al  2.2.2.5.4.6.</w:t>
      </w:r>
      <w:proofErr w:type="gramEnd"/>
      <w:r w:rsidRPr="00823256">
        <w:rPr>
          <w:rFonts w:ascii="Arial" w:hAnsi="Arial" w:cs="Arial"/>
          <w:sz w:val="22"/>
          <w:shd w:val="clear" w:color="auto" w:fill="FFFFFF"/>
        </w:rPr>
        <w:t xml:space="preserve">, se indica que una de las actividades de mejoramiento para el modo terrestre-carretero son la </w:t>
      </w:r>
      <w:r w:rsidRPr="00823256">
        <w:rPr>
          <w:rFonts w:ascii="Arial" w:hAnsi="Arial" w:cs="Arial"/>
          <w:sz w:val="22"/>
          <w:shd w:val="clear" w:color="auto" w:fill="FFFFFF"/>
          <w:lang w:val="es-CO"/>
        </w:rPr>
        <w:t>adecuación y construcción de obras de drenaje y subdrenaje transversal y longitudinal. Siendo las alcantarillas de cajón una estructura de drenaje transversal a la infraestructura de transporte, las cuales son elaborados en concreto reforzado según las condiciones técnicas propias del proyecto, el cual deberá poder soportar las condiciones hidráulicas y estructurales a los esfuerzos que sea som</w:t>
      </w:r>
      <w:r w:rsidR="00115D3E">
        <w:rPr>
          <w:rFonts w:ascii="Arial" w:hAnsi="Arial" w:cs="Arial"/>
          <w:sz w:val="22"/>
          <w:shd w:val="clear" w:color="auto" w:fill="FFFFFF"/>
          <w:lang w:val="es-CO"/>
        </w:rPr>
        <w:t>et</w:t>
      </w:r>
      <w:r w:rsidRPr="00823256">
        <w:rPr>
          <w:rFonts w:ascii="Arial" w:hAnsi="Arial" w:cs="Arial"/>
          <w:sz w:val="22"/>
          <w:shd w:val="clear" w:color="auto" w:fill="FFFFFF"/>
          <w:lang w:val="es-CO"/>
        </w:rPr>
        <w:t>i</w:t>
      </w:r>
      <w:r w:rsidR="00115D3E">
        <w:rPr>
          <w:rFonts w:ascii="Arial" w:hAnsi="Arial" w:cs="Arial"/>
          <w:sz w:val="22"/>
          <w:shd w:val="clear" w:color="auto" w:fill="FFFFFF"/>
          <w:lang w:val="es-CO"/>
        </w:rPr>
        <w:t>d</w:t>
      </w:r>
      <w:r w:rsidRPr="00823256">
        <w:rPr>
          <w:rFonts w:ascii="Arial" w:hAnsi="Arial" w:cs="Arial"/>
          <w:sz w:val="22"/>
          <w:shd w:val="clear" w:color="auto" w:fill="FFFFFF"/>
          <w:lang w:val="es-CO"/>
        </w:rPr>
        <w:t xml:space="preserve">a. </w:t>
      </w:r>
    </w:p>
    <w:p w14:paraId="6135EF85" w14:textId="1CF082ED" w:rsidR="00935661" w:rsidRPr="00F1486B" w:rsidRDefault="00935661" w:rsidP="00935661">
      <w:pPr>
        <w:spacing w:before="120" w:line="276" w:lineRule="auto"/>
        <w:ind w:firstLine="708"/>
        <w:jc w:val="both"/>
        <w:rPr>
          <w:rFonts w:ascii="Arial" w:hAnsi="Arial" w:cs="Arial"/>
          <w:sz w:val="22"/>
        </w:rPr>
      </w:pPr>
      <w:r w:rsidRPr="00F1486B">
        <w:rPr>
          <w:rFonts w:ascii="Arial" w:hAnsi="Arial" w:cs="Arial"/>
          <w:sz w:val="22"/>
        </w:rPr>
        <w:lastRenderedPageBreak/>
        <w:t xml:space="preserve">Para determinar la obligatoriedad de los Documentos Tipo y la forma en la que deben configurarse las condiciones de experiencia exigibles, conforme impone la adecuada aplicación de la Matriz 1, debe en primera medida precisarse qué tipo de infraestructura se intervendrá para la construcción del </w:t>
      </w:r>
      <w:r w:rsidRPr="00F1486B">
        <w:rPr>
          <w:rFonts w:ascii="Arial" w:hAnsi="Arial" w:cs="Arial"/>
          <w:i/>
          <w:iCs/>
          <w:sz w:val="22"/>
        </w:rPr>
        <w:t xml:space="preserve">box </w:t>
      </w:r>
      <w:proofErr w:type="spellStart"/>
      <w:r w:rsidRPr="00F1486B">
        <w:rPr>
          <w:rFonts w:ascii="Arial" w:hAnsi="Arial" w:cs="Arial"/>
          <w:i/>
          <w:iCs/>
          <w:sz w:val="22"/>
        </w:rPr>
        <w:t>culvert</w:t>
      </w:r>
      <w:proofErr w:type="spellEnd"/>
      <w:r w:rsidRPr="00F1486B">
        <w:rPr>
          <w:rFonts w:ascii="Arial" w:hAnsi="Arial" w:cs="Arial"/>
          <w:sz w:val="22"/>
        </w:rPr>
        <w:t xml:space="preserve">. En ese sentido, se hace necesario precisar si la obra se pretende desarrollar respecto de una vía primaria, secundaria, terciaria, férrea o alguno de los otros tipos de infraestructura establecidos en la Matriz 1, ya que de estar asociada a alguna de estas deberán aplicarse los Documentos Tipo. </w:t>
      </w:r>
    </w:p>
    <w:p w14:paraId="6D32B00F" w14:textId="632C4BB9" w:rsidR="00935661" w:rsidRPr="00F1486B" w:rsidRDefault="00935661" w:rsidP="00935661">
      <w:pPr>
        <w:spacing w:before="120" w:line="276" w:lineRule="auto"/>
        <w:ind w:firstLine="708"/>
        <w:jc w:val="both"/>
        <w:rPr>
          <w:rFonts w:ascii="Arial" w:hAnsi="Arial" w:cs="Arial"/>
          <w:sz w:val="22"/>
        </w:rPr>
      </w:pPr>
      <w:r w:rsidRPr="00F1486B">
        <w:rPr>
          <w:rFonts w:ascii="Arial" w:hAnsi="Arial" w:cs="Arial"/>
          <w:sz w:val="22"/>
        </w:rPr>
        <w:t xml:space="preserve">Lo anterior quiere decir que si, por ejemplo, se pretende construir un </w:t>
      </w:r>
      <w:r w:rsidRPr="00F1486B">
        <w:rPr>
          <w:rFonts w:ascii="Arial" w:hAnsi="Arial" w:cs="Arial"/>
          <w:i/>
          <w:iCs/>
          <w:sz w:val="22"/>
        </w:rPr>
        <w:t xml:space="preserve">box </w:t>
      </w:r>
      <w:proofErr w:type="spellStart"/>
      <w:r w:rsidRPr="00F1486B">
        <w:rPr>
          <w:rFonts w:ascii="Arial" w:hAnsi="Arial" w:cs="Arial"/>
          <w:i/>
          <w:iCs/>
          <w:sz w:val="22"/>
        </w:rPr>
        <w:t>culvert</w:t>
      </w:r>
      <w:proofErr w:type="spellEnd"/>
      <w:r w:rsidRPr="00F1486B">
        <w:rPr>
          <w:rFonts w:ascii="Arial" w:hAnsi="Arial" w:cs="Arial"/>
          <w:i/>
          <w:iCs/>
          <w:sz w:val="22"/>
        </w:rPr>
        <w:t xml:space="preserve"> </w:t>
      </w:r>
      <w:r w:rsidRPr="00F1486B">
        <w:rPr>
          <w:rFonts w:ascii="Arial" w:hAnsi="Arial" w:cs="Arial"/>
          <w:sz w:val="22"/>
        </w:rPr>
        <w:t xml:space="preserve">respecto de una vía terciaria, la actividad a desarrollar en el contexto de la Matriz 1 será la de «2.2 MEJORAMIENTO EN VÍAS TERCIARIAS», debiendo en consecuencia aplicarse los requisitos de experiencia general y especifica que resulten aplicables de acuerdo al dimensionamiento de la obra y cuantía del proceso de contratación.  Sin embargo, puede acontecer que los requisitos de experiencia allí establecidos, </w:t>
      </w:r>
      <w:r>
        <w:rPr>
          <w:rFonts w:ascii="Arial" w:hAnsi="Arial" w:cs="Arial"/>
          <w:sz w:val="22"/>
        </w:rPr>
        <w:t>al</w:t>
      </w:r>
      <w:r w:rsidRPr="00F1486B">
        <w:rPr>
          <w:rFonts w:ascii="Arial" w:hAnsi="Arial" w:cs="Arial"/>
          <w:sz w:val="22"/>
        </w:rPr>
        <w:t xml:space="preserve"> configura</w:t>
      </w:r>
      <w:r>
        <w:rPr>
          <w:rFonts w:ascii="Arial" w:hAnsi="Arial" w:cs="Arial"/>
          <w:sz w:val="22"/>
        </w:rPr>
        <w:t>rse</w:t>
      </w:r>
      <w:r w:rsidRPr="00F1486B">
        <w:rPr>
          <w:rFonts w:ascii="Arial" w:hAnsi="Arial" w:cs="Arial"/>
          <w:sz w:val="22"/>
        </w:rPr>
        <w:t xml:space="preserve"> de manera general para el desarrollo de proyectos de mejoramiento vial, no resulten lo suficientemente adecuados para determinar la idoneidad de un proponente para el desarrollo de las actividades constructivas específicamente asociadas al </w:t>
      </w:r>
      <w:r w:rsidRPr="00F1486B">
        <w:rPr>
          <w:rFonts w:ascii="Arial" w:hAnsi="Arial" w:cs="Arial"/>
          <w:i/>
          <w:iCs/>
          <w:sz w:val="22"/>
        </w:rPr>
        <w:t xml:space="preserve">box </w:t>
      </w:r>
      <w:proofErr w:type="spellStart"/>
      <w:r w:rsidRPr="00F1486B">
        <w:rPr>
          <w:rFonts w:ascii="Arial" w:hAnsi="Arial" w:cs="Arial"/>
          <w:i/>
          <w:iCs/>
          <w:sz w:val="22"/>
        </w:rPr>
        <w:t>culvert</w:t>
      </w:r>
      <w:proofErr w:type="spellEnd"/>
      <w:r w:rsidRPr="0047589D">
        <w:rPr>
          <w:rFonts w:ascii="Arial" w:hAnsi="Arial" w:cs="Arial"/>
          <w:sz w:val="22"/>
        </w:rPr>
        <w:t xml:space="preserve">. De ocurrir lo anterior, una entidad estatal </w:t>
      </w:r>
      <w:r w:rsidRPr="0047589D">
        <w:rPr>
          <w:rFonts w:ascii="Arial" w:hAnsi="Arial" w:cs="Arial"/>
          <w:sz w:val="22"/>
          <w:lang w:val="es-ES_tradnl"/>
        </w:rPr>
        <w:t>podría</w:t>
      </w:r>
      <w:r w:rsidRPr="0047589D">
        <w:rPr>
          <w:rFonts w:ascii="Arial" w:hAnsi="Arial" w:cs="Arial"/>
          <w:sz w:val="22"/>
        </w:rPr>
        <w:t xml:space="preserve"> aplica</w:t>
      </w:r>
      <w:r w:rsidR="00175343" w:rsidRPr="0047589D">
        <w:rPr>
          <w:rFonts w:ascii="Arial" w:hAnsi="Arial" w:cs="Arial"/>
          <w:sz w:val="22"/>
        </w:rPr>
        <w:t>r</w:t>
      </w:r>
      <w:r w:rsidRPr="0047589D">
        <w:rPr>
          <w:rFonts w:ascii="Arial" w:hAnsi="Arial" w:cs="Arial"/>
          <w:sz w:val="22"/>
        </w:rPr>
        <w:t xml:space="preserve"> el artículo </w:t>
      </w:r>
      <w:r w:rsidR="009E7320" w:rsidRPr="00DE7D58">
        <w:rPr>
          <w:rFonts w:ascii="Arial" w:hAnsi="Arial" w:cs="Arial"/>
          <w:sz w:val="22"/>
        </w:rPr>
        <w:t xml:space="preserve">4 de la Resolución </w:t>
      </w:r>
      <w:r w:rsidR="0047589D" w:rsidRPr="00DE7D58">
        <w:rPr>
          <w:rFonts w:ascii="Arial" w:hAnsi="Arial" w:cs="Arial"/>
          <w:sz w:val="22"/>
        </w:rPr>
        <w:t>240 de 2020</w:t>
      </w:r>
      <w:r w:rsidRPr="0047589D">
        <w:rPr>
          <w:rFonts w:ascii="Arial" w:hAnsi="Arial" w:cs="Arial"/>
          <w:sz w:val="22"/>
        </w:rPr>
        <w:t>, antes citado, que faculta las entidades para solicitar experiencia adicional cuando el objeto a contratar, además de la intervención de la vía, contempla bienes o servicios adicionales a la obra pública de infraestructura de transporte.</w:t>
      </w:r>
      <w:r w:rsidRPr="00F1486B">
        <w:rPr>
          <w:rFonts w:ascii="Arial" w:hAnsi="Arial" w:cs="Arial"/>
          <w:sz w:val="22"/>
        </w:rPr>
        <w:t xml:space="preserve"> </w:t>
      </w:r>
    </w:p>
    <w:p w14:paraId="38A72DEE" w14:textId="080DDD99" w:rsidR="00237CB3" w:rsidRDefault="00935661" w:rsidP="00130333">
      <w:pPr>
        <w:spacing w:before="120" w:line="276" w:lineRule="auto"/>
        <w:ind w:firstLine="708"/>
        <w:jc w:val="both"/>
        <w:rPr>
          <w:rFonts w:ascii="Arial" w:hAnsi="Arial" w:cs="Arial"/>
          <w:sz w:val="22"/>
        </w:rPr>
      </w:pPr>
      <w:r w:rsidRPr="00F1486B">
        <w:rPr>
          <w:rFonts w:ascii="Arial" w:hAnsi="Arial" w:cs="Arial"/>
          <w:sz w:val="22"/>
        </w:rPr>
        <w:t xml:space="preserve">En síntesis, la contratación de la construcción de un </w:t>
      </w:r>
      <w:r w:rsidRPr="00F1486B">
        <w:rPr>
          <w:rFonts w:ascii="Arial" w:hAnsi="Arial" w:cs="Arial"/>
          <w:i/>
          <w:iCs/>
          <w:sz w:val="22"/>
        </w:rPr>
        <w:t xml:space="preserve">box </w:t>
      </w:r>
      <w:proofErr w:type="spellStart"/>
      <w:r w:rsidRPr="00F1486B">
        <w:rPr>
          <w:rFonts w:ascii="Arial" w:hAnsi="Arial" w:cs="Arial"/>
          <w:i/>
          <w:iCs/>
          <w:sz w:val="22"/>
        </w:rPr>
        <w:t>culvert</w:t>
      </w:r>
      <w:proofErr w:type="spellEnd"/>
      <w:r w:rsidRPr="00F1486B">
        <w:rPr>
          <w:rFonts w:ascii="Arial" w:hAnsi="Arial" w:cs="Arial"/>
          <w:i/>
          <w:iCs/>
          <w:sz w:val="22"/>
        </w:rPr>
        <w:t xml:space="preserve"> </w:t>
      </w:r>
      <w:r w:rsidRPr="00F1486B">
        <w:rPr>
          <w:rFonts w:ascii="Arial" w:hAnsi="Arial" w:cs="Arial"/>
          <w:sz w:val="22"/>
        </w:rPr>
        <w:t>a través de un proceso de licitación pública</w:t>
      </w:r>
      <w:r w:rsidRPr="00F1486B">
        <w:rPr>
          <w:rFonts w:ascii="Arial" w:hAnsi="Arial" w:cs="Arial"/>
          <w:i/>
          <w:iCs/>
          <w:sz w:val="22"/>
        </w:rPr>
        <w:t xml:space="preserve">, </w:t>
      </w:r>
      <w:r w:rsidRPr="00F1486B">
        <w:rPr>
          <w:rFonts w:ascii="Arial" w:hAnsi="Arial" w:cs="Arial"/>
          <w:sz w:val="22"/>
        </w:rPr>
        <w:t xml:space="preserve">siempre que se encuentre asociada a uno de los tipos de infraestructura señalados en la Matriz 1, implicará la aplicación obligatoria de los Documentos Tipo adoptados por la </w:t>
      </w:r>
      <w:r w:rsidRPr="0047589D">
        <w:rPr>
          <w:rFonts w:ascii="Arial" w:hAnsi="Arial" w:cs="Arial"/>
          <w:sz w:val="22"/>
        </w:rPr>
        <w:t xml:space="preserve">Resolución No. </w:t>
      </w:r>
      <w:r w:rsidR="0047589D" w:rsidRPr="00DE7D58">
        <w:rPr>
          <w:rFonts w:ascii="Arial" w:hAnsi="Arial" w:cs="Arial"/>
          <w:sz w:val="22"/>
        </w:rPr>
        <w:t>240</w:t>
      </w:r>
      <w:r w:rsidRPr="0047589D">
        <w:rPr>
          <w:rFonts w:ascii="Arial" w:hAnsi="Arial" w:cs="Arial"/>
          <w:sz w:val="22"/>
        </w:rPr>
        <w:t xml:space="preserve"> de 2020.  En</w:t>
      </w:r>
      <w:r w:rsidRPr="00F1486B">
        <w:rPr>
          <w:rFonts w:ascii="Arial" w:hAnsi="Arial" w:cs="Arial"/>
          <w:sz w:val="22"/>
        </w:rPr>
        <w:t xml:space="preserve"> ese sentido, es a la entidad estatal a quien le corresponde determinar, conforme a la aplicación de la Matriz 1 explicada, si la construcción del </w:t>
      </w:r>
      <w:r w:rsidRPr="00F1486B">
        <w:rPr>
          <w:rFonts w:ascii="Arial" w:hAnsi="Arial" w:cs="Arial"/>
          <w:i/>
          <w:iCs/>
          <w:sz w:val="22"/>
        </w:rPr>
        <w:t xml:space="preserve">box </w:t>
      </w:r>
      <w:proofErr w:type="spellStart"/>
      <w:r w:rsidRPr="00F1486B">
        <w:rPr>
          <w:rFonts w:ascii="Arial" w:hAnsi="Arial" w:cs="Arial"/>
          <w:i/>
          <w:iCs/>
          <w:sz w:val="22"/>
        </w:rPr>
        <w:t>culvert</w:t>
      </w:r>
      <w:proofErr w:type="spellEnd"/>
      <w:r w:rsidRPr="00F1486B">
        <w:rPr>
          <w:rFonts w:ascii="Arial" w:hAnsi="Arial" w:cs="Arial"/>
          <w:sz w:val="22"/>
        </w:rPr>
        <w:t xml:space="preserve"> encaja dentro de alguno de los ocho (8) tipos de obras de infraestructura de transporte antes </w:t>
      </w:r>
      <w:r>
        <w:rPr>
          <w:rFonts w:ascii="Arial" w:hAnsi="Arial" w:cs="Arial"/>
          <w:sz w:val="22"/>
        </w:rPr>
        <w:t>citadas</w:t>
      </w:r>
      <w:r w:rsidRPr="00F1486B">
        <w:rPr>
          <w:rFonts w:ascii="Arial" w:hAnsi="Arial" w:cs="Arial"/>
          <w:sz w:val="22"/>
        </w:rPr>
        <w:t xml:space="preserve">, y si la actividad a contratar se encuentra dentro de las establecidas para ese tipo de obra. </w:t>
      </w:r>
    </w:p>
    <w:p w14:paraId="28B24EDA" w14:textId="4490B5E5" w:rsidR="00935661" w:rsidRDefault="00935661" w:rsidP="00130333">
      <w:pPr>
        <w:spacing w:before="120" w:line="276" w:lineRule="auto"/>
        <w:ind w:firstLine="708"/>
        <w:jc w:val="both"/>
        <w:rPr>
          <w:rFonts w:ascii="Arial" w:hAnsi="Arial" w:cs="Arial"/>
          <w:sz w:val="22"/>
        </w:rPr>
      </w:pPr>
      <w:r w:rsidRPr="00F1486B">
        <w:rPr>
          <w:rFonts w:ascii="Arial" w:hAnsi="Arial" w:cs="Arial"/>
          <w:sz w:val="22"/>
        </w:rPr>
        <w:t>Si la entidad determina que la intervención de la infraestructura de transporte a contratarse está incluida dentro de uno de los tipos de obra y actividades de la Matriz 1, deberán aplicarse de manera obligatoria los Documentos Tipo, exigiéndose los requisitos de experiencia establecidos en dicha matriz</w:t>
      </w:r>
      <w:r>
        <w:rPr>
          <w:rFonts w:ascii="Arial" w:hAnsi="Arial" w:cs="Arial"/>
          <w:sz w:val="22"/>
        </w:rPr>
        <w:t xml:space="preserve">. </w:t>
      </w:r>
      <w:r w:rsidRPr="008272F1">
        <w:rPr>
          <w:rFonts w:ascii="Arial" w:hAnsi="Arial" w:cs="Arial"/>
          <w:sz w:val="22"/>
        </w:rPr>
        <w:t xml:space="preserve">De igual forma, </w:t>
      </w:r>
      <w:r w:rsidRPr="008272F1">
        <w:rPr>
          <w:rFonts w:ascii="Arial" w:hAnsi="Arial" w:cs="Arial"/>
          <w:sz w:val="22"/>
          <w:lang w:val="es-ES_tradnl"/>
        </w:rPr>
        <w:t>existirá</w:t>
      </w:r>
      <w:r w:rsidRPr="008272F1">
        <w:rPr>
          <w:rFonts w:ascii="Arial" w:hAnsi="Arial" w:cs="Arial"/>
          <w:sz w:val="22"/>
        </w:rPr>
        <w:t xml:space="preserve"> la posibilidad de evaluar la idoneidad de los proponentes, en lo específicamente referido al </w:t>
      </w:r>
      <w:r w:rsidRPr="008272F1">
        <w:rPr>
          <w:rFonts w:ascii="Arial" w:hAnsi="Arial" w:cs="Arial"/>
          <w:i/>
          <w:iCs/>
          <w:sz w:val="22"/>
        </w:rPr>
        <w:t xml:space="preserve">box </w:t>
      </w:r>
      <w:proofErr w:type="spellStart"/>
      <w:r w:rsidRPr="008272F1">
        <w:rPr>
          <w:rFonts w:ascii="Arial" w:hAnsi="Arial" w:cs="Arial"/>
          <w:i/>
          <w:iCs/>
          <w:sz w:val="22"/>
        </w:rPr>
        <w:t>culvert</w:t>
      </w:r>
      <w:proofErr w:type="spellEnd"/>
      <w:r w:rsidRPr="008272F1">
        <w:rPr>
          <w:rFonts w:ascii="Arial" w:hAnsi="Arial" w:cs="Arial"/>
          <w:i/>
          <w:iCs/>
          <w:sz w:val="22"/>
        </w:rPr>
        <w:t>,</w:t>
      </w:r>
      <w:r w:rsidRPr="008272F1">
        <w:rPr>
          <w:rFonts w:ascii="Arial" w:hAnsi="Arial" w:cs="Arial"/>
          <w:sz w:val="22"/>
        </w:rPr>
        <w:t xml:space="preserve"> mediante la exigencia de experiencia adicional o complementaria a la de la referida matriz de acuerdo a los parámetros del artículo </w:t>
      </w:r>
      <w:r w:rsidR="0047589D" w:rsidRPr="00823256">
        <w:rPr>
          <w:rFonts w:ascii="Arial" w:hAnsi="Arial" w:cs="Arial"/>
          <w:sz w:val="22"/>
        </w:rPr>
        <w:t>4 de la Resolución 240 de 2020</w:t>
      </w:r>
      <w:r w:rsidRPr="00F1486B">
        <w:rPr>
          <w:rFonts w:ascii="Arial" w:hAnsi="Arial" w:cs="Arial"/>
          <w:sz w:val="22"/>
        </w:rPr>
        <w:t xml:space="preserve">. </w:t>
      </w:r>
    </w:p>
    <w:p w14:paraId="0C7B8234" w14:textId="77777777" w:rsidR="00C8556C" w:rsidRDefault="00C8556C" w:rsidP="00EA4DB3">
      <w:pPr>
        <w:spacing w:line="276" w:lineRule="auto"/>
        <w:jc w:val="both"/>
        <w:rPr>
          <w:rFonts w:ascii="Arial" w:hAnsi="Arial" w:cs="Arial"/>
          <w:b/>
          <w:sz w:val="22"/>
          <w:shd w:val="clear" w:color="auto" w:fill="FFFFFF"/>
        </w:rPr>
      </w:pPr>
    </w:p>
    <w:p w14:paraId="73B5BE57" w14:textId="0BE89B18" w:rsidR="00936908" w:rsidRDefault="007B192E" w:rsidP="00EA4DB3">
      <w:pPr>
        <w:spacing w:line="276" w:lineRule="auto"/>
        <w:jc w:val="both"/>
        <w:rPr>
          <w:rFonts w:ascii="Arial" w:hAnsi="Arial" w:cs="Arial"/>
          <w:b/>
          <w:sz w:val="22"/>
          <w:shd w:val="clear" w:color="auto" w:fill="FFFFFF"/>
        </w:rPr>
      </w:pPr>
      <w:r>
        <w:rPr>
          <w:rFonts w:ascii="Arial" w:hAnsi="Arial" w:cs="Arial"/>
          <w:b/>
          <w:sz w:val="22"/>
          <w:shd w:val="clear" w:color="auto" w:fill="FFFFFF"/>
        </w:rPr>
        <w:t>2.</w:t>
      </w:r>
      <w:r w:rsidR="00163B50">
        <w:rPr>
          <w:rFonts w:ascii="Arial" w:hAnsi="Arial" w:cs="Arial"/>
          <w:b/>
          <w:sz w:val="22"/>
          <w:shd w:val="clear" w:color="auto" w:fill="FFFFFF"/>
        </w:rPr>
        <w:t>4</w:t>
      </w:r>
      <w:r>
        <w:rPr>
          <w:rFonts w:ascii="Arial" w:hAnsi="Arial" w:cs="Arial"/>
          <w:b/>
          <w:sz w:val="22"/>
          <w:shd w:val="clear" w:color="auto" w:fill="FFFFFF"/>
        </w:rPr>
        <w:t xml:space="preserve">. </w:t>
      </w:r>
      <w:r w:rsidR="00936908" w:rsidRPr="00936908">
        <w:rPr>
          <w:rFonts w:ascii="Arial" w:hAnsi="Arial" w:cs="Arial"/>
          <w:b/>
          <w:sz w:val="22"/>
          <w:shd w:val="clear" w:color="auto" w:fill="FFFFFF"/>
        </w:rPr>
        <w:t xml:space="preserve">Experiencia de los documentos tipo de infraestructura de transporte </w:t>
      </w:r>
      <w:r w:rsidR="00715AC3">
        <w:rPr>
          <w:rFonts w:ascii="Arial" w:hAnsi="Arial" w:cs="Arial"/>
          <w:b/>
          <w:sz w:val="22"/>
          <w:shd w:val="clear" w:color="auto" w:fill="FFFFFF"/>
        </w:rPr>
        <w:t>cuando existe</w:t>
      </w:r>
      <w:r w:rsidR="00715AC3" w:rsidRPr="00936908">
        <w:rPr>
          <w:rFonts w:ascii="Arial" w:hAnsi="Arial" w:cs="Arial"/>
          <w:b/>
          <w:sz w:val="22"/>
          <w:shd w:val="clear" w:color="auto" w:fill="FFFFFF"/>
        </w:rPr>
        <w:t xml:space="preserve"> </w:t>
      </w:r>
      <w:r w:rsidR="00936908" w:rsidRPr="00936908">
        <w:rPr>
          <w:rFonts w:ascii="Arial" w:hAnsi="Arial" w:cs="Arial"/>
          <w:b/>
          <w:sz w:val="22"/>
          <w:shd w:val="clear" w:color="auto" w:fill="FFFFFF"/>
        </w:rPr>
        <w:t>pluralidad de actividades</w:t>
      </w:r>
    </w:p>
    <w:p w14:paraId="3C6387D2" w14:textId="77777777" w:rsidR="00EA4DB3" w:rsidRPr="00936908" w:rsidRDefault="00EA4DB3" w:rsidP="00DE7D58">
      <w:pPr>
        <w:spacing w:line="276" w:lineRule="auto"/>
        <w:jc w:val="both"/>
        <w:rPr>
          <w:rFonts w:ascii="Arial" w:hAnsi="Arial" w:cs="Arial"/>
          <w:b/>
          <w:sz w:val="22"/>
          <w:shd w:val="clear" w:color="auto" w:fill="FFFFFF"/>
        </w:rPr>
      </w:pPr>
    </w:p>
    <w:p w14:paraId="7E1041E9" w14:textId="4FA6D4E5" w:rsidR="00EF1522" w:rsidRPr="000D0EC1" w:rsidRDefault="006F4573" w:rsidP="00DE7D58">
      <w:pPr>
        <w:spacing w:after="120" w:line="276" w:lineRule="auto"/>
        <w:jc w:val="both"/>
        <w:rPr>
          <w:rFonts w:ascii="Arial" w:hAnsi="Arial" w:cs="Arial"/>
          <w:sz w:val="22"/>
        </w:rPr>
      </w:pPr>
      <w:r>
        <w:rPr>
          <w:rFonts w:ascii="Arial" w:hAnsi="Arial" w:cs="Arial"/>
          <w:sz w:val="22"/>
        </w:rPr>
        <w:t>Para</w:t>
      </w:r>
      <w:r w:rsidR="00EF1522">
        <w:rPr>
          <w:rFonts w:ascii="Arial" w:hAnsi="Arial" w:cs="Arial"/>
          <w:sz w:val="22"/>
        </w:rPr>
        <w:t xml:space="preserve"> responder </w:t>
      </w:r>
      <w:r>
        <w:rPr>
          <w:rFonts w:ascii="Arial" w:hAnsi="Arial" w:cs="Arial"/>
          <w:sz w:val="22"/>
        </w:rPr>
        <w:t>l</w:t>
      </w:r>
      <w:r w:rsidR="00EF1522">
        <w:rPr>
          <w:rFonts w:ascii="Arial" w:hAnsi="Arial" w:cs="Arial"/>
          <w:sz w:val="22"/>
        </w:rPr>
        <w:t>a consulta es</w:t>
      </w:r>
      <w:r w:rsidR="00EF1522" w:rsidRPr="008A4522">
        <w:rPr>
          <w:rFonts w:ascii="Arial" w:hAnsi="Arial" w:cs="Arial"/>
          <w:sz w:val="22"/>
        </w:rPr>
        <w:t xml:space="preserve"> de especial importancia precisar </w:t>
      </w:r>
      <w:r w:rsidR="00EF1522">
        <w:rPr>
          <w:rFonts w:ascii="Arial" w:hAnsi="Arial" w:cs="Arial"/>
          <w:sz w:val="22"/>
        </w:rPr>
        <w:t>qué tratamiento debe dar</w:t>
      </w:r>
      <w:r w:rsidR="00671F22">
        <w:rPr>
          <w:rFonts w:ascii="Arial" w:hAnsi="Arial" w:cs="Arial"/>
          <w:sz w:val="22"/>
        </w:rPr>
        <w:t>se</w:t>
      </w:r>
      <w:r w:rsidR="00EF1522">
        <w:rPr>
          <w:rFonts w:ascii="Arial" w:hAnsi="Arial" w:cs="Arial"/>
          <w:sz w:val="22"/>
        </w:rPr>
        <w:t xml:space="preserve"> en la evaluación</w:t>
      </w:r>
      <w:r w:rsidR="00EF1522" w:rsidRPr="000D0EC1">
        <w:rPr>
          <w:rFonts w:ascii="Arial" w:hAnsi="Arial" w:cs="Arial"/>
          <w:sz w:val="22"/>
        </w:rPr>
        <w:t xml:space="preserve"> </w:t>
      </w:r>
      <w:r w:rsidR="00EF1522">
        <w:rPr>
          <w:rFonts w:ascii="Arial" w:hAnsi="Arial" w:cs="Arial"/>
          <w:sz w:val="22"/>
        </w:rPr>
        <w:t>a los</w:t>
      </w:r>
      <w:r w:rsidR="00EF1522" w:rsidRPr="000D0EC1">
        <w:rPr>
          <w:rFonts w:ascii="Arial" w:hAnsi="Arial" w:cs="Arial"/>
          <w:sz w:val="22"/>
        </w:rPr>
        <w:t xml:space="preserve"> supuestos en los que un contratista pretende cumplir el requisito de experiencia con contratos que involucraron la ejecución de pluralidad de actividades</w:t>
      </w:r>
      <w:r w:rsidR="00EF1522">
        <w:rPr>
          <w:rFonts w:ascii="Arial" w:hAnsi="Arial" w:cs="Arial"/>
          <w:sz w:val="22"/>
        </w:rPr>
        <w:t xml:space="preserve">. En ese sentido, se debe determinar </w:t>
      </w:r>
      <w:r w:rsidR="00EF1522" w:rsidRPr="000D0EC1">
        <w:rPr>
          <w:rFonts w:ascii="Arial" w:hAnsi="Arial" w:cs="Arial"/>
          <w:sz w:val="22"/>
        </w:rPr>
        <w:t>si la totalidad de la</w:t>
      </w:r>
      <w:r w:rsidR="00EF1522">
        <w:rPr>
          <w:rFonts w:ascii="Arial" w:hAnsi="Arial" w:cs="Arial"/>
          <w:sz w:val="22"/>
        </w:rPr>
        <w:t>s actividades ejecutadas</w:t>
      </w:r>
      <w:r w:rsidR="00EF1522" w:rsidRPr="000D0EC1">
        <w:rPr>
          <w:rFonts w:ascii="Arial" w:hAnsi="Arial" w:cs="Arial"/>
          <w:sz w:val="22"/>
        </w:rPr>
        <w:t xml:space="preserve"> son susceptibles de ser tenidas en cuenta para cumplir el requisito de experiencia</w:t>
      </w:r>
      <w:r w:rsidR="00EF1522">
        <w:rPr>
          <w:rFonts w:ascii="Arial" w:hAnsi="Arial" w:cs="Arial"/>
          <w:sz w:val="22"/>
        </w:rPr>
        <w:t xml:space="preserve"> establecido en la Matriz 1</w:t>
      </w:r>
      <w:r w:rsidR="00EF1522" w:rsidRPr="000D0EC1">
        <w:rPr>
          <w:rFonts w:ascii="Arial" w:hAnsi="Arial" w:cs="Arial"/>
          <w:sz w:val="22"/>
        </w:rPr>
        <w:t xml:space="preserve">. Esto comoquiera que puede que existan actividades que, sin perjuicio de que hayan sido efectivamente ejecutadas por el proponente, no </w:t>
      </w:r>
      <w:r w:rsidR="00EF1522">
        <w:rPr>
          <w:rFonts w:ascii="Arial" w:hAnsi="Arial" w:cs="Arial"/>
          <w:sz w:val="22"/>
        </w:rPr>
        <w:t xml:space="preserve">correspondan materialmente con las actividades a las que se refieren </w:t>
      </w:r>
      <w:r w:rsidR="00EF1522" w:rsidRPr="000D0EC1">
        <w:rPr>
          <w:rFonts w:ascii="Arial" w:hAnsi="Arial" w:cs="Arial"/>
          <w:sz w:val="22"/>
        </w:rPr>
        <w:t xml:space="preserve">los requisitos de experiencia exigibles en aplicación de la Matriz 1, cuestión que debe ser tenida en cuenta para su valoración. </w:t>
      </w:r>
    </w:p>
    <w:p w14:paraId="50BD934F" w14:textId="6B7549BB" w:rsidR="00EF1522" w:rsidRPr="000D0EC1" w:rsidRDefault="00EF1522" w:rsidP="00EF1522">
      <w:pPr>
        <w:spacing w:before="120" w:line="276" w:lineRule="auto"/>
        <w:ind w:firstLine="708"/>
        <w:jc w:val="both"/>
        <w:rPr>
          <w:rStyle w:val="normaltextrun"/>
          <w:rFonts w:ascii="Arial" w:hAnsi="Arial" w:cs="Arial"/>
          <w:sz w:val="22"/>
          <w:shd w:val="clear" w:color="auto" w:fill="FFFFFF"/>
        </w:rPr>
      </w:pPr>
      <w:r w:rsidRPr="000D0EC1">
        <w:rPr>
          <w:rFonts w:ascii="Arial" w:hAnsi="Arial" w:cs="Arial"/>
          <w:sz w:val="22"/>
        </w:rPr>
        <w:t>En ese sentido, de conformidad con el literal A del numeral 3.5.1, los contratos que sean aportados por un proponente deben dar cuenta de la ejecución de las actividades establecidas como requisitos de experiencia general y espec</w:t>
      </w:r>
      <w:r>
        <w:rPr>
          <w:rFonts w:ascii="Arial" w:hAnsi="Arial" w:cs="Arial"/>
          <w:sz w:val="22"/>
        </w:rPr>
        <w:t>í</w:t>
      </w:r>
      <w:r w:rsidRPr="000D0EC1">
        <w:rPr>
          <w:rFonts w:ascii="Arial" w:hAnsi="Arial" w:cs="Arial"/>
          <w:sz w:val="22"/>
        </w:rPr>
        <w:t xml:space="preserve">fica. Sin embargo, conforme a lo dicho en el párrafo precedente, cuando el contrato aportado </w:t>
      </w:r>
      <w:r>
        <w:rPr>
          <w:rFonts w:ascii="Arial" w:hAnsi="Arial" w:cs="Arial"/>
          <w:sz w:val="22"/>
        </w:rPr>
        <w:t>para</w:t>
      </w:r>
      <w:r w:rsidRPr="000D0EC1">
        <w:rPr>
          <w:rFonts w:ascii="Arial" w:hAnsi="Arial" w:cs="Arial"/>
          <w:sz w:val="22"/>
        </w:rPr>
        <w:t xml:space="preserve"> cumplir el requisito contiene actividades relacionadas con la experiencia exigida, y otras que no, la entidad debe fraccionar la evaluación de la experiencia a efectos de solo tener en cuenta lo atinente a la parte del objeto contractual que s</w:t>
      </w:r>
      <w:r>
        <w:rPr>
          <w:rFonts w:ascii="Arial" w:hAnsi="Arial" w:cs="Arial"/>
          <w:sz w:val="22"/>
        </w:rPr>
        <w:t>í</w:t>
      </w:r>
      <w:r w:rsidRPr="000D0EC1">
        <w:rPr>
          <w:rFonts w:ascii="Arial" w:hAnsi="Arial" w:cs="Arial"/>
          <w:sz w:val="22"/>
        </w:rPr>
        <w:t xml:space="preserve"> cumple con el requisito de </w:t>
      </w:r>
      <w:r w:rsidR="00D8209A">
        <w:rPr>
          <w:rFonts w:ascii="Arial" w:hAnsi="Arial" w:cs="Arial"/>
          <w:sz w:val="22"/>
        </w:rPr>
        <w:t>habilitante</w:t>
      </w:r>
      <w:r>
        <w:rPr>
          <w:rFonts w:ascii="Arial" w:hAnsi="Arial" w:cs="Arial"/>
          <w:sz w:val="22"/>
        </w:rPr>
        <w:t>, empleando para tal fin los documentos soporte allegados por el proponente</w:t>
      </w:r>
      <w:r w:rsidRPr="000D0EC1">
        <w:rPr>
          <w:rFonts w:ascii="Arial" w:hAnsi="Arial" w:cs="Arial"/>
          <w:sz w:val="22"/>
        </w:rPr>
        <w:t xml:space="preserve">. Esta tesis fue expuesta por </w:t>
      </w:r>
      <w:r w:rsidR="00D4245F">
        <w:rPr>
          <w:rFonts w:ascii="Arial" w:hAnsi="Arial" w:cs="Arial"/>
          <w:sz w:val="22"/>
        </w:rPr>
        <w:t>la Agencia</w:t>
      </w:r>
      <w:r w:rsidRPr="000D0EC1">
        <w:rPr>
          <w:rFonts w:ascii="Arial" w:hAnsi="Arial" w:cs="Arial"/>
          <w:sz w:val="22"/>
        </w:rPr>
        <w:t xml:space="preserve"> en el </w:t>
      </w:r>
      <w:r w:rsidR="00D4245F">
        <w:rPr>
          <w:rFonts w:ascii="Arial" w:hAnsi="Arial" w:cs="Arial"/>
          <w:sz w:val="22"/>
        </w:rPr>
        <w:t>C</w:t>
      </w:r>
      <w:r w:rsidRPr="000D0EC1">
        <w:rPr>
          <w:rFonts w:ascii="Arial" w:hAnsi="Arial" w:cs="Arial"/>
          <w:sz w:val="22"/>
        </w:rPr>
        <w:t xml:space="preserve">oncepto </w:t>
      </w:r>
      <w:r w:rsidRPr="000D0EC1">
        <w:rPr>
          <w:rStyle w:val="normaltextrun"/>
          <w:rFonts w:ascii="Arial" w:hAnsi="Arial" w:cs="Arial"/>
          <w:sz w:val="22"/>
          <w:shd w:val="clear" w:color="auto" w:fill="FFFFFF"/>
        </w:rPr>
        <w:t>No. 2201913000007824 del 21 de octubre de 2019, al cual se le dio alcance mediante el concepto C-531 del 21 de agosto de 2020, expedido en relación con los documentos tipo de licitación de obra pública de infraestructura de transporte – versión 2, en relación con el fraccionamiento de la valoración de la experiencia acreditada con contratos con plurali</w:t>
      </w:r>
      <w:r w:rsidR="007C38CA">
        <w:rPr>
          <w:rStyle w:val="normaltextrun"/>
          <w:rFonts w:ascii="Arial" w:hAnsi="Arial" w:cs="Arial"/>
          <w:sz w:val="22"/>
          <w:shd w:val="clear" w:color="auto" w:fill="FFFFFF"/>
        </w:rPr>
        <w:t xml:space="preserve">dad de actividades. Al respecto, </w:t>
      </w:r>
      <w:r w:rsidRPr="000D0EC1">
        <w:rPr>
          <w:rStyle w:val="normaltextrun"/>
          <w:rFonts w:ascii="Arial" w:hAnsi="Arial" w:cs="Arial"/>
          <w:sz w:val="22"/>
          <w:shd w:val="clear" w:color="auto" w:fill="FFFFFF"/>
        </w:rPr>
        <w:t xml:space="preserve">se expuso: </w:t>
      </w:r>
    </w:p>
    <w:p w14:paraId="13C92DB8" w14:textId="77777777" w:rsidR="00EF1522" w:rsidRPr="000D0EC1" w:rsidRDefault="00EF1522" w:rsidP="00DE7D58">
      <w:pPr>
        <w:spacing w:line="276" w:lineRule="auto"/>
        <w:ind w:firstLine="708"/>
        <w:jc w:val="both"/>
        <w:rPr>
          <w:rStyle w:val="normaltextrun"/>
          <w:rFonts w:ascii="Arial" w:hAnsi="Arial" w:cs="Arial"/>
          <w:sz w:val="22"/>
          <w:shd w:val="clear" w:color="auto" w:fill="FFFFFF"/>
        </w:rPr>
      </w:pPr>
    </w:p>
    <w:p w14:paraId="187959DD" w14:textId="0D9A6C6B" w:rsidR="00EF1522" w:rsidRPr="000D0EC1" w:rsidRDefault="00EF1522" w:rsidP="00DE7D58">
      <w:pPr>
        <w:spacing w:after="120"/>
        <w:ind w:left="709" w:right="709"/>
        <w:jc w:val="both"/>
        <w:rPr>
          <w:rFonts w:ascii="Arial" w:hAnsi="Arial" w:cs="Arial"/>
          <w:sz w:val="21"/>
          <w:szCs w:val="21"/>
        </w:rPr>
      </w:pPr>
      <w:r w:rsidRPr="000D0EC1">
        <w:rPr>
          <w:rFonts w:ascii="Arial" w:hAnsi="Arial" w:cs="Arial"/>
          <w:sz w:val="21"/>
          <w:szCs w:val="21"/>
        </w:rPr>
        <w:t xml:space="preserve">De conformidad con el literal A del numeral 3.5.1 del documento base y con la experiencia señalada en la Matriz 1, el proponente debe acreditar –y la entidad evaluar– la experiencia que corresponda con las actividades señaladas para acreditar la experiencia en la matriz indicada, por tanto, no pueden acreditarse y evaluarse actividades que no correspondan con las señaladas allí. En este sentido, en el caso hipotético de que un proponente acredite un contrato que contenga varias actividades ejecutadas y solo una corresponda con la exigida para acreditar la experiencia, de acuerdo a lo establecido en la Matriz 1, el proponente debe presentar o la entidad debe solicitar que se presente cada actividad con su respectivo valor, para lo cual se pueden utilizar los documentos señalados en el numeral 3.5.5., los cuales proceden cuando el proponente no está obligado a tener RUP o para detallar información que no consta en dicho registro, cuando la entidad requiera información adicional, por ejemplo, para discriminar las actividades ejecutadas en el contrato. </w:t>
      </w:r>
    </w:p>
    <w:p w14:paraId="02793D52" w14:textId="77777777" w:rsidR="00EF1522" w:rsidRPr="000D0EC1" w:rsidRDefault="00EF1522" w:rsidP="00EF1522">
      <w:pPr>
        <w:ind w:left="709" w:right="709"/>
        <w:jc w:val="both"/>
        <w:rPr>
          <w:rFonts w:ascii="Arial" w:hAnsi="Arial" w:cs="Arial"/>
          <w:sz w:val="21"/>
          <w:szCs w:val="21"/>
        </w:rPr>
      </w:pPr>
      <w:r w:rsidRPr="000D0EC1">
        <w:rPr>
          <w:rFonts w:ascii="Arial" w:hAnsi="Arial" w:cs="Arial"/>
          <w:sz w:val="21"/>
          <w:szCs w:val="21"/>
        </w:rPr>
        <w:t xml:space="preserve">Con fundamento en lo anterior, la entidad podrá verificar la experiencia que se adquirió en un contrato en el que se ejecutaron varias actividades, para evaluar </w:t>
      </w:r>
      <w:r w:rsidRPr="000D0EC1">
        <w:rPr>
          <w:rFonts w:ascii="Arial" w:hAnsi="Arial" w:cs="Arial"/>
          <w:sz w:val="21"/>
          <w:szCs w:val="21"/>
        </w:rPr>
        <w:lastRenderedPageBreak/>
        <w:t>únicamente la que cumpla realmente con la experiencia exigida, discriminado su valor, descontando el valor de las actividades diferentes, que no se enmarcan en la experiencia definida en la Matriz 1</w:t>
      </w:r>
      <w:r w:rsidRPr="000D0EC1">
        <w:rPr>
          <w:rStyle w:val="Refdenotaalpie"/>
          <w:rFonts w:ascii="Arial" w:hAnsi="Arial" w:cs="Arial"/>
          <w:sz w:val="21"/>
          <w:szCs w:val="21"/>
        </w:rPr>
        <w:footnoteReference w:id="10"/>
      </w:r>
      <w:r w:rsidRPr="000D0EC1">
        <w:rPr>
          <w:rFonts w:ascii="Arial" w:hAnsi="Arial" w:cs="Arial"/>
          <w:sz w:val="21"/>
          <w:szCs w:val="21"/>
        </w:rPr>
        <w:t>.</w:t>
      </w:r>
    </w:p>
    <w:p w14:paraId="00321197" w14:textId="77777777" w:rsidR="00EF1522" w:rsidRPr="000D0EC1" w:rsidRDefault="00EF1522" w:rsidP="00EF1522">
      <w:pPr>
        <w:spacing w:line="276" w:lineRule="auto"/>
        <w:ind w:firstLine="708"/>
        <w:jc w:val="both"/>
        <w:rPr>
          <w:rFonts w:ascii="Arial" w:hAnsi="Arial" w:cs="Arial"/>
          <w:sz w:val="22"/>
        </w:rPr>
      </w:pPr>
    </w:p>
    <w:p w14:paraId="1BD97413" w14:textId="2C267F2B" w:rsidR="00EF1522" w:rsidRPr="000D0EC1" w:rsidRDefault="00EF1522" w:rsidP="00EF1522">
      <w:pPr>
        <w:spacing w:after="120" w:line="276" w:lineRule="auto"/>
        <w:ind w:firstLine="709"/>
        <w:jc w:val="both"/>
        <w:rPr>
          <w:rFonts w:ascii="Arial" w:hAnsi="Arial" w:cs="Arial"/>
          <w:sz w:val="22"/>
        </w:rPr>
      </w:pPr>
      <w:r w:rsidRPr="000D0EC1">
        <w:rPr>
          <w:rFonts w:ascii="Arial" w:hAnsi="Arial" w:cs="Arial"/>
          <w:sz w:val="22"/>
        </w:rPr>
        <w:t xml:space="preserve">En tales términos, se considera que la evaluación del requisito de experiencia, en los casos en los que se acredita con contratos que contienen pluralidad de actividades de las cuales solo algunas cumplen con el requisito de experiencia, debe hacerse únicamente respecto de las actividades que se ajustan al requisito de experiencia exigible según la Matriz 1 y el literal A del numeral 3.5.2 del Documento Base. </w:t>
      </w:r>
      <w:r>
        <w:rPr>
          <w:rFonts w:ascii="Arial" w:hAnsi="Arial" w:cs="Arial"/>
          <w:sz w:val="22"/>
        </w:rPr>
        <w:t>Lo anterior</w:t>
      </w:r>
      <w:r w:rsidRPr="000D0EC1">
        <w:rPr>
          <w:rFonts w:ascii="Arial" w:hAnsi="Arial" w:cs="Arial"/>
          <w:sz w:val="22"/>
        </w:rPr>
        <w:t>, de conformidad con la tesis expuesta en el concepto citad</w:t>
      </w:r>
      <w:r>
        <w:rPr>
          <w:rFonts w:ascii="Arial" w:hAnsi="Arial" w:cs="Arial"/>
          <w:sz w:val="22"/>
        </w:rPr>
        <w:t>o</w:t>
      </w:r>
      <w:r w:rsidRPr="000D0EC1">
        <w:rPr>
          <w:rFonts w:ascii="Arial" w:hAnsi="Arial" w:cs="Arial"/>
          <w:sz w:val="22"/>
        </w:rPr>
        <w:t xml:space="preserve">, supone que solo se tengan en cuenta los valores de las actividades que </w:t>
      </w:r>
      <w:r>
        <w:rPr>
          <w:rFonts w:ascii="Arial" w:hAnsi="Arial" w:cs="Arial"/>
          <w:sz w:val="22"/>
        </w:rPr>
        <w:t>efectivamente</w:t>
      </w:r>
      <w:r w:rsidRPr="000D0EC1">
        <w:rPr>
          <w:rFonts w:ascii="Arial" w:hAnsi="Arial" w:cs="Arial"/>
          <w:sz w:val="22"/>
        </w:rPr>
        <w:t xml:space="preserve"> cumplen con el requisito de experiencia, descartando los valores de las actividades no relacionadas. </w:t>
      </w:r>
    </w:p>
    <w:p w14:paraId="78C3F621" w14:textId="526A41BB" w:rsidR="00192B77" w:rsidRPr="0021571D" w:rsidRDefault="00EF1522" w:rsidP="0021571D">
      <w:pPr>
        <w:spacing w:line="276" w:lineRule="auto"/>
        <w:ind w:firstLine="709"/>
        <w:jc w:val="both"/>
        <w:rPr>
          <w:rFonts w:ascii="Arial" w:hAnsi="Arial" w:cs="Arial"/>
          <w:sz w:val="22"/>
          <w:shd w:val="clear" w:color="auto" w:fill="FFFFFF"/>
        </w:rPr>
      </w:pPr>
      <w:r w:rsidRPr="000D0EC1">
        <w:rPr>
          <w:rFonts w:ascii="Arial" w:hAnsi="Arial" w:cs="Arial"/>
          <w:sz w:val="22"/>
        </w:rPr>
        <w:t>De otra parte, esta Agencia considera que el mismo razonamiento</w:t>
      </w:r>
      <w:r>
        <w:rPr>
          <w:rFonts w:ascii="Arial" w:hAnsi="Arial" w:cs="Arial"/>
          <w:sz w:val="22"/>
        </w:rPr>
        <w:t>,</w:t>
      </w:r>
      <w:r w:rsidRPr="000D0EC1">
        <w:rPr>
          <w:rFonts w:ascii="Arial" w:hAnsi="Arial" w:cs="Arial"/>
          <w:sz w:val="22"/>
        </w:rPr>
        <w:t xml:space="preserve"> según el cual la evaluación de la experiencia acreditada mediante un contrato con variadas actividades debe ser fraccionada en función de las actividades qu</w:t>
      </w:r>
      <w:r>
        <w:rPr>
          <w:rFonts w:ascii="Arial" w:hAnsi="Arial" w:cs="Arial"/>
          <w:sz w:val="22"/>
        </w:rPr>
        <w:t>e</w:t>
      </w:r>
      <w:r w:rsidRPr="000D0EC1">
        <w:rPr>
          <w:rFonts w:ascii="Arial" w:hAnsi="Arial" w:cs="Arial"/>
          <w:sz w:val="22"/>
        </w:rPr>
        <w:t xml:space="preserve"> s</w:t>
      </w:r>
      <w:r>
        <w:rPr>
          <w:rFonts w:ascii="Arial" w:hAnsi="Arial" w:cs="Arial"/>
          <w:sz w:val="22"/>
        </w:rPr>
        <w:t>í</w:t>
      </w:r>
      <w:r w:rsidRPr="000D0EC1">
        <w:rPr>
          <w:rFonts w:ascii="Arial" w:hAnsi="Arial" w:cs="Arial"/>
          <w:sz w:val="22"/>
        </w:rPr>
        <w:t xml:space="preserve"> se ajustan a las características de la experiencia exigida, es aplicable en lo relacionado a los requisitos de experiencia en términos de dimensionamiento. En otras palabras, en la evaluación de la experiencia con tales tipos de contratos, al igual que deben descartarse los valores correspondientes a las actividades no relacionadas con el requisito de experiencia, también deben ser descontadas las </w:t>
      </w:r>
      <w:r w:rsidR="00D4690E">
        <w:rPr>
          <w:rFonts w:ascii="Arial" w:hAnsi="Arial" w:cs="Arial"/>
          <w:sz w:val="22"/>
        </w:rPr>
        <w:t xml:space="preserve">magnitudes físicas, </w:t>
      </w:r>
      <w:r w:rsidRPr="000D0EC1">
        <w:rPr>
          <w:rFonts w:ascii="Arial" w:hAnsi="Arial" w:cs="Arial"/>
          <w:sz w:val="22"/>
        </w:rPr>
        <w:t>longitudes</w:t>
      </w:r>
      <w:r>
        <w:rPr>
          <w:rFonts w:ascii="Arial" w:hAnsi="Arial" w:cs="Arial"/>
          <w:sz w:val="22"/>
        </w:rPr>
        <w:t xml:space="preserve"> o áreas</w:t>
      </w:r>
      <w:r w:rsidRPr="000D0EC1">
        <w:rPr>
          <w:rFonts w:ascii="Arial" w:hAnsi="Arial" w:cs="Arial"/>
          <w:sz w:val="22"/>
        </w:rPr>
        <w:t xml:space="preserve"> sobre las que se ejecutaron obras que no se relacionan con la experiencia exigida. </w:t>
      </w:r>
      <w:r w:rsidR="0009440D" w:rsidRPr="00B57F79">
        <w:rPr>
          <w:rFonts w:ascii="Arial" w:hAnsi="Arial" w:cs="Arial"/>
          <w:spacing w:val="2"/>
          <w:sz w:val="22"/>
        </w:rPr>
        <w:t xml:space="preserve">En este sentido, </w:t>
      </w:r>
      <w:r w:rsidR="00192B77" w:rsidRPr="00B57F79">
        <w:rPr>
          <w:rFonts w:ascii="Arial" w:eastAsia="Times New Roman" w:hAnsi="Arial" w:cs="Arial"/>
          <w:sz w:val="22"/>
          <w:lang w:val="es-CO" w:eastAsia="es-ES_tradnl"/>
        </w:rPr>
        <w:t>la Agencia Nacional de Contratación Pública – Colombia Compra Eficiente tiene una postura clara frente a la forma en que se la acredita la experiencia cuando se ejecutan varias actividades y algunas de ellas no se relacionan con lo previsto en la «Matriz 1 - Experiencia</w:t>
      </w:r>
      <w:r w:rsidR="00192B77" w:rsidRPr="00B57F79">
        <w:rPr>
          <w:rFonts w:ascii="Arial" w:eastAsia="Calibri" w:hAnsi="Arial" w:cs="Arial"/>
          <w:color w:val="000000" w:themeColor="text1"/>
          <w:sz w:val="22"/>
          <w:lang w:val="es-CO"/>
        </w:rPr>
        <w:t>»,</w:t>
      </w:r>
      <w:r w:rsidR="0021571D">
        <w:rPr>
          <w:rFonts w:ascii="Arial" w:eastAsia="Times New Roman" w:hAnsi="Arial" w:cs="Arial"/>
          <w:sz w:val="22"/>
          <w:lang w:val="es-CO" w:eastAsia="es-ES_tradnl"/>
        </w:rPr>
        <w:t xml:space="preserve"> por lo que se consider</w:t>
      </w:r>
      <w:r w:rsidR="002B0BD2">
        <w:rPr>
          <w:rFonts w:ascii="Arial" w:eastAsia="Times New Roman" w:hAnsi="Arial" w:cs="Arial"/>
          <w:sz w:val="22"/>
          <w:lang w:val="es-CO" w:eastAsia="es-ES_tradnl"/>
        </w:rPr>
        <w:t>ó</w:t>
      </w:r>
      <w:r w:rsidR="0021571D">
        <w:rPr>
          <w:rFonts w:ascii="Arial" w:eastAsia="Times New Roman" w:hAnsi="Arial" w:cs="Arial"/>
          <w:sz w:val="22"/>
          <w:lang w:val="es-CO" w:eastAsia="es-ES_tradnl"/>
        </w:rPr>
        <w:t xml:space="preserve"> </w:t>
      </w:r>
      <w:r w:rsidR="00192B77" w:rsidRPr="00B57F79">
        <w:rPr>
          <w:rFonts w:ascii="Arial" w:eastAsia="Times New Roman" w:hAnsi="Arial" w:cs="Arial"/>
          <w:sz w:val="22"/>
          <w:lang w:val="es-CO" w:eastAsia="es-ES_tradnl"/>
        </w:rPr>
        <w:t xml:space="preserve">necesario y oportuno concretar esta regla expresamente en el pliego de condiciones. Esto para determinar la conducta de las entidades ante estas circunstancias, y, por tanto, evitar confusiones o dobles interpretaciones en la aplicación del documento base. </w:t>
      </w:r>
    </w:p>
    <w:p w14:paraId="10C63A64" w14:textId="783E047B" w:rsidR="00192B77" w:rsidRPr="00B57F79" w:rsidRDefault="00931310" w:rsidP="00192B77">
      <w:pPr>
        <w:spacing w:before="120" w:line="276" w:lineRule="auto"/>
        <w:ind w:firstLine="708"/>
        <w:jc w:val="both"/>
        <w:rPr>
          <w:rFonts w:ascii="Arial" w:eastAsia="Times New Roman" w:hAnsi="Arial" w:cs="Arial"/>
          <w:bCs/>
          <w:sz w:val="22"/>
          <w:lang w:val="es-CO" w:eastAsia="es-ES_tradnl"/>
        </w:rPr>
      </w:pPr>
      <w:r w:rsidRPr="00B57F79">
        <w:rPr>
          <w:rFonts w:ascii="Arial" w:eastAsia="Times New Roman" w:hAnsi="Arial" w:cs="Arial"/>
          <w:sz w:val="22"/>
          <w:lang w:val="es-CO" w:eastAsia="es-ES_tradnl"/>
        </w:rPr>
        <w:t xml:space="preserve">La </w:t>
      </w:r>
      <w:r w:rsidR="00032DA3">
        <w:rPr>
          <w:rFonts w:ascii="Arial" w:eastAsia="Times New Roman" w:hAnsi="Arial" w:cs="Arial"/>
          <w:bCs/>
          <w:sz w:val="22"/>
          <w:lang w:val="es-CO" w:eastAsia="es-ES_tradnl"/>
        </w:rPr>
        <w:t>entidad</w:t>
      </w:r>
      <w:r w:rsidR="00032DA3" w:rsidRPr="00B57F79">
        <w:rPr>
          <w:rFonts w:ascii="Arial" w:eastAsia="Times New Roman" w:hAnsi="Arial" w:cs="Arial"/>
          <w:bCs/>
          <w:sz w:val="22"/>
          <w:lang w:val="es-CO" w:eastAsia="es-ES_tradnl"/>
        </w:rPr>
        <w:t xml:space="preserve"> </w:t>
      </w:r>
      <w:r w:rsidR="00192B77" w:rsidRPr="00B57F79">
        <w:rPr>
          <w:rFonts w:ascii="Arial" w:eastAsia="Times New Roman" w:hAnsi="Arial" w:cs="Arial"/>
          <w:sz w:val="22"/>
          <w:lang w:eastAsia="es-ES_tradnl"/>
        </w:rPr>
        <w:t>expidió la</w:t>
      </w:r>
      <w:r w:rsidR="00192B77" w:rsidRPr="00B57F79">
        <w:rPr>
          <w:rFonts w:ascii="Arial" w:eastAsia="Times New Roman" w:hAnsi="Arial" w:cs="Arial"/>
          <w:bCs/>
          <w:sz w:val="22"/>
          <w:lang w:eastAsia="es-ES_tradnl"/>
        </w:rPr>
        <w:t xml:space="preserve"> Resolución 161 del 17 de junio de 2021, por la cual</w:t>
      </w:r>
      <w:r w:rsidR="00192B77" w:rsidRPr="00B57F79">
        <w:rPr>
          <w:rFonts w:ascii="Arial" w:eastAsia="Times New Roman" w:hAnsi="Arial" w:cs="Arial"/>
          <w:sz w:val="22"/>
          <w:lang w:val="es-CO" w:eastAsia="es-ES_tradnl"/>
        </w:rPr>
        <w:t xml:space="preserve"> </w:t>
      </w:r>
      <w:r w:rsidR="00192B77" w:rsidRPr="00B57F79">
        <w:rPr>
          <w:rFonts w:ascii="Arial" w:eastAsia="Times New Roman" w:hAnsi="Arial" w:cs="Arial"/>
          <w:bCs/>
          <w:sz w:val="22"/>
          <w:lang w:val="es-CO" w:eastAsia="es-ES_tradnl"/>
        </w:rPr>
        <w:t>se modifican los documentos tipo adoptados por la Agencia Nac</w:t>
      </w:r>
      <w:r w:rsidR="0021571D">
        <w:rPr>
          <w:rFonts w:ascii="Arial" w:eastAsia="Times New Roman" w:hAnsi="Arial" w:cs="Arial"/>
          <w:bCs/>
          <w:sz w:val="22"/>
          <w:lang w:val="es-CO" w:eastAsia="es-ES_tradnl"/>
        </w:rPr>
        <w:t>ional de Contratación Pública –</w:t>
      </w:r>
      <w:r w:rsidR="00192B77" w:rsidRPr="00B57F79">
        <w:rPr>
          <w:rFonts w:ascii="Arial" w:eastAsia="Times New Roman" w:hAnsi="Arial" w:cs="Arial"/>
          <w:bCs/>
          <w:sz w:val="22"/>
          <w:lang w:val="es-CO" w:eastAsia="es-ES_tradnl"/>
        </w:rPr>
        <w:t>Colombia Compra Eficiente</w:t>
      </w:r>
      <w:r w:rsidR="0021571D" w:rsidRPr="00B57F79">
        <w:rPr>
          <w:rFonts w:ascii="Arial" w:eastAsia="Times New Roman" w:hAnsi="Arial" w:cs="Arial"/>
          <w:bCs/>
          <w:sz w:val="22"/>
          <w:lang w:val="es-CO" w:eastAsia="es-ES_tradnl"/>
        </w:rPr>
        <w:t>–</w:t>
      </w:r>
      <w:r w:rsidR="007C38CA">
        <w:rPr>
          <w:rFonts w:ascii="Arial" w:eastAsia="Times New Roman" w:hAnsi="Arial" w:cs="Arial"/>
          <w:bCs/>
          <w:sz w:val="22"/>
          <w:lang w:val="es-CO" w:eastAsia="es-ES_tradnl"/>
        </w:rPr>
        <w:t xml:space="preserve"> y se establece así la versión 3</w:t>
      </w:r>
      <w:r w:rsidR="00192B77" w:rsidRPr="00B57F79">
        <w:rPr>
          <w:rFonts w:ascii="Arial" w:eastAsia="Times New Roman" w:hAnsi="Arial" w:cs="Arial"/>
          <w:bCs/>
          <w:sz w:val="22"/>
          <w:lang w:val="es-CO" w:eastAsia="es-ES_tradnl"/>
        </w:rPr>
        <w:t xml:space="preserve">. Con base en esta Resolución se </w:t>
      </w:r>
      <w:r w:rsidR="00192B77" w:rsidRPr="00B57F79">
        <w:rPr>
          <w:rFonts w:ascii="Arial" w:eastAsia="Times New Roman" w:hAnsi="Arial" w:cs="Arial"/>
          <w:bCs/>
          <w:sz w:val="22"/>
          <w:lang w:val="es-ES_tradnl" w:eastAsia="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 Particularmente, frente a la acreditación de la experiencia se</w:t>
      </w:r>
      <w:r w:rsidR="00192B77" w:rsidRPr="00B57F79">
        <w:rPr>
          <w:rFonts w:ascii="Arial" w:eastAsia="Times New Roman" w:hAnsi="Arial" w:cs="Arial"/>
          <w:bCs/>
          <w:sz w:val="22"/>
          <w:lang w:val="es-CO" w:eastAsia="es-ES_tradnl"/>
        </w:rPr>
        <w:t xml:space="preserve"> aclaró la forma en la cual se acredita esta cuando en un contrato se ejecutan varias actividades, de las cuales solo algunas se ajustan a lo exigido por la «Matriz 1 - Experiencia». </w:t>
      </w:r>
    </w:p>
    <w:p w14:paraId="1FBABF1C" w14:textId="63567110" w:rsidR="00192B77" w:rsidRPr="00B57F79" w:rsidRDefault="00192B77" w:rsidP="00931310">
      <w:pPr>
        <w:pStyle w:val="NormalWeb"/>
        <w:spacing w:before="120" w:beforeAutospacing="0" w:after="0" w:afterAutospacing="0" w:line="276" w:lineRule="auto"/>
        <w:ind w:firstLine="708"/>
        <w:jc w:val="both"/>
        <w:rPr>
          <w:rFonts w:ascii="Arial" w:hAnsi="Arial" w:cs="Arial"/>
          <w:spacing w:val="2"/>
          <w:sz w:val="22"/>
          <w:szCs w:val="22"/>
        </w:rPr>
      </w:pPr>
      <w:r w:rsidRPr="00B57F79">
        <w:rPr>
          <w:rFonts w:ascii="Arial" w:hAnsi="Arial" w:cs="Arial"/>
          <w:bCs/>
          <w:sz w:val="22"/>
          <w:szCs w:val="22"/>
          <w:lang w:eastAsia="es-ES_tradnl"/>
        </w:rPr>
        <w:lastRenderedPageBreak/>
        <w:t xml:space="preserve">Por ello, </w:t>
      </w:r>
      <w:bookmarkStart w:id="2" w:name="_Hlk81483932"/>
      <w:r w:rsidRPr="00B57F79">
        <w:rPr>
          <w:rFonts w:ascii="Arial" w:hAnsi="Arial" w:cs="Arial"/>
          <w:bCs/>
          <w:sz w:val="22"/>
          <w:szCs w:val="22"/>
          <w:lang w:eastAsia="es-ES_tradnl"/>
        </w:rPr>
        <w:t>el artículo 2</w:t>
      </w:r>
      <w:r w:rsidR="00931310" w:rsidRPr="00B57F79">
        <w:rPr>
          <w:rFonts w:ascii="Arial" w:hAnsi="Arial" w:cs="Arial"/>
          <w:bCs/>
          <w:sz w:val="22"/>
          <w:szCs w:val="22"/>
          <w:lang w:eastAsia="es-ES_tradnl"/>
        </w:rPr>
        <w:t>2</w:t>
      </w:r>
      <w:r w:rsidRPr="00B57F79">
        <w:rPr>
          <w:rFonts w:ascii="Arial" w:hAnsi="Arial" w:cs="Arial"/>
          <w:bCs/>
          <w:sz w:val="22"/>
          <w:szCs w:val="22"/>
          <w:lang w:eastAsia="es-ES_tradnl"/>
        </w:rPr>
        <w:t xml:space="preserve"> de dicha resolución adicionó el literal </w:t>
      </w:r>
      <w:r w:rsidR="00931310" w:rsidRPr="00B57F79">
        <w:rPr>
          <w:rFonts w:ascii="Arial" w:hAnsi="Arial" w:cs="Arial"/>
          <w:bCs/>
          <w:sz w:val="22"/>
          <w:szCs w:val="22"/>
          <w:lang w:eastAsia="es-ES_tradnl"/>
        </w:rPr>
        <w:t>i</w:t>
      </w:r>
      <w:r w:rsidRPr="00B57F79">
        <w:rPr>
          <w:rFonts w:ascii="Arial" w:hAnsi="Arial" w:cs="Arial"/>
          <w:bCs/>
          <w:sz w:val="22"/>
          <w:szCs w:val="22"/>
          <w:lang w:eastAsia="es-ES_tradnl"/>
        </w:rPr>
        <w:t>) al numeral 3.5.</w:t>
      </w:r>
      <w:r w:rsidR="00931310" w:rsidRPr="00B57F79">
        <w:rPr>
          <w:rFonts w:ascii="Arial" w:hAnsi="Arial" w:cs="Arial"/>
          <w:bCs/>
          <w:sz w:val="22"/>
          <w:szCs w:val="22"/>
          <w:lang w:eastAsia="es-ES_tradnl"/>
        </w:rPr>
        <w:t>2</w:t>
      </w:r>
      <w:r w:rsidRPr="00B57F79">
        <w:rPr>
          <w:rFonts w:ascii="Arial" w:hAnsi="Arial" w:cs="Arial"/>
          <w:bCs/>
          <w:sz w:val="22"/>
          <w:szCs w:val="22"/>
          <w:lang w:eastAsia="es-ES_tradnl"/>
        </w:rPr>
        <w:t xml:space="preserve"> de los documentos tipo de infraestructura de </w:t>
      </w:r>
      <w:r w:rsidR="00931310" w:rsidRPr="00B57F79">
        <w:rPr>
          <w:rFonts w:ascii="Arial" w:hAnsi="Arial" w:cs="Arial"/>
          <w:bCs/>
          <w:sz w:val="22"/>
          <w:szCs w:val="22"/>
          <w:lang w:eastAsia="es-ES_tradnl"/>
        </w:rPr>
        <w:t xml:space="preserve">infraestructura de transporte </w:t>
      </w:r>
      <w:r w:rsidRPr="00B57F79">
        <w:rPr>
          <w:rFonts w:ascii="Arial" w:hAnsi="Arial" w:cs="Arial"/>
          <w:bCs/>
          <w:sz w:val="22"/>
          <w:szCs w:val="22"/>
          <w:lang w:eastAsia="es-ES_tradnl"/>
        </w:rPr>
        <w:t>así: «</w:t>
      </w:r>
      <w:r w:rsidR="00931310" w:rsidRPr="00B57F79">
        <w:rPr>
          <w:rFonts w:ascii="Arial" w:hAnsi="Arial" w:cs="Arial"/>
          <w:spacing w:val="2"/>
          <w:sz w:val="22"/>
          <w:szCs w:val="22"/>
        </w:rPr>
        <w:t xml:space="preserve"> j. Cuando el contrato que se pretende acreditar como experiencia contenga varias actividades, de las cuales solo alguna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w:t>
      </w:r>
      <w:r w:rsidRPr="00B57F79">
        <w:rPr>
          <w:rFonts w:ascii="Arial" w:hAnsi="Arial" w:cs="Arial"/>
          <w:bCs/>
          <w:sz w:val="22"/>
          <w:szCs w:val="22"/>
          <w:lang w:eastAsia="es-ES_tradnl"/>
        </w:rPr>
        <w:t>».</w:t>
      </w:r>
    </w:p>
    <w:p w14:paraId="5A42522A" w14:textId="7E3EEB0D" w:rsidR="00192B77" w:rsidRPr="00B57F79" w:rsidRDefault="00192B77" w:rsidP="00192B77">
      <w:pPr>
        <w:spacing w:before="120" w:line="276" w:lineRule="auto"/>
        <w:ind w:firstLine="709"/>
        <w:jc w:val="both"/>
        <w:rPr>
          <w:rFonts w:ascii="Arial" w:eastAsia="Times New Roman" w:hAnsi="Arial" w:cs="Arial"/>
          <w:sz w:val="22"/>
          <w:lang w:val="es-CO" w:eastAsia="es-ES_tradnl"/>
        </w:rPr>
      </w:pPr>
      <w:r w:rsidRPr="00B57F79">
        <w:rPr>
          <w:rFonts w:ascii="Arial" w:eastAsia="Times New Roman" w:hAnsi="Arial" w:cs="Arial"/>
          <w:sz w:val="22"/>
          <w:lang w:val="es-CO" w:eastAsia="es-ES_tradnl"/>
        </w:rPr>
        <w:t xml:space="preserve">Conforme con lo señalado, cuando 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w:t>
      </w:r>
      <w:r w:rsidR="00A02449">
        <w:rPr>
          <w:rFonts w:ascii="Arial" w:eastAsia="Times New Roman" w:hAnsi="Arial" w:cs="Arial"/>
          <w:sz w:val="22"/>
          <w:lang w:val="es-CO" w:eastAsia="es-ES_tradnl"/>
        </w:rPr>
        <w:t>habilitante</w:t>
      </w:r>
      <w:r w:rsidRPr="00B57F79">
        <w:rPr>
          <w:rFonts w:ascii="Arial" w:eastAsia="Times New Roman" w:hAnsi="Arial" w:cs="Arial"/>
          <w:sz w:val="22"/>
          <w:lang w:val="es-CO" w:eastAsia="es-ES_tradnl"/>
        </w:rPr>
        <w:t xml:space="preserve">, empleando para tal fin los documentos soporte allegados por el proponente. De este modo, </w:t>
      </w:r>
      <w:r w:rsidRPr="00B57F79">
        <w:rPr>
          <w:rFonts w:ascii="Arial" w:eastAsia="Times New Roman" w:hAnsi="Arial" w:cs="Arial"/>
          <w:sz w:val="22"/>
          <w:lang w:eastAsia="es-ES_tradnl"/>
        </w:rPr>
        <w:t>la entidad evaluará únicamente la actividad que cumpla realmente con la experiencia exigida, descontando el valor, las magnitudes y áreas construidas de las actividades diferentes, que no se enmarcan en la experiencia definida en la matriz 1</w:t>
      </w:r>
      <w:bookmarkEnd w:id="2"/>
      <w:r w:rsidRPr="00B57F79">
        <w:rPr>
          <w:rFonts w:ascii="Arial" w:eastAsia="Times New Roman" w:hAnsi="Arial" w:cs="Arial"/>
          <w:sz w:val="22"/>
          <w:lang w:eastAsia="es-ES_tradnl"/>
        </w:rPr>
        <w:t>.</w:t>
      </w:r>
    </w:p>
    <w:p w14:paraId="3122D2B4" w14:textId="1FFA1849" w:rsidR="00CF298B" w:rsidRPr="00B57F79" w:rsidRDefault="00CF298B" w:rsidP="00DE7D58">
      <w:pPr>
        <w:spacing w:line="276" w:lineRule="auto"/>
        <w:jc w:val="both"/>
        <w:rPr>
          <w:rStyle w:val="normaltextrun"/>
          <w:rFonts w:ascii="Arial" w:hAnsi="Arial" w:cs="Arial"/>
          <w:sz w:val="22"/>
          <w:shd w:val="clear" w:color="auto" w:fill="FFFFFF"/>
          <w:lang w:val="es-CO"/>
        </w:rPr>
      </w:pPr>
    </w:p>
    <w:p w14:paraId="20A7C26B" w14:textId="6600DEC3" w:rsidR="00CF298B" w:rsidRPr="00B57F79" w:rsidRDefault="00757A66" w:rsidP="00CF298B">
      <w:pPr>
        <w:spacing w:line="276" w:lineRule="auto"/>
        <w:jc w:val="both"/>
        <w:rPr>
          <w:rFonts w:ascii="Arial" w:eastAsia="Calibri" w:hAnsi="Arial" w:cs="Arial"/>
          <w:b/>
          <w:bCs/>
          <w:color w:val="000000"/>
          <w:sz w:val="22"/>
        </w:rPr>
      </w:pPr>
      <w:r>
        <w:rPr>
          <w:rFonts w:ascii="Arial" w:eastAsia="Calibri" w:hAnsi="Arial" w:cs="Arial"/>
          <w:b/>
          <w:bCs/>
          <w:color w:val="000000"/>
          <w:sz w:val="22"/>
        </w:rPr>
        <w:t>2.</w:t>
      </w:r>
      <w:r w:rsidR="00163B50">
        <w:rPr>
          <w:rFonts w:ascii="Arial" w:eastAsia="Calibri" w:hAnsi="Arial" w:cs="Arial"/>
          <w:b/>
          <w:bCs/>
          <w:color w:val="000000"/>
          <w:sz w:val="22"/>
        </w:rPr>
        <w:t>5</w:t>
      </w:r>
      <w:r w:rsidR="00CF298B" w:rsidRPr="00B57F79">
        <w:rPr>
          <w:rFonts w:ascii="Arial" w:eastAsia="Calibri" w:hAnsi="Arial" w:cs="Arial"/>
          <w:b/>
          <w:bCs/>
          <w:color w:val="000000"/>
          <w:sz w:val="22"/>
        </w:rPr>
        <w:t>. Combinación de experiencia en los documentos tipo</w:t>
      </w:r>
    </w:p>
    <w:p w14:paraId="5EDA385E" w14:textId="77777777" w:rsidR="00CF298B" w:rsidRPr="00B57F79" w:rsidRDefault="00CF298B" w:rsidP="00CF298B">
      <w:pPr>
        <w:spacing w:line="276" w:lineRule="auto"/>
        <w:jc w:val="both"/>
        <w:rPr>
          <w:rFonts w:ascii="Arial" w:eastAsia="Calibri" w:hAnsi="Arial" w:cs="Arial"/>
          <w:color w:val="000000"/>
          <w:sz w:val="22"/>
        </w:rPr>
      </w:pPr>
    </w:p>
    <w:p w14:paraId="541D18CD" w14:textId="2B857703" w:rsidR="00CF298B" w:rsidRPr="00B57F79" w:rsidRDefault="00CF298B" w:rsidP="008D5317">
      <w:pPr>
        <w:spacing w:after="120" w:line="276" w:lineRule="auto"/>
        <w:jc w:val="both"/>
        <w:rPr>
          <w:rFonts w:ascii="Arial" w:eastAsia="Calibri" w:hAnsi="Arial" w:cs="Arial"/>
          <w:color w:val="000000"/>
          <w:sz w:val="22"/>
        </w:rPr>
      </w:pPr>
      <w:r w:rsidRPr="00B57F79">
        <w:rPr>
          <w:rFonts w:ascii="Arial" w:eastAsia="Calibri" w:hAnsi="Arial" w:cs="Arial"/>
          <w:color w:val="000000"/>
          <w:sz w:val="22"/>
        </w:rPr>
        <w:t xml:space="preserve">Cabe señalar en </w:t>
      </w:r>
      <w:proofErr w:type="gramStart"/>
      <w:r w:rsidRPr="00B57F79">
        <w:rPr>
          <w:rFonts w:ascii="Arial" w:eastAsia="Calibri" w:hAnsi="Arial" w:cs="Arial"/>
          <w:color w:val="000000"/>
          <w:sz w:val="22"/>
        </w:rPr>
        <w:t>forma  preliminar</w:t>
      </w:r>
      <w:proofErr w:type="gramEnd"/>
      <w:r w:rsidRPr="00B57F79">
        <w:rPr>
          <w:rFonts w:ascii="Arial" w:eastAsia="Calibri" w:hAnsi="Arial" w:cs="Arial"/>
          <w:color w:val="000000"/>
          <w:sz w:val="22"/>
        </w:rPr>
        <w:t xml:space="preserve"> que esta entidad se pronunció en relación con el alcance de la incluida en la Matriz 1 – Experiencia de los documentos tipo de licitación de obra pública de infraestructura de transporte, contemplada para la Versión 1</w:t>
      </w:r>
      <w:r w:rsidRPr="00B57F79">
        <w:rPr>
          <w:rFonts w:ascii="Arial" w:eastAsia="Calibri" w:hAnsi="Arial" w:cs="Arial"/>
          <w:b/>
          <w:bCs/>
          <w:color w:val="000000"/>
          <w:sz w:val="22"/>
        </w:rPr>
        <w:t xml:space="preserve"> </w:t>
      </w:r>
      <w:r w:rsidRPr="00B57F79">
        <w:rPr>
          <w:rFonts w:ascii="Arial" w:eastAsia="Calibri" w:hAnsi="Arial" w:cs="Arial"/>
          <w:color w:val="000000"/>
          <w:sz w:val="22"/>
        </w:rPr>
        <w:t>de dichos documentos, la cual establecía «NOTA: la ejecución de actividades se pediría según el requerimiento de cada proceso, se pueden pedir los de cada APARTE o sus combinaciones». En efecto, el alcance de dicha nota se acotó en los conceptos del: 7 de agosto de 2019, que se produjo dentro del radicado No. 2201913000005643</w:t>
      </w:r>
      <w:r w:rsidRPr="00B57F79">
        <w:rPr>
          <w:rFonts w:ascii="Arial" w:eastAsia="Calibri" w:hAnsi="Arial" w:cs="Arial"/>
          <w:color w:val="000000"/>
          <w:sz w:val="22"/>
          <w:vertAlign w:val="superscript"/>
        </w:rPr>
        <w:footnoteReference w:id="11"/>
      </w:r>
      <w:r w:rsidRPr="00B57F79">
        <w:rPr>
          <w:rFonts w:ascii="Arial" w:eastAsia="Calibri" w:hAnsi="Arial" w:cs="Arial"/>
          <w:color w:val="000000"/>
          <w:sz w:val="22"/>
        </w:rPr>
        <w:t>; 26 de agosto de 2019, correspondiente al radicado No. 2201913000006218</w:t>
      </w:r>
      <w:r w:rsidRPr="00B57F79">
        <w:rPr>
          <w:rFonts w:ascii="Arial" w:eastAsia="Calibri" w:hAnsi="Arial" w:cs="Arial"/>
          <w:color w:val="000000"/>
          <w:sz w:val="22"/>
          <w:vertAlign w:val="superscript"/>
        </w:rPr>
        <w:footnoteReference w:id="12"/>
      </w:r>
      <w:r w:rsidRPr="00B57F79">
        <w:rPr>
          <w:rFonts w:ascii="Arial" w:eastAsia="Calibri" w:hAnsi="Arial" w:cs="Arial"/>
          <w:color w:val="000000"/>
          <w:sz w:val="22"/>
        </w:rPr>
        <w:t>; 12 de septiembre de 2019, dictado en el radicado No. 2201913000006777</w:t>
      </w:r>
      <w:r w:rsidRPr="00B57F79">
        <w:rPr>
          <w:rFonts w:ascii="Arial" w:eastAsia="Calibri" w:hAnsi="Arial" w:cs="Arial"/>
          <w:color w:val="000000"/>
          <w:sz w:val="22"/>
          <w:vertAlign w:val="superscript"/>
        </w:rPr>
        <w:footnoteReference w:id="13"/>
      </w:r>
      <w:r w:rsidRPr="00B57F79">
        <w:rPr>
          <w:rFonts w:ascii="Arial" w:eastAsia="Calibri" w:hAnsi="Arial" w:cs="Arial"/>
          <w:color w:val="000000"/>
          <w:sz w:val="22"/>
        </w:rPr>
        <w:t>;</w:t>
      </w:r>
      <w:r w:rsidR="00847D50">
        <w:rPr>
          <w:rFonts w:ascii="Arial" w:eastAsia="Calibri" w:hAnsi="Arial" w:cs="Arial"/>
          <w:color w:val="000000"/>
          <w:sz w:val="22"/>
        </w:rPr>
        <w:t xml:space="preserve"> </w:t>
      </w:r>
      <w:r w:rsidRPr="00B57F79">
        <w:rPr>
          <w:rFonts w:ascii="Arial" w:eastAsia="Calibri" w:hAnsi="Arial" w:cs="Arial"/>
          <w:color w:val="000000"/>
          <w:sz w:val="22"/>
        </w:rPr>
        <w:t xml:space="preserve">16 de septiembre de 2019, </w:t>
      </w:r>
      <w:r w:rsidRPr="00B57F79">
        <w:rPr>
          <w:rFonts w:ascii="Arial" w:eastAsia="Calibri" w:hAnsi="Arial" w:cs="Arial"/>
          <w:color w:val="000000"/>
          <w:sz w:val="22"/>
        </w:rPr>
        <w:lastRenderedPageBreak/>
        <w:t>proferido dentro del radicado No. 2201913000006878</w:t>
      </w:r>
      <w:r w:rsidRPr="00B57F79">
        <w:rPr>
          <w:rFonts w:ascii="Arial" w:eastAsia="Calibri" w:hAnsi="Arial" w:cs="Arial"/>
          <w:color w:val="000000"/>
          <w:sz w:val="22"/>
          <w:vertAlign w:val="superscript"/>
        </w:rPr>
        <w:footnoteReference w:id="14"/>
      </w:r>
      <w:r w:rsidRPr="00B57F79">
        <w:rPr>
          <w:rFonts w:ascii="Arial" w:eastAsia="Calibri" w:hAnsi="Arial" w:cs="Arial"/>
          <w:color w:val="000000"/>
          <w:sz w:val="22"/>
        </w:rPr>
        <w:t>; del 9 de diciembre de 2019, dictado al interior del radicado No. 2201913000009080</w:t>
      </w:r>
      <w:r w:rsidRPr="00B57F79">
        <w:rPr>
          <w:rFonts w:ascii="Arial" w:eastAsia="Calibri" w:hAnsi="Arial" w:cs="Arial"/>
          <w:color w:val="000000"/>
          <w:sz w:val="22"/>
          <w:vertAlign w:val="superscript"/>
        </w:rPr>
        <w:footnoteReference w:id="15"/>
      </w:r>
      <w:r w:rsidRPr="00B57F79">
        <w:rPr>
          <w:rFonts w:ascii="Arial" w:eastAsia="Calibri" w:hAnsi="Arial" w:cs="Arial"/>
          <w:color w:val="000000"/>
          <w:sz w:val="22"/>
        </w:rPr>
        <w:t>; y en el concepto C-154 del 1 de abril de 2020 se explicó el alcance de las expresiones «los de cada aparte» y «sus combinaciones», contenidas en dicha nota existente en la Versión 1 de los documentos tipo.</w:t>
      </w:r>
    </w:p>
    <w:p w14:paraId="7B4D48CF" w14:textId="77777777" w:rsidR="00CF298B" w:rsidRPr="00B57F79" w:rsidRDefault="00CF298B" w:rsidP="00CF298B">
      <w:pPr>
        <w:spacing w:before="120" w:after="120" w:line="276" w:lineRule="auto"/>
        <w:jc w:val="both"/>
        <w:rPr>
          <w:rFonts w:ascii="Arial" w:eastAsia="Calibri" w:hAnsi="Arial" w:cs="Arial"/>
          <w:color w:val="000000"/>
          <w:sz w:val="22"/>
        </w:rPr>
      </w:pPr>
      <w:r w:rsidRPr="00B57F79">
        <w:rPr>
          <w:rFonts w:ascii="Arial" w:eastAsia="Calibri" w:hAnsi="Arial" w:cs="Arial"/>
          <w:color w:val="000000"/>
          <w:sz w:val="22"/>
        </w:rPr>
        <w:tab/>
        <w:t>No obstante, dicha nota fue modificada en la Versión 2 de los documentos tipo de licitación de obra pública de infraestructura de transporte y se mantuvo en la Versión 3 de estos documentos, por lo que al final de la «Matriz 1 – Experiencia» de los documentos actuales se aclara de forma más pormenorizada la posibilidad que existe de solicitar experiencia asociada a más de un tipo de «actividad a contratar», en los proyectos que impliquen la ejecución, precisamente, de dos o más actividades a contratar de las contempladas en la matriz indicada.</w:t>
      </w:r>
    </w:p>
    <w:p w14:paraId="5EEF3352" w14:textId="77777777" w:rsidR="00CF298B" w:rsidRPr="00B57F79" w:rsidRDefault="00CF298B" w:rsidP="00CF298B">
      <w:pPr>
        <w:spacing w:before="120" w:line="276" w:lineRule="auto"/>
        <w:jc w:val="both"/>
        <w:rPr>
          <w:rFonts w:ascii="Arial" w:eastAsia="Calibri" w:hAnsi="Arial" w:cs="Arial"/>
          <w:color w:val="000000"/>
          <w:sz w:val="22"/>
        </w:rPr>
      </w:pPr>
      <w:r w:rsidRPr="00B57F79">
        <w:rPr>
          <w:rFonts w:ascii="Arial" w:eastAsia="Calibri" w:hAnsi="Arial" w:cs="Arial"/>
          <w:color w:val="000000"/>
          <w:sz w:val="22"/>
        </w:rPr>
        <w:tab/>
        <w:t>En este sentido, en el acápite de «Reglas para definir la experiencia exigible en el proceso de contratación» de la «Matriz 1 – Experiencia», tanto de baja o mediana y alta complejidad de los documentos tipo actuales se establece la regla vi) que prescribe lo siguiente:</w:t>
      </w:r>
    </w:p>
    <w:p w14:paraId="1990B007" w14:textId="77777777" w:rsidR="00CF298B" w:rsidRPr="00B02705" w:rsidRDefault="00CF298B" w:rsidP="00CF298B">
      <w:pPr>
        <w:ind w:left="709" w:right="709"/>
        <w:jc w:val="both"/>
        <w:rPr>
          <w:rFonts w:ascii="Arial" w:eastAsia="Calibri" w:hAnsi="Arial" w:cs="Arial"/>
          <w:color w:val="000000"/>
          <w:sz w:val="21"/>
          <w:szCs w:val="21"/>
        </w:rPr>
      </w:pPr>
    </w:p>
    <w:p w14:paraId="5EBDAAD9" w14:textId="77777777" w:rsidR="00CF298B" w:rsidRPr="00B02705" w:rsidRDefault="00CF298B" w:rsidP="009B4391">
      <w:pPr>
        <w:spacing w:after="120"/>
        <w:ind w:left="709" w:right="709"/>
        <w:jc w:val="both"/>
        <w:rPr>
          <w:rFonts w:ascii="Arial" w:eastAsia="Calibri" w:hAnsi="Arial" w:cs="Arial"/>
          <w:color w:val="000000"/>
          <w:sz w:val="21"/>
          <w:szCs w:val="21"/>
          <w:lang w:val="es-ES_tradnl"/>
        </w:rPr>
      </w:pPr>
      <w:r w:rsidRPr="00B02705">
        <w:rPr>
          <w:rFonts w:ascii="Arial" w:eastAsia="Calibri" w:hAnsi="Arial" w:cs="Arial"/>
          <w:color w:val="000000"/>
          <w:sz w:val="21"/>
          <w:szCs w:val="21"/>
          <w:lang w:val="es-ES_tradnl"/>
        </w:rPr>
        <w:t xml:space="preserve">vi) Cuando el objeto del proceso de contratación contemple la ejecución de dos o más “Actividades a Contratar” (ej.: 1.1 y 7.1),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w:t>
      </w:r>
      <w:r w:rsidRPr="00B02705">
        <w:rPr>
          <w:rFonts w:ascii="Arial" w:eastAsia="Calibri" w:hAnsi="Arial" w:cs="Arial"/>
          <w:color w:val="000000"/>
          <w:sz w:val="21"/>
          <w:szCs w:val="21"/>
          <w:lang w:val="es-ES_tradnl"/>
        </w:rPr>
        <w:lastRenderedPageBreak/>
        <w:t xml:space="preserve">la experiencia específica de la correspondiente actividad. En el evento en </w:t>
      </w:r>
      <w:proofErr w:type="gramStart"/>
      <w:r w:rsidRPr="00B02705">
        <w:rPr>
          <w:rFonts w:ascii="Arial" w:eastAsia="Calibri" w:hAnsi="Arial" w:cs="Arial"/>
          <w:color w:val="000000"/>
          <w:sz w:val="21"/>
          <w:szCs w:val="21"/>
          <w:lang w:val="es-ES_tradnl"/>
        </w:rPr>
        <w:t>que</w:t>
      </w:r>
      <w:proofErr w:type="gramEnd"/>
      <w:r w:rsidRPr="00B02705">
        <w:rPr>
          <w:rFonts w:ascii="Arial" w:eastAsia="Calibri" w:hAnsi="Arial" w:cs="Arial"/>
          <w:color w:val="000000"/>
          <w:sz w:val="21"/>
          <w:szCs w:val="21"/>
          <w:lang w:val="es-ES_tradnl"/>
        </w:rPr>
        <w:t xml:space="preserve"> para las actividades a contratar, diferentes a la de mayor relevancia, la “Matriz 1- Experiencia” no contemple la experiencia específica, se podrá solicitar la experiencia general de la actividad, como específica. </w:t>
      </w:r>
    </w:p>
    <w:p w14:paraId="2D502A6A" w14:textId="77777777" w:rsidR="00CF298B" w:rsidRPr="00B02705" w:rsidRDefault="00CF298B" w:rsidP="009B4391">
      <w:pPr>
        <w:spacing w:after="120"/>
        <w:ind w:left="709" w:right="709"/>
        <w:jc w:val="both"/>
        <w:rPr>
          <w:rFonts w:ascii="Arial" w:eastAsia="Calibri" w:hAnsi="Arial" w:cs="Arial"/>
          <w:color w:val="000000"/>
          <w:sz w:val="21"/>
          <w:szCs w:val="21"/>
          <w:lang w:val="es-ES_tradnl"/>
        </w:rPr>
      </w:pPr>
      <w:bookmarkStart w:id="3" w:name="_Hlk81577030"/>
      <w:r w:rsidRPr="00B02705">
        <w:rPr>
          <w:rFonts w:ascii="Arial" w:eastAsia="Calibri" w:hAnsi="Arial" w:cs="Arial"/>
          <w:color w:val="000000"/>
          <w:sz w:val="21"/>
          <w:szCs w:val="21"/>
          <w:lang w:val="es-ES_tradnl"/>
        </w:rPr>
        <w:t>Tenga en cuenta que la experiencia se exigirá en función del valor del presupuesto oficial y no por el valor de la desagregación de actividades</w:t>
      </w:r>
      <w:bookmarkEnd w:id="3"/>
      <w:r w:rsidRPr="00B02705">
        <w:rPr>
          <w:rFonts w:ascii="Arial" w:eastAsia="Calibri" w:hAnsi="Arial" w:cs="Arial"/>
          <w:color w:val="000000"/>
          <w:sz w:val="21"/>
          <w:szCs w:val="21"/>
          <w:lang w:val="es-ES_tradnl"/>
        </w:rPr>
        <w:t xml:space="preserve">. </w:t>
      </w:r>
    </w:p>
    <w:p w14:paraId="7777E757" w14:textId="77777777" w:rsidR="00CF298B" w:rsidRPr="00B02705" w:rsidRDefault="00CF298B" w:rsidP="009B4391">
      <w:pPr>
        <w:spacing w:after="120"/>
        <w:ind w:left="709" w:right="709"/>
        <w:jc w:val="both"/>
        <w:rPr>
          <w:rFonts w:ascii="Arial" w:eastAsia="Calibri" w:hAnsi="Arial" w:cs="Arial"/>
          <w:color w:val="000000"/>
          <w:sz w:val="21"/>
          <w:szCs w:val="21"/>
          <w:lang w:val="es-ES_tradnl"/>
        </w:rPr>
      </w:pPr>
      <w:r w:rsidRPr="00B02705">
        <w:rPr>
          <w:rFonts w:ascii="Arial" w:eastAsia="Calibri" w:hAnsi="Arial" w:cs="Arial"/>
          <w:color w:val="000000"/>
          <w:sz w:val="21"/>
          <w:szCs w:val="21"/>
          <w:lang w:val="es-ES_tradnl"/>
        </w:rPr>
        <w:t>Adicionalmente, en los casos donde la Entidad opte por la exigencia de la experiencia específica para las actividades distintas a la de mayor relevancia, se deberá incluir la siguiente nota:</w:t>
      </w:r>
    </w:p>
    <w:p w14:paraId="4DF2F5B5" w14:textId="77777777" w:rsidR="00CF298B" w:rsidRPr="00B57F79" w:rsidRDefault="00CF298B" w:rsidP="009B4391">
      <w:pPr>
        <w:ind w:left="709" w:right="709"/>
        <w:jc w:val="both"/>
        <w:rPr>
          <w:rFonts w:ascii="Arial" w:eastAsia="Calibri" w:hAnsi="Arial" w:cs="Arial"/>
          <w:color w:val="000000"/>
          <w:sz w:val="22"/>
          <w:lang w:val="es-ES_tradnl"/>
        </w:rPr>
      </w:pPr>
      <w:r w:rsidRPr="00B02705">
        <w:rPr>
          <w:rFonts w:ascii="Arial" w:eastAsia="Calibri" w:hAnsi="Arial" w:cs="Arial"/>
          <w:color w:val="000000"/>
          <w:sz w:val="21"/>
          <w:szCs w:val="21"/>
          <w:lang w:val="es-ES_tradnl"/>
        </w:rPr>
        <w:t>“Nota: Tenga en cuenta que la acreditación de las actividades de la Experiencia se podrá hacer a través de mínimo uno (1) y máximo (6) contratos. Para el caso de Experiencias combinadas, un Proponente podrá acreditar una o más actividades, con un contrato o con varios de forma independiente (</w:t>
      </w:r>
      <w:proofErr w:type="spellStart"/>
      <w:r w:rsidRPr="00B02705">
        <w:rPr>
          <w:rFonts w:ascii="Arial" w:eastAsia="Calibri" w:hAnsi="Arial" w:cs="Arial"/>
          <w:color w:val="000000"/>
          <w:sz w:val="21"/>
          <w:szCs w:val="21"/>
          <w:lang w:val="es-ES_tradnl"/>
        </w:rPr>
        <w:t>ej</w:t>
      </w:r>
      <w:proofErr w:type="spellEnd"/>
      <w:r w:rsidRPr="00B02705">
        <w:rPr>
          <w:rFonts w:ascii="Arial" w:eastAsia="Calibri" w:hAnsi="Arial" w:cs="Arial"/>
          <w:color w:val="000000"/>
          <w:sz w:val="21"/>
          <w:szCs w:val="21"/>
          <w:lang w:val="es-ES_tradnl"/>
        </w:rPr>
        <w:t>: un contrato que contemple construcción de vía con un paso a desnivel o un contrato que contemple construcción de vía y otro que contemple el paso a desnivel), situación que será verificada por la Entidad en la evaluación sin realizar desagregación por el valor de las actividades respecto al total del contrato</w:t>
      </w:r>
      <w:r w:rsidRPr="00B57F79">
        <w:rPr>
          <w:rFonts w:ascii="Arial" w:eastAsia="Calibri" w:hAnsi="Arial" w:cs="Arial"/>
          <w:color w:val="000000"/>
          <w:sz w:val="22"/>
          <w:lang w:val="es-ES_tradnl"/>
        </w:rPr>
        <w:t>.”</w:t>
      </w:r>
    </w:p>
    <w:p w14:paraId="7CC8F964" w14:textId="77777777" w:rsidR="00CF298B" w:rsidRPr="00B57F79" w:rsidRDefault="00CF298B" w:rsidP="00CF298B">
      <w:pPr>
        <w:ind w:left="709" w:right="709"/>
        <w:jc w:val="both"/>
        <w:rPr>
          <w:rFonts w:ascii="Arial" w:eastAsia="Calibri" w:hAnsi="Arial" w:cs="Arial"/>
          <w:color w:val="000000"/>
          <w:sz w:val="22"/>
        </w:rPr>
      </w:pPr>
    </w:p>
    <w:p w14:paraId="45146CF6" w14:textId="65365901" w:rsidR="00CF298B" w:rsidRPr="00B57F79" w:rsidRDefault="00CF298B" w:rsidP="00CF298B">
      <w:pPr>
        <w:spacing w:line="276" w:lineRule="auto"/>
        <w:jc w:val="both"/>
        <w:rPr>
          <w:rFonts w:ascii="Arial" w:eastAsia="Calibri" w:hAnsi="Arial" w:cs="Arial"/>
          <w:color w:val="000000"/>
          <w:sz w:val="22"/>
          <w:lang w:val="es-ES_tradnl"/>
        </w:rPr>
      </w:pPr>
      <w:r w:rsidRPr="00B57F79">
        <w:rPr>
          <w:rFonts w:ascii="Arial" w:eastAsia="Calibri" w:hAnsi="Arial" w:cs="Arial"/>
          <w:color w:val="000000"/>
          <w:sz w:val="22"/>
        </w:rPr>
        <w:tab/>
        <w:t xml:space="preserve">Como se advierte de lo anterior, en la versión 3 de los documentos tipo se reguló de forma pormenorizada y explicada suficientemente la forma en que procede exigir experiencias combinadas asociadas a diferentes actividades a contratar de la «Matriz 1 – Experiencia», tanto de baja o mediana y alta complejidad. En tal sentido, se prescribe que esta </w:t>
      </w:r>
      <w:r w:rsidR="007C38CA">
        <w:rPr>
          <w:rFonts w:ascii="Arial" w:eastAsia="Calibri" w:hAnsi="Arial" w:cs="Arial"/>
          <w:color w:val="000000"/>
          <w:sz w:val="22"/>
        </w:rPr>
        <w:t xml:space="preserve">posibilidad </w:t>
      </w:r>
      <w:proofErr w:type="spellStart"/>
      <w:r w:rsidR="007C38CA">
        <w:rPr>
          <w:rFonts w:ascii="Arial" w:eastAsia="Calibri" w:hAnsi="Arial" w:cs="Arial"/>
          <w:color w:val="000000"/>
          <w:sz w:val="22"/>
        </w:rPr>
        <w:t>s</w:t>
      </w:r>
      <w:r w:rsidRPr="00B57F79">
        <w:rPr>
          <w:rFonts w:ascii="Arial" w:eastAsia="Calibri" w:hAnsi="Arial" w:cs="Arial"/>
          <w:color w:val="000000"/>
          <w:sz w:val="22"/>
        </w:rPr>
        <w:t>puede</w:t>
      </w:r>
      <w:proofErr w:type="spellEnd"/>
      <w:r w:rsidRPr="00B57F79">
        <w:rPr>
          <w:rFonts w:ascii="Arial" w:eastAsia="Calibri" w:hAnsi="Arial" w:cs="Arial"/>
          <w:color w:val="000000"/>
          <w:sz w:val="22"/>
        </w:rPr>
        <w:t xml:space="preserve"> utilizar</w:t>
      </w:r>
      <w:r w:rsidR="007C38CA">
        <w:rPr>
          <w:rFonts w:ascii="Arial" w:eastAsia="Calibri" w:hAnsi="Arial" w:cs="Arial"/>
          <w:color w:val="000000"/>
          <w:sz w:val="22"/>
        </w:rPr>
        <w:t>se</w:t>
      </w:r>
      <w:r w:rsidRPr="00B57F79">
        <w:rPr>
          <w:rFonts w:ascii="Arial" w:eastAsia="Calibri" w:hAnsi="Arial" w:cs="Arial"/>
          <w:color w:val="000000"/>
          <w:sz w:val="22"/>
        </w:rPr>
        <w:t xml:space="preserve"> «</w:t>
      </w:r>
      <w:r w:rsidRPr="00B57F79">
        <w:rPr>
          <w:rFonts w:ascii="Arial" w:eastAsia="Calibri" w:hAnsi="Arial" w:cs="Arial"/>
          <w:color w:val="000000"/>
          <w:sz w:val="22"/>
          <w:lang w:val="es-ES_tradnl"/>
        </w:rPr>
        <w:t xml:space="preserve">Cuando el objeto del proceso de contratación contemple la ejecución de dos o más “Actividades a Contratar” (ej.: 1.1 y 7.1)», supuesto en el cual se plantean las dos opciones relacionadas con: i) solicitar solo la experiencia asociada a la «actividad a contratar» de mayor relevancia en el contrato o ii) combinar experiencias de las 2 </w:t>
      </w:r>
      <w:proofErr w:type="spellStart"/>
      <w:r w:rsidRPr="00B57F79">
        <w:rPr>
          <w:rFonts w:ascii="Arial" w:eastAsia="Calibri" w:hAnsi="Arial" w:cs="Arial"/>
          <w:color w:val="000000"/>
          <w:sz w:val="22"/>
          <w:lang w:val="es-ES_tradnl"/>
        </w:rPr>
        <w:t>ó</w:t>
      </w:r>
      <w:proofErr w:type="spellEnd"/>
      <w:r w:rsidRPr="00B57F79">
        <w:rPr>
          <w:rFonts w:ascii="Arial" w:eastAsia="Calibri" w:hAnsi="Arial" w:cs="Arial"/>
          <w:color w:val="000000"/>
          <w:sz w:val="22"/>
          <w:lang w:val="es-ES_tradnl"/>
        </w:rPr>
        <w:t xml:space="preserve"> más «actividades a contratar» que se van a ejecutar en desarrollo del contrato, de acuerdo con las reglas establecidas en el aparte citado previamente.</w:t>
      </w:r>
    </w:p>
    <w:p w14:paraId="0DCB767B" w14:textId="77777777" w:rsidR="00FB0D40" w:rsidRPr="00B57F79" w:rsidRDefault="00FB0D40" w:rsidP="002F4BC7">
      <w:pPr>
        <w:spacing w:line="276" w:lineRule="auto"/>
        <w:jc w:val="both"/>
        <w:rPr>
          <w:rFonts w:ascii="Arial" w:hAnsi="Arial" w:cs="Arial"/>
          <w:sz w:val="22"/>
          <w:lang w:val="es-CO"/>
        </w:rPr>
      </w:pPr>
    </w:p>
    <w:p w14:paraId="5F15466E" w14:textId="77777777" w:rsidR="00904CD9" w:rsidRPr="00B57F79"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57F79">
        <w:rPr>
          <w:rFonts w:ascii="Arial" w:eastAsia="Calibri" w:hAnsi="Arial" w:cs="Arial"/>
          <w:b/>
          <w:sz w:val="22"/>
          <w:lang w:val="es-CO"/>
        </w:rPr>
        <w:t>Respuestas</w:t>
      </w:r>
    </w:p>
    <w:p w14:paraId="4E3BC453" w14:textId="1681A673" w:rsidR="00904CD9" w:rsidRPr="00B57F79" w:rsidRDefault="00904CD9" w:rsidP="00904CD9">
      <w:pPr>
        <w:spacing w:line="276" w:lineRule="auto"/>
        <w:ind w:right="709"/>
        <w:jc w:val="both"/>
        <w:rPr>
          <w:rFonts w:ascii="Arial" w:eastAsia="Calibri" w:hAnsi="Arial" w:cs="Arial"/>
          <w:iCs/>
          <w:sz w:val="22"/>
          <w:lang w:val="es-CO"/>
        </w:rPr>
      </w:pPr>
    </w:p>
    <w:p w14:paraId="2AAC40A2" w14:textId="4A6EC27F" w:rsidR="00216478" w:rsidRPr="00090683" w:rsidRDefault="00ED55E1" w:rsidP="00090683">
      <w:pPr>
        <w:ind w:left="709" w:right="709"/>
        <w:jc w:val="both"/>
        <w:rPr>
          <w:rFonts w:ascii="Arial" w:eastAsia="Calibri" w:hAnsi="Arial" w:cs="Arial"/>
          <w:sz w:val="21"/>
          <w:szCs w:val="21"/>
        </w:rPr>
      </w:pPr>
      <w:r>
        <w:rPr>
          <w:rFonts w:ascii="Arial" w:eastAsia="Calibri" w:hAnsi="Arial" w:cs="Arial"/>
          <w:sz w:val="21"/>
          <w:szCs w:val="21"/>
          <w:lang w:val="es-CO"/>
        </w:rPr>
        <w:t xml:space="preserve">i) </w:t>
      </w:r>
      <w:r w:rsidR="00562799" w:rsidRPr="00090683">
        <w:rPr>
          <w:rFonts w:ascii="Arial" w:eastAsia="Calibri" w:hAnsi="Arial" w:cs="Arial"/>
          <w:sz w:val="21"/>
          <w:szCs w:val="21"/>
          <w:lang w:val="es-CO"/>
        </w:rPr>
        <w:t xml:space="preserve">«[…] </w:t>
      </w:r>
      <w:r w:rsidR="00562799" w:rsidRPr="00090683">
        <w:rPr>
          <w:rFonts w:ascii="Arial" w:hAnsi="Arial" w:cs="Arial"/>
          <w:color w:val="000000" w:themeColor="text1"/>
          <w:sz w:val="21"/>
          <w:szCs w:val="21"/>
        </w:rPr>
        <w:t>¿se puede acreditar por los proponentes contratos ejecutados de obras en vías urbanas y/o pavimentos urbanos y/o puentes urbanos para cumplir con las exigencias de la ACTIVIDAD 6.4 (PROYECTOS DE CONSTRUCCIÓN O MEJORAMIENTO O REHABILITACIÓN DE ESPACIO PÚBLICO ASOCIADO A LA INFRAESTRUCTURA DE TRANSPORTE)?</w:t>
      </w:r>
      <w:r w:rsidR="00562799" w:rsidRPr="00090683" w:rsidDel="00E163A8">
        <w:rPr>
          <w:rFonts w:ascii="Arial" w:eastAsia="Calibri" w:hAnsi="Arial" w:cs="Arial"/>
          <w:sz w:val="21"/>
          <w:szCs w:val="21"/>
          <w:lang w:val="es-CO"/>
        </w:rPr>
        <w:t xml:space="preserve"> </w:t>
      </w:r>
      <w:r w:rsidR="00216478" w:rsidRPr="00090683">
        <w:rPr>
          <w:rFonts w:ascii="Arial" w:hAnsi="Arial" w:cs="Arial"/>
          <w:color w:val="000000" w:themeColor="text1"/>
          <w:sz w:val="21"/>
          <w:szCs w:val="21"/>
        </w:rPr>
        <w:t>Tener en cuenta que según el Glosario del pliego tipo versión 3 establece la siguiente definición para: Espacio Público</w:t>
      </w:r>
      <w:r w:rsidR="00216478" w:rsidRPr="00090683">
        <w:rPr>
          <w:rFonts w:ascii="Arial" w:eastAsia="Calibri" w:hAnsi="Arial" w:cs="Arial"/>
          <w:sz w:val="21"/>
          <w:szCs w:val="21"/>
        </w:rPr>
        <w:t xml:space="preserve"> </w:t>
      </w:r>
      <w:r w:rsidR="00216478" w:rsidRPr="00090683">
        <w:rPr>
          <w:rFonts w:ascii="Arial" w:hAnsi="Arial" w:cs="Arial"/>
          <w:color w:val="000000" w:themeColor="text1"/>
          <w:sz w:val="21"/>
          <w:szCs w:val="21"/>
        </w:rPr>
        <w:t>Asociado a la Infraestructura de Transporte</w:t>
      </w:r>
      <w:r>
        <w:rPr>
          <w:rFonts w:ascii="Arial" w:hAnsi="Arial" w:cs="Arial"/>
          <w:color w:val="000000" w:themeColor="text1"/>
          <w:sz w:val="21"/>
          <w:szCs w:val="21"/>
        </w:rPr>
        <w:t>»</w:t>
      </w:r>
      <w:r w:rsidR="00216478" w:rsidRPr="00090683">
        <w:rPr>
          <w:rFonts w:ascii="Arial" w:hAnsi="Arial" w:cs="Arial"/>
          <w:color w:val="000000" w:themeColor="text1"/>
          <w:sz w:val="21"/>
          <w:szCs w:val="21"/>
        </w:rPr>
        <w:t>.</w:t>
      </w:r>
    </w:p>
    <w:p w14:paraId="3AD25ADB" w14:textId="10B7358A" w:rsidR="00562799" w:rsidRPr="00B57F79" w:rsidRDefault="00562799" w:rsidP="00562799">
      <w:pPr>
        <w:spacing w:line="276" w:lineRule="auto"/>
        <w:jc w:val="both"/>
        <w:rPr>
          <w:rFonts w:ascii="Arial" w:eastAsia="Calibri" w:hAnsi="Arial" w:cs="Arial"/>
          <w:sz w:val="22"/>
        </w:rPr>
      </w:pPr>
    </w:p>
    <w:p w14:paraId="12DE41F2" w14:textId="5A15D18F" w:rsidR="008272F1" w:rsidRDefault="00B82E58" w:rsidP="008272F1">
      <w:pPr>
        <w:spacing w:line="276" w:lineRule="auto"/>
        <w:ind w:firstLine="708"/>
        <w:jc w:val="both"/>
        <w:rPr>
          <w:rFonts w:ascii="Arial" w:eastAsia="Calibri" w:hAnsi="Arial" w:cs="Arial"/>
          <w:sz w:val="22"/>
          <w:lang w:val="es-CO"/>
        </w:rPr>
      </w:pPr>
      <w:r w:rsidRPr="00B57F79">
        <w:rPr>
          <w:rFonts w:ascii="Arial" w:eastAsia="Calibri" w:hAnsi="Arial" w:cs="Arial"/>
          <w:sz w:val="22"/>
          <w:lang w:val="es-CO"/>
        </w:rPr>
        <w:t xml:space="preserve">En </w:t>
      </w:r>
      <w:r w:rsidR="00DE035A">
        <w:rPr>
          <w:rFonts w:ascii="Arial" w:eastAsia="Calibri" w:hAnsi="Arial" w:cs="Arial"/>
          <w:sz w:val="22"/>
          <w:lang w:val="es-CO"/>
        </w:rPr>
        <w:t xml:space="preserve">relación con esta </w:t>
      </w:r>
      <w:proofErr w:type="spellStart"/>
      <w:r w:rsidR="00DE035A">
        <w:rPr>
          <w:rFonts w:ascii="Arial" w:eastAsia="Calibri" w:hAnsi="Arial" w:cs="Arial"/>
          <w:sz w:val="22"/>
          <w:lang w:val="es-CO"/>
        </w:rPr>
        <w:t>pregnta</w:t>
      </w:r>
      <w:proofErr w:type="spellEnd"/>
      <w:r w:rsidRPr="00B57F79">
        <w:rPr>
          <w:rFonts w:ascii="Arial" w:eastAsia="Calibri" w:hAnsi="Arial" w:cs="Arial"/>
          <w:sz w:val="22"/>
          <w:lang w:val="es-CO"/>
        </w:rPr>
        <w:t xml:space="preserve">, se señala </w:t>
      </w:r>
      <w:r w:rsidR="008F51F5" w:rsidRPr="00B57F79">
        <w:rPr>
          <w:rFonts w:ascii="Arial" w:eastAsia="Calibri" w:hAnsi="Arial" w:cs="Arial"/>
          <w:sz w:val="22"/>
          <w:lang w:val="es-CO"/>
        </w:rPr>
        <w:t xml:space="preserve">que </w:t>
      </w:r>
      <w:r w:rsidR="008272F1" w:rsidRPr="00B57F79">
        <w:rPr>
          <w:rFonts w:ascii="Arial" w:eastAsia="Calibri" w:hAnsi="Arial" w:cs="Arial"/>
          <w:sz w:val="22"/>
          <w:lang w:val="es-CO"/>
        </w:rPr>
        <w:t xml:space="preserve">la definición </w:t>
      </w:r>
      <w:r w:rsidR="00DE035A">
        <w:rPr>
          <w:rFonts w:ascii="Arial" w:eastAsia="Calibri" w:hAnsi="Arial" w:cs="Arial"/>
          <w:sz w:val="22"/>
          <w:lang w:val="es-CO"/>
        </w:rPr>
        <w:t>de</w:t>
      </w:r>
      <w:r w:rsidR="008272F1" w:rsidRPr="00B57F79">
        <w:rPr>
          <w:rFonts w:ascii="Arial" w:eastAsia="Calibri" w:hAnsi="Arial" w:cs="Arial"/>
          <w:sz w:val="22"/>
          <w:lang w:val="es-CO"/>
        </w:rPr>
        <w:t xml:space="preserve"> </w:t>
      </w:r>
      <w:r w:rsidR="008272F1">
        <w:rPr>
          <w:rFonts w:ascii="Arial" w:eastAsia="Calibri" w:hAnsi="Arial" w:cs="Arial"/>
          <w:sz w:val="22"/>
          <w:lang w:val="es-CO"/>
        </w:rPr>
        <w:t>e</w:t>
      </w:r>
      <w:r w:rsidR="008272F1" w:rsidRPr="00B57F79">
        <w:rPr>
          <w:rFonts w:ascii="Arial" w:eastAsia="Calibri" w:hAnsi="Arial" w:cs="Arial"/>
          <w:sz w:val="22"/>
          <w:lang w:val="es-CO"/>
        </w:rPr>
        <w:t xml:space="preserve">spacio </w:t>
      </w:r>
      <w:r w:rsidR="008272F1">
        <w:rPr>
          <w:rFonts w:ascii="Arial" w:eastAsia="Calibri" w:hAnsi="Arial" w:cs="Arial"/>
          <w:sz w:val="22"/>
          <w:lang w:val="es-CO"/>
        </w:rPr>
        <w:t>p</w:t>
      </w:r>
      <w:r w:rsidR="008272F1" w:rsidRPr="00B57F79">
        <w:rPr>
          <w:rFonts w:ascii="Arial" w:eastAsia="Calibri" w:hAnsi="Arial" w:cs="Arial"/>
          <w:sz w:val="22"/>
          <w:lang w:val="es-CO"/>
        </w:rPr>
        <w:t xml:space="preserve">úblico asociado a la infraestructura de transporte no establece una lista taxativa de </w:t>
      </w:r>
      <w:r w:rsidR="008272F1">
        <w:rPr>
          <w:rFonts w:ascii="Arial" w:eastAsia="Calibri" w:hAnsi="Arial" w:cs="Arial"/>
          <w:sz w:val="22"/>
          <w:lang w:val="es-CO"/>
        </w:rPr>
        <w:t>labores</w:t>
      </w:r>
      <w:r w:rsidR="008272F1" w:rsidRPr="00B57F79">
        <w:rPr>
          <w:rFonts w:ascii="Arial" w:eastAsia="Calibri" w:hAnsi="Arial" w:cs="Arial"/>
          <w:sz w:val="22"/>
          <w:lang w:val="es-CO"/>
        </w:rPr>
        <w:t xml:space="preserve"> que se consideran como experiencia</w:t>
      </w:r>
      <w:r w:rsidR="008272F1">
        <w:rPr>
          <w:rFonts w:ascii="Arial" w:eastAsia="Calibri" w:hAnsi="Arial" w:cs="Arial"/>
          <w:sz w:val="22"/>
          <w:lang w:val="es-CO"/>
        </w:rPr>
        <w:t>.</w:t>
      </w:r>
      <w:r w:rsidR="008272F1" w:rsidRPr="00B57F79">
        <w:rPr>
          <w:rFonts w:ascii="Arial" w:eastAsia="Calibri" w:hAnsi="Arial" w:cs="Arial"/>
          <w:sz w:val="22"/>
          <w:lang w:val="es-CO"/>
        </w:rPr>
        <w:t xml:space="preserve"> </w:t>
      </w:r>
      <w:r w:rsidR="008272F1">
        <w:rPr>
          <w:rFonts w:ascii="Arial" w:eastAsia="Calibri" w:hAnsi="Arial" w:cs="Arial"/>
          <w:sz w:val="22"/>
          <w:lang w:val="es-CO"/>
        </w:rPr>
        <w:t>P</w:t>
      </w:r>
      <w:r w:rsidR="008272F1" w:rsidRPr="00B57F79">
        <w:rPr>
          <w:rFonts w:ascii="Arial" w:eastAsia="Calibri" w:hAnsi="Arial" w:cs="Arial"/>
          <w:sz w:val="22"/>
          <w:lang w:val="es-CO"/>
        </w:rPr>
        <w:t xml:space="preserve">or el contrario, </w:t>
      </w:r>
      <w:r w:rsidR="008272F1">
        <w:rPr>
          <w:rFonts w:ascii="Arial" w:eastAsia="Calibri" w:hAnsi="Arial" w:cs="Arial"/>
          <w:sz w:val="22"/>
          <w:lang w:val="es-CO"/>
        </w:rPr>
        <w:t>los documentos tipo disponen</w:t>
      </w:r>
      <w:r w:rsidR="008272F1" w:rsidRPr="00B57F79">
        <w:rPr>
          <w:rFonts w:ascii="Arial" w:eastAsia="Calibri" w:hAnsi="Arial" w:cs="Arial"/>
          <w:sz w:val="22"/>
          <w:lang w:val="es-CO"/>
        </w:rPr>
        <w:t xml:space="preserve"> una lista </w:t>
      </w:r>
      <w:r w:rsidR="008272F1" w:rsidRPr="00B57F79">
        <w:rPr>
          <w:rFonts w:ascii="Arial" w:eastAsia="Calibri" w:hAnsi="Arial" w:cs="Arial"/>
          <w:sz w:val="22"/>
          <w:lang w:val="es-CO"/>
        </w:rPr>
        <w:lastRenderedPageBreak/>
        <w:t xml:space="preserve">enunciativa de </w:t>
      </w:r>
      <w:r w:rsidR="008272F1">
        <w:rPr>
          <w:rFonts w:ascii="Arial" w:eastAsia="Calibri" w:hAnsi="Arial" w:cs="Arial"/>
          <w:sz w:val="22"/>
          <w:lang w:val="es-CO"/>
        </w:rPr>
        <w:t>aquellas</w:t>
      </w:r>
      <w:r w:rsidR="008272F1" w:rsidRPr="00B57F79">
        <w:rPr>
          <w:rFonts w:ascii="Arial" w:eastAsia="Calibri" w:hAnsi="Arial" w:cs="Arial"/>
          <w:sz w:val="22"/>
          <w:lang w:val="es-CO"/>
        </w:rPr>
        <w:t>.</w:t>
      </w:r>
      <w:r w:rsidR="008272F1">
        <w:rPr>
          <w:rFonts w:ascii="Arial" w:eastAsia="Calibri" w:hAnsi="Arial" w:cs="Arial"/>
          <w:sz w:val="22"/>
          <w:lang w:val="es-CO"/>
        </w:rPr>
        <w:t xml:space="preserve"> Al respecto, el numeral 2.36 del «Anexo 3 – Glosario» lo define como: </w:t>
      </w:r>
      <w:r w:rsidR="008272F1" w:rsidRPr="00B57F79">
        <w:rPr>
          <w:rFonts w:ascii="Arial" w:eastAsia="Calibri" w:hAnsi="Arial" w:cs="Arial"/>
          <w:sz w:val="22"/>
          <w:lang w:val="es-CO"/>
        </w:rPr>
        <w:t xml:space="preserve"> </w:t>
      </w:r>
    </w:p>
    <w:p w14:paraId="73948D0B" w14:textId="77777777" w:rsidR="008272F1" w:rsidRDefault="008272F1" w:rsidP="008272F1">
      <w:pPr>
        <w:spacing w:line="276" w:lineRule="auto"/>
        <w:jc w:val="both"/>
        <w:rPr>
          <w:rFonts w:ascii="Arial" w:eastAsia="Calibri" w:hAnsi="Arial" w:cs="Arial"/>
          <w:sz w:val="22"/>
          <w:lang w:val="es-CO"/>
        </w:rPr>
      </w:pPr>
    </w:p>
    <w:p w14:paraId="24F3DEAD" w14:textId="77777777" w:rsidR="008272F1" w:rsidRPr="00823256" w:rsidRDefault="008272F1" w:rsidP="008272F1">
      <w:pPr>
        <w:autoSpaceDE w:val="0"/>
        <w:autoSpaceDN w:val="0"/>
        <w:adjustRightInd w:val="0"/>
        <w:ind w:left="709" w:right="709"/>
        <w:jc w:val="both"/>
        <w:rPr>
          <w:rFonts w:ascii="Arial" w:eastAsia="Times New Roman" w:hAnsi="Arial" w:cs="Times New Roman"/>
          <w:sz w:val="21"/>
          <w:szCs w:val="21"/>
          <w:lang w:val="es-ES" w:eastAsia="es-ES"/>
        </w:rPr>
      </w:pPr>
      <w:r>
        <w:rPr>
          <w:rFonts w:ascii="Arial" w:eastAsia="Times New Roman" w:hAnsi="Arial" w:cs="Times New Roman"/>
          <w:b/>
          <w:sz w:val="21"/>
          <w:szCs w:val="21"/>
          <w:lang w:val="es-ES" w:eastAsia="es-ES"/>
        </w:rPr>
        <w:t xml:space="preserve">2.36. </w:t>
      </w:r>
      <w:r w:rsidRPr="00823256">
        <w:rPr>
          <w:rFonts w:ascii="Arial" w:eastAsia="Times New Roman" w:hAnsi="Arial" w:cs="Times New Roman"/>
          <w:b/>
          <w:sz w:val="21"/>
          <w:szCs w:val="21"/>
          <w:lang w:val="es-ES" w:eastAsia="es-ES"/>
        </w:rPr>
        <w:t xml:space="preserve">Espacio Público Asociado a la Infraestructura de Transporte: </w:t>
      </w:r>
      <w:r w:rsidRPr="00823256">
        <w:rPr>
          <w:rFonts w:ascii="Arial" w:eastAsia="Times New Roman" w:hAnsi="Arial" w:cs="Times New Roman"/>
          <w:sz w:val="21"/>
          <w:szCs w:val="21"/>
          <w:lang w:val="es-ES" w:eastAsia="es-ES"/>
        </w:rPr>
        <w:t xml:space="preserve">Elementos constitutivos artificiales o construidos, tales como:  </w:t>
      </w:r>
    </w:p>
    <w:p w14:paraId="3AB25A1B" w14:textId="77777777" w:rsidR="008272F1" w:rsidRPr="00090683" w:rsidRDefault="008272F1" w:rsidP="008272F1">
      <w:pPr>
        <w:pStyle w:val="Prrafodelista"/>
        <w:autoSpaceDE w:val="0"/>
        <w:autoSpaceDN w:val="0"/>
        <w:adjustRightInd w:val="0"/>
        <w:ind w:left="1134" w:right="709"/>
        <w:jc w:val="both"/>
        <w:rPr>
          <w:rFonts w:ascii="Arial" w:eastAsia="Times New Roman" w:hAnsi="Arial" w:cs="Times New Roman"/>
          <w:sz w:val="21"/>
          <w:szCs w:val="21"/>
          <w:lang w:val="es-ES" w:eastAsia="es-ES"/>
        </w:rPr>
      </w:pPr>
    </w:p>
    <w:p w14:paraId="67378DAE" w14:textId="77777777" w:rsidR="008272F1" w:rsidRPr="00090683" w:rsidRDefault="008272F1" w:rsidP="00DE7D58">
      <w:pPr>
        <w:ind w:left="709" w:right="709"/>
        <w:contextualSpacing/>
        <w:rPr>
          <w:rFonts w:ascii="Arial" w:eastAsia="Arial" w:hAnsi="Arial" w:cs="Times New Roman"/>
          <w:sz w:val="21"/>
          <w:szCs w:val="21"/>
          <w:lang w:val="es-ES"/>
        </w:rPr>
      </w:pPr>
      <w:r w:rsidRPr="00090683">
        <w:rPr>
          <w:rFonts w:ascii="Arial" w:eastAsia="Arial" w:hAnsi="Arial" w:cs="Times New Roman"/>
          <w:sz w:val="21"/>
          <w:szCs w:val="21"/>
          <w:lang w:val="es-ES"/>
        </w:rPr>
        <w:t xml:space="preserve">Áreas integrantes de los perfiles viales peatonal y vehicular, constituidas por: </w:t>
      </w:r>
    </w:p>
    <w:p w14:paraId="59433E2D" w14:textId="77777777" w:rsidR="008272F1" w:rsidRPr="00090683" w:rsidRDefault="008272F1" w:rsidP="008272F1">
      <w:pPr>
        <w:ind w:left="709" w:right="709"/>
        <w:contextualSpacing/>
        <w:rPr>
          <w:rFonts w:ascii="Arial" w:eastAsia="Arial" w:hAnsi="Arial" w:cs="Times New Roman"/>
          <w:sz w:val="21"/>
          <w:szCs w:val="21"/>
          <w:lang w:val="es-ES"/>
        </w:rPr>
      </w:pPr>
    </w:p>
    <w:p w14:paraId="03B528C1" w14:textId="77777777" w:rsidR="008272F1" w:rsidRPr="00090683" w:rsidRDefault="008272F1" w:rsidP="008272F1">
      <w:pPr>
        <w:numPr>
          <w:ilvl w:val="1"/>
          <w:numId w:val="13"/>
        </w:numPr>
        <w:ind w:left="709" w:right="709"/>
        <w:contextualSpacing/>
        <w:jc w:val="both"/>
        <w:rPr>
          <w:rFonts w:ascii="Arial" w:eastAsia="Arial" w:hAnsi="Arial" w:cs="Times New Roman"/>
          <w:sz w:val="21"/>
          <w:szCs w:val="21"/>
          <w:lang w:val="es-ES"/>
        </w:rPr>
      </w:pPr>
      <w:r w:rsidRPr="00090683">
        <w:rPr>
          <w:rFonts w:ascii="Arial" w:eastAsia="Arial" w:hAnsi="Arial" w:cs="Times New Roman"/>
          <w:sz w:val="21"/>
          <w:szCs w:val="21"/>
          <w:lang w:val="es-ES"/>
        </w:rPr>
        <w:t xml:space="preserve">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090683">
        <w:rPr>
          <w:rFonts w:ascii="Arial" w:eastAsia="Arial" w:hAnsi="Arial" w:cs="Times New Roman"/>
          <w:sz w:val="21"/>
          <w:szCs w:val="21"/>
          <w:lang w:val="es-ES"/>
        </w:rPr>
        <w:t>ciclopistas</w:t>
      </w:r>
      <w:proofErr w:type="spellEnd"/>
      <w:r w:rsidRPr="00090683">
        <w:rPr>
          <w:rFonts w:ascii="Arial" w:eastAsia="Arial" w:hAnsi="Arial" w:cs="Times New Roman"/>
          <w:sz w:val="21"/>
          <w:szCs w:val="21"/>
          <w:lang w:val="es-ES"/>
        </w:rPr>
        <w:t xml:space="preserve">, ciclovías, estacionamiento para bicicletas, estacionamiento para motocicletas, estacionamiento bajo espacio público, zonas azules, bahías de estacionamiento, bermas, separadores, reductores de velocidad, calzadas, carriles. </w:t>
      </w:r>
    </w:p>
    <w:p w14:paraId="57E936E0" w14:textId="77777777" w:rsidR="008272F1" w:rsidRPr="00090683" w:rsidRDefault="008272F1" w:rsidP="008272F1">
      <w:pPr>
        <w:ind w:left="709" w:right="709"/>
        <w:contextualSpacing/>
        <w:jc w:val="both"/>
        <w:rPr>
          <w:rFonts w:ascii="Arial" w:eastAsia="Arial" w:hAnsi="Arial" w:cs="Times New Roman"/>
          <w:sz w:val="21"/>
          <w:szCs w:val="21"/>
          <w:lang w:val="es-ES"/>
        </w:rPr>
      </w:pPr>
    </w:p>
    <w:p w14:paraId="28EB0326" w14:textId="77777777" w:rsidR="008272F1" w:rsidRPr="00090683" w:rsidRDefault="008272F1" w:rsidP="008272F1">
      <w:pPr>
        <w:numPr>
          <w:ilvl w:val="1"/>
          <w:numId w:val="13"/>
        </w:numPr>
        <w:ind w:left="709" w:right="709"/>
        <w:contextualSpacing/>
        <w:jc w:val="both"/>
        <w:rPr>
          <w:rFonts w:ascii="Arial" w:eastAsia="Arial" w:hAnsi="Arial" w:cs="Times New Roman"/>
          <w:sz w:val="21"/>
          <w:szCs w:val="21"/>
          <w:lang w:val="es-ES"/>
        </w:rPr>
      </w:pPr>
      <w:r w:rsidRPr="00090683">
        <w:rPr>
          <w:rFonts w:ascii="Arial" w:eastAsia="Arial" w:hAnsi="Arial" w:cs="Times New Roman"/>
          <w:sz w:val="21"/>
          <w:szCs w:val="21"/>
          <w:lang w:val="es-ES"/>
        </w:rPr>
        <w:t xml:space="preserve">Los componentes de los cruces o intersecciones, tales como: esquinas, glorietas, orejas, puentes vehiculares, túneles y viaductos. </w:t>
      </w:r>
    </w:p>
    <w:p w14:paraId="5AE47F20" w14:textId="77777777" w:rsidR="008272F1" w:rsidRPr="00090683" w:rsidRDefault="008272F1" w:rsidP="008272F1">
      <w:pPr>
        <w:ind w:left="709" w:right="709"/>
        <w:contextualSpacing/>
        <w:rPr>
          <w:rFonts w:ascii="Arial" w:eastAsia="Arial" w:hAnsi="Arial" w:cs="Times New Roman"/>
          <w:sz w:val="21"/>
          <w:szCs w:val="21"/>
          <w:lang w:val="es-ES"/>
        </w:rPr>
      </w:pPr>
    </w:p>
    <w:p w14:paraId="0AEDE2EB" w14:textId="77777777" w:rsidR="008272F1" w:rsidRPr="00090683" w:rsidRDefault="008272F1" w:rsidP="008272F1">
      <w:pPr>
        <w:ind w:left="709" w:right="709"/>
        <w:jc w:val="both"/>
        <w:rPr>
          <w:rFonts w:ascii="Arial" w:eastAsia="Arial" w:hAnsi="Arial" w:cs="Times New Roman"/>
          <w:sz w:val="21"/>
          <w:szCs w:val="21"/>
          <w:lang w:val="es-ES"/>
        </w:rPr>
      </w:pPr>
      <w:r w:rsidRPr="00090683">
        <w:rPr>
          <w:rFonts w:ascii="Arial" w:eastAsia="Arial" w:hAnsi="Arial" w:cs="Times New Roman"/>
          <w:sz w:val="21"/>
          <w:szCs w:val="21"/>
          <w:lang w:val="es-ES"/>
        </w:rPr>
        <w:t xml:space="preserve">Para los fines de los Documentos Tipo se entiende que estos elementos del Espacio Público deberán estar asociados o vinculados a una infraestructura de transporte. </w:t>
      </w:r>
    </w:p>
    <w:p w14:paraId="63270140" w14:textId="77777777" w:rsidR="008272F1" w:rsidRDefault="008272F1" w:rsidP="008272F1">
      <w:pPr>
        <w:spacing w:line="276" w:lineRule="auto"/>
        <w:jc w:val="both"/>
        <w:rPr>
          <w:rFonts w:ascii="Arial" w:eastAsia="Calibri" w:hAnsi="Arial" w:cs="Arial"/>
          <w:sz w:val="22"/>
          <w:lang w:val="es-CO"/>
        </w:rPr>
      </w:pPr>
    </w:p>
    <w:p w14:paraId="5F8DB3EA" w14:textId="4C396FE0" w:rsidR="00B82E58" w:rsidRPr="00B57F79" w:rsidRDefault="008272F1" w:rsidP="00DE7D58">
      <w:pPr>
        <w:spacing w:line="276" w:lineRule="auto"/>
        <w:ind w:firstLine="708"/>
        <w:jc w:val="both"/>
        <w:rPr>
          <w:rFonts w:ascii="Arial" w:eastAsia="Calibri" w:hAnsi="Arial" w:cs="Arial"/>
          <w:sz w:val="22"/>
          <w:lang w:val="es-CO"/>
        </w:rPr>
      </w:pPr>
      <w:r w:rsidRPr="00B57F79">
        <w:rPr>
          <w:rFonts w:ascii="Arial" w:eastAsia="Calibri" w:hAnsi="Arial" w:cs="Arial"/>
          <w:sz w:val="22"/>
          <w:lang w:val="es-CO"/>
        </w:rPr>
        <w:t xml:space="preserve">En este sentido, debe revisarse si la actividad que se solicita como experiencia está relacionada con lo prescrito en el Glosario </w:t>
      </w:r>
      <w:r>
        <w:rPr>
          <w:rFonts w:ascii="Arial" w:eastAsia="Calibri" w:hAnsi="Arial" w:cs="Arial"/>
          <w:sz w:val="22"/>
          <w:lang w:val="es-CO"/>
        </w:rPr>
        <w:t xml:space="preserve">y las exigencias de experiencia general y específica para la actividad a contratar </w:t>
      </w:r>
      <w:r w:rsidRPr="00B57F79">
        <w:rPr>
          <w:rFonts w:ascii="Arial" w:eastAsia="Calibri" w:hAnsi="Arial" w:cs="Arial"/>
          <w:sz w:val="22"/>
          <w:lang w:val="es-CO"/>
        </w:rPr>
        <w:t xml:space="preserve">para ser tenida en cuenta como experiencia dentro del proceso de selección. </w:t>
      </w:r>
      <w:r>
        <w:rPr>
          <w:rFonts w:ascii="Arial" w:eastAsia="Calibri" w:hAnsi="Arial" w:cs="Arial"/>
          <w:sz w:val="22"/>
          <w:lang w:val="es-CO"/>
        </w:rPr>
        <w:t>Esto tomando como base que el «Anexo 3 – Glosario» es una pauta para interpretar el alcance del documento base y la matriz de experiencia.</w:t>
      </w:r>
    </w:p>
    <w:p w14:paraId="6A8952A6" w14:textId="77777777" w:rsidR="00B82E58" w:rsidRPr="00B57F79" w:rsidRDefault="00B82E58" w:rsidP="00562799">
      <w:pPr>
        <w:spacing w:line="276" w:lineRule="auto"/>
        <w:jc w:val="both"/>
        <w:rPr>
          <w:rFonts w:ascii="Arial" w:eastAsia="Calibri" w:hAnsi="Arial" w:cs="Arial"/>
          <w:sz w:val="22"/>
          <w:lang w:val="es-CO"/>
        </w:rPr>
      </w:pPr>
    </w:p>
    <w:p w14:paraId="32F44C51" w14:textId="5285BF43" w:rsidR="00562799" w:rsidRPr="00090683" w:rsidRDefault="00ED55E1" w:rsidP="00090683">
      <w:pPr>
        <w:ind w:left="709" w:right="709"/>
        <w:jc w:val="both"/>
        <w:rPr>
          <w:rFonts w:ascii="Arial" w:hAnsi="Arial" w:cs="Arial"/>
          <w:color w:val="000000" w:themeColor="text1"/>
          <w:sz w:val="21"/>
          <w:szCs w:val="21"/>
        </w:rPr>
      </w:pPr>
      <w:r>
        <w:rPr>
          <w:rFonts w:ascii="Arial" w:eastAsia="Calibri" w:hAnsi="Arial" w:cs="Arial"/>
          <w:sz w:val="21"/>
          <w:szCs w:val="21"/>
          <w:lang w:val="es-CO"/>
        </w:rPr>
        <w:t>ii)</w:t>
      </w:r>
      <w:r w:rsidR="00562799" w:rsidRPr="00090683">
        <w:rPr>
          <w:rFonts w:ascii="Arial" w:eastAsia="Calibri" w:hAnsi="Arial" w:cs="Arial"/>
          <w:sz w:val="21"/>
          <w:szCs w:val="21"/>
          <w:lang w:val="es-CO"/>
        </w:rPr>
        <w:t xml:space="preserve"> </w:t>
      </w:r>
      <w:r>
        <w:rPr>
          <w:rFonts w:ascii="Arial" w:eastAsia="Calibri" w:hAnsi="Arial" w:cs="Arial"/>
          <w:sz w:val="21"/>
          <w:szCs w:val="21"/>
          <w:lang w:val="es-CO"/>
        </w:rPr>
        <w:t>«</w:t>
      </w:r>
      <w:r w:rsidR="00562799" w:rsidRPr="00090683">
        <w:rPr>
          <w:rFonts w:ascii="Arial" w:eastAsia="Calibri" w:hAnsi="Arial" w:cs="Arial"/>
          <w:sz w:val="21"/>
          <w:szCs w:val="21"/>
          <w:lang w:val="es-CO"/>
        </w:rPr>
        <w:t xml:space="preserve">[…] </w:t>
      </w:r>
      <w:r w:rsidR="00562799" w:rsidRPr="00090683">
        <w:rPr>
          <w:rFonts w:ascii="Arial" w:hAnsi="Arial" w:cs="Arial"/>
          <w:color w:val="000000" w:themeColor="text1"/>
          <w:sz w:val="21"/>
          <w:szCs w:val="21"/>
        </w:rPr>
        <w:t xml:space="preserve">Cómo debería ser la evaluación de la experiencia, si un proponente presenta para acreditar el numeral 3.5.2 del pliego definitivo del proceso, un contrato que se ejecutó la actividad de pavimento y además actividades de andenes y alcantarillado sanitario o pluvial o </w:t>
      </w:r>
      <w:proofErr w:type="gramStart"/>
      <w:r w:rsidR="00562799" w:rsidRPr="00090683">
        <w:rPr>
          <w:rFonts w:ascii="Arial" w:hAnsi="Arial" w:cs="Arial"/>
          <w:color w:val="000000" w:themeColor="text1"/>
          <w:sz w:val="21"/>
          <w:szCs w:val="21"/>
        </w:rPr>
        <w:t>acueducto?.</w:t>
      </w:r>
      <w:proofErr w:type="gramEnd"/>
      <w:r w:rsidR="00562799" w:rsidRPr="00090683">
        <w:rPr>
          <w:rFonts w:ascii="Arial" w:hAnsi="Arial" w:cs="Arial"/>
          <w:color w:val="000000" w:themeColor="text1"/>
          <w:sz w:val="21"/>
          <w:szCs w:val="21"/>
        </w:rPr>
        <w:t xml:space="preserve"> En este caso, ¿solo se le puede validar la actividad de pavimento?</w:t>
      </w:r>
      <w:r>
        <w:rPr>
          <w:rFonts w:ascii="Arial" w:hAnsi="Arial" w:cs="Arial"/>
          <w:color w:val="000000" w:themeColor="text1"/>
          <w:sz w:val="21"/>
          <w:szCs w:val="21"/>
        </w:rPr>
        <w:t>».</w:t>
      </w:r>
      <w:r w:rsidR="00562799" w:rsidRPr="00090683">
        <w:rPr>
          <w:rFonts w:ascii="Arial" w:hAnsi="Arial" w:cs="Arial"/>
          <w:color w:val="000000" w:themeColor="text1"/>
          <w:sz w:val="21"/>
          <w:szCs w:val="21"/>
        </w:rPr>
        <w:t xml:space="preserve"> </w:t>
      </w:r>
    </w:p>
    <w:p w14:paraId="61208136" w14:textId="2CA92F1A" w:rsidR="00562799" w:rsidRPr="00090683" w:rsidRDefault="00562799" w:rsidP="00AA0F9D">
      <w:pPr>
        <w:spacing w:line="276" w:lineRule="auto"/>
        <w:ind w:right="709"/>
        <w:jc w:val="both"/>
        <w:rPr>
          <w:rFonts w:ascii="Arial" w:hAnsi="Arial" w:cs="Arial"/>
          <w:color w:val="000000" w:themeColor="text1"/>
          <w:sz w:val="21"/>
          <w:szCs w:val="21"/>
        </w:rPr>
      </w:pPr>
    </w:p>
    <w:p w14:paraId="3A17025A" w14:textId="1F1D84A8" w:rsidR="00090683" w:rsidRDefault="00AD7298" w:rsidP="002F4BC7">
      <w:pPr>
        <w:pStyle w:val="NormalWeb"/>
        <w:spacing w:before="120" w:beforeAutospacing="0" w:after="0" w:afterAutospacing="0" w:line="276" w:lineRule="auto"/>
        <w:jc w:val="both"/>
        <w:rPr>
          <w:rFonts w:ascii="Arial" w:hAnsi="Arial" w:cs="Arial"/>
          <w:bCs/>
          <w:sz w:val="22"/>
          <w:szCs w:val="22"/>
          <w:lang w:eastAsia="es-ES_tradnl"/>
        </w:rPr>
      </w:pPr>
      <w:r>
        <w:rPr>
          <w:rFonts w:ascii="Arial" w:hAnsi="Arial" w:cs="Arial"/>
          <w:color w:val="000000" w:themeColor="text1"/>
          <w:sz w:val="22"/>
          <w:szCs w:val="22"/>
        </w:rPr>
        <w:t>E</w:t>
      </w:r>
      <w:r w:rsidR="00AA0F9D" w:rsidRPr="00B57F79">
        <w:rPr>
          <w:rFonts w:ascii="Arial" w:hAnsi="Arial" w:cs="Arial"/>
          <w:bCs/>
          <w:sz w:val="22"/>
          <w:szCs w:val="22"/>
          <w:lang w:eastAsia="es-ES_tradnl"/>
        </w:rPr>
        <w:t xml:space="preserve">l artículo 22 de </w:t>
      </w:r>
      <w:r w:rsidRPr="00B57F79">
        <w:rPr>
          <w:rFonts w:ascii="Arial" w:hAnsi="Arial" w:cs="Arial"/>
          <w:bCs/>
          <w:sz w:val="22"/>
          <w:lang w:eastAsia="es-ES_tradnl"/>
        </w:rPr>
        <w:t>Resolución 161 del 17 de junio de 2021</w:t>
      </w:r>
      <w:r w:rsidR="00AA0F9D" w:rsidRPr="00B57F79">
        <w:rPr>
          <w:rFonts w:ascii="Arial" w:hAnsi="Arial" w:cs="Arial"/>
          <w:bCs/>
          <w:sz w:val="22"/>
          <w:szCs w:val="22"/>
          <w:lang w:eastAsia="es-ES_tradnl"/>
        </w:rPr>
        <w:t xml:space="preserve"> adicionó el literal </w:t>
      </w:r>
      <w:r w:rsidR="009B4391">
        <w:rPr>
          <w:rFonts w:ascii="Arial" w:hAnsi="Arial" w:cs="Arial"/>
          <w:bCs/>
          <w:sz w:val="22"/>
          <w:szCs w:val="22"/>
          <w:lang w:eastAsia="es-ES_tradnl"/>
        </w:rPr>
        <w:t>j</w:t>
      </w:r>
      <w:r w:rsidR="00AA0F9D" w:rsidRPr="00B57F79">
        <w:rPr>
          <w:rFonts w:ascii="Arial" w:hAnsi="Arial" w:cs="Arial"/>
          <w:bCs/>
          <w:sz w:val="22"/>
          <w:szCs w:val="22"/>
          <w:lang w:eastAsia="es-ES_tradnl"/>
        </w:rPr>
        <w:t>) al numeral 3.5.2 de los documentos tipo de infraestructura de infraestructura de transporte así: «</w:t>
      </w:r>
      <w:r w:rsidR="00AA0F9D" w:rsidRPr="00B57F79">
        <w:rPr>
          <w:rFonts w:ascii="Arial" w:hAnsi="Arial" w:cs="Arial"/>
          <w:spacing w:val="2"/>
          <w:sz w:val="22"/>
          <w:szCs w:val="22"/>
        </w:rPr>
        <w:t xml:space="preserve">j. Cuando el contrato que se pretende acreditar como experiencia contenga varias actividades, de las cuales solo alguna de ellas se ajustan a lo exigido por la “Matriz 1 - Experiencia”, asociadas con actividades de obra pública de infraestructura de transporte, la Entidad Estatal deberá descontar los valores del contrato, magnitudes y áreas </w:t>
      </w:r>
      <w:r w:rsidR="00AA0F9D" w:rsidRPr="00B57F79">
        <w:rPr>
          <w:rFonts w:ascii="Arial" w:hAnsi="Arial" w:cs="Arial"/>
          <w:spacing w:val="2"/>
          <w:sz w:val="22"/>
          <w:szCs w:val="22"/>
        </w:rPr>
        <w:lastRenderedPageBreak/>
        <w:t>construidas relacionadas con las actividades que se encuentran por fuera del requisito de experiencia</w:t>
      </w:r>
      <w:r w:rsidR="00AA0F9D" w:rsidRPr="00B57F79">
        <w:rPr>
          <w:rFonts w:ascii="Arial" w:hAnsi="Arial" w:cs="Arial"/>
          <w:bCs/>
          <w:sz w:val="22"/>
          <w:szCs w:val="22"/>
          <w:lang w:eastAsia="es-ES_tradnl"/>
        </w:rPr>
        <w:t xml:space="preserve">». </w:t>
      </w:r>
    </w:p>
    <w:p w14:paraId="7180C9E4" w14:textId="1EA4F9FC" w:rsidR="00AA0F9D" w:rsidRPr="00B57F79" w:rsidRDefault="00090683" w:rsidP="00DE7D58">
      <w:pPr>
        <w:pStyle w:val="NormalWeb"/>
        <w:spacing w:before="120" w:beforeAutospacing="0" w:after="0" w:afterAutospacing="0" w:line="276" w:lineRule="auto"/>
        <w:ind w:firstLine="708"/>
        <w:jc w:val="both"/>
        <w:rPr>
          <w:rFonts w:ascii="Arial" w:hAnsi="Arial" w:cs="Arial"/>
          <w:spacing w:val="2"/>
          <w:sz w:val="22"/>
          <w:szCs w:val="22"/>
        </w:rPr>
      </w:pPr>
      <w:r>
        <w:rPr>
          <w:rFonts w:ascii="Arial" w:hAnsi="Arial" w:cs="Arial"/>
          <w:sz w:val="22"/>
          <w:szCs w:val="22"/>
          <w:lang w:eastAsia="es-ES_tradnl"/>
        </w:rPr>
        <w:t xml:space="preserve">Cuando </w:t>
      </w:r>
      <w:r w:rsidR="00AA0F9D" w:rsidRPr="00B57F79">
        <w:rPr>
          <w:rFonts w:ascii="Arial" w:hAnsi="Arial" w:cs="Arial"/>
          <w:sz w:val="22"/>
          <w:szCs w:val="22"/>
          <w:lang w:eastAsia="es-ES_tradnl"/>
        </w:rPr>
        <w:t>el contrato aportado para cumplir el requisito contiene actividades relacionadas con la experiencia exigida, y otras que no, la entidad debe fraccionar la evaluación de la experiencia a efectos de solo tener en cuenta lo atinente a la parte del objeto contractual que sí cumple con el requisito de experiencia, empleando para tal fin los documentos soporte allegados por el proponente. De este modo, la entidad evaluará únicamente la actividad que cumpla realmente con la experiencia exigida,</w:t>
      </w:r>
      <w:r w:rsidR="007C38CA">
        <w:rPr>
          <w:rFonts w:ascii="Arial" w:hAnsi="Arial" w:cs="Arial"/>
          <w:sz w:val="22"/>
          <w:szCs w:val="22"/>
          <w:lang w:eastAsia="es-ES_tradnl"/>
        </w:rPr>
        <w:t xml:space="preserve"> es decir, la actividad de pavimento,</w:t>
      </w:r>
      <w:r w:rsidR="00AA0F9D" w:rsidRPr="00B57F79">
        <w:rPr>
          <w:rFonts w:ascii="Arial" w:hAnsi="Arial" w:cs="Arial"/>
          <w:sz w:val="22"/>
          <w:szCs w:val="22"/>
          <w:lang w:eastAsia="es-ES_tradnl"/>
        </w:rPr>
        <w:t xml:space="preserve"> descontando el valor, las magnitudes y áreas construidas de las actividades diferentes, que no se enmarcan en la experiencia definida en la matriz 1</w:t>
      </w:r>
      <w:r w:rsidR="007C38CA">
        <w:rPr>
          <w:rFonts w:ascii="Arial" w:hAnsi="Arial" w:cs="Arial"/>
          <w:sz w:val="22"/>
          <w:szCs w:val="22"/>
          <w:lang w:eastAsia="es-ES_tradnl"/>
        </w:rPr>
        <w:t xml:space="preserve">. </w:t>
      </w:r>
      <w:r w:rsidR="00AA0F9D" w:rsidRPr="00B57F79">
        <w:rPr>
          <w:rFonts w:ascii="Arial" w:hAnsi="Arial" w:cs="Arial"/>
          <w:color w:val="000000" w:themeColor="text1"/>
          <w:sz w:val="22"/>
          <w:szCs w:val="22"/>
        </w:rPr>
        <w:t xml:space="preserve"> </w:t>
      </w:r>
    </w:p>
    <w:p w14:paraId="1105505D" w14:textId="182BFED1" w:rsidR="00562799" w:rsidRPr="00B57F79" w:rsidRDefault="00562799" w:rsidP="00B82E58">
      <w:pPr>
        <w:spacing w:line="276" w:lineRule="auto"/>
        <w:ind w:left="709" w:right="709"/>
        <w:jc w:val="both"/>
        <w:rPr>
          <w:rFonts w:ascii="Arial" w:hAnsi="Arial" w:cs="Arial"/>
          <w:color w:val="000000" w:themeColor="text1"/>
          <w:sz w:val="22"/>
        </w:rPr>
      </w:pPr>
    </w:p>
    <w:p w14:paraId="6ADB53CB" w14:textId="4A76DDB9" w:rsidR="00667C72" w:rsidRPr="007C38CA" w:rsidRDefault="00ED55E1" w:rsidP="00090683">
      <w:pPr>
        <w:ind w:left="709" w:right="709"/>
        <w:jc w:val="both"/>
        <w:rPr>
          <w:rFonts w:ascii="Arial" w:hAnsi="Arial" w:cs="Arial"/>
          <w:color w:val="000000" w:themeColor="text1"/>
          <w:sz w:val="21"/>
          <w:szCs w:val="21"/>
        </w:rPr>
      </w:pPr>
      <w:r>
        <w:rPr>
          <w:rFonts w:ascii="Arial" w:hAnsi="Arial" w:cs="Arial"/>
          <w:color w:val="000000" w:themeColor="text1"/>
          <w:sz w:val="21"/>
          <w:szCs w:val="21"/>
        </w:rPr>
        <w:t>iii)</w:t>
      </w:r>
      <w:r w:rsidR="00667C72" w:rsidRPr="007C38CA">
        <w:rPr>
          <w:rFonts w:ascii="Arial" w:hAnsi="Arial" w:cs="Arial"/>
          <w:color w:val="000000" w:themeColor="text1"/>
          <w:sz w:val="21"/>
          <w:szCs w:val="21"/>
        </w:rPr>
        <w:t xml:space="preserve"> </w:t>
      </w:r>
      <w:r>
        <w:rPr>
          <w:rFonts w:ascii="Arial" w:hAnsi="Arial" w:cs="Arial"/>
          <w:color w:val="000000" w:themeColor="text1"/>
          <w:sz w:val="21"/>
          <w:szCs w:val="21"/>
        </w:rPr>
        <w:t>«</w:t>
      </w:r>
      <w:r w:rsidR="00667C72" w:rsidRPr="007C38CA">
        <w:rPr>
          <w:rFonts w:ascii="Arial" w:hAnsi="Arial" w:cs="Arial"/>
          <w:color w:val="000000" w:themeColor="text1"/>
          <w:sz w:val="21"/>
          <w:szCs w:val="21"/>
        </w:rPr>
        <w:t>¿Cómo debería ser la evaluación de la experiencia especifica</w:t>
      </w:r>
      <w:r w:rsidR="00085D36" w:rsidRPr="007C38CA">
        <w:rPr>
          <w:rFonts w:ascii="Arial" w:hAnsi="Arial" w:cs="Arial"/>
          <w:color w:val="000000" w:themeColor="text1"/>
          <w:sz w:val="21"/>
          <w:szCs w:val="21"/>
        </w:rPr>
        <w:t xml:space="preserve"> </w:t>
      </w:r>
      <w:r w:rsidR="00667C72" w:rsidRPr="007C38CA">
        <w:rPr>
          <w:rFonts w:ascii="Arial" w:hAnsi="Arial" w:cs="Arial"/>
          <w:color w:val="000000" w:themeColor="text1"/>
          <w:sz w:val="21"/>
          <w:szCs w:val="21"/>
        </w:rPr>
        <w:t>al exigir el pliego tipo que, “Por lo menos uno (1) de los contratos válidos aportados como</w:t>
      </w:r>
      <w:r w:rsidR="00085D36" w:rsidRPr="007C38CA">
        <w:rPr>
          <w:rFonts w:ascii="Arial" w:hAnsi="Arial" w:cs="Arial"/>
          <w:color w:val="000000" w:themeColor="text1"/>
          <w:sz w:val="21"/>
          <w:szCs w:val="21"/>
        </w:rPr>
        <w:t xml:space="preserve"> </w:t>
      </w:r>
      <w:r w:rsidR="00667C72" w:rsidRPr="007C38CA">
        <w:rPr>
          <w:rFonts w:ascii="Arial" w:hAnsi="Arial" w:cs="Arial"/>
          <w:color w:val="000000" w:themeColor="text1"/>
          <w:sz w:val="21"/>
          <w:szCs w:val="21"/>
        </w:rPr>
        <w:t>experiencia general</w:t>
      </w:r>
      <w:r w:rsidR="00085D36" w:rsidRPr="007C38CA">
        <w:rPr>
          <w:rFonts w:ascii="Arial" w:hAnsi="Arial" w:cs="Arial"/>
          <w:color w:val="000000" w:themeColor="text1"/>
          <w:sz w:val="21"/>
          <w:szCs w:val="21"/>
        </w:rPr>
        <w:t xml:space="preserve"> </w:t>
      </w:r>
      <w:r w:rsidR="00667C72" w:rsidRPr="007C38CA">
        <w:rPr>
          <w:rFonts w:ascii="Arial" w:hAnsi="Arial" w:cs="Arial"/>
          <w:color w:val="000000" w:themeColor="text1"/>
          <w:sz w:val="21"/>
          <w:szCs w:val="21"/>
        </w:rPr>
        <w:t>cuente con una longitud intervenida que corresponda al 70% de la</w:t>
      </w:r>
      <w:r w:rsidR="00085D36" w:rsidRPr="007C38CA">
        <w:rPr>
          <w:rFonts w:ascii="Arial" w:hAnsi="Arial" w:cs="Arial"/>
          <w:color w:val="000000" w:themeColor="text1"/>
          <w:sz w:val="21"/>
          <w:szCs w:val="21"/>
        </w:rPr>
        <w:t xml:space="preserve"> </w:t>
      </w:r>
      <w:r w:rsidR="00667C72" w:rsidRPr="007C38CA">
        <w:rPr>
          <w:rFonts w:ascii="Arial" w:hAnsi="Arial" w:cs="Arial"/>
          <w:color w:val="000000" w:themeColor="text1"/>
          <w:sz w:val="21"/>
          <w:szCs w:val="21"/>
        </w:rPr>
        <w:t>longitud de vía a intervenir mediante el proceso de contratación”?</w:t>
      </w:r>
      <w:r>
        <w:rPr>
          <w:rFonts w:ascii="Arial" w:hAnsi="Arial" w:cs="Arial"/>
          <w:color w:val="000000" w:themeColor="text1"/>
          <w:sz w:val="21"/>
          <w:szCs w:val="21"/>
        </w:rPr>
        <w:t>»</w:t>
      </w:r>
      <w:r w:rsidR="00667C72" w:rsidRPr="007C38CA">
        <w:rPr>
          <w:rFonts w:ascii="Arial" w:hAnsi="Arial" w:cs="Arial"/>
          <w:color w:val="000000" w:themeColor="text1"/>
          <w:sz w:val="21"/>
          <w:szCs w:val="21"/>
        </w:rPr>
        <w:t>.</w:t>
      </w:r>
    </w:p>
    <w:p w14:paraId="2AC1FBE2" w14:textId="062F7EC1" w:rsidR="00B82E58" w:rsidRPr="00B57F79" w:rsidRDefault="00B82E58" w:rsidP="00B82E58">
      <w:pPr>
        <w:spacing w:line="276" w:lineRule="auto"/>
        <w:ind w:right="709"/>
        <w:jc w:val="both"/>
        <w:rPr>
          <w:rFonts w:ascii="Arial" w:hAnsi="Arial" w:cs="Arial"/>
          <w:color w:val="000000" w:themeColor="text1"/>
          <w:sz w:val="22"/>
        </w:rPr>
      </w:pPr>
    </w:p>
    <w:p w14:paraId="7D636B0E" w14:textId="248D93AF" w:rsidR="00667C72" w:rsidRPr="00085D36" w:rsidRDefault="00667C72" w:rsidP="00667C72">
      <w:pPr>
        <w:spacing w:after="120" w:line="276" w:lineRule="auto"/>
        <w:jc w:val="both"/>
        <w:rPr>
          <w:rFonts w:ascii="Arial" w:eastAsia="Calibri" w:hAnsi="Arial" w:cs="Arial"/>
          <w:color w:val="000000" w:themeColor="text1"/>
          <w:sz w:val="22"/>
          <w:lang w:val="es-CO"/>
        </w:rPr>
      </w:pPr>
      <w:r w:rsidRPr="00B57F79">
        <w:rPr>
          <w:rFonts w:ascii="Arial" w:eastAsia="Calibri" w:hAnsi="Arial" w:cs="Arial"/>
          <w:sz w:val="22"/>
          <w:lang w:val="es-CO"/>
        </w:rPr>
        <w:t xml:space="preserve">Conforme a la explicación precedente, </w:t>
      </w:r>
      <w:r w:rsidRPr="00B57F79">
        <w:rPr>
          <w:rFonts w:ascii="Arial" w:eastAsia="Calibri" w:hAnsi="Arial" w:cs="Arial"/>
          <w:color w:val="000000" w:themeColor="text1"/>
          <w:sz w:val="22"/>
          <w:lang w:val="es-CO"/>
        </w:rPr>
        <w:t xml:space="preserve">el «Anexo 3 – Glosario» define la vía como «[…] la zona de la vía destinada a la circulación de vehículos, se define como franja de uso público o privado, abierta al público, destinada al tránsito de vehículos, personas y animales». Por tanto, como la matriz se refiere exclusivamente a la «[…] longitud de vía a </w:t>
      </w:r>
      <w:proofErr w:type="spellStart"/>
      <w:r w:rsidRPr="00B57F79">
        <w:rPr>
          <w:rFonts w:ascii="Arial" w:eastAsia="Calibri" w:hAnsi="Arial" w:cs="Arial"/>
          <w:color w:val="000000" w:themeColor="text1"/>
          <w:sz w:val="22"/>
          <w:lang w:val="es-CO"/>
        </w:rPr>
        <w:t>intevenir</w:t>
      </w:r>
      <w:proofErr w:type="spellEnd"/>
      <w:r w:rsidRPr="00B57F79">
        <w:rPr>
          <w:rFonts w:ascii="Arial" w:eastAsia="Calibri" w:hAnsi="Arial" w:cs="Arial"/>
          <w:color w:val="000000" w:themeColor="text1"/>
          <w:sz w:val="22"/>
          <w:lang w:val="es-CO"/>
        </w:rPr>
        <w:t xml:space="preserve"> […]», el porcentaje requerido para acreditar la experiencia específica del proponente equivale a la distancia en kilómetros lineales entre el punto de inicio y de finalización de las obras, o como la longitud total producto de la sumatoria de tramos discontinuos de intervención en el escenario en el cual sea realizado por segmentos viales. Esta longitud debe precisarla la entidad contratante en los documentos del proceso</w:t>
      </w:r>
      <w:r w:rsidR="006F27FF">
        <w:rPr>
          <w:rFonts w:ascii="Arial" w:eastAsia="Calibri" w:hAnsi="Arial" w:cs="Arial"/>
          <w:color w:val="000000" w:themeColor="text1"/>
          <w:sz w:val="22"/>
          <w:lang w:val="es-CO"/>
        </w:rPr>
        <w:t>,</w:t>
      </w:r>
      <w:r w:rsidRPr="00B57F79">
        <w:rPr>
          <w:rFonts w:ascii="Arial" w:eastAsia="Calibri" w:hAnsi="Arial" w:cs="Arial"/>
          <w:color w:val="000000" w:themeColor="text1"/>
          <w:sz w:val="22"/>
          <w:lang w:val="es-CO"/>
        </w:rPr>
        <w:t xml:space="preserve"> con el fin de facilitar a los proponentes la acreditación de la experiencia específica.</w:t>
      </w:r>
    </w:p>
    <w:p w14:paraId="671E6271" w14:textId="77777777" w:rsidR="00B82E58" w:rsidRPr="00667C72" w:rsidRDefault="00B82E58" w:rsidP="00B82E58">
      <w:pPr>
        <w:spacing w:line="276" w:lineRule="auto"/>
        <w:ind w:right="709"/>
        <w:jc w:val="both"/>
        <w:rPr>
          <w:rFonts w:ascii="Arial" w:hAnsi="Arial" w:cs="Arial"/>
          <w:color w:val="000000" w:themeColor="text1"/>
          <w:sz w:val="22"/>
          <w:lang w:val="es-CO"/>
        </w:rPr>
      </w:pPr>
    </w:p>
    <w:p w14:paraId="13E8C8D8" w14:textId="4D24E0FE" w:rsidR="00562799" w:rsidRPr="00090683" w:rsidRDefault="00677F77" w:rsidP="00090683">
      <w:pPr>
        <w:ind w:left="709" w:right="709"/>
        <w:jc w:val="both"/>
        <w:rPr>
          <w:rFonts w:ascii="Arial" w:hAnsi="Arial" w:cs="Arial"/>
          <w:color w:val="000000" w:themeColor="text1"/>
          <w:sz w:val="21"/>
          <w:szCs w:val="21"/>
        </w:rPr>
      </w:pPr>
      <w:r>
        <w:rPr>
          <w:rFonts w:ascii="Arial" w:hAnsi="Arial" w:cs="Arial"/>
          <w:color w:val="000000" w:themeColor="text1"/>
          <w:sz w:val="21"/>
          <w:szCs w:val="21"/>
        </w:rPr>
        <w:t>iv)</w:t>
      </w:r>
      <w:r w:rsidR="00562799" w:rsidRPr="00090683">
        <w:rPr>
          <w:rFonts w:ascii="Arial" w:hAnsi="Arial" w:cs="Arial"/>
          <w:color w:val="000000" w:themeColor="text1"/>
          <w:sz w:val="21"/>
          <w:szCs w:val="21"/>
        </w:rPr>
        <w:t xml:space="preserve">. </w:t>
      </w:r>
      <w:r>
        <w:rPr>
          <w:rFonts w:ascii="Arial" w:hAnsi="Arial" w:cs="Arial"/>
          <w:color w:val="000000" w:themeColor="text1"/>
          <w:sz w:val="21"/>
          <w:szCs w:val="21"/>
        </w:rPr>
        <w:t>«</w:t>
      </w:r>
      <w:r w:rsidR="00562799" w:rsidRPr="00090683">
        <w:rPr>
          <w:rFonts w:ascii="Arial" w:hAnsi="Arial" w:cs="Arial"/>
          <w:color w:val="000000" w:themeColor="text1"/>
          <w:sz w:val="21"/>
          <w:szCs w:val="21"/>
        </w:rPr>
        <w:t xml:space="preserve">[…] ¿Es legal que quieran clasificar una estructura de box </w:t>
      </w:r>
      <w:proofErr w:type="spellStart"/>
      <w:r w:rsidR="00562799" w:rsidRPr="00090683">
        <w:rPr>
          <w:rFonts w:ascii="Arial" w:hAnsi="Arial" w:cs="Arial"/>
          <w:color w:val="000000" w:themeColor="text1"/>
          <w:sz w:val="21"/>
          <w:szCs w:val="21"/>
        </w:rPr>
        <w:t>coulvert</w:t>
      </w:r>
      <w:proofErr w:type="spellEnd"/>
      <w:r w:rsidR="00562799" w:rsidRPr="00090683">
        <w:rPr>
          <w:rFonts w:ascii="Arial" w:hAnsi="Arial" w:cs="Arial"/>
          <w:color w:val="000000" w:themeColor="text1"/>
          <w:sz w:val="21"/>
          <w:szCs w:val="21"/>
        </w:rPr>
        <w:t xml:space="preserve"> como un puente vehicular en concreto?</w:t>
      </w:r>
      <w:r>
        <w:rPr>
          <w:rFonts w:ascii="Arial" w:hAnsi="Arial" w:cs="Arial"/>
          <w:color w:val="000000" w:themeColor="text1"/>
          <w:sz w:val="21"/>
          <w:szCs w:val="21"/>
        </w:rPr>
        <w:t>»</w:t>
      </w:r>
      <w:r w:rsidR="00562799" w:rsidRPr="00090683">
        <w:rPr>
          <w:rFonts w:ascii="Arial" w:hAnsi="Arial" w:cs="Arial"/>
          <w:color w:val="000000" w:themeColor="text1"/>
          <w:sz w:val="21"/>
          <w:szCs w:val="21"/>
        </w:rPr>
        <w:t xml:space="preserve"> </w:t>
      </w:r>
    </w:p>
    <w:p w14:paraId="646DBDC4" w14:textId="31779833" w:rsidR="00562799" w:rsidRDefault="00562799" w:rsidP="00A8216B">
      <w:pPr>
        <w:spacing w:line="276" w:lineRule="auto"/>
        <w:ind w:right="709"/>
        <w:jc w:val="both"/>
        <w:rPr>
          <w:rFonts w:ascii="Arial" w:hAnsi="Arial" w:cs="Arial"/>
          <w:color w:val="000000" w:themeColor="text1"/>
          <w:sz w:val="22"/>
        </w:rPr>
      </w:pPr>
    </w:p>
    <w:p w14:paraId="6E21F21D" w14:textId="75557B14" w:rsidR="00B230FE" w:rsidRDefault="00D864FC" w:rsidP="00085D36">
      <w:pPr>
        <w:spacing w:line="276" w:lineRule="auto"/>
        <w:jc w:val="both"/>
        <w:rPr>
          <w:rFonts w:ascii="Arial" w:hAnsi="Arial" w:cs="Arial"/>
          <w:color w:val="222222"/>
          <w:sz w:val="22"/>
          <w:shd w:val="clear" w:color="auto" w:fill="FFFFFF"/>
        </w:rPr>
      </w:pPr>
      <w:r>
        <w:rPr>
          <w:rFonts w:ascii="Arial" w:hAnsi="Arial" w:cs="Arial"/>
          <w:color w:val="222222"/>
          <w:sz w:val="22"/>
          <w:shd w:val="clear" w:color="auto" w:fill="FFFFFF"/>
        </w:rPr>
        <w:t>De acuerdo con el Manual de drenaje para carreteras del INVIAS</w:t>
      </w:r>
      <w:r w:rsidR="00502A2B">
        <w:rPr>
          <w:rFonts w:ascii="Arial" w:hAnsi="Arial" w:cs="Arial"/>
          <w:color w:val="222222"/>
          <w:sz w:val="22"/>
          <w:shd w:val="clear" w:color="auto" w:fill="FFFFFF"/>
        </w:rPr>
        <w:t xml:space="preserve"> </w:t>
      </w:r>
      <w:proofErr w:type="gramStart"/>
      <w:r w:rsidR="00502A2B">
        <w:rPr>
          <w:rFonts w:ascii="Arial" w:hAnsi="Arial" w:cs="Arial"/>
          <w:color w:val="222222"/>
          <w:sz w:val="22"/>
          <w:shd w:val="clear" w:color="auto" w:fill="FFFFFF"/>
        </w:rPr>
        <w:t>un alcantarilla</w:t>
      </w:r>
      <w:proofErr w:type="gramEnd"/>
      <w:r w:rsidR="00502A2B">
        <w:rPr>
          <w:rFonts w:ascii="Arial" w:hAnsi="Arial" w:cs="Arial"/>
          <w:color w:val="222222"/>
          <w:sz w:val="22"/>
          <w:shd w:val="clear" w:color="auto" w:fill="FFFFFF"/>
        </w:rPr>
        <w:t xml:space="preserve"> es un conducto relativamente corto a través del cual se cruza el agua bajo la vía de un costado a otro. Incluye, por lo tanto, conductos de cualquier sección geométrica: circulares y alcantarillas de cajón principalmente. </w:t>
      </w:r>
      <w:r w:rsidR="006C5364">
        <w:rPr>
          <w:rFonts w:ascii="Arial" w:hAnsi="Arial" w:cs="Arial"/>
          <w:color w:val="222222"/>
          <w:sz w:val="22"/>
          <w:shd w:val="clear" w:color="auto" w:fill="FFFFFF"/>
        </w:rPr>
        <w:t xml:space="preserve">Por tal motivo, los denominados box </w:t>
      </w:r>
      <w:proofErr w:type="spellStart"/>
      <w:r w:rsidR="006C5364">
        <w:rPr>
          <w:rFonts w:ascii="Arial" w:hAnsi="Arial" w:cs="Arial"/>
          <w:color w:val="222222"/>
          <w:sz w:val="22"/>
          <w:shd w:val="clear" w:color="auto" w:fill="FFFFFF"/>
        </w:rPr>
        <w:t>coulvert</w:t>
      </w:r>
      <w:proofErr w:type="spellEnd"/>
      <w:r w:rsidR="006C5364">
        <w:rPr>
          <w:rFonts w:ascii="Arial" w:hAnsi="Arial" w:cs="Arial"/>
          <w:color w:val="222222"/>
          <w:sz w:val="22"/>
          <w:shd w:val="clear" w:color="auto" w:fill="FFFFFF"/>
        </w:rPr>
        <w:t xml:space="preserve"> son alca</w:t>
      </w:r>
      <w:r w:rsidR="00B94B3C">
        <w:rPr>
          <w:rFonts w:ascii="Arial" w:hAnsi="Arial" w:cs="Arial"/>
          <w:color w:val="222222"/>
          <w:sz w:val="22"/>
          <w:shd w:val="clear" w:color="auto" w:fill="FFFFFF"/>
        </w:rPr>
        <w:t>n</w:t>
      </w:r>
      <w:r w:rsidR="006C5364">
        <w:rPr>
          <w:rFonts w:ascii="Arial" w:hAnsi="Arial" w:cs="Arial"/>
          <w:color w:val="222222"/>
          <w:sz w:val="22"/>
          <w:shd w:val="clear" w:color="auto" w:fill="FFFFFF"/>
        </w:rPr>
        <w:t xml:space="preserve">tarillas </w:t>
      </w:r>
      <w:r w:rsidR="00EC0082">
        <w:rPr>
          <w:rFonts w:ascii="Arial" w:hAnsi="Arial" w:cs="Arial"/>
          <w:color w:val="222222"/>
          <w:sz w:val="22"/>
          <w:shd w:val="clear" w:color="auto" w:fill="FFFFFF"/>
        </w:rPr>
        <w:t>de cajón</w:t>
      </w:r>
      <w:r w:rsidR="00B71E68">
        <w:rPr>
          <w:rFonts w:ascii="Arial" w:hAnsi="Arial" w:cs="Arial"/>
          <w:color w:val="222222"/>
          <w:sz w:val="22"/>
          <w:shd w:val="clear" w:color="auto" w:fill="FFFFFF"/>
        </w:rPr>
        <w:t xml:space="preserve">. </w:t>
      </w:r>
      <w:r w:rsidR="00191FB4">
        <w:rPr>
          <w:rFonts w:ascii="Arial" w:hAnsi="Arial" w:cs="Arial"/>
          <w:color w:val="222222"/>
          <w:sz w:val="22"/>
          <w:shd w:val="clear" w:color="auto" w:fill="FFFFFF"/>
        </w:rPr>
        <w:t xml:space="preserve">Adicionalmente, de acuerdo con el listado de actividades que hacen parte de las actividades de mejoramiento de acuerdo con lo definido en el </w:t>
      </w:r>
      <w:r w:rsidR="000201EA">
        <w:rPr>
          <w:rFonts w:ascii="Arial" w:hAnsi="Arial" w:cs="Arial"/>
          <w:color w:val="222222"/>
          <w:sz w:val="22"/>
          <w:shd w:val="clear" w:color="auto" w:fill="FFFFFF"/>
        </w:rPr>
        <w:t xml:space="preserve">artículo 12 de la Ley 1682 de 2013, desarrollado en el Decreto 769 de 2014, el cual fue compilado en el Decreto Único Reglamentario 1076 de 2015 para el sector ambiente y desarrollo sostenible en los artículos </w:t>
      </w:r>
      <w:r w:rsidR="005F4AAF" w:rsidRPr="005F4AAF">
        <w:rPr>
          <w:rFonts w:ascii="Arial" w:hAnsi="Arial" w:cs="Arial"/>
          <w:color w:val="222222"/>
          <w:sz w:val="22"/>
          <w:shd w:val="clear" w:color="auto" w:fill="FFFFFF"/>
        </w:rPr>
        <w:t>2.2.2.5.1.1.</w:t>
      </w:r>
      <w:r w:rsidR="005F4AAF">
        <w:rPr>
          <w:rFonts w:ascii="Arial" w:hAnsi="Arial" w:cs="Arial"/>
          <w:color w:val="222222"/>
          <w:sz w:val="22"/>
          <w:shd w:val="clear" w:color="auto" w:fill="FFFFFF"/>
        </w:rPr>
        <w:t xml:space="preserve"> </w:t>
      </w:r>
      <w:proofErr w:type="gramStart"/>
      <w:r w:rsidR="005F4AAF">
        <w:rPr>
          <w:rFonts w:ascii="Arial" w:hAnsi="Arial" w:cs="Arial"/>
          <w:color w:val="222222"/>
          <w:sz w:val="22"/>
          <w:shd w:val="clear" w:color="auto" w:fill="FFFFFF"/>
        </w:rPr>
        <w:t xml:space="preserve">al </w:t>
      </w:r>
      <w:r w:rsidR="00BD6F8C" w:rsidRPr="00BD6F8C">
        <w:rPr>
          <w:rFonts w:ascii="Arial" w:hAnsi="Arial" w:cs="Arial"/>
          <w:color w:val="222222"/>
          <w:sz w:val="22"/>
          <w:shd w:val="clear" w:color="auto" w:fill="FFFFFF"/>
        </w:rPr>
        <w:t xml:space="preserve"> 2.2.2.5.4.6.</w:t>
      </w:r>
      <w:proofErr w:type="gramEnd"/>
      <w:r w:rsidR="00BD6F8C">
        <w:rPr>
          <w:rFonts w:ascii="Arial" w:hAnsi="Arial" w:cs="Arial"/>
          <w:color w:val="222222"/>
          <w:sz w:val="22"/>
          <w:shd w:val="clear" w:color="auto" w:fill="FFFFFF"/>
        </w:rPr>
        <w:t xml:space="preserve">, se indica que una de las actividades de </w:t>
      </w:r>
      <w:r w:rsidR="00BD6F8C">
        <w:rPr>
          <w:rFonts w:ascii="Arial" w:hAnsi="Arial" w:cs="Arial"/>
          <w:color w:val="222222"/>
          <w:sz w:val="22"/>
          <w:shd w:val="clear" w:color="auto" w:fill="FFFFFF"/>
        </w:rPr>
        <w:lastRenderedPageBreak/>
        <w:t xml:space="preserve">mejoramiento para el </w:t>
      </w:r>
      <w:r w:rsidR="009F2377">
        <w:rPr>
          <w:rFonts w:ascii="Arial" w:hAnsi="Arial" w:cs="Arial"/>
          <w:color w:val="222222"/>
          <w:sz w:val="22"/>
          <w:shd w:val="clear" w:color="auto" w:fill="FFFFFF"/>
        </w:rPr>
        <w:t xml:space="preserve">modo terrestre-carretero </w:t>
      </w:r>
      <w:r w:rsidR="00BA73DE">
        <w:rPr>
          <w:rFonts w:ascii="Arial" w:hAnsi="Arial" w:cs="Arial"/>
          <w:color w:val="222222"/>
          <w:sz w:val="22"/>
          <w:shd w:val="clear" w:color="auto" w:fill="FFFFFF"/>
        </w:rPr>
        <w:t xml:space="preserve">son la </w:t>
      </w:r>
      <w:r w:rsidR="00BA73DE" w:rsidRPr="00BA73DE">
        <w:rPr>
          <w:rFonts w:ascii="Arial" w:hAnsi="Arial" w:cs="Arial"/>
          <w:color w:val="222222"/>
          <w:sz w:val="22"/>
          <w:shd w:val="clear" w:color="auto" w:fill="FFFFFF"/>
          <w:lang w:val="es-CO"/>
        </w:rPr>
        <w:t>adecuación y construcción de obras de drenaje y subdrenaje transversal y longitudinal. </w:t>
      </w:r>
      <w:r w:rsidR="00BA73DE">
        <w:rPr>
          <w:rFonts w:ascii="Arial" w:hAnsi="Arial" w:cs="Arial"/>
          <w:color w:val="222222"/>
          <w:sz w:val="22"/>
          <w:shd w:val="clear" w:color="auto" w:fill="FFFFFF"/>
          <w:lang w:val="es-CO"/>
        </w:rPr>
        <w:t xml:space="preserve">Siendo las alcantarillas de cajón una estructura de drenaje </w:t>
      </w:r>
      <w:r w:rsidR="002D17B8">
        <w:rPr>
          <w:rFonts w:ascii="Arial" w:hAnsi="Arial" w:cs="Arial"/>
          <w:color w:val="222222"/>
          <w:sz w:val="22"/>
          <w:shd w:val="clear" w:color="auto" w:fill="FFFFFF"/>
          <w:lang w:val="es-CO"/>
        </w:rPr>
        <w:t xml:space="preserve">transversal a la infraestructura de transporte, las cuales son elaborados </w:t>
      </w:r>
      <w:r w:rsidR="00F43415">
        <w:rPr>
          <w:rFonts w:ascii="Arial" w:hAnsi="Arial" w:cs="Arial"/>
          <w:color w:val="222222"/>
          <w:sz w:val="22"/>
          <w:shd w:val="clear" w:color="auto" w:fill="FFFFFF"/>
          <w:lang w:val="es-CO"/>
        </w:rPr>
        <w:t>en concreto reforzado según las condiciones técnicas propias del proyecto</w:t>
      </w:r>
      <w:r w:rsidR="00AF426F">
        <w:rPr>
          <w:rFonts w:ascii="Arial" w:hAnsi="Arial" w:cs="Arial"/>
          <w:color w:val="222222"/>
          <w:sz w:val="22"/>
          <w:shd w:val="clear" w:color="auto" w:fill="FFFFFF"/>
          <w:lang w:val="es-CO"/>
        </w:rPr>
        <w:t>, el cual deberá poder soportar las condiciones hidráulicas y estructurales a los esfuerzos que sea som</w:t>
      </w:r>
      <w:r w:rsidR="00115D3E">
        <w:rPr>
          <w:rFonts w:ascii="Arial" w:hAnsi="Arial" w:cs="Arial"/>
          <w:color w:val="222222"/>
          <w:sz w:val="22"/>
          <w:shd w:val="clear" w:color="auto" w:fill="FFFFFF"/>
          <w:lang w:val="es-CO"/>
        </w:rPr>
        <w:t>et</w:t>
      </w:r>
      <w:r w:rsidR="00AF426F">
        <w:rPr>
          <w:rFonts w:ascii="Arial" w:hAnsi="Arial" w:cs="Arial"/>
          <w:color w:val="222222"/>
          <w:sz w:val="22"/>
          <w:shd w:val="clear" w:color="auto" w:fill="FFFFFF"/>
          <w:lang w:val="es-CO"/>
        </w:rPr>
        <w:t>i</w:t>
      </w:r>
      <w:r w:rsidR="00115D3E">
        <w:rPr>
          <w:rFonts w:ascii="Arial" w:hAnsi="Arial" w:cs="Arial"/>
          <w:color w:val="222222"/>
          <w:sz w:val="22"/>
          <w:shd w:val="clear" w:color="auto" w:fill="FFFFFF"/>
          <w:lang w:val="es-CO"/>
        </w:rPr>
        <w:t>d</w:t>
      </w:r>
      <w:r w:rsidR="00AF426F">
        <w:rPr>
          <w:rFonts w:ascii="Arial" w:hAnsi="Arial" w:cs="Arial"/>
          <w:color w:val="222222"/>
          <w:sz w:val="22"/>
          <w:shd w:val="clear" w:color="auto" w:fill="FFFFFF"/>
          <w:lang w:val="es-CO"/>
        </w:rPr>
        <w:t xml:space="preserve">a. </w:t>
      </w:r>
    </w:p>
    <w:p w14:paraId="55B942A1" w14:textId="77777777" w:rsidR="00085D36" w:rsidRDefault="00085D36" w:rsidP="00A8216B">
      <w:pPr>
        <w:spacing w:line="276" w:lineRule="auto"/>
        <w:ind w:right="709"/>
        <w:jc w:val="both"/>
        <w:rPr>
          <w:rFonts w:ascii="Arial" w:hAnsi="Arial" w:cs="Arial"/>
          <w:color w:val="000000" w:themeColor="text1"/>
          <w:sz w:val="22"/>
        </w:rPr>
      </w:pPr>
    </w:p>
    <w:p w14:paraId="6115E3FD" w14:textId="6B5F9537" w:rsidR="00562799" w:rsidRPr="00090683" w:rsidRDefault="00677F77" w:rsidP="00090683">
      <w:pPr>
        <w:ind w:left="709" w:right="709"/>
        <w:jc w:val="both"/>
        <w:rPr>
          <w:rFonts w:ascii="Arial" w:hAnsi="Arial" w:cs="Arial"/>
          <w:color w:val="000000" w:themeColor="text1"/>
          <w:sz w:val="21"/>
          <w:szCs w:val="21"/>
        </w:rPr>
      </w:pPr>
      <w:r>
        <w:rPr>
          <w:rFonts w:ascii="Arial" w:hAnsi="Arial" w:cs="Arial"/>
          <w:color w:val="000000" w:themeColor="text1"/>
          <w:sz w:val="21"/>
          <w:szCs w:val="21"/>
        </w:rPr>
        <w:t>v)</w:t>
      </w:r>
      <w:r w:rsidR="00562799" w:rsidRPr="00090683">
        <w:rPr>
          <w:rFonts w:ascii="Arial" w:hAnsi="Arial" w:cs="Arial"/>
          <w:color w:val="000000" w:themeColor="text1"/>
          <w:sz w:val="21"/>
          <w:szCs w:val="21"/>
        </w:rPr>
        <w:t xml:space="preserve"> </w:t>
      </w:r>
      <w:r>
        <w:rPr>
          <w:rFonts w:ascii="Arial" w:hAnsi="Arial" w:cs="Arial"/>
          <w:color w:val="000000" w:themeColor="text1"/>
          <w:sz w:val="21"/>
          <w:szCs w:val="21"/>
        </w:rPr>
        <w:t>«</w:t>
      </w:r>
      <w:r w:rsidR="00562799" w:rsidRPr="00090683">
        <w:rPr>
          <w:rFonts w:ascii="Arial" w:hAnsi="Arial" w:cs="Arial"/>
          <w:color w:val="000000" w:themeColor="text1"/>
          <w:sz w:val="21"/>
          <w:szCs w:val="21"/>
        </w:rPr>
        <w:t xml:space="preserve">[…] </w:t>
      </w:r>
      <w:proofErr w:type="gramStart"/>
      <w:r w:rsidR="00562799" w:rsidRPr="00090683">
        <w:rPr>
          <w:rFonts w:ascii="Arial" w:hAnsi="Arial" w:cs="Arial"/>
          <w:color w:val="000000" w:themeColor="text1"/>
          <w:sz w:val="21"/>
          <w:szCs w:val="21"/>
        </w:rPr>
        <w:t>¿Es legal que la entidad pública exija experiencia especifica en la ACTIVIDAD 7.</w:t>
      </w:r>
      <w:proofErr w:type="gramEnd"/>
      <w:r w:rsidR="00562799" w:rsidRPr="00090683">
        <w:rPr>
          <w:rFonts w:ascii="Arial" w:hAnsi="Arial" w:cs="Arial"/>
          <w:color w:val="000000" w:themeColor="text1"/>
          <w:sz w:val="21"/>
          <w:szCs w:val="21"/>
        </w:rPr>
        <w:t>1 con base en el valor del presupuesto oficial global que incluye además del puente la construcción de la vía terciaria?</w:t>
      </w:r>
      <w:r>
        <w:rPr>
          <w:rFonts w:ascii="Arial" w:hAnsi="Arial" w:cs="Arial"/>
          <w:color w:val="000000" w:themeColor="text1"/>
          <w:sz w:val="21"/>
          <w:szCs w:val="21"/>
        </w:rPr>
        <w:t>».</w:t>
      </w:r>
    </w:p>
    <w:p w14:paraId="1177FF46" w14:textId="77777777" w:rsidR="002F4BC7" w:rsidRDefault="002F4BC7" w:rsidP="002F4BC7">
      <w:pPr>
        <w:spacing w:line="276" w:lineRule="auto"/>
        <w:jc w:val="both"/>
        <w:rPr>
          <w:rFonts w:ascii="Arial" w:eastAsia="Calibri" w:hAnsi="Arial" w:cs="Arial"/>
          <w:color w:val="000000"/>
          <w:sz w:val="22"/>
        </w:rPr>
      </w:pPr>
    </w:p>
    <w:p w14:paraId="2E3C5F80" w14:textId="41B4F159" w:rsidR="002F4BC7" w:rsidRPr="00CF298B" w:rsidRDefault="007C38CA" w:rsidP="002F4BC7">
      <w:pPr>
        <w:spacing w:line="276" w:lineRule="auto"/>
        <w:jc w:val="both"/>
        <w:rPr>
          <w:rFonts w:ascii="Arial" w:eastAsia="Calibri" w:hAnsi="Arial" w:cs="Arial"/>
          <w:color w:val="000000"/>
          <w:sz w:val="22"/>
          <w:lang w:val="es-ES_tradnl"/>
        </w:rPr>
      </w:pPr>
      <w:r>
        <w:rPr>
          <w:rFonts w:ascii="Arial" w:eastAsia="Calibri" w:hAnsi="Arial" w:cs="Arial"/>
          <w:color w:val="000000"/>
          <w:sz w:val="22"/>
        </w:rPr>
        <w:t>E</w:t>
      </w:r>
      <w:r w:rsidR="002F4BC7" w:rsidRPr="00CF298B">
        <w:rPr>
          <w:rFonts w:ascii="Arial" w:eastAsia="Calibri" w:hAnsi="Arial" w:cs="Arial"/>
          <w:color w:val="000000"/>
          <w:sz w:val="22"/>
        </w:rPr>
        <w:t>n la versión 3 de los documentos tipo se reguló de forma pormenorizada y explicada suficientemente la forma en que procede exigir experiencias combinadas asociadas a diferentes actividades a contratar de la «Matriz 1 – Experiencia», tanto de baja o mediana y alta complejidad. En tal sentido, se prescribe que esta posibilidad se puede utilizar «</w:t>
      </w:r>
      <w:r w:rsidR="002F4BC7" w:rsidRPr="00CF298B">
        <w:rPr>
          <w:rFonts w:ascii="Arial" w:eastAsia="Calibri" w:hAnsi="Arial" w:cs="Arial"/>
          <w:color w:val="000000"/>
          <w:sz w:val="22"/>
          <w:lang w:val="es-ES_tradnl"/>
        </w:rPr>
        <w:t xml:space="preserve">Cuando el objeto del proceso de contratación contemple la ejecución de dos o más “Actividades a Contratar” (ej.: 1.1 y 7.1)», supuesto en el cual se plantean las dos opciones relacionadas con: i) solicitar solo la experiencia asociada a la «actividad a contratar» de mayor relevancia en el contrato o ii) combinar experiencias de las 2 </w:t>
      </w:r>
      <w:proofErr w:type="spellStart"/>
      <w:r w:rsidR="002F4BC7" w:rsidRPr="00CF298B">
        <w:rPr>
          <w:rFonts w:ascii="Arial" w:eastAsia="Calibri" w:hAnsi="Arial" w:cs="Arial"/>
          <w:color w:val="000000"/>
          <w:sz w:val="22"/>
          <w:lang w:val="es-ES_tradnl"/>
        </w:rPr>
        <w:t>ó</w:t>
      </w:r>
      <w:proofErr w:type="spellEnd"/>
      <w:r w:rsidR="002F4BC7" w:rsidRPr="00CF298B">
        <w:rPr>
          <w:rFonts w:ascii="Arial" w:eastAsia="Calibri" w:hAnsi="Arial" w:cs="Arial"/>
          <w:color w:val="000000"/>
          <w:sz w:val="22"/>
          <w:lang w:val="es-ES_tradnl"/>
        </w:rPr>
        <w:t xml:space="preserve"> más «actividades a contratar» que se van a ejecutar en desarrollo del contrato, de acuerdo </w:t>
      </w:r>
      <w:r w:rsidR="00CF7584">
        <w:rPr>
          <w:rFonts w:ascii="Arial" w:eastAsia="Calibri" w:hAnsi="Arial" w:cs="Arial"/>
          <w:color w:val="000000"/>
          <w:sz w:val="22"/>
          <w:lang w:val="es-ES_tradnl"/>
        </w:rPr>
        <w:t xml:space="preserve">con las consideraciones, previamente expuestas. </w:t>
      </w:r>
      <w:r w:rsidR="002F4BC7">
        <w:rPr>
          <w:rFonts w:ascii="Arial" w:eastAsia="Calibri" w:hAnsi="Arial" w:cs="Arial"/>
          <w:color w:val="000000"/>
          <w:sz w:val="22"/>
          <w:lang w:val="es-ES_tradnl"/>
        </w:rPr>
        <w:t xml:space="preserve">Así mismo, debe tenerse en cuenta </w:t>
      </w:r>
      <w:r w:rsidR="002F4BC7" w:rsidRPr="0055101F">
        <w:rPr>
          <w:rFonts w:ascii="Arial" w:eastAsia="Calibri" w:hAnsi="Arial" w:cs="Arial"/>
          <w:color w:val="000000"/>
          <w:sz w:val="21"/>
          <w:szCs w:val="21"/>
          <w:lang w:val="es-ES_tradnl"/>
        </w:rPr>
        <w:t>que la experiencia se exigirá en función del valor del presupuesto oficial y no por el valor de la desagregación de actividades</w:t>
      </w:r>
      <w:r w:rsidR="00090683">
        <w:rPr>
          <w:rFonts w:ascii="Arial" w:eastAsia="Calibri" w:hAnsi="Arial" w:cs="Arial"/>
          <w:color w:val="000000"/>
          <w:sz w:val="21"/>
          <w:szCs w:val="21"/>
          <w:lang w:val="es-ES_tradnl"/>
        </w:rPr>
        <w:t>.</w:t>
      </w:r>
    </w:p>
    <w:p w14:paraId="1CE87560" w14:textId="77777777" w:rsidR="000B3893" w:rsidRPr="002F4BC7" w:rsidRDefault="000B3893" w:rsidP="00DE7D58">
      <w:pPr>
        <w:spacing w:after="120" w:line="276" w:lineRule="auto"/>
        <w:jc w:val="both"/>
        <w:rPr>
          <w:rFonts w:ascii="Arial" w:eastAsia="Calibri" w:hAnsi="Arial" w:cs="Arial"/>
          <w:color w:val="000000" w:themeColor="text1"/>
          <w:sz w:val="22"/>
          <w:lang w:val="es-ES_tradnl"/>
        </w:rPr>
      </w:pPr>
    </w:p>
    <w:p w14:paraId="00CE8453" w14:textId="0D58798E" w:rsidR="00904CD9" w:rsidRPr="00BB0056" w:rsidRDefault="00904CD9" w:rsidP="00904CD9">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 lo Contencioso Administrativo.</w:t>
      </w:r>
    </w:p>
    <w:p w14:paraId="0DB72472" w14:textId="10B3CC51" w:rsidR="00904CD9" w:rsidRPr="00BB0056" w:rsidRDefault="00904CD9" w:rsidP="00904CD9">
      <w:pPr>
        <w:jc w:val="both"/>
        <w:rPr>
          <w:rFonts w:ascii="Arial" w:eastAsia="Calibri" w:hAnsi="Arial" w:cs="Arial"/>
          <w:sz w:val="22"/>
          <w:lang w:val="es-CO"/>
        </w:rPr>
      </w:pPr>
      <w:r w:rsidRPr="00BB0056">
        <w:rPr>
          <w:noProof/>
          <w:lang w:val="es-CO" w:eastAsia="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72EB9A"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FDD70C" w14:textId="77777777"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362FBE17" w14:textId="77777777" w:rsidR="00904CD9" w:rsidRPr="00BB0056" w:rsidRDefault="00904CD9" w:rsidP="00904CD9">
      <w:pPr>
        <w:rPr>
          <w:rFonts w:ascii="Arial" w:eastAsia="Times New Roman" w:hAnsi="Arial" w:cs="Arial"/>
          <w:sz w:val="22"/>
          <w:lang w:val="es-CO" w:eastAsia="es-CO"/>
        </w:rPr>
      </w:pPr>
    </w:p>
    <w:p w14:paraId="66974A84" w14:textId="4DE91AC9" w:rsidR="00904CD9" w:rsidRPr="00BB0056" w:rsidRDefault="00F05063" w:rsidP="00CF7584">
      <w:pPr>
        <w:jc w:val="center"/>
        <w:rPr>
          <w:rFonts w:ascii="Arial" w:eastAsia="Times New Roman" w:hAnsi="Arial" w:cs="Arial"/>
          <w:sz w:val="22"/>
          <w:lang w:val="es-CO" w:eastAsia="es-CO"/>
        </w:rPr>
      </w:pPr>
      <w:r>
        <w:rPr>
          <w:noProof/>
        </w:rPr>
        <w:drawing>
          <wp:inline distT="0" distB="0" distL="0" distR="0" wp14:anchorId="02B55CED" wp14:editId="02BAA3A7">
            <wp:extent cx="2743200" cy="1217295"/>
            <wp:effectExtent l="0" t="0" r="0" b="1905"/>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3200" cy="1217295"/>
                    </a:xfrm>
                    <a:prstGeom prst="rect">
                      <a:avLst/>
                    </a:prstGeom>
                  </pic:spPr>
                </pic:pic>
              </a:graphicData>
            </a:graphic>
          </wp:inline>
        </w:drawing>
      </w:r>
      <w:r w:rsidR="00904CD9" w:rsidRPr="00BB0056">
        <w:rPr>
          <w:noProof/>
          <w:lang w:val="es-CO"/>
        </w:rPr>
        <w:t xml:space="preserve"> </w:t>
      </w:r>
    </w:p>
    <w:p w14:paraId="5512A43C" w14:textId="77777777" w:rsidR="00904CD9" w:rsidRPr="00BB0056" w:rsidRDefault="00904CD9" w:rsidP="00904CD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BB0056" w14:paraId="2464DB35" w14:textId="77777777" w:rsidTr="00C67675">
        <w:trPr>
          <w:trHeight w:val="315"/>
        </w:trPr>
        <w:tc>
          <w:tcPr>
            <w:tcW w:w="488" w:type="dxa"/>
            <w:vAlign w:val="center"/>
            <w:hideMark/>
          </w:tcPr>
          <w:p w14:paraId="47337C6B"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A4C4AD5" w14:textId="77777777" w:rsidR="00DF0A9C" w:rsidRDefault="00DF0A9C" w:rsidP="004E1E4A">
            <w:pPr>
              <w:rPr>
                <w:rFonts w:ascii="Arial" w:eastAsia="Times New Roman" w:hAnsi="Arial" w:cs="Arial"/>
                <w:sz w:val="16"/>
                <w:szCs w:val="16"/>
                <w:lang w:val="es-CO" w:eastAsia="es-ES"/>
              </w:rPr>
            </w:pPr>
            <w:r>
              <w:rPr>
                <w:rFonts w:ascii="Arial" w:eastAsia="Times New Roman" w:hAnsi="Arial" w:cs="Arial"/>
                <w:sz w:val="16"/>
                <w:szCs w:val="16"/>
                <w:lang w:val="es-CO" w:eastAsia="es-ES"/>
              </w:rPr>
              <w:t>José Luis Sánchez Cardona</w:t>
            </w:r>
          </w:p>
          <w:p w14:paraId="2EE50E5D" w14:textId="267E164D" w:rsidR="00904CD9" w:rsidRPr="00BB0056" w:rsidRDefault="00DF0A9C" w:rsidP="00DF0A9C">
            <w:pPr>
              <w:rPr>
                <w:rFonts w:ascii="Arial" w:eastAsia="Times New Roman" w:hAnsi="Arial" w:cs="Arial"/>
                <w:sz w:val="16"/>
                <w:szCs w:val="16"/>
                <w:lang w:val="es-CO" w:eastAsia="es-ES"/>
              </w:rPr>
            </w:pPr>
            <w:r>
              <w:rPr>
                <w:rFonts w:ascii="Arial" w:eastAsia="Times New Roman" w:hAnsi="Arial" w:cs="Arial"/>
                <w:sz w:val="16"/>
                <w:szCs w:val="16"/>
                <w:lang w:val="es-CO" w:eastAsia="es-ES"/>
              </w:rPr>
              <w:t xml:space="preserve">Contratista </w:t>
            </w:r>
            <w:r w:rsidR="004E1E4A" w:rsidRPr="004E1E4A">
              <w:rPr>
                <w:rFonts w:ascii="Arial" w:eastAsia="Times New Roman" w:hAnsi="Arial" w:cs="Arial"/>
                <w:sz w:val="16"/>
                <w:szCs w:val="16"/>
                <w:lang w:val="es-CO" w:eastAsia="es-ES"/>
              </w:rPr>
              <w:t>de la Subdirección de Gestión Contractual</w:t>
            </w:r>
          </w:p>
        </w:tc>
      </w:tr>
      <w:tr w:rsidR="00904CD9" w:rsidRPr="00BB0056" w14:paraId="29969DA1" w14:textId="77777777" w:rsidTr="00C67675">
        <w:trPr>
          <w:trHeight w:val="330"/>
        </w:trPr>
        <w:tc>
          <w:tcPr>
            <w:tcW w:w="488" w:type="dxa"/>
            <w:vAlign w:val="center"/>
            <w:hideMark/>
          </w:tcPr>
          <w:p w14:paraId="4C3A366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EDF0B6" w14:textId="77777777" w:rsidR="004E1E4A" w:rsidRPr="00BB0056" w:rsidRDefault="004E1E4A" w:rsidP="004E1E4A">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17136D73" w14:textId="0D8B59BD" w:rsidR="00B243F7" w:rsidRPr="00485F24" w:rsidRDefault="004E1E4A" w:rsidP="004E1E4A">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r w:rsidRPr="00485F24">
              <w:rPr>
                <w:rFonts w:ascii="Arial" w:eastAsia="Times New Roman" w:hAnsi="Arial" w:cs="Arial"/>
                <w:sz w:val="16"/>
                <w:szCs w:val="16"/>
                <w:lang w:val="es-CO" w:eastAsia="es-ES"/>
              </w:rPr>
              <w:t xml:space="preserve"> </w:t>
            </w:r>
            <w:proofErr w:type="spellStart"/>
            <w:r w:rsidR="00B243F7" w:rsidRPr="00485F24">
              <w:rPr>
                <w:rFonts w:ascii="Arial" w:eastAsia="Times New Roman" w:hAnsi="Arial" w:cs="Arial"/>
                <w:sz w:val="16"/>
                <w:szCs w:val="16"/>
                <w:lang w:val="es-CO" w:eastAsia="es-ES"/>
              </w:rPr>
              <w:t>Karlo</w:t>
            </w:r>
            <w:proofErr w:type="spellEnd"/>
            <w:r w:rsidR="00B243F7" w:rsidRPr="00485F24">
              <w:rPr>
                <w:rFonts w:ascii="Arial" w:eastAsia="Times New Roman" w:hAnsi="Arial" w:cs="Arial"/>
                <w:sz w:val="16"/>
                <w:szCs w:val="16"/>
                <w:lang w:val="es-CO" w:eastAsia="es-ES"/>
              </w:rPr>
              <w:t xml:space="preserve"> Fernández Cala</w:t>
            </w:r>
          </w:p>
          <w:p w14:paraId="69241DC2" w14:textId="430B24C2" w:rsidR="00B243F7" w:rsidRPr="00B243F7" w:rsidRDefault="00B243F7" w:rsidP="000F6869">
            <w:pPr>
              <w:rPr>
                <w:rFonts w:ascii="Arial" w:eastAsia="Times New Roman" w:hAnsi="Arial" w:cs="Arial"/>
                <w:sz w:val="14"/>
                <w:szCs w:val="14"/>
                <w:lang w:eastAsia="es-ES"/>
              </w:rPr>
            </w:pPr>
            <w:r w:rsidRPr="00485F24">
              <w:rPr>
                <w:rFonts w:ascii="Arial" w:eastAsia="Times New Roman" w:hAnsi="Arial" w:cs="Arial"/>
                <w:sz w:val="16"/>
                <w:szCs w:val="16"/>
                <w:lang w:val="es-CO" w:eastAsia="es-ES"/>
              </w:rPr>
              <w:lastRenderedPageBreak/>
              <w:t>Gestor T1-15 de la Dirección General</w:t>
            </w:r>
            <w:r w:rsidRPr="002429B4">
              <w:rPr>
                <w:rFonts w:ascii="Arial" w:eastAsia="Times New Roman" w:hAnsi="Arial" w:cs="Arial"/>
                <w:sz w:val="14"/>
                <w:szCs w:val="14"/>
                <w:lang w:eastAsia="es-ES"/>
              </w:rPr>
              <w:t xml:space="preserve"> </w:t>
            </w:r>
          </w:p>
        </w:tc>
      </w:tr>
      <w:tr w:rsidR="00904CD9" w:rsidRPr="00BB0056" w14:paraId="7602497E" w14:textId="77777777" w:rsidTr="00C67675">
        <w:trPr>
          <w:trHeight w:val="300"/>
        </w:trPr>
        <w:tc>
          <w:tcPr>
            <w:tcW w:w="488" w:type="dxa"/>
            <w:vAlign w:val="center"/>
            <w:hideMark/>
          </w:tcPr>
          <w:p w14:paraId="1229F086"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DE85B46" w14:textId="7E9D2E4D"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720966">
              <w:rPr>
                <w:rFonts w:ascii="Arial" w:eastAsia="Times New Roman" w:hAnsi="Arial" w:cs="Arial"/>
                <w:sz w:val="16"/>
                <w:szCs w:val="16"/>
                <w:lang w:val="es-CO" w:eastAsia="es-ES"/>
              </w:rPr>
              <w:t xml:space="preserve"> ANCP – CCE</w:t>
            </w:r>
          </w:p>
        </w:tc>
      </w:tr>
    </w:tbl>
    <w:p w14:paraId="7EBF297E" w14:textId="1B6AC04C" w:rsidR="007B0854" w:rsidRPr="00904CD9" w:rsidRDefault="007B0854" w:rsidP="00904CD9"/>
    <w:sectPr w:rsidR="007B0854" w:rsidRPr="00904CD9"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A7E4" w14:textId="77777777" w:rsidR="00C94AEB" w:rsidRDefault="00C94AEB">
      <w:r>
        <w:separator/>
      </w:r>
    </w:p>
  </w:endnote>
  <w:endnote w:type="continuationSeparator" w:id="0">
    <w:p w14:paraId="25F3103B" w14:textId="77777777" w:rsidR="00C94AEB" w:rsidRDefault="00C9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7A2E32" w:rsidRDefault="007A2E32" w:rsidP="00B6444C">
    <w:pPr>
      <w:pStyle w:val="Sinespaciado"/>
      <w:rPr>
        <w:rFonts w:ascii="Arial" w:hAnsi="Arial" w:cs="Arial"/>
        <w:sz w:val="18"/>
        <w:szCs w:val="18"/>
      </w:rPr>
    </w:pPr>
  </w:p>
  <w:p w14:paraId="53DF6B5B" w14:textId="77777777" w:rsidR="007A2E32" w:rsidRDefault="007A2E32" w:rsidP="00B6444C">
    <w:pPr>
      <w:pStyle w:val="Sinespaciado"/>
      <w:rPr>
        <w:rFonts w:ascii="Arial" w:hAnsi="Arial" w:cs="Arial"/>
        <w:sz w:val="18"/>
        <w:szCs w:val="18"/>
      </w:rPr>
    </w:pPr>
  </w:p>
  <w:p w14:paraId="312C4A14" w14:textId="43F525EE" w:rsidR="007A2E32" w:rsidRPr="005A79FE" w:rsidRDefault="007A2E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A0FB5">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A0FB5">
      <w:rPr>
        <w:rFonts w:ascii="Arial" w:hAnsi="Arial" w:cs="Arial"/>
        <w:b/>
        <w:bCs/>
        <w:noProof/>
        <w:color w:val="7F7F7F" w:themeColor="text1" w:themeTint="80"/>
        <w:sz w:val="16"/>
        <w:szCs w:val="16"/>
      </w:rPr>
      <w:t>26</w:t>
    </w:r>
    <w:r w:rsidRPr="00084B97">
      <w:rPr>
        <w:rFonts w:ascii="Arial" w:hAnsi="Arial" w:cs="Arial"/>
        <w:b/>
        <w:bCs/>
        <w:color w:val="7F7F7F" w:themeColor="text1" w:themeTint="80"/>
        <w:sz w:val="16"/>
        <w:szCs w:val="16"/>
      </w:rPr>
      <w:fldChar w:fldCharType="end"/>
    </w:r>
  </w:p>
  <w:p w14:paraId="48FC6A04" w14:textId="4A5E79D2" w:rsidR="007A2E32" w:rsidRDefault="007A2E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7A2E32" w:rsidRDefault="007A2E32" w:rsidP="007B0854">
    <w:pPr>
      <w:pStyle w:val="Piedepgina"/>
      <w:jc w:val="center"/>
      <w:rPr>
        <w:lang w:val="es-ES"/>
      </w:rPr>
    </w:pPr>
  </w:p>
  <w:p w14:paraId="645768A8" w14:textId="77777777" w:rsidR="007A2E32" w:rsidRPr="007B0854" w:rsidRDefault="007A2E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AD0B" w14:textId="77777777" w:rsidR="00C94AEB" w:rsidRDefault="00C94AEB">
      <w:r>
        <w:separator/>
      </w:r>
    </w:p>
  </w:footnote>
  <w:footnote w:type="continuationSeparator" w:id="0">
    <w:p w14:paraId="755306FA" w14:textId="77777777" w:rsidR="00C94AEB" w:rsidRDefault="00C94AEB">
      <w:r>
        <w:continuationSeparator/>
      </w:r>
    </w:p>
  </w:footnote>
  <w:footnote w:id="1">
    <w:p w14:paraId="16BAC917" w14:textId="5069AC7B" w:rsidR="007A2E32" w:rsidRPr="00CF7584" w:rsidRDefault="007A2E32" w:rsidP="00CF7584">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2">
    <w:p w14:paraId="0D8088F0" w14:textId="5BC78F02" w:rsidR="007A2E32" w:rsidRPr="00CF7584" w:rsidRDefault="007A2E32" w:rsidP="00CF7584">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footnote>
  <w:footnote w:id="3">
    <w:p w14:paraId="2EF20C6F" w14:textId="597C4D6B" w:rsidR="007A2E32" w:rsidRDefault="007A2E32" w:rsidP="00CF7584">
      <w:pPr>
        <w:pStyle w:val="Textonotapie"/>
        <w:ind w:firstLine="709"/>
      </w:pPr>
      <w:r>
        <w:rPr>
          <w:rStyle w:val="Refdenotaalpie"/>
        </w:rPr>
        <w:footnoteRef/>
      </w:r>
      <w:r>
        <w:t xml:space="preserve"> </w:t>
      </w:r>
      <w:r w:rsidRPr="0043040E">
        <w:rPr>
          <w:rFonts w:ascii="Arial" w:hAnsi="Arial" w:cs="Arial"/>
          <w:sz w:val="19"/>
          <w:szCs w:val="19"/>
        </w:rPr>
        <w:t>Ibídem.</w:t>
      </w:r>
      <w:r w:rsidRPr="0043040E">
        <w:t xml:space="preserve">  </w:t>
      </w:r>
    </w:p>
  </w:footnote>
  <w:footnote w:id="4">
    <w:p w14:paraId="16D3D5B2" w14:textId="77777777" w:rsidR="007A2E32" w:rsidRDefault="007A2E32" w:rsidP="002A4E44">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57B9B932"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p>
  </w:footnote>
  <w:footnote w:id="5">
    <w:p w14:paraId="0B02A176"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EF8EDBA"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EC4EBD0"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3974C20" w14:textId="77777777" w:rsidR="007A2E32" w:rsidRPr="0043040E" w:rsidRDefault="007A2E32" w:rsidP="002A4E44">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E503EFD" w14:textId="77777777" w:rsidR="007A2E32" w:rsidRPr="0043040E" w:rsidRDefault="007A2E32" w:rsidP="002A4E44">
      <w:pPr>
        <w:shd w:val="clear" w:color="auto" w:fill="FFFFFF"/>
        <w:ind w:firstLine="708"/>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78D682C" w14:textId="77777777" w:rsidR="007A2E32" w:rsidRDefault="007A2E32" w:rsidP="002A4E44">
      <w:pPr>
        <w:pStyle w:val="Textonotapie"/>
      </w:pPr>
    </w:p>
  </w:footnote>
  <w:footnote w:id="6">
    <w:p w14:paraId="5B87CBD3" w14:textId="77777777" w:rsidR="007A2E32" w:rsidRPr="00AB219E" w:rsidRDefault="007A2E32" w:rsidP="00935661">
      <w:pPr>
        <w:pStyle w:val="Textonotapie"/>
        <w:ind w:firstLine="708"/>
        <w:jc w:val="both"/>
        <w:rPr>
          <w:rFonts w:ascii="Arial" w:hAnsi="Arial" w:cs="Arial"/>
          <w:sz w:val="19"/>
          <w:szCs w:val="19"/>
          <w:lang w:val="es-CO"/>
        </w:rPr>
      </w:pPr>
      <w:r w:rsidRPr="00AB219E">
        <w:rPr>
          <w:rStyle w:val="Refdenotaalpie"/>
          <w:rFonts w:ascii="Arial" w:hAnsi="Arial" w:cs="Arial"/>
          <w:sz w:val="19"/>
          <w:szCs w:val="19"/>
        </w:rPr>
        <w:footnoteRef/>
      </w:r>
      <w:r w:rsidRPr="00AB219E">
        <w:rPr>
          <w:rFonts w:ascii="Arial" w:hAnsi="Arial" w:cs="Arial"/>
          <w:sz w:val="19"/>
          <w:szCs w:val="19"/>
        </w:rPr>
        <w:t xml:space="preserve"> LECH, Marvin (</w:t>
      </w:r>
      <w:r w:rsidRPr="00AB219E">
        <w:rPr>
          <w:rFonts w:ascii="Arial" w:hAnsi="Arial" w:cs="Arial"/>
          <w:sz w:val="19"/>
          <w:szCs w:val="19"/>
        </w:rPr>
        <w:t xml:space="preserve">comp.).  Glossary of Road Design and Construction Terms, Nebraska Deparment of Roads, EEUU, 1998, pp. 44. </w:t>
      </w:r>
    </w:p>
  </w:footnote>
  <w:footnote w:id="7">
    <w:p w14:paraId="03A33433" w14:textId="77777777" w:rsidR="007A2E32" w:rsidRPr="00AB219E" w:rsidRDefault="007A2E32" w:rsidP="00935661">
      <w:pPr>
        <w:pStyle w:val="Textonotapie"/>
        <w:jc w:val="both"/>
        <w:rPr>
          <w:rFonts w:ascii="Arial" w:hAnsi="Arial" w:cs="Arial"/>
          <w:sz w:val="19"/>
          <w:szCs w:val="19"/>
        </w:rPr>
      </w:pPr>
    </w:p>
    <w:p w14:paraId="27163423" w14:textId="77777777" w:rsidR="007A2E32" w:rsidRPr="00DE7D58" w:rsidRDefault="007A2E32" w:rsidP="00935661">
      <w:pPr>
        <w:pStyle w:val="Textonotapie"/>
        <w:ind w:firstLine="708"/>
        <w:jc w:val="both"/>
        <w:rPr>
          <w:rFonts w:ascii="Arial" w:hAnsi="Arial" w:cs="Arial"/>
          <w:color w:val="0E63A8" w:themeColor="text2"/>
          <w:sz w:val="19"/>
          <w:szCs w:val="19"/>
          <w:lang w:val="es-CO"/>
        </w:rPr>
      </w:pPr>
      <w:r w:rsidRPr="00AB219E">
        <w:rPr>
          <w:rStyle w:val="Refdenotaalpie"/>
          <w:rFonts w:ascii="Arial" w:hAnsi="Arial" w:cs="Arial"/>
          <w:sz w:val="19"/>
          <w:szCs w:val="19"/>
        </w:rPr>
        <w:footnoteRef/>
      </w:r>
      <w:r w:rsidRPr="00AB219E">
        <w:rPr>
          <w:rFonts w:ascii="Arial" w:hAnsi="Arial" w:cs="Arial"/>
          <w:sz w:val="19"/>
          <w:szCs w:val="19"/>
        </w:rPr>
        <w:t xml:space="preserve"> INSTITUTO DE DESARROLLO URBANO DE BOGOTÁ, Diccionario técnico. Consolidación de todos los términos y definiciones de carácter técnico o de gestión, incluidos en los distintos documentos publicados como parte del Sistema Integrado de Gestión IDU. Consultado el 7 de octubre de 2020 en: </w:t>
      </w:r>
      <w:hyperlink r:id="rId1" w:history="1">
        <w:r w:rsidRPr="00DE7D58">
          <w:rPr>
            <w:rStyle w:val="Hipervnculo"/>
            <w:rFonts w:ascii="Arial" w:hAnsi="Arial" w:cs="Arial"/>
            <w:color w:val="0E63A8" w:themeColor="text2"/>
            <w:sz w:val="19"/>
            <w:szCs w:val="19"/>
          </w:rPr>
          <w:t>https://www.idu.gov.co/page/transparencia/informacion-de-interes/glosario</w:t>
        </w:r>
      </w:hyperlink>
    </w:p>
  </w:footnote>
  <w:footnote w:id="8">
    <w:p w14:paraId="19DAF19E" w14:textId="77777777" w:rsidR="007A2E32" w:rsidRPr="00AB219E" w:rsidRDefault="007A2E32" w:rsidP="00935661">
      <w:pPr>
        <w:pStyle w:val="Textonotapie"/>
        <w:rPr>
          <w:rFonts w:ascii="Arial" w:hAnsi="Arial" w:cs="Arial"/>
          <w:sz w:val="19"/>
          <w:szCs w:val="19"/>
        </w:rPr>
      </w:pPr>
    </w:p>
    <w:p w14:paraId="7F73F823" w14:textId="0BE13B17" w:rsidR="007A2E32" w:rsidRDefault="007A2E32" w:rsidP="00935661">
      <w:pPr>
        <w:pStyle w:val="Textonotapie"/>
        <w:ind w:firstLine="708"/>
        <w:jc w:val="both"/>
        <w:rPr>
          <w:rFonts w:ascii="Arial" w:hAnsi="Arial" w:cs="Arial"/>
          <w:sz w:val="19"/>
          <w:szCs w:val="19"/>
        </w:rPr>
      </w:pPr>
      <w:r w:rsidRPr="00AB219E">
        <w:rPr>
          <w:rStyle w:val="Refdenotaalpie"/>
          <w:rFonts w:ascii="Arial" w:hAnsi="Arial" w:cs="Arial"/>
          <w:sz w:val="19"/>
          <w:szCs w:val="19"/>
        </w:rPr>
        <w:footnoteRef/>
      </w:r>
      <w:r w:rsidRPr="00AB219E">
        <w:rPr>
          <w:rFonts w:ascii="Arial" w:hAnsi="Arial" w:cs="Arial"/>
          <w:sz w:val="19"/>
          <w:szCs w:val="19"/>
        </w:rPr>
        <w:t xml:space="preserve"> El Anexo 3- Glosario, adoptado por la </w:t>
      </w:r>
      <w:r w:rsidRPr="00AB219E">
        <w:rPr>
          <w:rFonts w:ascii="Arial" w:hAnsi="Arial" w:cs="Arial"/>
          <w:sz w:val="19"/>
          <w:szCs w:val="19"/>
        </w:rPr>
        <w:t xml:space="preserve">Agencial Nacional de Contratación Pública mediante la Resolución No. </w:t>
      </w:r>
      <w:r>
        <w:rPr>
          <w:rFonts w:ascii="Arial" w:hAnsi="Arial" w:cs="Arial"/>
          <w:sz w:val="19"/>
          <w:szCs w:val="19"/>
        </w:rPr>
        <w:t>240</w:t>
      </w:r>
      <w:r w:rsidRPr="00AB219E">
        <w:rPr>
          <w:rFonts w:ascii="Arial" w:hAnsi="Arial" w:cs="Arial"/>
          <w:sz w:val="19"/>
          <w:szCs w:val="19"/>
        </w:rPr>
        <w:t xml:space="preserve"> de 2020, dispone «2.</w:t>
      </w:r>
      <w:r>
        <w:rPr>
          <w:rFonts w:ascii="Arial" w:hAnsi="Arial" w:cs="Arial"/>
          <w:sz w:val="19"/>
          <w:szCs w:val="19"/>
        </w:rPr>
        <w:t>5</w:t>
      </w:r>
      <w:r w:rsidRPr="00AB219E">
        <w:rPr>
          <w:rFonts w:ascii="Arial" w:hAnsi="Arial" w:cs="Arial"/>
          <w:sz w:val="19"/>
          <w:szCs w:val="19"/>
        </w:rPr>
        <w:t>0</w:t>
      </w:r>
      <w:r>
        <w:rPr>
          <w:rFonts w:ascii="Arial" w:hAnsi="Arial" w:cs="Arial"/>
          <w:sz w:val="19"/>
          <w:szCs w:val="19"/>
        </w:rPr>
        <w:t>. M</w:t>
      </w:r>
      <w:r w:rsidRPr="00AB219E">
        <w:rPr>
          <w:rFonts w:ascii="Arial" w:hAnsi="Arial" w:cs="Arial"/>
          <w:sz w:val="19"/>
          <w:szCs w:val="19"/>
        </w:rPr>
        <w:t xml:space="preserve">ejoramiento: </w:t>
      </w:r>
      <w:r w:rsidRPr="00B46402">
        <w:rPr>
          <w:rFonts w:ascii="Arial" w:hAnsi="Arial" w:cs="Arial"/>
          <w:sz w:val="19"/>
          <w:szCs w:val="19"/>
        </w:rPr>
        <w:t>Cambios en una infraestructura de transporte con el propósito de mejorar sus especificaciones técnicas iniciales</w:t>
      </w:r>
      <w:r w:rsidRPr="00AB219E">
        <w:rPr>
          <w:rFonts w:ascii="Arial" w:hAnsi="Arial" w:cs="Arial"/>
          <w:sz w:val="19"/>
          <w:szCs w:val="19"/>
        </w:rPr>
        <w:t>».</w:t>
      </w:r>
      <w:r>
        <w:rPr>
          <w:rFonts w:ascii="Arial" w:hAnsi="Arial" w:cs="Arial"/>
          <w:sz w:val="19"/>
          <w:szCs w:val="19"/>
        </w:rPr>
        <w:t xml:space="preserve"> Para estos efectos, el numeral 7 del artículo </w:t>
      </w:r>
      <w:r w:rsidRPr="00E921B1">
        <w:rPr>
          <w:rFonts w:ascii="Arial" w:hAnsi="Arial" w:cs="Arial"/>
          <w:sz w:val="19"/>
          <w:szCs w:val="19"/>
        </w:rPr>
        <w:t>2.2.2.5.2.1</w:t>
      </w:r>
      <w:r>
        <w:rPr>
          <w:rFonts w:ascii="Arial" w:hAnsi="Arial" w:cs="Arial"/>
          <w:sz w:val="19"/>
          <w:szCs w:val="19"/>
        </w:rPr>
        <w:t xml:space="preserve"> del Decreto 1076 de 2015 dispone como actividades de mejoramiento «</w:t>
      </w:r>
      <w:r w:rsidRPr="00C44219">
        <w:rPr>
          <w:rFonts w:ascii="Arial" w:hAnsi="Arial" w:cs="Arial"/>
          <w:sz w:val="19"/>
          <w:szCs w:val="19"/>
        </w:rPr>
        <w:t>La adecuación, ampliación, reforzamiento, reemplazo o construcción de obras de drenaje y subdrenaje transversal y longitudinal</w:t>
      </w:r>
      <w:r>
        <w:rPr>
          <w:rFonts w:ascii="Arial" w:hAnsi="Arial" w:cs="Arial"/>
          <w:sz w:val="19"/>
          <w:szCs w:val="19"/>
        </w:rPr>
        <w:t>».</w:t>
      </w:r>
    </w:p>
    <w:p w14:paraId="060AEE8E" w14:textId="77777777" w:rsidR="007A2E32" w:rsidRPr="00AB219E" w:rsidRDefault="007A2E32" w:rsidP="00935661">
      <w:pPr>
        <w:pStyle w:val="Textonotapie"/>
        <w:ind w:firstLine="708"/>
        <w:jc w:val="both"/>
        <w:rPr>
          <w:rFonts w:ascii="Arial" w:hAnsi="Arial" w:cs="Arial"/>
          <w:sz w:val="19"/>
          <w:szCs w:val="19"/>
          <w:lang w:val="es-CO"/>
        </w:rPr>
      </w:pPr>
    </w:p>
  </w:footnote>
  <w:footnote w:id="9">
    <w:p w14:paraId="405B93EC" w14:textId="77777777" w:rsidR="007A2E32" w:rsidRPr="009B4391" w:rsidRDefault="007A2E32" w:rsidP="000F07B8">
      <w:pPr>
        <w:pStyle w:val="Textonotapie"/>
        <w:ind w:firstLine="708"/>
        <w:jc w:val="both"/>
        <w:rPr>
          <w:rFonts w:ascii="Arial" w:hAnsi="Arial" w:cs="Arial"/>
          <w:sz w:val="19"/>
          <w:szCs w:val="19"/>
          <w:lang w:val="es-CO"/>
        </w:rPr>
      </w:pPr>
      <w:r w:rsidRPr="009B4391">
        <w:rPr>
          <w:rStyle w:val="Refdenotaalpie"/>
          <w:rFonts w:ascii="Arial" w:hAnsi="Arial" w:cs="Arial"/>
          <w:sz w:val="19"/>
          <w:szCs w:val="19"/>
        </w:rPr>
        <w:footnoteRef/>
      </w:r>
      <w:r w:rsidRPr="009B4391">
        <w:rPr>
          <w:rFonts w:ascii="Arial" w:hAnsi="Arial" w:cs="Arial"/>
          <w:sz w:val="19"/>
          <w:szCs w:val="19"/>
        </w:rPr>
        <w:t>https://www.invias.gov.co/index.php/archivo-y-documentos/documentos-tecnicos/especificaciones-tecnicas/984-manual-de-drenaje-para-carreteras/file</w:t>
      </w:r>
    </w:p>
  </w:footnote>
  <w:footnote w:id="10">
    <w:p w14:paraId="1862397F" w14:textId="77777777" w:rsidR="007A2E32" w:rsidRPr="00666E21" w:rsidRDefault="007A2E32" w:rsidP="00EF1522">
      <w:pPr>
        <w:pStyle w:val="Textonotapie"/>
        <w:ind w:firstLine="708"/>
        <w:jc w:val="both"/>
        <w:rPr>
          <w:rFonts w:ascii="Arial" w:hAnsi="Arial" w:cs="Arial"/>
          <w:sz w:val="19"/>
          <w:szCs w:val="19"/>
        </w:rPr>
      </w:pPr>
      <w:r w:rsidRPr="00666E21">
        <w:rPr>
          <w:rStyle w:val="Refdenotaalpie"/>
          <w:rFonts w:ascii="Arial" w:hAnsi="Arial" w:cs="Arial"/>
          <w:sz w:val="19"/>
          <w:szCs w:val="19"/>
        </w:rPr>
        <w:footnoteRef/>
      </w:r>
      <w:r w:rsidRPr="00666E21">
        <w:rPr>
          <w:rFonts w:ascii="Arial" w:hAnsi="Arial" w:cs="Arial"/>
          <w:sz w:val="19"/>
          <w:szCs w:val="19"/>
        </w:rPr>
        <w:t xml:space="preserve"> Agencia Nacional de Contratación Pública – Colombia Compra Eficiente. Concepto C-531 del 21 de agosto de 2020. Radicado de entrada No. 4202013000006510. Radicado de salida No. 2202013000007770.</w:t>
      </w:r>
    </w:p>
  </w:footnote>
  <w:footnote w:id="11">
    <w:p w14:paraId="2EBB6AAC" w14:textId="14CB1C00" w:rsidR="007A2E32" w:rsidRPr="00CF7584" w:rsidRDefault="007A2E32" w:rsidP="00CF7584">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w:t>
      </w:r>
      <w:r w:rsidRPr="00455DC9">
        <w:rPr>
          <w:rFonts w:ascii="Arial" w:hAnsi="Arial" w:cs="Arial"/>
          <w:color w:val="000000"/>
          <w:sz w:val="19"/>
          <w:szCs w:val="19"/>
        </w:rPr>
        <w:t>¿Cuál es el alcance de la nota contenida en la Matriz No. 1- Experiencia de los Documentos Tipo para licitación de obra de infraestructura de transporte que establece: “Nota: La ejecución de actividades se pedirán según el requerimiento de cada proceso, se pueden pedir los de cada APARTE o sus combinaciones”. En virtud de esta nota, la entidad estatal puede solicitar experiencia en actividades y volúmenes de obra específicos o sólo puede exigir lo solicitado de manera explícita en la matriz referida?».</w:t>
      </w:r>
    </w:p>
  </w:footnote>
  <w:footnote w:id="12">
    <w:p w14:paraId="53FCAD5B" w14:textId="743E3E58" w:rsidR="007A2E32" w:rsidRPr="00CF7584" w:rsidRDefault="007A2E32" w:rsidP="00CF7584">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En esa ocasión se preguntó: «[…] El resto de la nota ‘Se pueden pedir los de cada APARTE o sus combinaciones’. Cada APARTE es el requisito correspondiente a (GENERAL y ESPECIFICA) en 2.1 o 2.2 o 2.3? y ‘o sus combinaciones’ significa que se pueden pedir los requisitos de 2.1 y 2.2 o 2.1 y 2.3 o 2.1 y 2.2 y 2.3 al mismo tiempo?».</w:t>
      </w:r>
    </w:p>
  </w:footnote>
  <w:footnote w:id="13">
    <w:p w14:paraId="7313C18F" w14:textId="29A7A862" w:rsidR="007A2E32" w:rsidRPr="00CF7584" w:rsidRDefault="007A2E32" w:rsidP="00CF7584">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«¿Un proceso de selección, cuyo objeto corresponde a la construcción de una vía urbana, pero tiene actividades de urbanismo y construcción de redes de servicios públicos, es pertinente combinar actividades dentro de la exigencia de experiencia, es decir, incluir varias experiencias conforme a las distintas actividades o debo elegir la más representativa?».</w:t>
      </w:r>
    </w:p>
  </w:footnote>
  <w:footnote w:id="14">
    <w:p w14:paraId="00B496AF" w14:textId="16DDECAA" w:rsidR="007A2E32" w:rsidRPr="00CF7584" w:rsidRDefault="007A2E32" w:rsidP="00CF7584">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En esa ocasión se preguntó: «Revisados los documentos de los pliegos tipo se encuentra que en la matriz de experiencia para los segmentos 1, 2, 3, 5, 6, 7 y 8 para la acreditación de experiencia, ésta indica que se puede solicitar que los contratos hayan contenido la ejecución de las actividades (según el requerimiento de cada proceso) y que se pueden pedir los de cada aparte o actividades a contratar o las combinaciones que se deriven de éstas. De lo anterior, se puede colegir entonces que,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w:t>
      </w:r>
    </w:p>
  </w:footnote>
  <w:footnote w:id="15">
    <w:p w14:paraId="2B055732" w14:textId="77777777" w:rsidR="007A2E32" w:rsidRPr="00455DC9" w:rsidRDefault="007A2E32" w:rsidP="00CF298B">
      <w:pPr>
        <w:pStyle w:val="Textonotapie"/>
        <w:ind w:firstLine="708"/>
        <w:jc w:val="both"/>
        <w:rPr>
          <w:rFonts w:ascii="Arial" w:hAnsi="Arial" w:cs="Arial"/>
          <w:color w:val="000000"/>
          <w:sz w:val="19"/>
          <w:szCs w:val="19"/>
        </w:rPr>
      </w:pPr>
      <w:r w:rsidRPr="00455DC9">
        <w:rPr>
          <w:rStyle w:val="Refdenotaalpie"/>
          <w:rFonts w:ascii="Arial" w:hAnsi="Arial" w:cs="Arial"/>
          <w:color w:val="000000"/>
          <w:sz w:val="19"/>
          <w:szCs w:val="19"/>
        </w:rPr>
        <w:footnoteRef/>
      </w:r>
      <w:r w:rsidRPr="00455DC9">
        <w:rPr>
          <w:rFonts w:ascii="Arial" w:hAnsi="Arial" w:cs="Arial"/>
          <w:color w:val="000000"/>
          <w:sz w:val="19"/>
          <w:szCs w:val="19"/>
        </w:rPr>
        <w:t xml:space="preserve"> Allí se preguntó: «¿[p]</w:t>
      </w:r>
      <w:r w:rsidRPr="00455DC9">
        <w:rPr>
          <w:rFonts w:ascii="Arial" w:hAnsi="Arial" w:cs="Arial"/>
          <w:color w:val="000000"/>
          <w:sz w:val="19"/>
          <w:szCs w:val="19"/>
        </w:rPr>
        <w:t>uede una entidad pedir como requisito de experiencia actividades en la matriz 1? Según veo algunas entidades se amparan en la columna de "acreditación de experiencia" – “que haya contenido la ejecución de” – “NOTA: la ejecución de actividades se pediría según el requerimiento de cada proceso, se pueden pedir los de cada ACTIVIDADES A CONTRATAR o sus combinaciones)". Se observa que algunas entidades amparándose en lo estipulado en dicha matriz 1, piden actividades que solamente cumplen proponentes específicos. Si de poder la entidad pedir cualquier tipo de actividad, se estarían dando vía libre para que limiten los procesos a un participante en particular”».</w:t>
      </w:r>
    </w:p>
    <w:p w14:paraId="06EEE5AC" w14:textId="77777777" w:rsidR="007A2E32" w:rsidRPr="00455DC9" w:rsidRDefault="007A2E32" w:rsidP="00CF298B">
      <w:pPr>
        <w:pStyle w:val="Textonotapie"/>
        <w:ind w:firstLine="708"/>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7A2E32" w:rsidRDefault="007A2E32">
    <w:pPr>
      <w:pStyle w:val="Encabezado"/>
    </w:pPr>
  </w:p>
  <w:p w14:paraId="6A4C7F2C" w14:textId="7D093DBB" w:rsidR="007A2E32" w:rsidRDefault="007A2E32">
    <w:pPr>
      <w:pStyle w:val="Encabezado"/>
    </w:pPr>
  </w:p>
  <w:p w14:paraId="055F2E1F" w14:textId="0B935ADD" w:rsidR="007A2E32" w:rsidRDefault="007A2E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7A2E32" w:rsidRDefault="007A2E32">
    <w:pPr>
      <w:pStyle w:val="Encabezado"/>
    </w:pPr>
  </w:p>
  <w:p w14:paraId="3D323BDB" w14:textId="04AF0DE6" w:rsidR="007A2E32" w:rsidRDefault="007A2E32">
    <w:pPr>
      <w:pStyle w:val="Encabezado"/>
    </w:pPr>
  </w:p>
  <w:p w14:paraId="6520770B" w14:textId="18EB07B5" w:rsidR="007A2E32" w:rsidRDefault="007A2E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2"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3"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2207763">
    <w:abstractNumId w:val="5"/>
  </w:num>
  <w:num w:numId="2" w16cid:durableId="1811550903">
    <w:abstractNumId w:val="4"/>
  </w:num>
  <w:num w:numId="3" w16cid:durableId="1379357266">
    <w:abstractNumId w:val="6"/>
  </w:num>
  <w:num w:numId="4" w16cid:durableId="889731852">
    <w:abstractNumId w:val="8"/>
  </w:num>
  <w:num w:numId="5" w16cid:durableId="1628271370">
    <w:abstractNumId w:val="10"/>
  </w:num>
  <w:num w:numId="6" w16cid:durableId="165583554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22210">
    <w:abstractNumId w:val="2"/>
  </w:num>
  <w:num w:numId="8" w16cid:durableId="967008291">
    <w:abstractNumId w:val="11"/>
  </w:num>
  <w:num w:numId="9" w16cid:durableId="1523595018">
    <w:abstractNumId w:val="2"/>
    <w:lvlOverride w:ilvl="0">
      <w:startOverride w:val="1"/>
    </w:lvlOverride>
  </w:num>
  <w:num w:numId="10" w16cid:durableId="1562135271">
    <w:abstractNumId w:val="12"/>
  </w:num>
  <w:num w:numId="11" w16cid:durableId="535695933">
    <w:abstractNumId w:val="3"/>
  </w:num>
  <w:num w:numId="12" w16cid:durableId="1000890462">
    <w:abstractNumId w:val="13"/>
  </w:num>
  <w:num w:numId="13" w16cid:durableId="655839786">
    <w:abstractNumId w:val="7"/>
  </w:num>
  <w:num w:numId="14" w16cid:durableId="314575590">
    <w:abstractNumId w:val="9"/>
  </w:num>
  <w:num w:numId="15" w16cid:durableId="50451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549"/>
    <w:rsid w:val="00024BE5"/>
    <w:rsid w:val="0002665B"/>
    <w:rsid w:val="00026AD9"/>
    <w:rsid w:val="000271AD"/>
    <w:rsid w:val="00027940"/>
    <w:rsid w:val="00027F74"/>
    <w:rsid w:val="000303EC"/>
    <w:rsid w:val="00032DA3"/>
    <w:rsid w:val="000365C0"/>
    <w:rsid w:val="00037112"/>
    <w:rsid w:val="00037BF5"/>
    <w:rsid w:val="000503A1"/>
    <w:rsid w:val="00051882"/>
    <w:rsid w:val="00056024"/>
    <w:rsid w:val="00057953"/>
    <w:rsid w:val="0006293E"/>
    <w:rsid w:val="0006625D"/>
    <w:rsid w:val="00070770"/>
    <w:rsid w:val="00070A22"/>
    <w:rsid w:val="00071D6E"/>
    <w:rsid w:val="0007590A"/>
    <w:rsid w:val="00080D35"/>
    <w:rsid w:val="00081AF3"/>
    <w:rsid w:val="0008260E"/>
    <w:rsid w:val="00084DC0"/>
    <w:rsid w:val="00085CC3"/>
    <w:rsid w:val="00085D36"/>
    <w:rsid w:val="00087888"/>
    <w:rsid w:val="00090683"/>
    <w:rsid w:val="000939E0"/>
    <w:rsid w:val="00093D35"/>
    <w:rsid w:val="000942EB"/>
    <w:rsid w:val="0009440D"/>
    <w:rsid w:val="0009651A"/>
    <w:rsid w:val="00096EAB"/>
    <w:rsid w:val="0009712F"/>
    <w:rsid w:val="000972BA"/>
    <w:rsid w:val="000A15CB"/>
    <w:rsid w:val="000A1B81"/>
    <w:rsid w:val="000A2169"/>
    <w:rsid w:val="000A2C01"/>
    <w:rsid w:val="000A44E8"/>
    <w:rsid w:val="000A5189"/>
    <w:rsid w:val="000A668C"/>
    <w:rsid w:val="000A7E46"/>
    <w:rsid w:val="000B103F"/>
    <w:rsid w:val="000B1C28"/>
    <w:rsid w:val="000B26E7"/>
    <w:rsid w:val="000B3893"/>
    <w:rsid w:val="000B4FC6"/>
    <w:rsid w:val="000B53D0"/>
    <w:rsid w:val="000C0B7C"/>
    <w:rsid w:val="000C2DD2"/>
    <w:rsid w:val="000C38D8"/>
    <w:rsid w:val="000C4F67"/>
    <w:rsid w:val="000C6347"/>
    <w:rsid w:val="000D0AFA"/>
    <w:rsid w:val="000E00A8"/>
    <w:rsid w:val="000E1761"/>
    <w:rsid w:val="000E1F13"/>
    <w:rsid w:val="000E2297"/>
    <w:rsid w:val="000E2B3A"/>
    <w:rsid w:val="000E68FA"/>
    <w:rsid w:val="000E6962"/>
    <w:rsid w:val="000E6D84"/>
    <w:rsid w:val="000F07B8"/>
    <w:rsid w:val="000F14E8"/>
    <w:rsid w:val="000F3B04"/>
    <w:rsid w:val="000F6869"/>
    <w:rsid w:val="000F7AE4"/>
    <w:rsid w:val="001015E9"/>
    <w:rsid w:val="001017F1"/>
    <w:rsid w:val="00102AA1"/>
    <w:rsid w:val="00103915"/>
    <w:rsid w:val="00103D3D"/>
    <w:rsid w:val="00106085"/>
    <w:rsid w:val="001065D1"/>
    <w:rsid w:val="00106B75"/>
    <w:rsid w:val="001112CF"/>
    <w:rsid w:val="00111438"/>
    <w:rsid w:val="00111636"/>
    <w:rsid w:val="00112192"/>
    <w:rsid w:val="00112D2F"/>
    <w:rsid w:val="00114236"/>
    <w:rsid w:val="00114D72"/>
    <w:rsid w:val="001152BA"/>
    <w:rsid w:val="0011561C"/>
    <w:rsid w:val="00115D3E"/>
    <w:rsid w:val="001170AB"/>
    <w:rsid w:val="001214FF"/>
    <w:rsid w:val="0012244A"/>
    <w:rsid w:val="001229C6"/>
    <w:rsid w:val="00122B23"/>
    <w:rsid w:val="00124E73"/>
    <w:rsid w:val="00124EC3"/>
    <w:rsid w:val="00125291"/>
    <w:rsid w:val="0012570E"/>
    <w:rsid w:val="00125D4C"/>
    <w:rsid w:val="0012754A"/>
    <w:rsid w:val="00130333"/>
    <w:rsid w:val="0013236F"/>
    <w:rsid w:val="001332D0"/>
    <w:rsid w:val="001344AA"/>
    <w:rsid w:val="00137BA1"/>
    <w:rsid w:val="00137FFA"/>
    <w:rsid w:val="001425C5"/>
    <w:rsid w:val="001428CF"/>
    <w:rsid w:val="001448B5"/>
    <w:rsid w:val="00146E1D"/>
    <w:rsid w:val="00152609"/>
    <w:rsid w:val="0015382E"/>
    <w:rsid w:val="001550CF"/>
    <w:rsid w:val="001554A4"/>
    <w:rsid w:val="00156DAF"/>
    <w:rsid w:val="00157821"/>
    <w:rsid w:val="0016135A"/>
    <w:rsid w:val="0016149E"/>
    <w:rsid w:val="00161D78"/>
    <w:rsid w:val="00163B50"/>
    <w:rsid w:val="00164225"/>
    <w:rsid w:val="00165EA8"/>
    <w:rsid w:val="0016680A"/>
    <w:rsid w:val="00167B9D"/>
    <w:rsid w:val="00167F0C"/>
    <w:rsid w:val="00170733"/>
    <w:rsid w:val="00172E0A"/>
    <w:rsid w:val="00174107"/>
    <w:rsid w:val="00175343"/>
    <w:rsid w:val="001755EC"/>
    <w:rsid w:val="00175795"/>
    <w:rsid w:val="00177BAA"/>
    <w:rsid w:val="00180B3B"/>
    <w:rsid w:val="00184E93"/>
    <w:rsid w:val="001900CF"/>
    <w:rsid w:val="001918D6"/>
    <w:rsid w:val="00191FB4"/>
    <w:rsid w:val="00192B77"/>
    <w:rsid w:val="001939B7"/>
    <w:rsid w:val="001963C6"/>
    <w:rsid w:val="0019745D"/>
    <w:rsid w:val="001A08F7"/>
    <w:rsid w:val="001A0DF1"/>
    <w:rsid w:val="001A0EC0"/>
    <w:rsid w:val="001A27D7"/>
    <w:rsid w:val="001A3721"/>
    <w:rsid w:val="001A387A"/>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722C"/>
    <w:rsid w:val="001D172E"/>
    <w:rsid w:val="001D5E4D"/>
    <w:rsid w:val="001E0042"/>
    <w:rsid w:val="001E008B"/>
    <w:rsid w:val="001E0545"/>
    <w:rsid w:val="001E0849"/>
    <w:rsid w:val="001E1694"/>
    <w:rsid w:val="001E1A13"/>
    <w:rsid w:val="001E30CF"/>
    <w:rsid w:val="001E453C"/>
    <w:rsid w:val="001F140A"/>
    <w:rsid w:val="001F1AFA"/>
    <w:rsid w:val="001F25AA"/>
    <w:rsid w:val="001F2AD0"/>
    <w:rsid w:val="001F3C7B"/>
    <w:rsid w:val="001F3D53"/>
    <w:rsid w:val="001F416A"/>
    <w:rsid w:val="001F6AAC"/>
    <w:rsid w:val="001F790E"/>
    <w:rsid w:val="002005CC"/>
    <w:rsid w:val="00203F1A"/>
    <w:rsid w:val="00204114"/>
    <w:rsid w:val="00204C65"/>
    <w:rsid w:val="002059AF"/>
    <w:rsid w:val="002135F3"/>
    <w:rsid w:val="002146C0"/>
    <w:rsid w:val="0021571D"/>
    <w:rsid w:val="00216478"/>
    <w:rsid w:val="00216F1A"/>
    <w:rsid w:val="0021759E"/>
    <w:rsid w:val="00220CE5"/>
    <w:rsid w:val="002215FF"/>
    <w:rsid w:val="002236DB"/>
    <w:rsid w:val="00224570"/>
    <w:rsid w:val="0022655C"/>
    <w:rsid w:val="00233A24"/>
    <w:rsid w:val="0023484E"/>
    <w:rsid w:val="00234B84"/>
    <w:rsid w:val="00235EAA"/>
    <w:rsid w:val="00237329"/>
    <w:rsid w:val="00237CB3"/>
    <w:rsid w:val="002416BA"/>
    <w:rsid w:val="00242EFF"/>
    <w:rsid w:val="002457FD"/>
    <w:rsid w:val="00245C7E"/>
    <w:rsid w:val="00250718"/>
    <w:rsid w:val="00251445"/>
    <w:rsid w:val="00253276"/>
    <w:rsid w:val="00253C1D"/>
    <w:rsid w:val="00254319"/>
    <w:rsid w:val="002563B9"/>
    <w:rsid w:val="0025685E"/>
    <w:rsid w:val="00256BB9"/>
    <w:rsid w:val="0025768C"/>
    <w:rsid w:val="00265C96"/>
    <w:rsid w:val="00265CEB"/>
    <w:rsid w:val="00265ED0"/>
    <w:rsid w:val="00266E0C"/>
    <w:rsid w:val="00270234"/>
    <w:rsid w:val="0027071C"/>
    <w:rsid w:val="00272C62"/>
    <w:rsid w:val="00275701"/>
    <w:rsid w:val="00276521"/>
    <w:rsid w:val="00283380"/>
    <w:rsid w:val="00284F66"/>
    <w:rsid w:val="00285D7E"/>
    <w:rsid w:val="00285FED"/>
    <w:rsid w:val="00286A53"/>
    <w:rsid w:val="00287542"/>
    <w:rsid w:val="002877E9"/>
    <w:rsid w:val="0029159E"/>
    <w:rsid w:val="00294801"/>
    <w:rsid w:val="002A3730"/>
    <w:rsid w:val="002A4E44"/>
    <w:rsid w:val="002A4F10"/>
    <w:rsid w:val="002A63F4"/>
    <w:rsid w:val="002B0BD2"/>
    <w:rsid w:val="002B4907"/>
    <w:rsid w:val="002B50DA"/>
    <w:rsid w:val="002B7DD1"/>
    <w:rsid w:val="002C087E"/>
    <w:rsid w:val="002C27C5"/>
    <w:rsid w:val="002C2B17"/>
    <w:rsid w:val="002C2BF2"/>
    <w:rsid w:val="002D17B8"/>
    <w:rsid w:val="002D3456"/>
    <w:rsid w:val="002D4BB3"/>
    <w:rsid w:val="002D7E62"/>
    <w:rsid w:val="002D7F92"/>
    <w:rsid w:val="002E0A18"/>
    <w:rsid w:val="002E1964"/>
    <w:rsid w:val="002E1E7E"/>
    <w:rsid w:val="002E6B6F"/>
    <w:rsid w:val="002E6F7C"/>
    <w:rsid w:val="002F0602"/>
    <w:rsid w:val="002F0800"/>
    <w:rsid w:val="002F3606"/>
    <w:rsid w:val="002F4BC7"/>
    <w:rsid w:val="002F5131"/>
    <w:rsid w:val="002F70EB"/>
    <w:rsid w:val="002F779E"/>
    <w:rsid w:val="002F7BFE"/>
    <w:rsid w:val="003033BA"/>
    <w:rsid w:val="003038BC"/>
    <w:rsid w:val="00303EFC"/>
    <w:rsid w:val="003046D6"/>
    <w:rsid w:val="003112B5"/>
    <w:rsid w:val="0031293C"/>
    <w:rsid w:val="00313BBA"/>
    <w:rsid w:val="00313D9F"/>
    <w:rsid w:val="00314899"/>
    <w:rsid w:val="00315623"/>
    <w:rsid w:val="00316182"/>
    <w:rsid w:val="0032072B"/>
    <w:rsid w:val="00320DFD"/>
    <w:rsid w:val="00320E68"/>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51383"/>
    <w:rsid w:val="0035216C"/>
    <w:rsid w:val="00352927"/>
    <w:rsid w:val="00353FDF"/>
    <w:rsid w:val="00354545"/>
    <w:rsid w:val="003555B4"/>
    <w:rsid w:val="00362486"/>
    <w:rsid w:val="0036497E"/>
    <w:rsid w:val="00364F1A"/>
    <w:rsid w:val="00366C32"/>
    <w:rsid w:val="00370640"/>
    <w:rsid w:val="0037099D"/>
    <w:rsid w:val="00372A55"/>
    <w:rsid w:val="00374F25"/>
    <w:rsid w:val="003776F1"/>
    <w:rsid w:val="00377AD6"/>
    <w:rsid w:val="00381A7D"/>
    <w:rsid w:val="00381B41"/>
    <w:rsid w:val="00383DDA"/>
    <w:rsid w:val="00384B44"/>
    <w:rsid w:val="00385EC9"/>
    <w:rsid w:val="00386456"/>
    <w:rsid w:val="00387241"/>
    <w:rsid w:val="0039010E"/>
    <w:rsid w:val="003901D8"/>
    <w:rsid w:val="003914FA"/>
    <w:rsid w:val="00391D93"/>
    <w:rsid w:val="00393184"/>
    <w:rsid w:val="0039340C"/>
    <w:rsid w:val="003934DD"/>
    <w:rsid w:val="003960C7"/>
    <w:rsid w:val="00396D23"/>
    <w:rsid w:val="003A046A"/>
    <w:rsid w:val="003A25E4"/>
    <w:rsid w:val="003A2C66"/>
    <w:rsid w:val="003A3686"/>
    <w:rsid w:val="003A4F71"/>
    <w:rsid w:val="003A581E"/>
    <w:rsid w:val="003A651C"/>
    <w:rsid w:val="003B0B16"/>
    <w:rsid w:val="003B241A"/>
    <w:rsid w:val="003B2705"/>
    <w:rsid w:val="003B79A5"/>
    <w:rsid w:val="003C40DD"/>
    <w:rsid w:val="003C4141"/>
    <w:rsid w:val="003C50C9"/>
    <w:rsid w:val="003C62BD"/>
    <w:rsid w:val="003C7DFA"/>
    <w:rsid w:val="003D284B"/>
    <w:rsid w:val="003D40F4"/>
    <w:rsid w:val="003D4F72"/>
    <w:rsid w:val="003E07B4"/>
    <w:rsid w:val="003E11A8"/>
    <w:rsid w:val="003E14B0"/>
    <w:rsid w:val="003E5505"/>
    <w:rsid w:val="003E5ED1"/>
    <w:rsid w:val="003E6682"/>
    <w:rsid w:val="003E7261"/>
    <w:rsid w:val="003E7A20"/>
    <w:rsid w:val="003F0FBE"/>
    <w:rsid w:val="003F28CF"/>
    <w:rsid w:val="003F2E7B"/>
    <w:rsid w:val="003F328D"/>
    <w:rsid w:val="003F47E5"/>
    <w:rsid w:val="003F5CDD"/>
    <w:rsid w:val="003F5F8D"/>
    <w:rsid w:val="003F7E6A"/>
    <w:rsid w:val="00400083"/>
    <w:rsid w:val="0040059A"/>
    <w:rsid w:val="00407BD2"/>
    <w:rsid w:val="0041043C"/>
    <w:rsid w:val="00411B85"/>
    <w:rsid w:val="004129E3"/>
    <w:rsid w:val="00416511"/>
    <w:rsid w:val="004200BB"/>
    <w:rsid w:val="004207E3"/>
    <w:rsid w:val="00420D01"/>
    <w:rsid w:val="0042321C"/>
    <w:rsid w:val="00423267"/>
    <w:rsid w:val="004252E8"/>
    <w:rsid w:val="00426EEE"/>
    <w:rsid w:val="00426F4A"/>
    <w:rsid w:val="0043155D"/>
    <w:rsid w:val="00432915"/>
    <w:rsid w:val="00435AA2"/>
    <w:rsid w:val="004363BC"/>
    <w:rsid w:val="0043754D"/>
    <w:rsid w:val="00437BF5"/>
    <w:rsid w:val="00437BF8"/>
    <w:rsid w:val="004422D6"/>
    <w:rsid w:val="00442BFD"/>
    <w:rsid w:val="00444A46"/>
    <w:rsid w:val="004453FD"/>
    <w:rsid w:val="00445EE4"/>
    <w:rsid w:val="00447095"/>
    <w:rsid w:val="004507CF"/>
    <w:rsid w:val="0045342C"/>
    <w:rsid w:val="00454B0F"/>
    <w:rsid w:val="00460FD4"/>
    <w:rsid w:val="00463997"/>
    <w:rsid w:val="0046604D"/>
    <w:rsid w:val="0047250D"/>
    <w:rsid w:val="0047444E"/>
    <w:rsid w:val="00474491"/>
    <w:rsid w:val="00474614"/>
    <w:rsid w:val="00474644"/>
    <w:rsid w:val="00474880"/>
    <w:rsid w:val="0047589D"/>
    <w:rsid w:val="004768C9"/>
    <w:rsid w:val="00476A0B"/>
    <w:rsid w:val="00477A49"/>
    <w:rsid w:val="00477BFF"/>
    <w:rsid w:val="00481FA4"/>
    <w:rsid w:val="004838AB"/>
    <w:rsid w:val="00485F24"/>
    <w:rsid w:val="004878C1"/>
    <w:rsid w:val="0049189C"/>
    <w:rsid w:val="00491F45"/>
    <w:rsid w:val="0049331C"/>
    <w:rsid w:val="0049505C"/>
    <w:rsid w:val="00496626"/>
    <w:rsid w:val="0049684A"/>
    <w:rsid w:val="00496EEE"/>
    <w:rsid w:val="00497B27"/>
    <w:rsid w:val="004A34D2"/>
    <w:rsid w:val="004A411B"/>
    <w:rsid w:val="004A488B"/>
    <w:rsid w:val="004B1AF2"/>
    <w:rsid w:val="004B219E"/>
    <w:rsid w:val="004B4A0E"/>
    <w:rsid w:val="004B6DE0"/>
    <w:rsid w:val="004C003F"/>
    <w:rsid w:val="004C0993"/>
    <w:rsid w:val="004C1226"/>
    <w:rsid w:val="004C1F44"/>
    <w:rsid w:val="004C1F93"/>
    <w:rsid w:val="004C5092"/>
    <w:rsid w:val="004D2B08"/>
    <w:rsid w:val="004D2C64"/>
    <w:rsid w:val="004D3473"/>
    <w:rsid w:val="004D40F7"/>
    <w:rsid w:val="004D4556"/>
    <w:rsid w:val="004D7A98"/>
    <w:rsid w:val="004E1E4A"/>
    <w:rsid w:val="004E2973"/>
    <w:rsid w:val="004E4142"/>
    <w:rsid w:val="004E5102"/>
    <w:rsid w:val="004E5B78"/>
    <w:rsid w:val="004F0B50"/>
    <w:rsid w:val="004F1050"/>
    <w:rsid w:val="004F32CC"/>
    <w:rsid w:val="004F4EB9"/>
    <w:rsid w:val="00502467"/>
    <w:rsid w:val="00502929"/>
    <w:rsid w:val="00502A2B"/>
    <w:rsid w:val="00502F06"/>
    <w:rsid w:val="005037CD"/>
    <w:rsid w:val="00503872"/>
    <w:rsid w:val="005053B0"/>
    <w:rsid w:val="0051074C"/>
    <w:rsid w:val="0051089A"/>
    <w:rsid w:val="00510BB6"/>
    <w:rsid w:val="0051288D"/>
    <w:rsid w:val="00513A69"/>
    <w:rsid w:val="00513AF2"/>
    <w:rsid w:val="0051420E"/>
    <w:rsid w:val="005148C5"/>
    <w:rsid w:val="005152C2"/>
    <w:rsid w:val="005200B5"/>
    <w:rsid w:val="0052099D"/>
    <w:rsid w:val="005216BC"/>
    <w:rsid w:val="00521B54"/>
    <w:rsid w:val="0052307C"/>
    <w:rsid w:val="00524F8D"/>
    <w:rsid w:val="0052715F"/>
    <w:rsid w:val="00527891"/>
    <w:rsid w:val="00533367"/>
    <w:rsid w:val="00535161"/>
    <w:rsid w:val="0053606E"/>
    <w:rsid w:val="00536424"/>
    <w:rsid w:val="005418FA"/>
    <w:rsid w:val="0054413A"/>
    <w:rsid w:val="005443C9"/>
    <w:rsid w:val="00545144"/>
    <w:rsid w:val="00545326"/>
    <w:rsid w:val="005457A0"/>
    <w:rsid w:val="0054784F"/>
    <w:rsid w:val="00550551"/>
    <w:rsid w:val="00550E5E"/>
    <w:rsid w:val="005564CA"/>
    <w:rsid w:val="00561510"/>
    <w:rsid w:val="005620AD"/>
    <w:rsid w:val="005626E7"/>
    <w:rsid w:val="00562799"/>
    <w:rsid w:val="0056664B"/>
    <w:rsid w:val="00571897"/>
    <w:rsid w:val="005731B5"/>
    <w:rsid w:val="0057389B"/>
    <w:rsid w:val="00574D20"/>
    <w:rsid w:val="0057593D"/>
    <w:rsid w:val="00575B77"/>
    <w:rsid w:val="00575D08"/>
    <w:rsid w:val="005770F6"/>
    <w:rsid w:val="005811F1"/>
    <w:rsid w:val="00584E86"/>
    <w:rsid w:val="00590DD9"/>
    <w:rsid w:val="0059266D"/>
    <w:rsid w:val="005938AB"/>
    <w:rsid w:val="005977A4"/>
    <w:rsid w:val="005A0585"/>
    <w:rsid w:val="005A1570"/>
    <w:rsid w:val="005A34F0"/>
    <w:rsid w:val="005A456B"/>
    <w:rsid w:val="005A4A4C"/>
    <w:rsid w:val="005A5272"/>
    <w:rsid w:val="005A5275"/>
    <w:rsid w:val="005A6DCD"/>
    <w:rsid w:val="005A79FE"/>
    <w:rsid w:val="005B2AF3"/>
    <w:rsid w:val="005B4AA6"/>
    <w:rsid w:val="005B7215"/>
    <w:rsid w:val="005B7515"/>
    <w:rsid w:val="005B7A2F"/>
    <w:rsid w:val="005C0D43"/>
    <w:rsid w:val="005C1FFD"/>
    <w:rsid w:val="005C24FC"/>
    <w:rsid w:val="005C266E"/>
    <w:rsid w:val="005C51A7"/>
    <w:rsid w:val="005C5A22"/>
    <w:rsid w:val="005C5B5C"/>
    <w:rsid w:val="005D29B5"/>
    <w:rsid w:val="005D3445"/>
    <w:rsid w:val="005D474D"/>
    <w:rsid w:val="005D552E"/>
    <w:rsid w:val="005E2F44"/>
    <w:rsid w:val="005E3788"/>
    <w:rsid w:val="005E605B"/>
    <w:rsid w:val="005E67FC"/>
    <w:rsid w:val="005E7572"/>
    <w:rsid w:val="005E7A0B"/>
    <w:rsid w:val="005F0C78"/>
    <w:rsid w:val="005F1050"/>
    <w:rsid w:val="005F3431"/>
    <w:rsid w:val="005F4AAF"/>
    <w:rsid w:val="005F4BF5"/>
    <w:rsid w:val="0060010B"/>
    <w:rsid w:val="006007CC"/>
    <w:rsid w:val="00601496"/>
    <w:rsid w:val="00601FCA"/>
    <w:rsid w:val="006030AA"/>
    <w:rsid w:val="00603BDE"/>
    <w:rsid w:val="00604673"/>
    <w:rsid w:val="0060549B"/>
    <w:rsid w:val="00610C94"/>
    <w:rsid w:val="0061135A"/>
    <w:rsid w:val="00611D3C"/>
    <w:rsid w:val="00612BDB"/>
    <w:rsid w:val="006134DB"/>
    <w:rsid w:val="00620CBF"/>
    <w:rsid w:val="00620E47"/>
    <w:rsid w:val="0062567A"/>
    <w:rsid w:val="006334A8"/>
    <w:rsid w:val="006367B1"/>
    <w:rsid w:val="0063788B"/>
    <w:rsid w:val="006404C9"/>
    <w:rsid w:val="00641EB9"/>
    <w:rsid w:val="00642D57"/>
    <w:rsid w:val="00647622"/>
    <w:rsid w:val="00651D31"/>
    <w:rsid w:val="006524BE"/>
    <w:rsid w:val="00652A5C"/>
    <w:rsid w:val="006533F8"/>
    <w:rsid w:val="00655360"/>
    <w:rsid w:val="00655371"/>
    <w:rsid w:val="006563C3"/>
    <w:rsid w:val="006622BE"/>
    <w:rsid w:val="006623E2"/>
    <w:rsid w:val="00666AF7"/>
    <w:rsid w:val="00667C72"/>
    <w:rsid w:val="00667EBB"/>
    <w:rsid w:val="00670B1B"/>
    <w:rsid w:val="00671F22"/>
    <w:rsid w:val="00672EEC"/>
    <w:rsid w:val="00673789"/>
    <w:rsid w:val="00673AB7"/>
    <w:rsid w:val="00677F77"/>
    <w:rsid w:val="0068250F"/>
    <w:rsid w:val="00683085"/>
    <w:rsid w:val="0068338B"/>
    <w:rsid w:val="0069158F"/>
    <w:rsid w:val="00691C58"/>
    <w:rsid w:val="00693CC2"/>
    <w:rsid w:val="0069678A"/>
    <w:rsid w:val="00697665"/>
    <w:rsid w:val="00697D73"/>
    <w:rsid w:val="006A12F4"/>
    <w:rsid w:val="006A1A12"/>
    <w:rsid w:val="006A27C9"/>
    <w:rsid w:val="006A2F2D"/>
    <w:rsid w:val="006A3206"/>
    <w:rsid w:val="006A3CD1"/>
    <w:rsid w:val="006A454C"/>
    <w:rsid w:val="006A58B8"/>
    <w:rsid w:val="006A64A9"/>
    <w:rsid w:val="006A7FD0"/>
    <w:rsid w:val="006B161A"/>
    <w:rsid w:val="006B2195"/>
    <w:rsid w:val="006B34D7"/>
    <w:rsid w:val="006B55C5"/>
    <w:rsid w:val="006C084F"/>
    <w:rsid w:val="006C5364"/>
    <w:rsid w:val="006C68E5"/>
    <w:rsid w:val="006D23BA"/>
    <w:rsid w:val="006D2CB8"/>
    <w:rsid w:val="006D40DC"/>
    <w:rsid w:val="006D4F07"/>
    <w:rsid w:val="006D5386"/>
    <w:rsid w:val="006D7687"/>
    <w:rsid w:val="006E0385"/>
    <w:rsid w:val="006E0572"/>
    <w:rsid w:val="006E1324"/>
    <w:rsid w:val="006E1CCF"/>
    <w:rsid w:val="006E6D63"/>
    <w:rsid w:val="006E6E42"/>
    <w:rsid w:val="006F27FF"/>
    <w:rsid w:val="006F3DAA"/>
    <w:rsid w:val="006F3EF7"/>
    <w:rsid w:val="006F4573"/>
    <w:rsid w:val="00700377"/>
    <w:rsid w:val="007020A1"/>
    <w:rsid w:val="00702115"/>
    <w:rsid w:val="00703E2C"/>
    <w:rsid w:val="007054AA"/>
    <w:rsid w:val="00705631"/>
    <w:rsid w:val="00705FE1"/>
    <w:rsid w:val="00706399"/>
    <w:rsid w:val="00707FF5"/>
    <w:rsid w:val="00711A50"/>
    <w:rsid w:val="00713DE5"/>
    <w:rsid w:val="00714254"/>
    <w:rsid w:val="00714718"/>
    <w:rsid w:val="00714774"/>
    <w:rsid w:val="00715929"/>
    <w:rsid w:val="00715AC3"/>
    <w:rsid w:val="00720966"/>
    <w:rsid w:val="007210EC"/>
    <w:rsid w:val="0072127D"/>
    <w:rsid w:val="007229B0"/>
    <w:rsid w:val="007252B4"/>
    <w:rsid w:val="00725AC2"/>
    <w:rsid w:val="00726DBE"/>
    <w:rsid w:val="00727A8F"/>
    <w:rsid w:val="00727EAE"/>
    <w:rsid w:val="00727FB6"/>
    <w:rsid w:val="007300F3"/>
    <w:rsid w:val="00731139"/>
    <w:rsid w:val="0073364E"/>
    <w:rsid w:val="00734D43"/>
    <w:rsid w:val="007363BD"/>
    <w:rsid w:val="0073763F"/>
    <w:rsid w:val="007404BC"/>
    <w:rsid w:val="00742DD2"/>
    <w:rsid w:val="00752568"/>
    <w:rsid w:val="00752A9B"/>
    <w:rsid w:val="00754621"/>
    <w:rsid w:val="00755EFB"/>
    <w:rsid w:val="0075647A"/>
    <w:rsid w:val="00757862"/>
    <w:rsid w:val="00757A66"/>
    <w:rsid w:val="007634AD"/>
    <w:rsid w:val="00764CD2"/>
    <w:rsid w:val="0076566F"/>
    <w:rsid w:val="007656E6"/>
    <w:rsid w:val="00765BE2"/>
    <w:rsid w:val="007673F0"/>
    <w:rsid w:val="00771679"/>
    <w:rsid w:val="00772C6C"/>
    <w:rsid w:val="00772FD2"/>
    <w:rsid w:val="007741D9"/>
    <w:rsid w:val="007743B6"/>
    <w:rsid w:val="007748F6"/>
    <w:rsid w:val="007750BB"/>
    <w:rsid w:val="0078122E"/>
    <w:rsid w:val="00782024"/>
    <w:rsid w:val="00783506"/>
    <w:rsid w:val="0078442B"/>
    <w:rsid w:val="00785A12"/>
    <w:rsid w:val="0078614D"/>
    <w:rsid w:val="00791C0F"/>
    <w:rsid w:val="00793845"/>
    <w:rsid w:val="0079520D"/>
    <w:rsid w:val="00796EC8"/>
    <w:rsid w:val="00797DF7"/>
    <w:rsid w:val="007A0D0E"/>
    <w:rsid w:val="007A2E32"/>
    <w:rsid w:val="007A4C5A"/>
    <w:rsid w:val="007A615D"/>
    <w:rsid w:val="007B0854"/>
    <w:rsid w:val="007B0F58"/>
    <w:rsid w:val="007B192E"/>
    <w:rsid w:val="007B24B5"/>
    <w:rsid w:val="007B3AE4"/>
    <w:rsid w:val="007C0326"/>
    <w:rsid w:val="007C38CA"/>
    <w:rsid w:val="007C4430"/>
    <w:rsid w:val="007C6410"/>
    <w:rsid w:val="007C672F"/>
    <w:rsid w:val="007C744F"/>
    <w:rsid w:val="007C7638"/>
    <w:rsid w:val="007C7F04"/>
    <w:rsid w:val="007D0305"/>
    <w:rsid w:val="007D1AD1"/>
    <w:rsid w:val="007D55E9"/>
    <w:rsid w:val="007D5E0B"/>
    <w:rsid w:val="007E01FC"/>
    <w:rsid w:val="007E39F0"/>
    <w:rsid w:val="007E750C"/>
    <w:rsid w:val="007F0D40"/>
    <w:rsid w:val="007F168F"/>
    <w:rsid w:val="007F367B"/>
    <w:rsid w:val="007F4347"/>
    <w:rsid w:val="007F72CB"/>
    <w:rsid w:val="007F7BDE"/>
    <w:rsid w:val="00802A13"/>
    <w:rsid w:val="00804C29"/>
    <w:rsid w:val="00804CE6"/>
    <w:rsid w:val="00804EB1"/>
    <w:rsid w:val="0080594C"/>
    <w:rsid w:val="008101D2"/>
    <w:rsid w:val="008111B0"/>
    <w:rsid w:val="00811ED3"/>
    <w:rsid w:val="00813504"/>
    <w:rsid w:val="008159D3"/>
    <w:rsid w:val="00816302"/>
    <w:rsid w:val="00817578"/>
    <w:rsid w:val="00817CA8"/>
    <w:rsid w:val="0082159E"/>
    <w:rsid w:val="00822D58"/>
    <w:rsid w:val="008259B9"/>
    <w:rsid w:val="00826A9D"/>
    <w:rsid w:val="008272F1"/>
    <w:rsid w:val="0083119B"/>
    <w:rsid w:val="0083133A"/>
    <w:rsid w:val="0083271F"/>
    <w:rsid w:val="008362A4"/>
    <w:rsid w:val="008366AF"/>
    <w:rsid w:val="00836EAB"/>
    <w:rsid w:val="00841280"/>
    <w:rsid w:val="0084152B"/>
    <w:rsid w:val="00841639"/>
    <w:rsid w:val="00842535"/>
    <w:rsid w:val="00842F23"/>
    <w:rsid w:val="00843BC4"/>
    <w:rsid w:val="00843E6C"/>
    <w:rsid w:val="00847D50"/>
    <w:rsid w:val="0085092D"/>
    <w:rsid w:val="008509DD"/>
    <w:rsid w:val="00850DF5"/>
    <w:rsid w:val="0085128C"/>
    <w:rsid w:val="00852018"/>
    <w:rsid w:val="008524B4"/>
    <w:rsid w:val="0085264F"/>
    <w:rsid w:val="00852E12"/>
    <w:rsid w:val="00852F5E"/>
    <w:rsid w:val="00853776"/>
    <w:rsid w:val="00854DBB"/>
    <w:rsid w:val="00855FDF"/>
    <w:rsid w:val="00857F63"/>
    <w:rsid w:val="00860B10"/>
    <w:rsid w:val="00861408"/>
    <w:rsid w:val="008617E0"/>
    <w:rsid w:val="00862B2A"/>
    <w:rsid w:val="00865967"/>
    <w:rsid w:val="008705DE"/>
    <w:rsid w:val="00873BCF"/>
    <w:rsid w:val="00877366"/>
    <w:rsid w:val="00881730"/>
    <w:rsid w:val="008817ED"/>
    <w:rsid w:val="0088243F"/>
    <w:rsid w:val="0088457C"/>
    <w:rsid w:val="00885AA7"/>
    <w:rsid w:val="00886201"/>
    <w:rsid w:val="008871CF"/>
    <w:rsid w:val="00887B15"/>
    <w:rsid w:val="00890882"/>
    <w:rsid w:val="008927A8"/>
    <w:rsid w:val="00893165"/>
    <w:rsid w:val="008A0A11"/>
    <w:rsid w:val="008A257A"/>
    <w:rsid w:val="008A265F"/>
    <w:rsid w:val="008A3228"/>
    <w:rsid w:val="008A3DB4"/>
    <w:rsid w:val="008A53F7"/>
    <w:rsid w:val="008A54C1"/>
    <w:rsid w:val="008A575E"/>
    <w:rsid w:val="008A69BA"/>
    <w:rsid w:val="008B1A31"/>
    <w:rsid w:val="008C0AF6"/>
    <w:rsid w:val="008C26E3"/>
    <w:rsid w:val="008C41C5"/>
    <w:rsid w:val="008C4724"/>
    <w:rsid w:val="008C7BC2"/>
    <w:rsid w:val="008D17B2"/>
    <w:rsid w:val="008D1B84"/>
    <w:rsid w:val="008D3411"/>
    <w:rsid w:val="008D3FBB"/>
    <w:rsid w:val="008D4225"/>
    <w:rsid w:val="008D4C63"/>
    <w:rsid w:val="008D5317"/>
    <w:rsid w:val="008D56F0"/>
    <w:rsid w:val="008D76C2"/>
    <w:rsid w:val="008D776A"/>
    <w:rsid w:val="008E1C15"/>
    <w:rsid w:val="008E3219"/>
    <w:rsid w:val="008E6F70"/>
    <w:rsid w:val="008F14CC"/>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4F02"/>
    <w:rsid w:val="00916C89"/>
    <w:rsid w:val="009176F3"/>
    <w:rsid w:val="00917700"/>
    <w:rsid w:val="00921659"/>
    <w:rsid w:val="00923DC9"/>
    <w:rsid w:val="00924541"/>
    <w:rsid w:val="0092462A"/>
    <w:rsid w:val="0092465E"/>
    <w:rsid w:val="0092478E"/>
    <w:rsid w:val="00924D2F"/>
    <w:rsid w:val="009278F1"/>
    <w:rsid w:val="00931310"/>
    <w:rsid w:val="0093193A"/>
    <w:rsid w:val="00931B7E"/>
    <w:rsid w:val="00932FBD"/>
    <w:rsid w:val="00935661"/>
    <w:rsid w:val="00936908"/>
    <w:rsid w:val="00937BFF"/>
    <w:rsid w:val="009409CA"/>
    <w:rsid w:val="00944EA4"/>
    <w:rsid w:val="009465F7"/>
    <w:rsid w:val="00946737"/>
    <w:rsid w:val="00946CFA"/>
    <w:rsid w:val="00950258"/>
    <w:rsid w:val="0095385A"/>
    <w:rsid w:val="00955CAC"/>
    <w:rsid w:val="009568DA"/>
    <w:rsid w:val="00956C80"/>
    <w:rsid w:val="00956E82"/>
    <w:rsid w:val="00962034"/>
    <w:rsid w:val="00962A37"/>
    <w:rsid w:val="00964EB4"/>
    <w:rsid w:val="00965849"/>
    <w:rsid w:val="00973F55"/>
    <w:rsid w:val="00975D1B"/>
    <w:rsid w:val="00976CC3"/>
    <w:rsid w:val="00977088"/>
    <w:rsid w:val="00981B5D"/>
    <w:rsid w:val="00982489"/>
    <w:rsid w:val="009859D0"/>
    <w:rsid w:val="009866C8"/>
    <w:rsid w:val="009874B4"/>
    <w:rsid w:val="009877AC"/>
    <w:rsid w:val="00987F32"/>
    <w:rsid w:val="00990A2F"/>
    <w:rsid w:val="009967F8"/>
    <w:rsid w:val="009A353C"/>
    <w:rsid w:val="009A77CC"/>
    <w:rsid w:val="009B0CB9"/>
    <w:rsid w:val="009B1BF2"/>
    <w:rsid w:val="009B29F8"/>
    <w:rsid w:val="009B4391"/>
    <w:rsid w:val="009C24BD"/>
    <w:rsid w:val="009C2A57"/>
    <w:rsid w:val="009C376A"/>
    <w:rsid w:val="009C6A4B"/>
    <w:rsid w:val="009C782E"/>
    <w:rsid w:val="009D0923"/>
    <w:rsid w:val="009D0FC4"/>
    <w:rsid w:val="009D3049"/>
    <w:rsid w:val="009D54EC"/>
    <w:rsid w:val="009E0D1B"/>
    <w:rsid w:val="009E2882"/>
    <w:rsid w:val="009E48B1"/>
    <w:rsid w:val="009E5CE5"/>
    <w:rsid w:val="009E7320"/>
    <w:rsid w:val="009F2377"/>
    <w:rsid w:val="009F48F0"/>
    <w:rsid w:val="009F4F93"/>
    <w:rsid w:val="009F6B3F"/>
    <w:rsid w:val="00A02449"/>
    <w:rsid w:val="00A028FC"/>
    <w:rsid w:val="00A03556"/>
    <w:rsid w:val="00A035A4"/>
    <w:rsid w:val="00A036C4"/>
    <w:rsid w:val="00A044A1"/>
    <w:rsid w:val="00A07446"/>
    <w:rsid w:val="00A07B99"/>
    <w:rsid w:val="00A10135"/>
    <w:rsid w:val="00A11267"/>
    <w:rsid w:val="00A118A0"/>
    <w:rsid w:val="00A14F3C"/>
    <w:rsid w:val="00A24560"/>
    <w:rsid w:val="00A26900"/>
    <w:rsid w:val="00A26D28"/>
    <w:rsid w:val="00A27EFE"/>
    <w:rsid w:val="00A3050C"/>
    <w:rsid w:val="00A305CD"/>
    <w:rsid w:val="00A308D1"/>
    <w:rsid w:val="00A316F7"/>
    <w:rsid w:val="00A32559"/>
    <w:rsid w:val="00A338FC"/>
    <w:rsid w:val="00A34378"/>
    <w:rsid w:val="00A34538"/>
    <w:rsid w:val="00A35156"/>
    <w:rsid w:val="00A37529"/>
    <w:rsid w:val="00A41BFA"/>
    <w:rsid w:val="00A42A3B"/>
    <w:rsid w:val="00A43FD5"/>
    <w:rsid w:val="00A44DA5"/>
    <w:rsid w:val="00A470F2"/>
    <w:rsid w:val="00A47DA6"/>
    <w:rsid w:val="00A47F59"/>
    <w:rsid w:val="00A507B2"/>
    <w:rsid w:val="00A5235A"/>
    <w:rsid w:val="00A52E43"/>
    <w:rsid w:val="00A53490"/>
    <w:rsid w:val="00A53B56"/>
    <w:rsid w:val="00A546CA"/>
    <w:rsid w:val="00A54AB9"/>
    <w:rsid w:val="00A572E1"/>
    <w:rsid w:val="00A578E2"/>
    <w:rsid w:val="00A61FEE"/>
    <w:rsid w:val="00A6404B"/>
    <w:rsid w:val="00A72A3B"/>
    <w:rsid w:val="00A7716E"/>
    <w:rsid w:val="00A814D6"/>
    <w:rsid w:val="00A8216B"/>
    <w:rsid w:val="00A8432B"/>
    <w:rsid w:val="00A84361"/>
    <w:rsid w:val="00A84904"/>
    <w:rsid w:val="00A852F0"/>
    <w:rsid w:val="00A97342"/>
    <w:rsid w:val="00AA03C4"/>
    <w:rsid w:val="00AA0F9D"/>
    <w:rsid w:val="00AA18DB"/>
    <w:rsid w:val="00AA3DEF"/>
    <w:rsid w:val="00AA442B"/>
    <w:rsid w:val="00AA6CC1"/>
    <w:rsid w:val="00AB00BD"/>
    <w:rsid w:val="00AB0D4D"/>
    <w:rsid w:val="00AB0FFD"/>
    <w:rsid w:val="00AB14CE"/>
    <w:rsid w:val="00AB196B"/>
    <w:rsid w:val="00AB1AC8"/>
    <w:rsid w:val="00AB30DF"/>
    <w:rsid w:val="00AB3E40"/>
    <w:rsid w:val="00AB47E2"/>
    <w:rsid w:val="00AB4DF6"/>
    <w:rsid w:val="00AC0EEB"/>
    <w:rsid w:val="00AC1646"/>
    <w:rsid w:val="00AC3414"/>
    <w:rsid w:val="00AC3ACC"/>
    <w:rsid w:val="00AC65A4"/>
    <w:rsid w:val="00AD0B1D"/>
    <w:rsid w:val="00AD22FC"/>
    <w:rsid w:val="00AD2F7B"/>
    <w:rsid w:val="00AD47FB"/>
    <w:rsid w:val="00AD48B1"/>
    <w:rsid w:val="00AD5E7A"/>
    <w:rsid w:val="00AD6135"/>
    <w:rsid w:val="00AD7298"/>
    <w:rsid w:val="00AD7C52"/>
    <w:rsid w:val="00AE1289"/>
    <w:rsid w:val="00AE19FC"/>
    <w:rsid w:val="00AE4119"/>
    <w:rsid w:val="00AE4E69"/>
    <w:rsid w:val="00AE5B43"/>
    <w:rsid w:val="00AE65B9"/>
    <w:rsid w:val="00AE6D68"/>
    <w:rsid w:val="00AF1383"/>
    <w:rsid w:val="00AF1ED8"/>
    <w:rsid w:val="00AF426F"/>
    <w:rsid w:val="00AF5CE1"/>
    <w:rsid w:val="00AF6FAC"/>
    <w:rsid w:val="00AF713D"/>
    <w:rsid w:val="00B02705"/>
    <w:rsid w:val="00B04843"/>
    <w:rsid w:val="00B055C7"/>
    <w:rsid w:val="00B0560B"/>
    <w:rsid w:val="00B0615F"/>
    <w:rsid w:val="00B06243"/>
    <w:rsid w:val="00B07B48"/>
    <w:rsid w:val="00B07BE4"/>
    <w:rsid w:val="00B1060D"/>
    <w:rsid w:val="00B118E9"/>
    <w:rsid w:val="00B120C2"/>
    <w:rsid w:val="00B16E58"/>
    <w:rsid w:val="00B17763"/>
    <w:rsid w:val="00B21D6C"/>
    <w:rsid w:val="00B22E22"/>
    <w:rsid w:val="00B230FE"/>
    <w:rsid w:val="00B243F7"/>
    <w:rsid w:val="00B258A0"/>
    <w:rsid w:val="00B32C0B"/>
    <w:rsid w:val="00B32DE6"/>
    <w:rsid w:val="00B33D08"/>
    <w:rsid w:val="00B36E67"/>
    <w:rsid w:val="00B371E9"/>
    <w:rsid w:val="00B439B4"/>
    <w:rsid w:val="00B43C9B"/>
    <w:rsid w:val="00B46402"/>
    <w:rsid w:val="00B50315"/>
    <w:rsid w:val="00B50DB8"/>
    <w:rsid w:val="00B512C3"/>
    <w:rsid w:val="00B5146F"/>
    <w:rsid w:val="00B5178D"/>
    <w:rsid w:val="00B525CB"/>
    <w:rsid w:val="00B531D7"/>
    <w:rsid w:val="00B53F68"/>
    <w:rsid w:val="00B5556E"/>
    <w:rsid w:val="00B55682"/>
    <w:rsid w:val="00B57F79"/>
    <w:rsid w:val="00B60926"/>
    <w:rsid w:val="00B613B9"/>
    <w:rsid w:val="00B6143C"/>
    <w:rsid w:val="00B6341F"/>
    <w:rsid w:val="00B637F3"/>
    <w:rsid w:val="00B63CB2"/>
    <w:rsid w:val="00B64278"/>
    <w:rsid w:val="00B6444C"/>
    <w:rsid w:val="00B71561"/>
    <w:rsid w:val="00B71E68"/>
    <w:rsid w:val="00B73B11"/>
    <w:rsid w:val="00B754CA"/>
    <w:rsid w:val="00B75BAA"/>
    <w:rsid w:val="00B75C7C"/>
    <w:rsid w:val="00B76DD3"/>
    <w:rsid w:val="00B80316"/>
    <w:rsid w:val="00B80794"/>
    <w:rsid w:val="00B80D60"/>
    <w:rsid w:val="00B81F14"/>
    <w:rsid w:val="00B82E58"/>
    <w:rsid w:val="00B8385C"/>
    <w:rsid w:val="00B90205"/>
    <w:rsid w:val="00B90B34"/>
    <w:rsid w:val="00B914C4"/>
    <w:rsid w:val="00B93287"/>
    <w:rsid w:val="00B94B3C"/>
    <w:rsid w:val="00BA1433"/>
    <w:rsid w:val="00BA4904"/>
    <w:rsid w:val="00BA4B5B"/>
    <w:rsid w:val="00BA549C"/>
    <w:rsid w:val="00BA54F0"/>
    <w:rsid w:val="00BA73DE"/>
    <w:rsid w:val="00BB37BD"/>
    <w:rsid w:val="00BB5C7A"/>
    <w:rsid w:val="00BC0980"/>
    <w:rsid w:val="00BC1901"/>
    <w:rsid w:val="00BC3610"/>
    <w:rsid w:val="00BC46FA"/>
    <w:rsid w:val="00BC4CFC"/>
    <w:rsid w:val="00BC638A"/>
    <w:rsid w:val="00BD0942"/>
    <w:rsid w:val="00BD16E4"/>
    <w:rsid w:val="00BD3D5B"/>
    <w:rsid w:val="00BD3F0A"/>
    <w:rsid w:val="00BD404B"/>
    <w:rsid w:val="00BD44E7"/>
    <w:rsid w:val="00BD5979"/>
    <w:rsid w:val="00BD6F8C"/>
    <w:rsid w:val="00BD78FE"/>
    <w:rsid w:val="00BE1B2E"/>
    <w:rsid w:val="00BE43C0"/>
    <w:rsid w:val="00BE4C31"/>
    <w:rsid w:val="00BE60C5"/>
    <w:rsid w:val="00BF0068"/>
    <w:rsid w:val="00BF0945"/>
    <w:rsid w:val="00BF0F80"/>
    <w:rsid w:val="00BF239F"/>
    <w:rsid w:val="00BF2E6F"/>
    <w:rsid w:val="00BF3E3E"/>
    <w:rsid w:val="00BF46EB"/>
    <w:rsid w:val="00BF52BB"/>
    <w:rsid w:val="00BF59DD"/>
    <w:rsid w:val="00BF6B5E"/>
    <w:rsid w:val="00BF6F68"/>
    <w:rsid w:val="00C02F56"/>
    <w:rsid w:val="00C0391F"/>
    <w:rsid w:val="00C03D7A"/>
    <w:rsid w:val="00C06C24"/>
    <w:rsid w:val="00C07969"/>
    <w:rsid w:val="00C07EFC"/>
    <w:rsid w:val="00C1063D"/>
    <w:rsid w:val="00C108FF"/>
    <w:rsid w:val="00C17996"/>
    <w:rsid w:val="00C204CE"/>
    <w:rsid w:val="00C215F9"/>
    <w:rsid w:val="00C21979"/>
    <w:rsid w:val="00C22C1C"/>
    <w:rsid w:val="00C2341D"/>
    <w:rsid w:val="00C236F1"/>
    <w:rsid w:val="00C248E6"/>
    <w:rsid w:val="00C25356"/>
    <w:rsid w:val="00C2785E"/>
    <w:rsid w:val="00C32E42"/>
    <w:rsid w:val="00C35CCA"/>
    <w:rsid w:val="00C3789F"/>
    <w:rsid w:val="00C37E77"/>
    <w:rsid w:val="00C40C20"/>
    <w:rsid w:val="00C41A44"/>
    <w:rsid w:val="00C421D2"/>
    <w:rsid w:val="00C4266A"/>
    <w:rsid w:val="00C42BAC"/>
    <w:rsid w:val="00C439A1"/>
    <w:rsid w:val="00C43FAA"/>
    <w:rsid w:val="00C44120"/>
    <w:rsid w:val="00C44219"/>
    <w:rsid w:val="00C44D43"/>
    <w:rsid w:val="00C4553B"/>
    <w:rsid w:val="00C474F7"/>
    <w:rsid w:val="00C50FFB"/>
    <w:rsid w:val="00C51383"/>
    <w:rsid w:val="00C51D0E"/>
    <w:rsid w:val="00C52AA0"/>
    <w:rsid w:val="00C54884"/>
    <w:rsid w:val="00C606C0"/>
    <w:rsid w:val="00C61197"/>
    <w:rsid w:val="00C63537"/>
    <w:rsid w:val="00C63B97"/>
    <w:rsid w:val="00C67675"/>
    <w:rsid w:val="00C713D7"/>
    <w:rsid w:val="00C74D7F"/>
    <w:rsid w:val="00C75515"/>
    <w:rsid w:val="00C8023B"/>
    <w:rsid w:val="00C81AC2"/>
    <w:rsid w:val="00C82754"/>
    <w:rsid w:val="00C83D45"/>
    <w:rsid w:val="00C845E6"/>
    <w:rsid w:val="00C8556C"/>
    <w:rsid w:val="00C878E8"/>
    <w:rsid w:val="00C87FB1"/>
    <w:rsid w:val="00C92306"/>
    <w:rsid w:val="00C93C7B"/>
    <w:rsid w:val="00C9425D"/>
    <w:rsid w:val="00C94AEB"/>
    <w:rsid w:val="00C97546"/>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2C34"/>
    <w:rsid w:val="00CC5BE0"/>
    <w:rsid w:val="00CC5E3E"/>
    <w:rsid w:val="00CC670C"/>
    <w:rsid w:val="00CC786F"/>
    <w:rsid w:val="00CD080F"/>
    <w:rsid w:val="00CD1A2C"/>
    <w:rsid w:val="00CD2F3A"/>
    <w:rsid w:val="00CD4012"/>
    <w:rsid w:val="00CD4CEE"/>
    <w:rsid w:val="00CD5F34"/>
    <w:rsid w:val="00CE041B"/>
    <w:rsid w:val="00CE163D"/>
    <w:rsid w:val="00CE33FA"/>
    <w:rsid w:val="00CE3652"/>
    <w:rsid w:val="00CE3953"/>
    <w:rsid w:val="00CF298B"/>
    <w:rsid w:val="00CF2CA1"/>
    <w:rsid w:val="00CF2EF6"/>
    <w:rsid w:val="00CF4690"/>
    <w:rsid w:val="00CF6B14"/>
    <w:rsid w:val="00CF7584"/>
    <w:rsid w:val="00CF7DE3"/>
    <w:rsid w:val="00D004A0"/>
    <w:rsid w:val="00D03273"/>
    <w:rsid w:val="00D04268"/>
    <w:rsid w:val="00D04F45"/>
    <w:rsid w:val="00D054BD"/>
    <w:rsid w:val="00D063D2"/>
    <w:rsid w:val="00D06D43"/>
    <w:rsid w:val="00D1185B"/>
    <w:rsid w:val="00D11E53"/>
    <w:rsid w:val="00D13CF4"/>
    <w:rsid w:val="00D15D40"/>
    <w:rsid w:val="00D16345"/>
    <w:rsid w:val="00D16E36"/>
    <w:rsid w:val="00D16E39"/>
    <w:rsid w:val="00D20C61"/>
    <w:rsid w:val="00D24CC2"/>
    <w:rsid w:val="00D250D0"/>
    <w:rsid w:val="00D31F4A"/>
    <w:rsid w:val="00D32C9D"/>
    <w:rsid w:val="00D35D5C"/>
    <w:rsid w:val="00D361D0"/>
    <w:rsid w:val="00D376C1"/>
    <w:rsid w:val="00D40DDB"/>
    <w:rsid w:val="00D4245F"/>
    <w:rsid w:val="00D44846"/>
    <w:rsid w:val="00D45AF8"/>
    <w:rsid w:val="00D4690E"/>
    <w:rsid w:val="00D50796"/>
    <w:rsid w:val="00D5088B"/>
    <w:rsid w:val="00D53EA2"/>
    <w:rsid w:val="00D55E8F"/>
    <w:rsid w:val="00D56AB8"/>
    <w:rsid w:val="00D57255"/>
    <w:rsid w:val="00D577D1"/>
    <w:rsid w:val="00D63787"/>
    <w:rsid w:val="00D644AA"/>
    <w:rsid w:val="00D64797"/>
    <w:rsid w:val="00D65554"/>
    <w:rsid w:val="00D70679"/>
    <w:rsid w:val="00D710DF"/>
    <w:rsid w:val="00D729F6"/>
    <w:rsid w:val="00D72E9D"/>
    <w:rsid w:val="00D73D62"/>
    <w:rsid w:val="00D74389"/>
    <w:rsid w:val="00D74E75"/>
    <w:rsid w:val="00D76689"/>
    <w:rsid w:val="00D80EB6"/>
    <w:rsid w:val="00D8209A"/>
    <w:rsid w:val="00D82CE5"/>
    <w:rsid w:val="00D848A7"/>
    <w:rsid w:val="00D84D9D"/>
    <w:rsid w:val="00D856F4"/>
    <w:rsid w:val="00D864FC"/>
    <w:rsid w:val="00D87C9A"/>
    <w:rsid w:val="00D9054B"/>
    <w:rsid w:val="00D9294F"/>
    <w:rsid w:val="00D945B8"/>
    <w:rsid w:val="00DA01E8"/>
    <w:rsid w:val="00DA0FD1"/>
    <w:rsid w:val="00DA1E8F"/>
    <w:rsid w:val="00DA2FF5"/>
    <w:rsid w:val="00DA3452"/>
    <w:rsid w:val="00DA4710"/>
    <w:rsid w:val="00DA5AB1"/>
    <w:rsid w:val="00DA6EE1"/>
    <w:rsid w:val="00DA72B4"/>
    <w:rsid w:val="00DB04FC"/>
    <w:rsid w:val="00DB12BD"/>
    <w:rsid w:val="00DB2EB1"/>
    <w:rsid w:val="00DB3448"/>
    <w:rsid w:val="00DB44D8"/>
    <w:rsid w:val="00DB49AA"/>
    <w:rsid w:val="00DB5ED4"/>
    <w:rsid w:val="00DB768D"/>
    <w:rsid w:val="00DC32BD"/>
    <w:rsid w:val="00DC3D67"/>
    <w:rsid w:val="00DC578F"/>
    <w:rsid w:val="00DC62E5"/>
    <w:rsid w:val="00DC6ACC"/>
    <w:rsid w:val="00DD160B"/>
    <w:rsid w:val="00DD1C18"/>
    <w:rsid w:val="00DD31A9"/>
    <w:rsid w:val="00DD3432"/>
    <w:rsid w:val="00DD3F40"/>
    <w:rsid w:val="00DD735D"/>
    <w:rsid w:val="00DD7D8D"/>
    <w:rsid w:val="00DE035A"/>
    <w:rsid w:val="00DE0618"/>
    <w:rsid w:val="00DE1FEF"/>
    <w:rsid w:val="00DE3119"/>
    <w:rsid w:val="00DE3A59"/>
    <w:rsid w:val="00DE6B11"/>
    <w:rsid w:val="00DE6E79"/>
    <w:rsid w:val="00DE70DC"/>
    <w:rsid w:val="00DE7D58"/>
    <w:rsid w:val="00DF0A9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63A8"/>
    <w:rsid w:val="00E17C49"/>
    <w:rsid w:val="00E17EE1"/>
    <w:rsid w:val="00E21494"/>
    <w:rsid w:val="00E23732"/>
    <w:rsid w:val="00E240E7"/>
    <w:rsid w:val="00E24319"/>
    <w:rsid w:val="00E2553E"/>
    <w:rsid w:val="00E3090F"/>
    <w:rsid w:val="00E33B62"/>
    <w:rsid w:val="00E34612"/>
    <w:rsid w:val="00E36BAD"/>
    <w:rsid w:val="00E36E37"/>
    <w:rsid w:val="00E42CEA"/>
    <w:rsid w:val="00E43A34"/>
    <w:rsid w:val="00E449E0"/>
    <w:rsid w:val="00E45104"/>
    <w:rsid w:val="00E453B7"/>
    <w:rsid w:val="00E45E0B"/>
    <w:rsid w:val="00E52D01"/>
    <w:rsid w:val="00E5557F"/>
    <w:rsid w:val="00E5588F"/>
    <w:rsid w:val="00E60196"/>
    <w:rsid w:val="00E60756"/>
    <w:rsid w:val="00E61E09"/>
    <w:rsid w:val="00E62192"/>
    <w:rsid w:val="00E64B60"/>
    <w:rsid w:val="00E657D4"/>
    <w:rsid w:val="00E66E98"/>
    <w:rsid w:val="00E67E83"/>
    <w:rsid w:val="00E737A7"/>
    <w:rsid w:val="00E768B7"/>
    <w:rsid w:val="00E80C3F"/>
    <w:rsid w:val="00E832F8"/>
    <w:rsid w:val="00E83789"/>
    <w:rsid w:val="00E87315"/>
    <w:rsid w:val="00E91477"/>
    <w:rsid w:val="00E915AC"/>
    <w:rsid w:val="00E9178F"/>
    <w:rsid w:val="00E91DA5"/>
    <w:rsid w:val="00E921B1"/>
    <w:rsid w:val="00E9754A"/>
    <w:rsid w:val="00E9760B"/>
    <w:rsid w:val="00E97CC7"/>
    <w:rsid w:val="00EA04EF"/>
    <w:rsid w:val="00EA1131"/>
    <w:rsid w:val="00EA3483"/>
    <w:rsid w:val="00EA4DB3"/>
    <w:rsid w:val="00EA704D"/>
    <w:rsid w:val="00EA79EB"/>
    <w:rsid w:val="00EB0D81"/>
    <w:rsid w:val="00EB0DF1"/>
    <w:rsid w:val="00EC0082"/>
    <w:rsid w:val="00EC44C2"/>
    <w:rsid w:val="00EC5F41"/>
    <w:rsid w:val="00EC60CB"/>
    <w:rsid w:val="00EC7B4C"/>
    <w:rsid w:val="00ED0667"/>
    <w:rsid w:val="00ED0F19"/>
    <w:rsid w:val="00ED2ED4"/>
    <w:rsid w:val="00ED2EFF"/>
    <w:rsid w:val="00ED3BF4"/>
    <w:rsid w:val="00ED4234"/>
    <w:rsid w:val="00ED55E1"/>
    <w:rsid w:val="00ED7F90"/>
    <w:rsid w:val="00EE094E"/>
    <w:rsid w:val="00EE1CCD"/>
    <w:rsid w:val="00EE4DB7"/>
    <w:rsid w:val="00EE5189"/>
    <w:rsid w:val="00EE776B"/>
    <w:rsid w:val="00EF1522"/>
    <w:rsid w:val="00EF15DA"/>
    <w:rsid w:val="00EF16DD"/>
    <w:rsid w:val="00EF5251"/>
    <w:rsid w:val="00EF66D5"/>
    <w:rsid w:val="00EF66D6"/>
    <w:rsid w:val="00F04CC2"/>
    <w:rsid w:val="00F05063"/>
    <w:rsid w:val="00F058FE"/>
    <w:rsid w:val="00F06B15"/>
    <w:rsid w:val="00F0755F"/>
    <w:rsid w:val="00F109B1"/>
    <w:rsid w:val="00F1157D"/>
    <w:rsid w:val="00F11EDA"/>
    <w:rsid w:val="00F1301C"/>
    <w:rsid w:val="00F13DF7"/>
    <w:rsid w:val="00F155B7"/>
    <w:rsid w:val="00F237C9"/>
    <w:rsid w:val="00F24361"/>
    <w:rsid w:val="00F277D0"/>
    <w:rsid w:val="00F36E11"/>
    <w:rsid w:val="00F379A3"/>
    <w:rsid w:val="00F42730"/>
    <w:rsid w:val="00F43415"/>
    <w:rsid w:val="00F449FE"/>
    <w:rsid w:val="00F44CA3"/>
    <w:rsid w:val="00F46903"/>
    <w:rsid w:val="00F472E1"/>
    <w:rsid w:val="00F47B8F"/>
    <w:rsid w:val="00F50F9E"/>
    <w:rsid w:val="00F52A68"/>
    <w:rsid w:val="00F55AA3"/>
    <w:rsid w:val="00F562BD"/>
    <w:rsid w:val="00F57B5D"/>
    <w:rsid w:val="00F608B9"/>
    <w:rsid w:val="00F60DB7"/>
    <w:rsid w:val="00F60E91"/>
    <w:rsid w:val="00F62C3C"/>
    <w:rsid w:val="00F71570"/>
    <w:rsid w:val="00F72BAE"/>
    <w:rsid w:val="00F7558E"/>
    <w:rsid w:val="00F76205"/>
    <w:rsid w:val="00F803F1"/>
    <w:rsid w:val="00F8177B"/>
    <w:rsid w:val="00F81B47"/>
    <w:rsid w:val="00F83B75"/>
    <w:rsid w:val="00F84899"/>
    <w:rsid w:val="00F859F0"/>
    <w:rsid w:val="00F8789E"/>
    <w:rsid w:val="00F92E29"/>
    <w:rsid w:val="00FA06A3"/>
    <w:rsid w:val="00FA0FB5"/>
    <w:rsid w:val="00FA310C"/>
    <w:rsid w:val="00FA3B5A"/>
    <w:rsid w:val="00FA40C0"/>
    <w:rsid w:val="00FA4A30"/>
    <w:rsid w:val="00FA540E"/>
    <w:rsid w:val="00FA6587"/>
    <w:rsid w:val="00FB0D40"/>
    <w:rsid w:val="00FB301D"/>
    <w:rsid w:val="00FB42FF"/>
    <w:rsid w:val="00FB47F3"/>
    <w:rsid w:val="00FB516F"/>
    <w:rsid w:val="00FC711A"/>
    <w:rsid w:val="00FD2533"/>
    <w:rsid w:val="00FD3213"/>
    <w:rsid w:val="00FD3A2E"/>
    <w:rsid w:val="00FD4AFF"/>
    <w:rsid w:val="00FD674C"/>
    <w:rsid w:val="00FD7994"/>
    <w:rsid w:val="00FD7A75"/>
    <w:rsid w:val="00FD7C89"/>
    <w:rsid w:val="00FE0DC4"/>
    <w:rsid w:val="00FE125A"/>
    <w:rsid w:val="00FE141E"/>
    <w:rsid w:val="00FE18E0"/>
    <w:rsid w:val="00FE24F4"/>
    <w:rsid w:val="00FE2A33"/>
    <w:rsid w:val="00FE2B5E"/>
    <w:rsid w:val="00FE58FE"/>
    <w:rsid w:val="00FE5ECC"/>
    <w:rsid w:val="00FE674D"/>
    <w:rsid w:val="00FE78CB"/>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isdanielgarcialdg@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du.gov.co/page/transparencia/informacion-de-interes/glo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A027E-2793-4A63-AEC5-1737D7D85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494B5DE-58A6-4A78-83FA-46B2EB2F75ED}">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26</Pages>
  <Words>10263</Words>
  <Characters>56452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2022-04-22T16:54:00Z</dcterms:created>
  <dcterms:modified xsi:type="dcterms:W3CDTF">2022-04-22T16:54:00Z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