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BFF2" w14:textId="77777777" w:rsidR="00A13F60" w:rsidRPr="00A13F60" w:rsidRDefault="00A13F60" w:rsidP="00A13F60">
      <w:pPr>
        <w:jc w:val="right"/>
        <w:rPr>
          <w:rFonts w:ascii="Arial" w:hAnsi="Arial" w:cs="Arial"/>
          <w:b/>
          <w:color w:val="000000" w:themeColor="text1"/>
          <w:sz w:val="16"/>
          <w:szCs w:val="16"/>
          <w:lang w:val="es-ES" w:eastAsia="es-ES"/>
        </w:rPr>
      </w:pPr>
      <w:bookmarkStart w:id="0" w:name="_Hlk29548183"/>
      <w:bookmarkStart w:id="1" w:name="_Hlk28946138"/>
      <w:r w:rsidRPr="00A13F60">
        <w:rPr>
          <w:rFonts w:ascii="Arial" w:hAnsi="Arial" w:cs="Arial"/>
          <w:b/>
          <w:color w:val="000000" w:themeColor="text1"/>
          <w:sz w:val="16"/>
          <w:szCs w:val="16"/>
          <w:lang w:val="es-ES" w:eastAsia="es-ES"/>
        </w:rPr>
        <w:t>CCE-DES-FM-17</w:t>
      </w:r>
      <w:bookmarkEnd w:id="0"/>
      <w:bookmarkEnd w:id="1"/>
    </w:p>
    <w:p w14:paraId="4FAA6D32" w14:textId="77777777" w:rsidR="00A13F60" w:rsidRPr="00A13F60" w:rsidRDefault="00A13F60" w:rsidP="00A13F60">
      <w:pPr>
        <w:jc w:val="right"/>
        <w:rPr>
          <w:rFonts w:ascii="Arial" w:hAnsi="Arial" w:cs="Arial"/>
          <w:b/>
          <w:color w:val="000000" w:themeColor="text1"/>
          <w:sz w:val="16"/>
          <w:szCs w:val="16"/>
          <w:lang w:val="es-ES" w:eastAsia="es-ES"/>
        </w:rPr>
      </w:pPr>
    </w:p>
    <w:p w14:paraId="582BFF8A" w14:textId="77777777" w:rsidR="00A13F60" w:rsidRPr="00A13F60" w:rsidRDefault="00A13F60" w:rsidP="00A13F60">
      <w:pPr>
        <w:spacing w:line="276" w:lineRule="auto"/>
        <w:jc w:val="both"/>
        <w:rPr>
          <w:rFonts w:ascii="Arial" w:eastAsia="Calibri" w:hAnsi="Arial" w:cs="Arial"/>
          <w:b/>
          <w:color w:val="1A1A1A" w:themeColor="background1" w:themeShade="1A"/>
          <w:sz w:val="22"/>
          <w:lang w:val="es-ES"/>
        </w:rPr>
      </w:pPr>
      <w:r w:rsidRPr="00A13F60">
        <w:rPr>
          <w:rFonts w:ascii="Arial" w:eastAsia="Calibri" w:hAnsi="Arial" w:cs="Arial"/>
          <w:b/>
          <w:color w:val="1A1A1A" w:themeColor="background1" w:themeShade="1A"/>
          <w:sz w:val="22"/>
          <w:lang w:val="es-ES"/>
        </w:rPr>
        <w:t xml:space="preserve">PRINCIPIO DE PUBLICIDAD – Fundamento constitucional – Desarrollo legal </w:t>
      </w:r>
    </w:p>
    <w:p w14:paraId="2AF72BF3" w14:textId="77777777" w:rsidR="00A13F60" w:rsidRPr="00A13F60" w:rsidRDefault="00A13F60" w:rsidP="00A13F60">
      <w:pPr>
        <w:spacing w:line="276" w:lineRule="auto"/>
        <w:jc w:val="both"/>
        <w:rPr>
          <w:rFonts w:ascii="Arial" w:hAnsi="Arial" w:cs="Arial"/>
          <w:color w:val="1A1A1A" w:themeColor="background1" w:themeShade="1A"/>
          <w:sz w:val="20"/>
          <w:szCs w:val="20"/>
          <w:lang w:val="es-ES"/>
        </w:rPr>
      </w:pPr>
    </w:p>
    <w:p w14:paraId="1432DED8" w14:textId="47D5611B" w:rsidR="00BF24E4" w:rsidRPr="00A13F60" w:rsidRDefault="00BF24E4" w:rsidP="00A13F60">
      <w:pPr>
        <w:pStyle w:val="Prrafodelista"/>
        <w:ind w:left="0"/>
        <w:jc w:val="both"/>
        <w:rPr>
          <w:rFonts w:ascii="Arial" w:eastAsia="Calibri" w:hAnsi="Arial" w:cs="Arial"/>
          <w:color w:val="1A1A1A" w:themeColor="background1" w:themeShade="1A"/>
          <w:sz w:val="20"/>
          <w:szCs w:val="20"/>
          <w:lang w:val="es-ES"/>
        </w:rPr>
      </w:pPr>
      <w:r w:rsidRPr="00BF24E4">
        <w:rPr>
          <w:rFonts w:ascii="Arial" w:eastAsia="Calibri" w:hAnsi="Arial" w:cs="Arial"/>
          <w:color w:val="1A1A1A" w:themeColor="background1" w:themeShade="1A"/>
          <w:sz w:val="20"/>
          <w:szCs w:val="20"/>
          <w:lang w:val="es-ES"/>
        </w:rPr>
        <w:t>El principio de publicidad se encuentra consagrado en el artículo 209 de la Constitución Política y es considerado uno de los principios constitucionales orientadores de la administración y la gestión pública. Impone a las autoridades el deber de dar a conocer sus actos, contratos y decisiones, de manera que puedan ser conocidos incluso por quienes no participan en su desarrollo y, eventualmente, ser objeto de control, con el fin de garantizar el debido proceso y los principios de la función pública.</w:t>
      </w:r>
      <w:r w:rsidRPr="00BF24E4" w:rsidDel="00BF24E4">
        <w:rPr>
          <w:rFonts w:ascii="Arial" w:eastAsia="Calibri" w:hAnsi="Arial" w:cs="Arial"/>
          <w:color w:val="1A1A1A" w:themeColor="background1" w:themeShade="1A"/>
          <w:sz w:val="20"/>
          <w:szCs w:val="20"/>
          <w:lang w:val="es-ES"/>
        </w:rPr>
        <w:t xml:space="preserve"> </w:t>
      </w:r>
    </w:p>
    <w:p w14:paraId="12F97FF6" w14:textId="77777777" w:rsidR="00A13F60" w:rsidRPr="00A13F60" w:rsidRDefault="00A13F60" w:rsidP="00A13F60">
      <w:pPr>
        <w:pStyle w:val="Prrafodelista"/>
        <w:ind w:left="0"/>
        <w:jc w:val="both"/>
        <w:rPr>
          <w:rFonts w:ascii="Arial" w:eastAsia="Calibri" w:hAnsi="Arial" w:cs="Arial"/>
          <w:color w:val="1A1A1A" w:themeColor="background1" w:themeShade="1A"/>
          <w:sz w:val="20"/>
          <w:szCs w:val="20"/>
          <w:lang w:val="es-ES"/>
        </w:rPr>
      </w:pPr>
      <w:r w:rsidRPr="00A13F60">
        <w:rPr>
          <w:rFonts w:ascii="Arial" w:eastAsia="Calibri" w:hAnsi="Arial" w:cs="Arial"/>
          <w:color w:val="1A1A1A" w:themeColor="background1" w:themeShade="1A"/>
          <w:sz w:val="20"/>
          <w:szCs w:val="20"/>
          <w:lang w:val="es-ES"/>
        </w:rPr>
        <w:t>[…]</w:t>
      </w:r>
    </w:p>
    <w:p w14:paraId="303382C8" w14:textId="23B1414B" w:rsidR="00A13F60" w:rsidRDefault="00810E1F" w:rsidP="00A13F60">
      <w:pPr>
        <w:tabs>
          <w:tab w:val="left" w:pos="0"/>
        </w:tabs>
        <w:jc w:val="both"/>
        <w:rPr>
          <w:rFonts w:ascii="Arial" w:eastAsia="Calibri" w:hAnsi="Arial" w:cs="Arial"/>
          <w:color w:val="1A1A1A" w:themeColor="background1" w:themeShade="1A"/>
          <w:sz w:val="20"/>
          <w:szCs w:val="20"/>
          <w:lang w:val="es-ES"/>
        </w:rPr>
      </w:pPr>
      <w:r w:rsidRPr="00810E1F">
        <w:rPr>
          <w:rFonts w:ascii="Arial" w:eastAsia="Calibri" w:hAnsi="Arial" w:cs="Arial"/>
          <w:color w:val="1A1A1A" w:themeColor="background1" w:themeShade="1A"/>
          <w:sz w:val="20"/>
          <w:szCs w:val="20"/>
          <w:lang w:val="es-ES"/>
        </w:rPr>
        <w:t>El literal c) del artículo 3 de la Ley 1150 de 2007 establece que el Sistema Electrónico para la Contratación Pública «[…] contará con la información oficial de la contratación realizada con dineros públicos, para lo cual establecerá los patrones a que haya lugar y se encargará de su difusión a través de canales electrónicos». Este deber es reglamentado por el artículo 2.2.1.1.1.7.1 del Decreto 1082 de 2015 que establece el deber de las entidades estatales de publicar en el Sistema Electrónico de Contratación –SECOP– «[…] los Documentos del Proceso y los actos administrativos del Proceso de Contratación, dentro de los tres (3) días siguientes a su expedición».</w:t>
      </w:r>
    </w:p>
    <w:p w14:paraId="2C6B192B" w14:textId="77777777" w:rsidR="00810E1F" w:rsidRPr="00A13F60" w:rsidRDefault="00810E1F" w:rsidP="00A13F60">
      <w:pPr>
        <w:tabs>
          <w:tab w:val="left" w:pos="0"/>
        </w:tabs>
        <w:jc w:val="both"/>
        <w:rPr>
          <w:rFonts w:ascii="Arial" w:eastAsia="Calibri" w:hAnsi="Arial" w:cs="Arial"/>
          <w:bCs/>
          <w:color w:val="000000" w:themeColor="text1"/>
          <w:sz w:val="20"/>
          <w:szCs w:val="20"/>
          <w:lang w:val="es-ES"/>
        </w:rPr>
      </w:pPr>
    </w:p>
    <w:p w14:paraId="432CFF4F" w14:textId="77777777" w:rsidR="00A13F60" w:rsidRPr="00A13F60" w:rsidRDefault="00A13F60" w:rsidP="00A13F60">
      <w:pPr>
        <w:pStyle w:val="Prrafodelista"/>
        <w:tabs>
          <w:tab w:val="left" w:pos="0"/>
        </w:tabs>
        <w:ind w:left="0"/>
        <w:jc w:val="both"/>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SECOP – Publicidad – Documentos – Término</w:t>
      </w:r>
    </w:p>
    <w:p w14:paraId="304B4C92" w14:textId="77777777" w:rsidR="00A13F60" w:rsidRPr="00A13F60" w:rsidRDefault="00A13F60" w:rsidP="00A13F60">
      <w:pPr>
        <w:tabs>
          <w:tab w:val="left" w:pos="0"/>
        </w:tabs>
        <w:jc w:val="both"/>
        <w:rPr>
          <w:rFonts w:ascii="Arial" w:eastAsia="Calibri" w:hAnsi="Arial" w:cs="Arial"/>
          <w:bCs/>
          <w:color w:val="000000" w:themeColor="text1"/>
          <w:sz w:val="20"/>
          <w:szCs w:val="20"/>
          <w:lang w:val="es-ES"/>
        </w:rPr>
      </w:pPr>
    </w:p>
    <w:p w14:paraId="1F2BD1B3" w14:textId="2DF015F9" w:rsidR="00810E1F" w:rsidRDefault="00A13F60" w:rsidP="00A13F60">
      <w:pPr>
        <w:tabs>
          <w:tab w:val="left" w:pos="0"/>
        </w:tabs>
        <w:jc w:val="both"/>
        <w:rPr>
          <w:rFonts w:ascii="Arial" w:eastAsia="Calibri" w:hAnsi="Arial" w:cs="Arial"/>
          <w:bCs/>
          <w:color w:val="000000" w:themeColor="text1"/>
          <w:sz w:val="20"/>
          <w:szCs w:val="20"/>
          <w:lang w:val="es-ES"/>
        </w:rPr>
      </w:pPr>
      <w:r w:rsidRPr="00A13F60">
        <w:rPr>
          <w:rFonts w:ascii="Arial" w:eastAsia="Calibri" w:hAnsi="Arial" w:cs="Arial"/>
          <w:bCs/>
          <w:color w:val="000000" w:themeColor="text1"/>
          <w:sz w:val="20"/>
          <w:szCs w:val="20"/>
          <w:lang w:val="es-ES"/>
        </w:rPr>
        <w:t xml:space="preserve">[…] </w:t>
      </w:r>
      <w:r w:rsidR="00810E1F" w:rsidRPr="00810E1F">
        <w:rPr>
          <w:rFonts w:ascii="Arial" w:eastAsia="Calibri" w:hAnsi="Arial" w:cs="Arial"/>
          <w:bCs/>
          <w:color w:val="000000" w:themeColor="text1"/>
          <w:sz w:val="20"/>
          <w:szCs w:val="20"/>
          <w:lang w:val="es-ES"/>
        </w:rPr>
        <w:t xml:space="preserve">el Decreto 1081 de 2015 señala, por un lado, en su artículo 2.1.1.2.1.7, reitera el deber de los sujetos obligados en el marco de la normativa de la transparencia que contraten con recursos públicos, de publicar la información concerniente a la gestión contractual en el SECOP. Por otro lado, el artículo 2.1.1.2.1.8, de forma enunciativa señala que se debe publicar la información relativa a la ejecución del contrato, como las aprobaciones, autorizaciones, requerimientos o informes del supervisor o interventor, que aprueben la ejecución del contrato. Por su parte, el artículo 2.1.1.2.1.9 señala que las entidades deberán publicar los procedimientos, lineamientos y políticas en materia de adquisición, que no son otros que los previstos en el manual de contratación, que se expidió de acuerdo con los lineamientos de la Agencia Nacional de Contratación Pública, el cual debe publicarse en el sitio web del sujeto obligado. Finalmente, el artículo 2.1.1.2.1.10. establece la obligación que tienen las entidades de publicar en el SECOP el Plan Anual de Adquisiciones. </w:t>
      </w:r>
    </w:p>
    <w:p w14:paraId="54078E65" w14:textId="40BFF521" w:rsidR="00A13F60" w:rsidRPr="00A13F60" w:rsidRDefault="00A13F60" w:rsidP="00A13F60">
      <w:pPr>
        <w:tabs>
          <w:tab w:val="left" w:pos="0"/>
        </w:tabs>
        <w:jc w:val="both"/>
        <w:rPr>
          <w:rFonts w:ascii="Arial" w:eastAsia="Calibri" w:hAnsi="Arial" w:cs="Arial"/>
          <w:bCs/>
          <w:color w:val="000000" w:themeColor="text1"/>
          <w:sz w:val="20"/>
          <w:szCs w:val="20"/>
          <w:lang w:val="es-ES"/>
        </w:rPr>
      </w:pPr>
      <w:r w:rsidRPr="00A13F60">
        <w:rPr>
          <w:rFonts w:ascii="Arial" w:eastAsia="Calibri" w:hAnsi="Arial" w:cs="Arial"/>
          <w:bCs/>
          <w:color w:val="000000" w:themeColor="text1"/>
          <w:sz w:val="20"/>
          <w:szCs w:val="20"/>
          <w:lang w:val="es-ES"/>
        </w:rPr>
        <w:t>[…]</w:t>
      </w:r>
    </w:p>
    <w:p w14:paraId="1A41CB0C" w14:textId="0AB81BA0" w:rsidR="00A13F60" w:rsidRDefault="00FD404D" w:rsidP="00A13F60">
      <w:pPr>
        <w:tabs>
          <w:tab w:val="left" w:pos="0"/>
        </w:tabs>
        <w:jc w:val="both"/>
        <w:rPr>
          <w:rFonts w:ascii="Arial" w:eastAsia="Calibri" w:hAnsi="Arial" w:cs="Arial"/>
          <w:bCs/>
          <w:color w:val="000000" w:themeColor="text1"/>
          <w:sz w:val="20"/>
          <w:szCs w:val="20"/>
          <w:lang w:val="es-ES"/>
        </w:rPr>
      </w:pPr>
      <w:r w:rsidRPr="00FD404D">
        <w:rPr>
          <w:rFonts w:ascii="Arial" w:eastAsia="Calibri" w:hAnsi="Arial" w:cs="Arial"/>
          <w:bCs/>
          <w:color w:val="000000" w:themeColor="text1"/>
          <w:sz w:val="20"/>
          <w:szCs w:val="20"/>
          <w:lang w:val="es-ES"/>
        </w:rPr>
        <w:t>El artículo 2.2.1.1.1.7.1 del Decreto 1082 de 2015 establece que las entidades estatales, en desarrollo de su actividad contractual, se encuentran obligadas a publicar en el SECOP los Documentos del Proceso y los actos administrativos del Proceso de Contratación, dentro de los tres (3) días siguientes a su expedición.</w:t>
      </w:r>
    </w:p>
    <w:p w14:paraId="54087DE0" w14:textId="77777777" w:rsidR="00FD404D" w:rsidRPr="00A13F60" w:rsidRDefault="00FD404D" w:rsidP="00A13F60">
      <w:pPr>
        <w:tabs>
          <w:tab w:val="left" w:pos="0"/>
        </w:tabs>
        <w:jc w:val="both"/>
        <w:rPr>
          <w:rFonts w:ascii="Arial" w:eastAsia="Calibri" w:hAnsi="Arial" w:cs="Arial"/>
          <w:bCs/>
          <w:color w:val="000000" w:themeColor="text1"/>
          <w:sz w:val="20"/>
          <w:szCs w:val="20"/>
          <w:lang w:val="es-ES"/>
        </w:rPr>
      </w:pPr>
    </w:p>
    <w:p w14:paraId="69175576" w14:textId="77777777" w:rsidR="00A13F60" w:rsidRPr="00A13F60" w:rsidRDefault="00A13F60" w:rsidP="00A13F60">
      <w:pPr>
        <w:tabs>
          <w:tab w:val="left" w:pos="0"/>
        </w:tabs>
        <w:jc w:val="both"/>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DÍAS HÁBILES – Concepto – Plazo</w:t>
      </w:r>
    </w:p>
    <w:p w14:paraId="3F36825C" w14:textId="77777777" w:rsidR="00A13F60" w:rsidRPr="00A13F60" w:rsidRDefault="00A13F60" w:rsidP="00A13F60">
      <w:pPr>
        <w:tabs>
          <w:tab w:val="left" w:pos="0"/>
        </w:tabs>
        <w:jc w:val="both"/>
        <w:rPr>
          <w:rFonts w:ascii="Arial" w:eastAsia="Calibri" w:hAnsi="Arial" w:cs="Arial"/>
          <w:bCs/>
          <w:color w:val="000000" w:themeColor="text1"/>
          <w:sz w:val="20"/>
          <w:szCs w:val="20"/>
          <w:lang w:val="es-ES"/>
        </w:rPr>
      </w:pPr>
    </w:p>
    <w:p w14:paraId="2933CBE1" w14:textId="4B2D88EE" w:rsidR="00A13F60" w:rsidRPr="00A13F60" w:rsidRDefault="00FD404D" w:rsidP="00A13F60">
      <w:pPr>
        <w:tabs>
          <w:tab w:val="left" w:pos="0"/>
        </w:tabs>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FD404D">
        <w:rPr>
          <w:rFonts w:ascii="Arial" w:eastAsia="Calibri" w:hAnsi="Arial" w:cs="Arial"/>
          <w:bCs/>
          <w:color w:val="000000" w:themeColor="text1"/>
          <w:sz w:val="20"/>
          <w:szCs w:val="20"/>
          <w:lang w:val="es-ES"/>
        </w:rPr>
        <w:t>existen normas supletivas que tienen como función servir de pautas para el cómputo de términos previstos en la ley, cuando no ha sido regulado de forma específica por las disposiciones que consagran dichos plazos. Los artículos 59 y 62 de la Ley 4 de 1913</w:t>
      </w:r>
      <w:r>
        <w:rPr>
          <w:rFonts w:ascii="Arial" w:eastAsia="Calibri" w:hAnsi="Arial" w:cs="Arial"/>
          <w:bCs/>
          <w:color w:val="000000" w:themeColor="text1"/>
          <w:sz w:val="20"/>
          <w:szCs w:val="20"/>
          <w:lang w:val="es-ES"/>
        </w:rPr>
        <w:t xml:space="preserve"> </w:t>
      </w:r>
      <w:r w:rsidR="00A13F60" w:rsidRPr="00A13F60">
        <w:rPr>
          <w:rFonts w:ascii="Arial" w:eastAsia="Calibri" w:hAnsi="Arial" w:cs="Arial"/>
          <w:bCs/>
          <w:color w:val="000000" w:themeColor="text1"/>
          <w:sz w:val="20"/>
          <w:szCs w:val="20"/>
          <w:lang w:val="es-ES"/>
        </w:rPr>
        <w:t>[…].</w:t>
      </w:r>
    </w:p>
    <w:p w14:paraId="43214304" w14:textId="77777777" w:rsidR="00A13F60" w:rsidRPr="00A13F60" w:rsidRDefault="00A13F60" w:rsidP="00A13F60">
      <w:pPr>
        <w:tabs>
          <w:tab w:val="left" w:pos="0"/>
        </w:tabs>
        <w:jc w:val="both"/>
        <w:rPr>
          <w:rFonts w:ascii="Arial" w:eastAsia="Calibri" w:hAnsi="Arial" w:cs="Arial"/>
          <w:bCs/>
          <w:color w:val="000000" w:themeColor="text1"/>
          <w:sz w:val="20"/>
          <w:szCs w:val="20"/>
          <w:lang w:val="es-ES"/>
        </w:rPr>
      </w:pPr>
      <w:r w:rsidRPr="00A13F60">
        <w:rPr>
          <w:rFonts w:ascii="Arial" w:eastAsia="Calibri" w:hAnsi="Arial" w:cs="Arial"/>
          <w:bCs/>
          <w:color w:val="000000" w:themeColor="text1"/>
          <w:sz w:val="20"/>
          <w:szCs w:val="20"/>
          <w:lang w:val="es-ES"/>
        </w:rPr>
        <w:t>[…]</w:t>
      </w:r>
    </w:p>
    <w:p w14:paraId="2E1D36DE" w14:textId="584CDFD6" w:rsidR="00A13F60" w:rsidRDefault="00FD404D" w:rsidP="00A13F60">
      <w:pPr>
        <w:tabs>
          <w:tab w:val="left" w:pos="0"/>
        </w:tabs>
        <w:jc w:val="both"/>
        <w:rPr>
          <w:rFonts w:ascii="Arial" w:eastAsia="Calibri" w:hAnsi="Arial" w:cs="Arial"/>
          <w:bCs/>
          <w:color w:val="000000" w:themeColor="text1"/>
          <w:sz w:val="20"/>
          <w:szCs w:val="20"/>
          <w:lang w:val="es-ES"/>
        </w:rPr>
      </w:pPr>
      <w:r w:rsidRPr="00FD404D">
        <w:rPr>
          <w:rFonts w:ascii="Arial" w:eastAsia="Calibri" w:hAnsi="Arial" w:cs="Arial"/>
          <w:bCs/>
          <w:color w:val="000000" w:themeColor="text1"/>
          <w:sz w:val="20"/>
          <w:szCs w:val="20"/>
          <w:lang w:val="es-ES"/>
        </w:rPr>
        <w:t>Como se advierte, el artículo 59 establece que los plazos de días que se establezcan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Como se advierte, plazos de días como el establecido en el artículo 2.2.1.1.1.7.1 del Decreto 1082 de 2015, no involucran días vacantes o feriados.</w:t>
      </w:r>
    </w:p>
    <w:p w14:paraId="1833FD6C" w14:textId="77777777" w:rsidR="00FD404D" w:rsidRPr="00A13F60" w:rsidRDefault="00FD404D" w:rsidP="00A13F60">
      <w:pPr>
        <w:tabs>
          <w:tab w:val="left" w:pos="0"/>
        </w:tabs>
        <w:jc w:val="both"/>
        <w:rPr>
          <w:rFonts w:ascii="Arial" w:eastAsia="Calibri" w:hAnsi="Arial" w:cs="Arial"/>
          <w:bCs/>
          <w:color w:val="000000" w:themeColor="text1"/>
          <w:sz w:val="20"/>
          <w:szCs w:val="20"/>
          <w:lang w:val="es-ES"/>
        </w:rPr>
      </w:pPr>
    </w:p>
    <w:p w14:paraId="31CEB9CB" w14:textId="77777777" w:rsidR="00A13F60" w:rsidRPr="00A13F60" w:rsidRDefault="00A13F60" w:rsidP="00A13F60">
      <w:pPr>
        <w:tabs>
          <w:tab w:val="left" w:pos="0"/>
        </w:tabs>
        <w:jc w:val="both"/>
        <w:rPr>
          <w:rFonts w:ascii="Arial" w:eastAsia="Calibri" w:hAnsi="Arial" w:cs="Arial"/>
          <w:b/>
          <w:color w:val="000000" w:themeColor="text1"/>
          <w:sz w:val="20"/>
          <w:szCs w:val="20"/>
          <w:lang w:val="es-ES"/>
        </w:rPr>
      </w:pPr>
      <w:r w:rsidRPr="00A13F60">
        <w:rPr>
          <w:rFonts w:ascii="Arial" w:eastAsia="Calibri" w:hAnsi="Arial" w:cs="Arial"/>
          <w:b/>
          <w:color w:val="000000" w:themeColor="text1"/>
          <w:sz w:val="22"/>
          <w:lang w:val="es-ES"/>
        </w:rPr>
        <w:t>DÍAS HÁBILES – Cómputo – Regla interpretativa</w:t>
      </w:r>
    </w:p>
    <w:p w14:paraId="62BA5DBC" w14:textId="77777777" w:rsidR="00A13F60" w:rsidRPr="00A13F60" w:rsidRDefault="00A13F60" w:rsidP="00A13F60">
      <w:pPr>
        <w:tabs>
          <w:tab w:val="left" w:pos="0"/>
        </w:tabs>
        <w:jc w:val="both"/>
        <w:rPr>
          <w:rFonts w:ascii="Arial" w:eastAsia="Calibri" w:hAnsi="Arial" w:cs="Arial"/>
          <w:bCs/>
          <w:color w:val="000000" w:themeColor="text1"/>
          <w:sz w:val="20"/>
          <w:szCs w:val="20"/>
          <w:lang w:val="es-ES"/>
        </w:rPr>
      </w:pPr>
    </w:p>
    <w:p w14:paraId="22AAEFF5" w14:textId="49B041BB" w:rsidR="00A13F60" w:rsidRPr="00A13F60" w:rsidRDefault="00A13F60" w:rsidP="00A13F60">
      <w:pPr>
        <w:tabs>
          <w:tab w:val="left" w:pos="0"/>
        </w:tabs>
        <w:jc w:val="both"/>
        <w:rPr>
          <w:rFonts w:ascii="Arial" w:eastAsia="Calibri" w:hAnsi="Arial" w:cs="Arial"/>
          <w:bCs/>
          <w:color w:val="000000" w:themeColor="text1"/>
          <w:sz w:val="20"/>
          <w:szCs w:val="20"/>
          <w:lang w:val="es-ES"/>
        </w:rPr>
      </w:pPr>
      <w:r w:rsidRPr="00A13F60">
        <w:rPr>
          <w:rFonts w:ascii="Arial" w:eastAsia="Calibri" w:hAnsi="Arial" w:cs="Arial"/>
          <w:bCs/>
          <w:color w:val="000000" w:themeColor="text1"/>
          <w:sz w:val="20"/>
          <w:szCs w:val="20"/>
          <w:lang w:val="es-ES"/>
        </w:rPr>
        <w:t xml:space="preserve">[…] </w:t>
      </w:r>
      <w:r w:rsidR="00FD404D" w:rsidRPr="00FD404D">
        <w:rPr>
          <w:rFonts w:ascii="Arial" w:eastAsia="Calibri" w:hAnsi="Arial" w:cs="Arial"/>
          <w:bCs/>
          <w:color w:val="000000" w:themeColor="text1"/>
          <w:sz w:val="20"/>
          <w:szCs w:val="20"/>
          <w:lang w:val="es-ES"/>
        </w:rPr>
        <w:t>los días hábiles se determinan según la entidad, ya que «cada entidad pública establece la jornada laboral, a través de su reglamento interno, dando certeza sobre los días que atienden al público, e indirectamente definiendo qué día es hábil en determinada institución»,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 ejemplo donde los días laborables o hábiles son todos los de la semana, con excepción del miércoles.</w:t>
      </w:r>
    </w:p>
    <w:p w14:paraId="12C44ABF" w14:textId="77777777" w:rsidR="00A13F60" w:rsidRPr="00A13F60" w:rsidRDefault="00A13F60" w:rsidP="00A13F60">
      <w:pPr>
        <w:tabs>
          <w:tab w:val="left" w:pos="0"/>
        </w:tabs>
        <w:jc w:val="both"/>
        <w:rPr>
          <w:rFonts w:ascii="Arial" w:eastAsia="Calibri" w:hAnsi="Arial" w:cs="Arial"/>
          <w:bCs/>
          <w:color w:val="000000" w:themeColor="text1"/>
          <w:sz w:val="20"/>
          <w:szCs w:val="20"/>
          <w:lang w:val="es-ES"/>
        </w:rPr>
      </w:pPr>
    </w:p>
    <w:p w14:paraId="0F743278" w14:textId="77777777" w:rsidR="00A13F60" w:rsidRPr="00A13F60" w:rsidRDefault="00A13F60" w:rsidP="00A13F60">
      <w:pPr>
        <w:spacing w:after="18"/>
        <w:rPr>
          <w:rFonts w:ascii="Arial" w:hAnsi="Arial" w:cs="Arial"/>
          <w:color w:val="000000" w:themeColor="text1"/>
          <w:sz w:val="20"/>
          <w:szCs w:val="20"/>
          <w:lang w:val="es-ES"/>
        </w:rPr>
      </w:pPr>
    </w:p>
    <w:p w14:paraId="77C0D818"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3C2EFAE5"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15BE580"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6D80562F"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6F773E7C"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CA50D2A"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2F6D04F"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01A24E8E"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AAC47C5"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E4A3485"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0FCDC376"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63D043FB"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7CCE447"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1A5E4772"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DE7971D"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89CFDF1"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9C6C831"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9FAB7C6"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3268F4B5"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F808C0E"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018A0028"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634B6CE"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F55C01F"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7B84EF3"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64B98ECD"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3DA83619"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9303EEF"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AEB5F91"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2BE2A8C"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147313C7"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1DCA87BF"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DC664AD"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3F114D30"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15CB0C86"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9AC1B3E"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A9DD398"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3CB3F4B"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4747E841"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2CA5CE72"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6FEDB42B"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0D25BDC6"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7BEE1AFC" w14:textId="77777777" w:rsidR="00A13F60" w:rsidRPr="00A13F60" w:rsidRDefault="00A13F60" w:rsidP="00A13F60">
      <w:pPr>
        <w:autoSpaceDE w:val="0"/>
        <w:autoSpaceDN w:val="0"/>
        <w:adjustRightInd w:val="0"/>
        <w:rPr>
          <w:rFonts w:ascii="Arial" w:hAnsi="Arial" w:cs="Arial"/>
          <w:color w:val="000000" w:themeColor="text1"/>
          <w:sz w:val="20"/>
          <w:szCs w:val="20"/>
          <w:lang w:val="es-ES"/>
        </w:rPr>
      </w:pPr>
    </w:p>
    <w:p w14:paraId="01BC8392" w14:textId="77777777" w:rsidR="00A13F60" w:rsidRPr="00A13F60" w:rsidRDefault="00A13F60" w:rsidP="00A13F60">
      <w:pPr>
        <w:spacing w:line="276" w:lineRule="auto"/>
        <w:jc w:val="right"/>
        <w:rPr>
          <w:rFonts w:ascii="Arial" w:hAnsi="Arial" w:cs="Arial"/>
          <w:b/>
          <w:bCs/>
          <w:color w:val="000000" w:themeColor="text1"/>
          <w:sz w:val="22"/>
          <w:lang w:val="es-ES"/>
        </w:rPr>
      </w:pPr>
    </w:p>
    <w:p w14:paraId="5C6B5AC5" w14:textId="1D7C9DCF" w:rsidR="00A13F60" w:rsidRPr="00A13F60" w:rsidRDefault="00381032" w:rsidP="00A13F60">
      <w:pPr>
        <w:spacing w:line="276" w:lineRule="auto"/>
        <w:rPr>
          <w:rFonts w:ascii="Arial" w:eastAsia="Calibri" w:hAnsi="Arial" w:cs="Arial"/>
          <w:color w:val="000000" w:themeColor="text1"/>
          <w:sz w:val="22"/>
          <w:lang w:val="es-ES"/>
        </w:rPr>
      </w:pPr>
      <w:r>
        <w:rPr>
          <w:rFonts w:ascii="Arial" w:hAnsi="Arial" w:cs="Arial"/>
          <w:b/>
          <w:bCs/>
          <w:color w:val="000000" w:themeColor="text1"/>
          <w:sz w:val="22"/>
          <w:lang w:val="es-ES"/>
        </w:rPr>
        <w:t xml:space="preserve">                                                           </w:t>
      </w:r>
      <w:r w:rsidRPr="00381032">
        <w:rPr>
          <w:rFonts w:ascii="Arial" w:hAnsi="Arial" w:cs="Arial"/>
          <w:b/>
          <w:bCs/>
          <w:color w:val="000000" w:themeColor="text1"/>
          <w:sz w:val="22"/>
          <w:lang w:val="es-ES"/>
        </w:rPr>
        <w:drawing>
          <wp:inline distT="0" distB="0" distL="0" distR="0" wp14:anchorId="393639C7" wp14:editId="00B17CE8">
            <wp:extent cx="3287895" cy="910116"/>
            <wp:effectExtent l="0" t="0" r="8255" b="444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302894" cy="914268"/>
                    </a:xfrm>
                    <a:prstGeom prst="rect">
                      <a:avLst/>
                    </a:prstGeom>
                  </pic:spPr>
                </pic:pic>
              </a:graphicData>
            </a:graphic>
          </wp:inline>
        </w:drawing>
      </w:r>
    </w:p>
    <w:p w14:paraId="1D860F63" w14:textId="77777777" w:rsidR="00A13F60" w:rsidRPr="00A13F60" w:rsidRDefault="00A13F60" w:rsidP="00A13F60">
      <w:pPr>
        <w:spacing w:line="276" w:lineRule="auto"/>
        <w:rPr>
          <w:rFonts w:ascii="Arial" w:eastAsia="Calibri" w:hAnsi="Arial" w:cs="Arial"/>
          <w:color w:val="000000" w:themeColor="text1"/>
          <w:sz w:val="22"/>
          <w:lang w:val="es-ES"/>
        </w:rPr>
      </w:pPr>
      <w:r w:rsidRPr="00A13F60">
        <w:rPr>
          <w:rFonts w:ascii="Arial" w:eastAsia="Calibri" w:hAnsi="Arial" w:cs="Arial"/>
          <w:color w:val="000000" w:themeColor="text1"/>
          <w:sz w:val="22"/>
          <w:lang w:val="es-ES"/>
        </w:rPr>
        <w:t>Señora</w:t>
      </w:r>
    </w:p>
    <w:p w14:paraId="4D41759F" w14:textId="77777777" w:rsidR="00A13F60" w:rsidRPr="00A13F60" w:rsidRDefault="00A13F60" w:rsidP="00A13F60">
      <w:pPr>
        <w:spacing w:line="276" w:lineRule="auto"/>
        <w:rPr>
          <w:rFonts w:ascii="Arial" w:eastAsia="Calibri" w:hAnsi="Arial" w:cs="Arial"/>
          <w:b/>
          <w:color w:val="000000" w:themeColor="text1"/>
          <w:sz w:val="22"/>
          <w:lang w:val="es-ES"/>
        </w:rPr>
      </w:pPr>
      <w:proofErr w:type="spellStart"/>
      <w:r w:rsidRPr="00A13F60">
        <w:rPr>
          <w:rFonts w:ascii="Arial" w:eastAsia="Calibri" w:hAnsi="Arial" w:cs="Arial"/>
          <w:b/>
          <w:color w:val="000000" w:themeColor="text1"/>
          <w:sz w:val="22"/>
          <w:lang w:val="es-ES"/>
        </w:rPr>
        <w:t>Brigida</w:t>
      </w:r>
      <w:proofErr w:type="spellEnd"/>
      <w:r w:rsidRPr="00A13F60">
        <w:rPr>
          <w:rFonts w:ascii="Arial" w:eastAsia="Calibri" w:hAnsi="Arial" w:cs="Arial"/>
          <w:b/>
          <w:color w:val="000000" w:themeColor="text1"/>
          <w:sz w:val="22"/>
          <w:lang w:val="es-ES"/>
        </w:rPr>
        <w:t xml:space="preserve"> Mireya Peralta Rodríguez </w:t>
      </w:r>
    </w:p>
    <w:p w14:paraId="621CD47B" w14:textId="06F2A652" w:rsidR="00A13F60" w:rsidRPr="00A13F60" w:rsidRDefault="00A13F60" w:rsidP="00A13F60">
      <w:pPr>
        <w:spacing w:line="276" w:lineRule="auto"/>
        <w:rPr>
          <w:rFonts w:ascii="Arial" w:eastAsia="Calibri" w:hAnsi="Arial" w:cs="Arial"/>
          <w:color w:val="000000" w:themeColor="text1"/>
          <w:sz w:val="22"/>
          <w:lang w:val="es-ES"/>
        </w:rPr>
      </w:pPr>
      <w:r>
        <w:rPr>
          <w:rFonts w:ascii="Arial" w:eastAsia="Calibri" w:hAnsi="Arial" w:cs="Arial"/>
          <w:color w:val="000000" w:themeColor="text1"/>
          <w:sz w:val="22"/>
          <w:lang w:val="es-ES"/>
        </w:rPr>
        <w:t>Tunja, Boyacá</w:t>
      </w:r>
    </w:p>
    <w:p w14:paraId="07105D29" w14:textId="77777777" w:rsidR="00A13F60" w:rsidRPr="00A13F60" w:rsidRDefault="00A13F60" w:rsidP="00A13F60">
      <w:pPr>
        <w:spacing w:line="276" w:lineRule="auto"/>
        <w:rPr>
          <w:rFonts w:ascii="Arial" w:eastAsia="Calibri" w:hAnsi="Arial" w:cs="Arial"/>
          <w:color w:val="000000" w:themeColor="text1"/>
          <w:sz w:val="22"/>
          <w:lang w:val="es-ES"/>
        </w:rPr>
      </w:pPr>
    </w:p>
    <w:p w14:paraId="19D2A5A5" w14:textId="77777777" w:rsidR="00A13F60" w:rsidRPr="00A13F60" w:rsidRDefault="00A13F60" w:rsidP="00A13F60">
      <w:pPr>
        <w:spacing w:line="276" w:lineRule="auto"/>
        <w:rPr>
          <w:rFonts w:ascii="Arial" w:eastAsia="Calibri" w:hAnsi="Arial" w:cs="Arial"/>
          <w:color w:val="000000" w:themeColor="text1"/>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13F60" w:rsidRPr="00A13F60" w14:paraId="31673A5E" w14:textId="77777777" w:rsidTr="001C329B">
        <w:tc>
          <w:tcPr>
            <w:tcW w:w="2689" w:type="dxa"/>
          </w:tcPr>
          <w:p w14:paraId="412963D0" w14:textId="77777777" w:rsidR="00A13F60" w:rsidRPr="00A13F60" w:rsidRDefault="00A13F60" w:rsidP="001C329B">
            <w:pPr>
              <w:spacing w:line="276" w:lineRule="auto"/>
              <w:rPr>
                <w:rFonts w:ascii="Arial" w:eastAsia="Calibri" w:hAnsi="Arial" w:cs="Arial"/>
                <w:b/>
                <w:color w:val="000000" w:themeColor="text1"/>
                <w:lang w:val="es-ES"/>
              </w:rPr>
            </w:pPr>
          </w:p>
        </w:tc>
        <w:tc>
          <w:tcPr>
            <w:tcW w:w="6237" w:type="dxa"/>
          </w:tcPr>
          <w:p w14:paraId="6BE6F73B" w14:textId="7EC958CC" w:rsidR="00A13F60" w:rsidRPr="00A13F60" w:rsidRDefault="00A13F60" w:rsidP="001C329B">
            <w:pPr>
              <w:spacing w:line="276" w:lineRule="auto"/>
              <w:jc w:val="both"/>
              <w:rPr>
                <w:rFonts w:ascii="Arial" w:eastAsia="Calibri" w:hAnsi="Arial" w:cs="Arial"/>
                <w:b/>
                <w:color w:val="000000" w:themeColor="text1"/>
                <w:lang w:val="es-ES"/>
              </w:rPr>
            </w:pPr>
            <w:r w:rsidRPr="00A13F60">
              <w:rPr>
                <w:rFonts w:ascii="Arial" w:eastAsia="Calibri" w:hAnsi="Arial" w:cs="Arial"/>
                <w:b/>
                <w:color w:val="000000" w:themeColor="text1"/>
                <w:lang w:val="es-ES"/>
              </w:rPr>
              <w:t>Concepto C – 135 de 2021</w:t>
            </w:r>
          </w:p>
          <w:p w14:paraId="16A77604" w14:textId="77777777" w:rsidR="00A13F60" w:rsidRPr="00A13F60" w:rsidRDefault="00A13F60" w:rsidP="001C329B">
            <w:pPr>
              <w:spacing w:line="276" w:lineRule="auto"/>
              <w:jc w:val="both"/>
              <w:rPr>
                <w:rFonts w:ascii="Arial" w:eastAsia="Calibri" w:hAnsi="Arial" w:cs="Arial"/>
                <w:color w:val="000000" w:themeColor="text1"/>
                <w:highlight w:val="yellow"/>
                <w:lang w:val="es-ES"/>
              </w:rPr>
            </w:pPr>
          </w:p>
        </w:tc>
      </w:tr>
      <w:tr w:rsidR="00A13F60" w:rsidRPr="00A13F60" w14:paraId="3B735211" w14:textId="77777777" w:rsidTr="001C329B">
        <w:tc>
          <w:tcPr>
            <w:tcW w:w="2689" w:type="dxa"/>
            <w:hideMark/>
          </w:tcPr>
          <w:p w14:paraId="6036E37D" w14:textId="77777777" w:rsidR="00A13F60" w:rsidRPr="00A13F60" w:rsidRDefault="00A13F60" w:rsidP="001C329B">
            <w:pPr>
              <w:spacing w:line="276" w:lineRule="auto"/>
              <w:rPr>
                <w:rFonts w:ascii="Arial" w:eastAsia="Calibri" w:hAnsi="Arial" w:cs="Arial"/>
                <w:color w:val="000000" w:themeColor="text1"/>
                <w:lang w:val="es-ES"/>
              </w:rPr>
            </w:pPr>
            <w:r w:rsidRPr="00A13F60">
              <w:rPr>
                <w:rFonts w:ascii="Arial" w:eastAsia="Calibri" w:hAnsi="Arial" w:cs="Arial"/>
                <w:b/>
                <w:color w:val="000000" w:themeColor="text1"/>
                <w:lang w:val="es-ES"/>
              </w:rPr>
              <w:t>Temas:</w:t>
            </w:r>
            <w:r w:rsidRPr="00A13F60">
              <w:rPr>
                <w:rFonts w:ascii="Arial" w:eastAsia="Calibri" w:hAnsi="Arial" w:cs="Arial"/>
                <w:color w:val="000000" w:themeColor="text1"/>
                <w:lang w:val="es-ES"/>
              </w:rPr>
              <w:t xml:space="preserve">              </w:t>
            </w:r>
          </w:p>
        </w:tc>
        <w:tc>
          <w:tcPr>
            <w:tcW w:w="6237" w:type="dxa"/>
            <w:hideMark/>
          </w:tcPr>
          <w:p w14:paraId="34C22D38" w14:textId="77777777" w:rsidR="00A13F60" w:rsidRPr="00A13F60" w:rsidRDefault="00A13F60" w:rsidP="001C329B">
            <w:pPr>
              <w:spacing w:line="276" w:lineRule="auto"/>
              <w:jc w:val="both"/>
              <w:rPr>
                <w:rFonts w:ascii="Arial" w:eastAsia="Calibri" w:hAnsi="Arial" w:cs="Arial"/>
                <w:color w:val="000000" w:themeColor="text1"/>
                <w:lang w:val="es-ES"/>
              </w:rPr>
            </w:pPr>
            <w:r w:rsidRPr="00A13F60">
              <w:rPr>
                <w:rFonts w:ascii="Arial" w:eastAsia="Calibri" w:hAnsi="Arial" w:cs="Arial"/>
                <w:color w:val="000000" w:themeColor="text1"/>
                <w:lang w:val="es-ES"/>
              </w:rPr>
              <w:t>PRINCIPIO DE PUBLICIDAD – Fundamento constitucional – Desarrollo legal / SECOP – Publicidad – Documentos – Término / DÍAS HÁBILES – Concepto – Plazo / DÍAS HÁBILES – Cómputo – Regla interpretativa</w:t>
            </w:r>
          </w:p>
          <w:p w14:paraId="184D8C05" w14:textId="77777777" w:rsidR="00A13F60" w:rsidRPr="00A13F60" w:rsidRDefault="00A13F60" w:rsidP="001C329B">
            <w:pPr>
              <w:spacing w:line="276" w:lineRule="auto"/>
              <w:jc w:val="both"/>
              <w:rPr>
                <w:rFonts w:ascii="Arial" w:eastAsia="Calibri" w:hAnsi="Arial" w:cs="Arial"/>
                <w:color w:val="000000" w:themeColor="text1"/>
                <w:lang w:val="es-ES"/>
              </w:rPr>
            </w:pPr>
          </w:p>
          <w:p w14:paraId="72016B03" w14:textId="77777777" w:rsidR="00A13F60" w:rsidRPr="00A13F60" w:rsidRDefault="00A13F60" w:rsidP="001C329B">
            <w:pPr>
              <w:spacing w:line="276" w:lineRule="auto"/>
              <w:jc w:val="both"/>
              <w:rPr>
                <w:rFonts w:ascii="Arial" w:eastAsia="Calibri" w:hAnsi="Arial" w:cs="Arial"/>
                <w:color w:val="000000" w:themeColor="text1"/>
                <w:lang w:val="es-ES"/>
              </w:rPr>
            </w:pPr>
          </w:p>
        </w:tc>
      </w:tr>
      <w:tr w:rsidR="00A13F60" w:rsidRPr="00A13F60" w14:paraId="65A47E74" w14:textId="77777777" w:rsidTr="001C329B">
        <w:trPr>
          <w:trHeight w:val="80"/>
        </w:trPr>
        <w:tc>
          <w:tcPr>
            <w:tcW w:w="2689" w:type="dxa"/>
          </w:tcPr>
          <w:p w14:paraId="5220394E" w14:textId="77777777" w:rsidR="00A13F60" w:rsidRPr="00A13F60" w:rsidRDefault="00A13F60" w:rsidP="001C329B">
            <w:pPr>
              <w:spacing w:line="276" w:lineRule="auto"/>
              <w:rPr>
                <w:rFonts w:ascii="Arial" w:eastAsia="Calibri" w:hAnsi="Arial" w:cs="Arial"/>
                <w:b/>
                <w:color w:val="000000" w:themeColor="text1"/>
                <w:lang w:val="es-ES"/>
              </w:rPr>
            </w:pPr>
            <w:r w:rsidRPr="00A13F60">
              <w:rPr>
                <w:rFonts w:ascii="Arial" w:eastAsia="Calibri" w:hAnsi="Arial" w:cs="Arial"/>
                <w:b/>
                <w:color w:val="000000" w:themeColor="text1"/>
                <w:lang w:val="es-ES"/>
              </w:rPr>
              <w:t>Radicación:</w:t>
            </w:r>
            <w:r w:rsidRPr="00A13F60">
              <w:rPr>
                <w:rFonts w:ascii="Arial" w:eastAsia="Calibri" w:hAnsi="Arial" w:cs="Arial"/>
                <w:color w:val="000000" w:themeColor="text1"/>
                <w:lang w:val="es-ES"/>
              </w:rPr>
              <w:t xml:space="preserve">                              </w:t>
            </w:r>
          </w:p>
        </w:tc>
        <w:tc>
          <w:tcPr>
            <w:tcW w:w="6237" w:type="dxa"/>
          </w:tcPr>
          <w:p w14:paraId="39434B17" w14:textId="43762536" w:rsidR="00A13F60" w:rsidRPr="00A13F60" w:rsidRDefault="00A13F60" w:rsidP="001C329B">
            <w:pPr>
              <w:spacing w:line="276" w:lineRule="auto"/>
              <w:jc w:val="both"/>
              <w:rPr>
                <w:rFonts w:ascii="Arial" w:eastAsia="Calibri" w:hAnsi="Arial" w:cs="Arial"/>
                <w:color w:val="000000" w:themeColor="text1"/>
                <w:lang w:val="es-ES"/>
              </w:rPr>
            </w:pPr>
            <w:r w:rsidRPr="00A13F60">
              <w:rPr>
                <w:rFonts w:ascii="Arial" w:eastAsia="Calibri" w:hAnsi="Arial" w:cs="Arial"/>
                <w:color w:val="000000" w:themeColor="text1"/>
                <w:lang w:val="es-ES"/>
              </w:rPr>
              <w:t xml:space="preserve">Respuesta consulta # </w:t>
            </w:r>
            <w:r w:rsidRPr="00A13F60">
              <w:rPr>
                <w:rFonts w:ascii="Arial" w:eastAsia="Times New Roman" w:hAnsi="Arial" w:cs="Arial"/>
                <w:color w:val="000000"/>
                <w:lang w:val="es-ES" w:eastAsia="es-MX"/>
              </w:rPr>
              <w:t>P20210222001458</w:t>
            </w:r>
          </w:p>
        </w:tc>
      </w:tr>
    </w:tbl>
    <w:p w14:paraId="729424D2" w14:textId="77777777" w:rsidR="00A13F60" w:rsidRPr="00A13F60" w:rsidRDefault="00A13F60" w:rsidP="00A13F60">
      <w:pPr>
        <w:spacing w:before="120" w:line="276" w:lineRule="auto"/>
        <w:rPr>
          <w:rFonts w:ascii="Arial" w:eastAsia="Calibri" w:hAnsi="Arial" w:cs="Arial"/>
          <w:color w:val="000000" w:themeColor="text1"/>
          <w:sz w:val="22"/>
          <w:lang w:val="es-ES"/>
        </w:rPr>
      </w:pPr>
    </w:p>
    <w:p w14:paraId="38556FB8" w14:textId="3654D674" w:rsidR="00A13F60" w:rsidRPr="00A13F60" w:rsidRDefault="00A13F60" w:rsidP="00A13F60">
      <w:pPr>
        <w:spacing w:before="120" w:line="276" w:lineRule="auto"/>
        <w:rPr>
          <w:rFonts w:ascii="Arial" w:eastAsia="Calibri" w:hAnsi="Arial" w:cs="Arial"/>
          <w:color w:val="000000" w:themeColor="text1"/>
          <w:sz w:val="22"/>
          <w:lang w:val="es-ES"/>
        </w:rPr>
      </w:pPr>
      <w:r w:rsidRPr="00A13F60">
        <w:rPr>
          <w:rFonts w:ascii="Arial" w:eastAsia="Calibri" w:hAnsi="Arial" w:cs="Arial"/>
          <w:color w:val="000000" w:themeColor="text1"/>
          <w:sz w:val="22"/>
          <w:lang w:val="es-ES"/>
        </w:rPr>
        <w:t>Estimada señora Peralta Rodríguez:</w:t>
      </w:r>
    </w:p>
    <w:p w14:paraId="40ABC12E" w14:textId="77777777" w:rsidR="00A13F60" w:rsidRPr="00A13F60" w:rsidRDefault="00A13F60" w:rsidP="00A13F60">
      <w:pPr>
        <w:spacing w:line="276" w:lineRule="auto"/>
        <w:jc w:val="both"/>
        <w:rPr>
          <w:rFonts w:ascii="Arial" w:eastAsia="Calibri" w:hAnsi="Arial" w:cs="Arial"/>
          <w:color w:val="000000" w:themeColor="text1"/>
          <w:sz w:val="22"/>
          <w:lang w:val="es-ES"/>
        </w:rPr>
      </w:pPr>
    </w:p>
    <w:p w14:paraId="181EEBAA" w14:textId="20A24DB9" w:rsidR="00A13F60" w:rsidRPr="00A13F60" w:rsidRDefault="00A13F60" w:rsidP="00A13F60">
      <w:pPr>
        <w:spacing w:line="276" w:lineRule="auto"/>
        <w:jc w:val="both"/>
        <w:rPr>
          <w:rFonts w:ascii="Arial" w:eastAsia="Calibri" w:hAnsi="Arial" w:cs="Arial"/>
          <w:color w:val="1A1A1A" w:themeColor="background1" w:themeShade="1A"/>
          <w:sz w:val="22"/>
          <w:lang w:val="es-ES"/>
        </w:rPr>
      </w:pPr>
      <w:r w:rsidRPr="00A13F60">
        <w:rPr>
          <w:rFonts w:ascii="Arial" w:eastAsia="Calibri" w:hAnsi="Arial" w:cs="Arial"/>
          <w:color w:val="1A1A1A" w:themeColor="background1" w:themeShade="1A"/>
          <w:sz w:val="22"/>
          <w:lang w:val="es-ES"/>
        </w:rPr>
        <w:t xml:space="preserve">En ejercicio de la competencia otorgada por el numeral 8 del artículo 11 y el numeral 5 del artículo 3 del Decreto Ley 4170 de 2011, la Agencia Nacional de Contratación Pública – Colombia Compra Eficiente responde su consulta del </w:t>
      </w:r>
      <w:r>
        <w:rPr>
          <w:rFonts w:ascii="Arial" w:eastAsia="Calibri" w:hAnsi="Arial" w:cs="Arial"/>
          <w:color w:val="1A1A1A" w:themeColor="background1" w:themeShade="1A"/>
          <w:sz w:val="22"/>
          <w:lang w:val="es-ES"/>
        </w:rPr>
        <w:t>22</w:t>
      </w:r>
      <w:r w:rsidRPr="00A13F60">
        <w:rPr>
          <w:rFonts w:ascii="Arial" w:eastAsia="Calibri" w:hAnsi="Arial" w:cs="Arial"/>
          <w:color w:val="1A1A1A" w:themeColor="background1" w:themeShade="1A"/>
          <w:sz w:val="22"/>
          <w:lang w:val="es-ES"/>
        </w:rPr>
        <w:t xml:space="preserve"> de febrero de 2021.</w:t>
      </w:r>
    </w:p>
    <w:p w14:paraId="75438616" w14:textId="77777777" w:rsidR="00A13F60" w:rsidRPr="00A13F60" w:rsidRDefault="00A13F60" w:rsidP="00A13F60">
      <w:pPr>
        <w:spacing w:line="276" w:lineRule="auto"/>
        <w:jc w:val="both"/>
        <w:rPr>
          <w:rFonts w:ascii="Arial" w:eastAsia="Calibri" w:hAnsi="Arial" w:cs="Arial"/>
          <w:color w:val="000000" w:themeColor="text1"/>
          <w:sz w:val="22"/>
          <w:lang w:val="es-ES"/>
        </w:rPr>
      </w:pPr>
    </w:p>
    <w:p w14:paraId="3A7BF613" w14:textId="76FA4C49" w:rsidR="00A13F60" w:rsidRDefault="00A13F60" w:rsidP="00A13F60">
      <w:pPr>
        <w:pStyle w:val="Prrafodelista"/>
        <w:numPr>
          <w:ilvl w:val="0"/>
          <w:numId w:val="1"/>
        </w:numPr>
        <w:tabs>
          <w:tab w:val="left" w:pos="284"/>
        </w:tabs>
        <w:spacing w:line="276" w:lineRule="auto"/>
        <w:ind w:left="0" w:firstLine="0"/>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Problemas planteados</w:t>
      </w:r>
    </w:p>
    <w:p w14:paraId="7B4D7EC8" w14:textId="77777777" w:rsidR="000A0CB6" w:rsidRPr="00A13F60" w:rsidRDefault="000A0CB6" w:rsidP="000A0CB6">
      <w:pPr>
        <w:pStyle w:val="Prrafodelista"/>
        <w:tabs>
          <w:tab w:val="left" w:pos="284"/>
        </w:tabs>
        <w:spacing w:line="276" w:lineRule="auto"/>
        <w:ind w:left="0"/>
        <w:rPr>
          <w:rFonts w:ascii="Arial" w:eastAsia="Calibri" w:hAnsi="Arial" w:cs="Arial"/>
          <w:b/>
          <w:color w:val="000000" w:themeColor="text1"/>
          <w:sz w:val="22"/>
          <w:lang w:val="es-ES"/>
        </w:rPr>
      </w:pPr>
    </w:p>
    <w:p w14:paraId="409C08F3" w14:textId="6705BF02" w:rsidR="00A13F60" w:rsidRPr="00A13F60" w:rsidRDefault="00A13F60" w:rsidP="000A0CB6">
      <w:pPr>
        <w:spacing w:line="276" w:lineRule="auto"/>
        <w:jc w:val="both"/>
        <w:rPr>
          <w:rFonts w:ascii="Arial" w:eastAsia="Calibri" w:hAnsi="Arial" w:cs="Arial"/>
          <w:color w:val="000000" w:themeColor="text1"/>
          <w:sz w:val="22"/>
          <w:lang w:val="es-ES"/>
        </w:rPr>
      </w:pPr>
      <w:r w:rsidRPr="00A13F60">
        <w:rPr>
          <w:rFonts w:ascii="Arial" w:eastAsia="Calibri" w:hAnsi="Arial" w:cs="Arial"/>
          <w:color w:val="000000" w:themeColor="text1"/>
          <w:sz w:val="22"/>
          <w:lang w:val="es-ES"/>
        </w:rPr>
        <w:t xml:space="preserve">Usted formuló la siguiente pregunta: </w:t>
      </w:r>
      <w:bookmarkStart w:id="2" w:name="_Hlk65664882"/>
      <w:r w:rsidRPr="00A13F60">
        <w:rPr>
          <w:rFonts w:ascii="Arial" w:eastAsia="Calibri" w:hAnsi="Arial" w:cs="Arial"/>
          <w:color w:val="000000" w:themeColor="text1"/>
          <w:sz w:val="22"/>
          <w:lang w:val="es-ES"/>
        </w:rPr>
        <w:t>«[</w:t>
      </w:r>
      <w:r w:rsidR="00704783">
        <w:rPr>
          <w:rFonts w:ascii="Arial" w:eastAsia="Calibri" w:hAnsi="Arial" w:cs="Arial"/>
          <w:color w:val="000000" w:themeColor="text1"/>
          <w:sz w:val="22"/>
          <w:lang w:val="es-ES"/>
        </w:rPr>
        <w:t>…</w:t>
      </w:r>
      <w:r w:rsidRPr="00A13F60">
        <w:rPr>
          <w:rFonts w:ascii="Arial" w:eastAsia="Calibri" w:hAnsi="Arial" w:cs="Arial"/>
          <w:color w:val="000000" w:themeColor="text1"/>
          <w:sz w:val="22"/>
          <w:lang w:val="es-ES"/>
        </w:rPr>
        <w:t>]</w:t>
      </w:r>
      <w:r w:rsidR="00704783">
        <w:rPr>
          <w:rFonts w:ascii="Arial" w:eastAsia="Calibri" w:hAnsi="Arial" w:cs="Arial"/>
          <w:color w:val="000000" w:themeColor="text1"/>
          <w:sz w:val="22"/>
          <w:lang w:val="es-ES"/>
        </w:rPr>
        <w:t xml:space="preserve"> q</w:t>
      </w:r>
      <w:r w:rsidRPr="00A13F60">
        <w:rPr>
          <w:rFonts w:ascii="Arial" w:eastAsia="Calibri" w:hAnsi="Arial" w:cs="Arial"/>
          <w:color w:val="000000" w:themeColor="text1"/>
          <w:sz w:val="22"/>
          <w:lang w:val="es-ES"/>
        </w:rPr>
        <w:t xml:space="preserve">uisiera tener claridad con respecto a los </w:t>
      </w:r>
      <w:proofErr w:type="spellStart"/>
      <w:r w:rsidRPr="00A13F60">
        <w:rPr>
          <w:rFonts w:ascii="Arial" w:eastAsia="Calibri" w:hAnsi="Arial" w:cs="Arial"/>
          <w:color w:val="000000" w:themeColor="text1"/>
          <w:sz w:val="22"/>
          <w:lang w:val="es-ES"/>
        </w:rPr>
        <w:t>dias</w:t>
      </w:r>
      <w:proofErr w:type="spellEnd"/>
      <w:r w:rsidRPr="00A13F60">
        <w:rPr>
          <w:rFonts w:ascii="Arial" w:eastAsia="Calibri" w:hAnsi="Arial" w:cs="Arial"/>
          <w:color w:val="000000" w:themeColor="text1"/>
          <w:sz w:val="22"/>
          <w:lang w:val="es-ES"/>
        </w:rPr>
        <w:t xml:space="preserve"> [sic] a publicar, son tres siguientes al proceso. La inquietud es son </w:t>
      </w:r>
      <w:r w:rsidR="00CF0E6C" w:rsidRPr="00A13F60">
        <w:rPr>
          <w:rFonts w:ascii="Arial" w:eastAsia="Calibri" w:hAnsi="Arial" w:cs="Arial"/>
          <w:color w:val="000000" w:themeColor="text1"/>
          <w:sz w:val="22"/>
          <w:lang w:val="es-ES"/>
        </w:rPr>
        <w:t>hábiles</w:t>
      </w:r>
      <w:r w:rsidRPr="00A13F60">
        <w:rPr>
          <w:rFonts w:ascii="Arial" w:eastAsia="Calibri" w:hAnsi="Arial" w:cs="Arial"/>
          <w:color w:val="000000" w:themeColor="text1"/>
          <w:sz w:val="22"/>
          <w:lang w:val="es-ES"/>
        </w:rPr>
        <w:t xml:space="preserve"> o calendario».</w:t>
      </w:r>
      <w:bookmarkEnd w:id="2"/>
    </w:p>
    <w:p w14:paraId="3D102825" w14:textId="77777777" w:rsidR="00A13F60" w:rsidRPr="00A13F60" w:rsidRDefault="00A13F60" w:rsidP="00A13F60">
      <w:pPr>
        <w:spacing w:line="276" w:lineRule="auto"/>
        <w:ind w:right="709"/>
        <w:jc w:val="both"/>
        <w:rPr>
          <w:rFonts w:ascii="Arial" w:eastAsia="Calibri" w:hAnsi="Arial" w:cs="Arial"/>
          <w:color w:val="000000" w:themeColor="text1"/>
          <w:sz w:val="21"/>
          <w:szCs w:val="21"/>
          <w:lang w:val="es-ES"/>
        </w:rPr>
      </w:pPr>
      <w:r w:rsidRPr="00A13F60">
        <w:rPr>
          <w:rFonts w:ascii="Arial" w:eastAsia="Calibri" w:hAnsi="Arial" w:cs="Arial"/>
          <w:color w:val="000000" w:themeColor="text1"/>
          <w:sz w:val="21"/>
          <w:szCs w:val="21"/>
          <w:lang w:val="es-ES"/>
        </w:rPr>
        <w:t xml:space="preserve"> </w:t>
      </w:r>
    </w:p>
    <w:p w14:paraId="2FE0F36D" w14:textId="77777777" w:rsidR="00A13F60" w:rsidRPr="00A13F60" w:rsidRDefault="00A13F60" w:rsidP="00A13F60">
      <w:pPr>
        <w:pStyle w:val="Prrafodelista"/>
        <w:numPr>
          <w:ilvl w:val="0"/>
          <w:numId w:val="1"/>
        </w:numPr>
        <w:tabs>
          <w:tab w:val="left" w:pos="284"/>
        </w:tabs>
        <w:spacing w:line="276" w:lineRule="auto"/>
        <w:ind w:left="0" w:firstLine="0"/>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Consideraciones</w:t>
      </w:r>
    </w:p>
    <w:p w14:paraId="63E76A39" w14:textId="77777777" w:rsidR="00A13F60" w:rsidRPr="00A13F60" w:rsidRDefault="00A13F60" w:rsidP="00A13F60">
      <w:pPr>
        <w:spacing w:line="276" w:lineRule="auto"/>
        <w:jc w:val="both"/>
        <w:rPr>
          <w:rFonts w:ascii="Arial" w:eastAsia="Calibri" w:hAnsi="Arial" w:cs="Arial"/>
          <w:color w:val="000000" w:themeColor="text1"/>
          <w:sz w:val="22"/>
          <w:lang w:val="es-ES"/>
        </w:rPr>
      </w:pPr>
    </w:p>
    <w:p w14:paraId="3FE2ED71" w14:textId="77777777" w:rsidR="00A13F60" w:rsidRPr="00A13F60" w:rsidRDefault="00A13F60" w:rsidP="00A13F60">
      <w:pPr>
        <w:spacing w:after="120" w:line="276" w:lineRule="auto"/>
        <w:jc w:val="both"/>
        <w:rPr>
          <w:rFonts w:ascii="Arial" w:hAnsi="Arial" w:cs="Arial"/>
          <w:color w:val="000000" w:themeColor="text1"/>
          <w:sz w:val="22"/>
          <w:lang w:val="es-ES"/>
        </w:rPr>
      </w:pPr>
      <w:r w:rsidRPr="00A13F60">
        <w:rPr>
          <w:rFonts w:ascii="Arial" w:hAnsi="Arial" w:cs="Arial"/>
          <w:color w:val="000000" w:themeColor="text1"/>
          <w:sz w:val="22"/>
          <w:lang w:val="es-ES"/>
        </w:rPr>
        <w:lastRenderedPageBreak/>
        <w:t xml:space="preserve">Para responder los interrogantes se realizarán algunas consideraciones en torno a: i) el principio de publicidad en la contratación estatal; y </w:t>
      </w:r>
      <w:proofErr w:type="spellStart"/>
      <w:r w:rsidRPr="00A13F60">
        <w:rPr>
          <w:rFonts w:ascii="Arial" w:hAnsi="Arial" w:cs="Arial"/>
          <w:color w:val="000000" w:themeColor="text1"/>
          <w:sz w:val="22"/>
          <w:lang w:val="es-ES"/>
        </w:rPr>
        <w:t>ii</w:t>
      </w:r>
      <w:proofErr w:type="spellEnd"/>
      <w:r w:rsidRPr="00A13F60">
        <w:rPr>
          <w:rFonts w:ascii="Arial" w:hAnsi="Arial" w:cs="Arial"/>
          <w:color w:val="000000" w:themeColor="text1"/>
          <w:sz w:val="22"/>
          <w:lang w:val="es-ES"/>
        </w:rPr>
        <w:t>) el cómputo del término de publicidad establecido en el artículo 2.2.1.1.1.7.1 del Decreto 1082 de 2015.</w:t>
      </w:r>
    </w:p>
    <w:p w14:paraId="7FBBCEA1" w14:textId="77777777" w:rsidR="00A13F60" w:rsidRPr="00A13F60" w:rsidRDefault="00A13F60" w:rsidP="00A13F60">
      <w:pPr>
        <w:pStyle w:val="Prrafodelista"/>
        <w:spacing w:before="120" w:line="276" w:lineRule="auto"/>
        <w:ind w:left="0" w:firstLine="709"/>
        <w:jc w:val="both"/>
        <w:rPr>
          <w:rFonts w:ascii="Arial" w:hAnsi="Arial" w:cs="Arial"/>
          <w:b/>
          <w:bCs/>
          <w:color w:val="000000" w:themeColor="text1"/>
          <w:sz w:val="22"/>
          <w:lang w:val="es-ES"/>
        </w:rPr>
      </w:pPr>
      <w:r w:rsidRPr="00A13F60">
        <w:rPr>
          <w:rFonts w:ascii="Arial" w:hAnsi="Arial" w:cs="Arial"/>
          <w:color w:val="000000" w:themeColor="text1"/>
          <w:sz w:val="22"/>
          <w:lang w:val="es-ES"/>
        </w:rPr>
        <w:t xml:space="preserve">La </w:t>
      </w:r>
      <w:r w:rsidRPr="00A13F60">
        <w:rPr>
          <w:rFonts w:ascii="Arial" w:eastAsia="Calibri" w:hAnsi="Arial" w:cs="Arial"/>
          <w:color w:val="000000" w:themeColor="text1"/>
          <w:sz w:val="22"/>
          <w:lang w:val="es-ES"/>
        </w:rPr>
        <w:t xml:space="preserve">Agencia Nacional de Contratación Pública – Colombia Compra Eficiente estudió el tema del concepto y cómputo de los días hábiles en respuesta </w:t>
      </w:r>
      <w:r w:rsidRPr="00A13F60">
        <w:rPr>
          <w:rFonts w:ascii="Arial" w:hAnsi="Arial" w:cs="Arial"/>
          <w:color w:val="000000" w:themeColor="text1"/>
          <w:sz w:val="22"/>
          <w:lang w:val="es-ES"/>
        </w:rPr>
        <w:t>a las consultas con radicados C-108 de 6 de febrero de 2020, C-121 de 12 de febrero de 2020, C-160 del 3 de abril de 2020, C-213 del 3 de junio de 2020, C-419 del 15 de julio de 2020, C-465 del 27 de julio de 2020, C-500 del 3 de agosto de 2020, C-557 del 21 de agosto de 2020 y C-734 del 16 de diciembre de 2020. La tesis de estos conceptos se reitera y se complementa en lo pertinente:</w:t>
      </w:r>
    </w:p>
    <w:p w14:paraId="62F2FABC" w14:textId="77777777" w:rsidR="00A13F60" w:rsidRPr="00A13F60" w:rsidRDefault="00A13F60" w:rsidP="00A13F60">
      <w:pPr>
        <w:pStyle w:val="Prrafodelista"/>
        <w:spacing w:line="276" w:lineRule="auto"/>
        <w:ind w:left="0"/>
        <w:jc w:val="both"/>
        <w:rPr>
          <w:rFonts w:ascii="Arial" w:hAnsi="Arial" w:cs="Arial"/>
          <w:b/>
          <w:bCs/>
          <w:color w:val="000000" w:themeColor="text1"/>
          <w:sz w:val="22"/>
          <w:lang w:val="es-ES"/>
        </w:rPr>
      </w:pPr>
    </w:p>
    <w:p w14:paraId="1E89EF11" w14:textId="77777777" w:rsidR="00A13F60" w:rsidRPr="00A13F60" w:rsidRDefault="00A13F60" w:rsidP="00A13F60">
      <w:pPr>
        <w:tabs>
          <w:tab w:val="left" w:pos="426"/>
        </w:tabs>
        <w:spacing w:line="276" w:lineRule="auto"/>
        <w:jc w:val="both"/>
        <w:rPr>
          <w:rFonts w:ascii="Arial" w:eastAsia="Calibri" w:hAnsi="Arial" w:cs="Arial"/>
          <w:b/>
          <w:color w:val="1A1A1A" w:themeColor="background1" w:themeShade="1A"/>
          <w:sz w:val="22"/>
          <w:lang w:val="es-ES"/>
        </w:rPr>
      </w:pPr>
      <w:r w:rsidRPr="00A13F60">
        <w:rPr>
          <w:rFonts w:ascii="Arial" w:hAnsi="Arial" w:cs="Arial"/>
          <w:b/>
          <w:bCs/>
          <w:color w:val="000000" w:themeColor="text1"/>
          <w:sz w:val="22"/>
          <w:lang w:val="es-ES"/>
        </w:rPr>
        <w:t xml:space="preserve">2.1. </w:t>
      </w:r>
      <w:r w:rsidRPr="00A13F60">
        <w:rPr>
          <w:rFonts w:ascii="Arial" w:eastAsia="Calibri" w:hAnsi="Arial" w:cs="Arial"/>
          <w:b/>
          <w:color w:val="000000" w:themeColor="text1"/>
          <w:sz w:val="22"/>
          <w:lang w:val="es-ES"/>
        </w:rPr>
        <w:t xml:space="preserve">Publicidad de la actividad contractual en el </w:t>
      </w:r>
      <w:r w:rsidRPr="00A13F60">
        <w:rPr>
          <w:rFonts w:ascii="Arial" w:eastAsia="Calibri" w:hAnsi="Arial" w:cs="Arial"/>
          <w:b/>
          <w:color w:val="1A1A1A" w:themeColor="background1" w:themeShade="1A"/>
          <w:sz w:val="22"/>
          <w:lang w:val="es-ES"/>
        </w:rPr>
        <w:t>Sistema Electrónico de Contratación Pública –SECOP–</w:t>
      </w:r>
    </w:p>
    <w:p w14:paraId="2CA520D1" w14:textId="77777777" w:rsidR="00A13F60" w:rsidRPr="00A13F60" w:rsidRDefault="00A13F60" w:rsidP="00A13F60">
      <w:pPr>
        <w:spacing w:line="276" w:lineRule="auto"/>
        <w:jc w:val="both"/>
        <w:rPr>
          <w:rFonts w:ascii="Arial" w:eastAsia="Calibri" w:hAnsi="Arial" w:cs="Arial"/>
          <w:color w:val="000000" w:themeColor="text1"/>
          <w:sz w:val="22"/>
          <w:lang w:val="es-ES"/>
        </w:rPr>
      </w:pPr>
    </w:p>
    <w:p w14:paraId="55E8A9E5" w14:textId="77777777" w:rsidR="00A13F60" w:rsidRPr="00A13F60" w:rsidRDefault="00A13F60" w:rsidP="00A13F60">
      <w:pPr>
        <w:spacing w:after="120" w:line="276" w:lineRule="auto"/>
        <w:jc w:val="both"/>
        <w:rPr>
          <w:rFonts w:ascii="Arial" w:eastAsia="Calibri" w:hAnsi="Arial" w:cs="Arial"/>
          <w:color w:val="1A1A1A" w:themeColor="background1" w:themeShade="1A"/>
          <w:sz w:val="22"/>
          <w:lang w:val="es-ES"/>
        </w:rPr>
      </w:pPr>
      <w:r w:rsidRPr="00A13F60">
        <w:rPr>
          <w:rFonts w:ascii="Arial" w:eastAsia="Calibri" w:hAnsi="Arial" w:cs="Arial"/>
          <w:color w:val="1A1A1A" w:themeColor="background1" w:themeShade="1A"/>
          <w:sz w:val="22"/>
          <w:lang w:val="es-ES"/>
        </w:rPr>
        <w:t>El principio de publicidad se encuentra consagrado en el artículo 209 de la Constitución Política</w:t>
      </w:r>
      <w:r w:rsidRPr="00A13F60">
        <w:rPr>
          <w:rStyle w:val="Refdenotaalpie"/>
          <w:rFonts w:ascii="Arial" w:eastAsia="Calibri" w:hAnsi="Arial" w:cs="Arial"/>
          <w:color w:val="1A1A1A" w:themeColor="background1" w:themeShade="1A"/>
          <w:sz w:val="22"/>
          <w:lang w:val="es-ES"/>
        </w:rPr>
        <w:footnoteReference w:id="1"/>
      </w:r>
      <w:r w:rsidRPr="00A13F60">
        <w:rPr>
          <w:rFonts w:ascii="Arial" w:eastAsia="Calibri" w:hAnsi="Arial" w:cs="Arial"/>
          <w:color w:val="1A1A1A" w:themeColor="background1" w:themeShade="1A"/>
          <w:sz w:val="22"/>
          <w:lang w:val="es-ES"/>
        </w:rPr>
        <w:t xml:space="preserve"> y es considerado uno de los principios constitucionales orientadores de la administración y la gestión pública</w:t>
      </w:r>
      <w:r w:rsidRPr="00A13F60">
        <w:rPr>
          <w:rStyle w:val="Refdenotaalpie"/>
          <w:rFonts w:ascii="Arial" w:eastAsia="Calibri" w:hAnsi="Arial" w:cs="Arial"/>
          <w:color w:val="1A1A1A" w:themeColor="background1" w:themeShade="1A"/>
          <w:sz w:val="22"/>
          <w:lang w:val="es-ES"/>
        </w:rPr>
        <w:footnoteReference w:id="2"/>
      </w:r>
      <w:r w:rsidRPr="00A13F60">
        <w:rPr>
          <w:rFonts w:ascii="Arial" w:eastAsia="Calibri" w:hAnsi="Arial" w:cs="Arial"/>
          <w:color w:val="1A1A1A" w:themeColor="background1" w:themeShade="1A"/>
          <w:sz w:val="22"/>
          <w:lang w:val="es-ES"/>
        </w:rPr>
        <w:t>. Impone a las autoridades el deber de dar a conocer sus actos, contratos y decisiones, de manera que puedan ser conocidos incluso por quienes no participan en su desarrollo y, eventualmente, ser objeto de control, con el fin de garantizar el debido proceso y los principios de la función pública.</w:t>
      </w:r>
    </w:p>
    <w:p w14:paraId="59CAAA54" w14:textId="77777777" w:rsidR="00A13F60" w:rsidRPr="00A13F60" w:rsidRDefault="00A13F60" w:rsidP="00BF24E4">
      <w:pPr>
        <w:spacing w:line="276" w:lineRule="auto"/>
        <w:ind w:firstLine="709"/>
        <w:jc w:val="both"/>
        <w:rPr>
          <w:rFonts w:ascii="Arial" w:eastAsia="Calibri" w:hAnsi="Arial" w:cs="Arial"/>
          <w:color w:val="1A1A1A" w:themeColor="background1" w:themeShade="1A"/>
          <w:sz w:val="22"/>
          <w:lang w:val="es-ES"/>
        </w:rPr>
      </w:pPr>
      <w:r w:rsidRPr="00A13F60">
        <w:rPr>
          <w:rFonts w:ascii="Arial" w:eastAsia="Calibri" w:hAnsi="Arial" w:cs="Arial"/>
          <w:color w:val="1A1A1A" w:themeColor="background1" w:themeShade="1A"/>
          <w:sz w:val="22"/>
          <w:lang w:val="es-ES"/>
        </w:rPr>
        <w:t xml:space="preserve">Para la Corte Constitucional, el principio de publicidad es la garantía que tienen las personas de conocer las actuaciones judiciales y administrativas y con base en ese conocimiento tener la posibilidad de exigir que se surtan conforme a la ley: </w:t>
      </w:r>
    </w:p>
    <w:p w14:paraId="4EF5472F" w14:textId="77777777" w:rsidR="00A13F60" w:rsidRPr="00A13F60" w:rsidRDefault="00A13F60" w:rsidP="00A13F60">
      <w:pPr>
        <w:ind w:firstLine="709"/>
        <w:jc w:val="both"/>
        <w:rPr>
          <w:rFonts w:ascii="Arial" w:eastAsia="Calibri" w:hAnsi="Arial" w:cs="Arial"/>
          <w:color w:val="1A1A1A" w:themeColor="background1" w:themeShade="1A"/>
          <w:sz w:val="22"/>
          <w:lang w:val="es-ES"/>
        </w:rPr>
      </w:pPr>
    </w:p>
    <w:p w14:paraId="32B8BAC7" w14:textId="77777777" w:rsidR="00A13F60" w:rsidRPr="00A13F60" w:rsidRDefault="00A13F60" w:rsidP="00A13F60">
      <w:pPr>
        <w:tabs>
          <w:tab w:val="left" w:pos="3885"/>
        </w:tabs>
        <w:ind w:left="709" w:right="709"/>
        <w:jc w:val="both"/>
        <w:rPr>
          <w:rFonts w:ascii="Arial" w:hAnsi="Arial" w:cs="Arial"/>
          <w:color w:val="1A1A1A" w:themeColor="background1" w:themeShade="1A"/>
          <w:sz w:val="21"/>
          <w:szCs w:val="21"/>
          <w:lang w:val="es-ES"/>
        </w:rPr>
      </w:pPr>
      <w:r w:rsidRPr="00A13F60">
        <w:rPr>
          <w:rFonts w:ascii="Arial" w:hAnsi="Arial" w:cs="Arial"/>
          <w:color w:val="1A1A1A" w:themeColor="background1" w:themeShade="1A"/>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73E242ED" w14:textId="77777777" w:rsidR="00A13F60" w:rsidRPr="00A13F60" w:rsidRDefault="00A13F60" w:rsidP="00A13F60">
      <w:pPr>
        <w:tabs>
          <w:tab w:val="left" w:pos="3885"/>
        </w:tabs>
        <w:ind w:left="709" w:right="709"/>
        <w:jc w:val="both"/>
        <w:rPr>
          <w:rFonts w:ascii="Arial" w:hAnsi="Arial" w:cs="Arial"/>
          <w:color w:val="1A1A1A" w:themeColor="background1" w:themeShade="1A"/>
          <w:sz w:val="21"/>
          <w:szCs w:val="21"/>
          <w:lang w:val="es-ES"/>
        </w:rPr>
      </w:pPr>
    </w:p>
    <w:p w14:paraId="4A2E67BF" w14:textId="77777777" w:rsidR="00A13F60" w:rsidRPr="00A13F60" w:rsidRDefault="00A13F60" w:rsidP="00A13F60">
      <w:pPr>
        <w:tabs>
          <w:tab w:val="left" w:pos="3885"/>
          <w:tab w:val="left" w:pos="8222"/>
        </w:tabs>
        <w:ind w:left="709" w:right="709"/>
        <w:jc w:val="both"/>
        <w:rPr>
          <w:rFonts w:ascii="Arial" w:hAnsi="Arial" w:cs="Arial"/>
          <w:color w:val="1A1A1A" w:themeColor="background1" w:themeShade="1A"/>
          <w:sz w:val="22"/>
          <w:lang w:val="es-ES"/>
        </w:rPr>
      </w:pPr>
      <w:r w:rsidRPr="00A13F60">
        <w:rPr>
          <w:rFonts w:ascii="Arial" w:hAnsi="Arial" w:cs="Arial"/>
          <w:color w:val="1A1A1A" w:themeColor="background1" w:themeShade="1A"/>
          <w:sz w:val="21"/>
          <w:szCs w:val="21"/>
          <w:lang w:val="es-ES"/>
        </w:rPr>
        <w:lastRenderedPageBreak/>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A13F60">
        <w:rPr>
          <w:rFonts w:ascii="Arial" w:hAnsi="Arial" w:cs="Arial"/>
          <w:color w:val="1A1A1A" w:themeColor="background1" w:themeShade="1A"/>
          <w:sz w:val="21"/>
          <w:szCs w:val="21"/>
          <w:lang w:val="es-ES"/>
        </w:rPr>
        <w:t>autoridades públicas</w:t>
      </w:r>
      <w:proofErr w:type="gramEnd"/>
      <w:r w:rsidRPr="00A13F60">
        <w:rPr>
          <w:rFonts w:ascii="Arial" w:hAnsi="Arial" w:cs="Arial"/>
          <w:color w:val="1A1A1A" w:themeColor="background1" w:themeShade="1A"/>
          <w:sz w:val="21"/>
          <w:szCs w:val="21"/>
          <w:lang w:val="es-ES"/>
        </w:rPr>
        <w:t xml:space="preserve"> y, a través de ese conocimiento, a exigir que ellas se surtan conforme a la ley</w:t>
      </w:r>
      <w:r w:rsidRPr="00A13F60">
        <w:rPr>
          <w:rStyle w:val="Refdenotaalpie"/>
          <w:rFonts w:ascii="Arial" w:eastAsia="Calibri" w:hAnsi="Arial" w:cs="Arial"/>
          <w:color w:val="1A1A1A" w:themeColor="background1" w:themeShade="1A"/>
          <w:sz w:val="21"/>
          <w:szCs w:val="21"/>
          <w:lang w:val="es-ES"/>
        </w:rPr>
        <w:footnoteReference w:id="3"/>
      </w:r>
      <w:r w:rsidRPr="00A13F60">
        <w:rPr>
          <w:rFonts w:ascii="Arial" w:eastAsia="Calibri" w:hAnsi="Arial" w:cs="Arial"/>
          <w:color w:val="1A1A1A" w:themeColor="background1" w:themeShade="1A"/>
          <w:sz w:val="21"/>
          <w:szCs w:val="21"/>
          <w:lang w:val="es-ES"/>
        </w:rPr>
        <w:t>.</w:t>
      </w:r>
    </w:p>
    <w:p w14:paraId="714EE8B8" w14:textId="77777777" w:rsidR="00A13F60" w:rsidRPr="00A13F60" w:rsidRDefault="00A13F60" w:rsidP="00A13F60">
      <w:pPr>
        <w:tabs>
          <w:tab w:val="left" w:pos="3885"/>
          <w:tab w:val="left" w:pos="8222"/>
        </w:tabs>
        <w:ind w:left="709" w:right="709"/>
        <w:jc w:val="both"/>
        <w:rPr>
          <w:rFonts w:ascii="Arial" w:hAnsi="Arial" w:cs="Arial"/>
          <w:color w:val="1A1A1A" w:themeColor="background1" w:themeShade="1A"/>
          <w:sz w:val="22"/>
          <w:lang w:val="es-ES"/>
        </w:rPr>
      </w:pPr>
    </w:p>
    <w:p w14:paraId="7B42CEFB" w14:textId="3CE96723" w:rsidR="00A13F60" w:rsidRPr="001C1738" w:rsidRDefault="00A13F60" w:rsidP="00A13F60">
      <w:pPr>
        <w:spacing w:after="120" w:line="276" w:lineRule="auto"/>
        <w:ind w:firstLine="709"/>
        <w:jc w:val="both"/>
        <w:rPr>
          <w:rFonts w:ascii="Arial" w:eastAsia="Calibri" w:hAnsi="Arial" w:cs="Arial"/>
          <w:color w:val="1A1A1A" w:themeColor="background1" w:themeShade="1A"/>
          <w:sz w:val="22"/>
          <w:lang w:val="es-ES"/>
        </w:rPr>
      </w:pPr>
      <w:r w:rsidRPr="001C1738">
        <w:rPr>
          <w:rFonts w:ascii="Arial" w:eastAsia="Calibri" w:hAnsi="Arial" w:cs="Arial"/>
          <w:color w:val="1A1A1A" w:themeColor="background1" w:themeShade="1A"/>
          <w:sz w:val="22"/>
          <w:lang w:val="es-ES"/>
        </w:rPr>
        <w:t>El literal c) del artículo 3 de la Ley 1150 de 2007 establece que el Sistema Electrónico para la Contratación Pública «</w:t>
      </w:r>
      <w:r w:rsidR="00901510" w:rsidRPr="001C1738">
        <w:rPr>
          <w:rFonts w:ascii="Arial" w:eastAsia="Calibri" w:hAnsi="Arial" w:cs="Arial"/>
          <w:color w:val="1A1A1A" w:themeColor="background1" w:themeShade="1A"/>
          <w:sz w:val="22"/>
          <w:lang w:val="es-ES"/>
        </w:rPr>
        <w:t xml:space="preserve">[…] </w:t>
      </w:r>
      <w:r w:rsidRPr="001C1738">
        <w:rPr>
          <w:rFonts w:ascii="Arial" w:eastAsia="Calibri" w:hAnsi="Arial" w:cs="Arial"/>
          <w:color w:val="1A1A1A" w:themeColor="background1" w:themeShade="1A"/>
          <w:sz w:val="22"/>
          <w:lang w:val="es-ES"/>
        </w:rPr>
        <w:t>contará con la información oficial de la contratación realizada con dineros públicos, para lo cual establecerá los patrones a que haya lugar y se encargará de su difusión a través de canales electrónicos»</w:t>
      </w:r>
      <w:r w:rsidRPr="001C1738">
        <w:rPr>
          <w:rStyle w:val="Refdenotaalpie"/>
          <w:rFonts w:ascii="Arial" w:eastAsia="Calibri" w:hAnsi="Arial" w:cs="Arial"/>
          <w:color w:val="1A1A1A" w:themeColor="background1" w:themeShade="1A"/>
          <w:sz w:val="22"/>
          <w:lang w:val="es-ES"/>
        </w:rPr>
        <w:footnoteReference w:id="4"/>
      </w:r>
      <w:r w:rsidRPr="001C1738">
        <w:rPr>
          <w:rFonts w:ascii="Arial" w:eastAsia="Calibri" w:hAnsi="Arial" w:cs="Arial"/>
          <w:color w:val="1A1A1A" w:themeColor="background1" w:themeShade="1A"/>
          <w:sz w:val="22"/>
          <w:lang w:val="es-ES"/>
        </w:rPr>
        <w:t xml:space="preserve">. </w:t>
      </w:r>
      <w:r w:rsidR="00EA682A" w:rsidRPr="001C1738">
        <w:rPr>
          <w:rFonts w:ascii="Arial" w:eastAsia="Calibri" w:hAnsi="Arial" w:cs="Arial"/>
          <w:color w:val="1A1A1A" w:themeColor="background1" w:themeShade="1A"/>
          <w:sz w:val="22"/>
          <w:lang w:val="es-ES"/>
        </w:rPr>
        <w:t>Este deber es reglamentado por el artículo</w:t>
      </w:r>
      <w:r w:rsidR="005066C3">
        <w:rPr>
          <w:rFonts w:ascii="Arial" w:eastAsia="Calibri" w:hAnsi="Arial" w:cs="Arial"/>
          <w:color w:val="1A1A1A" w:themeColor="background1" w:themeShade="1A"/>
          <w:sz w:val="22"/>
          <w:lang w:val="es-ES"/>
        </w:rPr>
        <w:t xml:space="preserve"> </w:t>
      </w:r>
      <w:r w:rsidR="005066C3" w:rsidRPr="005066C3">
        <w:rPr>
          <w:rFonts w:ascii="Arial" w:eastAsia="Calibri" w:hAnsi="Arial" w:cs="Arial"/>
          <w:color w:val="1A1A1A" w:themeColor="background1" w:themeShade="1A"/>
          <w:sz w:val="22"/>
          <w:lang w:val="es-ES"/>
        </w:rPr>
        <w:t>2.2.1.1.1.7.1</w:t>
      </w:r>
      <w:r w:rsidR="00EA682A" w:rsidRPr="001C1738">
        <w:rPr>
          <w:rFonts w:ascii="Arial" w:eastAsia="Calibri" w:hAnsi="Arial" w:cs="Arial"/>
          <w:color w:val="1A1A1A" w:themeColor="background1" w:themeShade="1A"/>
          <w:sz w:val="22"/>
          <w:lang w:val="es-ES"/>
        </w:rPr>
        <w:t xml:space="preserve"> </w:t>
      </w:r>
      <w:r w:rsidR="00B553EA" w:rsidRPr="001C1738">
        <w:rPr>
          <w:rFonts w:ascii="Arial" w:eastAsia="Calibri" w:hAnsi="Arial" w:cs="Arial"/>
          <w:color w:val="1A1A1A" w:themeColor="background1" w:themeShade="1A"/>
          <w:sz w:val="22"/>
          <w:lang w:val="es-ES"/>
        </w:rPr>
        <w:t xml:space="preserve">del Decreto 1082 de 2015 que establece el deber de las entidades estatales de publicar en el Sistema </w:t>
      </w:r>
      <w:r w:rsidR="001C1738" w:rsidRPr="001C1738">
        <w:rPr>
          <w:rFonts w:ascii="Arial" w:eastAsia="Calibri" w:hAnsi="Arial" w:cs="Arial"/>
          <w:color w:val="1A1A1A" w:themeColor="background1" w:themeShade="1A"/>
          <w:sz w:val="22"/>
          <w:lang w:val="es-ES"/>
        </w:rPr>
        <w:t>Electrónico de Contratación –SECOP–</w:t>
      </w:r>
      <w:r w:rsidR="00B553EA" w:rsidRPr="001C1738">
        <w:rPr>
          <w:rFonts w:ascii="Arial" w:eastAsia="Calibri" w:hAnsi="Arial" w:cs="Arial"/>
          <w:color w:val="1A1A1A" w:themeColor="background1" w:themeShade="1A"/>
          <w:sz w:val="22"/>
          <w:lang w:val="es-ES"/>
        </w:rPr>
        <w:t xml:space="preserve"> «</w:t>
      </w:r>
      <w:r w:rsidR="00B553EA" w:rsidRPr="00BF24E4">
        <w:rPr>
          <w:rFonts w:ascii="Arial" w:hAnsi="Arial" w:cs="Arial"/>
          <w:color w:val="000000"/>
          <w:sz w:val="22"/>
        </w:rPr>
        <w:t>[…] los Documentos del Proceso y los actos administrativos del Proceso de Contratación, dentro de los tres (3) días siguientes a su expedición».</w:t>
      </w:r>
    </w:p>
    <w:p w14:paraId="13F0B0BC" w14:textId="77777777" w:rsidR="00A13F60" w:rsidRPr="00A13F60" w:rsidRDefault="00A13F60" w:rsidP="00A13F60">
      <w:pPr>
        <w:spacing w:before="120" w:line="276" w:lineRule="auto"/>
        <w:ind w:firstLine="709"/>
        <w:jc w:val="both"/>
        <w:rPr>
          <w:rFonts w:ascii="Arial" w:hAnsi="Arial" w:cs="Arial"/>
          <w:color w:val="1A1A1A" w:themeColor="background1" w:themeShade="1A"/>
          <w:sz w:val="22"/>
          <w:lang w:val="es-ES"/>
        </w:rPr>
      </w:pPr>
      <w:r w:rsidRPr="00A13F60">
        <w:rPr>
          <w:rFonts w:ascii="Arial" w:hAnsi="Arial" w:cs="Arial"/>
          <w:color w:val="1A1A1A" w:themeColor="background1" w:themeShade="1A"/>
          <w:sz w:val="22"/>
          <w:lang w:val="es-ES"/>
        </w:rPr>
        <w:t>Además del artículo 3, literal c) de la Ley 1150 de 2007, el deber de las entidades estatales de publicar su gestión contractual en el SECOP se fundamenta en su calidad de sujetos obligados en el marco de la normativa de la transparencia y el acceso a la información pública</w:t>
      </w:r>
      <w:r w:rsidRPr="00A13F60">
        <w:rPr>
          <w:rStyle w:val="Refdenotaalpie"/>
          <w:rFonts w:ascii="Arial" w:hAnsi="Arial" w:cs="Arial"/>
          <w:color w:val="1A1A1A" w:themeColor="background1" w:themeShade="1A"/>
          <w:sz w:val="22"/>
          <w:lang w:val="es-ES"/>
        </w:rPr>
        <w:footnoteReference w:id="5"/>
      </w:r>
      <w:r w:rsidRPr="00A13F60">
        <w:rPr>
          <w:rFonts w:ascii="Arial" w:hAnsi="Arial" w:cs="Arial"/>
          <w:color w:val="1A1A1A" w:themeColor="background1" w:themeShade="1A"/>
          <w:sz w:val="22"/>
          <w:lang w:val="es-ES"/>
        </w:rPr>
        <w:t xml:space="preserve">. En efecto, la Ley 1712 de 2014, también conocida como </w:t>
      </w:r>
      <w:r w:rsidRPr="00A13F60">
        <w:rPr>
          <w:rFonts w:ascii="Arial" w:hAnsi="Arial" w:cs="Arial"/>
          <w:i/>
          <w:iCs/>
          <w:color w:val="1A1A1A" w:themeColor="background1" w:themeShade="1A"/>
          <w:sz w:val="22"/>
          <w:lang w:val="es-ES"/>
        </w:rPr>
        <w:t xml:space="preserve">Ley de </w:t>
      </w:r>
      <w:r w:rsidRPr="00A13F60">
        <w:rPr>
          <w:rFonts w:ascii="Arial" w:hAnsi="Arial" w:cs="Arial"/>
          <w:i/>
          <w:iCs/>
          <w:color w:val="1A1A1A" w:themeColor="background1" w:themeShade="1A"/>
          <w:sz w:val="22"/>
          <w:lang w:val="es-ES"/>
        </w:rPr>
        <w:lastRenderedPageBreak/>
        <w:t>Transparencia y del Derecho de Acceso a la Información Pública</w:t>
      </w:r>
      <w:r w:rsidRPr="00A13F60">
        <w:rPr>
          <w:rFonts w:ascii="Arial" w:hAnsi="Arial" w:cs="Arial"/>
          <w:color w:val="1A1A1A" w:themeColor="background1" w:themeShade="1A"/>
          <w:sz w:val="22"/>
          <w:lang w:val="es-ES"/>
        </w:rPr>
        <w:t>, señala en su artículo 11, literal g), que todo sujeto obligado debe publicar sus procedimientos, lineamientos, políticas en materia de adquisiciones y compras, así como todos los datos de adjudicación y ejecución de sus contratos. Lo anterior implica que se deberá publicar cada procedimiento para la adquisición de un producto o servicio, incluidos los datos de adjudicación y ejecución del contrato.</w:t>
      </w:r>
    </w:p>
    <w:p w14:paraId="13B8DBFD" w14:textId="12ABA958" w:rsidR="00A13F60" w:rsidRPr="00A13F60" w:rsidRDefault="00A13F60" w:rsidP="00A13F60">
      <w:pPr>
        <w:spacing w:before="120" w:line="276" w:lineRule="auto"/>
        <w:ind w:firstLine="709"/>
        <w:jc w:val="both"/>
        <w:rPr>
          <w:rFonts w:ascii="Arial" w:hAnsi="Arial" w:cs="Arial"/>
          <w:color w:val="1A1A1A" w:themeColor="background1" w:themeShade="1A"/>
          <w:sz w:val="22"/>
          <w:lang w:val="es-ES"/>
        </w:rPr>
      </w:pPr>
      <w:r w:rsidRPr="00A13F60">
        <w:rPr>
          <w:rFonts w:ascii="Arial" w:hAnsi="Arial" w:cs="Arial"/>
          <w:color w:val="1A1A1A" w:themeColor="background1" w:themeShade="1A"/>
          <w:sz w:val="22"/>
          <w:lang w:val="es-ES"/>
        </w:rPr>
        <w:t>Luego, el Decreto 1081 de 2015 señala</w:t>
      </w:r>
      <w:r w:rsidR="00D657C0">
        <w:rPr>
          <w:rFonts w:ascii="Arial" w:hAnsi="Arial" w:cs="Arial"/>
          <w:color w:val="1A1A1A" w:themeColor="background1" w:themeShade="1A"/>
          <w:sz w:val="22"/>
          <w:lang w:val="es-ES"/>
        </w:rPr>
        <w:t xml:space="preserve">, por un lado, en su artículo </w:t>
      </w:r>
      <w:r w:rsidR="00D657C0" w:rsidRPr="00A13F60">
        <w:rPr>
          <w:rFonts w:ascii="Arial" w:hAnsi="Arial" w:cs="Arial"/>
          <w:sz w:val="22"/>
          <w:lang w:val="es-ES"/>
        </w:rPr>
        <w:t>2.1.1.2.1.</w:t>
      </w:r>
      <w:r w:rsidR="00D657C0">
        <w:rPr>
          <w:rFonts w:ascii="Arial" w:hAnsi="Arial" w:cs="Arial"/>
          <w:sz w:val="22"/>
          <w:lang w:val="es-ES"/>
        </w:rPr>
        <w:t xml:space="preserve">7, </w:t>
      </w:r>
      <w:r w:rsidR="005D6ED6">
        <w:rPr>
          <w:rFonts w:ascii="Arial" w:hAnsi="Arial" w:cs="Arial"/>
          <w:sz w:val="22"/>
          <w:lang w:val="es-ES"/>
        </w:rPr>
        <w:t xml:space="preserve">reitera </w:t>
      </w:r>
      <w:r w:rsidR="00687032">
        <w:rPr>
          <w:rFonts w:ascii="Arial" w:hAnsi="Arial" w:cs="Arial"/>
          <w:sz w:val="22"/>
          <w:lang w:val="es-ES"/>
        </w:rPr>
        <w:t xml:space="preserve">el deber de los sujetos </w:t>
      </w:r>
      <w:r w:rsidR="005D6ED6">
        <w:rPr>
          <w:rFonts w:ascii="Arial" w:hAnsi="Arial" w:cs="Arial"/>
          <w:sz w:val="22"/>
          <w:lang w:val="es-ES"/>
        </w:rPr>
        <w:t>obligados</w:t>
      </w:r>
      <w:r w:rsidR="00687032">
        <w:rPr>
          <w:rFonts w:ascii="Arial" w:hAnsi="Arial" w:cs="Arial"/>
          <w:sz w:val="22"/>
          <w:lang w:val="es-ES"/>
        </w:rPr>
        <w:t xml:space="preserve"> en el marco de la normativa de la tran</w:t>
      </w:r>
      <w:r w:rsidR="005D6ED6">
        <w:rPr>
          <w:rFonts w:ascii="Arial" w:hAnsi="Arial" w:cs="Arial"/>
          <w:sz w:val="22"/>
          <w:lang w:val="es-ES"/>
        </w:rPr>
        <w:t>sparencia que contraten con recursos públicos, de publicar l</w:t>
      </w:r>
      <w:r w:rsidR="00965DA4">
        <w:rPr>
          <w:rFonts w:ascii="Arial" w:hAnsi="Arial" w:cs="Arial"/>
          <w:sz w:val="22"/>
          <w:lang w:val="es-ES"/>
        </w:rPr>
        <w:t xml:space="preserve">a información </w:t>
      </w:r>
      <w:r w:rsidR="00675C64">
        <w:rPr>
          <w:rFonts w:ascii="Arial" w:hAnsi="Arial" w:cs="Arial"/>
          <w:sz w:val="22"/>
          <w:lang w:val="es-ES"/>
        </w:rPr>
        <w:t xml:space="preserve">concerniente a la </w:t>
      </w:r>
      <w:r w:rsidR="00965DA4">
        <w:rPr>
          <w:rFonts w:ascii="Arial" w:hAnsi="Arial" w:cs="Arial"/>
          <w:sz w:val="22"/>
          <w:lang w:val="es-ES"/>
        </w:rPr>
        <w:t>gestión contractual en el SECOP</w:t>
      </w:r>
      <w:r w:rsidR="00687032">
        <w:rPr>
          <w:rStyle w:val="Refdenotaalpie"/>
          <w:rFonts w:ascii="Arial" w:hAnsi="Arial" w:cs="Arial"/>
          <w:sz w:val="22"/>
          <w:lang w:val="es-ES"/>
        </w:rPr>
        <w:footnoteReference w:id="6"/>
      </w:r>
      <w:r w:rsidR="00965DA4">
        <w:rPr>
          <w:rFonts w:ascii="Arial" w:hAnsi="Arial" w:cs="Arial"/>
          <w:sz w:val="22"/>
          <w:lang w:val="es-ES"/>
        </w:rPr>
        <w:t xml:space="preserve">. </w:t>
      </w:r>
      <w:r w:rsidR="00965DA4">
        <w:rPr>
          <w:rFonts w:ascii="Arial" w:hAnsi="Arial" w:cs="Arial"/>
          <w:color w:val="1A1A1A" w:themeColor="background1" w:themeShade="1A"/>
          <w:sz w:val="22"/>
          <w:lang w:val="es-ES"/>
        </w:rPr>
        <w:t>Po</w:t>
      </w:r>
      <w:r w:rsidR="00675C64">
        <w:rPr>
          <w:rFonts w:ascii="Arial" w:hAnsi="Arial" w:cs="Arial"/>
          <w:color w:val="1A1A1A" w:themeColor="background1" w:themeShade="1A"/>
          <w:sz w:val="22"/>
          <w:lang w:val="es-ES"/>
        </w:rPr>
        <w:t>r</w:t>
      </w:r>
      <w:r w:rsidR="00965DA4">
        <w:rPr>
          <w:rFonts w:ascii="Arial" w:hAnsi="Arial" w:cs="Arial"/>
          <w:color w:val="1A1A1A" w:themeColor="background1" w:themeShade="1A"/>
          <w:sz w:val="22"/>
          <w:lang w:val="es-ES"/>
        </w:rPr>
        <w:t xml:space="preserve"> o</w:t>
      </w:r>
      <w:r w:rsidR="00D227E3">
        <w:rPr>
          <w:rFonts w:ascii="Arial" w:hAnsi="Arial" w:cs="Arial"/>
          <w:color w:val="1A1A1A" w:themeColor="background1" w:themeShade="1A"/>
          <w:sz w:val="22"/>
          <w:lang w:val="es-ES"/>
        </w:rPr>
        <w:t>tro lado,</w:t>
      </w:r>
      <w:r w:rsidRPr="00A13F60">
        <w:rPr>
          <w:rFonts w:ascii="Arial" w:hAnsi="Arial" w:cs="Arial"/>
          <w:color w:val="1A1A1A" w:themeColor="background1" w:themeShade="1A"/>
          <w:sz w:val="22"/>
          <w:lang w:val="es-ES"/>
        </w:rPr>
        <w:t xml:space="preserve"> </w:t>
      </w:r>
      <w:r w:rsidR="00D227E3">
        <w:rPr>
          <w:rFonts w:ascii="Arial" w:hAnsi="Arial" w:cs="Arial"/>
          <w:color w:val="1A1A1A" w:themeColor="background1" w:themeShade="1A"/>
          <w:sz w:val="22"/>
          <w:lang w:val="es-ES"/>
        </w:rPr>
        <w:t>el</w:t>
      </w:r>
      <w:r w:rsidRPr="00A13F60">
        <w:rPr>
          <w:rFonts w:ascii="Arial" w:hAnsi="Arial" w:cs="Arial"/>
          <w:color w:val="1A1A1A" w:themeColor="background1" w:themeShade="1A"/>
          <w:sz w:val="22"/>
          <w:lang w:val="es-ES"/>
        </w:rPr>
        <w:t xml:space="preserve"> artículo </w:t>
      </w:r>
      <w:r w:rsidRPr="00A13F60">
        <w:rPr>
          <w:rFonts w:ascii="Arial" w:hAnsi="Arial" w:cs="Arial"/>
          <w:sz w:val="22"/>
          <w:lang w:val="es-ES"/>
        </w:rPr>
        <w:t>2.1.1.2.1.8</w:t>
      </w:r>
      <w:r w:rsidRPr="00A13F60">
        <w:rPr>
          <w:rFonts w:ascii="Arial" w:hAnsi="Arial" w:cs="Arial"/>
          <w:color w:val="1A1A1A" w:themeColor="background1" w:themeShade="1A"/>
          <w:sz w:val="22"/>
          <w:lang w:val="es-ES"/>
        </w:rPr>
        <w:t xml:space="preserve">, de forma enunciativa </w:t>
      </w:r>
      <w:r w:rsidR="00D227E3">
        <w:rPr>
          <w:rFonts w:ascii="Arial" w:hAnsi="Arial" w:cs="Arial"/>
          <w:color w:val="1A1A1A" w:themeColor="background1" w:themeShade="1A"/>
          <w:sz w:val="22"/>
          <w:lang w:val="es-ES"/>
        </w:rPr>
        <w:t xml:space="preserve">señala </w:t>
      </w:r>
      <w:r w:rsidRPr="00A13F60">
        <w:rPr>
          <w:rFonts w:ascii="Arial" w:hAnsi="Arial" w:cs="Arial"/>
          <w:color w:val="1A1A1A" w:themeColor="background1" w:themeShade="1A"/>
          <w:sz w:val="22"/>
          <w:lang w:val="es-ES"/>
        </w:rPr>
        <w:t>que se debe publicar la información relativa a la ejecución del contrato, como las aprobaciones, autorizaciones, requerimientos o informes del supervisor o interventor, que aprueben la ejecución del contrato</w:t>
      </w:r>
      <w:r w:rsidRPr="00A13F60">
        <w:rPr>
          <w:rFonts w:ascii="Arial" w:hAnsi="Arial" w:cs="Arial"/>
          <w:color w:val="1A1A1A" w:themeColor="background1" w:themeShade="1A"/>
          <w:sz w:val="22"/>
          <w:vertAlign w:val="superscript"/>
          <w:lang w:val="es-ES"/>
        </w:rPr>
        <w:footnoteReference w:id="7"/>
      </w:r>
      <w:r w:rsidRPr="00A13F60">
        <w:rPr>
          <w:rFonts w:ascii="Arial" w:hAnsi="Arial" w:cs="Arial"/>
          <w:color w:val="1A1A1A" w:themeColor="background1" w:themeShade="1A"/>
          <w:sz w:val="22"/>
          <w:lang w:val="es-ES"/>
        </w:rPr>
        <w:t xml:space="preserve">. Por su parte, el artículo 2.1.1.2.1.9 señala que las entidades deberán publicar los procedimientos, lineamientos y políticas en materia de adquisición, que no son otros que los previstos en el manual de contratación, que se expidió </w:t>
      </w:r>
      <w:r w:rsidRPr="00A13F60">
        <w:rPr>
          <w:rFonts w:ascii="Arial" w:hAnsi="Arial" w:cs="Arial"/>
          <w:color w:val="1A1A1A" w:themeColor="background1" w:themeShade="1A"/>
          <w:sz w:val="22"/>
          <w:lang w:val="es-ES"/>
        </w:rPr>
        <w:lastRenderedPageBreak/>
        <w:t>de acuerdo con los lineamientos de la Agencia Nacional de Contratación Pública, el cual debe publicarse en el sitio web del sujeto obligado</w:t>
      </w:r>
      <w:r w:rsidRPr="00A13F60">
        <w:rPr>
          <w:rFonts w:ascii="Arial" w:hAnsi="Arial" w:cs="Arial"/>
          <w:color w:val="1A1A1A" w:themeColor="background1" w:themeShade="1A"/>
          <w:sz w:val="22"/>
          <w:vertAlign w:val="superscript"/>
          <w:lang w:val="es-ES"/>
        </w:rPr>
        <w:footnoteReference w:id="8"/>
      </w:r>
      <w:r w:rsidRPr="00A13F60">
        <w:rPr>
          <w:rFonts w:ascii="Arial" w:hAnsi="Arial" w:cs="Arial"/>
          <w:color w:val="1A1A1A" w:themeColor="background1" w:themeShade="1A"/>
          <w:sz w:val="22"/>
          <w:lang w:val="es-ES"/>
        </w:rPr>
        <w:t xml:space="preserve">. Finalmente, el artículo </w:t>
      </w:r>
      <w:r w:rsidRPr="00A13F60">
        <w:rPr>
          <w:rFonts w:ascii="Arial" w:hAnsi="Arial" w:cs="Arial"/>
          <w:sz w:val="22"/>
          <w:lang w:val="es-ES"/>
        </w:rPr>
        <w:t>2.1.1.2.1.10.</w:t>
      </w:r>
      <w:r w:rsidR="00FD404D">
        <w:rPr>
          <w:rFonts w:ascii="Arial" w:hAnsi="Arial" w:cs="Arial"/>
          <w:sz w:val="22"/>
          <w:lang w:val="es-ES"/>
        </w:rPr>
        <w:t xml:space="preserve"> </w:t>
      </w:r>
      <w:r w:rsidRPr="00A13F60">
        <w:rPr>
          <w:rFonts w:ascii="Arial" w:hAnsi="Arial" w:cs="Arial"/>
          <w:color w:val="1A1A1A" w:themeColor="background1" w:themeShade="1A"/>
          <w:sz w:val="22"/>
          <w:lang w:val="es-ES"/>
        </w:rPr>
        <w:t>establece la obligación que tienen las entidades de publicar en el SECOP el Plan Anual de Adquisiciones</w:t>
      </w:r>
      <w:r w:rsidRPr="00A13F60">
        <w:rPr>
          <w:rFonts w:ascii="Arial" w:hAnsi="Arial" w:cs="Arial"/>
          <w:color w:val="1A1A1A" w:themeColor="background1" w:themeShade="1A"/>
          <w:sz w:val="22"/>
          <w:vertAlign w:val="superscript"/>
          <w:lang w:val="es-ES"/>
        </w:rPr>
        <w:footnoteReference w:id="9"/>
      </w:r>
      <w:r w:rsidRPr="00A13F60">
        <w:rPr>
          <w:rFonts w:ascii="Arial" w:hAnsi="Arial" w:cs="Arial"/>
          <w:color w:val="1A1A1A" w:themeColor="background1" w:themeShade="1A"/>
          <w:sz w:val="22"/>
          <w:lang w:val="es-ES"/>
        </w:rPr>
        <w:t>.</w:t>
      </w:r>
    </w:p>
    <w:p w14:paraId="5CE44983" w14:textId="10E6F88F" w:rsidR="00A13F60" w:rsidRDefault="0092192B" w:rsidP="00BF24E4">
      <w:pPr>
        <w:spacing w:before="120" w:line="276" w:lineRule="auto"/>
        <w:jc w:val="both"/>
        <w:rPr>
          <w:rFonts w:ascii="Arial" w:eastAsia="Calibri" w:hAnsi="Arial" w:cs="Arial"/>
          <w:color w:val="000000" w:themeColor="text1"/>
          <w:sz w:val="22"/>
          <w:lang w:val="es-ES"/>
        </w:rPr>
      </w:pPr>
      <w:r>
        <w:rPr>
          <w:rFonts w:ascii="Arial" w:hAnsi="Arial" w:cs="Arial"/>
          <w:color w:val="1A1A1A" w:themeColor="background1" w:themeShade="1A"/>
          <w:sz w:val="22"/>
          <w:lang w:val="es-ES"/>
        </w:rPr>
        <w:tab/>
      </w:r>
      <w:r w:rsidR="00B019E3">
        <w:rPr>
          <w:rFonts w:ascii="Arial" w:eastAsia="Calibri" w:hAnsi="Arial" w:cs="Arial"/>
          <w:color w:val="000000" w:themeColor="text1"/>
          <w:sz w:val="22"/>
          <w:lang w:val="es-ES"/>
        </w:rPr>
        <w:t>Conforme a lo anterior</w:t>
      </w:r>
      <w:r>
        <w:rPr>
          <w:rFonts w:ascii="Arial" w:eastAsia="Calibri" w:hAnsi="Arial" w:cs="Arial"/>
          <w:color w:val="000000" w:themeColor="text1"/>
          <w:sz w:val="22"/>
          <w:lang w:val="es-ES"/>
        </w:rPr>
        <w:t xml:space="preserve">, el artículo </w:t>
      </w:r>
      <w:r w:rsidR="00705205">
        <w:rPr>
          <w:rFonts w:ascii="Arial" w:eastAsia="Calibri" w:hAnsi="Arial" w:cs="Arial"/>
          <w:color w:val="000000" w:themeColor="text1"/>
          <w:sz w:val="22"/>
          <w:lang w:val="es-ES"/>
        </w:rPr>
        <w:t>3, literal c) de la Ley 1150 de 2007, y los artículos 9, literal e) y 11</w:t>
      </w:r>
      <w:r w:rsidR="00D657C0">
        <w:rPr>
          <w:rFonts w:ascii="Arial" w:eastAsia="Calibri" w:hAnsi="Arial" w:cs="Arial"/>
          <w:color w:val="000000" w:themeColor="text1"/>
          <w:sz w:val="22"/>
          <w:lang w:val="es-ES"/>
        </w:rPr>
        <w:t>, literal g) de la Ley 1712 de 2014, establecen el deber de las entidades esta</w:t>
      </w:r>
      <w:r w:rsidR="00B874D4">
        <w:rPr>
          <w:rFonts w:ascii="Arial" w:eastAsia="Calibri" w:hAnsi="Arial" w:cs="Arial"/>
          <w:color w:val="000000" w:themeColor="text1"/>
          <w:sz w:val="22"/>
          <w:lang w:val="es-ES"/>
        </w:rPr>
        <w:t>ta</w:t>
      </w:r>
      <w:r w:rsidR="00D657C0">
        <w:rPr>
          <w:rFonts w:ascii="Arial" w:eastAsia="Calibri" w:hAnsi="Arial" w:cs="Arial"/>
          <w:color w:val="000000" w:themeColor="text1"/>
          <w:sz w:val="22"/>
          <w:lang w:val="es-ES"/>
        </w:rPr>
        <w:t xml:space="preserve">les </w:t>
      </w:r>
      <w:r w:rsidR="00B874D4">
        <w:rPr>
          <w:rFonts w:ascii="Arial" w:eastAsia="Calibri" w:hAnsi="Arial" w:cs="Arial"/>
          <w:color w:val="000000" w:themeColor="text1"/>
          <w:sz w:val="22"/>
          <w:lang w:val="es-ES"/>
        </w:rPr>
        <w:t xml:space="preserve">de publicar en el SECOP </w:t>
      </w:r>
      <w:r w:rsidR="00D657C0">
        <w:rPr>
          <w:rFonts w:ascii="Arial" w:eastAsia="Calibri" w:hAnsi="Arial" w:cs="Arial"/>
          <w:color w:val="000000" w:themeColor="text1"/>
          <w:sz w:val="22"/>
          <w:lang w:val="es-ES"/>
        </w:rPr>
        <w:t xml:space="preserve">los documentos de los procesos de contratación que realicen con cargo a recursos públicos. Dicho deber es reglamentado por </w:t>
      </w:r>
      <w:r w:rsidR="00B874D4">
        <w:rPr>
          <w:rFonts w:ascii="Arial" w:eastAsia="Calibri" w:hAnsi="Arial" w:cs="Arial"/>
          <w:color w:val="000000" w:themeColor="text1"/>
          <w:sz w:val="22"/>
          <w:lang w:val="es-ES"/>
        </w:rPr>
        <w:t xml:space="preserve">el </w:t>
      </w:r>
      <w:r w:rsidR="00D657C0">
        <w:rPr>
          <w:rFonts w:ascii="Arial" w:eastAsia="Calibri" w:hAnsi="Arial" w:cs="Arial"/>
          <w:color w:val="000000" w:themeColor="text1"/>
          <w:sz w:val="22"/>
          <w:lang w:val="es-ES"/>
        </w:rPr>
        <w:t xml:space="preserve">artículo </w:t>
      </w:r>
      <w:r w:rsidR="00D657C0" w:rsidRPr="005066C3">
        <w:rPr>
          <w:rFonts w:ascii="Arial" w:eastAsia="Calibri" w:hAnsi="Arial" w:cs="Arial"/>
          <w:color w:val="1A1A1A" w:themeColor="background1" w:themeShade="1A"/>
          <w:sz w:val="22"/>
          <w:lang w:val="es-ES"/>
        </w:rPr>
        <w:t>2.2.1.1.1.7.1</w:t>
      </w:r>
      <w:r w:rsidR="00D657C0">
        <w:rPr>
          <w:rFonts w:ascii="Arial" w:eastAsia="Calibri" w:hAnsi="Arial" w:cs="Arial"/>
          <w:color w:val="1A1A1A" w:themeColor="background1" w:themeShade="1A"/>
          <w:sz w:val="22"/>
          <w:lang w:val="es-ES"/>
        </w:rPr>
        <w:t xml:space="preserve"> del Decreto 1082 de 2015, </w:t>
      </w:r>
      <w:r w:rsidR="00B874D4">
        <w:rPr>
          <w:rFonts w:ascii="Arial" w:eastAsia="Calibri" w:hAnsi="Arial" w:cs="Arial"/>
          <w:color w:val="1A1A1A" w:themeColor="background1" w:themeShade="1A"/>
          <w:sz w:val="22"/>
          <w:lang w:val="es-ES"/>
        </w:rPr>
        <w:t>así como por los artículos</w:t>
      </w:r>
      <w:r w:rsidR="00BB42A4">
        <w:rPr>
          <w:rFonts w:ascii="Arial" w:eastAsia="Calibri" w:hAnsi="Arial" w:cs="Arial"/>
          <w:color w:val="1A1A1A" w:themeColor="background1" w:themeShade="1A"/>
          <w:sz w:val="22"/>
          <w:lang w:val="es-ES"/>
        </w:rPr>
        <w:t xml:space="preserve"> </w:t>
      </w:r>
      <w:r w:rsidR="00BB42A4" w:rsidRPr="00A13F60">
        <w:rPr>
          <w:rFonts w:ascii="Arial" w:hAnsi="Arial" w:cs="Arial"/>
          <w:sz w:val="22"/>
          <w:lang w:val="es-ES"/>
        </w:rPr>
        <w:t>2.1.1.2.1.</w:t>
      </w:r>
      <w:r w:rsidR="00BB42A4">
        <w:rPr>
          <w:rFonts w:ascii="Arial" w:hAnsi="Arial" w:cs="Arial"/>
          <w:sz w:val="22"/>
          <w:lang w:val="es-ES"/>
        </w:rPr>
        <w:t>7</w:t>
      </w:r>
      <w:r w:rsidR="00D657C0">
        <w:rPr>
          <w:rFonts w:ascii="Arial" w:hAnsi="Arial" w:cs="Arial"/>
          <w:sz w:val="22"/>
          <w:lang w:val="es-ES"/>
        </w:rPr>
        <w:t xml:space="preserve">, </w:t>
      </w:r>
      <w:r w:rsidR="00D657C0" w:rsidRPr="00A13F60">
        <w:rPr>
          <w:rFonts w:ascii="Arial" w:hAnsi="Arial" w:cs="Arial"/>
          <w:sz w:val="22"/>
          <w:lang w:val="es-ES"/>
        </w:rPr>
        <w:t>2.1.1.2.1.8</w:t>
      </w:r>
      <w:r w:rsidR="00D657C0">
        <w:rPr>
          <w:rFonts w:ascii="Arial" w:hAnsi="Arial" w:cs="Arial"/>
          <w:sz w:val="22"/>
          <w:lang w:val="es-ES"/>
        </w:rPr>
        <w:t xml:space="preserve">, </w:t>
      </w:r>
      <w:r w:rsidR="00D657C0" w:rsidRPr="00A13F60">
        <w:rPr>
          <w:rFonts w:ascii="Arial" w:hAnsi="Arial" w:cs="Arial"/>
          <w:sz w:val="22"/>
          <w:lang w:val="es-ES"/>
        </w:rPr>
        <w:t>2.1.1.2.1.</w:t>
      </w:r>
      <w:r w:rsidR="00D657C0">
        <w:rPr>
          <w:rFonts w:ascii="Arial" w:hAnsi="Arial" w:cs="Arial"/>
          <w:sz w:val="22"/>
          <w:lang w:val="es-ES"/>
        </w:rPr>
        <w:t xml:space="preserve">9 y </w:t>
      </w:r>
      <w:r w:rsidR="00D657C0" w:rsidRPr="00A13F60">
        <w:rPr>
          <w:rFonts w:ascii="Arial" w:hAnsi="Arial" w:cs="Arial"/>
          <w:sz w:val="22"/>
          <w:lang w:val="es-ES"/>
        </w:rPr>
        <w:t>2.1.1.2.1.</w:t>
      </w:r>
      <w:r w:rsidR="00D657C0">
        <w:rPr>
          <w:rFonts w:ascii="Arial" w:hAnsi="Arial" w:cs="Arial"/>
          <w:sz w:val="22"/>
          <w:lang w:val="es-ES"/>
        </w:rPr>
        <w:t>10 del Decreto 1081 de 2015, que establecen los términos en los que se debe dar la respectiva publicación.</w:t>
      </w:r>
    </w:p>
    <w:p w14:paraId="2F3D2E06" w14:textId="77777777" w:rsidR="0092192B" w:rsidRPr="00A13F60" w:rsidRDefault="0092192B" w:rsidP="00A13F60">
      <w:pPr>
        <w:spacing w:line="276" w:lineRule="auto"/>
        <w:jc w:val="both"/>
        <w:rPr>
          <w:rFonts w:ascii="Arial" w:eastAsia="Calibri" w:hAnsi="Arial" w:cs="Arial"/>
          <w:color w:val="000000" w:themeColor="text1"/>
          <w:sz w:val="22"/>
          <w:lang w:val="es-ES"/>
        </w:rPr>
      </w:pPr>
    </w:p>
    <w:p w14:paraId="3CE50B85" w14:textId="77777777" w:rsidR="00A13F60" w:rsidRPr="00A13F60" w:rsidRDefault="00A13F60" w:rsidP="00A13F60">
      <w:pPr>
        <w:pStyle w:val="Prrafodelista"/>
        <w:tabs>
          <w:tab w:val="left" w:pos="0"/>
        </w:tabs>
        <w:spacing w:after="120" w:line="276" w:lineRule="auto"/>
        <w:ind w:left="0"/>
        <w:jc w:val="both"/>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2.2. Cómputo del término de publicidad de</w:t>
      </w:r>
      <w:r w:rsidRPr="00A13F60">
        <w:rPr>
          <w:b/>
          <w:lang w:val="es-ES"/>
        </w:rPr>
        <w:t xml:space="preserve"> </w:t>
      </w:r>
      <w:r w:rsidRPr="00A13F60">
        <w:rPr>
          <w:rFonts w:ascii="Arial" w:hAnsi="Arial" w:cs="Arial"/>
          <w:b/>
          <w:sz w:val="22"/>
          <w:szCs w:val="20"/>
          <w:lang w:val="es-ES"/>
        </w:rPr>
        <w:t xml:space="preserve">los </w:t>
      </w:r>
      <w:r w:rsidRPr="00A13F60">
        <w:rPr>
          <w:rFonts w:ascii="Arial" w:eastAsia="Calibri" w:hAnsi="Arial" w:cs="Arial"/>
          <w:b/>
          <w:color w:val="000000" w:themeColor="text1"/>
          <w:sz w:val="22"/>
          <w:lang w:val="es-ES"/>
        </w:rPr>
        <w:t>Documentos del Proceso y los actos administrativos del Proceso de Contratación</w:t>
      </w:r>
    </w:p>
    <w:p w14:paraId="39F7BA7E" w14:textId="77777777" w:rsidR="00A13F60" w:rsidRPr="00A13F60" w:rsidRDefault="00A13F60" w:rsidP="00A13F60">
      <w:pPr>
        <w:pStyle w:val="Prrafodelista"/>
        <w:tabs>
          <w:tab w:val="left" w:pos="0"/>
        </w:tabs>
        <w:spacing w:line="276" w:lineRule="auto"/>
        <w:ind w:left="0"/>
        <w:contextualSpacing w:val="0"/>
        <w:jc w:val="both"/>
        <w:rPr>
          <w:rFonts w:ascii="Arial" w:eastAsia="Calibri" w:hAnsi="Arial" w:cs="Arial"/>
          <w:bCs/>
          <w:color w:val="000000" w:themeColor="text1"/>
          <w:sz w:val="22"/>
          <w:lang w:val="es-ES"/>
        </w:rPr>
      </w:pPr>
    </w:p>
    <w:p w14:paraId="4AD23776" w14:textId="77777777" w:rsidR="006C5BF1" w:rsidRPr="000E0391" w:rsidRDefault="006C5BF1" w:rsidP="006C5BF1">
      <w:pPr>
        <w:pStyle w:val="Prrafodelista"/>
        <w:tabs>
          <w:tab w:val="left" w:pos="0"/>
        </w:tabs>
        <w:spacing w:after="120" w:line="276" w:lineRule="auto"/>
        <w:ind w:left="0"/>
        <w:contextualSpacing w:val="0"/>
        <w:jc w:val="both"/>
        <w:rPr>
          <w:rFonts w:ascii="Arial" w:eastAsia="Calibri" w:hAnsi="Arial" w:cs="Arial"/>
          <w:bCs/>
          <w:color w:val="000000" w:themeColor="text1"/>
          <w:sz w:val="22"/>
          <w:lang w:val="es-ES"/>
        </w:rPr>
      </w:pPr>
      <w:r w:rsidRPr="00142C6F">
        <w:rPr>
          <w:rFonts w:ascii="Arial" w:eastAsia="Calibri" w:hAnsi="Arial" w:cs="Arial"/>
          <w:color w:val="000000" w:themeColor="text1"/>
          <w:sz w:val="22"/>
        </w:rPr>
        <w:t>El artículo 2.2.1.1.1.7.1 del Decreto 1082 de 2015 establece que</w:t>
      </w:r>
      <w:r>
        <w:rPr>
          <w:rFonts w:ascii="Arial" w:eastAsia="Calibri" w:hAnsi="Arial" w:cs="Arial"/>
          <w:color w:val="000000" w:themeColor="text1"/>
          <w:sz w:val="22"/>
        </w:rPr>
        <w:t xml:space="preserve"> las entidades estatales, en desarrollo de su actividad contractual, se encuentran obligadas a publicar en el SECOP los Documentos del Proceso y los actos administrativos del Proceso de Contratación, dentro de los tres (3) días siguientes a su expedición.</w:t>
      </w:r>
      <w:r w:rsidRPr="00E85B58">
        <w:rPr>
          <w:rFonts w:ascii="Arial" w:eastAsia="Calibri" w:hAnsi="Arial" w:cs="Arial"/>
          <w:bCs/>
          <w:color w:val="000000" w:themeColor="text1"/>
          <w:sz w:val="22"/>
          <w:lang w:val="es-ES"/>
        </w:rPr>
        <w:t xml:space="preserve"> </w:t>
      </w:r>
    </w:p>
    <w:p w14:paraId="7DA684E7" w14:textId="77777777" w:rsidR="006C5BF1" w:rsidRDefault="006C5BF1" w:rsidP="006C5BF1">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Conviene </w:t>
      </w:r>
      <w:r>
        <w:rPr>
          <w:rFonts w:ascii="Arial" w:eastAsia="Calibri" w:hAnsi="Arial" w:cs="Arial"/>
          <w:bCs/>
          <w:color w:val="000000" w:themeColor="text1"/>
          <w:sz w:val="22"/>
          <w:lang w:val="es-ES"/>
        </w:rPr>
        <w:t xml:space="preserve">precisar </w:t>
      </w:r>
      <w:r w:rsidRPr="00E85B58">
        <w:rPr>
          <w:rFonts w:ascii="Arial" w:eastAsia="Calibri" w:hAnsi="Arial" w:cs="Arial"/>
          <w:bCs/>
          <w:color w:val="000000" w:themeColor="text1"/>
          <w:sz w:val="22"/>
          <w:lang w:val="es-ES"/>
        </w:rPr>
        <w:t>que</w:t>
      </w:r>
      <w:r>
        <w:rPr>
          <w:rFonts w:ascii="Arial" w:eastAsia="Calibri" w:hAnsi="Arial" w:cs="Arial"/>
          <w:bCs/>
          <w:color w:val="000000" w:themeColor="text1"/>
          <w:sz w:val="22"/>
          <w:lang w:val="es-ES"/>
        </w:rPr>
        <w:t xml:space="preserve"> el término de días al que </w:t>
      </w:r>
      <w:r w:rsidRPr="00E85B58">
        <w:rPr>
          <w:rFonts w:ascii="Arial" w:eastAsia="Calibri" w:hAnsi="Arial" w:cs="Arial"/>
          <w:bCs/>
          <w:color w:val="000000" w:themeColor="text1"/>
          <w:sz w:val="22"/>
          <w:lang w:val="es-ES"/>
        </w:rPr>
        <w:t xml:space="preserve">se refiere la ley es un tiempo </w:t>
      </w:r>
      <w:r>
        <w:rPr>
          <w:rFonts w:ascii="Arial" w:eastAsia="Calibri" w:hAnsi="Arial" w:cs="Arial"/>
          <w:bCs/>
          <w:color w:val="000000" w:themeColor="text1"/>
          <w:sz w:val="22"/>
          <w:lang w:val="es-ES"/>
        </w:rPr>
        <w:t>máximo</w:t>
      </w:r>
      <w:r w:rsidRPr="00E85B58">
        <w:rPr>
          <w:rFonts w:ascii="Arial" w:eastAsia="Calibri" w:hAnsi="Arial" w:cs="Arial"/>
          <w:bCs/>
          <w:color w:val="000000" w:themeColor="text1"/>
          <w:sz w:val="22"/>
          <w:lang w:val="es-ES"/>
        </w:rPr>
        <w:t>,</w:t>
      </w:r>
      <w:r>
        <w:rPr>
          <w:rFonts w:ascii="Arial" w:eastAsia="Calibri" w:hAnsi="Arial" w:cs="Arial"/>
          <w:bCs/>
          <w:color w:val="000000" w:themeColor="text1"/>
          <w:sz w:val="22"/>
          <w:lang w:val="es-ES"/>
        </w:rPr>
        <w:t xml:space="preserve"> de forma que </w:t>
      </w:r>
      <w:r w:rsidRPr="00E85B58">
        <w:rPr>
          <w:rFonts w:ascii="Arial" w:eastAsia="Calibri" w:hAnsi="Arial" w:cs="Arial"/>
          <w:bCs/>
          <w:color w:val="000000" w:themeColor="text1"/>
          <w:sz w:val="22"/>
          <w:lang w:val="es-ES"/>
        </w:rPr>
        <w:t xml:space="preserve">las entidades </w:t>
      </w:r>
      <w:r>
        <w:rPr>
          <w:rFonts w:ascii="Arial" w:eastAsia="Calibri" w:hAnsi="Arial" w:cs="Arial"/>
          <w:bCs/>
          <w:color w:val="000000" w:themeColor="text1"/>
          <w:sz w:val="22"/>
          <w:lang w:val="es-ES"/>
        </w:rPr>
        <w:t xml:space="preserve">públicas, si así lo consideran, podrán publicar en el SECOP los documentos a que hace referencia el precitado artículo en un tiempo menor, </w:t>
      </w:r>
      <w:r>
        <w:rPr>
          <w:rFonts w:ascii="Arial" w:eastAsia="Calibri" w:hAnsi="Arial" w:cs="Arial"/>
          <w:bCs/>
          <w:color w:val="000000" w:themeColor="text1"/>
          <w:sz w:val="22"/>
          <w:lang w:val="es-ES"/>
        </w:rPr>
        <w:lastRenderedPageBreak/>
        <w:t xml:space="preserve">pero en ningún caso podrán exceder dicho plazo, salvo en las excepciones previstas por la ley. No obstante, el Decreto no especifica si se trata de días hábiles o días calendario. </w:t>
      </w:r>
      <w:r w:rsidRPr="00F55D05">
        <w:rPr>
          <w:rFonts w:ascii="Arial" w:eastAsia="Calibri" w:hAnsi="Arial" w:cs="Arial"/>
          <w:bCs/>
          <w:color w:val="000000" w:themeColor="text1"/>
          <w:sz w:val="22"/>
          <w:lang w:val="es-ES"/>
        </w:rPr>
        <w:t xml:space="preserve"> </w:t>
      </w:r>
    </w:p>
    <w:p w14:paraId="7845865A" w14:textId="569CA5A4" w:rsidR="006C5BF1" w:rsidRPr="00E85B58" w:rsidRDefault="006C5BF1" w:rsidP="006C5BF1">
      <w:pPr>
        <w:tabs>
          <w:tab w:val="left" w:pos="0"/>
        </w:tabs>
        <w:spacing w:before="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Pr="00E85B58">
        <w:rPr>
          <w:rFonts w:ascii="Arial" w:eastAsia="Calibri" w:hAnsi="Arial" w:cs="Arial"/>
          <w:bCs/>
          <w:color w:val="000000" w:themeColor="text1"/>
          <w:sz w:val="22"/>
          <w:lang w:val="es-ES"/>
        </w:rPr>
        <w:t xml:space="preserve">A pesar </w:t>
      </w:r>
      <w:r>
        <w:rPr>
          <w:rFonts w:ascii="Arial" w:eastAsia="Calibri" w:hAnsi="Arial" w:cs="Arial"/>
          <w:bCs/>
          <w:color w:val="000000" w:themeColor="text1"/>
          <w:sz w:val="22"/>
          <w:lang w:val="es-ES"/>
        </w:rPr>
        <w:t>de que en la consagración de dicho término no se especifique si el mismo está conformado por días hábiles o calendario</w:t>
      </w:r>
      <w:r w:rsidRPr="00E85B58">
        <w:rPr>
          <w:rFonts w:ascii="Arial" w:eastAsia="Calibri" w:hAnsi="Arial" w:cs="Arial"/>
          <w:bCs/>
          <w:color w:val="000000" w:themeColor="text1"/>
          <w:sz w:val="22"/>
          <w:lang w:val="es-ES"/>
        </w:rPr>
        <w:t>, existen normas supletivas que tienen como función servir de pautas para el cómputo de términos previstos en la ley, cuando no ha sido regulado de forma específica por las disposiciones que consagran dichos plazos. Los artículos 59 y 62 de la Ley 4 de 1913 determinan:</w:t>
      </w:r>
    </w:p>
    <w:p w14:paraId="1E403564" w14:textId="77777777" w:rsidR="006C5BF1" w:rsidRPr="00E85B58" w:rsidRDefault="006C5BF1" w:rsidP="006C5BF1">
      <w:pPr>
        <w:tabs>
          <w:tab w:val="left" w:pos="0"/>
        </w:tabs>
        <w:spacing w:line="276" w:lineRule="auto"/>
        <w:jc w:val="both"/>
        <w:rPr>
          <w:rFonts w:ascii="Arial" w:eastAsia="Calibri" w:hAnsi="Arial" w:cs="Arial"/>
          <w:bCs/>
          <w:color w:val="000000" w:themeColor="text1"/>
          <w:sz w:val="22"/>
          <w:lang w:val="es-ES"/>
        </w:rPr>
      </w:pPr>
    </w:p>
    <w:p w14:paraId="204CF933" w14:textId="77777777" w:rsidR="006C5BF1" w:rsidRPr="00E85B58" w:rsidRDefault="006C5BF1" w:rsidP="006C5BF1">
      <w:pPr>
        <w:tabs>
          <w:tab w:val="left" w:pos="0"/>
        </w:tabs>
        <w:ind w:left="709" w:right="709"/>
        <w:jc w:val="both"/>
        <w:rPr>
          <w:rFonts w:ascii="Arial" w:hAnsi="Arial" w:cs="Arial"/>
          <w:color w:val="000000" w:themeColor="text1"/>
          <w:sz w:val="21"/>
          <w:szCs w:val="21"/>
        </w:rPr>
      </w:pPr>
      <w:r w:rsidRPr="00E85B58">
        <w:rPr>
          <w:rStyle w:val="Textoennegrita"/>
          <w:rFonts w:ascii="Arial" w:hAnsi="Arial" w:cs="Arial"/>
          <w:color w:val="000000" w:themeColor="text1"/>
          <w:sz w:val="21"/>
          <w:szCs w:val="21"/>
        </w:rPr>
        <w:t>Artículo 59.</w:t>
      </w:r>
      <w:r w:rsidRPr="00E85B58">
        <w:rPr>
          <w:rFonts w:ascii="Arial" w:hAnsi="Arial" w:cs="Arial"/>
          <w:color w:val="000000" w:themeColor="text1"/>
          <w:sz w:val="21"/>
          <w:szCs w:val="21"/>
        </w:rPr>
        <w:t> Todos los plazos de días, meses o años, del que se haga mención legal, se entenderán que terminan a la medianoche del último día del plazo. Por año y por mes se entienden los del calendario común, y por día el espacio de veinticuatro horas; pero en la ejecución de las penas se estará a lo que disponga la ley penal. </w:t>
      </w:r>
    </w:p>
    <w:p w14:paraId="4400D206" w14:textId="77777777" w:rsidR="006C5BF1" w:rsidRPr="00E85B58" w:rsidRDefault="006C5BF1" w:rsidP="006C5BF1">
      <w:pPr>
        <w:tabs>
          <w:tab w:val="left" w:pos="0"/>
        </w:tabs>
        <w:ind w:left="709" w:right="709"/>
        <w:jc w:val="both"/>
        <w:rPr>
          <w:rFonts w:ascii="Arial" w:hAnsi="Arial" w:cs="Arial"/>
          <w:color w:val="000000" w:themeColor="text1"/>
          <w:sz w:val="21"/>
          <w:szCs w:val="21"/>
        </w:rPr>
      </w:pPr>
      <w:r w:rsidRPr="00E85B58">
        <w:rPr>
          <w:rFonts w:ascii="Arial" w:hAnsi="Arial" w:cs="Arial"/>
          <w:color w:val="000000" w:themeColor="text1"/>
          <w:sz w:val="21"/>
          <w:szCs w:val="21"/>
        </w:rPr>
        <w:t>[…]</w:t>
      </w:r>
    </w:p>
    <w:p w14:paraId="6E86085E" w14:textId="77777777" w:rsidR="006C5BF1" w:rsidRPr="00F12388" w:rsidRDefault="006C5BF1" w:rsidP="006C5BF1">
      <w:pPr>
        <w:tabs>
          <w:tab w:val="left" w:pos="0"/>
        </w:tabs>
        <w:ind w:left="709" w:right="709"/>
        <w:jc w:val="both"/>
        <w:rPr>
          <w:rFonts w:ascii="Arial" w:hAnsi="Arial" w:cs="Arial"/>
          <w:b/>
          <w:bCs/>
          <w:color w:val="000000" w:themeColor="text1"/>
          <w:sz w:val="21"/>
          <w:szCs w:val="21"/>
        </w:rPr>
      </w:pPr>
      <w:r w:rsidRPr="00E85B58">
        <w:rPr>
          <w:rStyle w:val="Textoennegrita"/>
          <w:rFonts w:ascii="Arial" w:hAnsi="Arial" w:cs="Arial"/>
          <w:color w:val="000000" w:themeColor="text1"/>
          <w:sz w:val="21"/>
          <w:szCs w:val="21"/>
        </w:rPr>
        <w:t>Artículo 62.</w:t>
      </w:r>
      <w:r w:rsidRPr="00E85B58">
        <w:rPr>
          <w:rFonts w:ascii="Arial" w:hAnsi="Arial" w:cs="Arial"/>
          <w:color w:val="000000" w:themeColor="text1"/>
          <w:sz w:val="21"/>
          <w:szCs w:val="21"/>
        </w:rPr>
        <w:t> En los plazos de días que se señalen en las leyes y actos oficiales, se entienden suprimidos los feriados y de vacantes, a menos de expresarse lo contrario. Los de meses y años se computan según el calendario; pero si el último día fuere feriado o de vacante, se extenderá el plazo hasta el primer día hábil. </w:t>
      </w:r>
    </w:p>
    <w:p w14:paraId="26FBF656" w14:textId="77777777" w:rsidR="006C5BF1" w:rsidRPr="00E85B58" w:rsidRDefault="006C5BF1" w:rsidP="006C5BF1">
      <w:pPr>
        <w:tabs>
          <w:tab w:val="left" w:pos="0"/>
        </w:tabs>
        <w:spacing w:line="276" w:lineRule="auto"/>
        <w:jc w:val="both"/>
        <w:rPr>
          <w:rFonts w:ascii="Arial" w:eastAsia="Calibri" w:hAnsi="Arial" w:cs="Arial"/>
          <w:bCs/>
          <w:color w:val="000000" w:themeColor="text1"/>
          <w:sz w:val="22"/>
          <w:lang w:val="es-ES"/>
        </w:rPr>
      </w:pPr>
    </w:p>
    <w:p w14:paraId="2B260235" w14:textId="77777777" w:rsidR="006C5BF1" w:rsidRDefault="006C5BF1" w:rsidP="006C5BF1">
      <w:pPr>
        <w:tabs>
          <w:tab w:val="left" w:pos="0"/>
        </w:tabs>
        <w:spacing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r>
      <w:r>
        <w:rPr>
          <w:rFonts w:ascii="Arial" w:eastAsia="Calibri" w:hAnsi="Arial" w:cs="Arial"/>
          <w:bCs/>
          <w:color w:val="000000" w:themeColor="text1"/>
          <w:sz w:val="22"/>
          <w:lang w:val="es-ES"/>
        </w:rPr>
        <w:t>Como se advierte, e</w:t>
      </w:r>
      <w:r w:rsidRPr="00E85B58">
        <w:rPr>
          <w:rFonts w:ascii="Arial" w:eastAsia="Calibri" w:hAnsi="Arial" w:cs="Arial"/>
          <w:bCs/>
          <w:color w:val="000000" w:themeColor="text1"/>
          <w:sz w:val="22"/>
          <w:lang w:val="es-ES"/>
        </w:rPr>
        <w:t xml:space="preserve">l artículo 59 establece que los plazos </w:t>
      </w:r>
      <w:r>
        <w:rPr>
          <w:rFonts w:ascii="Arial" w:eastAsia="Calibri" w:hAnsi="Arial" w:cs="Arial"/>
          <w:bCs/>
          <w:color w:val="000000" w:themeColor="text1"/>
          <w:sz w:val="22"/>
          <w:lang w:val="es-ES"/>
        </w:rPr>
        <w:t>de días que se establezcan</w:t>
      </w:r>
      <w:r w:rsidRPr="00E85B58">
        <w:rPr>
          <w:rFonts w:ascii="Arial" w:eastAsia="Calibri" w:hAnsi="Arial" w:cs="Arial"/>
          <w:bCs/>
          <w:color w:val="000000" w:themeColor="text1"/>
          <w:sz w:val="22"/>
          <w:lang w:val="es-ES"/>
        </w:rPr>
        <w:t xml:space="preserve"> en la ley terminan a la medianoche, y que por </w:t>
      </w:r>
      <w:r w:rsidRPr="00E85B58">
        <w:rPr>
          <w:rFonts w:ascii="Arial" w:eastAsia="Calibri" w:hAnsi="Arial" w:cs="Arial"/>
          <w:bCs/>
          <w:i/>
          <w:iCs/>
          <w:color w:val="000000" w:themeColor="text1"/>
          <w:sz w:val="22"/>
          <w:lang w:val="es-ES"/>
        </w:rPr>
        <w:t xml:space="preserve">día </w:t>
      </w:r>
      <w:r w:rsidRPr="00E85B58">
        <w:rPr>
          <w:rFonts w:ascii="Arial" w:eastAsia="Calibri" w:hAnsi="Arial" w:cs="Arial"/>
          <w:bCs/>
          <w:color w:val="000000" w:themeColor="text1"/>
          <w:sz w:val="22"/>
          <w:lang w:val="es-ES"/>
        </w:rPr>
        <w:t xml:space="preserve">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w:t>
      </w:r>
      <w:r>
        <w:rPr>
          <w:rFonts w:ascii="Arial" w:eastAsia="Calibri" w:hAnsi="Arial" w:cs="Arial"/>
          <w:bCs/>
          <w:color w:val="000000" w:themeColor="text1"/>
          <w:sz w:val="22"/>
          <w:lang w:val="es-ES"/>
        </w:rPr>
        <w:t xml:space="preserve">Como se advierte, plazos de días como el establecido en el artículo </w:t>
      </w:r>
      <w:r w:rsidRPr="00142C6F">
        <w:rPr>
          <w:rFonts w:ascii="Arial" w:eastAsia="Calibri" w:hAnsi="Arial" w:cs="Arial"/>
          <w:color w:val="000000" w:themeColor="text1"/>
          <w:sz w:val="22"/>
        </w:rPr>
        <w:t>2.2.1.1.1.7.1</w:t>
      </w:r>
      <w:r>
        <w:rPr>
          <w:rFonts w:ascii="Arial" w:eastAsia="Calibri" w:hAnsi="Arial" w:cs="Arial"/>
          <w:color w:val="000000" w:themeColor="text1"/>
          <w:sz w:val="22"/>
        </w:rPr>
        <w:t xml:space="preserve"> del Decreto 1082 de 2015, no involucran días vacantes o feriados.</w:t>
      </w:r>
      <w:r>
        <w:rPr>
          <w:rFonts w:ascii="Arial" w:eastAsia="Calibri" w:hAnsi="Arial" w:cs="Arial"/>
          <w:bCs/>
          <w:color w:val="000000" w:themeColor="text1"/>
          <w:sz w:val="22"/>
          <w:lang w:val="es-ES"/>
        </w:rPr>
        <w:t xml:space="preserve"> </w:t>
      </w:r>
    </w:p>
    <w:p w14:paraId="6C2F713C" w14:textId="77777777" w:rsidR="006C5BF1" w:rsidRPr="00E85B58" w:rsidRDefault="006C5BF1" w:rsidP="006C5BF1">
      <w:pPr>
        <w:tabs>
          <w:tab w:val="left" w:pos="0"/>
        </w:tabs>
        <w:spacing w:before="120"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ab/>
      </w:r>
      <w:r w:rsidRPr="00E85B58">
        <w:rPr>
          <w:rFonts w:ascii="Arial" w:eastAsia="Calibri" w:hAnsi="Arial" w:cs="Arial"/>
          <w:bCs/>
          <w:color w:val="000000" w:themeColor="text1"/>
          <w:sz w:val="22"/>
          <w:lang w:val="es-ES"/>
        </w:rPr>
        <w:t>La ausencia de definición legal de día hábil autoriza</w:t>
      </w:r>
      <w:r>
        <w:rPr>
          <w:rFonts w:ascii="Arial" w:eastAsia="Calibri" w:hAnsi="Arial" w:cs="Arial"/>
          <w:bCs/>
          <w:color w:val="000000" w:themeColor="text1"/>
          <w:sz w:val="22"/>
          <w:lang w:val="es-ES"/>
        </w:rPr>
        <w:t xml:space="preserve"> a</w:t>
      </w:r>
      <w:r w:rsidRPr="00E85B58">
        <w:rPr>
          <w:rFonts w:ascii="Arial" w:eastAsia="Calibri" w:hAnsi="Arial" w:cs="Arial"/>
          <w:bCs/>
          <w:color w:val="000000" w:themeColor="text1"/>
          <w:sz w:val="22"/>
          <w:lang w:val="es-ES"/>
        </w:rPr>
        <w:t xml:space="preserve"> acudir al sentido natural y obvio de la palabra hábil, encontrándonos las siguientes acepciones «1. adj. Capaz de realizar con éxito una tarea manual. 2. adj. Dotado del talento para actuar adecuadamente o lograr su objetivo. 3. adj. Propio de una persona hábil. 4. adj. Apto o adecuado para algo. 5. adj. Dicho de un período de tiempo: Establecido como válido o computable para realizar una actividad, especialmente administrativa o judicial»</w:t>
      </w:r>
      <w:r w:rsidRPr="00E85B58">
        <w:rPr>
          <w:rStyle w:val="Refdenotaalpie"/>
          <w:rFonts w:ascii="Arial" w:eastAsia="Calibri" w:hAnsi="Arial" w:cs="Arial"/>
          <w:bCs/>
          <w:color w:val="000000" w:themeColor="text1"/>
          <w:sz w:val="22"/>
          <w:lang w:val="es-ES"/>
        </w:rPr>
        <w:footnoteReference w:id="10"/>
      </w:r>
      <w:r w:rsidRPr="00E85B58">
        <w:rPr>
          <w:rFonts w:ascii="Arial" w:eastAsia="Calibri" w:hAnsi="Arial" w:cs="Arial"/>
          <w:bCs/>
          <w:color w:val="000000" w:themeColor="text1"/>
          <w:sz w:val="22"/>
          <w:lang w:val="es-ES"/>
        </w:rPr>
        <w:t>. La última acepción se ajusta al entendimiento normativo</w:t>
      </w:r>
      <w:r>
        <w:rPr>
          <w:rFonts w:ascii="Arial" w:eastAsia="Calibri" w:hAnsi="Arial" w:cs="Arial"/>
          <w:bCs/>
          <w:color w:val="000000" w:themeColor="text1"/>
          <w:sz w:val="22"/>
          <w:lang w:val="es-ES"/>
        </w:rPr>
        <w:t>. En ese sentido, s</w:t>
      </w:r>
      <w:r w:rsidRPr="00E85B58">
        <w:rPr>
          <w:rFonts w:ascii="Arial" w:eastAsia="Calibri" w:hAnsi="Arial" w:cs="Arial"/>
          <w:bCs/>
          <w:color w:val="000000" w:themeColor="text1"/>
          <w:sz w:val="22"/>
          <w:lang w:val="es-ES"/>
        </w:rPr>
        <w:t xml:space="preserve">i bien las reglas establecidas en </w:t>
      </w:r>
      <w:r>
        <w:rPr>
          <w:rFonts w:ascii="Arial" w:eastAsia="Calibri" w:hAnsi="Arial" w:cs="Arial"/>
          <w:bCs/>
          <w:color w:val="000000" w:themeColor="text1"/>
          <w:sz w:val="22"/>
          <w:lang w:val="es-ES"/>
        </w:rPr>
        <w:t xml:space="preserve">las </w:t>
      </w:r>
      <w:r w:rsidRPr="00E85B58">
        <w:rPr>
          <w:rFonts w:ascii="Arial" w:eastAsia="Calibri" w:hAnsi="Arial" w:cs="Arial"/>
          <w:bCs/>
          <w:color w:val="000000" w:themeColor="text1"/>
          <w:sz w:val="22"/>
          <w:lang w:val="es-ES"/>
        </w:rPr>
        <w:t>normas</w:t>
      </w:r>
      <w:r>
        <w:rPr>
          <w:rFonts w:ascii="Arial" w:eastAsia="Calibri" w:hAnsi="Arial" w:cs="Arial"/>
          <w:bCs/>
          <w:color w:val="000000" w:themeColor="text1"/>
          <w:sz w:val="22"/>
          <w:lang w:val="es-ES"/>
        </w:rPr>
        <w:t xml:space="preserve"> transcritas</w:t>
      </w:r>
      <w:r w:rsidRPr="00E85B58">
        <w:rPr>
          <w:rFonts w:ascii="Arial" w:eastAsia="Calibri" w:hAnsi="Arial" w:cs="Arial"/>
          <w:bCs/>
          <w:color w:val="000000" w:themeColor="text1"/>
          <w:sz w:val="22"/>
          <w:lang w:val="es-ES"/>
        </w:rPr>
        <w:t xml:space="preserve"> no definen l</w:t>
      </w:r>
      <w:r>
        <w:rPr>
          <w:rFonts w:ascii="Arial" w:eastAsia="Calibri" w:hAnsi="Arial" w:cs="Arial"/>
          <w:bCs/>
          <w:color w:val="000000" w:themeColor="text1"/>
          <w:sz w:val="22"/>
          <w:lang w:val="es-ES"/>
        </w:rPr>
        <w:t>o que debe entenderse por</w:t>
      </w:r>
      <w:r w:rsidRPr="00E85B58">
        <w:rPr>
          <w:rFonts w:ascii="Arial" w:eastAsia="Calibri" w:hAnsi="Arial" w:cs="Arial"/>
          <w:bCs/>
          <w:color w:val="000000" w:themeColor="text1"/>
          <w:sz w:val="22"/>
          <w:lang w:val="es-ES"/>
        </w:rPr>
        <w:t xml:space="preserve"> día </w:t>
      </w:r>
      <w:r w:rsidRPr="00C07E81">
        <w:rPr>
          <w:rFonts w:ascii="Arial" w:eastAsia="Calibri" w:hAnsi="Arial" w:cs="Arial"/>
          <w:bCs/>
          <w:i/>
          <w:iCs/>
          <w:color w:val="000000" w:themeColor="text1"/>
          <w:sz w:val="22"/>
          <w:lang w:val="es-ES"/>
        </w:rPr>
        <w:t>hábil</w:t>
      </w:r>
      <w:r w:rsidRPr="00E85B58">
        <w:rPr>
          <w:rFonts w:ascii="Arial" w:eastAsia="Calibri" w:hAnsi="Arial" w:cs="Arial"/>
          <w:bCs/>
          <w:color w:val="000000" w:themeColor="text1"/>
          <w:sz w:val="22"/>
          <w:lang w:val="es-ES"/>
        </w:rPr>
        <w:t>, sí denotan cierta antonimia con los vacantes y feriados, lo cual, en línea con la definición de uso común a la que antes se hacía referencia, indica que por hábiles se entiende los días laborables</w:t>
      </w:r>
      <w:r w:rsidRPr="00E85B58">
        <w:rPr>
          <w:rStyle w:val="Refdenotaalpie"/>
          <w:rFonts w:ascii="Arial" w:eastAsia="Calibri" w:hAnsi="Arial" w:cs="Arial"/>
          <w:bCs/>
          <w:color w:val="000000" w:themeColor="text1"/>
          <w:sz w:val="22"/>
          <w:lang w:val="es-ES"/>
        </w:rPr>
        <w:footnoteReference w:id="11"/>
      </w:r>
      <w:r w:rsidRPr="00E85B58">
        <w:rPr>
          <w:rFonts w:ascii="Arial" w:eastAsia="Calibri" w:hAnsi="Arial" w:cs="Arial"/>
          <w:bCs/>
          <w:color w:val="000000" w:themeColor="text1"/>
          <w:sz w:val="22"/>
          <w:lang w:val="es-ES"/>
        </w:rPr>
        <w:t>.</w:t>
      </w:r>
    </w:p>
    <w:p w14:paraId="7317FDA9" w14:textId="77777777" w:rsidR="006C5BF1" w:rsidRPr="00E85B58" w:rsidRDefault="006C5BF1" w:rsidP="006C5BF1">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lastRenderedPageBreak/>
        <w:tab/>
        <w:t xml:space="preserve"> Con ello coincide la jurisprudencia de vieja data del Consejo de Estado, que al interpretar el contenido del artículo 62 de la Ley 4 de 1913</w:t>
      </w:r>
      <w:r>
        <w:rPr>
          <w:rFonts w:ascii="Arial" w:eastAsia="Calibri" w:hAnsi="Arial" w:cs="Arial"/>
          <w:bCs/>
          <w:color w:val="000000" w:themeColor="text1"/>
          <w:sz w:val="22"/>
          <w:lang w:val="es-ES"/>
        </w:rPr>
        <w:t>,</w:t>
      </w:r>
      <w:r w:rsidRPr="00E85B58">
        <w:rPr>
          <w:rFonts w:ascii="Arial" w:eastAsia="Calibri" w:hAnsi="Arial" w:cs="Arial"/>
          <w:bCs/>
          <w:color w:val="000000" w:themeColor="text1"/>
          <w:sz w:val="22"/>
          <w:lang w:val="es-ES"/>
        </w:rPr>
        <w:t xml:space="preserve"> ha relacionado los días hábiles con conceptos como el de «Despacho Público» y «días laborables forzosos», que implican que el entendimiento normativo de los días hábiles est</w:t>
      </w:r>
      <w:r>
        <w:rPr>
          <w:rFonts w:ascii="Arial" w:eastAsia="Calibri" w:hAnsi="Arial" w:cs="Arial"/>
          <w:bCs/>
          <w:color w:val="000000" w:themeColor="text1"/>
          <w:sz w:val="22"/>
          <w:lang w:val="es-ES"/>
        </w:rPr>
        <w:t>á</w:t>
      </w:r>
      <w:r w:rsidRPr="00E85B58">
        <w:rPr>
          <w:rFonts w:ascii="Arial" w:eastAsia="Calibri" w:hAnsi="Arial" w:cs="Arial"/>
          <w:bCs/>
          <w:color w:val="000000" w:themeColor="text1"/>
          <w:sz w:val="22"/>
          <w:lang w:val="es-ES"/>
        </w:rPr>
        <w:t xml:space="preserve"> relacionado con el espacio de tiempo durante el cual las entidades públicas desarrollan sus funciones administrativas y están abiertas para la atención al público. Así, por ejemplo, en la sentencia del 12 de abril de 1978 se expresó:</w:t>
      </w:r>
    </w:p>
    <w:p w14:paraId="7A6B27C3" w14:textId="77777777" w:rsidR="006C5BF1" w:rsidRPr="00E85B58" w:rsidRDefault="006C5BF1" w:rsidP="006C5BF1">
      <w:pPr>
        <w:tabs>
          <w:tab w:val="left" w:pos="0"/>
        </w:tabs>
        <w:ind w:left="709" w:right="709"/>
        <w:jc w:val="both"/>
        <w:rPr>
          <w:rFonts w:ascii="Arial" w:hAnsi="Arial" w:cs="Arial"/>
          <w:color w:val="000000" w:themeColor="text1"/>
          <w:sz w:val="21"/>
          <w:szCs w:val="21"/>
          <w:lang w:val="es-ES"/>
        </w:rPr>
      </w:pPr>
    </w:p>
    <w:p w14:paraId="7BE16F47" w14:textId="77777777" w:rsidR="006C5BF1" w:rsidRPr="00E85B58" w:rsidRDefault="006C5BF1" w:rsidP="006C5BF1">
      <w:pPr>
        <w:tabs>
          <w:tab w:val="left" w:pos="0"/>
        </w:tabs>
        <w:ind w:left="709" w:right="709"/>
        <w:jc w:val="both"/>
        <w:rPr>
          <w:rFonts w:ascii="Arial" w:eastAsia="Calibri" w:hAnsi="Arial" w:cs="Arial"/>
          <w:bCs/>
          <w:color w:val="000000" w:themeColor="text1"/>
          <w:sz w:val="21"/>
          <w:szCs w:val="21"/>
          <w:lang w:val="es-ES"/>
        </w:rPr>
      </w:pPr>
      <w:r w:rsidRPr="00E85B58">
        <w:rPr>
          <w:rFonts w:ascii="Arial" w:hAnsi="Arial" w:cs="Arial"/>
          <w:color w:val="000000" w:themeColor="text1"/>
          <w:sz w:val="21"/>
          <w:szCs w:val="21"/>
        </w:rPr>
        <w:t xml:space="preserve">Debe entenderse por otra parte, que cuando la Ley habla de la supresión en los plazos de días de los de vacancia y feriados, se está refiriendo a los actos producidos por la Administración en las dependencias en que no hay despacho público en tales días y no pueden por lo tanto expedirse actos administrativos con consecuencias legales. Es «Despacho Público» el mantenimiento de la oficina abierta al público para ejecutar los actos y despachar los asuntos que corresponden a las funciones del empleo en los términos señalados en la Ley. Por lo </w:t>
      </w:r>
      <w:proofErr w:type="gramStart"/>
      <w:r w:rsidRPr="00E85B58">
        <w:rPr>
          <w:rFonts w:ascii="Arial" w:hAnsi="Arial" w:cs="Arial"/>
          <w:color w:val="000000" w:themeColor="text1"/>
          <w:sz w:val="21"/>
          <w:szCs w:val="21"/>
        </w:rPr>
        <w:t>tanto</w:t>
      </w:r>
      <w:proofErr w:type="gramEnd"/>
      <w:r w:rsidRPr="00E85B58">
        <w:rPr>
          <w:rFonts w:ascii="Arial" w:hAnsi="Arial" w:cs="Arial"/>
          <w:color w:val="000000" w:themeColor="text1"/>
          <w:sz w:val="21"/>
          <w:szCs w:val="21"/>
        </w:rPr>
        <w:t xml:space="preserve"> hay despacho cuando se tiene facultad para laborar, despachar los asuntos y ejecutar los actos propios de sus atribuciones; así no se haya empleado esa facultad. Entonces, las sesiones de la Asamblea en sábados, domingos y </w:t>
      </w:r>
      <w:proofErr w:type="gramStart"/>
      <w:r w:rsidRPr="00E85B58">
        <w:rPr>
          <w:rFonts w:ascii="Arial" w:hAnsi="Arial" w:cs="Arial"/>
          <w:color w:val="000000" w:themeColor="text1"/>
          <w:sz w:val="21"/>
          <w:szCs w:val="21"/>
        </w:rPr>
        <w:t>lunes,</w:t>
      </w:r>
      <w:proofErr w:type="gramEnd"/>
      <w:r w:rsidRPr="00E85B58">
        <w:rPr>
          <w:rFonts w:ascii="Arial" w:hAnsi="Arial" w:cs="Arial"/>
          <w:color w:val="000000" w:themeColor="text1"/>
          <w:sz w:val="21"/>
          <w:szCs w:val="21"/>
        </w:rPr>
        <w:t xml:space="preserve"> tienen la virtud y fuerza suficientes para producir o causar todos los efectos, aunque las sesiones no se hayan realizado efectivamente</w:t>
      </w:r>
      <w:r w:rsidRPr="00E85B58">
        <w:rPr>
          <w:rStyle w:val="Refdenotaalpie"/>
          <w:rFonts w:ascii="Arial" w:hAnsi="Arial" w:cs="Arial"/>
          <w:color w:val="000000" w:themeColor="text1"/>
          <w:sz w:val="21"/>
          <w:szCs w:val="21"/>
        </w:rPr>
        <w:footnoteReference w:id="12"/>
      </w:r>
      <w:r w:rsidRPr="00E85B58">
        <w:rPr>
          <w:rFonts w:ascii="Arial" w:hAnsi="Arial" w:cs="Arial"/>
          <w:color w:val="000000" w:themeColor="text1"/>
          <w:sz w:val="21"/>
          <w:szCs w:val="21"/>
        </w:rPr>
        <w:t>.</w:t>
      </w:r>
    </w:p>
    <w:p w14:paraId="1276F859" w14:textId="77777777" w:rsidR="006C5BF1" w:rsidRPr="00E85B58" w:rsidRDefault="006C5BF1" w:rsidP="006C5BF1">
      <w:pPr>
        <w:tabs>
          <w:tab w:val="left" w:pos="0"/>
        </w:tabs>
        <w:spacing w:line="276" w:lineRule="auto"/>
        <w:jc w:val="both"/>
        <w:rPr>
          <w:rFonts w:ascii="Arial" w:eastAsia="Calibri" w:hAnsi="Arial" w:cs="Arial"/>
          <w:bCs/>
          <w:color w:val="000000" w:themeColor="text1"/>
          <w:sz w:val="22"/>
          <w:lang w:val="es-ES"/>
        </w:rPr>
      </w:pPr>
    </w:p>
    <w:p w14:paraId="7922240D" w14:textId="77777777" w:rsidR="006C5BF1" w:rsidRPr="00E85B58" w:rsidRDefault="006C5BF1" w:rsidP="006C5BF1">
      <w:pPr>
        <w:tabs>
          <w:tab w:val="left" w:pos="0"/>
        </w:tabs>
        <w:spacing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 xml:space="preserve">Posteriormente, en el auto del 26 de febrero de 1983, </w:t>
      </w:r>
      <w:r>
        <w:rPr>
          <w:rFonts w:ascii="Arial" w:eastAsia="Calibri" w:hAnsi="Arial" w:cs="Arial"/>
          <w:bCs/>
          <w:color w:val="000000" w:themeColor="text1"/>
          <w:sz w:val="22"/>
          <w:lang w:val="es-ES"/>
        </w:rPr>
        <w:t xml:space="preserve">al Alto Tribunal </w:t>
      </w:r>
      <w:r w:rsidRPr="00E85B58">
        <w:rPr>
          <w:rFonts w:ascii="Arial" w:eastAsia="Calibri" w:hAnsi="Arial" w:cs="Arial"/>
          <w:bCs/>
          <w:color w:val="000000" w:themeColor="text1"/>
          <w:sz w:val="22"/>
          <w:lang w:val="es-ES"/>
        </w:rPr>
        <w:t>manifestó que el cómputo de los días hábiles de los que trata la norma debe hacerse con relación a los «días laborables forzosos», introduciendo un criterio para determinar lo que se entiende por día hábil en los siguientes términos:</w:t>
      </w:r>
    </w:p>
    <w:p w14:paraId="2DCE0FFE" w14:textId="77777777" w:rsidR="006C5BF1" w:rsidRPr="00E85B58" w:rsidRDefault="006C5BF1" w:rsidP="006C5BF1">
      <w:pPr>
        <w:jc w:val="both"/>
        <w:rPr>
          <w:rFonts w:ascii="Arial" w:eastAsia="Times New Roman" w:hAnsi="Arial" w:cs="Arial"/>
          <w:color w:val="000000" w:themeColor="text1"/>
          <w:sz w:val="21"/>
          <w:szCs w:val="21"/>
          <w:lang w:val="es-ES" w:eastAsia="es-CO"/>
        </w:rPr>
      </w:pPr>
    </w:p>
    <w:p w14:paraId="5548541F" w14:textId="77777777" w:rsidR="006C5BF1" w:rsidRPr="00E85B58" w:rsidRDefault="006C5BF1" w:rsidP="006C5BF1">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[E]l cómputo de días hábiles de que trata el artículo 62 de la Ley 4.ª de 1913 debe realizarse con base en los días laborables forzosos, teniendo por tales todos los del año, excluidos los señalados por la ley como de descanso remunerado.</w:t>
      </w:r>
    </w:p>
    <w:p w14:paraId="52D002BA" w14:textId="77777777" w:rsidR="006C5BF1" w:rsidRPr="00E85B58" w:rsidRDefault="006C5BF1" w:rsidP="006C5BF1">
      <w:pPr>
        <w:ind w:left="709" w:right="709"/>
        <w:jc w:val="both"/>
        <w:rPr>
          <w:rFonts w:ascii="Arial" w:eastAsia="Times New Roman" w:hAnsi="Arial" w:cs="Arial"/>
          <w:color w:val="000000" w:themeColor="text1"/>
          <w:sz w:val="21"/>
          <w:szCs w:val="21"/>
          <w:lang w:val="es-CO" w:eastAsia="es-CO"/>
        </w:rPr>
      </w:pPr>
    </w:p>
    <w:p w14:paraId="11056EC4" w14:textId="77777777" w:rsidR="006C5BF1" w:rsidRDefault="006C5BF1" w:rsidP="006C5BF1">
      <w:pPr>
        <w:ind w:left="709" w:right="709"/>
        <w:jc w:val="both"/>
        <w:rPr>
          <w:rFonts w:ascii="Arial" w:eastAsia="Times New Roman" w:hAnsi="Arial" w:cs="Arial"/>
          <w:color w:val="000000" w:themeColor="text1"/>
          <w:sz w:val="21"/>
          <w:szCs w:val="21"/>
          <w:lang w:val="es-CO" w:eastAsia="es-CO"/>
        </w:rPr>
      </w:pPr>
      <w:r w:rsidRPr="00E85B58">
        <w:rPr>
          <w:rFonts w:ascii="Arial" w:eastAsia="Times New Roman" w:hAnsi="Arial" w:cs="Arial"/>
          <w:color w:val="000000" w:themeColor="text1"/>
          <w:sz w:val="21"/>
          <w:szCs w:val="21"/>
          <w:lang w:val="es-CO" w:eastAsia="es-CO"/>
        </w:rPr>
        <w:t xml:space="preserve">Así, el criterio que determina el carácter de hábil de los días, para el cómputo de los términos legales, es el de su </w:t>
      </w:r>
      <w:proofErr w:type="spellStart"/>
      <w:r w:rsidRPr="00E85B58">
        <w:rPr>
          <w:rFonts w:ascii="Arial" w:eastAsia="Times New Roman" w:hAnsi="Arial" w:cs="Arial"/>
          <w:color w:val="000000" w:themeColor="text1"/>
          <w:sz w:val="21"/>
          <w:szCs w:val="21"/>
          <w:lang w:val="es-CO" w:eastAsia="es-CO"/>
        </w:rPr>
        <w:t>laborabilidad</w:t>
      </w:r>
      <w:proofErr w:type="spellEnd"/>
      <w:r w:rsidRPr="00E85B58">
        <w:rPr>
          <w:rFonts w:ascii="Arial" w:eastAsia="Times New Roman" w:hAnsi="Arial" w:cs="Arial"/>
          <w:color w:val="000000" w:themeColor="text1"/>
          <w:sz w:val="21"/>
          <w:szCs w:val="21"/>
          <w:lang w:val="es-CO" w:eastAsia="es-CO"/>
        </w:rPr>
        <w:t xml:space="preserve"> [sic]. Ello implica que son hábiles aquellos para los que no hay disposición legal expresa que exima del deber de trabajar, vale decir, los ordinarios, días en los que deben funcionar las oficinas públicas; y no hábiles aquellos para los cuales la ley ha previsto el derecho a descanso remunerado; tales son los domingos, los previstos por el artículo </w:t>
      </w:r>
      <w:proofErr w:type="gramStart"/>
      <w:r w:rsidRPr="00E85B58">
        <w:rPr>
          <w:rFonts w:ascii="Arial" w:eastAsia="Times New Roman" w:hAnsi="Arial" w:cs="Arial"/>
          <w:color w:val="000000" w:themeColor="text1"/>
          <w:sz w:val="21"/>
          <w:szCs w:val="21"/>
          <w:lang w:val="es-CO" w:eastAsia="es-CO"/>
        </w:rPr>
        <w:t>1.°</w:t>
      </w:r>
      <w:proofErr w:type="gramEnd"/>
      <w:r w:rsidRPr="00E85B58">
        <w:rPr>
          <w:rFonts w:ascii="Arial" w:eastAsia="Times New Roman" w:hAnsi="Arial" w:cs="Arial"/>
          <w:color w:val="000000" w:themeColor="text1"/>
          <w:sz w:val="21"/>
          <w:szCs w:val="21"/>
          <w:lang w:val="es-CO" w:eastAsia="es-CO"/>
        </w:rPr>
        <w:t xml:space="preserve"> de la Ley 51 de 1983 y los señalados como vacancia para la rama jurisdiccional, el Ministerio Público y las direcciones de instrucción criminal. Cabe anotar que para algunas oficinas no son hábiles los sábados, en cuanto no funcionan en </w:t>
      </w:r>
      <w:r w:rsidRPr="00E85B58">
        <w:rPr>
          <w:rFonts w:ascii="Arial" w:eastAsia="Times New Roman" w:hAnsi="Arial" w:cs="Arial"/>
          <w:color w:val="000000" w:themeColor="text1"/>
          <w:sz w:val="21"/>
          <w:szCs w:val="21"/>
          <w:lang w:val="es-CO" w:eastAsia="es-CO"/>
        </w:rPr>
        <w:lastRenderedPageBreak/>
        <w:t>esos días por trasladarse la respectiva jornada, en extensión de la ordinaria, a los demás de la semana</w:t>
      </w:r>
      <w:r w:rsidRPr="00E85B58">
        <w:rPr>
          <w:rStyle w:val="Refdenotaalpie"/>
          <w:rFonts w:ascii="Arial" w:eastAsia="Times New Roman" w:hAnsi="Arial" w:cs="Arial"/>
          <w:color w:val="000000" w:themeColor="text1"/>
          <w:sz w:val="21"/>
          <w:szCs w:val="21"/>
          <w:lang w:val="es-CO" w:eastAsia="es-CO"/>
        </w:rPr>
        <w:footnoteReference w:id="13"/>
      </w:r>
      <w:r w:rsidRPr="00E85B58">
        <w:rPr>
          <w:rFonts w:ascii="Arial" w:eastAsia="Times New Roman" w:hAnsi="Arial" w:cs="Arial"/>
          <w:color w:val="000000" w:themeColor="text1"/>
          <w:sz w:val="21"/>
          <w:szCs w:val="21"/>
          <w:lang w:val="es-CO" w:eastAsia="es-CO"/>
        </w:rPr>
        <w:t>.</w:t>
      </w:r>
    </w:p>
    <w:p w14:paraId="18771CD6" w14:textId="77777777" w:rsidR="006C5BF1" w:rsidRPr="00E85B58" w:rsidRDefault="006C5BF1" w:rsidP="006C5BF1">
      <w:pPr>
        <w:ind w:left="709" w:right="709"/>
        <w:jc w:val="both"/>
        <w:rPr>
          <w:rFonts w:ascii="Arial" w:eastAsia="Times New Roman" w:hAnsi="Arial" w:cs="Arial"/>
          <w:color w:val="000000" w:themeColor="text1"/>
          <w:sz w:val="21"/>
          <w:szCs w:val="21"/>
          <w:lang w:val="es-CO" w:eastAsia="es-CO"/>
        </w:rPr>
      </w:pPr>
    </w:p>
    <w:p w14:paraId="2C9A0A18" w14:textId="77777777" w:rsidR="006C5BF1" w:rsidRPr="00E85B58" w:rsidRDefault="006C5BF1" w:rsidP="006C5BF1">
      <w:pPr>
        <w:tabs>
          <w:tab w:val="left" w:pos="0"/>
        </w:tabs>
        <w:spacing w:line="276" w:lineRule="auto"/>
        <w:ind w:firstLine="709"/>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Adicionalmente, el parágrafo 1 del artículo 829 del Código de Comercio</w:t>
      </w:r>
      <w:r>
        <w:rPr>
          <w:rStyle w:val="Refdenotaalpie"/>
          <w:rFonts w:ascii="Arial" w:eastAsia="Calibri" w:hAnsi="Arial" w:cs="Arial"/>
          <w:bCs/>
          <w:color w:val="000000" w:themeColor="text1"/>
          <w:sz w:val="22"/>
          <w:lang w:val="es-ES"/>
        </w:rPr>
        <w:footnoteReference w:id="14"/>
      </w:r>
      <w:r>
        <w:rPr>
          <w:rFonts w:ascii="Arial" w:eastAsia="Calibri" w:hAnsi="Arial" w:cs="Arial"/>
          <w:bCs/>
          <w:color w:val="000000" w:themeColor="text1"/>
          <w:sz w:val="22"/>
          <w:lang w:val="es-ES"/>
        </w:rPr>
        <w:t xml:space="preserve">, en concordancia con lo prescrito por la Ley 4 de 1913, establece que </w:t>
      </w:r>
      <w:r w:rsidRPr="00CF4309">
        <w:rPr>
          <w:rFonts w:ascii="Arial" w:eastAsia="Calibri" w:hAnsi="Arial" w:cs="Arial"/>
          <w:bCs/>
          <w:color w:val="000000" w:themeColor="text1"/>
          <w:sz w:val="22"/>
          <w:lang w:val="es-ES"/>
        </w:rPr>
        <w:t>los plazos en días establecidos por la ley que no señalan expresamente si se trata de días hábiles o días calendario deben entenderse como días hábiles</w:t>
      </w:r>
      <w:r>
        <w:rPr>
          <w:rFonts w:ascii="Arial" w:eastAsia="Calibri" w:hAnsi="Arial" w:cs="Arial"/>
          <w:bCs/>
          <w:color w:val="000000" w:themeColor="text1"/>
          <w:sz w:val="22"/>
          <w:lang w:val="es-ES"/>
        </w:rPr>
        <w:t>.</w:t>
      </w:r>
    </w:p>
    <w:p w14:paraId="2C821815" w14:textId="77777777" w:rsidR="006C5BF1" w:rsidRPr="00E85B58" w:rsidRDefault="006C5BF1" w:rsidP="006C5BF1">
      <w:pPr>
        <w:tabs>
          <w:tab w:val="left" w:pos="0"/>
        </w:tabs>
        <w:spacing w:before="120" w:after="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Conforme a lo anterior, los días hábiles se determinan según la entidad, ya que «cada entidad pública establece la jornada laboral, a través de su reglamento interno, dando certeza sobre los días que atienden al público, e indirectamente definiendo qué día es hábil en determinada institución»</w:t>
      </w:r>
      <w:r w:rsidRPr="00E85B58">
        <w:rPr>
          <w:rStyle w:val="Refdenotaalpie"/>
          <w:rFonts w:ascii="Arial" w:eastAsia="Calibri" w:hAnsi="Arial" w:cs="Arial"/>
          <w:bCs/>
          <w:color w:val="000000" w:themeColor="text1"/>
          <w:sz w:val="22"/>
          <w:lang w:val="es-ES"/>
        </w:rPr>
        <w:footnoteReference w:id="15"/>
      </w:r>
      <w:r w:rsidRPr="00E85B58">
        <w:rPr>
          <w:rFonts w:ascii="Arial" w:eastAsia="Calibri" w:hAnsi="Arial" w:cs="Arial"/>
          <w:bCs/>
          <w:color w:val="000000" w:themeColor="text1"/>
          <w:sz w:val="22"/>
          <w:lang w:val="es-ES"/>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 Lo anterior</w:t>
      </w:r>
      <w:r>
        <w:rPr>
          <w:rFonts w:ascii="Arial" w:eastAsia="Calibri" w:hAnsi="Arial" w:cs="Arial"/>
          <w:bCs/>
          <w:color w:val="000000" w:themeColor="text1"/>
          <w:sz w:val="22"/>
          <w:lang w:val="es-ES"/>
        </w:rPr>
        <w:t>,</w:t>
      </w:r>
      <w:r w:rsidRPr="00E85B58">
        <w:rPr>
          <w:rFonts w:ascii="Arial" w:eastAsia="Calibri" w:hAnsi="Arial" w:cs="Arial"/>
          <w:bCs/>
          <w:color w:val="000000" w:themeColor="text1"/>
          <w:sz w:val="22"/>
          <w:lang w:val="es-ES"/>
        </w:rPr>
        <w:t xml:space="preserve"> sin perjuicio de que las entidades definan en sus reglamentos internos jornadas laborales distintas, que incluyan el sábado o el domingo, como «en los numerosos municipios del país donde la Administración labora los fines de semana ―sábados y domingos― normalmente para brindarle un buen servicio a la población campesina, que acostumbra ir al casco urbano en estos dos días y descansan un día de la semana ―usualmente el miércoles―»</w:t>
      </w:r>
      <w:r w:rsidRPr="00E85B58">
        <w:rPr>
          <w:rStyle w:val="Refdenotaalpie"/>
          <w:rFonts w:ascii="Arial" w:eastAsia="Calibri" w:hAnsi="Arial" w:cs="Arial"/>
          <w:bCs/>
          <w:color w:val="000000" w:themeColor="text1"/>
          <w:sz w:val="22"/>
          <w:lang w:val="es-ES"/>
        </w:rPr>
        <w:footnoteReference w:id="16"/>
      </w:r>
      <w:r w:rsidRPr="00E85B58">
        <w:rPr>
          <w:rFonts w:ascii="Arial" w:eastAsia="Calibri" w:hAnsi="Arial" w:cs="Arial"/>
          <w:bCs/>
          <w:color w:val="000000" w:themeColor="text1"/>
          <w:sz w:val="22"/>
          <w:lang w:val="es-ES"/>
        </w:rPr>
        <w:t xml:space="preserve">, ejemplo donde los días laborables o hábiles son todos los de la semana, con excepción del miércoles. </w:t>
      </w:r>
    </w:p>
    <w:p w14:paraId="15E29D8C" w14:textId="77777777" w:rsidR="006C5BF1" w:rsidRDefault="006C5BF1" w:rsidP="006C5BF1">
      <w:pPr>
        <w:tabs>
          <w:tab w:val="left" w:pos="0"/>
        </w:tabs>
        <w:spacing w:before="120" w:line="276" w:lineRule="auto"/>
        <w:jc w:val="both"/>
        <w:rPr>
          <w:rFonts w:ascii="Arial" w:eastAsia="Calibri" w:hAnsi="Arial" w:cs="Arial"/>
          <w:bCs/>
          <w:color w:val="000000" w:themeColor="text1"/>
          <w:sz w:val="22"/>
          <w:lang w:val="es-ES"/>
        </w:rPr>
      </w:pPr>
      <w:r w:rsidRPr="00E85B58">
        <w:rPr>
          <w:rFonts w:ascii="Arial" w:eastAsia="Calibri" w:hAnsi="Arial" w:cs="Arial"/>
          <w:bCs/>
          <w:color w:val="000000" w:themeColor="text1"/>
          <w:sz w:val="22"/>
          <w:lang w:val="es-ES"/>
        </w:rPr>
        <w:tab/>
        <w:t>Lo anterior implica, respecto del término para publicar</w:t>
      </w:r>
      <w:r>
        <w:rPr>
          <w:rFonts w:ascii="Arial" w:eastAsia="Calibri" w:hAnsi="Arial" w:cs="Arial"/>
          <w:bCs/>
          <w:color w:val="000000" w:themeColor="text1"/>
          <w:sz w:val="22"/>
          <w:lang w:val="es-ES"/>
        </w:rPr>
        <w:t xml:space="preserve"> </w:t>
      </w:r>
      <w:r>
        <w:rPr>
          <w:rFonts w:ascii="Arial" w:eastAsia="Calibri" w:hAnsi="Arial" w:cs="Arial"/>
          <w:color w:val="000000" w:themeColor="text1"/>
          <w:sz w:val="22"/>
        </w:rPr>
        <w:t>los documentos del proceso y los actos administrativos del proceso de contratación</w:t>
      </w:r>
      <w:r w:rsidRPr="00E85B58">
        <w:rPr>
          <w:rFonts w:ascii="Arial" w:eastAsia="Calibri" w:hAnsi="Arial" w:cs="Arial"/>
          <w:bCs/>
          <w:color w:val="000000" w:themeColor="text1"/>
          <w:sz w:val="22"/>
          <w:lang w:val="es-ES"/>
        </w:rPr>
        <w:t>, que deberá transcurrir dentro de los días definidos por cada entidad estatal como laborables en su correspondiente reglamento o manual de funciones.</w:t>
      </w:r>
      <w:r>
        <w:rPr>
          <w:rFonts w:ascii="Arial" w:eastAsia="Calibri" w:hAnsi="Arial" w:cs="Arial"/>
          <w:bCs/>
          <w:color w:val="000000" w:themeColor="text1"/>
          <w:sz w:val="22"/>
          <w:lang w:val="es-ES"/>
        </w:rPr>
        <w:t xml:space="preserve"> Es decir que, si, por ejemplo, una entidad tiene definido como días laborales de martes a sábado, el cómputo de los tres (3) días del </w:t>
      </w:r>
      <w:r w:rsidRPr="00142C6F">
        <w:rPr>
          <w:rFonts w:ascii="Arial" w:eastAsia="Calibri" w:hAnsi="Arial" w:cs="Arial"/>
          <w:color w:val="000000" w:themeColor="text1"/>
          <w:sz w:val="22"/>
        </w:rPr>
        <w:t>artículo 2.2.1.1.1.7.1 del Decreto 1082 de 2015</w:t>
      </w:r>
      <w:r>
        <w:rPr>
          <w:rFonts w:ascii="Arial" w:eastAsia="Calibri" w:hAnsi="Arial" w:cs="Arial"/>
          <w:color w:val="000000" w:themeColor="text1"/>
          <w:sz w:val="22"/>
        </w:rPr>
        <w:t>,</w:t>
      </w:r>
      <w:r w:rsidRPr="00142C6F">
        <w:rPr>
          <w:rFonts w:ascii="Arial" w:eastAsia="Calibri" w:hAnsi="Arial" w:cs="Arial"/>
          <w:color w:val="000000" w:themeColor="text1"/>
          <w:sz w:val="22"/>
        </w:rPr>
        <w:t xml:space="preserve"> </w:t>
      </w:r>
      <w:r>
        <w:rPr>
          <w:rFonts w:ascii="Arial" w:eastAsia="Calibri" w:hAnsi="Arial" w:cs="Arial"/>
          <w:bCs/>
          <w:color w:val="000000" w:themeColor="text1"/>
          <w:sz w:val="22"/>
          <w:lang w:val="es-ES"/>
        </w:rPr>
        <w:t xml:space="preserve">deberá hacerse dentro de la jornada determinada por dicha entidad, de forma tal que, si llegado el </w:t>
      </w:r>
      <w:proofErr w:type="gramStart"/>
      <w:r>
        <w:rPr>
          <w:rFonts w:ascii="Arial" w:eastAsia="Calibri" w:hAnsi="Arial" w:cs="Arial"/>
          <w:bCs/>
          <w:color w:val="000000" w:themeColor="text1"/>
          <w:sz w:val="22"/>
          <w:lang w:val="es-ES"/>
        </w:rPr>
        <w:t>día sábado</w:t>
      </w:r>
      <w:proofErr w:type="gramEnd"/>
      <w:r>
        <w:rPr>
          <w:rFonts w:ascii="Arial" w:eastAsia="Calibri" w:hAnsi="Arial" w:cs="Arial"/>
          <w:bCs/>
          <w:color w:val="000000" w:themeColor="text1"/>
          <w:sz w:val="22"/>
          <w:lang w:val="es-ES"/>
        </w:rPr>
        <w:t xml:space="preserve"> no ha vencido el plazo, este reanudará el próximo día hábil que, en este caso hipotético, sería el martes.</w:t>
      </w:r>
    </w:p>
    <w:p w14:paraId="21A67BE1" w14:textId="79CA5A86" w:rsidR="00A13F60" w:rsidRPr="00A13F60" w:rsidRDefault="006C5BF1" w:rsidP="00A13F60">
      <w:pPr>
        <w:pStyle w:val="Prrafodelista"/>
        <w:tabs>
          <w:tab w:val="left" w:pos="0"/>
        </w:tabs>
        <w:spacing w:line="276" w:lineRule="auto"/>
        <w:ind w:left="0"/>
        <w:contextualSpacing w:val="0"/>
        <w:jc w:val="both"/>
        <w:rPr>
          <w:color w:val="000000" w:themeColor="text1"/>
          <w:sz w:val="22"/>
          <w:lang w:val="es-ES"/>
        </w:rPr>
      </w:pPr>
      <w:r w:rsidRPr="00E85B58">
        <w:rPr>
          <w:rFonts w:ascii="Arial" w:eastAsia="Calibri" w:hAnsi="Arial" w:cs="Arial"/>
          <w:bCs/>
          <w:color w:val="000000" w:themeColor="text1"/>
          <w:sz w:val="22"/>
          <w:lang w:val="es-ES"/>
        </w:rPr>
        <w:tab/>
      </w:r>
      <w:r w:rsidR="00A13F60" w:rsidRPr="00A13F60">
        <w:rPr>
          <w:rFonts w:ascii="Arial" w:eastAsia="Calibri" w:hAnsi="Arial" w:cs="Arial"/>
          <w:bCs/>
          <w:color w:val="000000" w:themeColor="text1"/>
          <w:sz w:val="22"/>
          <w:lang w:val="es-ES"/>
        </w:rPr>
        <w:tab/>
      </w:r>
    </w:p>
    <w:p w14:paraId="0AEB2D40" w14:textId="77777777" w:rsidR="00A13F60" w:rsidRPr="00A13F60" w:rsidRDefault="00A13F60" w:rsidP="00A13F60">
      <w:pPr>
        <w:pStyle w:val="Prrafodelista"/>
        <w:numPr>
          <w:ilvl w:val="0"/>
          <w:numId w:val="1"/>
        </w:numPr>
        <w:tabs>
          <w:tab w:val="left" w:pos="284"/>
        </w:tabs>
        <w:spacing w:line="276" w:lineRule="auto"/>
        <w:ind w:left="0" w:firstLine="0"/>
        <w:rPr>
          <w:rFonts w:ascii="Arial" w:eastAsia="Calibri" w:hAnsi="Arial" w:cs="Arial"/>
          <w:b/>
          <w:color w:val="000000" w:themeColor="text1"/>
          <w:sz w:val="22"/>
          <w:lang w:val="es-ES"/>
        </w:rPr>
      </w:pPr>
      <w:r w:rsidRPr="00A13F60">
        <w:rPr>
          <w:rFonts w:ascii="Arial" w:eastAsia="Calibri" w:hAnsi="Arial" w:cs="Arial"/>
          <w:b/>
          <w:color w:val="000000" w:themeColor="text1"/>
          <w:sz w:val="22"/>
          <w:lang w:val="es-ES"/>
        </w:rPr>
        <w:t>Respuesta</w:t>
      </w:r>
    </w:p>
    <w:p w14:paraId="7B33A0CD" w14:textId="77777777" w:rsidR="00A13F60" w:rsidRPr="00A13F60" w:rsidRDefault="00A13F60" w:rsidP="00A13F60">
      <w:pPr>
        <w:spacing w:line="276" w:lineRule="auto"/>
        <w:jc w:val="both"/>
        <w:rPr>
          <w:rFonts w:ascii="Arial" w:eastAsia="Calibri" w:hAnsi="Arial" w:cs="Arial"/>
          <w:color w:val="000000" w:themeColor="text1"/>
          <w:sz w:val="22"/>
          <w:lang w:val="es-ES"/>
        </w:rPr>
      </w:pPr>
    </w:p>
    <w:p w14:paraId="06ACCD4A" w14:textId="44984163" w:rsidR="00A13F60" w:rsidRPr="00A13F60" w:rsidRDefault="00A13F60" w:rsidP="00A13F60">
      <w:pPr>
        <w:ind w:left="709" w:right="709"/>
        <w:jc w:val="both"/>
        <w:rPr>
          <w:rFonts w:ascii="Arial" w:eastAsia="Calibri" w:hAnsi="Arial" w:cs="Arial"/>
          <w:color w:val="000000" w:themeColor="text1"/>
          <w:sz w:val="21"/>
          <w:szCs w:val="21"/>
          <w:lang w:val="es-ES"/>
        </w:rPr>
      </w:pPr>
      <w:r w:rsidRPr="00A13F60">
        <w:rPr>
          <w:rFonts w:ascii="Arial" w:eastAsia="Calibri" w:hAnsi="Arial" w:cs="Arial"/>
          <w:color w:val="000000" w:themeColor="text1"/>
          <w:sz w:val="21"/>
          <w:szCs w:val="21"/>
          <w:lang w:val="es-ES"/>
        </w:rPr>
        <w:t>«[Q]</w:t>
      </w:r>
      <w:proofErr w:type="spellStart"/>
      <w:r w:rsidRPr="00A13F60">
        <w:rPr>
          <w:rFonts w:ascii="Arial" w:eastAsia="Calibri" w:hAnsi="Arial" w:cs="Arial"/>
          <w:color w:val="000000" w:themeColor="text1"/>
          <w:sz w:val="21"/>
          <w:szCs w:val="21"/>
          <w:lang w:val="es-ES"/>
        </w:rPr>
        <w:t>uisiera</w:t>
      </w:r>
      <w:proofErr w:type="spellEnd"/>
      <w:r w:rsidRPr="00A13F60">
        <w:rPr>
          <w:rFonts w:ascii="Arial" w:eastAsia="Calibri" w:hAnsi="Arial" w:cs="Arial"/>
          <w:color w:val="000000" w:themeColor="text1"/>
          <w:sz w:val="21"/>
          <w:szCs w:val="21"/>
          <w:lang w:val="es-ES"/>
        </w:rPr>
        <w:t xml:space="preserve"> tener claridad con respecto a los </w:t>
      </w:r>
      <w:proofErr w:type="spellStart"/>
      <w:r w:rsidRPr="00A13F60">
        <w:rPr>
          <w:rFonts w:ascii="Arial" w:eastAsia="Calibri" w:hAnsi="Arial" w:cs="Arial"/>
          <w:color w:val="000000" w:themeColor="text1"/>
          <w:sz w:val="21"/>
          <w:szCs w:val="21"/>
          <w:lang w:val="es-ES"/>
        </w:rPr>
        <w:t>dias</w:t>
      </w:r>
      <w:proofErr w:type="spellEnd"/>
      <w:r w:rsidRPr="00A13F60">
        <w:rPr>
          <w:rFonts w:ascii="Arial" w:eastAsia="Calibri" w:hAnsi="Arial" w:cs="Arial"/>
          <w:color w:val="000000" w:themeColor="text1"/>
          <w:sz w:val="21"/>
          <w:szCs w:val="21"/>
          <w:lang w:val="es-ES"/>
        </w:rPr>
        <w:t xml:space="preserve"> [sic] a publicar, son tres siguientes al proceso. La inquietud es son </w:t>
      </w:r>
      <w:proofErr w:type="spellStart"/>
      <w:r w:rsidRPr="00A13F60">
        <w:rPr>
          <w:rFonts w:ascii="Arial" w:eastAsia="Calibri" w:hAnsi="Arial" w:cs="Arial"/>
          <w:color w:val="000000" w:themeColor="text1"/>
          <w:sz w:val="21"/>
          <w:szCs w:val="21"/>
          <w:lang w:val="es-ES"/>
        </w:rPr>
        <w:t>habiles</w:t>
      </w:r>
      <w:proofErr w:type="spellEnd"/>
      <w:r w:rsidRPr="00A13F60">
        <w:rPr>
          <w:rFonts w:ascii="Arial" w:eastAsia="Calibri" w:hAnsi="Arial" w:cs="Arial"/>
          <w:color w:val="000000" w:themeColor="text1"/>
          <w:sz w:val="21"/>
          <w:szCs w:val="21"/>
          <w:lang w:val="es-ES"/>
        </w:rPr>
        <w:t xml:space="preserve"> [sic] o calendario».</w:t>
      </w:r>
    </w:p>
    <w:p w14:paraId="2E4C4A41" w14:textId="77777777" w:rsidR="00A13F60" w:rsidRPr="00A13F60" w:rsidRDefault="00A13F60" w:rsidP="00A13F60">
      <w:pPr>
        <w:spacing w:line="276" w:lineRule="auto"/>
        <w:ind w:left="567"/>
        <w:jc w:val="both"/>
        <w:rPr>
          <w:rFonts w:ascii="Arial" w:eastAsia="Calibri" w:hAnsi="Arial" w:cs="Arial"/>
          <w:color w:val="000000" w:themeColor="text1"/>
          <w:sz w:val="22"/>
          <w:lang w:val="es-ES"/>
        </w:rPr>
      </w:pPr>
    </w:p>
    <w:p w14:paraId="4CAAB937" w14:textId="77777777" w:rsidR="006C5BF1" w:rsidRDefault="006C5BF1" w:rsidP="006C5BF1">
      <w:pPr>
        <w:spacing w:after="120" w:line="276" w:lineRule="auto"/>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De conformidad con el artículo 62 de la Ley 4 de 1913, los tres (3) días de los que consta el término</w:t>
      </w:r>
      <w:r w:rsidRPr="00027747">
        <w:rPr>
          <w:rFonts w:ascii="Arial" w:eastAsia="Calibri" w:hAnsi="Arial" w:cs="Arial"/>
          <w:bCs/>
          <w:color w:val="000000" w:themeColor="text1"/>
          <w:sz w:val="22"/>
          <w:lang w:val="es-ES"/>
        </w:rPr>
        <w:t xml:space="preserve"> </w:t>
      </w:r>
      <w:r>
        <w:rPr>
          <w:rFonts w:ascii="Arial" w:eastAsia="Calibri" w:hAnsi="Arial" w:cs="Arial"/>
          <w:bCs/>
          <w:color w:val="000000" w:themeColor="text1"/>
          <w:sz w:val="22"/>
          <w:lang w:val="es-ES"/>
        </w:rPr>
        <w:t>establecido en</w:t>
      </w:r>
      <w:r w:rsidRPr="00027747">
        <w:rPr>
          <w:rFonts w:ascii="Arial" w:eastAsia="Calibri" w:hAnsi="Arial" w:cs="Arial"/>
          <w:bCs/>
          <w:color w:val="000000" w:themeColor="text1"/>
          <w:sz w:val="22"/>
          <w:lang w:val="es-ES"/>
        </w:rPr>
        <w:t xml:space="preserve"> el artículo 2.2.1.1.1.7.1 del Decreto 1082 de 2015, </w:t>
      </w:r>
      <w:r>
        <w:rPr>
          <w:rFonts w:ascii="Arial" w:eastAsia="Calibri" w:hAnsi="Arial" w:cs="Arial"/>
          <w:bCs/>
          <w:color w:val="000000" w:themeColor="text1"/>
          <w:sz w:val="22"/>
          <w:lang w:val="es-ES"/>
        </w:rPr>
        <w:t xml:space="preserve">para la publicación de los Documentos del Proceso, deben entenderse como días hábiles. </w:t>
      </w:r>
    </w:p>
    <w:p w14:paraId="4C906339" w14:textId="77777777" w:rsidR="006C5BF1" w:rsidRDefault="006C5BF1" w:rsidP="006C5BF1">
      <w:pPr>
        <w:spacing w:line="276" w:lineRule="auto"/>
        <w:ind w:firstLine="708"/>
        <w:jc w:val="both"/>
        <w:rPr>
          <w:rFonts w:ascii="Arial" w:eastAsia="Calibri" w:hAnsi="Arial" w:cs="Arial"/>
          <w:bCs/>
          <w:color w:val="000000" w:themeColor="text1"/>
          <w:sz w:val="22"/>
          <w:lang w:val="es-ES"/>
        </w:rPr>
      </w:pPr>
      <w:r>
        <w:rPr>
          <w:rFonts w:ascii="Arial" w:eastAsia="Calibri" w:hAnsi="Arial" w:cs="Arial"/>
          <w:bCs/>
          <w:color w:val="000000" w:themeColor="text1"/>
          <w:sz w:val="22"/>
          <w:lang w:val="es-ES"/>
        </w:rPr>
        <w:t xml:space="preserve"> A tales efectos, los días hábiles </w:t>
      </w:r>
      <w:r w:rsidRPr="00027747">
        <w:rPr>
          <w:rFonts w:ascii="Arial" w:eastAsia="Calibri" w:hAnsi="Arial" w:cs="Arial"/>
          <w:bCs/>
          <w:color w:val="000000" w:themeColor="text1"/>
          <w:sz w:val="22"/>
          <w:lang w:val="es-ES"/>
        </w:rPr>
        <w:t xml:space="preserve">son aquellos de la semana durante los cuales las entidades públicas ejercen sus funciones </w:t>
      </w:r>
      <w:r>
        <w:rPr>
          <w:rFonts w:ascii="Arial" w:eastAsia="Calibri" w:hAnsi="Arial" w:cs="Arial"/>
          <w:bCs/>
          <w:color w:val="000000" w:themeColor="text1"/>
          <w:sz w:val="22"/>
          <w:lang w:val="es-ES"/>
        </w:rPr>
        <w:t xml:space="preserve">de cara </w:t>
      </w:r>
      <w:r w:rsidRPr="00027747">
        <w:rPr>
          <w:rFonts w:ascii="Arial" w:eastAsia="Calibri" w:hAnsi="Arial" w:cs="Arial"/>
          <w:bCs/>
          <w:color w:val="000000" w:themeColor="text1"/>
          <w:sz w:val="22"/>
          <w:lang w:val="es-ES"/>
        </w:rPr>
        <w:t xml:space="preserve">al público, </w:t>
      </w:r>
      <w:r>
        <w:rPr>
          <w:rFonts w:ascii="Arial" w:eastAsia="Calibri" w:hAnsi="Arial" w:cs="Arial"/>
          <w:bCs/>
          <w:color w:val="000000" w:themeColor="text1"/>
          <w:sz w:val="22"/>
          <w:lang w:val="es-ES"/>
        </w:rPr>
        <w:t>que</w:t>
      </w:r>
      <w:r w:rsidRPr="00027747">
        <w:rPr>
          <w:rFonts w:ascii="Arial" w:eastAsia="Calibri" w:hAnsi="Arial" w:cs="Arial"/>
          <w:bCs/>
          <w:color w:val="000000" w:themeColor="text1"/>
          <w:sz w:val="22"/>
          <w:lang w:val="es-ES"/>
        </w:rPr>
        <w:t xml:space="preserve"> son, por regla general, todos los días de la semana, con excepción de los sábados, domingos y feriados previstos en la generalidad de entidades como días de descanso</w:t>
      </w:r>
      <w:r>
        <w:rPr>
          <w:rFonts w:ascii="Arial" w:eastAsia="Calibri" w:hAnsi="Arial" w:cs="Arial"/>
          <w:bCs/>
          <w:color w:val="000000" w:themeColor="text1"/>
          <w:sz w:val="22"/>
          <w:lang w:val="es-ES"/>
        </w:rPr>
        <w:t xml:space="preserve">. Lo anterior, </w:t>
      </w:r>
      <w:r w:rsidRPr="00027747">
        <w:rPr>
          <w:rFonts w:ascii="Arial" w:eastAsia="Calibri" w:hAnsi="Arial" w:cs="Arial"/>
          <w:bCs/>
          <w:color w:val="000000" w:themeColor="text1"/>
          <w:sz w:val="22"/>
          <w:lang w:val="es-ES"/>
        </w:rPr>
        <w:t xml:space="preserve">sin perjuicio de que </w:t>
      </w:r>
      <w:r>
        <w:rPr>
          <w:rFonts w:ascii="Arial" w:eastAsia="Calibri" w:hAnsi="Arial" w:cs="Arial"/>
          <w:bCs/>
          <w:color w:val="000000" w:themeColor="text1"/>
          <w:sz w:val="22"/>
          <w:lang w:val="es-ES"/>
        </w:rPr>
        <w:t>las entidades estatales f</w:t>
      </w:r>
      <w:r w:rsidRPr="00027747">
        <w:rPr>
          <w:rFonts w:ascii="Arial" w:eastAsia="Calibri" w:hAnsi="Arial" w:cs="Arial"/>
          <w:bCs/>
          <w:color w:val="000000" w:themeColor="text1"/>
          <w:sz w:val="22"/>
          <w:lang w:val="es-ES"/>
        </w:rPr>
        <w:t xml:space="preserve">ijen </w:t>
      </w:r>
      <w:r>
        <w:rPr>
          <w:rFonts w:ascii="Arial" w:eastAsia="Calibri" w:hAnsi="Arial" w:cs="Arial"/>
          <w:bCs/>
          <w:color w:val="000000" w:themeColor="text1"/>
          <w:sz w:val="22"/>
          <w:lang w:val="es-ES"/>
        </w:rPr>
        <w:t xml:space="preserve">en sus reglamentos internos </w:t>
      </w:r>
      <w:r w:rsidRPr="00027747">
        <w:rPr>
          <w:rFonts w:ascii="Arial" w:eastAsia="Calibri" w:hAnsi="Arial" w:cs="Arial"/>
          <w:bCs/>
          <w:color w:val="000000" w:themeColor="text1"/>
          <w:sz w:val="22"/>
          <w:lang w:val="es-ES"/>
        </w:rPr>
        <w:t>jornadas laborales distintas</w:t>
      </w:r>
      <w:r>
        <w:rPr>
          <w:rFonts w:ascii="Arial" w:eastAsia="Calibri" w:hAnsi="Arial" w:cs="Arial"/>
          <w:bCs/>
          <w:color w:val="000000" w:themeColor="text1"/>
          <w:sz w:val="22"/>
          <w:lang w:val="es-ES"/>
        </w:rPr>
        <w:t xml:space="preserve"> que incluyan, por ejemplo, fines de semana como días hábiles.</w:t>
      </w:r>
    </w:p>
    <w:p w14:paraId="568B3F0D" w14:textId="77777777" w:rsidR="00A13F60" w:rsidRPr="00A13F60" w:rsidRDefault="00A13F60" w:rsidP="00A13F60">
      <w:pPr>
        <w:spacing w:line="276" w:lineRule="auto"/>
        <w:jc w:val="both"/>
        <w:rPr>
          <w:rFonts w:ascii="Arial" w:hAnsi="Arial" w:cs="Arial"/>
          <w:color w:val="000000" w:themeColor="text1"/>
          <w:sz w:val="22"/>
          <w:lang w:val="es-ES"/>
        </w:rPr>
      </w:pPr>
    </w:p>
    <w:p w14:paraId="36FEB6C1" w14:textId="77777777" w:rsidR="00A13F60" w:rsidRPr="00A13F60" w:rsidRDefault="00A13F60" w:rsidP="00A13F60">
      <w:pPr>
        <w:spacing w:line="276" w:lineRule="auto"/>
        <w:jc w:val="both"/>
        <w:rPr>
          <w:rFonts w:ascii="Arial" w:hAnsi="Arial" w:cs="Arial"/>
          <w:color w:val="1A1A1A" w:themeColor="background1" w:themeShade="1A"/>
          <w:sz w:val="22"/>
          <w:lang w:val="es-ES"/>
        </w:rPr>
      </w:pPr>
      <w:r w:rsidRPr="00A13F60">
        <w:rPr>
          <w:rFonts w:ascii="Arial" w:hAnsi="Arial" w:cs="Arial"/>
          <w:color w:val="1A1A1A" w:themeColor="background1" w:themeShade="1A"/>
          <w:sz w:val="22"/>
          <w:lang w:val="es-ES"/>
        </w:rPr>
        <w:t>Este concepto tiene el alcance previsto en el artículo 28 del Código de Procedimiento Administrativo y de lo Contencioso Administrativo, modificado por el artículo 1 de la Ley 1755 de 2015.</w:t>
      </w:r>
    </w:p>
    <w:p w14:paraId="32416A71" w14:textId="3C3D7627" w:rsidR="00A13F60" w:rsidRPr="00A13F60" w:rsidRDefault="00A13F60" w:rsidP="00A13F60">
      <w:pPr>
        <w:rPr>
          <w:lang w:val="es-ES"/>
        </w:rPr>
      </w:pPr>
    </w:p>
    <w:p w14:paraId="16EF3C24" w14:textId="29B1837D" w:rsidR="00A13F60" w:rsidRPr="00A13F60" w:rsidRDefault="00A13F60" w:rsidP="6A318D10">
      <w:pPr>
        <w:pStyle w:val="NormalWeb"/>
        <w:spacing w:before="0" w:beforeAutospacing="0" w:after="0" w:afterAutospacing="0" w:line="276" w:lineRule="auto"/>
        <w:jc w:val="both"/>
        <w:rPr>
          <w:rFonts w:ascii="Arial" w:hAnsi="Arial" w:cs="Arial"/>
          <w:color w:val="1A1A1A"/>
          <w:sz w:val="22"/>
          <w:szCs w:val="22"/>
          <w:lang w:val="es-ES"/>
        </w:rPr>
      </w:pPr>
      <w:r w:rsidRPr="6A318D10">
        <w:rPr>
          <w:rFonts w:ascii="Arial" w:hAnsi="Arial" w:cs="Arial"/>
          <w:color w:val="1A1A1A"/>
          <w:sz w:val="22"/>
          <w:szCs w:val="22"/>
          <w:lang w:val="es-ES"/>
        </w:rPr>
        <w:t>Atentamente,</w:t>
      </w:r>
    </w:p>
    <w:p w14:paraId="043EDA95" w14:textId="264D0A26" w:rsidR="00A13F60" w:rsidRPr="00A13F60" w:rsidRDefault="00A13F60" w:rsidP="6A318D10">
      <w:pPr>
        <w:jc w:val="center"/>
        <w:rPr>
          <w:rFonts w:ascii="Arial" w:hAnsi="Arial" w:cs="Arial"/>
          <w:sz w:val="18"/>
          <w:szCs w:val="18"/>
          <w:lang w:val="es-ES" w:eastAsia="es-CO"/>
        </w:rPr>
      </w:pPr>
    </w:p>
    <w:p w14:paraId="7A543BB3" w14:textId="77777777" w:rsidR="00A13F60" w:rsidRPr="00A13F60" w:rsidRDefault="00A13F60" w:rsidP="00A13F60">
      <w:pPr>
        <w:jc w:val="center"/>
        <w:rPr>
          <w:rFonts w:ascii="Arial" w:hAnsi="Arial" w:cs="Arial"/>
          <w:sz w:val="18"/>
          <w:szCs w:val="20"/>
          <w:lang w:val="es-ES" w:eastAsia="es-CO"/>
        </w:rPr>
      </w:pPr>
    </w:p>
    <w:p w14:paraId="6BC50F49" w14:textId="2DA5C682" w:rsidR="00A13F60" w:rsidRPr="00A13F60" w:rsidRDefault="7D5DBE50" w:rsidP="6A318D10">
      <w:pPr>
        <w:jc w:val="center"/>
      </w:pPr>
      <w:r>
        <w:rPr>
          <w:noProof/>
        </w:rPr>
        <w:drawing>
          <wp:inline distT="0" distB="0" distL="0" distR="0" wp14:anchorId="0C0FDAE3" wp14:editId="6A318D10">
            <wp:extent cx="2612976" cy="1158024"/>
            <wp:effectExtent l="0" t="0" r="0" b="0"/>
            <wp:docPr id="621779709" name="Imagen 62177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612976" cy="1158024"/>
                    </a:xfrm>
                    <a:prstGeom prst="rect">
                      <a:avLst/>
                    </a:prstGeom>
                  </pic:spPr>
                </pic:pic>
              </a:graphicData>
            </a:graphic>
          </wp:inline>
        </w:drawing>
      </w:r>
    </w:p>
    <w:p w14:paraId="01E84B73" w14:textId="77777777" w:rsidR="00A13F60" w:rsidRPr="00A13F60" w:rsidRDefault="00A13F60" w:rsidP="00A13F60">
      <w:pPr>
        <w:jc w:val="center"/>
        <w:rPr>
          <w:rFonts w:ascii="Arial" w:hAnsi="Arial" w:cs="Arial"/>
          <w:sz w:val="18"/>
          <w:szCs w:val="20"/>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413"/>
      </w:tblGrid>
      <w:tr w:rsidR="00A13F60" w:rsidRPr="00A13F60" w14:paraId="79E39BE7" w14:textId="77777777" w:rsidTr="001C329B">
        <w:trPr>
          <w:trHeight w:val="315"/>
        </w:trPr>
        <w:tc>
          <w:tcPr>
            <w:tcW w:w="1044" w:type="dxa"/>
            <w:vAlign w:val="center"/>
          </w:tcPr>
          <w:p w14:paraId="47A33765"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Elaboró:</w:t>
            </w:r>
          </w:p>
        </w:tc>
        <w:tc>
          <w:tcPr>
            <w:tcW w:w="4413" w:type="dxa"/>
            <w:tcBorders>
              <w:top w:val="nil"/>
              <w:left w:val="nil"/>
              <w:bottom w:val="dotted" w:sz="4" w:space="0" w:color="7F7F7F" w:themeColor="text1" w:themeTint="80"/>
              <w:right w:val="nil"/>
            </w:tcBorders>
            <w:vAlign w:val="center"/>
          </w:tcPr>
          <w:p w14:paraId="5B90F582"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Kevin Arlid Herrera Santa</w:t>
            </w:r>
          </w:p>
          <w:p w14:paraId="63276892"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Analista T2-04 de la Subdirección de Gestión Contractual</w:t>
            </w:r>
          </w:p>
        </w:tc>
      </w:tr>
      <w:tr w:rsidR="00A13F60" w:rsidRPr="00A13F60" w14:paraId="3733ACC9" w14:textId="77777777" w:rsidTr="001C329B">
        <w:trPr>
          <w:trHeight w:val="330"/>
        </w:trPr>
        <w:tc>
          <w:tcPr>
            <w:tcW w:w="1044" w:type="dxa"/>
            <w:vAlign w:val="center"/>
            <w:hideMark/>
          </w:tcPr>
          <w:p w14:paraId="2BE0D838"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BD39403"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Alejandro Sarmiento Cantillo</w:t>
            </w:r>
          </w:p>
          <w:p w14:paraId="2EE235B8"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Gestor T1-11 de la Subdirección de Gestión Contractual</w:t>
            </w:r>
          </w:p>
        </w:tc>
      </w:tr>
      <w:tr w:rsidR="00A13F60" w:rsidRPr="00A13F60" w14:paraId="223C6B25" w14:textId="77777777" w:rsidTr="001C329B">
        <w:trPr>
          <w:trHeight w:val="300"/>
        </w:trPr>
        <w:tc>
          <w:tcPr>
            <w:tcW w:w="1044" w:type="dxa"/>
            <w:vAlign w:val="center"/>
            <w:hideMark/>
          </w:tcPr>
          <w:p w14:paraId="547865CC"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9E62797"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Jorge Augusto Tirado Navarro</w:t>
            </w:r>
          </w:p>
          <w:p w14:paraId="7D899595" w14:textId="77777777" w:rsidR="00A13F60" w:rsidRPr="00A13F60" w:rsidRDefault="00A13F60" w:rsidP="001C329B">
            <w:pPr>
              <w:jc w:val="both"/>
              <w:rPr>
                <w:rFonts w:ascii="Arial" w:hAnsi="Arial" w:cs="Arial"/>
                <w:sz w:val="16"/>
                <w:szCs w:val="16"/>
                <w:lang w:val="es-ES" w:eastAsia="es-ES"/>
              </w:rPr>
            </w:pPr>
            <w:r w:rsidRPr="00A13F60">
              <w:rPr>
                <w:rFonts w:ascii="Arial" w:hAnsi="Arial" w:cs="Arial"/>
                <w:sz w:val="16"/>
                <w:szCs w:val="16"/>
                <w:lang w:val="es-ES" w:eastAsia="es-ES"/>
              </w:rPr>
              <w:t>Subdirector de Gestión Contractual ANCP – CCE</w:t>
            </w:r>
          </w:p>
        </w:tc>
      </w:tr>
    </w:tbl>
    <w:p w14:paraId="156E9734" w14:textId="77777777" w:rsidR="002015F8" w:rsidRPr="00A13F60" w:rsidRDefault="002015F8">
      <w:pPr>
        <w:rPr>
          <w:lang w:val="es-ES"/>
        </w:rPr>
      </w:pPr>
    </w:p>
    <w:sectPr w:rsidR="002015F8" w:rsidRPr="00A13F60" w:rsidSect="005B0C2C">
      <w:headerReference w:type="default" r:id="rId13"/>
      <w:footerReference w:type="default" r:id="rId14"/>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C16F" w14:textId="77777777" w:rsidR="007E0FD4" w:rsidRDefault="007E0FD4" w:rsidP="00A13F60">
      <w:r>
        <w:separator/>
      </w:r>
    </w:p>
  </w:endnote>
  <w:endnote w:type="continuationSeparator" w:id="0">
    <w:p w14:paraId="043EB833" w14:textId="77777777" w:rsidR="007E0FD4" w:rsidRDefault="007E0FD4" w:rsidP="00A1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75F0" w14:textId="77777777" w:rsidR="00B10353" w:rsidRPr="00F820CA" w:rsidRDefault="007E0FD4" w:rsidP="00322937">
    <w:pPr>
      <w:pStyle w:val="Sinespaciado"/>
      <w:jc w:val="right"/>
      <w:rPr>
        <w:rFonts w:ascii="Arial" w:hAnsi="Arial" w:cs="Arial"/>
        <w:sz w:val="16"/>
        <w:szCs w:val="16"/>
      </w:rPr>
    </w:pPr>
  </w:p>
  <w:p w14:paraId="1A6E484A" w14:textId="77777777" w:rsidR="00B10353" w:rsidRPr="008217B7" w:rsidRDefault="00A13F60"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13D7F908" w14:textId="77777777" w:rsidR="00B10353" w:rsidRDefault="6A318D10" w:rsidP="00322937">
    <w:pPr>
      <w:pStyle w:val="Piedepgina"/>
      <w:jc w:val="center"/>
      <w:rPr>
        <w:lang w:val="es-ES"/>
      </w:rPr>
    </w:pPr>
    <w:r>
      <w:rPr>
        <w:noProof/>
      </w:rPr>
      <w:drawing>
        <wp:inline distT="0" distB="0" distL="0" distR="0" wp14:anchorId="14D740FB" wp14:editId="14936DEB">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F795995" w14:textId="77777777" w:rsidR="00B10353" w:rsidRPr="00F820CA" w:rsidRDefault="007E0FD4" w:rsidP="007B0854">
    <w:pPr>
      <w:pStyle w:val="Piedepgina"/>
      <w:jc w:val="center"/>
      <w:rPr>
        <w:sz w:val="20"/>
        <w:szCs w:val="20"/>
        <w:lang w:val="es-ES"/>
      </w:rPr>
    </w:pPr>
  </w:p>
  <w:p w14:paraId="4D6E9360" w14:textId="77777777" w:rsidR="00B10353" w:rsidRPr="00F820CA" w:rsidRDefault="007E0FD4" w:rsidP="007B0854">
    <w:pPr>
      <w:pStyle w:val="Piedepgina"/>
      <w:jc w:val="center"/>
      <w:rPr>
        <w:sz w:val="16"/>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AB89" w14:textId="77777777" w:rsidR="007E0FD4" w:rsidRDefault="007E0FD4" w:rsidP="00A13F60">
      <w:r>
        <w:separator/>
      </w:r>
    </w:p>
  </w:footnote>
  <w:footnote w:type="continuationSeparator" w:id="0">
    <w:p w14:paraId="748B5827" w14:textId="77777777" w:rsidR="007E0FD4" w:rsidRDefault="007E0FD4" w:rsidP="00A13F60">
      <w:r>
        <w:continuationSeparator/>
      </w:r>
    </w:p>
  </w:footnote>
  <w:footnote w:id="1">
    <w:p w14:paraId="31DF491E" w14:textId="77777777" w:rsidR="00A13F60" w:rsidRPr="0062206A" w:rsidRDefault="00A13F60" w:rsidP="00A13F60">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Constitución Política de Colombia: «Artículo 209.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5E04C516" w14:textId="77777777" w:rsidR="00A13F60" w:rsidRPr="0062206A" w:rsidRDefault="00A13F60" w:rsidP="00A13F60">
      <w:pPr>
        <w:pStyle w:val="Textonotapie"/>
        <w:ind w:firstLine="709"/>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»Las</w:t>
      </w:r>
      <w:proofErr w:type="gramEnd"/>
      <w:r w:rsidRPr="0062206A">
        <w:rPr>
          <w:rFonts w:ascii="Arial" w:hAnsi="Arial" w:cs="Arial"/>
          <w:color w:val="000000" w:themeColor="text1"/>
          <w:sz w:val="19"/>
          <w:szCs w:val="19"/>
        </w:rPr>
        <w:t xml:space="preserve"> autoridades administrativas deben coordinar sus actuaciones para el adecuado cumplimiento de los fines del Estado. La administración pública, en todos sus órdenes, tendrá un control interno que se ejercerá en los términos que señale la ley».</w:t>
      </w:r>
    </w:p>
    <w:p w14:paraId="7809B7E1" w14:textId="77777777" w:rsidR="00A13F60" w:rsidRPr="0062206A" w:rsidRDefault="00A13F60" w:rsidP="00A13F60">
      <w:pPr>
        <w:pStyle w:val="Textonotapie"/>
        <w:ind w:firstLine="709"/>
        <w:rPr>
          <w:rFonts w:ascii="Arial" w:hAnsi="Arial" w:cs="Arial"/>
          <w:sz w:val="19"/>
          <w:szCs w:val="19"/>
        </w:rPr>
      </w:pPr>
    </w:p>
  </w:footnote>
  <w:footnote w:id="2">
    <w:p w14:paraId="27E0193E" w14:textId="77777777" w:rsidR="00A13F60" w:rsidRDefault="00A13F60" w:rsidP="00A13F60">
      <w:pPr>
        <w:pStyle w:val="Textonotapie"/>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Para la Corte Constitucional, de acuerdo con el artículo 209 superior, la publicidad es uno de los principios que orientan la administración y la gestión pública: «Como se aprecia, en este mandato superior, la Carta Política consagra varias máximas: (i) el servicio al interés general como objetivo fundamental de la administración pública; (</w:t>
      </w:r>
      <w:proofErr w:type="spellStart"/>
      <w:r w:rsidRPr="0062206A">
        <w:rPr>
          <w:rFonts w:ascii="Arial" w:hAnsi="Arial" w:cs="Arial"/>
          <w:sz w:val="19"/>
          <w:szCs w:val="19"/>
        </w:rPr>
        <w:t>ii</w:t>
      </w:r>
      <w:proofErr w:type="spellEnd"/>
      <w:r w:rsidRPr="0062206A">
        <w:rPr>
          <w:rFonts w:ascii="Arial" w:hAnsi="Arial" w:cs="Arial"/>
          <w:sz w:val="19"/>
          <w:szCs w:val="19"/>
        </w:rPr>
        <w:t>) la igualdad, moralidad, eficacia, economía, celeridad, imparcialidad y publicidad, como principios orientadores de la administración pública […]». Corte Constitucional. Sentencia C-826 del 13 de noviembre de 2013. M.P. Luis Ernesto Vargas Silva.</w:t>
      </w:r>
    </w:p>
    <w:p w14:paraId="5B352594" w14:textId="77777777" w:rsidR="00A13F60" w:rsidRPr="0062206A" w:rsidRDefault="00A13F60" w:rsidP="00A13F60">
      <w:pPr>
        <w:pStyle w:val="Textonotapie"/>
        <w:ind w:firstLine="709"/>
        <w:jc w:val="both"/>
        <w:rPr>
          <w:rFonts w:ascii="Arial" w:hAnsi="Arial" w:cs="Arial"/>
          <w:sz w:val="19"/>
          <w:szCs w:val="19"/>
        </w:rPr>
      </w:pPr>
    </w:p>
  </w:footnote>
  <w:footnote w:id="3">
    <w:p w14:paraId="20EF989A" w14:textId="77777777" w:rsidR="00A13F60" w:rsidRPr="0062206A" w:rsidRDefault="00A13F60" w:rsidP="00A13F60">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Corte Constitucional. Sentencia C- 341 del 4 de junio de 2014. M. P. Mauricio González Cuervo.</w:t>
      </w:r>
    </w:p>
    <w:p w14:paraId="22BE0CC3" w14:textId="77777777" w:rsidR="00A13F60" w:rsidRPr="0062206A" w:rsidRDefault="00A13F60" w:rsidP="00A13F60">
      <w:pPr>
        <w:pStyle w:val="Textonotapie"/>
        <w:ind w:firstLine="708"/>
        <w:jc w:val="both"/>
        <w:rPr>
          <w:rFonts w:ascii="Arial" w:hAnsi="Arial" w:cs="Arial"/>
          <w:color w:val="000000" w:themeColor="text1"/>
          <w:sz w:val="19"/>
          <w:szCs w:val="19"/>
        </w:rPr>
      </w:pPr>
    </w:p>
  </w:footnote>
  <w:footnote w:id="4">
    <w:p w14:paraId="6FFC4CE2" w14:textId="77777777" w:rsidR="00A13F60" w:rsidRPr="0062206A" w:rsidRDefault="00A13F60" w:rsidP="00A13F60">
      <w:pPr>
        <w:pStyle w:val="Textonotapie"/>
        <w:ind w:firstLine="708"/>
        <w:jc w:val="both"/>
        <w:rPr>
          <w:rFonts w:ascii="Arial" w:hAnsi="Arial" w:cs="Arial"/>
          <w:color w:val="000000" w:themeColor="text1"/>
          <w:sz w:val="19"/>
          <w:szCs w:val="19"/>
        </w:rPr>
      </w:pPr>
      <w:r w:rsidRPr="0062206A">
        <w:rPr>
          <w:rStyle w:val="Refdenotaalpie"/>
          <w:rFonts w:ascii="Arial" w:hAnsi="Arial" w:cs="Arial"/>
          <w:color w:val="000000" w:themeColor="text1"/>
          <w:sz w:val="19"/>
          <w:szCs w:val="19"/>
        </w:rPr>
        <w:footnoteRef/>
      </w:r>
      <w:r w:rsidRPr="0062206A">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3D1E7536" w14:textId="77777777" w:rsidR="00A13F60" w:rsidRPr="0062206A" w:rsidRDefault="00A13F60" w:rsidP="00A13F60">
      <w:pPr>
        <w:pStyle w:val="Textonotapie"/>
        <w:ind w:firstLine="708"/>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»Lo</w:t>
      </w:r>
      <w:proofErr w:type="gramEnd"/>
      <w:r w:rsidRPr="0062206A">
        <w:rPr>
          <w:rFonts w:ascii="Arial" w:hAnsi="Arial" w:cs="Arial"/>
          <w:color w:val="000000" w:themeColor="text1"/>
          <w:sz w:val="19"/>
          <w:szCs w:val="19"/>
        </w:rPr>
        <w:t xml:space="preserve"> anterior, sin perjuicio de las publicaciones previstas en el numeral 3 del artículo 30 de la Ley 80 de 1993.</w:t>
      </w:r>
    </w:p>
    <w:p w14:paraId="54835CE0" w14:textId="77777777" w:rsidR="00A13F60" w:rsidRPr="0062206A" w:rsidRDefault="00A13F60" w:rsidP="00A13F60">
      <w:pPr>
        <w:pStyle w:val="Textonotapie"/>
        <w:ind w:firstLine="708"/>
        <w:jc w:val="both"/>
        <w:rPr>
          <w:rFonts w:ascii="Arial" w:hAnsi="Arial" w:cs="Arial"/>
          <w:color w:val="000000" w:themeColor="text1"/>
          <w:sz w:val="19"/>
          <w:szCs w:val="19"/>
        </w:rPr>
      </w:pPr>
      <w:proofErr w:type="gramStart"/>
      <w:r w:rsidRPr="0062206A">
        <w:rPr>
          <w:rFonts w:ascii="Arial" w:hAnsi="Arial" w:cs="Arial"/>
          <w:color w:val="000000" w:themeColor="text1"/>
          <w:sz w:val="19"/>
          <w:szCs w:val="19"/>
        </w:rPr>
        <w:t>»Con</w:t>
      </w:r>
      <w:proofErr w:type="gramEnd"/>
      <w:r w:rsidRPr="0062206A">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62206A">
        <w:rPr>
          <w:rFonts w:ascii="Arial" w:hAnsi="Arial" w:cs="Arial"/>
          <w:color w:val="000000" w:themeColor="text1"/>
          <w:sz w:val="19"/>
          <w:szCs w:val="19"/>
        </w:rPr>
        <w:t>Secop</w:t>
      </w:r>
      <w:proofErr w:type="spellEnd"/>
      <w:r w:rsidRPr="0062206A">
        <w:rPr>
          <w:rFonts w:ascii="Arial" w:hAnsi="Arial" w:cs="Arial"/>
          <w:color w:val="000000" w:themeColor="text1"/>
          <w:sz w:val="19"/>
          <w:szCs w:val="19"/>
        </w:rPr>
        <w:t xml:space="preserve">, el cual: </w:t>
      </w:r>
    </w:p>
    <w:p w14:paraId="4E8EE96C" w14:textId="77777777" w:rsidR="00A13F60" w:rsidRPr="0062206A" w:rsidRDefault="00A13F60" w:rsidP="00A13F60">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w:t>
      </w:r>
    </w:p>
    <w:p w14:paraId="5B9DAB3A" w14:textId="77777777" w:rsidR="00A13F60" w:rsidRDefault="00A13F60" w:rsidP="00A13F60">
      <w:pPr>
        <w:pStyle w:val="Textonotapie"/>
        <w:ind w:firstLine="708"/>
        <w:jc w:val="both"/>
        <w:rPr>
          <w:rFonts w:ascii="Arial" w:hAnsi="Arial" w:cs="Arial"/>
          <w:color w:val="000000" w:themeColor="text1"/>
          <w:sz w:val="19"/>
          <w:szCs w:val="19"/>
        </w:rPr>
      </w:pPr>
      <w:r w:rsidRPr="0062206A">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ABEA57D" w14:textId="77777777" w:rsidR="00A13F60" w:rsidRPr="0062206A" w:rsidRDefault="00A13F60" w:rsidP="00A13F60">
      <w:pPr>
        <w:pStyle w:val="Textonotapie"/>
        <w:ind w:firstLine="708"/>
        <w:jc w:val="both"/>
        <w:rPr>
          <w:rFonts w:ascii="Arial" w:hAnsi="Arial" w:cs="Arial"/>
          <w:color w:val="000000" w:themeColor="text1"/>
          <w:sz w:val="19"/>
          <w:szCs w:val="19"/>
        </w:rPr>
      </w:pPr>
    </w:p>
  </w:footnote>
  <w:footnote w:id="5">
    <w:p w14:paraId="2D40DF1F" w14:textId="77777777" w:rsidR="00A13F60" w:rsidRPr="0062206A" w:rsidRDefault="00A13F60" w:rsidP="00A13F60">
      <w:pPr>
        <w:pStyle w:val="Textonotapie"/>
        <w:ind w:firstLine="708"/>
        <w:jc w:val="both"/>
        <w:rPr>
          <w:rFonts w:ascii="Arial" w:eastAsia="Calibri" w:hAnsi="Arial" w:cs="Arial"/>
          <w:sz w:val="19"/>
          <w:szCs w:val="19"/>
          <w:lang w:val="es-CO"/>
        </w:rPr>
      </w:pPr>
      <w:r w:rsidRPr="0062206A">
        <w:rPr>
          <w:rStyle w:val="Refdenotaalpie"/>
          <w:rFonts w:ascii="Arial" w:hAnsi="Arial" w:cs="Arial"/>
          <w:sz w:val="19"/>
          <w:szCs w:val="19"/>
        </w:rPr>
        <w:footnoteRef/>
      </w:r>
      <w:r w:rsidRPr="0062206A">
        <w:rPr>
          <w:rFonts w:ascii="Arial" w:hAnsi="Arial" w:cs="Arial"/>
          <w:sz w:val="19"/>
          <w:szCs w:val="19"/>
        </w:rPr>
        <w:t xml:space="preserve"> </w:t>
      </w:r>
      <w:r w:rsidRPr="0062206A">
        <w:rPr>
          <w:rFonts w:ascii="Arial" w:eastAsia="Calibri" w:hAnsi="Arial" w:cs="Arial"/>
          <w:sz w:val="19"/>
          <w:szCs w:val="19"/>
          <w:lang w:val="es-CO"/>
        </w:rPr>
        <w:t xml:space="preserve">Ley 1712 de 2014 </w:t>
      </w:r>
      <w:r w:rsidRPr="0062206A">
        <w:rPr>
          <w:rFonts w:ascii="Arial" w:eastAsia="Calibri" w:hAnsi="Arial" w:cs="Arial"/>
          <w:sz w:val="19"/>
          <w:szCs w:val="19"/>
        </w:rPr>
        <w:t>«</w:t>
      </w:r>
      <w:r w:rsidRPr="0062206A">
        <w:rPr>
          <w:rFonts w:ascii="Arial" w:eastAsia="Calibri" w:hAnsi="Arial" w:cs="Arial"/>
          <w:sz w:val="19"/>
          <w:szCs w:val="19"/>
          <w:lang w:val="es-CO"/>
        </w:rPr>
        <w:t xml:space="preserve">Artículo 5°. Ámbito de aplicación. Las disposiciones de esta ley serán aplicables a las siguientes personas en calidad de sujetos obligados:  </w:t>
      </w:r>
    </w:p>
    <w:p w14:paraId="2CBC761D"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»a</w:t>
      </w:r>
      <w:proofErr w:type="gramEnd"/>
      <w:r w:rsidRPr="0062206A">
        <w:rPr>
          <w:rFonts w:ascii="Arial" w:eastAsia="Calibri" w:hAnsi="Arial" w:cs="Arial"/>
          <w:sz w:val="19"/>
          <w:szCs w:val="19"/>
          <w:lang w:val="es-CO"/>
        </w:rPr>
        <w:t xml:space="preserve">) Toda entidad pública, incluyendo las pertenecientes a todas las Ramas del Poder Público, en todos los niveles de la estructura estatal, central o descentralizada por servicios o territorialmente, en los órdenes nacional, departamental, municipal y distrital.  </w:t>
      </w:r>
    </w:p>
    <w:p w14:paraId="550C05CF"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»b</w:t>
      </w:r>
      <w:proofErr w:type="gramEnd"/>
      <w:r w:rsidRPr="0062206A">
        <w:rPr>
          <w:rFonts w:ascii="Arial" w:eastAsia="Calibri" w:hAnsi="Arial" w:cs="Arial"/>
          <w:sz w:val="19"/>
          <w:szCs w:val="19"/>
          <w:lang w:val="es-CO"/>
        </w:rPr>
        <w:t xml:space="preserve">) Los órganos, organismos y entidades estatales independientes o autónomos y de control.  </w:t>
      </w:r>
    </w:p>
    <w:p w14:paraId="4947B6C8" w14:textId="77777777" w:rsidR="00A13F60" w:rsidRPr="0062206A" w:rsidRDefault="00A13F60" w:rsidP="00A13F60">
      <w:pPr>
        <w:ind w:firstLine="708"/>
        <w:jc w:val="both"/>
        <w:rPr>
          <w:rFonts w:ascii="Arial" w:eastAsia="Calibri" w:hAnsi="Arial" w:cs="Arial"/>
          <w:sz w:val="19"/>
          <w:szCs w:val="19"/>
          <w:lang w:val="es-CO"/>
        </w:rPr>
      </w:pPr>
      <w:r w:rsidRPr="0062206A">
        <w:rPr>
          <w:rFonts w:ascii="Arial" w:eastAsia="Calibri" w:hAnsi="Arial" w:cs="Arial"/>
          <w:sz w:val="19"/>
          <w:szCs w:val="19"/>
          <w:lang w:val="es-CO"/>
        </w:rPr>
        <w:t xml:space="preserve">»c) Las personas naturales y jurídicas, públicas o privadas, que presten función pública, que presten servicios públicos respecto de la información directamente relacionada con la prestación del servicio público.  </w:t>
      </w:r>
    </w:p>
    <w:p w14:paraId="5F3BF5AA"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»d</w:t>
      </w:r>
      <w:proofErr w:type="gramEnd"/>
      <w:r w:rsidRPr="0062206A">
        <w:rPr>
          <w:rFonts w:ascii="Arial" w:eastAsia="Calibri" w:hAnsi="Arial" w:cs="Arial"/>
          <w:sz w:val="19"/>
          <w:szCs w:val="19"/>
          <w:lang w:val="es-CO"/>
        </w:rPr>
        <w:t xml:space="preserve">) Cualquier persona natural, jurídica o dependencia de persona jurídica que desempeñe función pública o de autoridad pública, respecto de la información directamente relacionada con el desempeño de su función.  </w:t>
      </w:r>
    </w:p>
    <w:p w14:paraId="1A4C60E3"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»e</w:t>
      </w:r>
      <w:proofErr w:type="gramEnd"/>
      <w:r w:rsidRPr="0062206A">
        <w:rPr>
          <w:rFonts w:ascii="Arial" w:eastAsia="Calibri" w:hAnsi="Arial" w:cs="Arial"/>
          <w:sz w:val="19"/>
          <w:szCs w:val="19"/>
          <w:lang w:val="es-CO"/>
        </w:rPr>
        <w:t xml:space="preserve">) Las empresas públicas creadas por ley, las empresas del Estado y sociedades en que este tenga participación.  </w:t>
      </w:r>
    </w:p>
    <w:p w14:paraId="7F2DAE0A"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»f</w:t>
      </w:r>
      <w:proofErr w:type="gramEnd"/>
      <w:r w:rsidRPr="0062206A">
        <w:rPr>
          <w:rFonts w:ascii="Arial" w:eastAsia="Calibri" w:hAnsi="Arial" w:cs="Arial"/>
          <w:sz w:val="19"/>
          <w:szCs w:val="19"/>
          <w:lang w:val="es-CO"/>
        </w:rPr>
        <w:t xml:space="preserve">) Los partidos o movimientos políticos y los grupos significativos de ciudadanos.  </w:t>
      </w:r>
    </w:p>
    <w:p w14:paraId="167AC413"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»g</w:t>
      </w:r>
      <w:proofErr w:type="gramEnd"/>
      <w:r w:rsidRPr="0062206A">
        <w:rPr>
          <w:rFonts w:ascii="Arial" w:eastAsia="Calibri" w:hAnsi="Arial" w:cs="Arial"/>
          <w:sz w:val="19"/>
          <w:szCs w:val="19"/>
          <w:lang w:val="es-CO"/>
        </w:rPr>
        <w:t xml:space="preserve">) Las entidades que administren instituciones parafiscales, fondos o recursos de naturaleza u origen público.  </w:t>
      </w:r>
    </w:p>
    <w:p w14:paraId="7EC0CBEA"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»Las</w:t>
      </w:r>
      <w:proofErr w:type="gramEnd"/>
      <w:r w:rsidRPr="0062206A">
        <w:rPr>
          <w:rFonts w:ascii="Arial" w:eastAsia="Calibri" w:hAnsi="Arial" w:cs="Arial"/>
          <w:sz w:val="19"/>
          <w:szCs w:val="19"/>
          <w:lang w:val="es-CO"/>
        </w:rPr>
        <w:t xml:space="preserve">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  </w:t>
      </w:r>
    </w:p>
    <w:p w14:paraId="455BC6FE" w14:textId="77777777" w:rsidR="00A13F60" w:rsidRPr="0062206A" w:rsidRDefault="00A13F60" w:rsidP="00A13F60">
      <w:pPr>
        <w:ind w:firstLine="708"/>
        <w:jc w:val="both"/>
        <w:rPr>
          <w:rFonts w:ascii="Arial" w:eastAsia="Calibri" w:hAnsi="Arial" w:cs="Arial"/>
          <w:sz w:val="19"/>
          <w:szCs w:val="19"/>
          <w:lang w:val="es-CO"/>
        </w:rPr>
      </w:pPr>
      <w:proofErr w:type="gramStart"/>
      <w:r w:rsidRPr="0062206A">
        <w:rPr>
          <w:rFonts w:ascii="Arial" w:eastAsia="Calibri" w:hAnsi="Arial" w:cs="Arial"/>
          <w:sz w:val="19"/>
          <w:szCs w:val="19"/>
          <w:lang w:val="es-CO"/>
        </w:rPr>
        <w:t>»Parágrafo</w:t>
      </w:r>
      <w:proofErr w:type="gramEnd"/>
      <w:r w:rsidRPr="0062206A">
        <w:rPr>
          <w:rFonts w:ascii="Arial" w:eastAsia="Calibri" w:hAnsi="Arial" w:cs="Arial"/>
          <w:sz w:val="19"/>
          <w:szCs w:val="19"/>
          <w:lang w:val="es-CO"/>
        </w:rPr>
        <w:t xml:space="preserve"> 1°. No serán sujetos obligados aquellas personas naturales o jurídicas de carácter privado que sean usuarios de información pública». </w:t>
      </w:r>
    </w:p>
    <w:p w14:paraId="6CEDE932" w14:textId="77777777" w:rsidR="00A13F60" w:rsidRPr="0062206A" w:rsidRDefault="00A13F60" w:rsidP="00A13F60">
      <w:pPr>
        <w:ind w:firstLine="708"/>
        <w:jc w:val="both"/>
        <w:rPr>
          <w:rFonts w:ascii="Arial" w:eastAsia="Calibri" w:hAnsi="Arial" w:cs="Arial"/>
          <w:sz w:val="19"/>
          <w:szCs w:val="19"/>
          <w:lang w:val="es-CO"/>
        </w:rPr>
      </w:pPr>
    </w:p>
  </w:footnote>
  <w:footnote w:id="6">
    <w:p w14:paraId="1DDA0B39" w14:textId="1984620C" w:rsidR="00687032" w:rsidRPr="00BF24E4" w:rsidRDefault="00687032" w:rsidP="00BF24E4">
      <w:pPr>
        <w:pStyle w:val="Textonotapie"/>
        <w:ind w:firstLine="708"/>
        <w:jc w:val="both"/>
        <w:rPr>
          <w:rFonts w:ascii="Arial" w:hAnsi="Arial" w:cs="Arial"/>
          <w:sz w:val="19"/>
          <w:szCs w:val="19"/>
        </w:rPr>
      </w:pPr>
      <w:r w:rsidRPr="00BF24E4">
        <w:rPr>
          <w:rStyle w:val="Refdenotaalpie"/>
          <w:rFonts w:ascii="Arial" w:hAnsi="Arial" w:cs="Arial"/>
          <w:sz w:val="19"/>
          <w:szCs w:val="19"/>
        </w:rPr>
        <w:footnoteRef/>
      </w:r>
      <w:r w:rsidRPr="00BF24E4">
        <w:rPr>
          <w:rFonts w:ascii="Arial" w:hAnsi="Arial" w:cs="Arial"/>
          <w:sz w:val="19"/>
          <w:szCs w:val="19"/>
        </w:rPr>
        <w:t xml:space="preserve"> Decreto 1081 de 2015</w:t>
      </w:r>
      <w:r>
        <w:rPr>
          <w:rFonts w:ascii="Arial" w:hAnsi="Arial" w:cs="Arial"/>
          <w:sz w:val="19"/>
          <w:szCs w:val="19"/>
        </w:rPr>
        <w:t>:</w:t>
      </w:r>
      <w:r w:rsidRPr="00BF24E4">
        <w:rPr>
          <w:rFonts w:ascii="Arial" w:hAnsi="Arial" w:cs="Arial"/>
          <w:sz w:val="19"/>
          <w:szCs w:val="19"/>
        </w:rPr>
        <w:t xml:space="preserve"> «Artículo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7EBBA723" w14:textId="55D219BA" w:rsidR="00687032" w:rsidRPr="00BF24E4" w:rsidRDefault="00687032" w:rsidP="00BF24E4">
      <w:pPr>
        <w:pStyle w:val="Textonotapie"/>
        <w:ind w:firstLine="708"/>
        <w:jc w:val="both"/>
        <w:rPr>
          <w:rFonts w:ascii="Arial" w:hAnsi="Arial" w:cs="Arial"/>
          <w:sz w:val="19"/>
          <w:szCs w:val="19"/>
        </w:rPr>
      </w:pPr>
      <w:proofErr w:type="gramStart"/>
      <w:r w:rsidRPr="00BF24E4">
        <w:rPr>
          <w:rFonts w:ascii="Arial" w:hAnsi="Arial" w:cs="Arial"/>
          <w:sz w:val="19"/>
          <w:szCs w:val="19"/>
        </w:rPr>
        <w:t>»Los</w:t>
      </w:r>
      <w:proofErr w:type="gramEnd"/>
      <w:r w:rsidRPr="00BF24E4">
        <w:rPr>
          <w:rFonts w:ascii="Arial" w:hAnsi="Arial" w:cs="Arial"/>
          <w:sz w:val="19"/>
          <w:szCs w:val="19"/>
        </w:rPr>
        <w:t xml:space="preserve"> sujetos obligados que contratan con cargo a recursos públicos deben publicar la información de su gestión contractual en el plazo previsto en el artículo 19 del Decreto 1510 de 2013, o el que lo modifique, sustituya o adicione. </w:t>
      </w:r>
    </w:p>
    <w:p w14:paraId="2221CE2E" w14:textId="202D248C" w:rsidR="00687032" w:rsidRPr="00BF24E4" w:rsidRDefault="00687032" w:rsidP="00BF24E4">
      <w:pPr>
        <w:pStyle w:val="Textonotapie"/>
        <w:ind w:firstLine="708"/>
        <w:jc w:val="both"/>
        <w:rPr>
          <w:lang w:val="es-CO"/>
        </w:rPr>
      </w:pPr>
      <w:proofErr w:type="gramStart"/>
      <w:r w:rsidRPr="00BF24E4">
        <w:rPr>
          <w:rFonts w:ascii="Arial" w:hAnsi="Arial" w:cs="Arial"/>
          <w:sz w:val="19"/>
          <w:szCs w:val="19"/>
        </w:rPr>
        <w:t>»Los</w:t>
      </w:r>
      <w:proofErr w:type="gramEnd"/>
      <w:r w:rsidRPr="00BF24E4">
        <w:rPr>
          <w:rFonts w:ascii="Arial" w:hAnsi="Arial" w:cs="Arial"/>
          <w:sz w:val="19"/>
          <w:szCs w:val="19"/>
        </w:rPr>
        <w:t xml:space="preserve"> sujetos obligados que contratan con recursos públicos y recursos privados, deben publicar la información de su gestión contractual con cargo a recursos públicos en el Sistema Electrónico para la Contratación Pública (SECOP)»</w:t>
      </w:r>
    </w:p>
  </w:footnote>
  <w:footnote w:id="7">
    <w:p w14:paraId="27E53BA0" w14:textId="77777777" w:rsidR="00687032" w:rsidRDefault="00687032" w:rsidP="00A13F60">
      <w:pPr>
        <w:ind w:firstLine="709"/>
        <w:jc w:val="both"/>
        <w:rPr>
          <w:rFonts w:ascii="Arial" w:hAnsi="Arial" w:cs="Arial"/>
          <w:sz w:val="19"/>
          <w:szCs w:val="19"/>
        </w:rPr>
      </w:pPr>
    </w:p>
    <w:p w14:paraId="7E1804B8" w14:textId="6880951C" w:rsidR="00A13F60" w:rsidRDefault="00A13F60" w:rsidP="00A13F60">
      <w:pPr>
        <w:ind w:firstLine="709"/>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w:t>
      </w:r>
      <w:r w:rsidRPr="00A52EF5">
        <w:rPr>
          <w:rFonts w:ascii="Arial" w:hAnsi="Arial" w:cs="Arial"/>
          <w:sz w:val="19"/>
          <w:szCs w:val="19"/>
        </w:rPr>
        <w:t>Artículo 2.1.1.2.1.8. Publicación de la ejecución de contratos. Para efectos del cumplimiento de la obligación contenida en el literal g) del artículo 11 de la Ley 1712 de 2014, relativa a la información sobre la ejecución de contratos, el sujeto obligado debe publicar las aprobaciones, autorizaciones, requerimientos o informes del supervisor o del interventor, que prueben la ejecución del contrato</w:t>
      </w:r>
      <w:r>
        <w:rPr>
          <w:rFonts w:ascii="Arial" w:hAnsi="Arial" w:cs="Arial"/>
          <w:sz w:val="19"/>
          <w:szCs w:val="19"/>
        </w:rPr>
        <w:t>»</w:t>
      </w:r>
      <w:r w:rsidRPr="00A52EF5">
        <w:rPr>
          <w:rFonts w:ascii="Arial" w:hAnsi="Arial" w:cs="Arial"/>
          <w:sz w:val="19"/>
          <w:szCs w:val="19"/>
        </w:rPr>
        <w:t xml:space="preserve">. </w:t>
      </w:r>
    </w:p>
    <w:p w14:paraId="7A79F3DC" w14:textId="77777777" w:rsidR="00A13F60" w:rsidRPr="0062206A" w:rsidRDefault="00A13F60" w:rsidP="00A13F60">
      <w:pPr>
        <w:ind w:firstLine="709"/>
        <w:jc w:val="both"/>
        <w:rPr>
          <w:rFonts w:ascii="Arial" w:hAnsi="Arial" w:cs="Arial"/>
          <w:sz w:val="19"/>
          <w:szCs w:val="19"/>
        </w:rPr>
      </w:pPr>
    </w:p>
  </w:footnote>
  <w:footnote w:id="8">
    <w:p w14:paraId="338D4A37" w14:textId="77777777" w:rsidR="00A13F60" w:rsidRDefault="00A13F60" w:rsidP="00A13F60">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2.1.1.2.1.9. Publicación de procedimientos, lineamientos y políticas en materia de adquisición y compras. Para los sujetos obligados que contratan con cargo a recursos públicos, los procedimientos, lineamientos y políticas en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r w:rsidRPr="0062206A">
        <w:rPr>
          <w:rFonts w:ascii="Arial" w:hAnsi="Arial" w:cs="Arial"/>
          <w:sz w:val="19"/>
          <w:szCs w:val="19"/>
        </w:rPr>
        <w:t>».</w:t>
      </w:r>
    </w:p>
    <w:p w14:paraId="4E64ED3B" w14:textId="77777777" w:rsidR="00A13F60" w:rsidRPr="0062206A" w:rsidRDefault="00A13F60" w:rsidP="00A13F60">
      <w:pPr>
        <w:ind w:firstLine="707"/>
        <w:jc w:val="both"/>
        <w:rPr>
          <w:rFonts w:ascii="Arial" w:hAnsi="Arial" w:cs="Arial"/>
          <w:sz w:val="19"/>
          <w:szCs w:val="19"/>
        </w:rPr>
      </w:pPr>
    </w:p>
  </w:footnote>
  <w:footnote w:id="9">
    <w:p w14:paraId="10EDD4B1" w14:textId="77777777" w:rsidR="00A13F60" w:rsidRPr="00A52EF5" w:rsidRDefault="00A13F60" w:rsidP="00A13F60">
      <w:pPr>
        <w:ind w:firstLine="707"/>
        <w:jc w:val="both"/>
        <w:rPr>
          <w:rFonts w:ascii="Arial" w:hAnsi="Arial" w:cs="Arial"/>
          <w:sz w:val="19"/>
          <w:szCs w:val="19"/>
        </w:rPr>
      </w:pPr>
      <w:r w:rsidRPr="0062206A">
        <w:rPr>
          <w:rStyle w:val="Refdenotaalpie"/>
          <w:rFonts w:ascii="Arial" w:hAnsi="Arial" w:cs="Arial"/>
          <w:sz w:val="19"/>
          <w:szCs w:val="19"/>
        </w:rPr>
        <w:footnoteRef/>
      </w:r>
      <w:r w:rsidRPr="0062206A">
        <w:rPr>
          <w:rFonts w:ascii="Arial" w:hAnsi="Arial" w:cs="Arial"/>
          <w:sz w:val="19"/>
          <w:szCs w:val="19"/>
        </w:rPr>
        <w:t xml:space="preserve"> Decreto 10</w:t>
      </w:r>
      <w:r>
        <w:rPr>
          <w:rFonts w:ascii="Arial" w:hAnsi="Arial" w:cs="Arial"/>
          <w:sz w:val="19"/>
          <w:szCs w:val="19"/>
        </w:rPr>
        <w:t>81</w:t>
      </w:r>
      <w:r w:rsidRPr="0062206A">
        <w:rPr>
          <w:rFonts w:ascii="Arial" w:hAnsi="Arial" w:cs="Arial"/>
          <w:sz w:val="19"/>
          <w:szCs w:val="19"/>
        </w:rPr>
        <w:t xml:space="preserve"> de 2015: «Artículo </w:t>
      </w:r>
      <w:r w:rsidRPr="00A52EF5">
        <w:rPr>
          <w:rFonts w:ascii="Arial" w:hAnsi="Arial" w:cs="Arial"/>
          <w:sz w:val="19"/>
          <w:szCs w:val="19"/>
        </w:rPr>
        <w:t xml:space="preserve">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0F053F21" w14:textId="77777777" w:rsidR="00A13F60" w:rsidRPr="00A52EF5" w:rsidRDefault="00A13F60" w:rsidP="00A13F60">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Los</w:t>
      </w:r>
      <w:proofErr w:type="gramEnd"/>
      <w:r w:rsidRPr="00A52EF5">
        <w:rPr>
          <w:rFonts w:ascii="Arial" w:hAnsi="Arial" w:cs="Arial"/>
          <w:sz w:val="19"/>
          <w:szCs w:val="19"/>
        </w:rPr>
        <w:t xml:space="preserve"> sujetos obligados que no contratan con cargo a recursos públicos no están obligados a publicar su Plan Anual de Adquisiciones. </w:t>
      </w:r>
    </w:p>
    <w:p w14:paraId="57538AA3" w14:textId="77777777" w:rsidR="00A13F60" w:rsidRPr="00A52EF5" w:rsidRDefault="00A13F60" w:rsidP="00A13F60">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Los</w:t>
      </w:r>
      <w:proofErr w:type="gramEnd"/>
      <w:r w:rsidRPr="00A52EF5">
        <w:rPr>
          <w:rFonts w:ascii="Arial" w:hAnsi="Arial" w:cs="Arial"/>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3AFA6B27" w14:textId="77777777" w:rsidR="00A13F60" w:rsidRPr="0062206A" w:rsidRDefault="00A13F60" w:rsidP="00A13F60">
      <w:pPr>
        <w:ind w:firstLine="707"/>
        <w:jc w:val="both"/>
        <w:rPr>
          <w:rFonts w:ascii="Arial" w:hAnsi="Arial" w:cs="Arial"/>
          <w:sz w:val="19"/>
          <w:szCs w:val="19"/>
        </w:rPr>
      </w:pPr>
      <w:proofErr w:type="gramStart"/>
      <w:r>
        <w:rPr>
          <w:rFonts w:ascii="Arial" w:hAnsi="Arial" w:cs="Arial"/>
          <w:sz w:val="19"/>
          <w:szCs w:val="19"/>
        </w:rPr>
        <w:t>»</w:t>
      </w:r>
      <w:r w:rsidRPr="00A52EF5">
        <w:rPr>
          <w:rFonts w:ascii="Arial" w:hAnsi="Arial" w:cs="Arial"/>
          <w:sz w:val="19"/>
          <w:szCs w:val="19"/>
        </w:rPr>
        <w:t>Se</w:t>
      </w:r>
      <w:proofErr w:type="gramEnd"/>
      <w:r w:rsidRPr="00A52EF5">
        <w:rPr>
          <w:rFonts w:ascii="Arial" w:hAnsi="Arial" w:cs="Arial"/>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r>
        <w:rPr>
          <w:rFonts w:ascii="Arial" w:hAnsi="Arial" w:cs="Arial"/>
          <w:sz w:val="19"/>
          <w:szCs w:val="19"/>
        </w:rPr>
        <w:t>»</w:t>
      </w:r>
      <w:r w:rsidRPr="00A52EF5">
        <w:rPr>
          <w:rFonts w:ascii="Arial" w:hAnsi="Arial" w:cs="Arial"/>
          <w:sz w:val="19"/>
          <w:szCs w:val="19"/>
        </w:rPr>
        <w:t>.</w:t>
      </w:r>
    </w:p>
    <w:p w14:paraId="33ED8C23" w14:textId="77777777" w:rsidR="00A13F60" w:rsidRPr="0062206A" w:rsidRDefault="00A13F60" w:rsidP="00A13F60">
      <w:pPr>
        <w:pStyle w:val="Textonotapie"/>
        <w:rPr>
          <w:rFonts w:ascii="Arial" w:hAnsi="Arial" w:cs="Arial"/>
          <w:sz w:val="19"/>
          <w:szCs w:val="19"/>
        </w:rPr>
      </w:pPr>
    </w:p>
  </w:footnote>
  <w:footnote w:id="10">
    <w:p w14:paraId="15A713ED" w14:textId="65FFC19F" w:rsidR="006C5BF1" w:rsidRDefault="006C5BF1" w:rsidP="006C5BF1">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Real Academia Española de la Lengua. Diccionario de la Lengua Española. Edición Tricentenario. Disponible en: </w:t>
      </w:r>
      <w:hyperlink r:id="rId1" w:history="1">
        <w:r w:rsidRPr="00E85B58">
          <w:rPr>
            <w:rStyle w:val="Hipervnculo"/>
            <w:rFonts w:ascii="Arial" w:hAnsi="Arial" w:cs="Arial"/>
            <w:color w:val="000000" w:themeColor="text1"/>
            <w:sz w:val="18"/>
            <w:szCs w:val="18"/>
          </w:rPr>
          <w:t>https://dle.rae.es/h%C3%A1bil</w:t>
        </w:r>
      </w:hyperlink>
      <w:r w:rsidRPr="00E85B58">
        <w:rPr>
          <w:rFonts w:ascii="Arial" w:hAnsi="Arial" w:cs="Arial"/>
          <w:color w:val="000000" w:themeColor="text1"/>
          <w:sz w:val="18"/>
          <w:szCs w:val="18"/>
          <w:lang w:val="es-CO"/>
        </w:rPr>
        <w:t xml:space="preserve"> </w:t>
      </w:r>
    </w:p>
    <w:p w14:paraId="1FB3E175" w14:textId="77777777" w:rsidR="0053592A" w:rsidRPr="00E85B58" w:rsidRDefault="0053592A" w:rsidP="006C5BF1">
      <w:pPr>
        <w:pStyle w:val="Textonotapie"/>
        <w:ind w:firstLine="708"/>
        <w:jc w:val="both"/>
        <w:rPr>
          <w:rFonts w:ascii="Arial" w:hAnsi="Arial" w:cs="Arial"/>
          <w:color w:val="000000" w:themeColor="text1"/>
          <w:sz w:val="18"/>
          <w:szCs w:val="18"/>
          <w:lang w:val="es-CO"/>
        </w:rPr>
      </w:pPr>
    </w:p>
  </w:footnote>
  <w:footnote w:id="11">
    <w:p w14:paraId="45B42AC9" w14:textId="77777777" w:rsidR="006C5BF1" w:rsidRPr="00E85B58" w:rsidRDefault="006C5BF1" w:rsidP="006C5BF1">
      <w:pPr>
        <w:pStyle w:val="Textonotapie"/>
        <w:ind w:firstLine="708"/>
        <w:rPr>
          <w:rFonts w:ascii="Arial" w:hAnsi="Arial" w:cs="Arial"/>
          <w:color w:val="000000" w:themeColor="text1"/>
          <w:sz w:val="18"/>
          <w:szCs w:val="18"/>
        </w:rPr>
      </w:pPr>
      <w:r w:rsidRPr="00E85B58">
        <w:rPr>
          <w:rStyle w:val="Refdenotaalpie"/>
          <w:color w:val="000000" w:themeColor="text1"/>
        </w:rPr>
        <w:footnoteRef/>
      </w:r>
      <w:r w:rsidRPr="00E85B58">
        <w:rPr>
          <w:color w:val="000000" w:themeColor="text1"/>
        </w:rPr>
        <w:t xml:space="preserve"> </w:t>
      </w:r>
      <w:r w:rsidRPr="00E85B58">
        <w:rPr>
          <w:rFonts w:ascii="Arial" w:hAnsi="Arial" w:cs="Arial"/>
          <w:color w:val="000000" w:themeColor="text1"/>
          <w:sz w:val="18"/>
          <w:szCs w:val="18"/>
        </w:rPr>
        <w:t>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proofErr w:type="spellStart"/>
      <w:r w:rsidRPr="00E85B58">
        <w:rPr>
          <w:rFonts w:ascii="Arial" w:hAnsi="Arial" w:cs="Arial"/>
          <w:color w:val="000000" w:themeColor="text1"/>
          <w:sz w:val="18"/>
          <w:szCs w:val="18"/>
        </w:rPr>
        <w:t>Ltda</w:t>
      </w:r>
      <w:proofErr w:type="spellEnd"/>
      <w:r w:rsidRPr="00E85B58">
        <w:rPr>
          <w:rFonts w:ascii="Arial" w:hAnsi="Arial" w:cs="Arial"/>
          <w:color w:val="000000" w:themeColor="text1"/>
          <w:sz w:val="18"/>
          <w:szCs w:val="18"/>
        </w:rPr>
        <w:t xml:space="preserve"> y Centro de Estudios de Derecho Administrativo, 2017. p. 417.  </w:t>
      </w:r>
    </w:p>
    <w:p w14:paraId="2BDA49FF" w14:textId="77777777" w:rsidR="006C5BF1" w:rsidRPr="00E85B58" w:rsidRDefault="006C5BF1" w:rsidP="006C5BF1">
      <w:pPr>
        <w:pStyle w:val="Textonotapie"/>
        <w:rPr>
          <w:color w:val="000000" w:themeColor="text1"/>
          <w:lang w:val="es-CO"/>
        </w:rPr>
      </w:pPr>
    </w:p>
  </w:footnote>
  <w:footnote w:id="12">
    <w:p w14:paraId="70558178" w14:textId="77777777" w:rsidR="006C5BF1" w:rsidRDefault="006C5BF1" w:rsidP="006C5BF1">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r w:rsidRPr="00E85B58">
        <w:rPr>
          <w:rFonts w:ascii="Arial" w:hAnsi="Arial" w:cs="Arial"/>
          <w:color w:val="000000" w:themeColor="text1"/>
          <w:sz w:val="18"/>
          <w:szCs w:val="18"/>
          <w:lang w:val="es-CO"/>
        </w:rPr>
        <w:t xml:space="preserve">Consejo de Estado. </w:t>
      </w:r>
      <w:r w:rsidRPr="00E85B58">
        <w:rPr>
          <w:rFonts w:ascii="Arial" w:hAnsi="Arial" w:cs="Arial"/>
          <w:color w:val="000000" w:themeColor="text1"/>
          <w:sz w:val="18"/>
          <w:szCs w:val="18"/>
        </w:rPr>
        <w:t xml:space="preserve">Sala Plena de lo Contencioso Administrativo. Sentencia del 12 de abril de 1978. C.P. Carlos Portocarrero Mutis. </w:t>
      </w:r>
      <w:proofErr w:type="spellStart"/>
      <w:r w:rsidRPr="00E85B58">
        <w:rPr>
          <w:rFonts w:ascii="Arial" w:hAnsi="Arial" w:cs="Arial"/>
          <w:color w:val="000000" w:themeColor="text1"/>
          <w:sz w:val="18"/>
          <w:szCs w:val="18"/>
        </w:rPr>
        <w:t>Exp</w:t>
      </w:r>
      <w:proofErr w:type="spellEnd"/>
      <w:r w:rsidRPr="00E85B58">
        <w:rPr>
          <w:rFonts w:ascii="Arial" w:hAnsi="Arial" w:cs="Arial"/>
          <w:color w:val="000000" w:themeColor="text1"/>
          <w:sz w:val="18"/>
          <w:szCs w:val="18"/>
        </w:rPr>
        <w:t>. 355.</w:t>
      </w:r>
    </w:p>
    <w:p w14:paraId="1B54BD86" w14:textId="77777777" w:rsidR="006C5BF1" w:rsidRPr="00E85B58" w:rsidRDefault="006C5BF1" w:rsidP="006C5BF1">
      <w:pPr>
        <w:pStyle w:val="Textonotapie"/>
        <w:ind w:firstLine="708"/>
        <w:jc w:val="both"/>
        <w:rPr>
          <w:rFonts w:ascii="Arial" w:hAnsi="Arial" w:cs="Arial"/>
          <w:color w:val="000000" w:themeColor="text1"/>
          <w:sz w:val="18"/>
          <w:szCs w:val="18"/>
          <w:lang w:val="es-CO"/>
        </w:rPr>
      </w:pPr>
    </w:p>
  </w:footnote>
  <w:footnote w:id="13">
    <w:p w14:paraId="1CF78AEF" w14:textId="77777777" w:rsidR="006C5BF1" w:rsidRDefault="006C5BF1" w:rsidP="006C5BF1">
      <w:pPr>
        <w:pStyle w:val="Textonotapie"/>
        <w:ind w:firstLine="708"/>
        <w:jc w:val="both"/>
        <w:rPr>
          <w:rFonts w:ascii="Arial" w:hAnsi="Arial" w:cs="Arial"/>
          <w:color w:val="000000" w:themeColor="text1"/>
          <w:sz w:val="18"/>
          <w:szCs w:val="18"/>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Consejo de Estado. Sección Cuarta. Auto del 26 de febrero de 1983.</w:t>
      </w:r>
    </w:p>
    <w:p w14:paraId="5F99B0B7" w14:textId="77777777" w:rsidR="006C5BF1" w:rsidRPr="00E85B58" w:rsidRDefault="006C5BF1" w:rsidP="006C5BF1">
      <w:pPr>
        <w:pStyle w:val="Textonotapie"/>
        <w:ind w:firstLine="708"/>
        <w:jc w:val="both"/>
        <w:rPr>
          <w:rFonts w:ascii="Arial" w:hAnsi="Arial" w:cs="Arial"/>
          <w:color w:val="000000" w:themeColor="text1"/>
          <w:sz w:val="18"/>
          <w:szCs w:val="18"/>
          <w:lang w:val="es-CO"/>
        </w:rPr>
      </w:pPr>
    </w:p>
  </w:footnote>
  <w:footnote w:id="14">
    <w:p w14:paraId="261D37AC" w14:textId="77777777" w:rsidR="006C5BF1" w:rsidRPr="005C134E" w:rsidRDefault="006C5BF1" w:rsidP="006C5BF1">
      <w:pPr>
        <w:pStyle w:val="Textonotapie"/>
        <w:ind w:firstLine="709"/>
        <w:jc w:val="both"/>
        <w:rPr>
          <w:rFonts w:ascii="Arial" w:hAnsi="Arial" w:cs="Arial"/>
          <w:sz w:val="18"/>
          <w:szCs w:val="18"/>
        </w:rPr>
      </w:pPr>
      <w:r w:rsidRPr="005C134E">
        <w:rPr>
          <w:rStyle w:val="Refdenotaalpie"/>
          <w:rFonts w:ascii="Arial" w:hAnsi="Arial" w:cs="Arial"/>
          <w:sz w:val="18"/>
          <w:szCs w:val="18"/>
        </w:rPr>
        <w:footnoteRef/>
      </w:r>
      <w:r w:rsidRPr="005C134E">
        <w:rPr>
          <w:rFonts w:ascii="Arial" w:hAnsi="Arial" w:cs="Arial"/>
          <w:sz w:val="18"/>
          <w:szCs w:val="18"/>
        </w:rPr>
        <w:t xml:space="preserve"> Código de Comercio: «Artículo 829. Reglas para los plazos. En los plazos de horas, días, meses y años, se seguirán las reglas que a continuación se expresan:</w:t>
      </w:r>
    </w:p>
    <w:p w14:paraId="49ED7722" w14:textId="77777777" w:rsidR="006C5BF1" w:rsidRPr="005C134E" w:rsidRDefault="006C5BF1" w:rsidP="006C5BF1">
      <w:pPr>
        <w:pStyle w:val="Textonotapie"/>
        <w:ind w:firstLine="709"/>
        <w:jc w:val="both"/>
        <w:rPr>
          <w:rFonts w:ascii="Arial" w:hAnsi="Arial" w:cs="Arial"/>
          <w:sz w:val="18"/>
          <w:szCs w:val="18"/>
        </w:rPr>
      </w:pPr>
      <w:r w:rsidRPr="005C134E">
        <w:rPr>
          <w:rFonts w:ascii="Arial" w:hAnsi="Arial" w:cs="Arial"/>
          <w:sz w:val="18"/>
          <w:szCs w:val="18"/>
        </w:rPr>
        <w:t>»[…]</w:t>
      </w:r>
    </w:p>
    <w:p w14:paraId="36002F4A" w14:textId="77777777" w:rsidR="006C5BF1" w:rsidRPr="005C134E" w:rsidRDefault="006C5BF1" w:rsidP="006C5BF1">
      <w:pPr>
        <w:pStyle w:val="Textonotapie"/>
        <w:ind w:firstLine="709"/>
        <w:jc w:val="both"/>
        <w:rPr>
          <w:rFonts w:ascii="Arial" w:hAnsi="Arial" w:cs="Arial"/>
          <w:sz w:val="18"/>
          <w:szCs w:val="18"/>
        </w:rPr>
      </w:pPr>
      <w:proofErr w:type="gramStart"/>
      <w:r w:rsidRPr="005C134E">
        <w:rPr>
          <w:rFonts w:ascii="Arial" w:hAnsi="Arial" w:cs="Arial"/>
          <w:sz w:val="18"/>
          <w:szCs w:val="18"/>
        </w:rPr>
        <w:t>»Parágrafo</w:t>
      </w:r>
      <w:proofErr w:type="gramEnd"/>
      <w:r w:rsidRPr="005C134E">
        <w:rPr>
          <w:rFonts w:ascii="Arial" w:hAnsi="Arial" w:cs="Arial"/>
          <w:sz w:val="18"/>
          <w:szCs w:val="18"/>
        </w:rPr>
        <w:t xml:space="preserve"> 1o. Los plazos de días señalados en la ley se entenderán hábiles; los convencionales, comunes.</w:t>
      </w:r>
    </w:p>
    <w:p w14:paraId="4022FEDA" w14:textId="77777777" w:rsidR="006C5BF1" w:rsidRDefault="006C5BF1" w:rsidP="006C5BF1">
      <w:pPr>
        <w:pStyle w:val="Textonotapie"/>
        <w:ind w:firstLine="709"/>
        <w:jc w:val="both"/>
      </w:pPr>
      <w:r w:rsidRPr="005C134E">
        <w:rPr>
          <w:rFonts w:ascii="Arial" w:hAnsi="Arial" w:cs="Arial"/>
          <w:sz w:val="18"/>
          <w:szCs w:val="18"/>
        </w:rPr>
        <w:t>»[…]».</w:t>
      </w:r>
    </w:p>
  </w:footnote>
  <w:footnote w:id="15">
    <w:p w14:paraId="1997CA4A" w14:textId="77777777" w:rsidR="006C5BF1" w:rsidRPr="00E85B58" w:rsidRDefault="006C5BF1" w:rsidP="006C5BF1">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MARÍN CORTÉS, Fabián G. Derecho de petición y procedimiento administrativo. 1</w:t>
      </w:r>
      <w:r w:rsidRPr="00E85B58">
        <w:rPr>
          <w:rFonts w:ascii="Arial" w:hAnsi="Arial" w:cs="Arial"/>
          <w:color w:val="000000" w:themeColor="text1"/>
          <w:sz w:val="18"/>
          <w:szCs w:val="18"/>
          <w:u w:val="single"/>
          <w:vertAlign w:val="superscript"/>
        </w:rPr>
        <w:t>a</w:t>
      </w:r>
      <w:r w:rsidRPr="00E85B58">
        <w:rPr>
          <w:rFonts w:ascii="Arial" w:hAnsi="Arial" w:cs="Arial"/>
          <w:color w:val="000000" w:themeColor="text1"/>
          <w:sz w:val="18"/>
          <w:szCs w:val="18"/>
        </w:rPr>
        <w:t xml:space="preserve"> ed. Medellín: Librería Jurídica Sánchez R </w:t>
      </w:r>
      <w:proofErr w:type="spellStart"/>
      <w:r w:rsidRPr="00E85B58">
        <w:rPr>
          <w:rFonts w:ascii="Arial" w:hAnsi="Arial" w:cs="Arial"/>
          <w:color w:val="000000" w:themeColor="text1"/>
          <w:sz w:val="18"/>
          <w:szCs w:val="18"/>
        </w:rPr>
        <w:t>Ltda</w:t>
      </w:r>
      <w:proofErr w:type="spellEnd"/>
      <w:r w:rsidRPr="00E85B58">
        <w:rPr>
          <w:rFonts w:ascii="Arial" w:hAnsi="Arial" w:cs="Arial"/>
          <w:color w:val="000000" w:themeColor="text1"/>
          <w:sz w:val="18"/>
          <w:szCs w:val="18"/>
        </w:rPr>
        <w:t xml:space="preserve"> y Centro de Estudios de Derecho Administrativo, 2017. p. 417.  </w:t>
      </w:r>
    </w:p>
  </w:footnote>
  <w:footnote w:id="16">
    <w:p w14:paraId="6F382B3B" w14:textId="77777777" w:rsidR="006C5BF1" w:rsidRPr="00E85B58" w:rsidRDefault="006C5BF1" w:rsidP="006C5BF1">
      <w:pPr>
        <w:pStyle w:val="Textonotapie"/>
        <w:ind w:firstLine="708"/>
        <w:jc w:val="both"/>
        <w:rPr>
          <w:rFonts w:ascii="Arial" w:hAnsi="Arial" w:cs="Arial"/>
          <w:color w:val="000000" w:themeColor="text1"/>
          <w:sz w:val="18"/>
          <w:szCs w:val="18"/>
        </w:rPr>
      </w:pPr>
    </w:p>
    <w:p w14:paraId="58DF7908" w14:textId="77777777" w:rsidR="006C5BF1" w:rsidRPr="00E85B58" w:rsidRDefault="006C5BF1" w:rsidP="006C5BF1">
      <w:pPr>
        <w:pStyle w:val="Textonotapie"/>
        <w:ind w:firstLine="708"/>
        <w:jc w:val="both"/>
        <w:rPr>
          <w:rFonts w:ascii="Arial" w:hAnsi="Arial" w:cs="Arial"/>
          <w:color w:val="000000" w:themeColor="text1"/>
          <w:sz w:val="18"/>
          <w:szCs w:val="18"/>
          <w:lang w:val="es-CO"/>
        </w:rPr>
      </w:pPr>
      <w:r w:rsidRPr="00E85B58">
        <w:rPr>
          <w:rStyle w:val="Refdenotaalpie"/>
          <w:rFonts w:ascii="Arial" w:hAnsi="Arial" w:cs="Arial"/>
          <w:color w:val="000000" w:themeColor="text1"/>
          <w:sz w:val="18"/>
          <w:szCs w:val="18"/>
        </w:rPr>
        <w:footnoteRef/>
      </w:r>
      <w:r w:rsidRPr="00E85B58">
        <w:rPr>
          <w:rFonts w:ascii="Arial" w:hAnsi="Arial" w:cs="Arial"/>
          <w:color w:val="000000" w:themeColor="text1"/>
          <w:sz w:val="18"/>
          <w:szCs w:val="18"/>
        </w:rPr>
        <w:t xml:space="preserve"> </w:t>
      </w:r>
      <w:proofErr w:type="spellStart"/>
      <w:r w:rsidRPr="00E85B58">
        <w:rPr>
          <w:rFonts w:ascii="Arial" w:hAnsi="Arial" w:cs="Arial"/>
          <w:i/>
          <w:iCs/>
          <w:color w:val="000000" w:themeColor="text1"/>
          <w:sz w:val="18"/>
          <w:szCs w:val="18"/>
        </w:rPr>
        <w:t>Ibídem</w:t>
      </w:r>
      <w:proofErr w:type="spellEnd"/>
      <w:r w:rsidRPr="00E85B58">
        <w:rPr>
          <w:rFonts w:ascii="Arial" w:hAnsi="Arial" w:cs="Arial"/>
          <w:i/>
          <w:iCs/>
          <w:color w:val="000000" w:themeColor="text1"/>
          <w:sz w:val="18"/>
          <w:szCs w:val="18"/>
        </w:rPr>
        <w:t>.</w:t>
      </w:r>
      <w:r w:rsidRPr="00E85B58">
        <w:rPr>
          <w:rFonts w:ascii="Arial" w:hAnsi="Arial" w:cs="Arial"/>
          <w:color w:val="000000" w:themeColor="text1"/>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B91B" w14:textId="77777777" w:rsidR="00B10353" w:rsidRDefault="00A13F60">
    <w:pPr>
      <w:pStyle w:val="Encabezado"/>
    </w:pPr>
    <w:r>
      <w:rPr>
        <w:noProof/>
        <w:lang w:val="en-US"/>
      </w:rPr>
      <w:drawing>
        <wp:anchor distT="0" distB="0" distL="114300" distR="114300" simplePos="0" relativeHeight="251659264" behindDoc="1" locked="0" layoutInCell="1" allowOverlap="1" wp14:anchorId="1D8F0FA6" wp14:editId="145826DA">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60"/>
    <w:rsid w:val="000A0CB6"/>
    <w:rsid w:val="001C1738"/>
    <w:rsid w:val="002015F8"/>
    <w:rsid w:val="00381032"/>
    <w:rsid w:val="005066C3"/>
    <w:rsid w:val="00534E9A"/>
    <w:rsid w:val="0053592A"/>
    <w:rsid w:val="00536B5E"/>
    <w:rsid w:val="00573F0F"/>
    <w:rsid w:val="005D6ED6"/>
    <w:rsid w:val="0067578B"/>
    <w:rsid w:val="00675C64"/>
    <w:rsid w:val="00687032"/>
    <w:rsid w:val="006C5BF1"/>
    <w:rsid w:val="00704783"/>
    <w:rsid w:val="00705205"/>
    <w:rsid w:val="007212EB"/>
    <w:rsid w:val="007E0FD4"/>
    <w:rsid w:val="00810E1F"/>
    <w:rsid w:val="00901510"/>
    <w:rsid w:val="0092192B"/>
    <w:rsid w:val="00965DA4"/>
    <w:rsid w:val="0098504C"/>
    <w:rsid w:val="009A7AB3"/>
    <w:rsid w:val="00A13F60"/>
    <w:rsid w:val="00A32551"/>
    <w:rsid w:val="00A4739B"/>
    <w:rsid w:val="00AA0BD5"/>
    <w:rsid w:val="00AA15FA"/>
    <w:rsid w:val="00B019E3"/>
    <w:rsid w:val="00B553EA"/>
    <w:rsid w:val="00B874D4"/>
    <w:rsid w:val="00BB42A4"/>
    <w:rsid w:val="00BF24E4"/>
    <w:rsid w:val="00C71111"/>
    <w:rsid w:val="00CF0E6C"/>
    <w:rsid w:val="00D227E3"/>
    <w:rsid w:val="00D63F85"/>
    <w:rsid w:val="00D657C0"/>
    <w:rsid w:val="00EA682A"/>
    <w:rsid w:val="00FD404D"/>
    <w:rsid w:val="00FE5A41"/>
    <w:rsid w:val="0F3DB57A"/>
    <w:rsid w:val="4E5EC448"/>
    <w:rsid w:val="6A318D10"/>
    <w:rsid w:val="76C8AAE9"/>
    <w:rsid w:val="7D5DBE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2A25"/>
  <w15:chartTrackingRefBased/>
  <w15:docId w15:val="{3EBF4270-7299-CC4F-8FB7-D92C8F5D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60"/>
    <w:rPr>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13F60"/>
    <w:pPr>
      <w:tabs>
        <w:tab w:val="center" w:pos="4419"/>
        <w:tab w:val="right" w:pos="8838"/>
      </w:tabs>
    </w:pPr>
  </w:style>
  <w:style w:type="character" w:customStyle="1" w:styleId="PiedepginaCar">
    <w:name w:val="Pie de página Car"/>
    <w:basedOn w:val="Fuentedeprrafopredeter"/>
    <w:link w:val="Piedepgina"/>
    <w:uiPriority w:val="99"/>
    <w:rsid w:val="00A13F60"/>
    <w:rPr>
      <w:szCs w:val="22"/>
      <w:lang w:val="es-MX"/>
    </w:rPr>
  </w:style>
  <w:style w:type="paragraph" w:styleId="Encabezado">
    <w:name w:val="header"/>
    <w:basedOn w:val="Normal"/>
    <w:link w:val="EncabezadoCar"/>
    <w:uiPriority w:val="99"/>
    <w:unhideWhenUsed/>
    <w:rsid w:val="00A13F60"/>
    <w:pPr>
      <w:tabs>
        <w:tab w:val="center" w:pos="4252"/>
        <w:tab w:val="right" w:pos="8504"/>
      </w:tabs>
    </w:pPr>
  </w:style>
  <w:style w:type="character" w:customStyle="1" w:styleId="EncabezadoCar">
    <w:name w:val="Encabezado Car"/>
    <w:basedOn w:val="Fuentedeprrafopredeter"/>
    <w:link w:val="Encabezado"/>
    <w:uiPriority w:val="99"/>
    <w:rsid w:val="00A13F60"/>
    <w:rPr>
      <w:szCs w:val="22"/>
      <w:lang w:val="es-MX"/>
    </w:rPr>
  </w:style>
  <w:style w:type="table" w:styleId="Tablaconcuadrcula">
    <w:name w:val="Table Grid"/>
    <w:basedOn w:val="Tablanormal"/>
    <w:uiPriority w:val="59"/>
    <w:rsid w:val="00A13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A13F60"/>
    <w:pPr>
      <w:ind w:left="720"/>
      <w:contextualSpacing/>
    </w:pPr>
  </w:style>
  <w:style w:type="character" w:styleId="Hipervnculo">
    <w:name w:val="Hyperlink"/>
    <w:basedOn w:val="Fuentedeprrafopredeter"/>
    <w:uiPriority w:val="99"/>
    <w:unhideWhenUsed/>
    <w:rsid w:val="00A13F60"/>
    <w:rPr>
      <w:color w:val="0563C1" w:themeColor="hyperlink"/>
      <w:u w:val="single"/>
    </w:rPr>
  </w:style>
  <w:style w:type="paragraph" w:styleId="Sinespaciado">
    <w:name w:val="No Spacing"/>
    <w:uiPriority w:val="1"/>
    <w:qFormat/>
    <w:rsid w:val="00A13F60"/>
    <w:rPr>
      <w:szCs w:val="22"/>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A13F60"/>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A13F60"/>
    <w:rPr>
      <w:sz w:val="20"/>
      <w:szCs w:val="20"/>
    </w:rPr>
  </w:style>
  <w:style w:type="character" w:customStyle="1" w:styleId="TextonotapieCar1">
    <w:name w:val="Texto nota pie Car1"/>
    <w:basedOn w:val="Fuentedeprrafopredeter"/>
    <w:uiPriority w:val="99"/>
    <w:semiHidden/>
    <w:rsid w:val="00A13F60"/>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A13F60"/>
    <w:rPr>
      <w:szCs w:val="22"/>
      <w:lang w:val="es-MX"/>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A13F60"/>
    <w:rPr>
      <w:vertAlign w:val="superscript"/>
    </w:rPr>
  </w:style>
  <w:style w:type="character" w:styleId="Textoennegrita">
    <w:name w:val="Strong"/>
    <w:basedOn w:val="Fuentedeprrafopredeter"/>
    <w:uiPriority w:val="22"/>
    <w:qFormat/>
    <w:rsid w:val="00A13F60"/>
    <w:rPr>
      <w:b/>
      <w:bCs/>
    </w:rPr>
  </w:style>
  <w:style w:type="paragraph" w:styleId="NormalWeb">
    <w:name w:val="Normal (Web)"/>
    <w:basedOn w:val="Normal"/>
    <w:link w:val="NormalWebCar"/>
    <w:uiPriority w:val="99"/>
    <w:unhideWhenUsed/>
    <w:rsid w:val="00A13F6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A13F60"/>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A13F60"/>
    <w:rPr>
      <w:sz w:val="16"/>
      <w:szCs w:val="16"/>
    </w:rPr>
  </w:style>
  <w:style w:type="paragraph" w:styleId="Textocomentario">
    <w:name w:val="annotation text"/>
    <w:basedOn w:val="Normal"/>
    <w:link w:val="TextocomentarioCar"/>
    <w:uiPriority w:val="99"/>
    <w:semiHidden/>
    <w:unhideWhenUsed/>
    <w:rsid w:val="00A13F60"/>
    <w:rPr>
      <w:sz w:val="20"/>
      <w:szCs w:val="20"/>
    </w:rPr>
  </w:style>
  <w:style w:type="character" w:customStyle="1" w:styleId="TextocomentarioCar">
    <w:name w:val="Texto comentario Car"/>
    <w:basedOn w:val="Fuentedeprrafopredeter"/>
    <w:link w:val="Textocomentario"/>
    <w:uiPriority w:val="99"/>
    <w:semiHidden/>
    <w:rsid w:val="00A13F6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A13F60"/>
    <w:rPr>
      <w:b/>
      <w:bCs/>
    </w:rPr>
  </w:style>
  <w:style w:type="character" w:customStyle="1" w:styleId="AsuntodelcomentarioCar">
    <w:name w:val="Asunto del comentario Car"/>
    <w:basedOn w:val="TextocomentarioCar"/>
    <w:link w:val="Asuntodelcomentario"/>
    <w:uiPriority w:val="99"/>
    <w:semiHidden/>
    <w:rsid w:val="00A13F60"/>
    <w:rPr>
      <w:b/>
      <w:bCs/>
      <w:sz w:val="20"/>
      <w:szCs w:val="20"/>
      <w:lang w:val="es-MX"/>
    </w:rPr>
  </w:style>
  <w:style w:type="paragraph" w:styleId="Revisin">
    <w:name w:val="Revision"/>
    <w:hidden/>
    <w:uiPriority w:val="99"/>
    <w:semiHidden/>
    <w:rsid w:val="00BF24E4"/>
    <w:rPr>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9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h%C3%A1b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5E158-FA51-4C56-951F-1C327798C9E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F1606B48-4423-4805-95F7-934A9E7CF6BA}">
  <ds:schemaRefs>
    <ds:schemaRef ds:uri="http://schemas.microsoft.com/sharepoint/v3/contenttype/forms"/>
  </ds:schemaRefs>
</ds:datastoreItem>
</file>

<file path=customXml/itemProps3.xml><?xml version="1.0" encoding="utf-8"?>
<ds:datastoreItem xmlns:ds="http://schemas.openxmlformats.org/officeDocument/2006/customXml" ds:itemID="{FEE94E33-FC9C-4AB3-9E61-2EC95C7DD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D1DB9-916B-492F-B649-DF6C1204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3252</Words>
  <Characters>17888</Characters>
  <Application>Microsoft Office Word</Application>
  <DocSecurity>0</DocSecurity>
  <Lines>149</Lines>
  <Paragraphs>42</Paragraphs>
  <ScaleCrop>false</ScaleCrop>
  <Company/>
  <LinksUpToDate>false</LinksUpToDate>
  <CharactersWithSpaces>21098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Herrera Santa</dc:creator>
  <cp:keywords/>
  <dc:description/>
  <cp:lastModifiedBy>Martin Rojas Mejia</cp:lastModifiedBy>
  <cp:revision>2</cp:revision>
  <dcterms:created xsi:type="dcterms:W3CDTF">2022-04-05T16:50:00Z</dcterms:created>
  <dcterms:modified xsi:type="dcterms:W3CDTF">2022-04-05T16:50:00Z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