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46AB" w14:textId="615B9130" w:rsidR="00B45E9C" w:rsidRDefault="00B45E9C" w:rsidP="5389BE68">
      <w:pPr>
        <w:jc w:val="right"/>
        <w:rPr>
          <w:color w:val="000000" w:themeColor="text1"/>
          <w:lang w:val="es-ES" w:eastAsia="es-ES"/>
        </w:rPr>
      </w:pPr>
      <w:bookmarkStart w:id="0" w:name="_Hlk28946138"/>
      <w:bookmarkStart w:id="1" w:name="_Hlk29548183"/>
    </w:p>
    <w:p w14:paraId="363CAC71" w14:textId="6A819822" w:rsidR="002415B8" w:rsidRPr="00C440B6" w:rsidRDefault="00B55C69" w:rsidP="00307833">
      <w:pPr>
        <w:jc w:val="right"/>
        <w:rPr>
          <w:rFonts w:ascii="Arial" w:eastAsia="Calibri" w:hAnsi="Arial" w:cs="Arial"/>
          <w:b/>
          <w:color w:val="000000" w:themeColor="text1"/>
          <w:sz w:val="20"/>
          <w:szCs w:val="20"/>
          <w:lang w:val="es-ES_tradnl"/>
        </w:rPr>
      </w:pPr>
      <w:r w:rsidRPr="00C440B6">
        <w:rPr>
          <w:rFonts w:ascii="Arial" w:hAnsi="Arial" w:cs="Arial"/>
          <w:bCs/>
          <w:color w:val="000000" w:themeColor="text1"/>
          <w:sz w:val="16"/>
          <w:szCs w:val="16"/>
          <w:lang w:val="es-ES_tradnl" w:eastAsia="es-ES"/>
        </w:rPr>
        <w:t>CCE-DES-FM-17</w:t>
      </w:r>
      <w:bookmarkEnd w:id="0"/>
      <w:bookmarkEnd w:id="1"/>
    </w:p>
    <w:p w14:paraId="608CBA4E" w14:textId="77777777" w:rsidR="00454589" w:rsidRPr="00C440B6" w:rsidRDefault="00454589" w:rsidP="00B95C30">
      <w:pPr>
        <w:spacing w:line="276" w:lineRule="auto"/>
        <w:jc w:val="both"/>
        <w:rPr>
          <w:rFonts w:ascii="Arial" w:hAnsi="Arial" w:cs="Arial"/>
          <w:noProof/>
          <w:color w:val="000000" w:themeColor="text1"/>
          <w:sz w:val="22"/>
          <w:lang w:val="es-ES_tradnl"/>
        </w:rPr>
      </w:pPr>
    </w:p>
    <w:p w14:paraId="4AAB8DDD" w14:textId="44E0AC36" w:rsidR="00C978D4" w:rsidRPr="005D20D7" w:rsidRDefault="00272945" w:rsidP="0099531F">
      <w:pPr>
        <w:jc w:val="both"/>
        <w:rPr>
          <w:rFonts w:ascii="Arial" w:eastAsia="Calibri" w:hAnsi="Arial" w:cs="Arial"/>
          <w:b/>
          <w:sz w:val="22"/>
          <w:lang w:val="es-ES_tradnl"/>
        </w:rPr>
      </w:pPr>
      <w:r w:rsidRPr="00C440B6">
        <w:rPr>
          <w:rFonts w:ascii="Arial" w:eastAsia="Calibri" w:hAnsi="Arial" w:cs="Arial"/>
          <w:b/>
          <w:sz w:val="22"/>
          <w:lang w:val="es-ES_tradnl"/>
        </w:rPr>
        <w:t>SELECCIÓN OBJETIVA</w:t>
      </w:r>
      <w:r w:rsidR="00C978D4" w:rsidRPr="00C440B6">
        <w:rPr>
          <w:rFonts w:ascii="Arial" w:eastAsia="Calibri" w:hAnsi="Arial" w:cs="Arial"/>
          <w:b/>
          <w:sz w:val="22"/>
          <w:lang w:val="es-ES_tradnl"/>
        </w:rPr>
        <w:t xml:space="preserve"> </w:t>
      </w:r>
      <w:r w:rsidR="00C978D4" w:rsidRPr="00C440B6">
        <w:rPr>
          <w:rFonts w:ascii="Arial" w:eastAsia="Calibri" w:hAnsi="Arial" w:cs="Arial"/>
          <w:b/>
          <w:color w:val="000000" w:themeColor="text1"/>
          <w:sz w:val="22"/>
          <w:lang w:val="es-ES_tradnl"/>
        </w:rPr>
        <w:t>–</w:t>
      </w:r>
      <w:r w:rsidR="00C978D4" w:rsidRPr="00C440B6">
        <w:rPr>
          <w:rFonts w:ascii="Arial" w:eastAsia="Calibri" w:hAnsi="Arial" w:cs="Arial"/>
          <w:b/>
          <w:sz w:val="22"/>
          <w:lang w:val="es-ES_tradnl"/>
        </w:rPr>
        <w:t xml:space="preserve"> </w:t>
      </w:r>
      <w:r w:rsidR="00003D39" w:rsidRPr="00C440B6">
        <w:rPr>
          <w:rFonts w:ascii="Arial" w:eastAsia="Calibri" w:hAnsi="Arial" w:cs="Arial"/>
          <w:b/>
          <w:sz w:val="22"/>
          <w:lang w:val="es-ES_tradnl"/>
        </w:rPr>
        <w:t>Contratación estatal</w:t>
      </w:r>
      <w:r w:rsidR="00616D7F" w:rsidRPr="00C440B6">
        <w:rPr>
          <w:rFonts w:ascii="Arial" w:eastAsia="Calibri" w:hAnsi="Arial" w:cs="Arial"/>
          <w:b/>
          <w:sz w:val="22"/>
          <w:lang w:val="es-ES_tradnl"/>
        </w:rPr>
        <w:t xml:space="preserve"> </w:t>
      </w:r>
      <w:r w:rsidR="00C978D4" w:rsidRPr="00C440B6">
        <w:rPr>
          <w:rFonts w:ascii="Arial" w:eastAsia="Calibri" w:hAnsi="Arial" w:cs="Arial"/>
          <w:b/>
          <w:color w:val="000000" w:themeColor="text1"/>
          <w:sz w:val="22"/>
          <w:lang w:val="es-ES_tradnl"/>
        </w:rPr>
        <w:t xml:space="preserve">– </w:t>
      </w:r>
      <w:r w:rsidRPr="00C440B6">
        <w:rPr>
          <w:rFonts w:ascii="Arial" w:eastAsia="Calibri" w:hAnsi="Arial" w:cs="Arial"/>
          <w:b/>
          <w:color w:val="000000" w:themeColor="text1"/>
          <w:sz w:val="22"/>
          <w:lang w:val="es-ES_tradnl"/>
        </w:rPr>
        <w:t>Concepto</w:t>
      </w:r>
    </w:p>
    <w:p w14:paraId="0A1C53E8" w14:textId="77777777" w:rsidR="005D20D7" w:rsidRPr="005D20D7" w:rsidRDefault="005D20D7" w:rsidP="005D20D7">
      <w:pPr>
        <w:jc w:val="both"/>
        <w:rPr>
          <w:rFonts w:ascii="Arial" w:eastAsia="Calibri" w:hAnsi="Arial" w:cs="Arial"/>
          <w:sz w:val="20"/>
          <w:szCs w:val="20"/>
          <w:lang w:val="es-ES_tradnl"/>
        </w:rPr>
      </w:pPr>
    </w:p>
    <w:p w14:paraId="33E10CCB" w14:textId="50A1471A" w:rsidR="00636F88" w:rsidRDefault="005D20D7" w:rsidP="005D20D7">
      <w:pPr>
        <w:jc w:val="both"/>
        <w:rPr>
          <w:rFonts w:ascii="Arial" w:eastAsia="Calibri" w:hAnsi="Arial" w:cs="Arial"/>
          <w:sz w:val="20"/>
          <w:szCs w:val="20"/>
          <w:lang w:val="es-ES_tradnl"/>
        </w:rPr>
      </w:pPr>
      <w:r w:rsidRPr="005D20D7">
        <w:rPr>
          <w:rFonts w:ascii="Arial" w:eastAsia="Calibri" w:hAnsi="Arial" w:cs="Arial"/>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5D20D7">
        <w:rPr>
          <w:rFonts w:ascii="Arial" w:eastAsia="Calibri" w:hAnsi="Arial" w:cs="Arial"/>
          <w:sz w:val="20"/>
          <w:szCs w:val="20"/>
          <w:lang w:val="es-ES_tradnl"/>
        </w:rPr>
        <w:t>equivalentes,</w:t>
      </w:r>
      <w:proofErr w:type="gramEnd"/>
      <w:r w:rsidRPr="005D20D7">
        <w:rPr>
          <w:rFonts w:ascii="Arial" w:eastAsia="Calibri" w:hAnsi="Arial" w:cs="Arial"/>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563185A3" w14:textId="77777777" w:rsidR="005D20D7" w:rsidRPr="00C440B6" w:rsidRDefault="005D20D7" w:rsidP="005D20D7">
      <w:pPr>
        <w:jc w:val="both"/>
        <w:rPr>
          <w:rFonts w:ascii="Arial" w:eastAsia="Calibri" w:hAnsi="Arial" w:cs="Arial"/>
          <w:b/>
          <w:sz w:val="22"/>
          <w:lang w:val="es-ES_tradnl"/>
        </w:rPr>
      </w:pPr>
    </w:p>
    <w:p w14:paraId="73365DCF" w14:textId="63E2A713" w:rsidR="00272945" w:rsidRPr="00C440B6" w:rsidRDefault="00B54215" w:rsidP="00272945">
      <w:pPr>
        <w:jc w:val="both"/>
        <w:rPr>
          <w:rFonts w:ascii="Arial" w:eastAsia="Calibri" w:hAnsi="Arial" w:cs="Arial"/>
          <w:b/>
          <w:sz w:val="22"/>
          <w:lang w:val="es-ES_tradnl"/>
        </w:rPr>
      </w:pPr>
      <w:r w:rsidRPr="00C440B6">
        <w:rPr>
          <w:rFonts w:ascii="Arial" w:eastAsia="Calibri" w:hAnsi="Arial" w:cs="Arial"/>
          <w:b/>
          <w:sz w:val="22"/>
          <w:lang w:val="es-ES_tradnl"/>
        </w:rPr>
        <w:t>EMPATE</w:t>
      </w:r>
      <w:r w:rsidR="00272945" w:rsidRPr="00C440B6">
        <w:rPr>
          <w:rFonts w:ascii="Arial" w:eastAsia="Calibri" w:hAnsi="Arial" w:cs="Arial"/>
          <w:b/>
          <w:sz w:val="22"/>
          <w:lang w:val="es-ES_tradnl"/>
        </w:rPr>
        <w:t xml:space="preserve"> </w:t>
      </w:r>
      <w:r w:rsidR="00272945" w:rsidRPr="00C440B6">
        <w:rPr>
          <w:rFonts w:ascii="Arial" w:eastAsia="Calibri" w:hAnsi="Arial" w:cs="Arial"/>
          <w:b/>
          <w:color w:val="000000" w:themeColor="text1"/>
          <w:sz w:val="22"/>
          <w:lang w:val="es-ES_tradnl"/>
        </w:rPr>
        <w:t>–</w:t>
      </w:r>
      <w:r w:rsidR="00272945" w:rsidRPr="00C440B6">
        <w:rPr>
          <w:rFonts w:ascii="Arial" w:eastAsia="Calibri" w:hAnsi="Arial" w:cs="Arial"/>
          <w:b/>
          <w:sz w:val="22"/>
          <w:lang w:val="es-ES_tradnl"/>
        </w:rPr>
        <w:t xml:space="preserve"> </w:t>
      </w:r>
      <w:r w:rsidRPr="00C440B6">
        <w:rPr>
          <w:rFonts w:ascii="Arial" w:eastAsia="Calibri" w:hAnsi="Arial" w:cs="Arial"/>
          <w:b/>
          <w:sz w:val="22"/>
          <w:lang w:val="es-ES_tradnl"/>
        </w:rPr>
        <w:t>Procedimiento de selección</w:t>
      </w:r>
      <w:r w:rsidR="00272945" w:rsidRPr="00C440B6">
        <w:rPr>
          <w:rFonts w:ascii="Arial" w:eastAsia="Calibri" w:hAnsi="Arial" w:cs="Arial"/>
          <w:b/>
          <w:sz w:val="22"/>
          <w:lang w:val="es-ES_tradnl"/>
        </w:rPr>
        <w:t xml:space="preserve"> </w:t>
      </w:r>
      <w:r w:rsidR="00272945" w:rsidRPr="00C440B6">
        <w:rPr>
          <w:rFonts w:ascii="Arial" w:eastAsia="Calibri" w:hAnsi="Arial" w:cs="Arial"/>
          <w:b/>
          <w:color w:val="000000" w:themeColor="text1"/>
          <w:sz w:val="22"/>
          <w:lang w:val="es-ES_tradnl"/>
        </w:rPr>
        <w:t>– Concepto</w:t>
      </w:r>
    </w:p>
    <w:p w14:paraId="182F8CB9" w14:textId="246E5B50" w:rsidR="00272945" w:rsidRPr="00C440B6" w:rsidRDefault="00272945" w:rsidP="0099531F">
      <w:pPr>
        <w:jc w:val="both"/>
        <w:rPr>
          <w:rFonts w:ascii="Arial" w:eastAsia="Calibri" w:hAnsi="Arial" w:cs="Arial"/>
          <w:b/>
          <w:sz w:val="22"/>
          <w:lang w:val="es-ES_tradnl"/>
        </w:rPr>
      </w:pPr>
    </w:p>
    <w:p w14:paraId="29DD8E0A" w14:textId="11808F49" w:rsidR="006F71F5" w:rsidRDefault="005D20D7" w:rsidP="005D20D7">
      <w:pPr>
        <w:jc w:val="both"/>
        <w:rPr>
          <w:rFonts w:ascii="Arial" w:eastAsia="Calibri" w:hAnsi="Arial" w:cs="Arial"/>
          <w:sz w:val="20"/>
          <w:szCs w:val="20"/>
          <w:lang w:val="es-ES_tradnl"/>
        </w:rPr>
      </w:pPr>
      <w:r w:rsidRPr="005D20D7">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0C058E02" w14:textId="77777777" w:rsidR="005D20D7" w:rsidRPr="00C440B6" w:rsidRDefault="005D20D7" w:rsidP="005D20D7">
      <w:pPr>
        <w:jc w:val="both"/>
        <w:rPr>
          <w:rFonts w:ascii="Arial" w:hAnsi="Arial" w:cs="Arial"/>
          <w:noProof/>
          <w:color w:val="000000" w:themeColor="text1"/>
          <w:sz w:val="22"/>
          <w:lang w:val="es-ES_tradnl"/>
        </w:rPr>
      </w:pPr>
    </w:p>
    <w:p w14:paraId="04086EC5" w14:textId="04F7FF6D" w:rsidR="00DF71EA" w:rsidRPr="00C440B6" w:rsidRDefault="00D73881" w:rsidP="00DF71EA">
      <w:pPr>
        <w:jc w:val="both"/>
        <w:rPr>
          <w:rFonts w:ascii="Arial" w:eastAsia="Calibri" w:hAnsi="Arial" w:cs="Arial"/>
          <w:b/>
          <w:sz w:val="22"/>
          <w:lang w:val="es-ES_tradnl"/>
        </w:rPr>
      </w:pPr>
      <w:r w:rsidRPr="00C440B6">
        <w:rPr>
          <w:rFonts w:ascii="Arial" w:eastAsia="Calibri" w:hAnsi="Arial" w:cs="Arial"/>
          <w:b/>
          <w:sz w:val="22"/>
          <w:lang w:val="es-ES_tradnl"/>
        </w:rPr>
        <w:t>FACTORES DE DESEMPATE</w:t>
      </w:r>
      <w:r w:rsidR="00DF71EA" w:rsidRPr="00C440B6">
        <w:rPr>
          <w:rFonts w:ascii="Arial" w:eastAsia="Calibri" w:hAnsi="Arial" w:cs="Arial"/>
          <w:b/>
          <w:sz w:val="22"/>
          <w:lang w:val="es-ES_tradnl"/>
        </w:rPr>
        <w:t xml:space="preserve"> </w:t>
      </w:r>
      <w:r w:rsidR="00DF71EA" w:rsidRPr="00C440B6">
        <w:rPr>
          <w:rFonts w:ascii="Arial" w:eastAsia="Calibri" w:hAnsi="Arial" w:cs="Arial"/>
          <w:b/>
          <w:color w:val="000000" w:themeColor="text1"/>
          <w:sz w:val="22"/>
          <w:lang w:val="es-ES_tradnl"/>
        </w:rPr>
        <w:t>–</w:t>
      </w:r>
      <w:r w:rsidR="00DF71EA" w:rsidRPr="00C440B6">
        <w:rPr>
          <w:rFonts w:ascii="Arial" w:eastAsia="Calibri" w:hAnsi="Arial" w:cs="Arial"/>
          <w:b/>
          <w:sz w:val="22"/>
          <w:lang w:val="es-ES_tradnl"/>
        </w:rPr>
        <w:t xml:space="preserve"> </w:t>
      </w:r>
      <w:r w:rsidRPr="00C440B6">
        <w:rPr>
          <w:rFonts w:ascii="Arial" w:eastAsia="Calibri" w:hAnsi="Arial" w:cs="Arial"/>
          <w:b/>
          <w:sz w:val="22"/>
          <w:lang w:val="es-ES_tradnl"/>
        </w:rPr>
        <w:t>Características</w:t>
      </w:r>
      <w:r w:rsidR="00DF71EA" w:rsidRPr="00C440B6">
        <w:rPr>
          <w:rFonts w:ascii="Arial" w:eastAsia="Calibri" w:hAnsi="Arial" w:cs="Arial"/>
          <w:b/>
          <w:sz w:val="22"/>
          <w:lang w:val="es-ES_tradnl"/>
        </w:rPr>
        <w:t xml:space="preserve"> </w:t>
      </w:r>
      <w:r w:rsidR="00DF71EA" w:rsidRPr="00C440B6">
        <w:rPr>
          <w:rFonts w:ascii="Arial" w:eastAsia="Calibri" w:hAnsi="Arial" w:cs="Arial"/>
          <w:b/>
          <w:color w:val="000000" w:themeColor="text1"/>
          <w:sz w:val="22"/>
          <w:lang w:val="es-ES_tradnl"/>
        </w:rPr>
        <w:t xml:space="preserve">– </w:t>
      </w:r>
      <w:r w:rsidRPr="00C440B6">
        <w:rPr>
          <w:rFonts w:ascii="Arial" w:eastAsia="Calibri" w:hAnsi="Arial" w:cs="Arial"/>
          <w:b/>
          <w:color w:val="000000" w:themeColor="text1"/>
          <w:sz w:val="22"/>
          <w:lang w:val="es-ES_tradnl"/>
        </w:rPr>
        <w:t>Límites</w:t>
      </w:r>
    </w:p>
    <w:p w14:paraId="583F00A4" w14:textId="390EB1EB" w:rsidR="00DF71EA" w:rsidRPr="00C440B6" w:rsidRDefault="00DF71EA" w:rsidP="00B95C30">
      <w:pPr>
        <w:spacing w:line="276" w:lineRule="auto"/>
        <w:jc w:val="both"/>
        <w:rPr>
          <w:rFonts w:ascii="Arial" w:hAnsi="Arial" w:cs="Arial"/>
          <w:noProof/>
          <w:color w:val="000000" w:themeColor="text1"/>
          <w:sz w:val="22"/>
          <w:lang w:val="es-ES_tradnl"/>
        </w:rPr>
      </w:pPr>
    </w:p>
    <w:p w14:paraId="48375B8F" w14:textId="50D72DEA" w:rsidR="005D20D7" w:rsidRDefault="005D20D7" w:rsidP="005D20D7">
      <w:pPr>
        <w:jc w:val="both"/>
        <w:rPr>
          <w:rFonts w:ascii="Arial" w:eastAsia="Calibri" w:hAnsi="Arial" w:cs="Arial"/>
          <w:sz w:val="20"/>
          <w:szCs w:val="20"/>
          <w:lang w:val="es-ES_tradnl"/>
        </w:rPr>
      </w:pPr>
      <w:r w:rsidRPr="005D20D7">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2069 de 2020. La jurisprudencia comparte la idea de que los criterios de desempate deben estar establecidos de antemano y constituyen un límite a la discrecionalidad administrativa en los procedimientos de selección. </w:t>
      </w:r>
    </w:p>
    <w:p w14:paraId="3F8B72F4" w14:textId="77777777" w:rsidR="005D20D7" w:rsidRPr="005D20D7" w:rsidRDefault="005D20D7" w:rsidP="005D20D7">
      <w:pPr>
        <w:jc w:val="both"/>
        <w:rPr>
          <w:rFonts w:ascii="Arial" w:eastAsia="Calibri" w:hAnsi="Arial" w:cs="Arial"/>
          <w:sz w:val="20"/>
          <w:szCs w:val="20"/>
          <w:lang w:val="es-ES_tradnl"/>
        </w:rPr>
      </w:pPr>
    </w:p>
    <w:p w14:paraId="03CC5C7E" w14:textId="03CF873A" w:rsidR="00D73881" w:rsidRPr="00C440B6" w:rsidRDefault="005D20D7" w:rsidP="005D20D7">
      <w:pPr>
        <w:jc w:val="both"/>
        <w:rPr>
          <w:rFonts w:ascii="Arial" w:hAnsi="Arial" w:cs="Arial"/>
          <w:noProof/>
          <w:color w:val="000000" w:themeColor="text1"/>
          <w:sz w:val="22"/>
          <w:lang w:val="es-ES_tradnl"/>
        </w:rPr>
      </w:pPr>
      <w:r w:rsidRPr="005D20D7">
        <w:rPr>
          <w:rFonts w:ascii="Arial" w:eastAsia="Calibri" w:hAnsi="Arial" w:cs="Arial"/>
          <w:sz w:val="20"/>
          <w:szCs w:val="20"/>
          <w:lang w:val="es-ES_tradnl"/>
        </w:rPr>
        <w:t xml:space="preserve">En tal sentido, la Corte Constitucional explica que cuando la ley establece factores de desempate obligatorios, las entidades estatales no pueden </w:t>
      </w:r>
      <w:proofErr w:type="spellStart"/>
      <w:r w:rsidRPr="005D20D7">
        <w:rPr>
          <w:rFonts w:ascii="Arial" w:eastAsia="Calibri" w:hAnsi="Arial" w:cs="Arial"/>
          <w:sz w:val="20"/>
          <w:szCs w:val="20"/>
          <w:lang w:val="es-ES_tradnl"/>
        </w:rPr>
        <w:t>inaplicarlos</w:t>
      </w:r>
      <w:proofErr w:type="spellEnd"/>
      <w:r w:rsidRPr="005D20D7">
        <w:rPr>
          <w:rFonts w:ascii="Arial" w:eastAsia="Calibri" w:hAnsi="Arial" w:cs="Arial"/>
          <w:sz w:val="20"/>
          <w:szCs w:val="20"/>
          <w:lang w:val="es-ES_tradnl"/>
        </w:rPr>
        <w:t>,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w:t>
      </w:r>
    </w:p>
    <w:p w14:paraId="197D1E99" w14:textId="77777777" w:rsidR="0026051E" w:rsidRDefault="0026051E" w:rsidP="00D73881">
      <w:pPr>
        <w:jc w:val="both"/>
        <w:rPr>
          <w:rFonts w:ascii="Arial" w:eastAsia="Calibri" w:hAnsi="Arial" w:cs="Arial"/>
          <w:b/>
          <w:sz w:val="22"/>
          <w:lang w:val="es-ES_tradnl"/>
        </w:rPr>
      </w:pPr>
    </w:p>
    <w:p w14:paraId="07AD6094" w14:textId="77777777" w:rsidR="0026051E" w:rsidRDefault="0026051E" w:rsidP="00D73881">
      <w:pPr>
        <w:jc w:val="both"/>
        <w:rPr>
          <w:rFonts w:ascii="Arial" w:eastAsia="Calibri" w:hAnsi="Arial" w:cs="Arial"/>
          <w:b/>
          <w:sz w:val="22"/>
          <w:lang w:val="es-ES_tradnl"/>
        </w:rPr>
      </w:pPr>
    </w:p>
    <w:p w14:paraId="7144E95B" w14:textId="76DD9ABA" w:rsidR="00D73881" w:rsidRPr="00C440B6" w:rsidRDefault="00D73881" w:rsidP="00D73881">
      <w:pPr>
        <w:jc w:val="both"/>
        <w:rPr>
          <w:rFonts w:ascii="Arial" w:eastAsia="Calibri" w:hAnsi="Arial" w:cs="Arial"/>
          <w:b/>
          <w:sz w:val="22"/>
          <w:lang w:val="es-ES_tradnl"/>
        </w:rPr>
      </w:pPr>
      <w:r w:rsidRPr="00C440B6">
        <w:rPr>
          <w:rFonts w:ascii="Arial" w:eastAsia="Calibri" w:hAnsi="Arial" w:cs="Arial"/>
          <w:b/>
          <w:sz w:val="22"/>
          <w:lang w:val="es-ES_tradnl"/>
        </w:rPr>
        <w:lastRenderedPageBreak/>
        <w:t xml:space="preserve">LEY DE EMPRENDIMIENTO </w:t>
      </w:r>
      <w:r w:rsidRPr="00C440B6">
        <w:rPr>
          <w:rFonts w:ascii="Arial" w:eastAsia="Calibri" w:hAnsi="Arial" w:cs="Arial"/>
          <w:b/>
          <w:color w:val="000000" w:themeColor="text1"/>
          <w:sz w:val="22"/>
          <w:lang w:val="es-ES_tradnl"/>
        </w:rPr>
        <w:t>–</w:t>
      </w:r>
      <w:r w:rsidRPr="00C440B6">
        <w:rPr>
          <w:rFonts w:ascii="Arial" w:eastAsia="Calibri" w:hAnsi="Arial" w:cs="Arial"/>
          <w:b/>
          <w:sz w:val="22"/>
          <w:lang w:val="es-ES_tradnl"/>
        </w:rPr>
        <w:t xml:space="preserve"> Ley </w:t>
      </w:r>
      <w:r w:rsidR="006F0F34">
        <w:rPr>
          <w:rFonts w:ascii="Arial" w:eastAsia="Calibri" w:hAnsi="Arial" w:cs="Arial"/>
          <w:b/>
          <w:sz w:val="22"/>
          <w:lang w:val="es-ES_tradnl"/>
        </w:rPr>
        <w:t>2069</w:t>
      </w:r>
      <w:r w:rsidRPr="00C440B6">
        <w:rPr>
          <w:rFonts w:ascii="Arial" w:eastAsia="Calibri" w:hAnsi="Arial" w:cs="Arial"/>
          <w:b/>
          <w:sz w:val="22"/>
          <w:lang w:val="es-ES_tradnl"/>
        </w:rPr>
        <w:t xml:space="preserve"> de 2020 </w:t>
      </w:r>
      <w:r w:rsidRPr="00C440B6">
        <w:rPr>
          <w:rFonts w:ascii="Arial" w:eastAsia="Calibri" w:hAnsi="Arial" w:cs="Arial"/>
          <w:b/>
          <w:color w:val="000000" w:themeColor="text1"/>
          <w:sz w:val="22"/>
          <w:lang w:val="es-ES_tradnl"/>
        </w:rPr>
        <w:t xml:space="preserve">– Vigencia </w:t>
      </w:r>
    </w:p>
    <w:p w14:paraId="0D3B8DEB" w14:textId="33C83BCF" w:rsidR="00D73881" w:rsidRPr="00C440B6" w:rsidRDefault="00D73881" w:rsidP="00D73881">
      <w:pPr>
        <w:jc w:val="both"/>
        <w:rPr>
          <w:rFonts w:ascii="Arial" w:eastAsia="Calibri" w:hAnsi="Arial" w:cs="Arial"/>
          <w:b/>
          <w:sz w:val="22"/>
          <w:lang w:val="es-ES_tradnl"/>
        </w:rPr>
      </w:pPr>
    </w:p>
    <w:p w14:paraId="097E383C" w14:textId="77777777" w:rsidR="006A2829" w:rsidRPr="005419DA" w:rsidRDefault="006A2829" w:rsidP="006A2829">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El 31 de diciembre de 2020 se promulgó la Ley </w:t>
      </w:r>
      <w:r>
        <w:rPr>
          <w:rFonts w:ascii="Arial" w:eastAsia="Calibri" w:hAnsi="Arial" w:cs="Arial"/>
          <w:sz w:val="20"/>
          <w:szCs w:val="20"/>
          <w:lang w:val="es-ES_tradnl"/>
        </w:rPr>
        <w:t>2069</w:t>
      </w:r>
      <w:r w:rsidRPr="005419DA">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4A4015B6" w14:textId="77777777" w:rsidR="006A2829" w:rsidRPr="005419DA" w:rsidRDefault="006A2829" w:rsidP="006A2829">
      <w:pPr>
        <w:jc w:val="both"/>
        <w:rPr>
          <w:rFonts w:ascii="Arial" w:eastAsia="Calibri" w:hAnsi="Arial" w:cs="Arial"/>
          <w:sz w:val="20"/>
          <w:szCs w:val="20"/>
          <w:lang w:val="es-ES_tradnl"/>
        </w:rPr>
      </w:pPr>
    </w:p>
    <w:p w14:paraId="178DBEA3" w14:textId="77777777" w:rsidR="006A2829" w:rsidRPr="005419DA" w:rsidRDefault="006A2829" w:rsidP="006A2829">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419DA">
        <w:rPr>
          <w:rFonts w:ascii="Arial" w:eastAsia="Calibri" w:hAnsi="Arial" w:cs="Arial"/>
          <w:sz w:val="20"/>
          <w:szCs w:val="20"/>
          <w:lang w:val="es-ES_tradnl"/>
        </w:rPr>
        <w:t>de acuerdo a</w:t>
      </w:r>
      <w:proofErr w:type="gramEnd"/>
      <w:r w:rsidRPr="005419DA">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5419DA">
        <w:rPr>
          <w:rFonts w:ascii="Arial" w:eastAsia="Calibri" w:hAnsi="Arial" w:cs="Arial"/>
          <w:sz w:val="20"/>
          <w:szCs w:val="20"/>
          <w:lang w:val="es-ES_tradnl"/>
        </w:rPr>
        <w:t>mipymes</w:t>
      </w:r>
      <w:proofErr w:type="spellEnd"/>
      <w:r w:rsidRPr="005419DA">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493AD17D" w14:textId="77777777" w:rsidR="00203878" w:rsidRPr="00203878" w:rsidRDefault="00203878" w:rsidP="00454589">
      <w:pPr>
        <w:jc w:val="both"/>
        <w:rPr>
          <w:rFonts w:ascii="Arial" w:eastAsia="Calibri" w:hAnsi="Arial" w:cs="Arial"/>
          <w:b/>
          <w:bCs/>
          <w:sz w:val="20"/>
          <w:szCs w:val="20"/>
          <w:lang w:val="es-ES_tradnl"/>
        </w:rPr>
      </w:pPr>
    </w:p>
    <w:p w14:paraId="54939D39" w14:textId="77777777" w:rsidR="00203878" w:rsidRDefault="00203878">
      <w:pPr>
        <w:spacing w:after="200" w:line="276" w:lineRule="auto"/>
        <w:rPr>
          <w:rFonts w:ascii="Arial" w:eastAsia="Arial" w:hAnsi="Arial" w:cs="Arial"/>
          <w:b/>
          <w:bCs/>
          <w:sz w:val="22"/>
          <w:szCs w:val="22"/>
          <w:lang w:val="es-ES" w:eastAsia="en-US"/>
        </w:rPr>
      </w:pPr>
      <w:r w:rsidRPr="00203878">
        <w:rPr>
          <w:rFonts w:ascii="Arial" w:eastAsia="Arial" w:hAnsi="Arial" w:cs="Arial"/>
          <w:b/>
          <w:bCs/>
          <w:sz w:val="22"/>
          <w:szCs w:val="22"/>
          <w:lang w:val="es-ES" w:eastAsia="en-US"/>
        </w:rPr>
        <w:t>DECRETO 1082 DE 2015 – Factores de desempate – Mínima cuantía – Derogatoria –</w:t>
      </w:r>
      <w:r w:rsidRPr="00203878">
        <w:rPr>
          <w:rFonts w:ascii="Arial" w:eastAsia="Arial" w:hAnsi="Arial" w:cs="Arial"/>
          <w:b/>
          <w:bCs/>
          <w:spacing w:val="-3"/>
          <w:sz w:val="22"/>
          <w:szCs w:val="22"/>
          <w:lang w:val="es-ES" w:eastAsia="en-US"/>
        </w:rPr>
        <w:t xml:space="preserve"> </w:t>
      </w:r>
      <w:r w:rsidRPr="00203878">
        <w:rPr>
          <w:rFonts w:ascii="Arial" w:eastAsia="Arial" w:hAnsi="Arial" w:cs="Arial"/>
          <w:b/>
          <w:bCs/>
          <w:sz w:val="22"/>
          <w:szCs w:val="22"/>
          <w:lang w:val="es-ES" w:eastAsia="en-US"/>
        </w:rPr>
        <w:t>Decaimiento.</w:t>
      </w:r>
    </w:p>
    <w:p w14:paraId="0F98F163" w14:textId="6EE7B831" w:rsidR="005D20D7" w:rsidRDefault="005D20D7" w:rsidP="005D20D7">
      <w:pPr>
        <w:jc w:val="both"/>
        <w:rPr>
          <w:rFonts w:ascii="Arial" w:hAnsi="Arial" w:cs="Arial"/>
          <w:color w:val="000000" w:themeColor="text1"/>
          <w:sz w:val="20"/>
          <w:szCs w:val="20"/>
          <w:lang w:val="es-ES_tradnl"/>
        </w:rPr>
      </w:pPr>
      <w:r w:rsidRPr="005D20D7">
        <w:rPr>
          <w:rFonts w:ascii="Arial" w:hAnsi="Arial" w:cs="Arial"/>
          <w:color w:val="000000" w:themeColor="text1"/>
          <w:sz w:val="20"/>
          <w:szCs w:val="20"/>
          <w:lang w:val="es-ES_tradnl"/>
        </w:rPr>
        <w:t xml:space="preserve">Ahora bien, hasta la promulgación de la Ley 2069 de 2020, el artículo 2.2.1.1.2.2.9 del Decreto 1082 de 2015 regulaba los factores de desempate que debían aplicarse en los procesos de </w:t>
      </w:r>
      <w:r w:rsidR="00950980" w:rsidRPr="005D20D7">
        <w:rPr>
          <w:rFonts w:ascii="Arial" w:hAnsi="Arial" w:cs="Arial"/>
          <w:color w:val="000000" w:themeColor="text1"/>
          <w:sz w:val="20"/>
          <w:szCs w:val="20"/>
          <w:lang w:val="es-ES_tradnl"/>
        </w:rPr>
        <w:t>selección.</w:t>
      </w:r>
      <w:r w:rsidRPr="005D20D7">
        <w:rPr>
          <w:rFonts w:ascii="Arial" w:hAnsi="Arial" w:cs="Arial"/>
          <w:color w:val="000000" w:themeColor="text1"/>
          <w:sz w:val="20"/>
          <w:szCs w:val="20"/>
          <w:lang w:val="es-ES_tradnl"/>
        </w:rPr>
        <w:t xml:space="preserve"> En criterio de esta Agencia, dicha norma debe entenderse derogada por el artículo 35 de la Ley 2069 de 2020. Ello no solo porque el artículo 84 de esta Ley dice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24A080AB" w14:textId="77777777" w:rsidR="005D20D7" w:rsidRPr="005D20D7" w:rsidRDefault="005D20D7" w:rsidP="005D20D7">
      <w:pPr>
        <w:jc w:val="both"/>
        <w:rPr>
          <w:rFonts w:ascii="Arial" w:hAnsi="Arial" w:cs="Arial"/>
          <w:color w:val="000000" w:themeColor="text1"/>
          <w:sz w:val="20"/>
          <w:szCs w:val="20"/>
          <w:lang w:val="es-ES_tradnl"/>
        </w:rPr>
      </w:pPr>
    </w:p>
    <w:p w14:paraId="68785265" w14:textId="03095822" w:rsidR="00B10EEB" w:rsidRDefault="005D20D7" w:rsidP="005D20D7">
      <w:pPr>
        <w:jc w:val="both"/>
        <w:rPr>
          <w:rFonts w:ascii="Arial" w:hAnsi="Arial" w:cs="Arial"/>
          <w:color w:val="000000" w:themeColor="text1"/>
          <w:sz w:val="20"/>
          <w:szCs w:val="20"/>
          <w:lang w:val="es-ES_tradnl"/>
        </w:rPr>
      </w:pPr>
      <w:r w:rsidRPr="005D20D7">
        <w:rPr>
          <w:rFonts w:ascii="Arial" w:hAnsi="Arial" w:cs="Arial"/>
          <w:color w:val="000000" w:themeColor="text1"/>
          <w:sz w:val="20"/>
          <w:szCs w:val="20"/>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5D20D7">
        <w:rPr>
          <w:rFonts w:ascii="Arial" w:hAnsi="Arial" w:cs="Arial"/>
          <w:color w:val="000000" w:themeColor="text1"/>
          <w:sz w:val="20"/>
          <w:szCs w:val="20"/>
          <w:lang w:val="es-ES_tradnl"/>
        </w:rPr>
        <w:t>secundum</w:t>
      </w:r>
      <w:proofErr w:type="spellEnd"/>
      <w:r w:rsidRPr="005D20D7">
        <w:rPr>
          <w:rFonts w:ascii="Arial" w:hAnsi="Arial" w:cs="Arial"/>
          <w:color w:val="000000" w:themeColor="text1"/>
          <w:sz w:val="20"/>
          <w:szCs w:val="20"/>
          <w:lang w:val="es-ES_tradnl"/>
        </w:rPr>
        <w:t xml:space="preserve"> </w:t>
      </w:r>
      <w:proofErr w:type="spellStart"/>
      <w:r w:rsidRPr="005D20D7">
        <w:rPr>
          <w:rFonts w:ascii="Arial" w:hAnsi="Arial" w:cs="Arial"/>
          <w:color w:val="000000" w:themeColor="text1"/>
          <w:sz w:val="20"/>
          <w:szCs w:val="20"/>
          <w:lang w:val="es-ES_tradnl"/>
        </w:rPr>
        <w:t>legem</w:t>
      </w:r>
      <w:proofErr w:type="spellEnd"/>
      <w:r w:rsidRPr="005D20D7">
        <w:rPr>
          <w:rFonts w:ascii="Arial" w:hAnsi="Arial" w:cs="Arial"/>
          <w:color w:val="000000" w:themeColor="text1"/>
          <w:sz w:val="20"/>
          <w:szCs w:val="20"/>
          <w:lang w:val="es-ES_tradnl"/>
        </w:rPr>
        <w:t xml:space="preserve"> –es decir, que desarrolla una norma de mayor jerarquía–, la expedición de una ley en sentido formal –es decir, una fuente que condiciona el contenido de este último–, hace que la disposición reglamentaria decaiga.   </w:t>
      </w:r>
    </w:p>
    <w:p w14:paraId="1886B119" w14:textId="77777777" w:rsidR="005D20D7" w:rsidRDefault="005D20D7" w:rsidP="005D20D7">
      <w:pPr>
        <w:jc w:val="both"/>
        <w:rPr>
          <w:rFonts w:ascii="Arial" w:eastAsia="Calibri" w:hAnsi="Arial" w:cs="Arial"/>
          <w:sz w:val="20"/>
          <w:szCs w:val="20"/>
          <w:lang w:val="es-ES_tradnl"/>
        </w:rPr>
      </w:pPr>
    </w:p>
    <w:p w14:paraId="3D5878D5" w14:textId="77777777" w:rsidR="005D20D7" w:rsidRPr="005D20D7" w:rsidRDefault="005D20D7" w:rsidP="005D20D7">
      <w:pPr>
        <w:jc w:val="both"/>
        <w:rPr>
          <w:rFonts w:ascii="Arial" w:eastAsia="Calibri" w:hAnsi="Arial" w:cs="Arial"/>
          <w:sz w:val="20"/>
          <w:szCs w:val="20"/>
          <w:lang w:val="es-ES_tradnl"/>
        </w:rPr>
      </w:pPr>
      <w:r w:rsidRPr="005D20D7">
        <w:rPr>
          <w:rFonts w:ascii="Arial" w:eastAsia="Calibri" w:hAnsi="Arial" w:cs="Arial"/>
          <w:sz w:val="20"/>
          <w:szCs w:val="20"/>
          <w:lang w:val="es-ES_tradnl"/>
        </w:rPr>
        <w:t xml:space="preserve">Lo expuesto en los dos (2) párrafos precedentes también aplica mutatis mutandis a los factores de desempate previstos en el Decreto Único Reglamentario del Sector Administrativo de Planeación Nacional para el procedimiento de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w:t>
      </w:r>
      <w:r w:rsidRPr="005D20D7">
        <w:rPr>
          <w:rFonts w:ascii="Arial" w:eastAsia="Calibri" w:hAnsi="Arial" w:cs="Arial"/>
          <w:sz w:val="20"/>
          <w:szCs w:val="20"/>
          <w:lang w:val="es-ES_tradnl"/>
        </w:rPr>
        <w:lastRenderedPageBreak/>
        <w:t xml:space="preserve">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0AFE3465" w14:textId="552CCF25" w:rsidR="00B10EEB" w:rsidRDefault="00B10EEB" w:rsidP="00B10EEB">
      <w:pPr>
        <w:jc w:val="both"/>
        <w:rPr>
          <w:rFonts w:ascii="Arial" w:eastAsia="Calibri" w:hAnsi="Arial" w:cs="Arial"/>
          <w:sz w:val="20"/>
          <w:szCs w:val="20"/>
          <w:lang w:val="es-ES_tradnl"/>
        </w:rPr>
      </w:pPr>
    </w:p>
    <w:p w14:paraId="3313B115" w14:textId="157D4906" w:rsidR="00B10EEB" w:rsidRDefault="00B10EEB" w:rsidP="00B10EEB">
      <w:pPr>
        <w:jc w:val="both"/>
        <w:rPr>
          <w:rFonts w:ascii="Arial" w:eastAsia="Calibri" w:hAnsi="Arial" w:cs="Arial"/>
          <w:sz w:val="20"/>
          <w:szCs w:val="20"/>
          <w:lang w:val="es-ES_tradnl"/>
        </w:rPr>
      </w:pPr>
    </w:p>
    <w:p w14:paraId="02672F38" w14:textId="4B8B281F" w:rsidR="00B10EEB" w:rsidRDefault="00B10EEB" w:rsidP="00B10EEB">
      <w:pPr>
        <w:jc w:val="both"/>
        <w:rPr>
          <w:rFonts w:ascii="Arial" w:eastAsia="Calibri" w:hAnsi="Arial" w:cs="Arial"/>
          <w:sz w:val="20"/>
          <w:szCs w:val="20"/>
          <w:lang w:val="es-ES_tradnl"/>
        </w:rPr>
      </w:pPr>
    </w:p>
    <w:p w14:paraId="348F109F" w14:textId="6F7D68B1" w:rsidR="00B10EEB" w:rsidRDefault="00B10EEB" w:rsidP="00B10EEB">
      <w:pPr>
        <w:jc w:val="both"/>
        <w:rPr>
          <w:rFonts w:ascii="Arial" w:eastAsia="Calibri" w:hAnsi="Arial" w:cs="Arial"/>
          <w:sz w:val="20"/>
          <w:szCs w:val="20"/>
          <w:lang w:val="es-ES_tradnl"/>
        </w:rPr>
      </w:pPr>
    </w:p>
    <w:p w14:paraId="392652B3" w14:textId="0E3F755F" w:rsidR="00B10EEB" w:rsidRDefault="00B10EEB" w:rsidP="00B10EEB">
      <w:pPr>
        <w:jc w:val="both"/>
        <w:rPr>
          <w:rFonts w:ascii="Arial" w:eastAsia="Calibri" w:hAnsi="Arial" w:cs="Arial"/>
          <w:sz w:val="20"/>
          <w:szCs w:val="20"/>
          <w:lang w:val="es-ES_tradnl"/>
        </w:rPr>
      </w:pPr>
    </w:p>
    <w:p w14:paraId="338676E8" w14:textId="488C815D" w:rsidR="00B10EEB" w:rsidRDefault="00B10EEB" w:rsidP="00B10EEB">
      <w:pPr>
        <w:jc w:val="both"/>
        <w:rPr>
          <w:rFonts w:ascii="Arial" w:eastAsia="Calibri" w:hAnsi="Arial" w:cs="Arial"/>
          <w:sz w:val="20"/>
          <w:szCs w:val="20"/>
          <w:lang w:val="es-ES_tradnl"/>
        </w:rPr>
      </w:pPr>
    </w:p>
    <w:p w14:paraId="514BB9E1" w14:textId="6126D88F" w:rsidR="00B10EEB" w:rsidRDefault="00B10EEB" w:rsidP="00B10EEB">
      <w:pPr>
        <w:jc w:val="both"/>
        <w:rPr>
          <w:rFonts w:ascii="Arial" w:eastAsia="Calibri" w:hAnsi="Arial" w:cs="Arial"/>
          <w:sz w:val="20"/>
          <w:szCs w:val="20"/>
          <w:lang w:val="es-ES_tradnl"/>
        </w:rPr>
      </w:pPr>
    </w:p>
    <w:p w14:paraId="2A4ECE67" w14:textId="2C5100D6" w:rsidR="00B10EEB" w:rsidRDefault="00B10EEB" w:rsidP="00B10EEB">
      <w:pPr>
        <w:jc w:val="both"/>
        <w:rPr>
          <w:rFonts w:ascii="Arial" w:eastAsia="Calibri" w:hAnsi="Arial" w:cs="Arial"/>
          <w:sz w:val="20"/>
          <w:szCs w:val="20"/>
          <w:lang w:val="es-ES_tradnl"/>
        </w:rPr>
      </w:pPr>
    </w:p>
    <w:p w14:paraId="3A99ED28" w14:textId="3E2BE216" w:rsidR="00B10EEB" w:rsidRDefault="00B10EEB" w:rsidP="00B10EEB">
      <w:pPr>
        <w:jc w:val="both"/>
        <w:rPr>
          <w:rFonts w:ascii="Arial" w:eastAsia="Calibri" w:hAnsi="Arial" w:cs="Arial"/>
          <w:sz w:val="20"/>
          <w:szCs w:val="20"/>
          <w:lang w:val="es-ES_tradnl"/>
        </w:rPr>
      </w:pPr>
    </w:p>
    <w:p w14:paraId="348D3591" w14:textId="284CD1C5" w:rsidR="00B10EEB" w:rsidRDefault="00B10EEB" w:rsidP="00B10EEB">
      <w:pPr>
        <w:jc w:val="both"/>
        <w:rPr>
          <w:rFonts w:ascii="Arial" w:eastAsia="Calibri" w:hAnsi="Arial" w:cs="Arial"/>
          <w:sz w:val="20"/>
          <w:szCs w:val="20"/>
          <w:lang w:val="es-ES_tradnl"/>
        </w:rPr>
      </w:pPr>
    </w:p>
    <w:p w14:paraId="26184118" w14:textId="0B85F6FC" w:rsidR="00B10EEB" w:rsidRDefault="00B10EEB" w:rsidP="00B10EEB">
      <w:pPr>
        <w:jc w:val="both"/>
        <w:rPr>
          <w:rFonts w:ascii="Arial" w:eastAsia="Calibri" w:hAnsi="Arial" w:cs="Arial"/>
          <w:sz w:val="20"/>
          <w:szCs w:val="20"/>
          <w:lang w:val="es-ES_tradnl"/>
        </w:rPr>
      </w:pPr>
    </w:p>
    <w:p w14:paraId="2D60DD0B" w14:textId="780CAB03" w:rsidR="00B10EEB" w:rsidRDefault="00B10EEB" w:rsidP="00B10EEB">
      <w:pPr>
        <w:jc w:val="both"/>
        <w:rPr>
          <w:rFonts w:ascii="Arial" w:eastAsia="Calibri" w:hAnsi="Arial" w:cs="Arial"/>
          <w:sz w:val="20"/>
          <w:szCs w:val="20"/>
          <w:lang w:val="es-ES_tradnl"/>
        </w:rPr>
      </w:pPr>
    </w:p>
    <w:p w14:paraId="19097EE3" w14:textId="1C559A6A" w:rsidR="00B10EEB" w:rsidRDefault="00B10EEB" w:rsidP="00B10EEB">
      <w:pPr>
        <w:jc w:val="both"/>
        <w:rPr>
          <w:rFonts w:ascii="Arial" w:eastAsia="Calibri" w:hAnsi="Arial" w:cs="Arial"/>
          <w:sz w:val="20"/>
          <w:szCs w:val="20"/>
          <w:lang w:val="es-ES_tradnl"/>
        </w:rPr>
      </w:pPr>
    </w:p>
    <w:p w14:paraId="1B11A715" w14:textId="0F438A8D" w:rsidR="00B10EEB" w:rsidRDefault="00B10EEB" w:rsidP="00B10EEB">
      <w:pPr>
        <w:jc w:val="both"/>
        <w:rPr>
          <w:rFonts w:ascii="Arial" w:eastAsia="Calibri" w:hAnsi="Arial" w:cs="Arial"/>
          <w:sz w:val="20"/>
          <w:szCs w:val="20"/>
          <w:lang w:val="es-ES_tradnl"/>
        </w:rPr>
      </w:pPr>
    </w:p>
    <w:p w14:paraId="2D27065C" w14:textId="4D2BC7AB" w:rsidR="00B10EEB" w:rsidRDefault="00B10EEB" w:rsidP="00B10EEB">
      <w:pPr>
        <w:jc w:val="both"/>
        <w:rPr>
          <w:rFonts w:ascii="Arial" w:eastAsia="Calibri" w:hAnsi="Arial" w:cs="Arial"/>
          <w:sz w:val="20"/>
          <w:szCs w:val="20"/>
          <w:lang w:val="es-ES_tradnl"/>
        </w:rPr>
      </w:pPr>
    </w:p>
    <w:p w14:paraId="2397D991" w14:textId="13825F7A" w:rsidR="00B10EEB" w:rsidRDefault="00B10EEB" w:rsidP="00B10EEB">
      <w:pPr>
        <w:jc w:val="both"/>
        <w:rPr>
          <w:rFonts w:ascii="Arial" w:eastAsia="Calibri" w:hAnsi="Arial" w:cs="Arial"/>
          <w:sz w:val="20"/>
          <w:szCs w:val="20"/>
          <w:lang w:val="es-ES_tradnl"/>
        </w:rPr>
      </w:pPr>
    </w:p>
    <w:p w14:paraId="0B958FF5" w14:textId="03C06C2B" w:rsidR="00B10EEB" w:rsidRDefault="00B10EEB" w:rsidP="00B10EEB">
      <w:pPr>
        <w:jc w:val="both"/>
        <w:rPr>
          <w:rFonts w:ascii="Arial" w:eastAsia="Calibri" w:hAnsi="Arial" w:cs="Arial"/>
          <w:sz w:val="20"/>
          <w:szCs w:val="20"/>
          <w:lang w:val="es-ES_tradnl"/>
        </w:rPr>
      </w:pPr>
    </w:p>
    <w:p w14:paraId="08027003" w14:textId="608FD404" w:rsidR="00B10EEB" w:rsidRDefault="00B10EEB" w:rsidP="00B10EEB">
      <w:pPr>
        <w:jc w:val="both"/>
        <w:rPr>
          <w:rFonts w:ascii="Arial" w:eastAsia="Calibri" w:hAnsi="Arial" w:cs="Arial"/>
          <w:sz w:val="20"/>
          <w:szCs w:val="20"/>
          <w:lang w:val="es-ES_tradnl"/>
        </w:rPr>
      </w:pPr>
    </w:p>
    <w:p w14:paraId="08C58EC0" w14:textId="1E020171" w:rsidR="00B10EEB" w:rsidRDefault="00B10EEB" w:rsidP="00B10EEB">
      <w:pPr>
        <w:jc w:val="both"/>
        <w:rPr>
          <w:rFonts w:ascii="Arial" w:eastAsia="Calibri" w:hAnsi="Arial" w:cs="Arial"/>
          <w:sz w:val="20"/>
          <w:szCs w:val="20"/>
          <w:lang w:val="es-ES_tradnl"/>
        </w:rPr>
      </w:pPr>
    </w:p>
    <w:p w14:paraId="4DFE0D8A" w14:textId="265A3788" w:rsidR="00B10EEB" w:rsidRDefault="00B10EEB" w:rsidP="00B10EEB">
      <w:pPr>
        <w:jc w:val="both"/>
        <w:rPr>
          <w:rFonts w:ascii="Arial" w:eastAsia="Calibri" w:hAnsi="Arial" w:cs="Arial"/>
          <w:sz w:val="20"/>
          <w:szCs w:val="20"/>
          <w:lang w:val="es-ES_tradnl"/>
        </w:rPr>
      </w:pPr>
    </w:p>
    <w:p w14:paraId="6E11326C" w14:textId="24C84728" w:rsidR="00B10EEB" w:rsidRDefault="00B10EEB" w:rsidP="00B10EEB">
      <w:pPr>
        <w:jc w:val="both"/>
        <w:rPr>
          <w:rFonts w:ascii="Arial" w:eastAsia="Calibri" w:hAnsi="Arial" w:cs="Arial"/>
          <w:sz w:val="20"/>
          <w:szCs w:val="20"/>
          <w:lang w:val="es-ES_tradnl"/>
        </w:rPr>
      </w:pPr>
    </w:p>
    <w:p w14:paraId="325E8EFE" w14:textId="70A0685C" w:rsidR="00B10EEB" w:rsidRDefault="00B10EEB" w:rsidP="00B10EEB">
      <w:pPr>
        <w:jc w:val="both"/>
        <w:rPr>
          <w:rFonts w:ascii="Arial" w:eastAsia="Calibri" w:hAnsi="Arial" w:cs="Arial"/>
          <w:sz w:val="20"/>
          <w:szCs w:val="20"/>
          <w:lang w:val="es-ES_tradnl"/>
        </w:rPr>
      </w:pPr>
    </w:p>
    <w:p w14:paraId="54D07334" w14:textId="5BE06D60" w:rsidR="00B10EEB" w:rsidRDefault="00B10EEB" w:rsidP="00B10EEB">
      <w:pPr>
        <w:jc w:val="both"/>
        <w:rPr>
          <w:rFonts w:ascii="Arial" w:eastAsia="Calibri" w:hAnsi="Arial" w:cs="Arial"/>
          <w:sz w:val="20"/>
          <w:szCs w:val="20"/>
          <w:lang w:val="es-ES_tradnl"/>
        </w:rPr>
      </w:pPr>
    </w:p>
    <w:p w14:paraId="4BD0F3C3" w14:textId="2A244B4B" w:rsidR="00B10EEB" w:rsidRDefault="00B10EEB" w:rsidP="00B10EEB">
      <w:pPr>
        <w:jc w:val="both"/>
        <w:rPr>
          <w:rFonts w:ascii="Arial" w:eastAsia="Calibri" w:hAnsi="Arial" w:cs="Arial"/>
          <w:sz w:val="20"/>
          <w:szCs w:val="20"/>
          <w:lang w:val="es-ES_tradnl"/>
        </w:rPr>
      </w:pPr>
    </w:p>
    <w:p w14:paraId="4D6952B6" w14:textId="5C97017B" w:rsidR="00B10EEB" w:rsidRDefault="00B10EEB" w:rsidP="00B10EEB">
      <w:pPr>
        <w:jc w:val="both"/>
        <w:rPr>
          <w:rFonts w:ascii="Arial" w:eastAsia="Calibri" w:hAnsi="Arial" w:cs="Arial"/>
          <w:sz w:val="20"/>
          <w:szCs w:val="20"/>
          <w:lang w:val="es-ES_tradnl"/>
        </w:rPr>
      </w:pPr>
    </w:p>
    <w:p w14:paraId="2820C512" w14:textId="0C3500E9" w:rsidR="00B10EEB" w:rsidRDefault="00B10EEB" w:rsidP="00B10EEB">
      <w:pPr>
        <w:jc w:val="both"/>
        <w:rPr>
          <w:rFonts w:ascii="Arial" w:eastAsia="Calibri" w:hAnsi="Arial" w:cs="Arial"/>
          <w:sz w:val="20"/>
          <w:szCs w:val="20"/>
          <w:lang w:val="es-ES_tradnl"/>
        </w:rPr>
      </w:pPr>
    </w:p>
    <w:p w14:paraId="6870950D" w14:textId="42130C95" w:rsidR="00B10EEB" w:rsidRDefault="00B10EEB" w:rsidP="00B10EEB">
      <w:pPr>
        <w:jc w:val="both"/>
        <w:rPr>
          <w:rFonts w:ascii="Arial" w:eastAsia="Calibri" w:hAnsi="Arial" w:cs="Arial"/>
          <w:sz w:val="20"/>
          <w:szCs w:val="20"/>
          <w:lang w:val="es-ES_tradnl"/>
        </w:rPr>
      </w:pPr>
    </w:p>
    <w:p w14:paraId="6FD68971" w14:textId="1463A1AD" w:rsidR="00B10EEB" w:rsidRDefault="00B10EEB" w:rsidP="00B10EEB">
      <w:pPr>
        <w:jc w:val="both"/>
        <w:rPr>
          <w:rFonts w:ascii="Arial" w:eastAsia="Calibri" w:hAnsi="Arial" w:cs="Arial"/>
          <w:sz w:val="20"/>
          <w:szCs w:val="20"/>
          <w:lang w:val="es-ES_tradnl"/>
        </w:rPr>
      </w:pPr>
    </w:p>
    <w:p w14:paraId="4D3E136F" w14:textId="617C5BE5" w:rsidR="00B10EEB" w:rsidRDefault="00B10EEB" w:rsidP="00B10EEB">
      <w:pPr>
        <w:jc w:val="both"/>
        <w:rPr>
          <w:rFonts w:ascii="Arial" w:eastAsia="Calibri" w:hAnsi="Arial" w:cs="Arial"/>
          <w:sz w:val="20"/>
          <w:szCs w:val="20"/>
          <w:lang w:val="es-ES_tradnl"/>
        </w:rPr>
      </w:pPr>
    </w:p>
    <w:p w14:paraId="7ADE4079" w14:textId="3B5C4B75" w:rsidR="00B10EEB" w:rsidRDefault="00B10EEB" w:rsidP="00B10EEB">
      <w:pPr>
        <w:jc w:val="both"/>
        <w:rPr>
          <w:rFonts w:ascii="Arial" w:eastAsia="Calibri" w:hAnsi="Arial" w:cs="Arial"/>
          <w:sz w:val="20"/>
          <w:szCs w:val="20"/>
          <w:lang w:val="es-ES_tradnl"/>
        </w:rPr>
      </w:pPr>
    </w:p>
    <w:p w14:paraId="5EC797C0" w14:textId="2A158F32" w:rsidR="00B10EEB" w:rsidRDefault="00B10EEB" w:rsidP="00B10EEB">
      <w:pPr>
        <w:jc w:val="both"/>
        <w:rPr>
          <w:rFonts w:ascii="Arial" w:eastAsia="Calibri" w:hAnsi="Arial" w:cs="Arial"/>
          <w:sz w:val="20"/>
          <w:szCs w:val="20"/>
          <w:lang w:val="es-ES_tradnl"/>
        </w:rPr>
      </w:pPr>
    </w:p>
    <w:p w14:paraId="182340F7" w14:textId="1B80085E" w:rsidR="00B10EEB" w:rsidRDefault="00B10EEB" w:rsidP="00B10EEB">
      <w:pPr>
        <w:jc w:val="both"/>
        <w:rPr>
          <w:rFonts w:ascii="Arial" w:eastAsia="Calibri" w:hAnsi="Arial" w:cs="Arial"/>
          <w:sz w:val="20"/>
          <w:szCs w:val="20"/>
          <w:lang w:val="es-ES_tradnl"/>
        </w:rPr>
      </w:pPr>
    </w:p>
    <w:p w14:paraId="19CDC050" w14:textId="05577F74" w:rsidR="00B10EEB" w:rsidRDefault="00B10EEB" w:rsidP="00B10EEB">
      <w:pPr>
        <w:jc w:val="both"/>
        <w:rPr>
          <w:rFonts w:ascii="Arial" w:eastAsia="Calibri" w:hAnsi="Arial" w:cs="Arial"/>
          <w:sz w:val="20"/>
          <w:szCs w:val="20"/>
          <w:lang w:val="es-ES_tradnl"/>
        </w:rPr>
      </w:pPr>
    </w:p>
    <w:p w14:paraId="08C13613" w14:textId="77441B77" w:rsidR="00B10EEB" w:rsidRDefault="00B10EEB" w:rsidP="00B10EEB">
      <w:pPr>
        <w:jc w:val="both"/>
        <w:rPr>
          <w:rFonts w:ascii="Arial" w:eastAsia="Calibri" w:hAnsi="Arial" w:cs="Arial"/>
          <w:sz w:val="20"/>
          <w:szCs w:val="20"/>
          <w:lang w:val="es-ES_tradnl"/>
        </w:rPr>
      </w:pPr>
    </w:p>
    <w:p w14:paraId="0ADE96A6" w14:textId="18461FDF" w:rsidR="00B10EEB" w:rsidRDefault="00B10EEB" w:rsidP="00B10EEB">
      <w:pPr>
        <w:jc w:val="both"/>
        <w:rPr>
          <w:rFonts w:ascii="Arial" w:eastAsia="Calibri" w:hAnsi="Arial" w:cs="Arial"/>
          <w:sz w:val="20"/>
          <w:szCs w:val="20"/>
          <w:lang w:val="es-ES_tradnl"/>
        </w:rPr>
      </w:pPr>
    </w:p>
    <w:p w14:paraId="55415F04" w14:textId="47E6EE59" w:rsidR="00B10EEB" w:rsidRDefault="00B10EEB" w:rsidP="00B10EEB">
      <w:pPr>
        <w:jc w:val="both"/>
        <w:rPr>
          <w:rFonts w:ascii="Arial" w:eastAsia="Calibri" w:hAnsi="Arial" w:cs="Arial"/>
          <w:sz w:val="20"/>
          <w:szCs w:val="20"/>
          <w:lang w:val="es-ES_tradnl"/>
        </w:rPr>
      </w:pPr>
    </w:p>
    <w:p w14:paraId="0152BAA1" w14:textId="5DCE7459" w:rsidR="00B10EEB" w:rsidRDefault="00B10EEB" w:rsidP="00B10EEB">
      <w:pPr>
        <w:jc w:val="both"/>
        <w:rPr>
          <w:rFonts w:ascii="Arial" w:eastAsia="Calibri" w:hAnsi="Arial" w:cs="Arial"/>
          <w:sz w:val="20"/>
          <w:szCs w:val="20"/>
          <w:lang w:val="es-ES_tradnl"/>
        </w:rPr>
      </w:pPr>
    </w:p>
    <w:p w14:paraId="54526D92" w14:textId="79426D47" w:rsidR="00B10EEB" w:rsidRDefault="00B10EEB" w:rsidP="00B10EEB">
      <w:pPr>
        <w:jc w:val="both"/>
        <w:rPr>
          <w:rFonts w:ascii="Arial" w:eastAsia="Calibri" w:hAnsi="Arial" w:cs="Arial"/>
          <w:sz w:val="20"/>
          <w:szCs w:val="20"/>
          <w:lang w:val="es-ES_tradnl"/>
        </w:rPr>
      </w:pPr>
    </w:p>
    <w:p w14:paraId="04672493" w14:textId="03F2BE8C" w:rsidR="00B10EEB" w:rsidRDefault="00B10EEB" w:rsidP="00B10EEB">
      <w:pPr>
        <w:jc w:val="both"/>
        <w:rPr>
          <w:rFonts w:ascii="Arial" w:eastAsia="Calibri" w:hAnsi="Arial" w:cs="Arial"/>
          <w:sz w:val="20"/>
          <w:szCs w:val="20"/>
          <w:lang w:val="es-ES_tradnl"/>
        </w:rPr>
      </w:pPr>
    </w:p>
    <w:p w14:paraId="1284BB9B" w14:textId="4A921F12" w:rsidR="00B10EEB" w:rsidRDefault="00B10EEB" w:rsidP="00B10EEB">
      <w:pPr>
        <w:jc w:val="both"/>
        <w:rPr>
          <w:rFonts w:ascii="Arial" w:eastAsia="Calibri" w:hAnsi="Arial" w:cs="Arial"/>
          <w:sz w:val="20"/>
          <w:szCs w:val="20"/>
          <w:lang w:val="es-ES_tradnl"/>
        </w:rPr>
      </w:pPr>
    </w:p>
    <w:p w14:paraId="62BEC556" w14:textId="4BA55F3D" w:rsidR="00950980" w:rsidRDefault="00950980" w:rsidP="00B10EEB">
      <w:pPr>
        <w:jc w:val="both"/>
        <w:rPr>
          <w:rFonts w:ascii="Arial" w:eastAsia="Calibri" w:hAnsi="Arial" w:cs="Arial"/>
          <w:sz w:val="20"/>
          <w:szCs w:val="20"/>
          <w:lang w:val="es-ES_tradnl"/>
        </w:rPr>
      </w:pPr>
    </w:p>
    <w:p w14:paraId="22438FB0" w14:textId="14EC1554" w:rsidR="00950980" w:rsidRDefault="00950980" w:rsidP="00B10EEB">
      <w:pPr>
        <w:jc w:val="both"/>
        <w:rPr>
          <w:rFonts w:ascii="Arial" w:eastAsia="Calibri" w:hAnsi="Arial" w:cs="Arial"/>
          <w:sz w:val="20"/>
          <w:szCs w:val="20"/>
          <w:lang w:val="es-ES_tradnl"/>
        </w:rPr>
      </w:pPr>
    </w:p>
    <w:p w14:paraId="3FFAE872" w14:textId="77777777" w:rsidR="00950980" w:rsidRDefault="00950980" w:rsidP="00B10EEB">
      <w:pPr>
        <w:jc w:val="both"/>
        <w:rPr>
          <w:rFonts w:ascii="Arial" w:eastAsia="Calibri" w:hAnsi="Arial" w:cs="Arial"/>
          <w:sz w:val="20"/>
          <w:szCs w:val="20"/>
          <w:lang w:val="es-ES_tradnl"/>
        </w:rPr>
      </w:pPr>
    </w:p>
    <w:p w14:paraId="5C01C1CA" w14:textId="77777777" w:rsidR="00B10EEB" w:rsidRPr="00B10EEB" w:rsidRDefault="00B10EEB" w:rsidP="00B10EEB">
      <w:pPr>
        <w:jc w:val="both"/>
        <w:rPr>
          <w:rFonts w:ascii="Arial" w:eastAsia="Calibri" w:hAnsi="Arial" w:cs="Arial"/>
          <w:sz w:val="20"/>
          <w:szCs w:val="20"/>
          <w:lang w:val="es-ES_tradnl"/>
        </w:rPr>
      </w:pPr>
    </w:p>
    <w:p w14:paraId="7F8781BE" w14:textId="1103D0BD" w:rsidR="00C5587F" w:rsidRDefault="00C5587F" w:rsidP="009172B1">
      <w:pPr>
        <w:rPr>
          <w:rFonts w:ascii="Arial" w:hAnsi="Arial" w:cs="Arial"/>
          <w:sz w:val="22"/>
          <w:szCs w:val="20"/>
        </w:rPr>
      </w:pPr>
    </w:p>
    <w:p w14:paraId="5A6B941D" w14:textId="53C1BA54" w:rsidR="00E83679" w:rsidRDefault="00E83679" w:rsidP="009172B1">
      <w:pPr>
        <w:rPr>
          <w:rFonts w:ascii="Arial" w:hAnsi="Arial" w:cs="Arial"/>
          <w:sz w:val="22"/>
          <w:szCs w:val="20"/>
        </w:rPr>
      </w:pPr>
    </w:p>
    <w:p w14:paraId="4A1608CC" w14:textId="3A21DBAD" w:rsidR="00B45E9C" w:rsidRDefault="00B45E9C" w:rsidP="009172B1">
      <w:pPr>
        <w:rPr>
          <w:rFonts w:ascii="Arial" w:hAnsi="Arial" w:cs="Arial"/>
          <w:sz w:val="22"/>
          <w:szCs w:val="20"/>
        </w:rPr>
      </w:pPr>
    </w:p>
    <w:p w14:paraId="3FF54368" w14:textId="77777777" w:rsidR="00B45E9C" w:rsidRDefault="00B45E9C" w:rsidP="009172B1">
      <w:pPr>
        <w:rPr>
          <w:rFonts w:ascii="Arial" w:hAnsi="Arial" w:cs="Arial"/>
          <w:sz w:val="22"/>
          <w:szCs w:val="20"/>
        </w:rPr>
      </w:pPr>
    </w:p>
    <w:p w14:paraId="322731BA" w14:textId="77777777" w:rsidR="00B45E9C" w:rsidRDefault="00B45E9C" w:rsidP="009172B1">
      <w:pPr>
        <w:rPr>
          <w:rFonts w:ascii="Arial" w:hAnsi="Arial" w:cs="Arial"/>
          <w:sz w:val="22"/>
          <w:szCs w:val="20"/>
        </w:rPr>
      </w:pPr>
    </w:p>
    <w:p w14:paraId="53D51A4E" w14:textId="3DC56CB7" w:rsidR="00E83679" w:rsidRDefault="00E83679" w:rsidP="009172B1">
      <w:pPr>
        <w:rPr>
          <w:rFonts w:ascii="Arial" w:hAnsi="Arial" w:cs="Arial"/>
          <w:sz w:val="22"/>
          <w:szCs w:val="20"/>
        </w:rPr>
      </w:pPr>
    </w:p>
    <w:p w14:paraId="59E87DE6" w14:textId="77777777" w:rsidR="00E83679" w:rsidRDefault="00E83679" w:rsidP="009172B1">
      <w:pPr>
        <w:rPr>
          <w:rFonts w:ascii="Arial" w:hAnsi="Arial" w:cs="Arial"/>
          <w:sz w:val="22"/>
          <w:szCs w:val="20"/>
        </w:rPr>
      </w:pPr>
    </w:p>
    <w:p w14:paraId="00183F5E" w14:textId="7579EDA3" w:rsidR="00900530" w:rsidRPr="00900530" w:rsidRDefault="009172B1" w:rsidP="00900530">
      <w:pPr>
        <w:rPr>
          <w:rFonts w:ascii="Arial" w:eastAsia="Arial" w:hAnsi="Arial" w:cs="Arial"/>
          <w:b/>
          <w:sz w:val="22"/>
          <w:szCs w:val="22"/>
          <w:lang w:val="es-MX" w:eastAsia="en-US"/>
        </w:rPr>
      </w:pPr>
      <w:bookmarkStart w:id="2" w:name="_Hlk64030265"/>
      <w:r>
        <w:rPr>
          <w:rFonts w:ascii="Arial" w:hAnsi="Arial" w:cs="Arial"/>
          <w:sz w:val="22"/>
          <w:szCs w:val="20"/>
        </w:rPr>
        <w:t>Bogotá D.C.</w:t>
      </w:r>
      <w:bookmarkEnd w:id="2"/>
      <w:r>
        <w:rPr>
          <w:rFonts w:ascii="Arial" w:hAnsi="Arial" w:cs="Arial"/>
          <w:sz w:val="22"/>
          <w:szCs w:val="20"/>
        </w:rPr>
        <w:t xml:space="preserve">, </w:t>
      </w:r>
      <w:r w:rsidR="00950980">
        <w:rPr>
          <w:rFonts w:ascii="Arial" w:eastAsia="Arial" w:hAnsi="Arial" w:cs="Arial"/>
          <w:b/>
          <w:bCs/>
          <w:sz w:val="22"/>
          <w:szCs w:val="22"/>
          <w:lang w:val="es-MX" w:eastAsia="en-US"/>
        </w:rPr>
        <w:t>28/04/2021</w:t>
      </w:r>
    </w:p>
    <w:p w14:paraId="3D439D44" w14:textId="77777777" w:rsidR="00900530" w:rsidRPr="00063038" w:rsidRDefault="00900530" w:rsidP="00063038">
      <w:pPr>
        <w:widowControl w:val="0"/>
        <w:autoSpaceDE w:val="0"/>
        <w:autoSpaceDN w:val="0"/>
        <w:rPr>
          <w:rFonts w:ascii="Arial" w:eastAsia="Arial" w:hAnsi="Arial" w:cs="Arial"/>
          <w:bCs/>
          <w:sz w:val="22"/>
          <w:szCs w:val="22"/>
          <w:lang w:val="es-MX" w:eastAsia="en-US"/>
        </w:rPr>
      </w:pPr>
    </w:p>
    <w:p w14:paraId="65F5024F" w14:textId="76A314DD" w:rsidR="00900530" w:rsidRPr="00900530" w:rsidRDefault="00234792" w:rsidP="00900530">
      <w:pPr>
        <w:widowControl w:val="0"/>
        <w:autoSpaceDE w:val="0"/>
        <w:autoSpaceDN w:val="0"/>
        <w:ind w:left="302"/>
        <w:jc w:val="right"/>
        <w:rPr>
          <w:rFonts w:ascii="Arial" w:eastAsia="Arial" w:hAnsi="Arial" w:cs="Arial"/>
          <w:b/>
          <w:sz w:val="22"/>
          <w:szCs w:val="22"/>
          <w:lang w:val="es-MX" w:eastAsia="en-US"/>
        </w:rPr>
      </w:pPr>
      <w:r w:rsidRPr="00234792">
        <w:rPr>
          <w:rFonts w:ascii="Arial" w:eastAsia="Arial" w:hAnsi="Arial" w:cs="Arial"/>
          <w:b/>
          <w:bCs/>
          <w:sz w:val="22"/>
          <w:szCs w:val="22"/>
          <w:lang w:val="es-MX" w:eastAsia="en-US"/>
        </w:rPr>
        <w:drawing>
          <wp:inline distT="0" distB="0" distL="0" distR="0" wp14:anchorId="69646508" wp14:editId="2BE39681">
            <wp:extent cx="2800350" cy="763095"/>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810734" cy="765925"/>
                    </a:xfrm>
                    <a:prstGeom prst="rect">
                      <a:avLst/>
                    </a:prstGeom>
                  </pic:spPr>
                </pic:pic>
              </a:graphicData>
            </a:graphic>
          </wp:inline>
        </w:drawing>
      </w:r>
    </w:p>
    <w:p w14:paraId="2FC40EE0" w14:textId="77777777" w:rsidR="00E83679" w:rsidRDefault="00E83679" w:rsidP="00900530">
      <w:pPr>
        <w:rPr>
          <w:rFonts w:ascii="Arial" w:hAnsi="Arial" w:cs="Arial"/>
          <w:bCs/>
          <w:color w:val="000000" w:themeColor="text1"/>
          <w:sz w:val="22"/>
          <w:lang w:val="es-ES_tradnl"/>
        </w:rPr>
      </w:pPr>
    </w:p>
    <w:p w14:paraId="0DF3E55B" w14:textId="77777777" w:rsidR="00E83679" w:rsidRDefault="00E83679" w:rsidP="00900530">
      <w:pPr>
        <w:rPr>
          <w:rFonts w:ascii="Arial" w:hAnsi="Arial" w:cs="Arial"/>
          <w:bCs/>
          <w:color w:val="000000" w:themeColor="text1"/>
          <w:sz w:val="22"/>
          <w:lang w:val="es-ES_tradnl"/>
        </w:rPr>
      </w:pPr>
    </w:p>
    <w:p w14:paraId="12C8F066" w14:textId="0F7B72E8" w:rsidR="00900530" w:rsidRPr="00900530" w:rsidRDefault="00900530" w:rsidP="00900530">
      <w:pPr>
        <w:rPr>
          <w:rFonts w:ascii="Arial" w:hAnsi="Arial" w:cs="Arial"/>
          <w:bCs/>
          <w:color w:val="000000" w:themeColor="text1"/>
          <w:sz w:val="22"/>
          <w:lang w:val="es-ES_tradnl"/>
        </w:rPr>
      </w:pPr>
      <w:r w:rsidRPr="00900530">
        <w:rPr>
          <w:rFonts w:ascii="Arial" w:hAnsi="Arial" w:cs="Arial"/>
          <w:bCs/>
          <w:color w:val="000000" w:themeColor="text1"/>
          <w:sz w:val="22"/>
          <w:lang w:val="es-ES_tradnl"/>
        </w:rPr>
        <w:t>Señor</w:t>
      </w:r>
    </w:p>
    <w:p w14:paraId="41BB2B8F" w14:textId="5F194888" w:rsidR="00900530" w:rsidRPr="00900530" w:rsidRDefault="00B10EEB" w:rsidP="00900530">
      <w:pPr>
        <w:jc w:val="both"/>
        <w:rPr>
          <w:rFonts w:ascii="Arial" w:hAnsi="Arial" w:cs="Arial"/>
          <w:b/>
          <w:color w:val="000000" w:themeColor="text1"/>
          <w:sz w:val="22"/>
          <w:lang w:val="es-ES_tradnl"/>
        </w:rPr>
      </w:pPr>
      <w:r>
        <w:rPr>
          <w:rFonts w:ascii="Arial" w:hAnsi="Arial" w:cs="Arial"/>
          <w:b/>
          <w:color w:val="000000" w:themeColor="text1"/>
          <w:sz w:val="22"/>
          <w:lang w:val="es-ES_tradnl"/>
        </w:rPr>
        <w:t>Felipe Osorio Polania</w:t>
      </w:r>
    </w:p>
    <w:p w14:paraId="4482E7C3" w14:textId="77777777" w:rsidR="00900530" w:rsidRPr="00900530" w:rsidRDefault="00900530" w:rsidP="00900530">
      <w:pPr>
        <w:jc w:val="both"/>
        <w:rPr>
          <w:rFonts w:ascii="Arial" w:hAnsi="Arial" w:cs="Arial"/>
          <w:bCs/>
          <w:color w:val="000000" w:themeColor="text1"/>
          <w:sz w:val="22"/>
          <w:lang w:val="es-ES_tradnl"/>
        </w:rPr>
      </w:pPr>
      <w:r w:rsidRPr="00900530">
        <w:rPr>
          <w:rFonts w:ascii="Arial" w:hAnsi="Arial" w:cs="Arial"/>
          <w:bCs/>
          <w:color w:val="000000" w:themeColor="text1"/>
          <w:sz w:val="22"/>
          <w:lang w:val="es-ES_tradnl"/>
        </w:rPr>
        <w:t>Bogotá D.C.</w:t>
      </w:r>
    </w:p>
    <w:p w14:paraId="6D02035F" w14:textId="77777777" w:rsidR="00900530" w:rsidRPr="00900530" w:rsidRDefault="00900530" w:rsidP="00900530">
      <w:pPr>
        <w:jc w:val="both"/>
        <w:rPr>
          <w:rFonts w:ascii="Arial" w:hAnsi="Arial" w:cs="Arial"/>
          <w:b/>
          <w:color w:val="000000" w:themeColor="text1"/>
          <w:sz w:val="22"/>
          <w:lang w:val="es-ES_tradnl"/>
        </w:rPr>
      </w:pPr>
    </w:p>
    <w:p w14:paraId="7FEA18D2" w14:textId="77777777" w:rsidR="0031674D" w:rsidRPr="00C440B6" w:rsidRDefault="0031674D" w:rsidP="00B95C30">
      <w:pPr>
        <w:jc w:val="both"/>
        <w:rPr>
          <w:rFonts w:ascii="Arial" w:eastAsia="Calibri" w:hAnsi="Arial" w:cs="Arial"/>
          <w:color w:val="000000" w:themeColor="text1"/>
          <w:sz w:val="22"/>
          <w:lang w:val="es-ES_tradnl"/>
        </w:rPr>
      </w:pPr>
    </w:p>
    <w:p w14:paraId="12E66182" w14:textId="708CB693" w:rsidR="00B95C30" w:rsidRPr="00C440B6" w:rsidRDefault="0031674D" w:rsidP="006E3937">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B95C30" w:rsidRPr="00C440B6">
        <w:rPr>
          <w:rFonts w:ascii="Arial" w:eastAsia="Calibri" w:hAnsi="Arial" w:cs="Arial"/>
          <w:b/>
          <w:bCs/>
          <w:color w:val="000000" w:themeColor="text1"/>
          <w:sz w:val="22"/>
          <w:lang w:val="es-ES_tradnl"/>
        </w:rPr>
        <w:t xml:space="preserve">Concepto C ‒ </w:t>
      </w:r>
      <w:r w:rsidR="00E83679">
        <w:rPr>
          <w:rFonts w:ascii="Arial" w:eastAsia="Calibri" w:hAnsi="Arial" w:cs="Arial"/>
          <w:b/>
          <w:bCs/>
          <w:color w:val="000000" w:themeColor="text1"/>
          <w:sz w:val="22"/>
          <w:lang w:val="es-ES_tradnl"/>
        </w:rPr>
        <w:t xml:space="preserve">181 </w:t>
      </w:r>
      <w:r w:rsidR="00B95C30" w:rsidRPr="00C440B6">
        <w:rPr>
          <w:rFonts w:ascii="Arial" w:eastAsia="Calibri" w:hAnsi="Arial" w:cs="Arial"/>
          <w:b/>
          <w:bCs/>
          <w:color w:val="000000" w:themeColor="text1"/>
          <w:sz w:val="22"/>
          <w:lang w:val="es-ES_tradnl"/>
        </w:rPr>
        <w:t>de 202</w:t>
      </w:r>
      <w:r w:rsidR="005E781C" w:rsidRPr="00C440B6">
        <w:rPr>
          <w:rFonts w:ascii="Arial" w:eastAsia="Calibri" w:hAnsi="Arial" w:cs="Arial"/>
          <w:b/>
          <w:bCs/>
          <w:color w:val="000000" w:themeColor="text1"/>
          <w:sz w:val="22"/>
          <w:lang w:val="es-ES_tradnl"/>
        </w:rPr>
        <w:t>1</w:t>
      </w:r>
    </w:p>
    <w:p w14:paraId="1BD594F9" w14:textId="77777777" w:rsidR="00B95C30" w:rsidRPr="00C440B6"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C440B6" w14:paraId="19DFC051" w14:textId="77777777" w:rsidTr="008F4163">
        <w:tc>
          <w:tcPr>
            <w:tcW w:w="2689" w:type="dxa"/>
          </w:tcPr>
          <w:p w14:paraId="6BC0D1AC" w14:textId="77777777" w:rsidR="00B95C30" w:rsidRPr="00C440B6" w:rsidRDefault="00B95C30" w:rsidP="008F4163">
            <w:pPr>
              <w:jc w:val="both"/>
              <w:rPr>
                <w:rFonts w:ascii="Arial" w:eastAsia="Calibri" w:hAnsi="Arial" w:cs="Arial"/>
                <w:color w:val="000000" w:themeColor="text1"/>
                <w:sz w:val="22"/>
                <w:lang w:val="es-ES_tradnl"/>
              </w:rPr>
            </w:pPr>
            <w:r w:rsidRPr="00C440B6">
              <w:rPr>
                <w:rFonts w:ascii="Arial" w:eastAsia="Calibri" w:hAnsi="Arial" w:cs="Arial"/>
                <w:b/>
                <w:color w:val="000000" w:themeColor="text1"/>
                <w:sz w:val="22"/>
                <w:lang w:val="es-ES_tradnl"/>
              </w:rPr>
              <w:t>Temas:</w:t>
            </w:r>
            <w:r w:rsidRPr="00C440B6">
              <w:rPr>
                <w:rFonts w:ascii="Arial" w:eastAsia="Calibri" w:hAnsi="Arial" w:cs="Arial"/>
                <w:color w:val="000000" w:themeColor="text1"/>
                <w:sz w:val="22"/>
                <w:lang w:val="es-ES_tradnl"/>
              </w:rPr>
              <w:t xml:space="preserve">                                      </w:t>
            </w:r>
          </w:p>
        </w:tc>
        <w:tc>
          <w:tcPr>
            <w:tcW w:w="6237" w:type="dxa"/>
          </w:tcPr>
          <w:p w14:paraId="5F389CAF" w14:textId="6FFF5B19" w:rsidR="00B95C30" w:rsidRPr="00C440B6" w:rsidRDefault="00900530" w:rsidP="008F4163">
            <w:pPr>
              <w:jc w:val="both"/>
              <w:rPr>
                <w:rFonts w:ascii="Arial" w:eastAsia="Calibri" w:hAnsi="Arial" w:cs="Arial"/>
                <w:color w:val="000000" w:themeColor="text1"/>
                <w:sz w:val="22"/>
                <w:lang w:val="es-ES_tradnl"/>
              </w:rPr>
            </w:pPr>
            <w:r w:rsidRPr="00900530">
              <w:rPr>
                <w:rFonts w:ascii="Arial" w:eastAsia="Arial" w:hAnsi="Arial" w:cs="Arial"/>
                <w:sz w:val="22"/>
                <w:szCs w:val="22"/>
                <w:lang w:val="es-ES" w:eastAsia="en-US"/>
              </w:rPr>
              <w:t>SELECCIÓN OBJETIVA – Contratación estatal – Concepto / EMPATE – Procedimiento de selección – Concepto / FACTORES DE DESEMPATE – Características – Límites /</w:t>
            </w:r>
            <w:r w:rsidRPr="00900530">
              <w:rPr>
                <w:rFonts w:ascii="Arial" w:eastAsia="Arial" w:hAnsi="Arial" w:cs="Arial"/>
                <w:spacing w:val="-22"/>
                <w:sz w:val="22"/>
                <w:szCs w:val="22"/>
                <w:lang w:val="es-ES" w:eastAsia="en-US"/>
              </w:rPr>
              <w:t xml:space="preserve"> </w:t>
            </w:r>
            <w:r w:rsidRPr="00900530">
              <w:rPr>
                <w:rFonts w:ascii="Arial" w:eastAsia="Arial" w:hAnsi="Arial" w:cs="Arial"/>
                <w:sz w:val="22"/>
                <w:szCs w:val="22"/>
                <w:lang w:val="es-ES" w:eastAsia="en-US"/>
              </w:rPr>
              <w:t xml:space="preserve">LEY DE EMPRENDIMIENTO – Ley 2069 de 2020 – Vigencia / </w:t>
            </w:r>
            <w:bookmarkStart w:id="3" w:name="_Hlk64445740"/>
            <w:r w:rsidRPr="00900530">
              <w:rPr>
                <w:rFonts w:ascii="Arial" w:eastAsia="Arial" w:hAnsi="Arial" w:cs="Arial"/>
                <w:sz w:val="22"/>
                <w:szCs w:val="22"/>
                <w:lang w:val="es-ES" w:eastAsia="en-US"/>
              </w:rPr>
              <w:t>DECRETO 108</w:t>
            </w:r>
            <w:r w:rsidR="00203878">
              <w:rPr>
                <w:rFonts w:ascii="Arial" w:eastAsia="Arial" w:hAnsi="Arial" w:cs="Arial"/>
                <w:sz w:val="22"/>
                <w:szCs w:val="22"/>
                <w:lang w:val="es-ES" w:eastAsia="en-US"/>
              </w:rPr>
              <w:t>2</w:t>
            </w:r>
            <w:r w:rsidRPr="00900530">
              <w:rPr>
                <w:rFonts w:ascii="Arial" w:eastAsia="Arial" w:hAnsi="Arial" w:cs="Arial"/>
                <w:sz w:val="22"/>
                <w:szCs w:val="22"/>
                <w:lang w:val="es-ES" w:eastAsia="en-US"/>
              </w:rPr>
              <w:t xml:space="preserve"> DE 2015 – Factores de desempate – Subasta inversa – Derogatoria – Decaimiento </w:t>
            </w:r>
            <w:bookmarkEnd w:id="3"/>
            <w:r w:rsidRPr="00900530">
              <w:rPr>
                <w:rFonts w:ascii="Arial" w:eastAsia="Arial" w:hAnsi="Arial" w:cs="Arial"/>
                <w:sz w:val="22"/>
                <w:szCs w:val="22"/>
                <w:lang w:val="es-ES" w:eastAsia="en-US"/>
              </w:rPr>
              <w:t>/ DECRETO 1082 DE 2015 – Factores de desempate – Mínima cuantía – Derogatoria –</w:t>
            </w:r>
            <w:r w:rsidRPr="00900530">
              <w:rPr>
                <w:rFonts w:ascii="Arial" w:eastAsia="Arial" w:hAnsi="Arial" w:cs="Arial"/>
                <w:spacing w:val="-3"/>
                <w:sz w:val="22"/>
                <w:szCs w:val="22"/>
                <w:lang w:val="es-ES" w:eastAsia="en-US"/>
              </w:rPr>
              <w:t xml:space="preserve"> </w:t>
            </w:r>
            <w:r w:rsidRPr="00900530">
              <w:rPr>
                <w:rFonts w:ascii="Arial" w:eastAsia="Arial" w:hAnsi="Arial" w:cs="Arial"/>
                <w:sz w:val="22"/>
                <w:szCs w:val="22"/>
                <w:lang w:val="es-ES" w:eastAsia="en-US"/>
              </w:rPr>
              <w:t>Decaimiento.</w:t>
            </w:r>
          </w:p>
        </w:tc>
      </w:tr>
      <w:tr w:rsidR="00B95C30" w:rsidRPr="00C440B6" w14:paraId="27CD52AB" w14:textId="77777777" w:rsidTr="008F4163">
        <w:tc>
          <w:tcPr>
            <w:tcW w:w="2689" w:type="dxa"/>
          </w:tcPr>
          <w:p w14:paraId="37E195A1" w14:textId="1BA218D5" w:rsidR="00B95C30" w:rsidRPr="00C440B6" w:rsidRDefault="00B95C30" w:rsidP="008F4163">
            <w:pPr>
              <w:spacing w:before="120"/>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Radicación:</w:t>
            </w:r>
            <w:r w:rsidRPr="00C440B6">
              <w:rPr>
                <w:rFonts w:ascii="Arial" w:eastAsia="Calibri" w:hAnsi="Arial" w:cs="Arial"/>
                <w:color w:val="000000" w:themeColor="text1"/>
                <w:sz w:val="22"/>
                <w:lang w:val="es-ES_tradnl"/>
              </w:rPr>
              <w:t xml:space="preserve">                              </w:t>
            </w:r>
          </w:p>
        </w:tc>
        <w:tc>
          <w:tcPr>
            <w:tcW w:w="6237" w:type="dxa"/>
          </w:tcPr>
          <w:p w14:paraId="09088B1B" w14:textId="178DA72A" w:rsidR="00B95C30" w:rsidRPr="00C440B6" w:rsidRDefault="00900530" w:rsidP="008F4163">
            <w:pPr>
              <w:spacing w:before="120"/>
              <w:jc w:val="both"/>
              <w:rPr>
                <w:rFonts w:ascii="Arial" w:eastAsia="Calibri" w:hAnsi="Arial" w:cs="Arial"/>
                <w:color w:val="000000" w:themeColor="text1"/>
                <w:sz w:val="22"/>
                <w:lang w:val="es-ES_tradnl"/>
              </w:rPr>
            </w:pPr>
            <w:r w:rsidRPr="00900530">
              <w:rPr>
                <w:rFonts w:ascii="Arial" w:eastAsia="Arial" w:hAnsi="Arial" w:cs="Arial"/>
                <w:sz w:val="22"/>
                <w:szCs w:val="22"/>
                <w:lang w:val="es-ES" w:eastAsia="en-US"/>
              </w:rPr>
              <w:t xml:space="preserve">Respuesta a </w:t>
            </w:r>
            <w:r w:rsidRPr="004E3152">
              <w:rPr>
                <w:rFonts w:ascii="Arial" w:eastAsia="Arial" w:hAnsi="Arial" w:cs="Arial"/>
                <w:sz w:val="22"/>
                <w:szCs w:val="22"/>
                <w:lang w:val="es-ES" w:eastAsia="en-US"/>
              </w:rPr>
              <w:t xml:space="preserve">consulta # </w:t>
            </w:r>
            <w:r w:rsidR="00B10EEB" w:rsidRPr="00B10EEB">
              <w:rPr>
                <w:rFonts w:ascii="Arial" w:eastAsia="Arial" w:hAnsi="Arial" w:cs="Arial"/>
                <w:sz w:val="22"/>
                <w:szCs w:val="22"/>
                <w:lang w:eastAsia="en-US"/>
              </w:rPr>
              <w:t>P20210315002112</w:t>
            </w:r>
          </w:p>
        </w:tc>
      </w:tr>
    </w:tbl>
    <w:p w14:paraId="69729BEF" w14:textId="77777777" w:rsidR="00096D30" w:rsidRDefault="00096D30" w:rsidP="003C3339">
      <w:pPr>
        <w:jc w:val="both"/>
        <w:rPr>
          <w:rFonts w:ascii="Arial" w:eastAsia="Calibri" w:hAnsi="Arial" w:cs="Arial"/>
          <w:color w:val="000000" w:themeColor="text1"/>
          <w:sz w:val="22"/>
          <w:lang w:val="es-ES_tradnl"/>
        </w:rPr>
      </w:pPr>
    </w:p>
    <w:p w14:paraId="43664A51" w14:textId="77777777" w:rsidR="00096D30" w:rsidRDefault="00096D30" w:rsidP="003C3339">
      <w:pPr>
        <w:jc w:val="both"/>
        <w:rPr>
          <w:rFonts w:ascii="Arial" w:eastAsia="Calibri" w:hAnsi="Arial" w:cs="Arial"/>
          <w:color w:val="000000" w:themeColor="text1"/>
          <w:sz w:val="22"/>
          <w:lang w:val="es-ES_tradnl"/>
        </w:rPr>
      </w:pPr>
    </w:p>
    <w:p w14:paraId="1CF4AEA0" w14:textId="5D2527F1" w:rsidR="003C3339" w:rsidRPr="00C440B6" w:rsidRDefault="003C3339" w:rsidP="003C3339">
      <w:pPr>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Estimad</w:t>
      </w:r>
      <w:r w:rsidR="00C018F7" w:rsidRPr="00C440B6">
        <w:rPr>
          <w:rFonts w:ascii="Arial" w:eastAsia="Calibri" w:hAnsi="Arial" w:cs="Arial"/>
          <w:color w:val="000000" w:themeColor="text1"/>
          <w:sz w:val="22"/>
          <w:lang w:val="es-ES_tradnl"/>
        </w:rPr>
        <w:t>o</w:t>
      </w:r>
      <w:r w:rsidRPr="00C440B6">
        <w:rPr>
          <w:rFonts w:ascii="Arial" w:eastAsia="Calibri" w:hAnsi="Arial" w:cs="Arial"/>
          <w:color w:val="000000" w:themeColor="text1"/>
          <w:sz w:val="22"/>
          <w:lang w:val="es-ES_tradnl"/>
        </w:rPr>
        <w:t xml:space="preserve"> </w:t>
      </w:r>
      <w:r w:rsidR="0063732C" w:rsidRPr="00C440B6">
        <w:rPr>
          <w:rFonts w:ascii="Arial" w:eastAsia="Calibri" w:hAnsi="Arial" w:cs="Arial"/>
          <w:color w:val="000000" w:themeColor="text1"/>
          <w:sz w:val="22"/>
          <w:lang w:val="es-ES_tradnl"/>
        </w:rPr>
        <w:t>señor</w:t>
      </w:r>
      <w:r w:rsidR="00BE4FBF" w:rsidRPr="00C440B6">
        <w:rPr>
          <w:rFonts w:ascii="Arial" w:eastAsia="Calibri" w:hAnsi="Arial" w:cs="Arial"/>
          <w:color w:val="000000" w:themeColor="text1"/>
          <w:sz w:val="22"/>
          <w:lang w:val="es-ES_tradnl"/>
        </w:rPr>
        <w:t xml:space="preserve"> </w:t>
      </w:r>
      <w:r w:rsidR="00B10EEB">
        <w:rPr>
          <w:rFonts w:ascii="Arial" w:eastAsia="Calibri" w:hAnsi="Arial" w:cs="Arial"/>
          <w:color w:val="000000" w:themeColor="text1"/>
          <w:sz w:val="22"/>
          <w:lang w:val="es-ES_tradnl"/>
        </w:rPr>
        <w:t>Osorio Polania</w:t>
      </w:r>
      <w:r w:rsidRPr="00C440B6">
        <w:rPr>
          <w:rFonts w:ascii="Arial" w:eastAsia="Calibri" w:hAnsi="Arial" w:cs="Arial"/>
          <w:color w:val="000000" w:themeColor="text1"/>
          <w:sz w:val="22"/>
          <w:lang w:val="es-ES_tradnl"/>
        </w:rPr>
        <w:t>:</w:t>
      </w:r>
    </w:p>
    <w:p w14:paraId="1EAE5543" w14:textId="77777777" w:rsidR="00DD5B04" w:rsidRPr="00C440B6" w:rsidRDefault="00DD5B04" w:rsidP="00DF76A2">
      <w:pPr>
        <w:jc w:val="both"/>
        <w:rPr>
          <w:rFonts w:ascii="Arial" w:eastAsia="Calibri" w:hAnsi="Arial" w:cs="Arial"/>
          <w:color w:val="000000" w:themeColor="text1"/>
          <w:sz w:val="22"/>
          <w:lang w:val="es-ES_tradnl"/>
        </w:rPr>
      </w:pPr>
    </w:p>
    <w:p w14:paraId="2109B2D3" w14:textId="31CD8F7D" w:rsidR="00DD5B04" w:rsidRPr="00C440B6" w:rsidRDefault="00DD5B04" w:rsidP="00DF76A2">
      <w:pPr>
        <w:spacing w:line="276" w:lineRule="auto"/>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31674D">
        <w:rPr>
          <w:rFonts w:ascii="Arial" w:eastAsia="Calibri" w:hAnsi="Arial" w:cs="Arial"/>
          <w:color w:val="000000" w:themeColor="text1"/>
          <w:sz w:val="22"/>
          <w:lang w:val="es-ES_tradnl"/>
        </w:rPr>
        <w:t>–</w:t>
      </w:r>
      <w:r w:rsidRPr="00C440B6">
        <w:rPr>
          <w:rFonts w:ascii="Arial" w:eastAsia="Calibri" w:hAnsi="Arial" w:cs="Arial"/>
          <w:color w:val="000000" w:themeColor="text1"/>
          <w:sz w:val="22"/>
          <w:lang w:val="es-ES_tradnl"/>
        </w:rPr>
        <w:t xml:space="preserve"> Colombia Compra Eficiente</w:t>
      </w:r>
      <w:r w:rsidR="008C3C57" w:rsidRPr="00C440B6">
        <w:rPr>
          <w:rFonts w:ascii="Arial" w:eastAsia="Calibri" w:hAnsi="Arial" w:cs="Arial"/>
          <w:color w:val="000000" w:themeColor="text1"/>
          <w:sz w:val="22"/>
          <w:lang w:val="es-ES_tradnl"/>
        </w:rPr>
        <w:t xml:space="preserve"> </w:t>
      </w:r>
      <w:r w:rsidRPr="00C440B6">
        <w:rPr>
          <w:rFonts w:ascii="Arial" w:eastAsia="Calibri" w:hAnsi="Arial" w:cs="Arial"/>
          <w:color w:val="000000" w:themeColor="text1"/>
          <w:sz w:val="22"/>
          <w:lang w:val="es-ES_tradnl"/>
        </w:rPr>
        <w:t xml:space="preserve">responde su consulta del </w:t>
      </w:r>
      <w:r w:rsidR="004E3152">
        <w:rPr>
          <w:rFonts w:ascii="Arial" w:eastAsia="Calibri" w:hAnsi="Arial" w:cs="Arial"/>
          <w:color w:val="000000" w:themeColor="text1"/>
          <w:sz w:val="22"/>
          <w:lang w:val="es-ES_tradnl"/>
        </w:rPr>
        <w:t>16</w:t>
      </w:r>
      <w:r w:rsidR="00FD4AF3" w:rsidRPr="00C440B6">
        <w:rPr>
          <w:rFonts w:ascii="Arial" w:eastAsia="Calibri" w:hAnsi="Arial" w:cs="Arial"/>
          <w:color w:val="000000" w:themeColor="text1"/>
          <w:sz w:val="22"/>
          <w:lang w:val="es-ES_tradnl"/>
        </w:rPr>
        <w:t xml:space="preserve"> de </w:t>
      </w:r>
      <w:r w:rsidR="004E3152">
        <w:rPr>
          <w:rFonts w:ascii="Arial" w:eastAsia="Calibri" w:hAnsi="Arial" w:cs="Arial"/>
          <w:color w:val="000000" w:themeColor="text1"/>
          <w:sz w:val="22"/>
          <w:lang w:val="es-ES_tradnl"/>
        </w:rPr>
        <w:t>febrero</w:t>
      </w:r>
      <w:r w:rsidRPr="00C440B6">
        <w:rPr>
          <w:rFonts w:ascii="Arial" w:eastAsia="Calibri" w:hAnsi="Arial" w:cs="Arial"/>
          <w:color w:val="000000" w:themeColor="text1"/>
          <w:sz w:val="22"/>
          <w:lang w:val="es-ES_tradnl"/>
        </w:rPr>
        <w:t xml:space="preserve"> del</w:t>
      </w:r>
      <w:r w:rsidR="007E74BF" w:rsidRPr="00C440B6">
        <w:rPr>
          <w:rFonts w:ascii="Arial" w:eastAsia="Calibri" w:hAnsi="Arial" w:cs="Arial"/>
          <w:color w:val="000000" w:themeColor="text1"/>
          <w:sz w:val="22"/>
          <w:lang w:val="es-ES_tradnl"/>
        </w:rPr>
        <w:t xml:space="preserve"> </w:t>
      </w:r>
      <w:r w:rsidRPr="00C440B6">
        <w:rPr>
          <w:rFonts w:ascii="Arial" w:eastAsia="Calibri" w:hAnsi="Arial" w:cs="Arial"/>
          <w:color w:val="000000" w:themeColor="text1"/>
          <w:sz w:val="22"/>
          <w:lang w:val="es-ES_tradnl"/>
        </w:rPr>
        <w:t>202</w:t>
      </w:r>
      <w:r w:rsidR="00FB0880" w:rsidRPr="00C440B6">
        <w:rPr>
          <w:rFonts w:ascii="Arial" w:eastAsia="Calibri" w:hAnsi="Arial" w:cs="Arial"/>
          <w:color w:val="000000" w:themeColor="text1"/>
          <w:sz w:val="22"/>
          <w:lang w:val="es-ES_tradnl"/>
        </w:rPr>
        <w:t>1</w:t>
      </w:r>
      <w:r w:rsidR="008C3C57" w:rsidRPr="00C440B6">
        <w:rPr>
          <w:rFonts w:ascii="Arial" w:eastAsia="Calibri" w:hAnsi="Arial" w:cs="Arial"/>
          <w:color w:val="000000" w:themeColor="text1"/>
          <w:sz w:val="22"/>
          <w:lang w:val="es-ES_tradnl"/>
        </w:rPr>
        <w:t>.</w:t>
      </w:r>
    </w:p>
    <w:p w14:paraId="0C1E0712" w14:textId="77777777" w:rsidR="00DD5B04" w:rsidRPr="00C440B6"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C440B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 xml:space="preserve">Problema planteado </w:t>
      </w:r>
    </w:p>
    <w:p w14:paraId="224B43D3" w14:textId="77777777" w:rsidR="00DD5B04" w:rsidRPr="00C440B6"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60E9EAB0" w14:textId="61450695" w:rsidR="00454589" w:rsidRPr="004E3152" w:rsidRDefault="00E83679" w:rsidP="00063038">
      <w:pPr>
        <w:spacing w:line="276" w:lineRule="auto"/>
        <w:jc w:val="both"/>
        <w:rPr>
          <w:rFonts w:ascii="Arial" w:hAnsi="Arial" w:cs="Arial"/>
          <w:color w:val="000000" w:themeColor="text1"/>
          <w:sz w:val="22"/>
        </w:rPr>
      </w:pPr>
      <w:r>
        <w:rPr>
          <w:rFonts w:ascii="Arial" w:hAnsi="Arial" w:cs="Arial"/>
          <w:color w:val="000000" w:themeColor="text1"/>
          <w:sz w:val="22"/>
          <w:lang w:val="es-ES_tradnl"/>
        </w:rPr>
        <w:t>En relación con la Ley de Emprendimiento, u</w:t>
      </w:r>
      <w:r w:rsidR="00900530" w:rsidRPr="00900530">
        <w:rPr>
          <w:rFonts w:ascii="Arial" w:hAnsi="Arial" w:cs="Arial"/>
          <w:color w:val="000000" w:themeColor="text1"/>
          <w:sz w:val="22"/>
          <w:lang w:val="es-ES_tradnl"/>
        </w:rPr>
        <w:t>sted formula la siguiente pregunta</w:t>
      </w:r>
      <w:bookmarkStart w:id="4" w:name="_Hlk64534095"/>
      <w:r w:rsidR="00900530" w:rsidRPr="00900530">
        <w:rPr>
          <w:rFonts w:ascii="Arial" w:hAnsi="Arial" w:cs="Arial"/>
          <w:color w:val="000000" w:themeColor="text1"/>
          <w:sz w:val="22"/>
          <w:lang w:val="es-ES_tradnl"/>
        </w:rPr>
        <w:t>:</w:t>
      </w:r>
      <w:r w:rsidR="00B10EEB">
        <w:rPr>
          <w:rFonts w:ascii="Arial" w:eastAsia="Calibri" w:hAnsi="Arial" w:cs="Arial"/>
          <w:color w:val="000000" w:themeColor="text1"/>
          <w:sz w:val="22"/>
          <w:szCs w:val="22"/>
          <w:lang w:val="es-ES_tradnl"/>
        </w:rPr>
        <w:t xml:space="preserve"> </w:t>
      </w:r>
      <w:r w:rsidR="004E3152" w:rsidRPr="005419DA">
        <w:rPr>
          <w:rFonts w:ascii="Arial" w:eastAsia="Calibri" w:hAnsi="Arial" w:cs="Arial"/>
          <w:color w:val="000000" w:themeColor="text1"/>
          <w:sz w:val="22"/>
          <w:szCs w:val="22"/>
          <w:lang w:val="es-ES_tradnl"/>
        </w:rPr>
        <w:t>«</w:t>
      </w:r>
      <w:r w:rsidR="00B10EEB" w:rsidRPr="00B10EEB">
        <w:rPr>
          <w:rFonts w:ascii="Arial" w:eastAsia="Calibri" w:hAnsi="Arial" w:cs="Arial"/>
          <w:color w:val="000000" w:themeColor="text1"/>
          <w:sz w:val="22"/>
          <w:szCs w:val="22"/>
        </w:rPr>
        <w:t>¿TODOS los procedimientos de selección incluyendo la modalidad de mínima cuantía que no otorga puntaje se rigen exclusivamente por los factores de desempate previstos en el artículo 35 de la Ley 2069?</w:t>
      </w:r>
      <w:bookmarkStart w:id="5" w:name="_Hlk64445064"/>
      <w:r w:rsidR="00900530" w:rsidRPr="00900530">
        <w:rPr>
          <w:rFonts w:ascii="Arial" w:hAnsi="Arial" w:cs="Arial"/>
          <w:color w:val="000000" w:themeColor="text1"/>
          <w:sz w:val="22"/>
          <w:lang w:val="es-ES_tradnl"/>
        </w:rPr>
        <w:t>»</w:t>
      </w:r>
      <w:bookmarkEnd w:id="4"/>
      <w:bookmarkEnd w:id="5"/>
      <w:r w:rsidR="00900530" w:rsidRPr="00900530">
        <w:rPr>
          <w:rFonts w:ascii="Arial" w:hAnsi="Arial" w:cs="Arial"/>
          <w:color w:val="000000" w:themeColor="text1"/>
          <w:sz w:val="22"/>
          <w:lang w:val="es-ES_tradnl"/>
        </w:rPr>
        <w:t>.</w:t>
      </w:r>
    </w:p>
    <w:p w14:paraId="7C90D8BB" w14:textId="77777777" w:rsidR="00900530" w:rsidRPr="005419DA" w:rsidRDefault="00900530" w:rsidP="00900530">
      <w:pPr>
        <w:jc w:val="both"/>
        <w:rPr>
          <w:rFonts w:ascii="Arial" w:hAnsi="Arial" w:cs="Arial"/>
          <w:color w:val="000000" w:themeColor="text1"/>
          <w:sz w:val="21"/>
          <w:szCs w:val="21"/>
          <w:lang w:val="es-ES_tradnl"/>
        </w:rPr>
      </w:pPr>
    </w:p>
    <w:p w14:paraId="4805B484" w14:textId="77777777" w:rsidR="00F80411" w:rsidRPr="005419DA"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Consideraciones</w:t>
      </w:r>
    </w:p>
    <w:p w14:paraId="1DEB17ED" w14:textId="77777777" w:rsidR="00F80411" w:rsidRPr="005419DA" w:rsidRDefault="00F80411" w:rsidP="00F80411">
      <w:pPr>
        <w:spacing w:line="276" w:lineRule="auto"/>
        <w:jc w:val="both"/>
        <w:rPr>
          <w:rFonts w:ascii="Arial" w:eastAsia="Calibri" w:hAnsi="Arial" w:cs="Arial"/>
          <w:color w:val="000000" w:themeColor="text1"/>
          <w:sz w:val="22"/>
          <w:szCs w:val="22"/>
          <w:lang w:val="es-ES_tradnl"/>
        </w:rPr>
      </w:pPr>
    </w:p>
    <w:p w14:paraId="5F01AF1F" w14:textId="77777777" w:rsidR="00F80411" w:rsidRPr="005419DA" w:rsidRDefault="00F80411" w:rsidP="00191AE3">
      <w:pPr>
        <w:spacing w:after="120"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La Subdirección de Gestión Contractual responderá la consulta, luego de analizar los siguientes temas: i) definición de los criterios de desempate en la contratación estatal, ii) vigencia y ámbito de aplicación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y iii) forma de acreditación de los factores de desempate consagrados en el artículo 35 de la mencionada Ley.</w:t>
      </w:r>
    </w:p>
    <w:p w14:paraId="5EA811CD" w14:textId="7E3B6899" w:rsidR="00F80411" w:rsidRPr="00035FA2" w:rsidRDefault="00191AE3" w:rsidP="00035FA2">
      <w:pPr>
        <w:tabs>
          <w:tab w:val="left" w:pos="426"/>
        </w:tabs>
        <w:spacing w:line="276" w:lineRule="auto"/>
        <w:jc w:val="both"/>
        <w:rPr>
          <w:rFonts w:ascii="Arial" w:eastAsia="Calibri" w:hAnsi="Arial" w:cs="Arial"/>
          <w:bCs/>
          <w:color w:val="000000" w:themeColor="text1"/>
          <w:sz w:val="22"/>
          <w:szCs w:val="22"/>
          <w:lang w:eastAsia="en-US"/>
        </w:rPr>
      </w:pPr>
      <w:r>
        <w:rPr>
          <w:rFonts w:ascii="Arial" w:eastAsia="Calibri" w:hAnsi="Arial" w:cs="Arial"/>
          <w:color w:val="000000" w:themeColor="text1"/>
          <w:sz w:val="22"/>
          <w:szCs w:val="22"/>
          <w:lang w:val="es-ES_tradnl"/>
        </w:rPr>
        <w:tab/>
      </w:r>
      <w:r>
        <w:rPr>
          <w:rFonts w:ascii="Arial" w:eastAsia="Calibri" w:hAnsi="Arial" w:cs="Arial"/>
          <w:color w:val="000000" w:themeColor="text1"/>
          <w:sz w:val="22"/>
          <w:szCs w:val="22"/>
          <w:lang w:val="es-ES_tradnl"/>
        </w:rPr>
        <w:tab/>
      </w:r>
      <w:r w:rsidR="00F80411" w:rsidRPr="005419DA">
        <w:rPr>
          <w:rFonts w:ascii="Arial" w:eastAsia="Calibri" w:hAnsi="Arial" w:cs="Arial"/>
          <w:color w:val="000000" w:themeColor="text1"/>
          <w:sz w:val="22"/>
          <w:szCs w:val="22"/>
          <w:lang w:val="es-ES_tradnl"/>
        </w:rPr>
        <w:t xml:space="preserve">Es importante destacar que </w:t>
      </w:r>
      <w:r w:rsidR="00063038" w:rsidRPr="00063038">
        <w:rPr>
          <w:rFonts w:ascii="Arial" w:eastAsia="Calibri" w:hAnsi="Arial" w:cs="Arial"/>
          <w:color w:val="000000" w:themeColor="text1"/>
          <w:sz w:val="22"/>
          <w:szCs w:val="22"/>
          <w:lang w:val="es-ES_tradnl"/>
        </w:rPr>
        <w:t>La Agencia Nacional de Contratación Pública – Colombia Compra Eficiente, en</w:t>
      </w:r>
      <w:r w:rsidR="00063038">
        <w:rPr>
          <w:rFonts w:ascii="Arial" w:eastAsia="Calibri" w:hAnsi="Arial" w:cs="Arial"/>
          <w:color w:val="000000" w:themeColor="text1"/>
          <w:sz w:val="22"/>
          <w:szCs w:val="22"/>
          <w:lang w:val="es-ES_tradnl"/>
        </w:rPr>
        <w:t xml:space="preserve"> </w:t>
      </w:r>
      <w:r w:rsidR="00063038" w:rsidRPr="00063038">
        <w:rPr>
          <w:rFonts w:ascii="Arial" w:eastAsia="Calibri" w:hAnsi="Arial" w:cs="Arial"/>
          <w:color w:val="000000" w:themeColor="text1"/>
          <w:sz w:val="22"/>
          <w:szCs w:val="22"/>
          <w:lang w:val="es-ES_tradnl"/>
        </w:rPr>
        <w:t>los C-009, C-012, C-013, C-015, C-016, C-026 del 4 de febrero de 2021, C-006 del 5 de febrero de 2021, C-043 del 9 de febrero de 2021, C-005 del 16 de febrero de 2021, C-007 del 16 de febrero de 2021, C-028, C-081, C-087 y C-098 del 23 de febrero de 2021, C-044 del 3 de marzo de 2021, C-056 del 8 de marzo de 2021, C-061 del 10 de marzo de 2021</w:t>
      </w:r>
      <w:r w:rsidR="00063038">
        <w:rPr>
          <w:rFonts w:ascii="Arial" w:eastAsia="Calibri" w:hAnsi="Arial" w:cs="Arial"/>
          <w:color w:val="000000" w:themeColor="text1"/>
          <w:sz w:val="22"/>
          <w:szCs w:val="22"/>
          <w:lang w:val="es-ES_tradnl"/>
        </w:rPr>
        <w:t>,</w:t>
      </w:r>
      <w:r w:rsidR="00063038" w:rsidRPr="00063038">
        <w:rPr>
          <w:rFonts w:ascii="Arial" w:eastAsia="Calibri" w:hAnsi="Arial" w:cs="Arial"/>
          <w:color w:val="000000" w:themeColor="text1"/>
          <w:sz w:val="22"/>
          <w:szCs w:val="22"/>
          <w:lang w:val="es-ES_tradnl"/>
        </w:rPr>
        <w:t xml:space="preserve"> C-069 del 12 de marzo de 2021</w:t>
      </w:r>
      <w:r w:rsidR="00063038">
        <w:rPr>
          <w:rFonts w:ascii="Arial" w:eastAsia="Calibri" w:hAnsi="Arial" w:cs="Arial"/>
          <w:color w:val="000000" w:themeColor="text1"/>
          <w:sz w:val="22"/>
          <w:szCs w:val="22"/>
          <w:lang w:val="es-ES_tradnl"/>
        </w:rPr>
        <w:t xml:space="preserve"> y C-162 del 13 de abril de 2021</w:t>
      </w:r>
      <w:r w:rsidR="00063038" w:rsidRPr="00063038">
        <w:rPr>
          <w:rFonts w:ascii="Arial" w:eastAsia="Calibri" w:hAnsi="Arial" w:cs="Arial"/>
          <w:color w:val="000000" w:themeColor="text1"/>
          <w:sz w:val="22"/>
          <w:szCs w:val="22"/>
          <w:lang w:val="es-ES_tradnl"/>
        </w:rPr>
        <w:t xml:space="preserve">, estudió la aplicación de los factores de desempate del artículo 35 de la Ley 2069 de 2020. </w:t>
      </w:r>
      <w:r w:rsidR="00900530">
        <w:rPr>
          <w:rFonts w:ascii="Arial" w:eastAsia="Calibri" w:hAnsi="Arial" w:cs="Arial"/>
          <w:bCs/>
          <w:color w:val="000000" w:themeColor="text1"/>
          <w:sz w:val="22"/>
        </w:rPr>
        <w:t>En lo pertinente, la tesis</w:t>
      </w:r>
      <w:r w:rsidR="00851E09">
        <w:rPr>
          <w:rFonts w:ascii="Arial" w:eastAsia="Calibri" w:hAnsi="Arial" w:cs="Arial"/>
          <w:bCs/>
          <w:color w:val="000000" w:themeColor="text1"/>
          <w:sz w:val="22"/>
        </w:rPr>
        <w:t xml:space="preserve"> desarrollada en estos conceptos se reitera a continuación.</w:t>
      </w:r>
      <w:r w:rsidR="00900530">
        <w:rPr>
          <w:rFonts w:ascii="Arial" w:eastAsia="Calibri" w:hAnsi="Arial" w:cs="Arial"/>
          <w:bCs/>
          <w:color w:val="000000" w:themeColor="text1"/>
          <w:sz w:val="22"/>
        </w:rPr>
        <w:t xml:space="preserve"> </w:t>
      </w:r>
    </w:p>
    <w:p w14:paraId="70BFC1A2" w14:textId="77777777" w:rsidR="00F80411" w:rsidRPr="005419DA" w:rsidRDefault="00F80411" w:rsidP="00F80411">
      <w:pPr>
        <w:spacing w:line="276" w:lineRule="auto"/>
        <w:jc w:val="both"/>
        <w:rPr>
          <w:rFonts w:ascii="Arial" w:eastAsia="Calibri" w:hAnsi="Arial" w:cs="Arial"/>
          <w:color w:val="000000" w:themeColor="text1"/>
          <w:sz w:val="22"/>
          <w:szCs w:val="22"/>
          <w:lang w:val="es-ES_tradnl"/>
        </w:rPr>
      </w:pPr>
    </w:p>
    <w:p w14:paraId="07744DBB" w14:textId="77777777" w:rsidR="00F80411" w:rsidRPr="005419DA" w:rsidRDefault="00F80411" w:rsidP="00F80411">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2.1. Factores de desempate en la contratación estatal: concepto y características</w:t>
      </w:r>
    </w:p>
    <w:p w14:paraId="13D6A560" w14:textId="77777777" w:rsidR="00F80411" w:rsidRPr="005419DA" w:rsidRDefault="00F80411" w:rsidP="00F80411">
      <w:pPr>
        <w:spacing w:line="276" w:lineRule="auto"/>
        <w:jc w:val="both"/>
        <w:rPr>
          <w:rFonts w:ascii="Arial" w:eastAsia="Calibri" w:hAnsi="Arial" w:cs="Arial"/>
          <w:color w:val="000000" w:themeColor="text1"/>
          <w:sz w:val="22"/>
          <w:szCs w:val="22"/>
          <w:lang w:val="es-ES_tradnl"/>
        </w:rPr>
      </w:pPr>
    </w:p>
    <w:p w14:paraId="2C930E52" w14:textId="77777777" w:rsidR="00F80411" w:rsidRPr="005419DA" w:rsidRDefault="00F80411" w:rsidP="00F80411">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5419DA">
        <w:rPr>
          <w:rFonts w:ascii="Arial" w:eastAsia="Calibri" w:hAnsi="Arial" w:cs="Arial"/>
          <w:color w:val="000000" w:themeColor="text1"/>
          <w:sz w:val="22"/>
          <w:szCs w:val="22"/>
          <w:lang w:val="es-ES_tradnl"/>
        </w:rPr>
        <w:t>equivalentes,</w:t>
      </w:r>
      <w:proofErr w:type="gramEnd"/>
      <w:r w:rsidRPr="005419DA">
        <w:rPr>
          <w:rFonts w:ascii="Arial" w:eastAsia="Calibri" w:hAnsi="Arial" w:cs="Arial"/>
          <w:color w:val="000000" w:themeColor="text1"/>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20992D58" w14:textId="77777777" w:rsidR="00F80411" w:rsidRPr="005419DA"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w:t>
      </w:r>
      <w:r w:rsidRPr="005419DA">
        <w:rPr>
          <w:rFonts w:ascii="Arial" w:eastAsia="Calibri" w:hAnsi="Arial" w:cs="Arial"/>
          <w:color w:val="000000" w:themeColor="text1"/>
          <w:sz w:val="22"/>
          <w:szCs w:val="22"/>
          <w:lang w:val="es-ES_tradnl"/>
        </w:rPr>
        <w:lastRenderedPageBreak/>
        <w:t xml:space="preserve">dos o más oferentes alcanzan una puntuación similar, al ponderarse los criterios de calificación que, en principio, aplican al procedimiento de selección. </w:t>
      </w:r>
    </w:p>
    <w:p w14:paraId="2F6D3C5F" w14:textId="77777777" w:rsidR="00F80411" w:rsidRPr="005419DA"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La </w:t>
      </w:r>
      <w:r>
        <w:rPr>
          <w:rFonts w:ascii="Arial" w:eastAsia="Calibri" w:hAnsi="Arial" w:cs="Arial"/>
          <w:color w:val="000000" w:themeColor="text1"/>
          <w:sz w:val="22"/>
          <w:szCs w:val="22"/>
          <w:lang w:val="es-ES_tradnl"/>
        </w:rPr>
        <w:t>jurisprudencia</w:t>
      </w:r>
      <w:r w:rsidRPr="005419DA">
        <w:rPr>
          <w:rFonts w:ascii="Arial" w:eastAsia="Calibri" w:hAnsi="Arial" w:cs="Arial"/>
          <w:color w:val="000000" w:themeColor="text1"/>
          <w:sz w:val="22"/>
          <w:szCs w:val="22"/>
          <w:lang w:val="es-ES_tradnl"/>
        </w:rPr>
        <w:t xml:space="preserve"> comparte la idea de que los criterios de desempate deben estar establecidos de antemano y constituyen un límite a la discrecionalidad administrativa en los procedimientos de selección</w:t>
      </w:r>
      <w:r w:rsidRPr="005419DA">
        <w:rPr>
          <w:rStyle w:val="Refdenotaalpie"/>
          <w:rFonts w:ascii="Arial" w:hAnsi="Arial" w:cs="Arial"/>
          <w:sz w:val="21"/>
          <w:szCs w:val="21"/>
          <w:lang w:val="es-ES_tradnl"/>
        </w:rPr>
        <w:footnoteReference w:id="2"/>
      </w:r>
      <w:r w:rsidRPr="005419DA">
        <w:rPr>
          <w:rFonts w:ascii="Arial" w:eastAsia="Calibri" w:hAnsi="Arial" w:cs="Arial"/>
          <w:color w:val="000000" w:themeColor="text1"/>
          <w:sz w:val="22"/>
          <w:szCs w:val="22"/>
          <w:lang w:val="es-ES_tradnl"/>
        </w:rPr>
        <w:t xml:space="preserve">. </w:t>
      </w:r>
    </w:p>
    <w:p w14:paraId="0CB1D338" w14:textId="77777777" w:rsidR="00F80411" w:rsidRPr="005419DA"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w:t>
      </w:r>
      <w:proofErr w:type="spellStart"/>
      <w:r w:rsidRPr="005419DA">
        <w:rPr>
          <w:rFonts w:ascii="Arial" w:eastAsia="Calibri" w:hAnsi="Arial" w:cs="Arial"/>
          <w:color w:val="000000" w:themeColor="text1"/>
          <w:sz w:val="22"/>
          <w:szCs w:val="22"/>
          <w:lang w:val="es-ES_tradnl"/>
        </w:rPr>
        <w:t>inaplicarlos</w:t>
      </w:r>
      <w:proofErr w:type="spellEnd"/>
      <w:r w:rsidRPr="005419DA">
        <w:rPr>
          <w:rFonts w:ascii="Arial" w:eastAsia="Calibri" w:hAnsi="Arial" w:cs="Arial"/>
          <w:color w:val="000000" w:themeColor="text1"/>
          <w:sz w:val="22"/>
          <w:szCs w:val="22"/>
          <w:lang w:val="es-ES_tradnl"/>
        </w:rPr>
        <w:t>, porque ello podría vulnerar el principio de igualdad, especialmente, cuando algunos de estos criterios surgen como acciones afirmativas para ciertos sectores de la población</w:t>
      </w:r>
      <w:r w:rsidRPr="005419DA">
        <w:rPr>
          <w:rStyle w:val="Refdenotaalpie"/>
          <w:rFonts w:ascii="Arial" w:eastAsia="Calibri" w:hAnsi="Arial" w:cs="Arial"/>
          <w:color w:val="000000" w:themeColor="text1"/>
          <w:sz w:val="22"/>
          <w:szCs w:val="22"/>
          <w:lang w:val="es-ES_tradnl"/>
        </w:rPr>
        <w:footnoteReference w:id="3"/>
      </w:r>
      <w:r w:rsidRPr="005419DA">
        <w:rPr>
          <w:rFonts w:ascii="Arial" w:eastAsia="Calibri" w:hAnsi="Arial" w:cs="Arial"/>
          <w:color w:val="000000" w:themeColor="text1"/>
          <w:sz w:val="22"/>
          <w:szCs w:val="22"/>
          <w:lang w:val="es-ES_tradnl"/>
        </w:rPr>
        <w:t>. Es más, según el Consejo de Estado, ir en contra de los factores de desempate establecidos expresamente genera la nulidad del contrato, conforme al artículo 44, inciso 1º de la Ley 80 de 1993</w:t>
      </w:r>
      <w:r w:rsidRPr="005419DA">
        <w:rPr>
          <w:rStyle w:val="Refdenotaalpie"/>
          <w:rFonts w:ascii="Arial" w:eastAsia="Calibri" w:hAnsi="Arial" w:cs="Arial"/>
          <w:color w:val="000000" w:themeColor="text1"/>
          <w:sz w:val="22"/>
          <w:szCs w:val="22"/>
          <w:lang w:val="es-ES_tradnl"/>
        </w:rPr>
        <w:footnoteReference w:id="4"/>
      </w:r>
      <w:r w:rsidRPr="005419DA">
        <w:rPr>
          <w:rFonts w:ascii="Arial" w:eastAsia="Calibri" w:hAnsi="Arial" w:cs="Arial"/>
          <w:color w:val="000000" w:themeColor="text1"/>
          <w:sz w:val="22"/>
          <w:szCs w:val="22"/>
          <w:lang w:val="es-ES_tradnl"/>
        </w:rPr>
        <w:t>.</w:t>
      </w:r>
    </w:p>
    <w:p w14:paraId="2B61E66C" w14:textId="3A9AC4AE" w:rsidR="00454589" w:rsidRDefault="00F80411" w:rsidP="00307833">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Ahora bien, en cumplimiento de los principios de reciprocidad y de </w:t>
      </w:r>
      <w:r w:rsidRPr="005419DA">
        <w:rPr>
          <w:rFonts w:ascii="Arial" w:eastAsia="Calibri" w:hAnsi="Arial" w:cs="Arial"/>
          <w:i/>
          <w:iCs/>
          <w:color w:val="000000" w:themeColor="text1"/>
          <w:sz w:val="22"/>
          <w:szCs w:val="22"/>
          <w:lang w:val="es-ES_tradnl"/>
        </w:rPr>
        <w:t xml:space="preserve">pacta sunt </w:t>
      </w:r>
      <w:proofErr w:type="spellStart"/>
      <w:r w:rsidRPr="005419DA">
        <w:rPr>
          <w:rFonts w:ascii="Arial" w:eastAsia="Calibri" w:hAnsi="Arial" w:cs="Arial"/>
          <w:i/>
          <w:iCs/>
          <w:color w:val="000000" w:themeColor="text1"/>
          <w:sz w:val="22"/>
          <w:szCs w:val="22"/>
          <w:lang w:val="es-ES_tradnl"/>
        </w:rPr>
        <w:t>servanda</w:t>
      </w:r>
      <w:proofErr w:type="spellEnd"/>
      <w:r w:rsidRPr="005419DA">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5E7826E5" w14:textId="21C0751B" w:rsidR="00B45E9C" w:rsidRDefault="00B45E9C" w:rsidP="00307833">
      <w:pPr>
        <w:spacing w:before="120" w:line="276" w:lineRule="auto"/>
        <w:ind w:firstLine="709"/>
        <w:jc w:val="both"/>
        <w:rPr>
          <w:rFonts w:ascii="Arial" w:eastAsia="Calibri" w:hAnsi="Arial" w:cs="Arial"/>
          <w:color w:val="000000" w:themeColor="text1"/>
          <w:sz w:val="22"/>
          <w:szCs w:val="22"/>
          <w:lang w:val="es-ES_tradnl"/>
        </w:rPr>
      </w:pPr>
    </w:p>
    <w:p w14:paraId="6F595257" w14:textId="77777777" w:rsidR="00B45E9C" w:rsidRPr="005419DA" w:rsidRDefault="00B45E9C" w:rsidP="00307833">
      <w:pPr>
        <w:spacing w:before="120" w:line="276" w:lineRule="auto"/>
        <w:ind w:firstLine="709"/>
        <w:jc w:val="both"/>
        <w:rPr>
          <w:rFonts w:ascii="Arial" w:eastAsia="Calibri" w:hAnsi="Arial" w:cs="Arial"/>
          <w:color w:val="000000" w:themeColor="text1"/>
          <w:sz w:val="22"/>
          <w:szCs w:val="22"/>
          <w:lang w:val="es-ES_tradnl"/>
        </w:rPr>
      </w:pPr>
    </w:p>
    <w:p w14:paraId="413229A0" w14:textId="77777777" w:rsidR="00F80411" w:rsidRPr="005419DA" w:rsidRDefault="00F80411" w:rsidP="00F80411">
      <w:pPr>
        <w:spacing w:line="276" w:lineRule="auto"/>
        <w:rPr>
          <w:rFonts w:ascii="Arial" w:eastAsia="Calibri" w:hAnsi="Arial" w:cs="Arial"/>
          <w:color w:val="000000" w:themeColor="text1"/>
          <w:sz w:val="22"/>
          <w:szCs w:val="22"/>
          <w:lang w:val="es-ES_tradnl"/>
        </w:rPr>
      </w:pPr>
    </w:p>
    <w:p w14:paraId="3C73AE66" w14:textId="77777777" w:rsidR="00F80411" w:rsidRPr="005419DA" w:rsidRDefault="00F80411" w:rsidP="00F80411">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lastRenderedPageBreak/>
        <w:t xml:space="preserve">2.2. Vigencia y ámbito de aplicación de la Ley </w:t>
      </w:r>
      <w:r>
        <w:rPr>
          <w:rFonts w:ascii="Arial" w:eastAsia="Calibri" w:hAnsi="Arial" w:cs="Arial"/>
          <w:b/>
          <w:bCs/>
          <w:color w:val="000000" w:themeColor="text1"/>
          <w:sz w:val="22"/>
          <w:szCs w:val="22"/>
          <w:lang w:val="es-ES_tradnl"/>
        </w:rPr>
        <w:t>2069</w:t>
      </w:r>
      <w:r w:rsidRPr="005419DA">
        <w:rPr>
          <w:rFonts w:ascii="Arial" w:eastAsia="Calibri" w:hAnsi="Arial" w:cs="Arial"/>
          <w:b/>
          <w:bCs/>
          <w:color w:val="000000" w:themeColor="text1"/>
          <w:sz w:val="22"/>
          <w:szCs w:val="22"/>
          <w:lang w:val="es-ES_tradnl"/>
        </w:rPr>
        <w:t xml:space="preserve"> de 2020</w:t>
      </w:r>
    </w:p>
    <w:p w14:paraId="3CF65FA3" w14:textId="77777777" w:rsidR="00F80411" w:rsidRPr="005419DA" w:rsidRDefault="00F80411" w:rsidP="00F80411">
      <w:pPr>
        <w:spacing w:line="276" w:lineRule="auto"/>
        <w:jc w:val="both"/>
        <w:rPr>
          <w:rFonts w:ascii="Arial" w:eastAsia="Calibri" w:hAnsi="Arial" w:cs="Arial"/>
          <w:color w:val="000000" w:themeColor="text1"/>
          <w:sz w:val="22"/>
          <w:szCs w:val="22"/>
          <w:lang w:val="es-ES_tradnl"/>
        </w:rPr>
      </w:pPr>
    </w:p>
    <w:p w14:paraId="52BFCF39" w14:textId="0D043FEE" w:rsidR="00F80411" w:rsidRPr="005419DA" w:rsidRDefault="00F80411" w:rsidP="00F80411">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31 de diciembre de 2020 se promulgó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37DA3D6" w14:textId="77777777" w:rsidR="00F80411" w:rsidRPr="005419DA"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419DA">
        <w:rPr>
          <w:rFonts w:ascii="Arial" w:eastAsia="Calibri" w:hAnsi="Arial" w:cs="Arial"/>
          <w:color w:val="000000" w:themeColor="text1"/>
          <w:sz w:val="22"/>
          <w:szCs w:val="22"/>
          <w:lang w:val="es-ES_tradnl"/>
        </w:rPr>
        <w:t>de acuerdo a</w:t>
      </w:r>
      <w:proofErr w:type="gramEnd"/>
      <w:r w:rsidRPr="005419DA">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mediante la racionalización y simplificación de los trámites y tarifas</w:t>
      </w:r>
      <w:r w:rsidRPr="005419DA">
        <w:rPr>
          <w:rStyle w:val="Refdenotaalpie"/>
          <w:rFonts w:ascii="Arial" w:eastAsia="Calibri" w:hAnsi="Arial" w:cs="Arial"/>
          <w:color w:val="000000" w:themeColor="text1"/>
          <w:sz w:val="22"/>
          <w:szCs w:val="22"/>
          <w:lang w:val="es-ES_tradnl"/>
        </w:rPr>
        <w:footnoteReference w:id="5"/>
      </w:r>
      <w:r w:rsidRPr="005419DA">
        <w:rPr>
          <w:rFonts w:ascii="Arial" w:eastAsia="Calibri" w:hAnsi="Arial" w:cs="Arial"/>
          <w:color w:val="000000" w:themeColor="text1"/>
          <w:sz w:val="22"/>
          <w:szCs w:val="22"/>
          <w:lang w:val="es-ES_tradnl"/>
        </w:rPr>
        <w:t>, así como incentivos a favor de aquellas dentro del sistema de compras y contratación pública</w:t>
      </w:r>
      <w:r w:rsidRPr="005419DA">
        <w:rPr>
          <w:rStyle w:val="Refdenotaalpie"/>
          <w:rFonts w:ascii="Arial" w:eastAsia="Calibri" w:hAnsi="Arial" w:cs="Arial"/>
          <w:color w:val="000000" w:themeColor="text1"/>
          <w:sz w:val="22"/>
          <w:szCs w:val="22"/>
          <w:lang w:val="es-ES_tradnl"/>
        </w:rPr>
        <w:footnoteReference w:id="6"/>
      </w:r>
      <w:r w:rsidRPr="005419DA">
        <w:rPr>
          <w:rFonts w:ascii="Arial" w:eastAsia="Calibri" w:hAnsi="Arial" w:cs="Arial"/>
          <w:color w:val="000000" w:themeColor="text1"/>
          <w:sz w:val="22"/>
          <w:szCs w:val="22"/>
          <w:lang w:val="es-ES_tradnl"/>
        </w:rPr>
        <w:t>. También se consagran mecanismos de acceso al financiamiento</w:t>
      </w:r>
      <w:r w:rsidRPr="005419DA">
        <w:rPr>
          <w:rStyle w:val="Refdenotaalpie"/>
          <w:rFonts w:ascii="Arial" w:eastAsia="Calibri" w:hAnsi="Arial" w:cs="Arial"/>
          <w:color w:val="000000" w:themeColor="text1"/>
          <w:sz w:val="22"/>
          <w:szCs w:val="22"/>
          <w:lang w:val="es-ES_tradnl"/>
        </w:rPr>
        <w:footnoteReference w:id="7"/>
      </w:r>
      <w:r w:rsidRPr="005419DA">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5419DA">
        <w:rPr>
          <w:rStyle w:val="Refdenotaalpie"/>
          <w:rFonts w:ascii="Arial" w:eastAsia="Calibri" w:hAnsi="Arial" w:cs="Arial"/>
          <w:color w:val="000000" w:themeColor="text1"/>
          <w:sz w:val="22"/>
          <w:szCs w:val="22"/>
          <w:lang w:val="es-ES_tradnl"/>
        </w:rPr>
        <w:footnoteReference w:id="8"/>
      </w:r>
      <w:r w:rsidRPr="005419DA">
        <w:rPr>
          <w:rFonts w:ascii="Arial" w:eastAsia="Calibri" w:hAnsi="Arial" w:cs="Arial"/>
          <w:color w:val="000000" w:themeColor="text1"/>
          <w:sz w:val="22"/>
          <w:szCs w:val="22"/>
          <w:lang w:val="es-ES_tradnl"/>
        </w:rPr>
        <w:t xml:space="preserve"> y se prevén medidas de educación para el emprendimiento y la innovación</w:t>
      </w:r>
      <w:r w:rsidRPr="005419DA">
        <w:rPr>
          <w:rStyle w:val="Refdenotaalpie"/>
          <w:rFonts w:ascii="Arial" w:eastAsia="Calibri" w:hAnsi="Arial" w:cs="Arial"/>
          <w:color w:val="000000" w:themeColor="text1"/>
          <w:sz w:val="22"/>
          <w:szCs w:val="22"/>
          <w:lang w:val="es-ES_tradnl"/>
        </w:rPr>
        <w:footnoteReference w:id="9"/>
      </w:r>
      <w:r w:rsidRPr="005419DA">
        <w:rPr>
          <w:rFonts w:ascii="Arial" w:eastAsia="Calibri" w:hAnsi="Arial" w:cs="Arial"/>
          <w:color w:val="000000" w:themeColor="text1"/>
          <w:sz w:val="22"/>
          <w:szCs w:val="22"/>
          <w:lang w:val="es-ES_tradnl"/>
        </w:rPr>
        <w:t>.</w:t>
      </w:r>
    </w:p>
    <w:p w14:paraId="3F42E22F" w14:textId="771554CA" w:rsidR="001B0F40" w:rsidRPr="009B0101" w:rsidRDefault="00F80411" w:rsidP="009B0101">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Como se indicó, parte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w:t>
      </w:r>
      <w:r w:rsidRPr="005419DA">
        <w:rPr>
          <w:rFonts w:ascii="Arial" w:eastAsia="Calibri" w:hAnsi="Arial" w:cs="Arial"/>
          <w:color w:val="000000" w:themeColor="text1"/>
          <w:sz w:val="22"/>
          <w:szCs w:val="22"/>
          <w:lang w:val="es-ES_tradnl"/>
        </w:rPr>
        <w:lastRenderedPageBreak/>
        <w:t xml:space="preserve">consulta está relacionada con la interpretación del artículo 35 de la referida </w:t>
      </w:r>
      <w:r w:rsidR="001E1746">
        <w:rPr>
          <w:rFonts w:ascii="Arial" w:eastAsia="Calibri" w:hAnsi="Arial" w:cs="Arial"/>
          <w:color w:val="000000" w:themeColor="text1"/>
          <w:sz w:val="22"/>
          <w:szCs w:val="22"/>
          <w:lang w:val="es-ES_tradnl"/>
        </w:rPr>
        <w:t>l</w:t>
      </w:r>
      <w:r w:rsidRPr="005419DA">
        <w:rPr>
          <w:rFonts w:ascii="Arial" w:eastAsia="Calibri" w:hAnsi="Arial" w:cs="Arial"/>
          <w:color w:val="000000" w:themeColor="text1"/>
          <w:sz w:val="22"/>
          <w:szCs w:val="22"/>
          <w:lang w:val="es-ES_tradnl"/>
        </w:rPr>
        <w:t xml:space="preserve">ey, a </w:t>
      </w:r>
      <w:proofErr w:type="gramStart"/>
      <w:r w:rsidRPr="005419DA">
        <w:rPr>
          <w:rFonts w:ascii="Arial" w:eastAsia="Calibri" w:hAnsi="Arial" w:cs="Arial"/>
          <w:color w:val="000000" w:themeColor="text1"/>
          <w:sz w:val="22"/>
          <w:szCs w:val="22"/>
          <w:lang w:val="es-ES_tradnl"/>
        </w:rPr>
        <w:t>continuación</w:t>
      </w:r>
      <w:proofErr w:type="gramEnd"/>
      <w:r w:rsidRPr="005419DA">
        <w:rPr>
          <w:rFonts w:ascii="Arial" w:eastAsia="Calibri" w:hAnsi="Arial" w:cs="Arial"/>
          <w:color w:val="000000" w:themeColor="text1"/>
          <w:sz w:val="22"/>
          <w:szCs w:val="22"/>
          <w:lang w:val="es-ES_tradnl"/>
        </w:rPr>
        <w:t xml:space="preserve"> se estudiará el contenido y alcance de dicha norma.  </w:t>
      </w:r>
    </w:p>
    <w:p w14:paraId="0F9968F1" w14:textId="77777777" w:rsidR="001B0F40" w:rsidRDefault="001B0F40" w:rsidP="00833ADA">
      <w:pPr>
        <w:spacing w:line="276" w:lineRule="auto"/>
        <w:jc w:val="both"/>
        <w:rPr>
          <w:rFonts w:ascii="Arial" w:eastAsia="Calibri" w:hAnsi="Arial" w:cs="Arial"/>
          <w:b/>
          <w:bCs/>
          <w:color w:val="000000" w:themeColor="text1"/>
          <w:sz w:val="22"/>
          <w:szCs w:val="22"/>
          <w:lang w:val="es-ES_tradnl"/>
        </w:rPr>
      </w:pPr>
    </w:p>
    <w:p w14:paraId="2C2833A6" w14:textId="37CA57A2" w:rsidR="00833ADA" w:rsidRPr="00C440B6" w:rsidRDefault="00523F41" w:rsidP="00833ADA">
      <w:pPr>
        <w:spacing w:line="276" w:lineRule="auto"/>
        <w:jc w:val="both"/>
        <w:rPr>
          <w:rFonts w:ascii="Arial" w:eastAsia="Calibri" w:hAnsi="Arial" w:cs="Arial"/>
          <w:b/>
          <w:bCs/>
          <w:color w:val="000000" w:themeColor="text1"/>
          <w:sz w:val="22"/>
          <w:szCs w:val="22"/>
          <w:lang w:val="es-ES_tradnl"/>
        </w:rPr>
      </w:pPr>
      <w:r w:rsidRPr="00C440B6">
        <w:rPr>
          <w:rFonts w:ascii="Arial" w:eastAsia="Calibri" w:hAnsi="Arial" w:cs="Arial"/>
          <w:b/>
          <w:bCs/>
          <w:color w:val="000000" w:themeColor="text1"/>
          <w:sz w:val="22"/>
          <w:szCs w:val="22"/>
          <w:lang w:val="es-ES_tradnl"/>
        </w:rPr>
        <w:t>2.3.</w:t>
      </w:r>
      <w:r w:rsidR="00833ADA" w:rsidRPr="00C440B6">
        <w:rPr>
          <w:rFonts w:ascii="Arial" w:eastAsia="Calibri" w:hAnsi="Arial" w:cs="Arial"/>
          <w:b/>
          <w:bCs/>
          <w:color w:val="000000" w:themeColor="text1"/>
          <w:sz w:val="22"/>
          <w:szCs w:val="22"/>
          <w:lang w:val="es-ES_tradnl"/>
        </w:rPr>
        <w:t xml:space="preserve"> </w:t>
      </w:r>
      <w:r w:rsidR="000A43B0">
        <w:rPr>
          <w:rFonts w:ascii="Arial" w:eastAsia="Calibri" w:hAnsi="Arial" w:cs="Arial"/>
          <w:b/>
          <w:bCs/>
          <w:color w:val="000000" w:themeColor="text1"/>
          <w:sz w:val="22"/>
          <w:szCs w:val="22"/>
          <w:lang w:val="es-ES_tradnl"/>
        </w:rPr>
        <w:t>D</w:t>
      </w:r>
      <w:r w:rsidR="000A43B0" w:rsidRPr="000A43B0">
        <w:rPr>
          <w:rFonts w:ascii="Arial" w:eastAsia="Calibri" w:hAnsi="Arial" w:cs="Arial"/>
          <w:b/>
          <w:bCs/>
          <w:color w:val="000000" w:themeColor="text1"/>
          <w:sz w:val="22"/>
          <w:szCs w:val="22"/>
          <w:lang w:val="es-ES_tradnl"/>
        </w:rPr>
        <w:t>erogatoria producida por el artículo 35 de la Ley</w:t>
      </w:r>
      <w:r w:rsidR="000A43B0">
        <w:rPr>
          <w:rFonts w:ascii="Arial" w:eastAsia="Calibri" w:hAnsi="Arial" w:cs="Arial"/>
          <w:b/>
          <w:bCs/>
          <w:color w:val="000000" w:themeColor="text1"/>
          <w:sz w:val="22"/>
          <w:szCs w:val="22"/>
          <w:lang w:val="es-ES_tradnl"/>
        </w:rPr>
        <w:t xml:space="preserve"> </w:t>
      </w:r>
      <w:r w:rsidR="006F0F34">
        <w:rPr>
          <w:rFonts w:ascii="Arial" w:eastAsia="Calibri" w:hAnsi="Arial" w:cs="Arial"/>
          <w:b/>
          <w:bCs/>
          <w:color w:val="000000" w:themeColor="text1"/>
          <w:sz w:val="22"/>
          <w:szCs w:val="22"/>
          <w:lang w:val="es-ES_tradnl"/>
        </w:rPr>
        <w:t>2069</w:t>
      </w:r>
      <w:r w:rsidR="000A43B0">
        <w:rPr>
          <w:rFonts w:ascii="Arial" w:eastAsia="Calibri" w:hAnsi="Arial" w:cs="Arial"/>
          <w:b/>
          <w:bCs/>
          <w:color w:val="000000" w:themeColor="text1"/>
          <w:sz w:val="22"/>
          <w:szCs w:val="22"/>
          <w:lang w:val="es-ES_tradnl"/>
        </w:rPr>
        <w:t xml:space="preserve"> de 2020</w:t>
      </w:r>
      <w:r w:rsidR="000A43B0" w:rsidRPr="000A43B0">
        <w:rPr>
          <w:rFonts w:ascii="Arial" w:eastAsia="Calibri" w:hAnsi="Arial" w:cs="Arial"/>
          <w:b/>
          <w:bCs/>
          <w:color w:val="000000" w:themeColor="text1"/>
          <w:sz w:val="22"/>
          <w:szCs w:val="22"/>
          <w:lang w:val="es-ES_tradnl"/>
        </w:rPr>
        <w:t xml:space="preserve"> </w:t>
      </w:r>
      <w:r w:rsidR="00035FA2">
        <w:rPr>
          <w:rFonts w:ascii="Arial" w:eastAsia="Calibri" w:hAnsi="Arial" w:cs="Arial"/>
          <w:b/>
          <w:bCs/>
          <w:color w:val="000000" w:themeColor="text1"/>
          <w:sz w:val="22"/>
          <w:szCs w:val="22"/>
          <w:lang w:val="es-ES_tradnl"/>
        </w:rPr>
        <w:t>a los factores de desempate del Decreto</w:t>
      </w:r>
      <w:r w:rsidR="000A43B0" w:rsidRPr="000A43B0">
        <w:rPr>
          <w:rFonts w:ascii="Arial" w:eastAsia="Calibri" w:hAnsi="Arial" w:cs="Arial"/>
          <w:b/>
          <w:bCs/>
          <w:color w:val="000000" w:themeColor="text1"/>
          <w:sz w:val="22"/>
          <w:szCs w:val="22"/>
          <w:lang w:val="es-ES_tradnl"/>
        </w:rPr>
        <w:t xml:space="preserve"> 1082 de 2015.</w:t>
      </w:r>
    </w:p>
    <w:p w14:paraId="39B77F09" w14:textId="77777777" w:rsidR="00FC6DB9" w:rsidRPr="00C440B6" w:rsidRDefault="00FC6DB9" w:rsidP="00271230">
      <w:pPr>
        <w:spacing w:line="276" w:lineRule="auto"/>
        <w:jc w:val="both"/>
        <w:rPr>
          <w:rFonts w:ascii="Arial" w:eastAsia="Calibri" w:hAnsi="Arial" w:cs="Arial"/>
          <w:color w:val="000000" w:themeColor="text1"/>
          <w:sz w:val="22"/>
          <w:szCs w:val="22"/>
          <w:lang w:val="es-ES_tradnl"/>
        </w:rPr>
      </w:pPr>
    </w:p>
    <w:p w14:paraId="5A4EC232" w14:textId="46943D4F" w:rsidR="008C6A49" w:rsidRPr="005419DA" w:rsidRDefault="008C6A49" w:rsidP="008C6A49">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modifica la regulación de los factores de desempate en la contratación estatal. En consideración a que en la consulta se solicita que la Agencia Nacional de Contratación Pública – Colombia Compra Eficiente efectúe ciertas precisiones hermenéuticas sobre </w:t>
      </w:r>
      <w:r w:rsidR="00D133D6">
        <w:rPr>
          <w:rFonts w:ascii="Arial" w:eastAsia="Calibri" w:hAnsi="Arial" w:cs="Arial"/>
          <w:color w:val="000000" w:themeColor="text1"/>
          <w:sz w:val="22"/>
          <w:szCs w:val="22"/>
          <w:lang w:val="es-ES_tradnl"/>
        </w:rPr>
        <w:t>lo previsto en este</w:t>
      </w:r>
      <w:r w:rsidRPr="005419DA">
        <w:rPr>
          <w:rFonts w:ascii="Arial" w:eastAsia="Calibri" w:hAnsi="Arial" w:cs="Arial"/>
          <w:color w:val="000000" w:themeColor="text1"/>
          <w:sz w:val="22"/>
          <w:szCs w:val="22"/>
          <w:lang w:val="es-ES_tradnl"/>
        </w:rPr>
        <w:t xml:space="preserve"> artículo</w:t>
      </w:r>
      <w:r w:rsidR="00035FA2">
        <w:rPr>
          <w:rFonts w:ascii="Arial" w:eastAsia="Calibri" w:hAnsi="Arial" w:cs="Arial"/>
          <w:color w:val="000000" w:themeColor="text1"/>
          <w:sz w:val="22"/>
          <w:szCs w:val="22"/>
          <w:lang w:val="es-ES_tradnl"/>
        </w:rPr>
        <w:t>.</w:t>
      </w:r>
      <w:r w:rsidRPr="005419DA">
        <w:rPr>
          <w:rFonts w:ascii="Arial" w:eastAsia="Calibri" w:hAnsi="Arial" w:cs="Arial"/>
          <w:color w:val="000000" w:themeColor="text1"/>
          <w:sz w:val="22"/>
          <w:szCs w:val="22"/>
          <w:lang w:val="es-ES_tradnl"/>
        </w:rPr>
        <w:t xml:space="preserve"> </w:t>
      </w:r>
      <w:r w:rsidR="00035FA2">
        <w:rPr>
          <w:rFonts w:ascii="Arial" w:eastAsia="Calibri" w:hAnsi="Arial" w:cs="Arial"/>
          <w:color w:val="000000" w:themeColor="text1"/>
          <w:sz w:val="22"/>
          <w:szCs w:val="22"/>
          <w:lang w:val="es-ES_tradnl"/>
        </w:rPr>
        <w:t>L</w:t>
      </w:r>
      <w:r w:rsidRPr="005419DA">
        <w:rPr>
          <w:rFonts w:ascii="Arial" w:eastAsia="Calibri" w:hAnsi="Arial" w:cs="Arial"/>
          <w:color w:val="000000" w:themeColor="text1"/>
          <w:sz w:val="22"/>
          <w:szCs w:val="22"/>
          <w:lang w:val="es-ES_tradnl"/>
        </w:rPr>
        <w:t xml:space="preserve">a </w:t>
      </w:r>
      <w:r w:rsidR="00D7536A">
        <w:rPr>
          <w:rFonts w:ascii="Arial" w:eastAsia="Calibri" w:hAnsi="Arial" w:cs="Arial"/>
          <w:color w:val="000000" w:themeColor="text1"/>
          <w:sz w:val="22"/>
          <w:szCs w:val="22"/>
          <w:lang w:val="es-ES_tradnl"/>
        </w:rPr>
        <w:t>Agencia</w:t>
      </w:r>
      <w:r w:rsidRPr="005419DA">
        <w:rPr>
          <w:rFonts w:ascii="Arial" w:eastAsia="Calibri" w:hAnsi="Arial" w:cs="Arial"/>
          <w:color w:val="000000" w:themeColor="text1"/>
          <w:sz w:val="22"/>
          <w:szCs w:val="22"/>
          <w:lang w:val="es-ES_tradnl"/>
        </w:rPr>
        <w:t xml:space="preserve"> se pronunciará sobre el alcance que otorga a </w:t>
      </w:r>
      <w:r w:rsidR="00D133D6">
        <w:rPr>
          <w:rFonts w:ascii="Arial" w:eastAsia="Calibri" w:hAnsi="Arial" w:cs="Arial"/>
          <w:color w:val="000000" w:themeColor="text1"/>
          <w:sz w:val="22"/>
          <w:szCs w:val="22"/>
          <w:lang w:val="es-ES_tradnl"/>
        </w:rPr>
        <w:t>esta disposición</w:t>
      </w:r>
      <w:r w:rsidRPr="005419DA">
        <w:rPr>
          <w:rFonts w:ascii="Arial" w:eastAsia="Calibri" w:hAnsi="Arial" w:cs="Arial"/>
          <w:color w:val="000000" w:themeColor="text1"/>
          <w:sz w:val="22"/>
          <w:szCs w:val="22"/>
          <w:lang w:val="es-ES_tradnl"/>
        </w:rPr>
        <w:t xml:space="preserve">, sin pasar por alto la novedad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–dada su reciente </w:t>
      </w:r>
      <w:proofErr w:type="gramStart"/>
      <w:r w:rsidRPr="005419DA">
        <w:rPr>
          <w:rFonts w:ascii="Arial" w:eastAsia="Calibri" w:hAnsi="Arial" w:cs="Arial"/>
          <w:color w:val="000000" w:themeColor="text1"/>
          <w:sz w:val="22"/>
          <w:szCs w:val="22"/>
          <w:lang w:val="es-ES_tradnl"/>
        </w:rPr>
        <w:t>entrada en vigencia</w:t>
      </w:r>
      <w:proofErr w:type="gramEnd"/>
      <w:r w:rsidRPr="005419DA">
        <w:rPr>
          <w:rFonts w:ascii="Arial" w:eastAsia="Calibri" w:hAnsi="Arial" w:cs="Arial"/>
          <w:color w:val="000000" w:themeColor="text1"/>
          <w:sz w:val="22"/>
          <w:szCs w:val="22"/>
          <w:lang w:val="es-ES_tradnl"/>
        </w:rPr>
        <w:t>– y la ausencia de pronunciamientos jurisprudenciales o estudios doctrinarios sobre el tema, que seguramente contribuirán a decantar la interpretación de la norma en comento.</w:t>
      </w:r>
    </w:p>
    <w:p w14:paraId="7041E5AE" w14:textId="0D5CCB0F" w:rsidR="00337296" w:rsidRDefault="00337296" w:rsidP="00337296">
      <w:pPr>
        <w:spacing w:before="120" w:line="276" w:lineRule="auto"/>
        <w:ind w:firstLine="709"/>
        <w:jc w:val="both"/>
        <w:rPr>
          <w:rFonts w:ascii="Arial" w:eastAsia="Calibri" w:hAnsi="Arial" w:cs="Arial"/>
          <w:color w:val="000000" w:themeColor="text1"/>
          <w:sz w:val="22"/>
          <w:szCs w:val="22"/>
          <w:lang w:val="es-ES_tradnl"/>
        </w:rPr>
      </w:pPr>
      <w:r w:rsidRPr="00337296">
        <w:rPr>
          <w:rFonts w:ascii="Arial" w:eastAsia="Calibri" w:hAnsi="Arial" w:cs="Arial"/>
          <w:color w:val="000000" w:themeColor="text1"/>
          <w:sz w:val="22"/>
          <w:szCs w:val="22"/>
          <w:lang w:val="es-ES_tradnl"/>
        </w:rPr>
        <w:t xml:space="preserve">Al respecto, </w:t>
      </w:r>
      <w:r w:rsidRPr="00337296">
        <w:rPr>
          <w:rFonts w:ascii="Arial" w:eastAsia="Calibri" w:hAnsi="Arial" w:cs="Arial"/>
          <w:sz w:val="22"/>
          <w:szCs w:val="22"/>
          <w:lang w:val="es-ES_tradnl"/>
        </w:rPr>
        <w:t>pese a que el parágrafo 3 dispone que el Gobierno Nacional podrá regular los supuestos en que concurran dos o más factores de desempate,</w:t>
      </w:r>
      <w:r w:rsidRPr="00337296">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w:t>
      </w:r>
      <w:r w:rsidRPr="005E4B72">
        <w:rPr>
          <w:rFonts w:ascii="Arial" w:eastAsia="Calibri" w:hAnsi="Arial" w:cs="Arial"/>
          <w:color w:val="000000" w:themeColor="text1"/>
          <w:sz w:val="22"/>
          <w:szCs w:val="22"/>
          <w:lang w:val="es-ES_tradnl"/>
        </w:rPr>
        <w:t xml:space="preserve"> </w:t>
      </w:r>
    </w:p>
    <w:p w14:paraId="42911686" w14:textId="77777777" w:rsidR="008C6A49" w:rsidRPr="005419DA"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5319FCED" w14:textId="77777777" w:rsidR="008C6A49" w:rsidRPr="005419DA"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indica que en los pliegos de condiciones las entidades estatales deben prever mecanismos que garanticen la provisión de bienes y servicios por parte de sujetos de especial protección constitucional «[…] en las condiciones que señale el reglamento».</w:t>
      </w:r>
    </w:p>
    <w:p w14:paraId="021F0A3C" w14:textId="77777777" w:rsidR="0047771F" w:rsidRPr="00F00AF1" w:rsidRDefault="0047771F" w:rsidP="0047771F">
      <w:pPr>
        <w:spacing w:before="120" w:line="276" w:lineRule="auto"/>
        <w:ind w:firstLine="708"/>
        <w:jc w:val="both"/>
        <w:rPr>
          <w:rFonts w:ascii="Arial" w:eastAsia="Calibri" w:hAnsi="Arial" w:cs="Arial"/>
          <w:sz w:val="22"/>
          <w:szCs w:val="22"/>
          <w:lang w:val="es-ES_tradnl"/>
        </w:rPr>
      </w:pPr>
      <w:r w:rsidRPr="0047771F">
        <w:rPr>
          <w:rFonts w:ascii="Arial" w:eastAsia="Calibri" w:hAnsi="Arial" w:cs="Arial"/>
          <w:color w:val="000000" w:themeColor="text1"/>
          <w:sz w:val="22"/>
          <w:szCs w:val="22"/>
          <w:lang w:val="es-ES_tradnl"/>
        </w:rPr>
        <w:lastRenderedPageBreak/>
        <w:t xml:space="preserve">Lo mismo no sucede con el artículo 35. </w:t>
      </w:r>
      <w:r w:rsidRPr="0047771F">
        <w:rPr>
          <w:rFonts w:ascii="Arial" w:eastAsia="Calibri" w:hAnsi="Arial" w:cs="Arial"/>
          <w:sz w:val="22"/>
          <w:szCs w:val="22"/>
          <w:lang w:val="es-ES_tradnl"/>
        </w:rPr>
        <w:t xml:space="preserve">En efecto, </w:t>
      </w:r>
      <w:r w:rsidRPr="0047771F">
        <w:rPr>
          <w:rFonts w:ascii="Arial" w:hAnsi="Arial" w:cs="Arial"/>
          <w:color w:val="000000" w:themeColor="text1"/>
          <w:sz w:val="22"/>
          <w:szCs w:val="22"/>
          <w:lang w:val="es-ES_tradnl"/>
        </w:rPr>
        <w:t>si bien los factores de desempate regulados en el artículo 35 deben aplicarse «</w:t>
      </w:r>
      <w:r w:rsidRPr="0047771F">
        <w:rPr>
          <w:rFonts w:ascii="Arial" w:hAnsi="Arial" w:cs="Arial"/>
          <w:lang w:val="es-ES_tradnl"/>
        </w:rPr>
        <w:t xml:space="preserve">[…] </w:t>
      </w:r>
      <w:r w:rsidRPr="0047771F">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r w:rsidRPr="00E87B1F">
        <w:rPr>
          <w:rFonts w:ascii="Arial"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 xml:space="preserve"> </w:t>
      </w:r>
    </w:p>
    <w:p w14:paraId="1F45085B" w14:textId="77777777" w:rsidR="008C6A49" w:rsidRPr="005419DA"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5419DA">
        <w:rPr>
          <w:rFonts w:ascii="Arial" w:eastAsia="Calibri" w:hAnsi="Arial" w:cs="Arial"/>
          <w:i/>
          <w:iCs/>
          <w:color w:val="000000" w:themeColor="text1"/>
          <w:sz w:val="22"/>
          <w:szCs w:val="22"/>
          <w:lang w:val="es-ES_tradnl"/>
        </w:rPr>
        <w:t>podrá reglamentar</w:t>
      </w:r>
      <w:r w:rsidRPr="005419DA">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365E5E9B" w14:textId="0AFFD78A" w:rsidR="008C6A49" w:rsidRPr="005419DA"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Como se observa se trata de una competencia que, en concordancia con el artículo 189.11 superior, el gobierno nacional puede ejercer discrecionalmente para la ejecución de las leyes. Por tanto, </w:t>
      </w:r>
      <w:r w:rsidR="00E65A79" w:rsidRPr="00E65A79">
        <w:rPr>
          <w:rFonts w:ascii="Arial" w:eastAsia="Calibri" w:hAnsi="Arial" w:cs="Arial"/>
          <w:color w:val="000000" w:themeColor="text1"/>
          <w:sz w:val="22"/>
          <w:szCs w:val="22"/>
          <w:lang w:val="es-ES_tradnl"/>
        </w:rPr>
        <w:t xml:space="preserve">sin perjuicio de que el Gobierno Nacional ejerza la potestad reglamentaria para regular los casos en que concurren dos o más de los factores de desempate, </w:t>
      </w:r>
      <w:r w:rsidRPr="005419DA">
        <w:rPr>
          <w:rFonts w:ascii="Arial" w:eastAsia="Calibri" w:hAnsi="Arial" w:cs="Arial"/>
          <w:color w:val="000000" w:themeColor="text1"/>
          <w:sz w:val="22"/>
          <w:szCs w:val="22"/>
          <w:lang w:val="es-ES_tradnl"/>
        </w:rPr>
        <w:t xml:space="preserve">no es necesaria la existencia del reglamento como presupuesto necesario para aplicar 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14:paraId="2739984E" w14:textId="60A496B2" w:rsidR="006A4F85" w:rsidRPr="00C440B6" w:rsidRDefault="0018007F" w:rsidP="00AC4AD2">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Además, s</w:t>
      </w:r>
      <w:r w:rsidR="00FD5443" w:rsidRPr="00C440B6">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sidR="006F0F34">
        <w:rPr>
          <w:rFonts w:ascii="Arial" w:hAnsi="Arial" w:cs="Arial"/>
          <w:color w:val="000000" w:themeColor="text1"/>
          <w:sz w:val="22"/>
          <w:szCs w:val="22"/>
          <w:lang w:val="es-ES_tradnl"/>
        </w:rPr>
        <w:t>2069</w:t>
      </w:r>
      <w:r w:rsidR="00FD5443" w:rsidRPr="00C440B6">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041BB6BB" w14:textId="4000E5AD" w:rsidR="008E26D9" w:rsidRPr="00462E1D" w:rsidRDefault="006A4F85" w:rsidP="00AC4AD2">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Ahora bien, </w:t>
      </w:r>
      <w:r w:rsidR="00A46B4B" w:rsidRPr="00462E1D">
        <w:rPr>
          <w:rFonts w:ascii="Arial" w:hAnsi="Arial" w:cs="Arial"/>
          <w:color w:val="000000" w:themeColor="text1"/>
          <w:sz w:val="22"/>
          <w:szCs w:val="22"/>
          <w:lang w:val="es-ES_tradnl"/>
        </w:rPr>
        <w:t xml:space="preserve">hasta la promulgación de la Ley </w:t>
      </w:r>
      <w:r w:rsidR="006F0F34">
        <w:rPr>
          <w:rFonts w:ascii="Arial" w:hAnsi="Arial" w:cs="Arial"/>
          <w:color w:val="000000" w:themeColor="text1"/>
          <w:sz w:val="22"/>
          <w:szCs w:val="22"/>
          <w:lang w:val="es-ES_tradnl"/>
        </w:rPr>
        <w:t>2069</w:t>
      </w:r>
      <w:r w:rsidR="00530059" w:rsidRPr="00462E1D">
        <w:rPr>
          <w:rFonts w:ascii="Arial" w:hAnsi="Arial" w:cs="Arial"/>
          <w:color w:val="000000" w:themeColor="text1"/>
          <w:sz w:val="22"/>
          <w:szCs w:val="22"/>
          <w:lang w:val="es-ES_tradnl"/>
        </w:rPr>
        <w:t xml:space="preserve"> de 2020</w:t>
      </w:r>
      <w:r w:rsidR="00D65861" w:rsidRPr="00462E1D">
        <w:rPr>
          <w:rFonts w:ascii="Arial" w:hAnsi="Arial" w:cs="Arial"/>
          <w:color w:val="000000" w:themeColor="text1"/>
          <w:sz w:val="22"/>
          <w:szCs w:val="22"/>
          <w:lang w:val="es-ES_tradnl"/>
        </w:rPr>
        <w:t>,</w:t>
      </w:r>
      <w:r w:rsidR="00530059" w:rsidRPr="00462E1D">
        <w:rPr>
          <w:rFonts w:ascii="Arial" w:hAnsi="Arial" w:cs="Arial"/>
          <w:color w:val="000000" w:themeColor="text1"/>
          <w:sz w:val="22"/>
          <w:szCs w:val="22"/>
          <w:lang w:val="es-ES_tradnl"/>
        </w:rPr>
        <w:t xml:space="preserve"> </w:t>
      </w:r>
      <w:r w:rsidRPr="00462E1D">
        <w:rPr>
          <w:rFonts w:ascii="Arial" w:hAnsi="Arial" w:cs="Arial"/>
          <w:color w:val="000000" w:themeColor="text1"/>
          <w:sz w:val="22"/>
          <w:szCs w:val="22"/>
          <w:lang w:val="es-ES_tradnl"/>
        </w:rPr>
        <w:t xml:space="preserve">el artículo </w:t>
      </w:r>
      <w:r w:rsidR="00A46B4B" w:rsidRPr="00462E1D">
        <w:rPr>
          <w:rFonts w:ascii="Arial" w:hAnsi="Arial" w:cs="Arial"/>
          <w:color w:val="000000" w:themeColor="text1"/>
          <w:sz w:val="22"/>
          <w:szCs w:val="22"/>
          <w:lang w:val="es-ES_tradnl"/>
        </w:rPr>
        <w:t xml:space="preserve">2.2.1.1.2.2.9 del Decreto 1082 de 2015 </w:t>
      </w:r>
      <w:r w:rsidR="001F10BD" w:rsidRPr="00462E1D">
        <w:rPr>
          <w:rFonts w:ascii="Arial" w:hAnsi="Arial" w:cs="Arial"/>
          <w:color w:val="000000" w:themeColor="text1"/>
          <w:sz w:val="22"/>
          <w:szCs w:val="22"/>
          <w:lang w:val="es-ES_tradnl"/>
        </w:rPr>
        <w:t>regulaba</w:t>
      </w:r>
      <w:r w:rsidR="00530059" w:rsidRPr="00462E1D">
        <w:rPr>
          <w:rFonts w:ascii="Arial" w:hAnsi="Arial" w:cs="Arial"/>
          <w:color w:val="000000" w:themeColor="text1"/>
          <w:sz w:val="22"/>
          <w:szCs w:val="22"/>
          <w:lang w:val="es-ES_tradnl"/>
        </w:rPr>
        <w:t xml:space="preserve"> los factores de desempate que debían aplicarse en los </w:t>
      </w:r>
      <w:r w:rsidR="00530059" w:rsidRPr="00462E1D">
        <w:rPr>
          <w:rFonts w:ascii="Arial" w:hAnsi="Arial" w:cs="Arial"/>
          <w:color w:val="000000" w:themeColor="text1"/>
          <w:sz w:val="22"/>
          <w:szCs w:val="22"/>
          <w:lang w:val="es-ES_tradnl"/>
        </w:rPr>
        <w:lastRenderedPageBreak/>
        <w:t>procesos de selección</w:t>
      </w:r>
      <w:r w:rsidR="00530059" w:rsidRPr="00462E1D">
        <w:rPr>
          <w:rStyle w:val="Refdenotaalpie"/>
          <w:rFonts w:ascii="Arial" w:hAnsi="Arial" w:cs="Arial"/>
          <w:color w:val="000000" w:themeColor="text1"/>
          <w:sz w:val="22"/>
          <w:szCs w:val="22"/>
          <w:lang w:val="es-ES_tradnl"/>
        </w:rPr>
        <w:footnoteReference w:id="10"/>
      </w:r>
      <w:r w:rsidR="00530059" w:rsidRPr="00462E1D">
        <w:rPr>
          <w:rFonts w:ascii="Arial" w:hAnsi="Arial" w:cs="Arial"/>
          <w:color w:val="000000" w:themeColor="text1"/>
          <w:sz w:val="22"/>
          <w:szCs w:val="22"/>
          <w:lang w:val="es-ES_tradnl"/>
        </w:rPr>
        <w:t>.</w:t>
      </w:r>
      <w:r w:rsidR="00D65861" w:rsidRPr="00462E1D">
        <w:rPr>
          <w:rFonts w:ascii="Arial" w:hAnsi="Arial" w:cs="Arial"/>
          <w:color w:val="000000" w:themeColor="text1"/>
          <w:sz w:val="22"/>
          <w:szCs w:val="22"/>
          <w:lang w:val="es-ES_tradnl"/>
        </w:rPr>
        <w:t xml:space="preserve"> En </w:t>
      </w:r>
      <w:r w:rsidR="00817661" w:rsidRPr="00462E1D">
        <w:rPr>
          <w:rFonts w:ascii="Arial" w:hAnsi="Arial" w:cs="Arial"/>
          <w:color w:val="000000" w:themeColor="text1"/>
          <w:sz w:val="22"/>
          <w:szCs w:val="22"/>
          <w:lang w:val="es-ES_tradnl"/>
        </w:rPr>
        <w:t xml:space="preserve">criterio de esta </w:t>
      </w:r>
      <w:r w:rsidR="009962B0">
        <w:rPr>
          <w:rFonts w:ascii="Arial" w:hAnsi="Arial" w:cs="Arial"/>
          <w:color w:val="000000" w:themeColor="text1"/>
          <w:sz w:val="22"/>
          <w:szCs w:val="22"/>
          <w:lang w:val="es-ES_tradnl"/>
        </w:rPr>
        <w:t>Agencia</w:t>
      </w:r>
      <w:r w:rsidR="00817661" w:rsidRPr="00462E1D">
        <w:rPr>
          <w:rFonts w:ascii="Arial" w:hAnsi="Arial" w:cs="Arial"/>
          <w:color w:val="000000" w:themeColor="text1"/>
          <w:sz w:val="22"/>
          <w:szCs w:val="22"/>
          <w:lang w:val="es-ES_tradnl"/>
        </w:rPr>
        <w:t xml:space="preserve">, dicha norma debe entenderse derogada por el artículo 35 de la Ley </w:t>
      </w:r>
      <w:r w:rsidR="006F0F34">
        <w:rPr>
          <w:rFonts w:ascii="Arial" w:hAnsi="Arial" w:cs="Arial"/>
          <w:color w:val="000000" w:themeColor="text1"/>
          <w:sz w:val="22"/>
          <w:szCs w:val="22"/>
          <w:lang w:val="es-ES_tradnl"/>
        </w:rPr>
        <w:t>2069</w:t>
      </w:r>
      <w:r w:rsidR="00817661" w:rsidRPr="00462E1D">
        <w:rPr>
          <w:rFonts w:ascii="Arial" w:hAnsi="Arial" w:cs="Arial"/>
          <w:color w:val="000000" w:themeColor="text1"/>
          <w:sz w:val="22"/>
          <w:szCs w:val="22"/>
          <w:lang w:val="es-ES_tradnl"/>
        </w:rPr>
        <w:t xml:space="preserve"> de 2020.</w:t>
      </w:r>
      <w:r w:rsidR="008D021B" w:rsidRPr="00462E1D">
        <w:rPr>
          <w:rFonts w:ascii="Arial" w:hAnsi="Arial" w:cs="Arial"/>
          <w:color w:val="000000" w:themeColor="text1"/>
          <w:sz w:val="22"/>
          <w:szCs w:val="22"/>
          <w:lang w:val="es-ES_tradnl"/>
        </w:rPr>
        <w:t xml:space="preserve"> Ello no solo porque el artículo </w:t>
      </w:r>
      <w:r w:rsidR="000B1057" w:rsidRPr="00462E1D">
        <w:rPr>
          <w:rFonts w:ascii="Arial" w:hAnsi="Arial" w:cs="Arial"/>
          <w:color w:val="000000" w:themeColor="text1"/>
          <w:sz w:val="22"/>
          <w:szCs w:val="22"/>
          <w:lang w:val="es-ES_tradnl"/>
        </w:rPr>
        <w:t xml:space="preserve">84 de esta Ley dice que «rige a partir del momento de su promulgación», es decir, desde el 31 de diciembre de 2020, sino además porque </w:t>
      </w:r>
      <w:r w:rsidR="00AE5899" w:rsidRPr="00462E1D">
        <w:rPr>
          <w:rFonts w:ascii="Arial" w:hAnsi="Arial" w:cs="Arial"/>
          <w:color w:val="000000" w:themeColor="text1"/>
          <w:sz w:val="22"/>
          <w:szCs w:val="22"/>
          <w:lang w:val="es-ES_tradnl"/>
        </w:rPr>
        <w:t xml:space="preserve">la misma disposición señala que </w:t>
      </w:r>
      <w:r w:rsidR="00EF07FB" w:rsidRPr="00462E1D">
        <w:rPr>
          <w:rFonts w:ascii="Arial" w:hAnsi="Arial" w:cs="Arial"/>
          <w:color w:val="000000" w:themeColor="text1"/>
          <w:sz w:val="22"/>
          <w:szCs w:val="22"/>
          <w:lang w:val="es-ES_tradnl"/>
        </w:rPr>
        <w:t xml:space="preserve">la Ley </w:t>
      </w:r>
      <w:r w:rsidR="006F0F34">
        <w:rPr>
          <w:rFonts w:ascii="Arial" w:hAnsi="Arial" w:cs="Arial"/>
          <w:color w:val="000000" w:themeColor="text1"/>
          <w:sz w:val="22"/>
          <w:szCs w:val="22"/>
          <w:lang w:val="es-ES_tradnl"/>
        </w:rPr>
        <w:t>2069</w:t>
      </w:r>
      <w:r w:rsidR="00EF07FB" w:rsidRPr="00462E1D">
        <w:rPr>
          <w:rFonts w:ascii="Arial" w:hAnsi="Arial" w:cs="Arial"/>
          <w:color w:val="000000" w:themeColor="text1"/>
          <w:sz w:val="22"/>
          <w:szCs w:val="22"/>
          <w:lang w:val="es-ES_tradnl"/>
        </w:rPr>
        <w:t xml:space="preserve"> de 2020 deroga «[…] todas las disposiciones que le sean contrarias». Se presenta una antinomia o contradicción normativa cuando dos o más disposiciones normativas regulan en sentido diferente un tema.</w:t>
      </w:r>
      <w:r w:rsidR="00583E07" w:rsidRPr="00462E1D">
        <w:rPr>
          <w:rFonts w:ascii="Arial" w:hAnsi="Arial" w:cs="Arial"/>
          <w:color w:val="000000" w:themeColor="text1"/>
          <w:sz w:val="22"/>
          <w:szCs w:val="22"/>
          <w:lang w:val="es-ES_tradnl"/>
        </w:rPr>
        <w:t xml:space="preserve"> Bajo esta consideración, como el artículo 35 de la Ley </w:t>
      </w:r>
      <w:r w:rsidR="006F0F34">
        <w:rPr>
          <w:rFonts w:ascii="Arial" w:hAnsi="Arial" w:cs="Arial"/>
          <w:color w:val="000000" w:themeColor="text1"/>
          <w:sz w:val="22"/>
          <w:szCs w:val="22"/>
          <w:lang w:val="es-ES_tradnl"/>
        </w:rPr>
        <w:t>2069</w:t>
      </w:r>
      <w:r w:rsidR="00583E07" w:rsidRPr="00462E1D">
        <w:rPr>
          <w:rFonts w:ascii="Arial" w:hAnsi="Arial" w:cs="Arial"/>
          <w:color w:val="000000" w:themeColor="text1"/>
          <w:sz w:val="22"/>
          <w:szCs w:val="22"/>
          <w:lang w:val="es-ES_tradnl"/>
        </w:rPr>
        <w:t xml:space="preserve"> de 2020 regula en forma distinta</w:t>
      </w:r>
      <w:r w:rsidR="00AB24F8" w:rsidRPr="00462E1D">
        <w:rPr>
          <w:rFonts w:ascii="Arial" w:hAnsi="Arial" w:cs="Arial"/>
          <w:color w:val="000000" w:themeColor="text1"/>
          <w:sz w:val="22"/>
          <w:szCs w:val="22"/>
          <w:lang w:val="es-ES_tradnl"/>
        </w:rPr>
        <w:t xml:space="preserve"> a como lo hacía el artículo 2.2.1.1.2.2.9. del Decreto 1082 de 2015 </w:t>
      </w:r>
      <w:r w:rsidR="00397C34" w:rsidRPr="00462E1D">
        <w:rPr>
          <w:rFonts w:ascii="Arial" w:hAnsi="Arial" w:cs="Arial"/>
          <w:color w:val="000000" w:themeColor="text1"/>
          <w:sz w:val="22"/>
          <w:szCs w:val="22"/>
          <w:lang w:val="es-ES_tradnl"/>
        </w:rPr>
        <w:t>la aplicación de los factores de desempate,</w:t>
      </w:r>
      <w:r w:rsidR="00AB24F8" w:rsidRPr="00462E1D">
        <w:rPr>
          <w:rFonts w:ascii="Arial" w:hAnsi="Arial" w:cs="Arial"/>
          <w:color w:val="000000" w:themeColor="text1"/>
          <w:sz w:val="22"/>
          <w:szCs w:val="22"/>
          <w:lang w:val="es-ES_tradnl"/>
        </w:rPr>
        <w:t xml:space="preserve"> </w:t>
      </w:r>
      <w:r w:rsidR="0018007F" w:rsidRPr="00462E1D">
        <w:rPr>
          <w:rFonts w:ascii="Arial" w:hAnsi="Arial" w:cs="Arial"/>
          <w:color w:val="000000" w:themeColor="text1"/>
          <w:sz w:val="22"/>
          <w:szCs w:val="22"/>
          <w:lang w:val="es-ES_tradnl"/>
        </w:rPr>
        <w:t xml:space="preserve">este último </w:t>
      </w:r>
      <w:r w:rsidR="00AB24F8" w:rsidRPr="00462E1D">
        <w:rPr>
          <w:rFonts w:ascii="Arial" w:hAnsi="Arial" w:cs="Arial"/>
          <w:color w:val="000000" w:themeColor="text1"/>
          <w:sz w:val="22"/>
          <w:szCs w:val="22"/>
          <w:lang w:val="es-ES_tradnl"/>
        </w:rPr>
        <w:t xml:space="preserve">debe entenderse derogado. </w:t>
      </w:r>
    </w:p>
    <w:p w14:paraId="06AA9677" w14:textId="77777777" w:rsidR="006C572F" w:rsidRDefault="00AB24F8" w:rsidP="00AC4AD2">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w:t>
      </w:r>
      <w:r w:rsidR="00A639A9" w:rsidRPr="00462E1D">
        <w:rPr>
          <w:rFonts w:ascii="Arial" w:hAnsi="Arial" w:cs="Arial"/>
          <w:color w:val="000000" w:themeColor="text1"/>
          <w:sz w:val="22"/>
          <w:szCs w:val="22"/>
          <w:lang w:val="es-ES_tradnl"/>
        </w:rPr>
        <w:t>2 del artículo 91 de la Ley 1437 de 2011.</w:t>
      </w:r>
      <w:r w:rsidR="005907D4" w:rsidRPr="00462E1D">
        <w:rPr>
          <w:rFonts w:ascii="Arial" w:hAnsi="Arial" w:cs="Arial"/>
          <w:color w:val="000000" w:themeColor="text1"/>
          <w:sz w:val="22"/>
          <w:szCs w:val="22"/>
          <w:lang w:val="es-ES_tradnl"/>
        </w:rPr>
        <w:t xml:space="preserve"> </w:t>
      </w:r>
      <w:r w:rsidR="00A639A9" w:rsidRPr="00462E1D">
        <w:rPr>
          <w:rFonts w:ascii="Arial" w:hAnsi="Arial" w:cs="Arial"/>
          <w:color w:val="000000" w:themeColor="text1"/>
          <w:sz w:val="22"/>
          <w:szCs w:val="22"/>
          <w:lang w:val="es-ES_tradnl"/>
        </w:rPr>
        <w:t xml:space="preserve">Esta norma señala que los actos administrativos pierden fuerza ejecutoria </w:t>
      </w:r>
      <w:r w:rsidR="0064194F" w:rsidRPr="00462E1D">
        <w:rPr>
          <w:rFonts w:ascii="Arial" w:hAnsi="Arial" w:cs="Arial"/>
          <w:color w:val="000000" w:themeColor="text1"/>
          <w:sz w:val="22"/>
          <w:szCs w:val="22"/>
          <w:lang w:val="es-ES_tradnl"/>
        </w:rPr>
        <w:t xml:space="preserve">«Cuando desaparezcan sus fundamentos de hecho o de derecho». </w:t>
      </w:r>
      <w:bookmarkStart w:id="6" w:name="_Hlk62546732"/>
      <w:r w:rsidR="0064194F" w:rsidRPr="00462E1D">
        <w:rPr>
          <w:rFonts w:ascii="Arial" w:hAnsi="Arial" w:cs="Arial"/>
          <w:color w:val="000000" w:themeColor="text1"/>
          <w:sz w:val="22"/>
          <w:szCs w:val="22"/>
          <w:lang w:val="es-ES_tradnl"/>
        </w:rPr>
        <w:t xml:space="preserve">Dado que el Decreto 1082 de 2015 es un reglamento </w:t>
      </w:r>
      <w:proofErr w:type="spellStart"/>
      <w:r w:rsidR="0064194F" w:rsidRPr="00462E1D">
        <w:rPr>
          <w:rFonts w:ascii="Arial" w:hAnsi="Arial" w:cs="Arial"/>
          <w:i/>
          <w:iCs/>
          <w:color w:val="000000" w:themeColor="text1"/>
          <w:sz w:val="22"/>
          <w:szCs w:val="22"/>
          <w:lang w:val="es-ES_tradnl"/>
        </w:rPr>
        <w:t>secundum</w:t>
      </w:r>
      <w:proofErr w:type="spellEnd"/>
      <w:r w:rsidR="0064194F" w:rsidRPr="00462E1D">
        <w:rPr>
          <w:rFonts w:ascii="Arial" w:hAnsi="Arial" w:cs="Arial"/>
          <w:i/>
          <w:iCs/>
          <w:color w:val="000000" w:themeColor="text1"/>
          <w:sz w:val="22"/>
          <w:szCs w:val="22"/>
          <w:lang w:val="es-ES_tradnl"/>
        </w:rPr>
        <w:t xml:space="preserve"> </w:t>
      </w:r>
      <w:proofErr w:type="spellStart"/>
      <w:r w:rsidR="0064194F" w:rsidRPr="00462E1D">
        <w:rPr>
          <w:rFonts w:ascii="Arial" w:hAnsi="Arial" w:cs="Arial"/>
          <w:i/>
          <w:iCs/>
          <w:color w:val="000000" w:themeColor="text1"/>
          <w:sz w:val="22"/>
          <w:szCs w:val="22"/>
          <w:lang w:val="es-ES_tradnl"/>
        </w:rPr>
        <w:t>legem</w:t>
      </w:r>
      <w:proofErr w:type="spellEnd"/>
      <w:r w:rsidR="0064194F" w:rsidRPr="00462E1D">
        <w:rPr>
          <w:rFonts w:ascii="Arial" w:hAnsi="Arial" w:cs="Arial"/>
          <w:color w:val="000000" w:themeColor="text1"/>
          <w:sz w:val="22"/>
          <w:szCs w:val="22"/>
          <w:lang w:val="es-ES_tradnl"/>
        </w:rPr>
        <w:t xml:space="preserve"> </w:t>
      </w:r>
      <w:r w:rsidR="00E305A8" w:rsidRPr="00462E1D">
        <w:rPr>
          <w:rFonts w:ascii="Arial" w:hAnsi="Arial" w:cs="Arial"/>
          <w:color w:val="000000" w:themeColor="text1"/>
          <w:sz w:val="22"/>
          <w:szCs w:val="22"/>
          <w:lang w:val="es-ES_tradnl"/>
        </w:rPr>
        <w:t xml:space="preserve">–es decir, que desarrolla </w:t>
      </w:r>
      <w:r w:rsidR="00F44120" w:rsidRPr="00462E1D">
        <w:rPr>
          <w:rFonts w:ascii="Arial" w:hAnsi="Arial" w:cs="Arial"/>
          <w:color w:val="000000" w:themeColor="text1"/>
          <w:sz w:val="22"/>
          <w:szCs w:val="22"/>
          <w:lang w:val="es-ES_tradnl"/>
        </w:rPr>
        <w:t>una norma de mayor jerarquía</w:t>
      </w:r>
      <w:r w:rsidR="00E305A8" w:rsidRPr="00462E1D">
        <w:rPr>
          <w:rFonts w:ascii="Arial" w:hAnsi="Arial" w:cs="Arial"/>
          <w:color w:val="000000" w:themeColor="text1"/>
          <w:sz w:val="22"/>
          <w:szCs w:val="22"/>
          <w:lang w:val="es-ES_tradnl"/>
        </w:rPr>
        <w:t>–</w:t>
      </w:r>
      <w:r w:rsidR="004B6EF5" w:rsidRPr="00462E1D">
        <w:rPr>
          <w:rFonts w:ascii="Arial" w:hAnsi="Arial" w:cs="Arial"/>
          <w:color w:val="000000" w:themeColor="text1"/>
          <w:sz w:val="22"/>
          <w:szCs w:val="22"/>
          <w:lang w:val="es-ES_tradnl"/>
        </w:rPr>
        <w:t>, la expedición de una ley</w:t>
      </w:r>
      <w:r w:rsidR="008E26D9" w:rsidRPr="00462E1D">
        <w:rPr>
          <w:rFonts w:ascii="Arial" w:hAnsi="Arial" w:cs="Arial"/>
          <w:color w:val="000000" w:themeColor="text1"/>
          <w:sz w:val="22"/>
          <w:szCs w:val="22"/>
          <w:lang w:val="es-ES_tradnl"/>
        </w:rPr>
        <w:t xml:space="preserve"> en sentido formal</w:t>
      </w:r>
      <w:r w:rsidR="00C03664" w:rsidRPr="00462E1D">
        <w:rPr>
          <w:rFonts w:ascii="Arial" w:hAnsi="Arial" w:cs="Arial"/>
          <w:color w:val="000000" w:themeColor="text1"/>
          <w:sz w:val="22"/>
          <w:szCs w:val="22"/>
          <w:lang w:val="es-ES_tradnl"/>
        </w:rPr>
        <w:t xml:space="preserve"> –</w:t>
      </w:r>
      <w:r w:rsidR="008E26D9" w:rsidRPr="00462E1D">
        <w:rPr>
          <w:rFonts w:ascii="Arial" w:hAnsi="Arial" w:cs="Arial"/>
          <w:color w:val="000000" w:themeColor="text1"/>
          <w:sz w:val="22"/>
          <w:szCs w:val="22"/>
          <w:lang w:val="es-ES_tradnl"/>
        </w:rPr>
        <w:t xml:space="preserve">es decir, </w:t>
      </w:r>
      <w:r w:rsidR="00F44120" w:rsidRPr="00462E1D">
        <w:rPr>
          <w:rFonts w:ascii="Arial" w:hAnsi="Arial" w:cs="Arial"/>
          <w:color w:val="000000" w:themeColor="text1"/>
          <w:sz w:val="22"/>
          <w:szCs w:val="22"/>
          <w:lang w:val="es-ES_tradnl"/>
        </w:rPr>
        <w:t>una fuente que condiciona el contenido de este último</w:t>
      </w:r>
      <w:r w:rsidR="00C03664" w:rsidRPr="00462E1D">
        <w:rPr>
          <w:rFonts w:ascii="Arial" w:hAnsi="Arial" w:cs="Arial"/>
          <w:color w:val="000000" w:themeColor="text1"/>
          <w:sz w:val="22"/>
          <w:szCs w:val="22"/>
          <w:lang w:val="es-ES_tradnl"/>
        </w:rPr>
        <w:t>–</w:t>
      </w:r>
      <w:r w:rsidR="008E26D9" w:rsidRPr="00462E1D">
        <w:rPr>
          <w:rFonts w:ascii="Arial" w:hAnsi="Arial" w:cs="Arial"/>
          <w:color w:val="000000" w:themeColor="text1"/>
          <w:sz w:val="22"/>
          <w:szCs w:val="22"/>
          <w:lang w:val="es-ES_tradnl"/>
        </w:rPr>
        <w:t>, hace que la disposición reglamentaria decaiga</w:t>
      </w:r>
      <w:bookmarkEnd w:id="6"/>
      <w:r w:rsidR="008E26D9" w:rsidRPr="00462E1D">
        <w:rPr>
          <w:rFonts w:ascii="Arial" w:hAnsi="Arial" w:cs="Arial"/>
          <w:color w:val="000000" w:themeColor="text1"/>
          <w:sz w:val="22"/>
          <w:szCs w:val="22"/>
          <w:lang w:val="es-ES_tradnl"/>
        </w:rPr>
        <w:t>.</w:t>
      </w:r>
      <w:r w:rsidR="008E26D9" w:rsidRPr="00C440B6">
        <w:rPr>
          <w:rFonts w:ascii="Arial" w:hAnsi="Arial" w:cs="Arial"/>
          <w:color w:val="000000" w:themeColor="text1"/>
          <w:sz w:val="22"/>
          <w:szCs w:val="22"/>
          <w:lang w:val="es-ES_tradnl"/>
        </w:rPr>
        <w:t xml:space="preserve"> </w:t>
      </w:r>
      <w:r w:rsidR="00397C34" w:rsidRPr="00C440B6">
        <w:rPr>
          <w:rFonts w:ascii="Arial" w:hAnsi="Arial" w:cs="Arial"/>
          <w:color w:val="000000" w:themeColor="text1"/>
          <w:sz w:val="22"/>
          <w:szCs w:val="22"/>
          <w:lang w:val="es-ES_tradnl"/>
        </w:rPr>
        <w:t xml:space="preserve"> </w:t>
      </w:r>
      <w:r w:rsidR="00817661" w:rsidRPr="00C440B6">
        <w:rPr>
          <w:rFonts w:ascii="Arial" w:hAnsi="Arial" w:cs="Arial"/>
          <w:color w:val="000000" w:themeColor="text1"/>
          <w:sz w:val="22"/>
          <w:szCs w:val="22"/>
          <w:lang w:val="es-ES_tradnl"/>
        </w:rPr>
        <w:t xml:space="preserve"> </w:t>
      </w:r>
    </w:p>
    <w:p w14:paraId="266E2524" w14:textId="77777777" w:rsidR="00B10EEB" w:rsidRPr="0071708A" w:rsidRDefault="00B10EEB" w:rsidP="00B10EEB">
      <w:pPr>
        <w:spacing w:before="120" w:line="276" w:lineRule="auto"/>
        <w:ind w:firstLine="709"/>
        <w:jc w:val="both"/>
        <w:rPr>
          <w:rFonts w:ascii="Arial" w:hAnsi="Arial" w:cs="Arial"/>
          <w:color w:val="000000" w:themeColor="text1"/>
          <w:sz w:val="22"/>
          <w:szCs w:val="22"/>
          <w:lang w:val="es-ES_tradnl"/>
        </w:rPr>
      </w:pPr>
      <w:r w:rsidRPr="0071708A">
        <w:rPr>
          <w:rFonts w:ascii="Arial" w:hAnsi="Arial" w:cs="Arial"/>
          <w:color w:val="000000" w:themeColor="text1"/>
          <w:sz w:val="22"/>
          <w:szCs w:val="22"/>
          <w:lang w:val="es-ES_tradnl"/>
        </w:rPr>
        <w:lastRenderedPageBreak/>
        <w:t xml:space="preserve">Lo expuesto en los dos (2) párrafos precedentes también aplica </w:t>
      </w:r>
      <w:r w:rsidRPr="0071708A">
        <w:rPr>
          <w:rFonts w:ascii="Arial" w:hAnsi="Arial" w:cs="Arial"/>
          <w:i/>
          <w:iCs/>
          <w:color w:val="000000" w:themeColor="text1"/>
          <w:sz w:val="22"/>
          <w:szCs w:val="22"/>
          <w:lang w:val="es-ES_tradnl"/>
        </w:rPr>
        <w:t>mutatis mutandis</w:t>
      </w:r>
      <w:r w:rsidRPr="0071708A">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el procedimiento de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6A938A60" w14:textId="77777777" w:rsidR="00B10EEB" w:rsidRPr="0071708A" w:rsidRDefault="00B10EEB" w:rsidP="00B10EEB">
      <w:pPr>
        <w:spacing w:before="120" w:line="276" w:lineRule="auto"/>
        <w:ind w:firstLine="709"/>
        <w:jc w:val="both"/>
        <w:rPr>
          <w:rFonts w:ascii="Arial" w:hAnsi="Arial" w:cs="Arial"/>
          <w:color w:val="000000" w:themeColor="text1"/>
          <w:sz w:val="22"/>
          <w:szCs w:val="22"/>
          <w:lang w:val="es-ES_tradnl"/>
        </w:rPr>
      </w:pPr>
      <w:r w:rsidRPr="0071708A">
        <w:rPr>
          <w:rFonts w:ascii="Arial" w:hAnsi="Arial" w:cs="Arial"/>
          <w:color w:val="000000" w:themeColor="text1"/>
          <w:sz w:val="22"/>
          <w:szCs w:val="22"/>
          <w:lang w:val="es-ES_tradnl"/>
        </w:rPr>
        <w:t xml:space="preserve">En efecto,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1993, respectivamente–. Llevada al extremo, la idea de que el procedimiento de mínima cuantía solo se regula por el artículo 30 de la Ley 2069 de 2020 y su correspondiente reglamentación genera consecuencias absurdas, pues daría a entender que el reglamento podría llegar a modificar aspectos elevados a rango de ley, como lo son los criterios de desempate previstos en el artículo 35 de la Ley 2069 de 2020. </w:t>
      </w:r>
    </w:p>
    <w:p w14:paraId="39307CD6" w14:textId="77777777" w:rsidR="00B10EEB" w:rsidRPr="0071708A" w:rsidRDefault="00B10EEB" w:rsidP="00B10EEB">
      <w:pPr>
        <w:spacing w:before="120" w:line="276" w:lineRule="auto"/>
        <w:ind w:firstLine="709"/>
        <w:jc w:val="both"/>
        <w:rPr>
          <w:rFonts w:ascii="Arial" w:hAnsi="Arial" w:cs="Arial"/>
          <w:color w:val="000000" w:themeColor="text1"/>
          <w:sz w:val="22"/>
          <w:szCs w:val="22"/>
          <w:lang w:val="es-ES_tradnl"/>
        </w:rPr>
      </w:pPr>
      <w:r w:rsidRPr="0071708A">
        <w:rPr>
          <w:rFonts w:ascii="Arial" w:hAnsi="Arial" w:cs="Arial"/>
          <w:color w:val="000000" w:themeColor="text1"/>
          <w:sz w:val="22"/>
          <w:szCs w:val="22"/>
          <w:lang w:val="es-ES_tradnl"/>
        </w:rPr>
        <w:t xml:space="preserve">Además, aunque el artículo 5.1 de la Ley 57 de 1887 consagra la regla </w:t>
      </w:r>
      <w:r w:rsidRPr="0071708A">
        <w:rPr>
          <w:rFonts w:ascii="Arial" w:hAnsi="Arial" w:cs="Arial"/>
          <w:i/>
          <w:iCs/>
          <w:color w:val="000000" w:themeColor="text1"/>
          <w:sz w:val="22"/>
          <w:szCs w:val="22"/>
          <w:lang w:val="es-ES_tradnl"/>
        </w:rPr>
        <w:t xml:space="preserve">lex </w:t>
      </w:r>
      <w:proofErr w:type="spellStart"/>
      <w:r w:rsidRPr="0071708A">
        <w:rPr>
          <w:rFonts w:ascii="Arial" w:hAnsi="Arial" w:cs="Arial"/>
          <w:i/>
          <w:iCs/>
          <w:color w:val="000000" w:themeColor="text1"/>
          <w:sz w:val="22"/>
          <w:szCs w:val="22"/>
          <w:lang w:val="es-ES_tradnl"/>
        </w:rPr>
        <w:t>specialis</w:t>
      </w:r>
      <w:proofErr w:type="spellEnd"/>
      <w:r w:rsidRPr="0071708A">
        <w:rPr>
          <w:rFonts w:ascii="Arial" w:hAnsi="Arial" w:cs="Arial"/>
          <w:i/>
          <w:iCs/>
          <w:color w:val="000000" w:themeColor="text1"/>
          <w:sz w:val="22"/>
          <w:szCs w:val="22"/>
          <w:lang w:val="es-ES_tradnl"/>
        </w:rPr>
        <w:t xml:space="preserve"> </w:t>
      </w:r>
      <w:proofErr w:type="spellStart"/>
      <w:r w:rsidRPr="0071708A">
        <w:rPr>
          <w:rFonts w:ascii="Arial" w:hAnsi="Arial" w:cs="Arial"/>
          <w:i/>
          <w:iCs/>
          <w:color w:val="000000" w:themeColor="text1"/>
          <w:sz w:val="22"/>
          <w:szCs w:val="22"/>
          <w:lang w:val="es-ES_tradnl"/>
        </w:rPr>
        <w:t>derogat</w:t>
      </w:r>
      <w:proofErr w:type="spellEnd"/>
      <w:r w:rsidRPr="0071708A">
        <w:rPr>
          <w:rFonts w:ascii="Arial" w:hAnsi="Arial" w:cs="Arial"/>
          <w:i/>
          <w:iCs/>
          <w:color w:val="000000" w:themeColor="text1"/>
          <w:sz w:val="22"/>
          <w:szCs w:val="22"/>
          <w:lang w:val="es-ES_tradnl"/>
        </w:rPr>
        <w:t xml:space="preserve"> </w:t>
      </w:r>
      <w:proofErr w:type="spellStart"/>
      <w:r w:rsidRPr="0071708A">
        <w:rPr>
          <w:rFonts w:ascii="Arial" w:hAnsi="Arial" w:cs="Arial"/>
          <w:i/>
          <w:iCs/>
          <w:color w:val="000000" w:themeColor="text1"/>
          <w:sz w:val="22"/>
          <w:szCs w:val="22"/>
          <w:lang w:val="es-ES_tradnl"/>
        </w:rPr>
        <w:t>legi</w:t>
      </w:r>
      <w:proofErr w:type="spellEnd"/>
      <w:r w:rsidRPr="0071708A">
        <w:rPr>
          <w:rFonts w:ascii="Arial" w:hAnsi="Arial" w:cs="Arial"/>
          <w:i/>
          <w:iCs/>
          <w:color w:val="000000" w:themeColor="text1"/>
          <w:sz w:val="22"/>
          <w:szCs w:val="22"/>
          <w:lang w:val="es-ES_tradnl"/>
        </w:rPr>
        <w:t xml:space="preserve"> </w:t>
      </w:r>
      <w:proofErr w:type="spellStart"/>
      <w:r w:rsidRPr="0071708A">
        <w:rPr>
          <w:rFonts w:ascii="Arial" w:hAnsi="Arial" w:cs="Arial"/>
          <w:i/>
          <w:iCs/>
          <w:color w:val="000000" w:themeColor="text1"/>
          <w:sz w:val="22"/>
          <w:szCs w:val="22"/>
          <w:lang w:val="es-ES_tradnl"/>
        </w:rPr>
        <w:t>generali</w:t>
      </w:r>
      <w:proofErr w:type="spellEnd"/>
      <w:r w:rsidRPr="0071708A">
        <w:rPr>
          <w:rStyle w:val="Refdenotaalpie"/>
          <w:rFonts w:ascii="Arial" w:hAnsi="Arial" w:cs="Arial"/>
          <w:color w:val="000000" w:themeColor="text1"/>
          <w:sz w:val="22"/>
          <w:szCs w:val="22"/>
          <w:lang w:val="es-ES_tradnl"/>
        </w:rPr>
        <w:footnoteReference w:id="11"/>
      </w:r>
      <w:r w:rsidRPr="0071708A">
        <w:rPr>
          <w:rFonts w:ascii="Arial" w:hAnsi="Arial" w:cs="Arial"/>
          <w:color w:val="000000" w:themeColor="text1"/>
          <w:sz w:val="22"/>
          <w:szCs w:val="22"/>
          <w:lang w:val="es-ES_tradnl"/>
        </w:rPr>
        <w:t>, este criterio para la resolución de antinomias carece de aplicación matemática para concluir que los factores de desempate para la mínima cuantía se rigen por las normas especiales previstas en el reglamento. De esta manera, los límites de esta regla hay que verificarlos en cada caso teniendo en cuenta la intención del legislador, por lo cual es posible la existencia de una regla general que no tolere excepciones</w:t>
      </w:r>
      <w:r w:rsidRPr="0071708A">
        <w:rPr>
          <w:rStyle w:val="Refdenotaalpie"/>
          <w:rFonts w:ascii="Arial" w:hAnsi="Arial" w:cs="Arial"/>
          <w:color w:val="000000" w:themeColor="text1"/>
          <w:sz w:val="22"/>
          <w:szCs w:val="22"/>
          <w:lang w:val="es-ES_tradnl"/>
        </w:rPr>
        <w:footnoteReference w:id="12"/>
      </w:r>
      <w:r w:rsidRPr="0071708A">
        <w:rPr>
          <w:rFonts w:ascii="Arial" w:hAnsi="Arial" w:cs="Arial"/>
          <w:color w:val="000000" w:themeColor="text1"/>
          <w:sz w:val="22"/>
          <w:szCs w:val="22"/>
          <w:lang w:val="es-ES_tradnl"/>
        </w:rPr>
        <w:t xml:space="preserve">. Al respecto, la doctrina considera que: </w:t>
      </w:r>
    </w:p>
    <w:p w14:paraId="1431F02B" w14:textId="77777777" w:rsidR="00B10EEB" w:rsidRPr="0071708A" w:rsidRDefault="00B10EEB" w:rsidP="00B10EEB">
      <w:pPr>
        <w:spacing w:line="276" w:lineRule="auto"/>
        <w:ind w:firstLine="709"/>
        <w:jc w:val="both"/>
        <w:rPr>
          <w:rFonts w:ascii="Arial" w:hAnsi="Arial" w:cs="Arial"/>
          <w:color w:val="000000" w:themeColor="text1"/>
          <w:sz w:val="22"/>
          <w:szCs w:val="22"/>
          <w:lang w:val="es-ES_tradnl"/>
        </w:rPr>
      </w:pPr>
      <w:r w:rsidRPr="0071708A">
        <w:rPr>
          <w:rFonts w:ascii="Arial" w:hAnsi="Arial" w:cs="Arial"/>
          <w:color w:val="000000" w:themeColor="text1"/>
          <w:sz w:val="22"/>
          <w:szCs w:val="22"/>
          <w:lang w:val="es-ES_tradnl"/>
        </w:rPr>
        <w:lastRenderedPageBreak/>
        <w:t xml:space="preserve">  </w:t>
      </w:r>
    </w:p>
    <w:p w14:paraId="5AD74D9A" w14:textId="77777777" w:rsidR="00B10EEB" w:rsidRPr="0071708A" w:rsidRDefault="00B10EEB" w:rsidP="00B10EEB">
      <w:pPr>
        <w:ind w:left="709" w:right="758"/>
        <w:jc w:val="both"/>
        <w:rPr>
          <w:rFonts w:ascii="Arial" w:hAnsi="Arial" w:cs="Arial"/>
          <w:color w:val="000000" w:themeColor="text1"/>
          <w:sz w:val="21"/>
          <w:szCs w:val="21"/>
          <w:lang w:val="es-ES_tradnl"/>
        </w:rPr>
      </w:pPr>
      <w:r w:rsidRPr="0071708A">
        <w:rPr>
          <w:rFonts w:ascii="Arial" w:hAnsi="Arial" w:cs="Arial"/>
          <w:color w:val="000000" w:themeColor="text1"/>
          <w:sz w:val="21"/>
          <w:szCs w:val="21"/>
        </w:rPr>
        <w:t xml:space="preserve">[…] la preferencia por la norma especial sobre la norma posterior no puede tener jamás un valor absoluto, porque razones de orden teleológico pueden impeler a dar prioridad a la </w:t>
      </w:r>
      <w:r w:rsidRPr="0071708A">
        <w:rPr>
          <w:rFonts w:ascii="Arial" w:hAnsi="Arial" w:cs="Arial"/>
          <w:i/>
          <w:iCs/>
          <w:color w:val="000000" w:themeColor="text1"/>
          <w:sz w:val="21"/>
          <w:szCs w:val="21"/>
        </w:rPr>
        <w:t>lex posterior generalis</w:t>
      </w:r>
      <w:r w:rsidRPr="0071708A">
        <w:rPr>
          <w:rFonts w:ascii="Arial" w:hAnsi="Arial" w:cs="Arial"/>
          <w:color w:val="000000" w:themeColor="text1"/>
          <w:sz w:val="21"/>
          <w:szCs w:val="21"/>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71708A">
        <w:rPr>
          <w:rFonts w:ascii="Arial" w:hAnsi="Arial" w:cs="Arial"/>
          <w:i/>
          <w:iCs/>
          <w:color w:val="000000" w:themeColor="text1"/>
          <w:sz w:val="21"/>
          <w:szCs w:val="21"/>
        </w:rPr>
        <w:t>lex posterior generalis non derogat legi priori speciali</w:t>
      </w:r>
      <w:r w:rsidRPr="0071708A">
        <w:rPr>
          <w:rFonts w:ascii="Arial" w:hAnsi="Arial" w:cs="Arial"/>
          <w:color w:val="000000" w:themeColor="text1"/>
          <w:sz w:val="21"/>
          <w:szCs w:val="21"/>
        </w:rPr>
        <w:t xml:space="preserve"> opera como una mera presunción hermenéutica, que puede ser destruida por una clara </w:t>
      </w:r>
      <w:r w:rsidRPr="0071708A">
        <w:rPr>
          <w:rFonts w:ascii="Arial" w:hAnsi="Arial" w:cs="Arial"/>
          <w:i/>
          <w:iCs/>
          <w:color w:val="000000" w:themeColor="text1"/>
          <w:sz w:val="21"/>
          <w:szCs w:val="21"/>
        </w:rPr>
        <w:t>voluntas legis</w:t>
      </w:r>
      <w:r w:rsidRPr="0071708A">
        <w:rPr>
          <w:rFonts w:ascii="Arial" w:hAnsi="Arial" w:cs="Arial"/>
          <w:color w:val="000000" w:themeColor="text1"/>
          <w:sz w:val="21"/>
          <w:szCs w:val="21"/>
        </w:rPr>
        <w:t xml:space="preserve"> de sentido contrario</w:t>
      </w:r>
      <w:r w:rsidRPr="0071708A">
        <w:rPr>
          <w:rStyle w:val="Refdenotaalpie"/>
          <w:rFonts w:ascii="Arial" w:hAnsi="Arial" w:cs="Arial"/>
          <w:color w:val="000000" w:themeColor="text1"/>
          <w:sz w:val="21"/>
          <w:szCs w:val="21"/>
        </w:rPr>
        <w:footnoteReference w:id="13"/>
      </w:r>
      <w:r w:rsidRPr="0071708A">
        <w:rPr>
          <w:rFonts w:ascii="Arial" w:hAnsi="Arial" w:cs="Arial"/>
          <w:color w:val="000000" w:themeColor="text1"/>
          <w:sz w:val="21"/>
          <w:szCs w:val="21"/>
        </w:rPr>
        <w:t>.</w:t>
      </w:r>
      <w:r w:rsidRPr="0071708A">
        <w:rPr>
          <w:rFonts w:ascii="Arial" w:hAnsi="Arial" w:cs="Arial"/>
          <w:color w:val="000000" w:themeColor="text1"/>
          <w:sz w:val="21"/>
          <w:szCs w:val="21"/>
          <w:lang w:val="es-ES_tradnl"/>
        </w:rPr>
        <w:t xml:space="preserve"> </w:t>
      </w:r>
    </w:p>
    <w:p w14:paraId="10C8FEB1" w14:textId="77777777" w:rsidR="00B10EEB" w:rsidRPr="0071708A" w:rsidRDefault="00B10EEB" w:rsidP="00B10EEB">
      <w:pPr>
        <w:spacing w:line="276" w:lineRule="auto"/>
        <w:jc w:val="both"/>
        <w:rPr>
          <w:rFonts w:ascii="Arial" w:hAnsi="Arial" w:cs="Arial"/>
          <w:color w:val="000000" w:themeColor="text1"/>
          <w:sz w:val="22"/>
          <w:szCs w:val="22"/>
          <w:lang w:val="es-ES_tradnl"/>
        </w:rPr>
      </w:pPr>
    </w:p>
    <w:p w14:paraId="09DF7571" w14:textId="3F27B22A" w:rsidR="00B10EEB" w:rsidRDefault="00B10EEB" w:rsidP="00063038">
      <w:pPr>
        <w:spacing w:line="276" w:lineRule="auto"/>
        <w:jc w:val="both"/>
        <w:rPr>
          <w:rFonts w:ascii="Arial" w:hAnsi="Arial" w:cs="Arial"/>
          <w:color w:val="000000" w:themeColor="text1"/>
          <w:sz w:val="22"/>
          <w:szCs w:val="22"/>
          <w:lang w:val="es-ES_tradnl"/>
        </w:rPr>
      </w:pPr>
      <w:r w:rsidRPr="0071708A">
        <w:rPr>
          <w:rFonts w:ascii="Arial" w:hAnsi="Arial" w:cs="Arial"/>
          <w:color w:val="000000" w:themeColor="text1"/>
          <w:sz w:val="22"/>
          <w:szCs w:val="22"/>
          <w:lang w:val="es-ES_tradnl"/>
        </w:rPr>
        <w:tab/>
        <w:t xml:space="preserve">Tratándose de los factores de desempate, la intención del legislador es que el artículo 35 de la Ley de Emprendimiento sea una norma transversal al sistema de compras y contratación pública. Particularmente, </w:t>
      </w:r>
      <w:r w:rsidRPr="0071708A">
        <w:rPr>
          <w:rFonts w:ascii="Arial" w:eastAsia="Calibri" w:hAnsi="Arial" w:cs="Arial"/>
          <w:bCs/>
          <w:color w:val="000000" w:themeColor="text1"/>
          <w:sz w:val="22"/>
        </w:rPr>
        <w:t>conforme a la exposición de motivos, la ley «</w:t>
      </w:r>
      <w:r w:rsidRPr="0071708A">
        <w:rPr>
          <w:rFonts w:ascii="Arial" w:hAnsi="Arial" w:cs="Arial"/>
          <w:sz w:val="22"/>
        </w:rPr>
        <w:t xml:space="preserve">[…] </w:t>
      </w:r>
      <w:r w:rsidRPr="0071708A">
        <w:rPr>
          <w:rFonts w:ascii="Arial" w:eastAsia="Calibri" w:hAnsi="Arial" w:cs="Arial"/>
          <w:bCs/>
          <w:color w:val="000000" w:themeColor="text1"/>
          <w:sz w:val="22"/>
        </w:rPr>
        <w:t xml:space="preserve">propone facilitar el acceso de las Mipymes a la modalidad de contratación de mínima cuantía, la limitación de estos procesos a Mipymes, […] y </w:t>
      </w:r>
      <w:r w:rsidRPr="0071708A">
        <w:rPr>
          <w:rFonts w:ascii="Arial" w:eastAsia="Calibri" w:hAnsi="Arial" w:cs="Arial"/>
          <w:bCs/>
          <w:i/>
          <w:iCs/>
          <w:color w:val="000000" w:themeColor="text1"/>
          <w:sz w:val="22"/>
        </w:rPr>
        <w:t>define la inclusión de factores de desempate en los procesos de contratación pública que priorizan este segmento</w:t>
      </w:r>
      <w:r w:rsidRPr="0071708A">
        <w:rPr>
          <w:rFonts w:ascii="Arial" w:eastAsia="Calibri" w:hAnsi="Arial" w:cs="Arial"/>
          <w:bCs/>
          <w:color w:val="000000" w:themeColor="text1"/>
          <w:sz w:val="22"/>
        </w:rPr>
        <w:t>» (Énfasis fuera de texto)</w:t>
      </w:r>
      <w:r w:rsidRPr="0071708A">
        <w:rPr>
          <w:rStyle w:val="Refdenotaalpie"/>
          <w:rFonts w:ascii="Arial" w:eastAsia="Calibri" w:hAnsi="Arial" w:cs="Arial"/>
          <w:bCs/>
          <w:color w:val="000000" w:themeColor="text1"/>
          <w:sz w:val="22"/>
        </w:rPr>
        <w:footnoteReference w:id="14"/>
      </w:r>
      <w:r w:rsidRPr="0071708A">
        <w:rPr>
          <w:rFonts w:ascii="Arial" w:eastAsia="Calibri" w:hAnsi="Arial" w:cs="Arial"/>
          <w:bCs/>
          <w:color w:val="000000" w:themeColor="text1"/>
          <w:sz w:val="22"/>
        </w:rPr>
        <w:t xml:space="preserve">. En esta medida, carece de sentido que los criterios de desempate sean inaplicables a la mínima cuantía, cuando la regla revista en el artículo citado obliga a todas las entidades exceptuadas sin consideración al valor del presupuesto oficial estimado. </w:t>
      </w:r>
      <w:bookmarkStart w:id="7" w:name="_Hlk64307901"/>
      <w:r w:rsidRPr="0071708A">
        <w:rPr>
          <w:rFonts w:ascii="Arial" w:eastAsia="Calibri" w:hAnsi="Arial" w:cs="Arial"/>
          <w:bCs/>
          <w:color w:val="000000" w:themeColor="text1"/>
          <w:sz w:val="22"/>
        </w:rPr>
        <w:t xml:space="preserve">Teniendo en cuenta lo anterior, se concluye que el artículo </w:t>
      </w:r>
      <w:r w:rsidRPr="0071708A">
        <w:rPr>
          <w:rFonts w:ascii="Arial" w:hAnsi="Arial" w:cs="Arial"/>
          <w:color w:val="000000" w:themeColor="text1"/>
          <w:sz w:val="22"/>
          <w:szCs w:val="22"/>
          <w:lang w:val="es-ES_tradnl"/>
        </w:rPr>
        <w:t>35 de la Ley 2069 de 2020 es aplicable al procedimiento de mínima cuantía, por lo que se presenta tanto la derogación como el decaimiento de los criterios de desempate previstos en el Decreto 1082 de 2015 para esta modalidad de selección.</w:t>
      </w:r>
      <w:r w:rsidRPr="008120AC">
        <w:rPr>
          <w:rFonts w:ascii="Arial" w:hAnsi="Arial" w:cs="Arial"/>
          <w:color w:val="000000" w:themeColor="text1"/>
          <w:sz w:val="22"/>
          <w:szCs w:val="22"/>
          <w:lang w:val="es-ES_tradnl"/>
        </w:rPr>
        <w:t xml:space="preserve"> </w:t>
      </w:r>
      <w:r w:rsidRPr="0071708A">
        <w:rPr>
          <w:rFonts w:ascii="Arial" w:eastAsia="Calibri" w:hAnsi="Arial" w:cs="Arial"/>
          <w:bCs/>
          <w:color w:val="000000" w:themeColor="text1"/>
          <w:sz w:val="22"/>
        </w:rPr>
        <w:t xml:space="preserve">   </w:t>
      </w:r>
      <w:r w:rsidRPr="0071708A">
        <w:rPr>
          <w:rFonts w:ascii="Arial" w:hAnsi="Arial" w:cs="Arial"/>
          <w:color w:val="000000" w:themeColor="text1"/>
          <w:sz w:val="22"/>
          <w:szCs w:val="22"/>
          <w:lang w:val="es-ES_tradnl"/>
        </w:rPr>
        <w:t xml:space="preserve">     </w:t>
      </w:r>
    </w:p>
    <w:p w14:paraId="70EAD6BD" w14:textId="77777777" w:rsidR="00B45E9C" w:rsidRPr="0071708A" w:rsidRDefault="00B45E9C" w:rsidP="00063038">
      <w:pPr>
        <w:spacing w:line="276" w:lineRule="auto"/>
        <w:jc w:val="both"/>
        <w:rPr>
          <w:rFonts w:ascii="Arial" w:eastAsia="Calibri" w:hAnsi="Arial" w:cs="Arial"/>
          <w:bCs/>
          <w:color w:val="000000" w:themeColor="text1"/>
          <w:sz w:val="22"/>
        </w:rPr>
      </w:pPr>
    </w:p>
    <w:bookmarkEnd w:id="7"/>
    <w:p w14:paraId="32224228" w14:textId="77777777" w:rsidR="00454589" w:rsidRPr="00C440B6" w:rsidRDefault="00454589" w:rsidP="00510DE9">
      <w:pPr>
        <w:tabs>
          <w:tab w:val="left" w:pos="0"/>
        </w:tabs>
        <w:jc w:val="both"/>
        <w:rPr>
          <w:rFonts w:ascii="Arial" w:eastAsia="Calibri" w:hAnsi="Arial" w:cs="Arial"/>
          <w:b/>
          <w:color w:val="000000" w:themeColor="text1"/>
          <w:sz w:val="22"/>
          <w:lang w:val="es-ES_tradnl"/>
        </w:rPr>
      </w:pPr>
    </w:p>
    <w:p w14:paraId="37CA9805" w14:textId="74A99BE5" w:rsidR="00DD5B04" w:rsidRPr="00C440B6" w:rsidRDefault="004177A6" w:rsidP="00510DE9">
      <w:pPr>
        <w:tabs>
          <w:tab w:val="left" w:pos="0"/>
        </w:tabs>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3</w:t>
      </w:r>
      <w:r w:rsidR="00B011A9" w:rsidRPr="00C440B6">
        <w:rPr>
          <w:rFonts w:ascii="Arial" w:eastAsia="Calibri" w:hAnsi="Arial" w:cs="Arial"/>
          <w:b/>
          <w:color w:val="000000" w:themeColor="text1"/>
          <w:sz w:val="22"/>
          <w:lang w:val="es-ES_tradnl"/>
        </w:rPr>
        <w:t xml:space="preserve">. </w:t>
      </w:r>
      <w:r w:rsidR="00DD5B04" w:rsidRPr="00C440B6">
        <w:rPr>
          <w:rFonts w:ascii="Arial" w:eastAsia="Calibri" w:hAnsi="Arial" w:cs="Arial"/>
          <w:b/>
          <w:color w:val="000000" w:themeColor="text1"/>
          <w:sz w:val="22"/>
          <w:lang w:val="es-ES_tradnl"/>
        </w:rPr>
        <w:t>Respuesta</w:t>
      </w:r>
      <w:r w:rsidR="002A7D84" w:rsidRPr="00C440B6">
        <w:rPr>
          <w:rFonts w:ascii="Arial" w:eastAsia="Calibri" w:hAnsi="Arial" w:cs="Arial"/>
          <w:b/>
          <w:color w:val="000000" w:themeColor="text1"/>
          <w:sz w:val="22"/>
          <w:lang w:val="es-ES_tradnl"/>
        </w:rPr>
        <w:t>s</w:t>
      </w:r>
    </w:p>
    <w:p w14:paraId="0B74D5B8" w14:textId="7F0A7F13" w:rsidR="00C4581D" w:rsidRPr="00C440B6" w:rsidRDefault="00C4581D" w:rsidP="00063038">
      <w:pPr>
        <w:tabs>
          <w:tab w:val="left" w:pos="0"/>
        </w:tabs>
        <w:spacing w:line="276" w:lineRule="auto"/>
        <w:jc w:val="both"/>
        <w:rPr>
          <w:rFonts w:ascii="Arial" w:eastAsia="Calibri" w:hAnsi="Arial" w:cs="Arial"/>
          <w:color w:val="000000" w:themeColor="text1"/>
          <w:sz w:val="22"/>
          <w:lang w:val="es-ES_tradnl"/>
        </w:rPr>
      </w:pPr>
    </w:p>
    <w:p w14:paraId="3EB5F4C3" w14:textId="6137EAC4" w:rsidR="00905336" w:rsidRPr="00C440B6" w:rsidRDefault="004E3152" w:rsidP="00B10EEB">
      <w:pPr>
        <w:ind w:left="709" w:right="709"/>
        <w:jc w:val="both"/>
        <w:rPr>
          <w:rFonts w:ascii="Arial" w:hAnsi="Arial" w:cs="Arial"/>
          <w:color w:val="000000" w:themeColor="text1"/>
          <w:sz w:val="21"/>
          <w:szCs w:val="21"/>
          <w:lang w:val="es-ES_tradnl"/>
        </w:rPr>
      </w:pPr>
      <w:r w:rsidRPr="00B657FF">
        <w:rPr>
          <w:rFonts w:ascii="Arial" w:hAnsi="Arial" w:cs="Arial"/>
          <w:color w:val="000000" w:themeColor="text1"/>
          <w:sz w:val="21"/>
          <w:szCs w:val="21"/>
          <w:lang w:val="es-ES_tradnl"/>
        </w:rPr>
        <w:t>«</w:t>
      </w:r>
      <w:r w:rsidR="00B10EEB" w:rsidRPr="00063038">
        <w:rPr>
          <w:rFonts w:ascii="Arial" w:eastAsia="Calibri" w:hAnsi="Arial" w:cs="Arial"/>
          <w:color w:val="000000" w:themeColor="text1"/>
          <w:sz w:val="21"/>
          <w:szCs w:val="21"/>
        </w:rPr>
        <w:t>¿TODOS los procedimientos de selección incluyendo la modalidad de mínima cuantía que no otorga puntaje se rigen exclusivamente por los factores de desempate previstos en el artículo 35 de la Ley 2069?</w:t>
      </w:r>
      <w:r w:rsidR="00CC3995" w:rsidRPr="00B657FF">
        <w:rPr>
          <w:rFonts w:ascii="Arial" w:hAnsi="Arial" w:cs="Arial"/>
          <w:color w:val="000000" w:themeColor="text1"/>
          <w:sz w:val="21"/>
          <w:szCs w:val="21"/>
          <w:lang w:val="es-ES_tradnl"/>
        </w:rPr>
        <w:t>»</w:t>
      </w:r>
      <w:r w:rsidR="00CC3995" w:rsidRPr="00CC3995">
        <w:rPr>
          <w:rFonts w:ascii="Arial" w:hAnsi="Arial" w:cs="Arial"/>
          <w:color w:val="000000" w:themeColor="text1"/>
          <w:sz w:val="21"/>
          <w:szCs w:val="21"/>
          <w:lang w:val="es-ES_tradnl"/>
        </w:rPr>
        <w:t>.</w:t>
      </w:r>
    </w:p>
    <w:p w14:paraId="35D2EB08" w14:textId="77777777" w:rsidR="00F740A0" w:rsidRPr="00C440B6" w:rsidRDefault="00F740A0" w:rsidP="00DF76A2">
      <w:pPr>
        <w:spacing w:line="276" w:lineRule="auto"/>
        <w:jc w:val="both"/>
        <w:rPr>
          <w:rFonts w:ascii="Arial" w:eastAsia="Calibri" w:hAnsi="Arial" w:cs="Arial"/>
          <w:color w:val="000000" w:themeColor="text1"/>
          <w:sz w:val="22"/>
          <w:szCs w:val="22"/>
          <w:lang w:val="es-ES_tradnl"/>
        </w:rPr>
      </w:pPr>
    </w:p>
    <w:p w14:paraId="5F5D26CF" w14:textId="2172F22D" w:rsidR="00B10EEB" w:rsidRPr="00C440B6" w:rsidRDefault="00B657FF" w:rsidP="00B10EEB">
      <w:pPr>
        <w:spacing w:line="276" w:lineRule="auto"/>
        <w:jc w:val="both"/>
        <w:rPr>
          <w:rFonts w:ascii="Arial" w:eastAsia="Calibri" w:hAnsi="Arial" w:cs="Arial"/>
          <w:color w:val="000000" w:themeColor="text1"/>
          <w:sz w:val="22"/>
          <w:szCs w:val="22"/>
          <w:lang w:val="es-ES_tradnl"/>
        </w:rPr>
      </w:pPr>
      <w:r w:rsidRPr="00B657FF">
        <w:rPr>
          <w:rFonts w:ascii="Arial" w:eastAsia="Calibri" w:hAnsi="Arial" w:cs="Arial"/>
          <w:color w:val="000000" w:themeColor="text1"/>
          <w:sz w:val="22"/>
          <w:szCs w:val="22"/>
          <w:lang w:val="es-ES_tradnl"/>
        </w:rPr>
        <w:t xml:space="preserve">El artículo 35 de la Ley 2069 de 2020, que modifica el régimen de los factores de desempate </w:t>
      </w:r>
      <w:r w:rsidR="00B10EEB" w:rsidRPr="00C440B6">
        <w:rPr>
          <w:rFonts w:ascii="Arial" w:eastAsia="Calibri" w:hAnsi="Arial" w:cs="Arial"/>
          <w:color w:val="000000" w:themeColor="text1"/>
          <w:sz w:val="22"/>
          <w:szCs w:val="22"/>
          <w:lang w:val="es-ES_tradnl"/>
        </w:rPr>
        <w:t xml:space="preserve">en la contratación estatal, se encuentra vigente y goza de aplicación directa desde la fecha de su promulgación, </w:t>
      </w:r>
      <w:r w:rsidR="00B10EEB">
        <w:rPr>
          <w:rFonts w:ascii="Arial" w:eastAsia="Calibri" w:hAnsi="Arial" w:cs="Arial"/>
          <w:color w:val="000000" w:themeColor="text1"/>
          <w:sz w:val="22"/>
          <w:szCs w:val="22"/>
          <w:lang w:val="es-ES_tradnl"/>
        </w:rPr>
        <w:t>es decir,</w:t>
      </w:r>
      <w:r w:rsidR="00B10EEB" w:rsidRPr="00C440B6">
        <w:rPr>
          <w:rFonts w:ascii="Arial" w:eastAsia="Calibri" w:hAnsi="Arial" w:cs="Arial"/>
          <w:color w:val="000000" w:themeColor="text1"/>
          <w:sz w:val="22"/>
          <w:szCs w:val="22"/>
          <w:lang w:val="es-ES_tradnl"/>
        </w:rPr>
        <w:t xml:space="preserve"> no requiere de una reglamentación previa como presupuesto para su eficacia. </w:t>
      </w:r>
      <w:r w:rsidR="00B10EEB">
        <w:rPr>
          <w:rFonts w:ascii="Arial" w:eastAsia="Calibri" w:hAnsi="Arial" w:cs="Arial"/>
          <w:color w:val="000000" w:themeColor="text1"/>
          <w:sz w:val="22"/>
          <w:szCs w:val="22"/>
          <w:lang w:val="es-ES_tradnl"/>
        </w:rPr>
        <w:t>Estos</w:t>
      </w:r>
      <w:r w:rsidR="00B10EEB" w:rsidRPr="00C440B6">
        <w:rPr>
          <w:rFonts w:ascii="Arial" w:eastAsia="Calibri" w:hAnsi="Arial" w:cs="Arial"/>
          <w:color w:val="000000" w:themeColor="text1"/>
          <w:sz w:val="22"/>
          <w:szCs w:val="22"/>
          <w:lang w:val="es-ES_tradnl"/>
        </w:rPr>
        <w:t xml:space="preserve"> criterios de desempate actualmente</w:t>
      </w:r>
      <w:r w:rsidR="00B10EEB" w:rsidRPr="00C440B6" w:rsidDel="0018007F">
        <w:rPr>
          <w:rFonts w:ascii="Arial" w:eastAsia="Calibri" w:hAnsi="Arial" w:cs="Arial"/>
          <w:color w:val="000000" w:themeColor="text1"/>
          <w:sz w:val="22"/>
          <w:szCs w:val="22"/>
          <w:lang w:val="es-ES_tradnl"/>
        </w:rPr>
        <w:t xml:space="preserve"> </w:t>
      </w:r>
      <w:r w:rsidR="00B10EEB" w:rsidRPr="00C440B6">
        <w:rPr>
          <w:rFonts w:ascii="Arial" w:eastAsia="Calibri" w:hAnsi="Arial" w:cs="Arial"/>
          <w:color w:val="000000" w:themeColor="text1"/>
          <w:sz w:val="22"/>
          <w:szCs w:val="22"/>
          <w:lang w:val="es-ES_tradnl"/>
        </w:rPr>
        <w:t>son aplicables a todas las entidades estatales, independientemente de su régimen de contratación.</w:t>
      </w:r>
    </w:p>
    <w:p w14:paraId="13A6CF5C" w14:textId="77777777" w:rsidR="00B10EEB" w:rsidRPr="00C440B6" w:rsidRDefault="00B10EEB" w:rsidP="00B10EEB">
      <w:pPr>
        <w:spacing w:before="120" w:line="276" w:lineRule="auto"/>
        <w:ind w:firstLine="709"/>
        <w:jc w:val="both"/>
        <w:rPr>
          <w:rFonts w:ascii="Arial" w:hAnsi="Arial" w:cs="Arial"/>
          <w:color w:val="000000" w:themeColor="text1"/>
          <w:sz w:val="22"/>
          <w:szCs w:val="22"/>
          <w:lang w:val="es-ES_tradnl"/>
        </w:rPr>
      </w:pPr>
      <w:r w:rsidRPr="00C440B6">
        <w:rPr>
          <w:rFonts w:ascii="Arial" w:hAnsi="Arial" w:cs="Arial"/>
          <w:color w:val="000000" w:themeColor="text1"/>
          <w:sz w:val="22"/>
          <w:szCs w:val="22"/>
          <w:lang w:val="es-ES_tradnl"/>
        </w:rPr>
        <w:lastRenderedPageBreak/>
        <w:t>Además, si bien los factores de desempate regulados en el artículo 35 deben aplicarse «</w:t>
      </w:r>
      <w:r w:rsidRPr="00C440B6">
        <w:rPr>
          <w:rFonts w:ascii="Arial" w:hAnsi="Arial" w:cs="Arial"/>
          <w:sz w:val="22"/>
          <w:szCs w:val="22"/>
          <w:lang w:val="es-ES_tradnl"/>
        </w:rPr>
        <w:t xml:space="preserve">[…] </w:t>
      </w:r>
      <w:r w:rsidRPr="00C440B6">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016DAF14" w14:textId="77777777" w:rsidR="00B10EEB" w:rsidRPr="00462E1D" w:rsidRDefault="00B10EEB" w:rsidP="00B10EEB">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Ahora bien, hasta la promulgación de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el artículo 2.2.1.1.2.2.9. del Decreto 1082 de 2015 regulaba los factores de desempate que debían aplicarse en los procesos de selección. En criterio de esta </w:t>
      </w:r>
      <w:r>
        <w:rPr>
          <w:rFonts w:ascii="Arial" w:hAnsi="Arial" w:cs="Arial"/>
          <w:color w:val="000000" w:themeColor="text1"/>
          <w:sz w:val="22"/>
          <w:szCs w:val="22"/>
          <w:lang w:val="es-ES_tradnl"/>
        </w:rPr>
        <w:t>Agencia</w:t>
      </w:r>
      <w:r w:rsidRPr="00462E1D">
        <w:rPr>
          <w:rFonts w:ascii="Arial" w:hAnsi="Arial" w:cs="Arial"/>
          <w:color w:val="000000" w:themeColor="text1"/>
          <w:sz w:val="22"/>
          <w:szCs w:val="22"/>
          <w:lang w:val="es-ES_tradnl"/>
        </w:rPr>
        <w:t xml:space="preserve">, dicha norma debe entenderse derogada por el artículo 35 de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Ello no solo porque el artículo 84 de esta Ley dice que «rige a partir del momento de su promulgación», es decir, desde el 31 de diciembre de 2020, sino además porque la misma disposición señala que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deroga «[…] todas las disposiciones que le sean contrarias». </w:t>
      </w:r>
    </w:p>
    <w:p w14:paraId="67E23DA6" w14:textId="77777777" w:rsidR="00B10EEB" w:rsidRDefault="00B10EEB" w:rsidP="00B10EEB">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462E1D">
        <w:rPr>
          <w:rFonts w:ascii="Arial" w:hAnsi="Arial" w:cs="Arial"/>
          <w:i/>
          <w:iCs/>
          <w:color w:val="000000" w:themeColor="text1"/>
          <w:sz w:val="22"/>
          <w:szCs w:val="22"/>
          <w:lang w:val="es-ES_tradnl"/>
        </w:rPr>
        <w:t>secundum</w:t>
      </w:r>
      <w:proofErr w:type="spellEnd"/>
      <w:r w:rsidRPr="00462E1D">
        <w:rPr>
          <w:rFonts w:ascii="Arial" w:hAnsi="Arial" w:cs="Arial"/>
          <w:i/>
          <w:iCs/>
          <w:color w:val="000000" w:themeColor="text1"/>
          <w:sz w:val="22"/>
          <w:szCs w:val="22"/>
          <w:lang w:val="es-ES_tradnl"/>
        </w:rPr>
        <w:t xml:space="preserve"> </w:t>
      </w:r>
      <w:proofErr w:type="spellStart"/>
      <w:r w:rsidRPr="00462E1D">
        <w:rPr>
          <w:rFonts w:ascii="Arial" w:hAnsi="Arial" w:cs="Arial"/>
          <w:i/>
          <w:iCs/>
          <w:color w:val="000000" w:themeColor="text1"/>
          <w:sz w:val="22"/>
          <w:szCs w:val="22"/>
          <w:lang w:val="es-ES_tradnl"/>
        </w:rPr>
        <w:t>legem</w:t>
      </w:r>
      <w:proofErr w:type="spellEnd"/>
      <w:r w:rsidRPr="00462E1D">
        <w:rPr>
          <w:rFonts w:ascii="Arial" w:hAnsi="Arial" w:cs="Arial"/>
          <w:color w:val="000000" w:themeColor="text1"/>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r w:rsidRPr="00C440B6">
        <w:rPr>
          <w:rFonts w:ascii="Arial" w:hAnsi="Arial" w:cs="Arial"/>
          <w:color w:val="000000" w:themeColor="text1"/>
          <w:sz w:val="22"/>
          <w:szCs w:val="22"/>
          <w:lang w:val="es-ES_tradnl"/>
        </w:rPr>
        <w:t xml:space="preserve">  </w:t>
      </w:r>
    </w:p>
    <w:p w14:paraId="6D63E9A9" w14:textId="77777777" w:rsidR="00B10EEB" w:rsidRPr="00C5587F" w:rsidRDefault="00B10EEB" w:rsidP="00B10EEB">
      <w:pPr>
        <w:spacing w:before="120" w:line="276" w:lineRule="auto"/>
        <w:ind w:firstLine="709"/>
        <w:jc w:val="both"/>
        <w:rPr>
          <w:rFonts w:ascii="Arial" w:hAnsi="Arial" w:cs="Arial"/>
          <w:color w:val="000000" w:themeColor="text1"/>
          <w:sz w:val="22"/>
          <w:szCs w:val="22"/>
          <w:highlight w:val="yellow"/>
          <w:lang w:val="es-ES_tradnl"/>
        </w:rPr>
      </w:pPr>
      <w:bookmarkStart w:id="8" w:name="_Hlk64308251"/>
      <w:r w:rsidRPr="0071708A">
        <w:rPr>
          <w:rFonts w:ascii="Arial" w:hAnsi="Arial" w:cs="Arial"/>
          <w:color w:val="000000" w:themeColor="text1"/>
          <w:sz w:val="22"/>
          <w:szCs w:val="22"/>
          <w:lang w:val="es-ES_tradnl"/>
        </w:rPr>
        <w:t xml:space="preserve">Lo explicado en los párrafos precedentes también aplica </w:t>
      </w:r>
      <w:r w:rsidRPr="0071708A">
        <w:rPr>
          <w:rFonts w:ascii="Arial" w:hAnsi="Arial" w:cs="Arial"/>
          <w:i/>
          <w:iCs/>
          <w:color w:val="000000" w:themeColor="text1"/>
          <w:sz w:val="22"/>
          <w:szCs w:val="22"/>
          <w:lang w:val="es-ES_tradnl"/>
        </w:rPr>
        <w:t>mutatis mutandis</w:t>
      </w:r>
      <w:r w:rsidRPr="0071708A">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En consecuencia, por tratarse de una norma transversal al sistema de compras y contratación pública, el artículo 35 de la Ley 2069 de 2020 es aplicable al procedimiento de mínima cuantía, presentándose tanto la derogación como el decaimiento de los criterios de desempate previstos en el Decreto 1082 de 2015 para esta modalidad de selección.</w:t>
      </w:r>
      <w:r w:rsidRPr="00623346">
        <w:rPr>
          <w:rFonts w:ascii="Arial" w:hAnsi="Arial" w:cs="Arial"/>
          <w:color w:val="000000" w:themeColor="text1"/>
          <w:sz w:val="22"/>
          <w:szCs w:val="22"/>
          <w:lang w:val="es-ES_tradnl"/>
        </w:rPr>
        <w:t xml:space="preserve">         </w:t>
      </w:r>
    </w:p>
    <w:bookmarkEnd w:id="8"/>
    <w:p w14:paraId="2D07F454" w14:textId="77777777" w:rsidR="00B10EEB" w:rsidRPr="00C440B6" w:rsidRDefault="00B10EEB" w:rsidP="00B10EEB">
      <w:pPr>
        <w:spacing w:before="120" w:line="276" w:lineRule="auto"/>
        <w:ind w:firstLine="709"/>
        <w:jc w:val="both"/>
        <w:rPr>
          <w:rFonts w:ascii="Arial" w:hAnsi="Arial" w:cs="Arial"/>
          <w:color w:val="000000" w:themeColor="text1"/>
          <w:sz w:val="22"/>
          <w:szCs w:val="22"/>
          <w:lang w:val="es-ES_tradnl"/>
        </w:rPr>
      </w:pPr>
      <w:r w:rsidRPr="00C440B6">
        <w:rPr>
          <w:rFonts w:ascii="Arial" w:hAnsi="Arial" w:cs="Arial"/>
          <w:color w:val="000000" w:themeColor="text1"/>
          <w:sz w:val="22"/>
          <w:szCs w:val="22"/>
          <w:lang w:val="es-ES_tradnl"/>
        </w:rPr>
        <w:t xml:space="preserve">    </w:t>
      </w:r>
    </w:p>
    <w:p w14:paraId="2534FEC7" w14:textId="77777777" w:rsidR="00B10EEB" w:rsidRPr="00C440B6" w:rsidRDefault="00B10EEB" w:rsidP="00B10EEB">
      <w:pPr>
        <w:spacing w:line="276" w:lineRule="auto"/>
        <w:jc w:val="both"/>
        <w:rPr>
          <w:rFonts w:ascii="Arial" w:hAnsi="Arial" w:cs="Arial"/>
          <w:color w:val="000000" w:themeColor="text1"/>
          <w:sz w:val="22"/>
          <w:lang w:val="es-ES_tradnl"/>
        </w:rPr>
      </w:pPr>
      <w:r w:rsidRPr="00C440B6">
        <w:rPr>
          <w:rFonts w:ascii="Arial" w:hAnsi="Arial" w:cs="Arial"/>
          <w:color w:val="000000" w:themeColor="text1"/>
          <w:sz w:val="22"/>
          <w:lang w:val="es-ES_tradnl"/>
        </w:rPr>
        <w:lastRenderedPageBreak/>
        <w:t>Este concepto tiene el alcance previsto en el artículo 28 del Código de Procedimiento Administrativo y de lo Contencioso Administrativo.</w:t>
      </w:r>
    </w:p>
    <w:p w14:paraId="77EE5912" w14:textId="77777777" w:rsidR="00DD5B04" w:rsidRPr="00C440B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C440B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C440B6">
        <w:rPr>
          <w:rFonts w:ascii="Arial" w:hAnsi="Arial" w:cs="Arial"/>
          <w:color w:val="000000" w:themeColor="text1"/>
          <w:sz w:val="22"/>
          <w:szCs w:val="22"/>
          <w:lang w:val="es-ES_tradnl"/>
        </w:rPr>
        <w:t>Atentamente,</w:t>
      </w:r>
    </w:p>
    <w:p w14:paraId="692FC307" w14:textId="210AA6B5" w:rsidR="00921304" w:rsidRPr="00C440B6"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4B5B26DA" w:rsidR="00921304" w:rsidRPr="00C440B6" w:rsidRDefault="00B45E9C"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02EE457A" wp14:editId="3A8DEE23">
            <wp:extent cx="2940710" cy="13032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940710" cy="1303269"/>
                    </a:xfrm>
                    <a:prstGeom prst="rect">
                      <a:avLst/>
                    </a:prstGeom>
                  </pic:spPr>
                </pic:pic>
              </a:graphicData>
            </a:graphic>
          </wp:inline>
        </w:drawing>
      </w:r>
    </w:p>
    <w:p w14:paraId="5CBAE239" w14:textId="77777777" w:rsidR="00425C43" w:rsidRPr="00C440B6" w:rsidRDefault="00425C43" w:rsidP="00B37657">
      <w:pPr>
        <w:jc w:val="center"/>
        <w:rPr>
          <w:rFonts w:ascii="Arial" w:hAnsi="Arial" w:cs="Arial"/>
          <w:color w:val="000000" w:themeColor="text1"/>
          <w:sz w:val="18"/>
          <w:szCs w:val="20"/>
          <w:lang w:val="es-ES_tradnl" w:eastAsia="es-CO"/>
        </w:rPr>
      </w:pPr>
    </w:p>
    <w:p w14:paraId="49730030" w14:textId="217D35F3" w:rsidR="00DD5B04" w:rsidRPr="00C440B6"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C440B6" w14:paraId="0C7DC5F7" w14:textId="77777777" w:rsidTr="008F4163">
        <w:trPr>
          <w:trHeight w:val="315"/>
        </w:trPr>
        <w:tc>
          <w:tcPr>
            <w:tcW w:w="812" w:type="dxa"/>
            <w:vAlign w:val="center"/>
            <w:hideMark/>
          </w:tcPr>
          <w:p w14:paraId="5BDB1AC9" w14:textId="77777777" w:rsidR="00DD5B04" w:rsidRPr="00C440B6" w:rsidRDefault="00DD5B04"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C440B6" w:rsidRDefault="001A422D" w:rsidP="00B253CE">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David Torres Rojas</w:t>
            </w:r>
          </w:p>
          <w:p w14:paraId="240C71FD" w14:textId="490C7B4C" w:rsidR="00DD5B04" w:rsidRPr="00C440B6" w:rsidRDefault="001A422D"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w:t>
            </w:r>
            <w:r w:rsidR="00B253CE">
              <w:rPr>
                <w:rFonts w:ascii="Arial" w:hAnsi="Arial" w:cs="Arial"/>
                <w:color w:val="000000" w:themeColor="text1"/>
                <w:sz w:val="16"/>
                <w:szCs w:val="16"/>
                <w:lang w:val="es-ES_tradnl" w:eastAsia="es-ES"/>
              </w:rPr>
              <w:t xml:space="preserve"> de la </w:t>
            </w:r>
            <w:r w:rsidR="00B253CE" w:rsidRPr="005F5694">
              <w:rPr>
                <w:rFonts w:ascii="Arial" w:hAnsi="Arial" w:cs="Arial"/>
                <w:color w:val="000000" w:themeColor="text1"/>
                <w:sz w:val="16"/>
                <w:szCs w:val="16"/>
                <w:lang w:val="es-ES_tradnl" w:eastAsia="es-ES"/>
              </w:rPr>
              <w:t>Subdirección de Gestión Contractual</w:t>
            </w:r>
          </w:p>
        </w:tc>
      </w:tr>
      <w:tr w:rsidR="00DD5B04" w:rsidRPr="00C440B6" w14:paraId="2F8FD650" w14:textId="77777777" w:rsidTr="008F4163">
        <w:trPr>
          <w:trHeight w:val="330"/>
        </w:trPr>
        <w:tc>
          <w:tcPr>
            <w:tcW w:w="812" w:type="dxa"/>
            <w:vAlign w:val="center"/>
            <w:hideMark/>
          </w:tcPr>
          <w:p w14:paraId="50203A0B" w14:textId="77777777" w:rsidR="00DD5B04" w:rsidRPr="00C440B6" w:rsidRDefault="00DD5B04"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8430DF" w14:textId="77777777" w:rsidR="001A422D" w:rsidRPr="00C440B6" w:rsidRDefault="001A422D" w:rsidP="001A422D">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Juan David Montoya Penagos</w:t>
            </w:r>
          </w:p>
          <w:p w14:paraId="130B3228" w14:textId="7C53AC3B" w:rsidR="00DD5B04" w:rsidRPr="00C440B6" w:rsidRDefault="001A422D" w:rsidP="001A422D">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Gestor T1</w:t>
            </w:r>
            <w:r>
              <w:rPr>
                <w:rFonts w:ascii="Arial" w:hAnsi="Arial" w:cs="Arial"/>
                <w:color w:val="000000" w:themeColor="text1"/>
                <w:sz w:val="16"/>
                <w:szCs w:val="16"/>
                <w:lang w:val="es-ES_tradnl" w:eastAsia="es-ES"/>
              </w:rPr>
              <w:t>-</w:t>
            </w:r>
            <w:r w:rsidRPr="00C440B6">
              <w:rPr>
                <w:rFonts w:ascii="Arial" w:hAnsi="Arial" w:cs="Arial"/>
                <w:color w:val="000000" w:themeColor="text1"/>
                <w:sz w:val="16"/>
                <w:szCs w:val="16"/>
                <w:lang w:val="es-ES_tradnl" w:eastAsia="es-ES"/>
              </w:rPr>
              <w:t>15</w:t>
            </w:r>
            <w:r>
              <w:rPr>
                <w:rFonts w:ascii="Arial" w:hAnsi="Arial" w:cs="Arial"/>
                <w:color w:val="000000" w:themeColor="text1"/>
                <w:sz w:val="16"/>
                <w:szCs w:val="16"/>
                <w:lang w:val="es-ES_tradnl" w:eastAsia="es-ES"/>
              </w:rPr>
              <w:t xml:space="preserve"> de la </w:t>
            </w:r>
            <w:r w:rsidRPr="005F5694">
              <w:rPr>
                <w:rFonts w:ascii="Arial" w:hAnsi="Arial" w:cs="Arial"/>
                <w:color w:val="000000" w:themeColor="text1"/>
                <w:sz w:val="16"/>
                <w:szCs w:val="16"/>
                <w:lang w:val="es-ES_tradnl" w:eastAsia="es-ES"/>
              </w:rPr>
              <w:t>Subdirección de Gestión Contractual</w:t>
            </w:r>
          </w:p>
        </w:tc>
      </w:tr>
      <w:tr w:rsidR="00DD5B04" w:rsidRPr="00C440B6" w14:paraId="0FCBCA4A" w14:textId="77777777" w:rsidTr="008F4163">
        <w:trPr>
          <w:trHeight w:val="300"/>
        </w:trPr>
        <w:tc>
          <w:tcPr>
            <w:tcW w:w="812" w:type="dxa"/>
            <w:vAlign w:val="center"/>
            <w:hideMark/>
          </w:tcPr>
          <w:p w14:paraId="3C1D943A" w14:textId="77777777" w:rsidR="00DD5B04" w:rsidRPr="00C440B6" w:rsidRDefault="00DD5B04"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C440B6" w:rsidRDefault="00C05A61"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 xml:space="preserve">Jorge </w:t>
            </w:r>
            <w:r w:rsidR="00647A36" w:rsidRPr="00C440B6">
              <w:rPr>
                <w:rFonts w:ascii="Arial" w:hAnsi="Arial" w:cs="Arial"/>
                <w:color w:val="000000" w:themeColor="text1"/>
                <w:sz w:val="16"/>
                <w:szCs w:val="16"/>
                <w:lang w:val="es-ES_tradnl" w:eastAsia="es-ES"/>
              </w:rPr>
              <w:t xml:space="preserve">Augusto </w:t>
            </w:r>
            <w:r w:rsidRPr="00C440B6">
              <w:rPr>
                <w:rFonts w:ascii="Arial" w:hAnsi="Arial" w:cs="Arial"/>
                <w:color w:val="000000" w:themeColor="text1"/>
                <w:sz w:val="16"/>
                <w:szCs w:val="16"/>
                <w:lang w:val="es-ES_tradnl" w:eastAsia="es-ES"/>
              </w:rPr>
              <w:t>Tirado Navarro</w:t>
            </w:r>
          </w:p>
          <w:p w14:paraId="1ADC483B" w14:textId="0B6A3583" w:rsidR="00DD5B04" w:rsidRPr="00C440B6" w:rsidRDefault="00DD5B04"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Subdirector de Gestión Contractual</w:t>
            </w:r>
            <w:r w:rsidR="005F5694">
              <w:rPr>
                <w:rFonts w:ascii="Arial" w:hAnsi="Arial" w:cs="Arial"/>
                <w:color w:val="000000" w:themeColor="text1"/>
                <w:sz w:val="16"/>
                <w:szCs w:val="16"/>
                <w:lang w:val="es-ES_tradnl" w:eastAsia="es-ES"/>
              </w:rPr>
              <w:t xml:space="preserve"> ANCP – CCE</w:t>
            </w:r>
          </w:p>
        </w:tc>
      </w:tr>
    </w:tbl>
    <w:p w14:paraId="35B56F46" w14:textId="77777777" w:rsidR="00746E08" w:rsidRPr="00C440B6" w:rsidRDefault="00746E08" w:rsidP="00215B8E">
      <w:pPr>
        <w:jc w:val="both"/>
        <w:rPr>
          <w:rFonts w:ascii="Arial" w:hAnsi="Arial" w:cs="Arial"/>
          <w:lang w:val="es-ES_tradnl"/>
        </w:rPr>
      </w:pPr>
    </w:p>
    <w:sectPr w:rsidR="00746E08" w:rsidRPr="00C440B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0AED" w14:textId="77777777" w:rsidR="006901F4" w:rsidRDefault="006901F4">
      <w:r>
        <w:separator/>
      </w:r>
    </w:p>
  </w:endnote>
  <w:endnote w:type="continuationSeparator" w:id="0">
    <w:p w14:paraId="42375402" w14:textId="77777777" w:rsidR="006901F4" w:rsidRDefault="006901F4">
      <w:r>
        <w:continuationSeparator/>
      </w:r>
    </w:p>
  </w:endnote>
  <w:endnote w:type="continuationNotice" w:id="1">
    <w:p w14:paraId="639AFE83" w14:textId="77777777" w:rsidR="006901F4" w:rsidRDefault="00690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389BE68" w:rsidP="00322937">
    <w:pPr>
      <w:pStyle w:val="Piedepgina"/>
      <w:jc w:val="center"/>
      <w:rPr>
        <w:lang w:val="es-ES"/>
      </w:rPr>
    </w:pPr>
    <w:r>
      <w:rPr>
        <w:noProof/>
      </w:rPr>
      <w:drawing>
        <wp:inline distT="0" distB="0" distL="0" distR="0" wp14:anchorId="608B196D" wp14:editId="5FF8DC7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3979" w14:textId="77777777" w:rsidR="006901F4" w:rsidRDefault="006901F4">
      <w:r>
        <w:separator/>
      </w:r>
    </w:p>
  </w:footnote>
  <w:footnote w:type="continuationSeparator" w:id="0">
    <w:p w14:paraId="1C1B2B73" w14:textId="77777777" w:rsidR="006901F4" w:rsidRDefault="006901F4">
      <w:r>
        <w:continuationSeparator/>
      </w:r>
    </w:p>
  </w:footnote>
  <w:footnote w:type="continuationNotice" w:id="1">
    <w:p w14:paraId="1E2D66A3" w14:textId="77777777" w:rsidR="006901F4" w:rsidRDefault="006901F4"/>
  </w:footnote>
  <w:footnote w:id="2">
    <w:p w14:paraId="5EE2BBDD" w14:textId="77777777" w:rsidR="00F80411" w:rsidRPr="00EA10E4" w:rsidRDefault="00F80411" w:rsidP="00F80411">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3B4DF297" w14:textId="77777777" w:rsidR="00F80411" w:rsidRPr="00EA10E4" w:rsidRDefault="00F80411" w:rsidP="00F80411">
      <w:pPr>
        <w:pStyle w:val="Textonotapie"/>
        <w:ind w:firstLine="709"/>
        <w:jc w:val="both"/>
        <w:rPr>
          <w:rFonts w:ascii="Arial" w:hAnsi="Arial" w:cs="Arial"/>
          <w:sz w:val="19"/>
          <w:szCs w:val="19"/>
          <w:lang w:val="es-ES"/>
        </w:rPr>
      </w:pPr>
    </w:p>
  </w:footnote>
  <w:footnote w:id="3">
    <w:p w14:paraId="38605483"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6296EE45" w14:textId="77777777" w:rsidR="00F80411" w:rsidRPr="008640C4" w:rsidRDefault="00F80411" w:rsidP="00F80411">
      <w:pPr>
        <w:pStyle w:val="Textonotapie"/>
        <w:ind w:firstLine="709"/>
        <w:jc w:val="both"/>
        <w:rPr>
          <w:rFonts w:ascii="Arial" w:hAnsi="Arial" w:cs="Arial"/>
          <w:sz w:val="19"/>
          <w:szCs w:val="19"/>
          <w:lang w:val="es-ES"/>
        </w:rPr>
      </w:pPr>
    </w:p>
  </w:footnote>
  <w:footnote w:id="4">
    <w:p w14:paraId="533FAE3F"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4D0C9747" w14:textId="77777777" w:rsidR="00F80411" w:rsidRPr="008640C4" w:rsidRDefault="00F80411" w:rsidP="00F80411">
      <w:pPr>
        <w:pStyle w:val="Textonotapie"/>
        <w:ind w:firstLine="709"/>
        <w:jc w:val="both"/>
        <w:rPr>
          <w:rFonts w:ascii="Arial" w:hAnsi="Arial" w:cs="Arial"/>
          <w:sz w:val="19"/>
          <w:szCs w:val="19"/>
          <w:lang w:val="es-CO"/>
        </w:rPr>
      </w:pPr>
    </w:p>
  </w:footnote>
  <w:footnote w:id="5">
    <w:p w14:paraId="77146A50"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653F7200" w14:textId="77777777" w:rsidR="00F80411" w:rsidRPr="008640C4" w:rsidRDefault="00F80411" w:rsidP="00F80411">
      <w:pPr>
        <w:pStyle w:val="Textonotapie"/>
        <w:ind w:firstLine="709"/>
        <w:jc w:val="both"/>
        <w:rPr>
          <w:rFonts w:ascii="Arial" w:hAnsi="Arial" w:cs="Arial"/>
          <w:sz w:val="19"/>
          <w:szCs w:val="19"/>
          <w:lang w:val="es-ES"/>
        </w:rPr>
      </w:pPr>
    </w:p>
  </w:footnote>
  <w:footnote w:id="6">
    <w:p w14:paraId="4E055C6A"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3EB7365C" w14:textId="77777777" w:rsidR="00F80411" w:rsidRPr="008640C4" w:rsidRDefault="00F80411" w:rsidP="00F80411">
      <w:pPr>
        <w:pStyle w:val="Textonotapie"/>
        <w:ind w:firstLine="709"/>
        <w:jc w:val="both"/>
        <w:rPr>
          <w:rFonts w:ascii="Arial" w:hAnsi="Arial" w:cs="Arial"/>
          <w:sz w:val="19"/>
          <w:szCs w:val="19"/>
          <w:lang w:val="es-ES"/>
        </w:rPr>
      </w:pPr>
    </w:p>
  </w:footnote>
  <w:footnote w:id="7">
    <w:p w14:paraId="15AD37D3"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3143494F" w14:textId="77777777" w:rsidR="00F80411" w:rsidRPr="008640C4" w:rsidRDefault="00F80411" w:rsidP="00F80411">
      <w:pPr>
        <w:pStyle w:val="Textonotapie"/>
        <w:ind w:firstLine="709"/>
        <w:jc w:val="both"/>
        <w:rPr>
          <w:rFonts w:ascii="Arial" w:hAnsi="Arial" w:cs="Arial"/>
          <w:sz w:val="19"/>
          <w:szCs w:val="19"/>
          <w:lang w:val="es-ES"/>
        </w:rPr>
      </w:pPr>
    </w:p>
  </w:footnote>
  <w:footnote w:id="8">
    <w:p w14:paraId="7D602341"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6C35605C" w14:textId="77777777" w:rsidR="00F80411" w:rsidRPr="008640C4" w:rsidRDefault="00F80411" w:rsidP="00F80411">
      <w:pPr>
        <w:pStyle w:val="Textonotapie"/>
        <w:ind w:firstLine="709"/>
        <w:jc w:val="both"/>
        <w:rPr>
          <w:rFonts w:ascii="Arial" w:hAnsi="Arial" w:cs="Arial"/>
          <w:sz w:val="19"/>
          <w:szCs w:val="19"/>
          <w:lang w:val="es-ES"/>
        </w:rPr>
      </w:pPr>
    </w:p>
  </w:footnote>
  <w:footnote w:id="9">
    <w:p w14:paraId="56BE8B0D"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66E965A2" w14:textId="77777777" w:rsidR="00F80411" w:rsidRPr="008640C4" w:rsidRDefault="00F80411" w:rsidP="00F80411">
      <w:pPr>
        <w:pStyle w:val="Textonotapie"/>
        <w:ind w:firstLine="709"/>
        <w:jc w:val="both"/>
        <w:rPr>
          <w:rFonts w:ascii="Arial" w:hAnsi="Arial" w:cs="Arial"/>
          <w:sz w:val="19"/>
          <w:szCs w:val="19"/>
          <w:lang w:val="es-ES"/>
        </w:rPr>
      </w:pPr>
    </w:p>
  </w:footnote>
  <w:footnote w:id="10">
    <w:p w14:paraId="7BEBE4BC" w14:textId="0B820A13" w:rsidR="00530059" w:rsidRPr="0064696D" w:rsidRDefault="00530059" w:rsidP="009949CE">
      <w:pPr>
        <w:pStyle w:val="Textonotapie"/>
        <w:ind w:firstLine="709"/>
        <w:jc w:val="both"/>
        <w:rPr>
          <w:rFonts w:ascii="Arial" w:hAnsi="Arial" w:cs="Arial"/>
          <w:sz w:val="19"/>
          <w:szCs w:val="19"/>
          <w:lang w:val="es-ES"/>
        </w:rPr>
      </w:pPr>
      <w:r w:rsidRPr="0064696D">
        <w:rPr>
          <w:rStyle w:val="Refdenotaalpie"/>
          <w:rFonts w:ascii="Arial" w:hAnsi="Arial" w:cs="Arial"/>
          <w:sz w:val="19"/>
          <w:szCs w:val="19"/>
        </w:rPr>
        <w:footnoteRef/>
      </w:r>
      <w:r w:rsidRPr="0064696D">
        <w:rPr>
          <w:rFonts w:ascii="Arial" w:hAnsi="Arial" w:cs="Arial"/>
          <w:sz w:val="19"/>
          <w:szCs w:val="19"/>
        </w:rPr>
        <w:t xml:space="preserve"> </w:t>
      </w:r>
      <w:r w:rsidRPr="0064696D">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2186A106" w14:textId="03EE071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Si persiste el empate, la Entidad Estatal debe utilizar las siguientes reglas de forma sucesiva y excluyente para seleccionar el oferente favorecido, respetando los compromisos adquiridos por Acuerdos Comerciales:</w:t>
      </w:r>
    </w:p>
    <w:p w14:paraId="4DFE72EE" w14:textId="07C46650"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1.</w:t>
      </w:r>
      <w:r>
        <w:rPr>
          <w:rFonts w:ascii="Arial" w:hAnsi="Arial" w:cs="Arial"/>
          <w:sz w:val="19"/>
          <w:szCs w:val="19"/>
          <w:lang w:val="es-ES"/>
        </w:rPr>
        <w:t xml:space="preserve"> </w:t>
      </w:r>
      <w:r w:rsidR="00530059" w:rsidRPr="0064696D">
        <w:rPr>
          <w:rFonts w:ascii="Arial" w:hAnsi="Arial" w:cs="Arial"/>
          <w:sz w:val="19"/>
          <w:szCs w:val="19"/>
          <w:lang w:val="es-ES"/>
        </w:rPr>
        <w:t>Preferir la oferta de bienes o servicios nacionales frente a la oferta de bienes o servicios extranjeros.</w:t>
      </w:r>
    </w:p>
    <w:p w14:paraId="55EE1E60" w14:textId="019C69CF"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2.</w:t>
      </w:r>
      <w:r>
        <w:rPr>
          <w:rFonts w:ascii="Arial" w:hAnsi="Arial" w:cs="Arial"/>
          <w:sz w:val="19"/>
          <w:szCs w:val="19"/>
          <w:lang w:val="es-ES"/>
        </w:rPr>
        <w:t xml:space="preserve"> </w:t>
      </w:r>
      <w:r w:rsidR="00530059" w:rsidRPr="0064696D">
        <w:rPr>
          <w:rFonts w:ascii="Arial" w:hAnsi="Arial" w:cs="Arial"/>
          <w:sz w:val="19"/>
          <w:szCs w:val="19"/>
          <w:lang w:val="es-ES"/>
        </w:rPr>
        <w:t>Preferir las ofertas presentada por una Mipyme nacional.</w:t>
      </w:r>
    </w:p>
    <w:p w14:paraId="24F6B951" w14:textId="78F6340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3.</w:t>
      </w:r>
      <w:r>
        <w:rPr>
          <w:rFonts w:ascii="Arial" w:hAnsi="Arial" w:cs="Arial"/>
          <w:sz w:val="19"/>
          <w:szCs w:val="19"/>
          <w:lang w:val="es-ES"/>
        </w:rPr>
        <w:t xml:space="preserve"> </w:t>
      </w:r>
      <w:r w:rsidR="00530059" w:rsidRPr="0064696D">
        <w:rPr>
          <w:rFonts w:ascii="Arial" w:hAnsi="Arial" w:cs="Arial"/>
          <w:sz w:val="19"/>
          <w:szCs w:val="19"/>
          <w:lang w:val="es-ES"/>
        </w:rPr>
        <w:t>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14:paraId="5BC30F59" w14:textId="518BE03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4.</w:t>
      </w:r>
      <w:r>
        <w:rPr>
          <w:rFonts w:ascii="Arial" w:hAnsi="Arial" w:cs="Arial"/>
          <w:sz w:val="19"/>
          <w:szCs w:val="19"/>
          <w:lang w:val="es-ES"/>
        </w:rPr>
        <w:t xml:space="preserve"> </w:t>
      </w:r>
      <w:r w:rsidR="00530059" w:rsidRPr="0064696D">
        <w:rPr>
          <w:rFonts w:ascii="Arial" w:hAnsi="Arial" w:cs="Arial"/>
          <w:sz w:val="19"/>
          <w:szCs w:val="19"/>
          <w:lang w:val="es-ES"/>
        </w:rPr>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762F4336" w14:textId="04C31981" w:rsidR="00530059" w:rsidRPr="0064696D" w:rsidRDefault="009949CE" w:rsidP="0064696D">
      <w:pPr>
        <w:pStyle w:val="Textonotapie"/>
        <w:ind w:firstLine="709"/>
        <w:jc w:val="both"/>
        <w:rPr>
          <w:rFonts w:ascii="Arial" w:hAnsi="Arial" w:cs="Arial"/>
          <w:sz w:val="19"/>
          <w:szCs w:val="19"/>
          <w:lang w:val="es-CO"/>
        </w:rPr>
      </w:pPr>
      <w:r>
        <w:rPr>
          <w:rFonts w:ascii="Arial" w:hAnsi="Arial" w:cs="Arial"/>
          <w:sz w:val="19"/>
          <w:szCs w:val="19"/>
          <w:lang w:val="es-ES"/>
        </w:rPr>
        <w:t>»</w:t>
      </w:r>
      <w:r w:rsidR="00530059" w:rsidRPr="0064696D">
        <w:rPr>
          <w:rFonts w:ascii="Arial" w:hAnsi="Arial" w:cs="Arial"/>
          <w:sz w:val="19"/>
          <w:szCs w:val="19"/>
          <w:lang w:val="es-ES"/>
        </w:rPr>
        <w:t>5.</w:t>
      </w:r>
      <w:r>
        <w:rPr>
          <w:rFonts w:ascii="Arial" w:hAnsi="Arial" w:cs="Arial"/>
          <w:sz w:val="19"/>
          <w:szCs w:val="19"/>
          <w:lang w:val="es-ES"/>
        </w:rPr>
        <w:t xml:space="preserve"> </w:t>
      </w:r>
      <w:r w:rsidR="00530059" w:rsidRPr="0064696D">
        <w:rPr>
          <w:rFonts w:ascii="Arial" w:hAnsi="Arial" w:cs="Arial"/>
          <w:sz w:val="19"/>
          <w:szCs w:val="19"/>
          <w:lang w:val="es-ES"/>
        </w:rPr>
        <w:t>Utilizar un método aleatorio para seleccionar el oferente, método que deberá haber sido previsto en los pliegos de condiciones del Proceso de Contratación</w:t>
      </w:r>
      <w:r>
        <w:rPr>
          <w:rFonts w:ascii="Arial" w:hAnsi="Arial" w:cs="Arial"/>
          <w:sz w:val="19"/>
          <w:szCs w:val="19"/>
          <w:lang w:val="es-ES"/>
        </w:rPr>
        <w:t>»</w:t>
      </w:r>
      <w:r w:rsidR="00530059" w:rsidRPr="0064696D">
        <w:rPr>
          <w:rFonts w:ascii="Arial" w:hAnsi="Arial" w:cs="Arial"/>
          <w:sz w:val="19"/>
          <w:szCs w:val="19"/>
          <w:lang w:val="es-ES"/>
        </w:rPr>
        <w:t>.</w:t>
      </w:r>
    </w:p>
  </w:footnote>
  <w:footnote w:id="11">
    <w:p w14:paraId="5CA918CF" w14:textId="77777777" w:rsidR="00B10EEB" w:rsidRPr="00F175E1" w:rsidRDefault="00B10EEB" w:rsidP="00B10EEB">
      <w:pPr>
        <w:jc w:val="both"/>
        <w:rPr>
          <w:rFonts w:ascii="Arial" w:hAnsi="Arial" w:cs="Arial"/>
          <w:sz w:val="19"/>
          <w:szCs w:val="19"/>
        </w:rPr>
      </w:pPr>
      <w:r w:rsidRPr="00F77DD4">
        <w:rPr>
          <w:rStyle w:val="Refdenotaalpie"/>
          <w:rFonts w:ascii="Arial" w:hAnsi="Arial" w:cs="Arial"/>
          <w:sz w:val="19"/>
          <w:szCs w:val="19"/>
        </w:rPr>
        <w:footnoteRef/>
      </w:r>
      <w:r w:rsidRPr="00F77DD4">
        <w:rPr>
          <w:rFonts w:ascii="Arial" w:hAnsi="Arial" w:cs="Arial"/>
          <w:sz w:val="19"/>
          <w:szCs w:val="19"/>
        </w:rPr>
        <w:t xml:space="preserve"> </w:t>
      </w:r>
      <w:r>
        <w:rPr>
          <w:rFonts w:ascii="Arial" w:hAnsi="Arial" w:cs="Arial"/>
          <w:sz w:val="19"/>
          <w:szCs w:val="19"/>
        </w:rPr>
        <w:t xml:space="preserve">El artículo 5 de la Ley 57 de 1887 dispone que </w:t>
      </w:r>
      <w:r w:rsidRPr="00F175E1">
        <w:rPr>
          <w:rFonts w:ascii="Arial" w:hAnsi="Arial" w:cs="Arial"/>
          <w:sz w:val="19"/>
          <w:szCs w:val="19"/>
        </w:rPr>
        <w:t xml:space="preserve">«Cuando haya incompatibilidad entre una disposición constitucional y una legal, preferirá aquélla. </w:t>
      </w:r>
    </w:p>
    <w:p w14:paraId="5E29B635" w14:textId="77777777" w:rsidR="00B10EEB" w:rsidRPr="00F175E1" w:rsidRDefault="00B10EEB" w:rsidP="00B10EEB">
      <w:pPr>
        <w:ind w:firstLine="708"/>
        <w:jc w:val="both"/>
        <w:rPr>
          <w:rFonts w:ascii="Arial" w:hAnsi="Arial" w:cs="Arial"/>
          <w:sz w:val="19"/>
          <w:szCs w:val="19"/>
        </w:rPr>
      </w:pPr>
      <w:r w:rsidRPr="00F175E1">
        <w:rPr>
          <w:rFonts w:ascii="Arial" w:hAnsi="Arial" w:cs="Arial"/>
          <w:sz w:val="19"/>
          <w:szCs w:val="19"/>
        </w:rPr>
        <w:t xml:space="preserve">»Si en los Códigos que se adoptan se hallaren algunas disposiciones incompatibles entre sí, se observarán en su aplicación las reglas siguientes: </w:t>
      </w:r>
    </w:p>
    <w:p w14:paraId="013FF682" w14:textId="77777777" w:rsidR="00B10EEB" w:rsidRPr="00F175E1" w:rsidRDefault="00B10EEB" w:rsidP="00B10EEB">
      <w:pPr>
        <w:ind w:firstLine="708"/>
        <w:jc w:val="both"/>
        <w:rPr>
          <w:rFonts w:ascii="Arial" w:hAnsi="Arial" w:cs="Arial"/>
          <w:sz w:val="19"/>
          <w:szCs w:val="19"/>
        </w:rPr>
      </w:pPr>
      <w:r w:rsidRPr="00F175E1">
        <w:rPr>
          <w:rFonts w:ascii="Arial" w:hAnsi="Arial" w:cs="Arial"/>
          <w:sz w:val="19"/>
          <w:szCs w:val="19"/>
        </w:rPr>
        <w:t xml:space="preserve">»1ª La disposición relativa a un asunto especial prefiere a la que tenga carácter general; </w:t>
      </w:r>
    </w:p>
    <w:p w14:paraId="0DE0983F" w14:textId="77777777" w:rsidR="00B10EEB" w:rsidRDefault="00B10EEB" w:rsidP="00B10EEB">
      <w:pPr>
        <w:ind w:firstLine="708"/>
        <w:jc w:val="both"/>
        <w:rPr>
          <w:rFonts w:ascii="Arial" w:hAnsi="Arial" w:cs="Arial"/>
          <w:sz w:val="19"/>
          <w:szCs w:val="19"/>
        </w:rPr>
      </w:pPr>
      <w:r w:rsidRPr="00F175E1">
        <w:rPr>
          <w:rFonts w:ascii="Arial" w:hAnsi="Arial" w:cs="Arial"/>
          <w:sz w:val="19"/>
          <w:szCs w:val="19"/>
        </w:rPr>
        <w:t xml:space="preserve">»2ª Cuando las disposiciones tengan una misma especialidad </w:t>
      </w:r>
      <w:r>
        <w:rPr>
          <w:rFonts w:ascii="Arial" w:hAnsi="Arial" w:cs="Arial"/>
          <w:sz w:val="19"/>
          <w:szCs w:val="19"/>
        </w:rPr>
        <w:t>o</w:t>
      </w:r>
      <w:r w:rsidRPr="00F175E1">
        <w:rPr>
          <w:rFonts w:ascii="Arial" w:hAnsi="Arial" w:cs="Arial"/>
          <w:sz w:val="19"/>
          <w:szCs w:val="19"/>
        </w:rPr>
        <w:t xml:space="preserve">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p w14:paraId="7C3D5325" w14:textId="77777777" w:rsidR="00B10EEB" w:rsidRPr="00D56A53" w:rsidRDefault="00B10EEB" w:rsidP="00B10EEB">
      <w:pPr>
        <w:ind w:firstLine="708"/>
        <w:jc w:val="both"/>
        <w:rPr>
          <w:rFonts w:ascii="Arial" w:hAnsi="Arial" w:cs="Arial"/>
          <w:sz w:val="19"/>
          <w:szCs w:val="19"/>
        </w:rPr>
      </w:pPr>
    </w:p>
  </w:footnote>
  <w:footnote w:id="12">
    <w:p w14:paraId="57ABA8DD" w14:textId="77777777" w:rsidR="00B10EEB" w:rsidRPr="00231293" w:rsidRDefault="00B10EEB" w:rsidP="00B10EEB">
      <w:pPr>
        <w:pStyle w:val="Textonotapie"/>
        <w:ind w:firstLine="708"/>
        <w:jc w:val="both"/>
        <w:rPr>
          <w:rFonts w:ascii="Arial" w:hAnsi="Arial" w:cs="Arial"/>
          <w:sz w:val="19"/>
          <w:szCs w:val="19"/>
          <w:lang w:val="es-ES"/>
        </w:rPr>
      </w:pPr>
      <w:r w:rsidRPr="00231293">
        <w:rPr>
          <w:rStyle w:val="Refdenotaalpie"/>
          <w:rFonts w:ascii="Arial" w:hAnsi="Arial" w:cs="Arial"/>
          <w:sz w:val="19"/>
          <w:szCs w:val="19"/>
        </w:rPr>
        <w:footnoteRef/>
      </w:r>
      <w:r w:rsidRPr="00231293">
        <w:rPr>
          <w:rFonts w:ascii="Arial" w:hAnsi="Arial" w:cs="Arial"/>
          <w:sz w:val="19"/>
          <w:szCs w:val="19"/>
        </w:rPr>
        <w:t xml:space="preserve"> </w:t>
      </w:r>
      <w:r>
        <w:rPr>
          <w:rFonts w:ascii="Arial" w:hAnsi="Arial" w:cs="Arial"/>
          <w:sz w:val="19"/>
          <w:szCs w:val="19"/>
        </w:rPr>
        <w:t xml:space="preserve">Cfr. </w:t>
      </w:r>
      <w:r w:rsidRPr="00231293">
        <w:rPr>
          <w:rFonts w:ascii="Arial" w:hAnsi="Arial" w:cs="Arial"/>
          <w:sz w:val="19"/>
          <w:szCs w:val="19"/>
        </w:rPr>
        <w:t>GUASTINI, Riccardo</w:t>
      </w:r>
      <w:r>
        <w:rPr>
          <w:rFonts w:ascii="Arial" w:hAnsi="Arial" w:cs="Arial"/>
          <w:sz w:val="19"/>
          <w:szCs w:val="19"/>
        </w:rPr>
        <w:t>. Interpretar y argumentar. Madrid: Centro de Estudios Constitucionales, 2014. p. 134.</w:t>
      </w:r>
    </w:p>
  </w:footnote>
  <w:footnote w:id="13">
    <w:p w14:paraId="6F7A169A" w14:textId="77777777" w:rsidR="00B10EEB" w:rsidRPr="00FF5E27" w:rsidRDefault="00B10EEB" w:rsidP="00B10EEB">
      <w:pPr>
        <w:pStyle w:val="Textonotapie"/>
        <w:ind w:firstLine="708"/>
        <w:jc w:val="both"/>
        <w:rPr>
          <w:rFonts w:ascii="Arial" w:hAnsi="Arial" w:cs="Arial"/>
          <w:sz w:val="19"/>
          <w:szCs w:val="19"/>
          <w:lang w:val="es-ES"/>
        </w:rPr>
      </w:pPr>
      <w:r w:rsidRPr="00FF5E27">
        <w:rPr>
          <w:rStyle w:val="Refdenotaalpie"/>
          <w:rFonts w:ascii="Arial" w:hAnsi="Arial" w:cs="Arial"/>
          <w:sz w:val="19"/>
          <w:szCs w:val="19"/>
        </w:rPr>
        <w:footnoteRef/>
      </w:r>
      <w:r w:rsidRPr="00FF5E27">
        <w:rPr>
          <w:rFonts w:ascii="Arial" w:hAnsi="Arial" w:cs="Arial"/>
          <w:sz w:val="19"/>
          <w:szCs w:val="19"/>
        </w:rPr>
        <w:t xml:space="preserve"> </w:t>
      </w:r>
      <w:r>
        <w:rPr>
          <w:rFonts w:ascii="Arial" w:hAnsi="Arial" w:cs="Arial"/>
          <w:sz w:val="19"/>
          <w:szCs w:val="19"/>
        </w:rPr>
        <w:t>DÍEZ-PICAZO, Luis María. La derogación de las leyes. Madrid: Editorial Civita, 1990. p. 363.</w:t>
      </w:r>
    </w:p>
  </w:footnote>
  <w:footnote w:id="14">
    <w:p w14:paraId="39C1F680" w14:textId="77777777" w:rsidR="00B10EEB" w:rsidRDefault="00B10EEB" w:rsidP="00B10EEB">
      <w:pPr>
        <w:pStyle w:val="Textonotapie"/>
        <w:ind w:firstLine="708"/>
        <w:jc w:val="both"/>
        <w:rPr>
          <w:rFonts w:ascii="Arial" w:hAnsi="Arial" w:cs="Arial"/>
          <w:sz w:val="19"/>
          <w:szCs w:val="19"/>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p w14:paraId="611A5D59" w14:textId="77777777" w:rsidR="00B10EEB" w:rsidRPr="00F32C99" w:rsidRDefault="00B10EEB" w:rsidP="00B10EEB">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787970871">
    <w:abstractNumId w:val="9"/>
  </w:num>
  <w:num w:numId="2" w16cid:durableId="106049048">
    <w:abstractNumId w:val="7"/>
  </w:num>
  <w:num w:numId="3" w16cid:durableId="1050883391">
    <w:abstractNumId w:val="12"/>
  </w:num>
  <w:num w:numId="4" w16cid:durableId="708653432">
    <w:abstractNumId w:val="15"/>
  </w:num>
  <w:num w:numId="5" w16cid:durableId="726878313">
    <w:abstractNumId w:val="19"/>
  </w:num>
  <w:num w:numId="6" w16cid:durableId="4876681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9861147">
    <w:abstractNumId w:val="17"/>
  </w:num>
  <w:num w:numId="8" w16cid:durableId="707338887">
    <w:abstractNumId w:val="0"/>
  </w:num>
  <w:num w:numId="9" w16cid:durableId="502205344">
    <w:abstractNumId w:val="3"/>
  </w:num>
  <w:num w:numId="10" w16cid:durableId="2077700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30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1454916">
    <w:abstractNumId w:val="8"/>
  </w:num>
  <w:num w:numId="13" w16cid:durableId="22902562">
    <w:abstractNumId w:val="11"/>
  </w:num>
  <w:num w:numId="14" w16cid:durableId="273485705">
    <w:abstractNumId w:val="6"/>
  </w:num>
  <w:num w:numId="15" w16cid:durableId="105231434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683282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5860596">
    <w:abstractNumId w:val="21"/>
  </w:num>
  <w:num w:numId="18" w16cid:durableId="183711366">
    <w:abstractNumId w:val="13"/>
  </w:num>
  <w:num w:numId="19" w16cid:durableId="113644044">
    <w:abstractNumId w:val="2"/>
  </w:num>
  <w:num w:numId="20" w16cid:durableId="437022505">
    <w:abstractNumId w:val="22"/>
  </w:num>
  <w:num w:numId="21" w16cid:durableId="1311442831">
    <w:abstractNumId w:val="14"/>
  </w:num>
  <w:num w:numId="22" w16cid:durableId="1122184760">
    <w:abstractNumId w:val="5"/>
  </w:num>
  <w:num w:numId="23" w16cid:durableId="1761095842">
    <w:abstractNumId w:val="4"/>
  </w:num>
  <w:num w:numId="24" w16cid:durableId="1829664500">
    <w:abstractNumId w:val="20"/>
  </w:num>
  <w:num w:numId="25" w16cid:durableId="2046797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627F"/>
    <w:rsid w:val="00007750"/>
    <w:rsid w:val="000077FD"/>
    <w:rsid w:val="00007E37"/>
    <w:rsid w:val="00010C40"/>
    <w:rsid w:val="00010F9A"/>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532"/>
    <w:rsid w:val="00061010"/>
    <w:rsid w:val="00061D06"/>
    <w:rsid w:val="00062CDD"/>
    <w:rsid w:val="00062DB3"/>
    <w:rsid w:val="00063038"/>
    <w:rsid w:val="00063472"/>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3F"/>
    <w:rsid w:val="000B1057"/>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C90"/>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63E"/>
    <w:rsid w:val="00155BED"/>
    <w:rsid w:val="00155D08"/>
    <w:rsid w:val="0015623B"/>
    <w:rsid w:val="00156BE5"/>
    <w:rsid w:val="00157232"/>
    <w:rsid w:val="00157B5F"/>
    <w:rsid w:val="00160401"/>
    <w:rsid w:val="00160D4E"/>
    <w:rsid w:val="00161AD2"/>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BE2"/>
    <w:rsid w:val="00175E49"/>
    <w:rsid w:val="0017649F"/>
    <w:rsid w:val="0017655B"/>
    <w:rsid w:val="0018007F"/>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22D"/>
    <w:rsid w:val="001A4A9B"/>
    <w:rsid w:val="001A4B32"/>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746"/>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863"/>
    <w:rsid w:val="001F1A52"/>
    <w:rsid w:val="001F2356"/>
    <w:rsid w:val="001F2A68"/>
    <w:rsid w:val="001F2C47"/>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293"/>
    <w:rsid w:val="0023146B"/>
    <w:rsid w:val="002315A0"/>
    <w:rsid w:val="00231748"/>
    <w:rsid w:val="00231DCC"/>
    <w:rsid w:val="00231EC7"/>
    <w:rsid w:val="00232E15"/>
    <w:rsid w:val="00233079"/>
    <w:rsid w:val="0023382C"/>
    <w:rsid w:val="00233977"/>
    <w:rsid w:val="00233C58"/>
    <w:rsid w:val="00233C71"/>
    <w:rsid w:val="002345B6"/>
    <w:rsid w:val="00234792"/>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82E"/>
    <w:rsid w:val="002748F1"/>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599C"/>
    <w:rsid w:val="0028663B"/>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A1F"/>
    <w:rsid w:val="00311B47"/>
    <w:rsid w:val="00311D52"/>
    <w:rsid w:val="00312190"/>
    <w:rsid w:val="003125E0"/>
    <w:rsid w:val="0031271D"/>
    <w:rsid w:val="0031277A"/>
    <w:rsid w:val="003132BB"/>
    <w:rsid w:val="00313337"/>
    <w:rsid w:val="00313447"/>
    <w:rsid w:val="00313748"/>
    <w:rsid w:val="00313EA3"/>
    <w:rsid w:val="003151FE"/>
    <w:rsid w:val="00315365"/>
    <w:rsid w:val="00315457"/>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1BA"/>
    <w:rsid w:val="00335B15"/>
    <w:rsid w:val="00335B21"/>
    <w:rsid w:val="00335D3F"/>
    <w:rsid w:val="00336104"/>
    <w:rsid w:val="00336729"/>
    <w:rsid w:val="00336CD9"/>
    <w:rsid w:val="0033726D"/>
    <w:rsid w:val="00337296"/>
    <w:rsid w:val="00337CA8"/>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AC5"/>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50846"/>
    <w:rsid w:val="00451A52"/>
    <w:rsid w:val="00452663"/>
    <w:rsid w:val="0045271D"/>
    <w:rsid w:val="00452755"/>
    <w:rsid w:val="00452803"/>
    <w:rsid w:val="004529C6"/>
    <w:rsid w:val="00452EAD"/>
    <w:rsid w:val="004533D1"/>
    <w:rsid w:val="004534D1"/>
    <w:rsid w:val="00454548"/>
    <w:rsid w:val="00454589"/>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347"/>
    <w:rsid w:val="004636CC"/>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B4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152"/>
    <w:rsid w:val="004E3B71"/>
    <w:rsid w:val="004E4055"/>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D5A"/>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3DE"/>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0D7"/>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06DC"/>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1F4"/>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1F6"/>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107"/>
    <w:rsid w:val="006C551E"/>
    <w:rsid w:val="006C563F"/>
    <w:rsid w:val="006C572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17B"/>
    <w:rsid w:val="00730CD6"/>
    <w:rsid w:val="00730F74"/>
    <w:rsid w:val="0073114B"/>
    <w:rsid w:val="00732151"/>
    <w:rsid w:val="00732EBC"/>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22F"/>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6E6"/>
    <w:rsid w:val="007F4976"/>
    <w:rsid w:val="007F4B40"/>
    <w:rsid w:val="007F5A56"/>
    <w:rsid w:val="007F5D42"/>
    <w:rsid w:val="007F616E"/>
    <w:rsid w:val="007F6B46"/>
    <w:rsid w:val="007F72CB"/>
    <w:rsid w:val="007F736A"/>
    <w:rsid w:val="007F7635"/>
    <w:rsid w:val="007F785F"/>
    <w:rsid w:val="007F7961"/>
    <w:rsid w:val="007F7AF6"/>
    <w:rsid w:val="007F7E36"/>
    <w:rsid w:val="008000EC"/>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A7B"/>
    <w:rsid w:val="00813F04"/>
    <w:rsid w:val="0081513E"/>
    <w:rsid w:val="00815DA5"/>
    <w:rsid w:val="00816221"/>
    <w:rsid w:val="008174F3"/>
    <w:rsid w:val="00817661"/>
    <w:rsid w:val="0081766B"/>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61E"/>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CAE"/>
    <w:rsid w:val="008E5179"/>
    <w:rsid w:val="008E57FE"/>
    <w:rsid w:val="008E6598"/>
    <w:rsid w:val="008E710F"/>
    <w:rsid w:val="008E7214"/>
    <w:rsid w:val="008E7497"/>
    <w:rsid w:val="008E7884"/>
    <w:rsid w:val="008E7D6E"/>
    <w:rsid w:val="008F1056"/>
    <w:rsid w:val="008F13E1"/>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530"/>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0980"/>
    <w:rsid w:val="009512FA"/>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4560"/>
    <w:rsid w:val="00A25B0F"/>
    <w:rsid w:val="00A25BBB"/>
    <w:rsid w:val="00A27FB6"/>
    <w:rsid w:val="00A30121"/>
    <w:rsid w:val="00A30368"/>
    <w:rsid w:val="00A3043A"/>
    <w:rsid w:val="00A30E02"/>
    <w:rsid w:val="00A30F6A"/>
    <w:rsid w:val="00A31060"/>
    <w:rsid w:val="00A31C3E"/>
    <w:rsid w:val="00A31DE3"/>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079A5"/>
    <w:rsid w:val="00B10109"/>
    <w:rsid w:val="00B1085E"/>
    <w:rsid w:val="00B10EEB"/>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5E9C"/>
    <w:rsid w:val="00B4792C"/>
    <w:rsid w:val="00B50CAE"/>
    <w:rsid w:val="00B512AD"/>
    <w:rsid w:val="00B5196C"/>
    <w:rsid w:val="00B525CB"/>
    <w:rsid w:val="00B52697"/>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7FF"/>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276"/>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2FB"/>
    <w:rsid w:val="00CD4506"/>
    <w:rsid w:val="00CD4F50"/>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ABB"/>
    <w:rsid w:val="00CF1E1D"/>
    <w:rsid w:val="00CF24FE"/>
    <w:rsid w:val="00CF287F"/>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3D6"/>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5D68"/>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3165"/>
    <w:rsid w:val="00DB31EE"/>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55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DA0"/>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603"/>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20F4"/>
    <w:rsid w:val="00E82263"/>
    <w:rsid w:val="00E823F9"/>
    <w:rsid w:val="00E82C1F"/>
    <w:rsid w:val="00E83671"/>
    <w:rsid w:val="00E83679"/>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B46"/>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387F"/>
    <w:rsid w:val="00F44120"/>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C11"/>
    <w:rsid w:val="00F77021"/>
    <w:rsid w:val="00F770AB"/>
    <w:rsid w:val="00F77DD4"/>
    <w:rsid w:val="00F77E61"/>
    <w:rsid w:val="00F80221"/>
    <w:rsid w:val="00F8041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13D4"/>
    <w:rsid w:val="00FF2053"/>
    <w:rsid w:val="00FF3B37"/>
    <w:rsid w:val="00FF3CC7"/>
    <w:rsid w:val="00FF3D6F"/>
    <w:rsid w:val="00FF441A"/>
    <w:rsid w:val="00FF4BD8"/>
    <w:rsid w:val="00FF4D11"/>
    <w:rsid w:val="00FF5214"/>
    <w:rsid w:val="00FF596E"/>
    <w:rsid w:val="00FF5B59"/>
    <w:rsid w:val="00FF5BFD"/>
    <w:rsid w:val="00FF5E27"/>
    <w:rsid w:val="00FF6095"/>
    <w:rsid w:val="00FF62FE"/>
    <w:rsid w:val="00FF6553"/>
    <w:rsid w:val="00FF70BD"/>
    <w:rsid w:val="00FF7124"/>
    <w:rsid w:val="00FF7A39"/>
    <w:rsid w:val="00FF7DD1"/>
    <w:rsid w:val="5389BE6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7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155837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7310">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6719692">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5790299">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2563E-93F1-4961-B2E9-1CF7BE5A2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14</Pages>
  <Words>4990</Words>
  <Characters>27451</Characters>
  <Application>Microsoft Office Word</Application>
  <DocSecurity>0</DocSecurity>
  <Lines>228</Lines>
  <Paragraphs>64</Paragraphs>
  <ScaleCrop>false</ScaleCrop>
  <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2022-04-07T15:59:00Z</dcterms:created>
  <dcterms:modified xsi:type="dcterms:W3CDTF">2022-04-07T15:59:00Z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