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4BD" w14:textId="77777777" w:rsidR="00E05AA3" w:rsidRPr="004E4581" w:rsidRDefault="00E05AA3" w:rsidP="00CC1897">
      <w:pPr>
        <w:jc w:val="right"/>
        <w:rPr>
          <w:rFonts w:ascii="Arial" w:hAnsi="Arial" w:cs="Arial"/>
          <w:bCs/>
          <w:color w:val="000000" w:themeColor="text1"/>
          <w:sz w:val="20"/>
          <w:szCs w:val="20"/>
          <w:lang w:val="es-ES_tradnl" w:eastAsia="es-ES"/>
        </w:rPr>
      </w:pPr>
      <w:bookmarkStart w:id="0" w:name="_Hlk28946138"/>
      <w:bookmarkStart w:id="1" w:name="_Hlk29548183"/>
    </w:p>
    <w:p w14:paraId="346AE9F5" w14:textId="4873E163" w:rsidR="0030575F" w:rsidRPr="00AF775B" w:rsidRDefault="00B55C69" w:rsidP="0030575F">
      <w:pPr>
        <w:jc w:val="right"/>
        <w:rPr>
          <w:rFonts w:ascii="Arial" w:eastAsia="Calibri" w:hAnsi="Arial" w:cs="Arial"/>
          <w:b/>
          <w:color w:val="000000" w:themeColor="text1"/>
          <w:sz w:val="16"/>
          <w:szCs w:val="16"/>
          <w:lang w:val="es-ES_tradnl"/>
        </w:rPr>
      </w:pPr>
      <w:r w:rsidRPr="00AF775B">
        <w:rPr>
          <w:rFonts w:ascii="Arial" w:hAnsi="Arial" w:cs="Arial"/>
          <w:bCs/>
          <w:color w:val="000000" w:themeColor="text1"/>
          <w:sz w:val="16"/>
          <w:szCs w:val="16"/>
          <w:lang w:val="es-ES_tradnl" w:eastAsia="es-ES"/>
        </w:rPr>
        <w:t>CCE-DES-FM-17</w:t>
      </w:r>
      <w:bookmarkEnd w:id="0"/>
      <w:bookmarkEnd w:id="1"/>
    </w:p>
    <w:p w14:paraId="5B5FA1A8" w14:textId="77777777" w:rsidR="005B24E7" w:rsidRDefault="005B24E7" w:rsidP="00C128B2">
      <w:pPr>
        <w:spacing w:after="120"/>
        <w:contextualSpacing/>
        <w:jc w:val="both"/>
        <w:rPr>
          <w:rFonts w:ascii="Arial" w:eastAsia="Calibri" w:hAnsi="Arial" w:cs="Arial"/>
          <w:b/>
          <w:bCs/>
          <w:color w:val="000000" w:themeColor="text1"/>
          <w:sz w:val="22"/>
          <w:szCs w:val="22"/>
          <w:lang w:val="es-MX" w:eastAsia="en-US"/>
        </w:rPr>
      </w:pPr>
      <w:bookmarkStart w:id="2" w:name="_Hlk79765235"/>
    </w:p>
    <w:p w14:paraId="2E56D937" w14:textId="453D4A7E" w:rsidR="0030575F" w:rsidRPr="004E4581" w:rsidRDefault="0030575F" w:rsidP="00C128B2">
      <w:pPr>
        <w:spacing w:after="120"/>
        <w:contextualSpacing/>
        <w:jc w:val="both"/>
        <w:rPr>
          <w:rFonts w:ascii="Arial" w:eastAsia="Calibri" w:hAnsi="Arial" w:cs="Arial"/>
          <w:b/>
          <w:bCs/>
          <w:color w:val="000000" w:themeColor="text1"/>
          <w:sz w:val="22"/>
          <w:szCs w:val="22"/>
          <w:lang w:val="es-MX" w:eastAsia="en-US"/>
        </w:rPr>
      </w:pPr>
      <w:r w:rsidRPr="004E4581">
        <w:rPr>
          <w:rFonts w:ascii="Arial" w:eastAsia="Calibri" w:hAnsi="Arial" w:cs="Arial"/>
          <w:b/>
          <w:bCs/>
          <w:color w:val="000000" w:themeColor="text1"/>
          <w:sz w:val="22"/>
          <w:szCs w:val="22"/>
          <w:lang w:val="es-MX" w:eastAsia="en-US"/>
        </w:rPr>
        <w:t>LEY DE GARANTÍAS ELECTORALES – Finalidad</w:t>
      </w:r>
    </w:p>
    <w:p w14:paraId="54D7EA45" w14:textId="77777777" w:rsidR="0030575F" w:rsidRPr="00861F5C" w:rsidRDefault="0030575F" w:rsidP="00C128B2">
      <w:pPr>
        <w:spacing w:after="120"/>
        <w:contextualSpacing/>
        <w:jc w:val="both"/>
        <w:rPr>
          <w:rFonts w:ascii="Arial" w:eastAsia="Calibri" w:hAnsi="Arial" w:cs="Arial"/>
          <w:color w:val="000000" w:themeColor="text1"/>
          <w:sz w:val="20"/>
          <w:szCs w:val="20"/>
          <w:lang w:val="es-MX" w:eastAsia="en-US"/>
        </w:rPr>
      </w:pPr>
    </w:p>
    <w:p w14:paraId="7A434A5B" w14:textId="2557170C" w:rsidR="0030575F" w:rsidRPr="00861F5C" w:rsidRDefault="00861F5C" w:rsidP="00C128B2">
      <w:pPr>
        <w:tabs>
          <w:tab w:val="left" w:pos="426"/>
        </w:tabs>
        <w:spacing w:after="120"/>
        <w:jc w:val="both"/>
        <w:rPr>
          <w:rFonts w:ascii="Arial" w:eastAsia="Calibri" w:hAnsi="Arial" w:cs="Arial"/>
          <w:bCs/>
          <w:color w:val="000000" w:themeColor="text1"/>
          <w:sz w:val="20"/>
          <w:szCs w:val="20"/>
        </w:rPr>
      </w:pPr>
      <w:r w:rsidRPr="00861F5C">
        <w:rPr>
          <w:rFonts w:ascii="Arial" w:hAnsi="Arial" w:cs="Arial"/>
          <w:bCs/>
          <w:color w:val="000000" w:themeColor="text1"/>
          <w:sz w:val="20"/>
          <w:szCs w:val="20"/>
          <w:lang w:eastAsia="es-CO"/>
        </w:rPr>
        <w:t xml:space="preserve">[…] la Ley 996 de 2005 </w:t>
      </w:r>
      <w:r w:rsidRPr="00861F5C">
        <w:rPr>
          <w:rFonts w:ascii="Arial" w:eastAsia="Calibri" w:hAnsi="Arial" w:cs="Arial"/>
          <w:b/>
          <w:bCs/>
          <w:color w:val="000000" w:themeColor="text1"/>
          <w:sz w:val="20"/>
          <w:szCs w:val="20"/>
          <w:lang w:eastAsia="en-US"/>
        </w:rPr>
        <w:t>«</w:t>
      </w:r>
      <w:r w:rsidRPr="00861F5C">
        <w:rPr>
          <w:rStyle w:val="Textoennegrita"/>
          <w:rFonts w:ascii="Arial" w:hAnsi="Arial" w:cs="Arial"/>
          <w:b w:val="0"/>
          <w:color w:val="000000" w:themeColor="text1"/>
          <w:sz w:val="20"/>
          <w:szCs w:val="20"/>
          <w:shd w:val="clear" w:color="auto" w:fill="FFFFFF"/>
        </w:rPr>
        <w:t xml:space="preserve">Por medio de la cual se reglamenta la elección de </w:t>
      </w:r>
      <w:proofErr w:type="gramStart"/>
      <w:r w:rsidRPr="00861F5C">
        <w:rPr>
          <w:rStyle w:val="Textoennegrita"/>
          <w:rFonts w:ascii="Arial" w:hAnsi="Arial" w:cs="Arial"/>
          <w:b w:val="0"/>
          <w:color w:val="000000" w:themeColor="text1"/>
          <w:sz w:val="20"/>
          <w:szCs w:val="20"/>
          <w:shd w:val="clear" w:color="auto" w:fill="FFFFFF"/>
        </w:rPr>
        <w:t>Presidente</w:t>
      </w:r>
      <w:proofErr w:type="gramEnd"/>
      <w:r w:rsidRPr="00861F5C">
        <w:rPr>
          <w:rStyle w:val="Textoennegrita"/>
          <w:rFonts w:ascii="Arial" w:hAnsi="Arial" w:cs="Arial"/>
          <w:b w:val="0"/>
          <w:color w:val="000000" w:themeColor="text1"/>
          <w:sz w:val="20"/>
          <w:szCs w:val="20"/>
          <w:shd w:val="clear" w:color="auto" w:fill="FFFFFF"/>
        </w:rPr>
        <w:t xml:space="preserve"> de la República, de conformidad con el artículo 152 literal f) de la Constitución Política de Colombia, y de acuerdo con lo establecido en el Acto Legislativo 02 de 2004, y se dictan otras disposiciones</w:t>
      </w:r>
      <w:r w:rsidRPr="00861F5C">
        <w:rPr>
          <w:rFonts w:ascii="Arial" w:eastAsia="Calibri" w:hAnsi="Arial" w:cs="Arial"/>
          <w:bCs/>
          <w:color w:val="000000" w:themeColor="text1"/>
          <w:sz w:val="20"/>
          <w:szCs w:val="20"/>
          <w:lang w:eastAsia="en-US"/>
        </w:rPr>
        <w:t>»,</w:t>
      </w:r>
      <w:r w:rsidRPr="00861F5C">
        <w:rPr>
          <w:rStyle w:val="Textoennegrita"/>
          <w:rFonts w:ascii="Arial" w:hAnsi="Arial" w:cs="Arial"/>
          <w:color w:val="000000" w:themeColor="text1"/>
          <w:sz w:val="20"/>
          <w:szCs w:val="20"/>
          <w:shd w:val="clear" w:color="auto" w:fill="FFFFFF"/>
        </w:rPr>
        <w:t xml:space="preserve"> </w:t>
      </w:r>
      <w:r w:rsidRPr="00861F5C">
        <w:rPr>
          <w:rFonts w:ascii="Arial" w:hAnsi="Arial" w:cs="Arial"/>
          <w:bCs/>
          <w:color w:val="000000" w:themeColor="text1"/>
          <w:sz w:val="20"/>
          <w:szCs w:val="20"/>
          <w:lang w:eastAsia="es-CO"/>
        </w:rPr>
        <w:t>se suma al andamiaje de orden constitucional y legal que se ocupa de evitar la injerencia de intereses particulares en el ejercicio de la función pública. Respecto a su finalidad, conforme a la Gaceta del Congreso de la República No. 71 del 2005, tiene como propósito evitar cualquier tipo de arbitrariedad, de ventaja injustificada, de uso irregular de los recursos del Estado en las campañas o falta de garantías en la elección presidencial, introduciendo limitaciones para realizar nombramientos, postulaciones, contrataciones o cualquier otro tipo de actividad que implique destinación de recursos públicos. Siguiendo esta línea, la Ley de Garantías Electorales establece el marco jurídico para el desarrollo de las elecciones, procurando condiciones de igualdad y transparencia para los aspirantes, al tiempo que se incluyen restricciones en el actuar de los servidores públicos, evitando interferencias en la contienda electoral, así como la posible desviación de recursos públicos en aspiraciones electorales. Incluso, varias de las disposiciones de la Ley 996 de 2005, al contener normas prohibitivas, no admiten una interpretación amplia, sino que deben interpretarse restrictivamente.</w:t>
      </w:r>
    </w:p>
    <w:p w14:paraId="0288777A" w14:textId="77777777" w:rsidR="0030575F" w:rsidRPr="004E4581" w:rsidRDefault="0030575F" w:rsidP="00C128B2">
      <w:pPr>
        <w:tabs>
          <w:tab w:val="left" w:pos="426"/>
        </w:tabs>
        <w:jc w:val="both"/>
        <w:rPr>
          <w:rFonts w:ascii="Arial" w:eastAsia="Calibri" w:hAnsi="Arial" w:cs="Arial"/>
          <w:bCs/>
          <w:color w:val="000000" w:themeColor="text1"/>
          <w:sz w:val="20"/>
          <w:szCs w:val="20"/>
          <w:lang w:val="es-MX" w:eastAsia="en-US"/>
        </w:rPr>
      </w:pPr>
    </w:p>
    <w:p w14:paraId="485C44E2" w14:textId="77777777" w:rsidR="0030575F" w:rsidRPr="004E4581" w:rsidRDefault="0030575F" w:rsidP="00C128B2">
      <w:pPr>
        <w:tabs>
          <w:tab w:val="left" w:pos="426"/>
        </w:tabs>
        <w:jc w:val="both"/>
        <w:rPr>
          <w:rFonts w:ascii="Arial" w:eastAsia="Calibri" w:hAnsi="Arial" w:cs="Arial"/>
          <w:b/>
          <w:bCs/>
          <w:color w:val="000000" w:themeColor="text1"/>
          <w:sz w:val="22"/>
          <w:szCs w:val="22"/>
          <w:lang w:val="es-MX" w:eastAsia="en-US"/>
        </w:rPr>
      </w:pPr>
      <w:bookmarkStart w:id="3" w:name="_Hlk77152637"/>
      <w:bookmarkStart w:id="4" w:name="_Hlk77157066"/>
      <w:r w:rsidRPr="004E4581">
        <w:rPr>
          <w:rFonts w:ascii="Arial" w:eastAsia="Calibri" w:hAnsi="Arial" w:cs="Arial"/>
          <w:b/>
          <w:bCs/>
          <w:color w:val="000000" w:themeColor="text1"/>
          <w:sz w:val="22"/>
          <w:szCs w:val="22"/>
          <w:lang w:val="es-MX" w:eastAsia="en-US"/>
        </w:rPr>
        <w:t>LEY DE GARANTÍAS ELECTORALES ‒</w:t>
      </w:r>
      <w:bookmarkEnd w:id="3"/>
      <w:r w:rsidRPr="004E4581">
        <w:rPr>
          <w:rFonts w:ascii="Arial" w:eastAsia="Calibri" w:hAnsi="Arial" w:cs="Arial"/>
          <w:b/>
          <w:bCs/>
          <w:color w:val="000000" w:themeColor="text1"/>
          <w:sz w:val="22"/>
          <w:szCs w:val="22"/>
          <w:lang w:val="es-MX" w:eastAsia="en-US"/>
        </w:rPr>
        <w:t xml:space="preserve"> Restricciones </w:t>
      </w:r>
      <w:bookmarkStart w:id="5" w:name="_Hlk77157034"/>
      <w:r w:rsidRPr="004E4581">
        <w:rPr>
          <w:rFonts w:ascii="Arial" w:eastAsia="Calibri" w:hAnsi="Arial" w:cs="Arial"/>
          <w:b/>
          <w:bCs/>
          <w:color w:val="000000" w:themeColor="text1"/>
          <w:sz w:val="22"/>
          <w:szCs w:val="22"/>
          <w:lang w:val="es-MX" w:eastAsia="en-US"/>
        </w:rPr>
        <w:t xml:space="preserve">‒ </w:t>
      </w:r>
      <w:bookmarkEnd w:id="5"/>
      <w:r w:rsidRPr="004E4581">
        <w:rPr>
          <w:rFonts w:ascii="Arial" w:eastAsia="Calibri" w:hAnsi="Arial" w:cs="Arial"/>
          <w:b/>
          <w:bCs/>
          <w:color w:val="000000" w:themeColor="text1"/>
          <w:sz w:val="22"/>
          <w:szCs w:val="22"/>
          <w:lang w:val="es-MX" w:eastAsia="en-US"/>
        </w:rPr>
        <w:t>Contratación</w:t>
      </w:r>
      <w:bookmarkStart w:id="6" w:name="_Hlk77153098"/>
      <w:r w:rsidRPr="004E4581">
        <w:rPr>
          <w:rFonts w:ascii="Arial" w:eastAsia="Calibri" w:hAnsi="Arial" w:cs="Arial"/>
          <w:b/>
          <w:bCs/>
          <w:color w:val="000000" w:themeColor="text1"/>
          <w:sz w:val="22"/>
          <w:szCs w:val="22"/>
          <w:lang w:val="es-MX" w:eastAsia="en-US"/>
        </w:rPr>
        <w:t xml:space="preserve"> ‒ Tipos de elección</w:t>
      </w:r>
      <w:bookmarkEnd w:id="6"/>
      <w:r w:rsidRPr="004E4581">
        <w:rPr>
          <w:rFonts w:ascii="Arial" w:eastAsia="Calibri" w:hAnsi="Arial" w:cs="Arial"/>
          <w:b/>
          <w:bCs/>
          <w:color w:val="000000" w:themeColor="text1"/>
          <w:sz w:val="22"/>
          <w:szCs w:val="22"/>
          <w:lang w:val="es-MX" w:eastAsia="en-US"/>
        </w:rPr>
        <w:t xml:space="preserve"> </w:t>
      </w:r>
    </w:p>
    <w:p w14:paraId="16CB6979" w14:textId="77777777" w:rsidR="0030575F" w:rsidRPr="00861F5C" w:rsidRDefault="0030575F" w:rsidP="00C128B2">
      <w:pPr>
        <w:tabs>
          <w:tab w:val="left" w:pos="426"/>
        </w:tabs>
        <w:jc w:val="both"/>
        <w:rPr>
          <w:rFonts w:ascii="Arial" w:eastAsia="Calibri" w:hAnsi="Arial" w:cs="Arial"/>
          <w:b/>
          <w:bCs/>
          <w:color w:val="000000" w:themeColor="text1"/>
          <w:sz w:val="20"/>
          <w:szCs w:val="20"/>
          <w:lang w:val="es-MX" w:eastAsia="en-US"/>
        </w:rPr>
      </w:pPr>
    </w:p>
    <w:p w14:paraId="149A097F" w14:textId="3FB14250" w:rsidR="0030575F" w:rsidRPr="00861F5C" w:rsidRDefault="00861F5C" w:rsidP="00C128B2">
      <w:pPr>
        <w:spacing w:after="120"/>
        <w:jc w:val="both"/>
        <w:rPr>
          <w:rFonts w:ascii="Arial" w:eastAsia="Arial" w:hAnsi="Arial" w:cs="Arial"/>
          <w:color w:val="000000" w:themeColor="text1"/>
          <w:sz w:val="20"/>
          <w:szCs w:val="20"/>
          <w:lang w:val="es-ES" w:eastAsia="es-ES" w:bidi="es-ES"/>
        </w:rPr>
      </w:pPr>
      <w:r w:rsidRPr="00861F5C">
        <w:rPr>
          <w:rFonts w:ascii="Arial" w:hAnsi="Arial" w:cs="Arial"/>
          <w:bCs/>
          <w:color w:val="000000" w:themeColor="text1"/>
          <w:sz w:val="20"/>
          <w:szCs w:val="20"/>
          <w:lang w:val="es-MX" w:eastAsia="es-CO"/>
        </w:rPr>
        <w:t xml:space="preserve">La </w:t>
      </w:r>
      <w:r w:rsidRPr="00861F5C">
        <w:rPr>
          <w:rFonts w:ascii="Arial" w:eastAsia="Arial" w:hAnsi="Arial" w:cs="Arial"/>
          <w:color w:val="000000" w:themeColor="text1"/>
          <w:sz w:val="20"/>
          <w:szCs w:val="20"/>
          <w:lang w:val="es-ES" w:eastAsia="es-ES" w:bidi="es-ES"/>
        </w:rPr>
        <w:t>Ley de Garantías Electorales, para el cumplimiento de los objetivos que dieron lugar a su expedición, fijó una serie de regulaciones y prohibiciones dirigidas a los servidores públicos. No obstante, debe aclararse que estas disposiciones se dirigen a dos tipos de campañas electorales claramente diferenciadas: las presidenciales y las demás que se adelanten para la elección de otros cargos de elección popular, tanto a nivel nacional como a nivel territorial.</w:t>
      </w:r>
      <w:r w:rsidRPr="00861F5C">
        <w:rPr>
          <w:rFonts w:ascii="Arial" w:eastAsia="Calibri" w:hAnsi="Arial" w:cs="Arial"/>
          <w:color w:val="000000" w:themeColor="text1"/>
          <w:sz w:val="20"/>
          <w:szCs w:val="20"/>
          <w:lang w:eastAsia="en-US"/>
        </w:rPr>
        <w:t xml:space="preserve">Por una parte, el artículo 33 de la Ley 996 de 2005 establece una prohibición que impide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la contratación directa por parte de todos los entes del Estado</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 xml:space="preserve"> durante los cuatro (4) meses anteriores a las elecciones presidenciales, salvo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eastAsia="en-US"/>
        </w:rPr>
        <w:t>.</w:t>
      </w:r>
      <w:r w:rsidR="00E17122">
        <w:rPr>
          <w:rFonts w:ascii="Arial" w:eastAsia="Calibri" w:hAnsi="Arial" w:cs="Arial"/>
          <w:color w:val="000000" w:themeColor="text1"/>
          <w:sz w:val="20"/>
          <w:szCs w:val="20"/>
          <w:lang w:eastAsia="en-US"/>
        </w:rPr>
        <w:t xml:space="preserve"> </w:t>
      </w:r>
      <w:r w:rsidRPr="00861F5C">
        <w:rPr>
          <w:rFonts w:ascii="Arial" w:eastAsia="Calibri" w:hAnsi="Arial" w:cs="Arial"/>
          <w:color w:val="000000" w:themeColor="text1"/>
          <w:sz w:val="20"/>
          <w:szCs w:val="20"/>
          <w:lang w:eastAsia="en-US"/>
        </w:rPr>
        <w:t xml:space="preserve">Por otra parte, el parágrafo del artículo 38 de la Ley 996 de 2005 prevé una restricción, aplicable respecto de cualquier tipo de elección popular, que prohíbe a los gobernadores, alcaldes municipales o distritales, secretarios, gerentes y directores de entidades descentralizadas del orden municipal, departamental o distrital </w:t>
      </w:r>
      <w:r w:rsidRPr="00861F5C">
        <w:rPr>
          <w:rFonts w:ascii="Arial" w:eastAsia="Calibri" w:hAnsi="Arial" w:cs="Arial"/>
          <w:bCs/>
          <w:color w:val="000000" w:themeColor="text1"/>
          <w:sz w:val="20"/>
          <w:szCs w:val="20"/>
          <w:lang w:eastAsia="en-US"/>
        </w:rPr>
        <w:t xml:space="preserve">«[…] </w:t>
      </w:r>
      <w:r w:rsidRPr="00861F5C">
        <w:rPr>
          <w:rFonts w:ascii="Arial" w:eastAsia="Calibri" w:hAnsi="Arial" w:cs="Arial"/>
          <w:color w:val="000000" w:themeColor="text1"/>
          <w:sz w:val="20"/>
          <w:szCs w:val="20"/>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61F5C">
        <w:rPr>
          <w:rFonts w:ascii="Arial" w:eastAsia="Calibri" w:hAnsi="Arial" w:cs="Arial"/>
          <w:bCs/>
          <w:color w:val="000000" w:themeColor="text1"/>
          <w:sz w:val="20"/>
          <w:szCs w:val="20"/>
          <w:lang w:eastAsia="en-US"/>
        </w:rPr>
        <w:t>»</w:t>
      </w:r>
      <w:r w:rsidRPr="00861F5C">
        <w:rPr>
          <w:rFonts w:ascii="Arial" w:eastAsia="Calibri" w:hAnsi="Arial" w:cs="Arial"/>
          <w:color w:val="000000" w:themeColor="text1"/>
          <w:sz w:val="20"/>
          <w:szCs w:val="20"/>
          <w:lang w:val="es-MX" w:eastAsia="en-US"/>
        </w:rPr>
        <w:t>.</w:t>
      </w:r>
      <w:r w:rsidR="0030575F" w:rsidRPr="00861F5C">
        <w:rPr>
          <w:rFonts w:ascii="Arial" w:eastAsia="Calibri" w:hAnsi="Arial" w:cs="Arial"/>
          <w:noProof/>
          <w:color w:val="000000" w:themeColor="text1"/>
          <w:sz w:val="20"/>
          <w:szCs w:val="20"/>
          <w:lang w:val="es-ES_tradnl" w:eastAsia="en-US"/>
        </w:rPr>
        <w:t>.</w:t>
      </w:r>
    </w:p>
    <w:bookmarkEnd w:id="4"/>
    <w:p w14:paraId="213A2A29" w14:textId="45C5865E" w:rsidR="00AB5DF8" w:rsidRDefault="00AB5DF8" w:rsidP="00C128B2">
      <w:pPr>
        <w:spacing w:after="120"/>
        <w:jc w:val="both"/>
        <w:rPr>
          <w:rFonts w:ascii="Arial" w:eastAsia="Arial" w:hAnsi="Arial" w:cs="Arial"/>
          <w:color w:val="000000" w:themeColor="text1"/>
          <w:sz w:val="20"/>
          <w:szCs w:val="20"/>
          <w:lang w:val="es-ES" w:eastAsia="es-ES" w:bidi="es-ES"/>
        </w:rPr>
      </w:pPr>
    </w:p>
    <w:p w14:paraId="137EF084" w14:textId="77777777" w:rsidR="00AB5DF8" w:rsidRPr="00AB5DF8" w:rsidRDefault="00AB5DF8" w:rsidP="00AB5DF8">
      <w:pPr>
        <w:tabs>
          <w:tab w:val="left" w:pos="426"/>
        </w:tabs>
        <w:jc w:val="both"/>
        <w:rPr>
          <w:rFonts w:ascii="Arial" w:eastAsia="Calibri" w:hAnsi="Arial" w:cs="Arial"/>
          <w:b/>
          <w:bCs/>
          <w:sz w:val="22"/>
          <w:szCs w:val="22"/>
          <w:lang w:val="es-MX" w:eastAsia="en-US"/>
        </w:rPr>
      </w:pPr>
      <w:bookmarkStart w:id="7" w:name="_Hlk77165666"/>
      <w:r w:rsidRPr="00AB5DF8">
        <w:rPr>
          <w:rFonts w:ascii="Arial" w:eastAsia="Calibri" w:hAnsi="Arial" w:cs="Arial"/>
          <w:b/>
          <w:bCs/>
          <w:sz w:val="22"/>
          <w:szCs w:val="22"/>
          <w:lang w:val="es-MX" w:eastAsia="en-US"/>
        </w:rPr>
        <w:t xml:space="preserve">LEY DE GARANTÍAS ELECTORALES ─ Prohibición artículo 33 ‒ </w:t>
      </w:r>
      <w:bookmarkEnd w:id="7"/>
      <w:r w:rsidRPr="00AB5DF8">
        <w:rPr>
          <w:rFonts w:ascii="Arial" w:eastAsia="Calibri" w:hAnsi="Arial" w:cs="Arial"/>
          <w:b/>
          <w:bCs/>
          <w:sz w:val="22"/>
          <w:szCs w:val="22"/>
          <w:lang w:val="es-MX" w:eastAsia="en-US"/>
        </w:rPr>
        <w:t xml:space="preserve">Contratación directa ‒ Alcance </w:t>
      </w:r>
    </w:p>
    <w:p w14:paraId="07DDB2B3" w14:textId="77777777" w:rsidR="00AB5DF8" w:rsidRPr="00AB5DF8" w:rsidRDefault="00AB5DF8" w:rsidP="00AB5DF8">
      <w:pPr>
        <w:tabs>
          <w:tab w:val="left" w:pos="426"/>
        </w:tabs>
        <w:jc w:val="both"/>
        <w:rPr>
          <w:rFonts w:ascii="Arial" w:eastAsia="Calibri" w:hAnsi="Arial" w:cs="Arial"/>
          <w:noProof/>
          <w:sz w:val="20"/>
          <w:szCs w:val="20"/>
          <w:lang w:val="es-MX" w:eastAsia="en-US"/>
        </w:rPr>
      </w:pPr>
    </w:p>
    <w:p w14:paraId="5F1D4016" w14:textId="77777777" w:rsidR="00AB5DF8" w:rsidRPr="00AB5DF8" w:rsidRDefault="00AB5DF8" w:rsidP="00AB5DF8">
      <w:pPr>
        <w:jc w:val="both"/>
        <w:rPr>
          <w:rFonts w:ascii="Arial" w:hAnsi="Arial" w:cs="Arial"/>
          <w:bCs/>
          <w:sz w:val="20"/>
          <w:szCs w:val="20"/>
          <w:lang w:val="es-MX" w:eastAsia="x-none"/>
        </w:rPr>
      </w:pPr>
      <w:r w:rsidRPr="00AB5DF8">
        <w:rPr>
          <w:rFonts w:ascii="Arial" w:eastAsia="Calibri" w:hAnsi="Arial" w:cs="Arial"/>
          <w:noProof/>
          <w:sz w:val="20"/>
          <w:szCs w:val="20"/>
          <w:lang w:val="es-MX" w:eastAsia="en-US"/>
        </w:rPr>
        <w:lastRenderedPageBreak/>
        <w:t xml:space="preserve">[…] </w:t>
      </w:r>
      <w:r w:rsidRPr="00AB5DF8">
        <w:rPr>
          <w:rFonts w:ascii="Arial" w:hAnsi="Arial" w:cs="Arial"/>
          <w:bCs/>
          <w:sz w:val="20"/>
          <w:szCs w:val="20"/>
          <w:lang w:val="es-MX" w:eastAsia="x-none"/>
        </w:rPr>
        <w:t>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AB5DF8">
        <w:rPr>
          <w:rFonts w:ascii="Arial" w:hAnsi="Arial" w:cs="Arial"/>
          <w:sz w:val="20"/>
          <w:szCs w:val="20"/>
          <w:vertAlign w:val="superscript"/>
          <w:lang w:eastAsia="x-none"/>
        </w:rPr>
        <w:t xml:space="preserve">. </w:t>
      </w:r>
      <w:r w:rsidRPr="00AB5DF8">
        <w:rPr>
          <w:rFonts w:ascii="Arial" w:hAnsi="Arial" w:cs="Arial"/>
          <w:bCs/>
          <w:sz w:val="20"/>
          <w:szCs w:val="20"/>
          <w:lang w:val="es-MX" w:eastAsia="x-none"/>
        </w:rPr>
        <w:t>De lo anterior se desprende que la restricción aplica, sin perjuicio de las excepciones establecidas en la misma ley, para celebrar cualquier contrato de forma directa, esto es, sin que exista un proceso abierto y competitivo.</w:t>
      </w:r>
      <w:r w:rsidRPr="00AB5DF8">
        <w:rPr>
          <w:rFonts w:ascii="Arial" w:hAnsi="Arial" w:cs="Arial"/>
          <w:sz w:val="20"/>
          <w:szCs w:val="20"/>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00307BA4" w14:textId="77777777" w:rsidR="00AB5DF8" w:rsidRPr="00AB5DF8" w:rsidRDefault="00AB5DF8" w:rsidP="00AB5DF8">
      <w:pPr>
        <w:jc w:val="both"/>
        <w:rPr>
          <w:rFonts w:ascii="Arial" w:hAnsi="Arial" w:cs="Arial"/>
          <w:b/>
          <w:bCs/>
          <w:sz w:val="20"/>
          <w:szCs w:val="20"/>
          <w:lang w:val="es-MX" w:eastAsia="es-ES"/>
        </w:rPr>
      </w:pPr>
    </w:p>
    <w:p w14:paraId="5F03E86A" w14:textId="77777777" w:rsidR="00AB5DF8" w:rsidRPr="00D353F8" w:rsidRDefault="00AB5DF8" w:rsidP="00AB5DF8">
      <w:pPr>
        <w:shd w:val="clear" w:color="auto" w:fill="FFFFFF"/>
        <w:jc w:val="both"/>
        <w:rPr>
          <w:rFonts w:ascii="Arial" w:hAnsi="Arial" w:cs="Arial"/>
          <w:b/>
          <w:bCs/>
          <w:sz w:val="22"/>
          <w:szCs w:val="22"/>
          <w:lang w:eastAsia="es-CO"/>
        </w:rPr>
      </w:pPr>
      <w:r w:rsidRPr="00D353F8">
        <w:rPr>
          <w:rFonts w:ascii="Arial" w:hAnsi="Arial" w:cs="Arial"/>
          <w:b/>
          <w:bCs/>
          <w:sz w:val="22"/>
          <w:szCs w:val="22"/>
          <w:lang w:eastAsia="es-CO"/>
        </w:rPr>
        <w:t xml:space="preserve">LEY DE GARANTÍAS ELECTORALES </w:t>
      </w:r>
      <w:bookmarkStart w:id="8" w:name="_Hlk77022358"/>
      <w:r w:rsidRPr="00D353F8">
        <w:rPr>
          <w:rFonts w:ascii="Arial" w:hAnsi="Arial" w:cs="Arial"/>
          <w:b/>
          <w:bCs/>
          <w:sz w:val="22"/>
          <w:szCs w:val="22"/>
          <w:lang w:eastAsia="es-CO"/>
        </w:rPr>
        <w:t>‒</w:t>
      </w:r>
      <w:bookmarkEnd w:id="8"/>
      <w:r w:rsidRPr="00D353F8">
        <w:rPr>
          <w:rFonts w:ascii="Arial" w:hAnsi="Arial" w:cs="Arial"/>
          <w:b/>
          <w:bCs/>
          <w:sz w:val="22"/>
          <w:szCs w:val="22"/>
          <w:lang w:eastAsia="es-CO"/>
        </w:rPr>
        <w:t xml:space="preserve"> Excepciones</w:t>
      </w:r>
      <w:r w:rsidRPr="00D353F8">
        <w:rPr>
          <w:rFonts w:ascii="Arial" w:hAnsi="Arial" w:cs="Arial"/>
          <w:b/>
          <w:sz w:val="22"/>
          <w:szCs w:val="22"/>
          <w:lang w:eastAsia="es-CO"/>
        </w:rPr>
        <w:t xml:space="preserve"> </w:t>
      </w:r>
    </w:p>
    <w:p w14:paraId="33F8204C" w14:textId="77777777" w:rsidR="00AB5DF8" w:rsidRPr="00D353F8" w:rsidRDefault="00AB5DF8" w:rsidP="00AB5DF8">
      <w:pPr>
        <w:shd w:val="clear" w:color="auto" w:fill="FFFFFF"/>
        <w:jc w:val="both"/>
        <w:rPr>
          <w:rFonts w:ascii="Arial" w:hAnsi="Arial" w:cs="Arial"/>
          <w:b/>
          <w:sz w:val="22"/>
          <w:szCs w:val="22"/>
          <w:lang w:eastAsia="es-CO"/>
        </w:rPr>
      </w:pPr>
    </w:p>
    <w:p w14:paraId="50FBDA27" w14:textId="77777777" w:rsidR="00AB5DF8" w:rsidRPr="00AB5DF8" w:rsidRDefault="00AB5DF8" w:rsidP="00AB5DF8">
      <w:pPr>
        <w:tabs>
          <w:tab w:val="left" w:pos="426"/>
        </w:tabs>
        <w:jc w:val="both"/>
        <w:rPr>
          <w:rFonts w:ascii="Arial" w:eastAsia="Calibri" w:hAnsi="Arial" w:cs="Arial"/>
          <w:sz w:val="20"/>
          <w:szCs w:val="20"/>
          <w:lang w:val="es-MX" w:eastAsia="en-US"/>
        </w:rPr>
      </w:pPr>
      <w:r w:rsidRPr="00AB5DF8">
        <w:rPr>
          <w:rFonts w:ascii="Arial" w:hAnsi="Arial" w:cs="Arial"/>
          <w:sz w:val="20"/>
          <w:szCs w:val="20"/>
          <w:lang w:eastAsia="x-none"/>
        </w:rPr>
        <w:t xml:space="preserve">[…] </w:t>
      </w:r>
      <w:r w:rsidRPr="00AB5DF8">
        <w:rPr>
          <w:rFonts w:ascii="Arial" w:hAnsi="Arial" w:cs="Arial"/>
          <w:bCs/>
          <w:sz w:val="20"/>
          <w:szCs w:val="20"/>
          <w:lang w:val="es-MX" w:eastAsia="x-none"/>
        </w:rPr>
        <w:t xml:space="preserve">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AB5DF8">
        <w:rPr>
          <w:rFonts w:ascii="Arial" w:hAnsi="Arial" w:cs="Arial"/>
          <w:bCs/>
          <w:sz w:val="20"/>
          <w:szCs w:val="20"/>
          <w:lang w:val="es-MX" w:eastAsia="x-none"/>
        </w:rPr>
        <w:t>ii</w:t>
      </w:r>
      <w:proofErr w:type="spellEnd"/>
      <w:r w:rsidRPr="00AB5DF8">
        <w:rPr>
          <w:rFonts w:ascii="Arial" w:hAnsi="Arial" w:cs="Arial"/>
          <w:bCs/>
          <w:sz w:val="20"/>
          <w:szCs w:val="20"/>
          <w:lang w:val="es-MX" w:eastAsia="x-none"/>
        </w:rPr>
        <w:t xml:space="preserve">) los contratos de crédito público; </w:t>
      </w:r>
      <w:proofErr w:type="spellStart"/>
      <w:r w:rsidRPr="00AB5DF8">
        <w:rPr>
          <w:rFonts w:ascii="Arial" w:hAnsi="Arial" w:cs="Arial"/>
          <w:bCs/>
          <w:sz w:val="20"/>
          <w:szCs w:val="20"/>
          <w:lang w:val="es-MX" w:eastAsia="x-none"/>
        </w:rPr>
        <w:t>iii</w:t>
      </w:r>
      <w:proofErr w:type="spellEnd"/>
      <w:r w:rsidRPr="00AB5DF8">
        <w:rPr>
          <w:rFonts w:ascii="Arial" w:hAnsi="Arial" w:cs="Arial"/>
          <w:bCs/>
          <w:sz w:val="20"/>
          <w:szCs w:val="20"/>
          <w:lang w:val="es-MX" w:eastAsia="x-none"/>
        </w:rPr>
        <w:t xml:space="preserve">) los requeridos para cubrir las emergencias educativas, sanitarias y desastres; </w:t>
      </w:r>
      <w:proofErr w:type="spellStart"/>
      <w:r w:rsidRPr="00AB5DF8">
        <w:rPr>
          <w:rFonts w:ascii="Arial" w:hAnsi="Arial" w:cs="Arial"/>
          <w:bCs/>
          <w:sz w:val="20"/>
          <w:szCs w:val="20"/>
          <w:lang w:val="es-MX" w:eastAsia="x-none"/>
        </w:rPr>
        <w:t>iv</w:t>
      </w:r>
      <w:proofErr w:type="spellEnd"/>
      <w:r w:rsidRPr="00AB5DF8">
        <w:rPr>
          <w:rFonts w:ascii="Arial" w:hAnsi="Arial" w:cs="Arial"/>
          <w:bCs/>
          <w:sz w:val="20"/>
          <w:szCs w:val="20"/>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8ECDC23" w14:textId="77777777" w:rsidR="00AB5DF8" w:rsidRPr="00AB5DF8" w:rsidRDefault="00AB5DF8" w:rsidP="00AB5DF8">
      <w:pPr>
        <w:tabs>
          <w:tab w:val="left" w:pos="426"/>
        </w:tabs>
        <w:jc w:val="both"/>
        <w:rPr>
          <w:rFonts w:ascii="Arial" w:eastAsia="Calibri" w:hAnsi="Arial" w:cs="Arial"/>
          <w:noProof/>
          <w:sz w:val="20"/>
          <w:szCs w:val="20"/>
          <w:lang w:eastAsia="en-US"/>
        </w:rPr>
      </w:pPr>
    </w:p>
    <w:p w14:paraId="61C61FFA" w14:textId="77777777" w:rsidR="00AB5DF8" w:rsidRPr="00AB5DF8" w:rsidRDefault="00AB5DF8" w:rsidP="00AB5DF8">
      <w:pPr>
        <w:jc w:val="both"/>
        <w:rPr>
          <w:rFonts w:ascii="Arial" w:hAnsi="Arial" w:cs="Arial"/>
          <w:b/>
          <w:sz w:val="22"/>
          <w:szCs w:val="22"/>
          <w:lang w:val="es-ES" w:eastAsia="es-CO"/>
        </w:rPr>
      </w:pPr>
      <w:r w:rsidRPr="00AB5DF8">
        <w:rPr>
          <w:rFonts w:ascii="Arial" w:hAnsi="Arial" w:cs="Arial"/>
          <w:b/>
          <w:bCs/>
          <w:sz w:val="22"/>
          <w:szCs w:val="22"/>
          <w:lang w:eastAsia="es-CO"/>
        </w:rPr>
        <w:t xml:space="preserve">LEY DE GARANTÍAS ELECTORALES </w:t>
      </w:r>
      <w:bookmarkStart w:id="9" w:name="_Hlk77166669"/>
      <w:r w:rsidRPr="00AB5DF8">
        <w:rPr>
          <w:rFonts w:ascii="Arial" w:hAnsi="Arial" w:cs="Arial"/>
          <w:b/>
          <w:bCs/>
          <w:sz w:val="22"/>
          <w:szCs w:val="22"/>
          <w:lang w:eastAsia="es-CO"/>
        </w:rPr>
        <w:t>‒</w:t>
      </w:r>
      <w:bookmarkEnd w:id="9"/>
      <w:r w:rsidRPr="00AB5DF8">
        <w:rPr>
          <w:rFonts w:ascii="Arial" w:hAnsi="Arial" w:cs="Arial"/>
          <w:b/>
          <w:bCs/>
          <w:sz w:val="22"/>
          <w:szCs w:val="22"/>
          <w:lang w:eastAsia="es-CO"/>
        </w:rPr>
        <w:t xml:space="preserve"> </w:t>
      </w:r>
      <w:r w:rsidRPr="00AB5DF8">
        <w:rPr>
          <w:rFonts w:ascii="Arial" w:hAnsi="Arial" w:cs="Arial"/>
          <w:b/>
          <w:sz w:val="22"/>
          <w:szCs w:val="22"/>
          <w:lang w:val="es-ES" w:eastAsia="es-CO"/>
        </w:rPr>
        <w:t xml:space="preserve">Prohibición del artículo 33 </w:t>
      </w:r>
      <w:r w:rsidRPr="00AB5DF8">
        <w:rPr>
          <w:rFonts w:ascii="Arial" w:hAnsi="Arial" w:cs="Arial"/>
          <w:b/>
          <w:bCs/>
          <w:sz w:val="22"/>
          <w:szCs w:val="22"/>
          <w:lang w:eastAsia="es-CO"/>
        </w:rPr>
        <w:t>‒ Destinatarios</w:t>
      </w:r>
    </w:p>
    <w:p w14:paraId="08C59DEE" w14:textId="77777777" w:rsidR="00AB5DF8" w:rsidRPr="00AB5DF8" w:rsidRDefault="00AB5DF8" w:rsidP="00AB5DF8">
      <w:pPr>
        <w:tabs>
          <w:tab w:val="left" w:pos="426"/>
        </w:tabs>
        <w:jc w:val="both"/>
        <w:rPr>
          <w:rFonts w:ascii="Arial" w:eastAsia="Calibri" w:hAnsi="Arial" w:cs="Arial"/>
          <w:noProof/>
          <w:sz w:val="22"/>
          <w:szCs w:val="22"/>
          <w:lang w:val="es-ES" w:eastAsia="en-US"/>
        </w:rPr>
      </w:pPr>
    </w:p>
    <w:p w14:paraId="45C09CF0" w14:textId="2D8D4E11" w:rsidR="00AB5DF8" w:rsidRPr="00AB5DF8" w:rsidRDefault="00AB5DF8" w:rsidP="00AB5DF8">
      <w:pPr>
        <w:tabs>
          <w:tab w:val="left" w:pos="426"/>
        </w:tabs>
        <w:jc w:val="both"/>
        <w:rPr>
          <w:rFonts w:ascii="Arial" w:hAnsi="Arial" w:cs="Arial"/>
          <w:bCs/>
          <w:sz w:val="20"/>
          <w:szCs w:val="20"/>
          <w:lang w:val="es-MX" w:eastAsia="x-none"/>
        </w:rPr>
      </w:pPr>
      <w:r w:rsidRPr="00AB5DF8">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AB5DF8">
        <w:rPr>
          <w:rFonts w:ascii="Calibri" w:eastAsia="Calibri" w:hAnsi="Calibri"/>
          <w:sz w:val="20"/>
          <w:szCs w:val="20"/>
          <w:lang w:val="es-MX" w:eastAsia="en-US"/>
        </w:rPr>
        <w:t xml:space="preserve"> </w:t>
      </w:r>
      <w:r w:rsidRPr="00AB5DF8">
        <w:rPr>
          <w:rFonts w:ascii="Arial" w:hAnsi="Arial" w:cs="Arial"/>
          <w:bCs/>
          <w:sz w:val="20"/>
          <w:szCs w:val="20"/>
          <w:lang w:val="es-MX" w:eastAsia="x-none"/>
        </w:rPr>
        <w:t>En efecto, tal como lo ha sostenido el Consejo de Estado, el vocablo «todos» utilizado por el legislador comprende</w:t>
      </w:r>
      <w:r w:rsidRPr="00AB5DF8">
        <w:rPr>
          <w:rFonts w:ascii="Calibri" w:eastAsia="Calibri" w:hAnsi="Calibri"/>
          <w:sz w:val="20"/>
          <w:szCs w:val="20"/>
          <w:lang w:val="es-MX" w:eastAsia="en-US"/>
        </w:rPr>
        <w:t xml:space="preserve"> </w:t>
      </w:r>
      <w:r w:rsidRPr="00AB5DF8">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1F1BADBF" w14:textId="77777777" w:rsidR="0030575F" w:rsidRPr="00861F5C" w:rsidRDefault="0030575F" w:rsidP="00C128B2">
      <w:pPr>
        <w:tabs>
          <w:tab w:val="left" w:pos="426"/>
        </w:tabs>
        <w:jc w:val="both"/>
        <w:rPr>
          <w:rFonts w:ascii="Arial" w:eastAsia="Calibri" w:hAnsi="Arial" w:cs="Arial"/>
          <w:color w:val="000000" w:themeColor="text1"/>
          <w:sz w:val="20"/>
          <w:szCs w:val="20"/>
          <w:lang w:val="es-ES" w:eastAsia="en-US"/>
        </w:rPr>
      </w:pPr>
    </w:p>
    <w:bookmarkEnd w:id="2"/>
    <w:p w14:paraId="11E35014" w14:textId="77777777" w:rsidR="00066FA4" w:rsidRPr="004E4581" w:rsidRDefault="00066FA4" w:rsidP="00066FA4">
      <w:pPr>
        <w:jc w:val="both"/>
        <w:rPr>
          <w:rFonts w:ascii="Arial" w:eastAsia="Calibri" w:hAnsi="Arial" w:cs="Arial"/>
          <w:b/>
          <w:color w:val="000000" w:themeColor="text1"/>
          <w:sz w:val="22"/>
          <w:szCs w:val="22"/>
          <w:lang w:val="es-MX" w:eastAsia="en-US"/>
        </w:rPr>
      </w:pPr>
      <w:r w:rsidRPr="004E4581">
        <w:rPr>
          <w:rFonts w:ascii="Arial" w:eastAsia="Calibri" w:hAnsi="Arial" w:cs="Arial"/>
          <w:b/>
          <w:color w:val="000000" w:themeColor="text1"/>
          <w:sz w:val="22"/>
          <w:szCs w:val="22"/>
          <w:lang w:val="es-MX" w:eastAsia="en-US"/>
        </w:rPr>
        <w:t xml:space="preserve">CONTRATOS Y </w:t>
      </w:r>
      <w:r w:rsidRPr="004E4581">
        <w:rPr>
          <w:rFonts w:ascii="Arial" w:eastAsiaTheme="minorHAnsi" w:hAnsi="Arial" w:cs="Arial"/>
          <w:b/>
          <w:color w:val="000000" w:themeColor="text1"/>
          <w:sz w:val="22"/>
          <w:szCs w:val="22"/>
          <w:lang w:val="es-MX" w:eastAsia="en-US"/>
        </w:rPr>
        <w:t xml:space="preserve">CONVENIOS INTERADMINISTRATIVOS </w:t>
      </w:r>
      <w:r w:rsidRPr="004E4581">
        <w:rPr>
          <w:rFonts w:ascii="Arial" w:eastAsia="Calibri" w:hAnsi="Arial" w:cs="Arial"/>
          <w:b/>
          <w:color w:val="000000" w:themeColor="text1"/>
          <w:sz w:val="22"/>
          <w:szCs w:val="22"/>
          <w:lang w:val="es-MX" w:eastAsia="en-US"/>
        </w:rPr>
        <w:t xml:space="preserve">– Definición – Criterio orgánico </w:t>
      </w:r>
    </w:p>
    <w:p w14:paraId="5883C3F0" w14:textId="77777777" w:rsidR="00066FA4" w:rsidRPr="004E4581" w:rsidRDefault="00066FA4" w:rsidP="00066FA4">
      <w:pPr>
        <w:jc w:val="both"/>
        <w:rPr>
          <w:rFonts w:ascii="Arial" w:eastAsia="Calibri" w:hAnsi="Arial" w:cs="Arial"/>
          <w:bCs/>
          <w:color w:val="000000" w:themeColor="text1"/>
          <w:sz w:val="20"/>
          <w:szCs w:val="20"/>
          <w:lang w:val="es-MX" w:eastAsia="en-US"/>
        </w:rPr>
      </w:pPr>
    </w:p>
    <w:p w14:paraId="5200C2A0" w14:textId="77777777" w:rsidR="00066FA4" w:rsidRPr="007446F6" w:rsidRDefault="00066FA4" w:rsidP="00066FA4">
      <w:pPr>
        <w:widowControl w:val="0"/>
        <w:autoSpaceDE w:val="0"/>
        <w:autoSpaceDN w:val="0"/>
        <w:spacing w:after="120"/>
        <w:jc w:val="both"/>
        <w:rPr>
          <w:rFonts w:ascii="Arial" w:eastAsia="Arial" w:hAnsi="Arial" w:cs="Arial"/>
          <w:color w:val="000000" w:themeColor="text1"/>
          <w:sz w:val="20"/>
          <w:szCs w:val="20"/>
          <w:lang w:val="es-ES" w:eastAsia="es-ES" w:bidi="es-ES"/>
        </w:rPr>
      </w:pPr>
      <w:r>
        <w:rPr>
          <w:rFonts w:ascii="Arial" w:eastAsia="Arial" w:hAnsi="Arial" w:cs="Arial"/>
          <w:color w:val="000000" w:themeColor="text1"/>
          <w:sz w:val="20"/>
          <w:szCs w:val="20"/>
          <w:lang w:val="es-ES" w:eastAsia="es-ES" w:bidi="es-ES"/>
        </w:rPr>
        <w:t xml:space="preserve">[…] </w:t>
      </w:r>
      <w:r w:rsidRPr="007446F6">
        <w:rPr>
          <w:rFonts w:ascii="Arial" w:eastAsia="Arial" w:hAnsi="Arial" w:cs="Arial"/>
          <w:color w:val="000000" w:themeColor="text1"/>
          <w:sz w:val="20"/>
          <w:szCs w:val="20"/>
          <w:lang w:val="es-ES" w:eastAsia="es-ES" w:bidi="es-ES"/>
        </w:rPr>
        <w:t>la tipología de convenio interadministrativo fue creada en la Ley 80 de 1993. Aunque esta ley no lo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el propósito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w:t>
      </w:r>
      <w:r w:rsidRPr="007446F6">
        <w:rPr>
          <w:rFonts w:ascii="Arial" w:eastAsia="Arial" w:hAnsi="Arial" w:cs="Arial"/>
          <w:color w:val="000000" w:themeColor="text1"/>
          <w:spacing w:val="-6"/>
          <w:sz w:val="20"/>
          <w:szCs w:val="20"/>
          <w:lang w:val="es-ES" w:eastAsia="es-ES" w:bidi="es-ES"/>
        </w:rPr>
        <w:t xml:space="preserve"> </w:t>
      </w:r>
      <w:r w:rsidRPr="007446F6">
        <w:rPr>
          <w:rFonts w:ascii="Arial" w:eastAsia="Arial" w:hAnsi="Arial" w:cs="Arial"/>
          <w:color w:val="000000" w:themeColor="text1"/>
          <w:sz w:val="20"/>
          <w:szCs w:val="20"/>
          <w:lang w:val="es-ES" w:eastAsia="es-ES" w:bidi="es-ES"/>
        </w:rPr>
        <w:t>estatales.</w:t>
      </w:r>
    </w:p>
    <w:p w14:paraId="0237584F" w14:textId="77777777" w:rsidR="00066FA4" w:rsidRPr="004E4581" w:rsidRDefault="00066FA4" w:rsidP="00066FA4">
      <w:pPr>
        <w:jc w:val="both"/>
        <w:rPr>
          <w:rFonts w:ascii="Arial" w:eastAsia="Calibri" w:hAnsi="Arial" w:cs="Arial"/>
          <w:bCs/>
          <w:color w:val="000000" w:themeColor="text1"/>
          <w:sz w:val="22"/>
          <w:szCs w:val="22"/>
          <w:lang w:val="es-MX" w:eastAsia="en-US"/>
        </w:rPr>
      </w:pPr>
    </w:p>
    <w:p w14:paraId="20437C8F" w14:textId="77777777" w:rsidR="00066FA4" w:rsidRPr="004E4581" w:rsidRDefault="00066FA4" w:rsidP="00066FA4">
      <w:pPr>
        <w:jc w:val="both"/>
        <w:rPr>
          <w:rFonts w:ascii="Arial" w:eastAsiaTheme="minorHAnsi" w:hAnsi="Arial" w:cs="Arial"/>
          <w:b/>
          <w:color w:val="000000" w:themeColor="text1"/>
          <w:sz w:val="22"/>
          <w:szCs w:val="22"/>
          <w:lang w:val="es-MX" w:eastAsia="en-US"/>
        </w:rPr>
      </w:pPr>
      <w:r w:rsidRPr="004E4581">
        <w:rPr>
          <w:rFonts w:ascii="Arial" w:eastAsia="Calibri" w:hAnsi="Arial" w:cs="Arial"/>
          <w:b/>
          <w:color w:val="000000" w:themeColor="text1"/>
          <w:sz w:val="22"/>
          <w:szCs w:val="22"/>
          <w:lang w:val="es-MX" w:eastAsia="en-US"/>
        </w:rPr>
        <w:t xml:space="preserve">CONTRATOS Y </w:t>
      </w:r>
      <w:r w:rsidRPr="004E4581">
        <w:rPr>
          <w:rFonts w:ascii="Arial" w:eastAsiaTheme="minorHAnsi" w:hAnsi="Arial" w:cs="Arial"/>
          <w:b/>
          <w:color w:val="000000" w:themeColor="text1"/>
          <w:sz w:val="22"/>
          <w:szCs w:val="22"/>
          <w:lang w:val="es-MX" w:eastAsia="en-US"/>
        </w:rPr>
        <w:t>CONVENIOS INTERADMINISTRATIVOS – Modalidad de selección</w:t>
      </w:r>
    </w:p>
    <w:p w14:paraId="580E33B8" w14:textId="77777777" w:rsidR="00066FA4" w:rsidRPr="004E4581" w:rsidRDefault="00066FA4" w:rsidP="00066FA4">
      <w:pPr>
        <w:jc w:val="both"/>
        <w:rPr>
          <w:rFonts w:ascii="Arial" w:eastAsiaTheme="minorHAnsi" w:hAnsi="Arial" w:cs="Arial"/>
          <w:b/>
          <w:color w:val="000000" w:themeColor="text1"/>
          <w:sz w:val="20"/>
          <w:szCs w:val="20"/>
          <w:lang w:val="es-MX" w:eastAsia="en-US"/>
        </w:rPr>
      </w:pPr>
    </w:p>
    <w:p w14:paraId="33E30C69" w14:textId="77777777" w:rsidR="00066FA4" w:rsidRPr="007446F6" w:rsidRDefault="00066FA4" w:rsidP="00066FA4">
      <w:pPr>
        <w:widowControl w:val="0"/>
        <w:autoSpaceDE w:val="0"/>
        <w:autoSpaceDN w:val="0"/>
        <w:spacing w:before="119"/>
        <w:jc w:val="both"/>
        <w:rPr>
          <w:rFonts w:ascii="Arial" w:eastAsia="Arial" w:hAnsi="Arial" w:cs="Arial"/>
          <w:color w:val="000000" w:themeColor="text1"/>
          <w:sz w:val="20"/>
          <w:szCs w:val="20"/>
          <w:lang w:val="es-ES" w:eastAsia="es-ES" w:bidi="es-ES"/>
        </w:rPr>
      </w:pPr>
      <w:r w:rsidRPr="007446F6">
        <w:rPr>
          <w:rFonts w:ascii="Arial" w:eastAsia="Arial" w:hAnsi="Arial" w:cs="Arial"/>
          <w:color w:val="000000" w:themeColor="text1"/>
          <w:sz w:val="20"/>
          <w:szCs w:val="20"/>
          <w:lang w:val="es-ES" w:eastAsia="es-ES" w:bidi="es-ES"/>
        </w:rPr>
        <w:t xml:space="preserve">[…] la ley no limitó la celebración de contratos interadministrativos a la modalidad de selección de </w:t>
      </w:r>
      <w:r w:rsidRPr="007446F6">
        <w:rPr>
          <w:rFonts w:ascii="Arial" w:eastAsia="Arial" w:hAnsi="Arial" w:cs="Arial"/>
          <w:color w:val="000000" w:themeColor="text1"/>
          <w:sz w:val="20"/>
          <w:szCs w:val="20"/>
          <w:lang w:val="es-ES" w:eastAsia="es-ES" w:bidi="es-ES"/>
        </w:rPr>
        <w:lastRenderedPageBreak/>
        <w:t>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abierta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por la calidad de entidades</w:t>
      </w:r>
      <w:r w:rsidRPr="007446F6">
        <w:rPr>
          <w:rFonts w:ascii="Arial" w:eastAsia="Arial" w:hAnsi="Arial" w:cs="Arial"/>
          <w:color w:val="000000" w:themeColor="text1"/>
          <w:spacing w:val="-3"/>
          <w:sz w:val="20"/>
          <w:szCs w:val="20"/>
          <w:lang w:val="es-ES" w:eastAsia="es-ES" w:bidi="es-ES"/>
        </w:rPr>
        <w:t xml:space="preserve"> </w:t>
      </w:r>
      <w:r w:rsidRPr="007446F6">
        <w:rPr>
          <w:rFonts w:ascii="Arial" w:eastAsia="Arial" w:hAnsi="Arial" w:cs="Arial"/>
          <w:color w:val="000000" w:themeColor="text1"/>
          <w:sz w:val="20"/>
          <w:szCs w:val="20"/>
          <w:lang w:val="es-ES" w:eastAsia="es-ES" w:bidi="es-ES"/>
        </w:rPr>
        <w:t>estatales.</w:t>
      </w:r>
    </w:p>
    <w:p w14:paraId="285FE792" w14:textId="77777777" w:rsidR="00066FA4" w:rsidRDefault="00066FA4" w:rsidP="00066FA4">
      <w:pPr>
        <w:rPr>
          <w:rFonts w:ascii="Arial" w:hAnsi="Arial" w:cs="Arial"/>
          <w:color w:val="000000" w:themeColor="text1"/>
          <w:sz w:val="22"/>
        </w:rPr>
      </w:pPr>
    </w:p>
    <w:p w14:paraId="43A674A7" w14:textId="1F3D4B01" w:rsidR="00677C67" w:rsidRPr="00677C67" w:rsidRDefault="00677C67" w:rsidP="00677C67">
      <w:pPr>
        <w:jc w:val="both"/>
        <w:rPr>
          <w:rFonts w:ascii="Arial" w:hAnsi="Arial" w:cs="Arial"/>
          <w:b/>
          <w:color w:val="000000" w:themeColor="text1"/>
          <w:sz w:val="22"/>
        </w:rPr>
      </w:pPr>
      <w:r w:rsidRPr="00677C67">
        <w:rPr>
          <w:rFonts w:ascii="Arial" w:hAnsi="Arial" w:cs="Arial"/>
          <w:b/>
          <w:color w:val="000000" w:themeColor="text1"/>
          <w:sz w:val="22"/>
        </w:rPr>
        <w:t>MECANISMO DE OBRA POR IMPUESTO – Artículo 800-1 del Estatuto Tributario – aplicación de la Ley de garantías</w:t>
      </w:r>
    </w:p>
    <w:p w14:paraId="0620495A" w14:textId="77777777" w:rsidR="00C128B2" w:rsidRDefault="00C128B2" w:rsidP="002F3E4E">
      <w:pPr>
        <w:rPr>
          <w:rFonts w:ascii="Arial" w:hAnsi="Arial" w:cs="Arial"/>
          <w:color w:val="000000" w:themeColor="text1"/>
          <w:sz w:val="22"/>
        </w:rPr>
      </w:pPr>
    </w:p>
    <w:p w14:paraId="265C7E0C" w14:textId="77777777" w:rsidR="00AF775B" w:rsidRPr="00AF775B" w:rsidRDefault="00AF775B" w:rsidP="00AF775B">
      <w:pPr>
        <w:spacing w:after="120"/>
        <w:jc w:val="both"/>
        <w:rPr>
          <w:rFonts w:ascii="Arial" w:hAnsi="Arial" w:cs="Arial"/>
          <w:bCs/>
          <w:color w:val="000000"/>
          <w:sz w:val="20"/>
          <w:szCs w:val="20"/>
          <w:lang w:eastAsia="es-CO"/>
        </w:rPr>
      </w:pPr>
      <w:r w:rsidRPr="00AF775B">
        <w:rPr>
          <w:rFonts w:ascii="Arial" w:eastAsia="Calibri" w:hAnsi="Arial" w:cs="Arial"/>
          <w:color w:val="000000" w:themeColor="text1"/>
          <w:sz w:val="20"/>
          <w:szCs w:val="20"/>
        </w:rPr>
        <w:t xml:space="preserve">En este contexto, para la restricción del artículo 33 de la </w:t>
      </w:r>
      <w:r w:rsidRPr="00AF775B">
        <w:rPr>
          <w:rFonts w:ascii="Arial" w:hAnsi="Arial" w:cs="Arial"/>
          <w:bCs/>
          <w:color w:val="000000"/>
          <w:sz w:val="20"/>
          <w:szCs w:val="20"/>
          <w:lang w:eastAsia="es-CO"/>
        </w:rPr>
        <w:t xml:space="preserve">Ley 996 de 2005 es necesario considerar que </w:t>
      </w:r>
      <w:r w:rsidRPr="00AF775B">
        <w:rPr>
          <w:rFonts w:ascii="Arial" w:eastAsia="Calibri" w:hAnsi="Arial" w:cs="Arial"/>
          <w:sz w:val="20"/>
          <w:szCs w:val="20"/>
          <w:lang w:val="es-ES"/>
        </w:rPr>
        <w:t>e</w:t>
      </w:r>
      <w:r w:rsidRPr="00AF775B">
        <w:rPr>
          <w:rFonts w:ascii="Arial" w:hAnsi="Arial" w:cs="Arial"/>
          <w:sz w:val="20"/>
          <w:szCs w:val="20"/>
        </w:rPr>
        <w:t>l artículo 800-1 del Estatuto Tributario</w:t>
      </w:r>
      <w:r w:rsidRPr="00AF775B">
        <w:rPr>
          <w:rFonts w:ascii="Arial" w:hAnsi="Arial" w:cs="Arial"/>
          <w:bCs/>
          <w:color w:val="000000"/>
          <w:sz w:val="20"/>
          <w:szCs w:val="20"/>
          <w:lang w:eastAsia="es-CO"/>
        </w:rPr>
        <w:t xml:space="preserve"> consagra un régimen jurídico que exceptúa la aplicación del Estatuto General de Contratación de la Administración Pública con el objetivo de flexibilizar el régimen contractual aplicable. En relación con ese punto, debe advertirse que la prohibición de contratación directa de la Ley de Garantías es independiente del régimen contractual aplicable, por lo que se extiende a los contratos celebrados para ejecutar obras por impuestos. </w:t>
      </w:r>
    </w:p>
    <w:p w14:paraId="60F21475" w14:textId="77777777" w:rsidR="00AF775B" w:rsidRPr="00AF775B" w:rsidRDefault="00AF775B" w:rsidP="00AF775B">
      <w:pPr>
        <w:spacing w:after="120"/>
        <w:jc w:val="both"/>
        <w:rPr>
          <w:rFonts w:ascii="Arial" w:hAnsi="Arial" w:cs="Arial"/>
          <w:bCs/>
          <w:color w:val="000000"/>
          <w:sz w:val="20"/>
          <w:szCs w:val="20"/>
          <w:lang w:eastAsia="es-CO"/>
        </w:rPr>
      </w:pPr>
      <w:r w:rsidRPr="00AF775B">
        <w:rPr>
          <w:rFonts w:ascii="Arial" w:hAnsi="Arial" w:cs="Arial"/>
          <w:bCs/>
          <w:color w:val="000000"/>
          <w:sz w:val="20"/>
          <w:szCs w:val="20"/>
          <w:lang w:eastAsia="es-CO"/>
        </w:rPr>
        <w:t>A la luz de las normas sustantivas aplicables, las entidades autorizadas para suscribir estos convenios analizarán caso por caso si el ejecutor del proyecto se selecciona o no dentro de un régimen de competencia entre varios interesados. Si la respuesta es negativa, salvo que el proyecto esté relacionado con alguna de las excepciones previstas en el artículo 33 de la Ley 996 de 2005, aplicará la prohibición de contratación directa de la Ley de Garantías. Por ello, previo concepto de sus órganos asesores, la decisión sobre cada situación particular corresponde a la entidad que adelanta el procedimiento de selección. Esto último en la medida que, de acuerdo con las competencias asignadas en el Decreto – Ley 4170 de 2011, esta entidad carece de atribuciones para vigilar la gestión contractual de los partícipes del sistema de compras y contratación pública.</w:t>
      </w:r>
    </w:p>
    <w:p w14:paraId="4207C211" w14:textId="18D2E43A" w:rsidR="00AF775B" w:rsidRPr="0002324B" w:rsidRDefault="00AF775B" w:rsidP="00AF775B">
      <w:pPr>
        <w:spacing w:before="120" w:after="120"/>
        <w:jc w:val="both"/>
        <w:rPr>
          <w:rFonts w:ascii="Arial" w:hAnsi="Arial" w:cs="Arial"/>
          <w:sz w:val="22"/>
        </w:rPr>
      </w:pPr>
      <w:r w:rsidRPr="00AF775B">
        <w:rPr>
          <w:rFonts w:ascii="Arial" w:hAnsi="Arial" w:cs="Arial"/>
          <w:bCs/>
          <w:color w:val="000000"/>
          <w:sz w:val="20"/>
          <w:szCs w:val="20"/>
          <w:lang w:eastAsia="es-CO"/>
        </w:rPr>
        <w:t xml:space="preserve">Por otra parte, respecto a </w:t>
      </w:r>
      <w:r w:rsidRPr="00AF775B">
        <w:rPr>
          <w:rFonts w:ascii="Arial" w:eastAsia="Calibri" w:hAnsi="Arial" w:cs="Arial"/>
          <w:color w:val="000000" w:themeColor="text1"/>
          <w:sz w:val="20"/>
          <w:szCs w:val="20"/>
        </w:rPr>
        <w:t xml:space="preserve">la restricción del artículo 38 de la </w:t>
      </w:r>
      <w:r w:rsidRPr="00AF775B">
        <w:rPr>
          <w:rFonts w:ascii="Arial" w:hAnsi="Arial" w:cs="Arial"/>
          <w:bCs/>
          <w:color w:val="000000"/>
          <w:sz w:val="20"/>
          <w:szCs w:val="20"/>
          <w:lang w:eastAsia="es-CO"/>
        </w:rPr>
        <w:t xml:space="preserve">Ley de Garantías, la calificación de si existe o no un contrato interadministrativo depende de la naturaleza jurídica de quien funja como contribuyente, es decir, del sujeto pasivo del </w:t>
      </w:r>
      <w:r w:rsidRPr="00AF775B">
        <w:rPr>
          <w:rFonts w:ascii="Arial" w:hAnsi="Arial" w:cs="Arial"/>
          <w:bCs/>
          <w:sz w:val="20"/>
          <w:szCs w:val="20"/>
          <w:lang w:val="es-MX" w:eastAsia="es-CO"/>
        </w:rPr>
        <w:t xml:space="preserve">impuesto sobre la renta y complementarios, para efectos del régimen especial previsto en el </w:t>
      </w:r>
      <w:r w:rsidRPr="00AF775B">
        <w:rPr>
          <w:rFonts w:ascii="Arial" w:hAnsi="Arial" w:cs="Arial"/>
          <w:sz w:val="20"/>
          <w:szCs w:val="20"/>
        </w:rPr>
        <w:t xml:space="preserve">artículo 800-1 del Estatuto Tributario. En efecto, si el contribuyente es una persona natural o una persona jurídica de derecho privado, </w:t>
      </w:r>
      <w:r w:rsidRPr="00AF775B">
        <w:rPr>
          <w:rFonts w:ascii="Arial" w:eastAsia="Calibri" w:hAnsi="Arial" w:cs="Arial"/>
          <w:color w:val="000000" w:themeColor="text1"/>
          <w:sz w:val="20"/>
          <w:szCs w:val="20"/>
        </w:rPr>
        <w:t xml:space="preserve">los convenios suscritos con las entidades competentes para la ejecución de obras por impuestos no se calificarían como contratos interadministrativos. </w:t>
      </w:r>
      <w:r w:rsidRPr="00AF775B">
        <w:rPr>
          <w:rFonts w:ascii="Arial" w:eastAsia="Calibri" w:hAnsi="Arial" w:cs="Arial"/>
          <w:color w:val="000000" w:themeColor="text1"/>
          <w:sz w:val="20"/>
          <w:szCs w:val="20"/>
          <w:lang w:val="es-ES_tradnl"/>
        </w:rPr>
        <w:t>Al respecto, esta última tipología contractual fue creada en la Ley 80 de 1993 y, aunque no la definió ni desarrolló, el Decreto 1082 de 2015 califica a los convenios o contratos interadministrativos como aquella contratación entre entidades estatales.</w:t>
      </w:r>
      <w:r w:rsidRPr="00AF775B">
        <w:rPr>
          <w:rFonts w:ascii="Arial" w:hAnsi="Arial" w:cs="Arial"/>
          <w:color w:val="000000" w:themeColor="text1"/>
          <w:sz w:val="20"/>
          <w:szCs w:val="20"/>
          <w:lang w:val="es-ES_tradnl"/>
        </w:rPr>
        <w:t xml:space="preserve"> </w:t>
      </w:r>
      <w:r w:rsidRPr="00AF775B">
        <w:rPr>
          <w:rFonts w:ascii="Arial" w:eastAsia="Calibri" w:hAnsi="Arial" w:cs="Arial"/>
          <w:color w:val="000000" w:themeColor="text1"/>
          <w:sz w:val="20"/>
          <w:szCs w:val="20"/>
          <w:lang w:val="es-ES_tradnl"/>
        </w:rPr>
        <w:t xml:space="preserve">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están determinados por un criterio orgánico, pues es necesario que los extremos de la relación contractual sean entidades estatales. </w:t>
      </w:r>
    </w:p>
    <w:p w14:paraId="739063AB" w14:textId="77777777" w:rsidR="00C128B2" w:rsidRDefault="00C128B2" w:rsidP="002F3E4E">
      <w:pPr>
        <w:rPr>
          <w:rFonts w:ascii="Arial" w:hAnsi="Arial" w:cs="Arial"/>
          <w:color w:val="000000" w:themeColor="text1"/>
          <w:sz w:val="22"/>
        </w:rPr>
      </w:pPr>
    </w:p>
    <w:p w14:paraId="676A107B" w14:textId="77777777" w:rsidR="00C128B2" w:rsidRDefault="00C128B2" w:rsidP="002F3E4E">
      <w:pPr>
        <w:rPr>
          <w:rFonts w:ascii="Arial" w:hAnsi="Arial" w:cs="Arial"/>
          <w:color w:val="000000" w:themeColor="text1"/>
          <w:sz w:val="22"/>
        </w:rPr>
      </w:pPr>
    </w:p>
    <w:p w14:paraId="0F328595" w14:textId="77777777" w:rsidR="00C128B2" w:rsidRDefault="00C128B2" w:rsidP="002F3E4E">
      <w:pPr>
        <w:rPr>
          <w:rFonts w:ascii="Arial" w:hAnsi="Arial" w:cs="Arial"/>
          <w:color w:val="000000" w:themeColor="text1"/>
          <w:sz w:val="22"/>
        </w:rPr>
      </w:pPr>
    </w:p>
    <w:p w14:paraId="1ECBCF1B" w14:textId="6B5A23DF" w:rsidR="00C128B2" w:rsidRDefault="00C128B2" w:rsidP="002F3E4E">
      <w:pPr>
        <w:rPr>
          <w:rFonts w:ascii="Arial" w:hAnsi="Arial" w:cs="Arial"/>
          <w:color w:val="000000" w:themeColor="text1"/>
          <w:sz w:val="22"/>
        </w:rPr>
      </w:pPr>
    </w:p>
    <w:p w14:paraId="7C1F0E6E" w14:textId="56183307" w:rsidR="00AB5DF8" w:rsidRDefault="00AB5DF8" w:rsidP="002F3E4E">
      <w:pPr>
        <w:rPr>
          <w:rFonts w:ascii="Arial" w:hAnsi="Arial" w:cs="Arial"/>
          <w:color w:val="000000" w:themeColor="text1"/>
          <w:sz w:val="22"/>
        </w:rPr>
      </w:pPr>
    </w:p>
    <w:p w14:paraId="796A7373" w14:textId="6854963A" w:rsidR="00AB5DF8" w:rsidRDefault="00AB5DF8" w:rsidP="002F3E4E">
      <w:pPr>
        <w:rPr>
          <w:rFonts w:ascii="Arial" w:hAnsi="Arial" w:cs="Arial"/>
          <w:color w:val="000000" w:themeColor="text1"/>
          <w:sz w:val="22"/>
        </w:rPr>
      </w:pPr>
    </w:p>
    <w:p w14:paraId="10141966" w14:textId="6B24495D" w:rsidR="00A24835" w:rsidRDefault="00A24835" w:rsidP="002F3E4E">
      <w:pPr>
        <w:rPr>
          <w:rFonts w:ascii="Arial" w:hAnsi="Arial" w:cs="Arial"/>
          <w:color w:val="000000" w:themeColor="text1"/>
          <w:sz w:val="22"/>
        </w:rPr>
      </w:pPr>
    </w:p>
    <w:p w14:paraId="4853BCA7" w14:textId="6C588974" w:rsidR="00A24835" w:rsidRDefault="00A24835" w:rsidP="002F3E4E">
      <w:pPr>
        <w:rPr>
          <w:rFonts w:ascii="Arial" w:hAnsi="Arial" w:cs="Arial"/>
          <w:color w:val="000000" w:themeColor="text1"/>
          <w:sz w:val="22"/>
        </w:rPr>
      </w:pPr>
    </w:p>
    <w:p w14:paraId="6AA314A0" w14:textId="77777777" w:rsidR="00DF5964" w:rsidRPr="00DF5964" w:rsidRDefault="00DF5964" w:rsidP="00DF5964">
      <w:pPr>
        <w:widowControl w:val="0"/>
        <w:autoSpaceDE w:val="0"/>
        <w:autoSpaceDN w:val="0"/>
        <w:ind w:left="4825"/>
        <w:rPr>
          <w:rFonts w:eastAsia="Arial MT" w:hAnsi="Arial MT" w:cs="Arial MT"/>
          <w:sz w:val="20"/>
          <w:szCs w:val="22"/>
          <w:lang w:val="es-ES" w:eastAsia="en-US"/>
        </w:rPr>
      </w:pPr>
      <w:r w:rsidRPr="00DF5964">
        <w:rPr>
          <w:rFonts w:eastAsia="Arial MT" w:hAnsi="Arial MT" w:cs="Arial MT"/>
          <w:noProof/>
          <w:sz w:val="20"/>
          <w:szCs w:val="22"/>
          <w:lang w:eastAsia="es-CO"/>
        </w:rPr>
        <w:drawing>
          <wp:inline distT="0" distB="0" distL="0" distR="0" wp14:anchorId="01D0401F" wp14:editId="2D38A673">
            <wp:extent cx="2379945" cy="608838"/>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79945" cy="608838"/>
                    </a:xfrm>
                    <a:prstGeom prst="rect">
                      <a:avLst/>
                    </a:prstGeom>
                  </pic:spPr>
                </pic:pic>
              </a:graphicData>
            </a:graphic>
          </wp:inline>
        </w:drawing>
      </w:r>
    </w:p>
    <w:p w14:paraId="0D5B2681" w14:textId="77777777" w:rsidR="00DF5964" w:rsidRPr="00DF5964" w:rsidRDefault="00DF5964" w:rsidP="00DF5964">
      <w:pPr>
        <w:widowControl w:val="0"/>
        <w:autoSpaceDE w:val="0"/>
        <w:autoSpaceDN w:val="0"/>
        <w:rPr>
          <w:rFonts w:eastAsia="Arial MT" w:hAnsi="Arial MT" w:cs="Arial MT"/>
          <w:sz w:val="20"/>
          <w:szCs w:val="22"/>
          <w:lang w:val="es-ES" w:eastAsia="en-US"/>
        </w:rPr>
      </w:pPr>
    </w:p>
    <w:p w14:paraId="58B0F798" w14:textId="1FD9DD26" w:rsidR="00DF5964" w:rsidRPr="00DF5964" w:rsidRDefault="00DF5964" w:rsidP="00DF5964">
      <w:pPr>
        <w:widowControl w:val="0"/>
        <w:autoSpaceDE w:val="0"/>
        <w:autoSpaceDN w:val="0"/>
        <w:rPr>
          <w:rFonts w:eastAsia="Arial MT" w:hAnsi="Arial MT" w:cs="Arial MT"/>
          <w:sz w:val="20"/>
          <w:szCs w:val="22"/>
          <w:lang w:val="es-ES" w:eastAsia="en-US"/>
        </w:rPr>
      </w:pPr>
    </w:p>
    <w:p w14:paraId="181772D7" w14:textId="77777777" w:rsidR="00DF5964" w:rsidRPr="00DF5964" w:rsidRDefault="00DF5964" w:rsidP="00DF5964">
      <w:pPr>
        <w:widowControl w:val="0"/>
        <w:autoSpaceDE w:val="0"/>
        <w:autoSpaceDN w:val="0"/>
        <w:spacing w:before="94"/>
        <w:ind w:right="533"/>
        <w:jc w:val="right"/>
        <w:rPr>
          <w:rFonts w:ascii="Arial" w:eastAsia="Arial MT" w:hAnsi="Arial MT" w:cs="Arial MT"/>
          <w:b/>
          <w:sz w:val="18"/>
          <w:szCs w:val="22"/>
          <w:lang w:val="es-ES" w:eastAsia="en-US"/>
        </w:rPr>
      </w:pPr>
      <w:r w:rsidRPr="00DF5964">
        <w:rPr>
          <w:rFonts w:ascii="Arial" w:eastAsia="Arial MT" w:hAnsi="Arial MT" w:cs="Arial MT"/>
          <w:b/>
          <w:color w:val="585858"/>
          <w:sz w:val="18"/>
          <w:szCs w:val="22"/>
          <w:lang w:val="es-ES" w:eastAsia="en-US"/>
        </w:rPr>
        <w:t>CCE-DES-FM-17</w:t>
      </w:r>
    </w:p>
    <w:p w14:paraId="569D55CE" w14:textId="77777777" w:rsidR="00DF5964" w:rsidRPr="00DF5964" w:rsidRDefault="00DF5964" w:rsidP="00DF5964">
      <w:pPr>
        <w:widowControl w:val="0"/>
        <w:autoSpaceDE w:val="0"/>
        <w:autoSpaceDN w:val="0"/>
        <w:rPr>
          <w:rFonts w:ascii="Arial" w:eastAsia="Arial MT" w:hAnsi="Arial MT" w:cs="Arial MT"/>
          <w:b/>
          <w:sz w:val="20"/>
          <w:szCs w:val="22"/>
          <w:lang w:val="es-ES" w:eastAsia="en-US"/>
        </w:rPr>
      </w:pPr>
    </w:p>
    <w:p w14:paraId="6CF1A669" w14:textId="77777777" w:rsidR="00DF5964" w:rsidRPr="00DF5964" w:rsidRDefault="00DF5964" w:rsidP="00DF5964">
      <w:pPr>
        <w:widowControl w:val="0"/>
        <w:autoSpaceDE w:val="0"/>
        <w:autoSpaceDN w:val="0"/>
        <w:ind w:left="100"/>
        <w:rPr>
          <w:rFonts w:ascii="Arial MT" w:eastAsia="Arial MT" w:hAnsi="Arial MT" w:cs="Arial MT"/>
          <w:sz w:val="22"/>
          <w:szCs w:val="22"/>
          <w:lang w:val="es-ES" w:eastAsia="en-US"/>
        </w:rPr>
      </w:pPr>
      <w:r w:rsidRPr="00DF5964">
        <w:rPr>
          <w:rFonts w:ascii="Arial MT" w:eastAsia="Arial MT" w:hAnsi="Arial MT" w:cs="Arial MT"/>
          <w:color w:val="4E4D4D"/>
          <w:sz w:val="22"/>
          <w:szCs w:val="22"/>
          <w:lang w:val="es-ES" w:eastAsia="en-US"/>
        </w:rPr>
        <w:t>Bogotá,</w:t>
      </w:r>
      <w:r w:rsidRPr="00DF5964">
        <w:rPr>
          <w:rFonts w:ascii="Arial MT" w:eastAsia="Arial MT" w:hAnsi="Arial MT" w:cs="Arial MT"/>
          <w:color w:val="4E4D4D"/>
          <w:spacing w:val="-3"/>
          <w:sz w:val="22"/>
          <w:szCs w:val="22"/>
          <w:lang w:val="es-ES" w:eastAsia="en-US"/>
        </w:rPr>
        <w:t xml:space="preserve"> </w:t>
      </w:r>
      <w:r w:rsidRPr="00DF5964">
        <w:rPr>
          <w:rFonts w:ascii="Arial MT" w:eastAsia="Arial MT" w:hAnsi="Arial MT" w:cs="Arial MT"/>
          <w:color w:val="4E4D4D"/>
          <w:sz w:val="22"/>
          <w:szCs w:val="22"/>
          <w:lang w:val="es-ES" w:eastAsia="en-US"/>
        </w:rPr>
        <w:t>11</w:t>
      </w:r>
      <w:r w:rsidRPr="00DF5964">
        <w:rPr>
          <w:rFonts w:ascii="Arial MT" w:eastAsia="Arial MT" w:hAnsi="Arial MT" w:cs="Arial MT"/>
          <w:color w:val="4E4D4D"/>
          <w:spacing w:val="-6"/>
          <w:sz w:val="22"/>
          <w:szCs w:val="22"/>
          <w:lang w:val="es-ES" w:eastAsia="en-US"/>
        </w:rPr>
        <w:t xml:space="preserve"> </w:t>
      </w:r>
      <w:proofErr w:type="gramStart"/>
      <w:r w:rsidRPr="00DF5964">
        <w:rPr>
          <w:rFonts w:ascii="Arial MT" w:eastAsia="Arial MT" w:hAnsi="Arial MT" w:cs="Arial MT"/>
          <w:color w:val="4E4D4D"/>
          <w:sz w:val="22"/>
          <w:szCs w:val="22"/>
          <w:lang w:val="es-ES" w:eastAsia="en-US"/>
        </w:rPr>
        <w:t>Noviembre</w:t>
      </w:r>
      <w:proofErr w:type="gramEnd"/>
      <w:r w:rsidRPr="00DF5964">
        <w:rPr>
          <w:rFonts w:ascii="Arial MT" w:eastAsia="Arial MT" w:hAnsi="Arial MT" w:cs="Arial MT"/>
          <w:color w:val="4E4D4D"/>
          <w:spacing w:val="-4"/>
          <w:sz w:val="22"/>
          <w:szCs w:val="22"/>
          <w:lang w:val="es-ES" w:eastAsia="en-US"/>
        </w:rPr>
        <w:t xml:space="preserve"> </w:t>
      </w:r>
      <w:r w:rsidRPr="00DF5964">
        <w:rPr>
          <w:rFonts w:ascii="Arial MT" w:eastAsia="Arial MT" w:hAnsi="Arial MT" w:cs="Arial MT"/>
          <w:color w:val="4E4D4D"/>
          <w:sz w:val="22"/>
          <w:szCs w:val="22"/>
          <w:lang w:val="es-ES" w:eastAsia="en-US"/>
        </w:rPr>
        <w:t>2021</w:t>
      </w:r>
    </w:p>
    <w:p w14:paraId="0D89FD8A" w14:textId="77777777" w:rsidR="00DF5964" w:rsidRPr="00DF5964" w:rsidRDefault="00DF5964" w:rsidP="00DF5964">
      <w:pPr>
        <w:widowControl w:val="0"/>
        <w:autoSpaceDE w:val="0"/>
        <w:autoSpaceDN w:val="0"/>
        <w:rPr>
          <w:rFonts w:ascii="Arial MT" w:eastAsia="Arial MT" w:hAnsi="Arial MT" w:cs="Arial MT"/>
          <w:szCs w:val="22"/>
          <w:lang w:val="es-ES" w:eastAsia="en-US"/>
        </w:rPr>
      </w:pPr>
    </w:p>
    <w:p w14:paraId="3425755A" w14:textId="77777777" w:rsidR="00300726" w:rsidRPr="00300726" w:rsidRDefault="00300726" w:rsidP="00300726">
      <w:pPr>
        <w:widowControl w:val="0"/>
        <w:autoSpaceDE w:val="0"/>
        <w:autoSpaceDN w:val="0"/>
        <w:rPr>
          <w:rFonts w:ascii="Arial MT" w:eastAsia="Arial MT" w:hAnsi="Arial MT" w:cs="Arial MT"/>
          <w:szCs w:val="22"/>
          <w:lang w:val="es-ES" w:eastAsia="en-US"/>
        </w:rPr>
      </w:pPr>
    </w:p>
    <w:p w14:paraId="176395FC" w14:textId="1FAB0ACC" w:rsidR="002F3E4E" w:rsidRPr="004E4581" w:rsidRDefault="002F3E4E" w:rsidP="00B95C30">
      <w:pPr>
        <w:jc w:val="both"/>
        <w:rPr>
          <w:rFonts w:ascii="Arial" w:hAnsi="Arial" w:cs="Arial"/>
          <w:bCs/>
          <w:color w:val="000000" w:themeColor="text1"/>
          <w:sz w:val="22"/>
          <w:lang w:val="es-ES_tradnl"/>
        </w:rPr>
      </w:pPr>
    </w:p>
    <w:p w14:paraId="5F5AE9EF" w14:textId="71339329" w:rsidR="00B95C30" w:rsidRPr="004E4581" w:rsidRDefault="00BE4FBF" w:rsidP="00B95C30">
      <w:pPr>
        <w:jc w:val="both"/>
        <w:rPr>
          <w:rFonts w:ascii="Arial" w:eastAsia="Calibri" w:hAnsi="Arial" w:cs="Arial"/>
          <w:color w:val="000000" w:themeColor="text1"/>
          <w:sz w:val="22"/>
        </w:rPr>
      </w:pPr>
      <w:bookmarkStart w:id="10" w:name="_Hlk80951783"/>
      <w:r w:rsidRPr="004E4581">
        <w:rPr>
          <w:rFonts w:ascii="Arial" w:eastAsia="Calibri" w:hAnsi="Arial" w:cs="Arial"/>
          <w:color w:val="000000" w:themeColor="text1"/>
          <w:sz w:val="22"/>
        </w:rPr>
        <w:t>Señor</w:t>
      </w:r>
    </w:p>
    <w:p w14:paraId="34BF62D2" w14:textId="4EC84FB9" w:rsidR="00A56E1D" w:rsidRDefault="004707BB" w:rsidP="00B95C30">
      <w:pPr>
        <w:jc w:val="both"/>
        <w:rPr>
          <w:rFonts w:ascii="Arial" w:eastAsia="Calibri" w:hAnsi="Arial" w:cs="Arial"/>
          <w:b/>
          <w:color w:val="000000" w:themeColor="text1"/>
          <w:sz w:val="22"/>
        </w:rPr>
      </w:pPr>
      <w:r>
        <w:rPr>
          <w:rFonts w:ascii="Arial" w:eastAsia="Calibri" w:hAnsi="Arial" w:cs="Arial"/>
          <w:b/>
          <w:color w:val="000000" w:themeColor="text1"/>
          <w:sz w:val="22"/>
        </w:rPr>
        <w:t>Andrés Ortegón</w:t>
      </w:r>
    </w:p>
    <w:p w14:paraId="7B32CBBB" w14:textId="32A065E4" w:rsidR="00A56E1D" w:rsidRDefault="004707BB" w:rsidP="00B95C30">
      <w:pPr>
        <w:jc w:val="both"/>
        <w:rPr>
          <w:rFonts w:ascii="Arial" w:hAnsi="Arial" w:cs="Arial"/>
          <w:color w:val="000000" w:themeColor="text1"/>
          <w:sz w:val="22"/>
        </w:rPr>
      </w:pPr>
      <w:r>
        <w:rPr>
          <w:rFonts w:ascii="Arial" w:hAnsi="Arial" w:cs="Arial"/>
          <w:color w:val="000000" w:themeColor="text1"/>
          <w:sz w:val="22"/>
        </w:rPr>
        <w:t>Bogotá</w:t>
      </w:r>
      <w:r w:rsidR="005B24E7">
        <w:rPr>
          <w:rFonts w:ascii="Arial" w:hAnsi="Arial" w:cs="Arial"/>
          <w:color w:val="000000" w:themeColor="text1"/>
          <w:sz w:val="22"/>
        </w:rPr>
        <w:t xml:space="preserve"> D.C.</w:t>
      </w:r>
    </w:p>
    <w:p w14:paraId="67D315D4" w14:textId="77777777" w:rsidR="004707BB" w:rsidRPr="004E4581" w:rsidRDefault="004707BB" w:rsidP="00B95C30">
      <w:pPr>
        <w:jc w:val="both"/>
        <w:rPr>
          <w:rFonts w:ascii="Arial" w:eastAsia="Calibri" w:hAnsi="Arial" w:cs="Arial"/>
          <w:color w:val="000000" w:themeColor="text1"/>
          <w:sz w:val="22"/>
        </w:rPr>
      </w:pPr>
    </w:p>
    <w:p w14:paraId="0942E2A4" w14:textId="77777777" w:rsidR="000254DD" w:rsidRPr="004E4581" w:rsidRDefault="000254DD" w:rsidP="00B95C30">
      <w:pPr>
        <w:jc w:val="both"/>
        <w:rPr>
          <w:rFonts w:ascii="Arial" w:eastAsia="Calibri" w:hAnsi="Arial" w:cs="Arial"/>
          <w:color w:val="000000" w:themeColor="text1"/>
          <w:sz w:val="22"/>
        </w:rPr>
      </w:pPr>
    </w:p>
    <w:p w14:paraId="12E66182" w14:textId="60C3B21C" w:rsidR="00B95C30" w:rsidRPr="004E4581" w:rsidRDefault="00A25F2F" w:rsidP="004004C2">
      <w:pPr>
        <w:rPr>
          <w:rFonts w:ascii="Arial" w:eastAsia="Calibri" w:hAnsi="Arial" w:cs="Arial"/>
          <w:b/>
          <w:bCs/>
          <w:color w:val="000000" w:themeColor="text1"/>
          <w:sz w:val="22"/>
          <w:lang w:val="es-ES_tradnl"/>
        </w:rPr>
      </w:pPr>
      <w:r w:rsidRPr="004E4581">
        <w:rPr>
          <w:rFonts w:ascii="Arial" w:eastAsia="Calibri" w:hAnsi="Arial" w:cs="Arial"/>
          <w:b/>
          <w:bCs/>
          <w:color w:val="000000" w:themeColor="text1"/>
          <w:sz w:val="22"/>
        </w:rPr>
        <w:t xml:space="preserve">                                            </w:t>
      </w:r>
      <w:r w:rsidR="00B95C30" w:rsidRPr="004E4581">
        <w:rPr>
          <w:rFonts w:ascii="Arial" w:eastAsia="Calibri" w:hAnsi="Arial" w:cs="Arial"/>
          <w:b/>
          <w:bCs/>
          <w:color w:val="000000" w:themeColor="text1"/>
          <w:sz w:val="22"/>
          <w:lang w:val="es-ES_tradnl"/>
        </w:rPr>
        <w:t>Concepto C ‒</w:t>
      </w:r>
      <w:r w:rsidR="00856F87" w:rsidRPr="004E4581">
        <w:rPr>
          <w:rFonts w:ascii="Arial" w:eastAsia="Calibri" w:hAnsi="Arial" w:cs="Arial"/>
          <w:b/>
          <w:bCs/>
          <w:color w:val="000000" w:themeColor="text1"/>
          <w:sz w:val="22"/>
          <w:lang w:val="es-ES_tradnl"/>
        </w:rPr>
        <w:t xml:space="preserve"> </w:t>
      </w:r>
      <w:r w:rsidR="004707BB">
        <w:rPr>
          <w:rFonts w:ascii="Arial" w:eastAsia="Calibri" w:hAnsi="Arial" w:cs="Arial"/>
          <w:b/>
          <w:bCs/>
          <w:color w:val="000000" w:themeColor="text1"/>
          <w:sz w:val="22"/>
          <w:lang w:val="es-ES_tradnl"/>
        </w:rPr>
        <w:t>6</w:t>
      </w:r>
      <w:r w:rsidR="007A57B8">
        <w:rPr>
          <w:rFonts w:ascii="Arial" w:eastAsia="Calibri" w:hAnsi="Arial" w:cs="Arial"/>
          <w:b/>
          <w:bCs/>
          <w:color w:val="000000" w:themeColor="text1"/>
          <w:sz w:val="22"/>
          <w:lang w:val="es-ES_tradnl"/>
        </w:rPr>
        <w:t>33 de 2021</w:t>
      </w:r>
    </w:p>
    <w:p w14:paraId="20200123" w14:textId="461A4C5D" w:rsidR="0096347F" w:rsidRPr="004E4581" w:rsidRDefault="0096347F"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E4581" w:rsidRPr="004E4581" w14:paraId="19DFC051" w14:textId="77777777" w:rsidTr="008F4163">
        <w:tc>
          <w:tcPr>
            <w:tcW w:w="2689" w:type="dxa"/>
          </w:tcPr>
          <w:p w14:paraId="6BC0D1AC" w14:textId="77777777" w:rsidR="00B95C30" w:rsidRPr="004E4581" w:rsidRDefault="00B95C30" w:rsidP="008F4163">
            <w:pPr>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Temas:                                      </w:t>
            </w:r>
          </w:p>
        </w:tc>
        <w:tc>
          <w:tcPr>
            <w:tcW w:w="6237" w:type="dxa"/>
          </w:tcPr>
          <w:p w14:paraId="5F389CAF" w14:textId="0F0F1615" w:rsidR="00066FA4" w:rsidRPr="004E4581" w:rsidRDefault="00D353F8" w:rsidP="004707BB">
            <w:pPr>
              <w:jc w:val="both"/>
              <w:rPr>
                <w:rFonts w:ascii="Arial" w:eastAsia="Calibri" w:hAnsi="Arial" w:cs="Arial"/>
                <w:color w:val="000000" w:themeColor="text1"/>
                <w:sz w:val="22"/>
                <w:highlight w:val="yellow"/>
                <w:lang w:val="es-ES_tradnl"/>
              </w:rPr>
            </w:pPr>
            <w:r w:rsidRPr="0096347F">
              <w:rPr>
                <w:rFonts w:ascii="Arial" w:eastAsia="Calibri" w:hAnsi="Arial" w:cs="Arial"/>
                <w:bCs/>
                <w:color w:val="000000" w:themeColor="text1"/>
                <w:sz w:val="22"/>
                <w:szCs w:val="22"/>
                <w:lang w:val="es-MX" w:eastAsia="en-US"/>
              </w:rPr>
              <w:t xml:space="preserve">LEY DE GARANTÍAS ELECTORALES – Finalidad / LEY DE GARANTÍAS ELECTORALES ‒ Restricciones ‒ Contratación ‒ Tipos de elección / </w:t>
            </w:r>
            <w:r w:rsidRPr="0096347F">
              <w:rPr>
                <w:rFonts w:ascii="Arial" w:eastAsia="Calibri" w:hAnsi="Arial" w:cs="Arial"/>
                <w:bCs/>
                <w:sz w:val="22"/>
                <w:szCs w:val="22"/>
                <w:lang w:val="es-MX" w:eastAsia="en-US"/>
              </w:rPr>
              <w:t xml:space="preserve">LEY DE GARANTÍAS ELECTORALES ─ Prohibición artículo 33 ‒ Contratación directa ‒ Alcance / </w:t>
            </w:r>
            <w:r w:rsidRPr="0096347F">
              <w:rPr>
                <w:rFonts w:ascii="Arial" w:hAnsi="Arial" w:cs="Arial"/>
                <w:bCs/>
                <w:sz w:val="22"/>
                <w:szCs w:val="22"/>
                <w:lang w:eastAsia="es-CO"/>
              </w:rPr>
              <w:t>LEY DE GARANTÍAS ELECTORALES ‒ Excepciones</w:t>
            </w:r>
            <w:r w:rsidRPr="0096347F">
              <w:rPr>
                <w:rFonts w:ascii="Arial" w:hAnsi="Arial" w:cs="Arial"/>
                <w:sz w:val="22"/>
                <w:szCs w:val="22"/>
                <w:lang w:eastAsia="es-CO"/>
              </w:rPr>
              <w:t xml:space="preserve"> / </w:t>
            </w:r>
            <w:r w:rsidRPr="0096347F">
              <w:rPr>
                <w:rFonts w:ascii="Arial" w:hAnsi="Arial" w:cs="Arial"/>
                <w:bCs/>
                <w:sz w:val="22"/>
                <w:szCs w:val="22"/>
                <w:lang w:eastAsia="es-CO"/>
              </w:rPr>
              <w:t xml:space="preserve">LEY DE GARANTÍAS ELECTORALES ‒ </w:t>
            </w:r>
            <w:r w:rsidRPr="0096347F">
              <w:rPr>
                <w:rFonts w:ascii="Arial" w:hAnsi="Arial" w:cs="Arial"/>
                <w:sz w:val="22"/>
                <w:szCs w:val="22"/>
                <w:lang w:val="es-ES" w:eastAsia="es-CO"/>
              </w:rPr>
              <w:t xml:space="preserve">Prohibición del artículo 33 </w:t>
            </w:r>
            <w:r w:rsidRPr="0096347F">
              <w:rPr>
                <w:rFonts w:ascii="Arial" w:hAnsi="Arial" w:cs="Arial"/>
                <w:bCs/>
                <w:sz w:val="22"/>
                <w:szCs w:val="22"/>
                <w:lang w:eastAsia="es-CO"/>
              </w:rPr>
              <w:t>‒ Destinatarios</w:t>
            </w:r>
            <w:r w:rsidR="00677C67">
              <w:rPr>
                <w:rFonts w:ascii="Arial" w:hAnsi="Arial" w:cs="Arial"/>
                <w:bCs/>
                <w:sz w:val="22"/>
                <w:szCs w:val="22"/>
                <w:lang w:eastAsia="es-CO"/>
              </w:rPr>
              <w:t xml:space="preserve"> / </w:t>
            </w:r>
            <w:r w:rsidR="00066FA4" w:rsidRPr="004E4581">
              <w:rPr>
                <w:rFonts w:ascii="Arial" w:eastAsia="Calibri" w:hAnsi="Arial" w:cs="Arial"/>
                <w:color w:val="000000" w:themeColor="text1"/>
                <w:sz w:val="22"/>
                <w:szCs w:val="22"/>
                <w:lang w:val="es-MX" w:eastAsia="en-US"/>
              </w:rPr>
              <w:t xml:space="preserve">CONTRATOS Y </w:t>
            </w:r>
            <w:r w:rsidR="00066FA4" w:rsidRPr="004E4581">
              <w:rPr>
                <w:rFonts w:ascii="Arial" w:eastAsiaTheme="minorHAnsi" w:hAnsi="Arial" w:cs="Arial"/>
                <w:color w:val="000000" w:themeColor="text1"/>
                <w:sz w:val="22"/>
                <w:szCs w:val="22"/>
                <w:lang w:val="es-MX" w:eastAsia="en-US"/>
              </w:rPr>
              <w:t xml:space="preserve">CONVENIOS INTERADMINISTRATIVOS </w:t>
            </w:r>
            <w:r w:rsidR="00066FA4" w:rsidRPr="004E4581">
              <w:rPr>
                <w:rFonts w:ascii="Arial" w:eastAsia="Calibri" w:hAnsi="Arial" w:cs="Arial"/>
                <w:color w:val="000000" w:themeColor="text1"/>
                <w:sz w:val="22"/>
                <w:szCs w:val="22"/>
                <w:lang w:val="es-MX" w:eastAsia="en-US"/>
              </w:rPr>
              <w:t xml:space="preserve">– Definición – Criterio orgánico / CONTRATOS Y </w:t>
            </w:r>
            <w:r w:rsidR="00066FA4" w:rsidRPr="004E4581">
              <w:rPr>
                <w:rFonts w:ascii="Arial" w:eastAsiaTheme="minorHAnsi" w:hAnsi="Arial" w:cs="Arial"/>
                <w:color w:val="000000" w:themeColor="text1"/>
                <w:sz w:val="22"/>
                <w:szCs w:val="22"/>
                <w:lang w:val="es-MX" w:eastAsia="en-US"/>
              </w:rPr>
              <w:t>CONVENIOS INTERADMINISTRATIVOS – Modalidad de selección</w:t>
            </w:r>
            <w:r w:rsidR="00066FA4">
              <w:rPr>
                <w:rFonts w:ascii="Arial" w:eastAsiaTheme="minorHAnsi" w:hAnsi="Arial" w:cs="Arial"/>
                <w:color w:val="000000" w:themeColor="text1"/>
                <w:sz w:val="22"/>
                <w:szCs w:val="22"/>
                <w:lang w:val="es-MX" w:eastAsia="en-US"/>
              </w:rPr>
              <w:t xml:space="preserve"> / </w:t>
            </w:r>
            <w:r w:rsidR="00677C67" w:rsidRPr="00677C67">
              <w:rPr>
                <w:rFonts w:ascii="Arial" w:hAnsi="Arial" w:cs="Arial"/>
                <w:color w:val="000000" w:themeColor="text1"/>
                <w:sz w:val="22"/>
              </w:rPr>
              <w:t>MECANISMO DE OBRA POR IMPUESTO – Artículo 800-1 del Estatuto Tributario – aplicación de la Ley de garantías.</w:t>
            </w:r>
          </w:p>
        </w:tc>
      </w:tr>
      <w:tr w:rsidR="00B95C30" w:rsidRPr="004E4581" w14:paraId="27CD52AB" w14:textId="77777777" w:rsidTr="0096347F">
        <w:trPr>
          <w:trHeight w:val="391"/>
        </w:trPr>
        <w:tc>
          <w:tcPr>
            <w:tcW w:w="2689" w:type="dxa"/>
          </w:tcPr>
          <w:p w14:paraId="37E195A1" w14:textId="1BA218D5" w:rsidR="00B95C30" w:rsidRPr="0096347F" w:rsidRDefault="00B95C30" w:rsidP="008F4163">
            <w:pPr>
              <w:spacing w:before="120"/>
              <w:jc w:val="both"/>
              <w:rPr>
                <w:rFonts w:ascii="Arial" w:eastAsia="Calibri" w:hAnsi="Arial" w:cs="Arial"/>
                <w:color w:val="000000" w:themeColor="text1"/>
                <w:sz w:val="22"/>
                <w:szCs w:val="22"/>
                <w:lang w:val="es-ES_tradnl"/>
              </w:rPr>
            </w:pPr>
            <w:r w:rsidRPr="0096347F">
              <w:rPr>
                <w:rFonts w:ascii="Arial" w:eastAsia="Calibri" w:hAnsi="Arial" w:cs="Arial"/>
                <w:b/>
                <w:color w:val="000000" w:themeColor="text1"/>
                <w:sz w:val="22"/>
                <w:szCs w:val="22"/>
                <w:lang w:val="es-ES_tradnl"/>
              </w:rPr>
              <w:t>Radicación</w:t>
            </w:r>
            <w:r w:rsidRPr="0096347F">
              <w:rPr>
                <w:rFonts w:ascii="Arial" w:eastAsia="Calibri" w:hAnsi="Arial" w:cs="Arial"/>
                <w:color w:val="000000" w:themeColor="text1"/>
                <w:sz w:val="22"/>
                <w:szCs w:val="22"/>
                <w:lang w:val="es-ES_tradnl"/>
              </w:rPr>
              <w:t xml:space="preserve">:                              </w:t>
            </w:r>
          </w:p>
        </w:tc>
        <w:tc>
          <w:tcPr>
            <w:tcW w:w="6237" w:type="dxa"/>
          </w:tcPr>
          <w:p w14:paraId="09088B1B" w14:textId="13A2526D" w:rsidR="00B95C30" w:rsidRPr="0096347F" w:rsidRDefault="00B95C30" w:rsidP="00A161D5">
            <w:pPr>
              <w:spacing w:before="120"/>
              <w:jc w:val="both"/>
              <w:rPr>
                <w:rFonts w:ascii="Arial" w:eastAsia="Calibri" w:hAnsi="Arial" w:cs="Arial"/>
                <w:color w:val="000000" w:themeColor="text1"/>
                <w:sz w:val="22"/>
                <w:szCs w:val="22"/>
                <w:lang w:val="es-ES_tradnl"/>
              </w:rPr>
            </w:pPr>
            <w:r w:rsidRPr="0096347F">
              <w:rPr>
                <w:rFonts w:ascii="Arial" w:eastAsia="Calibri" w:hAnsi="Arial" w:cs="Arial"/>
                <w:color w:val="000000" w:themeColor="text1"/>
                <w:sz w:val="22"/>
                <w:szCs w:val="22"/>
                <w:lang w:val="es-ES_tradnl"/>
              </w:rPr>
              <w:t>Respuesta a consulta #</w:t>
            </w:r>
            <w:r w:rsidR="00A161D5" w:rsidRPr="0096347F">
              <w:rPr>
                <w:rFonts w:ascii="Arial" w:eastAsia="Calibri" w:hAnsi="Arial" w:cs="Arial"/>
                <w:color w:val="000000" w:themeColor="text1"/>
                <w:sz w:val="22"/>
                <w:szCs w:val="22"/>
                <w:lang w:val="es-ES_tradnl"/>
              </w:rPr>
              <w:t xml:space="preserve"> </w:t>
            </w:r>
            <w:r w:rsidR="004707BB">
              <w:rPr>
                <w:rFonts w:ascii="Arial" w:hAnsi="Arial" w:cs="Arial"/>
                <w:sz w:val="22"/>
                <w:szCs w:val="22"/>
              </w:rPr>
              <w:t>P20210928008880</w:t>
            </w:r>
          </w:p>
        </w:tc>
      </w:tr>
    </w:tbl>
    <w:p w14:paraId="117E7ED9" w14:textId="05F30393" w:rsidR="004707BB" w:rsidRPr="00AF775B" w:rsidRDefault="004707BB" w:rsidP="00552481">
      <w:pPr>
        <w:jc w:val="both"/>
        <w:rPr>
          <w:rFonts w:ascii="Arial" w:hAnsi="Arial" w:cs="Arial"/>
          <w:b/>
          <w:bCs/>
          <w:color w:val="323130"/>
          <w:sz w:val="22"/>
          <w:szCs w:val="22"/>
          <w:shd w:val="clear" w:color="auto" w:fill="FFFFFF"/>
        </w:rPr>
      </w:pPr>
    </w:p>
    <w:p w14:paraId="56DCC1FE" w14:textId="77777777" w:rsidR="00552481" w:rsidRPr="00AF775B" w:rsidRDefault="00552481" w:rsidP="00552481">
      <w:pPr>
        <w:jc w:val="both"/>
        <w:rPr>
          <w:rFonts w:ascii="Arial" w:hAnsi="Arial" w:cs="Arial"/>
          <w:b/>
          <w:bCs/>
          <w:color w:val="323130"/>
          <w:sz w:val="22"/>
          <w:szCs w:val="22"/>
          <w:shd w:val="clear" w:color="auto" w:fill="FFFFFF"/>
        </w:rPr>
      </w:pPr>
    </w:p>
    <w:p w14:paraId="1CF4AEA0" w14:textId="3D19D70C" w:rsidR="003C3339" w:rsidRPr="004E4581" w:rsidRDefault="003C3339" w:rsidP="003C3339">
      <w:pPr>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Estimad</w:t>
      </w:r>
      <w:r w:rsidR="004707BB">
        <w:rPr>
          <w:rFonts w:ascii="Arial" w:eastAsia="Calibri" w:hAnsi="Arial" w:cs="Arial"/>
          <w:color w:val="000000" w:themeColor="text1"/>
          <w:sz w:val="22"/>
          <w:lang w:val="es-ES_tradnl"/>
        </w:rPr>
        <w:t>o Señor Ortegón</w:t>
      </w:r>
    </w:p>
    <w:p w14:paraId="1EAE5543" w14:textId="77777777" w:rsidR="00DD5B04" w:rsidRPr="004E4581" w:rsidRDefault="00DD5B04" w:rsidP="00DF76A2">
      <w:pPr>
        <w:jc w:val="both"/>
        <w:rPr>
          <w:rFonts w:ascii="Arial" w:eastAsia="Calibri" w:hAnsi="Arial" w:cs="Arial"/>
          <w:color w:val="000000" w:themeColor="text1"/>
          <w:sz w:val="22"/>
          <w:lang w:val="es-ES_tradnl"/>
        </w:rPr>
      </w:pPr>
    </w:p>
    <w:p w14:paraId="2109B2D3" w14:textId="7D5CD7FE" w:rsidR="00DD5B04" w:rsidRPr="004E4581" w:rsidRDefault="00DD5B04" w:rsidP="00DF76A2">
      <w:pPr>
        <w:spacing w:line="276" w:lineRule="auto"/>
        <w:jc w:val="both"/>
        <w:rPr>
          <w:rFonts w:ascii="Arial" w:eastAsia="Calibri" w:hAnsi="Arial" w:cs="Arial"/>
          <w:color w:val="000000" w:themeColor="text1"/>
          <w:sz w:val="22"/>
          <w:lang w:val="es-ES_tradnl"/>
        </w:rPr>
      </w:pPr>
      <w:r w:rsidRPr="004E4581">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426FB4" w:rsidRPr="004E4581">
        <w:rPr>
          <w:rFonts w:ascii="Arial" w:eastAsia="Calibri" w:hAnsi="Arial" w:cs="Arial"/>
          <w:color w:val="000000" w:themeColor="text1"/>
          <w:sz w:val="22"/>
          <w:lang w:val="es-ES_tradnl"/>
        </w:rPr>
        <w:t>–</w:t>
      </w:r>
      <w:r w:rsidRPr="004E4581">
        <w:rPr>
          <w:rFonts w:ascii="Arial" w:eastAsia="Calibri" w:hAnsi="Arial" w:cs="Arial"/>
          <w:color w:val="000000" w:themeColor="text1"/>
          <w:sz w:val="22"/>
          <w:lang w:val="es-ES_tradnl"/>
        </w:rPr>
        <w:t xml:space="preserve"> Colombia Compra Eficiente</w:t>
      </w:r>
      <w:r w:rsidR="008C3C57" w:rsidRPr="004E4581">
        <w:rPr>
          <w:rFonts w:ascii="Arial" w:eastAsia="Calibri" w:hAnsi="Arial" w:cs="Arial"/>
          <w:color w:val="000000" w:themeColor="text1"/>
          <w:sz w:val="22"/>
          <w:lang w:val="es-ES_tradnl"/>
        </w:rPr>
        <w:t xml:space="preserve"> </w:t>
      </w:r>
      <w:r w:rsidR="00436B3F" w:rsidRPr="004E4581">
        <w:rPr>
          <w:rFonts w:ascii="Arial" w:eastAsia="Calibri" w:hAnsi="Arial" w:cs="Arial"/>
          <w:color w:val="000000" w:themeColor="text1"/>
          <w:sz w:val="22"/>
          <w:lang w:val="es-ES_tradnl"/>
        </w:rPr>
        <w:t xml:space="preserve">responde a su consulta del </w:t>
      </w:r>
      <w:r w:rsidR="004707BB">
        <w:rPr>
          <w:rFonts w:ascii="Arial" w:eastAsia="Calibri" w:hAnsi="Arial" w:cs="Arial"/>
          <w:color w:val="000000" w:themeColor="text1"/>
          <w:sz w:val="22"/>
          <w:lang w:val="es-ES_tradnl"/>
        </w:rPr>
        <w:t>28</w:t>
      </w:r>
      <w:r w:rsidR="00A161D5">
        <w:rPr>
          <w:rFonts w:ascii="Arial" w:eastAsia="Calibri" w:hAnsi="Arial" w:cs="Arial"/>
          <w:color w:val="000000" w:themeColor="text1"/>
          <w:sz w:val="22"/>
          <w:lang w:val="es-ES_tradnl"/>
        </w:rPr>
        <w:t xml:space="preserve"> de septiembre </w:t>
      </w:r>
      <w:r w:rsidR="00436B3F" w:rsidRPr="004E4581">
        <w:rPr>
          <w:rFonts w:ascii="Arial" w:eastAsia="Calibri" w:hAnsi="Arial" w:cs="Arial"/>
          <w:color w:val="000000" w:themeColor="text1"/>
          <w:sz w:val="22"/>
          <w:lang w:val="es-ES_tradnl"/>
        </w:rPr>
        <w:t xml:space="preserve">de 2021. </w:t>
      </w:r>
    </w:p>
    <w:p w14:paraId="4DD02E29" w14:textId="670A45B8" w:rsidR="0096347F" w:rsidRPr="004E4581" w:rsidRDefault="0096347F" w:rsidP="00DF76A2">
      <w:pPr>
        <w:spacing w:line="276" w:lineRule="auto"/>
        <w:jc w:val="both"/>
        <w:rPr>
          <w:rFonts w:ascii="Arial" w:eastAsia="Calibri" w:hAnsi="Arial" w:cs="Arial"/>
          <w:b/>
          <w:color w:val="000000" w:themeColor="text1"/>
          <w:sz w:val="22"/>
          <w:lang w:val="es-ES_tradnl"/>
        </w:rPr>
      </w:pPr>
    </w:p>
    <w:p w14:paraId="7701FCC7" w14:textId="77777777" w:rsidR="00DD5B04" w:rsidRPr="004E458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 xml:space="preserve">Problema planteado </w:t>
      </w:r>
    </w:p>
    <w:p w14:paraId="224B43D3" w14:textId="77777777" w:rsidR="00DD5B04" w:rsidRPr="004E458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BD1A156" w14:textId="50CEE4F7" w:rsidR="00436B3F" w:rsidRPr="000A1417" w:rsidRDefault="00E746A6" w:rsidP="00436B3F">
      <w:pPr>
        <w:spacing w:line="276" w:lineRule="auto"/>
        <w:jc w:val="both"/>
        <w:rPr>
          <w:rFonts w:ascii="Arial" w:hAnsi="Arial" w:cs="Arial"/>
          <w:color w:val="000000" w:themeColor="text1"/>
          <w:sz w:val="22"/>
          <w:szCs w:val="22"/>
          <w:lang w:val="es-ES_tradnl"/>
        </w:rPr>
      </w:pPr>
      <w:r w:rsidRPr="000A1417">
        <w:rPr>
          <w:rFonts w:ascii="Arial" w:hAnsi="Arial" w:cs="Arial"/>
          <w:color w:val="000000" w:themeColor="text1"/>
          <w:sz w:val="22"/>
          <w:szCs w:val="22"/>
          <w:lang w:val="es-ES_tradnl"/>
        </w:rPr>
        <w:t>En su consulta plantea lo siguiente</w:t>
      </w:r>
      <w:r w:rsidR="006251D3" w:rsidRPr="000A1417">
        <w:rPr>
          <w:rFonts w:ascii="Arial" w:hAnsi="Arial" w:cs="Arial"/>
          <w:color w:val="000000" w:themeColor="text1"/>
          <w:sz w:val="22"/>
          <w:szCs w:val="22"/>
          <w:lang w:val="es-ES_tradnl"/>
        </w:rPr>
        <w:t xml:space="preserve">: </w:t>
      </w:r>
      <w:r w:rsidR="00974B94" w:rsidRPr="000A1417">
        <w:rPr>
          <w:rFonts w:ascii="Arial" w:hAnsi="Arial" w:cs="Arial"/>
          <w:color w:val="000000" w:themeColor="text1"/>
          <w:sz w:val="22"/>
          <w:szCs w:val="22"/>
          <w:lang w:val="es-ES_tradnl"/>
        </w:rPr>
        <w:t>«</w:t>
      </w:r>
      <w:r w:rsidR="004707BB" w:rsidRPr="004707BB">
        <w:rPr>
          <w:rFonts w:ascii="Arial" w:hAnsi="Arial" w:cs="Arial"/>
          <w:color w:val="000000" w:themeColor="text1"/>
          <w:sz w:val="22"/>
          <w:szCs w:val="22"/>
          <w:lang w:val="es-ES_tradnl"/>
        </w:rPr>
        <w:t xml:space="preserve">¿Las prohibiciones para celebrar convenios interadministrativos para la ejecución de recursos públicos y en materia de contratación </w:t>
      </w:r>
      <w:r w:rsidR="004707BB" w:rsidRPr="004707BB">
        <w:rPr>
          <w:rFonts w:ascii="Arial" w:hAnsi="Arial" w:cs="Arial"/>
          <w:color w:val="000000" w:themeColor="text1"/>
          <w:sz w:val="22"/>
          <w:szCs w:val="22"/>
          <w:lang w:val="es-ES_tradnl"/>
        </w:rPr>
        <w:lastRenderedPageBreak/>
        <w:t>directa establecidas en la Ley 996</w:t>
      </w:r>
      <w:r w:rsidR="00AF775B">
        <w:rPr>
          <w:rFonts w:ascii="Arial" w:hAnsi="Arial" w:cs="Arial"/>
          <w:color w:val="000000" w:themeColor="text1"/>
          <w:sz w:val="22"/>
          <w:szCs w:val="22"/>
          <w:lang w:val="es-ES_tradnl"/>
        </w:rPr>
        <w:t xml:space="preserve"> de</w:t>
      </w:r>
      <w:r w:rsidR="004707BB" w:rsidRPr="004707BB">
        <w:rPr>
          <w:rFonts w:ascii="Arial" w:hAnsi="Arial" w:cs="Arial"/>
          <w:color w:val="000000" w:themeColor="text1"/>
          <w:sz w:val="22"/>
          <w:szCs w:val="22"/>
          <w:lang w:val="es-ES_tradnl"/>
        </w:rPr>
        <w:t xml:space="preserve"> 2005, son aplicables al convenio de obras por impuestos regulado en el artículo 800-1 del Estatuto Tributario</w:t>
      </w:r>
      <w:r w:rsidR="000A1417" w:rsidRPr="000A1417">
        <w:rPr>
          <w:rFonts w:ascii="Arial" w:hAnsi="Arial" w:cs="Arial"/>
          <w:color w:val="000000" w:themeColor="text1"/>
          <w:sz w:val="22"/>
          <w:szCs w:val="22"/>
          <w:lang w:val="es-ES_tradnl"/>
        </w:rPr>
        <w:t>?</w:t>
      </w:r>
      <w:r w:rsidR="00974B94" w:rsidRPr="000A1417">
        <w:rPr>
          <w:rFonts w:ascii="Arial" w:hAnsi="Arial" w:cs="Arial"/>
          <w:color w:val="000000" w:themeColor="text1"/>
          <w:sz w:val="22"/>
          <w:szCs w:val="22"/>
          <w:lang w:val="es-ES_tradnl"/>
        </w:rPr>
        <w:t>»</w:t>
      </w:r>
      <w:r w:rsidR="00436B3F" w:rsidRPr="000A1417">
        <w:rPr>
          <w:rFonts w:ascii="Arial" w:hAnsi="Arial" w:cs="Arial"/>
          <w:color w:val="000000" w:themeColor="text1"/>
          <w:sz w:val="22"/>
          <w:szCs w:val="22"/>
          <w:bdr w:val="none" w:sz="0" w:space="0" w:color="auto" w:frame="1"/>
        </w:rPr>
        <w:t>.</w:t>
      </w:r>
    </w:p>
    <w:p w14:paraId="78A5C6DE" w14:textId="7579AF72" w:rsidR="004707BB" w:rsidRPr="004E4581" w:rsidRDefault="004707BB" w:rsidP="006B3EB4">
      <w:pPr>
        <w:spacing w:line="276" w:lineRule="auto"/>
        <w:jc w:val="both"/>
        <w:rPr>
          <w:rFonts w:ascii="Arial" w:hAnsi="Arial" w:cs="Arial"/>
          <w:color w:val="000000" w:themeColor="text1"/>
          <w:sz w:val="22"/>
          <w:szCs w:val="22"/>
          <w:lang w:val="es-ES_tradnl"/>
        </w:rPr>
      </w:pPr>
    </w:p>
    <w:p w14:paraId="124D2DCA" w14:textId="77777777" w:rsidR="00DD5B04" w:rsidRPr="004E458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4E4581">
        <w:rPr>
          <w:rFonts w:ascii="Arial" w:eastAsia="Calibri" w:hAnsi="Arial" w:cs="Arial"/>
          <w:b/>
          <w:color w:val="000000" w:themeColor="text1"/>
          <w:sz w:val="22"/>
          <w:lang w:val="es-ES_tradnl"/>
        </w:rPr>
        <w:t>Consideraciones</w:t>
      </w:r>
    </w:p>
    <w:p w14:paraId="7D050D2E" w14:textId="77777777" w:rsidR="00435703" w:rsidRPr="004E4581" w:rsidRDefault="00435703" w:rsidP="00DF76A2">
      <w:pPr>
        <w:spacing w:line="276" w:lineRule="auto"/>
        <w:jc w:val="both"/>
        <w:rPr>
          <w:rFonts w:ascii="Arial" w:eastAsia="Calibri" w:hAnsi="Arial" w:cs="Arial"/>
          <w:color w:val="000000" w:themeColor="text1"/>
          <w:sz w:val="22"/>
          <w:szCs w:val="22"/>
          <w:lang w:val="es-ES_tradnl"/>
        </w:rPr>
      </w:pPr>
    </w:p>
    <w:p w14:paraId="2100A875" w14:textId="2C32C08F" w:rsidR="00E670DD" w:rsidRPr="004E4581" w:rsidRDefault="008E30C4" w:rsidP="00530DFE">
      <w:pPr>
        <w:spacing w:line="276" w:lineRule="auto"/>
        <w:jc w:val="both"/>
        <w:rPr>
          <w:rFonts w:ascii="Arial" w:eastAsia="Calibri" w:hAnsi="Arial" w:cs="Arial"/>
          <w:color w:val="000000" w:themeColor="text1"/>
          <w:sz w:val="22"/>
        </w:rPr>
      </w:pPr>
      <w:r w:rsidRPr="004E4581">
        <w:rPr>
          <w:rFonts w:ascii="Arial" w:eastAsia="Calibri" w:hAnsi="Arial" w:cs="Arial"/>
          <w:color w:val="000000" w:themeColor="text1"/>
          <w:sz w:val="22"/>
          <w:szCs w:val="22"/>
          <w:lang w:val="es-ES_tradnl"/>
        </w:rPr>
        <w:t xml:space="preserve">La </w:t>
      </w:r>
      <w:r w:rsidR="000A600A" w:rsidRPr="004E4581">
        <w:rPr>
          <w:rFonts w:ascii="Arial" w:eastAsia="Calibri" w:hAnsi="Arial" w:cs="Arial"/>
          <w:color w:val="000000" w:themeColor="text1"/>
          <w:sz w:val="22"/>
          <w:szCs w:val="22"/>
          <w:lang w:val="es-ES_tradnl"/>
        </w:rPr>
        <w:t>Agencia Nacional de Contratación Pública – Colombia Compra Eficiente</w:t>
      </w:r>
      <w:r w:rsidR="00C128B2" w:rsidRPr="004E4581">
        <w:rPr>
          <w:rFonts w:ascii="Arial" w:eastAsia="Calibri" w:hAnsi="Arial" w:cs="Arial"/>
          <w:color w:val="000000" w:themeColor="text1"/>
          <w:sz w:val="22"/>
        </w:rPr>
        <w:t>–</w:t>
      </w:r>
      <w:r w:rsidR="000A600A" w:rsidRPr="004E4581">
        <w:rPr>
          <w:rFonts w:ascii="Arial" w:eastAsia="Calibri" w:hAnsi="Arial" w:cs="Arial"/>
          <w:color w:val="000000" w:themeColor="text1"/>
          <w:sz w:val="22"/>
          <w:szCs w:val="22"/>
          <w:lang w:val="es-ES_tradnl"/>
        </w:rPr>
        <w:t xml:space="preserve"> </w:t>
      </w:r>
      <w:r w:rsidRPr="004E4581">
        <w:rPr>
          <w:rFonts w:ascii="Arial" w:eastAsia="Calibri" w:hAnsi="Arial" w:cs="Arial"/>
          <w:color w:val="000000" w:themeColor="text1"/>
          <w:sz w:val="22"/>
          <w:szCs w:val="22"/>
          <w:lang w:val="es-ES_tradnl"/>
        </w:rPr>
        <w:t xml:space="preserve">responderá </w:t>
      </w:r>
      <w:r w:rsidR="00271230" w:rsidRPr="004E4581">
        <w:rPr>
          <w:rFonts w:ascii="Arial" w:eastAsia="Calibri" w:hAnsi="Arial" w:cs="Arial"/>
          <w:color w:val="000000" w:themeColor="text1"/>
          <w:sz w:val="22"/>
          <w:szCs w:val="22"/>
          <w:lang w:val="es-ES_tradnl"/>
        </w:rPr>
        <w:t>la consulta</w:t>
      </w:r>
      <w:r w:rsidRPr="004E4581">
        <w:rPr>
          <w:rFonts w:ascii="Arial" w:eastAsia="Calibri" w:hAnsi="Arial" w:cs="Arial"/>
          <w:color w:val="000000" w:themeColor="text1"/>
          <w:sz w:val="22"/>
          <w:szCs w:val="22"/>
          <w:lang w:val="es-ES_tradnl"/>
        </w:rPr>
        <w:t xml:space="preserve">, </w:t>
      </w:r>
      <w:r w:rsidR="00271230" w:rsidRPr="004E4581">
        <w:rPr>
          <w:rFonts w:ascii="Arial" w:eastAsia="Calibri" w:hAnsi="Arial" w:cs="Arial"/>
          <w:color w:val="000000" w:themeColor="text1"/>
          <w:sz w:val="22"/>
          <w:szCs w:val="22"/>
          <w:lang w:val="es-ES_tradnl"/>
        </w:rPr>
        <w:t xml:space="preserve">luego de analizar </w:t>
      </w:r>
      <w:r w:rsidR="0095473B" w:rsidRPr="004E4581">
        <w:rPr>
          <w:rFonts w:ascii="Arial" w:eastAsia="Calibri" w:hAnsi="Arial" w:cs="Arial"/>
          <w:color w:val="000000" w:themeColor="text1"/>
          <w:sz w:val="22"/>
          <w:szCs w:val="22"/>
          <w:lang w:val="es-ES_tradnl"/>
        </w:rPr>
        <w:t xml:space="preserve">los contratos </w:t>
      </w:r>
      <w:r w:rsidR="00974B94" w:rsidRPr="004E4581">
        <w:rPr>
          <w:rFonts w:ascii="Arial" w:eastAsia="Calibri" w:hAnsi="Arial" w:cs="Arial"/>
          <w:color w:val="000000" w:themeColor="text1"/>
          <w:sz w:val="22"/>
          <w:szCs w:val="22"/>
          <w:lang w:val="es-ES_tradnl"/>
        </w:rPr>
        <w:t xml:space="preserve">interadministrativos y </w:t>
      </w:r>
      <w:r w:rsidR="007B43C6" w:rsidRPr="004E4581">
        <w:rPr>
          <w:rFonts w:ascii="Arial" w:eastAsia="Calibri" w:hAnsi="Arial" w:cs="Arial"/>
          <w:color w:val="000000" w:themeColor="text1"/>
          <w:sz w:val="22"/>
          <w:szCs w:val="22"/>
          <w:lang w:val="es-ES_tradnl"/>
        </w:rPr>
        <w:t>su relación con la Ley de Garantías</w:t>
      </w:r>
      <w:r w:rsidR="001459D2">
        <w:rPr>
          <w:rFonts w:ascii="Arial" w:eastAsia="Calibri" w:hAnsi="Arial" w:cs="Arial"/>
          <w:color w:val="000000" w:themeColor="text1"/>
          <w:sz w:val="22"/>
          <w:szCs w:val="22"/>
          <w:lang w:val="es-ES_tradnl"/>
        </w:rPr>
        <w:t xml:space="preserve"> Electorales</w:t>
      </w:r>
      <w:r w:rsidR="00DE0D15" w:rsidRPr="004E4581">
        <w:rPr>
          <w:rFonts w:ascii="Arial" w:eastAsia="Calibri" w:hAnsi="Arial" w:cs="Arial"/>
          <w:color w:val="000000" w:themeColor="text1"/>
          <w:sz w:val="22"/>
          <w:szCs w:val="22"/>
          <w:lang w:val="es-ES_tradnl"/>
        </w:rPr>
        <w:t>.</w:t>
      </w:r>
      <w:r w:rsidR="001459D2">
        <w:rPr>
          <w:rFonts w:ascii="Arial" w:eastAsia="Calibri" w:hAnsi="Arial" w:cs="Arial"/>
          <w:color w:val="000000" w:themeColor="text1"/>
          <w:sz w:val="22"/>
          <w:szCs w:val="22"/>
          <w:lang w:val="es-ES_tradnl"/>
        </w:rPr>
        <w:t xml:space="preserve"> </w:t>
      </w:r>
      <w:r w:rsidR="001459D2">
        <w:rPr>
          <w:rFonts w:ascii="Arial" w:eastAsia="Calibri" w:hAnsi="Arial" w:cs="Arial"/>
          <w:color w:val="000000" w:themeColor="text1"/>
          <w:sz w:val="22"/>
        </w:rPr>
        <w:t>Esta Agencia</w:t>
      </w:r>
      <w:r w:rsidR="00E670DD" w:rsidRPr="004E4581">
        <w:rPr>
          <w:rFonts w:ascii="Arial" w:eastAsia="Calibri" w:hAnsi="Arial" w:cs="Arial"/>
          <w:color w:val="000000" w:themeColor="text1"/>
          <w:sz w:val="22"/>
        </w:rPr>
        <w:t xml:space="preserve"> se ha pronunciado en diferentes ocasiones sobre la Ley de Garantías</w:t>
      </w:r>
      <w:r w:rsidR="001459D2">
        <w:rPr>
          <w:rFonts w:ascii="Arial" w:eastAsia="Calibri" w:hAnsi="Arial" w:cs="Arial"/>
          <w:color w:val="000000" w:themeColor="text1"/>
          <w:sz w:val="22"/>
        </w:rPr>
        <w:t xml:space="preserve"> Electorales</w:t>
      </w:r>
      <w:r w:rsidR="00E670DD" w:rsidRPr="004E4581">
        <w:rPr>
          <w:rFonts w:ascii="Arial" w:eastAsia="Calibri" w:hAnsi="Arial" w:cs="Arial"/>
          <w:color w:val="000000" w:themeColor="text1"/>
          <w:sz w:val="22"/>
        </w:rPr>
        <w:t>, entre otros, en los Conceptos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w:t>
      </w:r>
      <w:r w:rsidR="00E746A6" w:rsidRPr="004E4581">
        <w:rPr>
          <w:rFonts w:ascii="Arial" w:eastAsia="Calibri" w:hAnsi="Arial" w:cs="Arial"/>
          <w:color w:val="000000" w:themeColor="text1"/>
          <w:sz w:val="22"/>
        </w:rPr>
        <w:t xml:space="preserve">, </w:t>
      </w:r>
      <w:r w:rsidR="00974B94" w:rsidRPr="004E4581">
        <w:rPr>
          <w:rFonts w:ascii="Arial" w:eastAsia="Calibri" w:hAnsi="Arial" w:cs="Arial"/>
          <w:color w:val="000000" w:themeColor="text1"/>
          <w:sz w:val="22"/>
        </w:rPr>
        <w:t xml:space="preserve"> C-227 del 24 de mayo de 2021</w:t>
      </w:r>
      <w:r w:rsidR="00E746A6" w:rsidRPr="004E4581">
        <w:rPr>
          <w:rFonts w:ascii="Arial" w:eastAsia="Calibri" w:hAnsi="Arial" w:cs="Arial"/>
          <w:color w:val="000000" w:themeColor="text1"/>
          <w:sz w:val="22"/>
        </w:rPr>
        <w:t xml:space="preserve"> y </w:t>
      </w:r>
      <w:r w:rsidR="0030575F" w:rsidRPr="004E4581">
        <w:rPr>
          <w:rFonts w:ascii="Arial" w:eastAsia="Calibri" w:hAnsi="Arial" w:cs="Arial"/>
          <w:color w:val="000000" w:themeColor="text1"/>
          <w:sz w:val="22"/>
        </w:rPr>
        <w:t>3</w:t>
      </w:r>
      <w:r w:rsidR="00E746A6" w:rsidRPr="004E4581">
        <w:rPr>
          <w:rFonts w:ascii="Arial" w:eastAsia="Calibri" w:hAnsi="Arial" w:cs="Arial"/>
          <w:color w:val="000000" w:themeColor="text1"/>
          <w:sz w:val="22"/>
        </w:rPr>
        <w:t>96 de</w:t>
      </w:r>
      <w:r w:rsidR="0030575F" w:rsidRPr="004E4581">
        <w:rPr>
          <w:rFonts w:ascii="Arial" w:eastAsia="Calibri" w:hAnsi="Arial" w:cs="Arial"/>
          <w:color w:val="000000" w:themeColor="text1"/>
          <w:sz w:val="22"/>
        </w:rPr>
        <w:t>l 13 de agosto de</w:t>
      </w:r>
      <w:r w:rsidR="00E746A6" w:rsidRPr="004E4581">
        <w:rPr>
          <w:rFonts w:ascii="Arial" w:eastAsia="Calibri" w:hAnsi="Arial" w:cs="Arial"/>
          <w:color w:val="000000" w:themeColor="text1"/>
          <w:sz w:val="22"/>
        </w:rPr>
        <w:t xml:space="preserve"> 2021</w:t>
      </w:r>
      <w:r w:rsidR="00E552DD">
        <w:rPr>
          <w:rFonts w:ascii="Arial" w:eastAsia="Calibri" w:hAnsi="Arial" w:cs="Arial"/>
          <w:color w:val="000000" w:themeColor="text1"/>
          <w:sz w:val="22"/>
        </w:rPr>
        <w:t>, C-429 del 27 de agosto de 2021</w:t>
      </w:r>
      <w:r w:rsidR="00A161D5">
        <w:rPr>
          <w:rFonts w:ascii="Arial" w:eastAsia="Calibri" w:hAnsi="Arial" w:cs="Arial"/>
          <w:color w:val="000000" w:themeColor="text1"/>
          <w:sz w:val="22"/>
        </w:rPr>
        <w:t xml:space="preserve">, C-456 del 3 de septiembre, C-481 del 9 de septiembre de 2021, </w:t>
      </w:r>
      <w:r w:rsidR="000A0A18">
        <w:rPr>
          <w:rFonts w:ascii="Arial" w:eastAsia="Calibri" w:hAnsi="Arial" w:cs="Arial"/>
          <w:color w:val="000000" w:themeColor="text1"/>
          <w:sz w:val="22"/>
        </w:rPr>
        <w:t>C- 528 del 27 de septiembre de 2021, C-550 del 5 de octubre de 2021</w:t>
      </w:r>
      <w:r w:rsidR="004707BB">
        <w:rPr>
          <w:rFonts w:ascii="Arial" w:eastAsia="Calibri" w:hAnsi="Arial" w:cs="Arial"/>
          <w:color w:val="000000" w:themeColor="text1"/>
          <w:sz w:val="22"/>
        </w:rPr>
        <w:t xml:space="preserve">, </w:t>
      </w:r>
      <w:r w:rsidR="00E552DD">
        <w:rPr>
          <w:rFonts w:ascii="Arial" w:eastAsia="Calibri" w:hAnsi="Arial" w:cs="Arial"/>
          <w:color w:val="000000" w:themeColor="text1"/>
          <w:sz w:val="22"/>
        </w:rPr>
        <w:t xml:space="preserve"> C-523 del </w:t>
      </w:r>
      <w:r w:rsidR="00E17CD1">
        <w:rPr>
          <w:rFonts w:ascii="Arial" w:eastAsia="Calibri" w:hAnsi="Arial" w:cs="Arial"/>
          <w:color w:val="000000" w:themeColor="text1"/>
          <w:sz w:val="22"/>
        </w:rPr>
        <w:t>10 de octubre de 2021</w:t>
      </w:r>
      <w:r w:rsidR="00552481">
        <w:rPr>
          <w:rFonts w:ascii="Arial" w:eastAsia="Calibri" w:hAnsi="Arial" w:cs="Arial"/>
          <w:color w:val="000000" w:themeColor="text1"/>
          <w:sz w:val="22"/>
        </w:rPr>
        <w:t xml:space="preserve">, </w:t>
      </w:r>
      <w:r w:rsidR="004707BB">
        <w:rPr>
          <w:rFonts w:ascii="Arial" w:eastAsia="Calibri" w:hAnsi="Arial" w:cs="Arial"/>
          <w:color w:val="000000" w:themeColor="text1"/>
          <w:sz w:val="22"/>
        </w:rPr>
        <w:t>C-614 del 2 de noviembre de 2021</w:t>
      </w:r>
      <w:r w:rsidR="00552481">
        <w:rPr>
          <w:rFonts w:ascii="Arial" w:eastAsia="Calibri" w:hAnsi="Arial" w:cs="Arial"/>
          <w:color w:val="000000" w:themeColor="text1"/>
          <w:sz w:val="22"/>
        </w:rPr>
        <w:t xml:space="preserve"> y C-543 del 11 de noviembre de 2021</w:t>
      </w:r>
      <w:r w:rsidR="00974B94" w:rsidRPr="004E4581">
        <w:rPr>
          <w:rFonts w:ascii="Arial" w:eastAsia="Calibri" w:hAnsi="Arial" w:cs="Arial"/>
          <w:color w:val="000000" w:themeColor="text1"/>
          <w:sz w:val="22"/>
        </w:rPr>
        <w:t xml:space="preserve">. Teniendo en cuenta </w:t>
      </w:r>
      <w:r w:rsidR="002D283F" w:rsidRPr="004E4581">
        <w:rPr>
          <w:rFonts w:ascii="Arial" w:eastAsia="Calibri" w:hAnsi="Arial" w:cs="Arial"/>
          <w:color w:val="000000" w:themeColor="text1"/>
          <w:sz w:val="22"/>
        </w:rPr>
        <w:t>los conceptos anteriores y</w:t>
      </w:r>
      <w:r w:rsidR="00974B94" w:rsidRPr="004E4581">
        <w:rPr>
          <w:rFonts w:ascii="Arial" w:eastAsia="Calibri" w:hAnsi="Arial" w:cs="Arial"/>
          <w:color w:val="000000" w:themeColor="text1"/>
          <w:sz w:val="22"/>
        </w:rPr>
        <w:t xml:space="preserve"> </w:t>
      </w:r>
      <w:r w:rsidR="002D283F" w:rsidRPr="004E4581">
        <w:rPr>
          <w:rFonts w:ascii="Arial" w:eastAsia="Calibri" w:hAnsi="Arial" w:cs="Arial"/>
          <w:color w:val="000000" w:themeColor="text1"/>
          <w:sz w:val="22"/>
        </w:rPr>
        <w:t>analizando</w:t>
      </w:r>
      <w:r w:rsidR="00974B94" w:rsidRPr="004E4581">
        <w:rPr>
          <w:rFonts w:ascii="Arial" w:eastAsia="Calibri" w:hAnsi="Arial" w:cs="Arial"/>
          <w:color w:val="000000" w:themeColor="text1"/>
          <w:sz w:val="22"/>
        </w:rPr>
        <w:t xml:space="preserve"> la pregunta en cuestión se </w:t>
      </w:r>
      <w:r w:rsidR="002D283F" w:rsidRPr="004E4581">
        <w:rPr>
          <w:rFonts w:ascii="Arial" w:eastAsia="Calibri" w:hAnsi="Arial" w:cs="Arial"/>
          <w:color w:val="000000" w:themeColor="text1"/>
          <w:sz w:val="22"/>
        </w:rPr>
        <w:t>realizan las siguientes consideraciones.</w:t>
      </w:r>
      <w:r w:rsidR="00974B94" w:rsidRPr="004E4581">
        <w:rPr>
          <w:rFonts w:ascii="Arial" w:eastAsia="Calibri" w:hAnsi="Arial" w:cs="Arial"/>
          <w:color w:val="000000" w:themeColor="text1"/>
          <w:sz w:val="22"/>
        </w:rPr>
        <w:t xml:space="preserve"> </w:t>
      </w:r>
    </w:p>
    <w:p w14:paraId="0D27A697" w14:textId="452E95D1" w:rsidR="00F433CB" w:rsidRPr="004E4581" w:rsidRDefault="00F433CB" w:rsidP="001459D2">
      <w:pPr>
        <w:spacing w:line="276" w:lineRule="auto"/>
        <w:jc w:val="both"/>
        <w:rPr>
          <w:rFonts w:ascii="Arial" w:eastAsia="Calibri" w:hAnsi="Arial" w:cs="Arial"/>
          <w:color w:val="000000" w:themeColor="text1"/>
          <w:sz w:val="22"/>
        </w:rPr>
      </w:pPr>
    </w:p>
    <w:p w14:paraId="061B8FD6" w14:textId="77777777" w:rsidR="003C408D" w:rsidRPr="008756F3" w:rsidRDefault="003C408D" w:rsidP="003C408D">
      <w:pPr>
        <w:tabs>
          <w:tab w:val="left" w:pos="426"/>
        </w:tabs>
        <w:spacing w:line="276" w:lineRule="auto"/>
        <w:jc w:val="both"/>
        <w:rPr>
          <w:rFonts w:ascii="Arial" w:eastAsia="Calibri" w:hAnsi="Arial" w:cs="Arial"/>
          <w:b/>
          <w:bCs/>
          <w:sz w:val="22"/>
          <w:szCs w:val="22"/>
          <w:lang w:eastAsia="en-US"/>
        </w:rPr>
      </w:pPr>
      <w:r w:rsidRPr="008756F3">
        <w:rPr>
          <w:rFonts w:ascii="Arial" w:eastAsia="Calibri" w:hAnsi="Arial" w:cs="Arial"/>
          <w:b/>
          <w:bCs/>
          <w:sz w:val="22"/>
          <w:szCs w:val="22"/>
          <w:lang w:eastAsia="en-US"/>
        </w:rPr>
        <w:t>2.1. Definición y finalidad de la Ley de Garantías Electorales: alcance de las restricciones</w:t>
      </w:r>
    </w:p>
    <w:p w14:paraId="6A69ADBA" w14:textId="77777777" w:rsidR="003C408D" w:rsidRPr="008756F3" w:rsidRDefault="003C408D" w:rsidP="003C408D">
      <w:pPr>
        <w:tabs>
          <w:tab w:val="left" w:pos="426"/>
        </w:tabs>
        <w:spacing w:line="276" w:lineRule="auto"/>
        <w:ind w:firstLine="709"/>
        <w:jc w:val="both"/>
        <w:rPr>
          <w:rFonts w:ascii="Arial" w:eastAsia="Calibri" w:hAnsi="Arial" w:cs="Arial"/>
          <w:bCs/>
          <w:sz w:val="22"/>
          <w:szCs w:val="22"/>
          <w:lang w:eastAsia="en-US"/>
        </w:rPr>
      </w:pPr>
    </w:p>
    <w:p w14:paraId="733AA01E" w14:textId="77777777" w:rsidR="003C408D" w:rsidRPr="008756F3" w:rsidRDefault="003C408D" w:rsidP="003C408D">
      <w:pPr>
        <w:tabs>
          <w:tab w:val="left" w:pos="426"/>
        </w:tabs>
        <w:spacing w:after="120" w:line="276" w:lineRule="auto"/>
        <w:jc w:val="both"/>
        <w:rPr>
          <w:rFonts w:ascii="Arial" w:hAnsi="Arial" w:cs="Arial"/>
          <w:bCs/>
          <w:sz w:val="22"/>
          <w:szCs w:val="22"/>
          <w:lang w:eastAsia="es-CO"/>
        </w:rPr>
      </w:pPr>
      <w:r w:rsidRPr="008756F3">
        <w:rPr>
          <w:rFonts w:ascii="Arial" w:eastAsia="Calibri" w:hAnsi="Arial" w:cs="Arial"/>
          <w:bCs/>
          <w:sz w:val="22"/>
          <w:szCs w:val="22"/>
          <w:lang w:eastAsia="en-US"/>
        </w:rPr>
        <w:t>El ordenamiento jurídico colombiano contempla previsiones claras para evitar la obtención de beneficios personales en asuntos propios de la administración pública</w:t>
      </w:r>
      <w:r w:rsidRPr="008756F3">
        <w:rPr>
          <w:rFonts w:ascii="Arial" w:eastAsia="Calibri" w:hAnsi="Arial" w:cs="Arial"/>
          <w:bCs/>
          <w:i/>
          <w:iCs/>
          <w:sz w:val="22"/>
          <w:szCs w:val="22"/>
          <w:lang w:eastAsia="en-US"/>
        </w:rPr>
        <w:t xml:space="preserve">. </w:t>
      </w:r>
      <w:r w:rsidRPr="008756F3">
        <w:rPr>
          <w:rFonts w:ascii="Arial" w:eastAsia="Calibri" w:hAnsi="Arial"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8756F3">
        <w:rPr>
          <w:rFonts w:ascii="Arial" w:eastAsia="Calibri" w:hAnsi="Arial" w:cs="Arial"/>
          <w:bCs/>
          <w:sz w:val="22"/>
          <w:szCs w:val="22"/>
          <w:vertAlign w:val="superscript"/>
          <w:lang w:eastAsia="en-US"/>
        </w:rPr>
        <w:footnoteReference w:id="2"/>
      </w:r>
      <w:r w:rsidRPr="008756F3">
        <w:rPr>
          <w:rFonts w:ascii="Arial" w:eastAsia="Calibri" w:hAnsi="Arial" w:cs="Arial"/>
          <w:bCs/>
          <w:sz w:val="22"/>
          <w:szCs w:val="22"/>
          <w:lang w:eastAsia="en-US"/>
        </w:rPr>
        <w:t xml:space="preserve">. </w:t>
      </w:r>
    </w:p>
    <w:p w14:paraId="2B1DA027" w14:textId="62E4F680" w:rsidR="003C408D" w:rsidRPr="008756F3" w:rsidRDefault="003C408D" w:rsidP="003C408D">
      <w:pPr>
        <w:tabs>
          <w:tab w:val="left" w:pos="426"/>
        </w:tabs>
        <w:spacing w:line="276" w:lineRule="auto"/>
        <w:ind w:firstLine="709"/>
        <w:jc w:val="both"/>
        <w:rPr>
          <w:rFonts w:ascii="Arial" w:hAnsi="Arial" w:cs="Arial"/>
          <w:bCs/>
          <w:sz w:val="22"/>
          <w:szCs w:val="22"/>
          <w:lang w:val="es-MX" w:eastAsia="es-CO"/>
        </w:rPr>
      </w:pPr>
      <w:r w:rsidRPr="008756F3">
        <w:rPr>
          <w:rFonts w:ascii="Arial" w:hAnsi="Arial" w:cs="Arial"/>
          <w:bCs/>
          <w:sz w:val="22"/>
          <w:szCs w:val="22"/>
          <w:lang w:eastAsia="es-CO"/>
        </w:rPr>
        <w:t>En el mismo sentido</w:t>
      </w:r>
      <w:r w:rsidRPr="008756F3">
        <w:rPr>
          <w:rFonts w:ascii="Arial" w:hAnsi="Arial" w:cs="Arial"/>
          <w:bCs/>
          <w:sz w:val="22"/>
          <w:szCs w:val="22"/>
          <w:lang w:val="es-MX" w:eastAsia="es-CO"/>
        </w:rPr>
        <w:t>, la Ley 996 de 2005, conocida como «Ley de Garantías Electorales», se suma a</w:t>
      </w:r>
      <w:r w:rsidR="0085644D">
        <w:rPr>
          <w:rFonts w:ascii="Arial" w:hAnsi="Arial" w:cs="Arial"/>
          <w:bCs/>
          <w:sz w:val="22"/>
          <w:szCs w:val="22"/>
          <w:lang w:val="es-MX" w:eastAsia="es-CO"/>
        </w:rPr>
        <w:t xml:space="preserve"> la normatividad</w:t>
      </w:r>
      <w:r w:rsidRPr="008756F3">
        <w:rPr>
          <w:rFonts w:ascii="Arial" w:hAnsi="Arial" w:cs="Arial"/>
          <w:bCs/>
          <w:sz w:val="22"/>
          <w:szCs w:val="22"/>
          <w:lang w:val="es-MX" w:eastAsia="es-CO"/>
        </w:rPr>
        <w:t xml:space="preserve"> de orden constitucional y legal que se ha ocupado de evitar la injerencia inadecuada de intereses particulares en el ejercicio de la función </w:t>
      </w:r>
      <w:r w:rsidRPr="008756F3">
        <w:rPr>
          <w:rFonts w:ascii="Arial" w:hAnsi="Arial" w:cs="Arial"/>
          <w:bCs/>
          <w:sz w:val="22"/>
          <w:szCs w:val="22"/>
          <w:lang w:val="es-MX" w:eastAsia="es-CO"/>
        </w:rPr>
        <w:lastRenderedPageBreak/>
        <w:t>pública. Esta ley tiene como propósito evitar cualquier tipo de arbitrariedad, de ventaja injustificada, de uso irregular de los recursos del Estado en las campañas o falta de garantías en la elección presidencial</w:t>
      </w:r>
      <w:r w:rsidRPr="008756F3">
        <w:rPr>
          <w:rFonts w:ascii="Arial" w:hAnsi="Arial" w:cs="Arial"/>
          <w:bCs/>
          <w:sz w:val="22"/>
          <w:szCs w:val="22"/>
          <w:vertAlign w:val="superscript"/>
          <w:lang w:val="es-MX" w:eastAsia="es-CO"/>
        </w:rPr>
        <w:footnoteReference w:id="3"/>
      </w:r>
      <w:r w:rsidRPr="008756F3">
        <w:rPr>
          <w:rFonts w:ascii="Arial" w:hAnsi="Arial" w:cs="Arial"/>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8756F3">
        <w:rPr>
          <w:rFonts w:ascii="Arial" w:eastAsia="Calibri" w:hAnsi="Arial" w:cs="Arial"/>
          <w:noProof/>
          <w:sz w:val="22"/>
          <w:szCs w:val="22"/>
          <w:lang w:val="es-ES_tradnl" w:eastAsia="en-US"/>
        </w:rPr>
        <w:t xml:space="preserve"> </w:t>
      </w:r>
      <w:r w:rsidRPr="008756F3">
        <w:rPr>
          <w:rFonts w:ascii="Arial" w:hAnsi="Arial" w:cs="Arial"/>
          <w:bCs/>
          <w:sz w:val="22"/>
          <w:szCs w:val="22"/>
          <w:lang w:val="es-MX" w:eastAsia="es-CO"/>
        </w:rPr>
        <w:t>En armonía con lo anterior, la Corte Constitucional ha abordado la definición de la Ley de Garantías Electorales. De esta manera, explica que tiene como propósito:</w:t>
      </w:r>
    </w:p>
    <w:p w14:paraId="2A95B862" w14:textId="77777777" w:rsidR="003C408D" w:rsidRPr="008756F3" w:rsidRDefault="003C408D" w:rsidP="003C408D">
      <w:pPr>
        <w:ind w:right="709"/>
        <w:jc w:val="both"/>
        <w:rPr>
          <w:rFonts w:ascii="Arial" w:hAnsi="Arial" w:cs="Arial"/>
          <w:sz w:val="21"/>
          <w:szCs w:val="21"/>
          <w:lang w:val="es-ES" w:eastAsia="es-CO"/>
        </w:rPr>
      </w:pPr>
    </w:p>
    <w:p w14:paraId="4CCF54A1" w14:textId="77777777" w:rsidR="003C408D" w:rsidRPr="008756F3" w:rsidRDefault="003C408D" w:rsidP="003C408D">
      <w:pPr>
        <w:ind w:left="709" w:right="709"/>
        <w:jc w:val="both"/>
        <w:rPr>
          <w:rFonts w:ascii="Arial" w:hAnsi="Arial" w:cs="Arial"/>
          <w:bCs/>
          <w:sz w:val="21"/>
          <w:szCs w:val="21"/>
          <w:lang w:val="es-MX" w:eastAsia="es-CO"/>
        </w:rPr>
      </w:pPr>
      <w:r w:rsidRPr="008756F3">
        <w:rPr>
          <w:rFonts w:ascii="Arial" w:hAnsi="Arial" w:cs="Arial"/>
          <w:sz w:val="21"/>
          <w:szCs w:val="21"/>
          <w:lang w:val="es-ES" w:eastAsia="es-CO"/>
        </w:rPr>
        <w:t xml:space="preserve">[…] </w:t>
      </w:r>
      <w:r w:rsidRPr="008756F3">
        <w:rPr>
          <w:rFonts w:ascii="Arial" w:hAnsi="Arial" w:cs="Arial"/>
          <w:bCs/>
          <w:sz w:val="21"/>
          <w:szCs w:val="21"/>
          <w:lang w:val="es-MX" w:eastAsia="es-CO"/>
        </w:rPr>
        <w:t>la definición de reglas claras que permitan acceder a los canales de expresión democrática de manera efectiva e igualitaria. El objetivo de una ley de garantías es definir esas reglas.</w:t>
      </w:r>
    </w:p>
    <w:p w14:paraId="48EE73D6" w14:textId="77777777" w:rsidR="003C408D" w:rsidRPr="008756F3" w:rsidRDefault="003C408D" w:rsidP="003C408D">
      <w:pPr>
        <w:spacing w:after="120"/>
        <w:ind w:left="709" w:right="709"/>
        <w:jc w:val="both"/>
        <w:rPr>
          <w:rFonts w:ascii="Arial" w:hAnsi="Arial" w:cs="Arial"/>
          <w:bCs/>
          <w:sz w:val="21"/>
          <w:szCs w:val="21"/>
          <w:lang w:val="es-MX" w:eastAsia="es-CO"/>
        </w:rPr>
      </w:pPr>
      <w:r w:rsidRPr="008756F3">
        <w:rPr>
          <w:rFonts w:ascii="Arial" w:hAnsi="Arial" w:cs="Arial"/>
          <w:bCs/>
          <w:sz w:val="21"/>
          <w:szCs w:val="21"/>
          <w:lang w:val="es-MX" w:eastAsia="es-CO"/>
        </w:rPr>
        <w:t xml:space="preserve">[…] </w:t>
      </w:r>
    </w:p>
    <w:p w14:paraId="7EDEC04A" w14:textId="77777777" w:rsidR="003C408D" w:rsidRPr="008756F3" w:rsidRDefault="003C408D" w:rsidP="003C408D">
      <w:pPr>
        <w:ind w:left="709" w:right="709"/>
        <w:jc w:val="both"/>
        <w:rPr>
          <w:rFonts w:ascii="Arial" w:hAnsi="Arial" w:cs="Arial"/>
          <w:bCs/>
          <w:sz w:val="21"/>
          <w:szCs w:val="21"/>
          <w:lang w:val="es-MX" w:eastAsia="es-CO"/>
        </w:rPr>
      </w:pPr>
      <w:r w:rsidRPr="008756F3">
        <w:rPr>
          <w:rFonts w:ascii="Arial" w:hAnsi="Arial" w:cs="Arial"/>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756F3">
        <w:rPr>
          <w:rFonts w:ascii="Arial" w:eastAsiaTheme="minorHAnsi" w:hAnsi="Arial" w:cs="Arial"/>
          <w:sz w:val="20"/>
          <w:szCs w:val="20"/>
          <w:vertAlign w:val="superscript"/>
          <w:lang w:val="es-MX" w:eastAsia="en-US"/>
        </w:rPr>
        <w:footnoteReference w:id="4"/>
      </w:r>
    </w:p>
    <w:p w14:paraId="4283D822" w14:textId="77777777" w:rsidR="003C408D" w:rsidRPr="008756F3" w:rsidRDefault="003C408D" w:rsidP="003C408D">
      <w:pPr>
        <w:spacing w:line="276" w:lineRule="auto"/>
        <w:ind w:left="709" w:right="709"/>
        <w:jc w:val="both"/>
        <w:rPr>
          <w:rFonts w:ascii="Arial" w:hAnsi="Arial" w:cs="Arial"/>
          <w:bCs/>
          <w:sz w:val="21"/>
          <w:szCs w:val="21"/>
          <w:lang w:val="es-MX" w:eastAsia="es-CO"/>
        </w:rPr>
      </w:pPr>
    </w:p>
    <w:p w14:paraId="570776ED" w14:textId="77777777" w:rsidR="003C408D" w:rsidRPr="008756F3" w:rsidRDefault="003C408D" w:rsidP="003C408D">
      <w:pPr>
        <w:spacing w:line="276" w:lineRule="auto"/>
        <w:ind w:firstLine="709"/>
        <w:jc w:val="both"/>
        <w:rPr>
          <w:rFonts w:ascii="Arial" w:hAnsi="Arial" w:cs="Arial"/>
          <w:bCs/>
          <w:sz w:val="22"/>
          <w:szCs w:val="22"/>
          <w:lang w:val="es-MX" w:eastAsia="es-CO"/>
        </w:rPr>
      </w:pPr>
      <w:r w:rsidRPr="008756F3">
        <w:rPr>
          <w:rFonts w:ascii="Arial" w:hAnsi="Arial" w:cs="Arial"/>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546A557C" w14:textId="77777777" w:rsidR="003C408D" w:rsidRPr="008756F3" w:rsidRDefault="003C408D" w:rsidP="003C408D">
      <w:pPr>
        <w:spacing w:line="276" w:lineRule="auto"/>
        <w:ind w:firstLine="709"/>
        <w:jc w:val="both"/>
        <w:rPr>
          <w:rFonts w:ascii="Arial" w:hAnsi="Arial" w:cs="Arial"/>
          <w:bCs/>
          <w:sz w:val="22"/>
          <w:szCs w:val="22"/>
          <w:lang w:val="es-MX" w:eastAsia="es-CO"/>
        </w:rPr>
      </w:pPr>
    </w:p>
    <w:p w14:paraId="0E5E6BC3" w14:textId="77777777" w:rsidR="003C408D" w:rsidRPr="008756F3" w:rsidRDefault="003C408D" w:rsidP="003C408D">
      <w:pPr>
        <w:spacing w:after="120"/>
        <w:ind w:left="709" w:right="709"/>
        <w:jc w:val="both"/>
        <w:rPr>
          <w:rFonts w:ascii="Arial" w:hAnsi="Arial" w:cs="Arial"/>
          <w:bCs/>
          <w:sz w:val="21"/>
          <w:szCs w:val="21"/>
          <w:lang w:val="es-MX" w:eastAsia="es-CO"/>
        </w:rPr>
      </w:pPr>
      <w:r w:rsidRPr="008756F3">
        <w:rPr>
          <w:rFonts w:ascii="Arial" w:hAnsi="Arial" w:cs="Arial"/>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756F3">
        <w:rPr>
          <w:rFonts w:ascii="Arial" w:hAnsi="Arial" w:cs="Arial"/>
          <w:bCs/>
          <w:sz w:val="21"/>
          <w:szCs w:val="21"/>
          <w:lang w:val="es-MX" w:eastAsia="es-CO"/>
        </w:rPr>
        <w:t>legis</w:t>
      </w:r>
      <w:proofErr w:type="spellEnd"/>
      <w:r w:rsidRPr="008756F3">
        <w:rPr>
          <w:rFonts w:ascii="Arial" w:hAnsi="Arial" w:cs="Arial"/>
          <w:bCs/>
          <w:sz w:val="21"/>
          <w:szCs w:val="21"/>
          <w:lang w:val="es-MX" w:eastAsia="es-CO"/>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5758D907" w14:textId="77777777" w:rsidR="003C408D" w:rsidRPr="008756F3" w:rsidRDefault="003C408D" w:rsidP="003C408D">
      <w:pPr>
        <w:ind w:left="709" w:right="709"/>
        <w:jc w:val="both"/>
        <w:rPr>
          <w:rFonts w:ascii="Arial" w:hAnsi="Arial" w:cs="Arial"/>
          <w:bCs/>
          <w:sz w:val="21"/>
          <w:szCs w:val="21"/>
          <w:lang w:val="es-MX" w:eastAsia="es-CO"/>
        </w:rPr>
      </w:pPr>
      <w:r w:rsidRPr="008756F3">
        <w:rPr>
          <w:rFonts w:ascii="Arial" w:hAnsi="Arial" w:cs="Arial"/>
          <w:bCs/>
          <w:sz w:val="21"/>
          <w:szCs w:val="21"/>
          <w:lang w:val="es-MX" w:eastAsia="es-CO"/>
        </w:rPr>
        <w:lastRenderedPageBreak/>
        <w:t>La jurisprudencia de la Corte Constitucional</w:t>
      </w:r>
      <w:r w:rsidRPr="008756F3">
        <w:rPr>
          <w:rFonts w:ascii="Arial" w:hAnsi="Arial" w:cs="Arial"/>
          <w:bCs/>
          <w:sz w:val="21"/>
          <w:szCs w:val="21"/>
          <w:vertAlign w:val="superscript"/>
          <w:lang w:val="es-MX" w:eastAsia="es-CO"/>
        </w:rPr>
        <w:footnoteReference w:id="5"/>
      </w:r>
      <w:r w:rsidRPr="008756F3">
        <w:rPr>
          <w:rFonts w:ascii="Arial" w:hAnsi="Arial" w:cs="Arial"/>
          <w:bCs/>
          <w:sz w:val="21"/>
          <w:szCs w:val="21"/>
          <w:lang w:val="es-MX" w:eastAsia="es-CO"/>
        </w:rPr>
        <w:t> y del Consejo de Estado</w:t>
      </w:r>
      <w:r w:rsidRPr="008756F3">
        <w:rPr>
          <w:rFonts w:ascii="Arial" w:hAnsi="Arial" w:cs="Arial"/>
          <w:bCs/>
          <w:sz w:val="21"/>
          <w:szCs w:val="21"/>
          <w:vertAlign w:val="superscript"/>
          <w:lang w:val="es-MX" w:eastAsia="es-CO"/>
        </w:rPr>
        <w:footnoteReference w:id="6"/>
      </w:r>
      <w:r w:rsidRPr="008756F3">
        <w:rPr>
          <w:rFonts w:ascii="Arial" w:hAnsi="Arial" w:cs="Arial"/>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756F3">
        <w:rPr>
          <w:rFonts w:ascii="Arial" w:hAnsi="Arial" w:cs="Arial"/>
          <w:bCs/>
          <w:sz w:val="22"/>
          <w:szCs w:val="22"/>
          <w:vertAlign w:val="superscript"/>
          <w:lang w:val="es-MX" w:eastAsia="es-CO"/>
        </w:rPr>
        <w:footnoteReference w:id="7"/>
      </w:r>
      <w:r w:rsidRPr="008756F3">
        <w:rPr>
          <w:rFonts w:ascii="Arial" w:hAnsi="Arial" w:cs="Arial"/>
          <w:bCs/>
          <w:sz w:val="21"/>
          <w:szCs w:val="21"/>
          <w:lang w:val="es-MX" w:eastAsia="es-CO"/>
        </w:rPr>
        <w:t>.</w:t>
      </w:r>
    </w:p>
    <w:p w14:paraId="068ABC6F" w14:textId="77777777" w:rsidR="003C408D" w:rsidRPr="008756F3" w:rsidRDefault="003C408D" w:rsidP="003C408D">
      <w:pPr>
        <w:spacing w:line="276" w:lineRule="auto"/>
        <w:ind w:right="709"/>
        <w:jc w:val="both"/>
        <w:rPr>
          <w:rFonts w:ascii="Arial" w:hAnsi="Arial" w:cs="Arial"/>
          <w:bCs/>
          <w:sz w:val="22"/>
          <w:szCs w:val="22"/>
          <w:lang w:val="es-MX" w:eastAsia="es-CO"/>
        </w:rPr>
      </w:pPr>
    </w:p>
    <w:p w14:paraId="136BAE77" w14:textId="77777777" w:rsidR="003C408D" w:rsidRPr="008756F3" w:rsidRDefault="003C408D" w:rsidP="003C408D">
      <w:pPr>
        <w:spacing w:after="120" w:line="276" w:lineRule="auto"/>
        <w:jc w:val="both"/>
        <w:rPr>
          <w:rFonts w:ascii="Arial" w:eastAsia="Arial" w:hAnsi="Arial" w:cs="Arial"/>
          <w:sz w:val="22"/>
          <w:szCs w:val="22"/>
          <w:lang w:val="es-ES" w:eastAsia="es-ES" w:bidi="es-ES"/>
        </w:rPr>
      </w:pPr>
      <w:r w:rsidRPr="008756F3">
        <w:rPr>
          <w:rFonts w:ascii="Arial" w:hAnsi="Arial" w:cs="Arial"/>
          <w:bCs/>
          <w:sz w:val="22"/>
          <w:szCs w:val="22"/>
          <w:lang w:val="es-MX" w:eastAsia="es-CO"/>
        </w:rPr>
        <w:tab/>
        <w:t>De</w:t>
      </w:r>
      <w:r w:rsidRPr="008756F3">
        <w:rPr>
          <w:rFonts w:ascii="Arial" w:eastAsia="Arial" w:hAnsi="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2510D14A" w14:textId="77777777" w:rsidR="003C408D" w:rsidRPr="008756F3" w:rsidRDefault="003C408D" w:rsidP="003C408D">
      <w:pPr>
        <w:spacing w:after="120" w:line="276" w:lineRule="auto"/>
        <w:ind w:firstLine="708"/>
        <w:jc w:val="both"/>
        <w:rPr>
          <w:rFonts w:ascii="Arial" w:eastAsia="Calibri" w:hAnsi="Arial" w:cs="Arial"/>
          <w:sz w:val="22"/>
          <w:szCs w:val="22"/>
          <w:lang w:eastAsia="en-US"/>
        </w:rPr>
      </w:pPr>
      <w:r w:rsidRPr="008756F3">
        <w:rPr>
          <w:rFonts w:ascii="Arial" w:eastAsia="Calibri" w:hAnsi="Arial" w:cs="Arial"/>
          <w:sz w:val="22"/>
          <w:szCs w:val="22"/>
          <w:lang w:eastAsia="en-US"/>
        </w:rPr>
        <w:t xml:space="preserve">Por un lado, el artículo 33 de la Ley 996 de 2005 prohíbe </w:t>
      </w:r>
      <w:r w:rsidRPr="008756F3">
        <w:rPr>
          <w:rFonts w:ascii="Arial" w:eastAsia="Calibri" w:hAnsi="Arial" w:cs="Arial"/>
          <w:bCs/>
          <w:sz w:val="22"/>
          <w:szCs w:val="22"/>
          <w:lang w:eastAsia="en-US"/>
        </w:rPr>
        <w:t xml:space="preserve">«[…] </w:t>
      </w:r>
      <w:r w:rsidRPr="008756F3">
        <w:rPr>
          <w:rFonts w:ascii="Arial" w:eastAsia="Calibri" w:hAnsi="Arial" w:cs="Arial"/>
          <w:sz w:val="22"/>
          <w:szCs w:val="22"/>
          <w:lang w:eastAsia="en-US"/>
        </w:rPr>
        <w:t>la contratación directa por parte de todos los entes del Estado</w:t>
      </w:r>
      <w:r w:rsidRPr="008756F3">
        <w:rPr>
          <w:rFonts w:ascii="Arial" w:eastAsia="Calibri" w:hAnsi="Arial" w:cs="Arial"/>
          <w:bCs/>
          <w:sz w:val="22"/>
          <w:szCs w:val="22"/>
          <w:lang w:eastAsia="en-US"/>
        </w:rPr>
        <w:t>»</w:t>
      </w:r>
      <w:r w:rsidRPr="008756F3">
        <w:rPr>
          <w:rFonts w:ascii="Arial" w:eastAsia="Calibri" w:hAnsi="Arial" w:cs="Arial"/>
          <w:sz w:val="22"/>
          <w:szCs w:val="22"/>
          <w:lang w:eastAsia="en-US"/>
        </w:rPr>
        <w:t xml:space="preserve"> durante los cuatro (4) meses anteriores a las elecciones presidenciales, salvo </w:t>
      </w:r>
      <w:r w:rsidRPr="008756F3">
        <w:rPr>
          <w:rFonts w:ascii="Arial" w:eastAsia="Calibri" w:hAnsi="Arial" w:cs="Arial"/>
          <w:bCs/>
          <w:sz w:val="22"/>
          <w:szCs w:val="22"/>
          <w:lang w:eastAsia="en-US"/>
        </w:rPr>
        <w:t xml:space="preserve">«[…] </w:t>
      </w:r>
      <w:r w:rsidRPr="008756F3">
        <w:rPr>
          <w:rFonts w:ascii="Arial" w:eastAsia="Calibri" w:hAnsi="Arial"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756F3">
        <w:rPr>
          <w:rFonts w:ascii="Arial" w:eastAsia="Calibri" w:hAnsi="Arial" w:cs="Arial"/>
          <w:bCs/>
          <w:sz w:val="22"/>
          <w:szCs w:val="22"/>
          <w:lang w:eastAsia="en-US"/>
        </w:rPr>
        <w:t>»</w:t>
      </w:r>
      <w:r w:rsidRPr="008756F3">
        <w:rPr>
          <w:rFonts w:ascii="Arial" w:eastAsia="Calibri" w:hAnsi="Arial" w:cs="Arial"/>
          <w:bCs/>
          <w:sz w:val="22"/>
          <w:szCs w:val="22"/>
          <w:vertAlign w:val="superscript"/>
          <w:lang w:eastAsia="en-US"/>
        </w:rPr>
        <w:footnoteReference w:id="8"/>
      </w:r>
      <w:r w:rsidRPr="008756F3">
        <w:rPr>
          <w:rFonts w:ascii="Arial" w:eastAsia="Calibri" w:hAnsi="Arial" w:cs="Arial"/>
          <w:sz w:val="22"/>
          <w:szCs w:val="22"/>
          <w:lang w:eastAsia="en-US"/>
        </w:rPr>
        <w:t>.</w:t>
      </w:r>
    </w:p>
    <w:p w14:paraId="1139D75B" w14:textId="77777777" w:rsidR="003C408D" w:rsidRPr="008756F3" w:rsidRDefault="003C408D" w:rsidP="003C408D">
      <w:pPr>
        <w:widowControl w:val="0"/>
        <w:autoSpaceDE w:val="0"/>
        <w:autoSpaceDN w:val="0"/>
        <w:spacing w:line="276" w:lineRule="auto"/>
        <w:ind w:right="113" w:firstLine="708"/>
        <w:jc w:val="both"/>
        <w:rPr>
          <w:rFonts w:ascii="Arial" w:eastAsia="Arial" w:hAnsi="Arial" w:cs="Arial"/>
          <w:sz w:val="22"/>
          <w:szCs w:val="22"/>
          <w:lang w:val="es-ES" w:eastAsia="es-ES" w:bidi="es-ES"/>
        </w:rPr>
      </w:pPr>
      <w:r w:rsidRPr="008756F3">
        <w:rPr>
          <w:rFonts w:ascii="Arial" w:eastAsia="Calibri" w:hAnsi="Arial" w:cs="Arial"/>
          <w:sz w:val="22"/>
          <w:szCs w:val="22"/>
          <w:lang w:eastAsia="en-US"/>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8756F3">
        <w:rPr>
          <w:rFonts w:ascii="Arial" w:eastAsia="Calibri" w:hAnsi="Arial" w:cs="Arial"/>
          <w:bCs/>
          <w:sz w:val="22"/>
          <w:szCs w:val="22"/>
          <w:lang w:eastAsia="en-US"/>
        </w:rPr>
        <w:t xml:space="preserve">«[…] </w:t>
      </w:r>
      <w:r w:rsidRPr="008756F3">
        <w:rPr>
          <w:rFonts w:ascii="Arial" w:eastAsia="Calibri" w:hAnsi="Arial"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756F3">
        <w:rPr>
          <w:rFonts w:ascii="Arial" w:eastAsia="Calibri" w:hAnsi="Arial" w:cs="Arial"/>
          <w:bCs/>
          <w:sz w:val="19"/>
          <w:szCs w:val="19"/>
          <w:lang w:eastAsia="en-US"/>
        </w:rPr>
        <w:t>»</w:t>
      </w:r>
      <w:r w:rsidRPr="008756F3">
        <w:rPr>
          <w:rFonts w:ascii="Arial" w:eastAsia="Calibri" w:hAnsi="Arial" w:cs="Arial"/>
          <w:bCs/>
          <w:sz w:val="19"/>
          <w:szCs w:val="19"/>
          <w:vertAlign w:val="superscript"/>
          <w:lang w:eastAsia="en-US"/>
        </w:rPr>
        <w:footnoteReference w:id="9"/>
      </w:r>
      <w:r w:rsidRPr="008756F3">
        <w:rPr>
          <w:rFonts w:ascii="Arial" w:eastAsia="Calibri" w:hAnsi="Arial" w:cs="Arial"/>
          <w:sz w:val="22"/>
          <w:szCs w:val="22"/>
          <w:lang w:val="es-MX" w:eastAsia="en-US"/>
        </w:rPr>
        <w:t>.</w:t>
      </w:r>
      <w:r w:rsidRPr="008756F3">
        <w:rPr>
          <w:rFonts w:ascii="Arial" w:eastAsia="Arial" w:hAnsi="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14:paraId="73077EDE" w14:textId="77777777" w:rsidR="003C408D" w:rsidRPr="008756F3" w:rsidRDefault="003C408D" w:rsidP="003C408D">
      <w:pPr>
        <w:widowControl w:val="0"/>
        <w:autoSpaceDE w:val="0"/>
        <w:autoSpaceDN w:val="0"/>
        <w:ind w:left="805" w:right="812"/>
        <w:jc w:val="both"/>
        <w:rPr>
          <w:rFonts w:ascii="Arial" w:eastAsia="Arial" w:hAnsi="Arial" w:cs="Arial"/>
          <w:sz w:val="22"/>
          <w:szCs w:val="22"/>
          <w:lang w:val="es-ES" w:eastAsia="es-ES" w:bidi="es-ES"/>
        </w:rPr>
      </w:pPr>
    </w:p>
    <w:p w14:paraId="019B0F6D" w14:textId="77777777" w:rsidR="003C408D" w:rsidRPr="008756F3" w:rsidRDefault="003C408D" w:rsidP="003C408D">
      <w:pPr>
        <w:widowControl w:val="0"/>
        <w:autoSpaceDE w:val="0"/>
        <w:autoSpaceDN w:val="0"/>
        <w:ind w:left="709" w:right="709"/>
        <w:jc w:val="both"/>
        <w:rPr>
          <w:rFonts w:ascii="Arial" w:eastAsia="Arial" w:hAnsi="Arial" w:cs="Arial"/>
          <w:sz w:val="21"/>
          <w:szCs w:val="21"/>
          <w:lang w:val="es-ES" w:eastAsia="es-ES" w:bidi="es-ES"/>
        </w:rPr>
      </w:pPr>
      <w:r w:rsidRPr="008756F3">
        <w:rPr>
          <w:rFonts w:ascii="Arial" w:eastAsia="Arial" w:hAnsi="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8756F3">
        <w:rPr>
          <w:rFonts w:ascii="Arial" w:eastAsia="Arial" w:hAnsi="Arial" w:cs="Arial"/>
          <w:bCs/>
          <w:sz w:val="21"/>
          <w:szCs w:val="21"/>
          <w:lang w:val="es-ES" w:eastAsia="es-ES" w:bidi="es-ES"/>
        </w:rPr>
        <w:t xml:space="preserve">En cambio, para elecciones en general, excluyendo las correspondientes a </w:t>
      </w:r>
      <w:proofErr w:type="gramStart"/>
      <w:r w:rsidRPr="008756F3">
        <w:rPr>
          <w:rFonts w:ascii="Arial" w:eastAsia="Arial" w:hAnsi="Arial" w:cs="Arial"/>
          <w:bCs/>
          <w:sz w:val="21"/>
          <w:szCs w:val="21"/>
          <w:lang w:val="es-ES" w:eastAsia="es-ES" w:bidi="es-ES"/>
        </w:rPr>
        <w:t>Presidente</w:t>
      </w:r>
      <w:proofErr w:type="gramEnd"/>
      <w:r w:rsidRPr="008756F3">
        <w:rPr>
          <w:rFonts w:ascii="Arial" w:eastAsia="Arial" w:hAnsi="Arial" w:cs="Arial"/>
          <w:bCs/>
          <w:sz w:val="21"/>
          <w:szCs w:val="21"/>
          <w:lang w:val="es-ES" w:eastAsia="es-ES" w:bidi="es-ES"/>
        </w:rPr>
        <w:t xml:space="preserve"> de la República, a las autoridades territoriales allí mencionadas sólo se aplican las restricciones contenidas en el parágrafo del artículo 38</w:t>
      </w:r>
      <w:r w:rsidRPr="008756F3">
        <w:rPr>
          <w:rFonts w:ascii="Arial" w:eastAsia="Arial" w:hAnsi="Arial" w:cs="Arial"/>
          <w:sz w:val="21"/>
          <w:szCs w:val="21"/>
          <w:vertAlign w:val="superscript"/>
          <w:lang w:val="es-ES" w:eastAsia="es-ES" w:bidi="es-ES"/>
        </w:rPr>
        <w:footnoteReference w:id="10"/>
      </w:r>
      <w:r w:rsidRPr="008756F3">
        <w:rPr>
          <w:rFonts w:ascii="Arial" w:eastAsia="Arial" w:hAnsi="Arial" w:cs="Arial"/>
          <w:bCs/>
          <w:sz w:val="21"/>
          <w:szCs w:val="21"/>
          <w:lang w:val="es-ES" w:eastAsia="es-ES" w:bidi="es-ES"/>
        </w:rPr>
        <w:t>.</w:t>
      </w:r>
    </w:p>
    <w:p w14:paraId="34AB76FB" w14:textId="77777777" w:rsidR="003C408D" w:rsidRPr="00F23E83" w:rsidRDefault="003C408D" w:rsidP="003C408D">
      <w:pPr>
        <w:widowControl w:val="0"/>
        <w:autoSpaceDE w:val="0"/>
        <w:autoSpaceDN w:val="0"/>
        <w:spacing w:before="8"/>
        <w:rPr>
          <w:rFonts w:ascii="Arial" w:eastAsia="Arial" w:hAnsi="Arial" w:cs="Arial"/>
          <w:sz w:val="22"/>
          <w:szCs w:val="22"/>
          <w:lang w:val="es-ES" w:eastAsia="es-ES" w:bidi="es-ES"/>
        </w:rPr>
      </w:pPr>
    </w:p>
    <w:p w14:paraId="31003F5F" w14:textId="77777777" w:rsidR="003C408D" w:rsidRPr="008756F3" w:rsidRDefault="003C408D" w:rsidP="003C408D">
      <w:pPr>
        <w:spacing w:after="120" w:line="276" w:lineRule="auto"/>
        <w:ind w:firstLine="709"/>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lastRenderedPageBreak/>
        <w:t xml:space="preserve">De </w:t>
      </w:r>
      <w:r>
        <w:rPr>
          <w:rFonts w:ascii="Arial" w:eastAsia="Arial" w:hAnsi="Arial" w:cs="Arial"/>
          <w:sz w:val="22"/>
          <w:szCs w:val="22"/>
          <w:lang w:val="es-ES" w:eastAsia="es-ES" w:bidi="es-ES"/>
        </w:rPr>
        <w:t>lo anterior se desprende que</w:t>
      </w:r>
      <w:r w:rsidRPr="008756F3">
        <w:rPr>
          <w:rFonts w:ascii="Arial" w:eastAsia="Arial" w:hAnsi="Arial" w:cs="Arial"/>
          <w:sz w:val="22"/>
          <w:szCs w:val="22"/>
          <w:lang w:val="es-ES" w:eastAsia="es-ES" w:bidi="es-ES"/>
        </w:rPr>
        <w:t xml:space="preserve"> la Ley 996 de 2005 establece dos (2) tipos de restricciones en materia de contratación, las cuales coinciden parcialmente. </w:t>
      </w:r>
      <w:r w:rsidRPr="008756F3">
        <w:rPr>
          <w:rFonts w:ascii="Arial" w:eastAsia="Arial" w:hAnsi="Arial" w:cs="Arial"/>
          <w:i/>
          <w:iCs/>
          <w:sz w:val="22"/>
          <w:szCs w:val="22"/>
          <w:lang w:val="es-ES" w:eastAsia="es-ES" w:bidi="es-ES"/>
        </w:rPr>
        <w:t>En primer lugar</w:t>
      </w:r>
      <w:r w:rsidRPr="008756F3">
        <w:rPr>
          <w:rFonts w:ascii="Arial" w:eastAsia="Arial" w:hAnsi="Arial" w:cs="Arial"/>
          <w:sz w:val="22"/>
          <w:szCs w:val="22"/>
          <w:lang w:val="es-ES" w:eastAsia="es-ES" w:bidi="es-ES"/>
        </w:rPr>
        <w:t>,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conform</w:t>
      </w:r>
      <w:r>
        <w:rPr>
          <w:rFonts w:ascii="Arial" w:eastAsia="Arial" w:hAnsi="Arial" w:cs="Arial"/>
          <w:sz w:val="22"/>
          <w:szCs w:val="22"/>
          <w:lang w:val="es-ES" w:eastAsia="es-ES" w:bidi="es-ES"/>
        </w:rPr>
        <w:t>e</w:t>
      </w:r>
      <w:r w:rsidRPr="008756F3">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a</w:t>
      </w:r>
      <w:r w:rsidRPr="008756F3">
        <w:rPr>
          <w:rFonts w:ascii="Arial" w:eastAsia="Arial" w:hAnsi="Arial" w:cs="Arial"/>
          <w:sz w:val="22"/>
          <w:szCs w:val="22"/>
          <w:lang w:val="es-ES" w:eastAsia="es-ES" w:bidi="es-ES"/>
        </w:rPr>
        <w:t xml:space="preserve">l artículo 190 de la Constitución Política. Para estos efectos, la restricción se extenderá hasta la fecha en la que se realice la segunda vuelta. </w:t>
      </w:r>
      <w:r w:rsidRPr="008756F3">
        <w:rPr>
          <w:rFonts w:ascii="Arial" w:eastAsia="Arial" w:hAnsi="Arial" w:cs="Arial"/>
          <w:i/>
          <w:iCs/>
          <w:sz w:val="22"/>
          <w:szCs w:val="22"/>
          <w:lang w:val="es-ES" w:eastAsia="es-ES" w:bidi="es-ES"/>
        </w:rPr>
        <w:t>En segundo lugar</w:t>
      </w:r>
      <w:r w:rsidRPr="008756F3">
        <w:rPr>
          <w:rFonts w:ascii="Arial" w:eastAsia="Arial" w:hAnsi="Arial" w:cs="Arial"/>
          <w:sz w:val="22"/>
          <w:szCs w:val="22"/>
          <w:lang w:val="es-ES" w:eastAsia="es-ES" w:bidi="es-ES"/>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18BE9BA" w14:textId="77777777" w:rsidR="003C408D" w:rsidRPr="008756F3" w:rsidRDefault="003C408D" w:rsidP="003C408D">
      <w:pPr>
        <w:spacing w:after="120" w:line="276" w:lineRule="auto"/>
        <w:ind w:firstLine="709"/>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Ambas restricciones no son excluyentes, lo que permite concluir que en el período preelectoral para elección de </w:t>
      </w:r>
      <w:proofErr w:type="gramStart"/>
      <w:r w:rsidRPr="008756F3">
        <w:rPr>
          <w:rFonts w:ascii="Arial" w:eastAsia="Arial" w:hAnsi="Arial" w:cs="Arial"/>
          <w:sz w:val="22"/>
          <w:szCs w:val="22"/>
          <w:lang w:val="es-ES" w:eastAsia="es-ES" w:bidi="es-ES"/>
        </w:rPr>
        <w:t>Presidente</w:t>
      </w:r>
      <w:proofErr w:type="gramEnd"/>
      <w:r w:rsidRPr="008756F3">
        <w:rPr>
          <w:rFonts w:ascii="Arial" w:eastAsia="Arial" w:hAnsi="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8756F3">
        <w:rPr>
          <w:rFonts w:ascii="Arial" w:eastAsia="Arial" w:hAnsi="Arial" w:cs="Arial"/>
          <w:sz w:val="22"/>
          <w:szCs w:val="22"/>
          <w:lang w:val="es-ES" w:eastAsia="es-ES" w:bidi="es-ES"/>
        </w:rPr>
        <w:t>Presidente</w:t>
      </w:r>
      <w:proofErr w:type="gramEnd"/>
      <w:r w:rsidRPr="008756F3">
        <w:rPr>
          <w:rFonts w:ascii="Arial" w:eastAsia="Arial" w:hAnsi="Arial" w:cs="Arial"/>
          <w:sz w:val="22"/>
          <w:szCs w:val="22"/>
          <w:lang w:val="es-ES" w:eastAsia="es-ES" w:bidi="es-ES"/>
        </w:rPr>
        <w:t xml:space="preserve"> de la República, las autoridades allí mencionadas sólo deben aplicar las restricciones contenidas en el parágrafo del artículo 38.</w:t>
      </w:r>
    </w:p>
    <w:p w14:paraId="1F926E55" w14:textId="77777777" w:rsidR="003C408D" w:rsidRDefault="003C408D" w:rsidP="003C408D">
      <w:pPr>
        <w:spacing w:line="276" w:lineRule="auto"/>
        <w:ind w:firstLine="708"/>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8756F3">
        <w:rPr>
          <w:rFonts w:ascii="Arial" w:eastAsia="Arial" w:hAnsi="Arial" w:cs="Arial"/>
          <w:sz w:val="22"/>
          <w:szCs w:val="22"/>
          <w:lang w:val="es-ES" w:eastAsia="es-ES" w:bidi="es-ES"/>
        </w:rPr>
        <w:t>Presidente</w:t>
      </w:r>
      <w:proofErr w:type="gramEnd"/>
      <w:r w:rsidRPr="008756F3">
        <w:rPr>
          <w:rFonts w:ascii="Arial" w:eastAsia="Arial" w:hAnsi="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w:t>
      </w:r>
    </w:p>
    <w:p w14:paraId="363F8804" w14:textId="7ABC3502" w:rsidR="003C408D" w:rsidRPr="00AF775B" w:rsidRDefault="003C408D" w:rsidP="00AF775B">
      <w:pPr>
        <w:spacing w:line="276" w:lineRule="auto"/>
        <w:ind w:firstLine="708"/>
        <w:jc w:val="both"/>
        <w:rPr>
          <w:rFonts w:ascii="Arial" w:eastAsia="Arial" w:hAnsi="Arial" w:cs="Arial"/>
          <w:sz w:val="22"/>
          <w:szCs w:val="22"/>
          <w:lang w:val="es-ES" w:eastAsia="es-ES" w:bidi="es-ES"/>
        </w:rPr>
      </w:pPr>
    </w:p>
    <w:p w14:paraId="3E51E3AF" w14:textId="77777777" w:rsidR="003C408D" w:rsidRPr="008756F3" w:rsidRDefault="003C408D" w:rsidP="003C408D">
      <w:pPr>
        <w:spacing w:line="276" w:lineRule="auto"/>
        <w:jc w:val="both"/>
        <w:rPr>
          <w:rFonts w:ascii="Arial" w:hAnsi="Arial" w:cs="Arial"/>
          <w:b/>
          <w:sz w:val="22"/>
          <w:szCs w:val="22"/>
          <w:lang w:val="es-ES" w:eastAsia="es-CO"/>
        </w:rPr>
      </w:pPr>
      <w:r w:rsidRPr="008756F3">
        <w:rPr>
          <w:rFonts w:ascii="Arial" w:hAnsi="Arial" w:cs="Arial"/>
          <w:b/>
          <w:sz w:val="22"/>
          <w:szCs w:val="22"/>
          <w:lang w:val="es-ES" w:eastAsia="es-CO"/>
        </w:rPr>
        <w:t xml:space="preserve">2.2. </w:t>
      </w:r>
      <w:r w:rsidRPr="008756F3">
        <w:rPr>
          <w:rFonts w:ascii="Arial" w:hAnsi="Arial" w:cs="Arial"/>
          <w:b/>
          <w:bCs/>
          <w:sz w:val="22"/>
          <w:szCs w:val="22"/>
          <w:lang w:val="es-MX" w:eastAsia="es-CO"/>
        </w:rPr>
        <w:t xml:space="preserve">Restricciones en elecciones presidenciales </w:t>
      </w:r>
    </w:p>
    <w:p w14:paraId="66988F6E" w14:textId="77777777" w:rsidR="003C408D" w:rsidRPr="008756F3" w:rsidRDefault="003C408D" w:rsidP="003C408D">
      <w:pPr>
        <w:spacing w:line="276" w:lineRule="auto"/>
        <w:jc w:val="both"/>
        <w:rPr>
          <w:rFonts w:ascii="Arial" w:hAnsi="Arial" w:cs="Arial"/>
          <w:bCs/>
          <w:sz w:val="22"/>
          <w:szCs w:val="22"/>
          <w:lang w:val="es-MX" w:eastAsia="x-none"/>
        </w:rPr>
      </w:pPr>
    </w:p>
    <w:p w14:paraId="05C36D85" w14:textId="77777777" w:rsidR="003C408D" w:rsidRPr="008756F3" w:rsidRDefault="003C408D" w:rsidP="003C408D">
      <w:pPr>
        <w:spacing w:line="276" w:lineRule="auto"/>
        <w:jc w:val="both"/>
        <w:rPr>
          <w:rFonts w:ascii="Arial" w:hAnsi="Arial" w:cs="Arial"/>
          <w:bCs/>
          <w:sz w:val="22"/>
          <w:szCs w:val="22"/>
          <w:lang w:val="es-MX" w:eastAsia="es-CO"/>
        </w:rPr>
      </w:pPr>
      <w:r w:rsidRPr="008756F3">
        <w:rPr>
          <w:rFonts w:ascii="Arial" w:hAnsi="Arial" w:cs="Arial"/>
          <w:bCs/>
          <w:sz w:val="22"/>
          <w:szCs w:val="22"/>
          <w:lang w:val="es-MX" w:eastAsia="x-none"/>
        </w:rPr>
        <w:t xml:space="preserve">El ámbito material de la prohibición contenida en el artículo 33 de la ley 996 de 2005 está delimitado por la expresión </w:t>
      </w:r>
      <w:r w:rsidRPr="008756F3">
        <w:rPr>
          <w:rFonts w:ascii="Arial" w:eastAsia="Calibri" w:hAnsi="Arial" w:cs="Arial"/>
          <w:bCs/>
          <w:sz w:val="20"/>
          <w:szCs w:val="20"/>
          <w:lang w:val="es-MX" w:eastAsia="en-US"/>
        </w:rPr>
        <w:t>«</w:t>
      </w:r>
      <w:r w:rsidRPr="008756F3">
        <w:rPr>
          <w:rFonts w:ascii="Arial" w:hAnsi="Arial" w:cs="Arial"/>
          <w:bCs/>
          <w:sz w:val="22"/>
          <w:szCs w:val="22"/>
          <w:lang w:val="es-MX" w:eastAsia="x-none"/>
        </w:rPr>
        <w:t>queda prohibida la contratación directa</w:t>
      </w:r>
      <w:r w:rsidRPr="008756F3">
        <w:rPr>
          <w:rFonts w:ascii="Arial" w:eastAsiaTheme="minorHAnsi" w:hAnsi="Arial" w:cs="Arial"/>
          <w:sz w:val="20"/>
          <w:szCs w:val="20"/>
          <w:lang w:val="es-MX" w:eastAsia="en-US"/>
        </w:rPr>
        <w:t>»</w:t>
      </w:r>
      <w:r w:rsidRPr="008756F3">
        <w:rPr>
          <w:rFonts w:ascii="Arial" w:hAnsi="Arial" w:cs="Arial"/>
          <w:bCs/>
          <w:sz w:val="22"/>
          <w:szCs w:val="22"/>
          <w:lang w:val="es-MX" w:eastAsia="x-none"/>
        </w:rPr>
        <w:t xml:space="preserve">. </w:t>
      </w:r>
      <w:r w:rsidRPr="008756F3">
        <w:rPr>
          <w:rFonts w:ascii="Arial" w:hAnsi="Arial" w:cs="Arial"/>
          <w:sz w:val="22"/>
          <w:szCs w:val="22"/>
          <w:lang w:val="es-MX" w:eastAsia="es-CO"/>
        </w:rPr>
        <w:t xml:space="preserve"> A propósito de </w:t>
      </w:r>
      <w:r w:rsidRPr="008756F3">
        <w:rPr>
          <w:rFonts w:ascii="Arial" w:hAnsi="Arial" w:cs="Arial"/>
          <w:sz w:val="22"/>
          <w:szCs w:val="22"/>
          <w:lang w:eastAsia="es-CO"/>
        </w:rPr>
        <w:t>esta restricción de la Ley de Garantías Electorales, la Sala de Consulta y Servicio Civil del Consejo de Estado ha considerado que:</w:t>
      </w:r>
    </w:p>
    <w:p w14:paraId="354D32C7" w14:textId="77777777" w:rsidR="003C408D" w:rsidRPr="008756F3" w:rsidRDefault="003C408D" w:rsidP="003C408D">
      <w:pPr>
        <w:ind w:left="708" w:right="709"/>
        <w:jc w:val="both"/>
        <w:rPr>
          <w:rFonts w:ascii="Arial" w:eastAsiaTheme="minorHAnsi" w:hAnsi="Arial" w:cs="Arial"/>
          <w:sz w:val="21"/>
          <w:szCs w:val="21"/>
          <w:lang w:val="es-MX" w:eastAsia="en-US"/>
        </w:rPr>
      </w:pPr>
    </w:p>
    <w:p w14:paraId="6DA1BD41" w14:textId="77777777" w:rsidR="003C408D" w:rsidRPr="008756F3" w:rsidRDefault="003C408D" w:rsidP="003C408D">
      <w:pPr>
        <w:spacing w:after="120"/>
        <w:ind w:left="709"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8756F3">
        <w:rPr>
          <w:rFonts w:ascii="Arial" w:hAnsi="Arial" w:cs="Arial"/>
          <w:sz w:val="22"/>
          <w:szCs w:val="22"/>
          <w:vertAlign w:val="superscript"/>
          <w:lang w:eastAsia="es-CO"/>
        </w:rPr>
        <w:footnoteReference w:id="11"/>
      </w:r>
      <w:r w:rsidRPr="008756F3">
        <w:rPr>
          <w:rFonts w:ascii="Arial" w:eastAsiaTheme="minorHAnsi" w:hAnsi="Arial" w:cs="Arial"/>
          <w:sz w:val="21"/>
          <w:szCs w:val="21"/>
          <w:lang w:val="es-MX" w:eastAsia="en-US"/>
        </w:rPr>
        <w:t>.</w:t>
      </w:r>
    </w:p>
    <w:p w14:paraId="70E652F5" w14:textId="77777777" w:rsidR="003C408D" w:rsidRPr="008756F3" w:rsidRDefault="003C408D" w:rsidP="003C408D">
      <w:pPr>
        <w:ind w:left="708"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MX" w:eastAsia="en-US"/>
        </w:rPr>
        <w:t xml:space="preserve">Esta Sala ha entendido </w:t>
      </w:r>
      <w:proofErr w:type="gramStart"/>
      <w:r w:rsidRPr="008756F3">
        <w:rPr>
          <w:rFonts w:ascii="Arial" w:eastAsiaTheme="minorHAnsi" w:hAnsi="Arial" w:cs="Arial"/>
          <w:sz w:val="21"/>
          <w:szCs w:val="21"/>
          <w:lang w:val="es-MX" w:eastAsia="en-US"/>
        </w:rPr>
        <w:t>que</w:t>
      </w:r>
      <w:proofErr w:type="gramEnd"/>
      <w:r w:rsidRPr="008756F3">
        <w:rPr>
          <w:rFonts w:ascii="Arial" w:eastAsiaTheme="minorHAnsi" w:hAnsi="Arial" w:cs="Arial"/>
          <w:sz w:val="21"/>
          <w:szCs w:val="21"/>
          <w:lang w:val="es-MX" w:eastAsia="en-US"/>
        </w:rPr>
        <w:t xml:space="preserv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8756F3">
        <w:rPr>
          <w:rFonts w:ascii="Arial" w:hAnsi="Arial" w:cs="Arial"/>
          <w:sz w:val="21"/>
          <w:szCs w:val="21"/>
          <w:vertAlign w:val="superscript"/>
          <w:lang w:val="es-MX" w:eastAsia="en-US"/>
        </w:rPr>
        <w:footnoteReference w:id="12"/>
      </w:r>
      <w:r w:rsidRPr="008756F3">
        <w:rPr>
          <w:rFonts w:ascii="Arial" w:hAnsi="Arial" w:cs="Arial"/>
          <w:sz w:val="21"/>
          <w:szCs w:val="21"/>
          <w:vertAlign w:val="superscript"/>
          <w:lang w:val="es-MX" w:eastAsia="en-US"/>
        </w:rPr>
        <w:t>.</w:t>
      </w:r>
      <w:r w:rsidRPr="008756F3">
        <w:rPr>
          <w:rFonts w:ascii="Arial" w:eastAsiaTheme="minorHAnsi" w:hAnsi="Arial" w:cs="Arial"/>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8756F3">
        <w:rPr>
          <w:rFonts w:ascii="Arial" w:hAnsi="Arial" w:cs="Arial"/>
          <w:sz w:val="22"/>
          <w:szCs w:val="22"/>
          <w:vertAlign w:val="superscript"/>
          <w:lang w:eastAsia="es-CO"/>
        </w:rPr>
        <w:footnoteReference w:id="13"/>
      </w:r>
      <w:r w:rsidRPr="008756F3">
        <w:rPr>
          <w:rFonts w:ascii="Arial" w:eastAsiaTheme="minorHAnsi" w:hAnsi="Arial" w:cs="Arial"/>
          <w:sz w:val="21"/>
          <w:szCs w:val="21"/>
          <w:lang w:val="es-MX" w:eastAsia="en-US"/>
        </w:rPr>
        <w:t xml:space="preserve"> .</w:t>
      </w:r>
    </w:p>
    <w:p w14:paraId="4F097405" w14:textId="77777777" w:rsidR="003C408D" w:rsidRPr="008756F3" w:rsidRDefault="003C408D" w:rsidP="003C408D">
      <w:pPr>
        <w:shd w:val="clear" w:color="auto" w:fill="FFFFFF"/>
        <w:spacing w:line="276" w:lineRule="auto"/>
        <w:ind w:firstLine="709"/>
        <w:jc w:val="both"/>
        <w:rPr>
          <w:rFonts w:ascii="Arial" w:hAnsi="Arial" w:cs="Arial"/>
          <w:sz w:val="22"/>
          <w:szCs w:val="22"/>
          <w:lang w:eastAsia="x-none"/>
        </w:rPr>
      </w:pPr>
    </w:p>
    <w:p w14:paraId="38B4B6C3" w14:textId="77777777" w:rsidR="003C408D" w:rsidRPr="008756F3" w:rsidRDefault="003C408D" w:rsidP="003C408D">
      <w:pPr>
        <w:spacing w:after="120" w:line="276" w:lineRule="auto"/>
        <w:ind w:firstLine="708"/>
        <w:jc w:val="both"/>
        <w:rPr>
          <w:rFonts w:ascii="Arial" w:hAnsi="Arial" w:cs="Arial"/>
          <w:bCs/>
          <w:sz w:val="22"/>
          <w:szCs w:val="22"/>
          <w:lang w:eastAsia="x-none"/>
        </w:rPr>
      </w:pPr>
      <w:r w:rsidRPr="008756F3">
        <w:rPr>
          <w:rFonts w:ascii="Arial" w:hAnsi="Arial" w:cs="Arial"/>
          <w:sz w:val="22"/>
          <w:szCs w:val="22"/>
          <w:lang w:eastAsia="x-none"/>
        </w:rPr>
        <w:t xml:space="preserve">De </w:t>
      </w:r>
      <w:r>
        <w:rPr>
          <w:rFonts w:ascii="Arial" w:hAnsi="Arial" w:cs="Arial"/>
          <w:sz w:val="22"/>
          <w:szCs w:val="22"/>
          <w:lang w:eastAsia="x-none"/>
        </w:rPr>
        <w:t>acuerdo</w:t>
      </w:r>
      <w:r w:rsidRPr="008756F3">
        <w:rPr>
          <w:rFonts w:ascii="Arial" w:hAnsi="Arial" w:cs="Arial"/>
          <w:sz w:val="22"/>
          <w:szCs w:val="22"/>
          <w:lang w:eastAsia="x-none"/>
        </w:rPr>
        <w:t xml:space="preserve"> con el citado concepto, la prohibición del artículo 33 de la Ley de Garantías Electorales se refiere a </w:t>
      </w:r>
      <w:r w:rsidRPr="008756F3">
        <w:rPr>
          <w:rFonts w:ascii="Arial" w:hAnsi="Arial" w:cs="Arial"/>
          <w:sz w:val="19"/>
          <w:szCs w:val="19"/>
          <w:lang w:eastAsia="en-GB"/>
        </w:rPr>
        <w:t>«</w:t>
      </w:r>
      <w:r w:rsidRPr="008756F3">
        <w:rPr>
          <w:rFonts w:ascii="Arial" w:hAnsi="Arial" w:cs="Arial"/>
          <w:sz w:val="22"/>
          <w:szCs w:val="22"/>
          <w:lang w:eastAsia="x-none"/>
        </w:rPr>
        <w:t>cualquier sistema que no implique convocatoria pública y posibilidad de pluralidad de oferentes</w:t>
      </w:r>
      <w:r w:rsidRPr="008756F3">
        <w:rPr>
          <w:rFonts w:ascii="Arial" w:hAnsi="Arial" w:cs="Arial"/>
          <w:sz w:val="22"/>
          <w:szCs w:val="22"/>
          <w:lang w:eastAsia="en-GB"/>
        </w:rPr>
        <w:t>»</w:t>
      </w:r>
      <w:r w:rsidRPr="008756F3">
        <w:rPr>
          <w:rFonts w:ascii="Arial" w:hAnsi="Arial" w:cs="Arial"/>
          <w:sz w:val="22"/>
          <w:szCs w:val="22"/>
          <w:lang w:eastAsia="x-none"/>
        </w:rPr>
        <w:t>,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8756F3">
        <w:rPr>
          <w:rFonts w:ascii="Arial" w:hAnsi="Arial" w:cs="Arial"/>
          <w:sz w:val="22"/>
          <w:szCs w:val="22"/>
          <w:vertAlign w:val="superscript"/>
          <w:lang w:val="en-GB" w:eastAsia="x-none"/>
        </w:rPr>
        <w:footnoteReference w:id="14"/>
      </w:r>
      <w:r w:rsidRPr="008756F3">
        <w:rPr>
          <w:rFonts w:ascii="Arial" w:hAnsi="Arial" w:cs="Arial"/>
          <w:sz w:val="22"/>
          <w:szCs w:val="22"/>
          <w:lang w:eastAsia="x-none"/>
        </w:rPr>
        <w:t xml:space="preserve"> y sistematizó las causales de contratación directa</w:t>
      </w:r>
      <w:r w:rsidRPr="008756F3">
        <w:rPr>
          <w:rFonts w:ascii="Arial" w:hAnsi="Arial" w:cs="Arial"/>
          <w:sz w:val="22"/>
          <w:szCs w:val="22"/>
          <w:vertAlign w:val="superscript"/>
          <w:lang w:val="en-GB" w:eastAsia="x-none"/>
        </w:rPr>
        <w:footnoteReference w:id="15"/>
      </w:r>
      <w:r w:rsidRPr="008756F3">
        <w:rPr>
          <w:rFonts w:ascii="Arial" w:hAnsi="Arial" w:cs="Arial"/>
          <w:sz w:val="22"/>
          <w:szCs w:val="22"/>
          <w:lang w:eastAsia="x-none"/>
        </w:rPr>
        <w:t xml:space="preserve">. </w:t>
      </w:r>
    </w:p>
    <w:p w14:paraId="07D4339B" w14:textId="77777777" w:rsidR="003C408D" w:rsidRPr="008756F3" w:rsidRDefault="003C408D" w:rsidP="003C408D">
      <w:pPr>
        <w:spacing w:after="120" w:line="276" w:lineRule="auto"/>
        <w:ind w:firstLine="708"/>
        <w:jc w:val="both"/>
        <w:rPr>
          <w:rFonts w:ascii="Arial" w:hAnsi="Arial" w:cs="Arial"/>
          <w:sz w:val="22"/>
          <w:szCs w:val="22"/>
          <w:lang w:val="es-MX" w:eastAsia="x-none"/>
        </w:rPr>
      </w:pPr>
      <w:r w:rsidRPr="008756F3">
        <w:rPr>
          <w:rFonts w:ascii="Arial" w:hAnsi="Arial" w:cs="Arial"/>
          <w:sz w:val="22"/>
          <w:szCs w:val="22"/>
          <w:lang w:eastAsia="x-none"/>
        </w:rPr>
        <w:t xml:space="preserve">De esta forma, con fundamento en la evolución de la normativa sobre la contratación pública, se ha depurado la noción de </w:t>
      </w:r>
      <w:r w:rsidRPr="008756F3">
        <w:rPr>
          <w:rFonts w:ascii="Arial" w:hAnsi="Arial" w:cs="Arial"/>
          <w:sz w:val="19"/>
          <w:szCs w:val="19"/>
          <w:lang w:eastAsia="en-GB"/>
        </w:rPr>
        <w:t>«</w:t>
      </w:r>
      <w:r w:rsidRPr="008756F3">
        <w:rPr>
          <w:rFonts w:ascii="Arial" w:hAnsi="Arial" w:cs="Arial"/>
          <w:sz w:val="22"/>
          <w:szCs w:val="22"/>
          <w:lang w:eastAsia="x-none"/>
        </w:rPr>
        <w:t>contratación directa</w:t>
      </w:r>
      <w:r w:rsidRPr="008756F3">
        <w:rPr>
          <w:rFonts w:ascii="Arial" w:hAnsi="Arial" w:cs="Arial"/>
          <w:sz w:val="22"/>
          <w:szCs w:val="22"/>
          <w:lang w:eastAsia="en-GB"/>
        </w:rPr>
        <w:t>»</w:t>
      </w:r>
      <w:r w:rsidRPr="008756F3">
        <w:rPr>
          <w:rFonts w:ascii="Arial" w:hAnsi="Arial" w:cs="Arial"/>
          <w:sz w:val="22"/>
          <w:szCs w:val="22"/>
          <w:lang w:eastAsia="x-none"/>
        </w:rPr>
        <w:t xml:space="preserve">,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w:t>
      </w:r>
      <w:r w:rsidRPr="008756F3">
        <w:rPr>
          <w:rFonts w:ascii="Arial" w:hAnsi="Arial" w:cs="Arial"/>
          <w:sz w:val="22"/>
          <w:szCs w:val="22"/>
          <w:lang w:eastAsia="x-none"/>
        </w:rPr>
        <w:lastRenderedPageBreak/>
        <w:t>licitación pública, pues esto sería tanto como desconocer que el legislador, no solo en el Estatuto General de la Contratación de la Administración Pública, sino también en leyes especiales e, incluso, en el derecho privado</w:t>
      </w:r>
      <w:r w:rsidRPr="008756F3">
        <w:rPr>
          <w:rFonts w:ascii="Arial" w:hAnsi="Arial" w:cs="Arial"/>
          <w:sz w:val="22"/>
          <w:szCs w:val="22"/>
          <w:vertAlign w:val="superscript"/>
          <w:lang w:val="en-GB" w:eastAsia="x-none"/>
        </w:rPr>
        <w:footnoteReference w:id="16"/>
      </w:r>
      <w:r w:rsidRPr="008756F3">
        <w:rPr>
          <w:rFonts w:ascii="Arial" w:hAnsi="Arial" w:cs="Arial"/>
          <w:sz w:val="22"/>
          <w:szCs w:val="22"/>
          <w:lang w:eastAsia="x-none"/>
        </w:rPr>
        <w:t>, han establecido sistemas de contratación que implican convocatoria pública y participación de varios oferentes</w:t>
      </w:r>
      <w:r w:rsidRPr="008756F3">
        <w:rPr>
          <w:rFonts w:ascii="Arial" w:hAnsi="Arial" w:cs="Arial"/>
          <w:sz w:val="22"/>
          <w:szCs w:val="22"/>
          <w:lang w:eastAsia="en-GB"/>
        </w:rPr>
        <w:t>»</w:t>
      </w:r>
      <w:r w:rsidRPr="008756F3">
        <w:rPr>
          <w:rFonts w:ascii="Arial" w:hAnsi="Arial" w:cs="Arial"/>
          <w:sz w:val="22"/>
          <w:szCs w:val="22"/>
          <w:lang w:eastAsia="x-none"/>
        </w:rPr>
        <w:t xml:space="preserve">. </w:t>
      </w:r>
    </w:p>
    <w:p w14:paraId="72CC6FD6" w14:textId="77777777" w:rsidR="003C408D" w:rsidRPr="008756F3" w:rsidRDefault="003C408D" w:rsidP="003C408D">
      <w:pPr>
        <w:spacing w:after="120" w:line="276" w:lineRule="auto"/>
        <w:ind w:firstLine="708"/>
        <w:jc w:val="both"/>
        <w:rPr>
          <w:rFonts w:ascii="Arial" w:hAnsi="Arial" w:cs="Arial"/>
          <w:bCs/>
          <w:sz w:val="22"/>
          <w:szCs w:val="22"/>
          <w:lang w:val="es-MX" w:eastAsia="es-CO"/>
        </w:rPr>
      </w:pPr>
      <w:r w:rsidRPr="008756F3">
        <w:rPr>
          <w:rFonts w:ascii="Arial" w:hAnsi="Arial" w:cs="Arial"/>
          <w:bCs/>
          <w:sz w:val="22"/>
          <w:szCs w:val="22"/>
          <w:lang w:val="es-MX" w:eastAsia="x-none"/>
        </w:rPr>
        <w:t>E</w:t>
      </w:r>
      <w:r w:rsidRPr="008756F3">
        <w:rPr>
          <w:rFonts w:ascii="Arial" w:hAnsi="Arial" w:cs="Arial"/>
          <w:sz w:val="22"/>
          <w:szCs w:val="22"/>
          <w:lang w:eastAsia="x-none"/>
        </w:rPr>
        <w:t>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8756F3">
        <w:rPr>
          <w:rFonts w:ascii="Arial" w:hAnsi="Arial" w:cs="Arial"/>
          <w:sz w:val="22"/>
          <w:szCs w:val="22"/>
          <w:vertAlign w:val="superscript"/>
          <w:lang w:eastAsia="x-none"/>
        </w:rPr>
        <w:footnoteReference w:id="17"/>
      </w:r>
      <w:r w:rsidRPr="008756F3">
        <w:rPr>
          <w:rFonts w:ascii="Arial" w:hAnsi="Arial" w:cs="Arial"/>
          <w:sz w:val="22"/>
          <w:szCs w:val="22"/>
          <w:lang w:eastAsia="x-none"/>
        </w:rPr>
        <w:t xml:space="preserve">. </w:t>
      </w:r>
    </w:p>
    <w:p w14:paraId="27EB5D3B" w14:textId="77777777" w:rsidR="003C408D" w:rsidRPr="008756F3" w:rsidRDefault="003C408D" w:rsidP="003C408D">
      <w:pPr>
        <w:spacing w:after="120" w:line="276" w:lineRule="auto"/>
        <w:ind w:firstLine="708"/>
        <w:jc w:val="both"/>
        <w:rPr>
          <w:rFonts w:ascii="Arial" w:hAnsi="Arial" w:cs="Arial"/>
          <w:bCs/>
          <w:sz w:val="22"/>
          <w:szCs w:val="22"/>
          <w:lang w:val="es-MX" w:eastAsia="es-CO"/>
        </w:rPr>
      </w:pPr>
      <w:r w:rsidRPr="008756F3">
        <w:rPr>
          <w:rFonts w:ascii="Arial" w:hAnsi="Arial" w:cs="Arial"/>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de «contratación directa».</w:t>
      </w:r>
    </w:p>
    <w:p w14:paraId="0B6456E9" w14:textId="77777777" w:rsidR="003C408D" w:rsidRPr="008756F3" w:rsidRDefault="003C408D" w:rsidP="003C408D">
      <w:pPr>
        <w:spacing w:after="120" w:line="276" w:lineRule="auto"/>
        <w:ind w:firstLine="708"/>
        <w:jc w:val="both"/>
        <w:rPr>
          <w:rFonts w:ascii="Arial" w:hAnsi="Arial" w:cs="Arial"/>
          <w:bCs/>
          <w:sz w:val="22"/>
          <w:szCs w:val="22"/>
          <w:lang w:val="es-MX" w:eastAsia="x-none"/>
        </w:rPr>
      </w:pPr>
      <w:r w:rsidRPr="008756F3">
        <w:rPr>
          <w:rFonts w:ascii="Arial" w:hAnsi="Arial" w:cs="Arial"/>
          <w:bCs/>
          <w:sz w:val="22"/>
          <w:szCs w:val="22"/>
          <w:lang w:val="es-MX" w:eastAsia="x-none"/>
        </w:rPr>
        <w:t xml:space="preserve"> Así las cosas, ha de entenderse que, para los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8756F3">
        <w:rPr>
          <w:rFonts w:ascii="Arial" w:hAnsi="Arial" w:cs="Arial"/>
          <w:sz w:val="22"/>
          <w:szCs w:val="22"/>
          <w:vertAlign w:val="superscript"/>
          <w:lang w:eastAsia="x-none"/>
        </w:rPr>
        <w:footnoteReference w:id="18"/>
      </w:r>
      <w:r w:rsidRPr="008756F3">
        <w:rPr>
          <w:rFonts w:ascii="Arial" w:hAnsi="Arial" w:cs="Arial"/>
          <w:bCs/>
          <w:sz w:val="22"/>
          <w:szCs w:val="22"/>
          <w:lang w:val="es-MX" w:eastAsia="x-none"/>
        </w:rPr>
        <w:t>.</w:t>
      </w:r>
      <w:r w:rsidRPr="008756F3">
        <w:rPr>
          <w:rFonts w:ascii="Arial" w:hAnsi="Arial" w:cs="Arial"/>
          <w:sz w:val="22"/>
          <w:szCs w:val="22"/>
          <w:vertAlign w:val="superscript"/>
          <w:lang w:eastAsia="x-none"/>
        </w:rPr>
        <w:t xml:space="preserve"> </w:t>
      </w:r>
    </w:p>
    <w:p w14:paraId="2366DE25" w14:textId="77777777" w:rsidR="003C408D" w:rsidRPr="008756F3" w:rsidRDefault="003C408D" w:rsidP="003C408D">
      <w:pPr>
        <w:spacing w:after="120" w:line="276" w:lineRule="auto"/>
        <w:ind w:firstLine="708"/>
        <w:jc w:val="both"/>
        <w:rPr>
          <w:rFonts w:ascii="Arial" w:hAnsi="Arial" w:cs="Arial"/>
          <w:sz w:val="22"/>
          <w:szCs w:val="22"/>
          <w:lang w:eastAsia="x-none"/>
        </w:rPr>
      </w:pPr>
      <w:r w:rsidRPr="008756F3">
        <w:rPr>
          <w:rFonts w:ascii="Arial" w:hAnsi="Arial" w:cs="Arial"/>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8756F3">
        <w:rPr>
          <w:rFonts w:ascii="Arial" w:hAnsi="Arial" w:cs="Arial"/>
          <w:sz w:val="22"/>
          <w:szCs w:val="22"/>
          <w:lang w:eastAsia="x-none"/>
        </w:rPr>
        <w:t xml:space="preserve">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estos sistemas.</w:t>
      </w:r>
    </w:p>
    <w:p w14:paraId="3C64FF71" w14:textId="77777777" w:rsidR="003C408D" w:rsidRPr="008756F3" w:rsidRDefault="003C408D" w:rsidP="003C408D">
      <w:pPr>
        <w:spacing w:after="120" w:line="276" w:lineRule="auto"/>
        <w:ind w:firstLine="708"/>
        <w:jc w:val="both"/>
        <w:rPr>
          <w:rFonts w:ascii="Arial" w:hAnsi="Arial" w:cs="Arial"/>
          <w:bCs/>
          <w:sz w:val="22"/>
          <w:szCs w:val="22"/>
          <w:lang w:val="es-MX" w:eastAsia="x-none"/>
        </w:rPr>
      </w:pPr>
      <w:r w:rsidRPr="008756F3">
        <w:rPr>
          <w:rFonts w:ascii="Arial" w:hAnsi="Arial" w:cs="Arial"/>
          <w:bCs/>
          <w:sz w:val="22"/>
          <w:szCs w:val="22"/>
          <w:lang w:val="es-MX" w:eastAsia="es-CO"/>
        </w:rPr>
        <w:lastRenderedPageBreak/>
        <w:t xml:space="preserve">Como en otras oportunidades lo ha manifestado esta Agencia, las prórrogas, modificaciones o adiciones de los contratos suscritos antes de la </w:t>
      </w:r>
      <w:proofErr w:type="gramStart"/>
      <w:r w:rsidRPr="008756F3">
        <w:rPr>
          <w:rFonts w:ascii="Arial" w:hAnsi="Arial" w:cs="Arial"/>
          <w:bCs/>
          <w:sz w:val="22"/>
          <w:szCs w:val="22"/>
          <w:lang w:val="es-MX" w:eastAsia="es-CO"/>
        </w:rPr>
        <w:t>entrada en vigencia</w:t>
      </w:r>
      <w:proofErr w:type="gramEnd"/>
      <w:r w:rsidRPr="008756F3">
        <w:rPr>
          <w:rFonts w:ascii="Arial" w:hAnsi="Arial" w:cs="Arial"/>
          <w:bCs/>
          <w:sz w:val="22"/>
          <w:szCs w:val="22"/>
          <w:lang w:val="es-MX" w:eastAsia="es-CO"/>
        </w:rPr>
        <w:t xml:space="preserve">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09A86F44" w14:textId="77777777" w:rsidR="003C408D" w:rsidRPr="008756F3" w:rsidRDefault="003C408D" w:rsidP="003C408D">
      <w:pPr>
        <w:spacing w:after="120" w:line="276" w:lineRule="auto"/>
        <w:ind w:firstLine="708"/>
        <w:jc w:val="both"/>
        <w:rPr>
          <w:rFonts w:ascii="Arial" w:hAnsi="Arial" w:cs="Arial"/>
          <w:bCs/>
          <w:sz w:val="22"/>
          <w:szCs w:val="22"/>
          <w:lang w:val="es-MX" w:eastAsia="es-CO"/>
        </w:rPr>
      </w:pPr>
      <w:r w:rsidRPr="008756F3">
        <w:rPr>
          <w:rFonts w:ascii="Arial" w:hAnsi="Arial" w:cs="Arial"/>
          <w:bCs/>
          <w:sz w:val="22"/>
          <w:szCs w:val="22"/>
          <w:lang w:val="es-MX"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8756F3">
        <w:rPr>
          <w:rFonts w:ascii="Arial" w:hAnsi="Arial" w:cs="Arial"/>
          <w:bCs/>
          <w:sz w:val="22"/>
          <w:szCs w:val="22"/>
          <w:lang w:val="es-MX" w:eastAsia="x-none"/>
        </w:rPr>
        <w:t>ii</w:t>
      </w:r>
      <w:proofErr w:type="spellEnd"/>
      <w:r w:rsidRPr="008756F3">
        <w:rPr>
          <w:rFonts w:ascii="Arial" w:hAnsi="Arial" w:cs="Arial"/>
          <w:bCs/>
          <w:sz w:val="22"/>
          <w:szCs w:val="22"/>
          <w:lang w:val="es-MX" w:eastAsia="x-none"/>
        </w:rPr>
        <w:t xml:space="preserve">) los contratos de crédito público; </w:t>
      </w:r>
      <w:proofErr w:type="spellStart"/>
      <w:r w:rsidRPr="008756F3">
        <w:rPr>
          <w:rFonts w:ascii="Arial" w:hAnsi="Arial" w:cs="Arial"/>
          <w:bCs/>
          <w:sz w:val="22"/>
          <w:szCs w:val="22"/>
          <w:lang w:val="es-MX" w:eastAsia="x-none"/>
        </w:rPr>
        <w:t>iii</w:t>
      </w:r>
      <w:proofErr w:type="spellEnd"/>
      <w:r w:rsidRPr="008756F3">
        <w:rPr>
          <w:rFonts w:ascii="Arial" w:hAnsi="Arial" w:cs="Arial"/>
          <w:bCs/>
          <w:sz w:val="22"/>
          <w:szCs w:val="22"/>
          <w:lang w:val="es-MX" w:eastAsia="x-none"/>
        </w:rPr>
        <w:t xml:space="preserve">) los requeridos para cubrir las emergencias educativas, sanitarias y desastres; </w:t>
      </w:r>
      <w:proofErr w:type="spellStart"/>
      <w:r w:rsidRPr="008756F3">
        <w:rPr>
          <w:rFonts w:ascii="Arial" w:hAnsi="Arial" w:cs="Arial"/>
          <w:bCs/>
          <w:sz w:val="22"/>
          <w:szCs w:val="22"/>
          <w:lang w:val="es-MX" w:eastAsia="x-none"/>
        </w:rPr>
        <w:t>iv</w:t>
      </w:r>
      <w:proofErr w:type="spellEnd"/>
      <w:r w:rsidRPr="008756F3">
        <w:rPr>
          <w:rFonts w:ascii="Arial" w:hAnsi="Arial" w:cs="Arial"/>
          <w:bCs/>
          <w:sz w:val="22"/>
          <w:szCs w:val="22"/>
          <w:lang w:val="es-MX" w:eastAsia="x-none"/>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8756F3">
        <w:rPr>
          <w:rFonts w:ascii="Arial" w:hAnsi="Arial" w:cs="Arial"/>
          <w:bCs/>
          <w:sz w:val="22"/>
          <w:szCs w:val="22"/>
          <w:lang w:val="es-MX" w:eastAsia="es-CO"/>
        </w:rPr>
        <w:t xml:space="preserve">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1DC135AF" w14:textId="77777777" w:rsidR="003C408D" w:rsidRPr="008756F3" w:rsidRDefault="003C408D" w:rsidP="003C408D">
      <w:pPr>
        <w:spacing w:line="276" w:lineRule="auto"/>
        <w:ind w:firstLine="708"/>
        <w:jc w:val="both"/>
        <w:rPr>
          <w:rFonts w:ascii="Arial" w:hAnsi="Arial" w:cs="Arial"/>
          <w:bCs/>
          <w:sz w:val="22"/>
          <w:szCs w:val="22"/>
          <w:lang w:val="es-MX" w:eastAsia="x-none"/>
        </w:rPr>
      </w:pPr>
      <w:r w:rsidRPr="008756F3">
        <w:rPr>
          <w:rFonts w:ascii="Arial" w:hAnsi="Arial" w:cs="Arial"/>
          <w:bCs/>
          <w:sz w:val="22"/>
          <w:szCs w:val="22"/>
          <w:lang w:val="es-MX"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8756F3">
        <w:rPr>
          <w:rFonts w:ascii="Arial" w:eastAsiaTheme="minorHAnsi" w:hAnsi="Arial" w:cs="Arial"/>
          <w:sz w:val="22"/>
          <w:szCs w:val="22"/>
          <w:vertAlign w:val="superscript"/>
          <w:lang w:val="es-MX" w:eastAsia="en-US"/>
        </w:rPr>
        <w:footnoteReference w:id="19"/>
      </w:r>
      <w:r w:rsidRPr="008756F3">
        <w:rPr>
          <w:rFonts w:ascii="Arial" w:hAnsi="Arial" w:cs="Arial"/>
          <w:bCs/>
          <w:sz w:val="22"/>
          <w:szCs w:val="22"/>
          <w:lang w:val="es-MX" w:eastAsia="x-none"/>
        </w:rPr>
        <w:t>. De ahí que la Corte haya señalado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183533F9" w14:textId="77777777" w:rsidR="003C408D" w:rsidRPr="008756F3" w:rsidRDefault="003C408D" w:rsidP="003C408D">
      <w:pPr>
        <w:spacing w:line="276" w:lineRule="auto"/>
        <w:ind w:firstLine="708"/>
        <w:jc w:val="both"/>
        <w:rPr>
          <w:rFonts w:ascii="Arial" w:hAnsi="Arial" w:cs="Arial"/>
          <w:bCs/>
          <w:sz w:val="22"/>
          <w:szCs w:val="22"/>
          <w:lang w:val="es-MX" w:eastAsia="x-none"/>
        </w:rPr>
      </w:pPr>
    </w:p>
    <w:p w14:paraId="4C17902D" w14:textId="77777777" w:rsidR="003C408D" w:rsidRPr="008756F3" w:rsidRDefault="003C408D" w:rsidP="003C408D">
      <w:pPr>
        <w:spacing w:line="276" w:lineRule="auto"/>
        <w:jc w:val="both"/>
        <w:rPr>
          <w:rFonts w:ascii="Arial" w:hAnsi="Arial" w:cs="Arial"/>
          <w:b/>
          <w:sz w:val="22"/>
          <w:szCs w:val="22"/>
          <w:lang w:val="es-MX" w:eastAsia="x-none"/>
        </w:rPr>
      </w:pPr>
      <w:r w:rsidRPr="008756F3">
        <w:rPr>
          <w:rFonts w:ascii="Arial" w:hAnsi="Arial" w:cs="Arial"/>
          <w:b/>
          <w:sz w:val="22"/>
          <w:szCs w:val="22"/>
          <w:lang w:val="es-MX" w:eastAsia="x-none"/>
        </w:rPr>
        <w:t>2.3.  Destinatarios de la restricción del artículo 33 de la Ley 996 de 2005</w:t>
      </w:r>
    </w:p>
    <w:p w14:paraId="3F02FB72" w14:textId="77777777" w:rsidR="003C408D" w:rsidRPr="008756F3" w:rsidRDefault="003C408D" w:rsidP="003C408D">
      <w:pPr>
        <w:spacing w:line="276" w:lineRule="auto"/>
        <w:jc w:val="both"/>
        <w:rPr>
          <w:rFonts w:ascii="Arial" w:hAnsi="Arial" w:cs="Arial"/>
          <w:bCs/>
          <w:sz w:val="22"/>
          <w:szCs w:val="22"/>
          <w:lang w:val="es-MX" w:eastAsia="x-none"/>
        </w:rPr>
      </w:pPr>
    </w:p>
    <w:p w14:paraId="707509DF" w14:textId="77777777" w:rsidR="003C408D" w:rsidRPr="008756F3" w:rsidRDefault="003C408D" w:rsidP="003C408D">
      <w:pPr>
        <w:spacing w:line="276" w:lineRule="auto"/>
        <w:jc w:val="both"/>
        <w:rPr>
          <w:rFonts w:ascii="Arial" w:hAnsi="Arial" w:cs="Arial"/>
          <w:bCs/>
          <w:sz w:val="22"/>
          <w:szCs w:val="22"/>
          <w:lang w:val="es-MX" w:eastAsia="x-none"/>
        </w:rPr>
      </w:pPr>
      <w:r w:rsidRPr="008756F3">
        <w:rPr>
          <w:rFonts w:ascii="Arial" w:hAnsi="Arial" w:cs="Arial"/>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8756F3">
        <w:rPr>
          <w:rFonts w:ascii="Arial" w:eastAsiaTheme="minorHAnsi" w:hAnsi="Arial" w:cs="Arial"/>
          <w:szCs w:val="22"/>
          <w:lang w:val="es-MX" w:eastAsia="en-US"/>
        </w:rPr>
        <w:t xml:space="preserve"> </w:t>
      </w:r>
      <w:r w:rsidRPr="008756F3">
        <w:rPr>
          <w:rFonts w:ascii="Arial" w:hAnsi="Arial" w:cs="Arial"/>
          <w:bCs/>
          <w:sz w:val="22"/>
          <w:szCs w:val="22"/>
          <w:lang w:val="es-MX" w:eastAsia="x-none"/>
        </w:rPr>
        <w:t xml:space="preserve">En efecto, tal como lo ha sostenido el Consejo de Estado, el vocablo «todos» utilizado por el </w:t>
      </w:r>
      <w:r w:rsidRPr="008756F3">
        <w:rPr>
          <w:rFonts w:ascii="Arial" w:hAnsi="Arial" w:cs="Arial"/>
          <w:bCs/>
          <w:sz w:val="22"/>
          <w:szCs w:val="22"/>
          <w:lang w:val="es-MX" w:eastAsia="x-none"/>
        </w:rPr>
        <w:lastRenderedPageBreak/>
        <w:t>legislador comprende</w:t>
      </w:r>
      <w:r w:rsidRPr="008756F3">
        <w:rPr>
          <w:rFonts w:ascii="Arial" w:eastAsiaTheme="minorHAnsi" w:hAnsi="Arial" w:cs="Arial"/>
          <w:szCs w:val="22"/>
          <w:lang w:val="es-MX" w:eastAsia="en-US"/>
        </w:rPr>
        <w:t xml:space="preserve"> </w:t>
      </w:r>
      <w:r w:rsidRPr="008756F3">
        <w:rPr>
          <w:rFonts w:ascii="Arial" w:hAnsi="Arial" w:cs="Arial"/>
          <w:bCs/>
          <w:sz w:val="22"/>
          <w:szCs w:val="22"/>
          <w:lang w:val="es-MX" w:eastAsia="x-none"/>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55089876" w14:textId="77777777" w:rsidR="003C408D" w:rsidRPr="008756F3" w:rsidRDefault="003C408D" w:rsidP="003C408D">
      <w:pPr>
        <w:spacing w:line="276" w:lineRule="auto"/>
        <w:ind w:firstLine="708"/>
        <w:jc w:val="both"/>
        <w:rPr>
          <w:rFonts w:ascii="Arial" w:hAnsi="Arial" w:cs="Arial"/>
          <w:bCs/>
          <w:sz w:val="22"/>
          <w:szCs w:val="22"/>
          <w:lang w:val="es-MX" w:eastAsia="x-none"/>
        </w:rPr>
      </w:pPr>
    </w:p>
    <w:p w14:paraId="45CDC8CC" w14:textId="77777777" w:rsidR="003C408D" w:rsidRPr="008756F3" w:rsidRDefault="003C408D" w:rsidP="003C408D">
      <w:pPr>
        <w:ind w:left="708" w:right="709"/>
        <w:jc w:val="both"/>
        <w:rPr>
          <w:rFonts w:ascii="Arial" w:hAnsi="Arial" w:cs="Arial"/>
          <w:bCs/>
          <w:sz w:val="21"/>
          <w:szCs w:val="21"/>
          <w:lang w:val="es-MX" w:eastAsia="es-CO"/>
        </w:rPr>
      </w:pPr>
      <w:r w:rsidRPr="008756F3">
        <w:rPr>
          <w:rFonts w:ascii="Arial" w:hAnsi="Arial" w:cs="Arial"/>
          <w:bCs/>
          <w:sz w:val="21"/>
          <w:szCs w:val="21"/>
          <w:lang w:val="es-MX" w:eastAsia="x-none"/>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8756F3">
        <w:rPr>
          <w:rFonts w:ascii="Arial" w:hAnsi="Arial" w:cs="Arial"/>
          <w:bCs/>
          <w:sz w:val="21"/>
          <w:szCs w:val="21"/>
          <w:vertAlign w:val="superscript"/>
          <w:lang w:val="es-MX" w:eastAsia="x-none"/>
        </w:rPr>
        <w:footnoteReference w:id="20"/>
      </w:r>
      <w:r w:rsidRPr="008756F3">
        <w:rPr>
          <w:rFonts w:ascii="Arial" w:hAnsi="Arial" w:cs="Arial"/>
          <w:bCs/>
          <w:sz w:val="21"/>
          <w:szCs w:val="21"/>
          <w:lang w:val="es-MX" w:eastAsia="x-none"/>
        </w:rPr>
        <w:t>.</w:t>
      </w:r>
      <w:r w:rsidRPr="008756F3">
        <w:rPr>
          <w:rFonts w:ascii="Arial" w:hAnsi="Arial" w:cs="Arial"/>
          <w:bCs/>
          <w:sz w:val="21"/>
          <w:szCs w:val="21"/>
          <w:lang w:val="es-MX" w:eastAsia="es-CO"/>
        </w:rPr>
        <w:t xml:space="preserve"> </w:t>
      </w:r>
    </w:p>
    <w:p w14:paraId="029D2376" w14:textId="77777777" w:rsidR="003C408D" w:rsidRPr="008756F3" w:rsidRDefault="003C408D" w:rsidP="003C408D">
      <w:pPr>
        <w:spacing w:line="276" w:lineRule="auto"/>
        <w:ind w:firstLine="708"/>
        <w:jc w:val="both"/>
        <w:rPr>
          <w:rFonts w:ascii="Arial" w:hAnsi="Arial" w:cs="Arial"/>
          <w:bCs/>
          <w:sz w:val="22"/>
          <w:szCs w:val="22"/>
          <w:lang w:val="es-MX" w:eastAsia="es-CO"/>
        </w:rPr>
      </w:pPr>
    </w:p>
    <w:p w14:paraId="6166282D" w14:textId="77777777" w:rsidR="003C408D" w:rsidRPr="008756F3" w:rsidRDefault="003C408D" w:rsidP="003C408D">
      <w:pPr>
        <w:spacing w:line="276" w:lineRule="auto"/>
        <w:ind w:firstLine="708"/>
        <w:jc w:val="both"/>
        <w:rPr>
          <w:rFonts w:ascii="Arial" w:eastAsiaTheme="minorHAnsi" w:hAnsi="Arial" w:cs="Arial"/>
          <w:sz w:val="22"/>
          <w:szCs w:val="22"/>
          <w:lang w:val="es-MX" w:eastAsia="en-US"/>
        </w:rPr>
      </w:pPr>
      <w:r w:rsidRPr="008756F3">
        <w:rPr>
          <w:rFonts w:ascii="Arial" w:hAnsi="Arial" w:cs="Arial"/>
          <w:bCs/>
          <w:sz w:val="22"/>
          <w:szCs w:val="22"/>
          <w:lang w:val="es-MX" w:eastAsia="x-none"/>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8756F3">
        <w:rPr>
          <w:rFonts w:ascii="Arial" w:eastAsiaTheme="minorHAnsi" w:hAnsi="Arial" w:cs="Arial"/>
          <w:szCs w:val="22"/>
          <w:vertAlign w:val="superscript"/>
          <w:lang w:val="es-MX" w:eastAsia="en-US"/>
        </w:rPr>
        <w:footnoteReference w:id="21"/>
      </w:r>
      <w:r w:rsidRPr="008756F3">
        <w:rPr>
          <w:rFonts w:ascii="Arial" w:hAnsi="Arial" w:cs="Arial"/>
          <w:bCs/>
          <w:sz w:val="22"/>
          <w:szCs w:val="22"/>
          <w:lang w:val="es-MX" w:eastAsia="x-none"/>
        </w:rPr>
        <w:t>.</w:t>
      </w:r>
      <w:r w:rsidRPr="008756F3">
        <w:rPr>
          <w:rFonts w:ascii="Arial" w:eastAsiaTheme="minorHAnsi" w:hAnsi="Arial" w:cs="Arial"/>
          <w:sz w:val="22"/>
          <w:szCs w:val="22"/>
          <w:lang w:val="es-MX" w:eastAsia="en-US"/>
        </w:rPr>
        <w:t xml:space="preserve"> Sin embargo, debe precisarse el siguiente aspecto que distinguió la Sala de Consulta y Servicio Civil:</w:t>
      </w:r>
    </w:p>
    <w:p w14:paraId="27203D0A" w14:textId="77777777" w:rsidR="003C408D" w:rsidRPr="008756F3" w:rsidRDefault="003C408D" w:rsidP="003C408D">
      <w:pPr>
        <w:spacing w:line="276" w:lineRule="auto"/>
        <w:jc w:val="both"/>
        <w:rPr>
          <w:rFonts w:ascii="Arial" w:eastAsiaTheme="minorHAnsi" w:hAnsi="Arial" w:cs="Arial"/>
          <w:sz w:val="22"/>
          <w:szCs w:val="22"/>
          <w:lang w:val="es-MX" w:eastAsia="en-US"/>
        </w:rPr>
      </w:pPr>
    </w:p>
    <w:p w14:paraId="1AD26853" w14:textId="77777777" w:rsidR="003C408D" w:rsidRPr="008756F3" w:rsidRDefault="003C408D" w:rsidP="003C408D">
      <w:pPr>
        <w:ind w:left="708"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MX" w:eastAsia="en-US"/>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w:t>
      </w:r>
      <w:r w:rsidRPr="008756F3">
        <w:rPr>
          <w:rFonts w:ascii="Arial" w:eastAsiaTheme="minorHAnsi" w:hAnsi="Arial" w:cs="Arial"/>
          <w:sz w:val="21"/>
          <w:szCs w:val="21"/>
          <w:lang w:val="es-MX" w:eastAsia="en-US"/>
        </w:rPr>
        <w:lastRenderedPageBreak/>
        <w:t>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8756F3">
        <w:rPr>
          <w:rFonts w:ascii="Arial" w:eastAsiaTheme="minorHAnsi" w:hAnsi="Arial" w:cs="Arial"/>
          <w:szCs w:val="22"/>
          <w:vertAlign w:val="superscript"/>
          <w:lang w:val="es-MX" w:eastAsia="en-US"/>
        </w:rPr>
        <w:footnoteReference w:id="22"/>
      </w:r>
      <w:r w:rsidRPr="008756F3">
        <w:rPr>
          <w:rFonts w:ascii="Arial" w:hAnsi="Arial" w:cs="Arial"/>
          <w:bCs/>
          <w:sz w:val="22"/>
          <w:szCs w:val="22"/>
          <w:lang w:val="es-MX" w:eastAsia="x-none"/>
        </w:rPr>
        <w:t>.</w:t>
      </w:r>
    </w:p>
    <w:p w14:paraId="14F8FAC4" w14:textId="77777777" w:rsidR="003C408D" w:rsidRPr="008756F3" w:rsidRDefault="003C408D" w:rsidP="003C408D">
      <w:pPr>
        <w:spacing w:line="276" w:lineRule="auto"/>
        <w:jc w:val="both"/>
        <w:rPr>
          <w:rFonts w:ascii="Arial" w:eastAsiaTheme="minorHAnsi" w:hAnsi="Arial" w:cs="Arial"/>
          <w:sz w:val="22"/>
          <w:szCs w:val="22"/>
          <w:lang w:val="es-MX" w:eastAsia="en-US"/>
        </w:rPr>
      </w:pPr>
    </w:p>
    <w:p w14:paraId="2EB8F70A" w14:textId="77777777" w:rsidR="003C408D" w:rsidRPr="008756F3" w:rsidRDefault="003C408D" w:rsidP="003C408D">
      <w:pPr>
        <w:spacing w:after="120" w:line="276" w:lineRule="auto"/>
        <w:ind w:firstLine="709"/>
        <w:jc w:val="both"/>
        <w:rPr>
          <w:rFonts w:ascii="Arial" w:hAnsi="Arial" w:cs="Arial"/>
          <w:bCs/>
          <w:sz w:val="22"/>
          <w:szCs w:val="22"/>
          <w:lang w:val="es-MX" w:eastAsia="x-none"/>
        </w:rPr>
      </w:pPr>
      <w:r w:rsidRPr="008756F3">
        <w:rPr>
          <w:rFonts w:ascii="Arial" w:eastAsiaTheme="minorHAnsi" w:hAnsi="Arial" w:cs="Arial"/>
          <w:sz w:val="22"/>
          <w:szCs w:val="22"/>
          <w:lang w:val="es-MX" w:eastAsia="en-US"/>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8756F3">
        <w:rPr>
          <w:rFonts w:ascii="Arial" w:eastAsiaTheme="minorHAnsi" w:hAnsi="Arial" w:cs="Arial"/>
          <w:szCs w:val="22"/>
          <w:vertAlign w:val="superscript"/>
          <w:lang w:val="es-MX" w:eastAsia="en-US"/>
        </w:rPr>
        <w:t xml:space="preserve"> </w:t>
      </w:r>
      <w:r w:rsidRPr="008756F3">
        <w:rPr>
          <w:rFonts w:ascii="Arial" w:eastAsiaTheme="minorHAnsi" w:hAnsi="Arial" w:cs="Arial"/>
          <w:sz w:val="22"/>
          <w:szCs w:val="22"/>
          <w:vertAlign w:val="superscript"/>
          <w:lang w:val="es-MX" w:eastAsia="en-US"/>
        </w:rPr>
        <w:footnoteReference w:id="23"/>
      </w:r>
      <w:r w:rsidRPr="008756F3">
        <w:rPr>
          <w:rFonts w:ascii="Arial" w:eastAsiaTheme="minorHAnsi" w:hAnsi="Arial" w:cs="Arial"/>
          <w:sz w:val="22"/>
          <w:szCs w:val="22"/>
          <w:lang w:val="es-MX" w:eastAsia="en-US"/>
        </w:rPr>
        <w:t>.</w:t>
      </w:r>
    </w:p>
    <w:p w14:paraId="08E9F934" w14:textId="4969DBF6" w:rsidR="003C408D" w:rsidRPr="008756F3" w:rsidRDefault="003C408D" w:rsidP="003C408D">
      <w:pPr>
        <w:spacing w:line="276" w:lineRule="auto"/>
        <w:ind w:firstLine="708"/>
        <w:jc w:val="both"/>
        <w:rPr>
          <w:rFonts w:ascii="Arial" w:hAnsi="Arial" w:cs="Arial"/>
          <w:bCs/>
          <w:sz w:val="22"/>
          <w:szCs w:val="22"/>
          <w:lang w:val="es-MX" w:eastAsia="x-none"/>
        </w:rPr>
      </w:pPr>
      <w:r w:rsidRPr="008756F3">
        <w:rPr>
          <w:rFonts w:ascii="Arial" w:eastAsiaTheme="minorHAnsi" w:hAnsi="Arial" w:cs="Arial"/>
          <w:sz w:val="22"/>
          <w:szCs w:val="22"/>
          <w:lang w:val="es-MX" w:eastAsia="en-US"/>
        </w:rPr>
        <w:t xml:space="preserve">Por lo tanto, la restricción prevista en la Ley 996 de 2005, </w:t>
      </w:r>
      <w:r w:rsidRPr="008756F3">
        <w:rPr>
          <w:rFonts w:ascii="Arial" w:hAnsi="Arial" w:cs="Arial"/>
          <w:bCs/>
          <w:sz w:val="22"/>
          <w:szCs w:val="22"/>
          <w:lang w:val="es-MX" w:eastAsia="x-none"/>
        </w:rPr>
        <w:t xml:space="preserve">teniendo en cuenta la finalidad de la ley de garantías electorales, cobija a cualquier ente público que pueda a través de la contratación directa romper el equilibrio entre los candidatos en desarrollo de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w:t>
      </w:r>
      <w:r w:rsidR="009D7F2E">
        <w:rPr>
          <w:rFonts w:ascii="Arial" w:hAnsi="Arial" w:cs="Arial"/>
          <w:bCs/>
          <w:sz w:val="22"/>
          <w:szCs w:val="22"/>
          <w:lang w:val="es-MX" w:eastAsia="x-none"/>
        </w:rPr>
        <w:t>normas especiales.</w:t>
      </w:r>
    </w:p>
    <w:p w14:paraId="1309E6B5" w14:textId="77777777" w:rsidR="003C408D" w:rsidRPr="008756F3" w:rsidRDefault="003C408D" w:rsidP="003C408D">
      <w:pPr>
        <w:spacing w:line="276" w:lineRule="auto"/>
        <w:jc w:val="both"/>
        <w:rPr>
          <w:rFonts w:ascii="Arial" w:eastAsiaTheme="minorHAnsi" w:hAnsi="Arial" w:cs="Arial"/>
          <w:sz w:val="22"/>
          <w:szCs w:val="22"/>
          <w:lang w:val="es-MX" w:eastAsia="en-US"/>
        </w:rPr>
      </w:pPr>
    </w:p>
    <w:p w14:paraId="7DE464AC" w14:textId="77777777" w:rsidR="003C408D" w:rsidRDefault="003C408D" w:rsidP="003C408D">
      <w:pPr>
        <w:spacing w:line="276" w:lineRule="auto"/>
        <w:jc w:val="both"/>
        <w:rPr>
          <w:rFonts w:ascii="Arial" w:hAnsi="Arial" w:cs="Arial"/>
          <w:b/>
          <w:bCs/>
          <w:sz w:val="22"/>
          <w:szCs w:val="22"/>
          <w:lang w:val="es-MX" w:eastAsia="es-CO"/>
        </w:rPr>
      </w:pPr>
      <w:bookmarkStart w:id="11" w:name="_Hlk75784645"/>
      <w:r w:rsidRPr="008756F3">
        <w:rPr>
          <w:rFonts w:ascii="Arial" w:eastAsiaTheme="minorHAnsi" w:hAnsi="Arial" w:cs="Arial"/>
          <w:b/>
          <w:bCs/>
          <w:sz w:val="22"/>
          <w:szCs w:val="22"/>
          <w:lang w:val="es-MX" w:eastAsia="en-US"/>
        </w:rPr>
        <w:t xml:space="preserve">2.4. </w:t>
      </w:r>
      <w:r w:rsidRPr="008756F3">
        <w:rPr>
          <w:rFonts w:ascii="Arial" w:hAnsi="Arial" w:cs="Arial"/>
          <w:b/>
          <w:bCs/>
          <w:sz w:val="22"/>
          <w:szCs w:val="22"/>
          <w:lang w:val="es-MX" w:eastAsia="es-CO"/>
        </w:rPr>
        <w:t xml:space="preserve">Restricciones para la celebración de contratos y convenios interadministrativos en los comicios de cargos de elección popular </w:t>
      </w:r>
    </w:p>
    <w:p w14:paraId="3DF72028" w14:textId="77777777" w:rsidR="003C408D" w:rsidRPr="008756F3" w:rsidRDefault="003C408D" w:rsidP="003C408D">
      <w:pPr>
        <w:spacing w:line="276" w:lineRule="auto"/>
        <w:jc w:val="both"/>
        <w:rPr>
          <w:rFonts w:ascii="Arial" w:eastAsiaTheme="minorHAnsi" w:hAnsi="Arial" w:cs="Arial"/>
          <w:b/>
          <w:bCs/>
          <w:sz w:val="22"/>
          <w:szCs w:val="22"/>
          <w:lang w:val="es-MX" w:eastAsia="en-US"/>
        </w:rPr>
      </w:pPr>
    </w:p>
    <w:p w14:paraId="4C997A2B" w14:textId="77777777" w:rsidR="003C408D" w:rsidRPr="008756F3" w:rsidRDefault="003C408D" w:rsidP="003C408D">
      <w:pPr>
        <w:tabs>
          <w:tab w:val="left" w:pos="426"/>
        </w:tabs>
        <w:spacing w:after="120" w:line="276" w:lineRule="auto"/>
        <w:jc w:val="both"/>
        <w:rPr>
          <w:rFonts w:ascii="Arial" w:eastAsia="Calibri" w:hAnsi="Arial" w:cs="Arial"/>
          <w:bCs/>
          <w:sz w:val="22"/>
          <w:szCs w:val="22"/>
          <w:lang w:eastAsia="en-US"/>
        </w:rPr>
      </w:pPr>
      <w:r w:rsidRPr="008756F3">
        <w:rPr>
          <w:rFonts w:ascii="Arial" w:eastAsia="Calibri" w:hAnsi="Arial" w:cs="Arial"/>
          <w:bCs/>
          <w:sz w:val="22"/>
          <w:szCs w:val="22"/>
          <w:lang w:eastAsia="en-US"/>
        </w:rPr>
        <w:t xml:space="preserve">El parágrafo del artículo 38 de la Ley 996 de 2005 dispone que «[l]os Gobernadores, </w:t>
      </w:r>
      <w:proofErr w:type="gramStart"/>
      <w:r w:rsidRPr="008756F3">
        <w:rPr>
          <w:rFonts w:ascii="Arial" w:eastAsia="Calibri" w:hAnsi="Arial" w:cs="Arial"/>
          <w:bCs/>
          <w:sz w:val="22"/>
          <w:szCs w:val="22"/>
          <w:lang w:eastAsia="en-US"/>
        </w:rPr>
        <w:t>Alcaldes</w:t>
      </w:r>
      <w:proofErr w:type="gramEnd"/>
      <w:r w:rsidRPr="008756F3">
        <w:rPr>
          <w:rFonts w:ascii="Arial" w:eastAsia="Calibri" w:hAnsi="Arial" w:cs="Arial"/>
          <w:bCs/>
          <w:sz w:val="22"/>
          <w:szCs w:val="22"/>
          <w:lang w:eastAsia="en-US"/>
        </w:rPr>
        <w:t xml:space="preserve">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8756F3">
        <w:rPr>
          <w:rFonts w:ascii="Arial" w:hAnsi="Arial" w:cs="Arial"/>
          <w:bCs/>
          <w:iCs/>
          <w:sz w:val="22"/>
          <w:szCs w:val="22"/>
          <w:lang w:val="es-MX" w:eastAsia="x-none"/>
        </w:rPr>
        <w:t xml:space="preserve"> Los convenios o contratos interadministrativos que se restringen en el parágrafo del artículo 38 de la Ley 996 de 2005, son únicamente aquellos </w:t>
      </w:r>
      <w:r w:rsidRPr="008756F3">
        <w:rPr>
          <w:rFonts w:ascii="Arial" w:hAnsi="Arial" w:cs="Arial"/>
          <w:bCs/>
          <w:iCs/>
          <w:sz w:val="22"/>
          <w:szCs w:val="22"/>
          <w:lang w:val="es-MX" w:eastAsia="x-none"/>
        </w:rPr>
        <w:lastRenderedPageBreak/>
        <w:t>en que se dispone la ejecución de recursos públicos, para evitar que mediante la suscripción de estos se comprometa el erario con fines políticos o partidistas</w:t>
      </w:r>
      <w:r w:rsidRPr="008756F3">
        <w:rPr>
          <w:rFonts w:ascii="Arial" w:hAnsi="Arial" w:cs="Arial"/>
          <w:bCs/>
          <w:iCs/>
          <w:sz w:val="22"/>
          <w:szCs w:val="22"/>
          <w:vertAlign w:val="superscript"/>
          <w:lang w:val="es-MX" w:eastAsia="x-none"/>
        </w:rPr>
        <w:footnoteReference w:id="24"/>
      </w:r>
      <w:r w:rsidRPr="008756F3">
        <w:rPr>
          <w:rFonts w:ascii="Arial" w:hAnsi="Arial" w:cs="Arial"/>
          <w:bCs/>
          <w:iCs/>
          <w:sz w:val="22"/>
          <w:szCs w:val="22"/>
          <w:lang w:val="es-MX" w:eastAsia="x-none"/>
        </w:rPr>
        <w:t>.</w:t>
      </w:r>
      <w:r w:rsidRPr="008756F3">
        <w:rPr>
          <w:rFonts w:ascii="Arial" w:eastAsiaTheme="minorHAnsi" w:hAnsi="Arial" w:cs="Arial"/>
          <w:szCs w:val="22"/>
          <w:lang w:val="es-MX" w:eastAsia="en-US"/>
        </w:rPr>
        <w:t xml:space="preserve"> </w:t>
      </w:r>
    </w:p>
    <w:p w14:paraId="36F0A315" w14:textId="77777777" w:rsidR="003C408D" w:rsidRPr="008756F3" w:rsidRDefault="003C408D" w:rsidP="003C408D">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8756F3">
        <w:rPr>
          <w:rFonts w:ascii="Arial" w:eastAsia="Calibri" w:hAnsi="Arial" w:cs="Arial"/>
          <w:bCs/>
          <w:sz w:val="22"/>
          <w:szCs w:val="22"/>
          <w:lang w:eastAsia="es-ES" w:bidi="es-ES"/>
        </w:rPr>
        <w:t xml:space="preserve">Ahora bien, </w:t>
      </w:r>
      <w:bookmarkStart w:id="12" w:name="_Hlk78820161"/>
      <w:r w:rsidRPr="008756F3">
        <w:rPr>
          <w:rFonts w:ascii="Arial" w:eastAsia="Calibri" w:hAnsi="Arial" w:cs="Arial"/>
          <w:bCs/>
          <w:sz w:val="22"/>
          <w:szCs w:val="22"/>
          <w:lang w:eastAsia="es-ES" w:bidi="es-ES"/>
        </w:rPr>
        <w:t xml:space="preserve">para determinar el alcance de la prohibición consagrada por la Ley de Garantías Electorales, conviene precisar la tipología de convenios o contratos interadministrativos. </w:t>
      </w:r>
      <w:r w:rsidRPr="008756F3">
        <w:rPr>
          <w:rFonts w:ascii="Arial" w:eastAsia="Arial" w:hAnsi="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8756F3">
        <w:rPr>
          <w:rFonts w:ascii="Arial" w:eastAsia="Arial" w:hAnsi="Arial" w:cs="Arial"/>
          <w:sz w:val="22"/>
          <w:szCs w:val="22"/>
          <w:vertAlign w:val="superscript"/>
          <w:lang w:val="es-ES" w:eastAsia="es-ES" w:bidi="es-ES"/>
        </w:rPr>
        <w:footnoteReference w:id="25"/>
      </w:r>
      <w:r w:rsidRPr="008756F3">
        <w:rPr>
          <w:rFonts w:ascii="Arial" w:eastAsia="Arial" w:hAnsi="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8756F3">
        <w:rPr>
          <w:rFonts w:ascii="Arial" w:eastAsia="Arial" w:hAnsi="Arial" w:cs="Arial"/>
          <w:spacing w:val="-6"/>
          <w:sz w:val="22"/>
          <w:szCs w:val="22"/>
          <w:lang w:val="es-ES" w:eastAsia="es-ES" w:bidi="es-ES"/>
        </w:rPr>
        <w:t xml:space="preserve"> </w:t>
      </w:r>
      <w:r w:rsidRPr="008756F3">
        <w:rPr>
          <w:rFonts w:ascii="Arial" w:eastAsia="Arial" w:hAnsi="Arial" w:cs="Arial"/>
          <w:sz w:val="22"/>
          <w:szCs w:val="22"/>
          <w:lang w:val="es-ES" w:eastAsia="es-ES" w:bidi="es-ES"/>
        </w:rPr>
        <w:t>estatales.</w:t>
      </w:r>
    </w:p>
    <w:p w14:paraId="48AD1FD7" w14:textId="77777777" w:rsidR="003C408D" w:rsidRPr="008756F3" w:rsidRDefault="003C408D" w:rsidP="003C408D">
      <w:pPr>
        <w:widowControl w:val="0"/>
        <w:autoSpaceDE w:val="0"/>
        <w:autoSpaceDN w:val="0"/>
        <w:spacing w:before="117" w:after="120" w:line="276" w:lineRule="auto"/>
        <w:ind w:firstLine="707"/>
        <w:jc w:val="both"/>
        <w:rPr>
          <w:rFonts w:ascii="Arial" w:eastAsia="Arial" w:hAnsi="Arial" w:cs="Arial"/>
          <w:sz w:val="22"/>
          <w:szCs w:val="22"/>
          <w:lang w:val="es-ES" w:eastAsia="es-ES" w:bidi="es-ES"/>
        </w:rPr>
      </w:pPr>
      <w:bookmarkStart w:id="13" w:name="_Hlk78820654"/>
      <w:bookmarkEnd w:id="12"/>
      <w:r w:rsidRPr="008756F3">
        <w:rPr>
          <w:rFonts w:ascii="Arial" w:eastAsia="Arial" w:hAnsi="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13"/>
    <w:p w14:paraId="34AB5253" w14:textId="436F8E3F" w:rsidR="003C408D" w:rsidRPr="008756F3" w:rsidRDefault="003C408D" w:rsidP="003C408D">
      <w:pPr>
        <w:widowControl w:val="0"/>
        <w:autoSpaceDE w:val="0"/>
        <w:autoSpaceDN w:val="0"/>
        <w:spacing w:before="121" w:after="120" w:line="276" w:lineRule="auto"/>
        <w:ind w:firstLine="707"/>
        <w:jc w:val="both"/>
        <w:rPr>
          <w:rFonts w:ascii="Arial" w:eastAsia="Arial" w:hAnsi="Arial" w:cs="Arial"/>
          <w:sz w:val="22"/>
          <w:szCs w:val="22"/>
          <w:lang w:val="es-ES" w:eastAsia="es-ES" w:bidi="es-ES"/>
        </w:rPr>
      </w:pPr>
      <w:r>
        <w:rPr>
          <w:rFonts w:ascii="Arial" w:eastAsia="Arial" w:hAnsi="Arial" w:cs="Arial"/>
          <w:sz w:val="22"/>
          <w:szCs w:val="22"/>
          <w:lang w:val="es-ES" w:eastAsia="es-ES" w:bidi="es-ES"/>
        </w:rPr>
        <w:t>Estos</w:t>
      </w:r>
      <w:r w:rsidRPr="008756F3">
        <w:rPr>
          <w:rFonts w:ascii="Arial" w:eastAsia="Arial" w:hAnsi="Arial" w:cs="Arial"/>
          <w:sz w:val="22"/>
          <w:szCs w:val="22"/>
          <w:lang w:val="es-ES" w:eastAsia="es-ES" w:bidi="es-ES"/>
        </w:rPr>
        <w:t xml:space="preserve"> </w:t>
      </w:r>
      <w:r>
        <w:rPr>
          <w:rFonts w:ascii="Arial" w:eastAsia="Arial" w:hAnsi="Arial" w:cs="Arial"/>
          <w:sz w:val="22"/>
          <w:szCs w:val="22"/>
          <w:lang w:val="es-ES" w:eastAsia="es-ES" w:bidi="es-ES"/>
        </w:rPr>
        <w:t>tipo</w:t>
      </w:r>
      <w:r w:rsidR="00517ED7">
        <w:rPr>
          <w:rFonts w:ascii="Arial" w:eastAsia="Arial" w:hAnsi="Arial" w:cs="Arial"/>
          <w:sz w:val="22"/>
          <w:szCs w:val="22"/>
          <w:lang w:val="es-ES" w:eastAsia="es-ES" w:bidi="es-ES"/>
        </w:rPr>
        <w:t>s</w:t>
      </w:r>
      <w:r>
        <w:rPr>
          <w:rFonts w:ascii="Arial" w:eastAsia="Arial" w:hAnsi="Arial" w:cs="Arial"/>
          <w:sz w:val="22"/>
          <w:szCs w:val="22"/>
          <w:lang w:val="es-ES" w:eastAsia="es-ES" w:bidi="es-ES"/>
        </w:rPr>
        <w:t xml:space="preserve"> contractuales </w:t>
      </w:r>
      <w:r w:rsidRPr="008756F3">
        <w:rPr>
          <w:rFonts w:ascii="Arial" w:eastAsia="Arial" w:hAnsi="Arial" w:cs="Arial"/>
          <w:sz w:val="22"/>
          <w:szCs w:val="22"/>
          <w:lang w:val="es-ES" w:eastAsia="es-ES" w:bidi="es-ES"/>
        </w:rPr>
        <w:t>no está</w:t>
      </w:r>
      <w:r>
        <w:rPr>
          <w:rFonts w:ascii="Arial" w:eastAsia="Arial" w:hAnsi="Arial" w:cs="Arial"/>
          <w:sz w:val="22"/>
          <w:szCs w:val="22"/>
          <w:lang w:val="es-ES" w:eastAsia="es-ES" w:bidi="es-ES"/>
        </w:rPr>
        <w:t>n</w:t>
      </w:r>
      <w:r w:rsidRPr="008756F3">
        <w:rPr>
          <w:rFonts w:ascii="Arial" w:eastAsia="Arial" w:hAnsi="Arial" w:cs="Arial"/>
          <w:sz w:val="22"/>
          <w:szCs w:val="22"/>
          <w:lang w:val="es-ES" w:eastAsia="es-ES" w:bidi="es-ES"/>
        </w:rPr>
        <w:t xml:space="preserve"> determinado</w:t>
      </w:r>
      <w:r w:rsidR="00517ED7">
        <w:rPr>
          <w:rFonts w:ascii="Arial" w:eastAsia="Arial" w:hAnsi="Arial" w:cs="Arial"/>
          <w:sz w:val="22"/>
          <w:szCs w:val="22"/>
          <w:lang w:val="es-ES" w:eastAsia="es-ES" w:bidi="es-ES"/>
        </w:rPr>
        <w:t>s</w:t>
      </w:r>
      <w:r w:rsidRPr="008756F3">
        <w:rPr>
          <w:rFonts w:ascii="Arial" w:eastAsia="Arial" w:hAnsi="Arial" w:cs="Arial"/>
          <w:sz w:val="22"/>
          <w:szCs w:val="22"/>
          <w:lang w:val="es-ES" w:eastAsia="es-ES" w:bidi="es-ES"/>
        </w:rPr>
        <w:t xml:space="preserve">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8756F3">
        <w:rPr>
          <w:rFonts w:ascii="Arial" w:eastAsia="Arial" w:hAnsi="Arial" w:cs="Arial"/>
          <w:sz w:val="22"/>
          <w:szCs w:val="22"/>
          <w:vertAlign w:val="superscript"/>
          <w:lang w:val="es-ES" w:eastAsia="es-ES" w:bidi="es-ES"/>
        </w:rPr>
        <w:footnoteReference w:id="26"/>
      </w:r>
      <w:r w:rsidRPr="008756F3">
        <w:rPr>
          <w:rFonts w:ascii="Arial" w:eastAsia="Arial" w:hAnsi="Arial" w:cs="Arial"/>
          <w:sz w:val="22"/>
          <w:szCs w:val="22"/>
          <w:lang w:val="es-ES" w:eastAsia="es-ES" w:bidi="es-ES"/>
        </w:rPr>
        <w:t xml:space="preserve">. Nótese que, en este caso, lo que cambia es la modalidad de </w:t>
      </w:r>
      <w:r w:rsidRPr="008756F3">
        <w:rPr>
          <w:rFonts w:ascii="Arial" w:eastAsia="Arial" w:hAnsi="Arial" w:cs="Arial"/>
          <w:sz w:val="22"/>
          <w:szCs w:val="22"/>
          <w:lang w:val="es-ES" w:eastAsia="es-ES" w:bidi="es-ES"/>
        </w:rPr>
        <w:lastRenderedPageBreak/>
        <w:t>selección y no la naturaleza de contrato</w:t>
      </w:r>
      <w:r w:rsidRPr="008756F3">
        <w:rPr>
          <w:rFonts w:ascii="Arial" w:eastAsia="Arial" w:hAnsi="Arial" w:cs="Arial"/>
          <w:spacing w:val="-18"/>
          <w:sz w:val="22"/>
          <w:szCs w:val="22"/>
          <w:lang w:val="es-ES" w:eastAsia="es-ES" w:bidi="es-ES"/>
        </w:rPr>
        <w:t xml:space="preserve"> </w:t>
      </w:r>
      <w:r w:rsidRPr="008756F3">
        <w:rPr>
          <w:rFonts w:ascii="Arial" w:eastAsia="Arial" w:hAnsi="Arial" w:cs="Arial"/>
          <w:sz w:val="22"/>
          <w:szCs w:val="22"/>
          <w:lang w:val="es-ES" w:eastAsia="es-ES" w:bidi="es-ES"/>
        </w:rPr>
        <w:t>interadministrativo.</w:t>
      </w:r>
    </w:p>
    <w:p w14:paraId="2B81FE1D" w14:textId="77777777" w:rsidR="003C408D" w:rsidRPr="008756F3" w:rsidRDefault="003C408D" w:rsidP="003C408D">
      <w:pPr>
        <w:widowControl w:val="0"/>
        <w:autoSpaceDE w:val="0"/>
        <w:autoSpaceDN w:val="0"/>
        <w:spacing w:before="114" w:line="276" w:lineRule="auto"/>
        <w:ind w:firstLine="707"/>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8756F3">
        <w:rPr>
          <w:rFonts w:ascii="Arial" w:eastAsia="Arial" w:hAnsi="Arial" w:cs="Arial"/>
          <w:spacing w:val="-13"/>
          <w:sz w:val="22"/>
          <w:szCs w:val="22"/>
          <w:lang w:val="es-ES" w:eastAsia="es-ES" w:bidi="es-ES"/>
        </w:rPr>
        <w:t xml:space="preserve"> </w:t>
      </w:r>
      <w:r w:rsidRPr="008756F3">
        <w:rPr>
          <w:rFonts w:ascii="Arial" w:eastAsia="Arial" w:hAnsi="Arial" w:cs="Arial"/>
          <w:sz w:val="22"/>
          <w:szCs w:val="22"/>
          <w:lang w:val="es-ES" w:eastAsia="es-ES" w:bidi="es-ES"/>
        </w:rPr>
        <w:t>que:</w:t>
      </w:r>
    </w:p>
    <w:p w14:paraId="34FE6EB6" w14:textId="77777777" w:rsidR="003C408D" w:rsidRPr="008756F3" w:rsidRDefault="003C408D" w:rsidP="003C408D">
      <w:pPr>
        <w:widowControl w:val="0"/>
        <w:autoSpaceDE w:val="0"/>
        <w:autoSpaceDN w:val="0"/>
        <w:spacing w:line="276" w:lineRule="auto"/>
        <w:ind w:firstLine="707"/>
        <w:jc w:val="both"/>
        <w:rPr>
          <w:rFonts w:ascii="Arial" w:eastAsia="Arial" w:hAnsi="Arial" w:cs="Arial"/>
          <w:sz w:val="22"/>
          <w:szCs w:val="22"/>
          <w:lang w:val="es-ES" w:eastAsia="es-ES" w:bidi="es-ES"/>
        </w:rPr>
      </w:pPr>
    </w:p>
    <w:p w14:paraId="1FE9FD3B" w14:textId="77777777" w:rsidR="003C408D" w:rsidRPr="008756F3" w:rsidRDefault="003C408D" w:rsidP="003C408D">
      <w:pPr>
        <w:ind w:left="709" w:right="709"/>
        <w:jc w:val="both"/>
        <w:rPr>
          <w:rFonts w:ascii="Arial" w:eastAsiaTheme="minorHAnsi" w:hAnsi="Arial" w:cs="Arial"/>
          <w:sz w:val="21"/>
          <w:szCs w:val="22"/>
          <w:lang w:val="es-MX" w:eastAsia="en-US"/>
        </w:rPr>
      </w:pPr>
      <w:r w:rsidRPr="008756F3">
        <w:rPr>
          <w:rFonts w:ascii="Arial" w:eastAsiaTheme="minorHAnsi" w:hAnsi="Arial" w:cs="Arial"/>
          <w:sz w:val="21"/>
          <w:szCs w:val="22"/>
          <w:lang w:val="es-MX"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8756F3">
        <w:rPr>
          <w:rFonts w:ascii="Arial" w:eastAsiaTheme="minorHAnsi" w:hAnsi="Arial" w:cs="Arial"/>
          <w:sz w:val="21"/>
          <w:szCs w:val="22"/>
          <w:lang w:val="es-MX" w:eastAsia="en-US"/>
        </w:rPr>
        <w:t>ii</w:t>
      </w:r>
      <w:proofErr w:type="spellEnd"/>
      <w:r w:rsidRPr="008756F3">
        <w:rPr>
          <w:rFonts w:ascii="Arial" w:eastAsiaTheme="minorHAnsi" w:hAnsi="Arial" w:cs="Arial"/>
          <w:sz w:val="21"/>
          <w:szCs w:val="22"/>
          <w:lang w:val="es-MX" w:eastAsia="en-US"/>
        </w:rPr>
        <w:t>) tienen como fuente la autonomía contractual; (</w:t>
      </w:r>
      <w:proofErr w:type="spellStart"/>
      <w:r w:rsidRPr="008756F3">
        <w:rPr>
          <w:rFonts w:ascii="Arial" w:eastAsiaTheme="minorHAnsi" w:hAnsi="Arial" w:cs="Arial"/>
          <w:sz w:val="21"/>
          <w:szCs w:val="22"/>
          <w:lang w:val="es-MX" w:eastAsia="en-US"/>
        </w:rPr>
        <w:t>iii</w:t>
      </w:r>
      <w:proofErr w:type="spellEnd"/>
      <w:r w:rsidRPr="008756F3">
        <w:rPr>
          <w:rFonts w:ascii="Arial" w:eastAsiaTheme="minorHAnsi" w:hAnsi="Arial" w:cs="Arial"/>
          <w:sz w:val="21"/>
          <w:szCs w:val="22"/>
          <w:lang w:val="es-MX" w:eastAsia="en-US"/>
        </w:rPr>
        <w:t>) son contratos nominados puesto que están mencionados en la ley; (</w:t>
      </w:r>
      <w:proofErr w:type="spellStart"/>
      <w:r w:rsidRPr="008756F3">
        <w:rPr>
          <w:rFonts w:ascii="Arial" w:eastAsiaTheme="minorHAnsi" w:hAnsi="Arial" w:cs="Arial"/>
          <w:sz w:val="21"/>
          <w:szCs w:val="22"/>
          <w:lang w:val="es-MX" w:eastAsia="en-US"/>
        </w:rPr>
        <w:t>iv</w:t>
      </w:r>
      <w:proofErr w:type="spellEnd"/>
      <w:r w:rsidRPr="008756F3">
        <w:rPr>
          <w:rFonts w:ascii="Arial" w:eastAsiaTheme="minorHAnsi" w:hAnsi="Arial" w:cs="Arial"/>
          <w:sz w:val="21"/>
          <w:szCs w:val="22"/>
          <w:lang w:val="es-MX" w:eastAsia="en-US"/>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756F3">
        <w:rPr>
          <w:rFonts w:ascii="Arial" w:eastAsiaTheme="minorHAnsi" w:hAnsi="Arial" w:cs="Arial"/>
          <w:sz w:val="21"/>
          <w:szCs w:val="22"/>
          <w:lang w:val="es-MX" w:eastAsia="en-US"/>
        </w:rPr>
        <w:t>vii</w:t>
      </w:r>
      <w:proofErr w:type="spellEnd"/>
      <w:r w:rsidRPr="008756F3">
        <w:rPr>
          <w:rFonts w:ascii="Arial" w:eastAsiaTheme="minorHAnsi" w:hAnsi="Arial" w:cs="Arial"/>
          <w:sz w:val="21"/>
          <w:szCs w:val="22"/>
          <w:lang w:val="es-MX" w:eastAsia="en-US"/>
        </w:rPr>
        <w:t>) persiguen  una finalidad común a través de la realización de intereses compartidos entre las entidades vinculadas; (</w:t>
      </w:r>
      <w:proofErr w:type="spellStart"/>
      <w:r w:rsidRPr="008756F3">
        <w:rPr>
          <w:rFonts w:ascii="Arial" w:eastAsiaTheme="minorHAnsi" w:hAnsi="Arial" w:cs="Arial"/>
          <w:sz w:val="21"/>
          <w:szCs w:val="22"/>
          <w:lang w:val="es-MX" w:eastAsia="en-US"/>
        </w:rPr>
        <w:t>viii</w:t>
      </w:r>
      <w:proofErr w:type="spellEnd"/>
      <w:r w:rsidRPr="008756F3">
        <w:rPr>
          <w:rFonts w:ascii="Arial" w:eastAsiaTheme="minorHAnsi" w:hAnsi="Arial" w:cs="Arial"/>
          <w:sz w:val="21"/>
          <w:szCs w:val="22"/>
          <w:lang w:val="es-MX" w:eastAsia="en-US"/>
        </w:rPr>
        <w:t>) la acción mediante la cual se deben ventilar las diferencias que sobre el particular surjan es la de controversias contractuales</w:t>
      </w:r>
      <w:r w:rsidRPr="008756F3">
        <w:rPr>
          <w:rFonts w:ascii="Arial" w:eastAsiaTheme="minorHAnsi" w:hAnsi="Arial" w:cs="Arial"/>
          <w:sz w:val="21"/>
          <w:szCs w:val="22"/>
          <w:vertAlign w:val="superscript"/>
          <w:lang w:val="es-MX" w:eastAsia="en-US"/>
        </w:rPr>
        <w:footnoteReference w:id="27"/>
      </w:r>
      <w:r w:rsidRPr="008756F3">
        <w:rPr>
          <w:rFonts w:ascii="Arial" w:eastAsiaTheme="minorHAnsi" w:hAnsi="Arial" w:cs="Arial"/>
          <w:sz w:val="21"/>
          <w:szCs w:val="22"/>
          <w:lang w:val="es-MX" w:eastAsia="en-US"/>
        </w:rPr>
        <w:t>.</w:t>
      </w:r>
    </w:p>
    <w:p w14:paraId="6EA4945A" w14:textId="77777777" w:rsidR="003C408D" w:rsidRPr="008756F3" w:rsidRDefault="003C408D" w:rsidP="003C408D">
      <w:pPr>
        <w:spacing w:line="276" w:lineRule="auto"/>
        <w:ind w:left="709" w:right="709"/>
        <w:jc w:val="both"/>
        <w:rPr>
          <w:rFonts w:ascii="Arial" w:eastAsiaTheme="minorHAnsi" w:hAnsi="Arial" w:cs="Arial"/>
          <w:sz w:val="22"/>
          <w:szCs w:val="22"/>
          <w:lang w:val="es-MX" w:eastAsia="en-US"/>
        </w:rPr>
      </w:pPr>
    </w:p>
    <w:p w14:paraId="3ADC2B52" w14:textId="77777777" w:rsidR="003C408D" w:rsidRPr="008756F3" w:rsidRDefault="003C408D" w:rsidP="003C408D">
      <w:pPr>
        <w:widowControl w:val="0"/>
        <w:autoSpaceDE w:val="0"/>
        <w:autoSpaceDN w:val="0"/>
        <w:spacing w:after="120" w:line="276" w:lineRule="auto"/>
        <w:ind w:firstLine="707"/>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En ese sentido, los convenios interadministrativos se caracterizan por los sujetos que intervienen y por la modalidad de selección que la ley permite aplicar para su celebración, </w:t>
      </w:r>
      <w:r>
        <w:rPr>
          <w:rFonts w:ascii="Arial" w:eastAsia="Arial" w:hAnsi="Arial" w:cs="Arial"/>
          <w:sz w:val="22"/>
          <w:szCs w:val="22"/>
          <w:lang w:val="es-ES" w:eastAsia="es-ES" w:bidi="es-ES"/>
        </w:rPr>
        <w:t>pues</w:t>
      </w:r>
      <w:r w:rsidRPr="008756F3">
        <w:rPr>
          <w:rFonts w:ascii="Arial" w:eastAsia="Arial" w:hAnsi="Arial" w:cs="Arial"/>
          <w:sz w:val="22"/>
          <w:szCs w:val="22"/>
          <w:lang w:val="es-ES" w:eastAsia="es-ES" w:bidi="es-ES"/>
        </w:rPr>
        <w:t xml:space="preserv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2B76AE8D" w14:textId="77777777" w:rsidR="003C408D" w:rsidRPr="008756F3" w:rsidRDefault="003C408D" w:rsidP="003C408D">
      <w:pPr>
        <w:widowControl w:val="0"/>
        <w:autoSpaceDE w:val="0"/>
        <w:autoSpaceDN w:val="0"/>
        <w:spacing w:before="119" w:after="120" w:line="276" w:lineRule="auto"/>
        <w:ind w:firstLine="707"/>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Así las cosas, la ley no limitó la celebración de contratos interadministrativos a la modalidad de selección de contratación directa, pues solo estableció, excepcionalmente, </w:t>
      </w:r>
      <w:r w:rsidRPr="008756F3">
        <w:rPr>
          <w:rFonts w:ascii="Arial" w:eastAsia="Arial" w:hAnsi="Arial" w:cs="Arial"/>
          <w:sz w:val="22"/>
          <w:szCs w:val="22"/>
          <w:lang w:val="es-ES" w:eastAsia="es-ES" w:bidi="es-ES"/>
        </w:rPr>
        <w:lastRenderedPageBreak/>
        <w:t>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8756F3">
        <w:rPr>
          <w:rFonts w:ascii="Arial" w:eastAsia="Arial" w:hAnsi="Arial" w:cs="Arial"/>
          <w:spacing w:val="-3"/>
          <w:sz w:val="22"/>
          <w:szCs w:val="22"/>
          <w:lang w:val="es-ES" w:eastAsia="es-ES" w:bidi="es-ES"/>
        </w:rPr>
        <w:t xml:space="preserve"> </w:t>
      </w:r>
      <w:r w:rsidRPr="008756F3">
        <w:rPr>
          <w:rFonts w:ascii="Arial" w:eastAsia="Arial" w:hAnsi="Arial" w:cs="Arial"/>
          <w:sz w:val="22"/>
          <w:szCs w:val="22"/>
          <w:lang w:val="es-ES" w:eastAsia="es-ES" w:bidi="es-ES"/>
        </w:rPr>
        <w:t>estatales.</w:t>
      </w:r>
    </w:p>
    <w:p w14:paraId="03130ED3" w14:textId="77777777" w:rsidR="003C408D" w:rsidRPr="008756F3" w:rsidRDefault="003C408D" w:rsidP="003C408D">
      <w:pPr>
        <w:widowControl w:val="0"/>
        <w:autoSpaceDE w:val="0"/>
        <w:autoSpaceDN w:val="0"/>
        <w:spacing w:before="120" w:after="200" w:line="276" w:lineRule="auto"/>
        <w:ind w:firstLine="709"/>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8756F3">
        <w:rPr>
          <w:rFonts w:ascii="Arial" w:eastAsia="Arial" w:hAnsi="Arial" w:cs="Arial"/>
          <w:spacing w:val="-4"/>
          <w:sz w:val="22"/>
          <w:szCs w:val="22"/>
          <w:lang w:val="es-ES" w:eastAsia="es-ES" w:bidi="es-ES"/>
        </w:rPr>
        <w:t xml:space="preserve"> </w:t>
      </w:r>
      <w:r w:rsidRPr="008756F3">
        <w:rPr>
          <w:rFonts w:ascii="Arial" w:eastAsia="Arial" w:hAnsi="Arial" w:cs="Arial"/>
          <w:sz w:val="22"/>
          <w:szCs w:val="22"/>
          <w:lang w:val="es-ES" w:eastAsia="es-ES" w:bidi="es-ES"/>
        </w:rPr>
        <w:t>estatales.</w:t>
      </w:r>
    </w:p>
    <w:p w14:paraId="0D2C5F97" w14:textId="77777777" w:rsidR="003C408D" w:rsidRPr="008756F3" w:rsidRDefault="003C408D" w:rsidP="003C408D">
      <w:pPr>
        <w:widowControl w:val="0"/>
        <w:autoSpaceDE w:val="0"/>
        <w:autoSpaceDN w:val="0"/>
        <w:spacing w:before="122" w:after="120" w:line="276" w:lineRule="auto"/>
        <w:ind w:firstLine="708"/>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7A5BDA67" w14:textId="77777777" w:rsidR="003C408D" w:rsidRPr="008756F3" w:rsidRDefault="003C408D" w:rsidP="003C408D">
      <w:pPr>
        <w:widowControl w:val="0"/>
        <w:autoSpaceDE w:val="0"/>
        <w:autoSpaceDN w:val="0"/>
        <w:spacing w:line="276" w:lineRule="auto"/>
        <w:ind w:firstLine="708"/>
        <w:jc w:val="both"/>
        <w:rPr>
          <w:rFonts w:ascii="Arial" w:eastAsia="Calibri" w:hAnsi="Arial" w:cs="Arial"/>
          <w:bCs/>
          <w:sz w:val="22"/>
          <w:szCs w:val="22"/>
          <w:lang w:eastAsia="es-ES" w:bidi="es-ES"/>
        </w:rPr>
      </w:pPr>
      <w:r w:rsidRPr="008756F3">
        <w:rPr>
          <w:rFonts w:ascii="Arial" w:eastAsia="Arial" w:hAnsi="Arial" w:cs="Arial"/>
          <w:sz w:val="22"/>
          <w:szCs w:val="22"/>
          <w:lang w:val="es-ES" w:eastAsia="es-ES" w:bidi="es-ES"/>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w:t>
      </w:r>
      <w:r w:rsidRPr="008756F3">
        <w:rPr>
          <w:rFonts w:ascii="Arial" w:eastAsia="Arial" w:hAnsi="Arial" w:cs="Arial"/>
          <w:sz w:val="22"/>
          <w:szCs w:val="22"/>
          <w:lang w:val="es-ES" w:eastAsia="es-ES" w:bidi="es-ES"/>
        </w:rPr>
        <w:lastRenderedPageBreak/>
        <w:t>a la normativa contractual pública, como a las normas del derecho civil</w:t>
      </w:r>
      <w:r w:rsidRPr="008756F3">
        <w:rPr>
          <w:rFonts w:ascii="Arial" w:eastAsia="Arial" w:hAnsi="Arial" w:cs="Arial"/>
          <w:spacing w:val="-4"/>
          <w:sz w:val="22"/>
          <w:szCs w:val="22"/>
          <w:lang w:val="es-ES" w:eastAsia="es-ES" w:bidi="es-ES"/>
        </w:rPr>
        <w:t xml:space="preserve"> </w:t>
      </w:r>
      <w:r w:rsidRPr="008756F3">
        <w:rPr>
          <w:rFonts w:ascii="Arial" w:eastAsia="Arial" w:hAnsi="Arial" w:cs="Arial"/>
          <w:sz w:val="22"/>
          <w:szCs w:val="22"/>
          <w:lang w:val="es-ES" w:eastAsia="es-ES" w:bidi="es-ES"/>
        </w:rPr>
        <w:t>[…]»</w:t>
      </w:r>
      <w:r w:rsidRPr="008756F3">
        <w:rPr>
          <w:rFonts w:ascii="Arial" w:eastAsia="Arial" w:hAnsi="Arial" w:cs="Arial"/>
          <w:sz w:val="22"/>
          <w:szCs w:val="22"/>
          <w:vertAlign w:val="superscript"/>
          <w:lang w:val="es-ES" w:eastAsia="es-ES" w:bidi="es-ES"/>
        </w:rPr>
        <w:footnoteReference w:id="28"/>
      </w:r>
      <w:r w:rsidRPr="008756F3">
        <w:rPr>
          <w:rFonts w:ascii="Arial" w:eastAsia="Arial" w:hAnsi="Arial" w:cs="Arial"/>
          <w:sz w:val="22"/>
          <w:szCs w:val="22"/>
          <w:lang w:val="es-ES" w:eastAsia="es-ES" w:bidi="es-ES"/>
        </w:rPr>
        <w:t>.</w:t>
      </w:r>
      <w:bookmarkStart w:id="14" w:name="_Hlk77171241"/>
    </w:p>
    <w:p w14:paraId="30D69B3E" w14:textId="77777777" w:rsidR="003C408D" w:rsidRPr="008756F3" w:rsidRDefault="003C408D" w:rsidP="00AF775B">
      <w:pPr>
        <w:widowControl w:val="0"/>
        <w:autoSpaceDE w:val="0"/>
        <w:autoSpaceDN w:val="0"/>
        <w:spacing w:before="122" w:line="276" w:lineRule="auto"/>
        <w:ind w:firstLine="709"/>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 xml:space="preserve">Sin perjuicio de lo anterior, </w:t>
      </w:r>
      <w:r>
        <w:rPr>
          <w:rFonts w:ascii="Arial" w:eastAsia="Arial" w:hAnsi="Arial" w:cs="Arial"/>
          <w:sz w:val="22"/>
          <w:szCs w:val="22"/>
          <w:lang w:val="es-ES" w:eastAsia="es-ES" w:bidi="es-ES"/>
        </w:rPr>
        <w:t>debe</w:t>
      </w:r>
      <w:r w:rsidRPr="008756F3">
        <w:rPr>
          <w:rFonts w:ascii="Arial" w:eastAsia="Arial" w:hAnsi="Arial" w:cs="Arial"/>
          <w:sz w:val="22"/>
          <w:szCs w:val="22"/>
          <w:lang w:val="es-ES" w:eastAsia="es-ES" w:bidi="es-ES"/>
        </w:rPr>
        <w:t xml:space="preserve"> tener</w:t>
      </w:r>
      <w:r>
        <w:rPr>
          <w:rFonts w:ascii="Arial" w:eastAsia="Arial" w:hAnsi="Arial" w:cs="Arial"/>
          <w:sz w:val="22"/>
          <w:szCs w:val="22"/>
          <w:lang w:val="es-ES" w:eastAsia="es-ES" w:bidi="es-ES"/>
        </w:rPr>
        <w:t>se</w:t>
      </w:r>
      <w:r w:rsidRPr="008756F3">
        <w:rPr>
          <w:rFonts w:ascii="Arial" w:eastAsia="Arial" w:hAnsi="Arial" w:cs="Arial"/>
          <w:sz w:val="22"/>
          <w:szCs w:val="22"/>
          <w:lang w:val="es-ES" w:eastAsia="es-ES" w:bidi="es-ES"/>
        </w:rPr>
        <w:t xml:space="preserve">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w:t>
      </w:r>
      <w:r>
        <w:rPr>
          <w:rFonts w:ascii="Arial" w:eastAsia="Arial" w:hAnsi="Arial" w:cs="Arial"/>
          <w:sz w:val="22"/>
          <w:szCs w:val="22"/>
          <w:lang w:val="es-ES" w:eastAsia="es-ES" w:bidi="es-ES"/>
        </w:rPr>
        <w:t>, en</w:t>
      </w:r>
      <w:r w:rsidRPr="008756F3">
        <w:rPr>
          <w:rFonts w:ascii="Arial" w:eastAsia="Arial" w:hAnsi="Arial" w:cs="Arial"/>
          <w:sz w:val="22"/>
          <w:szCs w:val="22"/>
          <w:lang w:val="es-ES" w:eastAsia="es-ES" w:bidi="es-ES"/>
        </w:rPr>
        <w:t xml:space="preserve"> sentencia del 14 de junio de 2019 expresó:</w:t>
      </w:r>
    </w:p>
    <w:p w14:paraId="340E7191" w14:textId="77777777" w:rsidR="003C408D" w:rsidRPr="008756F3" w:rsidRDefault="003C408D" w:rsidP="003C408D">
      <w:pPr>
        <w:widowControl w:val="0"/>
        <w:autoSpaceDE w:val="0"/>
        <w:autoSpaceDN w:val="0"/>
        <w:spacing w:line="276" w:lineRule="auto"/>
        <w:ind w:firstLine="709"/>
        <w:jc w:val="both"/>
        <w:rPr>
          <w:rFonts w:ascii="Arial" w:eastAsia="Arial" w:hAnsi="Arial" w:cs="Arial"/>
          <w:sz w:val="22"/>
          <w:szCs w:val="22"/>
          <w:lang w:val="es-ES" w:eastAsia="es-ES" w:bidi="es-ES"/>
        </w:rPr>
      </w:pPr>
    </w:p>
    <w:p w14:paraId="29278B90" w14:textId="77777777" w:rsidR="003C408D" w:rsidRDefault="003C408D" w:rsidP="003C408D">
      <w:pPr>
        <w:ind w:left="709" w:right="709"/>
        <w:jc w:val="both"/>
        <w:rPr>
          <w:rFonts w:ascii="Arial" w:eastAsiaTheme="minorHAnsi" w:hAnsi="Arial" w:cs="Arial"/>
          <w:sz w:val="21"/>
          <w:szCs w:val="21"/>
          <w:lang w:val="es-ES_tradnl" w:eastAsia="en-US"/>
        </w:rPr>
      </w:pPr>
      <w:r w:rsidRPr="008756F3">
        <w:rPr>
          <w:rFonts w:ascii="Arial" w:eastAsiaTheme="minorHAnsi" w:hAnsi="Arial" w:cs="Arial"/>
          <w:sz w:val="21"/>
          <w:szCs w:val="21"/>
          <w:lang w:val="es-ES_tradnl" w:eastAsia="en-US"/>
        </w:rPr>
        <w:t>La Sala de Consulta y Servicio Civil</w:t>
      </w:r>
      <w:r w:rsidRPr="008756F3">
        <w:rPr>
          <w:rFonts w:ascii="Arial" w:eastAsiaTheme="minorHAnsi" w:hAnsi="Arial" w:cs="Arial"/>
          <w:sz w:val="21"/>
          <w:szCs w:val="21"/>
          <w:vertAlign w:val="superscript"/>
          <w:lang w:val="es-ES_tradnl" w:eastAsia="en-US"/>
        </w:rPr>
        <w:footnoteReference w:id="29"/>
      </w:r>
      <w:r w:rsidRPr="008756F3">
        <w:rPr>
          <w:rFonts w:ascii="Arial" w:eastAsiaTheme="minorHAnsi" w:hAnsi="Arial" w:cs="Arial"/>
          <w:sz w:val="21"/>
          <w:szCs w:val="21"/>
          <w:lang w:val="es-ES_tradnl" w:eastAsia="en-US"/>
        </w:rPr>
        <w:t xml:space="preserve"> de esta Corporación se ha referido a los </w:t>
      </w:r>
      <w:r w:rsidRPr="008756F3">
        <w:rPr>
          <w:rFonts w:ascii="Arial" w:eastAsiaTheme="minorHAnsi" w:hAnsi="Arial" w:cs="Arial"/>
          <w:i/>
          <w:sz w:val="21"/>
          <w:szCs w:val="21"/>
          <w:lang w:val="es-ES_tradnl" w:eastAsia="en-US"/>
        </w:rPr>
        <w:t>“convenios interadministrativos”</w:t>
      </w:r>
      <w:r w:rsidRPr="008756F3">
        <w:rPr>
          <w:rFonts w:ascii="Arial" w:eastAsiaTheme="minorHAnsi" w:hAnsi="Arial" w:cs="Arial"/>
          <w:sz w:val="21"/>
          <w:szCs w:val="21"/>
          <w:lang w:val="es-ES_tradnl" w:eastAsia="en-US"/>
        </w:rPr>
        <w:t xml:space="preserve"> a los cuales alude el artículo 95 de la Ley 489 de 1998, calificándolos de </w:t>
      </w:r>
      <w:r w:rsidRPr="008756F3">
        <w:rPr>
          <w:rFonts w:ascii="Arial" w:eastAsiaTheme="minorHAnsi" w:hAnsi="Arial" w:cs="Arial"/>
          <w:i/>
          <w:sz w:val="21"/>
          <w:szCs w:val="21"/>
          <w:lang w:val="es-ES_tradnl" w:eastAsia="en-US"/>
        </w:rPr>
        <w:t xml:space="preserve">“puros” </w:t>
      </w:r>
      <w:r w:rsidRPr="008756F3">
        <w:rPr>
          <w:rFonts w:ascii="Arial" w:eastAsiaTheme="minorHAnsi" w:hAnsi="Arial" w:cs="Arial"/>
          <w:sz w:val="21"/>
          <w:szCs w:val="21"/>
          <w:lang w:val="es-ES_tradnl" w:eastAsia="en-US"/>
        </w:rPr>
        <w:t xml:space="preserve">y entendiendo que estos, además de perseguir la finalidad de cooperación antes indicada, no implican intereses contrapuestos ni tampoco se circunscriben a un </w:t>
      </w:r>
      <w:r w:rsidRPr="008756F3">
        <w:rPr>
          <w:rFonts w:ascii="Arial" w:eastAsiaTheme="minorHAnsi" w:hAnsi="Arial" w:cs="Arial"/>
          <w:i/>
          <w:sz w:val="21"/>
          <w:szCs w:val="21"/>
          <w:lang w:val="es-ES_tradnl" w:eastAsia="en-US"/>
        </w:rPr>
        <w:t>“intercambio patrimonial”</w:t>
      </w:r>
      <w:r w:rsidRPr="008756F3">
        <w:rPr>
          <w:rFonts w:ascii="Arial" w:eastAsiaTheme="minorHAnsi" w:hAnsi="Arial" w:cs="Arial"/>
          <w:sz w:val="21"/>
          <w:szCs w:val="21"/>
          <w:lang w:val="es-ES_tradnl" w:eastAsia="en-US"/>
        </w:rPr>
        <w:t>. Sin perjuicio de lo anterior, en otra oportunidad, la misma Sala</w:t>
      </w:r>
      <w:r w:rsidRPr="008756F3">
        <w:rPr>
          <w:rFonts w:ascii="Arial" w:eastAsiaTheme="minorHAnsi" w:hAnsi="Arial" w:cs="Arial"/>
          <w:sz w:val="21"/>
          <w:szCs w:val="21"/>
          <w:vertAlign w:val="superscript"/>
          <w:lang w:val="es-ES_tradnl" w:eastAsia="en-US"/>
        </w:rPr>
        <w:footnoteReference w:id="30"/>
      </w:r>
      <w:r w:rsidRPr="008756F3">
        <w:rPr>
          <w:rFonts w:ascii="Arial" w:eastAsiaTheme="minorHAnsi" w:hAnsi="Arial" w:cs="Arial"/>
          <w:sz w:val="21"/>
          <w:szCs w:val="21"/>
          <w:lang w:val="es-ES_tradnl" w:eastAsia="en-US"/>
        </w:rPr>
        <w:t xml:space="preserve"> había indicado que, si bien en dichos convenios no se daba un </w:t>
      </w:r>
      <w:r w:rsidRPr="008756F3">
        <w:rPr>
          <w:rFonts w:ascii="Arial" w:eastAsiaTheme="minorHAnsi" w:hAnsi="Arial" w:cs="Arial"/>
          <w:i/>
          <w:sz w:val="21"/>
          <w:szCs w:val="21"/>
          <w:lang w:val="es-ES_tradnl" w:eastAsia="en-US"/>
        </w:rPr>
        <w:t>“verdadero intercambio de bienes o servicios (contrato conmutativo)”</w:t>
      </w:r>
      <w:r w:rsidRPr="008756F3">
        <w:rPr>
          <w:rFonts w:ascii="Arial" w:eastAsiaTheme="minorHAnsi" w:hAnsi="Arial" w:cs="Arial"/>
          <w:sz w:val="21"/>
          <w:szCs w:val="21"/>
          <w:lang w:val="es-ES_tradnl" w:eastAsia="en-US"/>
        </w:rPr>
        <w:t>, ello no impedía que se conviniera una remuneración a cargo de alguna(s) entidad(es).</w:t>
      </w:r>
    </w:p>
    <w:p w14:paraId="6D21DC84" w14:textId="77777777" w:rsidR="003C408D" w:rsidRPr="008756F3" w:rsidRDefault="003C408D" w:rsidP="003C408D">
      <w:pPr>
        <w:ind w:left="709" w:right="709"/>
        <w:jc w:val="both"/>
        <w:rPr>
          <w:rFonts w:ascii="Arial" w:eastAsiaTheme="minorHAnsi" w:hAnsi="Arial" w:cs="Arial"/>
          <w:sz w:val="21"/>
          <w:szCs w:val="21"/>
          <w:lang w:val="es-ES_tradnl" w:eastAsia="en-US"/>
        </w:rPr>
      </w:pPr>
    </w:p>
    <w:p w14:paraId="47159F8D" w14:textId="77777777" w:rsidR="003C408D" w:rsidRPr="008756F3" w:rsidRDefault="003C408D" w:rsidP="003C408D">
      <w:pPr>
        <w:widowControl w:val="0"/>
        <w:autoSpaceDE w:val="0"/>
        <w:autoSpaceDN w:val="0"/>
        <w:ind w:left="709" w:right="709"/>
        <w:jc w:val="both"/>
        <w:rPr>
          <w:rFonts w:ascii="Arial" w:eastAsia="Arial" w:hAnsi="Arial" w:cs="Arial"/>
          <w:sz w:val="21"/>
          <w:szCs w:val="21"/>
          <w:lang w:val="es-ES" w:eastAsia="es-ES" w:bidi="es-ES"/>
        </w:rPr>
      </w:pPr>
      <w:r w:rsidRPr="008756F3">
        <w:rPr>
          <w:rFonts w:ascii="Arial" w:eastAsia="Arial" w:hAnsi="Arial" w:cs="Arial"/>
          <w:sz w:val="21"/>
          <w:szCs w:val="21"/>
          <w:lang w:val="es-ES_tradnl" w:eastAsia="es-ES" w:bidi="es-ES"/>
        </w:rPr>
        <w:t xml:space="preserve">Lo expuesto evidencia que, en general, las interpretaciones en torno a los </w:t>
      </w:r>
      <w:r w:rsidRPr="008756F3">
        <w:rPr>
          <w:rFonts w:ascii="Arial" w:eastAsia="Arial" w:hAnsi="Arial" w:cs="Arial"/>
          <w:i/>
          <w:sz w:val="21"/>
          <w:szCs w:val="21"/>
          <w:lang w:val="es-ES_tradnl" w:eastAsia="es-ES" w:bidi="es-ES"/>
        </w:rPr>
        <w:t>“convenios interadministrativos”</w:t>
      </w:r>
      <w:r w:rsidRPr="008756F3">
        <w:rPr>
          <w:rFonts w:ascii="Arial" w:eastAsia="Arial" w:hAnsi="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8756F3">
        <w:rPr>
          <w:rFonts w:ascii="Arial" w:eastAsia="Arial" w:hAnsi="Arial" w:cs="Arial"/>
          <w:sz w:val="21"/>
          <w:szCs w:val="21"/>
          <w:vertAlign w:val="superscript"/>
          <w:lang w:val="es-ES_tradnl" w:eastAsia="es-ES" w:bidi="es-ES"/>
        </w:rPr>
        <w:footnoteReference w:id="31"/>
      </w:r>
      <w:r w:rsidRPr="008756F3">
        <w:rPr>
          <w:rFonts w:ascii="Arial" w:eastAsia="Arial" w:hAnsi="Arial" w:cs="Arial"/>
          <w:sz w:val="21"/>
          <w:szCs w:val="21"/>
          <w:vertAlign w:val="superscript"/>
          <w:lang w:val="es-ES_tradnl" w:eastAsia="es-ES" w:bidi="es-ES"/>
        </w:rPr>
        <w:footnoteReference w:id="32"/>
      </w:r>
      <w:r w:rsidRPr="008756F3">
        <w:rPr>
          <w:rFonts w:ascii="Arial" w:eastAsia="Arial" w:hAnsi="Arial" w:cs="Arial"/>
          <w:sz w:val="21"/>
          <w:szCs w:val="21"/>
          <w:lang w:val="es-ES_tradnl" w:eastAsia="es-ES" w:bidi="es-ES"/>
        </w:rPr>
        <w:t>.</w:t>
      </w:r>
    </w:p>
    <w:p w14:paraId="2396B7C5" w14:textId="77777777" w:rsidR="003C408D" w:rsidRPr="008756F3" w:rsidRDefault="003C408D" w:rsidP="003C408D">
      <w:pPr>
        <w:widowControl w:val="0"/>
        <w:autoSpaceDE w:val="0"/>
        <w:autoSpaceDN w:val="0"/>
        <w:spacing w:line="276" w:lineRule="auto"/>
        <w:jc w:val="both"/>
        <w:rPr>
          <w:rFonts w:ascii="Arial" w:eastAsia="Arial" w:hAnsi="Arial" w:cs="Arial"/>
          <w:sz w:val="22"/>
          <w:szCs w:val="22"/>
          <w:lang w:val="es-ES" w:eastAsia="es-ES" w:bidi="es-ES"/>
        </w:rPr>
      </w:pPr>
    </w:p>
    <w:p w14:paraId="6814C858" w14:textId="77777777" w:rsidR="003C408D" w:rsidRPr="008756F3" w:rsidRDefault="003C408D" w:rsidP="003C408D">
      <w:pPr>
        <w:widowControl w:val="0"/>
        <w:autoSpaceDE w:val="0"/>
        <w:autoSpaceDN w:val="0"/>
        <w:spacing w:after="120" w:line="276" w:lineRule="auto"/>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ab/>
        <w:t xml:space="preserve">Sin perjuicio de lo indicado, </w:t>
      </w:r>
      <w:r>
        <w:rPr>
          <w:rFonts w:ascii="Arial" w:eastAsia="Arial" w:hAnsi="Arial" w:cs="Arial"/>
          <w:sz w:val="22"/>
          <w:szCs w:val="22"/>
          <w:lang w:val="es-ES" w:eastAsia="es-ES" w:bidi="es-ES"/>
        </w:rPr>
        <w:t>debe reiterarse</w:t>
      </w:r>
      <w:r w:rsidRPr="008756F3">
        <w:rPr>
          <w:rFonts w:ascii="Arial" w:eastAsia="Arial" w:hAnsi="Arial" w:cs="Arial"/>
          <w:sz w:val="22"/>
          <w:szCs w:val="22"/>
          <w:lang w:val="es-ES" w:eastAsia="es-ES" w:bidi="es-ES"/>
        </w:rPr>
        <w:t xml:space="preserve"> que el legislador y el ordenamiento jurídico, en general, en distintas ocasiones utiliza de forma indistinta los conceptos de contrato o convenio para referirse a la misma institución jurídica</w:t>
      </w:r>
      <w:r w:rsidRPr="008756F3">
        <w:rPr>
          <w:rFonts w:ascii="Arial" w:eastAsia="Arial" w:hAnsi="Arial" w:cs="Arial"/>
          <w:sz w:val="22"/>
          <w:szCs w:val="22"/>
          <w:vertAlign w:val="superscript"/>
          <w:lang w:val="es-ES" w:eastAsia="es-ES" w:bidi="es-ES"/>
        </w:rPr>
        <w:footnoteReference w:id="33"/>
      </w:r>
      <w:r w:rsidRPr="008756F3">
        <w:rPr>
          <w:rFonts w:ascii="Arial" w:eastAsia="Arial" w:hAnsi="Arial" w:cs="Arial"/>
          <w:sz w:val="22"/>
          <w:szCs w:val="22"/>
          <w:lang w:val="es-ES" w:eastAsia="es-ES" w:bidi="es-ES"/>
        </w:rPr>
        <w:t>. Incluso la Corte Constitucional explica la posibilidad de celebrar convenios interadministrativos de forma directa, con fundamento en la causal establecida en la Ley 1150 de 2007 respecto a los contratos interadministrativos</w:t>
      </w:r>
      <w:r w:rsidRPr="008756F3">
        <w:rPr>
          <w:rFonts w:ascii="Arial" w:eastAsia="Arial" w:hAnsi="Arial" w:cs="Arial"/>
          <w:sz w:val="22"/>
          <w:szCs w:val="22"/>
          <w:vertAlign w:val="superscript"/>
          <w:lang w:val="es-ES" w:eastAsia="es-ES" w:bidi="es-ES"/>
        </w:rPr>
        <w:footnoteReference w:id="34"/>
      </w:r>
      <w:r w:rsidRPr="008756F3">
        <w:rPr>
          <w:rFonts w:ascii="Arial" w:eastAsia="Arial" w:hAnsi="Arial" w:cs="Arial"/>
          <w:sz w:val="22"/>
          <w:szCs w:val="22"/>
          <w:lang w:val="es-ES" w:eastAsia="es-ES" w:bidi="es-ES"/>
        </w:rPr>
        <w:t>.</w:t>
      </w:r>
    </w:p>
    <w:p w14:paraId="0056D8A0" w14:textId="77777777" w:rsidR="003C408D" w:rsidRPr="008756F3" w:rsidRDefault="003C408D" w:rsidP="003C408D">
      <w:pPr>
        <w:widowControl w:val="0"/>
        <w:autoSpaceDE w:val="0"/>
        <w:autoSpaceDN w:val="0"/>
        <w:spacing w:line="276" w:lineRule="auto"/>
        <w:jc w:val="both"/>
        <w:rPr>
          <w:rFonts w:ascii="Arial" w:eastAsia="Arial" w:hAnsi="Arial" w:cs="Arial"/>
          <w:sz w:val="22"/>
          <w:szCs w:val="22"/>
          <w:lang w:val="es-ES" w:eastAsia="es-ES" w:bidi="es-ES"/>
        </w:rPr>
      </w:pPr>
      <w:r w:rsidRPr="008756F3">
        <w:rPr>
          <w:rFonts w:ascii="Arial" w:eastAsia="Arial" w:hAnsi="Arial" w:cs="Arial"/>
          <w:sz w:val="22"/>
          <w:szCs w:val="22"/>
          <w:lang w:val="es-ES" w:eastAsia="es-ES" w:bidi="es-ES"/>
        </w:rPr>
        <w:tab/>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1EC120E2" w14:textId="77777777" w:rsidR="003C408D" w:rsidRPr="008756F3" w:rsidRDefault="003C408D" w:rsidP="003C408D">
      <w:pPr>
        <w:widowControl w:val="0"/>
        <w:autoSpaceDE w:val="0"/>
        <w:autoSpaceDN w:val="0"/>
        <w:spacing w:line="276" w:lineRule="auto"/>
        <w:jc w:val="both"/>
        <w:rPr>
          <w:rFonts w:ascii="Arial" w:eastAsia="Arial" w:hAnsi="Arial" w:cs="Arial"/>
          <w:sz w:val="22"/>
          <w:szCs w:val="22"/>
          <w:lang w:val="es-ES" w:eastAsia="es-ES" w:bidi="es-ES"/>
        </w:rPr>
      </w:pPr>
    </w:p>
    <w:p w14:paraId="72173EC3" w14:textId="77777777" w:rsidR="003C408D" w:rsidRPr="008756F3" w:rsidRDefault="003C408D" w:rsidP="003C408D">
      <w:pPr>
        <w:spacing w:after="120"/>
        <w:ind w:left="709"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8756F3">
        <w:rPr>
          <w:rFonts w:ascii="Arial" w:eastAsiaTheme="minorHAnsi" w:hAnsi="Arial" w:cs="Arial"/>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00CFC411" w14:textId="77777777" w:rsidR="003C408D" w:rsidRPr="008756F3" w:rsidRDefault="003C408D" w:rsidP="003C408D">
      <w:pPr>
        <w:spacing w:after="120"/>
        <w:ind w:left="709" w:right="709"/>
        <w:jc w:val="both"/>
        <w:rPr>
          <w:rFonts w:ascii="Arial" w:eastAsiaTheme="minorHAnsi" w:hAnsi="Arial" w:cs="Arial"/>
          <w:sz w:val="21"/>
          <w:szCs w:val="21"/>
          <w:lang w:val="es-MX" w:eastAsia="en-US"/>
        </w:rPr>
      </w:pPr>
      <w:r w:rsidRPr="008756F3">
        <w:rPr>
          <w:rFonts w:ascii="Arial" w:eastAsiaTheme="minorHAnsi" w:hAnsi="Arial" w:cs="Arial"/>
          <w:sz w:val="21"/>
          <w:szCs w:val="21"/>
          <w:lang w:val="es-MX" w:eastAsia="en-US"/>
        </w:rPr>
        <w:t xml:space="preserve">No obstante, por vía jurisprudencial se ha establecido que en los contratos interadministrativos existe una contraprestación directa a favor de la entidad que </w:t>
      </w:r>
      <w:r w:rsidRPr="008756F3">
        <w:rPr>
          <w:rFonts w:ascii="Arial" w:eastAsiaTheme="minorHAnsi" w:hAnsi="Arial" w:cs="Arial"/>
          <w:sz w:val="21"/>
          <w:szCs w:val="21"/>
          <w:lang w:val="es-MX" w:eastAsia="en-US"/>
        </w:rPr>
        <w:lastRenderedPageBreak/>
        <w:t>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3DA17227" w14:textId="77777777" w:rsidR="003C408D" w:rsidRPr="008756F3" w:rsidRDefault="003C408D" w:rsidP="003C408D">
      <w:pPr>
        <w:ind w:left="709" w:right="709"/>
        <w:jc w:val="both"/>
        <w:rPr>
          <w:rFonts w:ascii="Arial" w:eastAsiaTheme="minorHAnsi" w:hAnsi="Arial" w:cs="Arial"/>
          <w:szCs w:val="22"/>
          <w:lang w:val="es-MX" w:eastAsia="en-US"/>
        </w:rPr>
      </w:pPr>
      <w:r w:rsidRPr="008756F3">
        <w:rPr>
          <w:rFonts w:ascii="Arial" w:eastAsiaTheme="minorHAnsi" w:hAnsi="Arial" w:cs="Arial"/>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5A521ED" w14:textId="77777777" w:rsidR="003C408D" w:rsidRPr="00F23E83" w:rsidRDefault="003C408D" w:rsidP="003C408D">
      <w:pPr>
        <w:widowControl w:val="0"/>
        <w:autoSpaceDE w:val="0"/>
        <w:autoSpaceDN w:val="0"/>
        <w:spacing w:before="3" w:line="276" w:lineRule="auto"/>
        <w:jc w:val="both"/>
        <w:rPr>
          <w:rFonts w:ascii="Arial" w:eastAsia="Arial" w:hAnsi="Arial" w:cs="Arial"/>
          <w:sz w:val="22"/>
          <w:szCs w:val="22"/>
          <w:lang w:val="es-ES" w:eastAsia="es-ES" w:bidi="es-ES"/>
        </w:rPr>
      </w:pPr>
    </w:p>
    <w:p w14:paraId="5B136BA5" w14:textId="77777777" w:rsidR="003C408D" w:rsidRPr="008756F3" w:rsidRDefault="003C408D" w:rsidP="003C408D">
      <w:pPr>
        <w:widowControl w:val="0"/>
        <w:autoSpaceDE w:val="0"/>
        <w:autoSpaceDN w:val="0"/>
        <w:spacing w:after="120" w:line="276" w:lineRule="auto"/>
        <w:jc w:val="both"/>
        <w:rPr>
          <w:rFonts w:ascii="Arial" w:eastAsia="Calibri" w:hAnsi="Arial" w:cs="Arial"/>
          <w:bCs/>
          <w:sz w:val="22"/>
          <w:szCs w:val="22"/>
          <w:lang w:eastAsia="es-ES" w:bidi="es-ES"/>
        </w:rPr>
      </w:pPr>
      <w:r w:rsidRPr="008756F3">
        <w:rPr>
          <w:rFonts w:ascii="Arial" w:eastAsia="Arial" w:hAnsi="Arial" w:cs="Arial"/>
          <w:sz w:val="25"/>
          <w:szCs w:val="22"/>
          <w:lang w:val="es-ES" w:eastAsia="es-ES" w:bidi="es-ES"/>
        </w:rPr>
        <w:tab/>
      </w:r>
      <w:r w:rsidRPr="008756F3">
        <w:rPr>
          <w:rFonts w:ascii="Arial" w:eastAsia="Arial" w:hAnsi="Arial" w:cs="Arial"/>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14"/>
    </w:p>
    <w:p w14:paraId="13157E2C" w14:textId="77777777" w:rsidR="003C408D" w:rsidRPr="008756F3" w:rsidRDefault="003C408D" w:rsidP="003C408D">
      <w:pPr>
        <w:tabs>
          <w:tab w:val="left" w:pos="426"/>
        </w:tabs>
        <w:spacing w:after="120" w:line="276" w:lineRule="auto"/>
        <w:ind w:firstLine="709"/>
        <w:jc w:val="both"/>
        <w:rPr>
          <w:rFonts w:ascii="Arial" w:hAnsi="Arial" w:cs="Arial"/>
          <w:bCs/>
          <w:sz w:val="22"/>
          <w:szCs w:val="22"/>
          <w:lang w:val="es-MX" w:eastAsia="es-CO"/>
        </w:rPr>
      </w:pPr>
      <w:r w:rsidRPr="008756F3">
        <w:rPr>
          <w:rFonts w:ascii="Arial" w:hAnsi="Arial" w:cs="Arial"/>
          <w:bCs/>
          <w:sz w:val="22"/>
          <w:szCs w:val="22"/>
          <w:lang w:eastAsia="es-CO"/>
        </w:rPr>
        <w:t xml:space="preserve">Se observa entonces que </w:t>
      </w:r>
      <w:r w:rsidRPr="008756F3">
        <w:rPr>
          <w:rFonts w:ascii="Arial" w:hAnsi="Arial" w:cs="Arial"/>
          <w:bCs/>
          <w:sz w:val="22"/>
          <w:szCs w:val="22"/>
          <w:lang w:val="es-MX" w:eastAsia="es-CO"/>
        </w:rPr>
        <w:t xml:space="preserve">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8756F3">
        <w:rPr>
          <w:rFonts w:ascii="Arial" w:hAnsi="Arial" w:cs="Arial"/>
          <w:bCs/>
          <w:i/>
          <w:iCs/>
          <w:sz w:val="22"/>
          <w:szCs w:val="22"/>
          <w:lang w:val="es-MX" w:eastAsia="es-CO"/>
        </w:rPr>
        <w:t>ibidem</w:t>
      </w:r>
      <w:r w:rsidRPr="008756F3">
        <w:rPr>
          <w:rFonts w:ascii="Arial" w:hAnsi="Arial" w:cs="Arial"/>
          <w:bCs/>
          <w:sz w:val="22"/>
          <w:szCs w:val="22"/>
          <w:lang w:val="es-MX" w:eastAsia="es-CO"/>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Pr="008756F3">
        <w:rPr>
          <w:rStyle w:val="Refdenotaalpie"/>
          <w:rFonts w:ascii="Arial" w:hAnsi="Arial" w:cs="Arial"/>
          <w:bCs/>
          <w:sz w:val="22"/>
          <w:szCs w:val="22"/>
          <w:lang w:val="es-MX" w:eastAsia="es-CO"/>
        </w:rPr>
        <w:footnoteReference w:id="35"/>
      </w:r>
      <w:r w:rsidRPr="008756F3">
        <w:rPr>
          <w:rFonts w:ascii="Arial" w:hAnsi="Arial" w:cs="Arial"/>
          <w:bCs/>
          <w:sz w:val="22"/>
          <w:szCs w:val="22"/>
          <w:lang w:val="es-MX" w:eastAsia="es-CO"/>
        </w:rPr>
        <w:t xml:space="preserve">. </w:t>
      </w:r>
    </w:p>
    <w:p w14:paraId="3A9620AC" w14:textId="77777777" w:rsidR="003C408D" w:rsidRPr="008756F3" w:rsidRDefault="003C408D" w:rsidP="003C408D">
      <w:pPr>
        <w:widowControl w:val="0"/>
        <w:autoSpaceDE w:val="0"/>
        <w:autoSpaceDN w:val="0"/>
        <w:spacing w:line="276" w:lineRule="auto"/>
        <w:ind w:firstLine="709"/>
        <w:jc w:val="both"/>
        <w:rPr>
          <w:rFonts w:ascii="Arial" w:hAnsi="Arial" w:cs="Arial"/>
          <w:bCs/>
          <w:iCs/>
          <w:sz w:val="22"/>
          <w:szCs w:val="22"/>
          <w:lang w:eastAsia="x-none" w:bidi="es-ES"/>
        </w:rPr>
      </w:pPr>
      <w:r w:rsidRPr="008756F3">
        <w:rPr>
          <w:rFonts w:ascii="Arial" w:hAnsi="Arial" w:cs="Arial"/>
          <w:bCs/>
          <w:sz w:val="22"/>
          <w:szCs w:val="22"/>
          <w:lang w:val="es-ES" w:eastAsia="es-CO" w:bidi="es-ES"/>
        </w:rPr>
        <w:t>En todo caso</w:t>
      </w:r>
      <w:bookmarkStart w:id="15" w:name="_Hlk77154098"/>
      <w:r w:rsidRPr="008756F3">
        <w:rPr>
          <w:rFonts w:ascii="Arial" w:eastAsia="Arial" w:hAnsi="Arial" w:cs="Arial"/>
          <w:sz w:val="22"/>
          <w:szCs w:val="22"/>
          <w:lang w:val="es-ES" w:eastAsia="es-ES" w:bidi="es-ES"/>
        </w:rPr>
        <w:t xml:space="preserve">, es importante resaltar que la Sala de Consulta y Servicio Civil del Consejo de Estado se ha pronunciado en el sentido de que </w:t>
      </w:r>
      <w:bookmarkStart w:id="16" w:name="_Hlk78820889"/>
      <w:r w:rsidRPr="008756F3">
        <w:rPr>
          <w:rFonts w:ascii="Arial" w:eastAsia="Arial" w:hAnsi="Arial" w:cs="Arial"/>
          <w:sz w:val="22"/>
          <w:szCs w:val="22"/>
          <w:lang w:val="es-ES" w:eastAsia="es-ES" w:bidi="es-ES"/>
        </w:rPr>
        <w:t xml:space="preserve">no se les aplica la restricción </w:t>
      </w:r>
      <w:r w:rsidRPr="008756F3">
        <w:rPr>
          <w:rFonts w:ascii="Arial" w:eastAsia="Arial" w:hAnsi="Arial" w:cs="Arial"/>
          <w:sz w:val="22"/>
          <w:szCs w:val="22"/>
          <w:lang w:val="es-ES" w:eastAsia="es-ES" w:bidi="es-ES"/>
        </w:rPr>
        <w:lastRenderedPageBreak/>
        <w:t>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bookmarkEnd w:id="16"/>
      <w:r w:rsidRPr="008756F3">
        <w:rPr>
          <w:rFonts w:ascii="Arial" w:eastAsia="Arial" w:hAnsi="Arial" w:cs="Arial"/>
          <w:sz w:val="22"/>
          <w:szCs w:val="22"/>
          <w:vertAlign w:val="superscript"/>
          <w:lang w:val="es-ES" w:eastAsia="es-ES" w:bidi="es-ES"/>
        </w:rPr>
        <w:footnoteReference w:id="36"/>
      </w:r>
      <w:r w:rsidRPr="008756F3">
        <w:rPr>
          <w:rFonts w:ascii="Arial" w:eastAsia="Calibri" w:hAnsi="Arial" w:cs="Arial"/>
          <w:sz w:val="22"/>
          <w:szCs w:val="22"/>
          <w:lang w:eastAsia="es-ES" w:bidi="es-ES"/>
        </w:rPr>
        <w:t>.</w:t>
      </w:r>
      <w:bookmarkEnd w:id="15"/>
    </w:p>
    <w:bookmarkEnd w:id="11"/>
    <w:p w14:paraId="0522CBE5" w14:textId="77777777" w:rsidR="001F08BB" w:rsidRPr="004E4581" w:rsidRDefault="001F08BB" w:rsidP="0042639C">
      <w:pPr>
        <w:spacing w:line="276" w:lineRule="auto"/>
        <w:jc w:val="both"/>
        <w:rPr>
          <w:rFonts w:ascii="Arial" w:hAnsi="Arial" w:cs="Arial"/>
          <w:b/>
          <w:color w:val="000000" w:themeColor="text1"/>
          <w:sz w:val="22"/>
        </w:rPr>
      </w:pPr>
    </w:p>
    <w:p w14:paraId="12D972A5" w14:textId="739D0341" w:rsidR="00611F22" w:rsidRDefault="00A24835" w:rsidP="00861F5C">
      <w:pPr>
        <w:tabs>
          <w:tab w:val="left" w:pos="426"/>
        </w:tabs>
        <w:spacing w:line="276" w:lineRule="auto"/>
        <w:jc w:val="both"/>
        <w:rPr>
          <w:rFonts w:ascii="Arial" w:hAnsi="Arial" w:cs="Arial"/>
          <w:b/>
          <w:sz w:val="22"/>
          <w:szCs w:val="22"/>
          <w:lang w:val="es-MX" w:eastAsia="es-CO"/>
        </w:rPr>
      </w:pPr>
      <w:r>
        <w:rPr>
          <w:rFonts w:ascii="Arial" w:hAnsi="Arial" w:cs="Arial"/>
          <w:b/>
          <w:color w:val="000000" w:themeColor="text1"/>
          <w:sz w:val="22"/>
          <w:lang w:val="es-MX"/>
        </w:rPr>
        <w:t>2.5</w:t>
      </w:r>
      <w:r w:rsidR="007A57B8" w:rsidRPr="007A57B8">
        <w:rPr>
          <w:rFonts w:ascii="Arial" w:hAnsi="Arial" w:cs="Arial"/>
          <w:b/>
          <w:color w:val="000000" w:themeColor="text1"/>
          <w:sz w:val="22"/>
          <w:lang w:val="es-MX"/>
        </w:rPr>
        <w:t xml:space="preserve">. </w:t>
      </w:r>
      <w:r w:rsidR="00611F22" w:rsidRPr="008756F3">
        <w:rPr>
          <w:rFonts w:ascii="Arial" w:hAnsi="Arial" w:cs="Arial"/>
          <w:b/>
          <w:sz w:val="22"/>
          <w:szCs w:val="22"/>
          <w:lang w:val="es-MX" w:eastAsia="es-CO"/>
        </w:rPr>
        <w:t xml:space="preserve">Régimen contractual </w:t>
      </w:r>
      <w:r w:rsidR="00611F22">
        <w:rPr>
          <w:rFonts w:ascii="Arial" w:hAnsi="Arial" w:cs="Arial"/>
          <w:b/>
          <w:sz w:val="22"/>
          <w:szCs w:val="22"/>
          <w:lang w:val="es-MX" w:eastAsia="es-CO"/>
        </w:rPr>
        <w:t>de la ejecución</w:t>
      </w:r>
      <w:r w:rsidR="00611F22">
        <w:rPr>
          <w:rFonts w:ascii="Arial" w:hAnsi="Arial" w:cs="Arial"/>
          <w:b/>
          <w:color w:val="000000" w:themeColor="text1"/>
          <w:sz w:val="22"/>
          <w:lang w:val="es-MX"/>
        </w:rPr>
        <w:t xml:space="preserve"> </w:t>
      </w:r>
      <w:bookmarkStart w:id="17" w:name="_Hlk87435487"/>
      <w:r w:rsidR="00611F22">
        <w:rPr>
          <w:rFonts w:ascii="Arial" w:hAnsi="Arial" w:cs="Arial"/>
          <w:b/>
          <w:color w:val="000000" w:themeColor="text1"/>
          <w:sz w:val="22"/>
          <w:lang w:val="es-MX"/>
        </w:rPr>
        <w:t>de obras por impuestos</w:t>
      </w:r>
      <w:bookmarkEnd w:id="17"/>
      <w:r w:rsidR="00611F22" w:rsidRPr="008756F3">
        <w:rPr>
          <w:rFonts w:ascii="Arial" w:hAnsi="Arial" w:cs="Arial"/>
          <w:b/>
          <w:sz w:val="22"/>
          <w:szCs w:val="22"/>
          <w:lang w:val="es-MX" w:eastAsia="es-CO"/>
        </w:rPr>
        <w:t xml:space="preserve"> y aplicación de la Ley de Garantías</w:t>
      </w:r>
    </w:p>
    <w:p w14:paraId="190422A7" w14:textId="3D3BAB3B" w:rsidR="00611F22" w:rsidRPr="00AF775B" w:rsidRDefault="00611F22" w:rsidP="00861F5C">
      <w:pPr>
        <w:tabs>
          <w:tab w:val="left" w:pos="426"/>
        </w:tabs>
        <w:spacing w:line="276" w:lineRule="auto"/>
        <w:jc w:val="both"/>
        <w:rPr>
          <w:rFonts w:ascii="Arial" w:hAnsi="Arial" w:cs="Arial"/>
          <w:bCs/>
          <w:sz w:val="22"/>
          <w:szCs w:val="22"/>
          <w:lang w:val="es-MX" w:eastAsia="es-CO"/>
        </w:rPr>
      </w:pPr>
    </w:p>
    <w:p w14:paraId="35EEA922" w14:textId="3E35E49E" w:rsidR="00AE1BF7" w:rsidRPr="00AF775B" w:rsidRDefault="00204660" w:rsidP="00E02F4A">
      <w:pPr>
        <w:tabs>
          <w:tab w:val="left" w:pos="426"/>
        </w:tabs>
        <w:spacing w:after="120" w:line="276" w:lineRule="auto"/>
        <w:jc w:val="both"/>
        <w:rPr>
          <w:rFonts w:ascii="Arial" w:hAnsi="Arial" w:cs="Arial"/>
          <w:bCs/>
          <w:sz w:val="22"/>
          <w:szCs w:val="22"/>
          <w:lang w:val="es-MX" w:eastAsia="es-CO"/>
        </w:rPr>
      </w:pPr>
      <w:r w:rsidRPr="00AF775B">
        <w:rPr>
          <w:rFonts w:ascii="Arial" w:hAnsi="Arial" w:cs="Arial"/>
          <w:bCs/>
          <w:sz w:val="22"/>
          <w:szCs w:val="22"/>
          <w:lang w:val="es-MX" w:eastAsia="es-CO"/>
        </w:rPr>
        <w:t xml:space="preserve">En el ámbito </w:t>
      </w:r>
      <w:r w:rsidR="00656955" w:rsidRPr="00AF775B">
        <w:rPr>
          <w:rFonts w:ascii="Arial" w:hAnsi="Arial" w:cs="Arial"/>
          <w:bCs/>
          <w:sz w:val="22"/>
          <w:szCs w:val="22"/>
          <w:lang w:val="es-MX" w:eastAsia="es-CO"/>
        </w:rPr>
        <w:t>del impuesto sobre la renta y complementarios</w:t>
      </w:r>
      <w:r w:rsidRPr="00AF775B">
        <w:rPr>
          <w:rFonts w:ascii="Arial" w:hAnsi="Arial" w:cs="Arial"/>
          <w:bCs/>
          <w:sz w:val="22"/>
          <w:szCs w:val="22"/>
          <w:lang w:val="es-MX" w:eastAsia="es-CO"/>
        </w:rPr>
        <w:t xml:space="preserve">, </w:t>
      </w:r>
      <w:r w:rsidR="00AE1BF7" w:rsidRPr="00AF775B">
        <w:rPr>
          <w:rFonts w:ascii="Arial" w:hAnsi="Arial" w:cs="Arial"/>
          <w:bCs/>
          <w:sz w:val="22"/>
          <w:szCs w:val="22"/>
          <w:lang w:val="es-MX" w:eastAsia="es-CO"/>
        </w:rPr>
        <w:t>la</w:t>
      </w:r>
      <w:r w:rsidRPr="00AF775B">
        <w:rPr>
          <w:rFonts w:ascii="Arial" w:hAnsi="Arial" w:cs="Arial"/>
          <w:bCs/>
          <w:sz w:val="22"/>
          <w:szCs w:val="22"/>
          <w:lang w:val="es-MX" w:eastAsia="es-CO"/>
        </w:rPr>
        <w:t xml:space="preserve"> ejecución de obras </w:t>
      </w:r>
      <w:r w:rsidR="00AE1BF7" w:rsidRPr="00AF775B">
        <w:rPr>
          <w:rFonts w:ascii="Arial" w:hAnsi="Arial" w:cs="Arial"/>
          <w:bCs/>
          <w:sz w:val="22"/>
          <w:szCs w:val="22"/>
          <w:lang w:val="es-MX" w:eastAsia="es-CO"/>
        </w:rPr>
        <w:t>por</w:t>
      </w:r>
      <w:r w:rsidRPr="00AF775B">
        <w:rPr>
          <w:rFonts w:ascii="Arial" w:hAnsi="Arial" w:cs="Arial"/>
          <w:bCs/>
          <w:sz w:val="22"/>
          <w:szCs w:val="22"/>
          <w:lang w:val="es-MX" w:eastAsia="es-CO"/>
        </w:rPr>
        <w:t xml:space="preserve"> impuesto </w:t>
      </w:r>
      <w:r w:rsidR="00656955" w:rsidRPr="00AF775B">
        <w:rPr>
          <w:rFonts w:ascii="Arial" w:hAnsi="Arial" w:cs="Arial"/>
          <w:bCs/>
          <w:sz w:val="22"/>
          <w:szCs w:val="22"/>
          <w:lang w:val="es-MX" w:eastAsia="es-CO"/>
        </w:rPr>
        <w:t xml:space="preserve">usualmente se entiende </w:t>
      </w:r>
      <w:r w:rsidR="00574C1A" w:rsidRPr="00AF775B">
        <w:rPr>
          <w:rFonts w:ascii="Arial" w:hAnsi="Arial" w:cs="Arial"/>
          <w:bCs/>
          <w:sz w:val="22"/>
          <w:szCs w:val="22"/>
          <w:lang w:val="es-MX" w:eastAsia="es-CO"/>
        </w:rPr>
        <w:t xml:space="preserve">como </w:t>
      </w:r>
      <w:r w:rsidR="00656955" w:rsidRPr="00AF775B">
        <w:rPr>
          <w:rFonts w:ascii="Arial" w:hAnsi="Arial" w:cs="Arial"/>
          <w:bCs/>
          <w:sz w:val="22"/>
          <w:szCs w:val="22"/>
          <w:lang w:val="es-MX" w:eastAsia="es-CO"/>
        </w:rPr>
        <w:t>u</w:t>
      </w:r>
      <w:r w:rsidR="00AE1BF7" w:rsidRPr="00AF775B">
        <w:rPr>
          <w:rFonts w:ascii="Arial" w:hAnsi="Arial" w:cs="Arial"/>
          <w:bCs/>
          <w:sz w:val="22"/>
          <w:szCs w:val="22"/>
          <w:lang w:val="es-MX" w:eastAsia="es-CO"/>
        </w:rPr>
        <w:t xml:space="preserve">na forma </w:t>
      </w:r>
      <w:r w:rsidR="00656955" w:rsidRPr="00AF775B">
        <w:rPr>
          <w:rFonts w:ascii="Arial" w:hAnsi="Arial" w:cs="Arial"/>
          <w:bCs/>
          <w:sz w:val="22"/>
          <w:szCs w:val="22"/>
          <w:lang w:val="es-MX" w:eastAsia="es-CO"/>
        </w:rPr>
        <w:t>para extinguir esta obligación tributaria</w:t>
      </w:r>
      <w:r w:rsidR="00AE1BF7" w:rsidRPr="00AF775B">
        <w:rPr>
          <w:rFonts w:ascii="Arial" w:hAnsi="Arial" w:cs="Arial"/>
          <w:bCs/>
          <w:sz w:val="22"/>
          <w:szCs w:val="22"/>
          <w:lang w:val="es-MX" w:eastAsia="es-CO"/>
        </w:rPr>
        <w:t>. Esto último en la medida que, por medio de este mecanismo, es posible que los contribuyentes puedan realizar determinadas obras para satisfacer</w:t>
      </w:r>
      <w:r w:rsidR="00063F0C" w:rsidRPr="00AF775B">
        <w:rPr>
          <w:rFonts w:ascii="Arial" w:hAnsi="Arial" w:cs="Arial"/>
          <w:bCs/>
          <w:sz w:val="22"/>
          <w:szCs w:val="22"/>
          <w:lang w:val="es-MX" w:eastAsia="es-CO"/>
        </w:rPr>
        <w:t xml:space="preserve"> parcialmente</w:t>
      </w:r>
      <w:r w:rsidR="00AE1BF7" w:rsidRPr="00AF775B">
        <w:rPr>
          <w:rFonts w:ascii="Arial" w:hAnsi="Arial" w:cs="Arial"/>
          <w:bCs/>
          <w:sz w:val="22"/>
          <w:szCs w:val="22"/>
          <w:lang w:val="es-MX" w:eastAsia="es-CO"/>
        </w:rPr>
        <w:t xml:space="preserve"> el cumplimiento de sus cargas fiscales en lo referente al pago del impuesto mencionado.</w:t>
      </w:r>
      <w:r w:rsidR="00E02F4A" w:rsidRPr="00AF775B">
        <w:rPr>
          <w:rFonts w:ascii="Arial" w:hAnsi="Arial" w:cs="Arial"/>
          <w:bCs/>
          <w:sz w:val="22"/>
          <w:szCs w:val="22"/>
          <w:lang w:val="es-MX" w:eastAsia="es-CO"/>
        </w:rPr>
        <w:t xml:space="preserve"> De esta manera, además de un incentivo tributario, también es una forma de financiación de obras públicas por parte del sector privado.</w:t>
      </w:r>
    </w:p>
    <w:p w14:paraId="2D677731" w14:textId="0ACC1E9C" w:rsidR="00B828E6" w:rsidRPr="00AF775B" w:rsidRDefault="00AE1BF7" w:rsidP="00AE1BF7">
      <w:pPr>
        <w:tabs>
          <w:tab w:val="left" w:pos="709"/>
        </w:tabs>
        <w:spacing w:after="120" w:line="276" w:lineRule="auto"/>
        <w:jc w:val="both"/>
        <w:rPr>
          <w:rFonts w:ascii="Arial" w:hAnsi="Arial" w:cs="Arial"/>
          <w:bCs/>
          <w:sz w:val="22"/>
          <w:szCs w:val="22"/>
          <w:lang w:val="es-MX" w:eastAsia="es-CO"/>
        </w:rPr>
      </w:pPr>
      <w:r w:rsidRPr="00AF775B">
        <w:rPr>
          <w:rFonts w:ascii="Arial" w:hAnsi="Arial" w:cs="Arial"/>
          <w:bCs/>
          <w:sz w:val="22"/>
          <w:szCs w:val="22"/>
          <w:lang w:val="es-MX" w:eastAsia="es-CO"/>
        </w:rPr>
        <w:tab/>
        <w:t xml:space="preserve">La regulación especial </w:t>
      </w:r>
      <w:r w:rsidR="0049014D" w:rsidRPr="00AF775B">
        <w:rPr>
          <w:rFonts w:ascii="Arial" w:hAnsi="Arial" w:cs="Arial"/>
          <w:bCs/>
          <w:sz w:val="22"/>
          <w:szCs w:val="22"/>
          <w:lang w:val="es-MX" w:eastAsia="es-CO"/>
        </w:rPr>
        <w:t xml:space="preserve">de la materia </w:t>
      </w:r>
      <w:r w:rsidR="00654C3A" w:rsidRPr="00AF775B">
        <w:rPr>
          <w:rFonts w:ascii="Arial" w:hAnsi="Arial" w:cs="Arial"/>
          <w:bCs/>
          <w:sz w:val="22"/>
          <w:szCs w:val="22"/>
          <w:lang w:val="es-MX" w:eastAsia="es-CO"/>
        </w:rPr>
        <w:t xml:space="preserve">tiene su antecedente en el artículo 238 de la Ley 1819 de 2016. En efecto, el inciso primero disponía lo siguiente: «Las personas jurídicas contribuyentes del impuesto sobre la renta y complementarios </w:t>
      </w:r>
      <w:r w:rsidR="009F78C0" w:rsidRPr="00AF775B">
        <w:rPr>
          <w:rFonts w:ascii="Arial" w:hAnsi="Arial" w:cs="Arial"/>
          <w:bCs/>
          <w:sz w:val="22"/>
          <w:szCs w:val="22"/>
          <w:lang w:val="es-MX" w:eastAsia="es-CO"/>
        </w:rPr>
        <w:t>[…]</w:t>
      </w:r>
      <w:r w:rsidR="00654C3A" w:rsidRPr="00AF775B">
        <w:rPr>
          <w:rFonts w:ascii="Arial" w:hAnsi="Arial" w:cs="Arial"/>
          <w:bCs/>
          <w:sz w:val="22"/>
          <w:szCs w:val="22"/>
          <w:lang w:val="es-MX" w:eastAsia="es-CO"/>
        </w:rPr>
        <w:t xml:space="preserve"> podrán efectuar el pago hasta del cincuenta por ciento (50%) del impuesto a cargo determinado en la correspondiente declaración de renta, mediante la destinación de dicho valor a la </w:t>
      </w:r>
      <w:r w:rsidR="00654C3A" w:rsidRPr="00AF775B">
        <w:rPr>
          <w:rFonts w:ascii="Arial" w:hAnsi="Arial" w:cs="Arial"/>
          <w:bCs/>
          <w:i/>
          <w:iCs/>
          <w:sz w:val="22"/>
          <w:szCs w:val="22"/>
          <w:lang w:val="es-MX" w:eastAsia="es-CO"/>
        </w:rPr>
        <w:t>inversión directa</w:t>
      </w:r>
      <w:r w:rsidR="00654C3A" w:rsidRPr="00AF775B">
        <w:rPr>
          <w:rFonts w:ascii="Arial" w:hAnsi="Arial" w:cs="Arial"/>
          <w:bCs/>
          <w:sz w:val="22"/>
          <w:szCs w:val="22"/>
          <w:lang w:val="es-MX" w:eastAsia="es-CO"/>
        </w:rPr>
        <w:t xml:space="preserve"> en la ejecución de proyectos viabilizados y prioritarios de trascendencia social en los diferentes municipios ubicados en las </w:t>
      </w:r>
      <w:proofErr w:type="spellStart"/>
      <w:r w:rsidR="00654C3A" w:rsidRPr="00AF775B">
        <w:rPr>
          <w:rFonts w:ascii="Arial" w:hAnsi="Arial" w:cs="Arial"/>
          <w:bCs/>
          <w:sz w:val="22"/>
          <w:szCs w:val="22"/>
          <w:lang w:val="es-MX" w:eastAsia="es-CO"/>
        </w:rPr>
        <w:t>Zomac</w:t>
      </w:r>
      <w:proofErr w:type="spellEnd"/>
      <w:r w:rsidR="00B828E6" w:rsidRPr="00AF775B">
        <w:rPr>
          <w:rFonts w:ascii="Arial" w:hAnsi="Arial" w:cs="Arial"/>
          <w:bCs/>
          <w:sz w:val="22"/>
          <w:szCs w:val="22"/>
          <w:lang w:val="es-MX" w:eastAsia="es-CO"/>
        </w:rPr>
        <w:t xml:space="preserve"> […]</w:t>
      </w:r>
      <w:r w:rsidR="00654C3A" w:rsidRPr="00AF775B">
        <w:rPr>
          <w:rFonts w:ascii="Arial" w:hAnsi="Arial" w:cs="Arial"/>
          <w:bCs/>
          <w:sz w:val="22"/>
          <w:szCs w:val="22"/>
          <w:lang w:val="es-MX" w:eastAsia="es-CO"/>
        </w:rPr>
        <w:t xml:space="preserve"> relacionados con el suministro de agua potable, alcantarillado, energía, salud pública, educación pública o construcción y/o reparación de infraestructura vial»</w:t>
      </w:r>
      <w:r w:rsidR="00377B82" w:rsidRPr="00AF775B">
        <w:rPr>
          <w:rFonts w:ascii="Arial" w:hAnsi="Arial" w:cs="Arial"/>
          <w:bCs/>
          <w:sz w:val="22"/>
          <w:szCs w:val="22"/>
          <w:lang w:val="es-MX" w:eastAsia="es-CO"/>
        </w:rPr>
        <w:t xml:space="preserve"> (Énfasis fuera de texto)</w:t>
      </w:r>
      <w:r w:rsidR="00654C3A" w:rsidRPr="00AF775B">
        <w:rPr>
          <w:rFonts w:ascii="Arial" w:hAnsi="Arial" w:cs="Arial"/>
          <w:bCs/>
          <w:sz w:val="22"/>
          <w:szCs w:val="22"/>
          <w:lang w:val="es-MX" w:eastAsia="es-CO"/>
        </w:rPr>
        <w:t>. De esta manera, cuando el contribuyente ejecu</w:t>
      </w:r>
      <w:r w:rsidR="006943F5" w:rsidRPr="00AF775B">
        <w:rPr>
          <w:rFonts w:ascii="Arial" w:hAnsi="Arial" w:cs="Arial"/>
          <w:bCs/>
          <w:sz w:val="22"/>
          <w:szCs w:val="22"/>
          <w:lang w:val="es-MX" w:eastAsia="es-CO"/>
        </w:rPr>
        <w:t>ta</w:t>
      </w:r>
      <w:r w:rsidR="00E71BAA" w:rsidRPr="00AF775B">
        <w:rPr>
          <w:rFonts w:ascii="Arial" w:hAnsi="Arial" w:cs="Arial"/>
          <w:bCs/>
          <w:sz w:val="22"/>
          <w:szCs w:val="22"/>
          <w:lang w:val="es-MX" w:eastAsia="es-CO"/>
        </w:rPr>
        <w:t>ra</w:t>
      </w:r>
      <w:r w:rsidR="00654C3A" w:rsidRPr="00AF775B">
        <w:rPr>
          <w:rFonts w:ascii="Arial" w:hAnsi="Arial" w:cs="Arial"/>
          <w:bCs/>
          <w:sz w:val="22"/>
          <w:szCs w:val="22"/>
          <w:lang w:val="es-MX" w:eastAsia="es-CO"/>
        </w:rPr>
        <w:t xml:space="preserve"> directamente la obra</w:t>
      </w:r>
      <w:r w:rsidR="00B828E6" w:rsidRPr="00AF775B">
        <w:rPr>
          <w:rFonts w:ascii="Arial" w:hAnsi="Arial" w:cs="Arial"/>
          <w:bCs/>
          <w:sz w:val="22"/>
          <w:szCs w:val="22"/>
          <w:lang w:val="es-MX" w:eastAsia="es-CO"/>
        </w:rPr>
        <w:t xml:space="preserve"> en las condiciones indicadas, se extinguía una parte de la obligación tributaria.</w:t>
      </w:r>
    </w:p>
    <w:p w14:paraId="65DE0155" w14:textId="492A8632" w:rsidR="00673AE8" w:rsidRPr="00AF775B" w:rsidRDefault="00B828E6" w:rsidP="00AE1BF7">
      <w:pPr>
        <w:tabs>
          <w:tab w:val="left" w:pos="709"/>
        </w:tabs>
        <w:spacing w:after="120" w:line="276" w:lineRule="auto"/>
        <w:jc w:val="both"/>
        <w:rPr>
          <w:rFonts w:ascii="Arial" w:hAnsi="Arial" w:cs="Arial"/>
          <w:bCs/>
          <w:sz w:val="22"/>
          <w:szCs w:val="22"/>
          <w:lang w:val="es-MX" w:eastAsia="es-CO"/>
        </w:rPr>
      </w:pPr>
      <w:r w:rsidRPr="00AF775B">
        <w:rPr>
          <w:rFonts w:ascii="Arial" w:hAnsi="Arial" w:cs="Arial"/>
          <w:bCs/>
          <w:sz w:val="22"/>
          <w:szCs w:val="22"/>
          <w:lang w:val="es-MX" w:eastAsia="es-CO"/>
        </w:rPr>
        <w:tab/>
        <w:t>La norma citada en el párrafo anterior fue subrogada por el artículo 71 de la Ley 1943 de 2018</w:t>
      </w:r>
      <w:r w:rsidR="00377B82" w:rsidRPr="00AF775B">
        <w:rPr>
          <w:rFonts w:ascii="Arial" w:hAnsi="Arial" w:cs="Arial"/>
          <w:bCs/>
          <w:sz w:val="22"/>
          <w:szCs w:val="22"/>
          <w:lang w:val="es-MX" w:eastAsia="es-CO"/>
        </w:rPr>
        <w:t xml:space="preserve">, y adicionó </w:t>
      </w:r>
      <w:r w:rsidRPr="00AF775B">
        <w:rPr>
          <w:rFonts w:ascii="Arial" w:hAnsi="Arial" w:cs="Arial"/>
          <w:bCs/>
          <w:sz w:val="22"/>
          <w:szCs w:val="22"/>
          <w:lang w:val="es-MX" w:eastAsia="es-CO"/>
        </w:rPr>
        <w:t>el artículo 800-1 al Estatuto Tributario</w:t>
      </w:r>
      <w:r w:rsidR="00377B82" w:rsidRPr="00AF775B">
        <w:rPr>
          <w:rFonts w:ascii="Arial" w:hAnsi="Arial" w:cs="Arial"/>
          <w:bCs/>
          <w:sz w:val="22"/>
          <w:szCs w:val="22"/>
          <w:lang w:val="es-MX" w:eastAsia="es-CO"/>
        </w:rPr>
        <w:t xml:space="preserve">. </w:t>
      </w:r>
      <w:r w:rsidR="00673AE8" w:rsidRPr="00AF775B">
        <w:rPr>
          <w:rFonts w:ascii="Arial" w:hAnsi="Arial" w:cs="Arial"/>
          <w:bCs/>
          <w:sz w:val="22"/>
          <w:szCs w:val="22"/>
          <w:lang w:val="es-MX" w:eastAsia="es-CO"/>
        </w:rPr>
        <w:t>Conforme a esta disposición</w:t>
      </w:r>
      <w:r w:rsidR="00377B82" w:rsidRPr="00AF775B">
        <w:rPr>
          <w:rFonts w:ascii="Arial" w:hAnsi="Arial" w:cs="Arial"/>
          <w:bCs/>
          <w:sz w:val="22"/>
          <w:szCs w:val="22"/>
          <w:lang w:val="es-MX" w:eastAsia="es-CO"/>
        </w:rPr>
        <w:t xml:space="preserve"> «Las personas naturales o jurídicas obligadas a llevar contabilidad, contribuyentes del impuesto sobre la renta y complementarios […] podrán celebrar convenios con las entidades públicas del nivel nacional, </w:t>
      </w:r>
      <w:r w:rsidR="00377B82" w:rsidRPr="00AF775B">
        <w:rPr>
          <w:rFonts w:ascii="Arial" w:hAnsi="Arial" w:cs="Arial"/>
          <w:bCs/>
          <w:i/>
          <w:iCs/>
          <w:sz w:val="22"/>
          <w:szCs w:val="22"/>
          <w:lang w:val="es-MX" w:eastAsia="es-CO"/>
        </w:rPr>
        <w:t>por los que recibirán a cambio títulos negociables para el pago del impuesto sobre la renta, en los términos previstos en la presente disposición</w:t>
      </w:r>
      <w:r w:rsidR="00377B82" w:rsidRPr="00AF775B">
        <w:rPr>
          <w:rFonts w:ascii="Arial" w:hAnsi="Arial" w:cs="Arial"/>
          <w:bCs/>
          <w:sz w:val="22"/>
          <w:szCs w:val="22"/>
          <w:lang w:val="es-MX" w:eastAsia="es-CO"/>
        </w:rPr>
        <w:t xml:space="preserve">» (Énfasis fuera de texto). </w:t>
      </w:r>
    </w:p>
    <w:p w14:paraId="5D15819D" w14:textId="1C33EAF0" w:rsidR="009F78C0" w:rsidRPr="00AF775B" w:rsidRDefault="00673AE8" w:rsidP="00AE1BF7">
      <w:pPr>
        <w:tabs>
          <w:tab w:val="left" w:pos="709"/>
        </w:tabs>
        <w:spacing w:after="120" w:line="276" w:lineRule="auto"/>
        <w:jc w:val="both"/>
        <w:rPr>
          <w:rFonts w:ascii="Arial" w:hAnsi="Arial" w:cs="Arial"/>
          <w:bCs/>
          <w:sz w:val="22"/>
          <w:szCs w:val="22"/>
          <w:lang w:val="es-MX" w:eastAsia="es-CO"/>
        </w:rPr>
      </w:pPr>
      <w:r w:rsidRPr="00AF775B">
        <w:rPr>
          <w:rFonts w:ascii="Arial" w:hAnsi="Arial" w:cs="Arial"/>
          <w:bCs/>
          <w:sz w:val="22"/>
          <w:szCs w:val="22"/>
          <w:lang w:val="es-MX" w:eastAsia="es-CO"/>
        </w:rPr>
        <w:tab/>
      </w:r>
      <w:r w:rsidR="009F78C0" w:rsidRPr="00AF775B">
        <w:rPr>
          <w:rFonts w:ascii="Arial" w:hAnsi="Arial" w:cs="Arial"/>
          <w:bCs/>
          <w:sz w:val="22"/>
          <w:szCs w:val="22"/>
          <w:lang w:val="es-MX" w:eastAsia="es-CO"/>
        </w:rPr>
        <w:t xml:space="preserve">Una orientación similar se mantiene </w:t>
      </w:r>
      <w:r w:rsidRPr="00AF775B">
        <w:rPr>
          <w:rFonts w:ascii="Arial" w:hAnsi="Arial" w:cs="Arial"/>
          <w:bCs/>
          <w:sz w:val="22"/>
          <w:szCs w:val="22"/>
          <w:lang w:val="es-MX" w:eastAsia="es-CO"/>
        </w:rPr>
        <w:t xml:space="preserve">en </w:t>
      </w:r>
      <w:r w:rsidR="009F78C0" w:rsidRPr="00AF775B">
        <w:rPr>
          <w:rFonts w:ascii="Arial" w:hAnsi="Arial" w:cs="Arial"/>
          <w:bCs/>
          <w:sz w:val="22"/>
          <w:szCs w:val="22"/>
          <w:lang w:val="es-MX" w:eastAsia="es-CO"/>
        </w:rPr>
        <w:t xml:space="preserve">el artículo 79 de la Ley 2010 de 2019, el cual derogó el precitado artículo 71 de la Ley 1943 de 2018 y contiene la redacción actual del </w:t>
      </w:r>
      <w:r w:rsidR="009F78C0" w:rsidRPr="00AF775B">
        <w:rPr>
          <w:rFonts w:ascii="Arial" w:hAnsi="Arial" w:cs="Arial"/>
          <w:bCs/>
          <w:sz w:val="22"/>
          <w:szCs w:val="22"/>
          <w:lang w:val="es-MX" w:eastAsia="es-CO"/>
        </w:rPr>
        <w:lastRenderedPageBreak/>
        <w:t xml:space="preserve">artículo 800-1 </w:t>
      </w:r>
      <w:r w:rsidR="00063F0C" w:rsidRPr="00AF775B">
        <w:rPr>
          <w:rFonts w:ascii="Arial" w:hAnsi="Arial" w:cs="Arial"/>
          <w:bCs/>
          <w:sz w:val="22"/>
          <w:szCs w:val="22"/>
          <w:lang w:val="es-MX" w:eastAsia="es-CO"/>
        </w:rPr>
        <w:t>del</w:t>
      </w:r>
      <w:r w:rsidR="009F78C0" w:rsidRPr="00AF775B">
        <w:rPr>
          <w:rFonts w:ascii="Arial" w:hAnsi="Arial" w:cs="Arial"/>
          <w:bCs/>
          <w:sz w:val="22"/>
          <w:szCs w:val="22"/>
          <w:lang w:val="es-MX" w:eastAsia="es-CO"/>
        </w:rPr>
        <w:t xml:space="preserve"> Estatuto Tributario</w:t>
      </w:r>
      <w:r w:rsidR="00063F0C" w:rsidRPr="00AF775B">
        <w:rPr>
          <w:rFonts w:ascii="Arial" w:hAnsi="Arial" w:cs="Arial"/>
          <w:bCs/>
          <w:sz w:val="22"/>
          <w:szCs w:val="22"/>
          <w:lang w:val="es-MX" w:eastAsia="es-CO"/>
        </w:rPr>
        <w:t xml:space="preserve">. </w:t>
      </w:r>
      <w:r w:rsidR="00F42B1B" w:rsidRPr="00AF775B">
        <w:rPr>
          <w:rFonts w:ascii="Arial" w:hAnsi="Arial" w:cs="Arial"/>
          <w:bCs/>
          <w:sz w:val="22"/>
          <w:szCs w:val="22"/>
          <w:lang w:val="es-MX" w:eastAsia="es-CO"/>
        </w:rPr>
        <w:t>A</w:t>
      </w:r>
      <w:r w:rsidRPr="00AF775B">
        <w:rPr>
          <w:rFonts w:ascii="Arial" w:hAnsi="Arial" w:cs="Arial"/>
          <w:bCs/>
          <w:sz w:val="22"/>
          <w:szCs w:val="22"/>
          <w:lang w:val="es-MX" w:eastAsia="es-CO"/>
        </w:rPr>
        <w:t xml:space="preserve">l igual que las normas subrogadas, </w:t>
      </w:r>
      <w:r w:rsidR="00063F0C" w:rsidRPr="00AF775B">
        <w:rPr>
          <w:rFonts w:ascii="Arial" w:hAnsi="Arial" w:cs="Arial"/>
          <w:bCs/>
          <w:sz w:val="22"/>
          <w:szCs w:val="22"/>
          <w:lang w:val="es-MX" w:eastAsia="es-CO"/>
        </w:rPr>
        <w:t>mantiene la idea de que «[…] Por medio de dicho convenio, el contribuyente se comprometerá a desarrollar el proyecto a cambio de una remuneración que será pagada por medio de Títulos para la Renovación del Territorio (TRT) […]», teniendo en cuenta que –pese a la negociabilidad de los títulos– «[…] podrán ser utilizados por su tenedor para pagar hasta el 50% del impuesto sobre la renta y complementarios».</w:t>
      </w:r>
    </w:p>
    <w:p w14:paraId="6A0216C4" w14:textId="18C940A5" w:rsidR="00146B0E" w:rsidRPr="00AF775B" w:rsidRDefault="00146B0E" w:rsidP="00146B0E">
      <w:pPr>
        <w:tabs>
          <w:tab w:val="left" w:pos="709"/>
        </w:tabs>
        <w:spacing w:after="120" w:line="276" w:lineRule="auto"/>
        <w:jc w:val="both"/>
        <w:rPr>
          <w:rFonts w:ascii="Arial" w:hAnsi="Arial" w:cs="Arial"/>
          <w:bCs/>
          <w:sz w:val="22"/>
          <w:szCs w:val="22"/>
          <w:lang w:val="es-MX" w:eastAsia="es-CO"/>
        </w:rPr>
      </w:pPr>
      <w:r w:rsidRPr="00AF775B">
        <w:rPr>
          <w:rFonts w:ascii="Arial" w:hAnsi="Arial" w:cs="Arial"/>
          <w:bCs/>
          <w:sz w:val="22"/>
          <w:szCs w:val="22"/>
          <w:lang w:val="es-MX" w:eastAsia="es-CO"/>
        </w:rPr>
        <w:tab/>
        <w:t>De acuerdo con las modificaciones introducidas por el artículo 34 de la Ley 2155 de 2021, el objeto de estos convenios será la inversión directa en la ejecución de proyectos de trascendencia económica y social en los diferentes municipios definidos como las Zonas Más Afectadas por el Conflicto Armado –</w:t>
      </w:r>
      <w:proofErr w:type="spellStart"/>
      <w:r w:rsidRPr="00AF775B">
        <w:rPr>
          <w:rFonts w:ascii="Arial" w:hAnsi="Arial" w:cs="Arial"/>
          <w:bCs/>
          <w:sz w:val="22"/>
          <w:szCs w:val="22"/>
          <w:lang w:val="es-MX" w:eastAsia="es-CO"/>
        </w:rPr>
        <w:t>Zomac</w:t>
      </w:r>
      <w:proofErr w:type="spellEnd"/>
      <w:r w:rsidRPr="00AF775B">
        <w:rPr>
          <w:rFonts w:ascii="Arial" w:hAnsi="Arial" w:cs="Arial"/>
          <w:bCs/>
          <w:sz w:val="22"/>
          <w:szCs w:val="22"/>
          <w:lang w:val="es-MX" w:eastAsia="es-CO"/>
        </w:rPr>
        <w:t xml:space="preserve">–. Por ello, conforme al inciso 2 del artículo 800-1 del Estatuto Tributario, estos proyectos deben relacionarse con temas de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o infraestructura deportiva, sin perjuicio de los demás que defina el manual operativo de Obras por Impuestos. En este contexto, el mecanismo tiene como propósito acelerar la inversión directa en la construcción de obras sociales ubicadas en las zonas más afectadas por el conflicto armado, con el fin de impulsar el desarrollo económico de las mismas. </w:t>
      </w:r>
    </w:p>
    <w:p w14:paraId="5189C44B" w14:textId="28889D87" w:rsidR="0097590C" w:rsidRPr="00AF775B" w:rsidRDefault="00146B0E" w:rsidP="00146B0E">
      <w:pPr>
        <w:tabs>
          <w:tab w:val="left" w:pos="709"/>
        </w:tabs>
        <w:spacing w:after="120" w:line="276" w:lineRule="auto"/>
        <w:jc w:val="both"/>
        <w:rPr>
          <w:rFonts w:ascii="Arial" w:hAnsi="Arial" w:cs="Arial"/>
          <w:bCs/>
          <w:sz w:val="22"/>
          <w:szCs w:val="22"/>
          <w:lang w:val="es-MX" w:eastAsia="es-CO"/>
        </w:rPr>
      </w:pPr>
      <w:r w:rsidRPr="00AF775B">
        <w:rPr>
          <w:rFonts w:ascii="Arial" w:hAnsi="Arial" w:cs="Arial"/>
          <w:bCs/>
          <w:sz w:val="22"/>
          <w:szCs w:val="22"/>
          <w:lang w:val="es-MX" w:eastAsia="es-CO"/>
        </w:rPr>
        <w:tab/>
      </w:r>
      <w:r w:rsidR="00895A2E" w:rsidRPr="00AF775B">
        <w:rPr>
          <w:rFonts w:ascii="Arial" w:hAnsi="Arial" w:cs="Arial"/>
          <w:bCs/>
          <w:sz w:val="22"/>
          <w:szCs w:val="22"/>
          <w:lang w:val="es-MX" w:eastAsia="es-CO"/>
        </w:rPr>
        <w:t>R</w:t>
      </w:r>
      <w:r w:rsidR="0045290D" w:rsidRPr="00AF775B">
        <w:rPr>
          <w:rFonts w:ascii="Arial" w:hAnsi="Arial" w:cs="Arial"/>
          <w:bCs/>
          <w:sz w:val="22"/>
          <w:szCs w:val="22"/>
          <w:lang w:val="es-MX" w:eastAsia="es-CO"/>
        </w:rPr>
        <w:t xml:space="preserve">especto al régimen jurídico de estos contratos, </w:t>
      </w:r>
      <w:r w:rsidR="00895A2E" w:rsidRPr="00AF775B">
        <w:rPr>
          <w:rFonts w:ascii="Arial" w:hAnsi="Arial" w:cs="Arial"/>
          <w:bCs/>
          <w:sz w:val="22"/>
          <w:szCs w:val="22"/>
          <w:lang w:val="es-MX" w:eastAsia="es-CO"/>
        </w:rPr>
        <w:t xml:space="preserve">si bien el numeral 6, literal k, del artículo 800-1 del Estatuto Tributario dispone que «En el convenio se pactarán las multas y sanciones aplicables por el incumplimiento del contratista. Para su imposición, la Entidad Nacional Competente del proyecto de inversión, deberá aplicar el procedimiento establecido en el artículo 86 de la Ley 1474 de 2011 o la que la modifique o sustituya», la regla general es que –con excepción del aspecto mencionado– estos contratos están exceptuados del Estatuto General de Contratación de la Administración Pública. A esto se refiere el numeral 5 </w:t>
      </w:r>
      <w:r w:rsidR="00895A2E" w:rsidRPr="00AF775B">
        <w:rPr>
          <w:rFonts w:ascii="Arial" w:hAnsi="Arial" w:cs="Arial"/>
          <w:bCs/>
          <w:i/>
          <w:iCs/>
          <w:sz w:val="22"/>
          <w:szCs w:val="22"/>
          <w:lang w:val="es-MX" w:eastAsia="es-CO"/>
        </w:rPr>
        <w:t>ibidem</w:t>
      </w:r>
      <w:r w:rsidR="00895A2E" w:rsidRPr="00AF775B">
        <w:rPr>
          <w:rFonts w:ascii="Arial" w:hAnsi="Arial" w:cs="Arial"/>
          <w:bCs/>
          <w:sz w:val="22"/>
          <w:szCs w:val="22"/>
          <w:lang w:val="es-MX" w:eastAsia="es-CO"/>
        </w:rPr>
        <w:t xml:space="preserve"> cuando dispone que «[…] El convenio estará regido por el régimen aquí previsto y en su defecto por las normas de derecho privado», lo cual se reitera en el literal l del numeral 6 </w:t>
      </w:r>
      <w:r w:rsidR="00895A2E" w:rsidRPr="00AF775B">
        <w:rPr>
          <w:rFonts w:ascii="Arial" w:hAnsi="Arial" w:cs="Arial"/>
          <w:bCs/>
          <w:i/>
          <w:iCs/>
          <w:sz w:val="22"/>
          <w:szCs w:val="22"/>
          <w:lang w:val="es-MX" w:eastAsia="es-CO"/>
        </w:rPr>
        <w:t>ibidem</w:t>
      </w:r>
      <w:r w:rsidR="00895A2E" w:rsidRPr="00AF775B">
        <w:rPr>
          <w:rFonts w:ascii="Arial" w:hAnsi="Arial" w:cs="Arial"/>
          <w:bCs/>
          <w:sz w:val="22"/>
          <w:szCs w:val="22"/>
          <w:lang w:val="es-MX" w:eastAsia="es-CO"/>
        </w:rPr>
        <w:t xml:space="preserve"> al prescribir que «Los convenios celebrados de conformidad con la presente disposición se regirán por las normas de derecho privado».</w:t>
      </w:r>
    </w:p>
    <w:p w14:paraId="7E9E6B21" w14:textId="6992BE09" w:rsidR="005A5CED" w:rsidRPr="00AF775B" w:rsidRDefault="00E559C1" w:rsidP="00AF775B">
      <w:pPr>
        <w:tabs>
          <w:tab w:val="left" w:pos="709"/>
        </w:tabs>
        <w:spacing w:after="120" w:line="276" w:lineRule="auto"/>
        <w:jc w:val="both"/>
        <w:rPr>
          <w:rFonts w:ascii="Arial" w:hAnsi="Arial" w:cs="Arial"/>
          <w:bCs/>
          <w:sz w:val="22"/>
          <w:szCs w:val="22"/>
          <w:lang w:val="es-MX" w:eastAsia="es-CO"/>
        </w:rPr>
      </w:pPr>
      <w:r w:rsidRPr="00AF775B">
        <w:rPr>
          <w:rFonts w:ascii="Arial" w:hAnsi="Arial" w:cs="Arial"/>
          <w:bCs/>
          <w:sz w:val="22"/>
          <w:szCs w:val="22"/>
          <w:lang w:val="es-MX" w:eastAsia="es-CO"/>
        </w:rPr>
        <w:tab/>
      </w:r>
      <w:r w:rsidR="005A5CED" w:rsidRPr="00AF775B">
        <w:rPr>
          <w:rFonts w:ascii="Arial" w:hAnsi="Arial" w:cs="Arial"/>
          <w:bCs/>
          <w:sz w:val="22"/>
          <w:szCs w:val="22"/>
          <w:lang w:val="es-MX" w:eastAsia="es-CO"/>
        </w:rPr>
        <w:t>A</w:t>
      </w:r>
      <w:r w:rsidRPr="00AF775B">
        <w:rPr>
          <w:rFonts w:ascii="Arial" w:hAnsi="Arial" w:cs="Arial"/>
          <w:bCs/>
          <w:sz w:val="22"/>
          <w:szCs w:val="22"/>
          <w:lang w:val="es-MX" w:eastAsia="es-CO"/>
        </w:rPr>
        <w:t xml:space="preserve">unque la selección del ejecutor y el desarrollo del convenio </w:t>
      </w:r>
      <w:r w:rsidR="003B3014" w:rsidRPr="00AF775B">
        <w:rPr>
          <w:rFonts w:ascii="Arial" w:hAnsi="Arial" w:cs="Arial"/>
          <w:bCs/>
          <w:sz w:val="22"/>
          <w:szCs w:val="22"/>
          <w:lang w:val="es-MX" w:eastAsia="es-CO"/>
        </w:rPr>
        <w:t xml:space="preserve">se rige principalmente por </w:t>
      </w:r>
      <w:bookmarkStart w:id="18" w:name="_Hlk87435317"/>
      <w:r w:rsidR="003B3014" w:rsidRPr="00AF775B">
        <w:rPr>
          <w:rFonts w:ascii="Arial" w:hAnsi="Arial" w:cs="Arial"/>
          <w:bCs/>
          <w:sz w:val="22"/>
          <w:szCs w:val="22"/>
          <w:lang w:val="es-MX" w:eastAsia="es-CO"/>
        </w:rPr>
        <w:t>el artículo 800-1 del Estatuto Tributario</w:t>
      </w:r>
      <w:bookmarkEnd w:id="18"/>
      <w:r w:rsidR="003B3014" w:rsidRPr="00AF775B">
        <w:rPr>
          <w:rFonts w:ascii="Arial" w:hAnsi="Arial" w:cs="Arial"/>
          <w:bCs/>
          <w:sz w:val="22"/>
          <w:szCs w:val="22"/>
          <w:lang w:val="es-MX" w:eastAsia="es-CO"/>
        </w:rPr>
        <w:t xml:space="preserve">, el parágrafo 5 </w:t>
      </w:r>
      <w:r w:rsidR="003B3014" w:rsidRPr="00AF775B">
        <w:rPr>
          <w:rFonts w:ascii="Arial" w:hAnsi="Arial" w:cs="Arial"/>
          <w:bCs/>
          <w:i/>
          <w:iCs/>
          <w:sz w:val="22"/>
          <w:szCs w:val="22"/>
          <w:lang w:val="es-MX" w:eastAsia="es-CO"/>
        </w:rPr>
        <w:t>ibidem</w:t>
      </w:r>
      <w:r w:rsidR="003B3014" w:rsidRPr="00AF775B">
        <w:rPr>
          <w:rFonts w:ascii="Arial" w:hAnsi="Arial" w:cs="Arial"/>
          <w:bCs/>
          <w:sz w:val="22"/>
          <w:szCs w:val="22"/>
          <w:lang w:val="es-MX" w:eastAsia="es-CO"/>
        </w:rPr>
        <w:t xml:space="preserve"> ordenó la reglamentación integral de la materia. Por ello, para efectos de la integración del régimen contractual, también es necesario tener en cuenta el Decreto 1147 de 2020, el cual adicionó el Decreto Único Reglamentario 1625 de 2016 en materia tributaria.</w:t>
      </w:r>
      <w:r w:rsidR="005A5CED" w:rsidRPr="00AF775B">
        <w:rPr>
          <w:rFonts w:ascii="Arial" w:hAnsi="Arial" w:cs="Arial"/>
          <w:bCs/>
          <w:sz w:val="22"/>
          <w:szCs w:val="22"/>
          <w:lang w:val="es-MX" w:eastAsia="es-CO"/>
        </w:rPr>
        <w:t xml:space="preserve"> De esta manera, si en las normas citadas no existe regulación expl</w:t>
      </w:r>
      <w:r w:rsidR="00890820" w:rsidRPr="00AF775B">
        <w:rPr>
          <w:rFonts w:ascii="Arial" w:hAnsi="Arial" w:cs="Arial"/>
          <w:bCs/>
          <w:sz w:val="22"/>
          <w:szCs w:val="22"/>
          <w:lang w:val="es-MX" w:eastAsia="es-CO"/>
        </w:rPr>
        <w:t>í</w:t>
      </w:r>
      <w:r w:rsidR="005A5CED" w:rsidRPr="00AF775B">
        <w:rPr>
          <w:rFonts w:ascii="Arial" w:hAnsi="Arial" w:cs="Arial"/>
          <w:bCs/>
          <w:sz w:val="22"/>
          <w:szCs w:val="22"/>
          <w:lang w:val="es-MX" w:eastAsia="es-CO"/>
        </w:rPr>
        <w:t>cita del tema, el numeral 5 del artículo 800-1 del Estatuto permite acudir a las normas civiles y comerciales</w:t>
      </w:r>
      <w:r w:rsidR="005A5CED" w:rsidRPr="00AF775B">
        <w:rPr>
          <w:rFonts w:ascii="Arial" w:hAnsi="Arial" w:cs="Arial"/>
          <w:sz w:val="22"/>
        </w:rPr>
        <w:t xml:space="preserve">. Esto en la medida que el derecho privado es aplicable a todo contrato con independencia de los sujetos, especialmente, en lo relacionado con los requisitos de consentimiento válido, objeto y causa lícitos, capacidad, </w:t>
      </w:r>
      <w:r w:rsidR="005A5CED" w:rsidRPr="00AF775B">
        <w:rPr>
          <w:rFonts w:ascii="Arial" w:hAnsi="Arial" w:cs="Arial"/>
          <w:sz w:val="22"/>
        </w:rPr>
        <w:lastRenderedPageBreak/>
        <w:t xml:space="preserve">elementos esenciales según la naturaleza de cada contrato, responsabilidad, naturaleza de las obligaciones emanadas de los mismos, pues contiene las reglas comunes de la materia. </w:t>
      </w:r>
    </w:p>
    <w:p w14:paraId="7397F223" w14:textId="3D914EFD" w:rsidR="00AA2767" w:rsidRPr="00AF775B" w:rsidRDefault="00AA2767" w:rsidP="00AA2767">
      <w:pPr>
        <w:spacing w:after="120" w:line="276" w:lineRule="auto"/>
        <w:ind w:firstLine="708"/>
        <w:jc w:val="both"/>
        <w:rPr>
          <w:rFonts w:ascii="Arial" w:hAnsi="Arial" w:cs="Arial"/>
          <w:sz w:val="22"/>
        </w:rPr>
      </w:pPr>
      <w:r w:rsidRPr="00AF775B">
        <w:rPr>
          <w:rFonts w:ascii="Arial" w:hAnsi="Arial" w:cs="Arial"/>
          <w:sz w:val="22"/>
        </w:rPr>
        <w:t xml:space="preserve">Naturalmente, los contratos mencionados en el párrafo precedente no se rigen exclusivamente por las normas civiles y comerciales, pues además </w:t>
      </w:r>
      <w:r w:rsidR="00E71BAA" w:rsidRPr="00AF775B">
        <w:rPr>
          <w:rFonts w:ascii="Arial" w:hAnsi="Arial" w:cs="Arial"/>
          <w:sz w:val="22"/>
        </w:rPr>
        <w:t>d</w:t>
      </w:r>
      <w:r w:rsidRPr="00AF775B">
        <w:rPr>
          <w:rFonts w:ascii="Arial" w:hAnsi="Arial" w:cs="Arial"/>
          <w:sz w:val="22"/>
        </w:rPr>
        <w:t xml:space="preserve">el artículo 800-1 del Estatuto Tributario y el </w:t>
      </w:r>
      <w:r w:rsidRPr="00AF775B">
        <w:rPr>
          <w:rFonts w:ascii="Arial" w:hAnsi="Arial" w:cs="Arial"/>
          <w:bCs/>
          <w:sz w:val="22"/>
          <w:szCs w:val="22"/>
          <w:lang w:val="es-MX" w:eastAsia="es-CO"/>
        </w:rPr>
        <w:t>Decreto Único Reglamentario 1625 de 2016</w:t>
      </w:r>
      <w:r w:rsidRPr="00AF775B">
        <w:rPr>
          <w:rFonts w:ascii="Arial" w:hAnsi="Arial" w:cs="Arial"/>
          <w:sz w:val="22"/>
        </w:rPr>
        <w:t>, el artículo 13 de la Ley 1150 de 2007 dispone que la contratación exceptuada del Estatuto General también se rige por los principios de la función administrativa, los principios de la gestión fiscal y el régimen de inhabilidades e incompatibilidades previsto para la contratación estatal</w:t>
      </w:r>
      <w:r w:rsidRPr="00AF775B">
        <w:rPr>
          <w:rStyle w:val="Refdenotaalpie"/>
          <w:rFonts w:ascii="Arial" w:hAnsi="Arial" w:cs="Arial"/>
          <w:sz w:val="22"/>
        </w:rPr>
        <w:footnoteReference w:id="37"/>
      </w:r>
      <w:r w:rsidRPr="00AF775B">
        <w:rPr>
          <w:rFonts w:ascii="Arial" w:hAnsi="Arial" w:cs="Arial"/>
          <w:sz w:val="22"/>
        </w:rPr>
        <w:t>.</w:t>
      </w:r>
    </w:p>
    <w:p w14:paraId="36BFF540" w14:textId="0A901316" w:rsidR="00AA2767" w:rsidRPr="00AF775B" w:rsidRDefault="00AA2767" w:rsidP="00AA2767">
      <w:pPr>
        <w:spacing w:after="120" w:line="276" w:lineRule="auto"/>
        <w:ind w:firstLine="708"/>
        <w:jc w:val="both"/>
        <w:rPr>
          <w:rFonts w:ascii="Arial" w:hAnsi="Arial" w:cs="Arial"/>
          <w:bCs/>
          <w:color w:val="000000"/>
          <w:sz w:val="22"/>
          <w:lang w:eastAsia="es-CO"/>
        </w:rPr>
      </w:pPr>
      <w:r w:rsidRPr="00AF775B">
        <w:rPr>
          <w:rFonts w:ascii="Arial" w:eastAsia="Calibri" w:hAnsi="Arial" w:cs="Arial"/>
          <w:color w:val="000000" w:themeColor="text1"/>
          <w:sz w:val="22"/>
        </w:rPr>
        <w:t xml:space="preserve">En este contexto, para la restricción del artículo 33 de la </w:t>
      </w:r>
      <w:r w:rsidRPr="00AF775B">
        <w:rPr>
          <w:rFonts w:ascii="Arial" w:hAnsi="Arial" w:cs="Arial"/>
          <w:bCs/>
          <w:color w:val="000000"/>
          <w:sz w:val="22"/>
          <w:lang w:eastAsia="es-CO"/>
        </w:rPr>
        <w:t xml:space="preserve">Ley 996 de 2005 es necesario considerar que </w:t>
      </w:r>
      <w:r w:rsidRPr="00AF775B">
        <w:rPr>
          <w:rFonts w:ascii="Arial" w:eastAsia="Calibri" w:hAnsi="Arial" w:cs="Arial"/>
          <w:sz w:val="22"/>
          <w:lang w:val="es-ES"/>
        </w:rPr>
        <w:t>e</w:t>
      </w:r>
      <w:r w:rsidRPr="00AF775B">
        <w:rPr>
          <w:rFonts w:ascii="Arial" w:hAnsi="Arial" w:cs="Arial"/>
          <w:sz w:val="22"/>
        </w:rPr>
        <w:t>l artículo 800-1 del Estatuto Tributario</w:t>
      </w:r>
      <w:r w:rsidRPr="00AF775B">
        <w:rPr>
          <w:rFonts w:ascii="Arial" w:hAnsi="Arial" w:cs="Arial"/>
          <w:bCs/>
          <w:color w:val="000000"/>
          <w:sz w:val="22"/>
          <w:lang w:eastAsia="es-CO"/>
        </w:rPr>
        <w:t xml:space="preserve"> consagra un régimen jurídico que exceptúa la aplicación del Estatuto General de Contratación de la Administración Pública con el objetivo de flexibilizar el régimen contractual aplicable. </w:t>
      </w:r>
      <w:r w:rsidR="008A3973" w:rsidRPr="00AF775B">
        <w:rPr>
          <w:rFonts w:ascii="Arial" w:hAnsi="Arial" w:cs="Arial"/>
          <w:bCs/>
          <w:color w:val="000000"/>
          <w:sz w:val="22"/>
          <w:lang w:eastAsia="es-CO"/>
        </w:rPr>
        <w:t>En relación con ese punto,</w:t>
      </w:r>
      <w:r w:rsidR="00521482" w:rsidRPr="00AF775B">
        <w:rPr>
          <w:rFonts w:ascii="Arial" w:hAnsi="Arial" w:cs="Arial"/>
          <w:bCs/>
          <w:color w:val="000000"/>
          <w:sz w:val="22"/>
          <w:lang w:eastAsia="es-CO"/>
        </w:rPr>
        <w:t xml:space="preserve"> debe advertirse que </w:t>
      </w:r>
      <w:r w:rsidRPr="00AF775B">
        <w:rPr>
          <w:rFonts w:ascii="Arial" w:hAnsi="Arial" w:cs="Arial"/>
          <w:bCs/>
          <w:color w:val="000000"/>
          <w:sz w:val="22"/>
          <w:lang w:eastAsia="es-CO"/>
        </w:rPr>
        <w:t>la prohibición de contratación directa de la Ley de Garantías es independiente del régimen contractual</w:t>
      </w:r>
      <w:r w:rsidR="008C526A" w:rsidRPr="00AF775B">
        <w:rPr>
          <w:rFonts w:ascii="Arial" w:hAnsi="Arial" w:cs="Arial"/>
          <w:bCs/>
          <w:color w:val="000000"/>
          <w:sz w:val="22"/>
          <w:lang w:eastAsia="es-CO"/>
        </w:rPr>
        <w:t xml:space="preserve"> aplicable</w:t>
      </w:r>
      <w:r w:rsidRPr="00AF775B">
        <w:rPr>
          <w:rFonts w:ascii="Arial" w:hAnsi="Arial" w:cs="Arial"/>
          <w:bCs/>
          <w:color w:val="000000"/>
          <w:sz w:val="22"/>
          <w:lang w:eastAsia="es-CO"/>
        </w:rPr>
        <w:t xml:space="preserve">, por lo que se extiende a los contratos celebrados para ejecutar obras por impuestos. </w:t>
      </w:r>
    </w:p>
    <w:p w14:paraId="35AE8694" w14:textId="318D9A82" w:rsidR="00AA2767" w:rsidRPr="00AF775B" w:rsidRDefault="00AA2767" w:rsidP="00AA2767">
      <w:pPr>
        <w:spacing w:after="120" w:line="276" w:lineRule="auto"/>
        <w:ind w:firstLine="708"/>
        <w:jc w:val="both"/>
        <w:rPr>
          <w:rFonts w:ascii="Arial" w:hAnsi="Arial" w:cs="Arial"/>
          <w:bCs/>
          <w:color w:val="000000"/>
          <w:sz w:val="22"/>
          <w:lang w:eastAsia="es-CO"/>
        </w:rPr>
      </w:pPr>
      <w:r w:rsidRPr="00AF775B">
        <w:rPr>
          <w:rFonts w:ascii="Arial" w:hAnsi="Arial" w:cs="Arial"/>
          <w:bCs/>
          <w:color w:val="000000"/>
          <w:sz w:val="22"/>
          <w:lang w:eastAsia="es-CO"/>
        </w:rPr>
        <w:t xml:space="preserve">Así, la Sala de Consulta y Servicio Civil del Consejo de Estado explica que «La prohibición contenida en el artículo 33, desde el punto de vista objetivo o material, comprende la contratación directa, entendida como cualquier mecanismo de escogencia del contratista en el que se prescinde de la licitación o concurso, </w:t>
      </w:r>
      <w:r w:rsidRPr="00AF775B">
        <w:rPr>
          <w:rFonts w:ascii="Arial" w:hAnsi="Arial" w:cs="Arial"/>
          <w:bCs/>
          <w:i/>
          <w:iCs/>
          <w:color w:val="000000"/>
          <w:sz w:val="22"/>
          <w:lang w:eastAsia="es-CO"/>
        </w:rPr>
        <w:t>sin que se tenga en cuenta por el legislador estatutario el régimen de contratación aplicable, ya sea contenido en el Estatuto General de Contratación de la Administración Pública o uno especial en razón del objeto, del contrato o del órgano que contrata</w:t>
      </w:r>
      <w:r w:rsidRPr="00AF775B">
        <w:rPr>
          <w:rFonts w:ascii="Arial" w:hAnsi="Arial" w:cs="Arial"/>
          <w:bCs/>
          <w:color w:val="000000"/>
          <w:sz w:val="22"/>
          <w:lang w:eastAsia="es-CO"/>
        </w:rPr>
        <w:t>»</w:t>
      </w:r>
      <w:r w:rsidRPr="00AF775B">
        <w:rPr>
          <w:rStyle w:val="Refdenotaalpie"/>
          <w:rFonts w:ascii="Arial" w:hAnsi="Arial" w:cs="Arial"/>
          <w:bCs/>
          <w:color w:val="000000"/>
          <w:sz w:val="22"/>
          <w:lang w:eastAsia="es-CO"/>
        </w:rPr>
        <w:footnoteReference w:id="38"/>
      </w:r>
      <w:r w:rsidRPr="00AF775B">
        <w:rPr>
          <w:rFonts w:ascii="Arial" w:hAnsi="Arial" w:cs="Arial"/>
          <w:bCs/>
          <w:color w:val="000000"/>
          <w:sz w:val="22"/>
          <w:lang w:eastAsia="es-CO"/>
        </w:rPr>
        <w:t xml:space="preserve"> (Énfasis fuera de texto). Por tanto, durante la vigencia de la prohibición del artículo 33 de la Ley 996 de 2005 está restringida cualquier modalidad de selección que excluya la pluralidad de oferentes en el régimen especial de contratación </w:t>
      </w:r>
      <w:r w:rsidR="001915F1" w:rsidRPr="00AF775B">
        <w:rPr>
          <w:rFonts w:ascii="Arial" w:hAnsi="Arial" w:cs="Arial"/>
          <w:bCs/>
          <w:color w:val="000000"/>
          <w:sz w:val="22"/>
          <w:lang w:eastAsia="es-CO"/>
        </w:rPr>
        <w:t>para ejecutar obras por impuestos</w:t>
      </w:r>
      <w:r w:rsidRPr="00AF775B">
        <w:rPr>
          <w:rFonts w:ascii="Arial" w:hAnsi="Arial" w:cs="Arial"/>
          <w:bCs/>
          <w:color w:val="000000"/>
          <w:sz w:val="22"/>
          <w:lang w:eastAsia="es-CO"/>
        </w:rPr>
        <w:t xml:space="preserve">. </w:t>
      </w:r>
    </w:p>
    <w:p w14:paraId="206D3755" w14:textId="32D3DA4E" w:rsidR="009D7F2E" w:rsidRPr="00AF775B" w:rsidRDefault="007D4CE5" w:rsidP="00AA2767">
      <w:pPr>
        <w:spacing w:after="120" w:line="276" w:lineRule="auto"/>
        <w:ind w:firstLine="708"/>
        <w:jc w:val="both"/>
        <w:rPr>
          <w:rFonts w:ascii="Arial" w:hAnsi="Arial" w:cs="Arial"/>
          <w:bCs/>
          <w:color w:val="000000"/>
          <w:sz w:val="22"/>
          <w:lang w:eastAsia="es-CO"/>
        </w:rPr>
      </w:pPr>
      <w:r w:rsidRPr="00AF775B">
        <w:rPr>
          <w:rFonts w:ascii="Arial" w:hAnsi="Arial" w:cs="Arial"/>
          <w:bCs/>
          <w:color w:val="000000"/>
          <w:sz w:val="22"/>
          <w:lang w:eastAsia="es-CO"/>
        </w:rPr>
        <w:t>A</w:t>
      </w:r>
      <w:r w:rsidR="009D7F2E" w:rsidRPr="00AF775B">
        <w:rPr>
          <w:rFonts w:ascii="Arial" w:hAnsi="Arial" w:cs="Arial"/>
          <w:bCs/>
          <w:color w:val="000000"/>
          <w:sz w:val="22"/>
          <w:lang w:eastAsia="es-CO"/>
        </w:rPr>
        <w:t xml:space="preserve"> la luz de las normas sustantivas aplicables, las entidades autorizadas para suscribir estos convenios analizarán</w:t>
      </w:r>
      <w:r w:rsidR="00F22AE7" w:rsidRPr="00AF775B">
        <w:rPr>
          <w:rFonts w:ascii="Arial" w:hAnsi="Arial" w:cs="Arial"/>
          <w:bCs/>
          <w:color w:val="000000"/>
          <w:sz w:val="22"/>
          <w:lang w:eastAsia="es-CO"/>
        </w:rPr>
        <w:t xml:space="preserve"> caso por caso</w:t>
      </w:r>
      <w:r w:rsidR="009D7F2E" w:rsidRPr="00AF775B">
        <w:rPr>
          <w:rFonts w:ascii="Arial" w:hAnsi="Arial" w:cs="Arial"/>
          <w:bCs/>
          <w:color w:val="000000"/>
          <w:sz w:val="22"/>
          <w:lang w:eastAsia="es-CO"/>
        </w:rPr>
        <w:t xml:space="preserve"> si el ejecutor del proyecto se selecciona </w:t>
      </w:r>
      <w:r w:rsidRPr="00AF775B">
        <w:rPr>
          <w:rFonts w:ascii="Arial" w:hAnsi="Arial" w:cs="Arial"/>
          <w:bCs/>
          <w:color w:val="000000"/>
          <w:sz w:val="22"/>
          <w:lang w:eastAsia="es-CO"/>
        </w:rPr>
        <w:t xml:space="preserve">o no </w:t>
      </w:r>
      <w:r w:rsidR="009D7F2E" w:rsidRPr="00AF775B">
        <w:rPr>
          <w:rFonts w:ascii="Arial" w:hAnsi="Arial" w:cs="Arial"/>
          <w:bCs/>
          <w:color w:val="000000"/>
          <w:sz w:val="22"/>
          <w:lang w:eastAsia="es-CO"/>
        </w:rPr>
        <w:t xml:space="preserve">dentro de un régimen de competencia entre </w:t>
      </w:r>
      <w:r w:rsidRPr="00AF775B">
        <w:rPr>
          <w:rFonts w:ascii="Arial" w:hAnsi="Arial" w:cs="Arial"/>
          <w:bCs/>
          <w:color w:val="000000"/>
          <w:sz w:val="22"/>
          <w:lang w:eastAsia="es-CO"/>
        </w:rPr>
        <w:t>varios</w:t>
      </w:r>
      <w:r w:rsidR="009D7F2E" w:rsidRPr="00AF775B">
        <w:rPr>
          <w:rFonts w:ascii="Arial" w:hAnsi="Arial" w:cs="Arial"/>
          <w:bCs/>
          <w:color w:val="000000"/>
          <w:sz w:val="22"/>
          <w:lang w:eastAsia="es-CO"/>
        </w:rPr>
        <w:t xml:space="preserve"> interesados. </w:t>
      </w:r>
      <w:r w:rsidR="00F22AE7" w:rsidRPr="00AF775B">
        <w:rPr>
          <w:rFonts w:ascii="Arial" w:hAnsi="Arial" w:cs="Arial"/>
          <w:bCs/>
          <w:color w:val="000000"/>
          <w:sz w:val="22"/>
          <w:lang w:eastAsia="es-CO"/>
        </w:rPr>
        <w:t>Si la respuesta es negativa</w:t>
      </w:r>
      <w:r w:rsidRPr="00AF775B">
        <w:rPr>
          <w:rFonts w:ascii="Arial" w:hAnsi="Arial" w:cs="Arial"/>
          <w:bCs/>
          <w:color w:val="000000"/>
          <w:sz w:val="22"/>
          <w:lang w:eastAsia="es-CO"/>
        </w:rPr>
        <w:t>, salvo que el proyecto esté relacionado con alguna de las excepciones previstas en el artículo 33 de la Ley 996 de 2005, aplicará la prohibición de contratación directa</w:t>
      </w:r>
      <w:r w:rsidR="00807A7B" w:rsidRPr="00AF775B">
        <w:rPr>
          <w:rFonts w:ascii="Arial" w:hAnsi="Arial" w:cs="Arial"/>
          <w:bCs/>
          <w:color w:val="000000"/>
          <w:sz w:val="22"/>
          <w:lang w:eastAsia="es-CO"/>
        </w:rPr>
        <w:t xml:space="preserve"> de la Ley de Garantías</w:t>
      </w:r>
      <w:r w:rsidRPr="00AF775B">
        <w:rPr>
          <w:rFonts w:ascii="Arial" w:hAnsi="Arial" w:cs="Arial"/>
          <w:bCs/>
          <w:color w:val="000000"/>
          <w:sz w:val="22"/>
          <w:lang w:eastAsia="es-CO"/>
        </w:rPr>
        <w:t xml:space="preserve">. </w:t>
      </w:r>
      <w:r w:rsidR="00BE6655" w:rsidRPr="00AF775B">
        <w:rPr>
          <w:rFonts w:ascii="Arial" w:hAnsi="Arial" w:cs="Arial"/>
          <w:bCs/>
          <w:color w:val="000000"/>
          <w:sz w:val="22"/>
          <w:lang w:eastAsia="es-CO"/>
        </w:rPr>
        <w:t>Por ello</w:t>
      </w:r>
      <w:r w:rsidR="007759EE" w:rsidRPr="00AF775B">
        <w:rPr>
          <w:rFonts w:ascii="Arial" w:hAnsi="Arial" w:cs="Arial"/>
          <w:bCs/>
          <w:color w:val="000000"/>
          <w:sz w:val="22"/>
          <w:lang w:eastAsia="es-CO"/>
        </w:rPr>
        <w:t>, p</w:t>
      </w:r>
      <w:r w:rsidR="00E62661" w:rsidRPr="00AF775B">
        <w:rPr>
          <w:rFonts w:ascii="Arial" w:hAnsi="Arial" w:cs="Arial"/>
          <w:bCs/>
          <w:color w:val="000000"/>
          <w:sz w:val="22"/>
          <w:lang w:eastAsia="es-CO"/>
        </w:rPr>
        <w:t xml:space="preserve">revio concepto de sus órganos asesores, la </w:t>
      </w:r>
      <w:r w:rsidR="006D17AA" w:rsidRPr="00AF775B">
        <w:rPr>
          <w:rFonts w:ascii="Arial" w:hAnsi="Arial" w:cs="Arial"/>
          <w:bCs/>
          <w:color w:val="000000"/>
          <w:sz w:val="22"/>
          <w:lang w:eastAsia="es-CO"/>
        </w:rPr>
        <w:t>decisión sobre</w:t>
      </w:r>
      <w:r w:rsidR="00E62661" w:rsidRPr="00AF775B">
        <w:rPr>
          <w:rFonts w:ascii="Arial" w:hAnsi="Arial" w:cs="Arial"/>
          <w:bCs/>
          <w:color w:val="000000"/>
          <w:sz w:val="22"/>
          <w:lang w:eastAsia="es-CO"/>
        </w:rPr>
        <w:t xml:space="preserve"> </w:t>
      </w:r>
      <w:r w:rsidR="00E62661" w:rsidRPr="00AF775B">
        <w:rPr>
          <w:rFonts w:ascii="Arial" w:hAnsi="Arial" w:cs="Arial"/>
          <w:bCs/>
          <w:color w:val="000000"/>
          <w:sz w:val="22"/>
          <w:lang w:eastAsia="es-CO"/>
        </w:rPr>
        <w:lastRenderedPageBreak/>
        <w:t xml:space="preserve">cada </w:t>
      </w:r>
      <w:r w:rsidR="00807A7B" w:rsidRPr="00AF775B">
        <w:rPr>
          <w:rFonts w:ascii="Arial" w:hAnsi="Arial" w:cs="Arial"/>
          <w:bCs/>
          <w:color w:val="000000"/>
          <w:sz w:val="22"/>
          <w:lang w:eastAsia="es-CO"/>
        </w:rPr>
        <w:t>situación</w:t>
      </w:r>
      <w:r w:rsidR="00E62661" w:rsidRPr="00AF775B">
        <w:rPr>
          <w:rFonts w:ascii="Arial" w:hAnsi="Arial" w:cs="Arial"/>
          <w:bCs/>
          <w:color w:val="000000"/>
          <w:sz w:val="22"/>
          <w:lang w:eastAsia="es-CO"/>
        </w:rPr>
        <w:t xml:space="preserve"> </w:t>
      </w:r>
      <w:r w:rsidR="00807A7B" w:rsidRPr="00AF775B">
        <w:rPr>
          <w:rFonts w:ascii="Arial" w:hAnsi="Arial" w:cs="Arial"/>
          <w:bCs/>
          <w:color w:val="000000"/>
          <w:sz w:val="22"/>
          <w:lang w:eastAsia="es-CO"/>
        </w:rPr>
        <w:t>particular</w:t>
      </w:r>
      <w:r w:rsidR="00E62661" w:rsidRPr="00AF775B">
        <w:rPr>
          <w:rFonts w:ascii="Arial" w:hAnsi="Arial" w:cs="Arial"/>
          <w:bCs/>
          <w:color w:val="000000"/>
          <w:sz w:val="22"/>
          <w:lang w:eastAsia="es-CO"/>
        </w:rPr>
        <w:t xml:space="preserve"> corresponde a la entidad que adelanta el procedimiento de selección.</w:t>
      </w:r>
      <w:r w:rsidRPr="00AF775B">
        <w:rPr>
          <w:rFonts w:ascii="Arial" w:hAnsi="Arial" w:cs="Arial"/>
          <w:bCs/>
          <w:color w:val="000000"/>
          <w:sz w:val="22"/>
          <w:lang w:eastAsia="es-CO"/>
        </w:rPr>
        <w:t xml:space="preserve"> </w:t>
      </w:r>
      <w:r w:rsidR="00807A7B" w:rsidRPr="00AF775B">
        <w:rPr>
          <w:rFonts w:ascii="Arial" w:hAnsi="Arial" w:cs="Arial"/>
          <w:bCs/>
          <w:color w:val="000000"/>
          <w:sz w:val="22"/>
          <w:lang w:eastAsia="es-CO"/>
        </w:rPr>
        <w:t>Esto último en la medida que, de acuerdo con las competencias asignadas en el Decreto – Ley 4170 de 2011, esta entidad carece de atribuciones para vigilar la gestión contractual de los partícipes del sistema de compras y contratación pública.</w:t>
      </w:r>
    </w:p>
    <w:p w14:paraId="7BF42935" w14:textId="046AB49C" w:rsidR="00C5500A" w:rsidRPr="00AF775B" w:rsidRDefault="004D2F83" w:rsidP="002B575D">
      <w:pPr>
        <w:spacing w:before="120" w:after="120" w:line="276" w:lineRule="auto"/>
        <w:ind w:firstLine="709"/>
        <w:jc w:val="both"/>
        <w:rPr>
          <w:rFonts w:ascii="Arial" w:hAnsi="Arial" w:cs="Arial"/>
          <w:sz w:val="22"/>
        </w:rPr>
      </w:pPr>
      <w:r w:rsidRPr="00AF775B">
        <w:rPr>
          <w:rFonts w:ascii="Arial" w:hAnsi="Arial" w:cs="Arial"/>
          <w:bCs/>
          <w:color w:val="000000"/>
          <w:sz w:val="22"/>
          <w:lang w:eastAsia="es-CO"/>
        </w:rPr>
        <w:t xml:space="preserve">Por otra parte, respecto a </w:t>
      </w:r>
      <w:r w:rsidRPr="00AF775B">
        <w:rPr>
          <w:rFonts w:ascii="Arial" w:eastAsia="Calibri" w:hAnsi="Arial" w:cs="Arial"/>
          <w:color w:val="000000" w:themeColor="text1"/>
          <w:sz w:val="22"/>
        </w:rPr>
        <w:t xml:space="preserve">la restricción del artículo 38 de la </w:t>
      </w:r>
      <w:r w:rsidRPr="00AF775B">
        <w:rPr>
          <w:rFonts w:ascii="Arial" w:hAnsi="Arial" w:cs="Arial"/>
          <w:bCs/>
          <w:color w:val="000000"/>
          <w:sz w:val="22"/>
          <w:lang w:eastAsia="es-CO"/>
        </w:rPr>
        <w:t xml:space="preserve">Ley de Garantías, la calificación de si existe o no un contrato interadministrativo depende </w:t>
      </w:r>
      <w:r w:rsidR="006D17AA" w:rsidRPr="00AF775B">
        <w:rPr>
          <w:rFonts w:ascii="Arial" w:hAnsi="Arial" w:cs="Arial"/>
          <w:bCs/>
          <w:color w:val="000000"/>
          <w:sz w:val="22"/>
          <w:lang w:eastAsia="es-CO"/>
        </w:rPr>
        <w:t xml:space="preserve">de </w:t>
      </w:r>
      <w:r w:rsidRPr="00AF775B">
        <w:rPr>
          <w:rFonts w:ascii="Arial" w:hAnsi="Arial" w:cs="Arial"/>
          <w:bCs/>
          <w:color w:val="000000"/>
          <w:sz w:val="22"/>
          <w:lang w:eastAsia="es-CO"/>
        </w:rPr>
        <w:t xml:space="preserve">la naturaleza jurídica de quien funja como contribuyente, es decir, del sujeto pasivo del </w:t>
      </w:r>
      <w:r w:rsidRPr="00AF775B">
        <w:rPr>
          <w:rFonts w:ascii="Arial" w:hAnsi="Arial" w:cs="Arial"/>
          <w:bCs/>
          <w:sz w:val="22"/>
          <w:szCs w:val="22"/>
          <w:lang w:val="es-MX" w:eastAsia="es-CO"/>
        </w:rPr>
        <w:t xml:space="preserve">impuesto sobre la renta y complementarios, para efectos del régimen especial previsto en </w:t>
      </w:r>
      <w:bookmarkStart w:id="19" w:name="_Hlk87450691"/>
      <w:r w:rsidRPr="00AF775B">
        <w:rPr>
          <w:rFonts w:ascii="Arial" w:hAnsi="Arial" w:cs="Arial"/>
          <w:bCs/>
          <w:sz w:val="22"/>
          <w:szCs w:val="22"/>
          <w:lang w:val="es-MX" w:eastAsia="es-CO"/>
        </w:rPr>
        <w:t xml:space="preserve">el </w:t>
      </w:r>
      <w:r w:rsidRPr="00AF775B">
        <w:rPr>
          <w:rFonts w:ascii="Arial" w:hAnsi="Arial" w:cs="Arial"/>
          <w:sz w:val="22"/>
        </w:rPr>
        <w:t>artículo 800-1 del Estatuto Tributario</w:t>
      </w:r>
      <w:bookmarkEnd w:id="19"/>
      <w:r w:rsidR="002B575D" w:rsidRPr="00AF775B">
        <w:rPr>
          <w:rStyle w:val="Refdenotaalpie"/>
          <w:rFonts w:ascii="Arial" w:hAnsi="Arial" w:cs="Arial"/>
          <w:sz w:val="22"/>
        </w:rPr>
        <w:footnoteReference w:id="39"/>
      </w:r>
      <w:r w:rsidRPr="00AF775B">
        <w:rPr>
          <w:rFonts w:ascii="Arial" w:hAnsi="Arial" w:cs="Arial"/>
          <w:sz w:val="22"/>
        </w:rPr>
        <w:t>.</w:t>
      </w:r>
      <w:r w:rsidR="009F261E" w:rsidRPr="00AF775B">
        <w:rPr>
          <w:rFonts w:ascii="Arial" w:hAnsi="Arial" w:cs="Arial"/>
          <w:sz w:val="22"/>
        </w:rPr>
        <w:t xml:space="preserve"> </w:t>
      </w:r>
      <w:r w:rsidR="00C5500A" w:rsidRPr="00AF775B">
        <w:rPr>
          <w:rFonts w:ascii="Arial" w:hAnsi="Arial" w:cs="Arial"/>
          <w:sz w:val="22"/>
        </w:rPr>
        <w:t xml:space="preserve">En efecto, si el contribuyente es una persona natural o una persona jurídica de derecho privado, </w:t>
      </w:r>
      <w:r w:rsidR="00C5500A" w:rsidRPr="00AF775B">
        <w:rPr>
          <w:rFonts w:ascii="Arial" w:eastAsia="Calibri" w:hAnsi="Arial" w:cs="Arial"/>
          <w:color w:val="000000" w:themeColor="text1"/>
          <w:sz w:val="22"/>
        </w:rPr>
        <w:t xml:space="preserve">los convenios suscritos con las entidades competentes para la ejecución de obras por impuestos no se calificarían como contratos interadministrativos. </w:t>
      </w:r>
      <w:r w:rsidR="00C5500A" w:rsidRPr="00AF775B">
        <w:rPr>
          <w:rFonts w:ascii="Arial" w:eastAsia="Calibri" w:hAnsi="Arial" w:cs="Arial"/>
          <w:color w:val="000000" w:themeColor="text1"/>
          <w:sz w:val="22"/>
          <w:lang w:val="es-ES_tradnl"/>
        </w:rPr>
        <w:t xml:space="preserve">Al respecto, esta última tipología contractual fue creada en la Ley 80 de 1993 y, aunque no la definió ni desarrolló, el Decreto 1082 de 2015 califica a los convenios o contratos </w:t>
      </w:r>
      <w:r w:rsidR="00C5500A" w:rsidRPr="00AF775B">
        <w:rPr>
          <w:rFonts w:ascii="Arial" w:eastAsia="Calibri" w:hAnsi="Arial" w:cs="Arial"/>
          <w:color w:val="000000" w:themeColor="text1"/>
          <w:sz w:val="22"/>
          <w:lang w:val="es-ES_tradnl"/>
        </w:rPr>
        <w:lastRenderedPageBreak/>
        <w:t>interadministrativos como aquella contratación entre entidades estatales</w:t>
      </w:r>
      <w:r w:rsidR="00C5500A" w:rsidRPr="00AF775B">
        <w:rPr>
          <w:rStyle w:val="Refdenotaalpie"/>
          <w:rFonts w:ascii="Arial" w:eastAsia="Calibri" w:hAnsi="Arial" w:cs="Arial"/>
          <w:color w:val="000000" w:themeColor="text1"/>
          <w:sz w:val="22"/>
          <w:lang w:val="es-ES_tradnl"/>
        </w:rPr>
        <w:footnoteReference w:id="40"/>
      </w:r>
      <w:r w:rsidR="00C5500A" w:rsidRPr="00AF775B">
        <w:rPr>
          <w:rFonts w:ascii="Arial" w:eastAsia="Calibri" w:hAnsi="Arial" w:cs="Arial"/>
          <w:color w:val="000000" w:themeColor="text1"/>
          <w:sz w:val="22"/>
          <w:lang w:val="es-ES_tradnl"/>
        </w:rPr>
        <w:t>.</w:t>
      </w:r>
      <w:r w:rsidR="00C5500A" w:rsidRPr="00AF775B">
        <w:rPr>
          <w:rFonts w:ascii="Arial" w:hAnsi="Arial" w:cs="Arial"/>
          <w:color w:val="000000" w:themeColor="text1"/>
          <w:sz w:val="22"/>
          <w:lang w:val="es-ES_tradnl"/>
        </w:rPr>
        <w:t xml:space="preserve"> </w:t>
      </w:r>
      <w:r w:rsidR="00C5500A" w:rsidRPr="00AF775B">
        <w:rPr>
          <w:rFonts w:ascii="Arial" w:eastAsia="Calibri" w:hAnsi="Arial" w:cs="Arial"/>
          <w:color w:val="000000" w:themeColor="text1"/>
          <w:sz w:val="22"/>
          <w:lang w:val="es-ES_tradnl"/>
        </w:rPr>
        <w:t xml:space="preserve">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están determinados por un criterio orgánico, pues es necesario que los extremos de la relación contractual sean entidades estatales. </w:t>
      </w:r>
    </w:p>
    <w:p w14:paraId="60DDBE67" w14:textId="5F5ABE3F" w:rsidR="00C5500A" w:rsidRPr="00AF775B" w:rsidRDefault="00C5500A" w:rsidP="00C5500A">
      <w:pPr>
        <w:spacing w:before="120" w:line="276" w:lineRule="auto"/>
        <w:ind w:firstLine="709"/>
        <w:jc w:val="both"/>
        <w:rPr>
          <w:rFonts w:ascii="Arial" w:eastAsia="Calibri" w:hAnsi="Arial" w:cs="Arial"/>
          <w:color w:val="000000" w:themeColor="text1"/>
          <w:sz w:val="22"/>
        </w:rPr>
      </w:pPr>
      <w:r w:rsidRPr="00AF775B">
        <w:rPr>
          <w:rFonts w:ascii="Arial" w:eastAsia="Calibri" w:hAnsi="Arial" w:cs="Arial"/>
          <w:color w:val="000000" w:themeColor="text1"/>
          <w:sz w:val="22"/>
          <w:lang w:val="es-ES_tradnl"/>
        </w:rPr>
        <w:t xml:space="preserve">En este sentido, los convenios objeto de consulta no corresponden a la categoría </w:t>
      </w:r>
      <w:r w:rsidRPr="00AF775B">
        <w:rPr>
          <w:rFonts w:ascii="Arial" w:eastAsia="Calibri" w:hAnsi="Arial" w:cs="Arial"/>
          <w:color w:val="000000" w:themeColor="text1"/>
          <w:sz w:val="22"/>
        </w:rPr>
        <w:t>definida en el 2.2.1.2.1.4.4 del Decreto 1082 de 2015</w:t>
      </w:r>
      <w:r w:rsidRPr="00AF775B">
        <w:rPr>
          <w:rFonts w:ascii="Arial" w:eastAsia="Calibri" w:hAnsi="Arial" w:cs="Arial"/>
          <w:color w:val="000000" w:themeColor="text1"/>
          <w:sz w:val="22"/>
          <w:lang w:val="es-ES_tradnl"/>
        </w:rPr>
        <w:t>, pues –siempre que el contribuyente sea una persona natural o una persona jurídica del derecho privado</w:t>
      </w:r>
      <w:r w:rsidRPr="00AF775B">
        <w:rPr>
          <w:rFonts w:ascii="Arial" w:eastAsia="Calibri" w:hAnsi="Arial" w:cs="Arial"/>
          <w:color w:val="000000" w:themeColor="text1"/>
          <w:sz w:val="22"/>
        </w:rPr>
        <w:t>–</w:t>
      </w:r>
      <w:r w:rsidRPr="00AF775B">
        <w:rPr>
          <w:rFonts w:ascii="Arial" w:eastAsia="Calibri" w:hAnsi="Arial" w:cs="Arial"/>
          <w:color w:val="000000" w:themeColor="text1"/>
          <w:sz w:val="22"/>
          <w:lang w:val="es-ES_tradnl"/>
        </w:rPr>
        <w:t xml:space="preserve"> no implica una contratación entre autoridades del Estado</w:t>
      </w:r>
      <w:r w:rsidRPr="00AF775B">
        <w:rPr>
          <w:rFonts w:ascii="Arial" w:eastAsia="Calibri" w:hAnsi="Arial" w:cs="Arial"/>
          <w:color w:val="000000" w:themeColor="text1"/>
          <w:sz w:val="22"/>
        </w:rPr>
        <w:t xml:space="preserve">. Por tanto, siempre que se cumpla la condición anteriormente mencionada, los convenios </w:t>
      </w:r>
      <w:r w:rsidR="000827E6" w:rsidRPr="00AF775B">
        <w:rPr>
          <w:rFonts w:ascii="Arial" w:eastAsia="Calibri" w:hAnsi="Arial" w:cs="Arial"/>
          <w:color w:val="000000" w:themeColor="text1"/>
          <w:sz w:val="22"/>
        </w:rPr>
        <w:t>d</w:t>
      </w:r>
      <w:r w:rsidRPr="00AF775B">
        <w:rPr>
          <w:rFonts w:ascii="Arial" w:eastAsia="Calibri" w:hAnsi="Arial" w:cs="Arial"/>
          <w:color w:val="000000" w:themeColor="text1"/>
          <w:sz w:val="22"/>
        </w:rPr>
        <w:t>el artículo 800-1 del Estatuto Tributario no est</w:t>
      </w:r>
      <w:r w:rsidR="000827E6" w:rsidRPr="00AF775B">
        <w:rPr>
          <w:rFonts w:ascii="Arial" w:eastAsia="Calibri" w:hAnsi="Arial" w:cs="Arial"/>
          <w:color w:val="000000" w:themeColor="text1"/>
          <w:sz w:val="22"/>
        </w:rPr>
        <w:t>arían</w:t>
      </w:r>
      <w:r w:rsidRPr="00AF775B">
        <w:rPr>
          <w:rFonts w:ascii="Arial" w:eastAsia="Calibri" w:hAnsi="Arial" w:cs="Arial"/>
          <w:color w:val="000000" w:themeColor="text1"/>
          <w:sz w:val="22"/>
        </w:rPr>
        <w:t xml:space="preserve"> dentro de la restricción del artículo 38 de la Ley de Garantías, pues –de acuerdo con la calidad de las partes– no corresponden a la tipología de contratos o convenios interadministrativos.</w:t>
      </w:r>
    </w:p>
    <w:p w14:paraId="04ABB0F1" w14:textId="63D9122A" w:rsidR="00611F22" w:rsidRPr="00AF775B" w:rsidRDefault="00815D4C" w:rsidP="00E41D0D">
      <w:pPr>
        <w:spacing w:before="120" w:line="276" w:lineRule="auto"/>
        <w:ind w:firstLine="709"/>
        <w:jc w:val="both"/>
        <w:rPr>
          <w:rFonts w:ascii="Arial" w:hAnsi="Arial" w:cs="Arial"/>
          <w:bCs/>
          <w:color w:val="000000"/>
          <w:sz w:val="22"/>
          <w:lang w:eastAsia="es-CO"/>
        </w:rPr>
      </w:pPr>
      <w:r w:rsidRPr="00AF775B">
        <w:rPr>
          <w:rFonts w:ascii="Arial" w:eastAsia="Calibri" w:hAnsi="Arial" w:cs="Arial"/>
          <w:i/>
          <w:iCs/>
          <w:color w:val="000000" w:themeColor="text1"/>
          <w:sz w:val="22"/>
        </w:rPr>
        <w:t>Contrario sensu</w:t>
      </w:r>
      <w:r w:rsidRPr="00AF775B">
        <w:rPr>
          <w:rFonts w:ascii="Arial" w:eastAsia="Calibri" w:hAnsi="Arial" w:cs="Arial"/>
          <w:color w:val="000000" w:themeColor="text1"/>
          <w:sz w:val="22"/>
        </w:rPr>
        <w:t xml:space="preserve"> ocurriría </w:t>
      </w:r>
      <w:r w:rsidR="00C5500A" w:rsidRPr="00AF775B">
        <w:rPr>
          <w:rFonts w:ascii="Arial" w:eastAsia="Calibri" w:hAnsi="Arial" w:cs="Arial"/>
          <w:color w:val="000000" w:themeColor="text1"/>
          <w:sz w:val="22"/>
        </w:rPr>
        <w:t>si el contribuyente del impuesto de renta y complementarios es un sujeto de derecho público, pues en estos casos –a diferencia de la hipótesis anterior– la ejecución de obras por impuestos se realizar</w:t>
      </w:r>
      <w:r w:rsidRPr="00AF775B">
        <w:rPr>
          <w:rFonts w:ascii="Arial" w:eastAsia="Calibri" w:hAnsi="Arial" w:cs="Arial"/>
          <w:color w:val="000000" w:themeColor="text1"/>
          <w:sz w:val="22"/>
        </w:rPr>
        <w:t>ía</w:t>
      </w:r>
      <w:r w:rsidR="00C5500A" w:rsidRPr="00AF775B">
        <w:rPr>
          <w:rFonts w:ascii="Arial" w:eastAsia="Calibri" w:hAnsi="Arial" w:cs="Arial"/>
          <w:color w:val="000000" w:themeColor="text1"/>
          <w:sz w:val="22"/>
        </w:rPr>
        <w:t xml:space="preserve"> en el marco de un contrat</w:t>
      </w:r>
      <w:r w:rsidR="006B48C1" w:rsidRPr="00AF775B">
        <w:rPr>
          <w:rFonts w:ascii="Arial" w:eastAsia="Calibri" w:hAnsi="Arial" w:cs="Arial"/>
          <w:color w:val="000000" w:themeColor="text1"/>
          <w:sz w:val="22"/>
        </w:rPr>
        <w:t>o interadministrativo, el cual se define por</w:t>
      </w:r>
      <w:r w:rsidR="00E86137" w:rsidRPr="00AF775B">
        <w:rPr>
          <w:rFonts w:ascii="Arial" w:eastAsia="Calibri" w:hAnsi="Arial" w:cs="Arial"/>
          <w:color w:val="000000" w:themeColor="text1"/>
          <w:sz w:val="22"/>
        </w:rPr>
        <w:t xml:space="preserve"> el</w:t>
      </w:r>
      <w:r w:rsidR="006B48C1" w:rsidRPr="00AF775B">
        <w:rPr>
          <w:rFonts w:ascii="Arial" w:eastAsia="Calibri" w:hAnsi="Arial" w:cs="Arial"/>
          <w:color w:val="000000" w:themeColor="text1"/>
          <w:sz w:val="22"/>
        </w:rPr>
        <w:t xml:space="preserve"> criterio orgánico </w:t>
      </w:r>
      <w:r w:rsidR="00E86137" w:rsidRPr="00AF775B">
        <w:rPr>
          <w:rFonts w:ascii="Arial" w:eastAsia="Calibri" w:hAnsi="Arial" w:cs="Arial"/>
          <w:color w:val="000000" w:themeColor="text1"/>
          <w:sz w:val="22"/>
        </w:rPr>
        <w:t>conforme a la explicación precedente</w:t>
      </w:r>
      <w:r w:rsidR="006B48C1" w:rsidRPr="00AF775B">
        <w:rPr>
          <w:rFonts w:ascii="Arial" w:eastAsia="Calibri" w:hAnsi="Arial" w:cs="Arial"/>
          <w:color w:val="000000" w:themeColor="text1"/>
          <w:sz w:val="22"/>
        </w:rPr>
        <w:t>.</w:t>
      </w:r>
      <w:r w:rsidR="00E86137" w:rsidRPr="00AF775B">
        <w:rPr>
          <w:rFonts w:ascii="Arial" w:eastAsia="Calibri" w:hAnsi="Arial" w:cs="Arial"/>
          <w:color w:val="000000" w:themeColor="text1"/>
          <w:sz w:val="22"/>
        </w:rPr>
        <w:t xml:space="preserve"> En este caso, si el sujeto pasivo del mencionado tributo es alguna de las entidades mencionadas en el artículo 38 de la Ley </w:t>
      </w:r>
      <w:r w:rsidR="00E86137" w:rsidRPr="00AF775B">
        <w:rPr>
          <w:rFonts w:ascii="Arial" w:hAnsi="Arial" w:cs="Arial"/>
          <w:bCs/>
          <w:color w:val="000000"/>
          <w:sz w:val="22"/>
          <w:lang w:eastAsia="es-CO"/>
        </w:rPr>
        <w:t>996 de 2005,</w:t>
      </w:r>
      <w:r w:rsidR="00384EAF" w:rsidRPr="00AF775B">
        <w:rPr>
          <w:rFonts w:ascii="Arial" w:hAnsi="Arial" w:cs="Arial"/>
          <w:bCs/>
          <w:color w:val="000000"/>
          <w:sz w:val="22"/>
          <w:lang w:eastAsia="es-CO"/>
        </w:rPr>
        <w:t xml:space="preserve"> como</w:t>
      </w:r>
      <w:r w:rsidR="009F261E" w:rsidRPr="00AF775B">
        <w:rPr>
          <w:rFonts w:ascii="Arial" w:hAnsi="Arial" w:cs="Arial"/>
          <w:bCs/>
          <w:color w:val="000000"/>
          <w:sz w:val="22"/>
          <w:lang w:eastAsia="es-CO"/>
        </w:rPr>
        <w:t>,</w:t>
      </w:r>
      <w:r w:rsidR="00384EAF" w:rsidRPr="00AF775B">
        <w:rPr>
          <w:rFonts w:ascii="Arial" w:hAnsi="Arial" w:cs="Arial"/>
          <w:bCs/>
          <w:color w:val="000000"/>
          <w:sz w:val="22"/>
          <w:lang w:eastAsia="es-CO"/>
        </w:rPr>
        <w:t xml:space="preserve"> por ejemplo, las empresas industriales y comerciales del estado o las sociedades de economía mixta del orden municipal, departamental o distrital,</w:t>
      </w:r>
      <w:r w:rsidR="00E86137" w:rsidRPr="00AF775B">
        <w:rPr>
          <w:rFonts w:ascii="Arial" w:hAnsi="Arial" w:cs="Arial"/>
          <w:bCs/>
          <w:color w:val="000000"/>
          <w:sz w:val="22"/>
          <w:lang w:eastAsia="es-CO"/>
        </w:rPr>
        <w:t xml:space="preserve"> aplicará la restricción prevista en la Ley de Garantías</w:t>
      </w:r>
      <w:r w:rsidR="009F261E" w:rsidRPr="00AF775B">
        <w:rPr>
          <w:rStyle w:val="Refdenotaalpie"/>
          <w:rFonts w:ascii="Arial" w:hAnsi="Arial" w:cs="Arial"/>
          <w:bCs/>
          <w:color w:val="000000"/>
          <w:sz w:val="22"/>
          <w:lang w:eastAsia="es-CO"/>
        </w:rPr>
        <w:footnoteReference w:id="41"/>
      </w:r>
      <w:r w:rsidR="006E5EA6" w:rsidRPr="00AF775B">
        <w:rPr>
          <w:rFonts w:ascii="Arial" w:hAnsi="Arial" w:cs="Arial"/>
          <w:bCs/>
          <w:color w:val="000000"/>
          <w:sz w:val="22"/>
          <w:lang w:eastAsia="es-CO"/>
        </w:rPr>
        <w:t>.</w:t>
      </w:r>
    </w:p>
    <w:p w14:paraId="1810DF22" w14:textId="77777777" w:rsidR="00E41D0D" w:rsidRPr="00AF775B" w:rsidRDefault="00E41D0D" w:rsidP="00AF775B">
      <w:pPr>
        <w:spacing w:line="276" w:lineRule="auto"/>
        <w:ind w:firstLine="709"/>
        <w:jc w:val="both"/>
        <w:rPr>
          <w:rFonts w:ascii="Arial" w:hAnsi="Arial" w:cs="Arial"/>
          <w:bCs/>
          <w:color w:val="000000"/>
          <w:sz w:val="22"/>
          <w:lang w:eastAsia="es-CO"/>
        </w:rPr>
      </w:pPr>
    </w:p>
    <w:p w14:paraId="5071167E" w14:textId="77777777" w:rsidR="008A6AA1" w:rsidRPr="00AF775B" w:rsidRDefault="008A6AA1" w:rsidP="008A6AA1">
      <w:pPr>
        <w:tabs>
          <w:tab w:val="left" w:pos="0"/>
        </w:tabs>
        <w:jc w:val="both"/>
        <w:rPr>
          <w:rFonts w:ascii="Arial" w:eastAsia="Calibri" w:hAnsi="Arial" w:cs="Arial"/>
          <w:b/>
          <w:sz w:val="22"/>
          <w:lang w:val="es-ES_tradnl"/>
        </w:rPr>
      </w:pPr>
      <w:r w:rsidRPr="00AF775B">
        <w:rPr>
          <w:rFonts w:ascii="Arial" w:eastAsia="Calibri" w:hAnsi="Arial" w:cs="Arial"/>
          <w:b/>
          <w:sz w:val="22"/>
          <w:lang w:val="es-ES_tradnl"/>
        </w:rPr>
        <w:t>3. Respuestas</w:t>
      </w:r>
    </w:p>
    <w:p w14:paraId="1D78D111" w14:textId="77777777" w:rsidR="008A6AA1" w:rsidRPr="00AF775B" w:rsidRDefault="008A6AA1" w:rsidP="006618E4">
      <w:pPr>
        <w:tabs>
          <w:tab w:val="left" w:pos="0"/>
        </w:tabs>
        <w:jc w:val="both"/>
        <w:rPr>
          <w:rFonts w:ascii="Arial" w:eastAsia="Calibri" w:hAnsi="Arial" w:cs="Arial"/>
          <w:sz w:val="21"/>
          <w:szCs w:val="21"/>
          <w:lang w:val="es-ES_tradnl"/>
        </w:rPr>
      </w:pPr>
    </w:p>
    <w:p w14:paraId="758D4830" w14:textId="080D64D4" w:rsidR="00B41D66" w:rsidRPr="00AF775B" w:rsidRDefault="00803AB0" w:rsidP="006618E4">
      <w:pPr>
        <w:ind w:left="709" w:right="709"/>
        <w:jc w:val="both"/>
        <w:rPr>
          <w:rFonts w:ascii="Arial" w:hAnsi="Arial" w:cs="Arial"/>
          <w:sz w:val="21"/>
          <w:szCs w:val="21"/>
        </w:rPr>
      </w:pPr>
      <w:r w:rsidRPr="00AF775B">
        <w:rPr>
          <w:rFonts w:ascii="Arial" w:hAnsi="Arial" w:cs="Arial"/>
          <w:sz w:val="21"/>
          <w:szCs w:val="21"/>
          <w:lang w:val="es-ES_tradnl"/>
        </w:rPr>
        <w:t>«</w:t>
      </w:r>
      <w:r w:rsidR="00644842" w:rsidRPr="00AF775B">
        <w:rPr>
          <w:rFonts w:ascii="Arial" w:hAnsi="Arial" w:cs="Arial"/>
          <w:sz w:val="21"/>
          <w:szCs w:val="21"/>
          <w:lang w:val="es-ES_tradnl"/>
        </w:rPr>
        <w:t xml:space="preserve">¿Las prohibiciones para celebrar convenios interadministrativos para la ejecución de recursos públicos y en materia de contratación directa establecidas </w:t>
      </w:r>
      <w:r w:rsidR="00644842" w:rsidRPr="00AF775B">
        <w:rPr>
          <w:rFonts w:ascii="Arial" w:hAnsi="Arial" w:cs="Arial"/>
          <w:sz w:val="21"/>
          <w:szCs w:val="21"/>
          <w:lang w:val="es-ES_tradnl"/>
        </w:rPr>
        <w:lastRenderedPageBreak/>
        <w:t>en la Ley 996 20054, son aplicables al convenio de obras por impuestos regulado en el artículo 800-1 del Estatuto Tributario?</w:t>
      </w:r>
      <w:r w:rsidR="00742C7F" w:rsidRPr="00AF775B">
        <w:rPr>
          <w:rFonts w:ascii="Arial" w:hAnsi="Arial" w:cs="Arial"/>
          <w:sz w:val="21"/>
          <w:szCs w:val="21"/>
          <w:lang w:val="es-ES_tradnl"/>
        </w:rPr>
        <w:t>»</w:t>
      </w:r>
      <w:r w:rsidR="00630845" w:rsidRPr="00AF775B">
        <w:rPr>
          <w:rFonts w:ascii="Arial" w:hAnsi="Arial" w:cs="Arial"/>
          <w:sz w:val="21"/>
          <w:szCs w:val="21"/>
          <w:bdr w:val="none" w:sz="0" w:space="0" w:color="auto" w:frame="1"/>
        </w:rPr>
        <w:t>.</w:t>
      </w:r>
    </w:p>
    <w:p w14:paraId="0A866EA5" w14:textId="77777777" w:rsidR="00B41D66" w:rsidRPr="00AF775B" w:rsidRDefault="00B41D66" w:rsidP="006B3EB4">
      <w:pPr>
        <w:spacing w:line="276" w:lineRule="auto"/>
        <w:ind w:right="709"/>
        <w:jc w:val="both"/>
        <w:rPr>
          <w:rFonts w:ascii="Arial" w:hAnsi="Arial" w:cs="Arial"/>
          <w:sz w:val="22"/>
          <w:szCs w:val="22"/>
        </w:rPr>
      </w:pPr>
    </w:p>
    <w:p w14:paraId="582C079A" w14:textId="0D199CD3" w:rsidR="004A7D11" w:rsidRPr="00AF775B" w:rsidRDefault="004A7D11" w:rsidP="004A7D11">
      <w:pPr>
        <w:spacing w:after="120" w:line="276" w:lineRule="auto"/>
        <w:jc w:val="both"/>
        <w:rPr>
          <w:rFonts w:ascii="Arial" w:hAnsi="Arial" w:cs="Arial"/>
          <w:color w:val="000000"/>
          <w:sz w:val="22"/>
          <w:szCs w:val="22"/>
          <w:bdr w:val="none" w:sz="0" w:space="0" w:color="auto" w:frame="1"/>
        </w:rPr>
      </w:pPr>
      <w:r w:rsidRPr="00AF775B">
        <w:rPr>
          <w:rFonts w:ascii="Arial" w:hAnsi="Arial" w:cs="Arial"/>
          <w:color w:val="000000"/>
          <w:sz w:val="22"/>
          <w:szCs w:val="22"/>
          <w:bdr w:val="none" w:sz="0" w:space="0" w:color="auto" w:frame="1"/>
        </w:rPr>
        <w:t>Conforme a la interpretación de las normas generales del sistema de compras y contratación pública, la Ley 996 de 2005 establece dos (2) tipos de restricciones en materia de contratación, las cuales coinciden parcialmente para efectos de las elecciones del próximo año. En primer lugar, la del artículo 33 que opera solo respecto de las elecciones presidenciales, en virtud de la cual queda proscrita la contratación directa dentro de los cuatro (4) meses anteriores a la celebración de los comicios, salvo las excepciones previstas en la norma. Esto sin perjuicio de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7802C8F" w14:textId="014A41B4" w:rsidR="00E41D0D" w:rsidRPr="00AF775B" w:rsidRDefault="004A7D11" w:rsidP="00AF775B">
      <w:pPr>
        <w:spacing w:after="120" w:line="276" w:lineRule="auto"/>
        <w:jc w:val="both"/>
        <w:rPr>
          <w:rFonts w:ascii="Arial" w:hAnsi="Arial" w:cs="Arial"/>
          <w:bCs/>
          <w:color w:val="000000"/>
          <w:sz w:val="22"/>
        </w:rPr>
      </w:pPr>
      <w:r w:rsidRPr="00AF775B">
        <w:rPr>
          <w:rFonts w:ascii="Arial" w:hAnsi="Arial" w:cs="Arial"/>
          <w:sz w:val="22"/>
          <w:szCs w:val="22"/>
          <w:lang w:eastAsia="es-CO"/>
        </w:rPr>
        <w:tab/>
        <w:t xml:space="preserve">En este contexto, </w:t>
      </w:r>
      <w:r w:rsidR="00E41D0D" w:rsidRPr="00AF775B">
        <w:rPr>
          <w:rFonts w:ascii="Arial" w:eastAsia="Calibri" w:hAnsi="Arial" w:cs="Arial"/>
          <w:color w:val="000000" w:themeColor="text1"/>
          <w:sz w:val="22"/>
        </w:rPr>
        <w:t xml:space="preserve">para la restricción del artículo 33 de la </w:t>
      </w:r>
      <w:r w:rsidR="00E41D0D" w:rsidRPr="00AF775B">
        <w:rPr>
          <w:rFonts w:ascii="Arial" w:hAnsi="Arial" w:cs="Arial"/>
          <w:bCs/>
          <w:color w:val="000000"/>
          <w:sz w:val="22"/>
          <w:lang w:eastAsia="es-CO"/>
        </w:rPr>
        <w:t xml:space="preserve">Ley 996 de 2005 es necesario considerar que </w:t>
      </w:r>
      <w:r w:rsidR="00E41D0D" w:rsidRPr="00AF775B">
        <w:rPr>
          <w:rFonts w:ascii="Arial" w:eastAsia="Calibri" w:hAnsi="Arial" w:cs="Arial"/>
          <w:sz w:val="22"/>
          <w:lang w:val="es-ES"/>
        </w:rPr>
        <w:t>e</w:t>
      </w:r>
      <w:r w:rsidR="00E41D0D" w:rsidRPr="00AF775B">
        <w:rPr>
          <w:rFonts w:ascii="Arial" w:hAnsi="Arial" w:cs="Arial"/>
          <w:sz w:val="22"/>
        </w:rPr>
        <w:t>l artículo 800-1 del Estatuto Tributario</w:t>
      </w:r>
      <w:r w:rsidR="00E41D0D" w:rsidRPr="00AF775B">
        <w:rPr>
          <w:rFonts w:ascii="Arial" w:hAnsi="Arial" w:cs="Arial"/>
          <w:bCs/>
          <w:color w:val="000000"/>
          <w:sz w:val="22"/>
          <w:lang w:eastAsia="es-CO"/>
        </w:rPr>
        <w:t xml:space="preserve"> consagra un régimen jurídico que exceptúa la aplicación del Estatuto General de Contratación de la Administración Pública con el objetivo de flexibilizar el régimen contractual aplicable. </w:t>
      </w:r>
      <w:r w:rsidR="008174E1" w:rsidRPr="00AF775B">
        <w:rPr>
          <w:rFonts w:ascii="Arial" w:hAnsi="Arial" w:cs="Arial"/>
          <w:bCs/>
          <w:color w:val="000000"/>
          <w:sz w:val="22"/>
        </w:rPr>
        <w:t>En relación con ese punto, debe advertirse que la prohibición de contratación directa de la Ley de Garantías es independiente del régimen contractual aplicable, por lo que se extiende a los contratos celebrados para ejecutar obras por impuestos</w:t>
      </w:r>
      <w:r w:rsidR="00E41D0D" w:rsidRPr="00AF775B">
        <w:rPr>
          <w:rFonts w:ascii="Arial" w:hAnsi="Arial" w:cs="Arial"/>
          <w:bCs/>
          <w:color w:val="000000"/>
          <w:sz w:val="22"/>
          <w:lang w:eastAsia="es-CO"/>
        </w:rPr>
        <w:t xml:space="preserve">. A la luz de las normas sustantivas aplicables, las entidades autorizadas para suscribir estos convenios analizarán caso por caso si el ejecutor del proyecto se selecciona o no dentro de un régimen de competencia entre varios interesados. Si la respuesta es negativa, salvo que el proyecto esté relacionado con alguna de las excepciones previstas en el artículo 33 de la Ley 996 de 2005, aplicará la prohibición de contratación directa de la Ley de Garantías. </w:t>
      </w:r>
    </w:p>
    <w:p w14:paraId="590D42AD" w14:textId="3118F36F" w:rsidR="00E41D0D" w:rsidRPr="00AF775B" w:rsidRDefault="00E41D0D" w:rsidP="00AF775B">
      <w:pPr>
        <w:spacing w:before="120" w:after="120" w:line="276" w:lineRule="auto"/>
        <w:ind w:firstLine="709"/>
        <w:jc w:val="both"/>
        <w:rPr>
          <w:rFonts w:ascii="Arial" w:eastAsia="Calibri" w:hAnsi="Arial" w:cs="Arial"/>
          <w:color w:val="000000" w:themeColor="text1"/>
          <w:sz w:val="22"/>
        </w:rPr>
      </w:pPr>
      <w:r w:rsidRPr="00AF775B">
        <w:rPr>
          <w:rFonts w:ascii="Arial" w:hAnsi="Arial" w:cs="Arial"/>
          <w:bCs/>
          <w:color w:val="000000"/>
          <w:sz w:val="22"/>
          <w:lang w:eastAsia="es-CO"/>
        </w:rPr>
        <w:t xml:space="preserve">Por otra parte, respecto a </w:t>
      </w:r>
      <w:r w:rsidRPr="00AF775B">
        <w:rPr>
          <w:rFonts w:ascii="Arial" w:eastAsia="Calibri" w:hAnsi="Arial" w:cs="Arial"/>
          <w:color w:val="000000" w:themeColor="text1"/>
          <w:sz w:val="22"/>
        </w:rPr>
        <w:t xml:space="preserve">la restricción del artículo 38 de la </w:t>
      </w:r>
      <w:r w:rsidRPr="00AF775B">
        <w:rPr>
          <w:rFonts w:ascii="Arial" w:hAnsi="Arial" w:cs="Arial"/>
          <w:bCs/>
          <w:color w:val="000000"/>
          <w:sz w:val="22"/>
          <w:lang w:eastAsia="es-CO"/>
        </w:rPr>
        <w:t>Ley de Garantías, la calificación de si existe o no un contrato interadministrativo depende</w:t>
      </w:r>
      <w:r w:rsidR="00D606B0" w:rsidRPr="00AF775B">
        <w:rPr>
          <w:rFonts w:ascii="Arial" w:hAnsi="Arial" w:cs="Arial"/>
          <w:bCs/>
          <w:color w:val="000000"/>
          <w:sz w:val="22"/>
          <w:lang w:eastAsia="es-CO"/>
        </w:rPr>
        <w:t xml:space="preserve"> de</w:t>
      </w:r>
      <w:r w:rsidRPr="00AF775B">
        <w:rPr>
          <w:rFonts w:ascii="Arial" w:hAnsi="Arial" w:cs="Arial"/>
          <w:bCs/>
          <w:color w:val="000000"/>
          <w:sz w:val="22"/>
          <w:lang w:eastAsia="es-CO"/>
        </w:rPr>
        <w:t xml:space="preserve"> la naturaleza jurídica de quien funja como contribuyente, es decir, del sujeto pasivo del </w:t>
      </w:r>
      <w:r w:rsidRPr="00AF775B">
        <w:rPr>
          <w:rFonts w:ascii="Arial" w:hAnsi="Arial" w:cs="Arial"/>
          <w:bCs/>
          <w:sz w:val="22"/>
          <w:szCs w:val="22"/>
          <w:lang w:val="es-MX" w:eastAsia="es-CO"/>
        </w:rPr>
        <w:t xml:space="preserve">impuesto sobre la renta y complementarios, para efectos del régimen especial previsto en el </w:t>
      </w:r>
      <w:r w:rsidRPr="00AF775B">
        <w:rPr>
          <w:rFonts w:ascii="Arial" w:hAnsi="Arial" w:cs="Arial"/>
          <w:sz w:val="22"/>
        </w:rPr>
        <w:t xml:space="preserve">artículo 800-1 del Estatuto Tributario. En efecto, si el contribuyente es una persona natural o una persona jurídica de derecho privado, </w:t>
      </w:r>
      <w:r w:rsidRPr="00AF775B">
        <w:rPr>
          <w:rFonts w:ascii="Arial" w:eastAsia="Calibri" w:hAnsi="Arial" w:cs="Arial"/>
          <w:color w:val="000000" w:themeColor="text1"/>
          <w:sz w:val="22"/>
        </w:rPr>
        <w:t>los convenios suscritos con las entidades competentes para la ejecución de obras por impuestos no se calificarían como contratos interadministrativos</w:t>
      </w:r>
      <w:r w:rsidR="00D606B0" w:rsidRPr="00AF775B">
        <w:rPr>
          <w:rFonts w:ascii="Arial" w:eastAsia="Calibri" w:hAnsi="Arial" w:cs="Arial"/>
          <w:color w:val="000000" w:themeColor="text1"/>
          <w:sz w:val="22"/>
        </w:rPr>
        <w:t xml:space="preserve">, </w:t>
      </w:r>
      <w:proofErr w:type="gramStart"/>
      <w:r w:rsidR="00D606B0" w:rsidRPr="00AF775B">
        <w:rPr>
          <w:rFonts w:ascii="Arial" w:eastAsia="Calibri" w:hAnsi="Arial" w:cs="Arial"/>
          <w:color w:val="000000" w:themeColor="text1"/>
          <w:sz w:val="22"/>
        </w:rPr>
        <w:t>y</w:t>
      </w:r>
      <w:proofErr w:type="gramEnd"/>
      <w:r w:rsidR="00D606B0" w:rsidRPr="00AF775B">
        <w:rPr>
          <w:rFonts w:ascii="Arial" w:eastAsia="Calibri" w:hAnsi="Arial" w:cs="Arial"/>
          <w:color w:val="000000" w:themeColor="text1"/>
          <w:sz w:val="22"/>
        </w:rPr>
        <w:t xml:space="preserve"> por ende, no les aplicaría la prohibición contenida en el artículo 38 de la Ley de Gara</w:t>
      </w:r>
      <w:r w:rsidR="00234292" w:rsidRPr="00AF775B">
        <w:rPr>
          <w:rFonts w:ascii="Arial" w:eastAsia="Calibri" w:hAnsi="Arial" w:cs="Arial"/>
          <w:color w:val="000000" w:themeColor="text1"/>
          <w:sz w:val="22"/>
        </w:rPr>
        <w:t>n</w:t>
      </w:r>
      <w:r w:rsidR="00D606B0" w:rsidRPr="00AF775B">
        <w:rPr>
          <w:rFonts w:ascii="Arial" w:eastAsia="Calibri" w:hAnsi="Arial" w:cs="Arial"/>
          <w:color w:val="000000" w:themeColor="text1"/>
          <w:sz w:val="22"/>
        </w:rPr>
        <w:t>tía</w:t>
      </w:r>
      <w:r w:rsidR="00234292" w:rsidRPr="00AF775B">
        <w:rPr>
          <w:rFonts w:ascii="Arial" w:eastAsia="Calibri" w:hAnsi="Arial" w:cs="Arial"/>
          <w:color w:val="000000" w:themeColor="text1"/>
          <w:sz w:val="22"/>
        </w:rPr>
        <w:t>s</w:t>
      </w:r>
      <w:r w:rsidR="00D606B0" w:rsidRPr="00AF775B">
        <w:rPr>
          <w:rFonts w:ascii="Arial" w:eastAsia="Calibri" w:hAnsi="Arial" w:cs="Arial"/>
          <w:color w:val="000000" w:themeColor="text1"/>
          <w:sz w:val="22"/>
        </w:rPr>
        <w:t>.</w:t>
      </w:r>
      <w:r w:rsidRPr="00AF775B">
        <w:rPr>
          <w:rFonts w:ascii="Arial" w:eastAsia="Calibri" w:hAnsi="Arial" w:cs="Arial"/>
          <w:color w:val="000000" w:themeColor="text1"/>
          <w:sz w:val="22"/>
        </w:rPr>
        <w:t xml:space="preserve"> </w:t>
      </w:r>
    </w:p>
    <w:p w14:paraId="6CC3C39B" w14:textId="55D61EA8" w:rsidR="00E41D0D" w:rsidRPr="00AF775B" w:rsidRDefault="00E41D0D" w:rsidP="00AF775B">
      <w:pPr>
        <w:spacing w:before="120" w:after="120" w:line="276" w:lineRule="auto"/>
        <w:ind w:firstLine="709"/>
        <w:jc w:val="both"/>
        <w:rPr>
          <w:rFonts w:ascii="Arial" w:hAnsi="Arial" w:cs="Arial"/>
          <w:bCs/>
          <w:color w:val="000000"/>
          <w:sz w:val="22"/>
          <w:lang w:eastAsia="es-CO"/>
        </w:rPr>
      </w:pPr>
      <w:r w:rsidRPr="00AF775B">
        <w:rPr>
          <w:rFonts w:ascii="Arial" w:eastAsia="Calibri" w:hAnsi="Arial" w:cs="Arial"/>
          <w:color w:val="000000" w:themeColor="text1"/>
          <w:sz w:val="22"/>
        </w:rPr>
        <w:t xml:space="preserve">Lo contrario ocurre si el contribuyente del impuesto de renta y complementarios es un sujeto de derecho público, pues en estos casos –a diferencia de la hipótesis anterior– la ejecución de obras por impuestos se realizará en el marco de un contrato interadministrativo, el cual se define por el criterio orgánico conforme a la explicación precedente. En este caso, si el sujeto pasivo del mencionado tributo es alguna de las entidades mencionadas en el artículo 38 de la Ley </w:t>
      </w:r>
      <w:r w:rsidRPr="00AF775B">
        <w:rPr>
          <w:rFonts w:ascii="Arial" w:hAnsi="Arial" w:cs="Arial"/>
          <w:bCs/>
          <w:color w:val="000000"/>
          <w:sz w:val="22"/>
          <w:lang w:eastAsia="es-CO"/>
        </w:rPr>
        <w:t xml:space="preserve">996 de 2005, como, por ejemplo, las </w:t>
      </w:r>
      <w:r w:rsidRPr="00AF775B">
        <w:rPr>
          <w:rFonts w:ascii="Arial" w:hAnsi="Arial" w:cs="Arial"/>
          <w:bCs/>
          <w:color w:val="000000"/>
          <w:sz w:val="22"/>
          <w:lang w:eastAsia="es-CO"/>
        </w:rPr>
        <w:lastRenderedPageBreak/>
        <w:t>empresas industriales y comerciales del estado o las sociedades de economía mixta del orden municipal, departamental o distrital, aplicará la restricción prevista en la Ley de Garantías.</w:t>
      </w:r>
    </w:p>
    <w:p w14:paraId="1262E575" w14:textId="7D1AD37B" w:rsidR="00601BFE" w:rsidRPr="00AF775B" w:rsidRDefault="00601BFE" w:rsidP="00AF775B">
      <w:pPr>
        <w:spacing w:line="276" w:lineRule="auto"/>
        <w:ind w:firstLine="708"/>
        <w:jc w:val="both"/>
        <w:rPr>
          <w:rFonts w:ascii="Arial" w:hAnsi="Arial" w:cs="Arial"/>
          <w:color w:val="000000"/>
          <w:sz w:val="22"/>
          <w:szCs w:val="22"/>
          <w:bdr w:val="none" w:sz="0" w:space="0" w:color="auto" w:frame="1"/>
        </w:rPr>
      </w:pPr>
      <w:r w:rsidRPr="00AF775B">
        <w:rPr>
          <w:rFonts w:ascii="Arial" w:hAnsi="Arial" w:cs="Arial"/>
          <w:color w:val="000000"/>
          <w:sz w:val="22"/>
          <w:szCs w:val="22"/>
          <w:bdr w:val="none" w:sz="0" w:space="0" w:color="auto" w:frame="1"/>
        </w:rPr>
        <w:t xml:space="preserve">Por lo demás, estas prohibiciones tampoco son excluyentes, lo que permite concluir que en el período preelectoral para elección de </w:t>
      </w:r>
      <w:proofErr w:type="gramStart"/>
      <w:r w:rsidRPr="00AF775B">
        <w:rPr>
          <w:rFonts w:ascii="Arial" w:hAnsi="Arial" w:cs="Arial"/>
          <w:color w:val="000000"/>
          <w:sz w:val="22"/>
          <w:szCs w:val="22"/>
          <w:bdr w:val="none" w:sz="0" w:space="0" w:color="auto" w:frame="1"/>
        </w:rPr>
        <w:t>Presidente</w:t>
      </w:r>
      <w:proofErr w:type="gramEnd"/>
      <w:r w:rsidRPr="00AF775B">
        <w:rPr>
          <w:rFonts w:ascii="Arial" w:hAnsi="Arial" w:cs="Arial"/>
          <w:color w:val="000000"/>
          <w:sz w:val="22"/>
          <w:szCs w:val="22"/>
          <w:bdr w:val="none" w:sz="0" w:space="0" w:color="auto" w:frame="1"/>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AF775B">
        <w:rPr>
          <w:rFonts w:ascii="Arial" w:hAnsi="Arial" w:cs="Arial"/>
          <w:color w:val="000000"/>
          <w:sz w:val="22"/>
          <w:szCs w:val="22"/>
          <w:bdr w:val="none" w:sz="0" w:space="0" w:color="auto" w:frame="1"/>
        </w:rPr>
        <w:t>Presidente</w:t>
      </w:r>
      <w:proofErr w:type="gramEnd"/>
      <w:r w:rsidRPr="00AF775B">
        <w:rPr>
          <w:rFonts w:ascii="Arial" w:hAnsi="Arial" w:cs="Arial"/>
          <w:color w:val="000000"/>
          <w:sz w:val="22"/>
          <w:szCs w:val="22"/>
          <w:bdr w:val="none" w:sz="0" w:space="0" w:color="auto" w:frame="1"/>
        </w:rPr>
        <w:t xml:space="preserve"> de la República, las autoridades allí mencionadas sólo deben aplicar las restricciones contenidas en el parágrafo del artículo 38.</w:t>
      </w:r>
    </w:p>
    <w:p w14:paraId="7B40DBE9" w14:textId="7E06FA0B" w:rsidR="00ED2998" w:rsidRDefault="00ED2998" w:rsidP="00AF775B">
      <w:pPr>
        <w:tabs>
          <w:tab w:val="left" w:pos="426"/>
        </w:tabs>
        <w:spacing w:after="120" w:line="276" w:lineRule="auto"/>
        <w:jc w:val="both"/>
        <w:rPr>
          <w:rFonts w:ascii="Arial" w:hAnsi="Arial" w:cs="Arial"/>
          <w:color w:val="000000" w:themeColor="text1"/>
          <w:sz w:val="22"/>
          <w:lang w:val="es-ES_tradnl"/>
        </w:rPr>
      </w:pPr>
    </w:p>
    <w:p w14:paraId="7B2C921D" w14:textId="0F779FF9" w:rsidR="00DD5B04" w:rsidRPr="004E4581" w:rsidRDefault="00DD5B04" w:rsidP="00861F5C">
      <w:pPr>
        <w:spacing w:line="276" w:lineRule="auto"/>
        <w:jc w:val="both"/>
        <w:rPr>
          <w:rFonts w:ascii="Arial" w:hAnsi="Arial" w:cs="Arial"/>
          <w:color w:val="000000" w:themeColor="text1"/>
          <w:sz w:val="22"/>
          <w:lang w:val="es-ES_tradnl"/>
        </w:rPr>
      </w:pPr>
      <w:r w:rsidRPr="004E4581">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151B0829" w:rsidR="00DD5B04" w:rsidRPr="004E4581"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E4581">
        <w:rPr>
          <w:rFonts w:ascii="Arial" w:hAnsi="Arial" w:cs="Arial"/>
          <w:color w:val="000000" w:themeColor="text1"/>
          <w:sz w:val="22"/>
          <w:szCs w:val="22"/>
          <w:lang w:val="es-ES_tradnl"/>
        </w:rPr>
        <w:t>Atentamente,</w:t>
      </w:r>
    </w:p>
    <w:p w14:paraId="4914DA25" w14:textId="77777777" w:rsidR="00A80849" w:rsidRPr="004E4581" w:rsidRDefault="00A80849"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CBAE239" w14:textId="433CD3A7" w:rsidR="00425C43" w:rsidRPr="004E4581" w:rsidRDefault="0027604A" w:rsidP="0027604A">
      <w:pPr>
        <w:pStyle w:val="NormalWeb"/>
        <w:spacing w:before="0" w:beforeAutospacing="0" w:after="0" w:afterAutospacing="0" w:line="276" w:lineRule="auto"/>
        <w:jc w:val="center"/>
        <w:rPr>
          <w:color w:val="000000" w:themeColor="text1"/>
          <w:lang w:val="es-ES_tradnl"/>
        </w:rPr>
      </w:pPr>
      <w:r>
        <w:rPr>
          <w:rFonts w:ascii="Arial" w:hAnsi="Arial" w:cs="Arial"/>
          <w:noProof/>
          <w:lang w:val="en-US"/>
        </w:rPr>
        <w:drawing>
          <wp:inline distT="0" distB="0" distL="0" distR="0" wp14:anchorId="0F907A06" wp14:editId="34A5EF2E">
            <wp:extent cx="2273831" cy="1024890"/>
            <wp:effectExtent l="0" t="0" r="0" b="381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82670" cy="1028874"/>
                    </a:xfrm>
                    <a:prstGeom prst="rect">
                      <a:avLst/>
                    </a:prstGeom>
                  </pic:spPr>
                </pic:pic>
              </a:graphicData>
            </a:graphic>
          </wp:inline>
        </w:drawing>
      </w:r>
    </w:p>
    <w:p w14:paraId="49730030" w14:textId="217D35F3" w:rsidR="00DD5B04" w:rsidRPr="004E4581"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E4581" w:rsidRPr="004E4581" w14:paraId="0C7DC5F7" w14:textId="77777777" w:rsidTr="008F4163">
        <w:trPr>
          <w:trHeight w:val="315"/>
        </w:trPr>
        <w:tc>
          <w:tcPr>
            <w:tcW w:w="812" w:type="dxa"/>
            <w:vAlign w:val="center"/>
            <w:hideMark/>
          </w:tcPr>
          <w:p w14:paraId="5BDB1AC9"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24E861" w:rsidR="00DD5B04" w:rsidRPr="004E4581" w:rsidRDefault="000254DD"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José Luis Sánchez Cardona</w:t>
            </w:r>
            <w:r w:rsidR="005E38E9" w:rsidRPr="004E4581">
              <w:rPr>
                <w:rFonts w:ascii="Arial" w:hAnsi="Arial" w:cs="Arial"/>
                <w:color w:val="000000" w:themeColor="text1"/>
                <w:sz w:val="16"/>
                <w:szCs w:val="16"/>
                <w:lang w:val="es-ES_tradnl" w:eastAsia="es-ES"/>
              </w:rPr>
              <w:t xml:space="preserve"> </w:t>
            </w:r>
          </w:p>
          <w:p w14:paraId="240C71FD" w14:textId="31312C95"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Contratista</w:t>
            </w:r>
            <w:r w:rsidR="00FF0050" w:rsidRPr="004E4581">
              <w:rPr>
                <w:rFonts w:ascii="Arial" w:hAnsi="Arial" w:cs="Arial"/>
                <w:color w:val="000000" w:themeColor="text1"/>
                <w:sz w:val="16"/>
                <w:szCs w:val="16"/>
                <w:lang w:val="es-ES_tradnl" w:eastAsia="es-ES"/>
              </w:rPr>
              <w:t xml:space="preserve"> de la </w:t>
            </w:r>
            <w:r w:rsidRPr="004E4581">
              <w:rPr>
                <w:rFonts w:ascii="Arial" w:hAnsi="Arial" w:cs="Arial"/>
                <w:color w:val="000000" w:themeColor="text1"/>
                <w:sz w:val="16"/>
                <w:szCs w:val="16"/>
                <w:lang w:val="es-ES_tradnl" w:eastAsia="es-ES"/>
              </w:rPr>
              <w:t>Subdirección de Gestión Contractual</w:t>
            </w:r>
          </w:p>
        </w:tc>
      </w:tr>
      <w:tr w:rsidR="004E4581" w:rsidRPr="004E4581" w14:paraId="2F8FD650" w14:textId="77777777" w:rsidTr="008F4163">
        <w:trPr>
          <w:trHeight w:val="330"/>
        </w:trPr>
        <w:tc>
          <w:tcPr>
            <w:tcW w:w="812" w:type="dxa"/>
            <w:vAlign w:val="center"/>
            <w:hideMark/>
          </w:tcPr>
          <w:p w14:paraId="50203A0B" w14:textId="77777777"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982CF7" w14:textId="77777777" w:rsidR="00677C67" w:rsidRDefault="00677C67" w:rsidP="00C05A61">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Juan David Montoya Penagos</w:t>
            </w:r>
          </w:p>
          <w:p w14:paraId="130B3228" w14:textId="0941E26D" w:rsidR="002B08BA" w:rsidRPr="004E4581" w:rsidRDefault="005E38E9" w:rsidP="00C05A61">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G</w:t>
            </w:r>
            <w:r w:rsidR="003D281F" w:rsidRPr="004E4581">
              <w:rPr>
                <w:rFonts w:ascii="Arial" w:hAnsi="Arial" w:cs="Arial"/>
                <w:color w:val="000000" w:themeColor="text1"/>
                <w:sz w:val="16"/>
                <w:szCs w:val="16"/>
                <w:lang w:val="es-ES_tradnl" w:eastAsia="es-ES"/>
              </w:rPr>
              <w:t xml:space="preserve">estor </w:t>
            </w:r>
            <w:r w:rsidR="00015642" w:rsidRPr="004E4581">
              <w:rPr>
                <w:rFonts w:ascii="Arial" w:hAnsi="Arial" w:cs="Arial"/>
                <w:color w:val="000000" w:themeColor="text1"/>
                <w:sz w:val="16"/>
                <w:szCs w:val="16"/>
                <w:lang w:val="es-ES_tradnl" w:eastAsia="es-ES"/>
              </w:rPr>
              <w:t>T1-</w:t>
            </w:r>
            <w:r w:rsidR="003D281F" w:rsidRPr="004E4581">
              <w:rPr>
                <w:rFonts w:ascii="Arial" w:hAnsi="Arial" w:cs="Arial"/>
                <w:color w:val="000000" w:themeColor="text1"/>
                <w:sz w:val="16"/>
                <w:szCs w:val="16"/>
                <w:lang w:val="es-ES_tradnl" w:eastAsia="es-ES"/>
              </w:rPr>
              <w:t xml:space="preserve">15 </w:t>
            </w:r>
            <w:r w:rsidR="00015642" w:rsidRPr="004E4581">
              <w:rPr>
                <w:rFonts w:ascii="Arial" w:hAnsi="Arial" w:cs="Arial"/>
                <w:color w:val="000000" w:themeColor="text1"/>
                <w:sz w:val="16"/>
                <w:szCs w:val="16"/>
                <w:lang w:val="es-ES_tradnl" w:eastAsia="es-ES"/>
              </w:rPr>
              <w:t xml:space="preserve">de la </w:t>
            </w:r>
            <w:r w:rsidR="003D281F" w:rsidRPr="004E4581">
              <w:rPr>
                <w:rFonts w:ascii="Arial" w:hAnsi="Arial" w:cs="Arial"/>
                <w:color w:val="000000" w:themeColor="text1"/>
                <w:sz w:val="16"/>
                <w:szCs w:val="16"/>
                <w:lang w:val="es-ES_tradnl" w:eastAsia="es-ES"/>
              </w:rPr>
              <w:t xml:space="preserve">Subdirección de Gestión Contractual </w:t>
            </w:r>
            <w:r w:rsidR="00015642" w:rsidRPr="004E4581">
              <w:rPr>
                <w:rFonts w:ascii="Arial" w:hAnsi="Arial" w:cs="Arial"/>
                <w:color w:val="000000" w:themeColor="text1"/>
                <w:sz w:val="16"/>
                <w:szCs w:val="16"/>
                <w:lang w:val="es-ES_tradnl" w:eastAsia="es-ES"/>
              </w:rPr>
              <w:t xml:space="preserve"> </w:t>
            </w:r>
          </w:p>
        </w:tc>
      </w:tr>
      <w:tr w:rsidR="00DD5B04" w:rsidRPr="004E4581" w14:paraId="0FCBCA4A" w14:textId="77777777" w:rsidTr="008F4163">
        <w:trPr>
          <w:trHeight w:val="300"/>
        </w:trPr>
        <w:tc>
          <w:tcPr>
            <w:tcW w:w="812" w:type="dxa"/>
            <w:vAlign w:val="center"/>
            <w:hideMark/>
          </w:tcPr>
          <w:p w14:paraId="3C1D943A" w14:textId="29B4D648"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4E4581" w:rsidRDefault="00C05A61"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 xml:space="preserve">Jorge </w:t>
            </w:r>
            <w:r w:rsidR="00647A36" w:rsidRPr="004E4581">
              <w:rPr>
                <w:rFonts w:ascii="Arial" w:hAnsi="Arial" w:cs="Arial"/>
                <w:color w:val="000000" w:themeColor="text1"/>
                <w:sz w:val="16"/>
                <w:szCs w:val="16"/>
                <w:lang w:val="es-ES_tradnl" w:eastAsia="es-ES"/>
              </w:rPr>
              <w:t xml:space="preserve">Augusto </w:t>
            </w:r>
            <w:r w:rsidRPr="004E4581">
              <w:rPr>
                <w:rFonts w:ascii="Arial" w:hAnsi="Arial" w:cs="Arial"/>
                <w:color w:val="000000" w:themeColor="text1"/>
                <w:sz w:val="16"/>
                <w:szCs w:val="16"/>
                <w:lang w:val="es-ES_tradnl" w:eastAsia="es-ES"/>
              </w:rPr>
              <w:t>Tirado Navarro</w:t>
            </w:r>
          </w:p>
          <w:p w14:paraId="1ADC483B" w14:textId="384FAF72" w:rsidR="00DD5B04" w:rsidRPr="004E4581" w:rsidRDefault="00DD5B04" w:rsidP="00DF76A2">
            <w:pPr>
              <w:jc w:val="both"/>
              <w:rPr>
                <w:rFonts w:ascii="Arial" w:hAnsi="Arial" w:cs="Arial"/>
                <w:color w:val="000000" w:themeColor="text1"/>
                <w:sz w:val="16"/>
                <w:szCs w:val="16"/>
                <w:lang w:val="es-ES_tradnl" w:eastAsia="es-ES"/>
              </w:rPr>
            </w:pPr>
            <w:r w:rsidRPr="004E4581">
              <w:rPr>
                <w:rFonts w:ascii="Arial" w:hAnsi="Arial" w:cs="Arial"/>
                <w:color w:val="000000" w:themeColor="text1"/>
                <w:sz w:val="16"/>
                <w:szCs w:val="16"/>
                <w:lang w:val="es-ES_tradnl" w:eastAsia="es-ES"/>
              </w:rPr>
              <w:t>Subdirector de Gestión Contractual</w:t>
            </w:r>
            <w:r w:rsidR="003D369D" w:rsidRPr="004E4581">
              <w:rPr>
                <w:rFonts w:ascii="Arial" w:hAnsi="Arial" w:cs="Arial"/>
                <w:color w:val="000000" w:themeColor="text1"/>
                <w:sz w:val="16"/>
                <w:szCs w:val="16"/>
                <w:lang w:val="es-ES_tradnl" w:eastAsia="es-ES"/>
              </w:rPr>
              <w:t xml:space="preserve"> ANCP – CCE</w:t>
            </w:r>
          </w:p>
        </w:tc>
      </w:tr>
      <w:bookmarkEnd w:id="10"/>
    </w:tbl>
    <w:p w14:paraId="75F18CB2" w14:textId="2AF73C9D" w:rsidR="00630845" w:rsidRPr="004E4581" w:rsidRDefault="00630845" w:rsidP="00630845">
      <w:pPr>
        <w:rPr>
          <w:rFonts w:ascii="Arial" w:hAnsi="Arial" w:cs="Arial"/>
          <w:color w:val="000000" w:themeColor="text1"/>
          <w:lang w:val="es-ES_tradnl"/>
        </w:rPr>
      </w:pPr>
    </w:p>
    <w:p w14:paraId="5E9C37DB" w14:textId="5057876E" w:rsidR="00746E08" w:rsidRPr="004E4581" w:rsidRDefault="00630845" w:rsidP="00322342">
      <w:pPr>
        <w:tabs>
          <w:tab w:val="left" w:pos="3795"/>
        </w:tabs>
        <w:rPr>
          <w:rFonts w:ascii="Arial" w:hAnsi="Arial" w:cs="Arial"/>
          <w:color w:val="000000" w:themeColor="text1"/>
          <w:lang w:val="es-ES_tradnl"/>
        </w:rPr>
      </w:pPr>
      <w:r w:rsidRPr="004E4581">
        <w:rPr>
          <w:rFonts w:ascii="Arial" w:hAnsi="Arial" w:cs="Arial"/>
          <w:color w:val="000000" w:themeColor="text1"/>
          <w:lang w:val="es-ES_tradnl"/>
        </w:rPr>
        <w:tab/>
      </w:r>
    </w:p>
    <w:sectPr w:rsidR="00746E08" w:rsidRPr="004E4581"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9DDC" w14:textId="77777777" w:rsidR="002E7B3A" w:rsidRDefault="002E7B3A">
      <w:r>
        <w:separator/>
      </w:r>
    </w:p>
  </w:endnote>
  <w:endnote w:type="continuationSeparator" w:id="0">
    <w:p w14:paraId="14A41122" w14:textId="77777777" w:rsidR="002E7B3A" w:rsidRDefault="002E7B3A">
      <w:r>
        <w:continuationSeparator/>
      </w:r>
    </w:p>
  </w:endnote>
  <w:endnote w:type="continuationNotice" w:id="1">
    <w:p w14:paraId="1B291769" w14:textId="77777777" w:rsidR="002E7B3A" w:rsidRDefault="002E7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E807B5" w:rsidRDefault="00E807B5" w:rsidP="00322937">
    <w:pPr>
      <w:pStyle w:val="Sinespaciado"/>
      <w:jc w:val="right"/>
      <w:rPr>
        <w:rFonts w:ascii="Arial" w:hAnsi="Arial" w:cs="Arial"/>
        <w:sz w:val="18"/>
        <w:szCs w:val="18"/>
      </w:rPr>
    </w:pPr>
  </w:p>
  <w:p w14:paraId="7A3785F3" w14:textId="4E929380" w:rsidR="00E807B5" w:rsidRPr="008217B7" w:rsidRDefault="00E807B5"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F5964">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F5964">
      <w:rPr>
        <w:rFonts w:ascii="Arial" w:hAnsi="Arial" w:cs="Arial"/>
        <w:b/>
        <w:bCs/>
        <w:noProof/>
        <w:color w:val="7F7F7F" w:themeColor="text1" w:themeTint="80"/>
        <w:sz w:val="16"/>
        <w:szCs w:val="16"/>
      </w:rPr>
      <w:t>27</w:t>
    </w:r>
    <w:r w:rsidRPr="00084B97">
      <w:rPr>
        <w:rFonts w:ascii="Arial" w:hAnsi="Arial" w:cs="Arial"/>
        <w:b/>
        <w:bCs/>
        <w:color w:val="7F7F7F" w:themeColor="text1" w:themeTint="80"/>
        <w:sz w:val="16"/>
        <w:szCs w:val="16"/>
      </w:rPr>
      <w:fldChar w:fldCharType="end"/>
    </w:r>
  </w:p>
  <w:p w14:paraId="48FC6A04" w14:textId="5FD1A7C9" w:rsidR="00E807B5" w:rsidRDefault="00E807B5"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807B5" w:rsidRDefault="00E807B5" w:rsidP="007B0854">
    <w:pPr>
      <w:pStyle w:val="Piedepgina"/>
      <w:jc w:val="center"/>
      <w:rPr>
        <w:lang w:val="es-ES"/>
      </w:rPr>
    </w:pPr>
  </w:p>
  <w:p w14:paraId="6C0EFC49" w14:textId="77777777" w:rsidR="00E807B5" w:rsidRPr="007B0854" w:rsidRDefault="00E807B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AA02" w14:textId="77777777" w:rsidR="002E7B3A" w:rsidRDefault="002E7B3A">
      <w:r>
        <w:separator/>
      </w:r>
    </w:p>
  </w:footnote>
  <w:footnote w:type="continuationSeparator" w:id="0">
    <w:p w14:paraId="75C6E5EF" w14:textId="77777777" w:rsidR="002E7B3A" w:rsidRDefault="002E7B3A">
      <w:r>
        <w:continuationSeparator/>
      </w:r>
    </w:p>
  </w:footnote>
  <w:footnote w:type="continuationNotice" w:id="1">
    <w:p w14:paraId="63BA72EE" w14:textId="77777777" w:rsidR="002E7B3A" w:rsidRDefault="002E7B3A"/>
  </w:footnote>
  <w:footnote w:id="2">
    <w:p w14:paraId="2C70334A" w14:textId="77777777" w:rsidR="003C408D" w:rsidRPr="00EC20D7" w:rsidRDefault="003C408D" w:rsidP="003C408D">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676C5853" w14:textId="77777777" w:rsidR="003C408D" w:rsidRDefault="003C408D" w:rsidP="003C408D">
      <w:pPr>
        <w:pStyle w:val="Textonotapie"/>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14:paraId="42855C11" w14:textId="77777777" w:rsidR="003C408D" w:rsidRPr="00EC20D7" w:rsidRDefault="003C408D" w:rsidP="003C408D">
      <w:pPr>
        <w:pStyle w:val="Textonotapie"/>
        <w:ind w:firstLine="709"/>
        <w:jc w:val="both"/>
        <w:rPr>
          <w:rFonts w:ascii="Arial" w:hAnsi="Arial" w:cs="Arial"/>
          <w:sz w:val="19"/>
          <w:szCs w:val="19"/>
        </w:rPr>
      </w:pPr>
    </w:p>
  </w:footnote>
  <w:footnote w:id="3">
    <w:p w14:paraId="0C67D542" w14:textId="20A54F7F" w:rsidR="003C408D" w:rsidRPr="00AF775B" w:rsidRDefault="003C408D" w:rsidP="00611F22">
      <w:pPr>
        <w:pStyle w:val="Textonotapie"/>
        <w:ind w:firstLine="709"/>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Gaceta del Congreso de la República No. 71 del 2005.</w:t>
      </w:r>
    </w:p>
  </w:footnote>
  <w:footnote w:id="4">
    <w:p w14:paraId="066CFC21" w14:textId="77777777" w:rsidR="003C408D" w:rsidRPr="00EC20D7" w:rsidRDefault="003C408D" w:rsidP="003C408D">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5">
    <w:p w14:paraId="1E11257A" w14:textId="77777777" w:rsidR="003C408D" w:rsidRPr="00EC20D7" w:rsidRDefault="003C408D" w:rsidP="003C408D">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12D78899" w14:textId="77777777" w:rsidR="003C408D" w:rsidRPr="00EC20D7" w:rsidRDefault="003C408D" w:rsidP="003C408D">
      <w:pPr>
        <w:pStyle w:val="Textonotapie"/>
        <w:ind w:firstLine="709"/>
        <w:jc w:val="both"/>
        <w:rPr>
          <w:rFonts w:ascii="Arial" w:hAnsi="Arial" w:cs="Arial"/>
          <w:sz w:val="19"/>
          <w:szCs w:val="19"/>
        </w:rPr>
      </w:pPr>
    </w:p>
  </w:footnote>
  <w:footnote w:id="6">
    <w:p w14:paraId="71A00FCC" w14:textId="77777777" w:rsidR="003C408D" w:rsidRPr="00EC20D7" w:rsidRDefault="003C408D" w:rsidP="003C408D">
      <w:pPr>
        <w:pStyle w:val="Textonotapie"/>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248B0A7C" w14:textId="77777777" w:rsidR="003C408D" w:rsidRPr="00EC20D7" w:rsidRDefault="003C408D" w:rsidP="003C408D">
      <w:pPr>
        <w:pStyle w:val="Textonotapie"/>
        <w:ind w:firstLine="709"/>
        <w:jc w:val="both"/>
        <w:rPr>
          <w:rFonts w:ascii="Arial" w:hAnsi="Arial" w:cs="Arial"/>
          <w:sz w:val="19"/>
          <w:szCs w:val="19"/>
          <w:lang w:val="es-CO"/>
        </w:rPr>
      </w:pPr>
    </w:p>
  </w:footnote>
  <w:footnote w:id="7">
    <w:p w14:paraId="69925324" w14:textId="745F8622" w:rsidR="003C408D" w:rsidRPr="00EC20D7" w:rsidRDefault="003C408D" w:rsidP="00611F22">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Namén Vargas.  </w:t>
      </w:r>
    </w:p>
  </w:footnote>
  <w:footnote w:id="8">
    <w:p w14:paraId="2D8C7428" w14:textId="77777777" w:rsidR="003C408D" w:rsidRPr="00EC20D7" w:rsidRDefault="003C408D" w:rsidP="003C408D">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0050E17A" w14:textId="77777777" w:rsidR="003C408D" w:rsidRDefault="003C408D" w:rsidP="003C408D">
      <w:pPr>
        <w:ind w:firstLine="709"/>
        <w:jc w:val="both"/>
        <w:rPr>
          <w:rFonts w:ascii="Arial" w:hAnsi="Arial" w:cs="Arial"/>
          <w:sz w:val="19"/>
          <w:szCs w:val="19"/>
        </w:rPr>
      </w:pPr>
      <w:r w:rsidRPr="00EC20D7">
        <w:rPr>
          <w:rFonts w:ascii="Arial" w:eastAsia="Calibri" w:hAnsi="Arial"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eastAsia="Calibri" w:hAnsi="Arial" w:cs="Arial"/>
          <w:bCs/>
          <w:color w:val="000000"/>
          <w:sz w:val="19"/>
          <w:szCs w:val="19"/>
        </w:rPr>
        <w:t>»</w:t>
      </w:r>
      <w:r w:rsidRPr="00EC20D7">
        <w:rPr>
          <w:rFonts w:ascii="Arial" w:hAnsi="Arial" w:cs="Arial"/>
          <w:sz w:val="19"/>
          <w:szCs w:val="19"/>
        </w:rPr>
        <w:t>.</w:t>
      </w:r>
    </w:p>
    <w:p w14:paraId="39E6A89D" w14:textId="77777777" w:rsidR="003C408D" w:rsidRPr="00EC20D7" w:rsidRDefault="003C408D" w:rsidP="003C408D">
      <w:pPr>
        <w:ind w:firstLine="709"/>
        <w:jc w:val="both"/>
        <w:rPr>
          <w:rFonts w:ascii="Arial" w:hAnsi="Arial" w:cs="Arial"/>
          <w:sz w:val="19"/>
          <w:szCs w:val="19"/>
        </w:rPr>
      </w:pPr>
    </w:p>
  </w:footnote>
  <w:footnote w:id="9">
    <w:p w14:paraId="60DF57B7" w14:textId="77777777" w:rsidR="003C408D" w:rsidRPr="00EC20D7" w:rsidRDefault="003C408D" w:rsidP="003C408D">
      <w:pPr>
        <w:pStyle w:val="NormalWeb"/>
        <w:spacing w:before="0" w:beforeAutospacing="0" w:after="0" w:afterAutospacing="0"/>
        <w:ind w:firstLine="709"/>
        <w:jc w:val="both"/>
        <w:rPr>
          <w:rFonts w:ascii="Arial" w:hAnsi="Arial" w:cs="Arial"/>
          <w:sz w:val="19"/>
          <w:szCs w:val="19"/>
          <w:lang w:val="es-MX"/>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eastAsia="Calibri" w:hAnsi="Arial" w:cs="Arial"/>
          <w:bCs/>
          <w:color w:val="000000"/>
          <w:sz w:val="19"/>
          <w:szCs w:val="19"/>
        </w:rPr>
        <w:t>«</w:t>
      </w:r>
      <w:r w:rsidRPr="00EC20D7">
        <w:rPr>
          <w:rFonts w:ascii="Arial" w:hAnsi="Arial" w:cs="Arial"/>
          <w:sz w:val="19"/>
          <w:szCs w:val="19"/>
          <w:lang w:val="es-MX"/>
        </w:rPr>
        <w:t>Artículo 38. Prohibiciones para los servidores públicos. A los empleados del Estado les está prohibido:</w:t>
      </w:r>
    </w:p>
    <w:p w14:paraId="7334F70C" w14:textId="77777777" w:rsidR="003C408D" w:rsidRPr="00EC20D7" w:rsidRDefault="003C408D" w:rsidP="003C408D">
      <w:pPr>
        <w:pStyle w:val="NormalWeb"/>
        <w:spacing w:before="0" w:beforeAutospacing="0" w:after="0" w:afterAutospacing="0"/>
        <w:ind w:firstLine="709"/>
        <w:jc w:val="both"/>
        <w:rPr>
          <w:rFonts w:ascii="Arial" w:hAnsi="Arial" w:cs="Arial"/>
          <w:sz w:val="19"/>
          <w:szCs w:val="19"/>
          <w:lang w:val="es-MX"/>
        </w:rPr>
      </w:pPr>
      <w:r w:rsidRPr="00EC20D7">
        <w:rPr>
          <w:rFonts w:ascii="Arial" w:eastAsia="Calibri" w:hAnsi="Arial" w:cs="Arial"/>
          <w:bCs/>
          <w:color w:val="000000"/>
          <w:sz w:val="19"/>
          <w:szCs w:val="19"/>
        </w:rPr>
        <w:t>»</w:t>
      </w:r>
      <w:r w:rsidRPr="00EC20D7">
        <w:rPr>
          <w:rFonts w:ascii="Arial" w:hAnsi="Arial" w:cs="Arial"/>
          <w:sz w:val="19"/>
          <w:szCs w:val="19"/>
          <w:lang w:val="es-MX"/>
        </w:rPr>
        <w:t xml:space="preserve"> […]</w:t>
      </w:r>
    </w:p>
    <w:p w14:paraId="51F672F5" w14:textId="77777777" w:rsidR="003C408D" w:rsidRDefault="003C408D" w:rsidP="003C408D">
      <w:pPr>
        <w:ind w:firstLine="709"/>
        <w:jc w:val="both"/>
        <w:rPr>
          <w:rFonts w:ascii="Arial" w:hAnsi="Arial" w:cs="Arial"/>
          <w:sz w:val="19"/>
          <w:szCs w:val="19"/>
          <w:lang w:val="es-MX"/>
        </w:rPr>
      </w:pPr>
      <w:r w:rsidRPr="0026728E">
        <w:rPr>
          <w:rFonts w:ascii="Arial" w:eastAsia="Calibri" w:hAnsi="Arial" w:cs="Arial"/>
          <w:bCs/>
          <w:color w:val="000000"/>
          <w:sz w:val="19"/>
          <w:szCs w:val="19"/>
        </w:rPr>
        <w:t>»</w:t>
      </w:r>
      <w:r w:rsidRPr="002F0981">
        <w:rPr>
          <w:rStyle w:val="baj"/>
          <w:rFonts w:ascii="Arial" w:hAnsi="Arial" w:cs="Arial"/>
          <w:sz w:val="19"/>
          <w:szCs w:val="19"/>
          <w:lang w:val="es-MX"/>
        </w:rPr>
        <w:t xml:space="preserve"> Parágrafo.</w:t>
      </w:r>
      <w:r w:rsidRPr="002F098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eastAsia="Calibri" w:hAnsi="Arial" w:cs="Arial"/>
          <w:bCs/>
          <w:color w:val="000000"/>
          <w:sz w:val="19"/>
          <w:szCs w:val="19"/>
        </w:rPr>
        <w:t>»</w:t>
      </w:r>
      <w:r w:rsidRPr="002F0981">
        <w:rPr>
          <w:rFonts w:ascii="Arial" w:hAnsi="Arial" w:cs="Arial"/>
          <w:sz w:val="19"/>
          <w:szCs w:val="19"/>
          <w:lang w:val="es-MX"/>
        </w:rPr>
        <w:t>.</w:t>
      </w:r>
    </w:p>
    <w:p w14:paraId="76A4F48C" w14:textId="77777777" w:rsidR="003C408D" w:rsidRPr="002F0981" w:rsidRDefault="003C408D" w:rsidP="003C408D">
      <w:pPr>
        <w:ind w:firstLine="709"/>
        <w:jc w:val="both"/>
        <w:rPr>
          <w:rFonts w:ascii="Arial" w:hAnsi="Arial" w:cs="Arial"/>
          <w:sz w:val="19"/>
          <w:szCs w:val="19"/>
          <w:lang w:val="es-MX"/>
        </w:rPr>
      </w:pPr>
    </w:p>
  </w:footnote>
  <w:footnote w:id="10">
    <w:p w14:paraId="31468D01" w14:textId="77777777" w:rsidR="003C408D" w:rsidRPr="002F0981" w:rsidRDefault="003C408D" w:rsidP="003C408D">
      <w:pPr>
        <w:ind w:left="100" w:right="244"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1">
    <w:p w14:paraId="7A9C39CC" w14:textId="77777777" w:rsidR="003C408D" w:rsidRPr="00EC20D7" w:rsidRDefault="003C408D" w:rsidP="003C408D">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14:paraId="56625087" w14:textId="77777777" w:rsidR="003C408D" w:rsidRPr="00EC20D7" w:rsidRDefault="003C408D" w:rsidP="003C408D">
      <w:pPr>
        <w:pStyle w:val="Textonotapie"/>
        <w:ind w:right="51" w:firstLine="709"/>
        <w:jc w:val="both"/>
        <w:rPr>
          <w:rFonts w:ascii="Arial" w:hAnsi="Arial" w:cs="Arial"/>
          <w:sz w:val="19"/>
          <w:szCs w:val="19"/>
        </w:rPr>
      </w:pPr>
    </w:p>
  </w:footnote>
  <w:footnote w:id="12">
    <w:p w14:paraId="14B829FB" w14:textId="77777777" w:rsidR="003C408D" w:rsidRPr="00EC20D7" w:rsidRDefault="003C408D" w:rsidP="003C408D">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14:paraId="782F3AFA" w14:textId="77777777" w:rsidR="003C408D" w:rsidRPr="00EC20D7" w:rsidRDefault="003C408D" w:rsidP="003C408D">
      <w:pPr>
        <w:pStyle w:val="Textonotapie"/>
        <w:ind w:right="51" w:firstLine="709"/>
        <w:jc w:val="both"/>
        <w:rPr>
          <w:rFonts w:ascii="Arial" w:hAnsi="Arial" w:cs="Arial"/>
          <w:sz w:val="19"/>
          <w:szCs w:val="19"/>
        </w:rPr>
      </w:pPr>
    </w:p>
  </w:footnote>
  <w:footnote w:id="13">
    <w:p w14:paraId="46F67CE2" w14:textId="77777777" w:rsidR="003C408D" w:rsidRDefault="003C408D" w:rsidP="003C408D">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p w14:paraId="7921D1E0" w14:textId="77777777" w:rsidR="003C408D" w:rsidRPr="00EC20D7" w:rsidRDefault="003C408D" w:rsidP="003C408D">
      <w:pPr>
        <w:pStyle w:val="Textonotapie"/>
        <w:ind w:firstLine="709"/>
        <w:jc w:val="both"/>
        <w:rPr>
          <w:rFonts w:ascii="Arial" w:hAnsi="Arial" w:cs="Arial"/>
          <w:sz w:val="19"/>
          <w:szCs w:val="19"/>
        </w:rPr>
      </w:pPr>
    </w:p>
  </w:footnote>
  <w:footnote w:id="14">
    <w:p w14:paraId="217D6E2C" w14:textId="77777777" w:rsidR="003C408D" w:rsidRPr="00EC20D7" w:rsidRDefault="003C408D" w:rsidP="003C408D">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Artículo 2. </w:t>
      </w:r>
    </w:p>
    <w:p w14:paraId="63F841C2" w14:textId="77777777" w:rsidR="003C408D" w:rsidRPr="00EC20D7" w:rsidRDefault="003C408D" w:rsidP="003C408D">
      <w:pPr>
        <w:pStyle w:val="Textonotapie"/>
        <w:ind w:firstLine="709"/>
        <w:jc w:val="both"/>
        <w:rPr>
          <w:rFonts w:ascii="Arial" w:hAnsi="Arial" w:cs="Arial"/>
          <w:sz w:val="19"/>
          <w:szCs w:val="19"/>
          <w:lang w:val="es-ES"/>
        </w:rPr>
      </w:pPr>
    </w:p>
  </w:footnote>
  <w:footnote w:id="15">
    <w:p w14:paraId="45FF9D06" w14:textId="77777777" w:rsidR="003C408D" w:rsidRPr="00EC20D7" w:rsidRDefault="003C408D" w:rsidP="003C408D">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i/>
          <w:sz w:val="19"/>
          <w:szCs w:val="19"/>
          <w:lang w:val="es-ES"/>
        </w:rPr>
        <w:t>Ídem</w:t>
      </w:r>
      <w:r w:rsidRPr="00EC20D7">
        <w:rPr>
          <w:rFonts w:ascii="Arial" w:hAnsi="Arial" w:cs="Arial"/>
          <w:sz w:val="19"/>
          <w:szCs w:val="19"/>
          <w:lang w:val="es-ES"/>
        </w:rPr>
        <w:t>.</w:t>
      </w:r>
    </w:p>
  </w:footnote>
  <w:footnote w:id="16">
    <w:p w14:paraId="7A37B815" w14:textId="77777777" w:rsidR="003C408D" w:rsidRPr="00EC20D7" w:rsidRDefault="003C408D" w:rsidP="003C408D">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14:paraId="469DF3B7" w14:textId="77777777" w:rsidR="003C408D" w:rsidRPr="00EC20D7" w:rsidRDefault="003C408D" w:rsidP="003C408D">
      <w:pPr>
        <w:pStyle w:val="Textonotapie"/>
        <w:ind w:firstLine="709"/>
        <w:jc w:val="both"/>
        <w:rPr>
          <w:rFonts w:ascii="Arial" w:hAnsi="Arial" w:cs="Arial"/>
          <w:sz w:val="19"/>
          <w:szCs w:val="19"/>
          <w:lang w:val="es-ES"/>
        </w:rPr>
      </w:pPr>
    </w:p>
  </w:footnote>
  <w:footnote w:id="17">
    <w:p w14:paraId="349B9783" w14:textId="77777777" w:rsidR="003C408D" w:rsidRDefault="003C408D" w:rsidP="003C408D">
      <w:pPr>
        <w:shd w:val="clear" w:color="auto" w:fill="FFFFFF"/>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Consejo de Estado. Sala de Consulta y Servicio Civil, Concepto de 8 de mayo de 2018. Radicación Número: 11001-03-06-000-2018-00095-00(2382). Consejero Ponente: Álvaro Namén Vargas.</w:t>
      </w:r>
    </w:p>
    <w:p w14:paraId="501042DF" w14:textId="77777777" w:rsidR="003C408D" w:rsidRPr="00EC20D7" w:rsidRDefault="003C408D" w:rsidP="003C408D">
      <w:pPr>
        <w:shd w:val="clear" w:color="auto" w:fill="FFFFFF"/>
        <w:ind w:firstLine="709"/>
        <w:jc w:val="both"/>
        <w:rPr>
          <w:rFonts w:ascii="Arial" w:hAnsi="Arial" w:cs="Arial"/>
          <w:sz w:val="19"/>
          <w:szCs w:val="19"/>
          <w:lang w:val="es-ES"/>
        </w:rPr>
      </w:pPr>
    </w:p>
  </w:footnote>
  <w:footnote w:id="18">
    <w:p w14:paraId="1AE24D64" w14:textId="77777777" w:rsidR="003C408D" w:rsidRPr="00EC20D7" w:rsidRDefault="003C408D" w:rsidP="003C408D">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19">
    <w:p w14:paraId="76BFA9C6" w14:textId="77777777" w:rsidR="003C408D" w:rsidRPr="00EC20D7" w:rsidRDefault="003C408D" w:rsidP="003C408D">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0">
    <w:p w14:paraId="31E116D4" w14:textId="77777777" w:rsidR="003C408D" w:rsidRDefault="003C408D" w:rsidP="003C408D">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23358D46" w14:textId="77777777" w:rsidR="003C408D" w:rsidRPr="00EC20D7" w:rsidRDefault="003C408D" w:rsidP="003C408D">
      <w:pPr>
        <w:ind w:firstLine="709"/>
        <w:jc w:val="both"/>
        <w:rPr>
          <w:rFonts w:ascii="Arial" w:hAnsi="Arial" w:cs="Arial"/>
          <w:sz w:val="19"/>
          <w:szCs w:val="19"/>
        </w:rPr>
      </w:pPr>
    </w:p>
  </w:footnote>
  <w:footnote w:id="21">
    <w:p w14:paraId="58796A21" w14:textId="77777777" w:rsidR="003C408D" w:rsidRPr="00EC20D7" w:rsidRDefault="003C408D" w:rsidP="003C408D">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r w:rsidRPr="00EC20D7">
        <w:rPr>
          <w:rFonts w:ascii="Arial" w:eastAsia="Times New Roman" w:hAnsi="Arial" w:cs="Arial"/>
          <w:bCs/>
          <w:sz w:val="19"/>
          <w:szCs w:val="19"/>
          <w:lang w:eastAsia="x-none"/>
        </w:rPr>
        <w:t xml:space="preserve"> «</w:t>
      </w:r>
      <w:r w:rsidRPr="00EC20D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C20D7">
        <w:rPr>
          <w:rFonts w:ascii="Arial" w:eastAsia="Times New Roman" w:hAnsi="Arial" w:cs="Arial"/>
          <w:bCs/>
          <w:sz w:val="19"/>
          <w:szCs w:val="19"/>
          <w:lang w:eastAsia="x-none"/>
        </w:rPr>
        <w:t>».</w:t>
      </w:r>
    </w:p>
  </w:footnote>
  <w:footnote w:id="22">
    <w:p w14:paraId="44E95A91" w14:textId="77777777" w:rsidR="003C408D" w:rsidRPr="00EC20D7" w:rsidRDefault="003C408D" w:rsidP="003C408D">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14:paraId="474439B4" w14:textId="77777777" w:rsidR="003C408D" w:rsidRPr="00EC20D7" w:rsidRDefault="003C408D" w:rsidP="003C408D">
      <w:pPr>
        <w:pStyle w:val="Textonotapie"/>
        <w:ind w:right="51" w:firstLine="709"/>
        <w:jc w:val="both"/>
        <w:rPr>
          <w:rFonts w:ascii="Arial" w:hAnsi="Arial" w:cs="Arial"/>
          <w:sz w:val="19"/>
          <w:szCs w:val="19"/>
        </w:rPr>
      </w:pPr>
    </w:p>
  </w:footnote>
  <w:footnote w:id="23">
    <w:p w14:paraId="1F667DBE" w14:textId="77777777" w:rsidR="003C408D" w:rsidRPr="00EC20D7" w:rsidRDefault="003C408D" w:rsidP="003C408D">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ídem.</w:t>
      </w:r>
    </w:p>
  </w:footnote>
  <w:footnote w:id="24">
    <w:p w14:paraId="39F2A336" w14:textId="77777777" w:rsidR="003C408D" w:rsidRPr="00EC20D7" w:rsidRDefault="003C408D" w:rsidP="003C408D">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14:paraId="2C6C2982" w14:textId="77777777" w:rsidR="003C408D" w:rsidRPr="00EC20D7" w:rsidRDefault="003C408D" w:rsidP="003C408D">
      <w:pPr>
        <w:pStyle w:val="Textonotapie"/>
        <w:ind w:firstLine="709"/>
        <w:jc w:val="both"/>
        <w:rPr>
          <w:rFonts w:ascii="Arial" w:hAnsi="Arial" w:cs="Arial"/>
          <w:sz w:val="19"/>
          <w:szCs w:val="19"/>
        </w:rPr>
      </w:pPr>
    </w:p>
  </w:footnote>
  <w:footnote w:id="25">
    <w:p w14:paraId="4C81205D" w14:textId="77777777" w:rsidR="003C408D" w:rsidRPr="00EC20D7" w:rsidRDefault="003C408D" w:rsidP="003C408D">
      <w:pPr>
        <w:spacing w:before="78"/>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10C37C36" w14:textId="77777777" w:rsidR="003C408D" w:rsidRDefault="003C408D" w:rsidP="003C408D">
      <w:pPr>
        <w:ind w:firstLine="709"/>
        <w:jc w:val="both"/>
        <w:rPr>
          <w:rFonts w:ascii="Arial" w:hAnsi="Arial" w:cs="Arial"/>
          <w:sz w:val="19"/>
          <w:szCs w:val="19"/>
        </w:rPr>
      </w:pPr>
      <w:r w:rsidRPr="00EC20D7">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C20D7">
        <w:rPr>
          <w:rFonts w:ascii="Arial" w:hAnsi="Arial" w:cs="Arial"/>
          <w:spacing w:val="-1"/>
          <w:sz w:val="19"/>
          <w:szCs w:val="19"/>
        </w:rPr>
        <w:t xml:space="preserve"> </w:t>
      </w:r>
      <w:r w:rsidRPr="00EC20D7">
        <w:rPr>
          <w:rFonts w:ascii="Arial" w:hAnsi="Arial" w:cs="Arial"/>
          <w:sz w:val="19"/>
          <w:szCs w:val="19"/>
        </w:rPr>
        <w:t>Estatales».</w:t>
      </w:r>
    </w:p>
    <w:p w14:paraId="3680D0BA" w14:textId="77777777" w:rsidR="003C408D" w:rsidRPr="00EC20D7" w:rsidRDefault="003C408D" w:rsidP="003C408D">
      <w:pPr>
        <w:ind w:firstLine="709"/>
        <w:jc w:val="both"/>
        <w:rPr>
          <w:rFonts w:ascii="Arial" w:hAnsi="Arial" w:cs="Arial"/>
          <w:sz w:val="19"/>
          <w:szCs w:val="19"/>
        </w:rPr>
      </w:pPr>
    </w:p>
  </w:footnote>
  <w:footnote w:id="26">
    <w:p w14:paraId="06D43063" w14:textId="77777777" w:rsidR="003C408D" w:rsidRDefault="003C408D" w:rsidP="003C408D">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C20D7">
        <w:rPr>
          <w:rFonts w:ascii="Arial" w:hAnsi="Arial" w:cs="Arial"/>
          <w:spacing w:val="-6"/>
          <w:sz w:val="19"/>
          <w:szCs w:val="19"/>
        </w:rPr>
        <w:t xml:space="preserve"> </w:t>
      </w:r>
      <w:r w:rsidRPr="00EC20D7">
        <w:rPr>
          <w:rFonts w:ascii="Arial" w:hAnsi="Arial" w:cs="Arial"/>
          <w:sz w:val="19"/>
          <w:szCs w:val="19"/>
        </w:rPr>
        <w:t>artículo».</w:t>
      </w:r>
    </w:p>
    <w:p w14:paraId="1550FE04" w14:textId="77777777" w:rsidR="003C408D" w:rsidRPr="00EC20D7" w:rsidRDefault="003C408D" w:rsidP="003C408D">
      <w:pPr>
        <w:ind w:firstLine="709"/>
        <w:jc w:val="both"/>
        <w:rPr>
          <w:rFonts w:ascii="Arial" w:hAnsi="Arial" w:cs="Arial"/>
          <w:sz w:val="19"/>
          <w:szCs w:val="19"/>
        </w:rPr>
      </w:pPr>
    </w:p>
  </w:footnote>
  <w:footnote w:id="27">
    <w:p w14:paraId="5F2D8DD5" w14:textId="77777777" w:rsidR="003C408D" w:rsidRPr="002F0981" w:rsidRDefault="003C408D" w:rsidP="003C408D">
      <w:pPr>
        <w:ind w:firstLine="709"/>
        <w:jc w:val="both"/>
        <w:rPr>
          <w:rFonts w:ascii="Arial" w:hAnsi="Arial" w:cs="Arial"/>
          <w:sz w:val="19"/>
          <w:szCs w:val="19"/>
        </w:rPr>
      </w:pPr>
      <w:r w:rsidRPr="0026728E">
        <w:rPr>
          <w:rStyle w:val="Refdenotaalpie"/>
          <w:rFonts w:ascii="Arial" w:hAnsi="Arial" w:cs="Arial"/>
          <w:sz w:val="19"/>
          <w:szCs w:val="19"/>
        </w:rPr>
        <w:footnoteRef/>
      </w:r>
      <w:r w:rsidRPr="00AC7007">
        <w:rPr>
          <w:rFonts w:ascii="Arial" w:hAnsi="Arial" w:cs="Arial"/>
          <w:position w:val="7"/>
          <w:sz w:val="19"/>
          <w:szCs w:val="19"/>
        </w:rPr>
        <w:t xml:space="preserve"> </w:t>
      </w:r>
      <w:r w:rsidRPr="00A27246">
        <w:rPr>
          <w:rFonts w:ascii="Arial" w:hAnsi="Arial" w:cs="Arial"/>
          <w:sz w:val="19"/>
          <w:szCs w:val="19"/>
        </w:rPr>
        <w:t>Consejo de Estado. Sección Tercera. Sentencia del 23 de junio de 2010. Radicación No. 66001-23-31-000-1998-00261-01(17.860). Consejero Ponente: Mauricio Fajardo Gómez.</w:t>
      </w:r>
    </w:p>
  </w:footnote>
  <w:footnote w:id="28">
    <w:p w14:paraId="71A70EED" w14:textId="77777777" w:rsidR="003C408D" w:rsidRDefault="003C408D" w:rsidP="003C408D">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Sección Tercera. Subsección C. Sentencia del 11 de diciembre de 2019. Exp. 46.986. C.P. Jaime Enrique Rodríguez Navas.</w:t>
      </w:r>
    </w:p>
    <w:p w14:paraId="30F47F2D" w14:textId="77777777" w:rsidR="003C408D" w:rsidRPr="00EC20D7" w:rsidRDefault="003C408D" w:rsidP="003C408D">
      <w:pPr>
        <w:ind w:firstLine="709"/>
        <w:jc w:val="both"/>
        <w:rPr>
          <w:rFonts w:ascii="Arial" w:hAnsi="Arial" w:cs="Arial"/>
          <w:sz w:val="19"/>
          <w:szCs w:val="19"/>
        </w:rPr>
      </w:pPr>
    </w:p>
  </w:footnote>
  <w:footnote w:id="29">
    <w:p w14:paraId="2EBFBC89" w14:textId="77777777" w:rsidR="003C408D" w:rsidRDefault="003C408D" w:rsidP="003C408D">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1 de noviembre de 2016 [Rad. 11001-03-06-000-2016-00125-00(2305)]. MP. Germán Alberto Bula Escobar».</w:t>
      </w:r>
    </w:p>
    <w:p w14:paraId="0CB0AFC9" w14:textId="77777777" w:rsidR="003C408D" w:rsidRPr="00EC20D7" w:rsidRDefault="003C408D" w:rsidP="003C408D">
      <w:pPr>
        <w:pStyle w:val="Textonotapie"/>
        <w:ind w:firstLine="708"/>
        <w:jc w:val="both"/>
        <w:rPr>
          <w:rFonts w:ascii="Arial" w:hAnsi="Arial" w:cs="Arial"/>
          <w:sz w:val="19"/>
          <w:szCs w:val="19"/>
        </w:rPr>
      </w:pPr>
    </w:p>
  </w:footnote>
  <w:footnote w:id="30">
    <w:p w14:paraId="71546797" w14:textId="77777777" w:rsidR="003C408D" w:rsidRPr="00EC20D7" w:rsidRDefault="003C408D" w:rsidP="003C408D">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EC20D7">
        <w:rPr>
          <w:rFonts w:ascii="Arial" w:hAnsi="Arial" w:cs="Arial"/>
          <w:i/>
          <w:sz w:val="19"/>
          <w:szCs w:val="19"/>
        </w:rPr>
        <w:t>“obligacional”</w:t>
      </w:r>
      <w:r w:rsidRPr="00EC20D7">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1">
    <w:p w14:paraId="4E170730" w14:textId="77777777" w:rsidR="003C408D" w:rsidRDefault="003C408D" w:rsidP="003C408D">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«La normativa vigente del EGCAP </w:t>
      </w:r>
      <w:r w:rsidRPr="00EC20D7">
        <w:rPr>
          <w:rFonts w:ascii="Arial" w:hAnsi="Arial" w:cs="Arial"/>
          <w:i/>
          <w:sz w:val="19"/>
          <w:szCs w:val="19"/>
        </w:rPr>
        <w:t>[literal c) del numeral 4. del artículo 2 de la Ley 1150/07]</w:t>
      </w:r>
      <w:r w:rsidRPr="00EC20D7">
        <w:rPr>
          <w:rFonts w:ascii="Arial" w:hAnsi="Arial" w:cs="Arial"/>
          <w:sz w:val="19"/>
          <w:szCs w:val="19"/>
        </w:rPr>
        <w:t xml:space="preserve"> se refiere a </w:t>
      </w:r>
      <w:r w:rsidRPr="00EC20D7">
        <w:rPr>
          <w:rFonts w:ascii="Arial" w:hAnsi="Arial" w:cs="Arial"/>
          <w:i/>
          <w:sz w:val="19"/>
          <w:szCs w:val="19"/>
        </w:rPr>
        <w:t>“contratos interadministrativos”</w:t>
      </w:r>
      <w:r w:rsidRPr="00EC20D7">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647B95AD" w14:textId="77777777" w:rsidR="003C408D" w:rsidRPr="00EC20D7" w:rsidRDefault="003C408D" w:rsidP="003C408D">
      <w:pPr>
        <w:pStyle w:val="Textonotapie"/>
        <w:ind w:firstLine="708"/>
        <w:jc w:val="both"/>
        <w:rPr>
          <w:rFonts w:ascii="Arial" w:hAnsi="Arial" w:cs="Arial"/>
          <w:sz w:val="19"/>
          <w:szCs w:val="19"/>
        </w:rPr>
      </w:pPr>
    </w:p>
  </w:footnote>
  <w:footnote w:id="32">
    <w:p w14:paraId="7429F47F" w14:textId="77777777" w:rsidR="003C408D" w:rsidRDefault="003C408D" w:rsidP="003C408D">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0895A680" w14:textId="77777777" w:rsidR="003C408D" w:rsidRPr="00EC20D7" w:rsidRDefault="003C408D" w:rsidP="003C408D">
      <w:pPr>
        <w:pStyle w:val="Textonotapie"/>
        <w:ind w:firstLine="708"/>
        <w:jc w:val="both"/>
        <w:rPr>
          <w:rFonts w:ascii="Arial" w:hAnsi="Arial" w:cs="Arial"/>
          <w:sz w:val="19"/>
          <w:szCs w:val="19"/>
        </w:rPr>
      </w:pPr>
    </w:p>
  </w:footnote>
  <w:footnote w:id="33">
    <w:p w14:paraId="70212170" w14:textId="77777777" w:rsidR="003C408D" w:rsidRPr="00EC20D7" w:rsidRDefault="003C408D" w:rsidP="003C408D">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Es lo que sucede, por ejemplo, con el Decreto 092 de 2017, que en su desarrollo hace referencia tanto a los «contratos» como a los «convenios». </w:t>
      </w:r>
    </w:p>
    <w:p w14:paraId="420CB495" w14:textId="77777777" w:rsidR="003C408D" w:rsidRPr="00EC20D7" w:rsidRDefault="003C408D" w:rsidP="003C408D">
      <w:pPr>
        <w:pStyle w:val="Textonotapie"/>
        <w:ind w:firstLine="708"/>
        <w:jc w:val="both"/>
        <w:rPr>
          <w:rFonts w:ascii="Arial" w:hAnsi="Arial" w:cs="Arial"/>
          <w:sz w:val="19"/>
          <w:szCs w:val="19"/>
          <w:lang w:val="es-CO"/>
        </w:rPr>
      </w:pPr>
    </w:p>
  </w:footnote>
  <w:footnote w:id="34">
    <w:p w14:paraId="7C788B5F" w14:textId="77777777" w:rsidR="003C408D" w:rsidRPr="00EC20D7" w:rsidRDefault="003C408D" w:rsidP="003C408D">
      <w:pPr>
        <w:pStyle w:val="Textonotapie"/>
        <w:ind w:firstLine="708"/>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5">
    <w:p w14:paraId="3787B426" w14:textId="77777777" w:rsidR="003C408D" w:rsidRPr="002F0981" w:rsidRDefault="003C408D" w:rsidP="003C408D">
      <w:pPr>
        <w:pStyle w:val="Textonotapie"/>
        <w:ind w:firstLine="708"/>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w:t>
      </w:r>
      <w:r>
        <w:rPr>
          <w:rFonts w:ascii="Arial" w:hAnsi="Arial" w:cs="Arial"/>
          <w:sz w:val="19"/>
          <w:szCs w:val="19"/>
        </w:rPr>
        <w:t xml:space="preserve">Lo anterior, salvo que </w:t>
      </w:r>
      <w:r w:rsidRPr="006E10FE">
        <w:rPr>
          <w:rFonts w:ascii="Arial" w:hAnsi="Arial" w:cs="Arial"/>
          <w:sz w:val="19"/>
          <w:szCs w:val="19"/>
        </w:rPr>
        <w:t>se traten de organismos internacionales que se rijan por normas internacionales y se financien con cargo a recursos de esos organismos</w:t>
      </w:r>
      <w:r>
        <w:rPr>
          <w:rFonts w:ascii="Arial" w:hAnsi="Arial" w:cs="Arial"/>
          <w:sz w:val="19"/>
          <w:szCs w:val="19"/>
        </w:rPr>
        <w:t xml:space="preserve"> (Cfr. Colombia Compra Eficiente. Concepto C-559 del 31 de agosto de 2021). </w:t>
      </w:r>
    </w:p>
  </w:footnote>
  <w:footnote w:id="36">
    <w:p w14:paraId="6C16DA5D" w14:textId="77777777" w:rsidR="003C408D" w:rsidRPr="00EC20D7" w:rsidRDefault="003C408D" w:rsidP="003C408D">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15 de noviembre de 2007. Expediente número 1863. Consejero Ponente: Luis Fernando Álvarez Jaramillo.</w:t>
      </w:r>
    </w:p>
    <w:p w14:paraId="43C40358" w14:textId="77777777" w:rsidR="003C408D" w:rsidRPr="00EC20D7" w:rsidRDefault="003C408D" w:rsidP="003C408D">
      <w:pPr>
        <w:pStyle w:val="Textonotapie"/>
        <w:ind w:firstLine="709"/>
        <w:jc w:val="both"/>
        <w:rPr>
          <w:rFonts w:ascii="Arial" w:hAnsi="Arial" w:cs="Arial"/>
          <w:sz w:val="19"/>
          <w:szCs w:val="19"/>
          <w:lang w:val="es-CO"/>
        </w:rPr>
      </w:pPr>
    </w:p>
  </w:footnote>
  <w:footnote w:id="37">
    <w:p w14:paraId="2731154A" w14:textId="039A4C5E" w:rsidR="00AA2767" w:rsidRDefault="00AA2767" w:rsidP="00AA2767">
      <w:pPr>
        <w:pStyle w:val="Textonotapie"/>
        <w:ind w:firstLine="708"/>
        <w:jc w:val="both"/>
        <w:rPr>
          <w:rFonts w:ascii="Arial" w:hAnsi="Arial" w:cs="Arial"/>
          <w:sz w:val="19"/>
          <w:szCs w:val="19"/>
        </w:rPr>
      </w:pPr>
      <w:r w:rsidRPr="00B42463">
        <w:rPr>
          <w:rStyle w:val="Refdenotaalpie"/>
          <w:rFonts w:ascii="Arial" w:hAnsi="Arial" w:cs="Arial"/>
          <w:sz w:val="19"/>
          <w:szCs w:val="19"/>
        </w:rPr>
        <w:footnoteRef/>
      </w:r>
      <w:r w:rsidRPr="00B42463">
        <w:rPr>
          <w:rFonts w:ascii="Arial" w:hAnsi="Arial" w:cs="Arial"/>
          <w:sz w:val="19"/>
          <w:szCs w:val="19"/>
        </w:rPr>
        <w:t xml:space="preserve"> </w:t>
      </w:r>
      <w:r>
        <w:rPr>
          <w:rFonts w:ascii="Arial" w:hAnsi="Arial" w:cs="Arial"/>
          <w:sz w:val="19"/>
          <w:szCs w:val="19"/>
        </w:rPr>
        <w:t>La norma citada dispone que «</w:t>
      </w:r>
      <w:r w:rsidRPr="00B42463">
        <w:rPr>
          <w:rFonts w:ascii="Arial" w:hAnsi="Arial" w:cs="Arial"/>
          <w:sz w:val="19"/>
          <w:szCs w:val="19"/>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Pr>
          <w:rFonts w:ascii="Arial" w:hAnsi="Arial" w:cs="Arial"/>
          <w:sz w:val="19"/>
          <w:szCs w:val="19"/>
        </w:rPr>
        <w:t>»</w:t>
      </w:r>
      <w:r w:rsidRPr="00B42463">
        <w:rPr>
          <w:rFonts w:ascii="Arial" w:hAnsi="Arial" w:cs="Arial"/>
          <w:sz w:val="19"/>
          <w:szCs w:val="19"/>
        </w:rPr>
        <w:t>.</w:t>
      </w:r>
    </w:p>
    <w:p w14:paraId="51706B05" w14:textId="77777777" w:rsidR="007D4CE5" w:rsidRPr="00B42463" w:rsidRDefault="007D4CE5" w:rsidP="00AA2767">
      <w:pPr>
        <w:pStyle w:val="Textonotapie"/>
        <w:ind w:firstLine="708"/>
        <w:jc w:val="both"/>
        <w:rPr>
          <w:rFonts w:ascii="Arial" w:hAnsi="Arial" w:cs="Arial"/>
          <w:sz w:val="19"/>
          <w:szCs w:val="19"/>
          <w:lang w:val="es-ES"/>
        </w:rPr>
      </w:pPr>
    </w:p>
  </w:footnote>
  <w:footnote w:id="38">
    <w:p w14:paraId="036DAC18" w14:textId="77777777" w:rsidR="00AA2767" w:rsidRPr="006B3EB4" w:rsidRDefault="00AA2767" w:rsidP="00AA2767">
      <w:pPr>
        <w:pStyle w:val="Textonotapie"/>
        <w:ind w:firstLine="708"/>
        <w:jc w:val="both"/>
        <w:rPr>
          <w:rFonts w:ascii="Arial" w:hAnsi="Arial" w:cs="Arial"/>
          <w:sz w:val="19"/>
          <w:szCs w:val="19"/>
        </w:rPr>
      </w:pPr>
      <w:r w:rsidRPr="006B3EB4">
        <w:rPr>
          <w:rStyle w:val="Refdenotaalpie"/>
          <w:rFonts w:ascii="Arial" w:hAnsi="Arial" w:cs="Arial"/>
          <w:sz w:val="19"/>
          <w:szCs w:val="19"/>
        </w:rPr>
        <w:footnoteRef/>
      </w:r>
      <w:r w:rsidRPr="006B3EB4">
        <w:rPr>
          <w:rFonts w:ascii="Arial" w:hAnsi="Arial" w:cs="Arial"/>
          <w:sz w:val="19"/>
          <w:szCs w:val="19"/>
        </w:rPr>
        <w:t xml:space="preserve"> </w:t>
      </w:r>
      <w:r w:rsidRPr="002A2C29">
        <w:rPr>
          <w:rFonts w:ascii="Arial" w:hAnsi="Arial" w:cs="Arial"/>
          <w:sz w:val="19"/>
          <w:szCs w:val="19"/>
        </w:rPr>
        <w:t>CONSEJO DE ESTADO. Sala de Consulta y Servicio Civil. Concepto del 27 de</w:t>
      </w:r>
      <w:r>
        <w:rPr>
          <w:rFonts w:ascii="Arial" w:hAnsi="Arial" w:cs="Arial"/>
          <w:sz w:val="19"/>
          <w:szCs w:val="19"/>
        </w:rPr>
        <w:t xml:space="preserve"> </w:t>
      </w:r>
      <w:r w:rsidRPr="002A2C29">
        <w:rPr>
          <w:rFonts w:ascii="Arial" w:hAnsi="Arial" w:cs="Arial"/>
          <w:sz w:val="19"/>
          <w:szCs w:val="19"/>
        </w:rPr>
        <w:t>abril de 2006. Rad:1712. C.P. Enrique José Arboleda Perdomo</w:t>
      </w:r>
      <w:r>
        <w:rPr>
          <w:rFonts w:ascii="Arial" w:hAnsi="Arial" w:cs="Arial"/>
          <w:sz w:val="19"/>
          <w:szCs w:val="19"/>
        </w:rPr>
        <w:t>.</w:t>
      </w:r>
    </w:p>
  </w:footnote>
  <w:footnote w:id="39">
    <w:p w14:paraId="1C313C71" w14:textId="77777777" w:rsidR="00E41D0D" w:rsidRDefault="002B575D" w:rsidP="002B575D">
      <w:pPr>
        <w:pStyle w:val="Textonotapie"/>
        <w:ind w:firstLine="708"/>
        <w:jc w:val="both"/>
        <w:rPr>
          <w:rFonts w:ascii="Arial" w:hAnsi="Arial" w:cs="Arial"/>
          <w:sz w:val="19"/>
          <w:szCs w:val="19"/>
        </w:rPr>
      </w:pPr>
      <w:r w:rsidRPr="00AF775B">
        <w:rPr>
          <w:rStyle w:val="Refdenotaalpie"/>
          <w:rFonts w:ascii="Arial" w:hAnsi="Arial" w:cs="Arial"/>
          <w:sz w:val="19"/>
          <w:szCs w:val="19"/>
        </w:rPr>
        <w:footnoteRef/>
      </w:r>
      <w:r w:rsidRPr="00AF775B">
        <w:rPr>
          <w:rFonts w:ascii="Arial" w:hAnsi="Arial" w:cs="Arial"/>
          <w:sz w:val="19"/>
          <w:szCs w:val="19"/>
        </w:rPr>
        <w:t xml:space="preserve"> </w:t>
      </w:r>
      <w:r w:rsidRPr="002B575D">
        <w:rPr>
          <w:rFonts w:ascii="Arial" w:hAnsi="Arial" w:cs="Arial"/>
          <w:sz w:val="19"/>
          <w:szCs w:val="19"/>
        </w:rPr>
        <w:t xml:space="preserve">Esto último teniendo en cuenta que, conforme al numeral 5 </w:t>
      </w:r>
      <w:r w:rsidRPr="00AF775B">
        <w:rPr>
          <w:rFonts w:ascii="Arial" w:hAnsi="Arial" w:cs="Arial"/>
          <w:i/>
          <w:iCs/>
          <w:sz w:val="19"/>
          <w:szCs w:val="19"/>
        </w:rPr>
        <w:t>ibidem</w:t>
      </w:r>
      <w:r w:rsidRPr="002B575D">
        <w:rPr>
          <w:rFonts w:ascii="Arial" w:hAnsi="Arial" w:cs="Arial"/>
          <w:sz w:val="19"/>
          <w:szCs w:val="19"/>
        </w:rPr>
        <w:t xml:space="preserve"> en armonía con el artículo 1.6.6.2.1 del Decreto 1625 de 2016, la otra entidad competente para celebrar el convenio es del orden nacional</w:t>
      </w:r>
      <w:r>
        <w:rPr>
          <w:rFonts w:ascii="Arial" w:hAnsi="Arial" w:cs="Arial"/>
          <w:sz w:val="19"/>
          <w:szCs w:val="19"/>
        </w:rPr>
        <w:t xml:space="preserve"> y, por tanto, </w:t>
      </w:r>
      <w:r w:rsidR="00E41D0D">
        <w:rPr>
          <w:rFonts w:ascii="Arial" w:hAnsi="Arial" w:cs="Arial"/>
          <w:sz w:val="19"/>
          <w:szCs w:val="19"/>
        </w:rPr>
        <w:t>no está dentro de la restricción del artículo 38 de la Ley de Garantías</w:t>
      </w:r>
      <w:r w:rsidRPr="002B575D">
        <w:rPr>
          <w:rFonts w:ascii="Arial" w:hAnsi="Arial" w:cs="Arial"/>
          <w:sz w:val="19"/>
          <w:szCs w:val="19"/>
        </w:rPr>
        <w:t>.</w:t>
      </w:r>
      <w:r>
        <w:rPr>
          <w:rFonts w:ascii="Arial" w:hAnsi="Arial" w:cs="Arial"/>
          <w:sz w:val="19"/>
          <w:szCs w:val="19"/>
        </w:rPr>
        <w:t xml:space="preserve"> En efecto, de conformidad con el Estatuto Tributario, «</w:t>
      </w:r>
      <w:r w:rsidRPr="002B575D">
        <w:rPr>
          <w:rFonts w:ascii="Arial" w:hAnsi="Arial" w:cs="Arial"/>
          <w:sz w:val="19"/>
          <w:szCs w:val="19"/>
        </w:rPr>
        <w:t>Posterior a la aprobación por parte de la ART, la Entidad Nacional competente procederá a la suscripción del convenio con el contribuyente</w:t>
      </w:r>
      <w:r>
        <w:rPr>
          <w:rFonts w:ascii="Arial" w:hAnsi="Arial" w:cs="Arial"/>
          <w:sz w:val="19"/>
          <w:szCs w:val="19"/>
        </w:rPr>
        <w:t xml:space="preserve"> […]». </w:t>
      </w:r>
    </w:p>
    <w:p w14:paraId="383F7544" w14:textId="3D45072E"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Por lo demás, el Decreto Único Reglamentario en Materia Tributaria, desarrolla este aparto de la ley en el sentido que «</w:t>
      </w:r>
      <w:r w:rsidRPr="002B575D">
        <w:rPr>
          <w:rFonts w:ascii="Arial" w:hAnsi="Arial" w:cs="Arial"/>
          <w:sz w:val="19"/>
          <w:szCs w:val="19"/>
        </w:rPr>
        <w:t>Para efectos de lo establecido en el presente título, las entidades nacionales competentes, según las líneas de inversión previstas en el artículo 800-1 del Estatuto Tributario, serán las siguientes, sin perjuicio que por la naturaleza de los proyectos de inversión puedan actuar otras entidades nacionales competentes:</w:t>
      </w:r>
    </w:p>
    <w:p w14:paraId="1BCA64CD" w14:textId="077B0790"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1. Agua potable, alcantarillado y saneamiento básico: El Ministerio de Vivienda, Ciudad y Territorio.</w:t>
      </w:r>
    </w:p>
    <w:p w14:paraId="7EA32609" w14:textId="79C5A59D"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2. Energía: El Ministerio de Minas y Energía.</w:t>
      </w:r>
    </w:p>
    <w:p w14:paraId="1D8E3202" w14:textId="2C0E4D84"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3. Salud pública: El Ministerio de Salud y Protección Social.</w:t>
      </w:r>
    </w:p>
    <w:p w14:paraId="1B10F3D1" w14:textId="637E83AD"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4. Educación pública: El Ministerio de Educación Nacional, el Ministerio del Trabajo, el Departamento Administrativo para la Prosperidad Social y el Instituto Colombiano de Bienestar Familiar, según sus competencias.</w:t>
      </w:r>
    </w:p>
    <w:p w14:paraId="19A375A9" w14:textId="51150E53"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5. Bienes públicos rurales e infraestructura productiva: El Ministerio de Agricultura y Desarrollo Rural y el Ministerio de Vivienda, Ciudad y Territorio, según sus competencias.</w:t>
      </w:r>
    </w:p>
    <w:p w14:paraId="04B1521D" w14:textId="120556B4"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6. Adaptación al cambio climático y gestión del riesgo y pagos por servicios ambientales: El Ministerio de Ambiente y Desarrollo Sostenible y el Departamento Administrativo de la Presidencia de la República, según sus competencias.</w:t>
      </w:r>
    </w:p>
    <w:p w14:paraId="1F826A01" w14:textId="543A8973"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7. Tecnologías de la información y comunicaciones: El Ministerio de Tecnologías de la Información y las Comunicaciones.</w:t>
      </w:r>
    </w:p>
    <w:p w14:paraId="6C948566" w14:textId="492DFD66"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8. Infraestructura de transporte: El Ministerio de Transporte.</w:t>
      </w:r>
    </w:p>
    <w:p w14:paraId="2ACAF0F7" w14:textId="0D90E9B7" w:rsidR="002B575D" w:rsidRP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9. Infraestructura cultural: El Ministerio de Cultura.</w:t>
      </w:r>
    </w:p>
    <w:p w14:paraId="54791C24" w14:textId="0D35E6A1" w:rsidR="002B575D" w:rsidRDefault="002B575D" w:rsidP="002B575D">
      <w:pPr>
        <w:pStyle w:val="Textonotapie"/>
        <w:ind w:firstLine="708"/>
        <w:jc w:val="both"/>
        <w:rPr>
          <w:rFonts w:ascii="Arial" w:hAnsi="Arial" w:cs="Arial"/>
          <w:sz w:val="19"/>
          <w:szCs w:val="19"/>
        </w:rPr>
      </w:pPr>
      <w:r>
        <w:rPr>
          <w:rFonts w:ascii="Arial" w:hAnsi="Arial" w:cs="Arial"/>
          <w:sz w:val="19"/>
          <w:szCs w:val="19"/>
        </w:rPr>
        <w:t>»</w:t>
      </w:r>
      <w:r w:rsidRPr="002B575D">
        <w:rPr>
          <w:rFonts w:ascii="Arial" w:hAnsi="Arial" w:cs="Arial"/>
          <w:sz w:val="19"/>
          <w:szCs w:val="19"/>
        </w:rPr>
        <w:t>10. Infraestructura deportiva: El Ministerio del Deporte.</w:t>
      </w:r>
      <w:r>
        <w:rPr>
          <w:rFonts w:ascii="Arial" w:hAnsi="Arial" w:cs="Arial"/>
          <w:sz w:val="19"/>
          <w:szCs w:val="19"/>
        </w:rPr>
        <w:t>»</w:t>
      </w:r>
      <w:r w:rsidRPr="002B575D">
        <w:rPr>
          <w:rFonts w:ascii="Arial" w:hAnsi="Arial" w:cs="Arial"/>
          <w:sz w:val="19"/>
          <w:szCs w:val="19"/>
        </w:rPr>
        <w:t>11. Las demás entidades nacionales competentes de acuerdo con la línea de inversión definida en el Manual Operativo de obras por impuestos</w:t>
      </w:r>
      <w:r>
        <w:rPr>
          <w:rFonts w:ascii="Arial" w:hAnsi="Arial" w:cs="Arial"/>
          <w:sz w:val="19"/>
          <w:szCs w:val="19"/>
        </w:rPr>
        <w:t>»</w:t>
      </w:r>
      <w:r w:rsidRPr="002B575D">
        <w:rPr>
          <w:rFonts w:ascii="Arial" w:hAnsi="Arial" w:cs="Arial"/>
          <w:sz w:val="19"/>
          <w:szCs w:val="19"/>
        </w:rPr>
        <w:t xml:space="preserve">.  </w:t>
      </w:r>
    </w:p>
    <w:p w14:paraId="20911B37" w14:textId="77777777" w:rsidR="002B575D" w:rsidRPr="00AF775B" w:rsidRDefault="002B575D" w:rsidP="00AF775B">
      <w:pPr>
        <w:pStyle w:val="Textonotapie"/>
        <w:ind w:firstLine="708"/>
        <w:jc w:val="both"/>
        <w:rPr>
          <w:rFonts w:ascii="Arial" w:hAnsi="Arial" w:cs="Arial"/>
          <w:sz w:val="19"/>
          <w:szCs w:val="19"/>
        </w:rPr>
      </w:pPr>
    </w:p>
  </w:footnote>
  <w:footnote w:id="40">
    <w:p w14:paraId="2F5C4894" w14:textId="77777777" w:rsidR="00C5500A" w:rsidRDefault="00C5500A" w:rsidP="00C5500A">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w:t>
      </w:r>
      <w:bookmarkStart w:id="20" w:name="_Hlk75244261"/>
      <w:r>
        <w:rPr>
          <w:rFonts w:ascii="Arial" w:hAnsi="Arial" w:cs="Arial"/>
          <w:color w:val="000000" w:themeColor="text1"/>
          <w:sz w:val="19"/>
          <w:szCs w:val="19"/>
        </w:rPr>
        <w:t>Decreto 1082 de 2015</w:t>
      </w:r>
      <w:bookmarkEnd w:id="20"/>
      <w:r>
        <w:rPr>
          <w:rFonts w:ascii="Arial" w:hAnsi="Arial" w:cs="Arial"/>
          <w:color w:val="000000" w:themeColor="text1"/>
          <w:sz w:val="19"/>
          <w:szCs w:val="19"/>
        </w:rPr>
        <w:t xml:space="preserve">: «Artículo </w:t>
      </w:r>
      <w:bookmarkStart w:id="21" w:name="_Hlk75244247"/>
      <w:r>
        <w:rPr>
          <w:rFonts w:ascii="Arial" w:hAnsi="Arial" w:cs="Arial"/>
          <w:color w:val="000000" w:themeColor="text1"/>
          <w:sz w:val="19"/>
          <w:szCs w:val="19"/>
        </w:rPr>
        <w:t>2.2.1.2.1.4.4</w:t>
      </w:r>
      <w:bookmarkEnd w:id="21"/>
      <w:r>
        <w:rPr>
          <w:rFonts w:ascii="Arial" w:hAnsi="Arial" w:cs="Arial"/>
          <w:color w:val="000000" w:themeColor="text1"/>
          <w:sz w:val="19"/>
          <w:szCs w:val="19"/>
        </w:rPr>
        <w:t>. Convenios o contratos interadministrativos. La modalidad de selección para la contratación entre Entidades Estatales es la contratación directa; y en consecuencia, le es aplicable lo establecido en el artículo 2.2.1.2.1.4.1 del presente decreto.</w:t>
      </w:r>
    </w:p>
    <w:p w14:paraId="2EC40A2D" w14:textId="0CD10A6D" w:rsidR="00C5500A" w:rsidRDefault="00C5500A" w:rsidP="00E41D0D">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41">
    <w:p w14:paraId="05EF8D6D" w14:textId="20F29062" w:rsidR="009F261E" w:rsidRPr="009F261E" w:rsidRDefault="009F261E" w:rsidP="009F261E">
      <w:pPr>
        <w:pStyle w:val="Textonotapie"/>
        <w:ind w:firstLine="708"/>
        <w:jc w:val="both"/>
        <w:rPr>
          <w:rFonts w:ascii="Arial" w:hAnsi="Arial" w:cs="Arial"/>
          <w:sz w:val="19"/>
          <w:szCs w:val="19"/>
        </w:rPr>
      </w:pPr>
      <w:r w:rsidRPr="00AF775B">
        <w:rPr>
          <w:rStyle w:val="Refdenotaalpie"/>
          <w:rFonts w:ascii="Arial" w:hAnsi="Arial" w:cs="Arial"/>
          <w:sz w:val="19"/>
          <w:szCs w:val="19"/>
        </w:rPr>
        <w:footnoteRef/>
      </w:r>
      <w:r w:rsidRPr="00AF775B">
        <w:rPr>
          <w:rFonts w:ascii="Arial" w:hAnsi="Arial" w:cs="Arial"/>
          <w:sz w:val="19"/>
          <w:szCs w:val="19"/>
        </w:rPr>
        <w:t xml:space="preserve"> </w:t>
      </w:r>
      <w:r>
        <w:rPr>
          <w:rFonts w:ascii="Arial" w:hAnsi="Arial" w:cs="Arial"/>
          <w:sz w:val="19"/>
          <w:szCs w:val="19"/>
        </w:rPr>
        <w:t>Al respecto, conforme al artículo 16 del Estatuto Tributario, es necesario tener en cuenta que «</w:t>
      </w:r>
      <w:r w:rsidRPr="009F261E">
        <w:rPr>
          <w:rFonts w:ascii="Arial" w:hAnsi="Arial" w:cs="Arial"/>
          <w:sz w:val="19"/>
          <w:szCs w:val="19"/>
        </w:rPr>
        <w:t>Son contribuyentes del impuesto sobre la renta y complementarios, asimiladas a sociedades anónimas, las empresas industriales y comerciales del Estado y las sociedades de economía mixta.</w:t>
      </w:r>
    </w:p>
    <w:p w14:paraId="3BFE04CC" w14:textId="599B1C67" w:rsidR="009F261E" w:rsidRPr="00AF775B" w:rsidRDefault="009F261E" w:rsidP="00AF775B">
      <w:pPr>
        <w:pStyle w:val="Textonotapie"/>
        <w:ind w:firstLine="708"/>
        <w:jc w:val="both"/>
        <w:rPr>
          <w:rFonts w:ascii="Arial" w:hAnsi="Arial" w:cs="Arial"/>
          <w:sz w:val="19"/>
          <w:szCs w:val="19"/>
        </w:rPr>
      </w:pPr>
      <w:r>
        <w:rPr>
          <w:rFonts w:ascii="Arial" w:hAnsi="Arial" w:cs="Arial"/>
          <w:sz w:val="19"/>
          <w:szCs w:val="19"/>
        </w:rPr>
        <w:t>»</w:t>
      </w:r>
      <w:r w:rsidRPr="009F261E">
        <w:rPr>
          <w:rFonts w:ascii="Arial" w:hAnsi="Arial" w:cs="Arial"/>
          <w:sz w:val="19"/>
          <w:szCs w:val="19"/>
        </w:rPr>
        <w:t>Las pérdidas sufridas por estas sociedades durante los años gravables en que no tengan la calidad de contribuyentes, podrán ser calculadas en forma teórica, para ser amortizadas dentro de los cinco años siguientes a su ocurrencia, de acuerdo con las normas generales</w:t>
      </w:r>
      <w:r>
        <w:rPr>
          <w:rFonts w:ascii="Arial" w:hAnsi="Arial" w:cs="Arial"/>
          <w:sz w:val="19"/>
          <w:szCs w:val="19"/>
        </w:rPr>
        <w:t>»</w:t>
      </w:r>
      <w:r w:rsidRPr="009F261E">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807B5" w:rsidRDefault="00E807B5">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6E3367"/>
    <w:multiLevelType w:val="hybridMultilevel"/>
    <w:tmpl w:val="5BBE210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091003363">
    <w:abstractNumId w:val="10"/>
  </w:num>
  <w:num w:numId="2" w16cid:durableId="883369378">
    <w:abstractNumId w:val="8"/>
  </w:num>
  <w:num w:numId="3" w16cid:durableId="1905407276">
    <w:abstractNumId w:val="14"/>
  </w:num>
  <w:num w:numId="4" w16cid:durableId="964582966">
    <w:abstractNumId w:val="18"/>
  </w:num>
  <w:num w:numId="5" w16cid:durableId="926109282">
    <w:abstractNumId w:val="22"/>
  </w:num>
  <w:num w:numId="6" w16cid:durableId="80192009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016862">
    <w:abstractNumId w:val="20"/>
  </w:num>
  <w:num w:numId="8" w16cid:durableId="1110006680">
    <w:abstractNumId w:val="0"/>
  </w:num>
  <w:num w:numId="9" w16cid:durableId="499195548">
    <w:abstractNumId w:val="4"/>
  </w:num>
  <w:num w:numId="10" w16cid:durableId="20398862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863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5023020">
    <w:abstractNumId w:val="9"/>
  </w:num>
  <w:num w:numId="13" w16cid:durableId="986010268">
    <w:abstractNumId w:val="12"/>
  </w:num>
  <w:num w:numId="14" w16cid:durableId="604265958">
    <w:abstractNumId w:val="7"/>
  </w:num>
  <w:num w:numId="15" w16cid:durableId="1429374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59708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67957">
    <w:abstractNumId w:val="24"/>
  </w:num>
  <w:num w:numId="18" w16cid:durableId="70079401">
    <w:abstractNumId w:val="15"/>
  </w:num>
  <w:num w:numId="19" w16cid:durableId="2010474859">
    <w:abstractNumId w:val="2"/>
  </w:num>
  <w:num w:numId="20" w16cid:durableId="269775251">
    <w:abstractNumId w:val="25"/>
  </w:num>
  <w:num w:numId="21" w16cid:durableId="391932171">
    <w:abstractNumId w:val="17"/>
  </w:num>
  <w:num w:numId="22" w16cid:durableId="690565885">
    <w:abstractNumId w:val="6"/>
  </w:num>
  <w:num w:numId="23" w16cid:durableId="1261060151">
    <w:abstractNumId w:val="5"/>
  </w:num>
  <w:num w:numId="24" w16cid:durableId="69431182">
    <w:abstractNumId w:val="23"/>
  </w:num>
  <w:num w:numId="25" w16cid:durableId="1110124303">
    <w:abstractNumId w:val="19"/>
  </w:num>
  <w:num w:numId="26" w16cid:durableId="310908547">
    <w:abstractNumId w:val="3"/>
  </w:num>
  <w:num w:numId="27" w16cid:durableId="78328492">
    <w:abstractNumId w:val="16"/>
  </w:num>
  <w:num w:numId="28" w16cid:durableId="13908843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03461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1AF"/>
    <w:rsid w:val="000059D3"/>
    <w:rsid w:val="00005B6D"/>
    <w:rsid w:val="0000600A"/>
    <w:rsid w:val="00006081"/>
    <w:rsid w:val="00007750"/>
    <w:rsid w:val="000077D0"/>
    <w:rsid w:val="000077FD"/>
    <w:rsid w:val="00007E37"/>
    <w:rsid w:val="00010A1F"/>
    <w:rsid w:val="00010C40"/>
    <w:rsid w:val="00011215"/>
    <w:rsid w:val="000112B4"/>
    <w:rsid w:val="00011DCC"/>
    <w:rsid w:val="00012532"/>
    <w:rsid w:val="00012B9E"/>
    <w:rsid w:val="00012F37"/>
    <w:rsid w:val="00012FBA"/>
    <w:rsid w:val="0001316F"/>
    <w:rsid w:val="00013C6B"/>
    <w:rsid w:val="0001406B"/>
    <w:rsid w:val="000143F8"/>
    <w:rsid w:val="00014624"/>
    <w:rsid w:val="00015642"/>
    <w:rsid w:val="00015B44"/>
    <w:rsid w:val="00015E3E"/>
    <w:rsid w:val="00016081"/>
    <w:rsid w:val="000165AC"/>
    <w:rsid w:val="00016651"/>
    <w:rsid w:val="000171A2"/>
    <w:rsid w:val="00017B65"/>
    <w:rsid w:val="00020158"/>
    <w:rsid w:val="000207E0"/>
    <w:rsid w:val="000207FF"/>
    <w:rsid w:val="000209E2"/>
    <w:rsid w:val="00020F8F"/>
    <w:rsid w:val="00021A95"/>
    <w:rsid w:val="0002256F"/>
    <w:rsid w:val="00023DAE"/>
    <w:rsid w:val="00024855"/>
    <w:rsid w:val="00024896"/>
    <w:rsid w:val="000254DD"/>
    <w:rsid w:val="00025D0A"/>
    <w:rsid w:val="000263F0"/>
    <w:rsid w:val="00026407"/>
    <w:rsid w:val="00026608"/>
    <w:rsid w:val="00027787"/>
    <w:rsid w:val="000278D2"/>
    <w:rsid w:val="0002797C"/>
    <w:rsid w:val="00031364"/>
    <w:rsid w:val="000315E1"/>
    <w:rsid w:val="0003236E"/>
    <w:rsid w:val="0003339A"/>
    <w:rsid w:val="000341F2"/>
    <w:rsid w:val="00035046"/>
    <w:rsid w:val="000351F2"/>
    <w:rsid w:val="000368A6"/>
    <w:rsid w:val="00036E03"/>
    <w:rsid w:val="00037AD5"/>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9D4"/>
    <w:rsid w:val="00045BF5"/>
    <w:rsid w:val="000463B5"/>
    <w:rsid w:val="00046717"/>
    <w:rsid w:val="00046A63"/>
    <w:rsid w:val="00046C09"/>
    <w:rsid w:val="0004716A"/>
    <w:rsid w:val="00047385"/>
    <w:rsid w:val="000473E8"/>
    <w:rsid w:val="000504DE"/>
    <w:rsid w:val="00050F9F"/>
    <w:rsid w:val="00051074"/>
    <w:rsid w:val="00051302"/>
    <w:rsid w:val="00051DC3"/>
    <w:rsid w:val="000526F0"/>
    <w:rsid w:val="0005273D"/>
    <w:rsid w:val="00052B79"/>
    <w:rsid w:val="00052E4B"/>
    <w:rsid w:val="00052EA0"/>
    <w:rsid w:val="000536A7"/>
    <w:rsid w:val="000536E3"/>
    <w:rsid w:val="00053896"/>
    <w:rsid w:val="00053A00"/>
    <w:rsid w:val="0005474D"/>
    <w:rsid w:val="00054D74"/>
    <w:rsid w:val="00055612"/>
    <w:rsid w:val="00055CB9"/>
    <w:rsid w:val="0005602F"/>
    <w:rsid w:val="00056565"/>
    <w:rsid w:val="00056F66"/>
    <w:rsid w:val="0005702F"/>
    <w:rsid w:val="00057930"/>
    <w:rsid w:val="000606AC"/>
    <w:rsid w:val="00061010"/>
    <w:rsid w:val="00061470"/>
    <w:rsid w:val="00061D06"/>
    <w:rsid w:val="00062BDF"/>
    <w:rsid w:val="00062CDD"/>
    <w:rsid w:val="00063AD6"/>
    <w:rsid w:val="00063F0C"/>
    <w:rsid w:val="000640AF"/>
    <w:rsid w:val="00064940"/>
    <w:rsid w:val="00064CAE"/>
    <w:rsid w:val="00064D2E"/>
    <w:rsid w:val="00064DB7"/>
    <w:rsid w:val="00064FA7"/>
    <w:rsid w:val="00065195"/>
    <w:rsid w:val="0006536C"/>
    <w:rsid w:val="00065D20"/>
    <w:rsid w:val="0006626E"/>
    <w:rsid w:val="00066FA4"/>
    <w:rsid w:val="000701A0"/>
    <w:rsid w:val="00070AF1"/>
    <w:rsid w:val="000714DE"/>
    <w:rsid w:val="000720D0"/>
    <w:rsid w:val="0007254F"/>
    <w:rsid w:val="00072878"/>
    <w:rsid w:val="0007357C"/>
    <w:rsid w:val="00073C30"/>
    <w:rsid w:val="00074305"/>
    <w:rsid w:val="000744D0"/>
    <w:rsid w:val="00074B2A"/>
    <w:rsid w:val="00074EEE"/>
    <w:rsid w:val="000753D5"/>
    <w:rsid w:val="00075761"/>
    <w:rsid w:val="00075B3E"/>
    <w:rsid w:val="00076456"/>
    <w:rsid w:val="00076B92"/>
    <w:rsid w:val="0007779B"/>
    <w:rsid w:val="000777E7"/>
    <w:rsid w:val="0007790A"/>
    <w:rsid w:val="0008017B"/>
    <w:rsid w:val="00080ACD"/>
    <w:rsid w:val="000811ED"/>
    <w:rsid w:val="0008139C"/>
    <w:rsid w:val="00081D62"/>
    <w:rsid w:val="000827E6"/>
    <w:rsid w:val="00082B74"/>
    <w:rsid w:val="00083099"/>
    <w:rsid w:val="00083EDC"/>
    <w:rsid w:val="0008457F"/>
    <w:rsid w:val="00084B97"/>
    <w:rsid w:val="00084BD2"/>
    <w:rsid w:val="0008510E"/>
    <w:rsid w:val="000856DE"/>
    <w:rsid w:val="00085F17"/>
    <w:rsid w:val="00085FB0"/>
    <w:rsid w:val="00085FB3"/>
    <w:rsid w:val="0008686B"/>
    <w:rsid w:val="00086B2A"/>
    <w:rsid w:val="00086C11"/>
    <w:rsid w:val="00086ED2"/>
    <w:rsid w:val="0009044C"/>
    <w:rsid w:val="000914D6"/>
    <w:rsid w:val="00091569"/>
    <w:rsid w:val="00092057"/>
    <w:rsid w:val="00092CDB"/>
    <w:rsid w:val="00092DCA"/>
    <w:rsid w:val="0009331B"/>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A18"/>
    <w:rsid w:val="000A0EC4"/>
    <w:rsid w:val="000A0ED1"/>
    <w:rsid w:val="000A1258"/>
    <w:rsid w:val="000A12DB"/>
    <w:rsid w:val="000A1417"/>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73BB"/>
    <w:rsid w:val="000A73E8"/>
    <w:rsid w:val="000A7C27"/>
    <w:rsid w:val="000A7EF4"/>
    <w:rsid w:val="000B081A"/>
    <w:rsid w:val="000B0A15"/>
    <w:rsid w:val="000B103F"/>
    <w:rsid w:val="000B1437"/>
    <w:rsid w:val="000B1470"/>
    <w:rsid w:val="000B17EC"/>
    <w:rsid w:val="000B244D"/>
    <w:rsid w:val="000B2B86"/>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ED2"/>
    <w:rsid w:val="000D1CEB"/>
    <w:rsid w:val="000D218D"/>
    <w:rsid w:val="000D2563"/>
    <w:rsid w:val="000D25BF"/>
    <w:rsid w:val="000D3582"/>
    <w:rsid w:val="000D3FDC"/>
    <w:rsid w:val="000D490B"/>
    <w:rsid w:val="000D4E38"/>
    <w:rsid w:val="000D50DB"/>
    <w:rsid w:val="000D6288"/>
    <w:rsid w:val="000D7541"/>
    <w:rsid w:val="000D75E1"/>
    <w:rsid w:val="000E1FF3"/>
    <w:rsid w:val="000E22CF"/>
    <w:rsid w:val="000E2977"/>
    <w:rsid w:val="000E2CC0"/>
    <w:rsid w:val="000E30AC"/>
    <w:rsid w:val="000E3B46"/>
    <w:rsid w:val="000E3E11"/>
    <w:rsid w:val="000E4596"/>
    <w:rsid w:val="000E4B94"/>
    <w:rsid w:val="000E4D50"/>
    <w:rsid w:val="000E5768"/>
    <w:rsid w:val="000E5843"/>
    <w:rsid w:val="000E6139"/>
    <w:rsid w:val="000E653C"/>
    <w:rsid w:val="000E6BE1"/>
    <w:rsid w:val="000E7E0B"/>
    <w:rsid w:val="000F0136"/>
    <w:rsid w:val="000F0367"/>
    <w:rsid w:val="000F078A"/>
    <w:rsid w:val="000F122D"/>
    <w:rsid w:val="000F1450"/>
    <w:rsid w:val="000F14E8"/>
    <w:rsid w:val="000F1BBD"/>
    <w:rsid w:val="000F290F"/>
    <w:rsid w:val="000F4403"/>
    <w:rsid w:val="000F480B"/>
    <w:rsid w:val="000F4E17"/>
    <w:rsid w:val="000F5615"/>
    <w:rsid w:val="000F6578"/>
    <w:rsid w:val="000F722C"/>
    <w:rsid w:val="000F7E8F"/>
    <w:rsid w:val="000F7FBB"/>
    <w:rsid w:val="001000FB"/>
    <w:rsid w:val="00100A9E"/>
    <w:rsid w:val="00100F6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EB"/>
    <w:rsid w:val="001078CE"/>
    <w:rsid w:val="00107EB3"/>
    <w:rsid w:val="00110A86"/>
    <w:rsid w:val="00110F61"/>
    <w:rsid w:val="001111BD"/>
    <w:rsid w:val="0011165A"/>
    <w:rsid w:val="00111B2B"/>
    <w:rsid w:val="001124C3"/>
    <w:rsid w:val="00112774"/>
    <w:rsid w:val="00112B2E"/>
    <w:rsid w:val="00113003"/>
    <w:rsid w:val="00113062"/>
    <w:rsid w:val="00113705"/>
    <w:rsid w:val="00113975"/>
    <w:rsid w:val="00113CFC"/>
    <w:rsid w:val="00113FEA"/>
    <w:rsid w:val="00114A22"/>
    <w:rsid w:val="00114E9D"/>
    <w:rsid w:val="0011507B"/>
    <w:rsid w:val="00115819"/>
    <w:rsid w:val="00116328"/>
    <w:rsid w:val="001163CF"/>
    <w:rsid w:val="00116A1C"/>
    <w:rsid w:val="001174C9"/>
    <w:rsid w:val="00117E69"/>
    <w:rsid w:val="00121103"/>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5AE"/>
    <w:rsid w:val="00134BCD"/>
    <w:rsid w:val="00134E09"/>
    <w:rsid w:val="001350AB"/>
    <w:rsid w:val="00135DB9"/>
    <w:rsid w:val="0013695C"/>
    <w:rsid w:val="00136BF7"/>
    <w:rsid w:val="00136C78"/>
    <w:rsid w:val="001378B9"/>
    <w:rsid w:val="00137E75"/>
    <w:rsid w:val="00137FFA"/>
    <w:rsid w:val="00140109"/>
    <w:rsid w:val="0014029B"/>
    <w:rsid w:val="00140464"/>
    <w:rsid w:val="00140A4F"/>
    <w:rsid w:val="001413AB"/>
    <w:rsid w:val="00141DBF"/>
    <w:rsid w:val="00142E96"/>
    <w:rsid w:val="00142EFD"/>
    <w:rsid w:val="00143AD6"/>
    <w:rsid w:val="00144335"/>
    <w:rsid w:val="0014502F"/>
    <w:rsid w:val="00145282"/>
    <w:rsid w:val="001453B0"/>
    <w:rsid w:val="001454D9"/>
    <w:rsid w:val="0014553F"/>
    <w:rsid w:val="001459D2"/>
    <w:rsid w:val="00145D8E"/>
    <w:rsid w:val="00146083"/>
    <w:rsid w:val="001462F7"/>
    <w:rsid w:val="00146312"/>
    <w:rsid w:val="00146418"/>
    <w:rsid w:val="00146B0E"/>
    <w:rsid w:val="00146D4D"/>
    <w:rsid w:val="001471AB"/>
    <w:rsid w:val="001474D7"/>
    <w:rsid w:val="00147F35"/>
    <w:rsid w:val="00150005"/>
    <w:rsid w:val="001500B0"/>
    <w:rsid w:val="00151AEB"/>
    <w:rsid w:val="00151B99"/>
    <w:rsid w:val="001521B2"/>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DDA"/>
    <w:rsid w:val="00161E62"/>
    <w:rsid w:val="00161F1C"/>
    <w:rsid w:val="0016200B"/>
    <w:rsid w:val="0016204B"/>
    <w:rsid w:val="001621C5"/>
    <w:rsid w:val="00162552"/>
    <w:rsid w:val="00163786"/>
    <w:rsid w:val="00163C03"/>
    <w:rsid w:val="00163D7A"/>
    <w:rsid w:val="00164281"/>
    <w:rsid w:val="00165703"/>
    <w:rsid w:val="00166204"/>
    <w:rsid w:val="0016685F"/>
    <w:rsid w:val="0016712F"/>
    <w:rsid w:val="00167503"/>
    <w:rsid w:val="001676A9"/>
    <w:rsid w:val="00167A15"/>
    <w:rsid w:val="00167A50"/>
    <w:rsid w:val="00167D1A"/>
    <w:rsid w:val="00167DF5"/>
    <w:rsid w:val="00170001"/>
    <w:rsid w:val="00170472"/>
    <w:rsid w:val="00172198"/>
    <w:rsid w:val="0017236C"/>
    <w:rsid w:val="00172612"/>
    <w:rsid w:val="00172817"/>
    <w:rsid w:val="001734E3"/>
    <w:rsid w:val="00173FB5"/>
    <w:rsid w:val="001742BF"/>
    <w:rsid w:val="001742E1"/>
    <w:rsid w:val="00175E49"/>
    <w:rsid w:val="0017649F"/>
    <w:rsid w:val="0017655B"/>
    <w:rsid w:val="001805C1"/>
    <w:rsid w:val="00180A2E"/>
    <w:rsid w:val="001813AF"/>
    <w:rsid w:val="001817E9"/>
    <w:rsid w:val="001829CD"/>
    <w:rsid w:val="00182F01"/>
    <w:rsid w:val="001833C2"/>
    <w:rsid w:val="001841E2"/>
    <w:rsid w:val="00184219"/>
    <w:rsid w:val="00184F27"/>
    <w:rsid w:val="0018519B"/>
    <w:rsid w:val="00185966"/>
    <w:rsid w:val="00185A2D"/>
    <w:rsid w:val="00185AFE"/>
    <w:rsid w:val="00185E78"/>
    <w:rsid w:val="00185F7F"/>
    <w:rsid w:val="00186AF3"/>
    <w:rsid w:val="001870F4"/>
    <w:rsid w:val="00187177"/>
    <w:rsid w:val="00187ABD"/>
    <w:rsid w:val="001904E3"/>
    <w:rsid w:val="0019087A"/>
    <w:rsid w:val="001915F1"/>
    <w:rsid w:val="00191C5A"/>
    <w:rsid w:val="00191CEB"/>
    <w:rsid w:val="00191E63"/>
    <w:rsid w:val="00192D68"/>
    <w:rsid w:val="00192E04"/>
    <w:rsid w:val="00192F9B"/>
    <w:rsid w:val="0019388B"/>
    <w:rsid w:val="00193ADE"/>
    <w:rsid w:val="00193B9A"/>
    <w:rsid w:val="001940ED"/>
    <w:rsid w:val="001946AE"/>
    <w:rsid w:val="001946D5"/>
    <w:rsid w:val="00194E8C"/>
    <w:rsid w:val="001962EC"/>
    <w:rsid w:val="001963DD"/>
    <w:rsid w:val="001965DB"/>
    <w:rsid w:val="0019673D"/>
    <w:rsid w:val="00196D01"/>
    <w:rsid w:val="00196DC9"/>
    <w:rsid w:val="00196E95"/>
    <w:rsid w:val="001A0236"/>
    <w:rsid w:val="001A0915"/>
    <w:rsid w:val="001A0929"/>
    <w:rsid w:val="001A0AF8"/>
    <w:rsid w:val="001A147D"/>
    <w:rsid w:val="001A1490"/>
    <w:rsid w:val="001A18D5"/>
    <w:rsid w:val="001A1A38"/>
    <w:rsid w:val="001A1BE0"/>
    <w:rsid w:val="001A1D4A"/>
    <w:rsid w:val="001A25D3"/>
    <w:rsid w:val="001A3011"/>
    <w:rsid w:val="001A3284"/>
    <w:rsid w:val="001A4A9B"/>
    <w:rsid w:val="001A4DAF"/>
    <w:rsid w:val="001A54CD"/>
    <w:rsid w:val="001A66DF"/>
    <w:rsid w:val="001A67D0"/>
    <w:rsid w:val="001A6863"/>
    <w:rsid w:val="001A7591"/>
    <w:rsid w:val="001A75B1"/>
    <w:rsid w:val="001A7B06"/>
    <w:rsid w:val="001A7C04"/>
    <w:rsid w:val="001B0366"/>
    <w:rsid w:val="001B0444"/>
    <w:rsid w:val="001B096B"/>
    <w:rsid w:val="001B0F9F"/>
    <w:rsid w:val="001B123C"/>
    <w:rsid w:val="001B19D8"/>
    <w:rsid w:val="001B1A0D"/>
    <w:rsid w:val="001B1BF1"/>
    <w:rsid w:val="001B2456"/>
    <w:rsid w:val="001B449C"/>
    <w:rsid w:val="001B4AA2"/>
    <w:rsid w:val="001B4ADE"/>
    <w:rsid w:val="001B5530"/>
    <w:rsid w:val="001B5EF8"/>
    <w:rsid w:val="001B5F4C"/>
    <w:rsid w:val="001B67DD"/>
    <w:rsid w:val="001B71E8"/>
    <w:rsid w:val="001C07C6"/>
    <w:rsid w:val="001C15C9"/>
    <w:rsid w:val="001C19CD"/>
    <w:rsid w:val="001C22D5"/>
    <w:rsid w:val="001C2515"/>
    <w:rsid w:val="001C26FB"/>
    <w:rsid w:val="001C2D24"/>
    <w:rsid w:val="001C33C1"/>
    <w:rsid w:val="001C3801"/>
    <w:rsid w:val="001C3E30"/>
    <w:rsid w:val="001C3E5C"/>
    <w:rsid w:val="001C5072"/>
    <w:rsid w:val="001C5B2A"/>
    <w:rsid w:val="001C600B"/>
    <w:rsid w:val="001C6476"/>
    <w:rsid w:val="001C6898"/>
    <w:rsid w:val="001C6DD8"/>
    <w:rsid w:val="001C7C7B"/>
    <w:rsid w:val="001D068D"/>
    <w:rsid w:val="001D12D1"/>
    <w:rsid w:val="001D15DF"/>
    <w:rsid w:val="001D2EEE"/>
    <w:rsid w:val="001D30F3"/>
    <w:rsid w:val="001D31A0"/>
    <w:rsid w:val="001D338E"/>
    <w:rsid w:val="001D4238"/>
    <w:rsid w:val="001D56E9"/>
    <w:rsid w:val="001D6006"/>
    <w:rsid w:val="001D65AC"/>
    <w:rsid w:val="001D716B"/>
    <w:rsid w:val="001D796A"/>
    <w:rsid w:val="001D7A84"/>
    <w:rsid w:val="001D7C79"/>
    <w:rsid w:val="001E003B"/>
    <w:rsid w:val="001E1CC4"/>
    <w:rsid w:val="001E1D38"/>
    <w:rsid w:val="001E223E"/>
    <w:rsid w:val="001E28A0"/>
    <w:rsid w:val="001E320D"/>
    <w:rsid w:val="001E3FFE"/>
    <w:rsid w:val="001E4258"/>
    <w:rsid w:val="001E5140"/>
    <w:rsid w:val="001E5D6A"/>
    <w:rsid w:val="001E600E"/>
    <w:rsid w:val="001E6A94"/>
    <w:rsid w:val="001E70FB"/>
    <w:rsid w:val="001E780A"/>
    <w:rsid w:val="001F08BB"/>
    <w:rsid w:val="001F0D15"/>
    <w:rsid w:val="001F0FA0"/>
    <w:rsid w:val="001F1349"/>
    <w:rsid w:val="001F1863"/>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395"/>
    <w:rsid w:val="002037AA"/>
    <w:rsid w:val="00203FE3"/>
    <w:rsid w:val="002042D8"/>
    <w:rsid w:val="00204515"/>
    <w:rsid w:val="00204660"/>
    <w:rsid w:val="00204BF5"/>
    <w:rsid w:val="00204E6B"/>
    <w:rsid w:val="002053EF"/>
    <w:rsid w:val="002058D4"/>
    <w:rsid w:val="0020632A"/>
    <w:rsid w:val="0020697F"/>
    <w:rsid w:val="00207262"/>
    <w:rsid w:val="0020726E"/>
    <w:rsid w:val="00210656"/>
    <w:rsid w:val="002110EB"/>
    <w:rsid w:val="00211338"/>
    <w:rsid w:val="00211388"/>
    <w:rsid w:val="0021148C"/>
    <w:rsid w:val="00211694"/>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6"/>
    <w:rsid w:val="0023146B"/>
    <w:rsid w:val="002315A0"/>
    <w:rsid w:val="00231748"/>
    <w:rsid w:val="00231E5D"/>
    <w:rsid w:val="00231EC7"/>
    <w:rsid w:val="002320F9"/>
    <w:rsid w:val="00232E15"/>
    <w:rsid w:val="00233079"/>
    <w:rsid w:val="0023382C"/>
    <w:rsid w:val="00233977"/>
    <w:rsid w:val="00233C58"/>
    <w:rsid w:val="00233C71"/>
    <w:rsid w:val="00234292"/>
    <w:rsid w:val="002345B6"/>
    <w:rsid w:val="002347A6"/>
    <w:rsid w:val="00234B84"/>
    <w:rsid w:val="00236016"/>
    <w:rsid w:val="00237065"/>
    <w:rsid w:val="00237589"/>
    <w:rsid w:val="0023758D"/>
    <w:rsid w:val="002375A7"/>
    <w:rsid w:val="0024019A"/>
    <w:rsid w:val="00240EC1"/>
    <w:rsid w:val="0024120F"/>
    <w:rsid w:val="0024131D"/>
    <w:rsid w:val="002415B8"/>
    <w:rsid w:val="00241816"/>
    <w:rsid w:val="00242D5F"/>
    <w:rsid w:val="00242D62"/>
    <w:rsid w:val="002430D0"/>
    <w:rsid w:val="002431D7"/>
    <w:rsid w:val="00244058"/>
    <w:rsid w:val="00244631"/>
    <w:rsid w:val="002451A6"/>
    <w:rsid w:val="00245718"/>
    <w:rsid w:val="00245E07"/>
    <w:rsid w:val="00246001"/>
    <w:rsid w:val="00246E0D"/>
    <w:rsid w:val="00247712"/>
    <w:rsid w:val="00250A9E"/>
    <w:rsid w:val="00250EC6"/>
    <w:rsid w:val="002515C7"/>
    <w:rsid w:val="00251866"/>
    <w:rsid w:val="00251A9F"/>
    <w:rsid w:val="00251ABD"/>
    <w:rsid w:val="00252492"/>
    <w:rsid w:val="00252B35"/>
    <w:rsid w:val="00253070"/>
    <w:rsid w:val="0025316D"/>
    <w:rsid w:val="00253A02"/>
    <w:rsid w:val="00253B81"/>
    <w:rsid w:val="002540D8"/>
    <w:rsid w:val="00254AE9"/>
    <w:rsid w:val="002554DE"/>
    <w:rsid w:val="00255575"/>
    <w:rsid w:val="00255E11"/>
    <w:rsid w:val="00255EA6"/>
    <w:rsid w:val="00256835"/>
    <w:rsid w:val="002569F0"/>
    <w:rsid w:val="00256C01"/>
    <w:rsid w:val="00256D3E"/>
    <w:rsid w:val="00256E1A"/>
    <w:rsid w:val="00256ECF"/>
    <w:rsid w:val="00257730"/>
    <w:rsid w:val="00257999"/>
    <w:rsid w:val="002604AA"/>
    <w:rsid w:val="00260BF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5EB4"/>
    <w:rsid w:val="002661F1"/>
    <w:rsid w:val="00266DB6"/>
    <w:rsid w:val="002679AB"/>
    <w:rsid w:val="002711A4"/>
    <w:rsid w:val="00271230"/>
    <w:rsid w:val="00271F13"/>
    <w:rsid w:val="002725C3"/>
    <w:rsid w:val="00272945"/>
    <w:rsid w:val="0027482E"/>
    <w:rsid w:val="00274DB5"/>
    <w:rsid w:val="00275BB1"/>
    <w:rsid w:val="0027604A"/>
    <w:rsid w:val="00276A51"/>
    <w:rsid w:val="0027770B"/>
    <w:rsid w:val="00277933"/>
    <w:rsid w:val="00277F8D"/>
    <w:rsid w:val="00277FA7"/>
    <w:rsid w:val="00280046"/>
    <w:rsid w:val="0028008D"/>
    <w:rsid w:val="00280B4F"/>
    <w:rsid w:val="00280F3D"/>
    <w:rsid w:val="0028106A"/>
    <w:rsid w:val="002815C0"/>
    <w:rsid w:val="00281EB4"/>
    <w:rsid w:val="00282D16"/>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9EB"/>
    <w:rsid w:val="00287BDB"/>
    <w:rsid w:val="0029031D"/>
    <w:rsid w:val="00290781"/>
    <w:rsid w:val="00291454"/>
    <w:rsid w:val="00291470"/>
    <w:rsid w:val="00291784"/>
    <w:rsid w:val="00291CF4"/>
    <w:rsid w:val="002920DF"/>
    <w:rsid w:val="002929BB"/>
    <w:rsid w:val="00294238"/>
    <w:rsid w:val="00294368"/>
    <w:rsid w:val="00294B78"/>
    <w:rsid w:val="00295416"/>
    <w:rsid w:val="002956FB"/>
    <w:rsid w:val="00295949"/>
    <w:rsid w:val="00295D7C"/>
    <w:rsid w:val="0029624A"/>
    <w:rsid w:val="00296922"/>
    <w:rsid w:val="00297098"/>
    <w:rsid w:val="002A05D4"/>
    <w:rsid w:val="002A06DB"/>
    <w:rsid w:val="002A09FF"/>
    <w:rsid w:val="002A0E60"/>
    <w:rsid w:val="002A1310"/>
    <w:rsid w:val="002A1A58"/>
    <w:rsid w:val="002A1B02"/>
    <w:rsid w:val="002A1C53"/>
    <w:rsid w:val="002A244B"/>
    <w:rsid w:val="002A28FC"/>
    <w:rsid w:val="002A2B44"/>
    <w:rsid w:val="002A2C29"/>
    <w:rsid w:val="002A2EA5"/>
    <w:rsid w:val="002A3132"/>
    <w:rsid w:val="002A3482"/>
    <w:rsid w:val="002A39B5"/>
    <w:rsid w:val="002A3D94"/>
    <w:rsid w:val="002A41AD"/>
    <w:rsid w:val="002A4736"/>
    <w:rsid w:val="002A4B1C"/>
    <w:rsid w:val="002A55FE"/>
    <w:rsid w:val="002A6AFB"/>
    <w:rsid w:val="002A733D"/>
    <w:rsid w:val="002A774A"/>
    <w:rsid w:val="002A78F3"/>
    <w:rsid w:val="002A7E5C"/>
    <w:rsid w:val="002A7F6D"/>
    <w:rsid w:val="002B08BA"/>
    <w:rsid w:val="002B1342"/>
    <w:rsid w:val="002B1F83"/>
    <w:rsid w:val="002B27C8"/>
    <w:rsid w:val="002B2A7F"/>
    <w:rsid w:val="002B330B"/>
    <w:rsid w:val="002B39BE"/>
    <w:rsid w:val="002B3F99"/>
    <w:rsid w:val="002B438C"/>
    <w:rsid w:val="002B48DB"/>
    <w:rsid w:val="002B4B34"/>
    <w:rsid w:val="002B541A"/>
    <w:rsid w:val="002B575D"/>
    <w:rsid w:val="002B5A82"/>
    <w:rsid w:val="002B5EAB"/>
    <w:rsid w:val="002B5F2E"/>
    <w:rsid w:val="002B6407"/>
    <w:rsid w:val="002B6416"/>
    <w:rsid w:val="002B6459"/>
    <w:rsid w:val="002B7014"/>
    <w:rsid w:val="002B73B0"/>
    <w:rsid w:val="002B7C2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C7102"/>
    <w:rsid w:val="002D0845"/>
    <w:rsid w:val="002D0933"/>
    <w:rsid w:val="002D18C5"/>
    <w:rsid w:val="002D19BB"/>
    <w:rsid w:val="002D1A9B"/>
    <w:rsid w:val="002D1ABF"/>
    <w:rsid w:val="002D20F8"/>
    <w:rsid w:val="002D22BD"/>
    <w:rsid w:val="002D22C5"/>
    <w:rsid w:val="002D233E"/>
    <w:rsid w:val="002D283F"/>
    <w:rsid w:val="002D302A"/>
    <w:rsid w:val="002D36C6"/>
    <w:rsid w:val="002D37C1"/>
    <w:rsid w:val="002D444B"/>
    <w:rsid w:val="002D46B4"/>
    <w:rsid w:val="002D4A45"/>
    <w:rsid w:val="002D4B42"/>
    <w:rsid w:val="002D4B43"/>
    <w:rsid w:val="002D4BC1"/>
    <w:rsid w:val="002D5A1B"/>
    <w:rsid w:val="002D64CE"/>
    <w:rsid w:val="002D65BC"/>
    <w:rsid w:val="002D6BBD"/>
    <w:rsid w:val="002D7EB2"/>
    <w:rsid w:val="002E055C"/>
    <w:rsid w:val="002E1050"/>
    <w:rsid w:val="002E107E"/>
    <w:rsid w:val="002E18E5"/>
    <w:rsid w:val="002E1953"/>
    <w:rsid w:val="002E1DC6"/>
    <w:rsid w:val="002E2C3F"/>
    <w:rsid w:val="002E2CB5"/>
    <w:rsid w:val="002E2D7D"/>
    <w:rsid w:val="002E32D0"/>
    <w:rsid w:val="002E3C26"/>
    <w:rsid w:val="002E3D76"/>
    <w:rsid w:val="002E3FF4"/>
    <w:rsid w:val="002E40A1"/>
    <w:rsid w:val="002E48EC"/>
    <w:rsid w:val="002E4B44"/>
    <w:rsid w:val="002E4ECB"/>
    <w:rsid w:val="002E4F23"/>
    <w:rsid w:val="002E635A"/>
    <w:rsid w:val="002E6D68"/>
    <w:rsid w:val="002E7847"/>
    <w:rsid w:val="002E7B3A"/>
    <w:rsid w:val="002F0073"/>
    <w:rsid w:val="002F1C67"/>
    <w:rsid w:val="002F2077"/>
    <w:rsid w:val="002F240B"/>
    <w:rsid w:val="002F27DE"/>
    <w:rsid w:val="002F2F50"/>
    <w:rsid w:val="002F2FBC"/>
    <w:rsid w:val="002F33EC"/>
    <w:rsid w:val="002F34E3"/>
    <w:rsid w:val="002F3601"/>
    <w:rsid w:val="002F3C19"/>
    <w:rsid w:val="002F3E4E"/>
    <w:rsid w:val="002F40E2"/>
    <w:rsid w:val="002F45F6"/>
    <w:rsid w:val="002F5A6F"/>
    <w:rsid w:val="002F692F"/>
    <w:rsid w:val="002F7575"/>
    <w:rsid w:val="002F7961"/>
    <w:rsid w:val="002F7B66"/>
    <w:rsid w:val="002F7C8C"/>
    <w:rsid w:val="00300726"/>
    <w:rsid w:val="00300CB4"/>
    <w:rsid w:val="00300E24"/>
    <w:rsid w:val="003033BA"/>
    <w:rsid w:val="00303C19"/>
    <w:rsid w:val="003043A3"/>
    <w:rsid w:val="00304BD4"/>
    <w:rsid w:val="0030500A"/>
    <w:rsid w:val="003052EB"/>
    <w:rsid w:val="0030575F"/>
    <w:rsid w:val="00305FCB"/>
    <w:rsid w:val="003063C3"/>
    <w:rsid w:val="003069DC"/>
    <w:rsid w:val="00306B44"/>
    <w:rsid w:val="00307C44"/>
    <w:rsid w:val="003100E1"/>
    <w:rsid w:val="0031088E"/>
    <w:rsid w:val="00310C45"/>
    <w:rsid w:val="00310D01"/>
    <w:rsid w:val="00311376"/>
    <w:rsid w:val="0031184C"/>
    <w:rsid w:val="00311A1F"/>
    <w:rsid w:val="00311B47"/>
    <w:rsid w:val="00311D52"/>
    <w:rsid w:val="00312190"/>
    <w:rsid w:val="003125E0"/>
    <w:rsid w:val="0031271D"/>
    <w:rsid w:val="003132BB"/>
    <w:rsid w:val="00313337"/>
    <w:rsid w:val="00313447"/>
    <w:rsid w:val="00313748"/>
    <w:rsid w:val="003137DE"/>
    <w:rsid w:val="00313C96"/>
    <w:rsid w:val="00313EA3"/>
    <w:rsid w:val="00314CA8"/>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0F55"/>
    <w:rsid w:val="0032137B"/>
    <w:rsid w:val="00321BD6"/>
    <w:rsid w:val="00321F37"/>
    <w:rsid w:val="00321FA3"/>
    <w:rsid w:val="00322342"/>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932"/>
    <w:rsid w:val="00331F74"/>
    <w:rsid w:val="00332096"/>
    <w:rsid w:val="00332382"/>
    <w:rsid w:val="00332453"/>
    <w:rsid w:val="0033251B"/>
    <w:rsid w:val="00333712"/>
    <w:rsid w:val="00333A88"/>
    <w:rsid w:val="00334C39"/>
    <w:rsid w:val="00335B15"/>
    <w:rsid w:val="00335B21"/>
    <w:rsid w:val="00335D3F"/>
    <w:rsid w:val="00336104"/>
    <w:rsid w:val="00336729"/>
    <w:rsid w:val="003368D6"/>
    <w:rsid w:val="00336CD9"/>
    <w:rsid w:val="0033726D"/>
    <w:rsid w:val="00337CA8"/>
    <w:rsid w:val="00340D3F"/>
    <w:rsid w:val="0034174B"/>
    <w:rsid w:val="0034177C"/>
    <w:rsid w:val="003420E9"/>
    <w:rsid w:val="00342345"/>
    <w:rsid w:val="00342C27"/>
    <w:rsid w:val="003430C8"/>
    <w:rsid w:val="003432C8"/>
    <w:rsid w:val="003434B3"/>
    <w:rsid w:val="00343536"/>
    <w:rsid w:val="0034399A"/>
    <w:rsid w:val="00343EFB"/>
    <w:rsid w:val="00344760"/>
    <w:rsid w:val="003454E8"/>
    <w:rsid w:val="00345574"/>
    <w:rsid w:val="0034680A"/>
    <w:rsid w:val="00346C62"/>
    <w:rsid w:val="00347202"/>
    <w:rsid w:val="0034778E"/>
    <w:rsid w:val="00347A5A"/>
    <w:rsid w:val="003501E2"/>
    <w:rsid w:val="00351716"/>
    <w:rsid w:val="00351E10"/>
    <w:rsid w:val="0035213C"/>
    <w:rsid w:val="00353081"/>
    <w:rsid w:val="003533F4"/>
    <w:rsid w:val="003536F6"/>
    <w:rsid w:val="00353DD5"/>
    <w:rsid w:val="0035463F"/>
    <w:rsid w:val="00355131"/>
    <w:rsid w:val="00355F74"/>
    <w:rsid w:val="003560DB"/>
    <w:rsid w:val="003564DB"/>
    <w:rsid w:val="00356F87"/>
    <w:rsid w:val="00357198"/>
    <w:rsid w:val="00357E83"/>
    <w:rsid w:val="00360CF3"/>
    <w:rsid w:val="0036137C"/>
    <w:rsid w:val="00361A59"/>
    <w:rsid w:val="00361ED9"/>
    <w:rsid w:val="003622B1"/>
    <w:rsid w:val="00363348"/>
    <w:rsid w:val="00363857"/>
    <w:rsid w:val="00363D59"/>
    <w:rsid w:val="003640F7"/>
    <w:rsid w:val="00364E04"/>
    <w:rsid w:val="003650AA"/>
    <w:rsid w:val="00365D3A"/>
    <w:rsid w:val="003664FF"/>
    <w:rsid w:val="00366BD2"/>
    <w:rsid w:val="003670B8"/>
    <w:rsid w:val="003704A3"/>
    <w:rsid w:val="0037058F"/>
    <w:rsid w:val="003706F2"/>
    <w:rsid w:val="003707CB"/>
    <w:rsid w:val="0037124F"/>
    <w:rsid w:val="00373827"/>
    <w:rsid w:val="0037401C"/>
    <w:rsid w:val="0037507B"/>
    <w:rsid w:val="00375C7C"/>
    <w:rsid w:val="00375DA0"/>
    <w:rsid w:val="00377027"/>
    <w:rsid w:val="00377135"/>
    <w:rsid w:val="00377B82"/>
    <w:rsid w:val="00380272"/>
    <w:rsid w:val="003805DB"/>
    <w:rsid w:val="0038152A"/>
    <w:rsid w:val="00382BAD"/>
    <w:rsid w:val="003835FD"/>
    <w:rsid w:val="00384DF1"/>
    <w:rsid w:val="00384EAF"/>
    <w:rsid w:val="00384FF3"/>
    <w:rsid w:val="00386456"/>
    <w:rsid w:val="003865A9"/>
    <w:rsid w:val="0039091C"/>
    <w:rsid w:val="0039092B"/>
    <w:rsid w:val="00390F32"/>
    <w:rsid w:val="0039135E"/>
    <w:rsid w:val="00391EFC"/>
    <w:rsid w:val="0039285D"/>
    <w:rsid w:val="0039319C"/>
    <w:rsid w:val="0039346A"/>
    <w:rsid w:val="00393577"/>
    <w:rsid w:val="00393CAE"/>
    <w:rsid w:val="003945F4"/>
    <w:rsid w:val="00394EB5"/>
    <w:rsid w:val="003953B4"/>
    <w:rsid w:val="0039615F"/>
    <w:rsid w:val="003966A0"/>
    <w:rsid w:val="00396837"/>
    <w:rsid w:val="00396A29"/>
    <w:rsid w:val="00397FF0"/>
    <w:rsid w:val="003A0455"/>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45F"/>
    <w:rsid w:val="003A493F"/>
    <w:rsid w:val="003A4A8E"/>
    <w:rsid w:val="003A563C"/>
    <w:rsid w:val="003A581E"/>
    <w:rsid w:val="003A6160"/>
    <w:rsid w:val="003A65A5"/>
    <w:rsid w:val="003A72F5"/>
    <w:rsid w:val="003A78E5"/>
    <w:rsid w:val="003B0341"/>
    <w:rsid w:val="003B1961"/>
    <w:rsid w:val="003B1E57"/>
    <w:rsid w:val="003B2EF3"/>
    <w:rsid w:val="003B3014"/>
    <w:rsid w:val="003B534F"/>
    <w:rsid w:val="003B5391"/>
    <w:rsid w:val="003B58CE"/>
    <w:rsid w:val="003B65D7"/>
    <w:rsid w:val="003B65E0"/>
    <w:rsid w:val="003B6BD4"/>
    <w:rsid w:val="003B6F4D"/>
    <w:rsid w:val="003B6FE7"/>
    <w:rsid w:val="003B70CE"/>
    <w:rsid w:val="003C0C0F"/>
    <w:rsid w:val="003C0D1F"/>
    <w:rsid w:val="003C116A"/>
    <w:rsid w:val="003C1AF4"/>
    <w:rsid w:val="003C1CB8"/>
    <w:rsid w:val="003C22DA"/>
    <w:rsid w:val="003C2550"/>
    <w:rsid w:val="003C287F"/>
    <w:rsid w:val="003C3146"/>
    <w:rsid w:val="003C3251"/>
    <w:rsid w:val="003C3339"/>
    <w:rsid w:val="003C375A"/>
    <w:rsid w:val="003C408D"/>
    <w:rsid w:val="003C4317"/>
    <w:rsid w:val="003C4C1F"/>
    <w:rsid w:val="003C4D9F"/>
    <w:rsid w:val="003C5247"/>
    <w:rsid w:val="003C5E8A"/>
    <w:rsid w:val="003C622C"/>
    <w:rsid w:val="003C6505"/>
    <w:rsid w:val="003C696A"/>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6B8F"/>
    <w:rsid w:val="003D7566"/>
    <w:rsid w:val="003E0224"/>
    <w:rsid w:val="003E09BB"/>
    <w:rsid w:val="003E159D"/>
    <w:rsid w:val="003E20EA"/>
    <w:rsid w:val="003E210C"/>
    <w:rsid w:val="003E2F55"/>
    <w:rsid w:val="003E34DB"/>
    <w:rsid w:val="003E3833"/>
    <w:rsid w:val="003E3AF9"/>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60E"/>
    <w:rsid w:val="003F0F7F"/>
    <w:rsid w:val="003F115C"/>
    <w:rsid w:val="003F153A"/>
    <w:rsid w:val="003F1767"/>
    <w:rsid w:val="003F1C15"/>
    <w:rsid w:val="003F23D1"/>
    <w:rsid w:val="003F2A86"/>
    <w:rsid w:val="003F300D"/>
    <w:rsid w:val="003F391F"/>
    <w:rsid w:val="003F3DE6"/>
    <w:rsid w:val="003F3FA1"/>
    <w:rsid w:val="003F4599"/>
    <w:rsid w:val="003F45E1"/>
    <w:rsid w:val="003F4A81"/>
    <w:rsid w:val="003F4F6C"/>
    <w:rsid w:val="003F559E"/>
    <w:rsid w:val="003F6098"/>
    <w:rsid w:val="003F6181"/>
    <w:rsid w:val="003F6B40"/>
    <w:rsid w:val="003F6BFC"/>
    <w:rsid w:val="003F6CE8"/>
    <w:rsid w:val="003F6D87"/>
    <w:rsid w:val="003F7343"/>
    <w:rsid w:val="00400002"/>
    <w:rsid w:val="00400054"/>
    <w:rsid w:val="00400134"/>
    <w:rsid w:val="004002C6"/>
    <w:rsid w:val="004004C2"/>
    <w:rsid w:val="00400707"/>
    <w:rsid w:val="004016A3"/>
    <w:rsid w:val="00401B31"/>
    <w:rsid w:val="0040202B"/>
    <w:rsid w:val="00402DE1"/>
    <w:rsid w:val="00402EEB"/>
    <w:rsid w:val="004037C2"/>
    <w:rsid w:val="00404041"/>
    <w:rsid w:val="00404B43"/>
    <w:rsid w:val="00404C61"/>
    <w:rsid w:val="00404F5D"/>
    <w:rsid w:val="00405487"/>
    <w:rsid w:val="00405730"/>
    <w:rsid w:val="00405B8A"/>
    <w:rsid w:val="0040602B"/>
    <w:rsid w:val="0040606C"/>
    <w:rsid w:val="004060DC"/>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8C"/>
    <w:rsid w:val="00421617"/>
    <w:rsid w:val="00421BD2"/>
    <w:rsid w:val="00421E00"/>
    <w:rsid w:val="00421FCB"/>
    <w:rsid w:val="0042244C"/>
    <w:rsid w:val="00422DCA"/>
    <w:rsid w:val="00423D04"/>
    <w:rsid w:val="00423F9F"/>
    <w:rsid w:val="00425C43"/>
    <w:rsid w:val="0042639C"/>
    <w:rsid w:val="00426FB4"/>
    <w:rsid w:val="004273FA"/>
    <w:rsid w:val="004275A7"/>
    <w:rsid w:val="00430186"/>
    <w:rsid w:val="00430F17"/>
    <w:rsid w:val="0043269A"/>
    <w:rsid w:val="004333C2"/>
    <w:rsid w:val="00433415"/>
    <w:rsid w:val="00434787"/>
    <w:rsid w:val="00434C13"/>
    <w:rsid w:val="00435128"/>
    <w:rsid w:val="0043549E"/>
    <w:rsid w:val="00435703"/>
    <w:rsid w:val="00435BD5"/>
    <w:rsid w:val="00436323"/>
    <w:rsid w:val="0043683F"/>
    <w:rsid w:val="00436B3F"/>
    <w:rsid w:val="00436F40"/>
    <w:rsid w:val="004370FA"/>
    <w:rsid w:val="00440096"/>
    <w:rsid w:val="004402C5"/>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2D77"/>
    <w:rsid w:val="004430D7"/>
    <w:rsid w:val="0044374D"/>
    <w:rsid w:val="00443B55"/>
    <w:rsid w:val="00443D27"/>
    <w:rsid w:val="00444038"/>
    <w:rsid w:val="0044500B"/>
    <w:rsid w:val="00446037"/>
    <w:rsid w:val="004463DB"/>
    <w:rsid w:val="0044642F"/>
    <w:rsid w:val="0044772C"/>
    <w:rsid w:val="00447C11"/>
    <w:rsid w:val="00450846"/>
    <w:rsid w:val="00451847"/>
    <w:rsid w:val="00451A52"/>
    <w:rsid w:val="004521DA"/>
    <w:rsid w:val="00452361"/>
    <w:rsid w:val="0045271D"/>
    <w:rsid w:val="00452755"/>
    <w:rsid w:val="00452803"/>
    <w:rsid w:val="0045290D"/>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7F8"/>
    <w:rsid w:val="004647FB"/>
    <w:rsid w:val="00465347"/>
    <w:rsid w:val="00465677"/>
    <w:rsid w:val="00466616"/>
    <w:rsid w:val="00466A0C"/>
    <w:rsid w:val="00466A53"/>
    <w:rsid w:val="004707BB"/>
    <w:rsid w:val="00470A6A"/>
    <w:rsid w:val="00470D73"/>
    <w:rsid w:val="00470D92"/>
    <w:rsid w:val="00470E92"/>
    <w:rsid w:val="0047179C"/>
    <w:rsid w:val="00471DF7"/>
    <w:rsid w:val="004721A4"/>
    <w:rsid w:val="004734CF"/>
    <w:rsid w:val="0047586C"/>
    <w:rsid w:val="00475C5A"/>
    <w:rsid w:val="00475C9C"/>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4F0F"/>
    <w:rsid w:val="00484F40"/>
    <w:rsid w:val="0048540C"/>
    <w:rsid w:val="00485996"/>
    <w:rsid w:val="004861B4"/>
    <w:rsid w:val="00486226"/>
    <w:rsid w:val="00486BD0"/>
    <w:rsid w:val="00486D00"/>
    <w:rsid w:val="00486FF7"/>
    <w:rsid w:val="00487263"/>
    <w:rsid w:val="0048734F"/>
    <w:rsid w:val="0048742E"/>
    <w:rsid w:val="0049014D"/>
    <w:rsid w:val="0049029D"/>
    <w:rsid w:val="0049030C"/>
    <w:rsid w:val="004903C0"/>
    <w:rsid w:val="00490D3C"/>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A04"/>
    <w:rsid w:val="004A6A52"/>
    <w:rsid w:val="004A7D11"/>
    <w:rsid w:val="004B07B2"/>
    <w:rsid w:val="004B0A44"/>
    <w:rsid w:val="004B0F0B"/>
    <w:rsid w:val="004B2197"/>
    <w:rsid w:val="004B298A"/>
    <w:rsid w:val="004B2B70"/>
    <w:rsid w:val="004B4DE8"/>
    <w:rsid w:val="004B50CB"/>
    <w:rsid w:val="004B512B"/>
    <w:rsid w:val="004B578D"/>
    <w:rsid w:val="004B5BE7"/>
    <w:rsid w:val="004B5E2D"/>
    <w:rsid w:val="004B6C07"/>
    <w:rsid w:val="004B74D3"/>
    <w:rsid w:val="004B755E"/>
    <w:rsid w:val="004B788E"/>
    <w:rsid w:val="004B7E5D"/>
    <w:rsid w:val="004C22F7"/>
    <w:rsid w:val="004C2A3E"/>
    <w:rsid w:val="004C2B27"/>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2F83"/>
    <w:rsid w:val="004D31EE"/>
    <w:rsid w:val="004D36AF"/>
    <w:rsid w:val="004D3BD1"/>
    <w:rsid w:val="004D4A64"/>
    <w:rsid w:val="004D4BA1"/>
    <w:rsid w:val="004D584D"/>
    <w:rsid w:val="004D5A7E"/>
    <w:rsid w:val="004D6120"/>
    <w:rsid w:val="004D6826"/>
    <w:rsid w:val="004D688D"/>
    <w:rsid w:val="004E023F"/>
    <w:rsid w:val="004E0546"/>
    <w:rsid w:val="004E0742"/>
    <w:rsid w:val="004E0C64"/>
    <w:rsid w:val="004E0F6B"/>
    <w:rsid w:val="004E133F"/>
    <w:rsid w:val="004E1545"/>
    <w:rsid w:val="004E1F1C"/>
    <w:rsid w:val="004E25C7"/>
    <w:rsid w:val="004E2A35"/>
    <w:rsid w:val="004E40CE"/>
    <w:rsid w:val="004E4581"/>
    <w:rsid w:val="004E5736"/>
    <w:rsid w:val="004E5A3C"/>
    <w:rsid w:val="004E5B36"/>
    <w:rsid w:val="004E5D5D"/>
    <w:rsid w:val="004E6045"/>
    <w:rsid w:val="004E6F43"/>
    <w:rsid w:val="004E7200"/>
    <w:rsid w:val="004E787E"/>
    <w:rsid w:val="004E7AA1"/>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39C"/>
    <w:rsid w:val="0050062F"/>
    <w:rsid w:val="00500E74"/>
    <w:rsid w:val="0050160F"/>
    <w:rsid w:val="0050273B"/>
    <w:rsid w:val="0050284E"/>
    <w:rsid w:val="00502911"/>
    <w:rsid w:val="0050306F"/>
    <w:rsid w:val="00503EC8"/>
    <w:rsid w:val="00505DCB"/>
    <w:rsid w:val="005075CA"/>
    <w:rsid w:val="00507B06"/>
    <w:rsid w:val="00507BF1"/>
    <w:rsid w:val="0051074C"/>
    <w:rsid w:val="0051099D"/>
    <w:rsid w:val="00510DE9"/>
    <w:rsid w:val="00510E2B"/>
    <w:rsid w:val="005111E2"/>
    <w:rsid w:val="0051123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ED7"/>
    <w:rsid w:val="00517F85"/>
    <w:rsid w:val="00520235"/>
    <w:rsid w:val="00520899"/>
    <w:rsid w:val="00520922"/>
    <w:rsid w:val="005209FC"/>
    <w:rsid w:val="00520C09"/>
    <w:rsid w:val="00521482"/>
    <w:rsid w:val="00521A30"/>
    <w:rsid w:val="005224E5"/>
    <w:rsid w:val="00523903"/>
    <w:rsid w:val="005239B6"/>
    <w:rsid w:val="00523C45"/>
    <w:rsid w:val="00523EE1"/>
    <w:rsid w:val="00523F41"/>
    <w:rsid w:val="00524165"/>
    <w:rsid w:val="005246E7"/>
    <w:rsid w:val="00524B08"/>
    <w:rsid w:val="00524C38"/>
    <w:rsid w:val="00524FD2"/>
    <w:rsid w:val="00525621"/>
    <w:rsid w:val="00526431"/>
    <w:rsid w:val="00526807"/>
    <w:rsid w:val="00526BBF"/>
    <w:rsid w:val="00527532"/>
    <w:rsid w:val="00527DEB"/>
    <w:rsid w:val="00527E57"/>
    <w:rsid w:val="00527F2C"/>
    <w:rsid w:val="005302C8"/>
    <w:rsid w:val="00530405"/>
    <w:rsid w:val="00530522"/>
    <w:rsid w:val="005305E5"/>
    <w:rsid w:val="0053086F"/>
    <w:rsid w:val="00530CBA"/>
    <w:rsid w:val="00530DD7"/>
    <w:rsid w:val="00530DFE"/>
    <w:rsid w:val="00530F38"/>
    <w:rsid w:val="00531E9A"/>
    <w:rsid w:val="00531F26"/>
    <w:rsid w:val="0053277C"/>
    <w:rsid w:val="005327C0"/>
    <w:rsid w:val="00532B61"/>
    <w:rsid w:val="00533101"/>
    <w:rsid w:val="00533CA9"/>
    <w:rsid w:val="005346AD"/>
    <w:rsid w:val="00534A10"/>
    <w:rsid w:val="00534EFB"/>
    <w:rsid w:val="00534F60"/>
    <w:rsid w:val="005357F1"/>
    <w:rsid w:val="00535BAD"/>
    <w:rsid w:val="00535D15"/>
    <w:rsid w:val="00536053"/>
    <w:rsid w:val="005369E6"/>
    <w:rsid w:val="005371AC"/>
    <w:rsid w:val="00537672"/>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481"/>
    <w:rsid w:val="005525C9"/>
    <w:rsid w:val="00552B3E"/>
    <w:rsid w:val="005535B9"/>
    <w:rsid w:val="005546CD"/>
    <w:rsid w:val="00554D57"/>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A19"/>
    <w:rsid w:val="00562D86"/>
    <w:rsid w:val="00564704"/>
    <w:rsid w:val="00564712"/>
    <w:rsid w:val="005657A8"/>
    <w:rsid w:val="00565952"/>
    <w:rsid w:val="00566866"/>
    <w:rsid w:val="00566E9D"/>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3355"/>
    <w:rsid w:val="0057337D"/>
    <w:rsid w:val="00573504"/>
    <w:rsid w:val="00573BA3"/>
    <w:rsid w:val="005746B2"/>
    <w:rsid w:val="00574708"/>
    <w:rsid w:val="00574C1A"/>
    <w:rsid w:val="00574D81"/>
    <w:rsid w:val="005756AA"/>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233"/>
    <w:rsid w:val="005842D0"/>
    <w:rsid w:val="005843E8"/>
    <w:rsid w:val="005845FB"/>
    <w:rsid w:val="005855AE"/>
    <w:rsid w:val="00585829"/>
    <w:rsid w:val="00585CA8"/>
    <w:rsid w:val="00586412"/>
    <w:rsid w:val="005864B9"/>
    <w:rsid w:val="005866C4"/>
    <w:rsid w:val="00590F1A"/>
    <w:rsid w:val="0059114D"/>
    <w:rsid w:val="00591C03"/>
    <w:rsid w:val="00591E2A"/>
    <w:rsid w:val="00592181"/>
    <w:rsid w:val="005923C4"/>
    <w:rsid w:val="00592F50"/>
    <w:rsid w:val="005938C3"/>
    <w:rsid w:val="00593EA2"/>
    <w:rsid w:val="00593F75"/>
    <w:rsid w:val="005940A0"/>
    <w:rsid w:val="0059429A"/>
    <w:rsid w:val="00594A54"/>
    <w:rsid w:val="00594CBE"/>
    <w:rsid w:val="00595AF6"/>
    <w:rsid w:val="00596AF7"/>
    <w:rsid w:val="00596CCE"/>
    <w:rsid w:val="005A1976"/>
    <w:rsid w:val="005A2120"/>
    <w:rsid w:val="005A2501"/>
    <w:rsid w:val="005A2C80"/>
    <w:rsid w:val="005A3066"/>
    <w:rsid w:val="005A3B35"/>
    <w:rsid w:val="005A3C4B"/>
    <w:rsid w:val="005A3E5A"/>
    <w:rsid w:val="005A43F3"/>
    <w:rsid w:val="005A47B3"/>
    <w:rsid w:val="005A496F"/>
    <w:rsid w:val="005A4A56"/>
    <w:rsid w:val="005A4F69"/>
    <w:rsid w:val="005A5608"/>
    <w:rsid w:val="005A5A3D"/>
    <w:rsid w:val="005A5CED"/>
    <w:rsid w:val="005A6035"/>
    <w:rsid w:val="005A6B75"/>
    <w:rsid w:val="005A6E00"/>
    <w:rsid w:val="005A718A"/>
    <w:rsid w:val="005A7885"/>
    <w:rsid w:val="005B12B2"/>
    <w:rsid w:val="005B143B"/>
    <w:rsid w:val="005B19BD"/>
    <w:rsid w:val="005B1E45"/>
    <w:rsid w:val="005B21C4"/>
    <w:rsid w:val="005B2206"/>
    <w:rsid w:val="005B24E7"/>
    <w:rsid w:val="005B2A28"/>
    <w:rsid w:val="005B3621"/>
    <w:rsid w:val="005B3EBE"/>
    <w:rsid w:val="005B4948"/>
    <w:rsid w:val="005B501D"/>
    <w:rsid w:val="005B54CC"/>
    <w:rsid w:val="005B74AD"/>
    <w:rsid w:val="005B7E96"/>
    <w:rsid w:val="005C0297"/>
    <w:rsid w:val="005C0429"/>
    <w:rsid w:val="005C084F"/>
    <w:rsid w:val="005C0EE9"/>
    <w:rsid w:val="005C0FC4"/>
    <w:rsid w:val="005C16A8"/>
    <w:rsid w:val="005C1716"/>
    <w:rsid w:val="005C1954"/>
    <w:rsid w:val="005C1C0B"/>
    <w:rsid w:val="005C1F78"/>
    <w:rsid w:val="005C2011"/>
    <w:rsid w:val="005C3EA3"/>
    <w:rsid w:val="005C44DE"/>
    <w:rsid w:val="005C5011"/>
    <w:rsid w:val="005C5241"/>
    <w:rsid w:val="005C529E"/>
    <w:rsid w:val="005C57BA"/>
    <w:rsid w:val="005C5C52"/>
    <w:rsid w:val="005C5D3D"/>
    <w:rsid w:val="005C5F05"/>
    <w:rsid w:val="005C6186"/>
    <w:rsid w:val="005C6247"/>
    <w:rsid w:val="005C67B5"/>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62C"/>
    <w:rsid w:val="005E0D7B"/>
    <w:rsid w:val="005E1595"/>
    <w:rsid w:val="005E1F1D"/>
    <w:rsid w:val="005E273D"/>
    <w:rsid w:val="005E3278"/>
    <w:rsid w:val="005E363B"/>
    <w:rsid w:val="005E3736"/>
    <w:rsid w:val="005E38E9"/>
    <w:rsid w:val="005E4B72"/>
    <w:rsid w:val="005E52C9"/>
    <w:rsid w:val="005F02D8"/>
    <w:rsid w:val="005F1D88"/>
    <w:rsid w:val="005F305B"/>
    <w:rsid w:val="005F3361"/>
    <w:rsid w:val="005F3ACA"/>
    <w:rsid w:val="005F3B47"/>
    <w:rsid w:val="005F4481"/>
    <w:rsid w:val="005F47AC"/>
    <w:rsid w:val="005F49AF"/>
    <w:rsid w:val="005F4A58"/>
    <w:rsid w:val="005F54DF"/>
    <w:rsid w:val="005F5888"/>
    <w:rsid w:val="005F5984"/>
    <w:rsid w:val="005F5EAB"/>
    <w:rsid w:val="005F6CE2"/>
    <w:rsid w:val="005F6EC8"/>
    <w:rsid w:val="005F6F24"/>
    <w:rsid w:val="005F72E9"/>
    <w:rsid w:val="005F780B"/>
    <w:rsid w:val="0060009B"/>
    <w:rsid w:val="00600473"/>
    <w:rsid w:val="0060079A"/>
    <w:rsid w:val="0060083D"/>
    <w:rsid w:val="0060139A"/>
    <w:rsid w:val="006013C9"/>
    <w:rsid w:val="00601B66"/>
    <w:rsid w:val="00601BFE"/>
    <w:rsid w:val="00601FC4"/>
    <w:rsid w:val="00602B45"/>
    <w:rsid w:val="00603499"/>
    <w:rsid w:val="006035F5"/>
    <w:rsid w:val="00603CC2"/>
    <w:rsid w:val="006042CD"/>
    <w:rsid w:val="006047D1"/>
    <w:rsid w:val="006048A4"/>
    <w:rsid w:val="00604A55"/>
    <w:rsid w:val="00604D4E"/>
    <w:rsid w:val="00604E3E"/>
    <w:rsid w:val="00605AC3"/>
    <w:rsid w:val="00606908"/>
    <w:rsid w:val="00607996"/>
    <w:rsid w:val="00607A37"/>
    <w:rsid w:val="00607E9F"/>
    <w:rsid w:val="0061085E"/>
    <w:rsid w:val="00610FBF"/>
    <w:rsid w:val="00611398"/>
    <w:rsid w:val="006113B4"/>
    <w:rsid w:val="0061186D"/>
    <w:rsid w:val="00611DA7"/>
    <w:rsid w:val="00611F22"/>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6133"/>
    <w:rsid w:val="006266D7"/>
    <w:rsid w:val="00626D1E"/>
    <w:rsid w:val="00626D42"/>
    <w:rsid w:val="00626EE3"/>
    <w:rsid w:val="006274AD"/>
    <w:rsid w:val="00627519"/>
    <w:rsid w:val="00627532"/>
    <w:rsid w:val="006302AA"/>
    <w:rsid w:val="006307FD"/>
    <w:rsid w:val="00630845"/>
    <w:rsid w:val="00631059"/>
    <w:rsid w:val="006310C3"/>
    <w:rsid w:val="00631245"/>
    <w:rsid w:val="006312E1"/>
    <w:rsid w:val="0063161E"/>
    <w:rsid w:val="00631BB5"/>
    <w:rsid w:val="00631DD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33D5"/>
    <w:rsid w:val="00643412"/>
    <w:rsid w:val="00644842"/>
    <w:rsid w:val="00645CEB"/>
    <w:rsid w:val="00646B20"/>
    <w:rsid w:val="00646D0F"/>
    <w:rsid w:val="00646D57"/>
    <w:rsid w:val="00646D69"/>
    <w:rsid w:val="00647A36"/>
    <w:rsid w:val="00647DCC"/>
    <w:rsid w:val="00647E07"/>
    <w:rsid w:val="00647EFA"/>
    <w:rsid w:val="00647F14"/>
    <w:rsid w:val="00650027"/>
    <w:rsid w:val="00650BBF"/>
    <w:rsid w:val="00650E89"/>
    <w:rsid w:val="00651B9C"/>
    <w:rsid w:val="00651C47"/>
    <w:rsid w:val="00651D91"/>
    <w:rsid w:val="00652E70"/>
    <w:rsid w:val="0065339A"/>
    <w:rsid w:val="00653469"/>
    <w:rsid w:val="00653A14"/>
    <w:rsid w:val="0065443A"/>
    <w:rsid w:val="00654A38"/>
    <w:rsid w:val="00654C3A"/>
    <w:rsid w:val="00655301"/>
    <w:rsid w:val="00655371"/>
    <w:rsid w:val="00655507"/>
    <w:rsid w:val="00656855"/>
    <w:rsid w:val="00656955"/>
    <w:rsid w:val="00656C4B"/>
    <w:rsid w:val="00656EEE"/>
    <w:rsid w:val="006572A7"/>
    <w:rsid w:val="006573EA"/>
    <w:rsid w:val="006606A4"/>
    <w:rsid w:val="00660748"/>
    <w:rsid w:val="00661029"/>
    <w:rsid w:val="006610C3"/>
    <w:rsid w:val="0066135A"/>
    <w:rsid w:val="006618E4"/>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11D"/>
    <w:rsid w:val="00667ED8"/>
    <w:rsid w:val="00667F76"/>
    <w:rsid w:val="0067064C"/>
    <w:rsid w:val="00670B20"/>
    <w:rsid w:val="00670E12"/>
    <w:rsid w:val="00670F27"/>
    <w:rsid w:val="00671BF1"/>
    <w:rsid w:val="00671E42"/>
    <w:rsid w:val="0067271C"/>
    <w:rsid w:val="00672E80"/>
    <w:rsid w:val="0067333F"/>
    <w:rsid w:val="006739E4"/>
    <w:rsid w:val="00673AE8"/>
    <w:rsid w:val="00673DD7"/>
    <w:rsid w:val="00673ECF"/>
    <w:rsid w:val="0067426B"/>
    <w:rsid w:val="00674A1B"/>
    <w:rsid w:val="00674F1C"/>
    <w:rsid w:val="006754F8"/>
    <w:rsid w:val="00676127"/>
    <w:rsid w:val="00676AED"/>
    <w:rsid w:val="006771DA"/>
    <w:rsid w:val="00677212"/>
    <w:rsid w:val="00677B26"/>
    <w:rsid w:val="00677C67"/>
    <w:rsid w:val="00677F26"/>
    <w:rsid w:val="006800EE"/>
    <w:rsid w:val="006802A7"/>
    <w:rsid w:val="00680A86"/>
    <w:rsid w:val="006811C9"/>
    <w:rsid w:val="006812CE"/>
    <w:rsid w:val="00682640"/>
    <w:rsid w:val="006826C1"/>
    <w:rsid w:val="00682C89"/>
    <w:rsid w:val="006832B8"/>
    <w:rsid w:val="006837B2"/>
    <w:rsid w:val="00683800"/>
    <w:rsid w:val="00684462"/>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CD"/>
    <w:rsid w:val="00692FFA"/>
    <w:rsid w:val="00693772"/>
    <w:rsid w:val="00693984"/>
    <w:rsid w:val="00693B77"/>
    <w:rsid w:val="00694160"/>
    <w:rsid w:val="006943F5"/>
    <w:rsid w:val="006959A5"/>
    <w:rsid w:val="00695C0C"/>
    <w:rsid w:val="00696736"/>
    <w:rsid w:val="00696A05"/>
    <w:rsid w:val="00697665"/>
    <w:rsid w:val="006978E1"/>
    <w:rsid w:val="00697C9A"/>
    <w:rsid w:val="00697E68"/>
    <w:rsid w:val="00697FC1"/>
    <w:rsid w:val="006A0274"/>
    <w:rsid w:val="006A112B"/>
    <w:rsid w:val="006A1F1F"/>
    <w:rsid w:val="006A27BC"/>
    <w:rsid w:val="006A2948"/>
    <w:rsid w:val="006A2A43"/>
    <w:rsid w:val="006A2BF1"/>
    <w:rsid w:val="006A2F9A"/>
    <w:rsid w:val="006A34E4"/>
    <w:rsid w:val="006A3A5A"/>
    <w:rsid w:val="006A44CF"/>
    <w:rsid w:val="006A457D"/>
    <w:rsid w:val="006A4C06"/>
    <w:rsid w:val="006A55EE"/>
    <w:rsid w:val="006A575B"/>
    <w:rsid w:val="006A59DE"/>
    <w:rsid w:val="006A5DEE"/>
    <w:rsid w:val="006A64C6"/>
    <w:rsid w:val="006A6655"/>
    <w:rsid w:val="006A6BF9"/>
    <w:rsid w:val="006A7CB5"/>
    <w:rsid w:val="006A7FD0"/>
    <w:rsid w:val="006B025C"/>
    <w:rsid w:val="006B08ED"/>
    <w:rsid w:val="006B2534"/>
    <w:rsid w:val="006B28DE"/>
    <w:rsid w:val="006B2CB2"/>
    <w:rsid w:val="006B347D"/>
    <w:rsid w:val="006B3E19"/>
    <w:rsid w:val="006B3EB4"/>
    <w:rsid w:val="006B4488"/>
    <w:rsid w:val="006B48C1"/>
    <w:rsid w:val="006B50C4"/>
    <w:rsid w:val="006B53AE"/>
    <w:rsid w:val="006B58B4"/>
    <w:rsid w:val="006B67AC"/>
    <w:rsid w:val="006B786A"/>
    <w:rsid w:val="006B7E4E"/>
    <w:rsid w:val="006C003A"/>
    <w:rsid w:val="006C0630"/>
    <w:rsid w:val="006C0AB9"/>
    <w:rsid w:val="006C107C"/>
    <w:rsid w:val="006C189C"/>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0CE4"/>
    <w:rsid w:val="006D10F6"/>
    <w:rsid w:val="006D1544"/>
    <w:rsid w:val="006D1688"/>
    <w:rsid w:val="006D17AA"/>
    <w:rsid w:val="006D1BE1"/>
    <w:rsid w:val="006D1DD3"/>
    <w:rsid w:val="006D1FF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C34"/>
    <w:rsid w:val="006E359B"/>
    <w:rsid w:val="006E39D1"/>
    <w:rsid w:val="006E3B05"/>
    <w:rsid w:val="006E437F"/>
    <w:rsid w:val="006E4D5B"/>
    <w:rsid w:val="006E5EA6"/>
    <w:rsid w:val="006E602F"/>
    <w:rsid w:val="006E6720"/>
    <w:rsid w:val="006E7275"/>
    <w:rsid w:val="006E77B8"/>
    <w:rsid w:val="006E77DF"/>
    <w:rsid w:val="006E7AAF"/>
    <w:rsid w:val="006F0F74"/>
    <w:rsid w:val="006F13BA"/>
    <w:rsid w:val="006F15CC"/>
    <w:rsid w:val="006F15F6"/>
    <w:rsid w:val="006F275F"/>
    <w:rsid w:val="006F2AE6"/>
    <w:rsid w:val="006F36EA"/>
    <w:rsid w:val="006F3D9B"/>
    <w:rsid w:val="006F4147"/>
    <w:rsid w:val="006F4315"/>
    <w:rsid w:val="006F4CB0"/>
    <w:rsid w:val="006F4F78"/>
    <w:rsid w:val="006F547E"/>
    <w:rsid w:val="006F5CCF"/>
    <w:rsid w:val="006F6469"/>
    <w:rsid w:val="006F6F04"/>
    <w:rsid w:val="006F71F5"/>
    <w:rsid w:val="007000A6"/>
    <w:rsid w:val="00700610"/>
    <w:rsid w:val="00700D8C"/>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73F"/>
    <w:rsid w:val="00707ED3"/>
    <w:rsid w:val="007101B7"/>
    <w:rsid w:val="00710668"/>
    <w:rsid w:val="00711019"/>
    <w:rsid w:val="007110F4"/>
    <w:rsid w:val="007112B1"/>
    <w:rsid w:val="0071130F"/>
    <w:rsid w:val="00712714"/>
    <w:rsid w:val="007129AB"/>
    <w:rsid w:val="00712B63"/>
    <w:rsid w:val="00712BC4"/>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2C51"/>
    <w:rsid w:val="00723040"/>
    <w:rsid w:val="00723251"/>
    <w:rsid w:val="00723475"/>
    <w:rsid w:val="007236C4"/>
    <w:rsid w:val="00724635"/>
    <w:rsid w:val="00724F21"/>
    <w:rsid w:val="00725134"/>
    <w:rsid w:val="0072554B"/>
    <w:rsid w:val="00725AFD"/>
    <w:rsid w:val="00726603"/>
    <w:rsid w:val="007266AC"/>
    <w:rsid w:val="00727B1D"/>
    <w:rsid w:val="00727DDC"/>
    <w:rsid w:val="00730CD6"/>
    <w:rsid w:val="00730F74"/>
    <w:rsid w:val="0073114B"/>
    <w:rsid w:val="0073122E"/>
    <w:rsid w:val="00731380"/>
    <w:rsid w:val="00732029"/>
    <w:rsid w:val="00732151"/>
    <w:rsid w:val="007341D8"/>
    <w:rsid w:val="00734952"/>
    <w:rsid w:val="00734990"/>
    <w:rsid w:val="00734FF5"/>
    <w:rsid w:val="00735B78"/>
    <w:rsid w:val="00735DA7"/>
    <w:rsid w:val="00736700"/>
    <w:rsid w:val="007368B4"/>
    <w:rsid w:val="00737229"/>
    <w:rsid w:val="007378E0"/>
    <w:rsid w:val="00740529"/>
    <w:rsid w:val="00740876"/>
    <w:rsid w:val="00740F18"/>
    <w:rsid w:val="00741358"/>
    <w:rsid w:val="00741626"/>
    <w:rsid w:val="00742332"/>
    <w:rsid w:val="00742886"/>
    <w:rsid w:val="00742C7F"/>
    <w:rsid w:val="00742DD2"/>
    <w:rsid w:val="007437C6"/>
    <w:rsid w:val="007441A2"/>
    <w:rsid w:val="007446F6"/>
    <w:rsid w:val="00744E80"/>
    <w:rsid w:val="00745035"/>
    <w:rsid w:val="0074531C"/>
    <w:rsid w:val="00745547"/>
    <w:rsid w:val="007459D0"/>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BC3"/>
    <w:rsid w:val="00750FA8"/>
    <w:rsid w:val="00750FB5"/>
    <w:rsid w:val="007520F0"/>
    <w:rsid w:val="007522E8"/>
    <w:rsid w:val="00752688"/>
    <w:rsid w:val="007529DB"/>
    <w:rsid w:val="007534AD"/>
    <w:rsid w:val="00753A7F"/>
    <w:rsid w:val="00753BAC"/>
    <w:rsid w:val="00754A0B"/>
    <w:rsid w:val="00755229"/>
    <w:rsid w:val="007552DB"/>
    <w:rsid w:val="0075549F"/>
    <w:rsid w:val="00755B08"/>
    <w:rsid w:val="00755DD0"/>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E92"/>
    <w:rsid w:val="00766D49"/>
    <w:rsid w:val="00766ECC"/>
    <w:rsid w:val="007672F3"/>
    <w:rsid w:val="007674AC"/>
    <w:rsid w:val="007677B5"/>
    <w:rsid w:val="007678B1"/>
    <w:rsid w:val="00767BE6"/>
    <w:rsid w:val="007708A8"/>
    <w:rsid w:val="00772100"/>
    <w:rsid w:val="00772275"/>
    <w:rsid w:val="00772CD5"/>
    <w:rsid w:val="007734E4"/>
    <w:rsid w:val="00773719"/>
    <w:rsid w:val="0077380D"/>
    <w:rsid w:val="00773BC8"/>
    <w:rsid w:val="00774549"/>
    <w:rsid w:val="0077466F"/>
    <w:rsid w:val="007752B7"/>
    <w:rsid w:val="007759A8"/>
    <w:rsid w:val="007759EE"/>
    <w:rsid w:val="00775C27"/>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86B"/>
    <w:rsid w:val="00782D2C"/>
    <w:rsid w:val="00782FC2"/>
    <w:rsid w:val="0078347A"/>
    <w:rsid w:val="00784938"/>
    <w:rsid w:val="00784FC4"/>
    <w:rsid w:val="00785BBB"/>
    <w:rsid w:val="00786937"/>
    <w:rsid w:val="00786FAD"/>
    <w:rsid w:val="00787A27"/>
    <w:rsid w:val="00787B1B"/>
    <w:rsid w:val="00787D90"/>
    <w:rsid w:val="00787F5E"/>
    <w:rsid w:val="00790164"/>
    <w:rsid w:val="007905C6"/>
    <w:rsid w:val="007906F9"/>
    <w:rsid w:val="00790A24"/>
    <w:rsid w:val="00790A37"/>
    <w:rsid w:val="00790A60"/>
    <w:rsid w:val="0079146D"/>
    <w:rsid w:val="00791C32"/>
    <w:rsid w:val="00791FF0"/>
    <w:rsid w:val="007923D0"/>
    <w:rsid w:val="007930D3"/>
    <w:rsid w:val="0079381F"/>
    <w:rsid w:val="007938E6"/>
    <w:rsid w:val="00793A57"/>
    <w:rsid w:val="00793B2E"/>
    <w:rsid w:val="007948F5"/>
    <w:rsid w:val="00795647"/>
    <w:rsid w:val="00795887"/>
    <w:rsid w:val="007963F6"/>
    <w:rsid w:val="00796DC8"/>
    <w:rsid w:val="00796E80"/>
    <w:rsid w:val="0079744F"/>
    <w:rsid w:val="0079776F"/>
    <w:rsid w:val="007979AD"/>
    <w:rsid w:val="00797A9C"/>
    <w:rsid w:val="007A0EAB"/>
    <w:rsid w:val="007A233D"/>
    <w:rsid w:val="007A2341"/>
    <w:rsid w:val="007A2754"/>
    <w:rsid w:val="007A38A1"/>
    <w:rsid w:val="007A3BBE"/>
    <w:rsid w:val="007A4766"/>
    <w:rsid w:val="007A57B8"/>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4B"/>
    <w:rsid w:val="007D1134"/>
    <w:rsid w:val="007D231B"/>
    <w:rsid w:val="007D23F7"/>
    <w:rsid w:val="007D2566"/>
    <w:rsid w:val="007D2C18"/>
    <w:rsid w:val="007D2D74"/>
    <w:rsid w:val="007D3693"/>
    <w:rsid w:val="007D3C6D"/>
    <w:rsid w:val="007D4050"/>
    <w:rsid w:val="007D481A"/>
    <w:rsid w:val="007D4CE5"/>
    <w:rsid w:val="007D4ED0"/>
    <w:rsid w:val="007D5648"/>
    <w:rsid w:val="007D58C5"/>
    <w:rsid w:val="007D5DE8"/>
    <w:rsid w:val="007D7A62"/>
    <w:rsid w:val="007D7B1C"/>
    <w:rsid w:val="007D7CFC"/>
    <w:rsid w:val="007E0812"/>
    <w:rsid w:val="007E18DF"/>
    <w:rsid w:val="007E1A10"/>
    <w:rsid w:val="007E2C36"/>
    <w:rsid w:val="007E350D"/>
    <w:rsid w:val="007E39C8"/>
    <w:rsid w:val="007E3ACA"/>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A0"/>
    <w:rsid w:val="007F2902"/>
    <w:rsid w:val="007F2903"/>
    <w:rsid w:val="007F2F90"/>
    <w:rsid w:val="007F3320"/>
    <w:rsid w:val="007F3AC1"/>
    <w:rsid w:val="007F4976"/>
    <w:rsid w:val="007F5A56"/>
    <w:rsid w:val="007F5D42"/>
    <w:rsid w:val="007F616E"/>
    <w:rsid w:val="007F6B46"/>
    <w:rsid w:val="007F72CB"/>
    <w:rsid w:val="007F736A"/>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700"/>
    <w:rsid w:val="00803AB0"/>
    <w:rsid w:val="00803CEF"/>
    <w:rsid w:val="00803D9D"/>
    <w:rsid w:val="00805898"/>
    <w:rsid w:val="008059C6"/>
    <w:rsid w:val="00805AD7"/>
    <w:rsid w:val="00805BD6"/>
    <w:rsid w:val="00805CEF"/>
    <w:rsid w:val="00805DE3"/>
    <w:rsid w:val="00807A7B"/>
    <w:rsid w:val="00807C35"/>
    <w:rsid w:val="00807F35"/>
    <w:rsid w:val="00807F69"/>
    <w:rsid w:val="008100F7"/>
    <w:rsid w:val="00810206"/>
    <w:rsid w:val="0081022B"/>
    <w:rsid w:val="00811898"/>
    <w:rsid w:val="00811CDC"/>
    <w:rsid w:val="008124D8"/>
    <w:rsid w:val="00813A41"/>
    <w:rsid w:val="00813A7B"/>
    <w:rsid w:val="00813F04"/>
    <w:rsid w:val="0081513E"/>
    <w:rsid w:val="00815D4C"/>
    <w:rsid w:val="00815DA5"/>
    <w:rsid w:val="00816221"/>
    <w:rsid w:val="008174E1"/>
    <w:rsid w:val="0081766B"/>
    <w:rsid w:val="008205AC"/>
    <w:rsid w:val="00820705"/>
    <w:rsid w:val="00820CBF"/>
    <w:rsid w:val="00820FA8"/>
    <w:rsid w:val="008212FD"/>
    <w:rsid w:val="00821489"/>
    <w:rsid w:val="008217B7"/>
    <w:rsid w:val="0082239B"/>
    <w:rsid w:val="0082292E"/>
    <w:rsid w:val="00822D06"/>
    <w:rsid w:val="00822EC4"/>
    <w:rsid w:val="0082348D"/>
    <w:rsid w:val="00823549"/>
    <w:rsid w:val="008236BE"/>
    <w:rsid w:val="00823EC5"/>
    <w:rsid w:val="008241CE"/>
    <w:rsid w:val="0082479F"/>
    <w:rsid w:val="00825240"/>
    <w:rsid w:val="00825B43"/>
    <w:rsid w:val="0082633B"/>
    <w:rsid w:val="008268FB"/>
    <w:rsid w:val="00826BCC"/>
    <w:rsid w:val="00826F71"/>
    <w:rsid w:val="00827CC0"/>
    <w:rsid w:val="008306AB"/>
    <w:rsid w:val="00831026"/>
    <w:rsid w:val="0083119B"/>
    <w:rsid w:val="00831BAE"/>
    <w:rsid w:val="00832216"/>
    <w:rsid w:val="008328D4"/>
    <w:rsid w:val="00832CD0"/>
    <w:rsid w:val="00833430"/>
    <w:rsid w:val="008338D0"/>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1379"/>
    <w:rsid w:val="008423EC"/>
    <w:rsid w:val="00842640"/>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542"/>
    <w:rsid w:val="0085092D"/>
    <w:rsid w:val="008509A5"/>
    <w:rsid w:val="00850C79"/>
    <w:rsid w:val="00850D82"/>
    <w:rsid w:val="00850EA3"/>
    <w:rsid w:val="00850F79"/>
    <w:rsid w:val="0085100B"/>
    <w:rsid w:val="0085304C"/>
    <w:rsid w:val="008536BB"/>
    <w:rsid w:val="00853A3C"/>
    <w:rsid w:val="008548CA"/>
    <w:rsid w:val="0085644D"/>
    <w:rsid w:val="00856C06"/>
    <w:rsid w:val="00856F87"/>
    <w:rsid w:val="0085790B"/>
    <w:rsid w:val="008579B9"/>
    <w:rsid w:val="00857C95"/>
    <w:rsid w:val="00857E78"/>
    <w:rsid w:val="00860AEF"/>
    <w:rsid w:val="00860B18"/>
    <w:rsid w:val="00860D5E"/>
    <w:rsid w:val="0086122C"/>
    <w:rsid w:val="00861310"/>
    <w:rsid w:val="00861F53"/>
    <w:rsid w:val="00861F5C"/>
    <w:rsid w:val="008623A7"/>
    <w:rsid w:val="0086289E"/>
    <w:rsid w:val="008629CB"/>
    <w:rsid w:val="0086394E"/>
    <w:rsid w:val="00863F8A"/>
    <w:rsid w:val="00863FE3"/>
    <w:rsid w:val="008640C4"/>
    <w:rsid w:val="00864241"/>
    <w:rsid w:val="00864423"/>
    <w:rsid w:val="0086468A"/>
    <w:rsid w:val="00864F24"/>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F97"/>
    <w:rsid w:val="008734A1"/>
    <w:rsid w:val="00874607"/>
    <w:rsid w:val="008747E9"/>
    <w:rsid w:val="00874915"/>
    <w:rsid w:val="00874B89"/>
    <w:rsid w:val="00875403"/>
    <w:rsid w:val="00875434"/>
    <w:rsid w:val="00875C1F"/>
    <w:rsid w:val="00876083"/>
    <w:rsid w:val="00876215"/>
    <w:rsid w:val="0087646C"/>
    <w:rsid w:val="00876815"/>
    <w:rsid w:val="00876B1C"/>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90820"/>
    <w:rsid w:val="0089107B"/>
    <w:rsid w:val="008913CC"/>
    <w:rsid w:val="008914AE"/>
    <w:rsid w:val="008919CF"/>
    <w:rsid w:val="00891F84"/>
    <w:rsid w:val="00891FC3"/>
    <w:rsid w:val="008928EC"/>
    <w:rsid w:val="00892E5D"/>
    <w:rsid w:val="008935CF"/>
    <w:rsid w:val="00893CD7"/>
    <w:rsid w:val="0089436B"/>
    <w:rsid w:val="00894436"/>
    <w:rsid w:val="00894BB1"/>
    <w:rsid w:val="008951D0"/>
    <w:rsid w:val="0089582D"/>
    <w:rsid w:val="008959C6"/>
    <w:rsid w:val="00895A2E"/>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973"/>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63F"/>
    <w:rsid w:val="008B3045"/>
    <w:rsid w:val="008B47A6"/>
    <w:rsid w:val="008B5C7C"/>
    <w:rsid w:val="008B63FE"/>
    <w:rsid w:val="008B672C"/>
    <w:rsid w:val="008B7781"/>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526A"/>
    <w:rsid w:val="008C62D4"/>
    <w:rsid w:val="008C6B0C"/>
    <w:rsid w:val="008C6B89"/>
    <w:rsid w:val="008C6B97"/>
    <w:rsid w:val="008C7EF7"/>
    <w:rsid w:val="008D18AA"/>
    <w:rsid w:val="008D1A2A"/>
    <w:rsid w:val="008D1ADE"/>
    <w:rsid w:val="008D2986"/>
    <w:rsid w:val="008D35D9"/>
    <w:rsid w:val="008D3B36"/>
    <w:rsid w:val="008D3B85"/>
    <w:rsid w:val="008D462D"/>
    <w:rsid w:val="008D6084"/>
    <w:rsid w:val="008D64AC"/>
    <w:rsid w:val="008D66CA"/>
    <w:rsid w:val="008D69B1"/>
    <w:rsid w:val="008D7338"/>
    <w:rsid w:val="008D785E"/>
    <w:rsid w:val="008D7D22"/>
    <w:rsid w:val="008D7D66"/>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44AB"/>
    <w:rsid w:val="008E4CAE"/>
    <w:rsid w:val="008E5179"/>
    <w:rsid w:val="008E57FE"/>
    <w:rsid w:val="008E6598"/>
    <w:rsid w:val="008E7214"/>
    <w:rsid w:val="008E7497"/>
    <w:rsid w:val="008E7884"/>
    <w:rsid w:val="008E795C"/>
    <w:rsid w:val="008E7D6E"/>
    <w:rsid w:val="008E7E04"/>
    <w:rsid w:val="008E7EAA"/>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71AB"/>
    <w:rsid w:val="008F7905"/>
    <w:rsid w:val="008F7989"/>
    <w:rsid w:val="00900A23"/>
    <w:rsid w:val="00901F1D"/>
    <w:rsid w:val="009028E8"/>
    <w:rsid w:val="00902E5C"/>
    <w:rsid w:val="0090363E"/>
    <w:rsid w:val="00903E0D"/>
    <w:rsid w:val="009046E5"/>
    <w:rsid w:val="009047C5"/>
    <w:rsid w:val="00905CE5"/>
    <w:rsid w:val="00910683"/>
    <w:rsid w:val="00910E00"/>
    <w:rsid w:val="00910E04"/>
    <w:rsid w:val="00911142"/>
    <w:rsid w:val="009116CE"/>
    <w:rsid w:val="00911714"/>
    <w:rsid w:val="00911D04"/>
    <w:rsid w:val="00911EFF"/>
    <w:rsid w:val="00912294"/>
    <w:rsid w:val="0091310F"/>
    <w:rsid w:val="009136D4"/>
    <w:rsid w:val="0091480F"/>
    <w:rsid w:val="00914B9A"/>
    <w:rsid w:val="00914C3F"/>
    <w:rsid w:val="00914F33"/>
    <w:rsid w:val="00915A9E"/>
    <w:rsid w:val="00915EFE"/>
    <w:rsid w:val="00915FCE"/>
    <w:rsid w:val="00916528"/>
    <w:rsid w:val="00916A4C"/>
    <w:rsid w:val="00916AFE"/>
    <w:rsid w:val="00916FC8"/>
    <w:rsid w:val="009170D3"/>
    <w:rsid w:val="0091759C"/>
    <w:rsid w:val="00917720"/>
    <w:rsid w:val="00920026"/>
    <w:rsid w:val="009203E2"/>
    <w:rsid w:val="00920F61"/>
    <w:rsid w:val="0092119E"/>
    <w:rsid w:val="00921304"/>
    <w:rsid w:val="00921395"/>
    <w:rsid w:val="00921805"/>
    <w:rsid w:val="00921E63"/>
    <w:rsid w:val="00922379"/>
    <w:rsid w:val="0092257D"/>
    <w:rsid w:val="00922B4A"/>
    <w:rsid w:val="00923396"/>
    <w:rsid w:val="00923F56"/>
    <w:rsid w:val="00924770"/>
    <w:rsid w:val="00925346"/>
    <w:rsid w:val="00925743"/>
    <w:rsid w:val="0092579F"/>
    <w:rsid w:val="00926068"/>
    <w:rsid w:val="00927DD3"/>
    <w:rsid w:val="00927E8D"/>
    <w:rsid w:val="00927F23"/>
    <w:rsid w:val="00930521"/>
    <w:rsid w:val="009307CD"/>
    <w:rsid w:val="00931364"/>
    <w:rsid w:val="00931365"/>
    <w:rsid w:val="00931451"/>
    <w:rsid w:val="009314FA"/>
    <w:rsid w:val="0093194F"/>
    <w:rsid w:val="00931BF3"/>
    <w:rsid w:val="00931C55"/>
    <w:rsid w:val="00932014"/>
    <w:rsid w:val="00933333"/>
    <w:rsid w:val="00933390"/>
    <w:rsid w:val="0093349A"/>
    <w:rsid w:val="0093352B"/>
    <w:rsid w:val="009338BA"/>
    <w:rsid w:val="00933FCB"/>
    <w:rsid w:val="00934396"/>
    <w:rsid w:val="009346C8"/>
    <w:rsid w:val="00934BEF"/>
    <w:rsid w:val="00934CEC"/>
    <w:rsid w:val="00934E6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DD0"/>
    <w:rsid w:val="009439B6"/>
    <w:rsid w:val="00943FCD"/>
    <w:rsid w:val="009444B4"/>
    <w:rsid w:val="00944644"/>
    <w:rsid w:val="00946A24"/>
    <w:rsid w:val="009470D4"/>
    <w:rsid w:val="00947337"/>
    <w:rsid w:val="00947E6E"/>
    <w:rsid w:val="0095041D"/>
    <w:rsid w:val="00950EF2"/>
    <w:rsid w:val="009512FA"/>
    <w:rsid w:val="009516A9"/>
    <w:rsid w:val="00951E57"/>
    <w:rsid w:val="00952350"/>
    <w:rsid w:val="00952505"/>
    <w:rsid w:val="00953018"/>
    <w:rsid w:val="009533E2"/>
    <w:rsid w:val="00953554"/>
    <w:rsid w:val="0095385A"/>
    <w:rsid w:val="0095473B"/>
    <w:rsid w:val="00954F3A"/>
    <w:rsid w:val="00955539"/>
    <w:rsid w:val="009570C8"/>
    <w:rsid w:val="0095780A"/>
    <w:rsid w:val="009578C3"/>
    <w:rsid w:val="009579E4"/>
    <w:rsid w:val="00957AA4"/>
    <w:rsid w:val="00957ACB"/>
    <w:rsid w:val="00957F27"/>
    <w:rsid w:val="00957F86"/>
    <w:rsid w:val="00960BDB"/>
    <w:rsid w:val="0096105C"/>
    <w:rsid w:val="0096147D"/>
    <w:rsid w:val="00961D53"/>
    <w:rsid w:val="00961E5F"/>
    <w:rsid w:val="009625C6"/>
    <w:rsid w:val="009629B5"/>
    <w:rsid w:val="00962A50"/>
    <w:rsid w:val="00962FA0"/>
    <w:rsid w:val="0096347F"/>
    <w:rsid w:val="00963550"/>
    <w:rsid w:val="00964138"/>
    <w:rsid w:val="0096470C"/>
    <w:rsid w:val="009648D6"/>
    <w:rsid w:val="009649AE"/>
    <w:rsid w:val="00964B3F"/>
    <w:rsid w:val="00964C98"/>
    <w:rsid w:val="00967BEF"/>
    <w:rsid w:val="00970C7B"/>
    <w:rsid w:val="00971441"/>
    <w:rsid w:val="009715D4"/>
    <w:rsid w:val="0097179A"/>
    <w:rsid w:val="009731F4"/>
    <w:rsid w:val="009732A4"/>
    <w:rsid w:val="00973C05"/>
    <w:rsid w:val="00973CFF"/>
    <w:rsid w:val="0097494E"/>
    <w:rsid w:val="00974999"/>
    <w:rsid w:val="00974B58"/>
    <w:rsid w:val="00974B94"/>
    <w:rsid w:val="00974CBD"/>
    <w:rsid w:val="00975390"/>
    <w:rsid w:val="00975445"/>
    <w:rsid w:val="0097590C"/>
    <w:rsid w:val="009761ED"/>
    <w:rsid w:val="0098022F"/>
    <w:rsid w:val="009810DE"/>
    <w:rsid w:val="00981B91"/>
    <w:rsid w:val="009822D7"/>
    <w:rsid w:val="009827E6"/>
    <w:rsid w:val="00982F84"/>
    <w:rsid w:val="009831C3"/>
    <w:rsid w:val="0098427D"/>
    <w:rsid w:val="0098450A"/>
    <w:rsid w:val="00984567"/>
    <w:rsid w:val="00985102"/>
    <w:rsid w:val="009854BC"/>
    <w:rsid w:val="00985A66"/>
    <w:rsid w:val="0098606C"/>
    <w:rsid w:val="009865D5"/>
    <w:rsid w:val="00987123"/>
    <w:rsid w:val="009876F2"/>
    <w:rsid w:val="00987C77"/>
    <w:rsid w:val="00987F55"/>
    <w:rsid w:val="00987FED"/>
    <w:rsid w:val="00990345"/>
    <w:rsid w:val="00990701"/>
    <w:rsid w:val="0099119C"/>
    <w:rsid w:val="0099137A"/>
    <w:rsid w:val="00991CFE"/>
    <w:rsid w:val="00991D3D"/>
    <w:rsid w:val="0099211C"/>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97899"/>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608C"/>
    <w:rsid w:val="009A6FDF"/>
    <w:rsid w:val="009A715F"/>
    <w:rsid w:val="009A76D6"/>
    <w:rsid w:val="009B231D"/>
    <w:rsid w:val="009B2374"/>
    <w:rsid w:val="009B2E29"/>
    <w:rsid w:val="009B3163"/>
    <w:rsid w:val="009B35AE"/>
    <w:rsid w:val="009B422F"/>
    <w:rsid w:val="009B46BC"/>
    <w:rsid w:val="009B4D1A"/>
    <w:rsid w:val="009B519D"/>
    <w:rsid w:val="009B558B"/>
    <w:rsid w:val="009B5981"/>
    <w:rsid w:val="009B6D21"/>
    <w:rsid w:val="009B78ED"/>
    <w:rsid w:val="009B7AB0"/>
    <w:rsid w:val="009C0D57"/>
    <w:rsid w:val="009C181C"/>
    <w:rsid w:val="009C1A44"/>
    <w:rsid w:val="009C1C7F"/>
    <w:rsid w:val="009C1EC7"/>
    <w:rsid w:val="009C28A2"/>
    <w:rsid w:val="009C3239"/>
    <w:rsid w:val="009C37CC"/>
    <w:rsid w:val="009C3828"/>
    <w:rsid w:val="009C3AD3"/>
    <w:rsid w:val="009C3AF4"/>
    <w:rsid w:val="009C3D2C"/>
    <w:rsid w:val="009C3E47"/>
    <w:rsid w:val="009C48C9"/>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5DA"/>
    <w:rsid w:val="009D11F6"/>
    <w:rsid w:val="009D138F"/>
    <w:rsid w:val="009D1A14"/>
    <w:rsid w:val="009D1E2A"/>
    <w:rsid w:val="009D1FA0"/>
    <w:rsid w:val="009D28AB"/>
    <w:rsid w:val="009D2BDF"/>
    <w:rsid w:val="009D3736"/>
    <w:rsid w:val="009D4529"/>
    <w:rsid w:val="009D604F"/>
    <w:rsid w:val="009D61BB"/>
    <w:rsid w:val="009D6410"/>
    <w:rsid w:val="009D68BB"/>
    <w:rsid w:val="009D6909"/>
    <w:rsid w:val="009D7049"/>
    <w:rsid w:val="009D70C2"/>
    <w:rsid w:val="009D7244"/>
    <w:rsid w:val="009D7ADB"/>
    <w:rsid w:val="009D7B33"/>
    <w:rsid w:val="009D7F2E"/>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EAE"/>
    <w:rsid w:val="009F261E"/>
    <w:rsid w:val="009F369D"/>
    <w:rsid w:val="009F36FE"/>
    <w:rsid w:val="009F3D92"/>
    <w:rsid w:val="009F4990"/>
    <w:rsid w:val="009F4F25"/>
    <w:rsid w:val="009F59C2"/>
    <w:rsid w:val="009F5A2A"/>
    <w:rsid w:val="009F5ABB"/>
    <w:rsid w:val="009F6797"/>
    <w:rsid w:val="009F7263"/>
    <w:rsid w:val="009F76EA"/>
    <w:rsid w:val="009F78C0"/>
    <w:rsid w:val="009F78EB"/>
    <w:rsid w:val="009F7DB2"/>
    <w:rsid w:val="009F7F32"/>
    <w:rsid w:val="009F7FEB"/>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8FB"/>
    <w:rsid w:val="00A101E1"/>
    <w:rsid w:val="00A1036D"/>
    <w:rsid w:val="00A1069F"/>
    <w:rsid w:val="00A10ACA"/>
    <w:rsid w:val="00A10D08"/>
    <w:rsid w:val="00A11BB6"/>
    <w:rsid w:val="00A11E78"/>
    <w:rsid w:val="00A12355"/>
    <w:rsid w:val="00A12574"/>
    <w:rsid w:val="00A127D2"/>
    <w:rsid w:val="00A1284E"/>
    <w:rsid w:val="00A131F8"/>
    <w:rsid w:val="00A13CF5"/>
    <w:rsid w:val="00A143EC"/>
    <w:rsid w:val="00A149E8"/>
    <w:rsid w:val="00A14E6E"/>
    <w:rsid w:val="00A1500F"/>
    <w:rsid w:val="00A15621"/>
    <w:rsid w:val="00A15670"/>
    <w:rsid w:val="00A157A0"/>
    <w:rsid w:val="00A1585B"/>
    <w:rsid w:val="00A15C19"/>
    <w:rsid w:val="00A15FE9"/>
    <w:rsid w:val="00A1615C"/>
    <w:rsid w:val="00A161D5"/>
    <w:rsid w:val="00A16809"/>
    <w:rsid w:val="00A17584"/>
    <w:rsid w:val="00A17769"/>
    <w:rsid w:val="00A177ED"/>
    <w:rsid w:val="00A17EA2"/>
    <w:rsid w:val="00A20264"/>
    <w:rsid w:val="00A20946"/>
    <w:rsid w:val="00A20997"/>
    <w:rsid w:val="00A210D4"/>
    <w:rsid w:val="00A213DD"/>
    <w:rsid w:val="00A21454"/>
    <w:rsid w:val="00A216CE"/>
    <w:rsid w:val="00A22025"/>
    <w:rsid w:val="00A22498"/>
    <w:rsid w:val="00A22571"/>
    <w:rsid w:val="00A2298D"/>
    <w:rsid w:val="00A24560"/>
    <w:rsid w:val="00A24835"/>
    <w:rsid w:val="00A25B0F"/>
    <w:rsid w:val="00A25BBB"/>
    <w:rsid w:val="00A25F2F"/>
    <w:rsid w:val="00A27FB6"/>
    <w:rsid w:val="00A30121"/>
    <w:rsid w:val="00A30368"/>
    <w:rsid w:val="00A3043A"/>
    <w:rsid w:val="00A30E02"/>
    <w:rsid w:val="00A30F6A"/>
    <w:rsid w:val="00A31C3E"/>
    <w:rsid w:val="00A31CE1"/>
    <w:rsid w:val="00A32254"/>
    <w:rsid w:val="00A32A8C"/>
    <w:rsid w:val="00A34538"/>
    <w:rsid w:val="00A34677"/>
    <w:rsid w:val="00A3540F"/>
    <w:rsid w:val="00A35630"/>
    <w:rsid w:val="00A35914"/>
    <w:rsid w:val="00A36189"/>
    <w:rsid w:val="00A37054"/>
    <w:rsid w:val="00A37E73"/>
    <w:rsid w:val="00A37FB6"/>
    <w:rsid w:val="00A409E2"/>
    <w:rsid w:val="00A4104A"/>
    <w:rsid w:val="00A41081"/>
    <w:rsid w:val="00A411CA"/>
    <w:rsid w:val="00A41AE8"/>
    <w:rsid w:val="00A41C35"/>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6E1D"/>
    <w:rsid w:val="00A57EB2"/>
    <w:rsid w:val="00A6009E"/>
    <w:rsid w:val="00A60265"/>
    <w:rsid w:val="00A60540"/>
    <w:rsid w:val="00A60B1F"/>
    <w:rsid w:val="00A6109E"/>
    <w:rsid w:val="00A61C60"/>
    <w:rsid w:val="00A62589"/>
    <w:rsid w:val="00A62AD0"/>
    <w:rsid w:val="00A62C3A"/>
    <w:rsid w:val="00A6319C"/>
    <w:rsid w:val="00A63812"/>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D39"/>
    <w:rsid w:val="00A73D64"/>
    <w:rsid w:val="00A74216"/>
    <w:rsid w:val="00A74360"/>
    <w:rsid w:val="00A744B4"/>
    <w:rsid w:val="00A751E3"/>
    <w:rsid w:val="00A753B9"/>
    <w:rsid w:val="00A7549A"/>
    <w:rsid w:val="00A75504"/>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83D"/>
    <w:rsid w:val="00A8487F"/>
    <w:rsid w:val="00A849A3"/>
    <w:rsid w:val="00A84A0E"/>
    <w:rsid w:val="00A8575D"/>
    <w:rsid w:val="00A86E0B"/>
    <w:rsid w:val="00A87FAC"/>
    <w:rsid w:val="00A90792"/>
    <w:rsid w:val="00A90F12"/>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43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2767"/>
    <w:rsid w:val="00AA3036"/>
    <w:rsid w:val="00AA3D7B"/>
    <w:rsid w:val="00AA42A0"/>
    <w:rsid w:val="00AA442B"/>
    <w:rsid w:val="00AA46A4"/>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5DF8"/>
    <w:rsid w:val="00AB724B"/>
    <w:rsid w:val="00AB726C"/>
    <w:rsid w:val="00AB72B4"/>
    <w:rsid w:val="00AB7411"/>
    <w:rsid w:val="00AB7A7A"/>
    <w:rsid w:val="00AC02AA"/>
    <w:rsid w:val="00AC0537"/>
    <w:rsid w:val="00AC0A84"/>
    <w:rsid w:val="00AC1508"/>
    <w:rsid w:val="00AC1600"/>
    <w:rsid w:val="00AC2A0B"/>
    <w:rsid w:val="00AC2BEE"/>
    <w:rsid w:val="00AC2E53"/>
    <w:rsid w:val="00AC46B0"/>
    <w:rsid w:val="00AC484F"/>
    <w:rsid w:val="00AC4B20"/>
    <w:rsid w:val="00AC5159"/>
    <w:rsid w:val="00AC56F2"/>
    <w:rsid w:val="00AC5897"/>
    <w:rsid w:val="00AC71C3"/>
    <w:rsid w:val="00AD09F7"/>
    <w:rsid w:val="00AD0D42"/>
    <w:rsid w:val="00AD186F"/>
    <w:rsid w:val="00AD1EFA"/>
    <w:rsid w:val="00AD2072"/>
    <w:rsid w:val="00AD2DBD"/>
    <w:rsid w:val="00AD2FBF"/>
    <w:rsid w:val="00AD340E"/>
    <w:rsid w:val="00AD3B81"/>
    <w:rsid w:val="00AD455D"/>
    <w:rsid w:val="00AD463C"/>
    <w:rsid w:val="00AD4F60"/>
    <w:rsid w:val="00AD5044"/>
    <w:rsid w:val="00AD50ED"/>
    <w:rsid w:val="00AD5114"/>
    <w:rsid w:val="00AD6236"/>
    <w:rsid w:val="00AD69D5"/>
    <w:rsid w:val="00AD7619"/>
    <w:rsid w:val="00AD76A1"/>
    <w:rsid w:val="00AD7770"/>
    <w:rsid w:val="00AE1772"/>
    <w:rsid w:val="00AE1990"/>
    <w:rsid w:val="00AE1BF7"/>
    <w:rsid w:val="00AE25E8"/>
    <w:rsid w:val="00AE2AD4"/>
    <w:rsid w:val="00AE2CA7"/>
    <w:rsid w:val="00AE2F1D"/>
    <w:rsid w:val="00AE4C81"/>
    <w:rsid w:val="00AE586F"/>
    <w:rsid w:val="00AE6582"/>
    <w:rsid w:val="00AE6DC5"/>
    <w:rsid w:val="00AE7686"/>
    <w:rsid w:val="00AE7899"/>
    <w:rsid w:val="00AE799A"/>
    <w:rsid w:val="00AE7A7C"/>
    <w:rsid w:val="00AF0E81"/>
    <w:rsid w:val="00AF117A"/>
    <w:rsid w:val="00AF16CA"/>
    <w:rsid w:val="00AF186E"/>
    <w:rsid w:val="00AF19DF"/>
    <w:rsid w:val="00AF1D41"/>
    <w:rsid w:val="00AF26CF"/>
    <w:rsid w:val="00AF2EE8"/>
    <w:rsid w:val="00AF3124"/>
    <w:rsid w:val="00AF344D"/>
    <w:rsid w:val="00AF39B3"/>
    <w:rsid w:val="00AF3EC0"/>
    <w:rsid w:val="00AF4402"/>
    <w:rsid w:val="00AF4639"/>
    <w:rsid w:val="00AF4E92"/>
    <w:rsid w:val="00AF554B"/>
    <w:rsid w:val="00AF55C5"/>
    <w:rsid w:val="00AF5C9B"/>
    <w:rsid w:val="00AF5D53"/>
    <w:rsid w:val="00AF5E2D"/>
    <w:rsid w:val="00AF644B"/>
    <w:rsid w:val="00AF69C8"/>
    <w:rsid w:val="00AF69EB"/>
    <w:rsid w:val="00AF6CA6"/>
    <w:rsid w:val="00AF6EB6"/>
    <w:rsid w:val="00AF775B"/>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884"/>
    <w:rsid w:val="00B30E11"/>
    <w:rsid w:val="00B30EAE"/>
    <w:rsid w:val="00B30EEB"/>
    <w:rsid w:val="00B31423"/>
    <w:rsid w:val="00B317AE"/>
    <w:rsid w:val="00B323E0"/>
    <w:rsid w:val="00B32DC0"/>
    <w:rsid w:val="00B3346C"/>
    <w:rsid w:val="00B335E4"/>
    <w:rsid w:val="00B33C23"/>
    <w:rsid w:val="00B345B4"/>
    <w:rsid w:val="00B348B1"/>
    <w:rsid w:val="00B34A28"/>
    <w:rsid w:val="00B35046"/>
    <w:rsid w:val="00B35B6A"/>
    <w:rsid w:val="00B35F1B"/>
    <w:rsid w:val="00B36C99"/>
    <w:rsid w:val="00B36D2B"/>
    <w:rsid w:val="00B37657"/>
    <w:rsid w:val="00B37AFD"/>
    <w:rsid w:val="00B37B07"/>
    <w:rsid w:val="00B4046F"/>
    <w:rsid w:val="00B406B3"/>
    <w:rsid w:val="00B40A36"/>
    <w:rsid w:val="00B40D1D"/>
    <w:rsid w:val="00B41BCA"/>
    <w:rsid w:val="00B41D39"/>
    <w:rsid w:val="00B41D66"/>
    <w:rsid w:val="00B422C0"/>
    <w:rsid w:val="00B426CA"/>
    <w:rsid w:val="00B426E1"/>
    <w:rsid w:val="00B43820"/>
    <w:rsid w:val="00B4387A"/>
    <w:rsid w:val="00B44746"/>
    <w:rsid w:val="00B44854"/>
    <w:rsid w:val="00B44BA5"/>
    <w:rsid w:val="00B4554E"/>
    <w:rsid w:val="00B458D0"/>
    <w:rsid w:val="00B46062"/>
    <w:rsid w:val="00B46696"/>
    <w:rsid w:val="00B46D11"/>
    <w:rsid w:val="00B4792C"/>
    <w:rsid w:val="00B50CAE"/>
    <w:rsid w:val="00B512AD"/>
    <w:rsid w:val="00B5196C"/>
    <w:rsid w:val="00B525CB"/>
    <w:rsid w:val="00B52697"/>
    <w:rsid w:val="00B54215"/>
    <w:rsid w:val="00B549B3"/>
    <w:rsid w:val="00B54D8F"/>
    <w:rsid w:val="00B55857"/>
    <w:rsid w:val="00B55C69"/>
    <w:rsid w:val="00B56851"/>
    <w:rsid w:val="00B56D6E"/>
    <w:rsid w:val="00B572F7"/>
    <w:rsid w:val="00B576D3"/>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69F"/>
    <w:rsid w:val="00B65938"/>
    <w:rsid w:val="00B65C8A"/>
    <w:rsid w:val="00B65CE2"/>
    <w:rsid w:val="00B660AD"/>
    <w:rsid w:val="00B66109"/>
    <w:rsid w:val="00B66349"/>
    <w:rsid w:val="00B66606"/>
    <w:rsid w:val="00B67050"/>
    <w:rsid w:val="00B67FBF"/>
    <w:rsid w:val="00B70832"/>
    <w:rsid w:val="00B71376"/>
    <w:rsid w:val="00B716D7"/>
    <w:rsid w:val="00B717E5"/>
    <w:rsid w:val="00B72110"/>
    <w:rsid w:val="00B72B91"/>
    <w:rsid w:val="00B73019"/>
    <w:rsid w:val="00B7315F"/>
    <w:rsid w:val="00B7323A"/>
    <w:rsid w:val="00B7353B"/>
    <w:rsid w:val="00B737FB"/>
    <w:rsid w:val="00B73E5D"/>
    <w:rsid w:val="00B73EF3"/>
    <w:rsid w:val="00B7423D"/>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8E6"/>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4A1D"/>
    <w:rsid w:val="00B95464"/>
    <w:rsid w:val="00B95C30"/>
    <w:rsid w:val="00B95E3D"/>
    <w:rsid w:val="00B95ED6"/>
    <w:rsid w:val="00B9691F"/>
    <w:rsid w:val="00B96D9F"/>
    <w:rsid w:val="00B96EEC"/>
    <w:rsid w:val="00B97392"/>
    <w:rsid w:val="00B976C7"/>
    <w:rsid w:val="00B97A73"/>
    <w:rsid w:val="00B97F6C"/>
    <w:rsid w:val="00BA0C54"/>
    <w:rsid w:val="00BA11C4"/>
    <w:rsid w:val="00BA1382"/>
    <w:rsid w:val="00BA15E3"/>
    <w:rsid w:val="00BA1A8C"/>
    <w:rsid w:val="00BA20B6"/>
    <w:rsid w:val="00BA20D8"/>
    <w:rsid w:val="00BA22A1"/>
    <w:rsid w:val="00BA22FC"/>
    <w:rsid w:val="00BA2534"/>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888"/>
    <w:rsid w:val="00BB0DF1"/>
    <w:rsid w:val="00BB0E9B"/>
    <w:rsid w:val="00BB2841"/>
    <w:rsid w:val="00BB300F"/>
    <w:rsid w:val="00BB32C9"/>
    <w:rsid w:val="00BB35C5"/>
    <w:rsid w:val="00BB4048"/>
    <w:rsid w:val="00BB4C8E"/>
    <w:rsid w:val="00BB57ED"/>
    <w:rsid w:val="00BB596B"/>
    <w:rsid w:val="00BB5A2D"/>
    <w:rsid w:val="00BB606C"/>
    <w:rsid w:val="00BB65C3"/>
    <w:rsid w:val="00BB662E"/>
    <w:rsid w:val="00BB67A9"/>
    <w:rsid w:val="00BB6C01"/>
    <w:rsid w:val="00BB7942"/>
    <w:rsid w:val="00BB7CD1"/>
    <w:rsid w:val="00BC0F33"/>
    <w:rsid w:val="00BC14A7"/>
    <w:rsid w:val="00BC17CC"/>
    <w:rsid w:val="00BC2898"/>
    <w:rsid w:val="00BC2928"/>
    <w:rsid w:val="00BC29BD"/>
    <w:rsid w:val="00BC2BB1"/>
    <w:rsid w:val="00BC34A3"/>
    <w:rsid w:val="00BC3FF9"/>
    <w:rsid w:val="00BC43CC"/>
    <w:rsid w:val="00BC4834"/>
    <w:rsid w:val="00BC4A97"/>
    <w:rsid w:val="00BC4EC9"/>
    <w:rsid w:val="00BC5A25"/>
    <w:rsid w:val="00BC5FDD"/>
    <w:rsid w:val="00BC68B4"/>
    <w:rsid w:val="00BC6CBE"/>
    <w:rsid w:val="00BC7277"/>
    <w:rsid w:val="00BD0140"/>
    <w:rsid w:val="00BD02CC"/>
    <w:rsid w:val="00BD061A"/>
    <w:rsid w:val="00BD088E"/>
    <w:rsid w:val="00BD0F18"/>
    <w:rsid w:val="00BD182E"/>
    <w:rsid w:val="00BD1BAB"/>
    <w:rsid w:val="00BD1E94"/>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32"/>
    <w:rsid w:val="00BE1775"/>
    <w:rsid w:val="00BE18DA"/>
    <w:rsid w:val="00BE26C0"/>
    <w:rsid w:val="00BE3442"/>
    <w:rsid w:val="00BE37CD"/>
    <w:rsid w:val="00BE47B2"/>
    <w:rsid w:val="00BE48C7"/>
    <w:rsid w:val="00BE4F66"/>
    <w:rsid w:val="00BE4FBF"/>
    <w:rsid w:val="00BE50D0"/>
    <w:rsid w:val="00BE5238"/>
    <w:rsid w:val="00BE5742"/>
    <w:rsid w:val="00BE6074"/>
    <w:rsid w:val="00BE6655"/>
    <w:rsid w:val="00BE6D73"/>
    <w:rsid w:val="00BE7257"/>
    <w:rsid w:val="00BF020D"/>
    <w:rsid w:val="00BF0609"/>
    <w:rsid w:val="00BF0D6A"/>
    <w:rsid w:val="00BF0EE8"/>
    <w:rsid w:val="00BF0F4A"/>
    <w:rsid w:val="00BF10ED"/>
    <w:rsid w:val="00BF1DD2"/>
    <w:rsid w:val="00BF23A3"/>
    <w:rsid w:val="00BF2A7E"/>
    <w:rsid w:val="00BF3331"/>
    <w:rsid w:val="00BF3A45"/>
    <w:rsid w:val="00BF436F"/>
    <w:rsid w:val="00BF5C05"/>
    <w:rsid w:val="00BF6FC6"/>
    <w:rsid w:val="00BF7C52"/>
    <w:rsid w:val="00BF7F99"/>
    <w:rsid w:val="00C00713"/>
    <w:rsid w:val="00C009A0"/>
    <w:rsid w:val="00C01557"/>
    <w:rsid w:val="00C01F74"/>
    <w:rsid w:val="00C02067"/>
    <w:rsid w:val="00C02558"/>
    <w:rsid w:val="00C0285F"/>
    <w:rsid w:val="00C028F5"/>
    <w:rsid w:val="00C02F35"/>
    <w:rsid w:val="00C03305"/>
    <w:rsid w:val="00C03515"/>
    <w:rsid w:val="00C03738"/>
    <w:rsid w:val="00C037A6"/>
    <w:rsid w:val="00C043F5"/>
    <w:rsid w:val="00C044E3"/>
    <w:rsid w:val="00C04607"/>
    <w:rsid w:val="00C04BDB"/>
    <w:rsid w:val="00C052C6"/>
    <w:rsid w:val="00C05987"/>
    <w:rsid w:val="00C05A61"/>
    <w:rsid w:val="00C05FBA"/>
    <w:rsid w:val="00C05FEE"/>
    <w:rsid w:val="00C06B5A"/>
    <w:rsid w:val="00C06CCF"/>
    <w:rsid w:val="00C0794D"/>
    <w:rsid w:val="00C10E78"/>
    <w:rsid w:val="00C10EF1"/>
    <w:rsid w:val="00C1159D"/>
    <w:rsid w:val="00C11B78"/>
    <w:rsid w:val="00C1233E"/>
    <w:rsid w:val="00C128B2"/>
    <w:rsid w:val="00C12FB3"/>
    <w:rsid w:val="00C138BC"/>
    <w:rsid w:val="00C13D85"/>
    <w:rsid w:val="00C1427C"/>
    <w:rsid w:val="00C145FE"/>
    <w:rsid w:val="00C14639"/>
    <w:rsid w:val="00C14E82"/>
    <w:rsid w:val="00C14FF6"/>
    <w:rsid w:val="00C15A85"/>
    <w:rsid w:val="00C1637C"/>
    <w:rsid w:val="00C1641B"/>
    <w:rsid w:val="00C165FC"/>
    <w:rsid w:val="00C176D5"/>
    <w:rsid w:val="00C17830"/>
    <w:rsid w:val="00C17D24"/>
    <w:rsid w:val="00C2082C"/>
    <w:rsid w:val="00C20B85"/>
    <w:rsid w:val="00C20EB0"/>
    <w:rsid w:val="00C21004"/>
    <w:rsid w:val="00C21005"/>
    <w:rsid w:val="00C220B6"/>
    <w:rsid w:val="00C22D7C"/>
    <w:rsid w:val="00C22DDE"/>
    <w:rsid w:val="00C2338B"/>
    <w:rsid w:val="00C233CE"/>
    <w:rsid w:val="00C237DD"/>
    <w:rsid w:val="00C238F4"/>
    <w:rsid w:val="00C23926"/>
    <w:rsid w:val="00C2393A"/>
    <w:rsid w:val="00C23A99"/>
    <w:rsid w:val="00C245EE"/>
    <w:rsid w:val="00C24850"/>
    <w:rsid w:val="00C24AE1"/>
    <w:rsid w:val="00C24B8D"/>
    <w:rsid w:val="00C24BD7"/>
    <w:rsid w:val="00C24BF1"/>
    <w:rsid w:val="00C24D71"/>
    <w:rsid w:val="00C25813"/>
    <w:rsid w:val="00C27143"/>
    <w:rsid w:val="00C27490"/>
    <w:rsid w:val="00C27D37"/>
    <w:rsid w:val="00C309E8"/>
    <w:rsid w:val="00C32017"/>
    <w:rsid w:val="00C32571"/>
    <w:rsid w:val="00C325CD"/>
    <w:rsid w:val="00C3322E"/>
    <w:rsid w:val="00C337F5"/>
    <w:rsid w:val="00C3383E"/>
    <w:rsid w:val="00C33B90"/>
    <w:rsid w:val="00C33C81"/>
    <w:rsid w:val="00C34161"/>
    <w:rsid w:val="00C34B32"/>
    <w:rsid w:val="00C34B5F"/>
    <w:rsid w:val="00C34C1D"/>
    <w:rsid w:val="00C358D4"/>
    <w:rsid w:val="00C365C6"/>
    <w:rsid w:val="00C366F4"/>
    <w:rsid w:val="00C36785"/>
    <w:rsid w:val="00C3711C"/>
    <w:rsid w:val="00C37256"/>
    <w:rsid w:val="00C378CD"/>
    <w:rsid w:val="00C37A7B"/>
    <w:rsid w:val="00C37DC1"/>
    <w:rsid w:val="00C37FFE"/>
    <w:rsid w:val="00C40B50"/>
    <w:rsid w:val="00C419E3"/>
    <w:rsid w:val="00C419F4"/>
    <w:rsid w:val="00C41E6A"/>
    <w:rsid w:val="00C42247"/>
    <w:rsid w:val="00C428E7"/>
    <w:rsid w:val="00C432FB"/>
    <w:rsid w:val="00C438A2"/>
    <w:rsid w:val="00C439BE"/>
    <w:rsid w:val="00C4539B"/>
    <w:rsid w:val="00C45466"/>
    <w:rsid w:val="00C455C1"/>
    <w:rsid w:val="00C4581D"/>
    <w:rsid w:val="00C4635B"/>
    <w:rsid w:val="00C47472"/>
    <w:rsid w:val="00C500F0"/>
    <w:rsid w:val="00C504A7"/>
    <w:rsid w:val="00C506C9"/>
    <w:rsid w:val="00C50A16"/>
    <w:rsid w:val="00C51C97"/>
    <w:rsid w:val="00C51C9A"/>
    <w:rsid w:val="00C52C68"/>
    <w:rsid w:val="00C52D98"/>
    <w:rsid w:val="00C52DA1"/>
    <w:rsid w:val="00C53D24"/>
    <w:rsid w:val="00C54640"/>
    <w:rsid w:val="00C546D1"/>
    <w:rsid w:val="00C547A6"/>
    <w:rsid w:val="00C54A3A"/>
    <w:rsid w:val="00C5500A"/>
    <w:rsid w:val="00C55340"/>
    <w:rsid w:val="00C55C32"/>
    <w:rsid w:val="00C56A67"/>
    <w:rsid w:val="00C56CC2"/>
    <w:rsid w:val="00C56D8D"/>
    <w:rsid w:val="00C57498"/>
    <w:rsid w:val="00C5763C"/>
    <w:rsid w:val="00C5780C"/>
    <w:rsid w:val="00C5796B"/>
    <w:rsid w:val="00C57C64"/>
    <w:rsid w:val="00C60CE0"/>
    <w:rsid w:val="00C612C4"/>
    <w:rsid w:val="00C619A1"/>
    <w:rsid w:val="00C62370"/>
    <w:rsid w:val="00C6249B"/>
    <w:rsid w:val="00C62BBB"/>
    <w:rsid w:val="00C6305F"/>
    <w:rsid w:val="00C6325B"/>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E2A"/>
    <w:rsid w:val="00C733BA"/>
    <w:rsid w:val="00C74306"/>
    <w:rsid w:val="00C760DC"/>
    <w:rsid w:val="00C8082B"/>
    <w:rsid w:val="00C81A88"/>
    <w:rsid w:val="00C81BD5"/>
    <w:rsid w:val="00C81D46"/>
    <w:rsid w:val="00C82298"/>
    <w:rsid w:val="00C8331F"/>
    <w:rsid w:val="00C833B4"/>
    <w:rsid w:val="00C83C3E"/>
    <w:rsid w:val="00C84284"/>
    <w:rsid w:val="00C84887"/>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D1B"/>
    <w:rsid w:val="00C97106"/>
    <w:rsid w:val="00C978D4"/>
    <w:rsid w:val="00CA0031"/>
    <w:rsid w:val="00CA0413"/>
    <w:rsid w:val="00CA043A"/>
    <w:rsid w:val="00CA084B"/>
    <w:rsid w:val="00CA0E51"/>
    <w:rsid w:val="00CA1691"/>
    <w:rsid w:val="00CA22BA"/>
    <w:rsid w:val="00CA41E7"/>
    <w:rsid w:val="00CA4A99"/>
    <w:rsid w:val="00CA4AD7"/>
    <w:rsid w:val="00CA4D7D"/>
    <w:rsid w:val="00CA5520"/>
    <w:rsid w:val="00CA5812"/>
    <w:rsid w:val="00CA5BD4"/>
    <w:rsid w:val="00CA5C14"/>
    <w:rsid w:val="00CA5CF3"/>
    <w:rsid w:val="00CA76FC"/>
    <w:rsid w:val="00CA7E7B"/>
    <w:rsid w:val="00CB0236"/>
    <w:rsid w:val="00CB1881"/>
    <w:rsid w:val="00CB1969"/>
    <w:rsid w:val="00CB19E3"/>
    <w:rsid w:val="00CB2C3A"/>
    <w:rsid w:val="00CB2D38"/>
    <w:rsid w:val="00CB31B4"/>
    <w:rsid w:val="00CB3725"/>
    <w:rsid w:val="00CB4137"/>
    <w:rsid w:val="00CB50D0"/>
    <w:rsid w:val="00CB52D0"/>
    <w:rsid w:val="00CB5578"/>
    <w:rsid w:val="00CB5671"/>
    <w:rsid w:val="00CB591C"/>
    <w:rsid w:val="00CB5943"/>
    <w:rsid w:val="00CB61B3"/>
    <w:rsid w:val="00CB6F83"/>
    <w:rsid w:val="00CB72AE"/>
    <w:rsid w:val="00CC00CD"/>
    <w:rsid w:val="00CC0579"/>
    <w:rsid w:val="00CC09B4"/>
    <w:rsid w:val="00CC0AF3"/>
    <w:rsid w:val="00CC0BC6"/>
    <w:rsid w:val="00CC0E68"/>
    <w:rsid w:val="00CC1409"/>
    <w:rsid w:val="00CC1780"/>
    <w:rsid w:val="00CC1897"/>
    <w:rsid w:val="00CC194E"/>
    <w:rsid w:val="00CC21AC"/>
    <w:rsid w:val="00CC232E"/>
    <w:rsid w:val="00CC2514"/>
    <w:rsid w:val="00CC2D34"/>
    <w:rsid w:val="00CC2F69"/>
    <w:rsid w:val="00CC315F"/>
    <w:rsid w:val="00CC3D38"/>
    <w:rsid w:val="00CC40C3"/>
    <w:rsid w:val="00CC4751"/>
    <w:rsid w:val="00CC4CB4"/>
    <w:rsid w:val="00CC4E5D"/>
    <w:rsid w:val="00CC50AE"/>
    <w:rsid w:val="00CC5444"/>
    <w:rsid w:val="00CC5E38"/>
    <w:rsid w:val="00CC5FFE"/>
    <w:rsid w:val="00CC61B7"/>
    <w:rsid w:val="00CC61CA"/>
    <w:rsid w:val="00CC69EC"/>
    <w:rsid w:val="00CC71D3"/>
    <w:rsid w:val="00CC743D"/>
    <w:rsid w:val="00CD02ED"/>
    <w:rsid w:val="00CD050A"/>
    <w:rsid w:val="00CD1017"/>
    <w:rsid w:val="00CD19EA"/>
    <w:rsid w:val="00CD1D44"/>
    <w:rsid w:val="00CD205D"/>
    <w:rsid w:val="00CD2A22"/>
    <w:rsid w:val="00CD2B50"/>
    <w:rsid w:val="00CD3172"/>
    <w:rsid w:val="00CD3A6D"/>
    <w:rsid w:val="00CD4506"/>
    <w:rsid w:val="00CD520B"/>
    <w:rsid w:val="00CD5663"/>
    <w:rsid w:val="00CD592E"/>
    <w:rsid w:val="00CD5982"/>
    <w:rsid w:val="00CD5A1A"/>
    <w:rsid w:val="00CD6438"/>
    <w:rsid w:val="00CD73C6"/>
    <w:rsid w:val="00CD7EFA"/>
    <w:rsid w:val="00CE020E"/>
    <w:rsid w:val="00CE0566"/>
    <w:rsid w:val="00CE1CD4"/>
    <w:rsid w:val="00CE2761"/>
    <w:rsid w:val="00CE2823"/>
    <w:rsid w:val="00CE28FC"/>
    <w:rsid w:val="00CE314E"/>
    <w:rsid w:val="00CE3A85"/>
    <w:rsid w:val="00CE3B81"/>
    <w:rsid w:val="00CE3D5C"/>
    <w:rsid w:val="00CE3E09"/>
    <w:rsid w:val="00CE3E14"/>
    <w:rsid w:val="00CE44C7"/>
    <w:rsid w:val="00CE53CC"/>
    <w:rsid w:val="00CE5F60"/>
    <w:rsid w:val="00CE65A7"/>
    <w:rsid w:val="00CE68FE"/>
    <w:rsid w:val="00CE69CC"/>
    <w:rsid w:val="00CE6EC4"/>
    <w:rsid w:val="00CE7F26"/>
    <w:rsid w:val="00CE7F71"/>
    <w:rsid w:val="00CF1226"/>
    <w:rsid w:val="00CF1ABB"/>
    <w:rsid w:val="00CF1E1D"/>
    <w:rsid w:val="00CF24FE"/>
    <w:rsid w:val="00CF287F"/>
    <w:rsid w:val="00CF35D0"/>
    <w:rsid w:val="00CF3B57"/>
    <w:rsid w:val="00CF3DD5"/>
    <w:rsid w:val="00CF4AF7"/>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068CD"/>
    <w:rsid w:val="00D07BF6"/>
    <w:rsid w:val="00D1060D"/>
    <w:rsid w:val="00D10D14"/>
    <w:rsid w:val="00D10E7C"/>
    <w:rsid w:val="00D11182"/>
    <w:rsid w:val="00D1137B"/>
    <w:rsid w:val="00D11807"/>
    <w:rsid w:val="00D11DB3"/>
    <w:rsid w:val="00D126C8"/>
    <w:rsid w:val="00D12D82"/>
    <w:rsid w:val="00D12F77"/>
    <w:rsid w:val="00D1306E"/>
    <w:rsid w:val="00D130B7"/>
    <w:rsid w:val="00D134CD"/>
    <w:rsid w:val="00D13CC8"/>
    <w:rsid w:val="00D14B5F"/>
    <w:rsid w:val="00D14E13"/>
    <w:rsid w:val="00D14F23"/>
    <w:rsid w:val="00D160F6"/>
    <w:rsid w:val="00D16740"/>
    <w:rsid w:val="00D16A8B"/>
    <w:rsid w:val="00D16B96"/>
    <w:rsid w:val="00D16E39"/>
    <w:rsid w:val="00D171DE"/>
    <w:rsid w:val="00D172A4"/>
    <w:rsid w:val="00D17951"/>
    <w:rsid w:val="00D17AD8"/>
    <w:rsid w:val="00D20FDE"/>
    <w:rsid w:val="00D2104A"/>
    <w:rsid w:val="00D21BB5"/>
    <w:rsid w:val="00D21FFC"/>
    <w:rsid w:val="00D223B6"/>
    <w:rsid w:val="00D223E8"/>
    <w:rsid w:val="00D224E1"/>
    <w:rsid w:val="00D22DC8"/>
    <w:rsid w:val="00D22F18"/>
    <w:rsid w:val="00D2477B"/>
    <w:rsid w:val="00D2522A"/>
    <w:rsid w:val="00D2531C"/>
    <w:rsid w:val="00D25428"/>
    <w:rsid w:val="00D2553E"/>
    <w:rsid w:val="00D2742F"/>
    <w:rsid w:val="00D2754F"/>
    <w:rsid w:val="00D277C5"/>
    <w:rsid w:val="00D279D9"/>
    <w:rsid w:val="00D31011"/>
    <w:rsid w:val="00D312DC"/>
    <w:rsid w:val="00D31AA2"/>
    <w:rsid w:val="00D31B84"/>
    <w:rsid w:val="00D31C6A"/>
    <w:rsid w:val="00D31EDF"/>
    <w:rsid w:val="00D31FF9"/>
    <w:rsid w:val="00D32149"/>
    <w:rsid w:val="00D32256"/>
    <w:rsid w:val="00D325D2"/>
    <w:rsid w:val="00D32A27"/>
    <w:rsid w:val="00D32ABC"/>
    <w:rsid w:val="00D33100"/>
    <w:rsid w:val="00D33178"/>
    <w:rsid w:val="00D33FA4"/>
    <w:rsid w:val="00D34B25"/>
    <w:rsid w:val="00D34C7F"/>
    <w:rsid w:val="00D34F4E"/>
    <w:rsid w:val="00D353F8"/>
    <w:rsid w:val="00D357F3"/>
    <w:rsid w:val="00D35A63"/>
    <w:rsid w:val="00D35C0E"/>
    <w:rsid w:val="00D36FBF"/>
    <w:rsid w:val="00D373A8"/>
    <w:rsid w:val="00D379A5"/>
    <w:rsid w:val="00D37BB3"/>
    <w:rsid w:val="00D401BE"/>
    <w:rsid w:val="00D4043A"/>
    <w:rsid w:val="00D40DB0"/>
    <w:rsid w:val="00D41093"/>
    <w:rsid w:val="00D41858"/>
    <w:rsid w:val="00D422DB"/>
    <w:rsid w:val="00D42AC2"/>
    <w:rsid w:val="00D4498E"/>
    <w:rsid w:val="00D4515F"/>
    <w:rsid w:val="00D451E8"/>
    <w:rsid w:val="00D45230"/>
    <w:rsid w:val="00D466C9"/>
    <w:rsid w:val="00D47275"/>
    <w:rsid w:val="00D517F6"/>
    <w:rsid w:val="00D51AB7"/>
    <w:rsid w:val="00D51E15"/>
    <w:rsid w:val="00D5211B"/>
    <w:rsid w:val="00D52B7E"/>
    <w:rsid w:val="00D52E2F"/>
    <w:rsid w:val="00D52F59"/>
    <w:rsid w:val="00D53445"/>
    <w:rsid w:val="00D53D54"/>
    <w:rsid w:val="00D53E3E"/>
    <w:rsid w:val="00D54620"/>
    <w:rsid w:val="00D55904"/>
    <w:rsid w:val="00D5614E"/>
    <w:rsid w:val="00D5616F"/>
    <w:rsid w:val="00D5636D"/>
    <w:rsid w:val="00D56703"/>
    <w:rsid w:val="00D56C96"/>
    <w:rsid w:val="00D57940"/>
    <w:rsid w:val="00D60327"/>
    <w:rsid w:val="00D606B0"/>
    <w:rsid w:val="00D61384"/>
    <w:rsid w:val="00D61526"/>
    <w:rsid w:val="00D61B44"/>
    <w:rsid w:val="00D61C39"/>
    <w:rsid w:val="00D61F81"/>
    <w:rsid w:val="00D620A6"/>
    <w:rsid w:val="00D62BE6"/>
    <w:rsid w:val="00D63766"/>
    <w:rsid w:val="00D63912"/>
    <w:rsid w:val="00D63923"/>
    <w:rsid w:val="00D6451B"/>
    <w:rsid w:val="00D64776"/>
    <w:rsid w:val="00D64B57"/>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51B7"/>
    <w:rsid w:val="00D7524B"/>
    <w:rsid w:val="00D75396"/>
    <w:rsid w:val="00D759C0"/>
    <w:rsid w:val="00D75E99"/>
    <w:rsid w:val="00D76353"/>
    <w:rsid w:val="00D765CE"/>
    <w:rsid w:val="00D766C7"/>
    <w:rsid w:val="00D7692B"/>
    <w:rsid w:val="00D7734F"/>
    <w:rsid w:val="00D7791D"/>
    <w:rsid w:val="00D77A8D"/>
    <w:rsid w:val="00D8039E"/>
    <w:rsid w:val="00D8044C"/>
    <w:rsid w:val="00D805D6"/>
    <w:rsid w:val="00D8075E"/>
    <w:rsid w:val="00D80860"/>
    <w:rsid w:val="00D80D4C"/>
    <w:rsid w:val="00D8184D"/>
    <w:rsid w:val="00D81A7B"/>
    <w:rsid w:val="00D8223C"/>
    <w:rsid w:val="00D82B57"/>
    <w:rsid w:val="00D82CE5"/>
    <w:rsid w:val="00D831E3"/>
    <w:rsid w:val="00D8342C"/>
    <w:rsid w:val="00D834BC"/>
    <w:rsid w:val="00D83948"/>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4187"/>
    <w:rsid w:val="00DA4842"/>
    <w:rsid w:val="00DA4C97"/>
    <w:rsid w:val="00DA530A"/>
    <w:rsid w:val="00DA5989"/>
    <w:rsid w:val="00DA5AB1"/>
    <w:rsid w:val="00DA5F9D"/>
    <w:rsid w:val="00DA69B2"/>
    <w:rsid w:val="00DA6A57"/>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954"/>
    <w:rsid w:val="00DC0DF8"/>
    <w:rsid w:val="00DC15BA"/>
    <w:rsid w:val="00DC18CD"/>
    <w:rsid w:val="00DC1A68"/>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06B"/>
    <w:rsid w:val="00DE1410"/>
    <w:rsid w:val="00DE20C6"/>
    <w:rsid w:val="00DE3119"/>
    <w:rsid w:val="00DE3E0B"/>
    <w:rsid w:val="00DE3FF0"/>
    <w:rsid w:val="00DE4105"/>
    <w:rsid w:val="00DE5189"/>
    <w:rsid w:val="00DE7108"/>
    <w:rsid w:val="00DE771D"/>
    <w:rsid w:val="00DE78D1"/>
    <w:rsid w:val="00DE78FF"/>
    <w:rsid w:val="00DF00C7"/>
    <w:rsid w:val="00DF0263"/>
    <w:rsid w:val="00DF098F"/>
    <w:rsid w:val="00DF0EB4"/>
    <w:rsid w:val="00DF146A"/>
    <w:rsid w:val="00DF158B"/>
    <w:rsid w:val="00DF193C"/>
    <w:rsid w:val="00DF1E36"/>
    <w:rsid w:val="00DF236B"/>
    <w:rsid w:val="00DF2A91"/>
    <w:rsid w:val="00DF3889"/>
    <w:rsid w:val="00DF3CC9"/>
    <w:rsid w:val="00DF4451"/>
    <w:rsid w:val="00DF49FF"/>
    <w:rsid w:val="00DF4FFB"/>
    <w:rsid w:val="00DF5236"/>
    <w:rsid w:val="00DF5964"/>
    <w:rsid w:val="00DF5D49"/>
    <w:rsid w:val="00DF651F"/>
    <w:rsid w:val="00DF6F43"/>
    <w:rsid w:val="00DF71EA"/>
    <w:rsid w:val="00DF752F"/>
    <w:rsid w:val="00DF76A2"/>
    <w:rsid w:val="00E00B7A"/>
    <w:rsid w:val="00E02186"/>
    <w:rsid w:val="00E025C2"/>
    <w:rsid w:val="00E026BB"/>
    <w:rsid w:val="00E027C5"/>
    <w:rsid w:val="00E02F4A"/>
    <w:rsid w:val="00E03124"/>
    <w:rsid w:val="00E031C3"/>
    <w:rsid w:val="00E03951"/>
    <w:rsid w:val="00E03DB8"/>
    <w:rsid w:val="00E03F17"/>
    <w:rsid w:val="00E0420C"/>
    <w:rsid w:val="00E047D5"/>
    <w:rsid w:val="00E04DD3"/>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62D7"/>
    <w:rsid w:val="00E16382"/>
    <w:rsid w:val="00E1699C"/>
    <w:rsid w:val="00E16E75"/>
    <w:rsid w:val="00E17122"/>
    <w:rsid w:val="00E1746D"/>
    <w:rsid w:val="00E174E8"/>
    <w:rsid w:val="00E17CD1"/>
    <w:rsid w:val="00E2012A"/>
    <w:rsid w:val="00E205A2"/>
    <w:rsid w:val="00E205DC"/>
    <w:rsid w:val="00E20BA4"/>
    <w:rsid w:val="00E210D0"/>
    <w:rsid w:val="00E23137"/>
    <w:rsid w:val="00E23980"/>
    <w:rsid w:val="00E241E9"/>
    <w:rsid w:val="00E257C3"/>
    <w:rsid w:val="00E25A2C"/>
    <w:rsid w:val="00E25CB3"/>
    <w:rsid w:val="00E25DA4"/>
    <w:rsid w:val="00E25EB2"/>
    <w:rsid w:val="00E26237"/>
    <w:rsid w:val="00E26CB8"/>
    <w:rsid w:val="00E26D16"/>
    <w:rsid w:val="00E26FCF"/>
    <w:rsid w:val="00E27165"/>
    <w:rsid w:val="00E275D9"/>
    <w:rsid w:val="00E30444"/>
    <w:rsid w:val="00E3044A"/>
    <w:rsid w:val="00E30E49"/>
    <w:rsid w:val="00E31A4A"/>
    <w:rsid w:val="00E3344A"/>
    <w:rsid w:val="00E33B29"/>
    <w:rsid w:val="00E33B62"/>
    <w:rsid w:val="00E33F67"/>
    <w:rsid w:val="00E3403D"/>
    <w:rsid w:val="00E344BD"/>
    <w:rsid w:val="00E34E6C"/>
    <w:rsid w:val="00E353E2"/>
    <w:rsid w:val="00E36345"/>
    <w:rsid w:val="00E36C86"/>
    <w:rsid w:val="00E36CEB"/>
    <w:rsid w:val="00E37A28"/>
    <w:rsid w:val="00E40430"/>
    <w:rsid w:val="00E40690"/>
    <w:rsid w:val="00E40AEB"/>
    <w:rsid w:val="00E40E82"/>
    <w:rsid w:val="00E41141"/>
    <w:rsid w:val="00E4143A"/>
    <w:rsid w:val="00E4159B"/>
    <w:rsid w:val="00E4186F"/>
    <w:rsid w:val="00E41D0D"/>
    <w:rsid w:val="00E424C8"/>
    <w:rsid w:val="00E4251D"/>
    <w:rsid w:val="00E436B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2DD"/>
    <w:rsid w:val="00E559C1"/>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661"/>
    <w:rsid w:val="00E630A2"/>
    <w:rsid w:val="00E630C0"/>
    <w:rsid w:val="00E63107"/>
    <w:rsid w:val="00E6312C"/>
    <w:rsid w:val="00E634E6"/>
    <w:rsid w:val="00E63DCE"/>
    <w:rsid w:val="00E64700"/>
    <w:rsid w:val="00E65074"/>
    <w:rsid w:val="00E65B0D"/>
    <w:rsid w:val="00E65E70"/>
    <w:rsid w:val="00E66087"/>
    <w:rsid w:val="00E66B2D"/>
    <w:rsid w:val="00E66D79"/>
    <w:rsid w:val="00E66F5A"/>
    <w:rsid w:val="00E66FF9"/>
    <w:rsid w:val="00E6706F"/>
    <w:rsid w:val="00E670DD"/>
    <w:rsid w:val="00E673A2"/>
    <w:rsid w:val="00E67856"/>
    <w:rsid w:val="00E679C8"/>
    <w:rsid w:val="00E70314"/>
    <w:rsid w:val="00E71704"/>
    <w:rsid w:val="00E719F2"/>
    <w:rsid w:val="00E71BAA"/>
    <w:rsid w:val="00E724E7"/>
    <w:rsid w:val="00E72B41"/>
    <w:rsid w:val="00E732C1"/>
    <w:rsid w:val="00E7347B"/>
    <w:rsid w:val="00E73792"/>
    <w:rsid w:val="00E73D03"/>
    <w:rsid w:val="00E746A6"/>
    <w:rsid w:val="00E7471C"/>
    <w:rsid w:val="00E7498A"/>
    <w:rsid w:val="00E7514E"/>
    <w:rsid w:val="00E76537"/>
    <w:rsid w:val="00E77784"/>
    <w:rsid w:val="00E77AF5"/>
    <w:rsid w:val="00E807B5"/>
    <w:rsid w:val="00E8143D"/>
    <w:rsid w:val="00E820F4"/>
    <w:rsid w:val="00E823F9"/>
    <w:rsid w:val="00E82C1F"/>
    <w:rsid w:val="00E83671"/>
    <w:rsid w:val="00E839C4"/>
    <w:rsid w:val="00E840EE"/>
    <w:rsid w:val="00E84314"/>
    <w:rsid w:val="00E849CA"/>
    <w:rsid w:val="00E84A71"/>
    <w:rsid w:val="00E8556F"/>
    <w:rsid w:val="00E86137"/>
    <w:rsid w:val="00E86556"/>
    <w:rsid w:val="00E86D35"/>
    <w:rsid w:val="00E86DC2"/>
    <w:rsid w:val="00E86E32"/>
    <w:rsid w:val="00E86F2E"/>
    <w:rsid w:val="00E8732E"/>
    <w:rsid w:val="00E9011F"/>
    <w:rsid w:val="00E906EB"/>
    <w:rsid w:val="00E90AEC"/>
    <w:rsid w:val="00E9170E"/>
    <w:rsid w:val="00E919FB"/>
    <w:rsid w:val="00E91E47"/>
    <w:rsid w:val="00E9241E"/>
    <w:rsid w:val="00E92460"/>
    <w:rsid w:val="00E924FE"/>
    <w:rsid w:val="00E92E62"/>
    <w:rsid w:val="00E93804"/>
    <w:rsid w:val="00E9429D"/>
    <w:rsid w:val="00E95434"/>
    <w:rsid w:val="00E96467"/>
    <w:rsid w:val="00E966DA"/>
    <w:rsid w:val="00E96948"/>
    <w:rsid w:val="00E9737B"/>
    <w:rsid w:val="00E97A3F"/>
    <w:rsid w:val="00E97F0A"/>
    <w:rsid w:val="00EA0100"/>
    <w:rsid w:val="00EA0BCE"/>
    <w:rsid w:val="00EA1532"/>
    <w:rsid w:val="00EA22FA"/>
    <w:rsid w:val="00EA2744"/>
    <w:rsid w:val="00EA3334"/>
    <w:rsid w:val="00EA37B9"/>
    <w:rsid w:val="00EA38CD"/>
    <w:rsid w:val="00EA39F7"/>
    <w:rsid w:val="00EA3DC2"/>
    <w:rsid w:val="00EA434E"/>
    <w:rsid w:val="00EA4395"/>
    <w:rsid w:val="00EA4757"/>
    <w:rsid w:val="00EA560B"/>
    <w:rsid w:val="00EA5669"/>
    <w:rsid w:val="00EA57BD"/>
    <w:rsid w:val="00EA5CC6"/>
    <w:rsid w:val="00EA63EF"/>
    <w:rsid w:val="00EA7CBF"/>
    <w:rsid w:val="00EB0329"/>
    <w:rsid w:val="00EB0A89"/>
    <w:rsid w:val="00EB1573"/>
    <w:rsid w:val="00EB185F"/>
    <w:rsid w:val="00EB1910"/>
    <w:rsid w:val="00EB2D83"/>
    <w:rsid w:val="00EB2E97"/>
    <w:rsid w:val="00EB3416"/>
    <w:rsid w:val="00EB45AE"/>
    <w:rsid w:val="00EB4AE1"/>
    <w:rsid w:val="00EB52F4"/>
    <w:rsid w:val="00EB5694"/>
    <w:rsid w:val="00EB5779"/>
    <w:rsid w:val="00EB5D2F"/>
    <w:rsid w:val="00EB67F1"/>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FB9"/>
    <w:rsid w:val="00EC5393"/>
    <w:rsid w:val="00EC5741"/>
    <w:rsid w:val="00EC5DA3"/>
    <w:rsid w:val="00EC6014"/>
    <w:rsid w:val="00EC6B3E"/>
    <w:rsid w:val="00EC6F2D"/>
    <w:rsid w:val="00EC73DE"/>
    <w:rsid w:val="00EC7637"/>
    <w:rsid w:val="00EC7CF2"/>
    <w:rsid w:val="00ED046C"/>
    <w:rsid w:val="00ED053A"/>
    <w:rsid w:val="00ED17B8"/>
    <w:rsid w:val="00ED1F03"/>
    <w:rsid w:val="00ED249D"/>
    <w:rsid w:val="00ED2998"/>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7B54"/>
    <w:rsid w:val="00EE7C47"/>
    <w:rsid w:val="00EE7C88"/>
    <w:rsid w:val="00EE7C8B"/>
    <w:rsid w:val="00EF0209"/>
    <w:rsid w:val="00EF0EA4"/>
    <w:rsid w:val="00EF1972"/>
    <w:rsid w:val="00EF1E97"/>
    <w:rsid w:val="00EF2436"/>
    <w:rsid w:val="00EF2547"/>
    <w:rsid w:val="00EF2942"/>
    <w:rsid w:val="00EF29D9"/>
    <w:rsid w:val="00EF2B2B"/>
    <w:rsid w:val="00EF2E1C"/>
    <w:rsid w:val="00EF2FD6"/>
    <w:rsid w:val="00EF326A"/>
    <w:rsid w:val="00EF427A"/>
    <w:rsid w:val="00EF45DF"/>
    <w:rsid w:val="00EF4952"/>
    <w:rsid w:val="00EF498F"/>
    <w:rsid w:val="00EF4A42"/>
    <w:rsid w:val="00EF507B"/>
    <w:rsid w:val="00EF510C"/>
    <w:rsid w:val="00EF55C4"/>
    <w:rsid w:val="00EF57B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951"/>
    <w:rsid w:val="00F12262"/>
    <w:rsid w:val="00F12564"/>
    <w:rsid w:val="00F12AF8"/>
    <w:rsid w:val="00F12C52"/>
    <w:rsid w:val="00F13828"/>
    <w:rsid w:val="00F13E62"/>
    <w:rsid w:val="00F13F51"/>
    <w:rsid w:val="00F148B7"/>
    <w:rsid w:val="00F14960"/>
    <w:rsid w:val="00F14E28"/>
    <w:rsid w:val="00F14EA9"/>
    <w:rsid w:val="00F15505"/>
    <w:rsid w:val="00F15BFF"/>
    <w:rsid w:val="00F16E4F"/>
    <w:rsid w:val="00F17244"/>
    <w:rsid w:val="00F20ECE"/>
    <w:rsid w:val="00F2121A"/>
    <w:rsid w:val="00F213A0"/>
    <w:rsid w:val="00F21D54"/>
    <w:rsid w:val="00F21EF4"/>
    <w:rsid w:val="00F22AE7"/>
    <w:rsid w:val="00F23113"/>
    <w:rsid w:val="00F23255"/>
    <w:rsid w:val="00F23393"/>
    <w:rsid w:val="00F23759"/>
    <w:rsid w:val="00F24644"/>
    <w:rsid w:val="00F25947"/>
    <w:rsid w:val="00F25DE0"/>
    <w:rsid w:val="00F25F9F"/>
    <w:rsid w:val="00F262D6"/>
    <w:rsid w:val="00F26F33"/>
    <w:rsid w:val="00F2748A"/>
    <w:rsid w:val="00F300A8"/>
    <w:rsid w:val="00F302C6"/>
    <w:rsid w:val="00F30400"/>
    <w:rsid w:val="00F3079E"/>
    <w:rsid w:val="00F3399B"/>
    <w:rsid w:val="00F33F4B"/>
    <w:rsid w:val="00F346ED"/>
    <w:rsid w:val="00F34945"/>
    <w:rsid w:val="00F34E1E"/>
    <w:rsid w:val="00F3570C"/>
    <w:rsid w:val="00F363A4"/>
    <w:rsid w:val="00F36613"/>
    <w:rsid w:val="00F36765"/>
    <w:rsid w:val="00F368FF"/>
    <w:rsid w:val="00F37068"/>
    <w:rsid w:val="00F37F3F"/>
    <w:rsid w:val="00F40992"/>
    <w:rsid w:val="00F409C4"/>
    <w:rsid w:val="00F409C6"/>
    <w:rsid w:val="00F40C84"/>
    <w:rsid w:val="00F40F72"/>
    <w:rsid w:val="00F41596"/>
    <w:rsid w:val="00F41B60"/>
    <w:rsid w:val="00F41D8B"/>
    <w:rsid w:val="00F42121"/>
    <w:rsid w:val="00F424B3"/>
    <w:rsid w:val="00F428B1"/>
    <w:rsid w:val="00F428B4"/>
    <w:rsid w:val="00F42B1B"/>
    <w:rsid w:val="00F433CB"/>
    <w:rsid w:val="00F4345D"/>
    <w:rsid w:val="00F4387B"/>
    <w:rsid w:val="00F45921"/>
    <w:rsid w:val="00F45B91"/>
    <w:rsid w:val="00F46639"/>
    <w:rsid w:val="00F476FD"/>
    <w:rsid w:val="00F50183"/>
    <w:rsid w:val="00F50D92"/>
    <w:rsid w:val="00F51765"/>
    <w:rsid w:val="00F51A51"/>
    <w:rsid w:val="00F51BC6"/>
    <w:rsid w:val="00F51CB4"/>
    <w:rsid w:val="00F520CB"/>
    <w:rsid w:val="00F52324"/>
    <w:rsid w:val="00F52950"/>
    <w:rsid w:val="00F52C9D"/>
    <w:rsid w:val="00F533F1"/>
    <w:rsid w:val="00F53B8B"/>
    <w:rsid w:val="00F55679"/>
    <w:rsid w:val="00F561DA"/>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6D0B"/>
    <w:rsid w:val="00F670E9"/>
    <w:rsid w:val="00F67AF1"/>
    <w:rsid w:val="00F67D8B"/>
    <w:rsid w:val="00F701C5"/>
    <w:rsid w:val="00F70961"/>
    <w:rsid w:val="00F70A8F"/>
    <w:rsid w:val="00F71397"/>
    <w:rsid w:val="00F72389"/>
    <w:rsid w:val="00F72516"/>
    <w:rsid w:val="00F72FB4"/>
    <w:rsid w:val="00F735E5"/>
    <w:rsid w:val="00F73B82"/>
    <w:rsid w:val="00F73E80"/>
    <w:rsid w:val="00F7469C"/>
    <w:rsid w:val="00F7492E"/>
    <w:rsid w:val="00F74945"/>
    <w:rsid w:val="00F749A3"/>
    <w:rsid w:val="00F74AE8"/>
    <w:rsid w:val="00F74C4D"/>
    <w:rsid w:val="00F76C11"/>
    <w:rsid w:val="00F76C69"/>
    <w:rsid w:val="00F77021"/>
    <w:rsid w:val="00F770AB"/>
    <w:rsid w:val="00F77E61"/>
    <w:rsid w:val="00F80221"/>
    <w:rsid w:val="00F80A0A"/>
    <w:rsid w:val="00F80C81"/>
    <w:rsid w:val="00F815AC"/>
    <w:rsid w:val="00F8297B"/>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C4D"/>
    <w:rsid w:val="00F9167D"/>
    <w:rsid w:val="00F91CB2"/>
    <w:rsid w:val="00F927E8"/>
    <w:rsid w:val="00F9289C"/>
    <w:rsid w:val="00F93DBC"/>
    <w:rsid w:val="00F93E41"/>
    <w:rsid w:val="00F94644"/>
    <w:rsid w:val="00F952E4"/>
    <w:rsid w:val="00F9537B"/>
    <w:rsid w:val="00F96079"/>
    <w:rsid w:val="00F963FC"/>
    <w:rsid w:val="00F97CF1"/>
    <w:rsid w:val="00FA015F"/>
    <w:rsid w:val="00FA0EBD"/>
    <w:rsid w:val="00FA0FAC"/>
    <w:rsid w:val="00FA10F7"/>
    <w:rsid w:val="00FA1DA2"/>
    <w:rsid w:val="00FA3414"/>
    <w:rsid w:val="00FA347A"/>
    <w:rsid w:val="00FA3CDE"/>
    <w:rsid w:val="00FA49B7"/>
    <w:rsid w:val="00FA5043"/>
    <w:rsid w:val="00FA5130"/>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F73"/>
    <w:rsid w:val="00FC3216"/>
    <w:rsid w:val="00FC3A9B"/>
    <w:rsid w:val="00FC3AE1"/>
    <w:rsid w:val="00FC3DFC"/>
    <w:rsid w:val="00FC3EAA"/>
    <w:rsid w:val="00FC3EF4"/>
    <w:rsid w:val="00FC431B"/>
    <w:rsid w:val="00FC434C"/>
    <w:rsid w:val="00FC472C"/>
    <w:rsid w:val="00FC4FDF"/>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508"/>
    <w:rsid w:val="00FD393C"/>
    <w:rsid w:val="00FD3AFF"/>
    <w:rsid w:val="00FD43BB"/>
    <w:rsid w:val="00FD47F6"/>
    <w:rsid w:val="00FD4AF3"/>
    <w:rsid w:val="00FD4B22"/>
    <w:rsid w:val="00FD6DC3"/>
    <w:rsid w:val="00FD72B1"/>
    <w:rsid w:val="00FD798D"/>
    <w:rsid w:val="00FE141E"/>
    <w:rsid w:val="00FE144E"/>
    <w:rsid w:val="00FE1768"/>
    <w:rsid w:val="00FE1DD5"/>
    <w:rsid w:val="00FE1E72"/>
    <w:rsid w:val="00FE24F4"/>
    <w:rsid w:val="00FE2560"/>
    <w:rsid w:val="00FE2F15"/>
    <w:rsid w:val="00FE35D0"/>
    <w:rsid w:val="00FE3FB7"/>
    <w:rsid w:val="00FE42ED"/>
    <w:rsid w:val="00FE4E06"/>
    <w:rsid w:val="00FE55A7"/>
    <w:rsid w:val="00FE5C5A"/>
    <w:rsid w:val="00FE6432"/>
    <w:rsid w:val="00FE72A0"/>
    <w:rsid w:val="00FF0050"/>
    <w:rsid w:val="00FF045F"/>
    <w:rsid w:val="00FF13CE"/>
    <w:rsid w:val="00FF13D4"/>
    <w:rsid w:val="00FF2053"/>
    <w:rsid w:val="00FF390B"/>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7B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character" w:customStyle="1" w:styleId="CEDAContenidoCar">
    <w:name w:val="CEDA Contenido Car"/>
    <w:basedOn w:val="Fuentedeprrafopredeter"/>
    <w:link w:val="CEDAContenido"/>
    <w:locked/>
    <w:rsid w:val="00470E92"/>
    <w:rPr>
      <w:rFonts w:ascii="Bookman Old Style" w:hAnsi="Bookman Old Style"/>
    </w:rPr>
  </w:style>
  <w:style w:type="paragraph" w:customStyle="1" w:styleId="CEDAContenido">
    <w:name w:val="CEDA Contenido"/>
    <w:basedOn w:val="Normal"/>
    <w:link w:val="CEDAContenidoCar"/>
    <w:qFormat/>
    <w:rsid w:val="00470E92"/>
    <w:pPr>
      <w:spacing w:line="276" w:lineRule="auto"/>
      <w:jc w:val="both"/>
    </w:pPr>
    <w:rPr>
      <w:rFonts w:ascii="Bookman Old Style" w:eastAsiaTheme="minorHAnsi" w:hAnsi="Bookman Old Style" w:cstheme="minorBidi"/>
      <w:sz w:val="22"/>
      <w:szCs w:val="22"/>
      <w:lang w:eastAsia="en-US"/>
    </w:rPr>
  </w:style>
  <w:style w:type="paragraph" w:styleId="Revisin">
    <w:name w:val="Revision"/>
    <w:hidden/>
    <w:uiPriority w:val="99"/>
    <w:semiHidden/>
    <w:rsid w:val="005B24E7"/>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364648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754988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59540112">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1181621">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797550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064703">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086332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34961633">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1889">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9611762">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1369992">
      <w:bodyDiv w:val="1"/>
      <w:marLeft w:val="0"/>
      <w:marRight w:val="0"/>
      <w:marTop w:val="0"/>
      <w:marBottom w:val="0"/>
      <w:divBdr>
        <w:top w:val="none" w:sz="0" w:space="0" w:color="auto"/>
        <w:left w:val="none" w:sz="0" w:space="0" w:color="auto"/>
        <w:bottom w:val="none" w:sz="0" w:space="0" w:color="auto"/>
        <w:right w:val="none" w:sz="0" w:space="0" w:color="auto"/>
      </w:divBdr>
    </w:div>
    <w:div w:id="1693875227">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3226">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6467">
      <w:bodyDiv w:val="1"/>
      <w:marLeft w:val="0"/>
      <w:marRight w:val="0"/>
      <w:marTop w:val="0"/>
      <w:marBottom w:val="0"/>
      <w:divBdr>
        <w:top w:val="none" w:sz="0" w:space="0" w:color="auto"/>
        <w:left w:val="none" w:sz="0" w:space="0" w:color="auto"/>
        <w:bottom w:val="none" w:sz="0" w:space="0" w:color="auto"/>
        <w:right w:val="none" w:sz="0" w:space="0" w:color="auto"/>
      </w:divBdr>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720781">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6586429">
      <w:bodyDiv w:val="1"/>
      <w:marLeft w:val="0"/>
      <w:marRight w:val="0"/>
      <w:marTop w:val="0"/>
      <w:marBottom w:val="0"/>
      <w:divBdr>
        <w:top w:val="none" w:sz="0" w:space="0" w:color="auto"/>
        <w:left w:val="none" w:sz="0" w:space="0" w:color="auto"/>
        <w:bottom w:val="none" w:sz="0" w:space="0" w:color="auto"/>
        <w:right w:val="none" w:sz="0" w:space="0" w:color="auto"/>
      </w:divBdr>
      <w:divsChild>
        <w:div w:id="245185707">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1823423683">
              <w:marLeft w:val="0"/>
              <w:marRight w:val="0"/>
              <w:marTop w:val="0"/>
              <w:marBottom w:val="0"/>
              <w:divBdr>
                <w:top w:val="none" w:sz="0" w:space="0" w:color="auto"/>
                <w:left w:val="none" w:sz="0" w:space="0" w:color="auto"/>
                <w:bottom w:val="none" w:sz="0" w:space="0" w:color="auto"/>
                <w:right w:val="none" w:sz="0" w:space="0" w:color="auto"/>
              </w:divBdr>
              <w:divsChild>
                <w:div w:id="16184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9B94D-2839-4B4E-B022-EAD5B835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27</Pages>
  <Words>10403</Words>
  <Characters>57219</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2021-08-27T20:19:00Z</cp:lastPrinted>
  <dcterms:created xsi:type="dcterms:W3CDTF">2022-04-26T22:14:00Z</dcterms:created>
  <dcterms:modified xsi:type="dcterms:W3CDTF">2022-04-26T22:14:00Z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