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4E4581" w:rsidRDefault="00B55C69" w:rsidP="0030575F">
      <w:pPr>
        <w:jc w:val="right"/>
        <w:rPr>
          <w:rFonts w:ascii="Arial" w:eastAsia="Calibri" w:hAnsi="Arial" w:cs="Arial"/>
          <w:b/>
          <w:color w:val="000000" w:themeColor="text1"/>
          <w:sz w:val="20"/>
          <w:szCs w:val="20"/>
          <w:lang w:val="es-ES_tradnl"/>
        </w:rPr>
      </w:pPr>
      <w:r w:rsidRPr="004E4581">
        <w:rPr>
          <w:rFonts w:ascii="Arial" w:hAnsi="Arial" w:cs="Arial"/>
          <w:bCs/>
          <w:color w:val="000000" w:themeColor="text1"/>
          <w:sz w:val="20"/>
          <w:szCs w:val="20"/>
          <w:lang w:val="es-ES_tradnl" w:eastAsia="es-ES"/>
        </w:rPr>
        <w:t>CCE-DES-FM-17</w:t>
      </w:r>
      <w:bookmarkEnd w:id="0"/>
      <w:bookmarkEnd w:id="1"/>
    </w:p>
    <w:p w14:paraId="241461A1" w14:textId="77777777" w:rsidR="00172020" w:rsidRDefault="00172020" w:rsidP="00C128B2">
      <w:pPr>
        <w:spacing w:after="120"/>
        <w:contextualSpacing/>
        <w:jc w:val="both"/>
        <w:rPr>
          <w:rFonts w:ascii="Arial" w:eastAsia="Calibri" w:hAnsi="Arial" w:cs="Arial"/>
          <w:b/>
          <w:bCs/>
          <w:color w:val="000000" w:themeColor="text1"/>
          <w:sz w:val="22"/>
          <w:szCs w:val="22"/>
          <w:lang w:val="es-MX" w:eastAsia="en-US"/>
        </w:rPr>
      </w:pPr>
      <w:bookmarkStart w:id="2" w:name="_Hlk79765235"/>
    </w:p>
    <w:p w14:paraId="2E56D937" w14:textId="6FF1A358" w:rsidR="0030575F" w:rsidRPr="004E4581" w:rsidRDefault="0030575F" w:rsidP="00C128B2">
      <w:pPr>
        <w:spacing w:after="120"/>
        <w:contextualSpacing/>
        <w:jc w:val="both"/>
        <w:rPr>
          <w:rFonts w:ascii="Arial" w:eastAsia="Calibri" w:hAnsi="Arial" w:cs="Arial"/>
          <w:b/>
          <w:bCs/>
          <w:color w:val="000000" w:themeColor="text1"/>
          <w:sz w:val="22"/>
          <w:szCs w:val="22"/>
          <w:lang w:val="es-MX" w:eastAsia="en-US"/>
        </w:rPr>
      </w:pPr>
      <w:r w:rsidRPr="004E4581">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861F5C" w:rsidRDefault="0030575F" w:rsidP="00C128B2">
      <w:pPr>
        <w:spacing w:after="120"/>
        <w:contextualSpacing/>
        <w:jc w:val="both"/>
        <w:rPr>
          <w:rFonts w:ascii="Arial" w:eastAsia="Calibri" w:hAnsi="Arial" w:cs="Arial"/>
          <w:color w:val="000000" w:themeColor="text1"/>
          <w:sz w:val="20"/>
          <w:szCs w:val="20"/>
          <w:lang w:val="es-MX" w:eastAsia="en-US"/>
        </w:rPr>
      </w:pPr>
    </w:p>
    <w:p w14:paraId="7A434A5B" w14:textId="2557170C" w:rsidR="0030575F" w:rsidRPr="00861F5C" w:rsidRDefault="00861F5C" w:rsidP="00C128B2">
      <w:pPr>
        <w:tabs>
          <w:tab w:val="left" w:pos="426"/>
        </w:tabs>
        <w:spacing w:after="120"/>
        <w:jc w:val="both"/>
        <w:rPr>
          <w:rFonts w:ascii="Arial" w:eastAsia="Calibri" w:hAnsi="Arial" w:cs="Arial"/>
          <w:bCs/>
          <w:color w:val="000000" w:themeColor="text1"/>
          <w:sz w:val="20"/>
          <w:szCs w:val="20"/>
        </w:rPr>
      </w:pPr>
      <w:r w:rsidRPr="00861F5C">
        <w:rPr>
          <w:rFonts w:ascii="Arial" w:hAnsi="Arial" w:cs="Arial"/>
          <w:bCs/>
          <w:color w:val="000000" w:themeColor="text1"/>
          <w:sz w:val="20"/>
          <w:szCs w:val="20"/>
          <w:lang w:eastAsia="es-CO"/>
        </w:rPr>
        <w:t xml:space="preserve">[…] la Ley 996 de 2005 </w:t>
      </w:r>
      <w:r w:rsidRPr="00720382">
        <w:rPr>
          <w:rFonts w:ascii="Arial" w:eastAsia="Calibri" w:hAnsi="Arial" w:cs="Arial"/>
          <w:color w:val="000000" w:themeColor="text1"/>
          <w:sz w:val="20"/>
          <w:szCs w:val="20"/>
          <w:lang w:eastAsia="en-US"/>
        </w:rPr>
        <w:t>«</w:t>
      </w:r>
      <w:r w:rsidRPr="00861F5C">
        <w:rPr>
          <w:rStyle w:val="Textoennegrita"/>
          <w:rFonts w:ascii="Arial" w:hAnsi="Arial" w:cs="Arial"/>
          <w:b w:val="0"/>
          <w:color w:val="000000" w:themeColor="text1"/>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861F5C">
        <w:rPr>
          <w:rFonts w:ascii="Arial" w:eastAsia="Calibri" w:hAnsi="Arial" w:cs="Arial"/>
          <w:bCs/>
          <w:color w:val="000000" w:themeColor="text1"/>
          <w:sz w:val="20"/>
          <w:szCs w:val="20"/>
          <w:lang w:eastAsia="en-US"/>
        </w:rPr>
        <w:t>»,</w:t>
      </w:r>
      <w:r w:rsidRPr="00861F5C">
        <w:rPr>
          <w:rStyle w:val="Textoennegrita"/>
          <w:rFonts w:ascii="Arial" w:hAnsi="Arial" w:cs="Arial"/>
          <w:color w:val="000000" w:themeColor="text1"/>
          <w:sz w:val="20"/>
          <w:szCs w:val="20"/>
          <w:shd w:val="clear" w:color="auto" w:fill="FFFFFF"/>
        </w:rPr>
        <w:t xml:space="preserve"> </w:t>
      </w:r>
      <w:r w:rsidRPr="00861F5C">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E4581" w:rsidRDefault="0030575F" w:rsidP="00C128B2">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4E4581" w:rsidRDefault="0030575F" w:rsidP="00C128B2">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E4581">
        <w:rPr>
          <w:rFonts w:ascii="Arial" w:eastAsia="Calibri" w:hAnsi="Arial" w:cs="Arial"/>
          <w:b/>
          <w:bCs/>
          <w:color w:val="000000" w:themeColor="text1"/>
          <w:sz w:val="22"/>
          <w:szCs w:val="22"/>
          <w:lang w:val="es-MX" w:eastAsia="en-US"/>
        </w:rPr>
        <w:t>LEY DE GARANTÍAS ELECTORALES ‒</w:t>
      </w:r>
      <w:bookmarkEnd w:id="3"/>
      <w:r w:rsidRPr="004E4581">
        <w:rPr>
          <w:rFonts w:ascii="Arial" w:eastAsia="Calibri" w:hAnsi="Arial" w:cs="Arial"/>
          <w:b/>
          <w:bCs/>
          <w:color w:val="000000" w:themeColor="text1"/>
          <w:sz w:val="22"/>
          <w:szCs w:val="22"/>
          <w:lang w:val="es-MX" w:eastAsia="en-US"/>
        </w:rPr>
        <w:t xml:space="preserve"> Restricciones </w:t>
      </w:r>
      <w:bookmarkStart w:id="5" w:name="_Hlk77157034"/>
      <w:r w:rsidRPr="004E4581">
        <w:rPr>
          <w:rFonts w:ascii="Arial" w:eastAsia="Calibri" w:hAnsi="Arial" w:cs="Arial"/>
          <w:b/>
          <w:bCs/>
          <w:color w:val="000000" w:themeColor="text1"/>
          <w:sz w:val="22"/>
          <w:szCs w:val="22"/>
          <w:lang w:val="es-MX" w:eastAsia="en-US"/>
        </w:rPr>
        <w:t xml:space="preserve">‒ </w:t>
      </w:r>
      <w:bookmarkEnd w:id="5"/>
      <w:r w:rsidRPr="004E4581">
        <w:rPr>
          <w:rFonts w:ascii="Arial" w:eastAsia="Calibri" w:hAnsi="Arial" w:cs="Arial"/>
          <w:b/>
          <w:bCs/>
          <w:color w:val="000000" w:themeColor="text1"/>
          <w:sz w:val="22"/>
          <w:szCs w:val="22"/>
          <w:lang w:val="es-MX" w:eastAsia="en-US"/>
        </w:rPr>
        <w:t>Contratación</w:t>
      </w:r>
      <w:bookmarkStart w:id="6" w:name="_Hlk77153098"/>
      <w:r w:rsidRPr="004E4581">
        <w:rPr>
          <w:rFonts w:ascii="Arial" w:eastAsia="Calibri" w:hAnsi="Arial" w:cs="Arial"/>
          <w:b/>
          <w:bCs/>
          <w:color w:val="000000" w:themeColor="text1"/>
          <w:sz w:val="22"/>
          <w:szCs w:val="22"/>
          <w:lang w:val="es-MX" w:eastAsia="en-US"/>
        </w:rPr>
        <w:t xml:space="preserve"> ‒ Tipos de elección</w:t>
      </w:r>
      <w:bookmarkEnd w:id="6"/>
      <w:r w:rsidRPr="004E4581">
        <w:rPr>
          <w:rFonts w:ascii="Arial" w:eastAsia="Calibri" w:hAnsi="Arial" w:cs="Arial"/>
          <w:b/>
          <w:bCs/>
          <w:color w:val="000000" w:themeColor="text1"/>
          <w:sz w:val="22"/>
          <w:szCs w:val="22"/>
          <w:lang w:val="es-MX" w:eastAsia="en-US"/>
        </w:rPr>
        <w:t xml:space="preserve"> </w:t>
      </w:r>
    </w:p>
    <w:p w14:paraId="16CB6979" w14:textId="77777777" w:rsidR="0030575F" w:rsidRPr="00861F5C" w:rsidRDefault="0030575F" w:rsidP="00C128B2">
      <w:pPr>
        <w:tabs>
          <w:tab w:val="left" w:pos="426"/>
        </w:tabs>
        <w:jc w:val="both"/>
        <w:rPr>
          <w:rFonts w:ascii="Arial" w:eastAsia="Calibri" w:hAnsi="Arial" w:cs="Arial"/>
          <w:b/>
          <w:bCs/>
          <w:color w:val="000000" w:themeColor="text1"/>
          <w:sz w:val="20"/>
          <w:szCs w:val="20"/>
          <w:lang w:val="es-MX" w:eastAsia="en-US"/>
        </w:rPr>
      </w:pPr>
    </w:p>
    <w:p w14:paraId="149A097F" w14:textId="3FB14250" w:rsidR="0030575F" w:rsidRPr="00861F5C" w:rsidRDefault="00861F5C" w:rsidP="00C128B2">
      <w:pPr>
        <w:spacing w:after="120"/>
        <w:jc w:val="both"/>
        <w:rPr>
          <w:rFonts w:ascii="Arial" w:eastAsia="Arial" w:hAnsi="Arial" w:cs="Arial"/>
          <w:color w:val="000000" w:themeColor="text1"/>
          <w:sz w:val="20"/>
          <w:szCs w:val="20"/>
          <w:lang w:val="es-ES" w:eastAsia="es-ES" w:bidi="es-ES"/>
        </w:rPr>
      </w:pPr>
      <w:r w:rsidRPr="00861F5C">
        <w:rPr>
          <w:rFonts w:ascii="Arial" w:hAnsi="Arial" w:cs="Arial"/>
          <w:bCs/>
          <w:color w:val="000000" w:themeColor="text1"/>
          <w:sz w:val="20"/>
          <w:szCs w:val="20"/>
          <w:lang w:val="es-MX" w:eastAsia="es-CO"/>
        </w:rPr>
        <w:t xml:space="preserve">La </w:t>
      </w:r>
      <w:r w:rsidRPr="00861F5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61F5C">
        <w:rPr>
          <w:rFonts w:ascii="Arial" w:eastAsia="Calibri" w:hAnsi="Arial" w:cs="Arial"/>
          <w:color w:val="000000" w:themeColor="text1"/>
          <w:sz w:val="20"/>
          <w:szCs w:val="20"/>
          <w:lang w:eastAsia="en-US"/>
        </w:rPr>
        <w:t xml:space="preserve">Por una parte, el artículo 33 de la Ley 996 de 2005 establece una prohibición que impide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la contratación directa por parte de todos los entes del Estado</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 durante los cuatro (4) meses anteriores a las elecciones presidenciales, salvo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w:t>
      </w:r>
      <w:r w:rsidR="00E17122">
        <w:rPr>
          <w:rFonts w:ascii="Arial" w:eastAsia="Calibri" w:hAnsi="Arial" w:cs="Arial"/>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val="es-MX" w:eastAsia="en-US"/>
        </w:rPr>
        <w:t>.</w:t>
      </w:r>
      <w:r w:rsidR="0030575F" w:rsidRPr="00861F5C">
        <w:rPr>
          <w:rFonts w:ascii="Arial" w:eastAsia="Calibri" w:hAnsi="Arial" w:cs="Arial"/>
          <w:noProof/>
          <w:color w:val="000000" w:themeColor="text1"/>
          <w:sz w:val="20"/>
          <w:szCs w:val="20"/>
          <w:lang w:val="es-ES_tradnl" w:eastAsia="en-US"/>
        </w:rPr>
        <w:t>.</w:t>
      </w:r>
    </w:p>
    <w:bookmarkEnd w:id="4"/>
    <w:p w14:paraId="213A2A29" w14:textId="45C5865E" w:rsidR="00AB5DF8" w:rsidRDefault="00AB5DF8" w:rsidP="00C128B2">
      <w:pPr>
        <w:spacing w:after="120"/>
        <w:jc w:val="both"/>
        <w:rPr>
          <w:rFonts w:ascii="Arial" w:eastAsia="Arial" w:hAnsi="Arial" w:cs="Arial"/>
          <w:color w:val="000000" w:themeColor="text1"/>
          <w:sz w:val="20"/>
          <w:szCs w:val="20"/>
          <w:lang w:val="es-ES" w:eastAsia="es-ES" w:bidi="es-ES"/>
        </w:rPr>
      </w:pPr>
    </w:p>
    <w:p w14:paraId="137EF084" w14:textId="77777777" w:rsidR="00AB5DF8" w:rsidRPr="00AB5DF8" w:rsidRDefault="00AB5DF8" w:rsidP="00AB5DF8">
      <w:pPr>
        <w:tabs>
          <w:tab w:val="left" w:pos="426"/>
        </w:tabs>
        <w:jc w:val="both"/>
        <w:rPr>
          <w:rFonts w:ascii="Arial" w:eastAsia="Calibri" w:hAnsi="Arial" w:cs="Arial"/>
          <w:b/>
          <w:bCs/>
          <w:sz w:val="22"/>
          <w:szCs w:val="22"/>
          <w:lang w:val="es-MX" w:eastAsia="en-US"/>
        </w:rPr>
      </w:pPr>
      <w:bookmarkStart w:id="7" w:name="_Hlk77165666"/>
      <w:r w:rsidRPr="00AB5DF8">
        <w:rPr>
          <w:rFonts w:ascii="Arial" w:eastAsia="Calibri" w:hAnsi="Arial" w:cs="Arial"/>
          <w:b/>
          <w:bCs/>
          <w:sz w:val="22"/>
          <w:szCs w:val="22"/>
          <w:lang w:val="es-MX" w:eastAsia="en-US"/>
        </w:rPr>
        <w:t xml:space="preserve">LEY DE GARANTÍAS ELECTORALES ─ Prohibición artículo 33 ‒ </w:t>
      </w:r>
      <w:bookmarkEnd w:id="7"/>
      <w:r w:rsidRPr="00AB5DF8">
        <w:rPr>
          <w:rFonts w:ascii="Arial" w:eastAsia="Calibri" w:hAnsi="Arial" w:cs="Arial"/>
          <w:b/>
          <w:bCs/>
          <w:sz w:val="22"/>
          <w:szCs w:val="22"/>
          <w:lang w:val="es-MX" w:eastAsia="en-US"/>
        </w:rPr>
        <w:t xml:space="preserve">Contratación directa ‒ Alcance </w:t>
      </w:r>
    </w:p>
    <w:p w14:paraId="07DDB2B3" w14:textId="77777777" w:rsidR="00AB5DF8" w:rsidRPr="00AB5DF8" w:rsidRDefault="00AB5DF8" w:rsidP="00AB5DF8">
      <w:pPr>
        <w:tabs>
          <w:tab w:val="left" w:pos="426"/>
        </w:tabs>
        <w:jc w:val="both"/>
        <w:rPr>
          <w:rFonts w:ascii="Arial" w:eastAsia="Calibri" w:hAnsi="Arial" w:cs="Arial"/>
          <w:noProof/>
          <w:sz w:val="20"/>
          <w:szCs w:val="20"/>
          <w:lang w:val="es-MX" w:eastAsia="en-US"/>
        </w:rPr>
      </w:pPr>
    </w:p>
    <w:p w14:paraId="5F1D4016" w14:textId="77777777" w:rsidR="00AB5DF8" w:rsidRPr="00AB5DF8" w:rsidRDefault="00AB5DF8" w:rsidP="00AB5DF8">
      <w:pPr>
        <w:jc w:val="both"/>
        <w:rPr>
          <w:rFonts w:ascii="Arial" w:hAnsi="Arial" w:cs="Arial"/>
          <w:bCs/>
          <w:sz w:val="20"/>
          <w:szCs w:val="20"/>
          <w:lang w:val="es-MX" w:eastAsia="x-none"/>
        </w:rPr>
      </w:pPr>
      <w:r w:rsidRPr="00AB5DF8">
        <w:rPr>
          <w:rFonts w:ascii="Arial" w:eastAsia="Calibri" w:hAnsi="Arial" w:cs="Arial"/>
          <w:noProof/>
          <w:sz w:val="20"/>
          <w:szCs w:val="20"/>
          <w:lang w:val="es-MX" w:eastAsia="en-US"/>
        </w:rPr>
        <w:lastRenderedPageBreak/>
        <w:t xml:space="preserve">[…] </w:t>
      </w:r>
      <w:r w:rsidRPr="00AB5DF8">
        <w:rPr>
          <w:rFonts w:ascii="Arial" w:hAnsi="Arial" w:cs="Arial"/>
          <w:bCs/>
          <w:sz w:val="20"/>
          <w:szCs w:val="20"/>
          <w:lang w:val="es-MX"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AB5DF8">
        <w:rPr>
          <w:rFonts w:ascii="Arial" w:hAnsi="Arial" w:cs="Arial"/>
          <w:sz w:val="20"/>
          <w:szCs w:val="20"/>
          <w:vertAlign w:val="superscript"/>
          <w:lang w:eastAsia="x-none"/>
        </w:rPr>
        <w:t xml:space="preserve">. </w:t>
      </w:r>
      <w:r w:rsidRPr="00AB5DF8">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AB5DF8">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AB5DF8" w:rsidRDefault="00AB5DF8" w:rsidP="00AB5DF8">
      <w:pPr>
        <w:jc w:val="both"/>
        <w:rPr>
          <w:rFonts w:ascii="Arial" w:hAnsi="Arial" w:cs="Arial"/>
          <w:b/>
          <w:bCs/>
          <w:sz w:val="20"/>
          <w:szCs w:val="20"/>
          <w:lang w:val="es-MX" w:eastAsia="es-ES"/>
        </w:rPr>
      </w:pPr>
    </w:p>
    <w:p w14:paraId="5F03E86A" w14:textId="77777777" w:rsidR="00AB5DF8" w:rsidRPr="00D353F8" w:rsidRDefault="00AB5DF8" w:rsidP="00AB5DF8">
      <w:pPr>
        <w:shd w:val="clear" w:color="auto" w:fill="FFFFFF"/>
        <w:jc w:val="both"/>
        <w:rPr>
          <w:rFonts w:ascii="Arial" w:hAnsi="Arial" w:cs="Arial"/>
          <w:b/>
          <w:bCs/>
          <w:sz w:val="22"/>
          <w:szCs w:val="22"/>
          <w:lang w:eastAsia="es-CO"/>
        </w:rPr>
      </w:pPr>
      <w:r w:rsidRPr="00D353F8">
        <w:rPr>
          <w:rFonts w:ascii="Arial" w:hAnsi="Arial" w:cs="Arial"/>
          <w:b/>
          <w:bCs/>
          <w:sz w:val="22"/>
          <w:szCs w:val="22"/>
          <w:lang w:eastAsia="es-CO"/>
        </w:rPr>
        <w:t xml:space="preserve">LEY DE GARANTÍAS ELECTORALES </w:t>
      </w:r>
      <w:bookmarkStart w:id="8" w:name="_Hlk77022358"/>
      <w:r w:rsidRPr="00D353F8">
        <w:rPr>
          <w:rFonts w:ascii="Arial" w:hAnsi="Arial" w:cs="Arial"/>
          <w:b/>
          <w:bCs/>
          <w:sz w:val="22"/>
          <w:szCs w:val="22"/>
          <w:lang w:eastAsia="es-CO"/>
        </w:rPr>
        <w:t>‒</w:t>
      </w:r>
      <w:bookmarkEnd w:id="8"/>
      <w:r w:rsidRPr="00D353F8">
        <w:rPr>
          <w:rFonts w:ascii="Arial" w:hAnsi="Arial" w:cs="Arial"/>
          <w:b/>
          <w:bCs/>
          <w:sz w:val="22"/>
          <w:szCs w:val="22"/>
          <w:lang w:eastAsia="es-CO"/>
        </w:rPr>
        <w:t xml:space="preserve"> Excepciones</w:t>
      </w:r>
      <w:r w:rsidRPr="00D353F8">
        <w:rPr>
          <w:rFonts w:ascii="Arial" w:hAnsi="Arial" w:cs="Arial"/>
          <w:b/>
          <w:sz w:val="22"/>
          <w:szCs w:val="22"/>
          <w:lang w:eastAsia="es-CO"/>
        </w:rPr>
        <w:t xml:space="preserve"> </w:t>
      </w:r>
    </w:p>
    <w:p w14:paraId="33F8204C" w14:textId="77777777" w:rsidR="00AB5DF8" w:rsidRPr="00D353F8" w:rsidRDefault="00AB5DF8" w:rsidP="00AB5DF8">
      <w:pPr>
        <w:shd w:val="clear" w:color="auto" w:fill="FFFFFF"/>
        <w:jc w:val="both"/>
        <w:rPr>
          <w:rFonts w:ascii="Arial" w:hAnsi="Arial" w:cs="Arial"/>
          <w:b/>
          <w:sz w:val="22"/>
          <w:szCs w:val="22"/>
          <w:lang w:eastAsia="es-CO"/>
        </w:rPr>
      </w:pPr>
    </w:p>
    <w:p w14:paraId="50FBDA27" w14:textId="77777777" w:rsidR="00AB5DF8" w:rsidRPr="00AB5DF8" w:rsidRDefault="00AB5DF8" w:rsidP="00AB5DF8">
      <w:pPr>
        <w:tabs>
          <w:tab w:val="left" w:pos="426"/>
        </w:tabs>
        <w:jc w:val="both"/>
        <w:rPr>
          <w:rFonts w:ascii="Arial" w:eastAsia="Calibri" w:hAnsi="Arial" w:cs="Arial"/>
          <w:sz w:val="20"/>
          <w:szCs w:val="20"/>
          <w:lang w:val="es-MX" w:eastAsia="en-US"/>
        </w:rPr>
      </w:pPr>
      <w:r w:rsidRPr="00AB5DF8">
        <w:rPr>
          <w:rFonts w:ascii="Arial" w:hAnsi="Arial" w:cs="Arial"/>
          <w:sz w:val="20"/>
          <w:szCs w:val="20"/>
          <w:lang w:eastAsia="x-none"/>
        </w:rPr>
        <w:t xml:space="preserve">[…] </w:t>
      </w:r>
      <w:r w:rsidRPr="00AB5DF8">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AB5DF8">
        <w:rPr>
          <w:rFonts w:ascii="Arial" w:hAnsi="Arial" w:cs="Arial"/>
          <w:bCs/>
          <w:sz w:val="20"/>
          <w:szCs w:val="20"/>
          <w:lang w:val="es-MX" w:eastAsia="x-none"/>
        </w:rPr>
        <w:t>ii</w:t>
      </w:r>
      <w:proofErr w:type="spellEnd"/>
      <w:r w:rsidRPr="00AB5DF8">
        <w:rPr>
          <w:rFonts w:ascii="Arial" w:hAnsi="Arial" w:cs="Arial"/>
          <w:bCs/>
          <w:sz w:val="20"/>
          <w:szCs w:val="20"/>
          <w:lang w:val="es-MX" w:eastAsia="x-none"/>
        </w:rPr>
        <w:t xml:space="preserve">) los contratos de crédito público; </w:t>
      </w:r>
      <w:proofErr w:type="spellStart"/>
      <w:r w:rsidRPr="00AB5DF8">
        <w:rPr>
          <w:rFonts w:ascii="Arial" w:hAnsi="Arial" w:cs="Arial"/>
          <w:bCs/>
          <w:sz w:val="20"/>
          <w:szCs w:val="20"/>
          <w:lang w:val="es-MX" w:eastAsia="x-none"/>
        </w:rPr>
        <w:t>iii</w:t>
      </w:r>
      <w:proofErr w:type="spellEnd"/>
      <w:r w:rsidRPr="00AB5DF8">
        <w:rPr>
          <w:rFonts w:ascii="Arial" w:hAnsi="Arial" w:cs="Arial"/>
          <w:bCs/>
          <w:sz w:val="20"/>
          <w:szCs w:val="20"/>
          <w:lang w:val="es-MX" w:eastAsia="x-none"/>
        </w:rPr>
        <w:t xml:space="preserve">) los requeridos para cubrir las emergencias educativas, sanitarias y desastres; </w:t>
      </w:r>
      <w:proofErr w:type="spellStart"/>
      <w:r w:rsidRPr="00AB5DF8">
        <w:rPr>
          <w:rFonts w:ascii="Arial" w:hAnsi="Arial" w:cs="Arial"/>
          <w:bCs/>
          <w:sz w:val="20"/>
          <w:szCs w:val="20"/>
          <w:lang w:val="es-MX" w:eastAsia="x-none"/>
        </w:rPr>
        <w:t>iv</w:t>
      </w:r>
      <w:proofErr w:type="spellEnd"/>
      <w:r w:rsidRPr="00AB5DF8">
        <w:rPr>
          <w:rFonts w:ascii="Arial"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ECDC23" w14:textId="77777777" w:rsidR="00AB5DF8" w:rsidRPr="00AB5DF8" w:rsidRDefault="00AB5DF8" w:rsidP="00AB5DF8">
      <w:pPr>
        <w:tabs>
          <w:tab w:val="left" w:pos="426"/>
        </w:tabs>
        <w:jc w:val="both"/>
        <w:rPr>
          <w:rFonts w:ascii="Arial" w:eastAsia="Calibri" w:hAnsi="Arial" w:cs="Arial"/>
          <w:noProof/>
          <w:sz w:val="20"/>
          <w:szCs w:val="20"/>
          <w:lang w:eastAsia="en-US"/>
        </w:rPr>
      </w:pPr>
    </w:p>
    <w:p w14:paraId="61C61FFA" w14:textId="77777777" w:rsidR="00AB5DF8" w:rsidRPr="00AB5DF8" w:rsidRDefault="00AB5DF8" w:rsidP="00AB5DF8">
      <w:pPr>
        <w:jc w:val="both"/>
        <w:rPr>
          <w:rFonts w:ascii="Arial" w:hAnsi="Arial" w:cs="Arial"/>
          <w:b/>
          <w:sz w:val="22"/>
          <w:szCs w:val="22"/>
          <w:lang w:val="es-ES" w:eastAsia="es-CO"/>
        </w:rPr>
      </w:pPr>
      <w:r w:rsidRPr="00AB5DF8">
        <w:rPr>
          <w:rFonts w:ascii="Arial" w:hAnsi="Arial" w:cs="Arial"/>
          <w:b/>
          <w:bCs/>
          <w:sz w:val="22"/>
          <w:szCs w:val="22"/>
          <w:lang w:eastAsia="es-CO"/>
        </w:rPr>
        <w:t xml:space="preserve">LEY DE GARANTÍAS ELECTORALES </w:t>
      </w:r>
      <w:bookmarkStart w:id="9" w:name="_Hlk77166669"/>
      <w:r w:rsidRPr="00AB5DF8">
        <w:rPr>
          <w:rFonts w:ascii="Arial" w:hAnsi="Arial" w:cs="Arial"/>
          <w:b/>
          <w:bCs/>
          <w:sz w:val="22"/>
          <w:szCs w:val="22"/>
          <w:lang w:eastAsia="es-CO"/>
        </w:rPr>
        <w:t>‒</w:t>
      </w:r>
      <w:bookmarkEnd w:id="9"/>
      <w:r w:rsidRPr="00AB5DF8">
        <w:rPr>
          <w:rFonts w:ascii="Arial" w:hAnsi="Arial" w:cs="Arial"/>
          <w:b/>
          <w:bCs/>
          <w:sz w:val="22"/>
          <w:szCs w:val="22"/>
          <w:lang w:eastAsia="es-CO"/>
        </w:rPr>
        <w:t xml:space="preserve"> </w:t>
      </w:r>
      <w:r w:rsidRPr="00AB5DF8">
        <w:rPr>
          <w:rFonts w:ascii="Arial" w:hAnsi="Arial" w:cs="Arial"/>
          <w:b/>
          <w:sz w:val="22"/>
          <w:szCs w:val="22"/>
          <w:lang w:val="es-ES" w:eastAsia="es-CO"/>
        </w:rPr>
        <w:t xml:space="preserve">Prohibición del artículo 33 </w:t>
      </w:r>
      <w:r w:rsidRPr="00AB5DF8">
        <w:rPr>
          <w:rFonts w:ascii="Arial" w:hAnsi="Arial" w:cs="Arial"/>
          <w:b/>
          <w:bCs/>
          <w:sz w:val="22"/>
          <w:szCs w:val="22"/>
          <w:lang w:eastAsia="es-CO"/>
        </w:rPr>
        <w:t>‒ Destinatarios</w:t>
      </w:r>
    </w:p>
    <w:p w14:paraId="08C59DEE" w14:textId="77777777" w:rsidR="00AB5DF8" w:rsidRPr="00AB5DF8" w:rsidRDefault="00AB5DF8" w:rsidP="00AB5DF8">
      <w:pPr>
        <w:tabs>
          <w:tab w:val="left" w:pos="426"/>
        </w:tabs>
        <w:jc w:val="both"/>
        <w:rPr>
          <w:rFonts w:ascii="Arial" w:eastAsia="Calibri" w:hAnsi="Arial" w:cs="Arial"/>
          <w:noProof/>
          <w:sz w:val="22"/>
          <w:szCs w:val="22"/>
          <w:lang w:val="es-ES" w:eastAsia="en-US"/>
        </w:rPr>
      </w:pPr>
    </w:p>
    <w:p w14:paraId="45C09CF0" w14:textId="379F28DE" w:rsidR="00AB5DF8" w:rsidRDefault="00AB5DF8" w:rsidP="00AB5DF8">
      <w:pPr>
        <w:tabs>
          <w:tab w:val="left" w:pos="426"/>
        </w:tabs>
        <w:jc w:val="both"/>
        <w:rPr>
          <w:rFonts w:ascii="Arial" w:hAnsi="Arial" w:cs="Arial"/>
          <w:bCs/>
          <w:sz w:val="20"/>
          <w:szCs w:val="20"/>
          <w:lang w:val="es-MX" w:eastAsia="x-none"/>
        </w:rPr>
      </w:pPr>
      <w:r w:rsidRPr="00AB5DF8">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B5DF8">
        <w:rPr>
          <w:rFonts w:ascii="Calibri" w:eastAsia="Calibri" w:hAnsi="Calibri"/>
          <w:sz w:val="20"/>
          <w:szCs w:val="20"/>
          <w:lang w:val="es-MX" w:eastAsia="en-US"/>
        </w:rPr>
        <w:t xml:space="preserve"> </w:t>
      </w:r>
      <w:r w:rsidRPr="00AB5DF8">
        <w:rPr>
          <w:rFonts w:ascii="Arial" w:hAnsi="Arial" w:cs="Arial"/>
          <w:bCs/>
          <w:sz w:val="20"/>
          <w:szCs w:val="20"/>
          <w:lang w:val="es-MX" w:eastAsia="x-none"/>
        </w:rPr>
        <w:t>En efecto, tal como lo ha sostenido el Consejo de Estado, el vocablo «todos» utilizado por el legislador comprende</w:t>
      </w:r>
      <w:r w:rsidRPr="00AB5DF8">
        <w:rPr>
          <w:rFonts w:ascii="Calibri" w:eastAsia="Calibri" w:hAnsi="Calibri"/>
          <w:sz w:val="20"/>
          <w:szCs w:val="20"/>
          <w:lang w:val="es-MX" w:eastAsia="en-US"/>
        </w:rPr>
        <w:t xml:space="preserve"> </w:t>
      </w:r>
      <w:r w:rsidRPr="00AB5DF8">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FEF9A1F" w14:textId="23D042FC" w:rsidR="00A75C54" w:rsidRPr="00360A25" w:rsidRDefault="00A75C54" w:rsidP="00360A25">
      <w:pPr>
        <w:tabs>
          <w:tab w:val="left" w:pos="426"/>
        </w:tabs>
        <w:jc w:val="both"/>
        <w:rPr>
          <w:rFonts w:ascii="Arial" w:hAnsi="Arial" w:cs="Arial"/>
          <w:bCs/>
          <w:sz w:val="20"/>
          <w:szCs w:val="20"/>
          <w:lang w:val="es-MX" w:eastAsia="x-none"/>
        </w:rPr>
      </w:pPr>
    </w:p>
    <w:p w14:paraId="5897290A" w14:textId="77777777" w:rsidR="00360A25" w:rsidRPr="00720382" w:rsidRDefault="00A75C54" w:rsidP="00360A25">
      <w:pPr>
        <w:spacing w:after="120"/>
        <w:jc w:val="both"/>
        <w:rPr>
          <w:rFonts w:ascii="Arial" w:eastAsiaTheme="minorHAnsi" w:hAnsi="Arial" w:cs="Arial"/>
          <w:bCs/>
          <w:sz w:val="22"/>
          <w:szCs w:val="22"/>
          <w:lang w:val="es-MX" w:eastAsia="x-none"/>
        </w:rPr>
      </w:pPr>
      <w:r w:rsidRPr="00360A25">
        <w:rPr>
          <w:rFonts w:ascii="Arial" w:eastAsiaTheme="minorHAnsi" w:hAnsi="Arial" w:cs="Arial"/>
          <w:sz w:val="20"/>
          <w:szCs w:val="20"/>
          <w:lang w:val="es-MX" w:eastAsia="en-US"/>
        </w:rPr>
        <w:t xml:space="preserve">[…] </w:t>
      </w:r>
      <w:r w:rsidR="00360A25" w:rsidRPr="00360A25">
        <w:rPr>
          <w:rFonts w:ascii="Arial" w:eastAsiaTheme="minorHAnsi" w:hAnsi="Arial" w:cs="Arial"/>
          <w:sz w:val="20"/>
          <w:szCs w:val="20"/>
          <w:lang w:val="es-MX" w:eastAsia="en-US"/>
        </w:rPr>
        <w:t xml:space="preserve">la restricción prevista en la Ley 996 de 2005, </w:t>
      </w:r>
      <w:r w:rsidR="00360A25" w:rsidRPr="00360A25">
        <w:rPr>
          <w:rFonts w:ascii="Arial" w:eastAsiaTheme="minorHAnsi" w:hAnsi="Arial" w:cs="Arial"/>
          <w:bCs/>
          <w:sz w:val="20"/>
          <w:szCs w:val="20"/>
          <w:lang w:val="es-MX" w:eastAsia="x-none"/>
        </w:rPr>
        <w:t xml:space="preserve">teniendo en cuenta la finalidad de la Ley de Garantías Electorales, aplica a cualquier ente del Estado que, a través de la contratación directa, pueda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 Incluso, de acuerdo </w:t>
      </w:r>
      <w:r w:rsidR="00360A25" w:rsidRPr="00360A25">
        <w:rPr>
          <w:rFonts w:ascii="Arial" w:eastAsiaTheme="minorHAnsi" w:hAnsi="Arial" w:cs="Arial"/>
          <w:sz w:val="20"/>
          <w:szCs w:val="20"/>
          <w:lang w:val="es-MX" w:eastAsia="en-US"/>
        </w:rPr>
        <w:t>el artículo 32.5, inciso quinto, de la Ley 80 de 1993 y el artículo 2.5.2.1.1 del Decreto 2555 de 2010, la prohibición también se extiende a las sociedades fiduciarias, frente a los actos y contratos que realicen en desarrollo del negocio fiduciario, con independencia del régimen jurídico de la entidad fideicomitente, razón por la cual no se inaplicaría la prohibición establecida en el artículo 33 de la Ley de Garantías Electorales, con la constitución de patrimonios autónomos</w:t>
      </w:r>
      <w:r w:rsidR="00360A25" w:rsidRPr="00720382">
        <w:rPr>
          <w:rFonts w:ascii="Arial" w:eastAsiaTheme="minorHAnsi" w:hAnsi="Arial" w:cs="Arial"/>
          <w:sz w:val="22"/>
          <w:szCs w:val="22"/>
          <w:lang w:val="es-MX" w:eastAsia="en-US"/>
        </w:rPr>
        <w:t xml:space="preserve">.  </w:t>
      </w:r>
    </w:p>
    <w:p w14:paraId="07A67213" w14:textId="3A0E558D" w:rsidR="00A75C54" w:rsidRPr="00AB5DF8" w:rsidRDefault="00A75C54" w:rsidP="00AB5DF8">
      <w:pPr>
        <w:tabs>
          <w:tab w:val="left" w:pos="426"/>
        </w:tabs>
        <w:jc w:val="both"/>
        <w:rPr>
          <w:rFonts w:ascii="Arial" w:hAnsi="Arial" w:cs="Arial"/>
          <w:bCs/>
          <w:sz w:val="20"/>
          <w:szCs w:val="20"/>
          <w:lang w:val="es-MX" w:eastAsia="x-none"/>
        </w:rPr>
      </w:pPr>
    </w:p>
    <w:bookmarkEnd w:id="2"/>
    <w:p w14:paraId="6214582D" w14:textId="77777777" w:rsidR="00C128B2" w:rsidRDefault="00C128B2" w:rsidP="002F3E4E">
      <w:pPr>
        <w:rPr>
          <w:rFonts w:ascii="Arial" w:hAnsi="Arial" w:cs="Arial"/>
          <w:color w:val="000000" w:themeColor="text1"/>
          <w:sz w:val="22"/>
        </w:rPr>
      </w:pPr>
    </w:p>
    <w:p w14:paraId="09B8E758" w14:textId="60F5BB8F" w:rsidR="00C128B2" w:rsidRPr="006A567D" w:rsidRDefault="006A567D" w:rsidP="006A567D">
      <w:pPr>
        <w:jc w:val="both"/>
        <w:rPr>
          <w:rFonts w:ascii="Arial" w:hAnsi="Arial" w:cs="Arial"/>
          <w:b/>
          <w:color w:val="000000" w:themeColor="text1"/>
          <w:sz w:val="22"/>
        </w:rPr>
      </w:pPr>
      <w:r w:rsidRPr="006A567D">
        <w:rPr>
          <w:rFonts w:ascii="Arial" w:hAnsi="Arial" w:cs="Arial"/>
          <w:b/>
          <w:color w:val="000000" w:themeColor="text1"/>
          <w:sz w:val="22"/>
        </w:rPr>
        <w:lastRenderedPageBreak/>
        <w:t xml:space="preserve">SENTENCIA DE UNIFICACIÓN DEL CONSEJO DE ESTADO – Contratos de prestación de servicios – Competencia de la Agencia de Defensa </w:t>
      </w:r>
      <w:r w:rsidR="008675FA">
        <w:rPr>
          <w:rFonts w:ascii="Arial" w:hAnsi="Arial" w:cs="Arial"/>
          <w:b/>
          <w:color w:val="000000" w:themeColor="text1"/>
          <w:sz w:val="22"/>
        </w:rPr>
        <w:t>J</w:t>
      </w:r>
      <w:r w:rsidRPr="006A567D">
        <w:rPr>
          <w:rFonts w:ascii="Arial" w:hAnsi="Arial" w:cs="Arial"/>
          <w:b/>
          <w:color w:val="000000" w:themeColor="text1"/>
          <w:sz w:val="22"/>
        </w:rPr>
        <w:t>urídica del Estado</w:t>
      </w:r>
    </w:p>
    <w:p w14:paraId="4A290EFD" w14:textId="77777777" w:rsidR="00C128B2" w:rsidRDefault="00C128B2" w:rsidP="002F3E4E">
      <w:pPr>
        <w:rPr>
          <w:rFonts w:ascii="Arial" w:hAnsi="Arial" w:cs="Arial"/>
          <w:color w:val="000000" w:themeColor="text1"/>
          <w:sz w:val="22"/>
        </w:rPr>
      </w:pPr>
    </w:p>
    <w:p w14:paraId="03840A0D" w14:textId="0B7B902C" w:rsidR="00172020" w:rsidRPr="00172020" w:rsidRDefault="00172020" w:rsidP="00172020">
      <w:pPr>
        <w:spacing w:after="120"/>
        <w:jc w:val="both"/>
        <w:rPr>
          <w:rFonts w:ascii="Arial" w:eastAsia="Calibri" w:hAnsi="Arial" w:cs="Arial"/>
          <w:sz w:val="20"/>
          <w:szCs w:val="20"/>
        </w:rPr>
      </w:pPr>
      <w:r w:rsidRPr="00172020">
        <w:rPr>
          <w:rFonts w:ascii="Arial" w:eastAsia="Calibri" w:hAnsi="Arial" w:cs="Arial"/>
          <w:sz w:val="20"/>
          <w:szCs w:val="20"/>
          <w:lang w:val="es-ES"/>
        </w:rPr>
        <w:t xml:space="preserve">[…] Colombia Compra Eficiente solo resuelve consultas sobre normas generales del sistema de compras y contratación pública. No obstante, </w:t>
      </w:r>
      <w:r w:rsidRPr="00172020">
        <w:rPr>
          <w:rStyle w:val="normaltextrun"/>
          <w:rFonts w:ascii="Arial" w:hAnsi="Arial" w:cs="Arial"/>
          <w:color w:val="000000"/>
          <w:sz w:val="20"/>
          <w:szCs w:val="20"/>
          <w:shd w:val="clear" w:color="auto" w:fill="FFFFFF"/>
        </w:rPr>
        <w:t>si bien la jurisprudencia es una pauta de autoridad para entender el contenido de las leyes y los reglamentos, la sentencia de unificación del 9 de septiembre de 2021 fue expedida por la Sección Segunda del Consejo de Estado, la cual se encarga principalmente de resolver controversias judiciales en materia laboral, que se reitera, son ajenas a las competencias de la Agencia nacional de Contratación Pública.</w:t>
      </w:r>
      <w:r w:rsidRPr="00172020">
        <w:rPr>
          <w:rFonts w:ascii="Arial" w:eastAsia="Calibri" w:hAnsi="Arial" w:cs="Arial"/>
          <w:sz w:val="20"/>
          <w:szCs w:val="20"/>
          <w:lang w:val="es-ES"/>
        </w:rPr>
        <w:t xml:space="preserve"> </w:t>
      </w:r>
      <w:r w:rsidRPr="00172020">
        <w:rPr>
          <w:rFonts w:ascii="Arial" w:eastAsia="Calibri" w:hAnsi="Arial" w:cs="Arial"/>
          <w:i/>
          <w:iCs/>
          <w:sz w:val="20"/>
          <w:szCs w:val="20"/>
          <w:lang w:val="es-ES"/>
        </w:rPr>
        <w:t>Por otra parte</w:t>
      </w:r>
      <w:r w:rsidRPr="00172020">
        <w:rPr>
          <w:rFonts w:ascii="Arial" w:eastAsia="Calibri" w:hAnsi="Arial" w:cs="Arial"/>
          <w:sz w:val="20"/>
          <w:szCs w:val="20"/>
          <w:lang w:val="es-ES"/>
        </w:rPr>
        <w:t>, es necesario tener en cuenta que la Directiva de la Procuraduría General de la República 001 del 4 de enero de 2021 dispuso «</w:t>
      </w:r>
      <w:r w:rsidRPr="00172020">
        <w:rPr>
          <w:rFonts w:ascii="Arial" w:eastAsia="Calibri" w:hAnsi="Arial" w:cs="Arial"/>
          <w:sz w:val="20"/>
          <w:szCs w:val="20"/>
        </w:rPr>
        <w:t>Exhortar a la Agencia Nacional de Defensa Jurídica del Estado, a continuar adelantando, en la órbita de la función preventiva judicial, actividades para evitar el contrato realidad con las entidades de la rama ejecutiva del nivel nacional y hacer pedagogía y brindar apoyo a las entidades territoriales».</w:t>
      </w:r>
    </w:p>
    <w:p w14:paraId="0620495A" w14:textId="7B824D84" w:rsidR="00C128B2" w:rsidRPr="00172020" w:rsidRDefault="00172020" w:rsidP="00172020">
      <w:pPr>
        <w:jc w:val="both"/>
        <w:rPr>
          <w:rFonts w:ascii="Arial" w:hAnsi="Arial" w:cs="Arial"/>
          <w:color w:val="000000" w:themeColor="text1"/>
          <w:sz w:val="20"/>
          <w:szCs w:val="20"/>
        </w:rPr>
      </w:pPr>
      <w:r w:rsidRPr="00172020">
        <w:rPr>
          <w:rFonts w:ascii="Arial" w:eastAsia="Calibri" w:hAnsi="Arial" w:cs="Arial"/>
          <w:sz w:val="20"/>
          <w:szCs w:val="20"/>
          <w:lang w:val="es-ES"/>
        </w:rPr>
        <w:t>Teniendo en cuenta lo anterior, con fundamento en los criterios establecidos en la sentencia de unificación de jurisprudencia, la ANDJE estableció lineamientos en torno a la forma de prevenir la configuración de contratos realidad.</w:t>
      </w:r>
    </w:p>
    <w:p w14:paraId="739063AB" w14:textId="77777777" w:rsidR="00C128B2" w:rsidRPr="00172020" w:rsidRDefault="00C128B2" w:rsidP="00172020">
      <w:pPr>
        <w:rPr>
          <w:rFonts w:ascii="Arial" w:hAnsi="Arial" w:cs="Arial"/>
          <w:color w:val="000000" w:themeColor="text1"/>
          <w:sz w:val="20"/>
          <w:szCs w:val="20"/>
        </w:rPr>
      </w:pPr>
    </w:p>
    <w:p w14:paraId="676A107B" w14:textId="77777777" w:rsidR="00C128B2" w:rsidRDefault="00C128B2" w:rsidP="002F3E4E">
      <w:pPr>
        <w:rPr>
          <w:rFonts w:ascii="Arial" w:hAnsi="Arial" w:cs="Arial"/>
          <w:color w:val="000000" w:themeColor="text1"/>
          <w:sz w:val="22"/>
        </w:rPr>
      </w:pPr>
    </w:p>
    <w:p w14:paraId="0F328595" w14:textId="77777777" w:rsidR="00C128B2" w:rsidRDefault="00C128B2" w:rsidP="002F3E4E">
      <w:pPr>
        <w:rPr>
          <w:rFonts w:ascii="Arial" w:hAnsi="Arial" w:cs="Arial"/>
          <w:color w:val="000000" w:themeColor="text1"/>
          <w:sz w:val="22"/>
        </w:rPr>
      </w:pPr>
    </w:p>
    <w:p w14:paraId="1ECBCF1B" w14:textId="6B5A23DF" w:rsidR="00C128B2" w:rsidRDefault="00C128B2" w:rsidP="002F3E4E">
      <w:pPr>
        <w:rPr>
          <w:rFonts w:ascii="Arial" w:hAnsi="Arial" w:cs="Arial"/>
          <w:color w:val="000000" w:themeColor="text1"/>
          <w:sz w:val="22"/>
        </w:rPr>
      </w:pPr>
    </w:p>
    <w:p w14:paraId="7C1F0E6E" w14:textId="56183307" w:rsidR="00AB5DF8" w:rsidRDefault="00AB5DF8" w:rsidP="002F3E4E">
      <w:pPr>
        <w:rPr>
          <w:rFonts w:ascii="Arial" w:hAnsi="Arial" w:cs="Arial"/>
          <w:color w:val="000000" w:themeColor="text1"/>
          <w:sz w:val="22"/>
        </w:rPr>
      </w:pPr>
    </w:p>
    <w:p w14:paraId="796A7373" w14:textId="1CF1B21B" w:rsidR="00AB5DF8" w:rsidRDefault="00AB5DF8" w:rsidP="002F3E4E">
      <w:pPr>
        <w:rPr>
          <w:rFonts w:ascii="Arial" w:hAnsi="Arial" w:cs="Arial"/>
          <w:color w:val="000000" w:themeColor="text1"/>
          <w:sz w:val="22"/>
        </w:rPr>
      </w:pPr>
    </w:p>
    <w:p w14:paraId="7F4A895A" w14:textId="5709A54A" w:rsidR="00AB5DF8" w:rsidRDefault="00AB5DF8" w:rsidP="002F3E4E">
      <w:pPr>
        <w:rPr>
          <w:rFonts w:ascii="Arial" w:hAnsi="Arial" w:cs="Arial"/>
          <w:color w:val="000000" w:themeColor="text1"/>
          <w:sz w:val="22"/>
        </w:rPr>
      </w:pPr>
    </w:p>
    <w:p w14:paraId="2816E9E4" w14:textId="77777777" w:rsidR="00AB5DF8" w:rsidRDefault="00AB5DF8" w:rsidP="002F3E4E">
      <w:pPr>
        <w:rPr>
          <w:rFonts w:ascii="Arial" w:hAnsi="Arial" w:cs="Arial"/>
          <w:color w:val="000000" w:themeColor="text1"/>
          <w:sz w:val="22"/>
        </w:rPr>
      </w:pPr>
    </w:p>
    <w:p w14:paraId="04AD1D32" w14:textId="6E739BC0" w:rsidR="00C128B2" w:rsidRDefault="00C128B2" w:rsidP="002F3E4E">
      <w:pPr>
        <w:rPr>
          <w:rFonts w:ascii="Arial" w:hAnsi="Arial" w:cs="Arial"/>
          <w:color w:val="000000" w:themeColor="text1"/>
          <w:sz w:val="22"/>
        </w:rPr>
      </w:pPr>
    </w:p>
    <w:p w14:paraId="642B121A" w14:textId="1951184F" w:rsidR="005546CD" w:rsidRDefault="005546CD" w:rsidP="002F3E4E">
      <w:pPr>
        <w:rPr>
          <w:rFonts w:ascii="Arial" w:hAnsi="Arial" w:cs="Arial"/>
          <w:color w:val="000000" w:themeColor="text1"/>
          <w:sz w:val="22"/>
        </w:rPr>
      </w:pPr>
    </w:p>
    <w:p w14:paraId="571E5AAD" w14:textId="66D73009" w:rsidR="00A75C54" w:rsidRDefault="00A75C54" w:rsidP="002F3E4E">
      <w:pPr>
        <w:rPr>
          <w:rFonts w:ascii="Arial" w:hAnsi="Arial" w:cs="Arial"/>
          <w:color w:val="000000" w:themeColor="text1"/>
          <w:sz w:val="22"/>
        </w:rPr>
      </w:pPr>
    </w:p>
    <w:p w14:paraId="685AA8E0" w14:textId="227CC7AB" w:rsidR="00A75C54" w:rsidRDefault="00A75C54" w:rsidP="002F3E4E">
      <w:pPr>
        <w:rPr>
          <w:rFonts w:ascii="Arial" w:hAnsi="Arial" w:cs="Arial"/>
          <w:color w:val="000000" w:themeColor="text1"/>
          <w:sz w:val="22"/>
        </w:rPr>
      </w:pPr>
    </w:p>
    <w:p w14:paraId="2804B022" w14:textId="1F53D73F" w:rsidR="00A75C54" w:rsidRDefault="00A75C54" w:rsidP="002F3E4E">
      <w:pPr>
        <w:rPr>
          <w:rFonts w:ascii="Arial" w:hAnsi="Arial" w:cs="Arial"/>
          <w:color w:val="000000" w:themeColor="text1"/>
          <w:sz w:val="22"/>
        </w:rPr>
      </w:pPr>
    </w:p>
    <w:p w14:paraId="6E75517E" w14:textId="4EEDE33F" w:rsidR="00A75C54" w:rsidRDefault="00A75C54" w:rsidP="002F3E4E">
      <w:pPr>
        <w:rPr>
          <w:rFonts w:ascii="Arial" w:hAnsi="Arial" w:cs="Arial"/>
          <w:color w:val="000000" w:themeColor="text1"/>
          <w:sz w:val="22"/>
        </w:rPr>
      </w:pPr>
    </w:p>
    <w:p w14:paraId="1733D570" w14:textId="7C42CA1B" w:rsidR="00A75C54" w:rsidRDefault="00A75C54" w:rsidP="002F3E4E">
      <w:pPr>
        <w:rPr>
          <w:rFonts w:ascii="Arial" w:hAnsi="Arial" w:cs="Arial"/>
          <w:color w:val="000000" w:themeColor="text1"/>
          <w:sz w:val="22"/>
        </w:rPr>
      </w:pPr>
    </w:p>
    <w:p w14:paraId="295061F3" w14:textId="594FC2CE" w:rsidR="00A75C54" w:rsidRDefault="00A75C54" w:rsidP="002F3E4E">
      <w:pPr>
        <w:rPr>
          <w:rFonts w:ascii="Arial" w:hAnsi="Arial" w:cs="Arial"/>
          <w:color w:val="000000" w:themeColor="text1"/>
          <w:sz w:val="22"/>
        </w:rPr>
      </w:pPr>
    </w:p>
    <w:p w14:paraId="63F135EF" w14:textId="3EAE907C" w:rsidR="00A75C54" w:rsidRDefault="00A75C54" w:rsidP="002F3E4E">
      <w:pPr>
        <w:rPr>
          <w:rFonts w:ascii="Arial" w:hAnsi="Arial" w:cs="Arial"/>
          <w:color w:val="000000" w:themeColor="text1"/>
          <w:sz w:val="22"/>
        </w:rPr>
      </w:pPr>
    </w:p>
    <w:p w14:paraId="49E9A9E8" w14:textId="3D13CDDD" w:rsidR="00A75C54" w:rsidRDefault="00A75C54" w:rsidP="002F3E4E">
      <w:pPr>
        <w:rPr>
          <w:rFonts w:ascii="Arial" w:hAnsi="Arial" w:cs="Arial"/>
          <w:color w:val="000000" w:themeColor="text1"/>
          <w:sz w:val="22"/>
        </w:rPr>
      </w:pPr>
    </w:p>
    <w:p w14:paraId="3BCD5F24" w14:textId="431B5B48" w:rsidR="00A75C54" w:rsidRDefault="00A75C54" w:rsidP="002F3E4E">
      <w:pPr>
        <w:rPr>
          <w:rFonts w:ascii="Arial" w:hAnsi="Arial" w:cs="Arial"/>
          <w:color w:val="000000" w:themeColor="text1"/>
          <w:sz w:val="22"/>
        </w:rPr>
      </w:pPr>
    </w:p>
    <w:p w14:paraId="0B89A703" w14:textId="1A4D6BEA" w:rsidR="00A75C54" w:rsidRDefault="00A75C54" w:rsidP="002F3E4E">
      <w:pPr>
        <w:rPr>
          <w:rFonts w:ascii="Arial" w:hAnsi="Arial" w:cs="Arial"/>
          <w:color w:val="000000" w:themeColor="text1"/>
          <w:sz w:val="22"/>
        </w:rPr>
      </w:pPr>
    </w:p>
    <w:p w14:paraId="27319E51" w14:textId="20A3220C" w:rsidR="00A75C54" w:rsidRDefault="00A75C54" w:rsidP="002F3E4E">
      <w:pPr>
        <w:rPr>
          <w:rFonts w:ascii="Arial" w:hAnsi="Arial" w:cs="Arial"/>
          <w:color w:val="000000" w:themeColor="text1"/>
          <w:sz w:val="22"/>
        </w:rPr>
      </w:pPr>
    </w:p>
    <w:p w14:paraId="2D5DF9FB" w14:textId="3975F58A" w:rsidR="00A75C54" w:rsidRDefault="00A75C54" w:rsidP="002F3E4E">
      <w:pPr>
        <w:rPr>
          <w:rFonts w:ascii="Arial" w:hAnsi="Arial" w:cs="Arial"/>
          <w:color w:val="000000" w:themeColor="text1"/>
          <w:sz w:val="22"/>
        </w:rPr>
      </w:pPr>
    </w:p>
    <w:p w14:paraId="7D598958" w14:textId="3BE8F077" w:rsidR="00A75C54" w:rsidRDefault="00A75C54" w:rsidP="002F3E4E">
      <w:pPr>
        <w:rPr>
          <w:rFonts w:ascii="Arial" w:hAnsi="Arial" w:cs="Arial"/>
          <w:color w:val="000000" w:themeColor="text1"/>
          <w:sz w:val="22"/>
        </w:rPr>
      </w:pPr>
    </w:p>
    <w:p w14:paraId="725DD0FB" w14:textId="3015F4D7" w:rsidR="00A75C54" w:rsidRDefault="00A75C54" w:rsidP="002F3E4E">
      <w:pPr>
        <w:rPr>
          <w:rFonts w:ascii="Arial" w:hAnsi="Arial" w:cs="Arial"/>
          <w:color w:val="000000" w:themeColor="text1"/>
          <w:sz w:val="22"/>
        </w:rPr>
      </w:pPr>
    </w:p>
    <w:p w14:paraId="555EA9BB" w14:textId="1D305D73" w:rsidR="00A75C54" w:rsidRDefault="00A75C54" w:rsidP="002F3E4E">
      <w:pPr>
        <w:rPr>
          <w:rFonts w:ascii="Arial" w:hAnsi="Arial" w:cs="Arial"/>
          <w:color w:val="000000" w:themeColor="text1"/>
          <w:sz w:val="22"/>
        </w:rPr>
      </w:pPr>
    </w:p>
    <w:p w14:paraId="637DC510" w14:textId="6EEEFB72" w:rsidR="00A75C54" w:rsidRDefault="00A75C54" w:rsidP="002F3E4E">
      <w:pPr>
        <w:rPr>
          <w:rFonts w:ascii="Arial" w:hAnsi="Arial" w:cs="Arial"/>
          <w:color w:val="000000" w:themeColor="text1"/>
          <w:sz w:val="22"/>
        </w:rPr>
      </w:pPr>
    </w:p>
    <w:p w14:paraId="61313F98" w14:textId="0EB1D0EC" w:rsidR="00A75C54" w:rsidRDefault="00A75C54" w:rsidP="002F3E4E">
      <w:pPr>
        <w:rPr>
          <w:rFonts w:ascii="Arial" w:hAnsi="Arial" w:cs="Arial"/>
          <w:color w:val="000000" w:themeColor="text1"/>
          <w:sz w:val="22"/>
        </w:rPr>
      </w:pPr>
    </w:p>
    <w:p w14:paraId="56A89957" w14:textId="5680A2DF" w:rsidR="00A75C54" w:rsidRDefault="00A75C54" w:rsidP="002F3E4E">
      <w:pPr>
        <w:rPr>
          <w:rFonts w:ascii="Arial" w:hAnsi="Arial" w:cs="Arial"/>
          <w:color w:val="000000" w:themeColor="text1"/>
          <w:sz w:val="22"/>
        </w:rPr>
      </w:pPr>
    </w:p>
    <w:p w14:paraId="1FF533D5" w14:textId="3CD984DC" w:rsidR="00A75C54" w:rsidRDefault="00A75C54" w:rsidP="002F3E4E">
      <w:pPr>
        <w:rPr>
          <w:rFonts w:ascii="Arial" w:hAnsi="Arial" w:cs="Arial"/>
          <w:color w:val="000000" w:themeColor="text1"/>
          <w:sz w:val="22"/>
        </w:rPr>
      </w:pPr>
    </w:p>
    <w:p w14:paraId="7FCACCA7" w14:textId="5ADCC9A7" w:rsidR="00A75C54" w:rsidRDefault="00A75C54" w:rsidP="002F3E4E">
      <w:pPr>
        <w:rPr>
          <w:rFonts w:ascii="Arial" w:hAnsi="Arial" w:cs="Arial"/>
          <w:color w:val="000000" w:themeColor="text1"/>
          <w:sz w:val="22"/>
        </w:rPr>
      </w:pPr>
    </w:p>
    <w:p w14:paraId="7A5C1BC6" w14:textId="366F3851" w:rsidR="00A75C54" w:rsidRDefault="00A75C54" w:rsidP="002F3E4E">
      <w:pPr>
        <w:rPr>
          <w:rFonts w:ascii="Arial" w:hAnsi="Arial" w:cs="Arial"/>
          <w:color w:val="000000" w:themeColor="text1"/>
          <w:sz w:val="22"/>
        </w:rPr>
      </w:pPr>
    </w:p>
    <w:p w14:paraId="63D05DCE" w14:textId="77777777" w:rsidR="00A75C54" w:rsidRDefault="00A75C54" w:rsidP="002F3E4E">
      <w:pPr>
        <w:rPr>
          <w:rFonts w:ascii="Arial" w:hAnsi="Arial" w:cs="Arial"/>
          <w:color w:val="000000" w:themeColor="text1"/>
          <w:sz w:val="22"/>
        </w:rPr>
      </w:pPr>
    </w:p>
    <w:p w14:paraId="5A72FD02" w14:textId="77777777" w:rsidR="0094713D" w:rsidRPr="0094713D" w:rsidRDefault="0094713D" w:rsidP="0094713D">
      <w:pPr>
        <w:widowControl w:val="0"/>
        <w:autoSpaceDE w:val="0"/>
        <w:autoSpaceDN w:val="0"/>
        <w:ind w:left="4825"/>
        <w:rPr>
          <w:rFonts w:eastAsia="Arial MT" w:hAnsi="Arial MT" w:cs="Arial MT"/>
          <w:sz w:val="20"/>
          <w:szCs w:val="22"/>
          <w:lang w:val="es-ES" w:eastAsia="en-US"/>
        </w:rPr>
      </w:pPr>
      <w:r w:rsidRPr="0094713D">
        <w:rPr>
          <w:rFonts w:eastAsia="Arial MT" w:hAnsi="Arial MT" w:cs="Arial MT"/>
          <w:noProof/>
          <w:sz w:val="20"/>
          <w:szCs w:val="22"/>
          <w:lang w:val="es-ES" w:eastAsia="en-US"/>
        </w:rPr>
        <w:drawing>
          <wp:inline distT="0" distB="0" distL="0" distR="0" wp14:anchorId="139D3AB2" wp14:editId="50A6D6C3">
            <wp:extent cx="2710462" cy="693391"/>
            <wp:effectExtent l="0" t="0" r="0" b="0"/>
            <wp:docPr id="1" name="image2.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Texto&#10;&#10;Descripción generada automáticamente"/>
                    <pic:cNvPicPr/>
                  </pic:nvPicPr>
                  <pic:blipFill>
                    <a:blip r:embed="rId11" cstate="print"/>
                    <a:stretch>
                      <a:fillRect/>
                    </a:stretch>
                  </pic:blipFill>
                  <pic:spPr>
                    <a:xfrm>
                      <a:off x="0" y="0"/>
                      <a:ext cx="2718134" cy="695354"/>
                    </a:xfrm>
                    <a:prstGeom prst="rect">
                      <a:avLst/>
                    </a:prstGeom>
                  </pic:spPr>
                </pic:pic>
              </a:graphicData>
            </a:graphic>
          </wp:inline>
        </w:drawing>
      </w:r>
    </w:p>
    <w:p w14:paraId="086123A6" w14:textId="77777777" w:rsidR="0094713D" w:rsidRPr="0094713D" w:rsidRDefault="0094713D" w:rsidP="0094713D">
      <w:pPr>
        <w:widowControl w:val="0"/>
        <w:autoSpaceDE w:val="0"/>
        <w:autoSpaceDN w:val="0"/>
        <w:rPr>
          <w:rFonts w:eastAsia="Arial MT" w:hAnsi="Arial MT" w:cs="Arial MT"/>
          <w:sz w:val="20"/>
          <w:szCs w:val="22"/>
          <w:lang w:val="es-ES" w:eastAsia="en-US"/>
        </w:rPr>
      </w:pPr>
    </w:p>
    <w:p w14:paraId="11A15CB1" w14:textId="77777777" w:rsidR="0094713D" w:rsidRPr="0094713D" w:rsidRDefault="0094713D" w:rsidP="0094713D">
      <w:pPr>
        <w:widowControl w:val="0"/>
        <w:autoSpaceDE w:val="0"/>
        <w:autoSpaceDN w:val="0"/>
        <w:rPr>
          <w:rFonts w:eastAsia="Arial MT" w:hAnsi="Arial MT" w:cs="Arial MT"/>
          <w:sz w:val="20"/>
          <w:szCs w:val="22"/>
          <w:lang w:val="es-ES" w:eastAsia="en-US"/>
        </w:rPr>
      </w:pPr>
    </w:p>
    <w:p w14:paraId="766DAD6B" w14:textId="77777777" w:rsidR="0094713D" w:rsidRPr="0094713D" w:rsidRDefault="0094713D" w:rsidP="0094713D">
      <w:pPr>
        <w:widowControl w:val="0"/>
        <w:autoSpaceDE w:val="0"/>
        <w:autoSpaceDN w:val="0"/>
        <w:rPr>
          <w:rFonts w:eastAsia="Arial MT" w:hAnsi="Arial MT" w:cs="Arial MT"/>
          <w:sz w:val="20"/>
          <w:szCs w:val="22"/>
          <w:lang w:val="es-ES" w:eastAsia="en-US"/>
        </w:rPr>
      </w:pPr>
    </w:p>
    <w:p w14:paraId="68A2C7C5" w14:textId="77777777" w:rsidR="0094713D" w:rsidRPr="0094713D" w:rsidRDefault="0094713D" w:rsidP="0094713D">
      <w:pPr>
        <w:widowControl w:val="0"/>
        <w:autoSpaceDE w:val="0"/>
        <w:autoSpaceDN w:val="0"/>
        <w:spacing w:before="94"/>
        <w:ind w:right="533"/>
        <w:jc w:val="right"/>
        <w:rPr>
          <w:rFonts w:ascii="Arial" w:eastAsia="Arial MT" w:hAnsi="Arial MT" w:cs="Arial MT"/>
          <w:b/>
          <w:sz w:val="18"/>
          <w:szCs w:val="22"/>
          <w:lang w:val="es-ES" w:eastAsia="en-US"/>
        </w:rPr>
      </w:pPr>
      <w:r w:rsidRPr="0094713D">
        <w:rPr>
          <w:rFonts w:ascii="Arial" w:eastAsia="Arial MT" w:hAnsi="Arial MT" w:cs="Arial MT"/>
          <w:b/>
          <w:color w:val="585858"/>
          <w:sz w:val="18"/>
          <w:szCs w:val="22"/>
          <w:lang w:val="es-ES" w:eastAsia="en-US"/>
        </w:rPr>
        <w:t>CCE-DES-FM-17</w:t>
      </w:r>
    </w:p>
    <w:p w14:paraId="47D6D1F8" w14:textId="77777777" w:rsidR="0094713D" w:rsidRPr="0094713D" w:rsidRDefault="0094713D" w:rsidP="0094713D">
      <w:pPr>
        <w:widowControl w:val="0"/>
        <w:autoSpaceDE w:val="0"/>
        <w:autoSpaceDN w:val="0"/>
        <w:rPr>
          <w:rFonts w:ascii="Arial" w:eastAsia="Arial MT" w:hAnsi="Arial MT" w:cs="Arial MT"/>
          <w:b/>
          <w:sz w:val="20"/>
          <w:szCs w:val="22"/>
          <w:lang w:val="es-ES" w:eastAsia="en-US"/>
        </w:rPr>
      </w:pPr>
    </w:p>
    <w:p w14:paraId="1741E52C" w14:textId="77777777" w:rsidR="0094713D" w:rsidRPr="0094713D" w:rsidRDefault="0094713D" w:rsidP="0094713D">
      <w:pPr>
        <w:widowControl w:val="0"/>
        <w:autoSpaceDE w:val="0"/>
        <w:autoSpaceDN w:val="0"/>
        <w:ind w:left="100"/>
        <w:rPr>
          <w:rFonts w:ascii="Arial MT" w:eastAsia="Arial MT" w:hAnsi="Arial MT" w:cs="Arial MT"/>
          <w:sz w:val="22"/>
          <w:szCs w:val="22"/>
          <w:lang w:val="es-ES" w:eastAsia="en-US"/>
        </w:rPr>
      </w:pPr>
      <w:r w:rsidRPr="0094713D">
        <w:rPr>
          <w:rFonts w:ascii="Arial MT" w:eastAsia="Arial MT" w:hAnsi="Arial MT" w:cs="Arial MT"/>
          <w:color w:val="4E4D4D"/>
          <w:sz w:val="22"/>
          <w:szCs w:val="22"/>
          <w:lang w:val="es-ES" w:eastAsia="en-US"/>
        </w:rPr>
        <w:t>Bogotá,</w:t>
      </w:r>
      <w:r w:rsidRPr="0094713D">
        <w:rPr>
          <w:rFonts w:ascii="Arial MT" w:eastAsia="Arial MT" w:hAnsi="Arial MT" w:cs="Arial MT"/>
          <w:color w:val="4E4D4D"/>
          <w:spacing w:val="-3"/>
          <w:sz w:val="22"/>
          <w:szCs w:val="22"/>
          <w:lang w:val="es-ES" w:eastAsia="en-US"/>
        </w:rPr>
        <w:t xml:space="preserve"> </w:t>
      </w:r>
      <w:r w:rsidRPr="0094713D">
        <w:rPr>
          <w:rFonts w:ascii="Arial MT" w:eastAsia="Arial MT" w:hAnsi="Arial MT" w:cs="Arial MT"/>
          <w:color w:val="4E4D4D"/>
          <w:sz w:val="22"/>
          <w:szCs w:val="22"/>
          <w:lang w:val="es-ES" w:eastAsia="en-US"/>
        </w:rPr>
        <w:t>16</w:t>
      </w:r>
      <w:r w:rsidRPr="0094713D">
        <w:rPr>
          <w:rFonts w:ascii="Arial MT" w:eastAsia="Arial MT" w:hAnsi="Arial MT" w:cs="Arial MT"/>
          <w:color w:val="4E4D4D"/>
          <w:spacing w:val="-6"/>
          <w:sz w:val="22"/>
          <w:szCs w:val="22"/>
          <w:lang w:val="es-ES" w:eastAsia="en-US"/>
        </w:rPr>
        <w:t xml:space="preserve"> </w:t>
      </w:r>
      <w:r w:rsidRPr="0094713D">
        <w:rPr>
          <w:rFonts w:ascii="Arial MT" w:eastAsia="Arial MT" w:hAnsi="Arial MT" w:cs="Arial MT"/>
          <w:color w:val="4E4D4D"/>
          <w:sz w:val="22"/>
          <w:szCs w:val="22"/>
          <w:lang w:val="es-ES" w:eastAsia="en-US"/>
        </w:rPr>
        <w:t>Noviembre</w:t>
      </w:r>
      <w:r w:rsidRPr="0094713D">
        <w:rPr>
          <w:rFonts w:ascii="Arial MT" w:eastAsia="Arial MT" w:hAnsi="Arial MT" w:cs="Arial MT"/>
          <w:color w:val="4E4D4D"/>
          <w:spacing w:val="-5"/>
          <w:sz w:val="22"/>
          <w:szCs w:val="22"/>
          <w:lang w:val="es-ES" w:eastAsia="en-US"/>
        </w:rPr>
        <w:t xml:space="preserve"> </w:t>
      </w:r>
      <w:r w:rsidRPr="0094713D">
        <w:rPr>
          <w:rFonts w:ascii="Arial MT" w:eastAsia="Arial MT" w:hAnsi="Arial MT" w:cs="Arial MT"/>
          <w:color w:val="4E4D4D"/>
          <w:sz w:val="22"/>
          <w:szCs w:val="22"/>
          <w:lang w:val="es-ES" w:eastAsia="en-US"/>
        </w:rPr>
        <w:t>2021</w:t>
      </w:r>
    </w:p>
    <w:p w14:paraId="3425755A" w14:textId="77777777" w:rsidR="00300726" w:rsidRPr="00300726" w:rsidRDefault="00300726" w:rsidP="00300726">
      <w:pPr>
        <w:widowControl w:val="0"/>
        <w:autoSpaceDE w:val="0"/>
        <w:autoSpaceDN w:val="0"/>
        <w:rPr>
          <w:rFonts w:ascii="Arial MT" w:eastAsia="Arial MT" w:hAnsi="Arial MT" w:cs="Arial MT"/>
          <w:szCs w:val="22"/>
          <w:lang w:val="es-ES" w:eastAsia="en-US"/>
        </w:rPr>
      </w:pPr>
    </w:p>
    <w:p w14:paraId="176395FC" w14:textId="1FAB0ACC" w:rsidR="002F3E4E" w:rsidRPr="004E4581" w:rsidRDefault="002F3E4E" w:rsidP="00B95C30">
      <w:pPr>
        <w:jc w:val="both"/>
        <w:rPr>
          <w:rFonts w:ascii="Arial" w:hAnsi="Arial" w:cs="Arial"/>
          <w:bCs/>
          <w:color w:val="000000" w:themeColor="text1"/>
          <w:sz w:val="22"/>
          <w:lang w:val="es-ES_tradnl"/>
        </w:rPr>
      </w:pPr>
    </w:p>
    <w:p w14:paraId="5F5AE9EF" w14:textId="71339329" w:rsidR="00B95C30" w:rsidRPr="004E4581" w:rsidRDefault="00BE4FBF" w:rsidP="00B95C30">
      <w:pPr>
        <w:jc w:val="both"/>
        <w:rPr>
          <w:rFonts w:ascii="Arial" w:eastAsia="Calibri" w:hAnsi="Arial" w:cs="Arial"/>
          <w:color w:val="000000" w:themeColor="text1"/>
          <w:sz w:val="22"/>
        </w:rPr>
      </w:pPr>
      <w:bookmarkStart w:id="10" w:name="_Hlk80951783"/>
      <w:r w:rsidRPr="004E4581">
        <w:rPr>
          <w:rFonts w:ascii="Arial" w:eastAsia="Calibri" w:hAnsi="Arial" w:cs="Arial"/>
          <w:color w:val="000000" w:themeColor="text1"/>
          <w:sz w:val="22"/>
        </w:rPr>
        <w:t>Señor</w:t>
      </w:r>
    </w:p>
    <w:p w14:paraId="7B32CBBB" w14:textId="3DB0BB05" w:rsidR="00A56E1D" w:rsidRDefault="00AF162C" w:rsidP="00B95C30">
      <w:pPr>
        <w:jc w:val="both"/>
        <w:rPr>
          <w:rFonts w:ascii="Arial" w:eastAsia="Calibri" w:hAnsi="Arial" w:cs="Arial"/>
          <w:b/>
          <w:color w:val="000000" w:themeColor="text1"/>
          <w:sz w:val="22"/>
        </w:rPr>
      </w:pPr>
      <w:r>
        <w:rPr>
          <w:rFonts w:ascii="Arial" w:eastAsia="Calibri" w:hAnsi="Arial" w:cs="Arial"/>
          <w:b/>
          <w:color w:val="000000" w:themeColor="text1"/>
          <w:sz w:val="22"/>
        </w:rPr>
        <w:t>Camilo Alejandro Parra Latorre</w:t>
      </w:r>
    </w:p>
    <w:p w14:paraId="40038E93" w14:textId="7626C352" w:rsidR="00AF162C" w:rsidRPr="00AF162C" w:rsidRDefault="00AF162C" w:rsidP="00B95C30">
      <w:pPr>
        <w:jc w:val="both"/>
        <w:rPr>
          <w:rFonts w:ascii="Arial" w:eastAsia="Calibri" w:hAnsi="Arial" w:cs="Arial"/>
          <w:color w:val="000000" w:themeColor="text1"/>
          <w:sz w:val="22"/>
        </w:rPr>
      </w:pPr>
      <w:r w:rsidRPr="00AF162C">
        <w:rPr>
          <w:rFonts w:ascii="Arial" w:eastAsia="Calibri" w:hAnsi="Arial" w:cs="Arial"/>
          <w:color w:val="000000" w:themeColor="text1"/>
          <w:sz w:val="22"/>
        </w:rPr>
        <w:t>Neiva-Huila</w:t>
      </w:r>
    </w:p>
    <w:p w14:paraId="70D9919E" w14:textId="77777777" w:rsidR="00AF162C" w:rsidRPr="004E4581" w:rsidRDefault="00AF162C" w:rsidP="00B95C30">
      <w:pPr>
        <w:jc w:val="both"/>
        <w:rPr>
          <w:rFonts w:ascii="Arial" w:eastAsia="Calibri" w:hAnsi="Arial" w:cs="Arial"/>
          <w:color w:val="000000" w:themeColor="text1"/>
          <w:sz w:val="22"/>
        </w:rPr>
      </w:pPr>
    </w:p>
    <w:p w14:paraId="0942E2A4" w14:textId="77777777" w:rsidR="000254DD" w:rsidRPr="004E4581" w:rsidRDefault="000254DD" w:rsidP="00B95C30">
      <w:pPr>
        <w:jc w:val="both"/>
        <w:rPr>
          <w:rFonts w:ascii="Arial" w:eastAsia="Calibri" w:hAnsi="Arial" w:cs="Arial"/>
          <w:color w:val="000000" w:themeColor="text1"/>
          <w:sz w:val="22"/>
        </w:rPr>
      </w:pPr>
    </w:p>
    <w:p w14:paraId="12E66182" w14:textId="4AE64894" w:rsidR="00B95C30" w:rsidRPr="004E4581" w:rsidRDefault="00A25F2F" w:rsidP="004004C2">
      <w:pPr>
        <w:rPr>
          <w:rFonts w:ascii="Arial" w:eastAsia="Calibri" w:hAnsi="Arial" w:cs="Arial"/>
          <w:b/>
          <w:bCs/>
          <w:color w:val="000000" w:themeColor="text1"/>
          <w:sz w:val="22"/>
          <w:lang w:val="es-ES_tradnl"/>
        </w:rPr>
      </w:pPr>
      <w:r w:rsidRPr="004E4581">
        <w:rPr>
          <w:rFonts w:ascii="Arial" w:eastAsia="Calibri" w:hAnsi="Arial" w:cs="Arial"/>
          <w:b/>
          <w:bCs/>
          <w:color w:val="000000" w:themeColor="text1"/>
          <w:sz w:val="22"/>
        </w:rPr>
        <w:t xml:space="preserve">                                            </w:t>
      </w:r>
      <w:r w:rsidR="00B95C30" w:rsidRPr="004E4581">
        <w:rPr>
          <w:rFonts w:ascii="Arial" w:eastAsia="Calibri" w:hAnsi="Arial" w:cs="Arial"/>
          <w:b/>
          <w:bCs/>
          <w:color w:val="000000" w:themeColor="text1"/>
          <w:sz w:val="22"/>
          <w:lang w:val="es-ES_tradnl"/>
        </w:rPr>
        <w:t>Concepto C ‒</w:t>
      </w:r>
      <w:r w:rsidR="00856F87" w:rsidRPr="004E4581">
        <w:rPr>
          <w:rFonts w:ascii="Arial" w:eastAsia="Calibri" w:hAnsi="Arial" w:cs="Arial"/>
          <w:b/>
          <w:bCs/>
          <w:color w:val="000000" w:themeColor="text1"/>
          <w:sz w:val="22"/>
          <w:lang w:val="es-ES_tradnl"/>
        </w:rPr>
        <w:t xml:space="preserve"> </w:t>
      </w:r>
      <w:r w:rsidR="000B3224">
        <w:rPr>
          <w:rFonts w:ascii="Arial" w:eastAsia="Calibri" w:hAnsi="Arial" w:cs="Arial"/>
          <w:b/>
          <w:bCs/>
          <w:color w:val="000000" w:themeColor="text1"/>
          <w:sz w:val="22"/>
          <w:lang w:val="es-ES_tradnl"/>
        </w:rPr>
        <w:t>636</w:t>
      </w:r>
      <w:r w:rsidR="00E746A6" w:rsidRPr="004E4581">
        <w:rPr>
          <w:rFonts w:ascii="Arial" w:eastAsia="Calibri" w:hAnsi="Arial" w:cs="Arial"/>
          <w:b/>
          <w:bCs/>
          <w:color w:val="000000" w:themeColor="text1"/>
          <w:sz w:val="22"/>
          <w:lang w:val="es-ES_tradnl"/>
        </w:rPr>
        <w:t xml:space="preserve"> de 2021</w:t>
      </w:r>
    </w:p>
    <w:p w14:paraId="20200123" w14:textId="461A4C5D" w:rsidR="0096347F" w:rsidRPr="004E4581"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4581" w:rsidRPr="004E4581" w14:paraId="19DFC051" w14:textId="77777777" w:rsidTr="008F4163">
        <w:tc>
          <w:tcPr>
            <w:tcW w:w="2689" w:type="dxa"/>
          </w:tcPr>
          <w:p w14:paraId="6BC0D1AC" w14:textId="77777777" w:rsidR="00B95C30" w:rsidRPr="004E4581" w:rsidRDefault="00B95C30" w:rsidP="008F4163">
            <w:pPr>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Temas:                                      </w:t>
            </w:r>
          </w:p>
        </w:tc>
        <w:tc>
          <w:tcPr>
            <w:tcW w:w="6237" w:type="dxa"/>
          </w:tcPr>
          <w:p w14:paraId="39FCD3F0" w14:textId="77777777" w:rsidR="00A75C54" w:rsidRPr="00A75C54" w:rsidRDefault="00D353F8" w:rsidP="00A75C54">
            <w:pPr>
              <w:jc w:val="both"/>
              <w:rPr>
                <w:rFonts w:ascii="Arial" w:hAnsi="Arial" w:cs="Arial"/>
                <w:color w:val="000000" w:themeColor="text1"/>
                <w:sz w:val="22"/>
              </w:rPr>
            </w:pPr>
            <w:r w:rsidRPr="00A75C54">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A75C54">
              <w:rPr>
                <w:rFonts w:ascii="Arial" w:eastAsia="Calibri" w:hAnsi="Arial" w:cs="Arial"/>
                <w:bCs/>
                <w:sz w:val="22"/>
                <w:szCs w:val="22"/>
                <w:lang w:val="es-MX" w:eastAsia="en-US"/>
              </w:rPr>
              <w:t xml:space="preserve">LEY DE GARANTÍAS ELECTORALES ─ Prohibición artículo 33 ‒ Contratación directa ‒ Alcance / </w:t>
            </w:r>
            <w:r w:rsidRPr="00A75C54">
              <w:rPr>
                <w:rFonts w:ascii="Arial" w:hAnsi="Arial" w:cs="Arial"/>
                <w:bCs/>
                <w:sz w:val="22"/>
                <w:szCs w:val="22"/>
                <w:lang w:eastAsia="es-CO"/>
              </w:rPr>
              <w:t>LEY DE GARANTÍAS ELECTORALES ‒ Excepciones</w:t>
            </w:r>
            <w:r w:rsidRPr="00A75C54">
              <w:rPr>
                <w:rFonts w:ascii="Arial" w:hAnsi="Arial" w:cs="Arial"/>
                <w:sz w:val="22"/>
                <w:szCs w:val="22"/>
                <w:lang w:eastAsia="es-CO"/>
              </w:rPr>
              <w:t xml:space="preserve"> / </w:t>
            </w:r>
            <w:r w:rsidRPr="00A75C54">
              <w:rPr>
                <w:rFonts w:ascii="Arial" w:hAnsi="Arial" w:cs="Arial"/>
                <w:bCs/>
                <w:sz w:val="22"/>
                <w:szCs w:val="22"/>
                <w:lang w:eastAsia="es-CO"/>
              </w:rPr>
              <w:t xml:space="preserve">LEY DE GARANTÍAS ELECTORALES ‒ </w:t>
            </w:r>
            <w:r w:rsidRPr="00A75C54">
              <w:rPr>
                <w:rFonts w:ascii="Arial" w:hAnsi="Arial" w:cs="Arial"/>
                <w:sz w:val="22"/>
                <w:szCs w:val="22"/>
                <w:lang w:val="es-ES" w:eastAsia="es-CO"/>
              </w:rPr>
              <w:t xml:space="preserve">Prohibición del artículo 33 </w:t>
            </w:r>
            <w:r w:rsidRPr="00A75C54">
              <w:rPr>
                <w:rFonts w:ascii="Arial" w:hAnsi="Arial" w:cs="Arial"/>
                <w:bCs/>
                <w:sz w:val="22"/>
                <w:szCs w:val="22"/>
                <w:lang w:eastAsia="es-CO"/>
              </w:rPr>
              <w:t>‒ Destinatarios</w:t>
            </w:r>
            <w:r w:rsidR="0045194E" w:rsidRPr="00A75C54">
              <w:rPr>
                <w:rFonts w:ascii="Arial" w:hAnsi="Arial" w:cs="Arial"/>
                <w:bCs/>
                <w:sz w:val="22"/>
                <w:szCs w:val="22"/>
                <w:lang w:eastAsia="es-CO"/>
              </w:rPr>
              <w:t xml:space="preserve"> – patrimonios autónomos</w:t>
            </w:r>
            <w:r w:rsidR="00A75C54" w:rsidRPr="00A75C54">
              <w:rPr>
                <w:rFonts w:ascii="Arial" w:hAnsi="Arial" w:cs="Arial"/>
                <w:bCs/>
                <w:sz w:val="22"/>
                <w:szCs w:val="22"/>
                <w:lang w:eastAsia="es-CO"/>
              </w:rPr>
              <w:t xml:space="preserve"> / </w:t>
            </w:r>
            <w:r w:rsidR="00A75C54" w:rsidRPr="00A75C54">
              <w:rPr>
                <w:rFonts w:ascii="Arial" w:hAnsi="Arial" w:cs="Arial"/>
                <w:color w:val="000000" w:themeColor="text1"/>
                <w:sz w:val="22"/>
              </w:rPr>
              <w:t>SENTENCIA DE UNIFICACIÓN DEL CONSEJO DE ESTADO – Contratos de prestación de servicios – Competencia de la Agencia de Defensa jurídica del Estado</w:t>
            </w:r>
          </w:p>
          <w:p w14:paraId="5F389CAF" w14:textId="6225A17C" w:rsidR="00360A25" w:rsidRPr="00A75C54" w:rsidRDefault="00360A25" w:rsidP="00472111">
            <w:pPr>
              <w:jc w:val="both"/>
              <w:rPr>
                <w:rFonts w:ascii="Arial" w:eastAsia="Calibri" w:hAnsi="Arial" w:cs="Arial"/>
                <w:color w:val="000000" w:themeColor="text1"/>
                <w:sz w:val="22"/>
                <w:highlight w:val="yellow"/>
                <w:lang w:val="es-ES_tradnl"/>
              </w:rPr>
            </w:pPr>
          </w:p>
        </w:tc>
      </w:tr>
      <w:tr w:rsidR="00B95C30" w:rsidRPr="004E4581" w14:paraId="27CD52AB" w14:textId="77777777" w:rsidTr="0096347F">
        <w:trPr>
          <w:trHeight w:val="391"/>
        </w:trPr>
        <w:tc>
          <w:tcPr>
            <w:tcW w:w="2689" w:type="dxa"/>
          </w:tcPr>
          <w:p w14:paraId="37E195A1" w14:textId="1BA218D5" w:rsidR="00B95C30" w:rsidRPr="0096347F" w:rsidRDefault="00B95C30" w:rsidP="008F4163">
            <w:pPr>
              <w:spacing w:before="120"/>
              <w:jc w:val="both"/>
              <w:rPr>
                <w:rFonts w:ascii="Arial" w:eastAsia="Calibri" w:hAnsi="Arial" w:cs="Arial"/>
                <w:color w:val="000000" w:themeColor="text1"/>
                <w:sz w:val="22"/>
                <w:szCs w:val="22"/>
                <w:lang w:val="es-ES_tradnl"/>
              </w:rPr>
            </w:pPr>
            <w:r w:rsidRPr="0096347F">
              <w:rPr>
                <w:rFonts w:ascii="Arial" w:eastAsia="Calibri" w:hAnsi="Arial" w:cs="Arial"/>
                <w:b/>
                <w:color w:val="000000" w:themeColor="text1"/>
                <w:sz w:val="22"/>
                <w:szCs w:val="22"/>
                <w:lang w:val="es-ES_tradnl"/>
              </w:rPr>
              <w:t>Radicación</w:t>
            </w:r>
            <w:r w:rsidRPr="0096347F">
              <w:rPr>
                <w:rFonts w:ascii="Arial" w:eastAsia="Calibri" w:hAnsi="Arial" w:cs="Arial"/>
                <w:color w:val="000000" w:themeColor="text1"/>
                <w:sz w:val="22"/>
                <w:szCs w:val="22"/>
                <w:lang w:val="es-ES_tradnl"/>
              </w:rPr>
              <w:t xml:space="preserve">:                              </w:t>
            </w:r>
          </w:p>
        </w:tc>
        <w:tc>
          <w:tcPr>
            <w:tcW w:w="6237" w:type="dxa"/>
          </w:tcPr>
          <w:p w14:paraId="09088B1B" w14:textId="0A9CDB86" w:rsidR="00B95C30" w:rsidRPr="0096347F" w:rsidRDefault="00B95C30" w:rsidP="000B3224">
            <w:pPr>
              <w:spacing w:before="120"/>
              <w:jc w:val="both"/>
              <w:rPr>
                <w:rFonts w:ascii="Arial" w:eastAsia="Calibri" w:hAnsi="Arial" w:cs="Arial"/>
                <w:color w:val="000000" w:themeColor="text1"/>
                <w:sz w:val="22"/>
                <w:szCs w:val="22"/>
                <w:lang w:val="es-ES_tradnl"/>
              </w:rPr>
            </w:pPr>
            <w:r w:rsidRPr="0096347F">
              <w:rPr>
                <w:rFonts w:ascii="Arial" w:eastAsia="Calibri" w:hAnsi="Arial" w:cs="Arial"/>
                <w:color w:val="000000" w:themeColor="text1"/>
                <w:sz w:val="22"/>
                <w:szCs w:val="22"/>
                <w:lang w:val="es-ES_tradnl"/>
              </w:rPr>
              <w:t>Respuesta a consulta #</w:t>
            </w:r>
            <w:r w:rsidR="00A161D5" w:rsidRPr="0096347F">
              <w:rPr>
                <w:rFonts w:ascii="Arial" w:eastAsia="Calibri" w:hAnsi="Arial" w:cs="Arial"/>
                <w:color w:val="000000" w:themeColor="text1"/>
                <w:sz w:val="22"/>
                <w:szCs w:val="22"/>
                <w:lang w:val="es-ES_tradnl"/>
              </w:rPr>
              <w:t xml:space="preserve"> </w:t>
            </w:r>
            <w:r w:rsidR="000B3224">
              <w:rPr>
                <w:rFonts w:ascii="Arial" w:hAnsi="Arial" w:cs="Arial"/>
                <w:sz w:val="22"/>
                <w:szCs w:val="22"/>
              </w:rPr>
              <w:t>P20210930008958</w:t>
            </w:r>
          </w:p>
        </w:tc>
      </w:tr>
    </w:tbl>
    <w:p w14:paraId="0416277B" w14:textId="1E4B2E00" w:rsidR="00FD1854" w:rsidRDefault="00FD1854" w:rsidP="003C3339">
      <w:pPr>
        <w:jc w:val="both"/>
        <w:rPr>
          <w:rFonts w:ascii="Arial" w:eastAsia="Calibri" w:hAnsi="Arial" w:cs="Arial"/>
          <w:color w:val="000000" w:themeColor="text1"/>
          <w:sz w:val="22"/>
          <w:lang w:val="es-ES_tradnl"/>
        </w:rPr>
      </w:pPr>
    </w:p>
    <w:p w14:paraId="453071DE" w14:textId="77777777" w:rsidR="0096347F" w:rsidRPr="004E4581" w:rsidRDefault="0096347F" w:rsidP="003C3339">
      <w:pPr>
        <w:jc w:val="both"/>
        <w:rPr>
          <w:rFonts w:ascii="Arial" w:eastAsia="Calibri" w:hAnsi="Arial" w:cs="Arial"/>
          <w:color w:val="000000" w:themeColor="text1"/>
          <w:sz w:val="22"/>
          <w:lang w:val="es-ES_tradnl"/>
        </w:rPr>
      </w:pPr>
    </w:p>
    <w:p w14:paraId="1CF4AEA0" w14:textId="756A791C" w:rsidR="003C3339" w:rsidRPr="004E4581" w:rsidRDefault="003C3339" w:rsidP="003C3339">
      <w:pPr>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Estimad</w:t>
      </w:r>
      <w:r w:rsidR="00B549B3" w:rsidRPr="004E4581">
        <w:rPr>
          <w:rFonts w:ascii="Arial" w:eastAsia="Calibri" w:hAnsi="Arial" w:cs="Arial"/>
          <w:color w:val="000000" w:themeColor="text1"/>
          <w:sz w:val="22"/>
          <w:lang w:val="es-ES_tradnl"/>
        </w:rPr>
        <w:t>o</w:t>
      </w:r>
      <w:r w:rsidRPr="004E4581">
        <w:rPr>
          <w:rFonts w:ascii="Arial" w:eastAsia="Calibri" w:hAnsi="Arial" w:cs="Arial"/>
          <w:color w:val="000000" w:themeColor="text1"/>
          <w:sz w:val="22"/>
          <w:lang w:val="es-ES_tradnl"/>
        </w:rPr>
        <w:t xml:space="preserve"> </w:t>
      </w:r>
      <w:r w:rsidR="00B549B3" w:rsidRPr="004E4581">
        <w:rPr>
          <w:rFonts w:ascii="Arial" w:eastAsia="Calibri" w:hAnsi="Arial" w:cs="Arial"/>
          <w:color w:val="000000" w:themeColor="text1"/>
          <w:sz w:val="22"/>
          <w:lang w:val="es-ES_tradnl"/>
        </w:rPr>
        <w:t xml:space="preserve">señor </w:t>
      </w:r>
      <w:r w:rsidR="00A75C54">
        <w:rPr>
          <w:rFonts w:ascii="Arial" w:eastAsia="Calibri" w:hAnsi="Arial" w:cs="Arial"/>
          <w:color w:val="000000" w:themeColor="text1"/>
          <w:sz w:val="22"/>
          <w:lang w:val="es-ES_tradnl"/>
        </w:rPr>
        <w:t>Parra</w:t>
      </w:r>
      <w:r w:rsidR="00E746A6" w:rsidRPr="004E4581">
        <w:rPr>
          <w:rFonts w:ascii="Arial" w:eastAsia="Calibri" w:hAnsi="Arial" w:cs="Arial"/>
          <w:color w:val="000000" w:themeColor="text1"/>
          <w:sz w:val="22"/>
          <w:lang w:val="es-ES_tradnl"/>
        </w:rPr>
        <w:t xml:space="preserve">: </w:t>
      </w:r>
    </w:p>
    <w:p w14:paraId="1EAE5543" w14:textId="77777777" w:rsidR="00DD5B04" w:rsidRPr="004E4581" w:rsidRDefault="00DD5B04" w:rsidP="00DF76A2">
      <w:pPr>
        <w:jc w:val="both"/>
        <w:rPr>
          <w:rFonts w:ascii="Arial" w:eastAsia="Calibri" w:hAnsi="Arial" w:cs="Arial"/>
          <w:color w:val="000000" w:themeColor="text1"/>
          <w:sz w:val="22"/>
          <w:lang w:val="es-ES_tradnl"/>
        </w:rPr>
      </w:pPr>
    </w:p>
    <w:p w14:paraId="2109B2D3" w14:textId="07A7D089" w:rsidR="00DD5B04" w:rsidRPr="004E4581" w:rsidRDefault="00DD5B04" w:rsidP="00DF76A2">
      <w:pPr>
        <w:spacing w:line="276" w:lineRule="auto"/>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E4581">
        <w:rPr>
          <w:rFonts w:ascii="Arial" w:eastAsia="Calibri" w:hAnsi="Arial" w:cs="Arial"/>
          <w:color w:val="000000" w:themeColor="text1"/>
          <w:sz w:val="22"/>
          <w:lang w:val="es-ES_tradnl"/>
        </w:rPr>
        <w:t>–</w:t>
      </w:r>
      <w:r w:rsidRPr="004E4581">
        <w:rPr>
          <w:rFonts w:ascii="Arial" w:eastAsia="Calibri" w:hAnsi="Arial" w:cs="Arial"/>
          <w:color w:val="000000" w:themeColor="text1"/>
          <w:sz w:val="22"/>
          <w:lang w:val="es-ES_tradnl"/>
        </w:rPr>
        <w:t xml:space="preserve"> Colombia Compra Eficiente</w:t>
      </w:r>
      <w:r w:rsidR="008C3C57" w:rsidRPr="004E4581">
        <w:rPr>
          <w:rFonts w:ascii="Arial" w:eastAsia="Calibri" w:hAnsi="Arial" w:cs="Arial"/>
          <w:color w:val="000000" w:themeColor="text1"/>
          <w:sz w:val="22"/>
          <w:lang w:val="es-ES_tradnl"/>
        </w:rPr>
        <w:t xml:space="preserve"> </w:t>
      </w:r>
      <w:r w:rsidR="00436B3F" w:rsidRPr="004E4581">
        <w:rPr>
          <w:rFonts w:ascii="Arial" w:eastAsia="Calibri" w:hAnsi="Arial" w:cs="Arial"/>
          <w:color w:val="000000" w:themeColor="text1"/>
          <w:sz w:val="22"/>
          <w:lang w:val="es-ES_tradnl"/>
        </w:rPr>
        <w:t xml:space="preserve">responde a su consulta del </w:t>
      </w:r>
      <w:r w:rsidR="00A161D5">
        <w:rPr>
          <w:rFonts w:ascii="Arial" w:eastAsia="Calibri" w:hAnsi="Arial" w:cs="Arial"/>
          <w:color w:val="000000" w:themeColor="text1"/>
          <w:sz w:val="22"/>
          <w:lang w:val="es-ES_tradnl"/>
        </w:rPr>
        <w:t xml:space="preserve">17 de septiembre </w:t>
      </w:r>
      <w:r w:rsidR="00436B3F" w:rsidRPr="004E4581">
        <w:rPr>
          <w:rFonts w:ascii="Arial" w:eastAsia="Calibri" w:hAnsi="Arial" w:cs="Arial"/>
          <w:color w:val="000000" w:themeColor="text1"/>
          <w:sz w:val="22"/>
          <w:lang w:val="es-ES_tradnl"/>
        </w:rPr>
        <w:t xml:space="preserve">de 2021. </w:t>
      </w:r>
    </w:p>
    <w:p w14:paraId="4DD02E29" w14:textId="670A45B8" w:rsidR="0096347F" w:rsidRPr="004E4581"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4E45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Problema planteado </w:t>
      </w:r>
    </w:p>
    <w:p w14:paraId="224B43D3" w14:textId="77777777" w:rsidR="00DD5B04" w:rsidRPr="004E45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ADCBDB7" w14:textId="77777777" w:rsidR="00DD40F8" w:rsidRDefault="00E746A6" w:rsidP="00DD40F8">
      <w:pPr>
        <w:autoSpaceDE w:val="0"/>
        <w:autoSpaceDN w:val="0"/>
        <w:adjustRightInd w:val="0"/>
        <w:rPr>
          <w:rFonts w:ascii="Arial" w:hAnsi="Arial" w:cs="Arial"/>
          <w:color w:val="000000" w:themeColor="text1"/>
          <w:sz w:val="22"/>
          <w:szCs w:val="22"/>
          <w:lang w:val="es-ES_tradnl"/>
        </w:rPr>
      </w:pPr>
      <w:r w:rsidRPr="000A1417">
        <w:rPr>
          <w:rFonts w:ascii="Arial" w:hAnsi="Arial" w:cs="Arial"/>
          <w:color w:val="000000" w:themeColor="text1"/>
          <w:sz w:val="22"/>
          <w:szCs w:val="22"/>
          <w:lang w:val="es-ES_tradnl"/>
        </w:rPr>
        <w:t>En su consulta plantea lo siguiente</w:t>
      </w:r>
      <w:r w:rsidR="006251D3" w:rsidRPr="000A1417">
        <w:rPr>
          <w:rFonts w:ascii="Arial" w:hAnsi="Arial" w:cs="Arial"/>
          <w:color w:val="000000" w:themeColor="text1"/>
          <w:sz w:val="22"/>
          <w:szCs w:val="22"/>
          <w:lang w:val="es-ES_tradnl"/>
        </w:rPr>
        <w:t xml:space="preserve">: </w:t>
      </w:r>
    </w:p>
    <w:p w14:paraId="27770693" w14:textId="77777777" w:rsidR="00DD40F8" w:rsidRDefault="00DD40F8" w:rsidP="00DD40F8">
      <w:pPr>
        <w:autoSpaceDE w:val="0"/>
        <w:autoSpaceDN w:val="0"/>
        <w:adjustRightInd w:val="0"/>
        <w:rPr>
          <w:rFonts w:ascii="Arial" w:hAnsi="Arial" w:cs="Arial"/>
          <w:color w:val="000000" w:themeColor="text1"/>
          <w:sz w:val="22"/>
          <w:szCs w:val="22"/>
          <w:lang w:val="es-ES_tradnl"/>
        </w:rPr>
      </w:pPr>
    </w:p>
    <w:p w14:paraId="1DC0F0E7" w14:textId="0E434460" w:rsidR="00DD40F8" w:rsidRDefault="00974B94" w:rsidP="00EC2104">
      <w:pPr>
        <w:autoSpaceDE w:val="0"/>
        <w:autoSpaceDN w:val="0"/>
        <w:adjustRightInd w:val="0"/>
        <w:ind w:left="709" w:right="709"/>
        <w:jc w:val="both"/>
        <w:rPr>
          <w:rFonts w:ascii="Arial" w:eastAsiaTheme="minorHAnsi" w:hAnsi="Arial" w:cs="Arial"/>
          <w:sz w:val="21"/>
          <w:szCs w:val="21"/>
          <w:lang w:eastAsia="en-US"/>
        </w:rPr>
      </w:pPr>
      <w:r w:rsidRPr="00DD40F8">
        <w:rPr>
          <w:rFonts w:ascii="Arial" w:hAnsi="Arial" w:cs="Arial"/>
          <w:color w:val="000000" w:themeColor="text1"/>
          <w:sz w:val="21"/>
          <w:szCs w:val="21"/>
          <w:lang w:val="es-ES_tradnl"/>
        </w:rPr>
        <w:t>«</w:t>
      </w:r>
      <w:r w:rsidR="00DD40F8" w:rsidRPr="00DD40F8">
        <w:rPr>
          <w:rFonts w:ascii="Arial" w:hAnsi="Arial" w:cs="Arial"/>
          <w:color w:val="000000" w:themeColor="text1"/>
          <w:sz w:val="21"/>
          <w:szCs w:val="21"/>
          <w:lang w:val="es-ES_tradnl"/>
        </w:rPr>
        <w:t>[…]</w:t>
      </w:r>
      <w:r w:rsidR="00DD40F8" w:rsidRPr="00DD40F8">
        <w:rPr>
          <w:rFonts w:ascii="Arial" w:eastAsiaTheme="minorHAnsi" w:hAnsi="Arial" w:cs="Arial"/>
          <w:sz w:val="21"/>
          <w:szCs w:val="21"/>
          <w:lang w:eastAsia="en-US"/>
        </w:rPr>
        <w:t>me pueden aclarar si la contratación de prestación de servicios que realizan los</w:t>
      </w:r>
      <w:r w:rsidR="00EC2104">
        <w:rPr>
          <w:rFonts w:ascii="Arial" w:eastAsiaTheme="minorHAnsi" w:hAnsi="Arial" w:cs="Arial"/>
          <w:sz w:val="21"/>
          <w:szCs w:val="21"/>
          <w:lang w:eastAsia="en-US"/>
        </w:rPr>
        <w:t xml:space="preserve"> </w:t>
      </w:r>
      <w:r w:rsidR="00DD40F8" w:rsidRPr="00DD40F8">
        <w:rPr>
          <w:rFonts w:ascii="Arial" w:eastAsiaTheme="minorHAnsi" w:hAnsi="Arial" w:cs="Arial"/>
          <w:sz w:val="21"/>
          <w:szCs w:val="21"/>
          <w:lang w:eastAsia="en-US"/>
        </w:rPr>
        <w:t>mencionados patrimonios autónomos les aplica o no la Ley de Garantías</w:t>
      </w:r>
      <w:r w:rsidR="00472111">
        <w:rPr>
          <w:rFonts w:ascii="Arial" w:eastAsiaTheme="minorHAnsi" w:hAnsi="Arial" w:cs="Arial"/>
          <w:sz w:val="21"/>
          <w:szCs w:val="21"/>
          <w:lang w:eastAsia="en-US"/>
        </w:rPr>
        <w:t xml:space="preserve"> electorales?</w:t>
      </w:r>
    </w:p>
    <w:p w14:paraId="0A6FE526" w14:textId="77777777" w:rsidR="00472111" w:rsidRPr="00DD40F8" w:rsidRDefault="00472111" w:rsidP="00472111">
      <w:pPr>
        <w:autoSpaceDE w:val="0"/>
        <w:autoSpaceDN w:val="0"/>
        <w:adjustRightInd w:val="0"/>
        <w:ind w:left="709" w:right="709"/>
        <w:jc w:val="both"/>
        <w:rPr>
          <w:rFonts w:ascii="Arial" w:eastAsiaTheme="minorHAnsi" w:hAnsi="Arial" w:cs="Arial"/>
          <w:sz w:val="21"/>
          <w:szCs w:val="21"/>
          <w:lang w:eastAsia="en-US"/>
        </w:rPr>
      </w:pPr>
    </w:p>
    <w:p w14:paraId="4BD1A156" w14:textId="0D9100B0" w:rsidR="00436B3F" w:rsidRPr="00DD40F8" w:rsidRDefault="00DD40F8" w:rsidP="00472111">
      <w:pPr>
        <w:autoSpaceDE w:val="0"/>
        <w:autoSpaceDN w:val="0"/>
        <w:adjustRightInd w:val="0"/>
        <w:ind w:left="709" w:right="709"/>
        <w:jc w:val="both"/>
        <w:rPr>
          <w:rFonts w:ascii="Arial" w:eastAsiaTheme="minorHAnsi" w:hAnsi="Arial" w:cs="Arial"/>
          <w:sz w:val="21"/>
          <w:szCs w:val="21"/>
          <w:lang w:eastAsia="en-US"/>
        </w:rPr>
      </w:pPr>
      <w:r w:rsidRPr="00DD40F8">
        <w:rPr>
          <w:rFonts w:ascii="Arial" w:eastAsiaTheme="minorHAnsi" w:hAnsi="Arial" w:cs="Arial"/>
          <w:sz w:val="21"/>
          <w:szCs w:val="21"/>
          <w:lang w:eastAsia="en-US"/>
        </w:rPr>
        <w:t>Como analiza Colombia Compra Eficiente, los contratos de prestación de servicios que celebran los patrimonios autónomos de cara a la reciente sentencia del consejo de estado de unificación jurisprudencial al artículo</w:t>
      </w:r>
      <w:r w:rsidR="00472111">
        <w:rPr>
          <w:rFonts w:ascii="Arial" w:eastAsiaTheme="minorHAnsi" w:hAnsi="Arial" w:cs="Arial"/>
          <w:sz w:val="21"/>
          <w:szCs w:val="21"/>
          <w:lang w:eastAsia="en-US"/>
        </w:rPr>
        <w:t xml:space="preserve"> 271 de la Ley 1437 de 2011 con </w:t>
      </w:r>
      <w:r w:rsidRPr="00DD40F8">
        <w:rPr>
          <w:rFonts w:ascii="Arial" w:eastAsiaTheme="minorHAnsi" w:hAnsi="Arial" w:cs="Arial"/>
          <w:sz w:val="21"/>
          <w:szCs w:val="21"/>
          <w:lang w:eastAsia="en-US"/>
        </w:rPr>
        <w:t>radicado (1317-2016) y que advierte que debe existir un término de 30 días hábiles en cada contrato de prestación de servicios?</w:t>
      </w:r>
      <w:r w:rsidR="00974B94" w:rsidRPr="00DD40F8">
        <w:rPr>
          <w:rFonts w:ascii="Arial" w:hAnsi="Arial" w:cs="Arial"/>
          <w:color w:val="000000" w:themeColor="text1"/>
          <w:sz w:val="21"/>
          <w:szCs w:val="21"/>
          <w:lang w:val="es-ES_tradnl"/>
        </w:rPr>
        <w:t>»</w:t>
      </w:r>
      <w:r w:rsidR="00436B3F" w:rsidRPr="00DD40F8">
        <w:rPr>
          <w:rFonts w:ascii="Arial" w:hAnsi="Arial" w:cs="Arial"/>
          <w:color w:val="000000" w:themeColor="text1"/>
          <w:sz w:val="21"/>
          <w:szCs w:val="21"/>
          <w:bdr w:val="none" w:sz="0" w:space="0" w:color="auto" w:frame="1"/>
        </w:rPr>
        <w:t>.</w:t>
      </w:r>
    </w:p>
    <w:p w14:paraId="037E7D68" w14:textId="78124F54" w:rsidR="007446F6" w:rsidRPr="004E4581"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4E45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Consideraciones</w:t>
      </w:r>
    </w:p>
    <w:p w14:paraId="7D050D2E" w14:textId="77777777" w:rsidR="00435703" w:rsidRPr="004E4581" w:rsidRDefault="00435703" w:rsidP="00DF76A2">
      <w:pPr>
        <w:spacing w:line="276" w:lineRule="auto"/>
        <w:jc w:val="both"/>
        <w:rPr>
          <w:rFonts w:ascii="Arial" w:eastAsia="Calibri" w:hAnsi="Arial" w:cs="Arial"/>
          <w:color w:val="000000" w:themeColor="text1"/>
          <w:sz w:val="22"/>
          <w:szCs w:val="22"/>
          <w:lang w:val="es-ES_tradnl"/>
        </w:rPr>
      </w:pPr>
    </w:p>
    <w:p w14:paraId="2100A875" w14:textId="4E29348A" w:rsidR="00E670DD" w:rsidRPr="004E4581" w:rsidRDefault="008E30C4" w:rsidP="00530DFE">
      <w:pPr>
        <w:spacing w:line="276" w:lineRule="auto"/>
        <w:jc w:val="both"/>
        <w:rPr>
          <w:rFonts w:ascii="Arial" w:eastAsia="Calibri" w:hAnsi="Arial" w:cs="Arial"/>
          <w:color w:val="000000" w:themeColor="text1"/>
          <w:sz w:val="22"/>
        </w:rPr>
      </w:pPr>
      <w:r w:rsidRPr="004E4581">
        <w:rPr>
          <w:rFonts w:ascii="Arial" w:eastAsia="Calibri" w:hAnsi="Arial" w:cs="Arial"/>
          <w:color w:val="000000" w:themeColor="text1"/>
          <w:sz w:val="22"/>
          <w:szCs w:val="22"/>
          <w:lang w:val="es-ES_tradnl"/>
        </w:rPr>
        <w:t xml:space="preserve">La </w:t>
      </w:r>
      <w:r w:rsidR="000A600A" w:rsidRPr="004E4581">
        <w:rPr>
          <w:rFonts w:ascii="Arial" w:eastAsia="Calibri" w:hAnsi="Arial" w:cs="Arial"/>
          <w:color w:val="000000" w:themeColor="text1"/>
          <w:sz w:val="22"/>
          <w:szCs w:val="22"/>
          <w:lang w:val="es-ES_tradnl"/>
        </w:rPr>
        <w:t xml:space="preserve">Agencia Nacional de Contratación Pública – Colombia Compra Eficiente </w:t>
      </w:r>
      <w:r w:rsidRPr="004E4581">
        <w:rPr>
          <w:rFonts w:ascii="Arial" w:eastAsia="Calibri" w:hAnsi="Arial" w:cs="Arial"/>
          <w:color w:val="000000" w:themeColor="text1"/>
          <w:sz w:val="22"/>
          <w:szCs w:val="22"/>
          <w:lang w:val="es-ES_tradnl"/>
        </w:rPr>
        <w:t xml:space="preserve">responderá </w:t>
      </w:r>
      <w:r w:rsidR="00271230" w:rsidRPr="004E4581">
        <w:rPr>
          <w:rFonts w:ascii="Arial" w:eastAsia="Calibri" w:hAnsi="Arial" w:cs="Arial"/>
          <w:color w:val="000000" w:themeColor="text1"/>
          <w:sz w:val="22"/>
          <w:szCs w:val="22"/>
          <w:lang w:val="es-ES_tradnl"/>
        </w:rPr>
        <w:t>la consulta</w:t>
      </w:r>
      <w:r w:rsidRPr="004E4581">
        <w:rPr>
          <w:rFonts w:ascii="Arial" w:eastAsia="Calibri" w:hAnsi="Arial" w:cs="Arial"/>
          <w:color w:val="000000" w:themeColor="text1"/>
          <w:sz w:val="22"/>
          <w:szCs w:val="22"/>
          <w:lang w:val="es-ES_tradnl"/>
        </w:rPr>
        <w:t xml:space="preserve">, </w:t>
      </w:r>
      <w:r w:rsidR="00472111">
        <w:rPr>
          <w:rFonts w:ascii="Arial" w:eastAsia="Calibri" w:hAnsi="Arial" w:cs="Arial"/>
          <w:color w:val="000000" w:themeColor="text1"/>
          <w:sz w:val="22"/>
          <w:szCs w:val="22"/>
          <w:lang w:val="es-ES_tradnl"/>
        </w:rPr>
        <w:t xml:space="preserve">luego de analizar la restricción del artículo 33 de </w:t>
      </w:r>
      <w:r w:rsidR="007B43C6" w:rsidRPr="004E4581">
        <w:rPr>
          <w:rFonts w:ascii="Arial" w:eastAsia="Calibri" w:hAnsi="Arial" w:cs="Arial"/>
          <w:color w:val="000000" w:themeColor="text1"/>
          <w:sz w:val="22"/>
          <w:szCs w:val="22"/>
          <w:lang w:val="es-ES_tradnl"/>
        </w:rPr>
        <w:t>la Ley de Garantías</w:t>
      </w:r>
      <w:r w:rsidR="001459D2">
        <w:rPr>
          <w:rFonts w:ascii="Arial" w:eastAsia="Calibri" w:hAnsi="Arial" w:cs="Arial"/>
          <w:color w:val="000000" w:themeColor="text1"/>
          <w:sz w:val="22"/>
          <w:szCs w:val="22"/>
          <w:lang w:val="es-ES_tradnl"/>
        </w:rPr>
        <w:t xml:space="preserve"> Electorales</w:t>
      </w:r>
      <w:r w:rsidR="00DE0D15" w:rsidRPr="004E4581">
        <w:rPr>
          <w:rFonts w:ascii="Arial" w:eastAsia="Calibri" w:hAnsi="Arial" w:cs="Arial"/>
          <w:color w:val="000000" w:themeColor="text1"/>
          <w:sz w:val="22"/>
          <w:szCs w:val="22"/>
          <w:lang w:val="es-ES_tradnl"/>
        </w:rPr>
        <w:t>.</w:t>
      </w:r>
      <w:r w:rsidR="001459D2">
        <w:rPr>
          <w:rFonts w:ascii="Arial" w:eastAsia="Calibri" w:hAnsi="Arial" w:cs="Arial"/>
          <w:color w:val="000000" w:themeColor="text1"/>
          <w:sz w:val="22"/>
          <w:szCs w:val="22"/>
          <w:lang w:val="es-ES_tradnl"/>
        </w:rPr>
        <w:t xml:space="preserve"> </w:t>
      </w:r>
      <w:r w:rsidR="001459D2">
        <w:rPr>
          <w:rFonts w:ascii="Arial" w:eastAsia="Calibri" w:hAnsi="Arial" w:cs="Arial"/>
          <w:color w:val="000000" w:themeColor="text1"/>
          <w:sz w:val="22"/>
        </w:rPr>
        <w:t>Esta Agencia</w:t>
      </w:r>
      <w:r w:rsidR="00E670DD" w:rsidRPr="004E4581">
        <w:rPr>
          <w:rFonts w:ascii="Arial" w:eastAsia="Calibri" w:hAnsi="Arial" w:cs="Arial"/>
          <w:color w:val="000000" w:themeColor="text1"/>
          <w:sz w:val="22"/>
        </w:rPr>
        <w:t xml:space="preserve"> se ha pronunciado en diferentes ocasiones sobre la Ley de Garantías</w:t>
      </w:r>
      <w:r w:rsidR="001459D2">
        <w:rPr>
          <w:rFonts w:ascii="Arial" w:eastAsia="Calibri" w:hAnsi="Arial" w:cs="Arial"/>
          <w:color w:val="000000" w:themeColor="text1"/>
          <w:sz w:val="22"/>
        </w:rPr>
        <w:t xml:space="preserve"> Electorales</w:t>
      </w:r>
      <w:r w:rsidR="00E670DD" w:rsidRPr="004E4581">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E4581">
        <w:rPr>
          <w:rFonts w:ascii="Arial" w:eastAsia="Calibri" w:hAnsi="Arial" w:cs="Arial"/>
          <w:color w:val="000000" w:themeColor="text1"/>
          <w:sz w:val="22"/>
        </w:rPr>
        <w:t xml:space="preserve">, </w:t>
      </w:r>
      <w:r w:rsidR="00974B94" w:rsidRPr="004E4581">
        <w:rPr>
          <w:rFonts w:ascii="Arial" w:eastAsia="Calibri" w:hAnsi="Arial" w:cs="Arial"/>
          <w:color w:val="000000" w:themeColor="text1"/>
          <w:sz w:val="22"/>
        </w:rPr>
        <w:t xml:space="preserve"> C-227 del 24 de mayo de 2021</w:t>
      </w:r>
      <w:r w:rsidR="00E746A6" w:rsidRPr="004E4581">
        <w:rPr>
          <w:rFonts w:ascii="Arial" w:eastAsia="Calibri" w:hAnsi="Arial" w:cs="Arial"/>
          <w:color w:val="000000" w:themeColor="text1"/>
          <w:sz w:val="22"/>
        </w:rPr>
        <w:t xml:space="preserve"> y </w:t>
      </w:r>
      <w:r w:rsidR="0030575F" w:rsidRPr="004E4581">
        <w:rPr>
          <w:rFonts w:ascii="Arial" w:eastAsia="Calibri" w:hAnsi="Arial" w:cs="Arial"/>
          <w:color w:val="000000" w:themeColor="text1"/>
          <w:sz w:val="22"/>
        </w:rPr>
        <w:t>3</w:t>
      </w:r>
      <w:r w:rsidR="00E746A6" w:rsidRPr="004E4581">
        <w:rPr>
          <w:rFonts w:ascii="Arial" w:eastAsia="Calibri" w:hAnsi="Arial" w:cs="Arial"/>
          <w:color w:val="000000" w:themeColor="text1"/>
          <w:sz w:val="22"/>
        </w:rPr>
        <w:t>96 de</w:t>
      </w:r>
      <w:r w:rsidR="0030575F" w:rsidRPr="004E4581">
        <w:rPr>
          <w:rFonts w:ascii="Arial" w:eastAsia="Calibri" w:hAnsi="Arial" w:cs="Arial"/>
          <w:color w:val="000000" w:themeColor="text1"/>
          <w:sz w:val="22"/>
        </w:rPr>
        <w:t>l 13 de agosto de</w:t>
      </w:r>
      <w:r w:rsidR="00E746A6" w:rsidRPr="004E4581">
        <w:rPr>
          <w:rFonts w:ascii="Arial" w:eastAsia="Calibri" w:hAnsi="Arial" w:cs="Arial"/>
          <w:color w:val="000000" w:themeColor="text1"/>
          <w:sz w:val="22"/>
        </w:rPr>
        <w:t xml:space="preserve"> 2021</w:t>
      </w:r>
      <w:r w:rsidR="00DD40F8">
        <w:rPr>
          <w:rFonts w:ascii="Arial" w:eastAsia="Calibri" w:hAnsi="Arial" w:cs="Arial"/>
          <w:color w:val="000000" w:themeColor="text1"/>
          <w:sz w:val="22"/>
        </w:rPr>
        <w:t>, C-43</w:t>
      </w:r>
      <w:r w:rsidR="00E552DD">
        <w:rPr>
          <w:rFonts w:ascii="Arial" w:eastAsia="Calibri" w:hAnsi="Arial" w:cs="Arial"/>
          <w:color w:val="000000" w:themeColor="text1"/>
          <w:sz w:val="22"/>
        </w:rPr>
        <w:t>9 del 27 de agosto de 2021</w:t>
      </w:r>
      <w:r w:rsidR="00A161D5">
        <w:rPr>
          <w:rFonts w:ascii="Arial" w:eastAsia="Calibri" w:hAnsi="Arial" w:cs="Arial"/>
          <w:color w:val="000000" w:themeColor="text1"/>
          <w:sz w:val="22"/>
        </w:rPr>
        <w:t xml:space="preserve">, C-456 del 3 de septiembre, C-481 del 9 de septiembre de 2021, </w:t>
      </w:r>
      <w:r w:rsidR="000A0A18">
        <w:rPr>
          <w:rFonts w:ascii="Arial" w:eastAsia="Calibri" w:hAnsi="Arial" w:cs="Arial"/>
          <w:color w:val="000000" w:themeColor="text1"/>
          <w:sz w:val="22"/>
        </w:rPr>
        <w:t>C- 528 del 27 de septiembre de 2021, C-550 del 5 de octubre de 2021</w:t>
      </w:r>
      <w:r w:rsidR="00E552DD">
        <w:rPr>
          <w:rFonts w:ascii="Arial" w:eastAsia="Calibri" w:hAnsi="Arial" w:cs="Arial"/>
          <w:color w:val="000000" w:themeColor="text1"/>
          <w:sz w:val="22"/>
        </w:rPr>
        <w:t xml:space="preserve"> y C-523 del </w:t>
      </w:r>
      <w:r w:rsidR="00E17CD1">
        <w:rPr>
          <w:rFonts w:ascii="Arial" w:eastAsia="Calibri" w:hAnsi="Arial" w:cs="Arial"/>
          <w:color w:val="000000" w:themeColor="text1"/>
          <w:sz w:val="22"/>
        </w:rPr>
        <w:t>10 de octubre de 2021</w:t>
      </w:r>
      <w:r w:rsidR="00DD40F8">
        <w:rPr>
          <w:rFonts w:ascii="Arial" w:eastAsia="Calibri" w:hAnsi="Arial" w:cs="Arial"/>
          <w:color w:val="000000" w:themeColor="text1"/>
          <w:sz w:val="22"/>
        </w:rPr>
        <w:t>, C-606 del 28 de octubre de 2021 y C-614 del 2 de noviembre de 2021</w:t>
      </w:r>
      <w:r w:rsidR="00974B94" w:rsidRPr="004E4581">
        <w:rPr>
          <w:rFonts w:ascii="Arial" w:eastAsia="Calibri" w:hAnsi="Arial" w:cs="Arial"/>
          <w:color w:val="000000" w:themeColor="text1"/>
          <w:sz w:val="22"/>
        </w:rPr>
        <w:t xml:space="preserve">. Teniendo en cuenta </w:t>
      </w:r>
      <w:r w:rsidR="002D283F" w:rsidRPr="004E4581">
        <w:rPr>
          <w:rFonts w:ascii="Arial" w:eastAsia="Calibri" w:hAnsi="Arial" w:cs="Arial"/>
          <w:color w:val="000000" w:themeColor="text1"/>
          <w:sz w:val="22"/>
        </w:rPr>
        <w:t>los conceptos anteriores y</w:t>
      </w:r>
      <w:r w:rsidR="00974B94" w:rsidRPr="004E4581">
        <w:rPr>
          <w:rFonts w:ascii="Arial" w:eastAsia="Calibri" w:hAnsi="Arial" w:cs="Arial"/>
          <w:color w:val="000000" w:themeColor="text1"/>
          <w:sz w:val="22"/>
        </w:rPr>
        <w:t xml:space="preserve"> </w:t>
      </w:r>
      <w:r w:rsidR="002D283F" w:rsidRPr="004E4581">
        <w:rPr>
          <w:rFonts w:ascii="Arial" w:eastAsia="Calibri" w:hAnsi="Arial" w:cs="Arial"/>
          <w:color w:val="000000" w:themeColor="text1"/>
          <w:sz w:val="22"/>
        </w:rPr>
        <w:t>analizando</w:t>
      </w:r>
      <w:r w:rsidR="00974B94" w:rsidRPr="004E4581">
        <w:rPr>
          <w:rFonts w:ascii="Arial" w:eastAsia="Calibri" w:hAnsi="Arial" w:cs="Arial"/>
          <w:color w:val="000000" w:themeColor="text1"/>
          <w:sz w:val="22"/>
        </w:rPr>
        <w:t xml:space="preserve"> la pregunta en cuestión se </w:t>
      </w:r>
      <w:r w:rsidR="002D283F" w:rsidRPr="004E4581">
        <w:rPr>
          <w:rFonts w:ascii="Arial" w:eastAsia="Calibri" w:hAnsi="Arial" w:cs="Arial"/>
          <w:color w:val="000000" w:themeColor="text1"/>
          <w:sz w:val="22"/>
        </w:rPr>
        <w:t>realizan las siguientes consideraciones.</w:t>
      </w:r>
      <w:r w:rsidR="00974B94" w:rsidRPr="004E4581">
        <w:rPr>
          <w:rFonts w:ascii="Arial" w:eastAsia="Calibri" w:hAnsi="Arial" w:cs="Arial"/>
          <w:color w:val="000000" w:themeColor="text1"/>
          <w:sz w:val="22"/>
        </w:rPr>
        <w:t xml:space="preserve"> </w:t>
      </w:r>
    </w:p>
    <w:p w14:paraId="0D27A697" w14:textId="452E95D1" w:rsidR="00F433CB" w:rsidRPr="004E4581" w:rsidRDefault="00F433CB" w:rsidP="001459D2">
      <w:pPr>
        <w:spacing w:line="276" w:lineRule="auto"/>
        <w:jc w:val="both"/>
        <w:rPr>
          <w:rFonts w:ascii="Arial" w:eastAsia="Calibri" w:hAnsi="Arial" w:cs="Arial"/>
          <w:color w:val="000000" w:themeColor="text1"/>
          <w:sz w:val="22"/>
        </w:rPr>
      </w:pPr>
    </w:p>
    <w:p w14:paraId="27365E26" w14:textId="123C52AB" w:rsidR="00F433CB" w:rsidRPr="004E4581" w:rsidRDefault="00F433CB" w:rsidP="006B3EB4">
      <w:pPr>
        <w:spacing w:line="276" w:lineRule="auto"/>
        <w:jc w:val="both"/>
        <w:rPr>
          <w:rFonts w:ascii="Arial" w:hAnsi="Arial" w:cs="Arial"/>
          <w:b/>
          <w:bCs/>
          <w:color w:val="000000" w:themeColor="text1"/>
          <w:sz w:val="22"/>
          <w:szCs w:val="22"/>
          <w:lang w:val="es-ES_tradnl"/>
        </w:rPr>
      </w:pPr>
      <w:r w:rsidRPr="004E4581">
        <w:rPr>
          <w:rFonts w:ascii="Arial" w:eastAsia="Calibri" w:hAnsi="Arial" w:cs="Arial"/>
          <w:b/>
          <w:bCs/>
          <w:color w:val="000000" w:themeColor="text1"/>
          <w:sz w:val="22"/>
        </w:rPr>
        <w:t xml:space="preserve">2.1. Finalidad </w:t>
      </w:r>
      <w:r w:rsidR="009B231D" w:rsidRPr="004E4581">
        <w:rPr>
          <w:rFonts w:ascii="Arial" w:eastAsia="Calibri" w:hAnsi="Arial" w:cs="Arial"/>
          <w:b/>
          <w:bCs/>
          <w:color w:val="000000" w:themeColor="text1"/>
          <w:sz w:val="22"/>
        </w:rPr>
        <w:t xml:space="preserve">y restricciones </w:t>
      </w:r>
      <w:r w:rsidRPr="004E4581">
        <w:rPr>
          <w:rFonts w:ascii="Arial" w:eastAsia="Calibri" w:hAnsi="Arial" w:cs="Arial"/>
          <w:b/>
          <w:bCs/>
          <w:color w:val="000000" w:themeColor="text1"/>
          <w:sz w:val="22"/>
        </w:rPr>
        <w:t>de la Ley de Garantías Electorales</w:t>
      </w:r>
    </w:p>
    <w:p w14:paraId="69BD1413" w14:textId="15B81743" w:rsidR="00F433CB" w:rsidRPr="004E4581" w:rsidRDefault="00F433CB" w:rsidP="00271230">
      <w:pPr>
        <w:spacing w:line="276" w:lineRule="auto"/>
        <w:jc w:val="both"/>
        <w:rPr>
          <w:rFonts w:ascii="Arial" w:eastAsia="Calibri" w:hAnsi="Arial" w:cs="Arial"/>
          <w:color w:val="000000" w:themeColor="text1"/>
          <w:sz w:val="22"/>
          <w:szCs w:val="22"/>
          <w:lang w:val="es-ES_tradnl"/>
        </w:rPr>
      </w:pPr>
    </w:p>
    <w:p w14:paraId="13FA39EC" w14:textId="1E35AB98" w:rsidR="000077D0" w:rsidRPr="004E4581" w:rsidRDefault="000077D0" w:rsidP="006B3EB4">
      <w:pPr>
        <w:tabs>
          <w:tab w:val="left" w:pos="426"/>
        </w:tabs>
        <w:spacing w:after="120" w:line="276" w:lineRule="auto"/>
        <w:jc w:val="both"/>
        <w:rPr>
          <w:rFonts w:ascii="Arial" w:eastAsia="Calibri" w:hAnsi="Arial" w:cs="Arial"/>
          <w:bCs/>
          <w:color w:val="000000" w:themeColor="text1"/>
          <w:sz w:val="22"/>
        </w:rPr>
      </w:pPr>
      <w:r w:rsidRPr="004E4581">
        <w:rPr>
          <w:rFonts w:ascii="Arial" w:eastAsia="Calibri" w:hAnsi="Arial" w:cs="Arial"/>
          <w:bCs/>
          <w:color w:val="000000" w:themeColor="text1"/>
          <w:sz w:val="22"/>
        </w:rPr>
        <w:t>El ordenamiento jurídico colombiano contempla previsiones para evitar la obtención de beneficios personales en asuntos propios de la administración pública</w:t>
      </w:r>
      <w:r w:rsidR="00095607" w:rsidRPr="004E4581">
        <w:rPr>
          <w:rFonts w:ascii="Arial" w:eastAsia="Calibri" w:hAnsi="Arial" w:cs="Arial"/>
          <w:bCs/>
          <w:color w:val="000000" w:themeColor="text1"/>
          <w:sz w:val="22"/>
        </w:rPr>
        <w:t>. Por ejemplo,</w:t>
      </w:r>
      <w:r w:rsidRPr="004E4581">
        <w:rPr>
          <w:rFonts w:ascii="Arial" w:eastAsia="Calibri" w:hAnsi="Arial" w:cs="Arial"/>
          <w:bCs/>
          <w:color w:val="000000" w:themeColor="text1"/>
          <w:sz w:val="22"/>
        </w:rPr>
        <w:t xml:space="preserve"> el artículo 127 de la Constitución Política establece una prohibición contractual a los servidores públicos y en cuanto a aspectos políticos establece restricciones a ciertos empleados del Estado, incluso en época no electoral</w:t>
      </w:r>
      <w:r w:rsidRPr="004E4581">
        <w:rPr>
          <w:rStyle w:val="Refdenotaalpie"/>
          <w:rFonts w:ascii="Arial" w:eastAsia="Calibri" w:hAnsi="Arial" w:cs="Arial"/>
          <w:bCs/>
          <w:color w:val="000000" w:themeColor="text1"/>
          <w:sz w:val="22"/>
        </w:rPr>
        <w:footnoteReference w:id="2"/>
      </w:r>
      <w:r w:rsidRPr="004E4581">
        <w:rPr>
          <w:rFonts w:ascii="Arial" w:eastAsia="Calibri" w:hAnsi="Arial" w:cs="Arial"/>
          <w:bCs/>
          <w:color w:val="000000" w:themeColor="text1"/>
          <w:sz w:val="22"/>
        </w:rPr>
        <w:t xml:space="preserve">. </w:t>
      </w:r>
    </w:p>
    <w:p w14:paraId="018CC89D" w14:textId="2D27A3F9" w:rsidR="000077D0" w:rsidRPr="004E4581" w:rsidRDefault="00E746A6" w:rsidP="006B3EB4">
      <w:pPr>
        <w:tabs>
          <w:tab w:val="left" w:pos="426"/>
        </w:tabs>
        <w:spacing w:line="276" w:lineRule="auto"/>
        <w:jc w:val="both"/>
        <w:rPr>
          <w:rFonts w:ascii="Arial" w:hAnsi="Arial" w:cs="Arial"/>
          <w:bCs/>
          <w:color w:val="000000" w:themeColor="text1"/>
          <w:sz w:val="22"/>
          <w:szCs w:val="22"/>
          <w:lang w:eastAsia="es-CO"/>
        </w:rPr>
      </w:pPr>
      <w:r w:rsidRPr="004E4581">
        <w:rPr>
          <w:rFonts w:ascii="Arial" w:hAnsi="Arial" w:cs="Arial"/>
          <w:bCs/>
          <w:color w:val="000000" w:themeColor="text1"/>
          <w:sz w:val="22"/>
          <w:lang w:eastAsia="es-CO"/>
        </w:rPr>
        <w:lastRenderedPageBreak/>
        <w:tab/>
      </w:r>
      <w:r w:rsidRPr="004E4581">
        <w:rPr>
          <w:rFonts w:ascii="Arial" w:hAnsi="Arial" w:cs="Arial"/>
          <w:bCs/>
          <w:color w:val="000000" w:themeColor="text1"/>
          <w:sz w:val="22"/>
          <w:lang w:eastAsia="es-CO"/>
        </w:rPr>
        <w:tab/>
      </w:r>
      <w:r w:rsidR="000077D0" w:rsidRPr="004E4581">
        <w:rPr>
          <w:rFonts w:ascii="Arial" w:hAnsi="Arial" w:cs="Arial"/>
          <w:bCs/>
          <w:color w:val="000000" w:themeColor="text1"/>
          <w:sz w:val="22"/>
          <w:szCs w:val="22"/>
          <w:lang w:eastAsia="es-CO"/>
        </w:rPr>
        <w:t xml:space="preserve">En el mismo sentido, </w:t>
      </w:r>
      <w:bookmarkStart w:id="11" w:name="_Hlk88117457"/>
      <w:r w:rsidR="000077D0" w:rsidRPr="004E4581">
        <w:rPr>
          <w:rFonts w:ascii="Arial" w:hAnsi="Arial" w:cs="Arial"/>
          <w:bCs/>
          <w:color w:val="000000" w:themeColor="text1"/>
          <w:sz w:val="22"/>
          <w:szCs w:val="22"/>
          <w:lang w:eastAsia="es-CO"/>
        </w:rPr>
        <w:t xml:space="preserve">la Ley 996 de 2005 </w:t>
      </w:r>
      <w:r w:rsidR="0030575F" w:rsidRPr="00720382">
        <w:rPr>
          <w:rFonts w:ascii="Arial" w:eastAsia="Calibri" w:hAnsi="Arial" w:cs="Arial"/>
          <w:color w:val="000000" w:themeColor="text1"/>
          <w:sz w:val="22"/>
          <w:szCs w:val="22"/>
          <w:lang w:eastAsia="en-US"/>
        </w:rPr>
        <w:t>«</w:t>
      </w:r>
      <w:r w:rsidR="0030575F" w:rsidRPr="004E4581">
        <w:rPr>
          <w:rStyle w:val="Textoennegrita"/>
          <w:rFonts w:ascii="Arial" w:hAnsi="Arial" w:cs="Arial"/>
          <w:b w:val="0"/>
          <w:color w:val="000000" w:themeColor="text1"/>
          <w:sz w:val="22"/>
          <w:szCs w:val="22"/>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00917720" w:rsidRPr="004E4581">
        <w:rPr>
          <w:rFonts w:ascii="Arial" w:eastAsia="Calibri" w:hAnsi="Arial" w:cs="Arial"/>
          <w:bCs/>
          <w:color w:val="000000" w:themeColor="text1"/>
          <w:sz w:val="22"/>
          <w:szCs w:val="22"/>
          <w:lang w:eastAsia="en-US"/>
        </w:rPr>
        <w:t>»,</w:t>
      </w:r>
      <w:r w:rsidR="0030575F" w:rsidRPr="004E4581">
        <w:rPr>
          <w:rStyle w:val="Textoennegrita"/>
          <w:rFonts w:ascii="Arial" w:hAnsi="Arial" w:cs="Arial"/>
          <w:color w:val="000000" w:themeColor="text1"/>
          <w:sz w:val="22"/>
          <w:szCs w:val="22"/>
          <w:shd w:val="clear" w:color="auto" w:fill="FFFFFF"/>
        </w:rPr>
        <w:t xml:space="preserve"> </w:t>
      </w:r>
      <w:r w:rsidR="000077D0" w:rsidRPr="004E4581">
        <w:rPr>
          <w:rFonts w:ascii="Arial" w:hAnsi="Arial" w:cs="Arial"/>
          <w:bCs/>
          <w:color w:val="000000" w:themeColor="text1"/>
          <w:sz w:val="22"/>
          <w:szCs w:val="22"/>
          <w:lang w:eastAsia="es-CO"/>
        </w:rPr>
        <w:t xml:space="preserve">se suma al andamiaje de orden constitucional y legal que se </w:t>
      </w:r>
      <w:r w:rsidRPr="004E4581">
        <w:rPr>
          <w:rFonts w:ascii="Arial" w:hAnsi="Arial" w:cs="Arial"/>
          <w:bCs/>
          <w:color w:val="000000" w:themeColor="text1"/>
          <w:sz w:val="22"/>
          <w:szCs w:val="22"/>
          <w:lang w:eastAsia="es-CO"/>
        </w:rPr>
        <w:t xml:space="preserve">ocupa </w:t>
      </w:r>
      <w:r w:rsidR="000077D0" w:rsidRPr="004E4581">
        <w:rPr>
          <w:rFonts w:ascii="Arial" w:hAnsi="Arial" w:cs="Arial"/>
          <w:bCs/>
          <w:color w:val="000000" w:themeColor="text1"/>
          <w:sz w:val="22"/>
          <w:szCs w:val="22"/>
          <w:lang w:eastAsia="es-CO"/>
        </w:rPr>
        <w:t>de evitar la injerencia de intereses particulares en el ejercicio de la función pública</w:t>
      </w:r>
      <w:r w:rsidR="002A3132" w:rsidRPr="004E4581">
        <w:rPr>
          <w:rFonts w:ascii="Arial" w:hAnsi="Arial" w:cs="Arial"/>
          <w:bCs/>
          <w:color w:val="000000" w:themeColor="text1"/>
          <w:sz w:val="22"/>
          <w:szCs w:val="22"/>
          <w:lang w:eastAsia="es-CO"/>
        </w:rPr>
        <w:t>.</w:t>
      </w:r>
      <w:r w:rsidR="000077D0" w:rsidRPr="004E4581">
        <w:rPr>
          <w:rFonts w:ascii="Arial" w:hAnsi="Arial" w:cs="Arial"/>
          <w:bCs/>
          <w:color w:val="000000" w:themeColor="text1"/>
          <w:sz w:val="22"/>
          <w:szCs w:val="22"/>
          <w:lang w:eastAsia="es-CO"/>
        </w:rPr>
        <w:t xml:space="preserve"> </w:t>
      </w:r>
      <w:r w:rsidR="002A3132" w:rsidRPr="004E4581">
        <w:rPr>
          <w:rFonts w:ascii="Arial" w:hAnsi="Arial" w:cs="Arial"/>
          <w:bCs/>
          <w:color w:val="000000" w:themeColor="text1"/>
          <w:sz w:val="22"/>
          <w:szCs w:val="22"/>
          <w:lang w:eastAsia="es-CO"/>
        </w:rPr>
        <w:t>R</w:t>
      </w:r>
      <w:r w:rsidR="000077D0" w:rsidRPr="004E4581">
        <w:rPr>
          <w:rFonts w:ascii="Arial" w:hAnsi="Arial" w:cs="Arial"/>
          <w:bCs/>
          <w:color w:val="000000" w:themeColor="text1"/>
          <w:sz w:val="22"/>
          <w:szCs w:val="22"/>
          <w:lang w:eastAsia="es-CO"/>
        </w:rPr>
        <w:t xml:space="preserve">especto a su finalidad, </w:t>
      </w:r>
      <w:r w:rsidR="002A3132" w:rsidRPr="004E4581">
        <w:rPr>
          <w:rFonts w:ascii="Arial" w:hAnsi="Arial" w:cs="Arial"/>
          <w:bCs/>
          <w:color w:val="000000" w:themeColor="text1"/>
          <w:sz w:val="22"/>
          <w:szCs w:val="22"/>
          <w:lang w:eastAsia="es-CO"/>
        </w:rPr>
        <w:t>conforme a</w:t>
      </w:r>
      <w:r w:rsidR="000077D0" w:rsidRPr="004E4581">
        <w:rPr>
          <w:rFonts w:ascii="Arial" w:hAnsi="Arial" w:cs="Arial"/>
          <w:bCs/>
          <w:color w:val="000000" w:themeColor="text1"/>
          <w:sz w:val="22"/>
          <w:szCs w:val="22"/>
          <w:lang w:eastAsia="es-CO"/>
        </w:rPr>
        <w:t xml:space="preserve"> la Gaceta del Congreso de la República No. 71 del 2005</w:t>
      </w:r>
      <w:r w:rsidR="002A3132" w:rsidRPr="004E4581">
        <w:rPr>
          <w:rFonts w:ascii="Arial" w:hAnsi="Arial" w:cs="Arial"/>
          <w:bCs/>
          <w:color w:val="000000" w:themeColor="text1"/>
          <w:sz w:val="22"/>
          <w:szCs w:val="22"/>
          <w:lang w:eastAsia="es-CO"/>
        </w:rPr>
        <w:t>,</w:t>
      </w:r>
      <w:r w:rsidR="000077D0" w:rsidRPr="004E4581">
        <w:rPr>
          <w:rFonts w:ascii="Arial" w:hAnsi="Arial" w:cs="Arial"/>
          <w:bCs/>
          <w:color w:val="000000" w:themeColor="text1"/>
          <w:sz w:val="22"/>
          <w:szCs w:val="22"/>
          <w:lang w:eastAsia="es-CO"/>
        </w:rPr>
        <w:t xml:space="preserve"> tiene como propósito evitar cualquier tipo de arbitrariedad, de ventaja injustificada, de uso irregular de los recursos del Estado en las campañas o falta de garantías en la elección </w:t>
      </w:r>
      <w:r w:rsidR="00B02668" w:rsidRPr="004E4581">
        <w:rPr>
          <w:rFonts w:ascii="Arial" w:hAnsi="Arial" w:cs="Arial"/>
          <w:bCs/>
          <w:color w:val="000000" w:themeColor="text1"/>
          <w:sz w:val="22"/>
          <w:szCs w:val="22"/>
          <w:lang w:eastAsia="es-CO"/>
        </w:rPr>
        <w:t>presidencial, introduciendo</w:t>
      </w:r>
      <w:r w:rsidR="000077D0" w:rsidRPr="004E4581">
        <w:rPr>
          <w:rFonts w:ascii="Arial" w:hAnsi="Arial" w:cs="Arial"/>
          <w:bCs/>
          <w:color w:val="000000" w:themeColor="text1"/>
          <w:sz w:val="22"/>
          <w:szCs w:val="22"/>
          <w:lang w:eastAsia="es-CO"/>
        </w:rPr>
        <w:t xml:space="preserve"> limitaciones para realizar nombramientos, postulaciones, contrataciones o cualquier otro tipo de actividad que implique destinación de recursos públicos.</w:t>
      </w:r>
      <w:r w:rsidR="000077D0" w:rsidRPr="004E4581">
        <w:rPr>
          <w:rFonts w:ascii="Arial" w:eastAsia="Calibri" w:hAnsi="Arial" w:cs="Arial"/>
          <w:noProof/>
          <w:color w:val="000000" w:themeColor="text1"/>
          <w:sz w:val="22"/>
          <w:szCs w:val="22"/>
          <w:lang w:val="es-ES_tradnl"/>
        </w:rPr>
        <w:t xml:space="preserve"> </w:t>
      </w:r>
      <w:bookmarkEnd w:id="11"/>
      <w:r w:rsidR="000077D0" w:rsidRPr="004E4581">
        <w:rPr>
          <w:rFonts w:ascii="Arial" w:hAnsi="Arial" w:cs="Arial"/>
          <w:bCs/>
          <w:color w:val="000000" w:themeColor="text1"/>
          <w:sz w:val="22"/>
          <w:szCs w:val="22"/>
          <w:lang w:eastAsia="es-CO"/>
        </w:rPr>
        <w:t xml:space="preserve">En armonía con lo anterior, la Corte Constitucional </w:t>
      </w:r>
      <w:r w:rsidR="006042CD" w:rsidRPr="004E4581">
        <w:rPr>
          <w:rFonts w:ascii="Arial" w:hAnsi="Arial" w:cs="Arial"/>
          <w:bCs/>
          <w:color w:val="000000" w:themeColor="text1"/>
          <w:sz w:val="22"/>
          <w:szCs w:val="22"/>
          <w:lang w:eastAsia="es-CO"/>
        </w:rPr>
        <w:t xml:space="preserve">–en la Sentencia C-1153 de 2005– </w:t>
      </w:r>
      <w:r w:rsidR="000A7C27">
        <w:rPr>
          <w:rFonts w:ascii="Arial" w:hAnsi="Arial" w:cs="Arial"/>
          <w:bCs/>
          <w:color w:val="000000" w:themeColor="text1"/>
          <w:sz w:val="22"/>
          <w:szCs w:val="22"/>
          <w:lang w:eastAsia="es-CO"/>
        </w:rPr>
        <w:t>estableció lo siguiente</w:t>
      </w:r>
      <w:r w:rsidR="000077D0" w:rsidRPr="004E4581">
        <w:rPr>
          <w:rFonts w:ascii="Arial" w:hAnsi="Arial" w:cs="Arial"/>
          <w:bCs/>
          <w:color w:val="000000" w:themeColor="text1"/>
          <w:sz w:val="22"/>
          <w:szCs w:val="22"/>
          <w:lang w:eastAsia="es-CO"/>
        </w:rPr>
        <w:t>:</w:t>
      </w:r>
    </w:p>
    <w:p w14:paraId="10F8D327" w14:textId="77777777" w:rsidR="000077D0" w:rsidRPr="004E4581" w:rsidRDefault="000077D0" w:rsidP="006B3EB4">
      <w:pPr>
        <w:ind w:right="709"/>
        <w:jc w:val="both"/>
        <w:rPr>
          <w:rFonts w:ascii="Arial" w:hAnsi="Arial" w:cs="Arial"/>
          <w:color w:val="000000" w:themeColor="text1"/>
          <w:sz w:val="21"/>
          <w:szCs w:val="21"/>
          <w:lang w:val="es-ES" w:eastAsia="es-CO"/>
        </w:rPr>
      </w:pPr>
    </w:p>
    <w:p w14:paraId="4F9602BD"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4E4581" w:rsidRDefault="000077D0" w:rsidP="006B3EB4">
      <w:pPr>
        <w:ind w:left="709" w:right="709"/>
        <w:jc w:val="both"/>
        <w:rPr>
          <w:rFonts w:ascii="Arial" w:hAnsi="Arial" w:cs="Arial"/>
          <w:bCs/>
          <w:color w:val="000000" w:themeColor="text1"/>
          <w:sz w:val="21"/>
          <w:szCs w:val="21"/>
          <w:lang w:eastAsia="es-CO"/>
        </w:rPr>
      </w:pPr>
    </w:p>
    <w:p w14:paraId="080C6A96" w14:textId="578C92DD" w:rsidR="000077D0" w:rsidRPr="004E4581" w:rsidRDefault="000077D0" w:rsidP="006B3EB4">
      <w:pPr>
        <w:spacing w:line="276" w:lineRule="auto"/>
        <w:ind w:firstLine="709"/>
        <w:jc w:val="both"/>
        <w:rPr>
          <w:rFonts w:ascii="Arial" w:hAnsi="Arial" w:cs="Arial"/>
          <w:bCs/>
          <w:color w:val="000000" w:themeColor="text1"/>
          <w:sz w:val="22"/>
          <w:lang w:eastAsia="es-CO"/>
        </w:rPr>
      </w:pPr>
      <w:bookmarkStart w:id="12" w:name="_Hlk80948265"/>
      <w:r w:rsidRPr="004E4581">
        <w:rPr>
          <w:rFonts w:ascii="Arial" w:hAnsi="Arial" w:cs="Arial"/>
          <w:bCs/>
          <w:color w:val="000000" w:themeColor="text1"/>
          <w:sz w:val="22"/>
          <w:lang w:eastAsia="es-CO"/>
        </w:rPr>
        <w:t>Siguiendo</w:t>
      </w:r>
      <w:r w:rsidR="00974B94" w:rsidRPr="004E4581">
        <w:rPr>
          <w:rFonts w:ascii="Arial" w:hAnsi="Arial" w:cs="Arial"/>
          <w:bCs/>
          <w:color w:val="000000" w:themeColor="text1"/>
          <w:sz w:val="22"/>
          <w:lang w:eastAsia="es-CO"/>
        </w:rPr>
        <w:t xml:space="preserve"> esta línea</w:t>
      </w:r>
      <w:r w:rsidRPr="004E4581">
        <w:rPr>
          <w:rFonts w:ascii="Arial" w:hAnsi="Arial" w:cs="Arial"/>
          <w:bCs/>
          <w:color w:val="000000" w:themeColor="text1"/>
          <w:sz w:val="22"/>
          <w:lang w:eastAsia="es-CO"/>
        </w:rPr>
        <w:t>, la Ley de Garantías Electorales establece el marco jurídico para el desarrollo de las elecciones, procurando condiciones de igualdad y transparencia para los aspirantes</w:t>
      </w:r>
      <w:r w:rsidR="00900A23">
        <w:rPr>
          <w:rFonts w:ascii="Arial" w:hAnsi="Arial" w:cs="Arial"/>
          <w:bCs/>
          <w:color w:val="000000" w:themeColor="text1"/>
          <w:sz w:val="22"/>
          <w:lang w:eastAsia="es-CO"/>
        </w:rPr>
        <w:t>,</w:t>
      </w:r>
      <w:r w:rsidRPr="004E4581">
        <w:rPr>
          <w:rFonts w:ascii="Arial" w:hAnsi="Arial" w:cs="Arial"/>
          <w:bCs/>
          <w:color w:val="000000" w:themeColor="text1"/>
          <w:sz w:val="22"/>
          <w:lang w:eastAsia="es-CO"/>
        </w:rPr>
        <w:t xml:space="preserve"> </w:t>
      </w:r>
      <w:r w:rsidR="00692FCD" w:rsidRPr="004E4581">
        <w:rPr>
          <w:rFonts w:ascii="Arial" w:hAnsi="Arial" w:cs="Arial"/>
          <w:bCs/>
          <w:color w:val="000000" w:themeColor="text1"/>
          <w:sz w:val="22"/>
          <w:lang w:eastAsia="es-CO"/>
        </w:rPr>
        <w:t>al tiempo que</w:t>
      </w:r>
      <w:r w:rsidRPr="004E4581">
        <w:rPr>
          <w:rFonts w:ascii="Arial" w:hAnsi="Arial" w:cs="Arial"/>
          <w:bCs/>
          <w:color w:val="000000" w:themeColor="text1"/>
          <w:sz w:val="22"/>
          <w:lang w:eastAsia="es-CO"/>
        </w:rPr>
        <w:t xml:space="preserve"> incluye restricciones en el actuar de los servidores públicos, evitando interferencias en la contienda electoral, así como la posible desviación de recursos públicos en aspiraciones electorales.</w:t>
      </w:r>
      <w:r w:rsidR="00DE771D" w:rsidRPr="004E4581">
        <w:rPr>
          <w:rFonts w:ascii="Arial" w:hAnsi="Arial" w:cs="Arial"/>
          <w:bCs/>
          <w:color w:val="000000" w:themeColor="text1"/>
          <w:sz w:val="22"/>
          <w:lang w:eastAsia="es-CO"/>
        </w:rPr>
        <w:t xml:space="preserve"> Incluso</w:t>
      </w:r>
      <w:r w:rsidRPr="004E4581">
        <w:rPr>
          <w:rFonts w:ascii="Arial" w:hAnsi="Arial" w:cs="Arial"/>
          <w:bCs/>
          <w:color w:val="000000" w:themeColor="text1"/>
          <w:sz w:val="22"/>
          <w:lang w:eastAsia="es-CO"/>
        </w:rPr>
        <w:t>, varias de las disposiciones de la Ley 996 de 2005, al contener normas prohibitivas, no admiten una interpretación amplia, sino que deben interpretarse restrictivamente.</w:t>
      </w:r>
      <w:bookmarkEnd w:id="12"/>
      <w:r w:rsidRPr="004E4581">
        <w:rPr>
          <w:rFonts w:ascii="Arial" w:hAnsi="Arial" w:cs="Arial"/>
          <w:bCs/>
          <w:color w:val="000000" w:themeColor="text1"/>
          <w:sz w:val="22"/>
          <w:lang w:eastAsia="es-CO"/>
        </w:rPr>
        <w:t xml:space="preserve"> En efecto, lo anterior fue indicado por la Sala de Consulta y Servicio Civil del Consejo de Estado al </w:t>
      </w:r>
      <w:r w:rsidR="00B40D1D" w:rsidRPr="004E4581">
        <w:rPr>
          <w:rFonts w:ascii="Arial" w:hAnsi="Arial" w:cs="Arial"/>
          <w:bCs/>
          <w:color w:val="000000" w:themeColor="text1"/>
          <w:sz w:val="22"/>
          <w:lang w:eastAsia="es-CO"/>
        </w:rPr>
        <w:t>precisa</w:t>
      </w:r>
      <w:r w:rsidR="003D0A1F" w:rsidRPr="004E4581">
        <w:rPr>
          <w:rFonts w:ascii="Arial" w:hAnsi="Arial" w:cs="Arial"/>
          <w:bCs/>
          <w:color w:val="000000" w:themeColor="text1"/>
          <w:sz w:val="22"/>
          <w:lang w:eastAsia="es-CO"/>
        </w:rPr>
        <w:t>r</w:t>
      </w:r>
      <w:r w:rsidR="00B40D1D" w:rsidRPr="004E4581">
        <w:rPr>
          <w:rFonts w:ascii="Arial" w:hAnsi="Arial" w:cs="Arial"/>
          <w:bCs/>
          <w:color w:val="000000" w:themeColor="text1"/>
          <w:sz w:val="22"/>
          <w:lang w:eastAsia="es-CO"/>
        </w:rPr>
        <w:t xml:space="preserve"> que</w:t>
      </w:r>
      <w:r w:rsidRPr="004E4581">
        <w:rPr>
          <w:rFonts w:ascii="Arial" w:hAnsi="Arial" w:cs="Arial"/>
          <w:bCs/>
          <w:color w:val="000000" w:themeColor="text1"/>
          <w:sz w:val="22"/>
          <w:lang w:eastAsia="es-CO"/>
        </w:rPr>
        <w:t>:</w:t>
      </w:r>
    </w:p>
    <w:p w14:paraId="5F619F1C" w14:textId="77777777" w:rsidR="000077D0" w:rsidRPr="004E4581" w:rsidRDefault="000077D0" w:rsidP="006B3EB4">
      <w:pPr>
        <w:ind w:firstLine="709"/>
        <w:jc w:val="both"/>
        <w:rPr>
          <w:rFonts w:ascii="Arial" w:hAnsi="Arial" w:cs="Arial"/>
          <w:bCs/>
          <w:color w:val="000000" w:themeColor="text1"/>
          <w:sz w:val="22"/>
          <w:lang w:eastAsia="es-CO"/>
        </w:rPr>
      </w:pPr>
    </w:p>
    <w:p w14:paraId="3F21CBDD"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E4581">
        <w:rPr>
          <w:rFonts w:ascii="Arial" w:hAnsi="Arial" w:cs="Arial"/>
          <w:bCs/>
          <w:color w:val="000000" w:themeColor="text1"/>
          <w:sz w:val="21"/>
          <w:szCs w:val="21"/>
          <w:lang w:eastAsia="es-CO"/>
        </w:rPr>
        <w:t>legis</w:t>
      </w:r>
      <w:proofErr w:type="spellEnd"/>
      <w:r w:rsidRPr="004E4581">
        <w:rPr>
          <w:rFonts w:ascii="Arial" w:hAnsi="Arial" w:cs="Arial"/>
          <w:bCs/>
          <w:color w:val="000000" w:themeColor="text1"/>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4E4581" w:rsidRDefault="000077D0" w:rsidP="006B3EB4">
      <w:pPr>
        <w:ind w:left="709" w:right="709" w:firstLine="709"/>
        <w:jc w:val="both"/>
        <w:rPr>
          <w:rFonts w:ascii="Arial" w:hAnsi="Arial" w:cs="Arial"/>
          <w:bCs/>
          <w:color w:val="000000" w:themeColor="text1"/>
          <w:sz w:val="21"/>
          <w:szCs w:val="21"/>
          <w:lang w:eastAsia="es-CO"/>
        </w:rPr>
      </w:pPr>
    </w:p>
    <w:p w14:paraId="47E4EDD2"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La jurisprudencia de la Corte Constitucional</w:t>
      </w:r>
      <w:r w:rsidRPr="004E4581">
        <w:rPr>
          <w:rStyle w:val="Refdenotaalpie"/>
          <w:rFonts w:ascii="Arial" w:hAnsi="Arial" w:cs="Arial"/>
          <w:bCs/>
          <w:color w:val="000000" w:themeColor="text1"/>
          <w:sz w:val="21"/>
          <w:szCs w:val="21"/>
          <w:lang w:eastAsia="es-CO"/>
        </w:rPr>
        <w:footnoteReference w:id="3"/>
      </w:r>
      <w:r w:rsidRPr="004E4581">
        <w:rPr>
          <w:rFonts w:ascii="Arial" w:hAnsi="Arial" w:cs="Arial"/>
          <w:bCs/>
          <w:color w:val="000000" w:themeColor="text1"/>
          <w:sz w:val="21"/>
          <w:szCs w:val="21"/>
          <w:lang w:eastAsia="es-CO"/>
        </w:rPr>
        <w:t> y del Consejo de Estado</w:t>
      </w:r>
      <w:r w:rsidRPr="004E4581">
        <w:rPr>
          <w:rStyle w:val="Refdenotaalpie"/>
          <w:rFonts w:ascii="Arial" w:hAnsi="Arial" w:cs="Arial"/>
          <w:bCs/>
          <w:color w:val="000000" w:themeColor="text1"/>
          <w:sz w:val="21"/>
          <w:szCs w:val="21"/>
          <w:lang w:eastAsia="es-CO"/>
        </w:rPr>
        <w:footnoteReference w:id="4"/>
      </w:r>
      <w:r w:rsidRPr="004E4581">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E4581">
        <w:rPr>
          <w:rStyle w:val="Refdenotaalpie"/>
          <w:rFonts w:ascii="Arial" w:hAnsi="Arial" w:cs="Arial"/>
          <w:bCs/>
          <w:color w:val="000000" w:themeColor="text1"/>
          <w:sz w:val="22"/>
          <w:lang w:eastAsia="es-CO"/>
        </w:rPr>
        <w:footnoteReference w:id="5"/>
      </w:r>
      <w:r w:rsidRPr="004E4581">
        <w:rPr>
          <w:rFonts w:ascii="Arial" w:hAnsi="Arial" w:cs="Arial"/>
          <w:bCs/>
          <w:color w:val="000000" w:themeColor="text1"/>
          <w:sz w:val="21"/>
          <w:szCs w:val="21"/>
          <w:lang w:eastAsia="es-CO"/>
        </w:rPr>
        <w:t>.</w:t>
      </w:r>
    </w:p>
    <w:p w14:paraId="34847625" w14:textId="77777777" w:rsidR="000077D0" w:rsidRPr="004E4581" w:rsidRDefault="000077D0" w:rsidP="006B3EB4">
      <w:pPr>
        <w:spacing w:line="276" w:lineRule="auto"/>
        <w:ind w:right="709"/>
        <w:jc w:val="both"/>
        <w:rPr>
          <w:rFonts w:ascii="Arial" w:hAnsi="Arial" w:cs="Arial"/>
          <w:bCs/>
          <w:color w:val="000000" w:themeColor="text1"/>
          <w:sz w:val="22"/>
          <w:szCs w:val="22"/>
          <w:lang w:eastAsia="es-CO"/>
        </w:rPr>
      </w:pPr>
    </w:p>
    <w:p w14:paraId="15312F99" w14:textId="06C6C2B4" w:rsidR="00917720" w:rsidRPr="004E4581" w:rsidRDefault="000077D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r w:rsidRPr="004E4581">
        <w:rPr>
          <w:rFonts w:ascii="Arial" w:eastAsia="Arial" w:hAnsi="Arial" w:cs="Arial"/>
          <w:color w:val="000000" w:themeColor="text1"/>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12282080" w14:textId="77777777" w:rsidR="00917720" w:rsidRPr="004E4581" w:rsidRDefault="0091772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p>
    <w:p w14:paraId="1968701E" w14:textId="77777777" w:rsidR="00917720" w:rsidRPr="004E4581" w:rsidRDefault="00917720" w:rsidP="00917720">
      <w:pPr>
        <w:spacing w:after="200" w:line="276" w:lineRule="auto"/>
        <w:jc w:val="both"/>
        <w:rPr>
          <w:rFonts w:ascii="Arial" w:hAnsi="Arial" w:cs="Arial"/>
          <w:b/>
          <w:bCs/>
          <w:color w:val="000000" w:themeColor="text1"/>
          <w:sz w:val="22"/>
          <w:szCs w:val="22"/>
          <w:lang w:val="es-MX" w:eastAsia="es-CO"/>
        </w:rPr>
      </w:pPr>
      <w:r w:rsidRPr="004E4581">
        <w:rPr>
          <w:rFonts w:ascii="Arial" w:eastAsia="Calibri" w:hAnsi="Arial" w:cs="Arial"/>
          <w:b/>
          <w:bCs/>
          <w:color w:val="000000" w:themeColor="text1"/>
          <w:sz w:val="22"/>
          <w:szCs w:val="22"/>
          <w:lang w:eastAsia="en-US"/>
        </w:rPr>
        <w:t>2.2. Determinación de las restricciones según el tipo de elecciones</w:t>
      </w:r>
    </w:p>
    <w:p w14:paraId="1EBAC8EA" w14:textId="3A7C8ECF" w:rsidR="00917720" w:rsidRPr="004E4581" w:rsidRDefault="001459D2" w:rsidP="00530DFE">
      <w:pPr>
        <w:spacing w:after="120" w:line="276" w:lineRule="auto"/>
        <w:jc w:val="both"/>
        <w:rPr>
          <w:rFonts w:ascii="Arial" w:eastAsia="Calibri" w:hAnsi="Arial" w:cs="Arial"/>
          <w:color w:val="000000" w:themeColor="text1"/>
          <w:sz w:val="22"/>
          <w:szCs w:val="22"/>
          <w:lang w:eastAsia="en-US"/>
        </w:rPr>
      </w:pPr>
      <w:r>
        <w:rPr>
          <w:rFonts w:ascii="Arial" w:hAnsi="Arial" w:cs="Arial"/>
          <w:bCs/>
          <w:color w:val="000000" w:themeColor="text1"/>
          <w:sz w:val="22"/>
          <w:szCs w:val="22"/>
          <w:lang w:val="es-MX" w:eastAsia="es-CO"/>
        </w:rPr>
        <w:t xml:space="preserve">De acuerdo con lo indicado anteriormente, </w:t>
      </w:r>
      <w:bookmarkStart w:id="13" w:name="_Hlk79762232"/>
      <w:bookmarkStart w:id="14" w:name="_Hlk77152787"/>
      <w:r>
        <w:rPr>
          <w:rFonts w:ascii="Arial" w:eastAsia="Calibri" w:hAnsi="Arial" w:cs="Arial"/>
          <w:color w:val="000000" w:themeColor="text1"/>
          <w:sz w:val="22"/>
          <w:szCs w:val="22"/>
          <w:lang w:eastAsia="en-US"/>
        </w:rPr>
        <w:t>p</w:t>
      </w:r>
      <w:r w:rsidR="00917720" w:rsidRPr="004E4581">
        <w:rPr>
          <w:rFonts w:ascii="Arial" w:eastAsia="Calibri" w:hAnsi="Arial" w:cs="Arial"/>
          <w:color w:val="000000" w:themeColor="text1"/>
          <w:sz w:val="22"/>
          <w:szCs w:val="22"/>
          <w:lang w:eastAsia="en-US"/>
        </w:rPr>
        <w:t xml:space="preserve">or una parte, </w:t>
      </w:r>
      <w:bookmarkStart w:id="15" w:name="_Hlk77153051"/>
      <w:r w:rsidR="00917720" w:rsidRPr="004E4581">
        <w:rPr>
          <w:rFonts w:ascii="Arial" w:eastAsia="Calibri" w:hAnsi="Arial" w:cs="Arial"/>
          <w:color w:val="000000" w:themeColor="text1"/>
          <w:sz w:val="22"/>
          <w:szCs w:val="22"/>
          <w:lang w:eastAsia="en-US"/>
        </w:rPr>
        <w:t xml:space="preserve">el artículo 33 de la Ley 996 de 2005 establece una prohibición que impide </w:t>
      </w:r>
      <w:r w:rsidR="00917720" w:rsidRPr="004E4581">
        <w:rPr>
          <w:rFonts w:ascii="Arial" w:eastAsia="Calibri" w:hAnsi="Arial" w:cs="Arial"/>
          <w:bCs/>
          <w:color w:val="000000" w:themeColor="text1"/>
          <w:sz w:val="22"/>
          <w:szCs w:val="22"/>
          <w:lang w:eastAsia="en-US"/>
        </w:rPr>
        <w:t xml:space="preserve">«[…] </w:t>
      </w:r>
      <w:r w:rsidR="00917720" w:rsidRPr="004E4581">
        <w:rPr>
          <w:rFonts w:ascii="Arial" w:eastAsia="Calibri" w:hAnsi="Arial" w:cs="Arial"/>
          <w:color w:val="000000" w:themeColor="text1"/>
          <w:sz w:val="22"/>
          <w:szCs w:val="22"/>
          <w:lang w:eastAsia="en-US"/>
        </w:rPr>
        <w:t>la contratación directa por parte de todos los entes del Estado</w:t>
      </w:r>
      <w:r w:rsidR="00917720" w:rsidRPr="004E4581">
        <w:rPr>
          <w:rFonts w:ascii="Arial" w:eastAsia="Calibri" w:hAnsi="Arial" w:cs="Arial"/>
          <w:bCs/>
          <w:color w:val="000000" w:themeColor="text1"/>
          <w:sz w:val="22"/>
          <w:szCs w:val="22"/>
          <w:lang w:eastAsia="en-US"/>
        </w:rPr>
        <w:t>»</w:t>
      </w:r>
      <w:r w:rsidR="00917720" w:rsidRPr="004E4581">
        <w:rPr>
          <w:rFonts w:ascii="Arial" w:eastAsia="Calibri" w:hAnsi="Arial" w:cs="Arial"/>
          <w:color w:val="000000" w:themeColor="text1"/>
          <w:sz w:val="22"/>
          <w:szCs w:val="22"/>
          <w:lang w:eastAsia="en-US"/>
        </w:rPr>
        <w:t xml:space="preserve"> durante los cuatro (4) meses anteriores a las elecciones presidenciales, salvo </w:t>
      </w:r>
      <w:r w:rsidR="00917720" w:rsidRPr="004E4581">
        <w:rPr>
          <w:rFonts w:ascii="Arial" w:eastAsia="Calibri" w:hAnsi="Arial" w:cs="Arial"/>
          <w:bCs/>
          <w:color w:val="000000" w:themeColor="text1"/>
          <w:sz w:val="22"/>
          <w:szCs w:val="22"/>
          <w:lang w:eastAsia="en-US"/>
        </w:rPr>
        <w:t xml:space="preserve">«[…] </w:t>
      </w:r>
      <w:r w:rsidR="00917720" w:rsidRPr="004E4581">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917720" w:rsidRPr="004E4581">
        <w:rPr>
          <w:rFonts w:ascii="Arial" w:eastAsia="Calibri" w:hAnsi="Arial" w:cs="Arial"/>
          <w:bCs/>
          <w:color w:val="000000" w:themeColor="text1"/>
          <w:sz w:val="22"/>
          <w:szCs w:val="22"/>
          <w:lang w:eastAsia="en-US"/>
        </w:rPr>
        <w:t>»</w:t>
      </w:r>
      <w:bookmarkEnd w:id="13"/>
      <w:r w:rsidR="00917720" w:rsidRPr="004E4581">
        <w:rPr>
          <w:rFonts w:ascii="Arial" w:eastAsia="Calibri" w:hAnsi="Arial" w:cs="Arial"/>
          <w:bCs/>
          <w:color w:val="000000" w:themeColor="text1"/>
          <w:sz w:val="22"/>
          <w:szCs w:val="22"/>
          <w:vertAlign w:val="superscript"/>
          <w:lang w:eastAsia="en-US"/>
        </w:rPr>
        <w:footnoteReference w:id="6"/>
      </w:r>
      <w:r w:rsidR="00917720" w:rsidRPr="004E4581">
        <w:rPr>
          <w:rFonts w:ascii="Arial" w:eastAsia="Calibri" w:hAnsi="Arial" w:cs="Arial"/>
          <w:color w:val="000000" w:themeColor="text1"/>
          <w:sz w:val="22"/>
          <w:szCs w:val="22"/>
          <w:lang w:eastAsia="en-US"/>
        </w:rPr>
        <w:t>.</w:t>
      </w:r>
    </w:p>
    <w:p w14:paraId="5510D27B" w14:textId="24FF1AFC" w:rsidR="00917720" w:rsidRPr="004E4581" w:rsidRDefault="00917720" w:rsidP="00530DFE">
      <w:pPr>
        <w:spacing w:line="276" w:lineRule="auto"/>
        <w:ind w:firstLine="708"/>
        <w:jc w:val="both"/>
        <w:rPr>
          <w:rFonts w:ascii="Arial" w:eastAsia="Arial" w:hAnsi="Arial" w:cs="Arial"/>
          <w:color w:val="000000" w:themeColor="text1"/>
          <w:sz w:val="22"/>
          <w:szCs w:val="22"/>
          <w:lang w:val="es-ES" w:eastAsia="es-ES" w:bidi="es-ES"/>
        </w:rPr>
      </w:pPr>
      <w:bookmarkStart w:id="17" w:name="_Hlk79762276"/>
      <w:r w:rsidRPr="004E4581">
        <w:rPr>
          <w:rFonts w:ascii="Arial" w:eastAsia="Calibri" w:hAnsi="Arial" w:cs="Arial"/>
          <w:color w:val="000000" w:themeColor="text1"/>
          <w:sz w:val="22"/>
          <w:szCs w:val="22"/>
          <w:lang w:eastAsia="en-US"/>
        </w:rPr>
        <w:lastRenderedPageBreak/>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E4581">
        <w:rPr>
          <w:rFonts w:ascii="Arial" w:eastAsia="Calibri" w:hAnsi="Arial" w:cs="Arial"/>
          <w:bCs/>
          <w:color w:val="000000" w:themeColor="text1"/>
          <w:sz w:val="22"/>
          <w:szCs w:val="22"/>
          <w:lang w:eastAsia="en-US"/>
        </w:rPr>
        <w:t xml:space="preserve">«[…] </w:t>
      </w:r>
      <w:r w:rsidRPr="004E4581">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E4581">
        <w:rPr>
          <w:rFonts w:ascii="Arial" w:eastAsia="Calibri" w:hAnsi="Arial" w:cs="Arial"/>
          <w:bCs/>
          <w:color w:val="000000" w:themeColor="text1"/>
          <w:sz w:val="19"/>
          <w:szCs w:val="19"/>
          <w:lang w:eastAsia="en-US"/>
        </w:rPr>
        <w:t>»</w:t>
      </w:r>
      <w:r w:rsidRPr="004E4581">
        <w:rPr>
          <w:rFonts w:ascii="Arial" w:eastAsia="Calibri" w:hAnsi="Arial" w:cs="Arial"/>
          <w:bCs/>
          <w:color w:val="000000" w:themeColor="text1"/>
          <w:sz w:val="19"/>
          <w:szCs w:val="19"/>
          <w:vertAlign w:val="superscript"/>
          <w:lang w:eastAsia="en-US"/>
        </w:rPr>
        <w:footnoteReference w:id="7"/>
      </w:r>
      <w:r w:rsidRPr="004E4581">
        <w:rPr>
          <w:rFonts w:ascii="Arial" w:eastAsia="Calibri" w:hAnsi="Arial" w:cs="Arial"/>
          <w:color w:val="000000" w:themeColor="text1"/>
          <w:sz w:val="22"/>
          <w:szCs w:val="22"/>
          <w:lang w:val="es-MX" w:eastAsia="en-US"/>
        </w:rPr>
        <w:t>.</w:t>
      </w:r>
      <w:r w:rsidR="00900A23">
        <w:rPr>
          <w:rFonts w:ascii="Arial" w:eastAsia="Calibri" w:hAnsi="Arial" w:cs="Arial"/>
          <w:color w:val="000000" w:themeColor="text1"/>
          <w:sz w:val="22"/>
          <w:szCs w:val="22"/>
          <w:lang w:val="es-MX" w:eastAsia="en-US"/>
        </w:rPr>
        <w:t xml:space="preserve"> Teniendo en cuenta lo anterior, </w:t>
      </w:r>
      <w:bookmarkEnd w:id="14"/>
      <w:bookmarkEnd w:id="15"/>
      <w:bookmarkEnd w:id="17"/>
      <w:r w:rsidR="00900A23">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Sala de Consulta y Servicio Civil del Consejo de Estado ha aclarado la distinción en la aplicación de las prohibiciones de la Ley 996 de 2005, dependiendo del tipo de elección que se trate, así</w:t>
      </w:r>
      <w:r w:rsidRPr="004E4581">
        <w:rPr>
          <w:rFonts w:ascii="Arial" w:eastAsia="Arial" w:hAnsi="Arial" w:cs="Arial"/>
          <w:color w:val="000000" w:themeColor="text1"/>
          <w:sz w:val="21"/>
          <w:szCs w:val="21"/>
          <w:vertAlign w:val="superscript"/>
          <w:lang w:val="es-ES" w:eastAsia="es-ES" w:bidi="es-ES"/>
        </w:rPr>
        <w:footnoteReference w:id="8"/>
      </w:r>
      <w:r w:rsidRPr="004E4581">
        <w:rPr>
          <w:rFonts w:ascii="Arial" w:eastAsia="Arial" w:hAnsi="Arial" w:cs="Arial"/>
          <w:color w:val="000000" w:themeColor="text1"/>
          <w:sz w:val="22"/>
          <w:szCs w:val="22"/>
          <w:lang w:val="es-ES" w:eastAsia="es-ES" w:bidi="es-ES"/>
        </w:rPr>
        <w:t>:</w:t>
      </w:r>
    </w:p>
    <w:p w14:paraId="01678F88" w14:textId="77777777" w:rsidR="00917720" w:rsidRPr="004E4581" w:rsidRDefault="00917720">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7CF9F585" w14:textId="77777777" w:rsidR="00917720" w:rsidRPr="004E4581" w:rsidRDefault="00917720" w:rsidP="00530DFE">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4E4581">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4E4581">
        <w:rPr>
          <w:rFonts w:ascii="Arial" w:eastAsia="Arial" w:hAnsi="Arial" w:cs="Arial"/>
          <w:color w:val="000000" w:themeColor="text1"/>
          <w:sz w:val="21"/>
          <w:szCs w:val="21"/>
          <w:lang w:val="es-ES" w:eastAsia="es-ES" w:bidi="es-ES"/>
        </w:rPr>
        <w:t>se integran parcialmente</w:t>
      </w:r>
      <w:bookmarkEnd w:id="18"/>
      <w:r w:rsidRPr="004E4581">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E4581">
        <w:rPr>
          <w:rFonts w:ascii="Arial" w:eastAsia="Arial" w:hAnsi="Arial" w:cs="Arial"/>
          <w:bCs/>
          <w:i/>
          <w:iCs/>
          <w:color w:val="000000" w:themeColor="text1"/>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E4581">
        <w:rPr>
          <w:rFonts w:ascii="Arial" w:eastAsia="Arial" w:hAnsi="Arial" w:cs="Arial"/>
          <w:color w:val="000000" w:themeColor="text1"/>
          <w:sz w:val="21"/>
          <w:szCs w:val="21"/>
          <w:lang w:val="es-ES" w:eastAsia="es-ES" w:bidi="es-ES"/>
        </w:rPr>
        <w:t>.</w:t>
      </w:r>
      <w:r w:rsidRPr="004E4581">
        <w:rPr>
          <w:rFonts w:ascii="Arial" w:eastAsia="Arial" w:hAnsi="Arial" w:cs="Arial"/>
          <w:color w:val="000000" w:themeColor="text1"/>
          <w:position w:val="8"/>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(Cursivas fuera de</w:t>
      </w:r>
      <w:r w:rsidRPr="004E4581">
        <w:rPr>
          <w:rFonts w:ascii="Arial" w:eastAsia="Arial" w:hAnsi="Arial" w:cs="Arial"/>
          <w:color w:val="000000" w:themeColor="text1"/>
          <w:spacing w:val="-42"/>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texto)</w:t>
      </w:r>
    </w:p>
    <w:p w14:paraId="1C4CFA76" w14:textId="77777777" w:rsidR="00917720" w:rsidRPr="004E4581" w:rsidRDefault="00917720" w:rsidP="00917720">
      <w:pPr>
        <w:widowControl w:val="0"/>
        <w:autoSpaceDE w:val="0"/>
        <w:autoSpaceDN w:val="0"/>
        <w:spacing w:before="8"/>
        <w:rPr>
          <w:rFonts w:ascii="Arial" w:eastAsia="Arial" w:hAnsi="Arial" w:cs="Arial"/>
          <w:color w:val="000000" w:themeColor="text1"/>
          <w:sz w:val="26"/>
          <w:szCs w:val="22"/>
          <w:lang w:eastAsia="es-ES" w:bidi="es-ES"/>
        </w:rPr>
      </w:pPr>
    </w:p>
    <w:p w14:paraId="6728635E" w14:textId="5079D183" w:rsidR="00E552DD" w:rsidRPr="000A0A18" w:rsidRDefault="00917720" w:rsidP="00530DFE">
      <w:pPr>
        <w:spacing w:line="276" w:lineRule="auto"/>
        <w:ind w:firstLine="708"/>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Por lo tanto, </w:t>
      </w:r>
      <w:bookmarkStart w:id="19" w:name="_Hlk75780333"/>
      <w:bookmarkStart w:id="20" w:name="_Hlk79762439"/>
      <w:r w:rsidRPr="004E4581">
        <w:rPr>
          <w:rFonts w:ascii="Arial" w:eastAsia="Arial" w:hAnsi="Arial" w:cs="Arial"/>
          <w:color w:val="000000" w:themeColor="text1"/>
          <w:sz w:val="22"/>
          <w:szCs w:val="22"/>
          <w:lang w:val="es-ES" w:eastAsia="es-ES" w:bidi="es-ES"/>
        </w:rPr>
        <w:t xml:space="preserve">la Ley 996 de 2005 regula dos tipos de restricciones en materia de contratación, </w:t>
      </w:r>
      <w:r w:rsidR="00C23926">
        <w:rPr>
          <w:rFonts w:ascii="Arial" w:eastAsia="Arial" w:hAnsi="Arial" w:cs="Arial"/>
          <w:color w:val="000000" w:themeColor="text1"/>
          <w:sz w:val="22"/>
          <w:szCs w:val="22"/>
          <w:lang w:val="es-ES" w:eastAsia="es-ES" w:bidi="es-ES"/>
        </w:rPr>
        <w:t>a saber</w:t>
      </w:r>
      <w:r w:rsidRPr="004E4581">
        <w:rPr>
          <w:rFonts w:ascii="Arial" w:eastAsia="Arial" w:hAnsi="Arial" w:cs="Arial"/>
          <w:color w:val="000000" w:themeColor="text1"/>
          <w:sz w:val="22"/>
          <w:szCs w:val="22"/>
          <w:lang w:val="es-ES" w:eastAsia="es-ES" w:bidi="es-ES"/>
        </w:rPr>
        <w:t xml:space="preserve">: i) </w:t>
      </w:r>
      <w:r w:rsidR="001459D2">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 xml:space="preserve">a del artículo 33 que opera solo respecto de las elecciones presidenciales, en virtud de la cual queda proscrita </w:t>
      </w:r>
      <w:r w:rsidRPr="004E4581">
        <w:rPr>
          <w:rFonts w:ascii="Arial" w:eastAsia="Calibri" w:hAnsi="Arial" w:cs="Arial"/>
          <w:color w:val="000000" w:themeColor="text1"/>
          <w:sz w:val="22"/>
          <w:szCs w:val="22"/>
          <w:lang w:eastAsia="en-US"/>
        </w:rPr>
        <w:t xml:space="preserve">la </w:t>
      </w:r>
      <w:r w:rsidRPr="004E4581">
        <w:rPr>
          <w:rFonts w:ascii="Arial" w:eastAsia="Calibri" w:hAnsi="Arial" w:cs="Arial"/>
          <w:i/>
          <w:iCs/>
          <w:color w:val="000000" w:themeColor="text1"/>
          <w:sz w:val="22"/>
          <w:szCs w:val="22"/>
          <w:lang w:eastAsia="en-US"/>
        </w:rPr>
        <w:t>contratación directa</w:t>
      </w:r>
      <w:r w:rsidRPr="004E4581">
        <w:rPr>
          <w:rFonts w:ascii="Arial" w:eastAsia="Calibri" w:hAnsi="Arial" w:cs="Arial"/>
          <w:color w:val="000000" w:themeColor="text1"/>
          <w:sz w:val="22"/>
          <w:szCs w:val="22"/>
          <w:lang w:eastAsia="en-US"/>
        </w:rPr>
        <w:t xml:space="preserve"> por parte de todos los entes del Estado</w:t>
      </w:r>
      <w:r w:rsidR="00E552DD">
        <w:rPr>
          <w:rFonts w:ascii="Arial" w:eastAsia="Calibri" w:hAnsi="Arial" w:cs="Arial"/>
          <w:color w:val="000000" w:themeColor="text1"/>
          <w:sz w:val="22"/>
          <w:szCs w:val="22"/>
          <w:lang w:eastAsia="en-US"/>
        </w:rPr>
        <w:t>, independiente de su régimen jurídico,</w:t>
      </w:r>
      <w:r w:rsidRPr="004E4581">
        <w:rPr>
          <w:rFonts w:ascii="Arial" w:eastAsia="Arial" w:hAnsi="Arial" w:cs="Arial"/>
          <w:color w:val="000000" w:themeColor="text1"/>
          <w:sz w:val="22"/>
          <w:szCs w:val="22"/>
          <w:lang w:val="es-ES" w:eastAsia="es-ES" w:bidi="es-ES"/>
        </w:rPr>
        <w:t xml:space="preserve"> dentro de los cuatro (4) meses </w:t>
      </w:r>
      <w:r w:rsidRPr="004E4581">
        <w:rPr>
          <w:rFonts w:ascii="Arial" w:eastAsia="Arial" w:hAnsi="Arial" w:cs="Arial"/>
          <w:color w:val="000000" w:themeColor="text1"/>
          <w:sz w:val="22"/>
          <w:szCs w:val="22"/>
          <w:lang w:val="es-ES" w:eastAsia="es-ES" w:bidi="es-ES"/>
        </w:rPr>
        <w:lastRenderedPageBreak/>
        <w:t>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w:t>
      </w:r>
      <w:r w:rsidR="000A0A18">
        <w:rPr>
          <w:rFonts w:ascii="Arial" w:eastAsia="Arial" w:hAnsi="Arial" w:cs="Arial"/>
          <w:color w:val="000000" w:themeColor="text1"/>
          <w:sz w:val="22"/>
          <w:szCs w:val="22"/>
          <w:lang w:val="es-ES" w:eastAsia="es-ES" w:bidi="es-ES"/>
        </w:rPr>
        <w:t xml:space="preserve">e se realice esa segunda vuelta; y </w:t>
      </w:r>
      <w:proofErr w:type="spellStart"/>
      <w:r w:rsidRPr="004E4581">
        <w:rPr>
          <w:rFonts w:ascii="Arial" w:eastAsia="Arial" w:hAnsi="Arial" w:cs="Arial"/>
          <w:color w:val="000000" w:themeColor="text1"/>
          <w:sz w:val="22"/>
          <w:szCs w:val="22"/>
          <w:lang w:val="es-ES" w:eastAsia="es-ES" w:bidi="es-ES"/>
        </w:rPr>
        <w:t>ii</w:t>
      </w:r>
      <w:proofErr w:type="spellEnd"/>
      <w:r w:rsidRPr="004E4581">
        <w:rPr>
          <w:rFonts w:ascii="Arial" w:eastAsia="Arial" w:hAnsi="Arial" w:cs="Arial"/>
          <w:color w:val="000000" w:themeColor="text1"/>
          <w:sz w:val="22"/>
          <w:szCs w:val="22"/>
          <w:lang w:val="es-ES" w:eastAsia="es-ES" w:bidi="es-ES"/>
        </w:rPr>
        <w:t xml:space="preserve">) </w:t>
      </w:r>
      <w:r w:rsidR="001459D2">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r w:rsidR="001459D2">
        <w:rPr>
          <w:rFonts w:ascii="Arial" w:eastAsia="Arial" w:hAnsi="Arial" w:cs="Arial"/>
          <w:color w:val="000000" w:themeColor="text1"/>
          <w:sz w:val="22"/>
          <w:szCs w:val="22"/>
          <w:lang w:val="es-ES" w:eastAsia="es-ES" w:bidi="es-ES"/>
        </w:rPr>
        <w:t>, en relación con las autoridades señaladas en dicha disposición.</w:t>
      </w:r>
      <w:bookmarkEnd w:id="19"/>
      <w:bookmarkEnd w:id="20"/>
    </w:p>
    <w:p w14:paraId="137904BD" w14:textId="77777777" w:rsidR="00E552DD" w:rsidRDefault="00E552DD">
      <w:pPr>
        <w:widowControl w:val="0"/>
        <w:autoSpaceDE w:val="0"/>
        <w:autoSpaceDN w:val="0"/>
        <w:ind w:right="709"/>
        <w:jc w:val="both"/>
        <w:rPr>
          <w:rFonts w:ascii="Arial" w:eastAsia="Arial" w:hAnsi="Arial" w:cs="Arial"/>
          <w:color w:val="000000"/>
          <w:sz w:val="21"/>
          <w:szCs w:val="21"/>
          <w:lang w:val="es-ES" w:eastAsia="en-US"/>
        </w:rPr>
      </w:pPr>
    </w:p>
    <w:p w14:paraId="079E579C" w14:textId="091B347F" w:rsidR="00E17CD1" w:rsidRDefault="00E17CD1" w:rsidP="0042639C">
      <w:pPr>
        <w:spacing w:line="276" w:lineRule="auto"/>
        <w:jc w:val="both"/>
        <w:rPr>
          <w:rFonts w:ascii="Arial" w:hAnsi="Arial" w:cs="Arial"/>
          <w:b/>
          <w:color w:val="000000" w:themeColor="text1"/>
          <w:sz w:val="22"/>
        </w:rPr>
      </w:pPr>
      <w:r>
        <w:rPr>
          <w:rFonts w:ascii="Arial" w:hAnsi="Arial" w:cs="Arial"/>
          <w:b/>
          <w:color w:val="000000" w:themeColor="text1"/>
          <w:sz w:val="22"/>
        </w:rPr>
        <w:t xml:space="preserve">2.3. </w:t>
      </w:r>
      <w:r w:rsidR="001F08BB">
        <w:rPr>
          <w:rFonts w:ascii="Arial" w:hAnsi="Arial" w:cs="Arial"/>
          <w:b/>
          <w:color w:val="000000" w:themeColor="text1"/>
          <w:sz w:val="22"/>
        </w:rPr>
        <w:t>Restricciones para la suscripción de contratos de forma directa por parte de los entes del Estado</w:t>
      </w:r>
      <w:r w:rsidR="00712BC4">
        <w:rPr>
          <w:rFonts w:ascii="Arial" w:hAnsi="Arial" w:cs="Arial"/>
          <w:b/>
          <w:color w:val="000000" w:themeColor="text1"/>
          <w:sz w:val="22"/>
        </w:rPr>
        <w:t xml:space="preserve"> –ar</w:t>
      </w:r>
      <w:r w:rsidR="000A0A18">
        <w:rPr>
          <w:rFonts w:ascii="Arial" w:hAnsi="Arial" w:cs="Arial"/>
          <w:b/>
          <w:color w:val="000000" w:themeColor="text1"/>
          <w:sz w:val="22"/>
        </w:rPr>
        <w:t>tículo 33 de la Ley 996 de 2005–</w:t>
      </w:r>
    </w:p>
    <w:p w14:paraId="1955CAEE" w14:textId="72854A7B" w:rsidR="00712BC4" w:rsidRDefault="00712BC4" w:rsidP="0042639C">
      <w:pPr>
        <w:spacing w:line="276" w:lineRule="auto"/>
        <w:jc w:val="both"/>
        <w:rPr>
          <w:rFonts w:ascii="Arial" w:hAnsi="Arial" w:cs="Arial"/>
          <w:b/>
          <w:color w:val="000000" w:themeColor="text1"/>
          <w:sz w:val="22"/>
        </w:rPr>
      </w:pPr>
    </w:p>
    <w:p w14:paraId="47329CBE" w14:textId="76CDAF2F" w:rsidR="001A25D3" w:rsidRPr="001A25D3" w:rsidRDefault="001A25D3" w:rsidP="001A25D3">
      <w:pPr>
        <w:spacing w:line="276" w:lineRule="auto"/>
        <w:jc w:val="both"/>
        <w:rPr>
          <w:rFonts w:ascii="Arial" w:hAnsi="Arial" w:cs="Arial"/>
          <w:bCs/>
          <w:sz w:val="22"/>
          <w:szCs w:val="22"/>
          <w:lang w:val="es-MX" w:eastAsia="es-CO"/>
        </w:rPr>
      </w:pPr>
      <w:r w:rsidRPr="001A25D3">
        <w:rPr>
          <w:rFonts w:ascii="Arial" w:hAnsi="Arial" w:cs="Arial"/>
          <w:bCs/>
          <w:sz w:val="22"/>
          <w:szCs w:val="22"/>
          <w:lang w:val="es-MX" w:eastAsia="x-none"/>
        </w:rPr>
        <w:t xml:space="preserve">El ámbito material de la prohibición contenida </w:t>
      </w:r>
      <w:bookmarkStart w:id="21" w:name="_Hlk75628761"/>
      <w:r w:rsidRPr="001A25D3">
        <w:rPr>
          <w:rFonts w:ascii="Arial" w:hAnsi="Arial" w:cs="Arial"/>
          <w:bCs/>
          <w:sz w:val="22"/>
          <w:szCs w:val="22"/>
          <w:lang w:val="es-MX" w:eastAsia="x-none"/>
        </w:rPr>
        <w:t xml:space="preserve">en el artículo 33 de la ley 996 de 2005 </w:t>
      </w:r>
      <w:bookmarkEnd w:id="21"/>
      <w:r w:rsidRPr="001A25D3">
        <w:rPr>
          <w:rFonts w:ascii="Arial" w:hAnsi="Arial" w:cs="Arial"/>
          <w:bCs/>
          <w:sz w:val="22"/>
          <w:szCs w:val="22"/>
          <w:lang w:val="es-MX" w:eastAsia="x-none"/>
        </w:rPr>
        <w:t xml:space="preserve">está delimitado por la expresión </w:t>
      </w:r>
      <w:r w:rsidRPr="001A25D3">
        <w:rPr>
          <w:rFonts w:ascii="Arial" w:eastAsia="Calibri" w:hAnsi="Arial" w:cs="Arial"/>
          <w:bCs/>
          <w:sz w:val="20"/>
          <w:szCs w:val="20"/>
          <w:lang w:val="es-MX" w:eastAsia="en-US"/>
        </w:rPr>
        <w:t>«</w:t>
      </w:r>
      <w:r w:rsidRPr="001A25D3">
        <w:rPr>
          <w:rFonts w:ascii="Arial" w:hAnsi="Arial" w:cs="Arial"/>
          <w:bCs/>
          <w:sz w:val="22"/>
          <w:szCs w:val="22"/>
          <w:lang w:val="es-MX" w:eastAsia="x-none"/>
        </w:rPr>
        <w:t>queda prohibida la contratación directa</w:t>
      </w:r>
      <w:r w:rsidRPr="001A25D3">
        <w:rPr>
          <w:rFonts w:ascii="Arial" w:eastAsia="Calibri" w:hAnsi="Arial" w:cs="Arial"/>
          <w:sz w:val="20"/>
          <w:szCs w:val="20"/>
          <w:lang w:val="es-MX" w:eastAsia="en-US"/>
        </w:rPr>
        <w:t>»</w:t>
      </w:r>
      <w:r w:rsidRPr="001A25D3">
        <w:rPr>
          <w:rFonts w:ascii="Arial" w:hAnsi="Arial" w:cs="Arial"/>
          <w:bCs/>
          <w:sz w:val="22"/>
          <w:szCs w:val="22"/>
          <w:lang w:val="es-MX" w:eastAsia="x-none"/>
        </w:rPr>
        <w:t xml:space="preserve">. </w:t>
      </w:r>
      <w:r w:rsidRPr="001A25D3">
        <w:rPr>
          <w:rFonts w:ascii="Arial" w:hAnsi="Arial" w:cs="Arial"/>
          <w:sz w:val="22"/>
          <w:szCs w:val="22"/>
          <w:lang w:val="es-MX" w:eastAsia="es-CO"/>
        </w:rPr>
        <w:t xml:space="preserve"> A propósito de </w:t>
      </w:r>
      <w:r w:rsidRPr="001A25D3">
        <w:rPr>
          <w:rFonts w:ascii="Arial" w:hAnsi="Arial" w:cs="Arial"/>
          <w:sz w:val="22"/>
          <w:szCs w:val="22"/>
          <w:lang w:eastAsia="es-CO"/>
        </w:rPr>
        <w:t>esta restricción de la Ley de Garantías Electorales, la Sala de Consulta y Servicio Civil del Cons</w:t>
      </w:r>
      <w:r w:rsidR="000A0A18">
        <w:rPr>
          <w:rFonts w:ascii="Arial" w:hAnsi="Arial" w:cs="Arial"/>
          <w:sz w:val="22"/>
          <w:szCs w:val="22"/>
          <w:lang w:eastAsia="es-CO"/>
        </w:rPr>
        <w:t>ejo de Estado ha considerado</w:t>
      </w:r>
      <w:r w:rsidRPr="001A25D3">
        <w:rPr>
          <w:rFonts w:ascii="Arial" w:hAnsi="Arial" w:cs="Arial"/>
          <w:sz w:val="22"/>
          <w:szCs w:val="22"/>
          <w:lang w:eastAsia="es-CO"/>
        </w:rPr>
        <w:t>:</w:t>
      </w:r>
    </w:p>
    <w:p w14:paraId="7BB405D4" w14:textId="77777777" w:rsidR="001A25D3" w:rsidRPr="001A25D3" w:rsidRDefault="001A25D3" w:rsidP="001A25D3">
      <w:pPr>
        <w:ind w:left="708" w:right="709"/>
        <w:jc w:val="both"/>
        <w:rPr>
          <w:rFonts w:ascii="Arial" w:eastAsia="Calibri" w:hAnsi="Arial" w:cs="Arial"/>
          <w:sz w:val="21"/>
          <w:szCs w:val="21"/>
          <w:lang w:val="es-MX" w:eastAsia="en-US"/>
        </w:rPr>
      </w:pPr>
    </w:p>
    <w:p w14:paraId="445089EE" w14:textId="77777777" w:rsidR="001A25D3" w:rsidRPr="001A25D3" w:rsidRDefault="001A25D3" w:rsidP="001A25D3">
      <w:pPr>
        <w:spacing w:after="120"/>
        <w:ind w:left="709" w:right="709"/>
        <w:jc w:val="both"/>
        <w:rPr>
          <w:rFonts w:ascii="Arial" w:eastAsia="Calibri" w:hAnsi="Arial" w:cs="Arial"/>
          <w:sz w:val="21"/>
          <w:szCs w:val="21"/>
          <w:lang w:val="es-MX" w:eastAsia="en-US"/>
        </w:rPr>
      </w:pPr>
      <w:r w:rsidRPr="001A25D3">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1A25D3">
        <w:rPr>
          <w:rFonts w:ascii="Arial" w:hAnsi="Arial" w:cs="Arial"/>
          <w:sz w:val="22"/>
          <w:szCs w:val="22"/>
          <w:vertAlign w:val="superscript"/>
          <w:lang w:eastAsia="es-CO"/>
        </w:rPr>
        <w:footnoteReference w:id="9"/>
      </w:r>
      <w:r w:rsidRPr="001A25D3">
        <w:rPr>
          <w:rFonts w:ascii="Arial" w:eastAsia="Calibri" w:hAnsi="Arial" w:cs="Arial"/>
          <w:sz w:val="21"/>
          <w:szCs w:val="21"/>
          <w:lang w:val="es-MX" w:eastAsia="en-US"/>
        </w:rPr>
        <w:t>.</w:t>
      </w:r>
    </w:p>
    <w:p w14:paraId="60C8494C" w14:textId="77777777" w:rsidR="001A25D3" w:rsidRPr="001A25D3" w:rsidRDefault="001A25D3" w:rsidP="001A25D3">
      <w:pPr>
        <w:ind w:left="708" w:right="709"/>
        <w:jc w:val="both"/>
        <w:rPr>
          <w:rFonts w:ascii="Arial" w:eastAsia="Calibri" w:hAnsi="Arial" w:cs="Arial"/>
          <w:sz w:val="21"/>
          <w:szCs w:val="21"/>
          <w:lang w:val="es-MX" w:eastAsia="en-US"/>
        </w:rPr>
      </w:pPr>
      <w:r w:rsidRPr="001A25D3">
        <w:rPr>
          <w:rFonts w:ascii="Arial" w:eastAsia="Calibri" w:hAnsi="Arial" w:cs="Arial"/>
          <w:sz w:val="21"/>
          <w:szCs w:val="21"/>
          <w:lang w:val="es-MX" w:eastAsia="en-US"/>
        </w:rPr>
        <w:t xml:space="preserve">Esta Sala ha entendido que para los efectos de la ley de garantías, y dada su finalidad, el enunciado ´contratación directa´ es sinónimo </w:t>
      </w:r>
      <w:bookmarkStart w:id="24" w:name="_Hlk75741738"/>
      <w:r w:rsidRPr="001A25D3">
        <w:rPr>
          <w:rFonts w:ascii="Arial" w:eastAsia="Calibri" w:hAnsi="Arial" w:cs="Arial"/>
          <w:sz w:val="21"/>
          <w:szCs w:val="21"/>
          <w:lang w:val="es-MX" w:eastAsia="en-US"/>
        </w:rPr>
        <w:t xml:space="preserve">de cualquier sistema que no implique convocatoria pública y posibilidad de pluralidad de oferentes, </w:t>
      </w:r>
      <w:bookmarkEnd w:id="24"/>
      <w:r w:rsidRPr="001A25D3">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1A25D3">
        <w:rPr>
          <w:rFonts w:ascii="Arial" w:hAnsi="Arial" w:cs="Arial"/>
          <w:sz w:val="21"/>
          <w:szCs w:val="21"/>
          <w:vertAlign w:val="superscript"/>
          <w:lang w:val="es-MX" w:eastAsia="en-US"/>
        </w:rPr>
        <w:footnoteReference w:id="10"/>
      </w:r>
      <w:r w:rsidRPr="001A25D3">
        <w:rPr>
          <w:rFonts w:ascii="Arial" w:hAnsi="Arial" w:cs="Arial"/>
          <w:sz w:val="21"/>
          <w:szCs w:val="21"/>
          <w:vertAlign w:val="superscript"/>
          <w:lang w:val="es-MX" w:eastAsia="en-US"/>
        </w:rPr>
        <w:t>.</w:t>
      </w:r>
      <w:r w:rsidRPr="001A25D3">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1A25D3">
        <w:rPr>
          <w:rFonts w:ascii="Arial" w:hAnsi="Arial" w:cs="Arial"/>
          <w:sz w:val="22"/>
          <w:szCs w:val="22"/>
          <w:vertAlign w:val="superscript"/>
          <w:lang w:eastAsia="es-CO"/>
        </w:rPr>
        <w:footnoteReference w:id="11"/>
      </w:r>
      <w:r w:rsidRPr="001A25D3">
        <w:rPr>
          <w:rFonts w:ascii="Arial" w:eastAsia="Calibri" w:hAnsi="Arial" w:cs="Arial"/>
          <w:sz w:val="21"/>
          <w:szCs w:val="21"/>
          <w:lang w:val="es-MX" w:eastAsia="en-US"/>
        </w:rPr>
        <w:t xml:space="preserve"> .</w:t>
      </w:r>
    </w:p>
    <w:p w14:paraId="7EB0E0A4" w14:textId="77777777" w:rsidR="001A25D3" w:rsidRPr="001A25D3" w:rsidRDefault="001A25D3" w:rsidP="001A25D3">
      <w:pPr>
        <w:shd w:val="clear" w:color="auto" w:fill="FFFFFF"/>
        <w:ind w:firstLine="709"/>
        <w:jc w:val="both"/>
        <w:rPr>
          <w:rFonts w:ascii="Arial" w:hAnsi="Arial" w:cs="Arial"/>
          <w:sz w:val="22"/>
          <w:szCs w:val="22"/>
          <w:lang w:eastAsia="x-none"/>
        </w:rPr>
      </w:pPr>
    </w:p>
    <w:p w14:paraId="62A6F354" w14:textId="7AB6EF52" w:rsidR="001A25D3" w:rsidRPr="001A25D3" w:rsidRDefault="001A25D3" w:rsidP="001A25D3">
      <w:pPr>
        <w:spacing w:after="120" w:line="276" w:lineRule="auto"/>
        <w:ind w:firstLine="708"/>
        <w:jc w:val="both"/>
        <w:rPr>
          <w:rFonts w:ascii="Arial" w:hAnsi="Arial" w:cs="Arial"/>
          <w:bCs/>
          <w:sz w:val="22"/>
          <w:szCs w:val="22"/>
          <w:lang w:eastAsia="x-none"/>
        </w:rPr>
      </w:pPr>
      <w:r w:rsidRPr="001A25D3">
        <w:rPr>
          <w:rFonts w:ascii="Arial" w:hAnsi="Arial" w:cs="Arial"/>
          <w:sz w:val="22"/>
          <w:szCs w:val="22"/>
          <w:lang w:eastAsia="x-none"/>
        </w:rPr>
        <w:lastRenderedPageBreak/>
        <w:t xml:space="preserve">De conformidad con el citado concepto, </w:t>
      </w:r>
      <w:bookmarkStart w:id="26" w:name="_Hlk78818702"/>
      <w:r w:rsidRPr="001A25D3">
        <w:rPr>
          <w:rFonts w:ascii="Arial" w:hAnsi="Arial" w:cs="Arial"/>
          <w:sz w:val="22"/>
          <w:szCs w:val="22"/>
          <w:lang w:eastAsia="x-none"/>
        </w:rPr>
        <w:t xml:space="preserve">la prohibición del artículo 33 de la Ley de Garantías Electorales se refiere a </w:t>
      </w:r>
      <w:bookmarkStart w:id="27" w:name="_Hlk74294635"/>
      <w:r w:rsidRPr="001A25D3">
        <w:rPr>
          <w:rFonts w:ascii="Arial" w:hAnsi="Arial" w:cs="Arial"/>
          <w:sz w:val="19"/>
          <w:szCs w:val="19"/>
          <w:lang w:eastAsia="en-GB"/>
        </w:rPr>
        <w:t>«</w:t>
      </w:r>
      <w:bookmarkEnd w:id="27"/>
      <w:r w:rsidRPr="001A25D3">
        <w:rPr>
          <w:rFonts w:ascii="Arial" w:hAnsi="Arial" w:cs="Arial"/>
          <w:sz w:val="22"/>
          <w:szCs w:val="22"/>
          <w:lang w:eastAsia="x-none"/>
        </w:rPr>
        <w:t>cualquier sistema que no implique convocatoria pública y posibilidad de pluralidad de oferentes</w:t>
      </w:r>
      <w:bookmarkStart w:id="28" w:name="_Hlk74404754"/>
      <w:r w:rsidRPr="001A25D3">
        <w:rPr>
          <w:rFonts w:ascii="Arial" w:hAnsi="Arial" w:cs="Arial"/>
          <w:sz w:val="22"/>
          <w:szCs w:val="22"/>
          <w:lang w:eastAsia="en-GB"/>
        </w:rPr>
        <w:t>»</w:t>
      </w:r>
      <w:bookmarkEnd w:id="28"/>
      <w:r w:rsidRPr="001A25D3">
        <w:rPr>
          <w:rFonts w:ascii="Arial" w:hAnsi="Arial" w:cs="Arial"/>
          <w:sz w:val="22"/>
          <w:szCs w:val="22"/>
          <w:lang w:eastAsia="x-none"/>
        </w:rPr>
        <w:t>, por lo que excluye las demás modalidades de contratación previstas en la Ley 1150 de 2007, es decir, la licitación pública, la selección abreviada</w:t>
      </w:r>
      <w:r w:rsidR="001459D2">
        <w:rPr>
          <w:rFonts w:ascii="Arial" w:hAnsi="Arial" w:cs="Arial"/>
          <w:sz w:val="22"/>
          <w:szCs w:val="22"/>
          <w:lang w:eastAsia="x-none"/>
        </w:rPr>
        <w:t>,</w:t>
      </w:r>
      <w:r w:rsidRPr="001A25D3">
        <w:rPr>
          <w:rFonts w:ascii="Arial" w:hAnsi="Arial" w:cs="Arial"/>
          <w:sz w:val="22"/>
          <w:szCs w:val="22"/>
          <w:lang w:eastAsia="x-none"/>
        </w:rPr>
        <w:t xml:space="preserve"> el concurso de méritos</w:t>
      </w:r>
      <w:r w:rsidR="0014461D">
        <w:rPr>
          <w:rFonts w:ascii="Arial" w:hAnsi="Arial" w:cs="Arial"/>
          <w:sz w:val="22"/>
          <w:szCs w:val="22"/>
          <w:lang w:eastAsia="x-none"/>
        </w:rPr>
        <w:t>,</w:t>
      </w:r>
      <w:r w:rsidRPr="001A25D3">
        <w:rPr>
          <w:rFonts w:ascii="Arial" w:hAnsi="Arial" w:cs="Arial"/>
          <w:sz w:val="22"/>
          <w:szCs w:val="22"/>
          <w:lang w:eastAsia="x-none"/>
        </w:rPr>
        <w:t xml:space="preserve"> </w:t>
      </w:r>
      <w:r w:rsidR="001459D2">
        <w:rPr>
          <w:rFonts w:ascii="Arial" w:hAnsi="Arial" w:cs="Arial"/>
          <w:sz w:val="22"/>
          <w:szCs w:val="22"/>
          <w:lang w:eastAsia="x-none"/>
        </w:rPr>
        <w:t xml:space="preserve">la mínima cuantía </w:t>
      </w:r>
      <w:r w:rsidRPr="001A25D3">
        <w:rPr>
          <w:rFonts w:ascii="Arial" w:hAnsi="Arial" w:cs="Arial"/>
          <w:sz w:val="22"/>
          <w:szCs w:val="22"/>
          <w:lang w:eastAsia="x-none"/>
        </w:rPr>
        <w:t xml:space="preserve">u otros previstos en normas especiales. </w:t>
      </w:r>
      <w:bookmarkEnd w:id="26"/>
      <w:r w:rsidRPr="001A25D3">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1A25D3">
        <w:rPr>
          <w:rFonts w:ascii="Arial" w:hAnsi="Arial" w:cs="Arial"/>
          <w:sz w:val="22"/>
          <w:szCs w:val="22"/>
          <w:vertAlign w:val="superscript"/>
          <w:lang w:val="en-GB" w:eastAsia="x-none"/>
        </w:rPr>
        <w:footnoteReference w:id="12"/>
      </w:r>
      <w:r w:rsidRPr="001A25D3">
        <w:rPr>
          <w:rFonts w:ascii="Arial" w:hAnsi="Arial" w:cs="Arial"/>
          <w:sz w:val="22"/>
          <w:szCs w:val="22"/>
          <w:lang w:eastAsia="x-none"/>
        </w:rPr>
        <w:t xml:space="preserve"> y sistematizó las causales de contratación directa</w:t>
      </w:r>
      <w:r w:rsidRPr="001A25D3">
        <w:rPr>
          <w:rFonts w:ascii="Arial" w:hAnsi="Arial" w:cs="Arial"/>
          <w:sz w:val="22"/>
          <w:szCs w:val="22"/>
          <w:vertAlign w:val="superscript"/>
          <w:lang w:val="en-GB" w:eastAsia="x-none"/>
        </w:rPr>
        <w:footnoteReference w:id="13"/>
      </w:r>
      <w:r w:rsidR="000606AC">
        <w:rPr>
          <w:rFonts w:ascii="Arial" w:hAnsi="Arial" w:cs="Arial"/>
          <w:sz w:val="22"/>
          <w:szCs w:val="22"/>
          <w:lang w:eastAsia="x-none"/>
        </w:rPr>
        <w:t xml:space="preserve">, </w:t>
      </w:r>
      <w:r w:rsidR="000606AC">
        <w:rPr>
          <w:rFonts w:ascii="Arial"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1A25D3">
        <w:rPr>
          <w:rFonts w:ascii="Arial" w:hAnsi="Arial" w:cs="Arial"/>
          <w:sz w:val="22"/>
          <w:szCs w:val="22"/>
          <w:lang w:eastAsia="x-none"/>
        </w:rPr>
        <w:t xml:space="preserve"> </w:t>
      </w:r>
    </w:p>
    <w:p w14:paraId="39D1D22E" w14:textId="77777777" w:rsidR="001A25D3" w:rsidRPr="001A25D3" w:rsidRDefault="001A25D3" w:rsidP="001A25D3">
      <w:pPr>
        <w:spacing w:after="120" w:line="276" w:lineRule="auto"/>
        <w:ind w:firstLine="708"/>
        <w:jc w:val="both"/>
        <w:rPr>
          <w:rFonts w:ascii="Arial" w:hAnsi="Arial" w:cs="Arial"/>
          <w:sz w:val="22"/>
          <w:szCs w:val="22"/>
          <w:lang w:val="es-MX" w:eastAsia="x-none"/>
        </w:rPr>
      </w:pPr>
      <w:r w:rsidRPr="001A25D3">
        <w:rPr>
          <w:rFonts w:ascii="Arial" w:hAnsi="Arial" w:cs="Arial"/>
          <w:sz w:val="22"/>
          <w:szCs w:val="22"/>
          <w:lang w:eastAsia="x-none"/>
        </w:rPr>
        <w:t xml:space="preserve">De esta forma, con fundamento en la evolución de la normativa sobre la contratación pública, se ha depurado la noción de </w:t>
      </w:r>
      <w:r w:rsidRPr="001A25D3">
        <w:rPr>
          <w:rFonts w:ascii="Arial" w:hAnsi="Arial" w:cs="Arial"/>
          <w:sz w:val="19"/>
          <w:szCs w:val="19"/>
          <w:lang w:eastAsia="en-GB"/>
        </w:rPr>
        <w:t>«</w:t>
      </w:r>
      <w:r w:rsidRPr="001A25D3">
        <w:rPr>
          <w:rFonts w:ascii="Arial" w:hAnsi="Arial" w:cs="Arial"/>
          <w:sz w:val="22"/>
          <w:szCs w:val="22"/>
          <w:lang w:eastAsia="x-none"/>
        </w:rPr>
        <w:t>contratación directa</w:t>
      </w:r>
      <w:r w:rsidRPr="001A25D3">
        <w:rPr>
          <w:rFonts w:ascii="Arial" w:hAnsi="Arial" w:cs="Arial"/>
          <w:sz w:val="22"/>
          <w:szCs w:val="22"/>
          <w:lang w:eastAsia="en-GB"/>
        </w:rPr>
        <w:t>»</w:t>
      </w:r>
      <w:r w:rsidRPr="001A25D3">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1A25D3">
        <w:rPr>
          <w:rFonts w:ascii="Arial" w:hAnsi="Arial" w:cs="Arial"/>
          <w:sz w:val="22"/>
          <w:szCs w:val="22"/>
          <w:vertAlign w:val="superscript"/>
          <w:lang w:val="en-GB" w:eastAsia="x-none"/>
        </w:rPr>
        <w:footnoteReference w:id="14"/>
      </w:r>
      <w:r w:rsidRPr="001A25D3">
        <w:rPr>
          <w:rFonts w:ascii="Arial" w:hAnsi="Arial" w:cs="Arial"/>
          <w:sz w:val="22"/>
          <w:szCs w:val="22"/>
          <w:lang w:eastAsia="x-none"/>
        </w:rPr>
        <w:t>, han establecido sistemas de contratación que implican convocatoria pública y participación de varios oferentes</w:t>
      </w:r>
      <w:r w:rsidRPr="001A25D3">
        <w:rPr>
          <w:rFonts w:ascii="Arial" w:hAnsi="Arial" w:cs="Arial"/>
          <w:sz w:val="22"/>
          <w:szCs w:val="22"/>
          <w:lang w:eastAsia="en-GB"/>
        </w:rPr>
        <w:t>»</w:t>
      </w:r>
      <w:r w:rsidRPr="001A25D3">
        <w:rPr>
          <w:rFonts w:ascii="Arial" w:hAnsi="Arial" w:cs="Arial"/>
          <w:sz w:val="22"/>
          <w:szCs w:val="22"/>
          <w:lang w:eastAsia="x-none"/>
        </w:rPr>
        <w:t xml:space="preserve">. </w:t>
      </w:r>
    </w:p>
    <w:p w14:paraId="4179016F" w14:textId="7F8FB720" w:rsidR="001A25D3" w:rsidRPr="001A25D3" w:rsidRDefault="001A25D3" w:rsidP="001A25D3">
      <w:pPr>
        <w:spacing w:after="120" w:line="276" w:lineRule="auto"/>
        <w:ind w:firstLine="708"/>
        <w:jc w:val="both"/>
        <w:rPr>
          <w:rFonts w:ascii="Arial" w:hAnsi="Arial" w:cs="Arial"/>
          <w:bCs/>
          <w:sz w:val="22"/>
          <w:szCs w:val="22"/>
          <w:lang w:val="es-MX" w:eastAsia="es-CO"/>
        </w:rPr>
      </w:pPr>
      <w:r w:rsidRPr="001A25D3">
        <w:rPr>
          <w:rFonts w:ascii="Arial" w:hAnsi="Arial" w:cs="Arial"/>
          <w:bCs/>
          <w:sz w:val="22"/>
          <w:szCs w:val="22"/>
          <w:lang w:val="es-MX" w:eastAsia="x-none"/>
        </w:rPr>
        <w:t>E</w:t>
      </w:r>
      <w:r w:rsidRPr="001A25D3">
        <w:rPr>
          <w:rFonts w:ascii="Arial" w:hAnsi="Arial" w:cs="Arial"/>
          <w:sz w:val="22"/>
          <w:szCs w:val="22"/>
          <w:lang w:eastAsia="x-none"/>
        </w:rPr>
        <w:t xml:space="preserve">n </w:t>
      </w:r>
      <w:bookmarkStart w:id="30" w:name="_Hlk75636073"/>
      <w:r w:rsidRPr="001A25D3">
        <w:rPr>
          <w:rFonts w:ascii="Arial" w:hAnsi="Arial" w:cs="Arial"/>
          <w:sz w:val="22"/>
          <w:szCs w:val="22"/>
          <w:lang w:eastAsia="x-none"/>
        </w:rPr>
        <w:t>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0"/>
      <w:r w:rsidRPr="001A25D3">
        <w:rPr>
          <w:rFonts w:ascii="Arial" w:hAnsi="Arial" w:cs="Arial"/>
          <w:sz w:val="22"/>
          <w:szCs w:val="22"/>
          <w:vertAlign w:val="superscript"/>
          <w:lang w:eastAsia="x-none"/>
        </w:rPr>
        <w:footnoteReference w:id="15"/>
      </w:r>
      <w:r w:rsidRPr="001A25D3">
        <w:rPr>
          <w:rFonts w:ascii="Arial" w:hAnsi="Arial" w:cs="Arial"/>
          <w:sz w:val="22"/>
          <w:szCs w:val="22"/>
          <w:lang w:eastAsia="x-none"/>
        </w:rPr>
        <w:t xml:space="preserve">. </w:t>
      </w:r>
    </w:p>
    <w:p w14:paraId="5A38C72E" w14:textId="6474FB58" w:rsidR="001A25D3" w:rsidRPr="001A25D3" w:rsidRDefault="001A25D3" w:rsidP="001A25D3">
      <w:pPr>
        <w:spacing w:after="120" w:line="276" w:lineRule="auto"/>
        <w:ind w:firstLine="708"/>
        <w:jc w:val="both"/>
        <w:rPr>
          <w:rFonts w:ascii="Arial" w:hAnsi="Arial" w:cs="Arial"/>
          <w:bCs/>
          <w:sz w:val="22"/>
          <w:szCs w:val="22"/>
          <w:lang w:val="es-MX" w:eastAsia="es-CO"/>
        </w:rPr>
      </w:pPr>
      <w:r w:rsidRPr="001A25D3">
        <w:rPr>
          <w:rFonts w:ascii="Arial" w:hAnsi="Arial" w:cs="Arial"/>
          <w:bCs/>
          <w:sz w:val="22"/>
          <w:szCs w:val="22"/>
          <w:lang w:val="es-MX"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0606AC">
        <w:rPr>
          <w:rFonts w:ascii="Arial" w:hAnsi="Arial" w:cs="Arial"/>
          <w:bCs/>
          <w:sz w:val="22"/>
          <w:szCs w:val="22"/>
          <w:lang w:val="es-MX" w:eastAsia="es-CO"/>
        </w:rPr>
        <w:t>G</w:t>
      </w:r>
      <w:r w:rsidRPr="001A25D3">
        <w:rPr>
          <w:rFonts w:ascii="Arial" w:hAnsi="Arial" w:cs="Arial"/>
          <w:bCs/>
          <w:sz w:val="22"/>
          <w:szCs w:val="22"/>
          <w:lang w:val="es-MX" w:eastAsia="es-CO"/>
        </w:rPr>
        <w:t xml:space="preserve">eneral de Contratación de la Administración Pública, sino también frente a las entidades que tengan un régimen especial de contratación. No obstante, también se </w:t>
      </w:r>
      <w:r w:rsidRPr="001A25D3">
        <w:rPr>
          <w:rFonts w:ascii="Arial" w:hAnsi="Arial" w:cs="Arial"/>
          <w:bCs/>
          <w:sz w:val="22"/>
          <w:szCs w:val="22"/>
          <w:lang w:val="es-MX" w:eastAsia="es-CO"/>
        </w:rPr>
        <w:lastRenderedPageBreak/>
        <w:t>observa que luego de la expedición de Ley 1150 de 2007, el Consejo de Estado comenzó a delimitar con mayor precisión el término de «contratación directa».</w:t>
      </w:r>
    </w:p>
    <w:p w14:paraId="4F3E10F8" w14:textId="77777777" w:rsidR="001A25D3" w:rsidRPr="001A25D3" w:rsidRDefault="001A25D3" w:rsidP="001A25D3">
      <w:pPr>
        <w:spacing w:after="120" w:line="276" w:lineRule="auto"/>
        <w:ind w:firstLine="708"/>
        <w:jc w:val="both"/>
        <w:rPr>
          <w:rFonts w:ascii="Arial" w:hAnsi="Arial" w:cs="Arial"/>
          <w:bCs/>
          <w:sz w:val="22"/>
          <w:szCs w:val="22"/>
          <w:lang w:val="es-MX" w:eastAsia="x-none"/>
        </w:rPr>
      </w:pPr>
      <w:bookmarkStart w:id="31" w:name="_Hlk78818796"/>
      <w:r w:rsidRPr="001A25D3">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A25D3">
        <w:rPr>
          <w:rFonts w:ascii="Arial" w:hAnsi="Arial" w:cs="Arial"/>
          <w:sz w:val="22"/>
          <w:szCs w:val="22"/>
          <w:vertAlign w:val="superscript"/>
          <w:lang w:eastAsia="x-none"/>
        </w:rPr>
        <w:footnoteReference w:id="16"/>
      </w:r>
      <w:r w:rsidRPr="001A25D3">
        <w:rPr>
          <w:rFonts w:ascii="Arial" w:hAnsi="Arial" w:cs="Arial"/>
          <w:bCs/>
          <w:sz w:val="22"/>
          <w:szCs w:val="22"/>
          <w:lang w:val="es-MX" w:eastAsia="x-none"/>
        </w:rPr>
        <w:t>.</w:t>
      </w:r>
      <w:r w:rsidRPr="001A25D3">
        <w:rPr>
          <w:rFonts w:ascii="Arial" w:hAnsi="Arial" w:cs="Arial"/>
          <w:sz w:val="22"/>
          <w:szCs w:val="22"/>
          <w:vertAlign w:val="superscript"/>
          <w:lang w:eastAsia="x-none"/>
        </w:rPr>
        <w:t xml:space="preserve"> </w:t>
      </w:r>
    </w:p>
    <w:bookmarkEnd w:id="31"/>
    <w:p w14:paraId="1B1DCB18" w14:textId="57499EE4" w:rsidR="001A25D3" w:rsidRPr="001A25D3" w:rsidRDefault="001A25D3" w:rsidP="001A25D3">
      <w:pPr>
        <w:spacing w:after="120" w:line="276" w:lineRule="auto"/>
        <w:ind w:firstLine="708"/>
        <w:jc w:val="both"/>
        <w:rPr>
          <w:rFonts w:ascii="Arial" w:hAnsi="Arial" w:cs="Arial"/>
          <w:sz w:val="22"/>
          <w:szCs w:val="22"/>
          <w:lang w:eastAsia="x-none"/>
        </w:rPr>
      </w:pPr>
      <w:r w:rsidRPr="001A25D3">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1A25D3">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w:t>
      </w:r>
      <w:r w:rsidR="000606AC">
        <w:rPr>
          <w:rFonts w:ascii="Arial" w:hAnsi="Arial" w:cs="Arial"/>
          <w:sz w:val="22"/>
          <w:szCs w:val="22"/>
          <w:lang w:eastAsia="x-none"/>
        </w:rPr>
        <w:t>,</w:t>
      </w:r>
      <w:r w:rsidRPr="001A25D3">
        <w:rPr>
          <w:rFonts w:ascii="Arial" w:hAnsi="Arial" w:cs="Arial"/>
          <w:sz w:val="22"/>
          <w:szCs w:val="22"/>
          <w:lang w:eastAsia="x-none"/>
        </w:rPr>
        <w:t xml:space="preserve"> la selección abreviada</w:t>
      </w:r>
      <w:r w:rsidR="000606AC">
        <w:rPr>
          <w:rFonts w:ascii="Arial" w:hAnsi="Arial" w:cs="Arial"/>
          <w:sz w:val="22"/>
          <w:szCs w:val="22"/>
          <w:lang w:eastAsia="x-none"/>
        </w:rPr>
        <w:t xml:space="preserve"> y la mínima cuantía</w:t>
      </w:r>
      <w:r w:rsidRPr="001A25D3">
        <w:rPr>
          <w:rFonts w:ascii="Arial" w:hAnsi="Arial" w:cs="Arial"/>
          <w:sz w:val="22"/>
          <w:szCs w:val="22"/>
          <w:lang w:eastAsia="x-none"/>
        </w:rPr>
        <w:t xml:space="preserve">, razón por la cual en ese período preelectoral de que trata la disposición las entidades públicas </w:t>
      </w:r>
      <w:r w:rsidR="000606AC">
        <w:rPr>
          <w:rFonts w:ascii="Arial" w:hAnsi="Arial" w:cs="Arial"/>
          <w:sz w:val="22"/>
          <w:szCs w:val="22"/>
          <w:lang w:eastAsia="x-none"/>
        </w:rPr>
        <w:t xml:space="preserve">pueden </w:t>
      </w:r>
      <w:r w:rsidRPr="001A25D3">
        <w:rPr>
          <w:rFonts w:ascii="Arial" w:hAnsi="Arial" w:cs="Arial"/>
          <w:sz w:val="22"/>
          <w:szCs w:val="22"/>
          <w:lang w:eastAsia="x-none"/>
        </w:rPr>
        <w:t>seguir contratando bajo estos sistemas.</w:t>
      </w:r>
    </w:p>
    <w:p w14:paraId="610518C1" w14:textId="54B1D0C5" w:rsidR="001A25D3" w:rsidRPr="001A25D3" w:rsidRDefault="001A25D3" w:rsidP="001A25D3">
      <w:pPr>
        <w:spacing w:after="120" w:line="276" w:lineRule="auto"/>
        <w:ind w:firstLine="708"/>
        <w:jc w:val="both"/>
        <w:rPr>
          <w:rFonts w:ascii="Arial" w:hAnsi="Arial" w:cs="Arial"/>
          <w:bCs/>
          <w:sz w:val="22"/>
          <w:szCs w:val="22"/>
          <w:lang w:val="es-MX" w:eastAsia="x-none"/>
        </w:rPr>
      </w:pPr>
      <w:bookmarkStart w:id="32" w:name="_Hlk77237094"/>
      <w:r w:rsidRPr="001A25D3">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14461D">
        <w:rPr>
          <w:rStyle w:val="Refdenotaalpie"/>
          <w:rFonts w:ascii="Arial" w:hAnsi="Arial" w:cs="Arial"/>
          <w:bCs/>
          <w:sz w:val="22"/>
          <w:szCs w:val="22"/>
          <w:lang w:val="es-MX" w:eastAsia="es-CO"/>
        </w:rPr>
        <w:footnoteReference w:id="17"/>
      </w:r>
      <w:r w:rsidRPr="001A25D3">
        <w:rPr>
          <w:rFonts w:ascii="Arial" w:hAnsi="Arial" w:cs="Arial"/>
          <w:bCs/>
          <w:sz w:val="22"/>
          <w:szCs w:val="22"/>
          <w:lang w:val="es-MX" w:eastAsia="es-CO"/>
        </w:rPr>
        <w:t>.</w:t>
      </w:r>
      <w:bookmarkEnd w:id="32"/>
    </w:p>
    <w:p w14:paraId="1B93976E" w14:textId="3E616FEA" w:rsidR="001A25D3" w:rsidRPr="001A25D3" w:rsidRDefault="001A25D3" w:rsidP="001A25D3">
      <w:pPr>
        <w:spacing w:after="120" w:line="276" w:lineRule="auto"/>
        <w:ind w:firstLine="708"/>
        <w:jc w:val="both"/>
        <w:rPr>
          <w:rFonts w:ascii="Arial" w:hAnsi="Arial" w:cs="Arial"/>
          <w:bCs/>
          <w:sz w:val="22"/>
          <w:szCs w:val="22"/>
          <w:lang w:val="es-MX" w:eastAsia="es-CO"/>
        </w:rPr>
      </w:pPr>
      <w:r w:rsidRPr="001A25D3">
        <w:rPr>
          <w:rFonts w:ascii="Arial"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w:t>
      </w:r>
      <w:r w:rsidR="000606AC">
        <w:rPr>
          <w:rFonts w:ascii="Arial" w:hAnsi="Arial" w:cs="Arial"/>
          <w:bCs/>
          <w:sz w:val="22"/>
          <w:szCs w:val="22"/>
          <w:lang w:val="es-MX" w:eastAsia="x-none"/>
        </w:rPr>
        <w:t>,</w:t>
      </w:r>
      <w:r w:rsidRPr="001A25D3">
        <w:rPr>
          <w:rFonts w:ascii="Arial" w:hAnsi="Arial" w:cs="Arial"/>
          <w:bCs/>
          <w:sz w:val="22"/>
          <w:szCs w:val="22"/>
          <w:lang w:val="es-MX" w:eastAsia="x-none"/>
        </w:rPr>
        <w:t xml:space="preserve"> en lo referente a</w:t>
      </w:r>
      <w:r w:rsidR="000606AC">
        <w:rPr>
          <w:rFonts w:ascii="Arial" w:hAnsi="Arial" w:cs="Arial"/>
          <w:bCs/>
          <w:sz w:val="22"/>
          <w:szCs w:val="22"/>
          <w:lang w:val="es-MX" w:eastAsia="x-none"/>
        </w:rPr>
        <w:t>:</w:t>
      </w:r>
      <w:r w:rsidRPr="001A25D3">
        <w:rPr>
          <w:rFonts w:ascii="Arial" w:hAnsi="Arial" w:cs="Arial"/>
          <w:bCs/>
          <w:sz w:val="22"/>
          <w:szCs w:val="22"/>
          <w:lang w:val="es-MX" w:eastAsia="x-none"/>
        </w:rPr>
        <w:t xml:space="preserve"> i) la defensa y seguridad del Estado; </w:t>
      </w:r>
      <w:proofErr w:type="spellStart"/>
      <w:r w:rsidRPr="001A25D3">
        <w:rPr>
          <w:rFonts w:ascii="Arial" w:hAnsi="Arial" w:cs="Arial"/>
          <w:bCs/>
          <w:sz w:val="22"/>
          <w:szCs w:val="22"/>
          <w:lang w:val="es-MX" w:eastAsia="x-none"/>
        </w:rPr>
        <w:t>ii</w:t>
      </w:r>
      <w:proofErr w:type="spellEnd"/>
      <w:r w:rsidRPr="001A25D3">
        <w:rPr>
          <w:rFonts w:ascii="Arial" w:hAnsi="Arial" w:cs="Arial"/>
          <w:bCs/>
          <w:sz w:val="22"/>
          <w:szCs w:val="22"/>
          <w:lang w:val="es-MX" w:eastAsia="x-none"/>
        </w:rPr>
        <w:t xml:space="preserve">) los contratos de crédito público; </w:t>
      </w:r>
      <w:proofErr w:type="spellStart"/>
      <w:r w:rsidRPr="001A25D3">
        <w:rPr>
          <w:rFonts w:ascii="Arial" w:hAnsi="Arial" w:cs="Arial"/>
          <w:bCs/>
          <w:sz w:val="22"/>
          <w:szCs w:val="22"/>
          <w:lang w:val="es-MX" w:eastAsia="x-none"/>
        </w:rPr>
        <w:t>iii</w:t>
      </w:r>
      <w:proofErr w:type="spellEnd"/>
      <w:r w:rsidRPr="001A25D3">
        <w:rPr>
          <w:rFonts w:ascii="Arial" w:hAnsi="Arial" w:cs="Arial"/>
          <w:bCs/>
          <w:sz w:val="22"/>
          <w:szCs w:val="22"/>
          <w:lang w:val="es-MX" w:eastAsia="x-none"/>
        </w:rPr>
        <w:t xml:space="preserve">) los requeridos para cubrir las emergencias educativas, sanitarias y desastres; </w:t>
      </w:r>
      <w:proofErr w:type="spellStart"/>
      <w:r w:rsidRPr="001A25D3">
        <w:rPr>
          <w:rFonts w:ascii="Arial" w:hAnsi="Arial" w:cs="Arial"/>
          <w:bCs/>
          <w:sz w:val="22"/>
          <w:szCs w:val="22"/>
          <w:lang w:val="es-MX" w:eastAsia="x-none"/>
        </w:rPr>
        <w:t>iv</w:t>
      </w:r>
      <w:proofErr w:type="spellEnd"/>
      <w:r w:rsidRPr="001A25D3">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1A25D3">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3303848" w14:textId="698F8105" w:rsidR="001A25D3" w:rsidRPr="001A25D3" w:rsidRDefault="001A25D3" w:rsidP="001A25D3">
      <w:pPr>
        <w:spacing w:after="120" w:line="276" w:lineRule="auto"/>
        <w:ind w:firstLine="709"/>
        <w:jc w:val="both"/>
        <w:rPr>
          <w:rFonts w:ascii="Arial" w:hAnsi="Arial" w:cs="Arial"/>
          <w:bCs/>
          <w:sz w:val="22"/>
          <w:szCs w:val="22"/>
          <w:lang w:val="es-MX" w:eastAsia="x-none"/>
        </w:rPr>
      </w:pPr>
      <w:r w:rsidRPr="001A25D3">
        <w:rPr>
          <w:rFonts w:ascii="Arial" w:hAnsi="Arial" w:cs="Arial"/>
          <w:bCs/>
          <w:sz w:val="22"/>
          <w:szCs w:val="22"/>
          <w:lang w:val="es-MX" w:eastAsia="x-none"/>
        </w:rPr>
        <w:t>En esta labor es importante tener en cuenta, como lo anotó la Corte Constitucional, en Sentencia C-1153 de noviembre 11 de 2005</w:t>
      </w:r>
      <w:r w:rsidRPr="001A25D3">
        <w:rPr>
          <w:rFonts w:ascii="Calibri" w:eastAsia="Calibri" w:hAnsi="Calibri"/>
          <w:szCs w:val="22"/>
          <w:vertAlign w:val="superscript"/>
          <w:lang w:val="es-MX" w:eastAsia="en-US"/>
        </w:rPr>
        <w:t>,</w:t>
      </w:r>
      <w:r w:rsidRPr="001A25D3">
        <w:rPr>
          <w:rFonts w:ascii="Arial" w:hAnsi="Arial" w:cs="Arial"/>
          <w:bCs/>
          <w:sz w:val="22"/>
          <w:szCs w:val="22"/>
          <w:lang w:val="es-MX" w:eastAsia="x-none"/>
        </w:rPr>
        <w:t xml:space="preserve"> </w:t>
      </w:r>
      <w:bookmarkStart w:id="33" w:name="_Hlk74309042"/>
      <w:r w:rsidRPr="001A25D3">
        <w:rPr>
          <w:rFonts w:ascii="Arial" w:hAnsi="Arial" w:cs="Arial"/>
          <w:bCs/>
          <w:sz w:val="22"/>
          <w:szCs w:val="22"/>
          <w:lang w:val="es-MX" w:eastAsia="x-none"/>
        </w:rPr>
        <w:t>que «</w:t>
      </w:r>
      <w:bookmarkEnd w:id="33"/>
      <w:r w:rsidRPr="001A25D3">
        <w:rPr>
          <w:rFonts w:ascii="Arial" w:hAnsi="Arial" w:cs="Arial"/>
          <w:bCs/>
          <w:sz w:val="22"/>
          <w:szCs w:val="22"/>
          <w:lang w:val="es-MX" w:eastAsia="x-none"/>
        </w:rPr>
        <w:t xml:space="preserve">si bien la limitación garantiza la </w:t>
      </w:r>
      <w:r w:rsidRPr="001A25D3">
        <w:rPr>
          <w:rFonts w:ascii="Arial" w:hAnsi="Arial" w:cs="Arial"/>
          <w:bCs/>
          <w:sz w:val="22"/>
          <w:szCs w:val="22"/>
          <w:lang w:val="es-MX" w:eastAsia="x-none"/>
        </w:rPr>
        <w:lastRenderedPageBreak/>
        <w:t xml:space="preserve">igualdad de condiciones, también es necesario que tal limitación que pretende la igualdad </w:t>
      </w:r>
      <w:bookmarkStart w:id="34" w:name="_Hlk75768308"/>
      <w:r w:rsidRPr="001A25D3">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35" w:name="_Hlk74309060"/>
      <w:r w:rsidRPr="001A25D3">
        <w:rPr>
          <w:rFonts w:ascii="Arial" w:hAnsi="Arial" w:cs="Arial"/>
          <w:bCs/>
          <w:sz w:val="22"/>
          <w:szCs w:val="22"/>
          <w:lang w:val="es-MX" w:eastAsia="x-none"/>
        </w:rPr>
        <w:t>»</w:t>
      </w:r>
      <w:bookmarkEnd w:id="35"/>
      <w:r w:rsidRPr="001A25D3">
        <w:rPr>
          <w:rFonts w:ascii="Arial" w:eastAsia="Calibri" w:hAnsi="Arial" w:cs="Arial"/>
          <w:sz w:val="22"/>
          <w:szCs w:val="22"/>
          <w:vertAlign w:val="superscript"/>
          <w:lang w:val="es-MX" w:eastAsia="en-US"/>
        </w:rPr>
        <w:footnoteReference w:id="18"/>
      </w:r>
      <w:r>
        <w:rPr>
          <w:rFonts w:ascii="Arial" w:hAnsi="Arial" w:cs="Arial"/>
          <w:bCs/>
          <w:sz w:val="22"/>
          <w:szCs w:val="22"/>
          <w:lang w:val="es-MX" w:eastAsia="x-none"/>
        </w:rPr>
        <w:t>. De ahí que la Corte hizo énfasis</w:t>
      </w:r>
      <w:r w:rsidRPr="001A25D3">
        <w:rPr>
          <w:rFonts w:ascii="Arial" w:hAnsi="Arial" w:cs="Arial"/>
          <w:bCs/>
          <w:sz w:val="22"/>
          <w:szCs w:val="22"/>
          <w:lang w:val="es-MX" w:eastAsia="x-none"/>
        </w:rPr>
        <w:t xml:space="preserve"> en que las excepciones a la restricción</w:t>
      </w:r>
      <w:r w:rsidR="00951297">
        <w:rPr>
          <w:rFonts w:ascii="Arial" w:hAnsi="Arial" w:cs="Arial"/>
          <w:bCs/>
          <w:sz w:val="22"/>
          <w:szCs w:val="22"/>
          <w:lang w:val="es-MX" w:eastAsia="x-none"/>
        </w:rPr>
        <w:t>, establecidos en el inciso segundo del artículo 33,</w:t>
      </w:r>
      <w:r w:rsidRPr="001A25D3">
        <w:rPr>
          <w:rFonts w:ascii="Arial" w:hAnsi="Arial" w:cs="Arial"/>
          <w:bCs/>
          <w:sz w:val="22"/>
          <w:szCs w:val="22"/>
          <w:lang w:val="es-MX" w:eastAsia="x-none"/>
        </w:rPr>
        <w:t xml:space="preserve">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6" w:name="_Hlk75783800"/>
      <w:bookmarkEnd w:id="34"/>
    </w:p>
    <w:p w14:paraId="3BEBD64F" w14:textId="1DD178F0" w:rsidR="001A25D3" w:rsidRPr="001A25D3" w:rsidRDefault="001A25D3" w:rsidP="001A25D3">
      <w:pPr>
        <w:spacing w:line="276" w:lineRule="auto"/>
        <w:ind w:firstLine="708"/>
        <w:jc w:val="both"/>
        <w:rPr>
          <w:rFonts w:ascii="Arial" w:hAnsi="Arial" w:cs="Arial"/>
          <w:bCs/>
          <w:sz w:val="22"/>
          <w:szCs w:val="22"/>
          <w:lang w:val="es-MX" w:eastAsia="x-none"/>
        </w:rPr>
      </w:pPr>
      <w:r w:rsidRPr="001A25D3">
        <w:rPr>
          <w:rFonts w:ascii="Arial" w:hAnsi="Arial" w:cs="Arial"/>
          <w:bCs/>
          <w:sz w:val="22"/>
          <w:szCs w:val="22"/>
          <w:lang w:val="es-MX" w:eastAsia="x-none"/>
        </w:rPr>
        <w:t>De conformidad con lo expuesto, se concluye que durante los cuatro (4) meses anteriores a la ele</w:t>
      </w:r>
      <w:r>
        <w:rPr>
          <w:rFonts w:ascii="Arial" w:hAnsi="Arial" w:cs="Arial"/>
          <w:bCs/>
          <w:sz w:val="22"/>
          <w:szCs w:val="22"/>
          <w:lang w:val="es-MX" w:eastAsia="x-none"/>
        </w:rPr>
        <w:t>cción presidencial y hasta la</w:t>
      </w:r>
      <w:r w:rsidRPr="001A25D3">
        <w:rPr>
          <w:rFonts w:ascii="Arial" w:hAnsi="Arial" w:cs="Arial"/>
          <w:bCs/>
          <w:sz w:val="22"/>
          <w:szCs w:val="22"/>
          <w:lang w:val="es-MX" w:eastAsia="x-none"/>
        </w:rPr>
        <w:t xml:space="preserve"> realización de la elección en la segunda vuelta, queda prohibida la contratación directa por parte de todos los entes del </w:t>
      </w:r>
      <w:r w:rsidR="00951297">
        <w:rPr>
          <w:rFonts w:ascii="Arial" w:hAnsi="Arial" w:cs="Arial"/>
          <w:bCs/>
          <w:sz w:val="22"/>
          <w:szCs w:val="22"/>
          <w:lang w:val="es-MX" w:eastAsia="x-none"/>
        </w:rPr>
        <w:t>E</w:t>
      </w:r>
      <w:r w:rsidRPr="001A25D3">
        <w:rPr>
          <w:rFonts w:ascii="Arial" w:hAnsi="Arial" w:cs="Arial"/>
          <w:bCs/>
          <w:sz w:val="22"/>
          <w:szCs w:val="22"/>
          <w:lang w:val="es-MX" w:eastAsia="x-none"/>
        </w:rPr>
        <w:t>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249CE7DD" w14:textId="7F8225C5" w:rsidR="00CD71B3" w:rsidRPr="001A25D3" w:rsidRDefault="00CD71B3" w:rsidP="001A25D3">
      <w:pPr>
        <w:spacing w:line="276" w:lineRule="auto"/>
        <w:jc w:val="both"/>
        <w:rPr>
          <w:rFonts w:ascii="Arial" w:hAnsi="Arial" w:cs="Arial"/>
          <w:bCs/>
          <w:sz w:val="22"/>
          <w:szCs w:val="22"/>
          <w:lang w:val="es-MX" w:eastAsia="x-none"/>
        </w:rPr>
      </w:pPr>
    </w:p>
    <w:p w14:paraId="6D0F9C15" w14:textId="791F3FFA" w:rsidR="001A25D3" w:rsidRPr="00720382" w:rsidRDefault="00276A51" w:rsidP="001A25D3">
      <w:pPr>
        <w:spacing w:line="276" w:lineRule="auto"/>
        <w:jc w:val="both"/>
        <w:rPr>
          <w:rFonts w:ascii="Arial" w:hAnsi="Arial" w:cs="Arial"/>
          <w:b/>
          <w:sz w:val="22"/>
          <w:szCs w:val="22"/>
          <w:lang w:val="es-MX" w:eastAsia="x-none"/>
        </w:rPr>
      </w:pPr>
      <w:r w:rsidRPr="00720382">
        <w:rPr>
          <w:rFonts w:ascii="Arial" w:hAnsi="Arial" w:cs="Arial"/>
          <w:b/>
          <w:sz w:val="22"/>
          <w:szCs w:val="22"/>
          <w:lang w:val="es-MX" w:eastAsia="x-none"/>
        </w:rPr>
        <w:t>2.4</w:t>
      </w:r>
      <w:r w:rsidR="001A25D3" w:rsidRPr="00720382">
        <w:rPr>
          <w:rFonts w:ascii="Arial" w:hAnsi="Arial" w:cs="Arial"/>
          <w:b/>
          <w:sz w:val="22"/>
          <w:szCs w:val="22"/>
          <w:lang w:val="es-MX" w:eastAsia="x-none"/>
        </w:rPr>
        <w:t>.  Destinatarios de la restricción del artículo 33 de la Ley 996 de 2005</w:t>
      </w:r>
      <w:r w:rsidR="00B454F1" w:rsidRPr="00720382">
        <w:rPr>
          <w:rFonts w:ascii="Arial" w:hAnsi="Arial" w:cs="Arial"/>
          <w:b/>
          <w:sz w:val="22"/>
          <w:szCs w:val="22"/>
          <w:lang w:val="es-MX" w:eastAsia="x-none"/>
        </w:rPr>
        <w:t>. Su incidencia en los negocios fiduciarios</w:t>
      </w:r>
    </w:p>
    <w:p w14:paraId="0AE3C998" w14:textId="77777777" w:rsidR="001A25D3" w:rsidRPr="00720382" w:rsidRDefault="001A25D3" w:rsidP="001A25D3">
      <w:pPr>
        <w:spacing w:line="276" w:lineRule="auto"/>
        <w:jc w:val="both"/>
        <w:rPr>
          <w:rFonts w:ascii="Arial" w:hAnsi="Arial" w:cs="Arial"/>
          <w:bCs/>
          <w:sz w:val="22"/>
          <w:szCs w:val="22"/>
          <w:lang w:val="es-MX" w:eastAsia="x-none"/>
        </w:rPr>
      </w:pPr>
    </w:p>
    <w:p w14:paraId="5FB9785A" w14:textId="746FFB62" w:rsidR="001A25D3" w:rsidRPr="00720382" w:rsidRDefault="001A25D3" w:rsidP="001A25D3">
      <w:pPr>
        <w:spacing w:line="276" w:lineRule="auto"/>
        <w:jc w:val="both"/>
        <w:rPr>
          <w:rFonts w:ascii="Arial" w:hAnsi="Arial" w:cs="Arial"/>
          <w:bCs/>
          <w:sz w:val="22"/>
          <w:szCs w:val="22"/>
          <w:lang w:val="es-MX" w:eastAsia="x-none"/>
        </w:rPr>
      </w:pPr>
      <w:r w:rsidRPr="00720382">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20382">
        <w:rPr>
          <w:rFonts w:ascii="Calibri" w:eastAsia="Calibri" w:hAnsi="Calibri"/>
          <w:szCs w:val="22"/>
          <w:lang w:val="es-MX" w:eastAsia="en-US"/>
        </w:rPr>
        <w:t xml:space="preserve"> </w:t>
      </w:r>
      <w:r w:rsidRPr="00720382">
        <w:rPr>
          <w:rFonts w:ascii="Arial" w:hAnsi="Arial" w:cs="Arial"/>
          <w:bCs/>
          <w:sz w:val="22"/>
          <w:szCs w:val="22"/>
          <w:lang w:val="es-MX" w:eastAsia="x-none"/>
        </w:rPr>
        <w:t xml:space="preserve">En efecto, tal como lo ha sostenido el Consejo de Estado, el vocablo </w:t>
      </w:r>
      <w:bookmarkStart w:id="37" w:name="_Hlk75632581"/>
      <w:r w:rsidRPr="00720382">
        <w:rPr>
          <w:rFonts w:ascii="Arial" w:hAnsi="Arial" w:cs="Arial"/>
          <w:bCs/>
          <w:sz w:val="22"/>
          <w:szCs w:val="22"/>
          <w:lang w:val="es-MX" w:eastAsia="x-none"/>
        </w:rPr>
        <w:t>«</w:t>
      </w:r>
      <w:bookmarkEnd w:id="37"/>
      <w:r w:rsidRPr="00720382">
        <w:rPr>
          <w:rFonts w:ascii="Arial" w:hAnsi="Arial" w:cs="Arial"/>
          <w:bCs/>
          <w:sz w:val="22"/>
          <w:szCs w:val="22"/>
          <w:lang w:val="es-MX" w:eastAsia="x-none"/>
        </w:rPr>
        <w:t>todos» utilizado por el legislador comprende</w:t>
      </w:r>
      <w:r w:rsidRPr="00720382">
        <w:rPr>
          <w:rFonts w:ascii="Calibri" w:eastAsia="Calibri" w:hAnsi="Calibri"/>
          <w:szCs w:val="22"/>
          <w:lang w:val="es-MX" w:eastAsia="en-US"/>
        </w:rPr>
        <w:t xml:space="preserve"> </w:t>
      </w:r>
      <w:r w:rsidRPr="00720382">
        <w:rPr>
          <w:rFonts w:ascii="Arial" w:hAnsi="Arial" w:cs="Arial"/>
          <w:bCs/>
          <w:sz w:val="22"/>
          <w:szCs w:val="22"/>
          <w:lang w:val="es-MX" w:eastAsia="x-none"/>
        </w:rPr>
        <w:t>a la totalidad de los entes del Estado, sin distinción del régimen j</w:t>
      </w:r>
      <w:r w:rsidR="000A0A18" w:rsidRPr="00720382">
        <w:rPr>
          <w:rFonts w:ascii="Arial" w:hAnsi="Arial" w:cs="Arial"/>
          <w:bCs/>
          <w:sz w:val="22"/>
          <w:szCs w:val="22"/>
          <w:lang w:val="es-MX" w:eastAsia="x-none"/>
        </w:rPr>
        <w:t>urídico, forma de organización</w:t>
      </w:r>
      <w:r w:rsidRPr="00720382">
        <w:rPr>
          <w:rFonts w:ascii="Arial" w:hAnsi="Arial" w:cs="Arial"/>
          <w:bCs/>
          <w:sz w:val="22"/>
          <w:szCs w:val="22"/>
          <w:lang w:val="es-MX" w:eastAsia="x-none"/>
        </w:rPr>
        <w:t>, su pertenencia a una u otra rama del poder público o su autonomía</w:t>
      </w:r>
      <w:bookmarkEnd w:id="36"/>
      <w:r w:rsidRPr="00720382">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w:t>
      </w:r>
    </w:p>
    <w:p w14:paraId="694AEE02" w14:textId="77777777" w:rsidR="001A25D3" w:rsidRPr="00720382" w:rsidRDefault="001A25D3" w:rsidP="001A25D3">
      <w:pPr>
        <w:spacing w:line="276" w:lineRule="auto"/>
        <w:ind w:firstLine="708"/>
        <w:jc w:val="both"/>
        <w:rPr>
          <w:rFonts w:ascii="Arial" w:hAnsi="Arial" w:cs="Arial"/>
          <w:bCs/>
          <w:sz w:val="22"/>
          <w:szCs w:val="22"/>
          <w:lang w:val="es-MX" w:eastAsia="x-none"/>
        </w:rPr>
      </w:pPr>
    </w:p>
    <w:p w14:paraId="7A99B058" w14:textId="7CFE2177" w:rsidR="001A25D3" w:rsidRPr="00720382" w:rsidRDefault="001A25D3" w:rsidP="001A25D3">
      <w:pPr>
        <w:ind w:left="708" w:right="709"/>
        <w:jc w:val="both"/>
        <w:rPr>
          <w:rFonts w:ascii="Arial" w:hAnsi="Arial" w:cs="Arial"/>
          <w:bCs/>
          <w:sz w:val="21"/>
          <w:szCs w:val="21"/>
          <w:lang w:val="es-MX" w:eastAsia="es-CO"/>
        </w:rPr>
      </w:pPr>
      <w:r w:rsidRPr="00720382">
        <w:rPr>
          <w:rFonts w:ascii="Arial" w:hAnsi="Arial" w:cs="Arial"/>
          <w:bCs/>
          <w:sz w:val="21"/>
          <w:szCs w:val="21"/>
          <w:lang w:val="es-MX" w:eastAsia="x-none"/>
        </w:rPr>
        <w:t xml:space="preserve">El artículo 33 de la ley 996 de 2005, </w:t>
      </w:r>
      <w:bookmarkStart w:id="38" w:name="_Hlk75787147"/>
      <w:r w:rsidRPr="00720382">
        <w:rPr>
          <w:rFonts w:ascii="Arial" w:hAnsi="Arial" w:cs="Arial"/>
          <w:bCs/>
          <w:sz w:val="21"/>
          <w:szCs w:val="21"/>
          <w:lang w:val="es-MX" w:eastAsia="x-none"/>
        </w:rPr>
        <w:t xml:space="preserve">efectivamente se aplica </w:t>
      </w:r>
      <w:bookmarkStart w:id="39" w:name="_Hlk76074089"/>
      <w:r w:rsidRPr="00720382">
        <w:rPr>
          <w:rFonts w:ascii="Arial" w:hAnsi="Arial" w:cs="Arial"/>
          <w:bCs/>
          <w:sz w:val="21"/>
          <w:szCs w:val="21"/>
          <w:lang w:val="es-MX" w:eastAsia="x-none"/>
        </w:rPr>
        <w:t xml:space="preserve">incluso a las entidades estatales con régimen especial de contratación y </w:t>
      </w:r>
      <w:r w:rsidRPr="00720382">
        <w:rPr>
          <w:rFonts w:ascii="Arial" w:hAnsi="Arial" w:cs="Arial"/>
          <w:bCs/>
          <w:i/>
          <w:sz w:val="21"/>
          <w:szCs w:val="21"/>
          <w:lang w:val="es-MX" w:eastAsia="x-none"/>
        </w:rPr>
        <w:t>que están exceptuadas del ámbito de aplicación del Estatuto General de Contratación de la Administración Pública</w:t>
      </w:r>
      <w:bookmarkEnd w:id="39"/>
      <w:r w:rsidRPr="00720382">
        <w:rPr>
          <w:rFonts w:ascii="Arial" w:hAnsi="Arial" w:cs="Arial"/>
          <w:bCs/>
          <w:i/>
          <w:sz w:val="21"/>
          <w:szCs w:val="21"/>
          <w:lang w:val="es-MX" w:eastAsia="x-none"/>
        </w:rPr>
        <w:t>, como por ejemplo los prestadores de servicios públicos domiciliarios (empresas de servicios públicos oficiales y empresas industriales y comerciales del Estado)</w:t>
      </w:r>
      <w:r w:rsidRPr="00720382">
        <w:rPr>
          <w:rFonts w:ascii="Arial" w:hAnsi="Arial" w:cs="Arial"/>
          <w:bCs/>
          <w:sz w:val="21"/>
          <w:szCs w:val="21"/>
          <w:lang w:val="es-MX" w:eastAsia="x-none"/>
        </w:rPr>
        <w:t xml:space="preserve"> y a los municipios prestadores directos, </w:t>
      </w:r>
      <w:r w:rsidRPr="00720382">
        <w:rPr>
          <w:rFonts w:ascii="Arial" w:hAnsi="Arial" w:cs="Arial"/>
          <w:bCs/>
          <w:sz w:val="21"/>
          <w:szCs w:val="21"/>
          <w:lang w:val="es-MX" w:eastAsia="x-none"/>
        </w:rPr>
        <w:lastRenderedPageBreak/>
        <w:t>incluyendo las excepciones contenidas en el segundo inciso de esta norma</w:t>
      </w:r>
      <w:r w:rsidRPr="00720382">
        <w:rPr>
          <w:rFonts w:ascii="Arial" w:hAnsi="Arial" w:cs="Arial"/>
          <w:bCs/>
          <w:sz w:val="21"/>
          <w:szCs w:val="21"/>
          <w:vertAlign w:val="superscript"/>
          <w:lang w:val="es-MX" w:eastAsia="x-none"/>
        </w:rPr>
        <w:footnoteReference w:id="19"/>
      </w:r>
      <w:r w:rsidRPr="00720382">
        <w:rPr>
          <w:rFonts w:ascii="Arial" w:hAnsi="Arial" w:cs="Arial"/>
          <w:bCs/>
          <w:sz w:val="21"/>
          <w:szCs w:val="21"/>
          <w:lang w:val="es-MX" w:eastAsia="x-none"/>
        </w:rPr>
        <w:t xml:space="preserve"> (énfasis fuera de texto). </w:t>
      </w:r>
    </w:p>
    <w:p w14:paraId="750F1634" w14:textId="77777777" w:rsidR="001A25D3" w:rsidRPr="00720382" w:rsidRDefault="001A25D3" w:rsidP="001A25D3">
      <w:pPr>
        <w:spacing w:line="276" w:lineRule="auto"/>
        <w:ind w:firstLine="708"/>
        <w:jc w:val="both"/>
        <w:rPr>
          <w:rFonts w:ascii="Arial" w:hAnsi="Arial" w:cs="Arial"/>
          <w:bCs/>
          <w:sz w:val="22"/>
          <w:szCs w:val="22"/>
          <w:lang w:val="es-MX" w:eastAsia="es-CO"/>
        </w:rPr>
      </w:pPr>
    </w:p>
    <w:p w14:paraId="5ED3BB01" w14:textId="77777777" w:rsidR="001A25D3" w:rsidRPr="00720382" w:rsidRDefault="001A25D3" w:rsidP="001A25D3">
      <w:pPr>
        <w:spacing w:line="276" w:lineRule="auto"/>
        <w:ind w:firstLine="708"/>
        <w:jc w:val="both"/>
        <w:rPr>
          <w:rFonts w:ascii="Arial" w:eastAsia="Calibri" w:hAnsi="Arial" w:cs="Arial"/>
          <w:sz w:val="22"/>
          <w:szCs w:val="22"/>
          <w:lang w:val="es-MX" w:eastAsia="en-US"/>
        </w:rPr>
      </w:pPr>
      <w:r w:rsidRPr="00720382">
        <w:rPr>
          <w:rFonts w:ascii="Arial" w:hAnsi="Arial" w:cs="Arial"/>
          <w:bCs/>
          <w:sz w:val="22"/>
          <w:szCs w:val="22"/>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0" w:name="_Hlk75635823"/>
      <w:r w:rsidRPr="00720382">
        <w:rPr>
          <w:rFonts w:ascii="Arial" w:hAnsi="Arial" w:cs="Arial"/>
          <w:bCs/>
          <w:sz w:val="22"/>
          <w:szCs w:val="22"/>
          <w:lang w:val="es-MX" w:eastAsia="x-none"/>
        </w:rPr>
        <w:t>»</w:t>
      </w:r>
      <w:bookmarkStart w:id="41" w:name="_Hlk75741220"/>
      <w:bookmarkStart w:id="42" w:name="_Hlk75758868"/>
      <w:bookmarkEnd w:id="40"/>
      <w:r w:rsidRPr="00720382">
        <w:rPr>
          <w:rFonts w:ascii="Arial" w:eastAsia="Calibri" w:hAnsi="Arial" w:cs="Arial"/>
          <w:szCs w:val="22"/>
          <w:vertAlign w:val="superscript"/>
          <w:lang w:val="es-MX" w:eastAsia="en-US"/>
        </w:rPr>
        <w:footnoteReference w:id="20"/>
      </w:r>
      <w:bookmarkEnd w:id="41"/>
      <w:bookmarkEnd w:id="42"/>
      <w:r w:rsidRPr="00720382">
        <w:rPr>
          <w:rFonts w:ascii="Arial" w:hAnsi="Arial" w:cs="Arial"/>
          <w:bCs/>
          <w:sz w:val="22"/>
          <w:szCs w:val="22"/>
          <w:lang w:val="es-MX" w:eastAsia="x-none"/>
        </w:rPr>
        <w:t>.</w:t>
      </w:r>
      <w:r w:rsidRPr="00720382">
        <w:rPr>
          <w:rFonts w:ascii="Arial" w:eastAsia="Calibri" w:hAnsi="Arial" w:cs="Arial"/>
          <w:sz w:val="22"/>
          <w:szCs w:val="22"/>
          <w:lang w:val="es-MX" w:eastAsia="en-US"/>
        </w:rPr>
        <w:t xml:space="preserve"> Sin embargo, debe precisarse el siguiente aspecto que distinguió la Sala de Consulta y Servicio Civil:</w:t>
      </w:r>
    </w:p>
    <w:p w14:paraId="7BBA07C7" w14:textId="77777777" w:rsidR="001A25D3" w:rsidRPr="00720382" w:rsidRDefault="001A25D3" w:rsidP="001A25D3">
      <w:pPr>
        <w:spacing w:line="276" w:lineRule="auto"/>
        <w:jc w:val="both"/>
        <w:rPr>
          <w:rFonts w:ascii="Arial" w:eastAsia="Calibri" w:hAnsi="Arial" w:cs="Arial"/>
          <w:sz w:val="22"/>
          <w:szCs w:val="22"/>
          <w:lang w:val="es-MX" w:eastAsia="en-US"/>
        </w:rPr>
      </w:pPr>
    </w:p>
    <w:p w14:paraId="2AC94525" w14:textId="77777777" w:rsidR="001A25D3" w:rsidRPr="00720382" w:rsidRDefault="001A25D3" w:rsidP="001A25D3">
      <w:pPr>
        <w:ind w:left="708" w:right="709"/>
        <w:jc w:val="both"/>
        <w:rPr>
          <w:rFonts w:ascii="Arial" w:eastAsia="Calibri" w:hAnsi="Arial" w:cs="Arial"/>
          <w:sz w:val="21"/>
          <w:szCs w:val="21"/>
          <w:lang w:val="es-MX" w:eastAsia="en-US"/>
        </w:rPr>
      </w:pPr>
      <w:bookmarkStart w:id="44" w:name="_Hlk75811446"/>
      <w:r w:rsidRPr="00720382">
        <w:rPr>
          <w:rFonts w:ascii="Arial" w:eastAsia="Calibr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4"/>
      <w:r w:rsidRPr="00720382">
        <w:rPr>
          <w:rFonts w:ascii="Arial" w:eastAsia="Calibri" w:hAnsi="Arial" w:cs="Arial"/>
          <w:szCs w:val="22"/>
          <w:vertAlign w:val="superscript"/>
          <w:lang w:val="es-MX" w:eastAsia="en-US"/>
        </w:rPr>
        <w:footnoteReference w:id="21"/>
      </w:r>
      <w:r w:rsidRPr="00720382">
        <w:rPr>
          <w:rFonts w:ascii="Arial" w:hAnsi="Arial" w:cs="Arial"/>
          <w:bCs/>
          <w:sz w:val="22"/>
          <w:szCs w:val="22"/>
          <w:lang w:val="es-MX" w:eastAsia="x-none"/>
        </w:rPr>
        <w:t>.</w:t>
      </w:r>
    </w:p>
    <w:p w14:paraId="066E6CFE" w14:textId="77777777" w:rsidR="001A25D3" w:rsidRPr="00720382" w:rsidRDefault="001A25D3" w:rsidP="001A25D3">
      <w:pPr>
        <w:spacing w:line="276" w:lineRule="auto"/>
        <w:jc w:val="both"/>
        <w:rPr>
          <w:rFonts w:ascii="Arial" w:eastAsia="Calibri" w:hAnsi="Arial" w:cs="Arial"/>
          <w:sz w:val="22"/>
          <w:szCs w:val="22"/>
          <w:lang w:val="es-MX" w:eastAsia="en-US"/>
        </w:rPr>
      </w:pPr>
    </w:p>
    <w:p w14:paraId="555809DD" w14:textId="6C7213DD" w:rsidR="001A25D3" w:rsidRPr="00720382" w:rsidRDefault="001A25D3" w:rsidP="001A25D3">
      <w:pPr>
        <w:spacing w:after="120" w:line="276" w:lineRule="auto"/>
        <w:ind w:firstLine="709"/>
        <w:jc w:val="both"/>
        <w:rPr>
          <w:rFonts w:ascii="Arial" w:eastAsia="Calibri" w:hAnsi="Arial" w:cs="Arial"/>
          <w:sz w:val="22"/>
          <w:szCs w:val="22"/>
          <w:lang w:val="es-MX" w:eastAsia="en-US"/>
        </w:rPr>
      </w:pPr>
      <w:r w:rsidRPr="00720382">
        <w:rPr>
          <w:rFonts w:ascii="Arial" w:eastAsia="Calibri" w:hAnsi="Arial" w:cs="Arial"/>
          <w:sz w:val="22"/>
          <w:szCs w:val="22"/>
          <w:lang w:val="es-MX" w:eastAsia="en-US"/>
        </w:rPr>
        <w:t>Aplicando este razonamiento,</w:t>
      </w:r>
      <w:bookmarkStart w:id="45" w:name="_Hlk75811096"/>
      <w:r w:rsidR="00276A51" w:rsidRPr="00720382">
        <w:rPr>
          <w:rFonts w:ascii="Arial" w:eastAsia="Calibri" w:hAnsi="Arial" w:cs="Arial"/>
          <w:sz w:val="22"/>
          <w:szCs w:val="22"/>
          <w:lang w:val="es-MX" w:eastAsia="en-US"/>
        </w:rPr>
        <w:t xml:space="preserve"> se tiene que </w:t>
      </w:r>
      <w:r w:rsidRPr="00720382">
        <w:rPr>
          <w:rFonts w:ascii="Arial" w:eastAsia="Calibri" w:hAnsi="Arial" w:cs="Arial"/>
          <w:sz w:val="22"/>
          <w:szCs w:val="22"/>
          <w:lang w:val="es-MX" w:eastAsia="en-US"/>
        </w:rPr>
        <w:t>las empresas de servicios públicos oficiales y mixtas</w:t>
      </w:r>
      <w:r w:rsidR="00276A51" w:rsidRPr="00720382">
        <w:rPr>
          <w:rFonts w:ascii="Arial" w:eastAsia="Calibri" w:hAnsi="Arial" w:cs="Arial"/>
          <w:sz w:val="22"/>
          <w:szCs w:val="22"/>
          <w:lang w:val="es-MX" w:eastAsia="en-US"/>
        </w:rPr>
        <w:t xml:space="preserve"> y demás entidades del Estado</w:t>
      </w:r>
      <w:r w:rsidRPr="00720382">
        <w:rPr>
          <w:rFonts w:ascii="Arial" w:eastAsia="Calibri" w:hAnsi="Arial" w:cs="Arial"/>
          <w:sz w:val="22"/>
          <w:szCs w:val="22"/>
          <w:lang w:val="es-MX" w:eastAsia="en-US"/>
        </w:rPr>
        <w:t xml:space="preserve"> no pueden adquirir los suministros de bienes y servicios necesarios para la realización de su actividad por contratación directa</w:t>
      </w:r>
      <w:r w:rsidR="00276A51" w:rsidRPr="00720382">
        <w:rPr>
          <w:rFonts w:ascii="Arial" w:eastAsia="Calibri" w:hAnsi="Arial" w:cs="Arial"/>
          <w:sz w:val="22"/>
          <w:szCs w:val="22"/>
          <w:lang w:val="es-MX" w:eastAsia="en-US"/>
        </w:rPr>
        <w:t>,</w:t>
      </w:r>
      <w:r w:rsidRPr="00720382">
        <w:rPr>
          <w:rFonts w:ascii="Arial" w:eastAsia="Calibri" w:hAnsi="Arial" w:cs="Arial"/>
          <w:sz w:val="22"/>
          <w:szCs w:val="22"/>
          <w:lang w:val="es-MX" w:eastAsia="en-US"/>
        </w:rPr>
        <w:t xml:space="preserve"> sino por mecanismos competitivos que impliquen convocatoria pública y la posibilidad de pluralidad de oferentes, pero, «es obvio que si una de estas entidades va a prestar un </w:t>
      </w:r>
      <w:r w:rsidRPr="00720382">
        <w:rPr>
          <w:rFonts w:ascii="Arial" w:eastAsia="Calibri" w:hAnsi="Arial" w:cs="Arial"/>
          <w:sz w:val="22"/>
          <w:szCs w:val="22"/>
          <w:lang w:val="es-MX" w:eastAsia="en-US"/>
        </w:rPr>
        <w:lastRenderedPageBreak/>
        <w:t>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5"/>
      <w:r w:rsidRPr="00720382">
        <w:rPr>
          <w:rFonts w:ascii="Arial" w:eastAsia="Calibri" w:hAnsi="Arial" w:cs="Arial"/>
          <w:sz w:val="22"/>
          <w:szCs w:val="22"/>
          <w:lang w:val="es-MX" w:eastAsia="en-US"/>
        </w:rPr>
        <w:t>»</w:t>
      </w:r>
      <w:r w:rsidRPr="00720382">
        <w:rPr>
          <w:rFonts w:ascii="Arial" w:eastAsia="Calibri" w:hAnsi="Arial" w:cs="Arial"/>
          <w:szCs w:val="22"/>
          <w:vertAlign w:val="superscript"/>
          <w:lang w:val="es-MX" w:eastAsia="en-US"/>
        </w:rPr>
        <w:t xml:space="preserve"> </w:t>
      </w:r>
      <w:r w:rsidRPr="00720382">
        <w:rPr>
          <w:rFonts w:ascii="Arial" w:eastAsia="Calibri" w:hAnsi="Arial" w:cs="Arial"/>
          <w:sz w:val="22"/>
          <w:szCs w:val="22"/>
          <w:vertAlign w:val="superscript"/>
          <w:lang w:val="es-MX" w:eastAsia="en-US"/>
        </w:rPr>
        <w:footnoteReference w:id="22"/>
      </w:r>
      <w:r w:rsidRPr="00720382">
        <w:rPr>
          <w:rFonts w:ascii="Arial" w:eastAsia="Calibri" w:hAnsi="Arial" w:cs="Arial"/>
          <w:sz w:val="22"/>
          <w:szCs w:val="22"/>
          <w:lang w:val="es-MX" w:eastAsia="en-US"/>
        </w:rPr>
        <w:t>.</w:t>
      </w:r>
    </w:p>
    <w:p w14:paraId="4E35C252" w14:textId="08194AC2" w:rsidR="00F325CA" w:rsidRPr="00720382" w:rsidRDefault="00F325CA" w:rsidP="00F325CA">
      <w:pPr>
        <w:spacing w:after="120" w:line="276" w:lineRule="auto"/>
        <w:ind w:firstLine="709"/>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Ahora bien, </w:t>
      </w:r>
      <w:r w:rsidR="00951297" w:rsidRPr="00720382">
        <w:rPr>
          <w:rFonts w:ascii="Arial" w:eastAsiaTheme="minorHAnsi" w:hAnsi="Arial" w:cs="Arial"/>
          <w:sz w:val="22"/>
          <w:szCs w:val="22"/>
          <w:lang w:val="es-MX" w:eastAsia="en-US"/>
        </w:rPr>
        <w:t>teniendo en cuenta las preguntas realizadas por el peticionario, resulta importante analizar la aplicación de las restricciones en relación con los contratos celebrados por patrimonios autónomos constituidos por entidades estatales, con la finalidad de determinar el alcance de las restricciones que se están analizando</w:t>
      </w:r>
      <w:r w:rsidR="00951297" w:rsidRPr="00720382">
        <w:rPr>
          <w:rStyle w:val="Refdenotaalpie"/>
          <w:rFonts w:ascii="Arial" w:eastAsiaTheme="minorHAnsi" w:hAnsi="Arial" w:cs="Arial"/>
          <w:sz w:val="22"/>
          <w:szCs w:val="22"/>
          <w:lang w:val="es-MX" w:eastAsia="en-US"/>
        </w:rPr>
        <w:footnoteReference w:id="23"/>
      </w:r>
      <w:r w:rsidR="00951297" w:rsidRPr="00720382">
        <w:rPr>
          <w:rFonts w:ascii="Arial" w:eastAsiaTheme="minorHAnsi" w:hAnsi="Arial" w:cs="Arial"/>
          <w:sz w:val="22"/>
          <w:szCs w:val="22"/>
          <w:lang w:val="es-MX" w:eastAsia="en-US"/>
        </w:rPr>
        <w:t xml:space="preserve">. De esta manera, </w:t>
      </w:r>
      <w:r w:rsidRPr="00720382">
        <w:rPr>
          <w:rFonts w:ascii="Arial" w:eastAsiaTheme="minorHAnsi" w:hAnsi="Arial" w:cs="Arial"/>
          <w:sz w:val="22"/>
          <w:szCs w:val="22"/>
          <w:lang w:val="es-MX" w:eastAsia="en-US"/>
        </w:rPr>
        <w:t xml:space="preserve">respecto a los patrimonios autónomos constituidos por entidades estatales, es necesario tener en cuenta que la naturaleza jurídica del fideicomitente no se traslada </w:t>
      </w:r>
      <w:r w:rsidRPr="00720382">
        <w:rPr>
          <w:rFonts w:ascii="Arial" w:eastAsiaTheme="minorHAnsi" w:hAnsi="Arial" w:cs="Arial"/>
          <w:i/>
          <w:iCs/>
          <w:sz w:val="22"/>
          <w:szCs w:val="22"/>
          <w:lang w:val="es-MX" w:eastAsia="en-US"/>
        </w:rPr>
        <w:t>ipso iure</w:t>
      </w:r>
      <w:r w:rsidRPr="00720382">
        <w:rPr>
          <w:rFonts w:ascii="Arial" w:eastAsiaTheme="minorHAnsi" w:hAnsi="Arial" w:cs="Arial"/>
          <w:sz w:val="22"/>
          <w:szCs w:val="22"/>
          <w:lang w:val="es-MX" w:eastAsia="en-US"/>
        </w:rPr>
        <w:t xml:space="preserve"> a lo</w:t>
      </w:r>
      <w:r w:rsidR="00194CF5" w:rsidRPr="00720382">
        <w:rPr>
          <w:rFonts w:ascii="Arial" w:eastAsiaTheme="minorHAnsi" w:hAnsi="Arial" w:cs="Arial"/>
          <w:sz w:val="22"/>
          <w:szCs w:val="22"/>
          <w:lang w:val="es-MX" w:eastAsia="en-US"/>
        </w:rPr>
        <w:t>s</w:t>
      </w:r>
      <w:r w:rsidRPr="00720382">
        <w:rPr>
          <w:rFonts w:ascii="Arial" w:eastAsiaTheme="minorHAnsi" w:hAnsi="Arial" w:cs="Arial"/>
          <w:sz w:val="22"/>
          <w:szCs w:val="22"/>
          <w:lang w:val="es-MX" w:eastAsia="en-US"/>
        </w:rPr>
        <w:t xml:space="preserve"> bienes fideicomitidos que administra la sociedad fiduciaria. Por ello, el inciso primero del artículo 2.5.2.1.1 del Decreto 2555 de 2010 dispone que «[…] aun cuando no son personas jurídicas, se constituyen en receptores de los derechos y obligaciones legales y convencionalmente derivados de los actos y contratos celebrados y ejecutados por el fiduciario en cumplimiento del contrato de fiducia».</w:t>
      </w:r>
    </w:p>
    <w:p w14:paraId="7F6CB381" w14:textId="1C0E13C5" w:rsidR="00F325CA" w:rsidRPr="00720382" w:rsidRDefault="00F325CA" w:rsidP="00F325CA">
      <w:pPr>
        <w:spacing w:line="276" w:lineRule="auto"/>
        <w:ind w:firstLine="709"/>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En esta medida, conforme a los artículos 1226 y 1233 del Código de Comercio, el patrimonio autónomo es un centro de imputación de derechos y obligaciones </w:t>
      </w:r>
      <w:r w:rsidR="00027928" w:rsidRPr="00720382">
        <w:rPr>
          <w:rFonts w:ascii="Arial" w:eastAsiaTheme="minorHAnsi" w:hAnsi="Arial" w:cs="Arial"/>
          <w:sz w:val="22"/>
          <w:szCs w:val="22"/>
          <w:lang w:val="es-MX" w:eastAsia="en-US"/>
        </w:rPr>
        <w:t xml:space="preserve">vinculado </w:t>
      </w:r>
      <w:r w:rsidRPr="00720382">
        <w:rPr>
          <w:rFonts w:ascii="Arial" w:eastAsiaTheme="minorHAnsi" w:hAnsi="Arial" w:cs="Arial"/>
          <w:sz w:val="22"/>
          <w:szCs w:val="22"/>
          <w:lang w:val="es-MX" w:eastAsia="en-US"/>
        </w:rPr>
        <w:t>a la finalidad contemplada en el acto constitutivo</w:t>
      </w:r>
      <w:r w:rsidR="00027928" w:rsidRPr="00720382">
        <w:rPr>
          <w:rFonts w:ascii="Arial" w:eastAsiaTheme="minorHAnsi" w:hAnsi="Arial" w:cs="Arial"/>
          <w:sz w:val="22"/>
          <w:szCs w:val="22"/>
          <w:lang w:val="es-MX" w:eastAsia="en-US"/>
        </w:rPr>
        <w:t>, de carácter temporal y</w:t>
      </w:r>
      <w:r w:rsidRPr="00720382">
        <w:rPr>
          <w:rFonts w:ascii="Arial" w:eastAsiaTheme="minorHAnsi" w:hAnsi="Arial" w:cs="Arial"/>
          <w:sz w:val="22"/>
          <w:szCs w:val="22"/>
          <w:lang w:val="es-MX" w:eastAsia="en-US"/>
        </w:rPr>
        <w:t xml:space="preserve"> diferente a la persona que lo origina –fiduciante, fideicomitente o constituyente–, quien lo administra –fiduciario– y quien habrá de recibirlo –fideicomisario o beneficiario–. Al respecto, la Superintendencia Financiera considera que:</w:t>
      </w:r>
    </w:p>
    <w:p w14:paraId="082F5567" w14:textId="77777777" w:rsidR="00F325CA" w:rsidRPr="00720382" w:rsidRDefault="00F325CA" w:rsidP="00F325CA">
      <w:pPr>
        <w:spacing w:line="276" w:lineRule="auto"/>
        <w:ind w:firstLine="709"/>
        <w:jc w:val="both"/>
        <w:rPr>
          <w:rFonts w:ascii="Arial" w:eastAsiaTheme="minorHAnsi" w:hAnsi="Arial" w:cs="Arial"/>
          <w:sz w:val="22"/>
          <w:szCs w:val="22"/>
          <w:lang w:val="es-MX" w:eastAsia="en-US"/>
        </w:rPr>
      </w:pPr>
    </w:p>
    <w:p w14:paraId="1AEBF583" w14:textId="77777777" w:rsidR="00F325CA" w:rsidRPr="00720382" w:rsidRDefault="00F325CA" w:rsidP="00F325CA">
      <w:pPr>
        <w:spacing w:after="120"/>
        <w:ind w:left="709" w:right="709"/>
        <w:jc w:val="both"/>
        <w:rPr>
          <w:rFonts w:ascii="Arial" w:eastAsiaTheme="minorHAnsi" w:hAnsi="Arial" w:cs="Arial"/>
          <w:sz w:val="21"/>
          <w:szCs w:val="21"/>
          <w:lang w:val="es-MX" w:eastAsia="en-US"/>
        </w:rPr>
      </w:pPr>
      <w:r w:rsidRPr="00720382">
        <w:rPr>
          <w:rFonts w:ascii="Arial" w:eastAsiaTheme="minorHAnsi" w:hAnsi="Arial" w:cs="Arial"/>
          <w:sz w:val="21"/>
          <w:szCs w:val="21"/>
          <w:lang w:val="es-MX" w:eastAsia="en-US"/>
        </w:rPr>
        <w:t xml:space="preserve">[…] el negocio fiduciario […] supone una transferencia de bienes por parte de un constituyente para que con ellos se cumpla una finalidad. Ese conjunto de bienes transferidos a una fiduciaria es lo que conforma o se denomina patrimonio autónomo. Dichos bienes salen real y jurídicamente del patrimonio del fideicomitente (titular del dominio) y están afectos al cumplimiento de las finalidades señaladas en el acto constitutivo. (artículos 1226 a 1244 del C. Co). </w:t>
      </w:r>
    </w:p>
    <w:p w14:paraId="693652B1" w14:textId="77777777" w:rsidR="00F325CA" w:rsidRPr="00720382" w:rsidRDefault="00F325CA" w:rsidP="00F325CA">
      <w:pPr>
        <w:ind w:left="709" w:right="709"/>
        <w:jc w:val="both"/>
        <w:rPr>
          <w:rFonts w:ascii="Arial" w:eastAsiaTheme="minorHAnsi" w:hAnsi="Arial" w:cs="Arial"/>
          <w:sz w:val="21"/>
          <w:szCs w:val="21"/>
          <w:lang w:val="es-MX" w:eastAsia="en-US"/>
        </w:rPr>
      </w:pPr>
      <w:r w:rsidRPr="00720382">
        <w:rPr>
          <w:rFonts w:ascii="Arial" w:eastAsiaTheme="minorHAnsi" w:hAnsi="Arial" w:cs="Arial"/>
          <w:sz w:val="21"/>
          <w:szCs w:val="21"/>
          <w:lang w:val="es-MX" w:eastAsia="en-US"/>
        </w:rPr>
        <w:t>Los bienes recibidos en fideicomiso, es decir que conforman el patrimonio autónomo no pueden confundirse con los bienes del fiduciario, luego deben estar separados de los que integran los activos de la fiduciaria, son excluidos de la garantía general de los acreedores del fiduciario y fideicomitente y garantizan las obligaciones que contraiga el patrimonio autónomo en el logro de la finalidad de la fiducia</w:t>
      </w:r>
      <w:r w:rsidRPr="00720382">
        <w:rPr>
          <w:rFonts w:ascii="Arial" w:eastAsiaTheme="minorHAnsi" w:hAnsi="Arial" w:cs="Arial"/>
          <w:sz w:val="21"/>
          <w:szCs w:val="21"/>
          <w:vertAlign w:val="superscript"/>
          <w:lang w:val="es-MX" w:eastAsia="en-US"/>
        </w:rPr>
        <w:footnoteReference w:id="24"/>
      </w:r>
      <w:r w:rsidRPr="00720382">
        <w:rPr>
          <w:rFonts w:ascii="Arial" w:eastAsiaTheme="minorHAnsi" w:hAnsi="Arial" w:cs="Arial"/>
          <w:sz w:val="21"/>
          <w:szCs w:val="21"/>
          <w:lang w:val="es-MX" w:eastAsia="en-US"/>
        </w:rPr>
        <w:t xml:space="preserve">. </w:t>
      </w:r>
    </w:p>
    <w:p w14:paraId="640F41AA" w14:textId="77777777" w:rsidR="00F325CA" w:rsidRPr="00720382" w:rsidRDefault="00F325CA" w:rsidP="00F325CA">
      <w:pPr>
        <w:spacing w:line="276" w:lineRule="auto"/>
        <w:ind w:left="709" w:right="709"/>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   </w:t>
      </w:r>
    </w:p>
    <w:p w14:paraId="38571024" w14:textId="77777777" w:rsidR="00F325CA" w:rsidRPr="00720382" w:rsidRDefault="00F325CA" w:rsidP="00F325CA">
      <w:pPr>
        <w:spacing w:after="120" w:line="276" w:lineRule="auto"/>
        <w:ind w:firstLine="708"/>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lastRenderedPageBreak/>
        <w:t>De acuerdo con lo anterior, es importante separar los patrimonios del fiduciante y la fiduciaria del patrimonio autónomo constituido con ocasión del contrato de fiducia, puesto que cada uno de ellos deberá responder por sus propias obligaciones. Por tanto, el patrimonio autónomo solo será responsable por las obligaciones que se contraigan por el logro de la finalidad para la cual fue entregado en administración y nunca por las obligaciones derivadas del cumplimiento del objeto social de la entidad fiduciaria ni por las que haya adquirido el fiduciante. En esta medida, los patrimonios autónomos no pueden considerarse como entidades del Estado, pues derivan de negocios fiduciarios conformados por un conjunto de bienes para el cumplimiento de un objetivo específico que se expresa en el acto de constitución.</w:t>
      </w:r>
    </w:p>
    <w:p w14:paraId="7F1318CE" w14:textId="607AF35F" w:rsidR="00F325CA" w:rsidRPr="00720382" w:rsidRDefault="00FB6AA4" w:rsidP="00F325CA">
      <w:pPr>
        <w:spacing w:line="276" w:lineRule="auto"/>
        <w:ind w:firstLine="708"/>
        <w:jc w:val="both"/>
        <w:rPr>
          <w:rFonts w:ascii="Arial" w:eastAsiaTheme="minorHAnsi" w:hAnsi="Arial" w:cs="Arial"/>
          <w:sz w:val="22"/>
          <w:szCs w:val="22"/>
          <w:lang w:val="es-MX" w:eastAsia="en-US"/>
        </w:rPr>
      </w:pPr>
      <w:r w:rsidRPr="00720382">
        <w:rPr>
          <w:rFonts w:ascii="Arial" w:hAnsi="Arial" w:cs="Arial"/>
          <w:sz w:val="22"/>
        </w:rPr>
        <w:t xml:space="preserve">A pesar </w:t>
      </w:r>
      <w:r w:rsidR="007B2D29" w:rsidRPr="00720382">
        <w:rPr>
          <w:rFonts w:ascii="Arial" w:hAnsi="Arial" w:cs="Arial"/>
          <w:sz w:val="22"/>
        </w:rPr>
        <w:t xml:space="preserve">de </w:t>
      </w:r>
      <w:r w:rsidRPr="00720382">
        <w:rPr>
          <w:rFonts w:ascii="Arial" w:hAnsi="Arial" w:cs="Arial"/>
          <w:sz w:val="22"/>
        </w:rPr>
        <w:t>que el patrimonio autónomo no es una entidad estatal, ello no justifica por sí solo inaplicar la prohibición del artículo 33 de la Ley de Garantías. Entender lo contrario implicaría que, con el objetivo de eludir la restricción, sería posible celebrar negocios fiduciarios para que el representante del patrimonio autónomo suscribiera los contratos que no pueda adelantar por sí misma la entidad fideicomitente. Esta consecuencia es inaceptable, pues es contraria a la finalidad de la Ley de Garantías, razón por la cual la Agencia –en el Concepto 4201713000006681 de 2018– consideró que:</w:t>
      </w:r>
    </w:p>
    <w:p w14:paraId="1AAB8DF9" w14:textId="77777777" w:rsidR="00F325CA" w:rsidRPr="00720382" w:rsidRDefault="00F325CA" w:rsidP="00F325CA">
      <w:pPr>
        <w:spacing w:line="276" w:lineRule="auto"/>
        <w:ind w:firstLine="708"/>
        <w:jc w:val="both"/>
        <w:rPr>
          <w:rFonts w:ascii="Arial" w:eastAsiaTheme="minorHAnsi" w:hAnsi="Arial" w:cs="Arial"/>
          <w:sz w:val="22"/>
          <w:szCs w:val="22"/>
          <w:lang w:val="es-MX" w:eastAsia="en-US"/>
        </w:rPr>
      </w:pPr>
    </w:p>
    <w:p w14:paraId="42725C1A" w14:textId="77777777" w:rsidR="00F325CA" w:rsidRPr="00720382" w:rsidRDefault="00F325CA" w:rsidP="00F325CA">
      <w:pPr>
        <w:ind w:left="709" w:right="709"/>
        <w:jc w:val="both"/>
        <w:rPr>
          <w:rFonts w:ascii="Arial" w:eastAsiaTheme="minorHAnsi" w:hAnsi="Arial" w:cs="Arial"/>
          <w:sz w:val="21"/>
          <w:szCs w:val="21"/>
          <w:lang w:val="es-MX" w:eastAsia="en-US"/>
        </w:rPr>
      </w:pPr>
      <w:r w:rsidRPr="00720382">
        <w:rPr>
          <w:rFonts w:ascii="Arial" w:eastAsiaTheme="minorHAnsi" w:hAnsi="Arial" w:cs="Arial"/>
          <w:sz w:val="21"/>
          <w:szCs w:val="21"/>
          <w:lang w:val="es-MX" w:eastAsia="en-US"/>
        </w:rPr>
        <w:t>La constitución de patrimonios autónomos en virtud de una fiducia mercantil no podrá transgredir preceptos legales ni podrán ser instrumentos con los cuales se omitan las restricciones para celebrar contratos a las que se encuentren sujetas las Entidades fideicomitentes, ya que con su constitución no se desnaturalizan los recursos con los cuales se conforma el patrimonio autónomo ni se desvincula el poder de direccionamiento y decisión que podría ejercer el Ente del Estado en la contratación derivada de dicho patrimonio, capaz de influir en la voluntad del electorado […]</w:t>
      </w:r>
    </w:p>
    <w:p w14:paraId="384438B3" w14:textId="77777777" w:rsidR="00F325CA" w:rsidRPr="00720382" w:rsidRDefault="00F325CA" w:rsidP="00F325CA">
      <w:pPr>
        <w:spacing w:line="276" w:lineRule="auto"/>
        <w:jc w:val="both"/>
        <w:rPr>
          <w:rFonts w:ascii="Arial" w:eastAsiaTheme="minorHAnsi" w:hAnsi="Arial" w:cs="Arial"/>
          <w:sz w:val="22"/>
          <w:szCs w:val="22"/>
          <w:lang w:val="es-MX" w:eastAsia="en-US"/>
        </w:rPr>
      </w:pPr>
    </w:p>
    <w:p w14:paraId="2C3FEA0B" w14:textId="67D77EEB" w:rsidR="00F325CA" w:rsidRPr="00720382" w:rsidRDefault="00F325CA" w:rsidP="00F325CA">
      <w:pPr>
        <w:spacing w:after="120" w:line="276" w:lineRule="auto"/>
        <w:ind w:firstLine="708"/>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Teniendo en cuenta las preguntas planteadas en la consulta, es necesario recoger esta postura con el fin de ampliar la fundamentación correspondiente. Así, considerando que las restricciones de la Ley de Garantías son de interpretación </w:t>
      </w:r>
      <w:r w:rsidR="00C0210B" w:rsidRPr="00720382">
        <w:rPr>
          <w:rFonts w:ascii="Arial" w:eastAsiaTheme="minorHAnsi" w:hAnsi="Arial" w:cs="Arial"/>
          <w:sz w:val="22"/>
          <w:szCs w:val="22"/>
          <w:lang w:val="es-MX" w:eastAsia="en-US"/>
        </w:rPr>
        <w:t>r</w:t>
      </w:r>
      <w:r w:rsidRPr="00720382">
        <w:rPr>
          <w:rFonts w:ascii="Arial" w:eastAsiaTheme="minorHAnsi" w:hAnsi="Arial" w:cs="Arial"/>
          <w:sz w:val="22"/>
          <w:szCs w:val="22"/>
          <w:lang w:val="es-MX" w:eastAsia="en-US"/>
        </w:rPr>
        <w:t>estrict</w:t>
      </w:r>
      <w:r w:rsidR="00C0210B" w:rsidRPr="00720382">
        <w:rPr>
          <w:rFonts w:ascii="Arial" w:eastAsiaTheme="minorHAnsi" w:hAnsi="Arial" w:cs="Arial"/>
          <w:sz w:val="22"/>
          <w:szCs w:val="22"/>
          <w:lang w:val="es-MX" w:eastAsia="en-US"/>
        </w:rPr>
        <w:t>iva</w:t>
      </w:r>
      <w:r w:rsidRPr="00720382">
        <w:rPr>
          <w:rFonts w:ascii="Arial" w:eastAsiaTheme="minorHAnsi" w:hAnsi="Arial" w:cs="Arial"/>
          <w:sz w:val="22"/>
          <w:szCs w:val="22"/>
          <w:lang w:val="es-MX" w:eastAsia="en-US"/>
        </w:rPr>
        <w:t xml:space="preserve">, la aplicación a otro tipo de sujetos –como las entidades fiduciarias que administran recursos públicos de entidades estatales– debe fundamentarse en las disposiciones que conforman el bloque de legalidad. Esto en la medida que, conforme a las exigencias del debido proceso, no puede existir prohibición sin norma previa.  </w:t>
      </w:r>
    </w:p>
    <w:p w14:paraId="2B02789F" w14:textId="286C8F6A" w:rsidR="00F325CA" w:rsidRPr="00720382" w:rsidRDefault="00F325CA" w:rsidP="00F325CA">
      <w:pPr>
        <w:spacing w:after="120" w:line="276" w:lineRule="auto"/>
        <w:ind w:firstLine="708"/>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Para estos efectos, tratándose de las entidades sometidas al Estatuto General de Contratación de la Administración Pública</w:t>
      </w:r>
      <w:r w:rsidR="00B84FC6" w:rsidRPr="00720382">
        <w:rPr>
          <w:rFonts w:ascii="Arial" w:eastAsiaTheme="minorHAnsi" w:hAnsi="Arial" w:cs="Arial"/>
          <w:sz w:val="22"/>
          <w:szCs w:val="22"/>
          <w:lang w:val="es-MX" w:eastAsia="en-US"/>
        </w:rPr>
        <w:t xml:space="preserve"> también es importante referirse de forma previa al</w:t>
      </w:r>
      <w:r w:rsidRPr="00720382">
        <w:rPr>
          <w:rFonts w:ascii="Arial" w:eastAsiaTheme="minorHAnsi" w:hAnsi="Arial" w:cs="Arial"/>
          <w:sz w:val="22"/>
          <w:szCs w:val="22"/>
          <w:lang w:val="es-MX" w:eastAsia="en-US"/>
        </w:rPr>
        <w:t xml:space="preserve"> artículo 32</w:t>
      </w:r>
      <w:r w:rsidR="00B84FC6" w:rsidRPr="00720382">
        <w:rPr>
          <w:rFonts w:ascii="Arial" w:eastAsiaTheme="minorHAnsi" w:hAnsi="Arial" w:cs="Arial"/>
          <w:sz w:val="22"/>
          <w:szCs w:val="22"/>
          <w:lang w:val="es-MX" w:eastAsia="en-US"/>
        </w:rPr>
        <w:t xml:space="preserve">, numeral </w:t>
      </w:r>
      <w:r w:rsidRPr="00720382">
        <w:rPr>
          <w:rFonts w:ascii="Arial" w:eastAsiaTheme="minorHAnsi" w:hAnsi="Arial" w:cs="Arial"/>
          <w:sz w:val="22"/>
          <w:szCs w:val="22"/>
          <w:lang w:val="es-MX" w:eastAsia="en-US"/>
        </w:rPr>
        <w:t>5</w:t>
      </w:r>
      <w:r w:rsidR="00B84FC6" w:rsidRPr="00720382">
        <w:rPr>
          <w:rFonts w:ascii="Arial" w:eastAsiaTheme="minorHAnsi" w:hAnsi="Arial" w:cs="Arial"/>
          <w:sz w:val="22"/>
          <w:szCs w:val="22"/>
          <w:lang w:val="es-MX" w:eastAsia="en-US"/>
        </w:rPr>
        <w:t>, de la Ley 80 de 1993, que regula los contratos de «</w:t>
      </w:r>
      <w:r w:rsidR="00B84FC6" w:rsidRPr="00720382">
        <w:rPr>
          <w:rFonts w:ascii="Arial" w:eastAsiaTheme="minorHAnsi" w:hAnsi="Arial" w:cs="Arial"/>
          <w:i/>
          <w:iCs/>
          <w:sz w:val="22"/>
          <w:szCs w:val="22"/>
          <w:lang w:val="es-MX" w:eastAsia="en-US"/>
        </w:rPr>
        <w:t>encargo fiduciario y fiducia pública</w:t>
      </w:r>
      <w:r w:rsidR="00B84FC6" w:rsidRPr="00720382">
        <w:rPr>
          <w:rFonts w:ascii="Arial" w:eastAsiaTheme="minorHAnsi" w:hAnsi="Arial" w:cs="Arial"/>
          <w:sz w:val="22"/>
          <w:szCs w:val="22"/>
          <w:lang w:val="es-MX" w:eastAsia="en-US"/>
        </w:rPr>
        <w:t xml:space="preserve">». En particular, al </w:t>
      </w:r>
      <w:r w:rsidRPr="00720382">
        <w:rPr>
          <w:rFonts w:ascii="Arial" w:eastAsiaTheme="minorHAnsi" w:hAnsi="Arial" w:cs="Arial"/>
          <w:sz w:val="22"/>
          <w:szCs w:val="22"/>
          <w:lang w:val="es-MX" w:eastAsia="en-US"/>
        </w:rPr>
        <w:t>inciso octavo</w:t>
      </w:r>
      <w:r w:rsidR="00B84FC6" w:rsidRPr="00720382">
        <w:rPr>
          <w:rFonts w:ascii="Arial" w:eastAsiaTheme="minorHAnsi" w:hAnsi="Arial" w:cs="Arial"/>
          <w:sz w:val="22"/>
          <w:szCs w:val="22"/>
          <w:lang w:val="es-MX" w:eastAsia="en-US"/>
        </w:rPr>
        <w:t xml:space="preserve"> de la norma indicada que establece</w:t>
      </w:r>
      <w:r w:rsidRPr="00720382">
        <w:rPr>
          <w:rFonts w:ascii="Arial" w:eastAsiaTheme="minorHAnsi" w:hAnsi="Arial" w:cs="Arial"/>
          <w:sz w:val="22"/>
          <w:szCs w:val="22"/>
          <w:lang w:val="es-MX" w:eastAsia="en-US"/>
        </w:rPr>
        <w:t xml:space="preserve">: «La fiducia que se autoriza para el sector público en esta ley, nunca implicará transferencia de dominio sobre bienes o recursos estatales, ni constituirá patrimonio autónomo del propio de la respectiva entidad oficial, sin perjuicio de las responsabilidades </w:t>
      </w:r>
      <w:r w:rsidRPr="00720382">
        <w:rPr>
          <w:rFonts w:ascii="Arial" w:eastAsiaTheme="minorHAnsi" w:hAnsi="Arial" w:cs="Arial"/>
          <w:sz w:val="22"/>
          <w:szCs w:val="22"/>
          <w:lang w:val="es-MX" w:eastAsia="en-US"/>
        </w:rPr>
        <w:lastRenderedPageBreak/>
        <w:t>propias del ordenador del gasto». Dado que</w:t>
      </w:r>
      <w:r w:rsidR="00B84FC6" w:rsidRPr="00720382">
        <w:rPr>
          <w:rFonts w:ascii="Arial" w:eastAsiaTheme="minorHAnsi" w:hAnsi="Arial" w:cs="Arial"/>
          <w:sz w:val="22"/>
          <w:szCs w:val="22"/>
          <w:lang w:val="es-MX" w:eastAsia="en-US"/>
        </w:rPr>
        <w:t>, bajo estos negocios jurídicos</w:t>
      </w:r>
      <w:r w:rsidRPr="00720382">
        <w:rPr>
          <w:rFonts w:ascii="Arial" w:eastAsiaTheme="minorHAnsi" w:hAnsi="Arial" w:cs="Arial"/>
          <w:sz w:val="22"/>
          <w:szCs w:val="22"/>
          <w:lang w:val="es-MX" w:eastAsia="en-US"/>
        </w:rPr>
        <w:t xml:space="preserve"> los bienes fideicomitidos no salen del patrimonio de la entidad estatal, la ley exige que la fiduciaria los administre bajo el mismo régimen jurídico del constituyente. </w:t>
      </w:r>
    </w:p>
    <w:p w14:paraId="18DA3053" w14:textId="72B266EF" w:rsidR="00F325CA" w:rsidRPr="00720382" w:rsidRDefault="00FB6AA4" w:rsidP="00F325CA">
      <w:pPr>
        <w:spacing w:after="120" w:line="276" w:lineRule="auto"/>
        <w:ind w:firstLine="708"/>
        <w:jc w:val="both"/>
        <w:rPr>
          <w:rFonts w:ascii="Arial" w:eastAsiaTheme="minorHAnsi" w:hAnsi="Arial" w:cs="Arial"/>
          <w:sz w:val="22"/>
          <w:szCs w:val="22"/>
          <w:lang w:val="es-MX" w:eastAsia="en-US"/>
        </w:rPr>
      </w:pPr>
      <w:r w:rsidRPr="00720382">
        <w:rPr>
          <w:rFonts w:ascii="Arial" w:hAnsi="Arial" w:cs="Arial"/>
          <w:sz w:val="22"/>
        </w:rPr>
        <w:t xml:space="preserve">Por ello, el inciso quinto </w:t>
      </w:r>
      <w:r w:rsidRPr="00720382">
        <w:rPr>
          <w:rFonts w:ascii="Arial" w:hAnsi="Arial" w:cs="Arial"/>
          <w:i/>
          <w:iCs/>
          <w:sz w:val="22"/>
        </w:rPr>
        <w:t>ibidem</w:t>
      </w:r>
      <w:r w:rsidRPr="00720382">
        <w:rPr>
          <w:rFonts w:ascii="Arial" w:hAnsi="Arial" w:cs="Arial"/>
          <w:sz w:val="22"/>
        </w:rPr>
        <w:t xml:space="preserve"> también prescribe que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De esta manera, teniendo en cuenta que la prohibición establecida en el artículo 33 de la Ley de Garantías es una norma a la cual están sujetos los contratos que puede celebrar la entidad fideicomitente, la restricción también se extendería a la sociedad fiduciaria en virtud de la disposición indicada, que precisamente extiende distintas disposiciones jurídicas para que resulten aplicables a los actos y contratos que se realicen en desarrollo del contrato de fiducia pública o encargo fiduciario, sin que esta extensión del régimen jurídico se limite a las normas previstas en el EGCAP, sino a las demás señaladas en el inciso citado.</w:t>
      </w:r>
      <w:r w:rsidR="00F325CA" w:rsidRPr="00720382">
        <w:rPr>
          <w:rFonts w:ascii="Arial" w:eastAsiaTheme="minorHAnsi" w:hAnsi="Arial" w:cs="Arial"/>
          <w:sz w:val="22"/>
          <w:szCs w:val="22"/>
          <w:lang w:val="es-MX" w:eastAsia="en-US"/>
        </w:rPr>
        <w:t xml:space="preserve">  </w:t>
      </w:r>
    </w:p>
    <w:p w14:paraId="057C9B59" w14:textId="4123CE65" w:rsidR="00F325CA" w:rsidRPr="00720382" w:rsidRDefault="00F325CA" w:rsidP="00F325CA">
      <w:pPr>
        <w:spacing w:after="120" w:line="276" w:lineRule="auto"/>
        <w:ind w:firstLine="708"/>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Lo anterior no significa que los patrimonios autónomos constituidos a través de </w:t>
      </w:r>
      <w:r w:rsidRPr="00720382">
        <w:rPr>
          <w:rFonts w:ascii="Arial" w:eastAsiaTheme="minorHAnsi" w:hAnsi="Arial" w:cs="Arial"/>
          <w:i/>
          <w:iCs/>
          <w:sz w:val="22"/>
          <w:szCs w:val="22"/>
          <w:lang w:val="es-MX" w:eastAsia="en-US"/>
        </w:rPr>
        <w:t>contratos de fiducia mercantil</w:t>
      </w:r>
      <w:r w:rsidRPr="00720382">
        <w:rPr>
          <w:rFonts w:ascii="Arial" w:eastAsiaTheme="minorHAnsi" w:hAnsi="Arial" w:cs="Arial"/>
          <w:sz w:val="22"/>
          <w:szCs w:val="22"/>
          <w:lang w:val="es-MX" w:eastAsia="en-US"/>
        </w:rPr>
        <w:t xml:space="preserve"> no se rijan por la misma prohibición. En estos casos, especialmente para las entidades exceptuadas de la aplicación del EGCAP que actúen en calidad de constituyentes, es necesario tener en cuenta que el parágrafo d</w:t>
      </w:r>
      <w:bookmarkStart w:id="46" w:name="_Hlk86322055"/>
      <w:r w:rsidRPr="00720382">
        <w:rPr>
          <w:rFonts w:ascii="Arial" w:eastAsiaTheme="minorHAnsi" w:hAnsi="Arial" w:cs="Arial"/>
          <w:sz w:val="22"/>
          <w:szCs w:val="22"/>
          <w:lang w:val="es-MX" w:eastAsia="en-US"/>
        </w:rPr>
        <w:t>el artículo 2.5.2.1.1 del Decreto 2555 de 2010</w:t>
      </w:r>
      <w:bookmarkEnd w:id="46"/>
      <w:r w:rsidRPr="00720382">
        <w:rPr>
          <w:rFonts w:ascii="Arial" w:eastAsiaTheme="minorHAnsi" w:hAnsi="Arial" w:cs="Arial"/>
          <w:sz w:val="22"/>
          <w:szCs w:val="22"/>
          <w:lang w:val="es-MX" w:eastAsia="en-US"/>
        </w:rPr>
        <w:t>, «Por el cual se recogen y reexpiden las normas en materia del sector financiero, asegurador y del mercado de valores y se dictan otras disposiciones», establece que «</w:t>
      </w:r>
      <w:r w:rsidRPr="00720382">
        <w:rPr>
          <w:rFonts w:ascii="Arial" w:eastAsiaTheme="minorHAnsi" w:hAnsi="Arial" w:cs="Arial"/>
          <w:i/>
          <w:iCs/>
          <w:sz w:val="22"/>
          <w:szCs w:val="22"/>
          <w:lang w:val="es-MX" w:eastAsia="en-US"/>
        </w:rPr>
        <w:t>El negocio fiduciario no podrá servir de instrumento para realizar actos o contratos que no pueda celebrar directamente el fideicomitente de acuerdo con las disposiciones legales</w:t>
      </w:r>
      <w:r w:rsidRPr="00720382">
        <w:rPr>
          <w:rFonts w:ascii="Arial" w:eastAsiaTheme="minorHAnsi" w:hAnsi="Arial" w:cs="Arial"/>
          <w:sz w:val="22"/>
          <w:szCs w:val="22"/>
          <w:lang w:val="es-MX" w:eastAsia="en-US"/>
        </w:rPr>
        <w:t xml:space="preserve">». Como se deduce del contexto del apartado normativo, esta disposición regula el régimen aplicable a las sociedades fiduciarias, especialmente, </w:t>
      </w:r>
      <w:r w:rsidR="00B84FC6" w:rsidRPr="00720382">
        <w:rPr>
          <w:rFonts w:ascii="Arial" w:eastAsiaTheme="minorHAnsi" w:hAnsi="Arial" w:cs="Arial"/>
          <w:sz w:val="22"/>
          <w:szCs w:val="22"/>
          <w:lang w:val="es-MX" w:eastAsia="en-US"/>
        </w:rPr>
        <w:t xml:space="preserve">a </w:t>
      </w:r>
      <w:r w:rsidRPr="00720382">
        <w:rPr>
          <w:rFonts w:ascii="Arial" w:eastAsiaTheme="minorHAnsi" w:hAnsi="Arial" w:cs="Arial"/>
          <w:sz w:val="22"/>
          <w:szCs w:val="22"/>
          <w:lang w:val="es-MX" w:eastAsia="en-US"/>
        </w:rPr>
        <w:t xml:space="preserve">los derechos y obligaciones </w:t>
      </w:r>
      <w:r w:rsidR="00B84FC6" w:rsidRPr="00720382">
        <w:rPr>
          <w:rFonts w:ascii="Arial" w:eastAsiaTheme="minorHAnsi" w:hAnsi="Arial" w:cs="Arial"/>
          <w:sz w:val="22"/>
          <w:szCs w:val="22"/>
          <w:lang w:val="es-MX" w:eastAsia="en-US"/>
        </w:rPr>
        <w:t>asociados a</w:t>
      </w:r>
      <w:r w:rsidRPr="00720382">
        <w:rPr>
          <w:rFonts w:ascii="Arial" w:eastAsiaTheme="minorHAnsi" w:hAnsi="Arial" w:cs="Arial"/>
          <w:sz w:val="22"/>
          <w:szCs w:val="22"/>
          <w:lang w:val="es-MX" w:eastAsia="en-US"/>
        </w:rPr>
        <w:t xml:space="preserve"> los actos y contratos celebrados y ejecutados por el fiduciario, por lo que es transversal al ordenamiento jurídico, es decir, aplica en todos los contratos de fiducia con independencia de que el constituyente sea o no una entidad sometida a la Ley 80 de 1993.</w:t>
      </w:r>
    </w:p>
    <w:p w14:paraId="18606BD8" w14:textId="5AFBEB9D" w:rsidR="00F325CA" w:rsidRPr="00720382" w:rsidRDefault="00F325CA" w:rsidP="00F325CA">
      <w:pPr>
        <w:spacing w:after="120" w:line="276" w:lineRule="auto"/>
        <w:ind w:firstLine="708"/>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Esto último </w:t>
      </w:r>
      <w:r w:rsidR="00B84FC6" w:rsidRPr="00720382">
        <w:rPr>
          <w:rFonts w:ascii="Arial" w:eastAsiaTheme="minorHAnsi" w:hAnsi="Arial" w:cs="Arial"/>
          <w:sz w:val="22"/>
          <w:szCs w:val="22"/>
          <w:lang w:val="es-MX" w:eastAsia="en-US"/>
        </w:rPr>
        <w:t xml:space="preserve">también se extiende a los «encargos fiduciarios </w:t>
      </w:r>
      <w:r w:rsidR="007A045E" w:rsidRPr="00720382">
        <w:rPr>
          <w:rFonts w:ascii="Arial" w:eastAsiaTheme="minorHAnsi" w:hAnsi="Arial" w:cs="Arial"/>
          <w:sz w:val="22"/>
          <w:szCs w:val="22"/>
          <w:lang w:val="es-MX" w:eastAsia="en-US"/>
        </w:rPr>
        <w:t>y fiducia pública» de que trata el artículo 32.5 de la Ley 80 de 1993, tal como se deriva del i</w:t>
      </w:r>
      <w:r w:rsidRPr="00720382">
        <w:rPr>
          <w:rFonts w:ascii="Arial" w:eastAsiaTheme="minorHAnsi" w:hAnsi="Arial" w:cs="Arial"/>
          <w:sz w:val="22"/>
          <w:szCs w:val="22"/>
          <w:lang w:val="es-MX" w:eastAsia="en-US"/>
        </w:rPr>
        <w:t xml:space="preserve">nciso noveno, ya que «A la fiducia pública le serán aplicables las normas del Código de Comercio sobre fiducia mercantil, en cuanto sean compatibles con lo dispuesto en esta ley». Por lo demás, aunque los encargos fiduciarios no den lugar a un patrimonio autónomo, el citado artículo 2.5.2.1.1 del Decreto 2555 de 2010 también regula esta clase de negocios, pues –conforme al artículo 146.1 del Estatuto Orgánico del Sistema Financiero– «[…] En relación con los encargos fiduciarios  se aplicarán las disposiciones que regulan el contrato de fiducia mercantil, y subsidiariamente las disposiciones del Código de Comercio que regulan el </w:t>
      </w:r>
      <w:r w:rsidRPr="00720382">
        <w:rPr>
          <w:rFonts w:ascii="Arial" w:eastAsiaTheme="minorHAnsi" w:hAnsi="Arial" w:cs="Arial"/>
          <w:sz w:val="22"/>
          <w:szCs w:val="22"/>
          <w:lang w:val="es-MX" w:eastAsia="en-US"/>
        </w:rPr>
        <w:lastRenderedPageBreak/>
        <w:t xml:space="preserve">contrato de mandato, en cuanto unas y otras sean compatibles con la naturaleza propia de estos negocios y no se opongan a las reglas especiales previstas en el presente Estatuto». </w:t>
      </w:r>
    </w:p>
    <w:p w14:paraId="4615EE06" w14:textId="65105013" w:rsidR="00F325CA" w:rsidRPr="00720382" w:rsidRDefault="00F325CA" w:rsidP="00720382">
      <w:pPr>
        <w:spacing w:after="120" w:line="276" w:lineRule="auto"/>
        <w:ind w:firstLine="709"/>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De esta manera, el artículo 33 de la Ley de Garantías se extiende a las sociedades fiduciarias en virtud del artículo 32.5, inciso quinto, de la Ley 80 de 1993. Con las diferencias en el alcance, de acuerdo con el inciso noveno </w:t>
      </w:r>
      <w:r w:rsidRPr="00720382">
        <w:rPr>
          <w:rFonts w:ascii="Arial" w:eastAsiaTheme="minorHAnsi" w:hAnsi="Arial" w:cs="Arial"/>
          <w:i/>
          <w:iCs/>
          <w:sz w:val="22"/>
          <w:szCs w:val="22"/>
          <w:lang w:val="es-MX" w:eastAsia="en-US"/>
        </w:rPr>
        <w:t>ibidem</w:t>
      </w:r>
      <w:r w:rsidRPr="00720382">
        <w:rPr>
          <w:rFonts w:ascii="Arial" w:eastAsiaTheme="minorHAnsi" w:hAnsi="Arial" w:cs="Arial"/>
          <w:sz w:val="22"/>
          <w:szCs w:val="22"/>
          <w:lang w:val="es-MX" w:eastAsia="en-US"/>
        </w:rPr>
        <w:t xml:space="preserve">, la misma es congruente con el artículo 2.5.2.1.1 del Decreto 2555 de 2010, el cual rige también en los negocios fiduciarios de las entidades exceptuadas de la aplicación del EGCAP. Por tanto, con independencia del régimen jurídico de la entidad fideicomitente, la prohibición de contratación directa durante la vigencia de la Ley de Garantías </w:t>
      </w:r>
      <w:r w:rsidR="007A045E" w:rsidRPr="00720382">
        <w:rPr>
          <w:rFonts w:ascii="Arial" w:eastAsiaTheme="minorHAnsi" w:hAnsi="Arial" w:cs="Arial"/>
          <w:sz w:val="22"/>
          <w:szCs w:val="22"/>
          <w:lang w:val="es-MX" w:eastAsia="en-US"/>
        </w:rPr>
        <w:t xml:space="preserve">Electorales </w:t>
      </w:r>
      <w:r w:rsidRPr="00720382">
        <w:rPr>
          <w:rFonts w:ascii="Arial" w:eastAsiaTheme="minorHAnsi" w:hAnsi="Arial" w:cs="Arial"/>
          <w:sz w:val="22"/>
          <w:szCs w:val="22"/>
          <w:lang w:val="es-MX" w:eastAsia="en-US"/>
        </w:rPr>
        <w:t>también les aplica a las fiduciarias que administran los recursos públicos de los entes del Estado</w:t>
      </w:r>
      <w:r w:rsidR="007A045E" w:rsidRPr="00720382">
        <w:rPr>
          <w:rFonts w:ascii="Arial" w:eastAsiaTheme="minorHAnsi" w:hAnsi="Arial" w:cs="Arial"/>
          <w:sz w:val="22"/>
          <w:szCs w:val="22"/>
          <w:lang w:val="es-MX" w:eastAsia="en-US"/>
        </w:rPr>
        <w:t>, de acuerdo con las normas analizadas anteriormente, las cuales están dirigidas a que el negocio fiduciario no sirva como instrumento para realizar actos o contratos que no pueda celebrar directamente el fideicomitente de acuerdo con las disposiciones legales</w:t>
      </w:r>
      <w:r w:rsidRPr="00720382">
        <w:rPr>
          <w:rFonts w:ascii="Arial" w:eastAsiaTheme="minorHAnsi" w:hAnsi="Arial" w:cs="Arial"/>
          <w:sz w:val="22"/>
          <w:szCs w:val="22"/>
          <w:lang w:val="es-MX" w:eastAsia="en-US"/>
        </w:rPr>
        <w:t>. En este contexto, se reitera que las sociedades fiduciarias no pueden celebrar los contratos en los que las entidades constituyentes tengan alguna restricción, por lo que no son un instrumento para eludir el artículo 33 de la Ley de Garantías. Como explica la doctrina, dado que están prohibidos los negocios fiduciarios realizados en fraude a la ley, la libertad para suscribirlos:</w:t>
      </w:r>
    </w:p>
    <w:p w14:paraId="52592AA1" w14:textId="77777777" w:rsidR="00F325CA" w:rsidRPr="00720382" w:rsidRDefault="00F325CA" w:rsidP="00F325CA">
      <w:pPr>
        <w:spacing w:line="276" w:lineRule="auto"/>
        <w:ind w:firstLine="708"/>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 </w:t>
      </w:r>
    </w:p>
    <w:p w14:paraId="41C54325" w14:textId="77777777" w:rsidR="00F325CA" w:rsidRPr="00720382" w:rsidRDefault="00F325CA" w:rsidP="00F325CA">
      <w:pPr>
        <w:ind w:left="709" w:right="709"/>
        <w:jc w:val="both"/>
        <w:rPr>
          <w:rFonts w:ascii="Arial" w:eastAsiaTheme="minorHAnsi" w:hAnsi="Arial" w:cs="Arial"/>
          <w:sz w:val="21"/>
          <w:szCs w:val="21"/>
          <w:lang w:val="es-MX" w:eastAsia="en-US"/>
        </w:rPr>
      </w:pPr>
      <w:r w:rsidRPr="00720382">
        <w:rPr>
          <w:rFonts w:ascii="Arial" w:eastAsiaTheme="minorHAnsi" w:hAnsi="Arial" w:cs="Arial"/>
          <w:sz w:val="21"/>
          <w:szCs w:val="21"/>
          <w:lang w:val="es-MX" w:eastAsia="en-US"/>
        </w:rPr>
        <w:t>[…] debe entenderse limitada, de manera natural, por la imposibilidad de buscar a través de un mecanismo oblicuo, la obtención de una finalidad que no sería lícito obtener al fideicomitente, si actuara en forma directa. Y naturalmente, ello implica un análisis teleológico del contrato para saber qué es lo que realmente se busca con él, si la obtención de la finalidad económica que aparentemente se establece como objeto de contrato y carga para el fiduciario o la eliminación, por esa vía, de restricciones o requisitos que vinculados al cumplimiento de normas de tipo imperativo, en las cuales se encuentren ínsitas el orden público o las buenas costumbres, podrían conducir a la celebración de un contrato nulo por objeto ilícito</w:t>
      </w:r>
      <w:r w:rsidRPr="00720382">
        <w:rPr>
          <w:rFonts w:ascii="Arial" w:eastAsiaTheme="minorHAnsi" w:hAnsi="Arial" w:cs="Arial"/>
          <w:sz w:val="21"/>
          <w:szCs w:val="21"/>
          <w:vertAlign w:val="superscript"/>
          <w:lang w:val="es-MX" w:eastAsia="en-US"/>
        </w:rPr>
        <w:footnoteReference w:id="25"/>
      </w:r>
      <w:r w:rsidRPr="00720382">
        <w:rPr>
          <w:rFonts w:ascii="Arial" w:eastAsiaTheme="minorHAnsi" w:hAnsi="Arial" w:cs="Arial"/>
          <w:sz w:val="21"/>
          <w:szCs w:val="21"/>
          <w:lang w:val="es-MX" w:eastAsia="en-US"/>
        </w:rPr>
        <w:t xml:space="preserve">.  </w:t>
      </w:r>
    </w:p>
    <w:p w14:paraId="47ADC86B" w14:textId="77777777" w:rsidR="00F325CA" w:rsidRPr="00720382" w:rsidRDefault="00F325CA" w:rsidP="00F325CA">
      <w:pPr>
        <w:spacing w:line="276" w:lineRule="auto"/>
        <w:jc w:val="both"/>
        <w:rPr>
          <w:rFonts w:ascii="Arial" w:eastAsiaTheme="minorHAnsi" w:hAnsi="Arial" w:cs="Arial"/>
          <w:sz w:val="22"/>
          <w:szCs w:val="22"/>
          <w:lang w:val="es-MX" w:eastAsia="en-US"/>
        </w:rPr>
      </w:pPr>
    </w:p>
    <w:p w14:paraId="70EE92E0" w14:textId="3C0D6D37" w:rsidR="00F325CA" w:rsidRPr="00720382" w:rsidRDefault="00F325CA" w:rsidP="0045194E">
      <w:pPr>
        <w:spacing w:after="120" w:line="276" w:lineRule="auto"/>
        <w:ind w:firstLine="709"/>
        <w:jc w:val="both"/>
        <w:rPr>
          <w:rFonts w:ascii="Arial" w:eastAsiaTheme="minorHAnsi" w:hAnsi="Arial" w:cs="Arial"/>
          <w:bCs/>
          <w:sz w:val="22"/>
          <w:szCs w:val="22"/>
          <w:lang w:val="es-MX" w:eastAsia="x-none"/>
        </w:rPr>
      </w:pPr>
      <w:r w:rsidRPr="00720382">
        <w:rPr>
          <w:rFonts w:ascii="Arial" w:eastAsiaTheme="minorHAnsi" w:hAnsi="Arial" w:cs="Arial"/>
          <w:sz w:val="22"/>
          <w:szCs w:val="22"/>
          <w:lang w:val="es-MX" w:eastAsia="en-US"/>
        </w:rPr>
        <w:t xml:space="preserve">En resumen, </w:t>
      </w:r>
      <w:bookmarkStart w:id="47" w:name="_Hlk88117666"/>
      <w:r w:rsidRPr="00720382">
        <w:rPr>
          <w:rFonts w:ascii="Arial" w:eastAsiaTheme="minorHAnsi" w:hAnsi="Arial" w:cs="Arial"/>
          <w:sz w:val="22"/>
          <w:szCs w:val="22"/>
          <w:lang w:val="es-MX" w:eastAsia="en-US"/>
        </w:rPr>
        <w:t xml:space="preserve">la restricción prevista en la Ley 996 de 2005, </w:t>
      </w:r>
      <w:r w:rsidRPr="00720382">
        <w:rPr>
          <w:rFonts w:ascii="Arial" w:eastAsiaTheme="minorHAnsi" w:hAnsi="Arial" w:cs="Arial"/>
          <w:bCs/>
          <w:sz w:val="22"/>
          <w:szCs w:val="22"/>
          <w:lang w:val="es-MX" w:eastAsia="x-none"/>
        </w:rPr>
        <w:t>teniendo en cuenta la finalidad de la</w:t>
      </w:r>
      <w:r w:rsidR="0045194E" w:rsidRPr="00720382">
        <w:rPr>
          <w:rFonts w:ascii="Arial" w:eastAsiaTheme="minorHAnsi" w:hAnsi="Arial" w:cs="Arial"/>
          <w:bCs/>
          <w:sz w:val="22"/>
          <w:szCs w:val="22"/>
          <w:lang w:val="es-MX" w:eastAsia="x-none"/>
        </w:rPr>
        <w:t xml:space="preserve"> </w:t>
      </w:r>
      <w:r w:rsidR="00820D42" w:rsidRPr="00720382">
        <w:rPr>
          <w:rFonts w:ascii="Arial" w:eastAsiaTheme="minorHAnsi" w:hAnsi="Arial" w:cs="Arial"/>
          <w:bCs/>
          <w:sz w:val="22"/>
          <w:szCs w:val="22"/>
          <w:lang w:val="es-MX" w:eastAsia="x-none"/>
        </w:rPr>
        <w:t>L</w:t>
      </w:r>
      <w:r w:rsidR="0045194E" w:rsidRPr="00720382">
        <w:rPr>
          <w:rFonts w:ascii="Arial" w:eastAsiaTheme="minorHAnsi" w:hAnsi="Arial" w:cs="Arial"/>
          <w:bCs/>
          <w:sz w:val="22"/>
          <w:szCs w:val="22"/>
          <w:lang w:val="es-MX" w:eastAsia="x-none"/>
        </w:rPr>
        <w:t xml:space="preserve">ey de </w:t>
      </w:r>
      <w:r w:rsidR="00820D42" w:rsidRPr="00720382">
        <w:rPr>
          <w:rFonts w:ascii="Arial" w:eastAsiaTheme="minorHAnsi" w:hAnsi="Arial" w:cs="Arial"/>
          <w:bCs/>
          <w:sz w:val="22"/>
          <w:szCs w:val="22"/>
          <w:lang w:val="es-MX" w:eastAsia="x-none"/>
        </w:rPr>
        <w:t>G</w:t>
      </w:r>
      <w:r w:rsidR="0045194E" w:rsidRPr="00720382">
        <w:rPr>
          <w:rFonts w:ascii="Arial" w:eastAsiaTheme="minorHAnsi" w:hAnsi="Arial" w:cs="Arial"/>
          <w:bCs/>
          <w:sz w:val="22"/>
          <w:szCs w:val="22"/>
          <w:lang w:val="es-MX" w:eastAsia="x-none"/>
        </w:rPr>
        <w:t xml:space="preserve">arantías </w:t>
      </w:r>
      <w:r w:rsidR="00820D42" w:rsidRPr="00720382">
        <w:rPr>
          <w:rFonts w:ascii="Arial" w:eastAsiaTheme="minorHAnsi" w:hAnsi="Arial" w:cs="Arial"/>
          <w:bCs/>
          <w:sz w:val="22"/>
          <w:szCs w:val="22"/>
          <w:lang w:val="es-MX" w:eastAsia="x-none"/>
        </w:rPr>
        <w:t>E</w:t>
      </w:r>
      <w:r w:rsidR="0045194E" w:rsidRPr="00720382">
        <w:rPr>
          <w:rFonts w:ascii="Arial" w:eastAsiaTheme="minorHAnsi" w:hAnsi="Arial" w:cs="Arial"/>
          <w:bCs/>
          <w:sz w:val="22"/>
          <w:szCs w:val="22"/>
          <w:lang w:val="es-MX" w:eastAsia="x-none"/>
        </w:rPr>
        <w:t>lectorales, aplica</w:t>
      </w:r>
      <w:r w:rsidRPr="00720382">
        <w:rPr>
          <w:rFonts w:ascii="Arial" w:eastAsiaTheme="minorHAnsi" w:hAnsi="Arial" w:cs="Arial"/>
          <w:bCs/>
          <w:sz w:val="22"/>
          <w:szCs w:val="22"/>
          <w:lang w:val="es-MX" w:eastAsia="x-none"/>
        </w:rPr>
        <w:t xml:space="preserve"> a cualquier ente del Estado que, a través de la contratación directa, pueda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w:t>
      </w:r>
      <w:r w:rsidR="0045194E" w:rsidRPr="00720382">
        <w:rPr>
          <w:rFonts w:ascii="Arial" w:eastAsiaTheme="minorHAnsi" w:hAnsi="Arial" w:cs="Arial"/>
          <w:bCs/>
          <w:sz w:val="22"/>
          <w:szCs w:val="22"/>
          <w:lang w:val="es-MX" w:eastAsia="x-none"/>
        </w:rPr>
        <w:t>n las contiendas electorales,</w:t>
      </w:r>
      <w:r w:rsidRPr="00720382">
        <w:rPr>
          <w:rFonts w:ascii="Arial" w:eastAsiaTheme="minorHAnsi" w:hAnsi="Arial" w:cs="Arial"/>
          <w:bCs/>
          <w:sz w:val="22"/>
          <w:szCs w:val="22"/>
          <w:lang w:val="es-MX" w:eastAsia="x-none"/>
        </w:rPr>
        <w:t xml:space="preserve"> </w:t>
      </w:r>
      <w:r w:rsidR="00820D42" w:rsidRPr="00720382">
        <w:rPr>
          <w:rFonts w:ascii="Arial" w:eastAsiaTheme="minorHAnsi" w:hAnsi="Arial" w:cs="Arial"/>
          <w:bCs/>
          <w:sz w:val="22"/>
          <w:szCs w:val="22"/>
          <w:lang w:val="es-MX" w:eastAsia="x-none"/>
        </w:rPr>
        <w:t xml:space="preserve">se </w:t>
      </w:r>
      <w:r w:rsidRPr="00720382">
        <w:rPr>
          <w:rFonts w:ascii="Arial" w:eastAsiaTheme="minorHAnsi" w:hAnsi="Arial" w:cs="Arial"/>
          <w:bCs/>
          <w:sz w:val="22"/>
          <w:szCs w:val="22"/>
          <w:lang w:val="es-MX" w:eastAsia="x-none"/>
        </w:rPr>
        <w:t xml:space="preserve">puede presentar tanto en la contratación regulada por la Ley 80 de 1993 como en la regida por el Derecho Privado. Incluso, de acuerdo </w:t>
      </w:r>
      <w:r w:rsidRPr="00720382">
        <w:rPr>
          <w:rFonts w:ascii="Arial" w:eastAsiaTheme="minorHAnsi" w:hAnsi="Arial" w:cs="Arial"/>
          <w:sz w:val="22"/>
          <w:szCs w:val="22"/>
          <w:lang w:val="es-MX" w:eastAsia="en-US"/>
        </w:rPr>
        <w:t xml:space="preserve">el artículo 32.5, inciso quinto, de la Ley 80 de 1993 y el artículo </w:t>
      </w:r>
      <w:r w:rsidRPr="00720382">
        <w:rPr>
          <w:rFonts w:ascii="Arial" w:eastAsiaTheme="minorHAnsi" w:hAnsi="Arial" w:cs="Arial"/>
          <w:sz w:val="22"/>
          <w:szCs w:val="22"/>
          <w:lang w:val="es-MX" w:eastAsia="en-US"/>
        </w:rPr>
        <w:lastRenderedPageBreak/>
        <w:t xml:space="preserve">2.5.2.1.1 del Decreto 2555 de 2010, la prohibición también se extiende a las sociedades fiduciarias, frente a los actos y contratos que realicen en desarrollo del negocio fiduciario, con independencia del régimen jurídico de la entidad fideicomitente, razón por la cual no se inaplicaría la prohibición establecida en el artículo 33 de la Ley de Garantías Electorales, con la constitución de patrimonios autónomos.  </w:t>
      </w:r>
    </w:p>
    <w:bookmarkEnd w:id="38"/>
    <w:bookmarkEnd w:id="47"/>
    <w:p w14:paraId="03E96271" w14:textId="1EA3B09D" w:rsidR="0045194E" w:rsidRPr="00720382" w:rsidRDefault="0045194E" w:rsidP="00820D42">
      <w:pPr>
        <w:spacing w:line="276" w:lineRule="auto"/>
        <w:ind w:firstLine="709"/>
        <w:jc w:val="both"/>
        <w:rPr>
          <w:rFonts w:ascii="Arial" w:hAnsi="Arial" w:cs="Arial"/>
          <w:bCs/>
          <w:sz w:val="22"/>
          <w:szCs w:val="22"/>
          <w:lang w:val="es-MX" w:eastAsia="es-CO"/>
        </w:rPr>
      </w:pPr>
      <w:r w:rsidRPr="00720382">
        <w:rPr>
          <w:rFonts w:ascii="Arial" w:hAnsi="Arial" w:cs="Arial"/>
          <w:sz w:val="22"/>
          <w:szCs w:val="22"/>
          <w:lang w:eastAsia="x-none"/>
        </w:rPr>
        <w:t xml:space="preserve">No obstante, esta restricción no es absoluta, teniendo en cuenta que el mismo artículo 33 de la Ley 996 de 2005 </w:t>
      </w:r>
      <w:r w:rsidRPr="00720382">
        <w:rPr>
          <w:rFonts w:ascii="Arial" w:hAnsi="Arial" w:cs="Arial"/>
          <w:bCs/>
          <w:sz w:val="22"/>
          <w:szCs w:val="22"/>
          <w:lang w:val="es-MX" w:eastAsia="x-none"/>
        </w:rPr>
        <w:t xml:space="preserve">dispone que las entidades públicas podrán adelantar procedimientos de selección directa en períodos previos a la contienda electoral por la Presidencia, que están prescritos en el inciso final del citado artículo 33 de la Ley 996 de 2005, en lo concerniente a: i) la defensa y seguridad del Estado; </w:t>
      </w:r>
      <w:proofErr w:type="spellStart"/>
      <w:r w:rsidRPr="00720382">
        <w:rPr>
          <w:rFonts w:ascii="Arial" w:hAnsi="Arial" w:cs="Arial"/>
          <w:bCs/>
          <w:sz w:val="22"/>
          <w:szCs w:val="22"/>
          <w:lang w:val="es-MX" w:eastAsia="x-none"/>
        </w:rPr>
        <w:t>ii</w:t>
      </w:r>
      <w:proofErr w:type="spellEnd"/>
      <w:r w:rsidRPr="00720382">
        <w:rPr>
          <w:rFonts w:ascii="Arial" w:hAnsi="Arial" w:cs="Arial"/>
          <w:bCs/>
          <w:sz w:val="22"/>
          <w:szCs w:val="22"/>
          <w:lang w:val="es-MX" w:eastAsia="x-none"/>
        </w:rPr>
        <w:t xml:space="preserve">) los contratos de crédito público; </w:t>
      </w:r>
      <w:proofErr w:type="spellStart"/>
      <w:r w:rsidRPr="00720382">
        <w:rPr>
          <w:rFonts w:ascii="Arial" w:hAnsi="Arial" w:cs="Arial"/>
          <w:bCs/>
          <w:sz w:val="22"/>
          <w:szCs w:val="22"/>
          <w:lang w:val="es-MX" w:eastAsia="x-none"/>
        </w:rPr>
        <w:t>iii</w:t>
      </w:r>
      <w:proofErr w:type="spellEnd"/>
      <w:r w:rsidRPr="00720382">
        <w:rPr>
          <w:rFonts w:ascii="Arial" w:hAnsi="Arial" w:cs="Arial"/>
          <w:bCs/>
          <w:sz w:val="22"/>
          <w:szCs w:val="22"/>
          <w:lang w:val="es-MX" w:eastAsia="x-none"/>
        </w:rPr>
        <w:t xml:space="preserve">) los requeridos para cubrir las emergencias educativas, sanitarias y desastres; </w:t>
      </w:r>
      <w:proofErr w:type="spellStart"/>
      <w:r w:rsidRPr="00720382">
        <w:rPr>
          <w:rFonts w:ascii="Arial" w:hAnsi="Arial" w:cs="Arial"/>
          <w:bCs/>
          <w:sz w:val="22"/>
          <w:szCs w:val="22"/>
          <w:lang w:val="es-MX" w:eastAsia="x-none"/>
        </w:rPr>
        <w:t>iv</w:t>
      </w:r>
      <w:proofErr w:type="spellEnd"/>
      <w:r w:rsidRPr="00720382">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20382">
        <w:rPr>
          <w:rFonts w:ascii="Arial" w:hAnsi="Arial" w:cs="Arial"/>
          <w:bCs/>
          <w:sz w:val="22"/>
          <w:szCs w:val="22"/>
          <w:lang w:val="es-MX" w:eastAsia="es-CO"/>
        </w:rPr>
        <w:t xml:space="preserve"> Es responsabilidad del respectivo ente del Estado, en este caso del patrimonio autónomo examinar y analizar si sus contrataciones se enmarcan en alguna de las mencionadas excepciones del artículo 33 de la Ley de garantías.</w:t>
      </w:r>
    </w:p>
    <w:p w14:paraId="08BB463D" w14:textId="77777777" w:rsidR="00820D42" w:rsidRPr="00720382" w:rsidRDefault="00820D42" w:rsidP="00720382">
      <w:pPr>
        <w:spacing w:line="276" w:lineRule="auto"/>
        <w:ind w:firstLine="709"/>
        <w:jc w:val="both"/>
        <w:rPr>
          <w:rFonts w:ascii="Arial" w:hAnsi="Arial" w:cs="Arial"/>
          <w:bCs/>
          <w:sz w:val="22"/>
          <w:szCs w:val="22"/>
          <w:lang w:val="es-MX" w:eastAsia="es-CO"/>
        </w:rPr>
      </w:pPr>
    </w:p>
    <w:p w14:paraId="68FE0099" w14:textId="592BCE9E" w:rsidR="00EC2104" w:rsidRPr="00720382" w:rsidRDefault="00AA6DE1" w:rsidP="00AA6DE1">
      <w:pPr>
        <w:jc w:val="both"/>
        <w:rPr>
          <w:rFonts w:ascii="Arial" w:hAnsi="Arial" w:cs="Arial"/>
          <w:b/>
          <w:bCs/>
          <w:sz w:val="22"/>
          <w:szCs w:val="22"/>
          <w:lang w:val="es-MX" w:eastAsia="es-CO"/>
        </w:rPr>
      </w:pPr>
      <w:r w:rsidRPr="00720382">
        <w:rPr>
          <w:rFonts w:ascii="Arial" w:hAnsi="Arial" w:cs="Arial"/>
          <w:b/>
          <w:bCs/>
          <w:sz w:val="22"/>
          <w:szCs w:val="22"/>
          <w:lang w:val="es-MX" w:eastAsia="es-CO"/>
        </w:rPr>
        <w:t xml:space="preserve">2.5. Aplicación de la Sentencia de Unificación </w:t>
      </w:r>
      <w:r w:rsidR="003305FD" w:rsidRPr="00720382">
        <w:rPr>
          <w:rFonts w:ascii="Arial" w:hAnsi="Arial" w:cs="Arial"/>
          <w:b/>
          <w:bCs/>
          <w:sz w:val="22"/>
          <w:szCs w:val="22"/>
          <w:lang w:val="es-MX" w:eastAsia="es-CO"/>
        </w:rPr>
        <w:t xml:space="preserve">Jurisprudencial </w:t>
      </w:r>
      <w:r w:rsidRPr="00720382">
        <w:rPr>
          <w:rFonts w:ascii="Arial" w:hAnsi="Arial" w:cs="Arial"/>
          <w:b/>
          <w:bCs/>
          <w:sz w:val="22"/>
          <w:szCs w:val="22"/>
          <w:lang w:val="es-MX" w:eastAsia="es-CO"/>
        </w:rPr>
        <w:t>del Consejo de Estado en los contratos de prestación de servicios</w:t>
      </w:r>
      <w:r w:rsidR="009B3E84" w:rsidRPr="00720382">
        <w:rPr>
          <w:rFonts w:ascii="Arial" w:hAnsi="Arial" w:cs="Arial"/>
          <w:b/>
          <w:bCs/>
          <w:sz w:val="22"/>
          <w:szCs w:val="22"/>
          <w:lang w:val="es-MX" w:eastAsia="es-CO"/>
        </w:rPr>
        <w:t xml:space="preserve"> y la competencia de Colombia Compra Eficiente</w:t>
      </w:r>
    </w:p>
    <w:p w14:paraId="48FC9C6C" w14:textId="77777777" w:rsidR="00AA6DE1" w:rsidRPr="00720382" w:rsidRDefault="00AA6DE1" w:rsidP="00720382">
      <w:pPr>
        <w:spacing w:line="276" w:lineRule="auto"/>
        <w:jc w:val="both"/>
        <w:rPr>
          <w:rFonts w:ascii="Arial" w:hAnsi="Arial" w:cs="Arial"/>
          <w:b/>
          <w:bCs/>
          <w:sz w:val="22"/>
          <w:szCs w:val="22"/>
          <w:lang w:val="es-MX" w:eastAsia="es-CO"/>
        </w:rPr>
      </w:pPr>
    </w:p>
    <w:p w14:paraId="596AE58D" w14:textId="0192CF27" w:rsidR="00A07F1E" w:rsidRPr="00720382" w:rsidRDefault="00AA6DE1" w:rsidP="007160C8">
      <w:pPr>
        <w:spacing w:after="120" w:line="276" w:lineRule="auto"/>
        <w:jc w:val="both"/>
        <w:textAlignment w:val="baseline"/>
        <w:rPr>
          <w:rFonts w:ascii="Arial" w:eastAsia="Calibri" w:hAnsi="Arial" w:cs="Arial"/>
          <w:sz w:val="22"/>
          <w:szCs w:val="22"/>
          <w:lang w:val="es-ES" w:eastAsia="en-US"/>
        </w:rPr>
      </w:pPr>
      <w:r w:rsidRPr="00720382">
        <w:rPr>
          <w:rFonts w:ascii="Arial" w:hAnsi="Arial" w:cs="Arial"/>
          <w:sz w:val="22"/>
          <w:szCs w:val="22"/>
          <w:lang w:val="es-ES"/>
        </w:rPr>
        <w:t>De conformidad con la competencia otorgada por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720382">
        <w:rPr>
          <w:rFonts w:ascii="Arial" w:eastAsia="Calibri" w:hAnsi="Arial" w:cs="Arial"/>
          <w:sz w:val="22"/>
          <w:szCs w:val="22"/>
          <w:vertAlign w:val="superscript"/>
          <w:lang w:val="es-ES" w:eastAsia="en-US"/>
        </w:rPr>
        <w:footnoteReference w:id="26"/>
      </w:r>
      <w:r w:rsidRPr="00720382">
        <w:rPr>
          <w:rFonts w:ascii="Arial" w:hAnsi="Arial" w:cs="Arial"/>
          <w:sz w:val="22"/>
          <w:szCs w:val="22"/>
          <w:lang w:val="es-ES"/>
        </w:rPr>
        <w:t xml:space="preserve">. </w:t>
      </w:r>
      <w:r w:rsidR="00A07F1E" w:rsidRPr="00720382">
        <w:rPr>
          <w:rFonts w:ascii="Arial" w:hAnsi="Arial" w:cs="Arial"/>
          <w:sz w:val="22"/>
          <w:lang w:val="es-ES"/>
        </w:rPr>
        <w:t>Esto significa que la entidad no puede pronunciarse sobre casos particulares o sobre preguntas que no contengan dudas sobre la interpretación de una norma general del sistema de compras y</w:t>
      </w:r>
      <w:r w:rsidR="00A07F1E" w:rsidRPr="00720382">
        <w:rPr>
          <w:rFonts w:ascii="Arial" w:hAnsi="Arial" w:cs="Arial"/>
          <w:sz w:val="22"/>
          <w:lang w:val="es-ES" w:eastAsia="es-CO"/>
        </w:rPr>
        <w:t xml:space="preserve"> contratación pública. </w:t>
      </w:r>
    </w:p>
    <w:p w14:paraId="066A6907" w14:textId="436D3CAA" w:rsidR="00AA6DE1" w:rsidRPr="00720382" w:rsidRDefault="00692389" w:rsidP="00A07F1E">
      <w:pPr>
        <w:spacing w:after="120" w:line="276" w:lineRule="auto"/>
        <w:ind w:firstLine="708"/>
        <w:jc w:val="both"/>
        <w:textAlignment w:val="baseline"/>
        <w:rPr>
          <w:rFonts w:ascii="Arial" w:eastAsia="Calibri" w:hAnsi="Arial" w:cs="Arial"/>
          <w:sz w:val="22"/>
          <w:szCs w:val="22"/>
          <w:lang w:val="es-ES" w:eastAsia="en-US"/>
        </w:rPr>
      </w:pPr>
      <w:r w:rsidRPr="00720382">
        <w:rPr>
          <w:rFonts w:ascii="Arial" w:eastAsia="Calibri" w:hAnsi="Arial" w:cs="Arial"/>
          <w:sz w:val="22"/>
          <w:szCs w:val="22"/>
          <w:lang w:val="es-ES" w:eastAsia="en-US"/>
        </w:rPr>
        <w:t xml:space="preserve">Una de las solicitudes, motivo de consulta, </w:t>
      </w:r>
      <w:r w:rsidR="00AA6DE1" w:rsidRPr="00720382">
        <w:rPr>
          <w:rFonts w:ascii="Arial" w:eastAsia="Calibri" w:hAnsi="Arial" w:cs="Arial"/>
          <w:sz w:val="22"/>
          <w:szCs w:val="22"/>
          <w:lang w:val="es-ES" w:eastAsia="en-US"/>
        </w:rPr>
        <w:t xml:space="preserve">tiene como propósito que Colombia Compra Eficiente le brinde asesoría, emitiendo un concepto jurídico en el que se establezca si es posible aplicar lo establecido en la sentencia de unificación del 9 de septiembre de </w:t>
      </w:r>
      <w:r w:rsidR="00AA6DE1" w:rsidRPr="00720382">
        <w:rPr>
          <w:rFonts w:ascii="Arial" w:eastAsia="Calibri" w:hAnsi="Arial" w:cs="Arial"/>
          <w:sz w:val="22"/>
          <w:szCs w:val="22"/>
          <w:lang w:val="es-ES" w:eastAsia="en-US"/>
        </w:rPr>
        <w:lastRenderedPageBreak/>
        <w:t>2021</w:t>
      </w:r>
      <w:r w:rsidR="004175C7" w:rsidRPr="00720382">
        <w:rPr>
          <w:rFonts w:ascii="Arial" w:eastAsia="Calibri" w:hAnsi="Arial" w:cs="Arial"/>
          <w:sz w:val="22"/>
          <w:szCs w:val="22"/>
          <w:lang w:val="es-ES" w:eastAsia="en-US"/>
        </w:rPr>
        <w:t xml:space="preserve"> </w:t>
      </w:r>
      <w:r w:rsidR="00AA6DE1" w:rsidRPr="00720382">
        <w:rPr>
          <w:rFonts w:ascii="Arial" w:eastAsia="Calibri" w:hAnsi="Arial" w:cs="Arial"/>
          <w:sz w:val="22"/>
          <w:szCs w:val="22"/>
          <w:lang w:val="es-ES" w:eastAsia="en-US"/>
        </w:rPr>
        <w:t>emitida por el Consejo de Estado, en vigencia de L</w:t>
      </w:r>
      <w:r w:rsidRPr="00720382">
        <w:rPr>
          <w:rFonts w:ascii="Arial" w:eastAsia="Calibri" w:hAnsi="Arial" w:cs="Arial"/>
          <w:sz w:val="22"/>
          <w:szCs w:val="22"/>
          <w:lang w:val="es-ES" w:eastAsia="en-US"/>
        </w:rPr>
        <w:t xml:space="preserve">ey de garantías, para los patrimonios </w:t>
      </w:r>
      <w:r w:rsidR="007160C8" w:rsidRPr="00720382">
        <w:rPr>
          <w:rFonts w:ascii="Arial" w:eastAsia="Calibri" w:hAnsi="Arial" w:cs="Arial"/>
          <w:sz w:val="22"/>
          <w:szCs w:val="22"/>
          <w:lang w:val="es-ES" w:eastAsia="en-US"/>
        </w:rPr>
        <w:t xml:space="preserve">autónomos </w:t>
      </w:r>
      <w:r w:rsidRPr="00720382">
        <w:rPr>
          <w:rFonts w:ascii="Arial" w:eastAsia="Calibri" w:hAnsi="Arial" w:cs="Arial"/>
          <w:sz w:val="22"/>
          <w:szCs w:val="22"/>
          <w:lang w:val="es-ES" w:eastAsia="en-US"/>
        </w:rPr>
        <w:t>que celebren</w:t>
      </w:r>
      <w:r w:rsidR="00AA6DE1" w:rsidRPr="00720382">
        <w:rPr>
          <w:rFonts w:ascii="Arial" w:eastAsia="Calibri" w:hAnsi="Arial" w:cs="Arial"/>
          <w:sz w:val="22"/>
          <w:szCs w:val="22"/>
          <w:lang w:val="es-ES" w:eastAsia="en-US"/>
        </w:rPr>
        <w:t xml:space="preserve"> contratos de prestación de servicio</w:t>
      </w:r>
      <w:r w:rsidRPr="00720382">
        <w:rPr>
          <w:rFonts w:ascii="Arial" w:eastAsia="Calibri" w:hAnsi="Arial" w:cs="Arial"/>
          <w:sz w:val="22"/>
          <w:szCs w:val="22"/>
          <w:lang w:val="es-ES" w:eastAsia="en-US"/>
        </w:rPr>
        <w:t xml:space="preserve">s. </w:t>
      </w:r>
    </w:p>
    <w:p w14:paraId="01B805F0" w14:textId="01CB49C2" w:rsidR="009604ED" w:rsidRPr="00720382" w:rsidRDefault="009604ED" w:rsidP="009604ED">
      <w:pPr>
        <w:spacing w:after="120" w:line="276" w:lineRule="auto"/>
        <w:ind w:firstLine="708"/>
        <w:jc w:val="both"/>
        <w:rPr>
          <w:rFonts w:ascii="Arial" w:eastAsia="Calibri" w:hAnsi="Arial" w:cs="Arial"/>
          <w:sz w:val="22"/>
          <w:lang w:val="es-ES"/>
        </w:rPr>
      </w:pPr>
      <w:r w:rsidRPr="00720382">
        <w:rPr>
          <w:rFonts w:ascii="Arial" w:hAnsi="Arial" w:cs="Arial"/>
          <w:sz w:val="22"/>
          <w:lang w:val="es-ES" w:eastAsia="es-CO"/>
        </w:rPr>
        <w:t>Sin embargo, cuando los contratos de prestación de servicios encubren relaciones de subordinación, el problema jurídico consiste en determinar la existencia de una posible relación laboral.</w:t>
      </w:r>
      <w:r w:rsidRPr="00720382">
        <w:rPr>
          <w:rFonts w:ascii="Arial" w:eastAsia="Calibri" w:hAnsi="Arial" w:cs="Arial"/>
          <w:sz w:val="22"/>
          <w:lang w:val="es-ES"/>
        </w:rPr>
        <w:t xml:space="preserve"> En este sentido, la Agencia Nacional de Contratación Pública – Colombia Compra Eficiente no es el órgano autorizado para conceptuar sobre las implicaciones de los contratos realidad</w:t>
      </w:r>
      <w:r w:rsidR="004175C7" w:rsidRPr="00720382">
        <w:rPr>
          <w:rFonts w:ascii="Arial" w:eastAsia="Calibri" w:hAnsi="Arial" w:cs="Arial"/>
          <w:sz w:val="22"/>
          <w:lang w:val="es-ES"/>
        </w:rPr>
        <w:t>, tampoco</w:t>
      </w:r>
      <w:r w:rsidRPr="00720382">
        <w:rPr>
          <w:rFonts w:ascii="Arial" w:eastAsia="Calibri" w:hAnsi="Arial" w:cs="Arial"/>
          <w:sz w:val="22"/>
          <w:lang w:val="es-ES"/>
        </w:rPr>
        <w:t xml:space="preserve"> para establecer el alcance de las sentencias de unificación del Consejo de Estado sobre conflictos en temas laborales. En otras palabras, esta entidad no puede establecer directrices al respecto, especialmente porque los lineamientos para evitar la configuración de daños antijurídicos en dicha materia corresponden a </w:t>
      </w:r>
      <w:r w:rsidR="004175C7" w:rsidRPr="00720382">
        <w:rPr>
          <w:rFonts w:ascii="Arial" w:eastAsia="Calibri" w:hAnsi="Arial" w:cs="Arial"/>
          <w:sz w:val="22"/>
          <w:lang w:val="es-ES"/>
        </w:rPr>
        <w:t>una</w:t>
      </w:r>
      <w:r w:rsidRPr="00720382">
        <w:rPr>
          <w:rFonts w:ascii="Arial" w:eastAsia="Calibri" w:hAnsi="Arial" w:cs="Arial"/>
          <w:sz w:val="22"/>
          <w:lang w:val="es-ES"/>
        </w:rPr>
        <w:t xml:space="preserve"> entidad</w:t>
      </w:r>
      <w:r w:rsidR="004175C7" w:rsidRPr="00720382">
        <w:rPr>
          <w:rFonts w:ascii="Arial" w:eastAsia="Calibri" w:hAnsi="Arial" w:cs="Arial"/>
          <w:sz w:val="22"/>
          <w:lang w:val="es-ES"/>
        </w:rPr>
        <w:t xml:space="preserve"> distinta</w:t>
      </w:r>
      <w:r w:rsidRPr="00720382">
        <w:rPr>
          <w:rFonts w:ascii="Arial" w:eastAsia="Calibri" w:hAnsi="Arial" w:cs="Arial"/>
          <w:sz w:val="22"/>
          <w:lang w:val="es-ES"/>
        </w:rPr>
        <w:t>.</w:t>
      </w:r>
    </w:p>
    <w:p w14:paraId="0BC86F27" w14:textId="6ED95357" w:rsidR="009604ED" w:rsidRPr="00720382" w:rsidRDefault="009604ED" w:rsidP="009604ED">
      <w:pPr>
        <w:spacing w:after="120" w:line="276" w:lineRule="auto"/>
        <w:ind w:firstLine="708"/>
        <w:jc w:val="both"/>
        <w:rPr>
          <w:rFonts w:ascii="Arial" w:eastAsia="Calibri" w:hAnsi="Arial" w:cs="Arial"/>
          <w:sz w:val="22"/>
        </w:rPr>
      </w:pPr>
      <w:r w:rsidRPr="00720382">
        <w:rPr>
          <w:rFonts w:ascii="Arial" w:eastAsia="Calibri" w:hAnsi="Arial" w:cs="Arial"/>
          <w:i/>
          <w:iCs/>
          <w:sz w:val="22"/>
          <w:lang w:val="es-ES"/>
        </w:rPr>
        <w:t>Por un lado</w:t>
      </w:r>
      <w:r w:rsidRPr="00720382">
        <w:rPr>
          <w:rFonts w:ascii="Arial" w:eastAsia="Calibri" w:hAnsi="Arial" w:cs="Arial"/>
          <w:sz w:val="22"/>
          <w:lang w:val="es-ES"/>
        </w:rPr>
        <w:t xml:space="preserve">, </w:t>
      </w:r>
      <w:bookmarkStart w:id="48" w:name="_Hlk88117383"/>
      <w:r w:rsidRPr="00720382">
        <w:rPr>
          <w:rFonts w:ascii="Arial" w:eastAsia="Calibri" w:hAnsi="Arial" w:cs="Arial"/>
          <w:sz w:val="22"/>
          <w:lang w:val="es-ES"/>
        </w:rPr>
        <w:t xml:space="preserve">Colombia Compra Eficiente solo resuelve consultas sobre normas generales del sistema de compras y contratación pública. No obstante, </w:t>
      </w:r>
      <w:r w:rsidRPr="00720382">
        <w:rPr>
          <w:rStyle w:val="normaltextrun"/>
          <w:rFonts w:ascii="Arial" w:hAnsi="Arial" w:cs="Arial"/>
          <w:color w:val="000000"/>
          <w:sz w:val="22"/>
          <w:shd w:val="clear" w:color="auto" w:fill="FFFFFF"/>
        </w:rPr>
        <w:t>si bien la jurisprudencia es una pauta de autoridad para entender el contenido de las leyes y los reglamentos, la sentencia de unificación del 9 de septiembre de 2021 fue expedida por la Sección Segunda del Consejo de Estado, la cual se encarga principalmente de resolver controversias judiciales en materia laboral</w:t>
      </w:r>
      <w:r w:rsidR="00582EB8" w:rsidRPr="00720382">
        <w:rPr>
          <w:rStyle w:val="normaltextrun"/>
          <w:rFonts w:ascii="Arial" w:hAnsi="Arial" w:cs="Arial"/>
          <w:color w:val="000000"/>
          <w:sz w:val="22"/>
          <w:shd w:val="clear" w:color="auto" w:fill="FFFFFF"/>
        </w:rPr>
        <w:t>, que se reitera, son ajenas a las competencias de la Agencia nacional de Contratación Pública.</w:t>
      </w:r>
      <w:r w:rsidRPr="00720382">
        <w:rPr>
          <w:rFonts w:ascii="Arial" w:eastAsia="Calibri" w:hAnsi="Arial" w:cs="Arial"/>
          <w:sz w:val="22"/>
          <w:lang w:val="es-ES"/>
        </w:rPr>
        <w:t xml:space="preserve"> </w:t>
      </w:r>
      <w:r w:rsidRPr="00720382">
        <w:rPr>
          <w:rFonts w:ascii="Arial" w:eastAsia="Calibri" w:hAnsi="Arial" w:cs="Arial"/>
          <w:i/>
          <w:iCs/>
          <w:sz w:val="22"/>
          <w:lang w:val="es-ES"/>
        </w:rPr>
        <w:t>Por otra parte</w:t>
      </w:r>
      <w:r w:rsidRPr="00720382">
        <w:rPr>
          <w:rFonts w:ascii="Arial" w:eastAsia="Calibri" w:hAnsi="Arial" w:cs="Arial"/>
          <w:sz w:val="22"/>
          <w:lang w:val="es-ES"/>
        </w:rPr>
        <w:t>, es necesario tener en cuenta que la Directiva de la Procuraduría General de la República 001 del 4 de enero de 2021 dispuso «</w:t>
      </w:r>
      <w:r w:rsidRPr="00720382">
        <w:rPr>
          <w:rFonts w:ascii="Arial" w:eastAsia="Calibri" w:hAnsi="Arial" w:cs="Arial"/>
          <w:sz w:val="22"/>
        </w:rPr>
        <w:t>Exhortar a la Agencia Nacional de Defensa Jurídica del Estado, a continuar adelantando, en la órbita de la función preventiva judicial, actividades para evitar el contrato realidad con las entidades de la rama ejecutiva del nivel nacional y hacer pedagogía y brindar apoyo a las entidades territoriales».</w:t>
      </w:r>
    </w:p>
    <w:p w14:paraId="235CF008" w14:textId="65133D7D" w:rsidR="009604ED" w:rsidRPr="00720382" w:rsidRDefault="009604ED" w:rsidP="009604ED">
      <w:pPr>
        <w:spacing w:line="276" w:lineRule="auto"/>
        <w:ind w:firstLine="708"/>
        <w:jc w:val="both"/>
        <w:rPr>
          <w:rFonts w:ascii="Arial" w:eastAsia="Calibri" w:hAnsi="Arial" w:cs="Arial"/>
          <w:sz w:val="22"/>
          <w:lang w:val="es-ES"/>
        </w:rPr>
      </w:pPr>
      <w:r w:rsidRPr="00720382">
        <w:rPr>
          <w:rFonts w:ascii="Arial" w:eastAsia="Calibri" w:hAnsi="Arial" w:cs="Arial"/>
          <w:sz w:val="22"/>
          <w:lang w:val="es-ES"/>
        </w:rPr>
        <w:t xml:space="preserve">Teniendo en cuenta lo anterior, con fundamento en los criterios establecidos en la sentencia de unificación </w:t>
      </w:r>
      <w:r w:rsidR="00582EB8" w:rsidRPr="00720382">
        <w:rPr>
          <w:rFonts w:ascii="Arial" w:eastAsia="Calibri" w:hAnsi="Arial" w:cs="Arial"/>
          <w:sz w:val="22"/>
          <w:lang w:val="es-ES"/>
        </w:rPr>
        <w:t xml:space="preserve">de </w:t>
      </w:r>
      <w:r w:rsidRPr="00720382">
        <w:rPr>
          <w:rFonts w:ascii="Arial" w:eastAsia="Calibri" w:hAnsi="Arial" w:cs="Arial"/>
          <w:sz w:val="22"/>
          <w:lang w:val="es-ES"/>
        </w:rPr>
        <w:t xml:space="preserve">jurisprudencia, la ANDJE estableció lineamientos en torno a la forma de prevenir la configuración de contratos realidad. </w:t>
      </w:r>
      <w:bookmarkEnd w:id="48"/>
      <w:r w:rsidRPr="00720382">
        <w:rPr>
          <w:rFonts w:ascii="Arial" w:eastAsia="Calibri" w:hAnsi="Arial" w:cs="Arial"/>
          <w:sz w:val="22"/>
          <w:lang w:val="es-ES"/>
        </w:rPr>
        <w:t xml:space="preserve">De esta manera, conforme a la Comunicación Interinstitucional del 20 de octubre de 2021 que se adjunta a este oficio, dicha Agencia precisó lo siguiente: </w:t>
      </w:r>
    </w:p>
    <w:p w14:paraId="3F712A9B" w14:textId="77777777" w:rsidR="009604ED" w:rsidRPr="00720382" w:rsidRDefault="009604ED" w:rsidP="009604ED">
      <w:pPr>
        <w:spacing w:line="276" w:lineRule="auto"/>
        <w:ind w:firstLine="708"/>
        <w:jc w:val="both"/>
        <w:rPr>
          <w:rFonts w:ascii="Arial" w:eastAsia="Calibri" w:hAnsi="Arial" w:cs="Arial"/>
          <w:sz w:val="22"/>
          <w:lang w:val="es-ES"/>
        </w:rPr>
      </w:pPr>
    </w:p>
    <w:p w14:paraId="737C4061" w14:textId="77777777" w:rsidR="009604ED" w:rsidRPr="00720382" w:rsidRDefault="009604ED" w:rsidP="009604ED">
      <w:pPr>
        <w:shd w:val="clear" w:color="auto" w:fill="FFFFFF"/>
        <w:ind w:left="709" w:right="709"/>
        <w:jc w:val="both"/>
        <w:textAlignment w:val="baseline"/>
        <w:rPr>
          <w:rFonts w:ascii="Arial" w:hAnsi="Arial" w:cs="Arial"/>
          <w:b/>
          <w:sz w:val="21"/>
          <w:szCs w:val="21"/>
        </w:rPr>
      </w:pPr>
      <w:r w:rsidRPr="00720382">
        <w:rPr>
          <w:rFonts w:ascii="Arial" w:hAnsi="Arial" w:cs="Arial"/>
          <w:b/>
          <w:sz w:val="21"/>
          <w:szCs w:val="21"/>
        </w:rPr>
        <w:t xml:space="preserve">V. Recomendaciones adicionales en materia de prevención del daño antijurídico </w:t>
      </w:r>
    </w:p>
    <w:p w14:paraId="00BEB716" w14:textId="77777777" w:rsidR="009604ED" w:rsidRPr="00720382" w:rsidRDefault="009604ED" w:rsidP="009604ED">
      <w:pPr>
        <w:shd w:val="clear" w:color="auto" w:fill="FFFFFF"/>
        <w:ind w:left="709" w:right="709"/>
        <w:jc w:val="both"/>
        <w:textAlignment w:val="baseline"/>
        <w:rPr>
          <w:rFonts w:ascii="Arial" w:hAnsi="Arial" w:cs="Arial"/>
          <w:b/>
          <w:sz w:val="21"/>
          <w:szCs w:val="21"/>
        </w:rPr>
      </w:pPr>
    </w:p>
    <w:p w14:paraId="2F82858F" w14:textId="77777777" w:rsidR="009604ED" w:rsidRPr="00720382" w:rsidRDefault="009604ED" w:rsidP="009604ED">
      <w:pPr>
        <w:shd w:val="clear" w:color="auto" w:fill="FFFFFF"/>
        <w:ind w:left="709" w:right="709"/>
        <w:jc w:val="both"/>
        <w:textAlignment w:val="baseline"/>
        <w:rPr>
          <w:rFonts w:ascii="Arial" w:hAnsi="Arial" w:cs="Arial"/>
          <w:b/>
          <w:sz w:val="21"/>
          <w:szCs w:val="21"/>
        </w:rPr>
      </w:pPr>
      <w:r w:rsidRPr="00720382">
        <w:rPr>
          <w:rFonts w:ascii="Arial" w:hAnsi="Arial" w:cs="Arial"/>
          <w:b/>
          <w:sz w:val="21"/>
          <w:szCs w:val="21"/>
        </w:rPr>
        <w:t>a. En la fase precontractual:</w:t>
      </w:r>
    </w:p>
    <w:p w14:paraId="3D4A8C21"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6FEE9069"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 Abstenerse en todo momento de dar instrucciones, impartir ordenes, o solicitar el cumplimiento de actividades a personas cuya relación contractual con la entidad ha finiquitado, aún en los eventos en los que se requiera volver a contratar con la misma persona. Este hecho constituye un comportamiento que incrementa de manera grave el riesgo jurídico de configurar una verdadera relación laboral. </w:t>
      </w:r>
    </w:p>
    <w:p w14:paraId="2E26FA24"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2857036F"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lastRenderedPageBreak/>
        <w:t xml:space="preserve">• Acudir al contrato de prestación de servicios cuando sea estrictamente necesario y evitar que a través del mismo se desarrollen funciones de carácter permanente de la administración. </w:t>
      </w:r>
    </w:p>
    <w:p w14:paraId="2D2B7053"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7680E010"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Elaborar estudios previos respetando el principio de planeación y legalidad, en los cuales se deben establecer y justificar las necesidades de la entidad y la temporalidad de las mismas. </w:t>
      </w:r>
    </w:p>
    <w:p w14:paraId="4920C3B1"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09003D23"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Establecer expresamente en los estudios previos la necesidad de la contratación y la temporalidad del objeto contractual. </w:t>
      </w:r>
    </w:p>
    <w:p w14:paraId="69362767"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5D928364"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Evitar contratar la realización de tareas idénticas, semejantes o equivalentes a las asignadas en forma permanente a los funcionarios o empleados de planta de la entidad. </w:t>
      </w:r>
    </w:p>
    <w:p w14:paraId="58C77F86"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78741C9B"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En los eventos en que se acuda a la prórroga del contrato, se debe soportar la situación por las cuales se hace necesario la modificación o ampliación del plazo inicialmente pactado. </w:t>
      </w:r>
    </w:p>
    <w:p w14:paraId="197A59DA"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05D5B746" w14:textId="77777777" w:rsidR="009604ED" w:rsidRPr="00720382" w:rsidRDefault="009604ED" w:rsidP="009604ED">
      <w:pPr>
        <w:shd w:val="clear" w:color="auto" w:fill="FFFFFF"/>
        <w:ind w:left="709" w:right="709"/>
        <w:jc w:val="both"/>
        <w:textAlignment w:val="baseline"/>
        <w:rPr>
          <w:rFonts w:ascii="Arial" w:hAnsi="Arial" w:cs="Arial"/>
          <w:b/>
          <w:sz w:val="21"/>
          <w:szCs w:val="21"/>
        </w:rPr>
      </w:pPr>
      <w:r w:rsidRPr="00720382">
        <w:rPr>
          <w:rFonts w:ascii="Arial" w:hAnsi="Arial" w:cs="Arial"/>
          <w:b/>
          <w:sz w:val="21"/>
          <w:szCs w:val="21"/>
        </w:rPr>
        <w:t xml:space="preserve">b. En la fase de ejecución contractual: </w:t>
      </w:r>
    </w:p>
    <w:p w14:paraId="72E498F2"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46CC75AC"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La subordinación o dependencia continuada del trabajador constituye un elemento subjetivo determinante que distingue las relaciones de carácter laboral de las demás prestaciones de servicios, en razón la entidad debe abstenerse de:</w:t>
      </w:r>
    </w:p>
    <w:p w14:paraId="2CCB27C5"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08C173B5"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w:t>
      </w:r>
      <w:r w:rsidRPr="00720382">
        <w:rPr>
          <w:rFonts w:ascii="Segoe UI Symbol" w:hAnsi="Segoe UI Symbol" w:cs="Segoe UI Symbol"/>
          <w:sz w:val="21"/>
          <w:szCs w:val="21"/>
        </w:rPr>
        <w:t>➢</w:t>
      </w:r>
      <w:r w:rsidRPr="00720382">
        <w:rPr>
          <w:rFonts w:ascii="Arial" w:hAnsi="Arial" w:cs="Arial"/>
          <w:sz w:val="21"/>
          <w:szCs w:val="21"/>
        </w:rPr>
        <w:t xml:space="preserve"> Exigir al contratista el cumplimiento de órdenes. En sentido contrario, la entidad sí puede efectuar una coordinación de actividades. Así lo indicó la sentencia de unificación al señalar que “lo que debe existir entre contratante y contratista es una relación de coordinación de actividades, la cual implica que el segundo se somete a las condiciones necesarias para el desarrollo eficiente del objeto contractual, como puede ser el cumplimiento de un horario o el hecho de recibir una serie de instrucciones de sus superiores, o tener que reportar informes sobre sus resultados”. </w:t>
      </w:r>
    </w:p>
    <w:p w14:paraId="008090A5"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5F39ABA8"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Imponer el cumplimiento de jornada y horario, salvo que las necesidades del servicio así lo requieran, siempre y cuando exista una justificación estricta y precisa. </w:t>
      </w:r>
    </w:p>
    <w:p w14:paraId="427B4232"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0DA74844"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Imponer al contratista los protocolos de la organización y someterlo a su poder disciplinario. </w:t>
      </w:r>
    </w:p>
    <w:p w14:paraId="658C12D8"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49BBE6DF"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Exigir al contratista la asistencia presencial a la entidad para el cumplimiento de sus actividades, lo anterior siempre y cuando dicha necesidad no esté justificada en los estudios previos y la minuta del contrato. </w:t>
      </w:r>
    </w:p>
    <w:p w14:paraId="4894E343"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12DF4A8C"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lastRenderedPageBreak/>
        <w:t>➢</w:t>
      </w:r>
      <w:r w:rsidRPr="00720382">
        <w:rPr>
          <w:rFonts w:ascii="Arial" w:hAnsi="Arial" w:cs="Arial"/>
          <w:sz w:val="21"/>
          <w:szCs w:val="21"/>
        </w:rPr>
        <w:t xml:space="preserve"> Evitar exigirle al contratista la participación obligatoria en capacitaciones o eventos que no se encuentren estipulados en el contrato de prestación de servicios. </w:t>
      </w:r>
    </w:p>
    <w:p w14:paraId="1B3BA218"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59C64643"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La entidad debe garantizar que las funciones del contratista se desarrollen con alto grado de autonomía, sin perjuicio de la necesidad de coordinación con la entidad contratante.</w:t>
      </w:r>
    </w:p>
    <w:p w14:paraId="2682667C" w14:textId="77777777" w:rsidR="009604ED" w:rsidRPr="00720382" w:rsidRDefault="009604ED" w:rsidP="009604ED">
      <w:pPr>
        <w:shd w:val="clear" w:color="auto" w:fill="FFFFFF"/>
        <w:ind w:left="709" w:right="709"/>
        <w:jc w:val="both"/>
        <w:textAlignment w:val="baseline"/>
        <w:rPr>
          <w:rFonts w:ascii="Arial" w:hAnsi="Arial" w:cs="Arial"/>
          <w:sz w:val="21"/>
          <w:szCs w:val="21"/>
        </w:rPr>
      </w:pPr>
    </w:p>
    <w:p w14:paraId="73A27D55" w14:textId="77777777" w:rsidR="009604ED" w:rsidRPr="00720382" w:rsidRDefault="009604ED" w:rsidP="009604ED">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 Debe también capacitar de manera permanente a los supervisores de los contratos de prestación de servicios para el debido ejercicio de las funciones y evitar la desnaturalización del mismo. </w:t>
      </w:r>
    </w:p>
    <w:p w14:paraId="3BAF215C" w14:textId="77777777" w:rsidR="009604ED" w:rsidRPr="00720382" w:rsidRDefault="009604ED" w:rsidP="009604ED">
      <w:pPr>
        <w:shd w:val="clear" w:color="auto" w:fill="FFFFFF"/>
        <w:textAlignment w:val="baseline"/>
      </w:pPr>
    </w:p>
    <w:p w14:paraId="489FAD73" w14:textId="77777777" w:rsidR="009604ED" w:rsidRPr="00720382" w:rsidRDefault="009604ED" w:rsidP="009604ED">
      <w:pPr>
        <w:shd w:val="clear" w:color="auto" w:fill="FFFFFF"/>
        <w:spacing w:after="120" w:line="276" w:lineRule="auto"/>
        <w:ind w:firstLine="708"/>
        <w:jc w:val="both"/>
        <w:textAlignment w:val="baseline"/>
        <w:rPr>
          <w:rFonts w:ascii="Arial" w:hAnsi="Arial" w:cs="Arial"/>
          <w:sz w:val="22"/>
          <w:lang w:eastAsia="es-CO"/>
        </w:rPr>
      </w:pPr>
      <w:r w:rsidRPr="00720382">
        <w:rPr>
          <w:rFonts w:ascii="Arial" w:hAnsi="Arial" w:cs="Arial"/>
          <w:sz w:val="22"/>
          <w:lang w:eastAsia="es-CO"/>
        </w:rPr>
        <w:t>Además, la Presidencia de la República expidió la Directiva 07 del 28 de octubre de 2021 con el fin de determinar el alcance de la sentencia de unificación jurisprudencial, la cual sirve de guía para las decisiones que deberán tomar las diferentes entidades públicas. Además, en armonía con lo expuesto anteriormente, el numeral 5 de dicha Directiva reitera la competencia de la</w:t>
      </w:r>
      <w:r w:rsidRPr="00720382">
        <w:rPr>
          <w:rFonts w:ascii="Arial" w:eastAsia="Calibri" w:hAnsi="Arial" w:cs="Arial"/>
          <w:sz w:val="22"/>
          <w:lang w:val="es-ES"/>
        </w:rPr>
        <w:t xml:space="preserve"> ANDJE</w:t>
      </w:r>
      <w:r w:rsidRPr="00720382">
        <w:rPr>
          <w:rFonts w:ascii="Arial" w:hAnsi="Arial" w:cs="Arial"/>
          <w:sz w:val="22"/>
          <w:lang w:eastAsia="es-CO"/>
        </w:rPr>
        <w:t xml:space="preserve"> al disponer que «Se deben atender los lineamientos que, sobre este asunto, imparta la Agencia Nacional de Defensa Jurídica del Estado, dentro de su función de prevención del daño antijurídico»</w:t>
      </w:r>
      <w:r w:rsidRPr="00720382">
        <w:rPr>
          <w:rStyle w:val="Refdenotaalpie"/>
          <w:rFonts w:ascii="Arial" w:hAnsi="Arial" w:cs="Arial"/>
          <w:sz w:val="22"/>
          <w:lang w:eastAsia="es-CO"/>
        </w:rPr>
        <w:footnoteReference w:id="27"/>
      </w:r>
      <w:r w:rsidRPr="00720382">
        <w:rPr>
          <w:rFonts w:ascii="Arial" w:hAnsi="Arial" w:cs="Arial"/>
          <w:sz w:val="22"/>
          <w:lang w:eastAsia="es-CO"/>
        </w:rPr>
        <w:t>. Esto resalta que Colombia Compra Eficiente carece de competencia para pronunciarse de fondo sobre este tema, pues los lineamientos para evitar daños antijurídicos en la configuración de contratos realidad corresponden a la Agencia anteriormente mencionada</w:t>
      </w:r>
      <w:r w:rsidRPr="00720382">
        <w:rPr>
          <w:rStyle w:val="Refdenotaalpie"/>
          <w:rFonts w:ascii="Arial" w:hAnsi="Arial" w:cs="Arial"/>
          <w:sz w:val="22"/>
          <w:lang w:eastAsia="es-CO"/>
        </w:rPr>
        <w:footnoteReference w:id="28"/>
      </w:r>
      <w:r w:rsidRPr="00720382">
        <w:rPr>
          <w:rFonts w:ascii="Arial" w:hAnsi="Arial" w:cs="Arial"/>
          <w:sz w:val="22"/>
          <w:lang w:eastAsia="es-CO"/>
        </w:rPr>
        <w:t xml:space="preserve">. </w:t>
      </w:r>
    </w:p>
    <w:p w14:paraId="30CDE540" w14:textId="77777777" w:rsidR="009604ED" w:rsidRPr="00720382" w:rsidRDefault="009604ED" w:rsidP="009604ED">
      <w:pPr>
        <w:shd w:val="clear" w:color="auto" w:fill="FFFFFF"/>
        <w:spacing w:after="120" w:line="276" w:lineRule="auto"/>
        <w:ind w:firstLine="708"/>
        <w:jc w:val="both"/>
        <w:textAlignment w:val="baseline"/>
        <w:rPr>
          <w:rFonts w:ascii="Arial" w:eastAsia="Calibri" w:hAnsi="Arial" w:cs="Arial"/>
          <w:sz w:val="22"/>
          <w:lang w:val="es-ES"/>
        </w:rPr>
      </w:pPr>
      <w:r w:rsidRPr="00720382">
        <w:rPr>
          <w:rFonts w:ascii="Arial" w:hAnsi="Arial" w:cs="Arial"/>
          <w:sz w:val="22"/>
          <w:lang w:eastAsia="es-CO"/>
        </w:rPr>
        <w:t>De otro lado, conforme al artículo 10 de la Ley 1437 de 2011, se precisa que las sentencias de unificación son de obligatorio cumplimiento</w:t>
      </w:r>
      <w:r w:rsidRPr="00720382">
        <w:rPr>
          <w:rStyle w:val="Refdenotaalpie"/>
          <w:rFonts w:ascii="Arial" w:hAnsi="Arial" w:cs="Arial"/>
          <w:sz w:val="22"/>
          <w:lang w:eastAsia="es-CO"/>
        </w:rPr>
        <w:footnoteReference w:id="29"/>
      </w:r>
      <w:r w:rsidRPr="00720382">
        <w:rPr>
          <w:rFonts w:ascii="Arial" w:hAnsi="Arial" w:cs="Arial"/>
          <w:color w:val="4B4949"/>
          <w:sz w:val="22"/>
        </w:rPr>
        <w:t>.</w:t>
      </w:r>
      <w:r w:rsidRPr="00720382">
        <w:rPr>
          <w:rFonts w:ascii="Arial" w:hAnsi="Arial" w:cs="Arial"/>
          <w:sz w:val="22"/>
          <w:lang w:eastAsia="es-CO"/>
        </w:rPr>
        <w:t xml:space="preserve"> </w:t>
      </w:r>
      <w:r w:rsidRPr="00720382">
        <w:rPr>
          <w:rFonts w:ascii="Arial" w:eastAsia="Calibri" w:hAnsi="Arial" w:cs="Arial"/>
          <w:sz w:val="22"/>
          <w:lang w:val="es-ES"/>
        </w:rPr>
        <w:t xml:space="preserve">Por ello, previo análisis de los lineamientos de la Agencia Nacional de Defensa Jurídica del Estado y la Directiva presidencial relacionados en el presente oficio, las autoridades tienen autonomía administrativa para el ejercicio de las funciones y competencias que les fueron atribuidas por el ordenamiento jurídico. Por esa razón, como responsables de su actividad contractual, </w:t>
      </w:r>
      <w:r w:rsidRPr="00720382">
        <w:rPr>
          <w:rFonts w:ascii="Arial" w:eastAsia="Calibri" w:hAnsi="Arial" w:cs="Arial"/>
          <w:sz w:val="22"/>
          <w:lang w:val="es-ES"/>
        </w:rPr>
        <w:lastRenderedPageBreak/>
        <w:t>les corresponde adoptar las decisiones y adelantar las actuaciones que estimen pertinentes para desarrollarla.</w:t>
      </w:r>
    </w:p>
    <w:p w14:paraId="3B842C5D" w14:textId="225F35D5" w:rsidR="009604ED" w:rsidRPr="00720382" w:rsidRDefault="009604ED" w:rsidP="00720382">
      <w:pPr>
        <w:spacing w:after="120" w:line="276" w:lineRule="auto"/>
        <w:ind w:firstLine="708"/>
        <w:jc w:val="both"/>
        <w:textAlignment w:val="baseline"/>
        <w:rPr>
          <w:rFonts w:ascii="Arial" w:eastAsia="Calibri" w:hAnsi="Arial" w:cs="Arial"/>
          <w:sz w:val="22"/>
          <w:szCs w:val="22"/>
          <w:lang w:val="es-ES" w:eastAsia="en-US"/>
        </w:rPr>
      </w:pPr>
      <w:r w:rsidRPr="00720382">
        <w:rPr>
          <w:rFonts w:ascii="Arial" w:eastAsia="Calibri" w:hAnsi="Arial" w:cs="Arial"/>
          <w:sz w:val="22"/>
          <w:lang w:val="es-ES"/>
        </w:rPr>
        <w:t xml:space="preserve">Es necesario anotar que la sentencia de unificación no modifica el alcance de las prohibiciones de la Ley 996 de 2005. Por </w:t>
      </w:r>
      <w:r w:rsidR="00582EB8" w:rsidRPr="00720382">
        <w:rPr>
          <w:rFonts w:ascii="Arial" w:eastAsia="Calibri" w:hAnsi="Arial" w:cs="Arial"/>
          <w:sz w:val="22"/>
          <w:lang w:val="es-ES"/>
        </w:rPr>
        <w:t>ello</w:t>
      </w:r>
      <w:r w:rsidRPr="00720382">
        <w:rPr>
          <w:rFonts w:ascii="Arial" w:eastAsia="Calibri" w:hAnsi="Arial" w:cs="Arial"/>
          <w:sz w:val="22"/>
          <w:lang w:val="es-ES"/>
        </w:rPr>
        <w:t>, las prohibiciones contempladas en dicha ley tampoco condicionan las reglas de unificación de la sentencia, pues son dos temas independientes. En consecuencia, con la asesoría de sus equipos jurídicos, corresponde a las entidades determinar de manera autónoma la viabilidad de suscribir contratos en vigencia de la Ley de Garantías.</w:t>
      </w:r>
    </w:p>
    <w:p w14:paraId="31E6DF2D" w14:textId="2449EE56" w:rsidR="00905CE5" w:rsidRPr="00720382" w:rsidRDefault="00905CE5" w:rsidP="00861F5C">
      <w:pPr>
        <w:tabs>
          <w:tab w:val="left" w:pos="426"/>
        </w:tabs>
        <w:spacing w:line="276" w:lineRule="auto"/>
        <w:jc w:val="both"/>
        <w:rPr>
          <w:rFonts w:ascii="Arial" w:hAnsi="Arial" w:cs="Arial"/>
          <w:color w:val="000000" w:themeColor="text1"/>
          <w:sz w:val="22"/>
          <w:lang w:val="es-MX"/>
        </w:rPr>
      </w:pPr>
    </w:p>
    <w:p w14:paraId="5071167E" w14:textId="77777777" w:rsidR="008A6AA1" w:rsidRPr="00720382" w:rsidRDefault="008A6AA1" w:rsidP="008A6AA1">
      <w:pPr>
        <w:tabs>
          <w:tab w:val="left" w:pos="0"/>
        </w:tabs>
        <w:jc w:val="both"/>
        <w:rPr>
          <w:rFonts w:ascii="Arial" w:eastAsia="Calibri" w:hAnsi="Arial" w:cs="Arial"/>
          <w:b/>
          <w:color w:val="000000" w:themeColor="text1"/>
          <w:sz w:val="22"/>
          <w:lang w:val="es-ES_tradnl"/>
        </w:rPr>
      </w:pPr>
      <w:r w:rsidRPr="00720382">
        <w:rPr>
          <w:rFonts w:ascii="Arial" w:eastAsia="Calibri" w:hAnsi="Arial" w:cs="Arial"/>
          <w:b/>
          <w:color w:val="000000" w:themeColor="text1"/>
          <w:sz w:val="22"/>
          <w:lang w:val="es-ES_tradnl"/>
        </w:rPr>
        <w:t>3. Respuestas</w:t>
      </w:r>
    </w:p>
    <w:p w14:paraId="1D78D111" w14:textId="77777777" w:rsidR="008A6AA1" w:rsidRPr="00720382" w:rsidRDefault="008A6AA1" w:rsidP="006618E4">
      <w:pPr>
        <w:tabs>
          <w:tab w:val="left" w:pos="0"/>
        </w:tabs>
        <w:jc w:val="both"/>
        <w:rPr>
          <w:rFonts w:ascii="Arial" w:eastAsia="Calibri" w:hAnsi="Arial" w:cs="Arial"/>
          <w:color w:val="000000" w:themeColor="text1"/>
          <w:sz w:val="21"/>
          <w:szCs w:val="21"/>
          <w:lang w:val="es-ES_tradnl"/>
        </w:rPr>
      </w:pPr>
    </w:p>
    <w:p w14:paraId="01092A92" w14:textId="690BB1EC" w:rsidR="00EC2104" w:rsidRPr="00720382" w:rsidRDefault="00803AB0" w:rsidP="00EC2104">
      <w:pPr>
        <w:autoSpaceDE w:val="0"/>
        <w:autoSpaceDN w:val="0"/>
        <w:adjustRightInd w:val="0"/>
        <w:ind w:left="709" w:right="709"/>
        <w:jc w:val="both"/>
        <w:rPr>
          <w:rFonts w:ascii="Arial" w:eastAsiaTheme="minorHAnsi" w:hAnsi="Arial" w:cs="Arial"/>
          <w:sz w:val="21"/>
          <w:szCs w:val="21"/>
          <w:lang w:eastAsia="en-US"/>
        </w:rPr>
      </w:pPr>
      <w:r w:rsidRPr="00720382">
        <w:rPr>
          <w:rFonts w:ascii="Arial" w:hAnsi="Arial" w:cs="Arial"/>
          <w:color w:val="000000" w:themeColor="text1"/>
          <w:sz w:val="21"/>
          <w:szCs w:val="21"/>
          <w:lang w:val="es-ES_tradnl"/>
        </w:rPr>
        <w:t>«</w:t>
      </w:r>
      <w:r w:rsidR="00EC2104" w:rsidRPr="00720382">
        <w:rPr>
          <w:rFonts w:ascii="Arial" w:hAnsi="Arial" w:cs="Arial"/>
          <w:color w:val="000000" w:themeColor="text1"/>
          <w:sz w:val="21"/>
          <w:szCs w:val="21"/>
          <w:lang w:val="es-ES_tradnl"/>
        </w:rPr>
        <w:t>[…]</w:t>
      </w:r>
      <w:r w:rsidR="00EC2104" w:rsidRPr="00720382">
        <w:rPr>
          <w:rFonts w:ascii="Arial" w:eastAsiaTheme="minorHAnsi" w:hAnsi="Arial" w:cs="Arial"/>
          <w:sz w:val="21"/>
          <w:szCs w:val="21"/>
          <w:lang w:eastAsia="en-US"/>
        </w:rPr>
        <w:t>me pueden aclarar si la contratación de prestación de servicios que realizan los mencionados patrimonios autónomos les aplica o no la Ley de Garantías electorales?</w:t>
      </w:r>
    </w:p>
    <w:p w14:paraId="57B2C967" w14:textId="77777777" w:rsidR="00EC2104" w:rsidRPr="00720382" w:rsidRDefault="00EC2104" w:rsidP="00EC2104">
      <w:pPr>
        <w:autoSpaceDE w:val="0"/>
        <w:autoSpaceDN w:val="0"/>
        <w:adjustRightInd w:val="0"/>
        <w:ind w:left="709" w:right="709"/>
        <w:jc w:val="both"/>
        <w:rPr>
          <w:rFonts w:ascii="Arial" w:eastAsiaTheme="minorHAnsi" w:hAnsi="Arial" w:cs="Arial"/>
          <w:sz w:val="21"/>
          <w:szCs w:val="21"/>
          <w:lang w:eastAsia="en-US"/>
        </w:rPr>
      </w:pPr>
    </w:p>
    <w:p w14:paraId="758D4830" w14:textId="23736B96" w:rsidR="00B41D66" w:rsidRPr="00720382" w:rsidRDefault="00EC2104" w:rsidP="00EC2104">
      <w:pPr>
        <w:ind w:left="709" w:right="709"/>
        <w:jc w:val="both"/>
        <w:rPr>
          <w:rFonts w:ascii="Arial" w:hAnsi="Arial" w:cs="Arial"/>
          <w:color w:val="000000" w:themeColor="text1"/>
          <w:sz w:val="21"/>
          <w:szCs w:val="21"/>
          <w:lang w:val="es-ES_tradnl"/>
        </w:rPr>
      </w:pPr>
      <w:r w:rsidRPr="00720382">
        <w:rPr>
          <w:rFonts w:ascii="Arial" w:eastAsiaTheme="minorHAnsi" w:hAnsi="Arial" w:cs="Arial"/>
          <w:sz w:val="21"/>
          <w:szCs w:val="21"/>
          <w:lang w:eastAsia="en-US"/>
        </w:rPr>
        <w:t>Como analiza Colombia Compra Eficiente, los contratos de prestación de servicios que celebran los patrimonios autónomos de cara a la reciente sentencia del consejo de estado de unificación jurisprudencial al artículo 271 de la Ley 1437 de 2011 con radicado (1317-2016) y que advierte que debe existir un término de 30 días hábiles en cada contrato de prestación de servicios?</w:t>
      </w:r>
      <w:r w:rsidR="00742C7F" w:rsidRPr="00720382">
        <w:rPr>
          <w:rFonts w:ascii="Arial" w:hAnsi="Arial" w:cs="Arial"/>
          <w:color w:val="000000" w:themeColor="text1"/>
          <w:sz w:val="21"/>
          <w:szCs w:val="21"/>
          <w:lang w:val="es-ES_tradnl"/>
        </w:rPr>
        <w:t>»</w:t>
      </w:r>
      <w:r w:rsidR="00630845" w:rsidRPr="00720382">
        <w:rPr>
          <w:rFonts w:ascii="Arial" w:hAnsi="Arial" w:cs="Arial"/>
          <w:color w:val="000000" w:themeColor="text1"/>
          <w:sz w:val="21"/>
          <w:szCs w:val="21"/>
          <w:bdr w:val="none" w:sz="0" w:space="0" w:color="auto" w:frame="1"/>
        </w:rPr>
        <w:t>.</w:t>
      </w:r>
    </w:p>
    <w:p w14:paraId="15643E81" w14:textId="77777777" w:rsidR="00EC2104" w:rsidRPr="00720382" w:rsidRDefault="00EC2104" w:rsidP="00B576D3">
      <w:pPr>
        <w:tabs>
          <w:tab w:val="left" w:pos="426"/>
        </w:tabs>
        <w:spacing w:line="276" w:lineRule="auto"/>
        <w:jc w:val="both"/>
        <w:rPr>
          <w:rFonts w:ascii="Arial" w:hAnsi="Arial" w:cs="Arial"/>
          <w:color w:val="000000" w:themeColor="text1"/>
          <w:sz w:val="22"/>
          <w:szCs w:val="22"/>
          <w:lang w:val="es-MX"/>
        </w:rPr>
      </w:pPr>
    </w:p>
    <w:p w14:paraId="548ECF4E" w14:textId="6BE38A38" w:rsidR="00B576D3" w:rsidRPr="00720382" w:rsidRDefault="00EC2104" w:rsidP="00EC2104">
      <w:pPr>
        <w:tabs>
          <w:tab w:val="left" w:pos="426"/>
        </w:tabs>
        <w:spacing w:after="120" w:line="276" w:lineRule="auto"/>
        <w:jc w:val="both"/>
        <w:rPr>
          <w:rFonts w:ascii="Arial" w:hAnsi="Arial" w:cs="Arial"/>
          <w:color w:val="000000" w:themeColor="text1"/>
          <w:sz w:val="22"/>
          <w:szCs w:val="22"/>
          <w:lang w:val="es-MX"/>
        </w:rPr>
      </w:pPr>
      <w:r w:rsidRPr="00720382">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20382">
        <w:rPr>
          <w:rFonts w:ascii="Calibri" w:eastAsia="Calibri" w:hAnsi="Calibri"/>
          <w:szCs w:val="22"/>
          <w:lang w:val="es-MX" w:eastAsia="en-US"/>
        </w:rPr>
        <w:t xml:space="preserve"> </w:t>
      </w:r>
      <w:r w:rsidRPr="00720382">
        <w:rPr>
          <w:rFonts w:ascii="Arial" w:hAnsi="Arial" w:cs="Arial"/>
          <w:bCs/>
          <w:sz w:val="22"/>
          <w:szCs w:val="22"/>
          <w:lang w:val="es-MX" w:eastAsia="x-none"/>
        </w:rPr>
        <w:t>En efecto, tal como lo ha sostenido el Consejo de Estado, el vocablo «todos» utilizado por el legislador comprende</w:t>
      </w:r>
      <w:r w:rsidRPr="00720382">
        <w:rPr>
          <w:rFonts w:ascii="Calibri" w:eastAsia="Calibri" w:hAnsi="Calibri"/>
          <w:szCs w:val="22"/>
          <w:lang w:val="es-MX" w:eastAsia="en-US"/>
        </w:rPr>
        <w:t xml:space="preserve"> </w:t>
      </w:r>
      <w:r w:rsidRPr="00720382">
        <w:rPr>
          <w:rFonts w:ascii="Arial" w:hAnsi="Arial" w:cs="Arial"/>
          <w:bCs/>
          <w:sz w:val="22"/>
          <w:szCs w:val="22"/>
          <w:lang w:val="es-MX" w:eastAsia="x-none"/>
        </w:rPr>
        <w:t>a la totalidad de los entes del Estado, sin distinción del régimen jurídico, forma de organización,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2A37A07E" w14:textId="4CA142B2" w:rsidR="00EC2104" w:rsidRPr="00720382" w:rsidRDefault="00EC2104" w:rsidP="00EC2104">
      <w:pPr>
        <w:spacing w:after="120" w:line="276" w:lineRule="auto"/>
        <w:ind w:firstLine="709"/>
        <w:jc w:val="both"/>
        <w:rPr>
          <w:rFonts w:ascii="Arial" w:eastAsiaTheme="minorHAnsi" w:hAnsi="Arial" w:cs="Arial"/>
          <w:sz w:val="22"/>
          <w:szCs w:val="22"/>
          <w:lang w:val="es-MX" w:eastAsia="en-US"/>
        </w:rPr>
      </w:pPr>
      <w:r w:rsidRPr="00720382">
        <w:rPr>
          <w:rFonts w:ascii="Arial" w:eastAsiaTheme="minorHAnsi" w:hAnsi="Arial" w:cs="Arial"/>
          <w:sz w:val="22"/>
          <w:szCs w:val="22"/>
          <w:lang w:val="es-MX" w:eastAsia="en-US"/>
        </w:rPr>
        <w:t xml:space="preserve">En resumen, la restricción prevista en la Ley 996 de 2005, </w:t>
      </w:r>
      <w:r w:rsidRPr="00720382">
        <w:rPr>
          <w:rFonts w:ascii="Arial" w:eastAsiaTheme="minorHAnsi" w:hAnsi="Arial" w:cs="Arial"/>
          <w:bCs/>
          <w:sz w:val="22"/>
          <w:szCs w:val="22"/>
          <w:lang w:val="es-MX" w:eastAsia="x-none"/>
        </w:rPr>
        <w:t xml:space="preserve">teniendo en cuenta la finalidad de la </w:t>
      </w:r>
      <w:r w:rsidR="009B0639" w:rsidRPr="00720382">
        <w:rPr>
          <w:rFonts w:ascii="Arial" w:eastAsiaTheme="minorHAnsi" w:hAnsi="Arial" w:cs="Arial"/>
          <w:bCs/>
          <w:sz w:val="22"/>
          <w:szCs w:val="22"/>
          <w:lang w:val="es-MX" w:eastAsia="x-none"/>
        </w:rPr>
        <w:t>L</w:t>
      </w:r>
      <w:r w:rsidRPr="00720382">
        <w:rPr>
          <w:rFonts w:ascii="Arial" w:eastAsiaTheme="minorHAnsi" w:hAnsi="Arial" w:cs="Arial"/>
          <w:bCs/>
          <w:sz w:val="22"/>
          <w:szCs w:val="22"/>
          <w:lang w:val="es-MX" w:eastAsia="x-none"/>
        </w:rPr>
        <w:t xml:space="preserve">ey de </w:t>
      </w:r>
      <w:r w:rsidR="009B0639" w:rsidRPr="00720382">
        <w:rPr>
          <w:rFonts w:ascii="Arial" w:eastAsiaTheme="minorHAnsi" w:hAnsi="Arial" w:cs="Arial"/>
          <w:bCs/>
          <w:sz w:val="22"/>
          <w:szCs w:val="22"/>
          <w:lang w:val="es-MX" w:eastAsia="x-none"/>
        </w:rPr>
        <w:t>G</w:t>
      </w:r>
      <w:r w:rsidRPr="00720382">
        <w:rPr>
          <w:rFonts w:ascii="Arial" w:eastAsiaTheme="minorHAnsi" w:hAnsi="Arial" w:cs="Arial"/>
          <w:bCs/>
          <w:sz w:val="22"/>
          <w:szCs w:val="22"/>
          <w:lang w:val="es-MX" w:eastAsia="x-none"/>
        </w:rPr>
        <w:t xml:space="preserve">arantías </w:t>
      </w:r>
      <w:r w:rsidR="009B0639" w:rsidRPr="00720382">
        <w:rPr>
          <w:rFonts w:ascii="Arial" w:eastAsiaTheme="minorHAnsi" w:hAnsi="Arial" w:cs="Arial"/>
          <w:bCs/>
          <w:sz w:val="22"/>
          <w:szCs w:val="22"/>
          <w:lang w:val="es-MX" w:eastAsia="x-none"/>
        </w:rPr>
        <w:t>E</w:t>
      </w:r>
      <w:r w:rsidRPr="00720382">
        <w:rPr>
          <w:rFonts w:ascii="Arial" w:eastAsiaTheme="minorHAnsi" w:hAnsi="Arial" w:cs="Arial"/>
          <w:bCs/>
          <w:sz w:val="22"/>
          <w:szCs w:val="22"/>
          <w:lang w:val="es-MX" w:eastAsia="x-none"/>
        </w:rPr>
        <w:t xml:space="preserve">lectorales, aplica a cualquier ente del Estado que, a través de la contratación directa, pueda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w:t>
      </w:r>
      <w:r w:rsidR="009B0639" w:rsidRPr="00720382">
        <w:rPr>
          <w:rFonts w:ascii="Arial" w:eastAsiaTheme="minorHAnsi" w:hAnsi="Arial" w:cs="Arial"/>
          <w:bCs/>
          <w:sz w:val="22"/>
          <w:szCs w:val="22"/>
          <w:lang w:val="es-MX" w:eastAsia="x-none"/>
        </w:rPr>
        <w:t xml:space="preserve">se </w:t>
      </w:r>
      <w:r w:rsidRPr="00720382">
        <w:rPr>
          <w:rFonts w:ascii="Arial" w:eastAsiaTheme="minorHAnsi" w:hAnsi="Arial" w:cs="Arial"/>
          <w:bCs/>
          <w:sz w:val="22"/>
          <w:szCs w:val="22"/>
          <w:lang w:val="es-MX" w:eastAsia="x-none"/>
        </w:rPr>
        <w:t xml:space="preserve">puede presentar tanto en la contratación regulada por la Ley 80 de 1993 como en la regida por el Derecho Privado. Incluso, de acuerdo </w:t>
      </w:r>
      <w:r w:rsidRPr="00720382">
        <w:rPr>
          <w:rFonts w:ascii="Arial" w:eastAsiaTheme="minorHAnsi" w:hAnsi="Arial" w:cs="Arial"/>
          <w:sz w:val="22"/>
          <w:szCs w:val="22"/>
          <w:lang w:val="es-MX" w:eastAsia="en-US"/>
        </w:rPr>
        <w:t xml:space="preserve">el artículo 32.5, inciso quinto, de la Ley 80 de 1993 y el artículo 2.5.2.1.1 del Decreto 2555 de 2010, la prohibición también se extiende a las sociedades fiduciarias, frente a los actos y contratos que realicen en desarrollo del negocio fiduciario, </w:t>
      </w:r>
      <w:r w:rsidRPr="00720382">
        <w:rPr>
          <w:rFonts w:ascii="Arial" w:eastAsiaTheme="minorHAnsi" w:hAnsi="Arial" w:cs="Arial"/>
          <w:sz w:val="22"/>
          <w:szCs w:val="22"/>
          <w:lang w:val="es-MX" w:eastAsia="en-US"/>
        </w:rPr>
        <w:lastRenderedPageBreak/>
        <w:t xml:space="preserve">con independencia del régimen jurídico de la entidad fideicomitente, razón por la cual no se inaplicaría la prohibición establecida en el artículo 33 de la Ley de Garantías Electorales, con la constitución de patrimonios autónomos.  </w:t>
      </w:r>
    </w:p>
    <w:p w14:paraId="21D6D6CD" w14:textId="279E3123" w:rsidR="00F1464A" w:rsidRPr="00720382" w:rsidRDefault="00F1464A" w:rsidP="00F1464A">
      <w:pPr>
        <w:spacing w:after="120" w:line="276" w:lineRule="auto"/>
        <w:ind w:firstLine="709"/>
        <w:jc w:val="both"/>
        <w:rPr>
          <w:rFonts w:ascii="Arial" w:eastAsiaTheme="minorHAnsi" w:hAnsi="Arial" w:cs="Arial"/>
          <w:bCs/>
          <w:sz w:val="22"/>
          <w:szCs w:val="22"/>
          <w:lang w:val="es-MX" w:eastAsia="x-none"/>
        </w:rPr>
      </w:pPr>
      <w:r w:rsidRPr="00720382">
        <w:rPr>
          <w:rFonts w:ascii="Arial" w:eastAsiaTheme="minorHAnsi" w:hAnsi="Arial" w:cs="Arial"/>
          <w:sz w:val="22"/>
          <w:szCs w:val="22"/>
          <w:lang w:val="es-MX" w:eastAsia="en-US"/>
        </w:rPr>
        <w:t xml:space="preserve">De esta manera, el artículo 33 de la Ley de Garantías se extiende a las sociedades fiduciarias en virtud del artículo 32.5, inciso quinto, de la Ley 80 de 1993. Con las diferencias en el alcance, de acuerdo con el inciso noveno </w:t>
      </w:r>
      <w:r w:rsidRPr="00720382">
        <w:rPr>
          <w:rFonts w:ascii="Arial" w:eastAsiaTheme="minorHAnsi" w:hAnsi="Arial" w:cs="Arial"/>
          <w:i/>
          <w:iCs/>
          <w:sz w:val="22"/>
          <w:szCs w:val="22"/>
          <w:lang w:val="es-MX" w:eastAsia="en-US"/>
        </w:rPr>
        <w:t>ibidem</w:t>
      </w:r>
      <w:r w:rsidRPr="00720382">
        <w:rPr>
          <w:rFonts w:ascii="Arial" w:eastAsiaTheme="minorHAnsi" w:hAnsi="Arial" w:cs="Arial"/>
          <w:sz w:val="22"/>
          <w:szCs w:val="22"/>
          <w:lang w:val="es-MX" w:eastAsia="en-US"/>
        </w:rPr>
        <w:t>, la misma es congruente con el artículo 2.5.2.1.1 del Decreto 2555 de 2010, el cual rige también en los negocios fiduciarios de las entidades exceptuadas de la aplicación del EGCAP. Por tanto, con independencia del régimen jurídico de la entidad fideicomitente, la prohibición de contratación directa durante la vigencia de la Ley de Garantías Electorales también les aplica a las fiduciarias que administran los recursos públicos de los entes del Estado, de acuerdo con las normas analizadas anteriormente, las cuales están dirigidas a que el negocio fiduciario no sirva como instrumento para realizar actos o contratos que no pueda celebrar directamente el fideicomitente de acuerdo con las disposiciones legales. En este contexto, se reitera que las sociedades fiduciarias no pueden celebrar los contratos en los que las entidades constituyentes tengan alguna restricción, por lo que no son un instrumento para eludir el artículo 33 de la Ley de Garantías.</w:t>
      </w:r>
    </w:p>
    <w:p w14:paraId="12935781" w14:textId="53920656" w:rsidR="009B3E84" w:rsidRPr="00720382" w:rsidRDefault="00EC2104" w:rsidP="009B3E84">
      <w:pPr>
        <w:spacing w:after="120" w:line="276" w:lineRule="auto"/>
        <w:ind w:firstLine="708"/>
        <w:jc w:val="both"/>
        <w:rPr>
          <w:rFonts w:ascii="Arial" w:hAnsi="Arial" w:cs="Arial"/>
          <w:bCs/>
          <w:sz w:val="22"/>
          <w:szCs w:val="22"/>
          <w:lang w:val="es-MX" w:eastAsia="es-CO"/>
        </w:rPr>
      </w:pPr>
      <w:r w:rsidRPr="00720382">
        <w:rPr>
          <w:rFonts w:ascii="Arial" w:hAnsi="Arial" w:cs="Arial"/>
          <w:sz w:val="22"/>
          <w:szCs w:val="22"/>
          <w:lang w:eastAsia="x-none"/>
        </w:rPr>
        <w:t xml:space="preserve">No obstante, esta restricción no es absoluta, teniendo en cuenta que el mismo artículo 33 de la Ley 996 de 2005 </w:t>
      </w:r>
      <w:r w:rsidRPr="00720382">
        <w:rPr>
          <w:rFonts w:ascii="Arial" w:hAnsi="Arial" w:cs="Arial"/>
          <w:bCs/>
          <w:sz w:val="22"/>
          <w:szCs w:val="22"/>
          <w:lang w:val="es-MX" w:eastAsia="x-none"/>
        </w:rPr>
        <w:t xml:space="preserve">dispone que las entidades públicas podrán adelantar procedimientos de selección directa en períodos previos a la contienda electoral por la Presidencia, que están prescritos en el inciso final del citado artículo 33 de la Ley 996 de 2005, en lo concerniente a: i) la defensa y seguridad del Estado; </w:t>
      </w:r>
      <w:proofErr w:type="spellStart"/>
      <w:r w:rsidRPr="00720382">
        <w:rPr>
          <w:rFonts w:ascii="Arial" w:hAnsi="Arial" w:cs="Arial"/>
          <w:bCs/>
          <w:sz w:val="22"/>
          <w:szCs w:val="22"/>
          <w:lang w:val="es-MX" w:eastAsia="x-none"/>
        </w:rPr>
        <w:t>ii</w:t>
      </w:r>
      <w:proofErr w:type="spellEnd"/>
      <w:r w:rsidRPr="00720382">
        <w:rPr>
          <w:rFonts w:ascii="Arial" w:hAnsi="Arial" w:cs="Arial"/>
          <w:bCs/>
          <w:sz w:val="22"/>
          <w:szCs w:val="22"/>
          <w:lang w:val="es-MX" w:eastAsia="x-none"/>
        </w:rPr>
        <w:t xml:space="preserve">) los contratos de crédito público; </w:t>
      </w:r>
      <w:proofErr w:type="spellStart"/>
      <w:r w:rsidRPr="00720382">
        <w:rPr>
          <w:rFonts w:ascii="Arial" w:hAnsi="Arial" w:cs="Arial"/>
          <w:bCs/>
          <w:sz w:val="22"/>
          <w:szCs w:val="22"/>
          <w:lang w:val="es-MX" w:eastAsia="x-none"/>
        </w:rPr>
        <w:t>iii</w:t>
      </w:r>
      <w:proofErr w:type="spellEnd"/>
      <w:r w:rsidRPr="00720382">
        <w:rPr>
          <w:rFonts w:ascii="Arial" w:hAnsi="Arial" w:cs="Arial"/>
          <w:bCs/>
          <w:sz w:val="22"/>
          <w:szCs w:val="22"/>
          <w:lang w:val="es-MX" w:eastAsia="x-none"/>
        </w:rPr>
        <w:t xml:space="preserve">) los requeridos para cubrir las emergencias educativas, sanitarias y desastres; </w:t>
      </w:r>
      <w:proofErr w:type="spellStart"/>
      <w:r w:rsidRPr="00720382">
        <w:rPr>
          <w:rFonts w:ascii="Arial" w:hAnsi="Arial" w:cs="Arial"/>
          <w:bCs/>
          <w:sz w:val="22"/>
          <w:szCs w:val="22"/>
          <w:lang w:val="es-MX" w:eastAsia="x-none"/>
        </w:rPr>
        <w:t>iv</w:t>
      </w:r>
      <w:proofErr w:type="spellEnd"/>
      <w:r w:rsidRPr="00720382">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20382">
        <w:rPr>
          <w:rFonts w:ascii="Arial" w:hAnsi="Arial" w:cs="Arial"/>
          <w:bCs/>
          <w:sz w:val="22"/>
          <w:szCs w:val="22"/>
          <w:lang w:val="es-MX" w:eastAsia="es-CO"/>
        </w:rPr>
        <w:t xml:space="preserve"> Es responsabilidad del respectivo ente del Estado, en este caso del patrimonio autónomo examinar y analizar si sus contrataciones se enmarcan en alguna de las mencionadas excepciones del artículo 33 de la Ley de garantías</w:t>
      </w:r>
      <w:r w:rsidR="009B3E84" w:rsidRPr="00720382">
        <w:rPr>
          <w:rFonts w:ascii="Arial" w:hAnsi="Arial" w:cs="Arial"/>
          <w:bCs/>
          <w:sz w:val="22"/>
          <w:szCs w:val="22"/>
          <w:lang w:val="es-MX" w:eastAsia="es-CO"/>
        </w:rPr>
        <w:t xml:space="preserve">. </w:t>
      </w:r>
    </w:p>
    <w:p w14:paraId="716F13CE" w14:textId="4F0F6B81" w:rsidR="007B2D29" w:rsidRPr="00720382" w:rsidRDefault="00F1464A" w:rsidP="007B2D29">
      <w:pPr>
        <w:spacing w:after="120" w:line="276" w:lineRule="auto"/>
        <w:ind w:firstLine="708"/>
        <w:jc w:val="both"/>
        <w:textAlignment w:val="baseline"/>
        <w:rPr>
          <w:rFonts w:ascii="Arial" w:eastAsia="Calibri" w:hAnsi="Arial" w:cs="Arial"/>
          <w:sz w:val="22"/>
          <w:szCs w:val="22"/>
          <w:lang w:val="es-ES" w:eastAsia="en-US"/>
        </w:rPr>
      </w:pPr>
      <w:r w:rsidRPr="00720382">
        <w:rPr>
          <w:rFonts w:ascii="Arial" w:eastAsia="Calibri" w:hAnsi="Arial" w:cs="Arial"/>
          <w:sz w:val="22"/>
          <w:szCs w:val="22"/>
          <w:lang w:val="es-ES" w:eastAsia="en-US"/>
        </w:rPr>
        <w:t>De otro lado</w:t>
      </w:r>
      <w:r w:rsidR="005264AA" w:rsidRPr="00720382">
        <w:rPr>
          <w:rFonts w:ascii="Arial" w:eastAsia="Calibri" w:hAnsi="Arial" w:cs="Arial"/>
          <w:sz w:val="22"/>
          <w:szCs w:val="22"/>
          <w:lang w:val="es-ES" w:eastAsia="en-US"/>
        </w:rPr>
        <w:t xml:space="preserve">, la segunda </w:t>
      </w:r>
      <w:r w:rsidR="00A75C54" w:rsidRPr="00720382">
        <w:rPr>
          <w:rFonts w:ascii="Arial" w:eastAsia="Calibri" w:hAnsi="Arial" w:cs="Arial"/>
          <w:sz w:val="22"/>
          <w:szCs w:val="22"/>
          <w:lang w:val="es-ES" w:eastAsia="en-US"/>
        </w:rPr>
        <w:t xml:space="preserve">consulta tiene como propósito que </w:t>
      </w:r>
      <w:r w:rsidR="007B2D29" w:rsidRPr="00720382">
        <w:rPr>
          <w:rFonts w:ascii="Arial" w:eastAsia="Calibri" w:hAnsi="Arial" w:cs="Arial"/>
          <w:sz w:val="22"/>
          <w:szCs w:val="22"/>
          <w:lang w:val="es-ES" w:eastAsia="en-US"/>
        </w:rPr>
        <w:t xml:space="preserve">Colombia Compra Eficiente le brinde asesoría, emitiendo un concepto jurídico en el que se establezca si es posible aplicar lo establecido en la sentencia de unificación del 9 de septiembre de 2021 emitida por el Consejo de Estado, en vigencia de Ley de garantías, para los patrimonios autónomos que celebren contratos de prestación de servicios. </w:t>
      </w:r>
    </w:p>
    <w:p w14:paraId="67A7AECE" w14:textId="77777777" w:rsidR="0030580B" w:rsidRPr="00720382" w:rsidRDefault="0030580B" w:rsidP="0030580B">
      <w:pPr>
        <w:spacing w:after="120" w:line="276" w:lineRule="auto"/>
        <w:ind w:firstLine="708"/>
        <w:jc w:val="both"/>
        <w:rPr>
          <w:rFonts w:ascii="Arial" w:eastAsia="Calibri" w:hAnsi="Arial" w:cs="Arial"/>
          <w:sz w:val="22"/>
          <w:lang w:val="es-ES"/>
        </w:rPr>
      </w:pPr>
      <w:r w:rsidRPr="00720382">
        <w:rPr>
          <w:rFonts w:ascii="Arial" w:hAnsi="Arial" w:cs="Arial"/>
          <w:sz w:val="22"/>
          <w:lang w:val="es-ES" w:eastAsia="es-CO"/>
        </w:rPr>
        <w:t>Sin embargo, cuando los contratos de prestación de servicios encubren relaciones de subordinación, el problema jurídico consiste en determinar la existencia de una posible relación laboral.</w:t>
      </w:r>
      <w:r w:rsidRPr="00720382">
        <w:rPr>
          <w:rFonts w:ascii="Arial" w:eastAsia="Calibri" w:hAnsi="Arial" w:cs="Arial"/>
          <w:sz w:val="22"/>
          <w:lang w:val="es-ES"/>
        </w:rPr>
        <w:t xml:space="preserve"> En este sentido, la Agencia Nacional de Contratación Pública – Colombia Compra Eficiente no es el órgano autorizado para conceptuar sobre las implicaciones de </w:t>
      </w:r>
      <w:r w:rsidRPr="00720382">
        <w:rPr>
          <w:rFonts w:ascii="Arial" w:eastAsia="Calibri" w:hAnsi="Arial" w:cs="Arial"/>
          <w:sz w:val="22"/>
          <w:lang w:val="es-ES"/>
        </w:rPr>
        <w:lastRenderedPageBreak/>
        <w:t>los contratos realidad, tampoco para establecer el alcance de las sentencias de unificación del Consejo de Estado sobre conflictos en temas laborales. En otras palabras, esta entidad no puede establecer directrices al respecto, especialmente porque los lineamientos para evitar la configuración de daños antijurídicos en dicha materia corresponden a una entidad distinta.</w:t>
      </w:r>
    </w:p>
    <w:p w14:paraId="26E9FBDD" w14:textId="77777777" w:rsidR="0030580B" w:rsidRPr="00720382" w:rsidRDefault="0030580B" w:rsidP="0030580B">
      <w:pPr>
        <w:spacing w:after="120" w:line="276" w:lineRule="auto"/>
        <w:ind w:firstLine="708"/>
        <w:jc w:val="both"/>
        <w:rPr>
          <w:rFonts w:ascii="Arial" w:eastAsia="Calibri" w:hAnsi="Arial" w:cs="Arial"/>
          <w:sz w:val="22"/>
        </w:rPr>
      </w:pPr>
      <w:r w:rsidRPr="00720382">
        <w:rPr>
          <w:rFonts w:ascii="Arial" w:eastAsia="Calibri" w:hAnsi="Arial" w:cs="Arial"/>
          <w:i/>
          <w:iCs/>
          <w:sz w:val="22"/>
          <w:lang w:val="es-ES"/>
        </w:rPr>
        <w:t>Por un lado</w:t>
      </w:r>
      <w:r w:rsidRPr="00720382">
        <w:rPr>
          <w:rFonts w:ascii="Arial" w:eastAsia="Calibri" w:hAnsi="Arial" w:cs="Arial"/>
          <w:sz w:val="22"/>
          <w:lang w:val="es-ES"/>
        </w:rPr>
        <w:t xml:space="preserve">, Colombia Compra Eficiente solo resuelve consultas sobre normas generales del sistema de compras y contratación pública. No obstante, </w:t>
      </w:r>
      <w:r w:rsidRPr="00720382">
        <w:rPr>
          <w:rStyle w:val="normaltextrun"/>
          <w:rFonts w:ascii="Arial" w:hAnsi="Arial" w:cs="Arial"/>
          <w:color w:val="000000"/>
          <w:sz w:val="22"/>
          <w:shd w:val="clear" w:color="auto" w:fill="FFFFFF"/>
        </w:rPr>
        <w:t>si bien la jurisprudencia es una pauta de autoridad para entender el contenido de las leyes y los reglamentos, la sentencia de unificación del 9 de septiembre de 2021 fue expedida por la Sección Segunda del Consejo de Estado, la cual se encarga principalmente de resolver controversias judiciales en materia laboral, que se reitera, son ajenas a las competencias de la Agencia nacional de Contratación Pública.</w:t>
      </w:r>
      <w:r w:rsidRPr="00720382">
        <w:rPr>
          <w:rFonts w:ascii="Arial" w:eastAsia="Calibri" w:hAnsi="Arial" w:cs="Arial"/>
          <w:sz w:val="22"/>
          <w:lang w:val="es-ES"/>
        </w:rPr>
        <w:t xml:space="preserve"> </w:t>
      </w:r>
      <w:r w:rsidRPr="00720382">
        <w:rPr>
          <w:rFonts w:ascii="Arial" w:eastAsia="Calibri" w:hAnsi="Arial" w:cs="Arial"/>
          <w:i/>
          <w:iCs/>
          <w:sz w:val="22"/>
          <w:lang w:val="es-ES"/>
        </w:rPr>
        <w:t>Por otra parte</w:t>
      </w:r>
      <w:r w:rsidRPr="00720382">
        <w:rPr>
          <w:rFonts w:ascii="Arial" w:eastAsia="Calibri" w:hAnsi="Arial" w:cs="Arial"/>
          <w:sz w:val="22"/>
          <w:lang w:val="es-ES"/>
        </w:rPr>
        <w:t>, es necesario tener en cuenta que la Directiva de la Procuraduría General de la República 001 del 4 de enero de 2021 dispuso «</w:t>
      </w:r>
      <w:r w:rsidRPr="00720382">
        <w:rPr>
          <w:rFonts w:ascii="Arial" w:eastAsia="Calibri" w:hAnsi="Arial" w:cs="Arial"/>
          <w:sz w:val="22"/>
        </w:rPr>
        <w:t>Exhortar a la Agencia Nacional de Defensa Jurídica del Estado, a continuar adelantando, en la órbita de la función preventiva judicial, actividades para evitar el contrato realidad con las entidades de la rama ejecutiva del nivel nacional y hacer pedagogía y brindar apoyo a las entidades territoriales».</w:t>
      </w:r>
    </w:p>
    <w:p w14:paraId="68ADC83E" w14:textId="1B4447E1" w:rsidR="00A75C54" w:rsidRPr="00720382" w:rsidRDefault="007B2D29" w:rsidP="0030580B">
      <w:pPr>
        <w:spacing w:after="120" w:line="276" w:lineRule="auto"/>
        <w:ind w:firstLine="708"/>
        <w:jc w:val="both"/>
        <w:rPr>
          <w:rFonts w:ascii="Arial" w:eastAsia="Calibri" w:hAnsi="Arial" w:cs="Arial"/>
          <w:sz w:val="22"/>
          <w:szCs w:val="22"/>
          <w:lang w:val="es-ES" w:eastAsia="en-US"/>
        </w:rPr>
      </w:pPr>
      <w:r w:rsidRPr="00720382">
        <w:rPr>
          <w:rFonts w:ascii="Arial" w:eastAsia="Calibri" w:hAnsi="Arial" w:cs="Arial"/>
          <w:sz w:val="22"/>
          <w:lang w:val="es-ES"/>
        </w:rPr>
        <w:t xml:space="preserve">Teniendo en cuenta lo anterior, con fundamento en los criterios establecidos en la sentencia de unificación jurisprudencia, la ANDJE estableció lineamientos en torno a la forma de prevenir la configuración de contratos realidad, a los que se hizo referencia en las consideraciones. </w:t>
      </w:r>
    </w:p>
    <w:p w14:paraId="226FA00F" w14:textId="77777777" w:rsidR="0030580B" w:rsidRPr="00720382" w:rsidRDefault="0030580B" w:rsidP="0030580B">
      <w:pPr>
        <w:shd w:val="clear" w:color="auto" w:fill="FFFFFF"/>
        <w:spacing w:after="120" w:line="276" w:lineRule="auto"/>
        <w:ind w:firstLine="708"/>
        <w:jc w:val="both"/>
        <w:textAlignment w:val="baseline"/>
        <w:rPr>
          <w:rFonts w:ascii="Arial" w:hAnsi="Arial" w:cs="Arial"/>
          <w:sz w:val="22"/>
          <w:lang w:eastAsia="es-CO"/>
        </w:rPr>
      </w:pPr>
      <w:r w:rsidRPr="00720382">
        <w:rPr>
          <w:rFonts w:ascii="Arial" w:hAnsi="Arial" w:cs="Arial"/>
          <w:sz w:val="22"/>
          <w:lang w:eastAsia="es-CO"/>
        </w:rPr>
        <w:t>Además, la Presidencia de la República expidió la Directiva 07 del 28 de octubre de 2021 con el fin de determinar el alcance de la sentencia de unificación jurisprudencial, la cual sirve de guía para las decisiones que deberán tomar las diferentes entidades públicas. Además, en armonía con lo expuesto anteriormente, el numeral 5 de dicha Directiva reitera la competencia de la</w:t>
      </w:r>
      <w:r w:rsidRPr="00720382">
        <w:rPr>
          <w:rFonts w:ascii="Arial" w:eastAsia="Calibri" w:hAnsi="Arial" w:cs="Arial"/>
          <w:sz w:val="22"/>
          <w:lang w:val="es-ES"/>
        </w:rPr>
        <w:t xml:space="preserve"> ANDJE</w:t>
      </w:r>
      <w:r w:rsidRPr="00720382">
        <w:rPr>
          <w:rFonts w:ascii="Arial" w:hAnsi="Arial" w:cs="Arial"/>
          <w:sz w:val="22"/>
          <w:lang w:eastAsia="es-CO"/>
        </w:rPr>
        <w:t xml:space="preserve"> al disponer que «Se deben atender los lineamientos que, sobre este asunto, imparta la Agencia Nacional de Defensa Jurídica del Estado, dentro de su función de prevención del daño antijurídico»</w:t>
      </w:r>
      <w:r w:rsidRPr="00720382">
        <w:rPr>
          <w:rStyle w:val="Refdenotaalpie"/>
          <w:rFonts w:ascii="Arial" w:hAnsi="Arial" w:cs="Arial"/>
          <w:sz w:val="22"/>
          <w:lang w:eastAsia="es-CO"/>
        </w:rPr>
        <w:footnoteReference w:id="30"/>
      </w:r>
      <w:r w:rsidRPr="00720382">
        <w:rPr>
          <w:rFonts w:ascii="Arial" w:hAnsi="Arial" w:cs="Arial"/>
          <w:sz w:val="22"/>
          <w:lang w:eastAsia="es-CO"/>
        </w:rPr>
        <w:t>. Esto resalta que Colombia Compra Eficiente carece de competencia para pronunciarse de fondo sobre este tema, pues los lineamientos para evitar daños antijurídicos en la configuración de contratos realidad corresponden a la Agencia anteriormente mencionada</w:t>
      </w:r>
      <w:r w:rsidRPr="00720382">
        <w:rPr>
          <w:rStyle w:val="Refdenotaalpie"/>
          <w:rFonts w:ascii="Arial" w:hAnsi="Arial" w:cs="Arial"/>
          <w:sz w:val="22"/>
          <w:lang w:eastAsia="es-CO"/>
        </w:rPr>
        <w:footnoteReference w:id="31"/>
      </w:r>
      <w:r w:rsidRPr="00720382">
        <w:rPr>
          <w:rFonts w:ascii="Arial" w:hAnsi="Arial" w:cs="Arial"/>
          <w:sz w:val="22"/>
          <w:lang w:eastAsia="es-CO"/>
        </w:rPr>
        <w:t xml:space="preserve">. </w:t>
      </w:r>
    </w:p>
    <w:p w14:paraId="2F5C3252" w14:textId="77777777" w:rsidR="0030580B" w:rsidRPr="00720382" w:rsidRDefault="0030580B" w:rsidP="0030580B">
      <w:pPr>
        <w:shd w:val="clear" w:color="auto" w:fill="FFFFFF"/>
        <w:spacing w:after="120" w:line="276" w:lineRule="auto"/>
        <w:ind w:firstLine="708"/>
        <w:jc w:val="both"/>
        <w:textAlignment w:val="baseline"/>
        <w:rPr>
          <w:rFonts w:ascii="Arial" w:eastAsia="Calibri" w:hAnsi="Arial" w:cs="Arial"/>
          <w:sz w:val="22"/>
          <w:lang w:val="es-ES"/>
        </w:rPr>
      </w:pPr>
      <w:r w:rsidRPr="00720382">
        <w:rPr>
          <w:rFonts w:ascii="Arial" w:hAnsi="Arial" w:cs="Arial"/>
          <w:sz w:val="22"/>
          <w:lang w:eastAsia="es-CO"/>
        </w:rPr>
        <w:lastRenderedPageBreak/>
        <w:t>De otro lado, conforme al artículo 10 de la Ley 1437 de 2011, se precisa que las sentencias de unificación son de obligatorio cumplimiento</w:t>
      </w:r>
      <w:r w:rsidRPr="00720382">
        <w:rPr>
          <w:rStyle w:val="Refdenotaalpie"/>
          <w:rFonts w:ascii="Arial" w:hAnsi="Arial" w:cs="Arial"/>
          <w:sz w:val="22"/>
          <w:lang w:eastAsia="es-CO"/>
        </w:rPr>
        <w:footnoteReference w:id="32"/>
      </w:r>
      <w:r w:rsidRPr="00720382">
        <w:rPr>
          <w:rFonts w:ascii="Arial" w:hAnsi="Arial" w:cs="Arial"/>
          <w:color w:val="4B4949"/>
          <w:sz w:val="22"/>
        </w:rPr>
        <w:t>.</w:t>
      </w:r>
      <w:r w:rsidRPr="00720382">
        <w:rPr>
          <w:rFonts w:ascii="Arial" w:hAnsi="Arial" w:cs="Arial"/>
          <w:sz w:val="22"/>
          <w:lang w:eastAsia="es-CO"/>
        </w:rPr>
        <w:t xml:space="preserve"> </w:t>
      </w:r>
      <w:r w:rsidRPr="00720382">
        <w:rPr>
          <w:rFonts w:ascii="Arial" w:eastAsia="Calibri" w:hAnsi="Arial" w:cs="Arial"/>
          <w:sz w:val="22"/>
          <w:lang w:val="es-ES"/>
        </w:rPr>
        <w:t>Por ello, previo análisis de los lineamientos de la Agencia Nacional de Defensa Jurídica del Estado y la Directiva presidencial relacionados en el presente oficio, las autoridades tienen autonomía administrativa para el ejercicio de las funciones y competencias que les fueron atribuidas por el ordenamiento jurídico. Por esa razón, como responsables de su actividad contractual, les corresponde adoptar las decisiones y adelantar las actuaciones que estimen pertinentes para desarrollarla.</w:t>
      </w:r>
    </w:p>
    <w:p w14:paraId="2409F1E7" w14:textId="7269BB3A" w:rsidR="009B3E84" w:rsidRPr="00360A25" w:rsidRDefault="0030580B" w:rsidP="00360A25">
      <w:pPr>
        <w:spacing w:after="120" w:line="276" w:lineRule="auto"/>
        <w:ind w:firstLine="708"/>
        <w:jc w:val="both"/>
        <w:rPr>
          <w:rFonts w:ascii="Arial" w:eastAsia="Calibri" w:hAnsi="Arial" w:cs="Arial"/>
          <w:sz w:val="22"/>
          <w:szCs w:val="22"/>
          <w:highlight w:val="yellow"/>
          <w:lang w:val="es-ES" w:eastAsia="en-US"/>
        </w:rPr>
      </w:pPr>
      <w:r w:rsidRPr="00720382">
        <w:rPr>
          <w:rFonts w:ascii="Arial" w:eastAsia="Calibri" w:hAnsi="Arial" w:cs="Arial"/>
          <w:sz w:val="22"/>
          <w:lang w:val="es-ES"/>
        </w:rPr>
        <w:t>Es necesario anotar que la sentencia de unificación no modifica el alcance de las prohibiciones de la Ley 996 de 2005. Por ello, las prohibiciones contempladas en dicha ley tampoco condicionan las reglas de unificación de la sentencia, pues son dos temas independientes. En consecuencia, con la asesoría de sus equipos jurídicos, corresponde a las entidades determinar de manera autónoma la viabilidad de suscribir contratos en vigencia de la Ley de Garantías.</w:t>
      </w:r>
    </w:p>
    <w:p w14:paraId="7B2C921D" w14:textId="0F779FF9" w:rsidR="00DD5B04" w:rsidRPr="004E4581" w:rsidRDefault="00DD5B04" w:rsidP="00861F5C">
      <w:pPr>
        <w:spacing w:line="276" w:lineRule="auto"/>
        <w:jc w:val="both"/>
        <w:rPr>
          <w:rFonts w:ascii="Arial" w:hAnsi="Arial" w:cs="Arial"/>
          <w:color w:val="000000" w:themeColor="text1"/>
          <w:sz w:val="22"/>
          <w:lang w:val="es-ES_tradnl"/>
        </w:rPr>
      </w:pPr>
      <w:r w:rsidRPr="004E45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p w14:paraId="49730030" w14:textId="045A7064" w:rsidR="00DD5B04" w:rsidRPr="00360A25" w:rsidRDefault="00E637D1" w:rsidP="00E637D1">
      <w:pPr>
        <w:pStyle w:val="NormalWeb"/>
        <w:spacing w:before="0" w:beforeAutospacing="0" w:after="0" w:afterAutospacing="0" w:line="276" w:lineRule="auto"/>
        <w:jc w:val="center"/>
        <w:rPr>
          <w:color w:val="000000" w:themeColor="text1"/>
          <w:lang w:val="es-ES_tradnl"/>
        </w:rPr>
      </w:pPr>
      <w:r>
        <w:rPr>
          <w:rFonts w:ascii="Arial" w:hAnsi="Arial" w:cs="Arial"/>
          <w:noProof/>
          <w:lang w:val="en-US"/>
        </w:rPr>
        <w:drawing>
          <wp:inline distT="0" distB="0" distL="0" distR="0" wp14:anchorId="1C966414" wp14:editId="508A0C23">
            <wp:extent cx="2273831" cy="1024890"/>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E4581" w14:paraId="0C7DC5F7" w14:textId="77777777" w:rsidTr="008F4163">
        <w:trPr>
          <w:trHeight w:val="315"/>
        </w:trPr>
        <w:tc>
          <w:tcPr>
            <w:tcW w:w="812" w:type="dxa"/>
            <w:vAlign w:val="center"/>
            <w:hideMark/>
          </w:tcPr>
          <w:p w14:paraId="5BDB1AC9"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4E4581" w:rsidRDefault="000254DD"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José Luis Sánchez Cardona</w:t>
            </w:r>
            <w:r w:rsidR="005E38E9" w:rsidRPr="004E4581">
              <w:rPr>
                <w:rFonts w:ascii="Arial" w:hAnsi="Arial" w:cs="Arial"/>
                <w:color w:val="000000" w:themeColor="text1"/>
                <w:sz w:val="16"/>
                <w:szCs w:val="16"/>
                <w:lang w:val="es-ES_tradnl" w:eastAsia="es-ES"/>
              </w:rPr>
              <w:t xml:space="preserve"> </w:t>
            </w:r>
          </w:p>
          <w:p w14:paraId="240C71FD" w14:textId="31312C95"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Contratista</w:t>
            </w:r>
            <w:r w:rsidR="00FF0050" w:rsidRPr="004E4581">
              <w:rPr>
                <w:rFonts w:ascii="Arial" w:hAnsi="Arial" w:cs="Arial"/>
                <w:color w:val="000000" w:themeColor="text1"/>
                <w:sz w:val="16"/>
                <w:szCs w:val="16"/>
                <w:lang w:val="es-ES_tradnl" w:eastAsia="es-ES"/>
              </w:rPr>
              <w:t xml:space="preserve"> de la </w:t>
            </w:r>
            <w:r w:rsidRPr="004E4581">
              <w:rPr>
                <w:rFonts w:ascii="Arial" w:hAnsi="Arial" w:cs="Arial"/>
                <w:color w:val="000000" w:themeColor="text1"/>
                <w:sz w:val="16"/>
                <w:szCs w:val="16"/>
                <w:lang w:val="es-ES_tradnl" w:eastAsia="es-ES"/>
              </w:rPr>
              <w:t>Subdirección de Gestión Contractual</w:t>
            </w:r>
          </w:p>
        </w:tc>
      </w:tr>
      <w:tr w:rsidR="004E4581" w:rsidRPr="004E4581" w14:paraId="2F8FD650" w14:textId="77777777" w:rsidTr="008F4163">
        <w:trPr>
          <w:trHeight w:val="330"/>
        </w:trPr>
        <w:tc>
          <w:tcPr>
            <w:tcW w:w="812" w:type="dxa"/>
            <w:vAlign w:val="center"/>
            <w:hideMark/>
          </w:tcPr>
          <w:p w14:paraId="50203A0B"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4B8DE5CD" w:rsidR="008623A7" w:rsidRPr="004E4581" w:rsidRDefault="000254DD" w:rsidP="008623A7">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Sebastián Ramírez Grisales</w:t>
            </w:r>
          </w:p>
          <w:p w14:paraId="130B3228" w14:textId="7A834F20" w:rsidR="002B08BA" w:rsidRPr="004E4581" w:rsidRDefault="005E38E9" w:rsidP="00C05A61">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G</w:t>
            </w:r>
            <w:r w:rsidR="003D281F" w:rsidRPr="004E4581">
              <w:rPr>
                <w:rFonts w:ascii="Arial" w:hAnsi="Arial" w:cs="Arial"/>
                <w:color w:val="000000" w:themeColor="text1"/>
                <w:sz w:val="16"/>
                <w:szCs w:val="16"/>
                <w:lang w:val="es-ES_tradnl" w:eastAsia="es-ES"/>
              </w:rPr>
              <w:t xml:space="preserve">estor </w:t>
            </w:r>
            <w:r w:rsidR="00015642" w:rsidRPr="004E4581">
              <w:rPr>
                <w:rFonts w:ascii="Arial" w:hAnsi="Arial" w:cs="Arial"/>
                <w:color w:val="000000" w:themeColor="text1"/>
                <w:sz w:val="16"/>
                <w:szCs w:val="16"/>
                <w:lang w:val="es-ES_tradnl" w:eastAsia="es-ES"/>
              </w:rPr>
              <w:t>T1-</w:t>
            </w:r>
            <w:r w:rsidR="003D281F" w:rsidRPr="004E4581">
              <w:rPr>
                <w:rFonts w:ascii="Arial" w:hAnsi="Arial" w:cs="Arial"/>
                <w:color w:val="000000" w:themeColor="text1"/>
                <w:sz w:val="16"/>
                <w:szCs w:val="16"/>
                <w:lang w:val="es-ES_tradnl" w:eastAsia="es-ES"/>
              </w:rPr>
              <w:t xml:space="preserve">15 </w:t>
            </w:r>
            <w:r w:rsidR="00015642" w:rsidRPr="004E4581">
              <w:rPr>
                <w:rFonts w:ascii="Arial" w:hAnsi="Arial" w:cs="Arial"/>
                <w:color w:val="000000" w:themeColor="text1"/>
                <w:sz w:val="16"/>
                <w:szCs w:val="16"/>
                <w:lang w:val="es-ES_tradnl" w:eastAsia="es-ES"/>
              </w:rPr>
              <w:t xml:space="preserve">de la </w:t>
            </w:r>
            <w:r w:rsidR="003D281F" w:rsidRPr="004E4581">
              <w:rPr>
                <w:rFonts w:ascii="Arial" w:hAnsi="Arial" w:cs="Arial"/>
                <w:color w:val="000000" w:themeColor="text1"/>
                <w:sz w:val="16"/>
                <w:szCs w:val="16"/>
                <w:lang w:val="es-ES_tradnl" w:eastAsia="es-ES"/>
              </w:rPr>
              <w:t xml:space="preserve">Subdirección de Gestión Contractual </w:t>
            </w:r>
            <w:r w:rsidR="00015642" w:rsidRPr="004E4581">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E4581" w:rsidRDefault="00C05A61"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 xml:space="preserve">Jorge </w:t>
            </w:r>
            <w:r w:rsidR="00647A36" w:rsidRPr="004E4581">
              <w:rPr>
                <w:rFonts w:ascii="Arial" w:hAnsi="Arial" w:cs="Arial"/>
                <w:color w:val="000000" w:themeColor="text1"/>
                <w:sz w:val="16"/>
                <w:szCs w:val="16"/>
                <w:lang w:val="es-ES_tradnl" w:eastAsia="es-ES"/>
              </w:rPr>
              <w:t xml:space="preserve">Augusto </w:t>
            </w:r>
            <w:r w:rsidRPr="004E4581">
              <w:rPr>
                <w:rFonts w:ascii="Arial" w:hAnsi="Arial" w:cs="Arial"/>
                <w:color w:val="000000" w:themeColor="text1"/>
                <w:sz w:val="16"/>
                <w:szCs w:val="16"/>
                <w:lang w:val="es-ES_tradnl" w:eastAsia="es-ES"/>
              </w:rPr>
              <w:t>Tirado Navarro</w:t>
            </w:r>
          </w:p>
          <w:p w14:paraId="1ADC483B" w14:textId="384FAF72"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Subdirector de Gestión Contractual</w:t>
            </w:r>
            <w:r w:rsidR="003D369D" w:rsidRPr="004E4581">
              <w:rPr>
                <w:rFonts w:ascii="Arial" w:hAnsi="Arial" w:cs="Arial"/>
                <w:color w:val="000000" w:themeColor="text1"/>
                <w:sz w:val="16"/>
                <w:szCs w:val="16"/>
                <w:lang w:val="es-ES_tradnl" w:eastAsia="es-ES"/>
              </w:rPr>
              <w:t xml:space="preserve"> ANCP – CCE</w:t>
            </w:r>
          </w:p>
        </w:tc>
      </w:tr>
      <w:tr w:rsidR="00A424EB" w:rsidRPr="004E4581" w14:paraId="37FDF6E0" w14:textId="77777777" w:rsidTr="008F4163">
        <w:trPr>
          <w:trHeight w:val="300"/>
        </w:trPr>
        <w:tc>
          <w:tcPr>
            <w:tcW w:w="812" w:type="dxa"/>
            <w:vAlign w:val="center"/>
          </w:tcPr>
          <w:p w14:paraId="56CB49E7" w14:textId="0030F5B1" w:rsidR="00A424EB" w:rsidRPr="004E4581" w:rsidRDefault="00A424EB" w:rsidP="00A424EB">
            <w:pPr>
              <w:jc w:val="both"/>
              <w:rPr>
                <w:rFonts w:ascii="Arial" w:hAnsi="Arial" w:cs="Arial"/>
                <w:color w:val="000000" w:themeColor="text1"/>
                <w:sz w:val="16"/>
                <w:szCs w:val="16"/>
                <w:lang w:val="es-ES_tradnl"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4FDEF8DC" w14:textId="5E37F83C" w:rsidR="00A424EB" w:rsidRPr="004E4581" w:rsidRDefault="00A424EB" w:rsidP="00A424EB">
            <w:pPr>
              <w:jc w:val="both"/>
              <w:rPr>
                <w:rFonts w:ascii="Arial" w:hAnsi="Arial" w:cs="Arial"/>
                <w:color w:val="000000" w:themeColor="text1"/>
                <w:sz w:val="16"/>
                <w:szCs w:val="16"/>
                <w:lang w:val="es-ES_tradnl" w:eastAsia="es-ES"/>
              </w:rPr>
            </w:pPr>
            <w:r w:rsidRPr="007D49B9">
              <w:rPr>
                <w:rFonts w:ascii="Arial" w:hAnsi="Arial" w:cs="Arial"/>
                <w:sz w:val="16"/>
                <w:szCs w:val="16"/>
                <w:lang w:eastAsia="es-ES"/>
              </w:rPr>
              <w:t xml:space="preserve">Comunicación Interinstitucional </w:t>
            </w:r>
            <w:r>
              <w:rPr>
                <w:rFonts w:ascii="Arial" w:hAnsi="Arial" w:cs="Arial"/>
                <w:sz w:val="16"/>
                <w:szCs w:val="16"/>
                <w:lang w:eastAsia="es-ES"/>
              </w:rPr>
              <w:t xml:space="preserve">de la ANDJE </w:t>
            </w:r>
            <w:r w:rsidRPr="007D49B9">
              <w:rPr>
                <w:rFonts w:ascii="Arial" w:hAnsi="Arial" w:cs="Arial"/>
                <w:sz w:val="16"/>
                <w:szCs w:val="16"/>
                <w:lang w:eastAsia="es-ES"/>
              </w:rPr>
              <w:t>del 20 de octubre de 2021</w:t>
            </w:r>
          </w:p>
        </w:tc>
      </w:tr>
      <w:bookmarkEnd w:id="10"/>
    </w:tbl>
    <w:p w14:paraId="5E9C37DB" w14:textId="62BAE87A" w:rsidR="00746E08" w:rsidRPr="004E4581" w:rsidRDefault="00746E08" w:rsidP="00A424EB">
      <w:pPr>
        <w:tabs>
          <w:tab w:val="left" w:pos="3795"/>
        </w:tabs>
        <w:rPr>
          <w:rFonts w:ascii="Arial" w:hAnsi="Arial" w:cs="Arial"/>
          <w:color w:val="000000" w:themeColor="text1"/>
          <w:lang w:val="es-ES_tradnl"/>
        </w:rPr>
      </w:pPr>
    </w:p>
    <w:sectPr w:rsidR="00746E08" w:rsidRPr="004E45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EF6A" w14:textId="77777777" w:rsidR="00DA6AC7" w:rsidRDefault="00DA6AC7">
      <w:r>
        <w:separator/>
      </w:r>
    </w:p>
  </w:endnote>
  <w:endnote w:type="continuationSeparator" w:id="0">
    <w:p w14:paraId="3C2E2F02" w14:textId="77777777" w:rsidR="00DA6AC7" w:rsidRDefault="00DA6AC7">
      <w:r>
        <w:continuationSeparator/>
      </w:r>
    </w:p>
  </w:endnote>
  <w:endnote w:type="continuationNotice" w:id="1">
    <w:p w14:paraId="4C3B6495" w14:textId="77777777" w:rsidR="00DA6AC7" w:rsidRDefault="00DA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14361226"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968E3">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968E3">
      <w:rPr>
        <w:rFonts w:ascii="Arial" w:hAnsi="Arial" w:cs="Arial"/>
        <w:b/>
        <w:bCs/>
        <w:noProof/>
        <w:color w:val="7F7F7F" w:themeColor="text1" w:themeTint="80"/>
        <w:sz w:val="16"/>
        <w:szCs w:val="16"/>
      </w:rPr>
      <w:t>26</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6D09" w14:textId="77777777" w:rsidR="00DA6AC7" w:rsidRDefault="00DA6AC7">
      <w:r>
        <w:separator/>
      </w:r>
    </w:p>
  </w:footnote>
  <w:footnote w:type="continuationSeparator" w:id="0">
    <w:p w14:paraId="5662260D" w14:textId="77777777" w:rsidR="00DA6AC7" w:rsidRDefault="00DA6AC7">
      <w:r>
        <w:continuationSeparator/>
      </w:r>
    </w:p>
  </w:footnote>
  <w:footnote w:type="continuationNotice" w:id="1">
    <w:p w14:paraId="45BD0E6A" w14:textId="77777777" w:rsidR="00DA6AC7" w:rsidRDefault="00DA6AC7"/>
  </w:footnote>
  <w:footnote w:id="2">
    <w:p w14:paraId="655D4C09" w14:textId="77777777" w:rsidR="00E807B5" w:rsidRPr="00360A25" w:rsidRDefault="00E807B5" w:rsidP="00742595">
      <w:pPr>
        <w:pStyle w:val="Textonotapie"/>
        <w:ind w:firstLine="709"/>
        <w:jc w:val="both"/>
        <w:rPr>
          <w:rFonts w:ascii="Arial" w:hAnsi="Arial" w:cs="Arial"/>
          <w:sz w:val="18"/>
          <w:szCs w:val="18"/>
        </w:rPr>
      </w:pPr>
      <w:r w:rsidRPr="00742595">
        <w:rPr>
          <w:rStyle w:val="Refdenotaalpie"/>
          <w:rFonts w:ascii="Arial" w:hAnsi="Arial" w:cs="Arial"/>
          <w:sz w:val="19"/>
          <w:szCs w:val="19"/>
        </w:rPr>
        <w:footnoteRef/>
      </w:r>
      <w:r w:rsidRPr="00742595">
        <w:rPr>
          <w:rFonts w:ascii="Arial" w:hAnsi="Arial" w:cs="Arial"/>
          <w:sz w:val="19"/>
          <w:szCs w:val="19"/>
        </w:rPr>
        <w:t xml:space="preserve"> El a</w:t>
      </w:r>
      <w:r w:rsidRPr="00360A25">
        <w:rPr>
          <w:rFonts w:ascii="Arial" w:hAnsi="Arial" w:cs="Arial"/>
          <w:sz w:val="18"/>
          <w:szCs w:val="18"/>
        </w:rPr>
        <w:t xml:space="preserve">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360A25" w:rsidRDefault="00E807B5" w:rsidP="00742595">
      <w:pPr>
        <w:pStyle w:val="Textonotapie"/>
        <w:ind w:firstLine="709"/>
        <w:jc w:val="both"/>
        <w:rPr>
          <w:rFonts w:ascii="Arial" w:hAnsi="Arial" w:cs="Arial"/>
          <w:sz w:val="18"/>
          <w:szCs w:val="18"/>
        </w:rPr>
      </w:pPr>
      <w:r w:rsidRPr="00360A25">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B9EFB00" w14:textId="4A81E6E2" w:rsidR="00E807B5" w:rsidRPr="00360A25" w:rsidRDefault="00E807B5" w:rsidP="00742595">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4">
    <w:p w14:paraId="3D0FF6A2" w14:textId="77777777" w:rsidR="00E807B5" w:rsidRPr="00360A25" w:rsidRDefault="00E807B5" w:rsidP="00742595">
      <w:pPr>
        <w:pStyle w:val="Textonotapie"/>
        <w:ind w:firstLine="709"/>
        <w:jc w:val="both"/>
        <w:rPr>
          <w:rFonts w:ascii="Arial" w:hAnsi="Arial" w:cs="Arial"/>
          <w:sz w:val="18"/>
          <w:szCs w:val="18"/>
          <w:lang w:val="es-CO"/>
        </w:rPr>
      </w:pPr>
      <w:r w:rsidRPr="00360A25">
        <w:rPr>
          <w:rStyle w:val="Refdenotaalpie"/>
          <w:rFonts w:ascii="Arial" w:hAnsi="Arial" w:cs="Arial"/>
          <w:sz w:val="18"/>
          <w:szCs w:val="18"/>
        </w:rPr>
        <w:footnoteRef/>
      </w:r>
      <w:r w:rsidRPr="00360A25">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8757135" w14:textId="77777777" w:rsidR="00E807B5" w:rsidRPr="00360A25" w:rsidRDefault="00E807B5" w:rsidP="00742595">
      <w:pPr>
        <w:pStyle w:val="Textonotapie"/>
        <w:ind w:firstLine="709"/>
        <w:jc w:val="both"/>
        <w:rPr>
          <w:rFonts w:ascii="Arial" w:hAnsi="Arial" w:cs="Arial"/>
          <w:sz w:val="18"/>
          <w:szCs w:val="18"/>
          <w:lang w:val="es-CO"/>
        </w:rPr>
      </w:pPr>
    </w:p>
  </w:footnote>
  <w:footnote w:id="5">
    <w:p w14:paraId="4A2A3E87" w14:textId="035207B7" w:rsidR="00E807B5" w:rsidRPr="00360A25" w:rsidRDefault="00E807B5" w:rsidP="00742595">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de fecha 24 de julio de 2013, radicado 2166, Consejero Ponente Álvaro </w:t>
      </w:r>
      <w:r w:rsidRPr="00360A25">
        <w:rPr>
          <w:rFonts w:ascii="Arial" w:hAnsi="Arial" w:cs="Arial"/>
          <w:sz w:val="18"/>
          <w:szCs w:val="18"/>
        </w:rPr>
        <w:t xml:space="preserve">Namén Vargas.  </w:t>
      </w:r>
    </w:p>
  </w:footnote>
  <w:footnote w:id="6">
    <w:p w14:paraId="4B94ABDB" w14:textId="77777777" w:rsidR="00917720" w:rsidRPr="00360A25" w:rsidRDefault="00917720" w:rsidP="00742595">
      <w:pPr>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w:t>
      </w:r>
      <w:bookmarkStart w:id="16" w:name="33"/>
      <w:r w:rsidRPr="00360A25">
        <w:rPr>
          <w:rFonts w:ascii="Arial" w:eastAsia="Calibri" w:hAnsi="Arial" w:cs="Arial"/>
          <w:bCs/>
          <w:color w:val="000000"/>
          <w:sz w:val="18"/>
          <w:szCs w:val="18"/>
        </w:rPr>
        <w:t>«</w:t>
      </w:r>
      <w:r w:rsidRPr="00360A25">
        <w:rPr>
          <w:rFonts w:ascii="Arial" w:hAnsi="Arial" w:cs="Arial"/>
          <w:sz w:val="18"/>
          <w:szCs w:val="18"/>
        </w:rPr>
        <w:t>Artículo 33. Restricciones a la contratación pública.</w:t>
      </w:r>
      <w:bookmarkEnd w:id="16"/>
      <w:r w:rsidRPr="00360A25">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2191C096" w14:textId="77777777" w:rsidR="00917720" w:rsidRPr="00360A25" w:rsidRDefault="00917720" w:rsidP="00742595">
      <w:pPr>
        <w:ind w:firstLine="709"/>
        <w:jc w:val="both"/>
        <w:rPr>
          <w:rFonts w:ascii="Arial" w:hAnsi="Arial" w:cs="Arial"/>
          <w:sz w:val="18"/>
          <w:szCs w:val="18"/>
        </w:rPr>
      </w:pPr>
      <w:r w:rsidRPr="00360A25">
        <w:rPr>
          <w:rFonts w:ascii="Arial" w:eastAsia="Calibri" w:hAnsi="Arial" w:cs="Arial"/>
          <w:bCs/>
          <w:color w:val="000000"/>
          <w:sz w:val="18"/>
          <w:szCs w:val="18"/>
        </w:rPr>
        <w:t>»</w:t>
      </w:r>
      <w:r w:rsidRPr="00360A25">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60A25">
        <w:rPr>
          <w:rFonts w:ascii="Arial" w:eastAsia="Calibri" w:hAnsi="Arial" w:cs="Arial"/>
          <w:bCs/>
          <w:color w:val="000000"/>
          <w:sz w:val="18"/>
          <w:szCs w:val="18"/>
        </w:rPr>
        <w:t>»</w:t>
      </w:r>
      <w:r w:rsidRPr="00360A25">
        <w:rPr>
          <w:rFonts w:ascii="Arial" w:hAnsi="Arial" w:cs="Arial"/>
          <w:sz w:val="18"/>
          <w:szCs w:val="18"/>
        </w:rPr>
        <w:t>.</w:t>
      </w:r>
    </w:p>
  </w:footnote>
  <w:footnote w:id="7">
    <w:p w14:paraId="6F95EDAA" w14:textId="77777777" w:rsidR="00917720" w:rsidRPr="00360A25" w:rsidRDefault="00917720" w:rsidP="00742595">
      <w:pPr>
        <w:pStyle w:val="NormalWeb"/>
        <w:spacing w:before="0" w:beforeAutospacing="0" w:after="0" w:afterAutospacing="0"/>
        <w:ind w:firstLine="709"/>
        <w:jc w:val="both"/>
        <w:rPr>
          <w:rFonts w:ascii="Arial" w:hAnsi="Arial" w:cs="Arial"/>
          <w:sz w:val="18"/>
          <w:szCs w:val="18"/>
          <w:lang w:val="es-MX"/>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eastAsia="Calibri" w:hAnsi="Arial" w:cs="Arial"/>
          <w:bCs/>
          <w:color w:val="000000"/>
          <w:sz w:val="18"/>
          <w:szCs w:val="18"/>
        </w:rPr>
        <w:t>«</w:t>
      </w:r>
      <w:r w:rsidRPr="00360A25">
        <w:rPr>
          <w:rFonts w:ascii="Arial" w:hAnsi="Arial" w:cs="Arial"/>
          <w:sz w:val="18"/>
          <w:szCs w:val="18"/>
          <w:lang w:val="es-MX"/>
        </w:rPr>
        <w:t>Artículo 38. Prohibiciones para los servidores públicos. A los empleados del Estado les está prohibido:</w:t>
      </w:r>
    </w:p>
    <w:p w14:paraId="65CB9548" w14:textId="77777777" w:rsidR="00917720" w:rsidRPr="00360A25" w:rsidRDefault="00917720" w:rsidP="00742595">
      <w:pPr>
        <w:pStyle w:val="NormalWeb"/>
        <w:spacing w:before="0" w:beforeAutospacing="0" w:after="0" w:afterAutospacing="0"/>
        <w:ind w:firstLine="709"/>
        <w:jc w:val="both"/>
        <w:rPr>
          <w:rFonts w:ascii="Arial" w:hAnsi="Arial" w:cs="Arial"/>
          <w:sz w:val="18"/>
          <w:szCs w:val="18"/>
          <w:lang w:val="es-MX"/>
        </w:rPr>
      </w:pPr>
      <w:r w:rsidRPr="00360A25">
        <w:rPr>
          <w:rFonts w:ascii="Arial" w:eastAsia="Calibri" w:hAnsi="Arial" w:cs="Arial"/>
          <w:bCs/>
          <w:color w:val="000000"/>
          <w:sz w:val="18"/>
          <w:szCs w:val="18"/>
        </w:rPr>
        <w:t>»</w:t>
      </w:r>
      <w:r w:rsidRPr="00360A25">
        <w:rPr>
          <w:rFonts w:ascii="Arial" w:hAnsi="Arial" w:cs="Arial"/>
          <w:sz w:val="18"/>
          <w:szCs w:val="18"/>
          <w:lang w:val="es-MX"/>
        </w:rPr>
        <w:t xml:space="preserve"> […]</w:t>
      </w:r>
    </w:p>
    <w:p w14:paraId="3946DC8C" w14:textId="6CB40541" w:rsidR="005B2206" w:rsidRPr="00360A25" w:rsidRDefault="00917720" w:rsidP="00742595">
      <w:pPr>
        <w:pStyle w:val="NormalWeb"/>
        <w:spacing w:before="0" w:beforeAutospacing="0" w:after="0" w:afterAutospacing="0"/>
        <w:ind w:firstLine="709"/>
        <w:jc w:val="both"/>
        <w:rPr>
          <w:rFonts w:ascii="Arial" w:hAnsi="Arial" w:cs="Arial"/>
          <w:sz w:val="18"/>
          <w:szCs w:val="18"/>
          <w:lang w:val="es-MX"/>
        </w:rPr>
      </w:pPr>
      <w:r w:rsidRPr="00360A25">
        <w:rPr>
          <w:rFonts w:ascii="Arial" w:eastAsia="Calibri" w:hAnsi="Arial" w:cs="Arial"/>
          <w:bCs/>
          <w:color w:val="000000"/>
          <w:sz w:val="18"/>
          <w:szCs w:val="18"/>
        </w:rPr>
        <w:t>»</w:t>
      </w:r>
      <w:r w:rsidRPr="00360A25">
        <w:rPr>
          <w:rStyle w:val="baj"/>
          <w:rFonts w:ascii="Arial" w:hAnsi="Arial" w:cs="Arial"/>
          <w:sz w:val="18"/>
          <w:szCs w:val="18"/>
          <w:lang w:val="es-MX"/>
        </w:rPr>
        <w:t xml:space="preserve"> Parágrafo.</w:t>
      </w:r>
      <w:r w:rsidRPr="00360A25">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60A25">
        <w:rPr>
          <w:rFonts w:ascii="Arial" w:eastAsia="Calibri" w:hAnsi="Arial" w:cs="Arial"/>
          <w:bCs/>
          <w:color w:val="000000"/>
          <w:sz w:val="18"/>
          <w:szCs w:val="18"/>
        </w:rPr>
        <w:t>»</w:t>
      </w:r>
      <w:r w:rsidRPr="00360A25">
        <w:rPr>
          <w:rFonts w:ascii="Arial" w:hAnsi="Arial" w:cs="Arial"/>
          <w:sz w:val="18"/>
          <w:szCs w:val="18"/>
          <w:lang w:val="es-MX"/>
        </w:rPr>
        <w:t>.</w:t>
      </w:r>
    </w:p>
  </w:footnote>
  <w:footnote w:id="8">
    <w:p w14:paraId="4983D479" w14:textId="0C3038FE" w:rsidR="00917720" w:rsidRPr="00360A25" w:rsidRDefault="00917720" w:rsidP="00742595">
      <w:pPr>
        <w:ind w:left="100" w:right="244"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9">
    <w:p w14:paraId="493185B9" w14:textId="639D6B5D" w:rsidR="001A25D3" w:rsidRPr="00360A25" w:rsidRDefault="001A25D3" w:rsidP="00720382">
      <w:pPr>
        <w:pStyle w:val="Textonotapie"/>
        <w:ind w:right="51" w:firstLine="709"/>
        <w:jc w:val="both"/>
        <w:rPr>
          <w:rFonts w:ascii="Arial" w:eastAsia="Calibri"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w:t>
      </w:r>
      <w:bookmarkStart w:id="22" w:name="_Hlk74272731"/>
      <w:r w:rsidRPr="00360A25">
        <w:rPr>
          <w:rFonts w:ascii="Arial" w:hAnsi="Arial" w:cs="Arial"/>
          <w:sz w:val="18"/>
          <w:szCs w:val="18"/>
        </w:rPr>
        <w:t>«</w:t>
      </w:r>
      <w:bookmarkEnd w:id="22"/>
      <w:r w:rsidRPr="00360A25">
        <w:rPr>
          <w:rFonts w:ascii="Arial" w:hAnsi="Arial" w:cs="Arial"/>
          <w:sz w:val="18"/>
          <w:szCs w:val="18"/>
          <w:lang w:val="es-ES"/>
        </w:rPr>
        <w:t xml:space="preserve">[25] </w:t>
      </w:r>
      <w:r w:rsidRPr="00360A25">
        <w:rPr>
          <w:rFonts w:ascii="Arial" w:hAnsi="Arial" w:cs="Arial"/>
          <w:sz w:val="18"/>
          <w:szCs w:val="18"/>
        </w:rPr>
        <w:t>Cfr. Consejo de Estado. Sección Tercera. Sentencia de 3 de diciembre de 2007. Radicados: 24.715, 25.206, 25.409, 24.524, 27.834, 25.410, 26.105, 28.244, 31.447 -acumulados-</w:t>
      </w:r>
      <w:bookmarkStart w:id="23" w:name="_Hlk74271358"/>
      <w:r w:rsidRPr="00360A25">
        <w:rPr>
          <w:rFonts w:ascii="Arial" w:hAnsi="Arial" w:cs="Arial"/>
          <w:sz w:val="18"/>
          <w:szCs w:val="18"/>
        </w:rPr>
        <w:t>»</w:t>
      </w:r>
      <w:bookmarkEnd w:id="23"/>
      <w:r w:rsidRPr="00360A25">
        <w:rPr>
          <w:rFonts w:ascii="Arial" w:hAnsi="Arial" w:cs="Arial"/>
          <w:sz w:val="18"/>
          <w:szCs w:val="18"/>
        </w:rPr>
        <w:t>.</w:t>
      </w:r>
    </w:p>
  </w:footnote>
  <w:footnote w:id="10">
    <w:p w14:paraId="42120220" w14:textId="7E3C5640" w:rsidR="001A25D3" w:rsidRPr="00360A25" w:rsidRDefault="001A25D3" w:rsidP="00720382">
      <w:pPr>
        <w:pStyle w:val="Textonotapie"/>
        <w:ind w:right="51"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w:t>
      </w:r>
      <w:bookmarkStart w:id="25" w:name="_Hlk74294506"/>
      <w:r w:rsidRPr="00360A25">
        <w:rPr>
          <w:rFonts w:ascii="Arial" w:hAnsi="Arial" w:cs="Arial"/>
          <w:sz w:val="18"/>
          <w:szCs w:val="18"/>
        </w:rPr>
        <w:t>«</w:t>
      </w:r>
      <w:r w:rsidRPr="00360A25">
        <w:rPr>
          <w:rFonts w:ascii="Arial" w:hAnsi="Arial" w:cs="Arial"/>
          <w:sz w:val="18"/>
          <w:szCs w:val="18"/>
          <w:lang w:val="es-ES"/>
        </w:rPr>
        <w:t xml:space="preserve">[26] </w:t>
      </w:r>
      <w:bookmarkEnd w:id="25"/>
      <w:r w:rsidRPr="00360A25">
        <w:rPr>
          <w:rFonts w:ascii="Arial" w:hAnsi="Arial" w:cs="Arial"/>
          <w:sz w:val="18"/>
          <w:szCs w:val="18"/>
        </w:rPr>
        <w:t>Al respecto ver el concepto 1712 de 2 de febrero de 2006. Consejo de Estado Sala de Consulta y Servicio Civil».</w:t>
      </w:r>
    </w:p>
  </w:footnote>
  <w:footnote w:id="11">
    <w:p w14:paraId="47E856D9" w14:textId="77777777" w:rsidR="001A25D3" w:rsidRPr="00360A25" w:rsidRDefault="001A25D3" w:rsidP="00720382">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Concepto del 2 de septiembre de 2013. Radicación número: 11001-03-06-000-2013-00412-00 (2168). Consejero Ponente: Álvaro </w:t>
      </w:r>
      <w:r w:rsidRPr="00360A25">
        <w:rPr>
          <w:rFonts w:ascii="Arial" w:hAnsi="Arial" w:cs="Arial"/>
          <w:sz w:val="18"/>
          <w:szCs w:val="18"/>
        </w:rPr>
        <w:t>Namén Vargas.</w:t>
      </w:r>
    </w:p>
  </w:footnote>
  <w:footnote w:id="12">
    <w:p w14:paraId="5CE9CAE1" w14:textId="054DA502" w:rsidR="001A25D3" w:rsidRPr="00360A25" w:rsidRDefault="001A25D3" w:rsidP="00720382">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hAnsi="Arial" w:cs="Arial"/>
          <w:sz w:val="18"/>
          <w:szCs w:val="18"/>
          <w:lang w:val="es-ES"/>
        </w:rPr>
        <w:t xml:space="preserve">Artículo 2. </w:t>
      </w:r>
    </w:p>
  </w:footnote>
  <w:footnote w:id="13">
    <w:p w14:paraId="2B92606B" w14:textId="78B9B162" w:rsidR="001A25D3" w:rsidRPr="00360A25" w:rsidRDefault="001A25D3" w:rsidP="00720382">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hAnsi="Arial" w:cs="Arial"/>
          <w:i/>
          <w:sz w:val="18"/>
          <w:szCs w:val="18"/>
          <w:lang w:val="es-ES"/>
        </w:rPr>
        <w:t>Ídem</w:t>
      </w:r>
      <w:r w:rsidRPr="00360A25">
        <w:rPr>
          <w:rFonts w:ascii="Arial" w:hAnsi="Arial" w:cs="Arial"/>
          <w:sz w:val="18"/>
          <w:szCs w:val="18"/>
          <w:lang w:val="es-ES"/>
        </w:rPr>
        <w:t>.</w:t>
      </w:r>
    </w:p>
  </w:footnote>
  <w:footnote w:id="14">
    <w:p w14:paraId="2195B91B" w14:textId="64DBF2E9" w:rsidR="001A25D3" w:rsidRPr="00360A25" w:rsidRDefault="001A25D3" w:rsidP="00720382">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Style w:val="Refdenotaalpie"/>
          <w:rFonts w:ascii="Arial" w:hAnsi="Arial" w:cs="Arial"/>
          <w:sz w:val="18"/>
          <w:szCs w:val="18"/>
        </w:rPr>
        <w:t xml:space="preserve"> </w:t>
      </w:r>
      <w:bookmarkStart w:id="29" w:name="_Hlk74297130"/>
      <w:r w:rsidRPr="00360A25">
        <w:rPr>
          <w:rFonts w:ascii="Arial" w:hAnsi="Arial" w:cs="Arial"/>
          <w:sz w:val="18"/>
          <w:szCs w:val="18"/>
          <w:lang w:val="es-ES"/>
        </w:rPr>
        <w:t>«</w:t>
      </w:r>
      <w:bookmarkEnd w:id="29"/>
      <w:r w:rsidRPr="00360A25">
        <w:rPr>
          <w:rFonts w:ascii="Arial" w:hAnsi="Arial" w:cs="Arial"/>
          <w:sz w:val="18"/>
          <w:szCs w:val="18"/>
          <w:lang w:val="es-ES"/>
        </w:rPr>
        <w:t xml:space="preserve">[…] A este respecto, cabe recordar que el artículo 860 del Código de Comercio regula la licitación en el derecho privado». </w:t>
      </w:r>
    </w:p>
  </w:footnote>
  <w:footnote w:id="15">
    <w:p w14:paraId="5F5EFB83" w14:textId="188F3B9A" w:rsidR="001A25D3" w:rsidRPr="00360A25" w:rsidRDefault="001A25D3" w:rsidP="00720382">
      <w:pPr>
        <w:shd w:val="clear" w:color="auto" w:fill="FFFFFF"/>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Style w:val="Refdenotaalpie"/>
          <w:rFonts w:ascii="Arial" w:hAnsi="Arial" w:cs="Arial"/>
          <w:sz w:val="18"/>
          <w:szCs w:val="18"/>
        </w:rPr>
        <w:t xml:space="preserve"> </w:t>
      </w:r>
      <w:r w:rsidRPr="00360A25">
        <w:rPr>
          <w:rFonts w:ascii="Arial" w:hAnsi="Arial" w:cs="Arial"/>
          <w:sz w:val="18"/>
          <w:szCs w:val="18"/>
          <w:lang w:val="es-ES"/>
        </w:rPr>
        <w:t xml:space="preserve">Consejo de Estado. Sala de Consulta y Servicio Civil, Concepto de 8 de mayo de 2018. Radicación Número: 11001-03-06-000-2018-00095-00(2382). Consejero Ponente: Álvaro </w:t>
      </w:r>
      <w:r w:rsidRPr="00360A25">
        <w:rPr>
          <w:rFonts w:ascii="Arial" w:hAnsi="Arial" w:cs="Arial"/>
          <w:sz w:val="18"/>
          <w:szCs w:val="18"/>
          <w:lang w:val="es-ES"/>
        </w:rPr>
        <w:t>Namén Vargas.</w:t>
      </w:r>
    </w:p>
  </w:footnote>
  <w:footnote w:id="16">
    <w:p w14:paraId="59E3BF1C" w14:textId="77777777" w:rsidR="001A25D3" w:rsidRPr="00360A25" w:rsidRDefault="001A25D3" w:rsidP="00720382">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Concepto del 08 de mayo de 2018. </w:t>
      </w:r>
      <w:r w:rsidRPr="00360A25">
        <w:rPr>
          <w:rFonts w:ascii="Arial" w:hAnsi="Arial" w:cs="Arial"/>
          <w:sz w:val="18"/>
          <w:szCs w:val="18"/>
        </w:rPr>
        <w:t>Exp. 2.382. C.P. Álvaro Namén Vargas.</w:t>
      </w:r>
    </w:p>
  </w:footnote>
  <w:footnote w:id="17">
    <w:p w14:paraId="44A3007D" w14:textId="61A9DC25" w:rsidR="0014461D" w:rsidRPr="00360A25" w:rsidRDefault="0014461D"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COLOMBIA COMPRA EFICIENTE. Circular Externa Única. Numeral 15.3.</w:t>
      </w:r>
    </w:p>
  </w:footnote>
  <w:footnote w:id="18">
    <w:p w14:paraId="11276BF1" w14:textId="77777777" w:rsidR="001A25D3" w:rsidRPr="00360A25" w:rsidRDefault="001A25D3" w:rsidP="00720382">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r w:rsidRPr="00360A25">
        <w:rPr>
          <w:rFonts w:ascii="Arial" w:hAnsi="Arial" w:cs="Arial"/>
          <w:sz w:val="18"/>
          <w:szCs w:val="18"/>
        </w:rPr>
        <w:t>N° 216/05 Senado, N° 235-Cámara que dio lugar a la Ley de Garantías Electorales.</w:t>
      </w:r>
    </w:p>
  </w:footnote>
  <w:footnote w:id="19">
    <w:p w14:paraId="194DA705" w14:textId="37D57CB6" w:rsidR="001A25D3" w:rsidRPr="00360A25" w:rsidRDefault="001A25D3" w:rsidP="00742595">
      <w:pPr>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530D379E" w14:textId="77777777" w:rsidR="001A25D3" w:rsidRPr="00360A25" w:rsidRDefault="001A25D3" w:rsidP="00742595">
      <w:pPr>
        <w:pStyle w:val="Textonotapie"/>
        <w:ind w:right="51"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w:t>
      </w:r>
      <w:bookmarkStart w:id="43" w:name="_Hlk75633115"/>
      <w:r w:rsidRPr="00360A25">
        <w:rPr>
          <w:rFonts w:ascii="Arial" w:hAnsi="Arial" w:cs="Arial"/>
          <w:sz w:val="18"/>
          <w:szCs w:val="18"/>
        </w:rPr>
        <w:t xml:space="preserve">Consejo de Estado. Sala de Consulta y Servicio Civil. Concepto </w:t>
      </w:r>
      <w:bookmarkEnd w:id="43"/>
      <w:r w:rsidRPr="00360A25">
        <w:rPr>
          <w:rFonts w:ascii="Arial" w:hAnsi="Arial" w:cs="Arial"/>
          <w:sz w:val="18"/>
          <w:szCs w:val="18"/>
        </w:rPr>
        <w:t>de 6 de abril de 2006. Radicación Número: 11001-03-06-000-2006-00038-00(1738). Consejero Ponente: Enrique José Arboleda Perdomo:</w:t>
      </w:r>
      <w:r w:rsidRPr="00360A25">
        <w:rPr>
          <w:rFonts w:ascii="Arial" w:eastAsia="Times New Roman" w:hAnsi="Arial" w:cs="Arial"/>
          <w:bCs/>
          <w:sz w:val="18"/>
          <w:szCs w:val="18"/>
          <w:lang w:eastAsia="x-none"/>
        </w:rPr>
        <w:t xml:space="preserve"> «</w:t>
      </w:r>
      <w:r w:rsidRPr="00360A25">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360A25">
        <w:rPr>
          <w:rFonts w:ascii="Arial" w:eastAsia="Times New Roman" w:hAnsi="Arial" w:cs="Arial"/>
          <w:bCs/>
          <w:sz w:val="18"/>
          <w:szCs w:val="18"/>
          <w:lang w:eastAsia="x-none"/>
        </w:rPr>
        <w:t>».</w:t>
      </w:r>
    </w:p>
  </w:footnote>
  <w:footnote w:id="21">
    <w:p w14:paraId="3D1B8935" w14:textId="77777777" w:rsidR="001A25D3" w:rsidRPr="00360A25" w:rsidRDefault="001A25D3" w:rsidP="00720382">
      <w:pPr>
        <w:pStyle w:val="Textonotapie"/>
        <w:ind w:right="51"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footnote>
  <w:footnote w:id="22">
    <w:p w14:paraId="646B83CE" w14:textId="77777777" w:rsidR="001A25D3" w:rsidRPr="00360A25" w:rsidRDefault="001A25D3" w:rsidP="00720382">
      <w:pPr>
        <w:pStyle w:val="Textonotapie"/>
        <w:ind w:right="51"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ídem.</w:t>
      </w:r>
    </w:p>
  </w:footnote>
  <w:footnote w:id="23">
    <w:p w14:paraId="6BAC83B5" w14:textId="5F40FE53" w:rsidR="00951297" w:rsidRPr="00360A25" w:rsidRDefault="00951297"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Esta misma problemática fue abordada recientemente por esta Agencia en el concepto C-606 del 2 de noviembre de 2021. Concepto disponible en: https://relatoria.colombiacompra.gov.co/ficha/C-606%20de%202021.</w:t>
      </w:r>
    </w:p>
  </w:footnote>
  <w:footnote w:id="24">
    <w:p w14:paraId="1D4CE9EF" w14:textId="77777777" w:rsidR="00F325CA" w:rsidRPr="00360A25" w:rsidRDefault="00F325CA" w:rsidP="00742595">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Concepto 2013010362-001 del 18 de marzo de 2013. </w:t>
      </w:r>
      <w:hyperlink r:id="rId1" w:history="1">
        <w:r w:rsidRPr="00360A25">
          <w:rPr>
            <w:rStyle w:val="Hipervnculo"/>
            <w:rFonts w:ascii="Arial" w:hAnsi="Arial" w:cs="Arial"/>
            <w:color w:val="0E63A8" w:themeColor="text2"/>
            <w:sz w:val="18"/>
            <w:szCs w:val="18"/>
          </w:rPr>
          <w:t>https://actualicese.com/concepto-2013010362-001-de-18-03-2013</w:t>
        </w:r>
        <w:r w:rsidRPr="00360A25">
          <w:rPr>
            <w:rStyle w:val="Hipervnculo"/>
            <w:rFonts w:ascii="Arial" w:hAnsi="Arial" w:cs="Arial"/>
            <w:sz w:val="18"/>
            <w:szCs w:val="18"/>
          </w:rPr>
          <w:t>/</w:t>
        </w:r>
      </w:hyperlink>
      <w:r w:rsidRPr="00360A25">
        <w:rPr>
          <w:rFonts w:ascii="Arial" w:hAnsi="Arial" w:cs="Arial"/>
          <w:sz w:val="18"/>
          <w:szCs w:val="18"/>
        </w:rPr>
        <w:t xml:space="preserve">. </w:t>
      </w:r>
    </w:p>
  </w:footnote>
  <w:footnote w:id="25">
    <w:p w14:paraId="2AB72721" w14:textId="1C4AF352" w:rsidR="00F325CA" w:rsidRPr="00360A25" w:rsidRDefault="00F325CA" w:rsidP="00742595">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RODRÍGUEZ AZUERO, Sergio. Negocios fiduciarios: s</w:t>
      </w:r>
      <w:r w:rsidR="00820D42" w:rsidRPr="00360A25">
        <w:rPr>
          <w:rFonts w:ascii="Arial" w:hAnsi="Arial" w:cs="Arial"/>
          <w:sz w:val="18"/>
          <w:szCs w:val="18"/>
        </w:rPr>
        <w:t>u</w:t>
      </w:r>
      <w:r w:rsidRPr="00360A25">
        <w:rPr>
          <w:rFonts w:ascii="Arial" w:hAnsi="Arial" w:cs="Arial"/>
          <w:sz w:val="18"/>
          <w:szCs w:val="18"/>
        </w:rPr>
        <w:t xml:space="preserve"> significación en América Latina. Segunda edición. Bogotá: Legis, 2017. p. 227.</w:t>
      </w:r>
    </w:p>
  </w:footnote>
  <w:footnote w:id="26">
    <w:p w14:paraId="291CDBC7" w14:textId="77777777" w:rsidR="00AA6DE1" w:rsidRPr="00360A25" w:rsidRDefault="00AA6DE1" w:rsidP="00742595">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«Artículo 3°. Funciones. La Agencia Nacional de Contratación Pública –Colombia Compra Eficiente– ejercerá las siguientes funciones: </w:t>
      </w:r>
    </w:p>
    <w:p w14:paraId="532839EF" w14:textId="77777777" w:rsidR="00AA6DE1" w:rsidRPr="00360A25" w:rsidRDefault="00AA6DE1" w:rsidP="00742595">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 </w:t>
      </w:r>
    </w:p>
    <w:p w14:paraId="49435B18" w14:textId="77777777" w:rsidR="00AA6DE1" w:rsidRPr="00360A25" w:rsidRDefault="00AA6DE1" w:rsidP="00742595">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 »5. Absolver consultas sobre la aplicación de normas de carácter general y expedir circulares externas en materia de compras y contratación pública».</w:t>
      </w:r>
    </w:p>
    <w:p w14:paraId="0469F006" w14:textId="0406BEB6" w:rsidR="00AA6DE1" w:rsidRPr="00360A25" w:rsidRDefault="003305FD" w:rsidP="00742595">
      <w:pPr>
        <w:pStyle w:val="Textonotapie"/>
        <w:ind w:firstLine="709"/>
        <w:jc w:val="both"/>
        <w:rPr>
          <w:rFonts w:ascii="Arial" w:hAnsi="Arial" w:cs="Arial"/>
          <w:sz w:val="18"/>
          <w:szCs w:val="18"/>
          <w:lang w:val="es-ES"/>
        </w:rPr>
      </w:pPr>
      <w:r w:rsidRPr="00360A25">
        <w:rPr>
          <w:rFonts w:ascii="Arial" w:hAnsi="Arial" w:cs="Arial"/>
          <w:sz w:val="18"/>
          <w:szCs w:val="18"/>
          <w:lang w:val="es-ES"/>
        </w:rPr>
        <w:t>«</w:t>
      </w:r>
      <w:r w:rsidR="00AA6DE1" w:rsidRPr="00360A25">
        <w:rPr>
          <w:rFonts w:ascii="Arial" w:hAnsi="Arial" w:cs="Arial"/>
          <w:sz w:val="18"/>
          <w:szCs w:val="18"/>
          <w:lang w:val="es-ES"/>
        </w:rPr>
        <w:t xml:space="preserve">Artículo 11. Subdirección de Gestión Contractual. Son funciones de la Subdirección de Gestión Contractual las siguientes: </w:t>
      </w:r>
    </w:p>
    <w:p w14:paraId="6F29CD8D" w14:textId="77777777" w:rsidR="00AA6DE1" w:rsidRPr="00360A25" w:rsidRDefault="00AA6DE1" w:rsidP="00742595">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 </w:t>
      </w:r>
    </w:p>
    <w:p w14:paraId="31BF7CFB" w14:textId="77777777" w:rsidR="00AA6DE1" w:rsidRPr="00360A25" w:rsidRDefault="00AA6DE1" w:rsidP="00742595">
      <w:pPr>
        <w:pStyle w:val="Textonotapie"/>
        <w:ind w:firstLine="709"/>
        <w:jc w:val="both"/>
        <w:rPr>
          <w:rFonts w:ascii="Arial" w:hAnsi="Arial" w:cs="Arial"/>
          <w:sz w:val="18"/>
          <w:szCs w:val="18"/>
          <w:lang w:val="es-ES"/>
        </w:rPr>
      </w:pPr>
      <w:r w:rsidRPr="00360A25">
        <w:rPr>
          <w:rFonts w:ascii="Arial" w:eastAsia="Times New Roman" w:hAnsi="Arial" w:cs="Arial"/>
          <w:sz w:val="18"/>
          <w:szCs w:val="18"/>
          <w:lang w:val="es-CO" w:eastAsia="es-ES_tradnl"/>
        </w:rPr>
        <w:t>»</w:t>
      </w:r>
      <w:r w:rsidRPr="00360A25">
        <w:rPr>
          <w:rFonts w:ascii="Arial" w:hAnsi="Arial" w:cs="Arial"/>
          <w:sz w:val="18"/>
          <w:szCs w:val="18"/>
          <w:lang w:val="es-ES"/>
        </w:rPr>
        <w:t xml:space="preserve">8. Absolver consultas sobre la aplicación de normas de carácter general». </w:t>
      </w:r>
    </w:p>
  </w:footnote>
  <w:footnote w:id="27">
    <w:p w14:paraId="3AB619D8" w14:textId="7152BB2A" w:rsidR="009604ED" w:rsidRPr="00360A25" w:rsidRDefault="009604ED"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hyperlink r:id="rId2" w:history="1">
        <w:r w:rsidRPr="00360A25">
          <w:rPr>
            <w:rStyle w:val="Hipervnculo"/>
            <w:rFonts w:ascii="Arial" w:hAnsi="Arial" w:cs="Arial"/>
            <w:color w:val="0E63A8" w:themeColor="text2"/>
            <w:sz w:val="18"/>
            <w:szCs w:val="18"/>
          </w:rPr>
          <w:t>https://dapre.presidencia.gov.co/normativa/normativa/DIRECTIVA%20PRESIDENCIAL%2007%20DEL%2028%20DE%20OCTUBRE%20DE%202021.pdf</w:t>
        </w:r>
      </w:hyperlink>
      <w:r w:rsidRPr="00360A25">
        <w:rPr>
          <w:rFonts w:ascii="Arial" w:hAnsi="Arial" w:cs="Arial"/>
          <w:sz w:val="18"/>
          <w:szCs w:val="18"/>
        </w:rPr>
        <w:t xml:space="preserve">. </w:t>
      </w:r>
    </w:p>
    <w:p w14:paraId="770A4C41" w14:textId="77777777" w:rsidR="009604ED" w:rsidRPr="00360A25" w:rsidRDefault="009604ED" w:rsidP="00742595">
      <w:pPr>
        <w:pStyle w:val="Textonotapie"/>
        <w:ind w:firstLine="708"/>
        <w:rPr>
          <w:rFonts w:ascii="Arial" w:hAnsi="Arial" w:cs="Arial"/>
          <w:sz w:val="18"/>
          <w:szCs w:val="18"/>
        </w:rPr>
      </w:pPr>
    </w:p>
  </w:footnote>
  <w:footnote w:id="28">
    <w:p w14:paraId="611C632E" w14:textId="77777777" w:rsidR="009604ED" w:rsidRPr="00360A25" w:rsidRDefault="009604ED"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Conforme al artículo 2 del Decreto Ley 4085 de 2011, la Agencia Nacional de Defensa Jurídica del Estado tiene como objetivo «[…] el diseño de estrategias, planes y acciones dirigidos a dar cumplimiento a las políticas de defensa jurídica de la Nación y del Estado definidas por el Gobierno Nacional; la formulación, evaluación y difusión de las políticas en materia de prevención de las conductas antijurídicas por parte de servidores y entidades públicas, del daño antijurídico y la extensión de sus efectos, y la dirección, coordinación y ejecución de las acciones que aseguren la adecuada implementación de las mismas, para la defensa de los intereses litigiosos de la Nación».</w:t>
      </w:r>
    </w:p>
    <w:p w14:paraId="1915C86F" w14:textId="77777777" w:rsidR="009604ED" w:rsidRPr="00360A25" w:rsidRDefault="009604ED" w:rsidP="00742595">
      <w:pPr>
        <w:pStyle w:val="Textonotapie"/>
        <w:ind w:firstLine="708"/>
        <w:rPr>
          <w:rFonts w:ascii="Arial" w:hAnsi="Arial" w:cs="Arial"/>
          <w:sz w:val="18"/>
          <w:szCs w:val="18"/>
        </w:rPr>
      </w:pPr>
    </w:p>
  </w:footnote>
  <w:footnote w:id="29">
    <w:p w14:paraId="73B7134D" w14:textId="77777777" w:rsidR="009604ED" w:rsidRPr="00360A25" w:rsidRDefault="009604ED"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La norma dispone que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footnote>
  <w:footnote w:id="30">
    <w:p w14:paraId="3C2AB225" w14:textId="0CD2E72A" w:rsidR="0030580B" w:rsidRPr="00360A25" w:rsidRDefault="0030580B"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hyperlink r:id="rId3" w:history="1">
        <w:r w:rsidRPr="00360A25">
          <w:rPr>
            <w:rStyle w:val="Hipervnculo"/>
            <w:rFonts w:ascii="Arial" w:hAnsi="Arial" w:cs="Arial"/>
            <w:color w:val="0E63A8" w:themeColor="text2"/>
            <w:sz w:val="18"/>
            <w:szCs w:val="18"/>
          </w:rPr>
          <w:t>https://dapre.presidencia.gov.co/normativa/normativa/DIRECTIVA%20PRESIDENCIAL%2007%20DEL%2028%20DE%20OCTUBRE%20DE%202021.pdf</w:t>
        </w:r>
      </w:hyperlink>
      <w:r w:rsidRPr="00360A25">
        <w:rPr>
          <w:rFonts w:ascii="Arial" w:hAnsi="Arial" w:cs="Arial"/>
          <w:sz w:val="18"/>
          <w:szCs w:val="18"/>
        </w:rPr>
        <w:t xml:space="preserve">. </w:t>
      </w:r>
    </w:p>
    <w:p w14:paraId="4D010730" w14:textId="77777777" w:rsidR="0030580B" w:rsidRPr="00360A25" w:rsidRDefault="0030580B" w:rsidP="0030580B">
      <w:pPr>
        <w:pStyle w:val="Textonotapie"/>
        <w:ind w:firstLine="708"/>
        <w:rPr>
          <w:rFonts w:ascii="Arial" w:hAnsi="Arial" w:cs="Arial"/>
          <w:sz w:val="18"/>
          <w:szCs w:val="18"/>
        </w:rPr>
      </w:pPr>
    </w:p>
  </w:footnote>
  <w:footnote w:id="31">
    <w:p w14:paraId="3B7D9CCC" w14:textId="77777777" w:rsidR="0030580B" w:rsidRPr="00360A25" w:rsidRDefault="0030580B" w:rsidP="00720382">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Conforme al artículo 2 del Decreto Ley 4085 de 2011, la Agencia Nacional de Defensa Jurídica del Estado tiene como objetivo «[…] el diseño de estrategias, planes y acciones dirigidos a dar cumplimiento a las políticas de defensa jurídica de la Nación y del Estado definidas por el Gobierno Nacional; la formulación, evaluación y difusión de las políticas en materia de prevención de las conductas antijurídicas por parte de servidores y entidades públicas, del daño antijurídico y la extensión de sus efectos, y la dirección, coordinación y ejecución de las acciones que aseguren la adecuada implementación de las mismas, para la defensa de los intereses litigiosos de la Nación».</w:t>
      </w:r>
    </w:p>
    <w:p w14:paraId="5CF50836" w14:textId="77777777" w:rsidR="0030580B" w:rsidRPr="00360A25" w:rsidRDefault="0030580B" w:rsidP="0030580B">
      <w:pPr>
        <w:pStyle w:val="Textonotapie"/>
        <w:ind w:firstLine="708"/>
        <w:rPr>
          <w:rFonts w:ascii="Arial" w:hAnsi="Arial" w:cs="Arial"/>
          <w:sz w:val="18"/>
          <w:szCs w:val="18"/>
        </w:rPr>
      </w:pPr>
    </w:p>
  </w:footnote>
  <w:footnote w:id="32">
    <w:p w14:paraId="3F48F21C" w14:textId="77777777" w:rsidR="0030580B" w:rsidRPr="00742595" w:rsidRDefault="0030580B" w:rsidP="00720382">
      <w:pPr>
        <w:pStyle w:val="Textonotapie"/>
        <w:ind w:firstLine="708"/>
        <w:jc w:val="both"/>
        <w:rPr>
          <w:rFonts w:ascii="Arial" w:hAnsi="Arial" w:cs="Arial"/>
          <w:sz w:val="19"/>
          <w:szCs w:val="19"/>
        </w:rPr>
      </w:pPr>
      <w:r w:rsidRPr="00360A25">
        <w:rPr>
          <w:rStyle w:val="Refdenotaalpie"/>
          <w:rFonts w:ascii="Arial" w:hAnsi="Arial" w:cs="Arial"/>
          <w:sz w:val="18"/>
          <w:szCs w:val="18"/>
        </w:rPr>
        <w:footnoteRef/>
      </w:r>
      <w:r w:rsidRPr="00360A25">
        <w:rPr>
          <w:rFonts w:ascii="Arial" w:hAnsi="Arial" w:cs="Arial"/>
          <w:sz w:val="18"/>
          <w:szCs w:val="18"/>
        </w:rPr>
        <w:t xml:space="preserve"> La norma dispone que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58356757">
    <w:abstractNumId w:val="10"/>
  </w:num>
  <w:num w:numId="2" w16cid:durableId="201602105">
    <w:abstractNumId w:val="8"/>
  </w:num>
  <w:num w:numId="3" w16cid:durableId="536772270">
    <w:abstractNumId w:val="14"/>
  </w:num>
  <w:num w:numId="4" w16cid:durableId="1702315955">
    <w:abstractNumId w:val="18"/>
  </w:num>
  <w:num w:numId="5" w16cid:durableId="1461921892">
    <w:abstractNumId w:val="22"/>
  </w:num>
  <w:num w:numId="6" w16cid:durableId="44817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385103">
    <w:abstractNumId w:val="20"/>
  </w:num>
  <w:num w:numId="8" w16cid:durableId="406269697">
    <w:abstractNumId w:val="0"/>
  </w:num>
  <w:num w:numId="9" w16cid:durableId="1530101159">
    <w:abstractNumId w:val="4"/>
  </w:num>
  <w:num w:numId="10" w16cid:durableId="1875772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288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140299">
    <w:abstractNumId w:val="9"/>
  </w:num>
  <w:num w:numId="13" w16cid:durableId="1267689676">
    <w:abstractNumId w:val="12"/>
  </w:num>
  <w:num w:numId="14" w16cid:durableId="1488285452">
    <w:abstractNumId w:val="7"/>
  </w:num>
  <w:num w:numId="15" w16cid:durableId="10029754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3543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696353">
    <w:abstractNumId w:val="24"/>
  </w:num>
  <w:num w:numId="18" w16cid:durableId="1110705501">
    <w:abstractNumId w:val="15"/>
  </w:num>
  <w:num w:numId="19" w16cid:durableId="1750299553">
    <w:abstractNumId w:val="2"/>
  </w:num>
  <w:num w:numId="20" w16cid:durableId="191647340">
    <w:abstractNumId w:val="25"/>
  </w:num>
  <w:num w:numId="21" w16cid:durableId="2058120498">
    <w:abstractNumId w:val="17"/>
  </w:num>
  <w:num w:numId="22" w16cid:durableId="1262758356">
    <w:abstractNumId w:val="6"/>
  </w:num>
  <w:num w:numId="23" w16cid:durableId="491024719">
    <w:abstractNumId w:val="5"/>
  </w:num>
  <w:num w:numId="24" w16cid:durableId="1637177001">
    <w:abstractNumId w:val="23"/>
  </w:num>
  <w:num w:numId="25" w16cid:durableId="565991901">
    <w:abstractNumId w:val="19"/>
  </w:num>
  <w:num w:numId="26" w16cid:durableId="1161962709">
    <w:abstractNumId w:val="3"/>
  </w:num>
  <w:num w:numId="27" w16cid:durableId="564294543">
    <w:abstractNumId w:val="16"/>
  </w:num>
  <w:num w:numId="28" w16cid:durableId="6344057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28463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28"/>
    <w:rsid w:val="0002797C"/>
    <w:rsid w:val="00031364"/>
    <w:rsid w:val="000315E1"/>
    <w:rsid w:val="0003236E"/>
    <w:rsid w:val="00032BB3"/>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408"/>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3224"/>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CE3"/>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461D"/>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020"/>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F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4EAF"/>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035"/>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8BB"/>
    <w:rsid w:val="001F0A71"/>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6982"/>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3EC0"/>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15D"/>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80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5FD"/>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1E4D"/>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A25"/>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5C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94E"/>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11"/>
    <w:rsid w:val="004721A4"/>
    <w:rsid w:val="0047338A"/>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4B9"/>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4AA"/>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EB8"/>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7E4"/>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2A3"/>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389"/>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67D"/>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33D"/>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0C8"/>
    <w:rsid w:val="00716119"/>
    <w:rsid w:val="00716630"/>
    <w:rsid w:val="00716CAD"/>
    <w:rsid w:val="00716F18"/>
    <w:rsid w:val="00717363"/>
    <w:rsid w:val="00717786"/>
    <w:rsid w:val="00717ACB"/>
    <w:rsid w:val="00720382"/>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595"/>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9BB"/>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45E"/>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29"/>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50D"/>
    <w:rsid w:val="007E39C8"/>
    <w:rsid w:val="007E3ACA"/>
    <w:rsid w:val="007E4E65"/>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D42"/>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5FA"/>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54"/>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6E96"/>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13D"/>
    <w:rsid w:val="00947337"/>
    <w:rsid w:val="00947E6E"/>
    <w:rsid w:val="0095041D"/>
    <w:rsid w:val="00950EF2"/>
    <w:rsid w:val="00951297"/>
    <w:rsid w:val="009512FA"/>
    <w:rsid w:val="009516A9"/>
    <w:rsid w:val="00951E57"/>
    <w:rsid w:val="00952350"/>
    <w:rsid w:val="00952505"/>
    <w:rsid w:val="00953018"/>
    <w:rsid w:val="009533E2"/>
    <w:rsid w:val="00953554"/>
    <w:rsid w:val="0095385A"/>
    <w:rsid w:val="0095473B"/>
    <w:rsid w:val="00954F3A"/>
    <w:rsid w:val="00955539"/>
    <w:rsid w:val="00956FC0"/>
    <w:rsid w:val="009570C8"/>
    <w:rsid w:val="0095780A"/>
    <w:rsid w:val="009578C3"/>
    <w:rsid w:val="009579E4"/>
    <w:rsid w:val="00957AA4"/>
    <w:rsid w:val="00957ACB"/>
    <w:rsid w:val="00957F27"/>
    <w:rsid w:val="00957F86"/>
    <w:rsid w:val="009604ED"/>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0639"/>
    <w:rsid w:val="009B231D"/>
    <w:rsid w:val="009B2374"/>
    <w:rsid w:val="009B2E29"/>
    <w:rsid w:val="009B3163"/>
    <w:rsid w:val="009B35AE"/>
    <w:rsid w:val="009B3E84"/>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5EAB"/>
    <w:rsid w:val="00A066C3"/>
    <w:rsid w:val="00A06754"/>
    <w:rsid w:val="00A069E0"/>
    <w:rsid w:val="00A06E4A"/>
    <w:rsid w:val="00A070E9"/>
    <w:rsid w:val="00A07327"/>
    <w:rsid w:val="00A078FB"/>
    <w:rsid w:val="00A07F1E"/>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25E"/>
    <w:rsid w:val="00A41AE8"/>
    <w:rsid w:val="00A41C35"/>
    <w:rsid w:val="00A42080"/>
    <w:rsid w:val="00A42096"/>
    <w:rsid w:val="00A424EB"/>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C5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248"/>
    <w:rsid w:val="00AA3D7B"/>
    <w:rsid w:val="00AA42A0"/>
    <w:rsid w:val="00AA442B"/>
    <w:rsid w:val="00AA46A4"/>
    <w:rsid w:val="00AA5779"/>
    <w:rsid w:val="00AA58A1"/>
    <w:rsid w:val="00AA61C7"/>
    <w:rsid w:val="00AA669D"/>
    <w:rsid w:val="00AA66ED"/>
    <w:rsid w:val="00AA6B59"/>
    <w:rsid w:val="00AA6BE1"/>
    <w:rsid w:val="00AA6D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2C"/>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0F"/>
    <w:rsid w:val="00B41D39"/>
    <w:rsid w:val="00B41D66"/>
    <w:rsid w:val="00B422C0"/>
    <w:rsid w:val="00B426CA"/>
    <w:rsid w:val="00B426E1"/>
    <w:rsid w:val="00B43820"/>
    <w:rsid w:val="00B4387A"/>
    <w:rsid w:val="00B44746"/>
    <w:rsid w:val="00B44854"/>
    <w:rsid w:val="00B44BA5"/>
    <w:rsid w:val="00B454F1"/>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4FC6"/>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10B"/>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3E8F"/>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02F"/>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8E3"/>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5E56"/>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1B3"/>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6AC7"/>
    <w:rsid w:val="00DA7462"/>
    <w:rsid w:val="00DA7AD0"/>
    <w:rsid w:val="00DB02D7"/>
    <w:rsid w:val="00DB03CC"/>
    <w:rsid w:val="00DB12D4"/>
    <w:rsid w:val="00DB14F0"/>
    <w:rsid w:val="00DB1745"/>
    <w:rsid w:val="00DB19BB"/>
    <w:rsid w:val="00DB1AFF"/>
    <w:rsid w:val="00DB219A"/>
    <w:rsid w:val="00DB3009"/>
    <w:rsid w:val="00DB3165"/>
    <w:rsid w:val="00DB3909"/>
    <w:rsid w:val="00DB4165"/>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0F8"/>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2B6B"/>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B15"/>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7D1"/>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0C65"/>
    <w:rsid w:val="00E8143D"/>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5A"/>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104"/>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3D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64A"/>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25CA"/>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34E"/>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AA4"/>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421"/>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60C"/>
    <w:rsid w:val="00FE1768"/>
    <w:rsid w:val="00FE1DD5"/>
    <w:rsid w:val="00FE1E72"/>
    <w:rsid w:val="00FE24F4"/>
    <w:rsid w:val="00FE2560"/>
    <w:rsid w:val="00FE2F15"/>
    <w:rsid w:val="00FE35D0"/>
    <w:rsid w:val="00FE3FB7"/>
    <w:rsid w:val="00FE42ED"/>
    <w:rsid w:val="00FE4E06"/>
    <w:rsid w:val="00FE4FFE"/>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8675FA"/>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831">
      <w:bodyDiv w:val="1"/>
      <w:marLeft w:val="0"/>
      <w:marRight w:val="0"/>
      <w:marTop w:val="0"/>
      <w:marBottom w:val="0"/>
      <w:divBdr>
        <w:top w:val="none" w:sz="0" w:space="0" w:color="auto"/>
        <w:left w:val="none" w:sz="0" w:space="0" w:color="auto"/>
        <w:bottom w:val="none" w:sz="0" w:space="0" w:color="auto"/>
        <w:right w:val="none" w:sz="0" w:space="0" w:color="auto"/>
      </w:divBdr>
      <w:divsChild>
        <w:div w:id="768351494">
          <w:marLeft w:val="0"/>
          <w:marRight w:val="0"/>
          <w:marTop w:val="0"/>
          <w:marBottom w:val="0"/>
          <w:divBdr>
            <w:top w:val="none" w:sz="0" w:space="0" w:color="auto"/>
            <w:left w:val="none" w:sz="0" w:space="0" w:color="auto"/>
            <w:bottom w:val="none" w:sz="0" w:space="0" w:color="auto"/>
            <w:right w:val="none" w:sz="0" w:space="0" w:color="auto"/>
          </w:divBdr>
        </w:div>
        <w:div w:id="40322702">
          <w:marLeft w:val="0"/>
          <w:marRight w:val="0"/>
          <w:marTop w:val="0"/>
          <w:marBottom w:val="0"/>
          <w:divBdr>
            <w:top w:val="none" w:sz="0" w:space="0" w:color="auto"/>
            <w:left w:val="none" w:sz="0" w:space="0" w:color="auto"/>
            <w:bottom w:val="none" w:sz="0" w:space="0" w:color="auto"/>
            <w:right w:val="none" w:sz="0" w:space="0" w:color="auto"/>
          </w:divBdr>
        </w:div>
        <w:div w:id="1297222678">
          <w:marLeft w:val="0"/>
          <w:marRight w:val="0"/>
          <w:marTop w:val="0"/>
          <w:marBottom w:val="0"/>
          <w:divBdr>
            <w:top w:val="none" w:sz="0" w:space="0" w:color="auto"/>
            <w:left w:val="none" w:sz="0" w:space="0" w:color="auto"/>
            <w:bottom w:val="none" w:sz="0" w:space="0" w:color="auto"/>
            <w:right w:val="none" w:sz="0" w:space="0" w:color="auto"/>
          </w:divBdr>
        </w:div>
        <w:div w:id="637102695">
          <w:marLeft w:val="0"/>
          <w:marRight w:val="0"/>
          <w:marTop w:val="0"/>
          <w:marBottom w:val="0"/>
          <w:divBdr>
            <w:top w:val="none" w:sz="0" w:space="0" w:color="auto"/>
            <w:left w:val="none" w:sz="0" w:space="0" w:color="auto"/>
            <w:bottom w:val="none" w:sz="0" w:space="0" w:color="auto"/>
            <w:right w:val="none" w:sz="0" w:space="0" w:color="auto"/>
          </w:divBdr>
        </w:div>
        <w:div w:id="189803570">
          <w:marLeft w:val="0"/>
          <w:marRight w:val="0"/>
          <w:marTop w:val="0"/>
          <w:marBottom w:val="0"/>
          <w:divBdr>
            <w:top w:val="none" w:sz="0" w:space="0" w:color="auto"/>
            <w:left w:val="none" w:sz="0" w:space="0" w:color="auto"/>
            <w:bottom w:val="none" w:sz="0" w:space="0" w:color="auto"/>
            <w:right w:val="none" w:sz="0" w:space="0" w:color="auto"/>
          </w:divBdr>
        </w:div>
        <w:div w:id="2139103741">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normativa/DIRECTIVA%20PRESIDENCIAL%2007%20DEL%2028%20DE%20OCTUBRE%20DE%202021.pdf" TargetMode="External"/><Relationship Id="rId2" Type="http://schemas.openxmlformats.org/officeDocument/2006/relationships/hyperlink" Target="https://dapre.presidencia.gov.co/normativa/normativa/DIRECTIVA%20PRESIDENCIAL%2007%20DEL%2028%20DE%20OCTUBRE%20DE%202021.pdf" TargetMode="External"/><Relationship Id="rId1" Type="http://schemas.openxmlformats.org/officeDocument/2006/relationships/hyperlink" Target="https://actualicese.com/concepto-2013010362-001-de-18-03-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13" ma:contentTypeDescription="Create a new document." ma:contentTypeScope="" ma:versionID="9db6402ed6db58300f69eb5670f92f84">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da366dce6f5426ef3930ecf4d4ed9db9"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227E84B-D644-4CA5-A46B-C5831EC20712}">
  <ds:schemaRefs>
    <ds:schemaRef ds:uri="http://schemas.openxmlformats.org/officeDocument/2006/bibliography"/>
  </ds:schemaRefs>
</ds:datastoreItem>
</file>

<file path=customXml/itemProps4.xml><?xml version="1.0" encoding="utf-8"?>
<ds:datastoreItem xmlns:ds="http://schemas.openxmlformats.org/officeDocument/2006/customXml" ds:itemID="{49E01B30-8225-4431-BE4A-5CCE2440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Pages>
  <Words>9890</Words>
  <Characters>54395</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2021-08-27T20:19:00Z</cp:lastPrinted>
  <dcterms:created xsi:type="dcterms:W3CDTF">2022-04-26T22:15:00Z</dcterms:created>
  <dcterms:modified xsi:type="dcterms:W3CDTF">2022-05-05T17:00:00Z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