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4FF9" w14:textId="77777777" w:rsidR="00E850C7" w:rsidRPr="0063204C" w:rsidRDefault="00E850C7" w:rsidP="00E850C7">
      <w:pPr>
        <w:jc w:val="right"/>
        <w:rPr>
          <w:rFonts w:ascii="Arial" w:hAnsi="Arial" w:cs="Arial"/>
          <w:b/>
          <w:color w:val="000000" w:themeColor="text1"/>
          <w:sz w:val="16"/>
          <w:szCs w:val="16"/>
          <w:lang w:eastAsia="es-ES"/>
        </w:rPr>
      </w:pPr>
      <w:r w:rsidRPr="007A0123">
        <w:rPr>
          <w:rFonts w:ascii="Arial" w:hAnsi="Arial" w:cs="Arial"/>
          <w:b/>
          <w:color w:val="000000" w:themeColor="text1"/>
          <w:sz w:val="16"/>
          <w:szCs w:val="16"/>
          <w:lang w:eastAsia="es-ES"/>
        </w:rPr>
        <w:t>CCE-DES-FM-17</w:t>
      </w:r>
    </w:p>
    <w:p w14:paraId="682DDFB1" w14:textId="77777777" w:rsidR="00E850C7" w:rsidRDefault="00E850C7" w:rsidP="00E850C7">
      <w:pPr>
        <w:spacing w:line="276" w:lineRule="auto"/>
        <w:rPr>
          <w:rFonts w:ascii="Arial" w:eastAsia="Calibri" w:hAnsi="Arial" w:cs="Arial"/>
          <w:b/>
          <w:color w:val="000000" w:themeColor="text1"/>
          <w:sz w:val="22"/>
        </w:rPr>
      </w:pPr>
    </w:p>
    <w:p w14:paraId="42EB7A25" w14:textId="77777777" w:rsidR="00E850C7" w:rsidRDefault="00E850C7" w:rsidP="00E850C7">
      <w:pPr>
        <w:jc w:val="both"/>
        <w:rPr>
          <w:rFonts w:ascii="Arial" w:eastAsia="Calibri" w:hAnsi="Arial" w:cs="Arial"/>
          <w:b/>
          <w:sz w:val="22"/>
          <w:lang w:val="es-ES_tradnl"/>
        </w:rPr>
      </w:pPr>
      <w:r>
        <w:rPr>
          <w:rFonts w:ascii="Arial" w:eastAsia="Calibri" w:hAnsi="Arial" w:cs="Arial"/>
          <w:b/>
          <w:sz w:val="22"/>
          <w:lang w:val="es-ES_tradnl"/>
        </w:rPr>
        <w:t xml:space="preserve">GARANTÍA SUPLEMENTARIA O ADICIONAL – Noción </w:t>
      </w:r>
    </w:p>
    <w:p w14:paraId="5EB9A60C" w14:textId="77777777" w:rsidR="00E850C7" w:rsidRDefault="00E850C7" w:rsidP="00E850C7">
      <w:pPr>
        <w:jc w:val="both"/>
        <w:rPr>
          <w:rFonts w:ascii="Arial" w:eastAsia="Calibri" w:hAnsi="Arial" w:cs="Arial"/>
          <w:b/>
          <w:sz w:val="22"/>
          <w:lang w:val="es-ES_tradnl"/>
        </w:rPr>
      </w:pPr>
    </w:p>
    <w:p w14:paraId="1323F493" w14:textId="77777777" w:rsidR="00E850C7" w:rsidRPr="000E4F42" w:rsidRDefault="00E850C7" w:rsidP="00E850C7">
      <w:pPr>
        <w:tabs>
          <w:tab w:val="left" w:pos="426"/>
        </w:tabs>
        <w:spacing w:after="120"/>
        <w:jc w:val="both"/>
        <w:rPr>
          <w:rFonts w:ascii="Arial" w:eastAsia="Calibri" w:hAnsi="Arial" w:cs="Arial"/>
          <w:color w:val="000000"/>
          <w:sz w:val="20"/>
          <w:szCs w:val="20"/>
        </w:rPr>
      </w:pPr>
      <w:r w:rsidRPr="000E4F42">
        <w:rPr>
          <w:rFonts w:ascii="Arial" w:eastAsia="Calibri" w:hAnsi="Arial" w:cs="Arial"/>
          <w:sz w:val="20"/>
          <w:szCs w:val="20"/>
          <w:lang w:eastAsia="es-ES_tradnl"/>
        </w:rPr>
        <w:t xml:space="preserve">El numeral 4.2.4 del documento base define el «Factor de Calidad – Garantía Suplementaria o Adicional», como aquella otorgada por el contratista, distinta a la legal, cuando amplíe o mejore gratuitamente la cobertura de esta, asociada a la estabilidad y calidad de la obra. En este sentido, el proponente concederá la garantía adicional mediante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 sin necesidad de acudir a una aseguradora. </w:t>
      </w:r>
    </w:p>
    <w:p w14:paraId="656A798D" w14:textId="77777777" w:rsidR="00E850C7" w:rsidRPr="00A36636" w:rsidRDefault="00E850C7" w:rsidP="00E850C7">
      <w:pPr>
        <w:jc w:val="both"/>
        <w:rPr>
          <w:rFonts w:ascii="Arial" w:eastAsia="Calibri" w:hAnsi="Arial" w:cs="Arial"/>
          <w:b/>
          <w:sz w:val="22"/>
          <w:lang w:val="es-ES_tradnl"/>
        </w:rPr>
      </w:pPr>
    </w:p>
    <w:p w14:paraId="40C6015F" w14:textId="77777777" w:rsidR="00E850C7" w:rsidRDefault="00E850C7" w:rsidP="00E850C7">
      <w:pPr>
        <w:jc w:val="both"/>
        <w:rPr>
          <w:rFonts w:ascii="Arial" w:eastAsia="Calibri" w:hAnsi="Arial" w:cs="Arial"/>
          <w:b/>
          <w:sz w:val="22"/>
          <w:lang w:val="es-ES_tradnl"/>
        </w:rPr>
      </w:pPr>
      <w:r>
        <w:rPr>
          <w:rFonts w:ascii="Arial" w:eastAsia="Calibri" w:hAnsi="Arial" w:cs="Arial"/>
          <w:b/>
          <w:sz w:val="22"/>
          <w:lang w:val="es-ES_tradnl"/>
        </w:rPr>
        <w:t xml:space="preserve">GARANTÍA SUPLEMENTARIA O ADICIONAL – Obtención del puntaje </w:t>
      </w:r>
    </w:p>
    <w:p w14:paraId="072F699D" w14:textId="77777777" w:rsidR="00E850C7" w:rsidRDefault="00E850C7" w:rsidP="00E850C7">
      <w:pPr>
        <w:jc w:val="both"/>
        <w:rPr>
          <w:rFonts w:ascii="Arial" w:eastAsia="Calibri" w:hAnsi="Arial" w:cs="Arial"/>
          <w:b/>
          <w:sz w:val="22"/>
          <w:lang w:val="es-ES_tradnl"/>
        </w:rPr>
      </w:pPr>
    </w:p>
    <w:p w14:paraId="40F3662E" w14:textId="77777777" w:rsidR="00E850C7" w:rsidRPr="000E4F42" w:rsidRDefault="00E850C7" w:rsidP="00E850C7">
      <w:pPr>
        <w:spacing w:before="120"/>
        <w:jc w:val="both"/>
        <w:rPr>
          <w:rFonts w:ascii="Arial" w:eastAsia="Calibri" w:hAnsi="Arial" w:cs="Arial"/>
          <w:sz w:val="20"/>
          <w:szCs w:val="20"/>
          <w:lang w:eastAsia="es-ES_tradnl"/>
        </w:rPr>
      </w:pPr>
      <w:r w:rsidRPr="000E4F42">
        <w:rPr>
          <w:rFonts w:ascii="Arial" w:eastAsia="Calibri" w:hAnsi="Arial" w:cs="Arial"/>
          <w:sz w:val="20"/>
          <w:szCs w:val="20"/>
          <w:lang w:eastAsia="es-ES_tradnl"/>
        </w:rPr>
        <w:t>De esta manera, para obtener el puntaje por concepto de la «Garantía Suplementaria o Adicional» no es necesario que esta sea respaldada necesariamente por una aseguradora, sino que bastará la garantía comercial que ofrezca el propio contratista. Lo anterior significa que el ofrecimiento del factor de calidad no obliga a la expedición de la póliza respectiva para acreditar la cobertura, toda vez que el proponente puede suscribir la garantía adicional por sí mismo, sin la cobertura de un tercero. Por ello, las aseguradoras no están obligadas a brindar cobertura para la garantía suplementaria o adicional otorgada directamente por el proponente.</w:t>
      </w:r>
    </w:p>
    <w:p w14:paraId="54A3CAC0" w14:textId="77777777" w:rsidR="00E850C7" w:rsidRPr="00A36636" w:rsidRDefault="00E850C7" w:rsidP="00E850C7">
      <w:pPr>
        <w:jc w:val="both"/>
        <w:rPr>
          <w:rFonts w:ascii="Arial" w:eastAsia="Calibri" w:hAnsi="Arial" w:cs="Arial"/>
          <w:b/>
          <w:sz w:val="22"/>
          <w:lang w:val="es-ES_tradnl"/>
        </w:rPr>
      </w:pPr>
    </w:p>
    <w:p w14:paraId="2AA61200" w14:textId="77777777" w:rsidR="00E850C7" w:rsidRDefault="00E850C7" w:rsidP="00E850C7">
      <w:pPr>
        <w:spacing w:line="276" w:lineRule="auto"/>
        <w:rPr>
          <w:rFonts w:ascii="Arial" w:eastAsia="Calibri" w:hAnsi="Arial" w:cs="Arial"/>
          <w:b/>
          <w:color w:val="000000" w:themeColor="text1"/>
          <w:sz w:val="22"/>
        </w:rPr>
      </w:pPr>
    </w:p>
    <w:p w14:paraId="400D5335" w14:textId="77777777" w:rsidR="00E850C7" w:rsidRDefault="00E850C7" w:rsidP="00E850C7">
      <w:pPr>
        <w:spacing w:line="276" w:lineRule="auto"/>
        <w:rPr>
          <w:rFonts w:ascii="Arial" w:eastAsia="Calibri" w:hAnsi="Arial" w:cs="Arial"/>
          <w:b/>
          <w:color w:val="000000" w:themeColor="text1"/>
          <w:sz w:val="22"/>
        </w:rPr>
      </w:pPr>
    </w:p>
    <w:p w14:paraId="5A3DDD7D" w14:textId="77777777" w:rsidR="00E850C7" w:rsidRDefault="00E850C7" w:rsidP="00E850C7">
      <w:pPr>
        <w:spacing w:line="276" w:lineRule="auto"/>
        <w:rPr>
          <w:rFonts w:ascii="Arial" w:eastAsia="Calibri" w:hAnsi="Arial" w:cs="Arial"/>
          <w:b/>
          <w:color w:val="000000" w:themeColor="text1"/>
          <w:sz w:val="22"/>
        </w:rPr>
      </w:pPr>
    </w:p>
    <w:p w14:paraId="1266D7F5" w14:textId="77777777" w:rsidR="00E850C7" w:rsidRDefault="00E850C7" w:rsidP="00E850C7">
      <w:pPr>
        <w:spacing w:line="276" w:lineRule="auto"/>
        <w:rPr>
          <w:rFonts w:ascii="Arial" w:eastAsia="Calibri" w:hAnsi="Arial" w:cs="Arial"/>
          <w:b/>
          <w:color w:val="000000" w:themeColor="text1"/>
          <w:sz w:val="22"/>
        </w:rPr>
      </w:pPr>
    </w:p>
    <w:p w14:paraId="0E7799CA" w14:textId="77777777" w:rsidR="00E850C7" w:rsidRDefault="00E850C7" w:rsidP="00E850C7">
      <w:pPr>
        <w:spacing w:line="276" w:lineRule="auto"/>
        <w:rPr>
          <w:rFonts w:ascii="Arial" w:eastAsia="Calibri" w:hAnsi="Arial" w:cs="Arial"/>
          <w:b/>
          <w:color w:val="000000" w:themeColor="text1"/>
          <w:sz w:val="22"/>
        </w:rPr>
      </w:pPr>
    </w:p>
    <w:p w14:paraId="1D538E50" w14:textId="77777777" w:rsidR="00E850C7" w:rsidRDefault="00E850C7" w:rsidP="00E850C7">
      <w:pPr>
        <w:spacing w:line="276" w:lineRule="auto"/>
        <w:rPr>
          <w:rFonts w:ascii="Arial" w:eastAsia="Calibri" w:hAnsi="Arial" w:cs="Arial"/>
          <w:b/>
          <w:color w:val="000000" w:themeColor="text1"/>
          <w:sz w:val="22"/>
        </w:rPr>
      </w:pPr>
    </w:p>
    <w:p w14:paraId="298741D2" w14:textId="77777777" w:rsidR="00E850C7" w:rsidRDefault="00E850C7" w:rsidP="00E850C7">
      <w:pPr>
        <w:spacing w:line="276" w:lineRule="auto"/>
        <w:rPr>
          <w:rFonts w:ascii="Arial" w:eastAsia="Calibri" w:hAnsi="Arial" w:cs="Arial"/>
          <w:b/>
          <w:color w:val="000000" w:themeColor="text1"/>
          <w:sz w:val="22"/>
        </w:rPr>
      </w:pPr>
    </w:p>
    <w:p w14:paraId="44F4D5F4" w14:textId="77777777" w:rsidR="00E850C7" w:rsidRDefault="00E850C7" w:rsidP="00E850C7">
      <w:pPr>
        <w:spacing w:line="276" w:lineRule="auto"/>
        <w:rPr>
          <w:rFonts w:ascii="Arial" w:eastAsia="Calibri" w:hAnsi="Arial" w:cs="Arial"/>
          <w:b/>
          <w:color w:val="000000" w:themeColor="text1"/>
          <w:sz w:val="22"/>
        </w:rPr>
      </w:pPr>
    </w:p>
    <w:p w14:paraId="7FC0C21C" w14:textId="77777777" w:rsidR="00E850C7" w:rsidRDefault="00E850C7" w:rsidP="00E850C7">
      <w:pPr>
        <w:spacing w:line="276" w:lineRule="auto"/>
        <w:rPr>
          <w:rFonts w:ascii="Arial" w:eastAsia="Calibri" w:hAnsi="Arial" w:cs="Arial"/>
          <w:b/>
          <w:color w:val="000000" w:themeColor="text1"/>
          <w:sz w:val="22"/>
        </w:rPr>
      </w:pPr>
    </w:p>
    <w:p w14:paraId="20E3AF86" w14:textId="77777777" w:rsidR="00E850C7" w:rsidRDefault="00E850C7" w:rsidP="00E850C7">
      <w:pPr>
        <w:spacing w:line="276" w:lineRule="auto"/>
        <w:rPr>
          <w:rFonts w:ascii="Arial" w:eastAsia="Calibri" w:hAnsi="Arial" w:cs="Arial"/>
          <w:b/>
          <w:color w:val="000000" w:themeColor="text1"/>
          <w:sz w:val="22"/>
        </w:rPr>
      </w:pPr>
    </w:p>
    <w:p w14:paraId="59D16B30" w14:textId="77777777" w:rsidR="00E850C7" w:rsidRDefault="00E850C7" w:rsidP="00E850C7">
      <w:pPr>
        <w:spacing w:line="276" w:lineRule="auto"/>
        <w:rPr>
          <w:rFonts w:ascii="Arial" w:eastAsia="Calibri" w:hAnsi="Arial" w:cs="Arial"/>
          <w:b/>
          <w:color w:val="000000" w:themeColor="text1"/>
          <w:sz w:val="22"/>
        </w:rPr>
      </w:pPr>
    </w:p>
    <w:p w14:paraId="520A0387" w14:textId="77777777" w:rsidR="00E850C7" w:rsidRDefault="00E850C7" w:rsidP="00E850C7">
      <w:pPr>
        <w:spacing w:line="276" w:lineRule="auto"/>
        <w:rPr>
          <w:rFonts w:ascii="Arial" w:eastAsia="Calibri" w:hAnsi="Arial" w:cs="Arial"/>
          <w:b/>
          <w:color w:val="000000" w:themeColor="text1"/>
          <w:sz w:val="22"/>
        </w:rPr>
      </w:pPr>
    </w:p>
    <w:p w14:paraId="65362BE1" w14:textId="77777777" w:rsidR="00E850C7" w:rsidRDefault="00E850C7" w:rsidP="00E850C7">
      <w:pPr>
        <w:spacing w:line="276" w:lineRule="auto"/>
        <w:rPr>
          <w:rFonts w:ascii="Arial" w:eastAsia="Calibri" w:hAnsi="Arial" w:cs="Arial"/>
          <w:b/>
          <w:color w:val="000000" w:themeColor="text1"/>
          <w:sz w:val="22"/>
        </w:rPr>
      </w:pPr>
    </w:p>
    <w:p w14:paraId="6A3E4EC5" w14:textId="77777777" w:rsidR="00E850C7" w:rsidRDefault="00E850C7" w:rsidP="00E850C7">
      <w:pPr>
        <w:spacing w:line="276" w:lineRule="auto"/>
        <w:rPr>
          <w:rFonts w:ascii="Arial" w:eastAsia="Calibri" w:hAnsi="Arial" w:cs="Arial"/>
          <w:b/>
          <w:color w:val="000000" w:themeColor="text1"/>
          <w:sz w:val="22"/>
        </w:rPr>
      </w:pPr>
    </w:p>
    <w:p w14:paraId="7360DB51" w14:textId="77777777" w:rsidR="00E850C7" w:rsidRDefault="00E850C7" w:rsidP="00E850C7">
      <w:pPr>
        <w:spacing w:line="276" w:lineRule="auto"/>
        <w:rPr>
          <w:rFonts w:ascii="Arial" w:eastAsia="Calibri" w:hAnsi="Arial" w:cs="Arial"/>
          <w:b/>
          <w:color w:val="000000" w:themeColor="text1"/>
          <w:sz w:val="22"/>
        </w:rPr>
      </w:pPr>
    </w:p>
    <w:p w14:paraId="65CAA703" w14:textId="77777777" w:rsidR="00E850C7" w:rsidRDefault="00E850C7" w:rsidP="00E850C7">
      <w:pPr>
        <w:spacing w:line="276" w:lineRule="auto"/>
        <w:rPr>
          <w:rFonts w:ascii="Arial" w:eastAsia="Calibri" w:hAnsi="Arial" w:cs="Arial"/>
          <w:b/>
          <w:color w:val="000000" w:themeColor="text1"/>
          <w:sz w:val="22"/>
        </w:rPr>
      </w:pPr>
    </w:p>
    <w:p w14:paraId="2A761035" w14:textId="77777777" w:rsidR="00E850C7" w:rsidRDefault="00E850C7" w:rsidP="00E850C7">
      <w:pPr>
        <w:spacing w:line="276" w:lineRule="auto"/>
        <w:rPr>
          <w:rFonts w:ascii="Arial" w:eastAsia="Calibri" w:hAnsi="Arial" w:cs="Arial"/>
          <w:b/>
          <w:color w:val="000000" w:themeColor="text1"/>
          <w:sz w:val="22"/>
        </w:rPr>
      </w:pPr>
    </w:p>
    <w:p w14:paraId="0E588D3C" w14:textId="77777777" w:rsidR="00E850C7" w:rsidRDefault="00E850C7" w:rsidP="00E850C7">
      <w:pPr>
        <w:spacing w:line="276" w:lineRule="auto"/>
        <w:rPr>
          <w:rFonts w:ascii="Arial" w:eastAsia="Calibri" w:hAnsi="Arial" w:cs="Arial"/>
          <w:b/>
          <w:color w:val="000000" w:themeColor="text1"/>
          <w:sz w:val="22"/>
        </w:rPr>
      </w:pPr>
    </w:p>
    <w:p w14:paraId="762EF150" w14:textId="77777777" w:rsidR="00E850C7" w:rsidRDefault="00E850C7" w:rsidP="00E850C7">
      <w:pPr>
        <w:spacing w:line="276" w:lineRule="auto"/>
        <w:rPr>
          <w:rFonts w:ascii="Arial" w:eastAsia="Calibri" w:hAnsi="Arial" w:cs="Arial"/>
          <w:b/>
          <w:color w:val="000000" w:themeColor="text1"/>
          <w:sz w:val="22"/>
        </w:rPr>
      </w:pPr>
    </w:p>
    <w:p w14:paraId="01EC84F3" w14:textId="77777777" w:rsidR="00E850C7" w:rsidRDefault="00E850C7" w:rsidP="00E850C7">
      <w:pPr>
        <w:spacing w:line="276" w:lineRule="auto"/>
        <w:rPr>
          <w:rFonts w:ascii="Arial" w:eastAsia="Calibri" w:hAnsi="Arial" w:cs="Arial"/>
          <w:b/>
          <w:color w:val="000000" w:themeColor="text1"/>
          <w:sz w:val="22"/>
        </w:rPr>
      </w:pPr>
    </w:p>
    <w:p w14:paraId="69B50D8E" w14:textId="77777777" w:rsidR="00E850C7" w:rsidRDefault="00E850C7" w:rsidP="00E850C7">
      <w:pPr>
        <w:spacing w:line="276" w:lineRule="auto"/>
        <w:rPr>
          <w:rFonts w:ascii="Arial" w:eastAsia="Calibri" w:hAnsi="Arial" w:cs="Arial"/>
          <w:b/>
          <w:color w:val="000000" w:themeColor="text1"/>
          <w:sz w:val="22"/>
        </w:rPr>
      </w:pPr>
    </w:p>
    <w:p w14:paraId="61D5F207" w14:textId="77777777" w:rsidR="00E850C7" w:rsidRDefault="00E850C7" w:rsidP="00E850C7">
      <w:pPr>
        <w:spacing w:line="276" w:lineRule="auto"/>
        <w:rPr>
          <w:rFonts w:ascii="Arial" w:eastAsia="Calibri" w:hAnsi="Arial" w:cs="Arial"/>
          <w:b/>
          <w:color w:val="000000" w:themeColor="text1"/>
          <w:sz w:val="22"/>
        </w:rPr>
      </w:pPr>
    </w:p>
    <w:p w14:paraId="67B2E788" w14:textId="0E1BDF43" w:rsidR="00E850C7" w:rsidRPr="006B5021" w:rsidRDefault="00E850C7" w:rsidP="00E850C7">
      <w:pPr>
        <w:jc w:val="right"/>
      </w:pPr>
      <w:r w:rsidRPr="006B5021">
        <w:fldChar w:fldCharType="begin"/>
      </w:r>
      <w:r w:rsidR="00FD33C0">
        <w:instrText xml:space="preserve"> INCLUDEPICTURE "C:\\var\\folders\\tb\\0fmk9b510f57pz5rwhv8lnpw0000gp\\T\\com.microsoft.Word\\WebArchiveCopyPasteTempFiles\\page1image1845072512" \* MERGEFORMAT </w:instrText>
      </w:r>
      <w:r w:rsidRPr="006B5021">
        <w:fldChar w:fldCharType="separate"/>
      </w:r>
      <w:r w:rsidRPr="006B5021">
        <w:rPr>
          <w:noProof/>
        </w:rPr>
        <w:drawing>
          <wp:inline distT="0" distB="0" distL="0" distR="0" wp14:anchorId="41252A43" wp14:editId="49D31EC3">
            <wp:extent cx="2397760" cy="613410"/>
            <wp:effectExtent l="0" t="0" r="2540" b="0"/>
            <wp:docPr id="4" name="Imagen 4" descr="page1image184507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450725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7760" cy="613410"/>
                    </a:xfrm>
                    <a:prstGeom prst="rect">
                      <a:avLst/>
                    </a:prstGeom>
                    <a:noFill/>
                    <a:ln>
                      <a:noFill/>
                    </a:ln>
                  </pic:spPr>
                </pic:pic>
              </a:graphicData>
            </a:graphic>
          </wp:inline>
        </w:drawing>
      </w:r>
      <w:r w:rsidRPr="006B5021">
        <w:fldChar w:fldCharType="end"/>
      </w:r>
    </w:p>
    <w:p w14:paraId="55694950" w14:textId="77777777" w:rsidR="00E850C7" w:rsidRDefault="00E850C7" w:rsidP="00E850C7">
      <w:pPr>
        <w:spacing w:line="276" w:lineRule="auto"/>
        <w:rPr>
          <w:rFonts w:ascii="Arial" w:eastAsia="Calibri" w:hAnsi="Arial" w:cs="Arial"/>
          <w:b/>
          <w:color w:val="000000" w:themeColor="text1"/>
          <w:sz w:val="22"/>
        </w:rPr>
      </w:pPr>
    </w:p>
    <w:p w14:paraId="432E5409" w14:textId="77777777" w:rsidR="00E850C7" w:rsidRDefault="00E850C7" w:rsidP="00E850C7">
      <w:pPr>
        <w:jc w:val="both"/>
        <w:rPr>
          <w:rFonts w:ascii="Arial" w:hAnsi="Arial" w:cs="Arial"/>
          <w:b/>
          <w:bCs/>
          <w:sz w:val="22"/>
          <w:szCs w:val="22"/>
        </w:rPr>
      </w:pPr>
    </w:p>
    <w:p w14:paraId="635AAC2B" w14:textId="77777777" w:rsidR="00E850C7" w:rsidRPr="002E4380" w:rsidRDefault="00E850C7" w:rsidP="00E850C7">
      <w:pPr>
        <w:jc w:val="both"/>
        <w:rPr>
          <w:rFonts w:ascii="Arial" w:hAnsi="Arial" w:cs="Arial"/>
          <w:b/>
          <w:bCs/>
          <w:sz w:val="22"/>
          <w:szCs w:val="22"/>
        </w:rPr>
      </w:pPr>
      <w:r w:rsidRPr="002E4380">
        <w:rPr>
          <w:rFonts w:ascii="Arial" w:hAnsi="Arial" w:cs="Arial"/>
          <w:b/>
          <w:bCs/>
          <w:sz w:val="22"/>
          <w:szCs w:val="22"/>
        </w:rPr>
        <w:t>Bogotá D.C</w:t>
      </w:r>
      <w:r>
        <w:rPr>
          <w:rFonts w:ascii="Arial" w:hAnsi="Arial" w:cs="Arial"/>
          <w:b/>
          <w:bCs/>
          <w:sz w:val="22"/>
          <w:szCs w:val="22"/>
        </w:rPr>
        <w:t>.</w:t>
      </w:r>
      <w:r w:rsidRPr="002E4380">
        <w:rPr>
          <w:rFonts w:ascii="Arial" w:hAnsi="Arial" w:cs="Arial"/>
          <w:b/>
          <w:bCs/>
          <w:sz w:val="22"/>
          <w:szCs w:val="22"/>
        </w:rPr>
        <w:t xml:space="preserve"> </w:t>
      </w:r>
    </w:p>
    <w:p w14:paraId="288BD1BA" w14:textId="77777777" w:rsidR="00E850C7" w:rsidRDefault="00E850C7" w:rsidP="00E850C7">
      <w:pPr>
        <w:spacing w:line="276" w:lineRule="auto"/>
        <w:jc w:val="right"/>
        <w:rPr>
          <w:rFonts w:ascii="Arial" w:hAnsi="Arial" w:cs="Arial"/>
          <w:b/>
          <w:bCs/>
          <w:sz w:val="22"/>
        </w:rPr>
      </w:pPr>
    </w:p>
    <w:p w14:paraId="16F999D3" w14:textId="77777777" w:rsidR="00E850C7" w:rsidRDefault="00E850C7" w:rsidP="00E850C7">
      <w:pPr>
        <w:spacing w:line="276" w:lineRule="auto"/>
        <w:jc w:val="right"/>
        <w:rPr>
          <w:rFonts w:ascii="Arial" w:hAnsi="Arial" w:cs="Arial"/>
          <w:b/>
          <w:bCs/>
          <w:sz w:val="22"/>
        </w:rPr>
      </w:pPr>
    </w:p>
    <w:p w14:paraId="008EF18C" w14:textId="77777777" w:rsidR="00E850C7" w:rsidRDefault="00E850C7" w:rsidP="00E850C7">
      <w:pPr>
        <w:rPr>
          <w:rFonts w:ascii="Arial" w:eastAsia="Calibri" w:hAnsi="Arial" w:cs="Arial"/>
          <w:color w:val="000000" w:themeColor="text1"/>
          <w:sz w:val="22"/>
        </w:rPr>
      </w:pPr>
      <w:r w:rsidRPr="001B0D3D">
        <w:rPr>
          <w:rFonts w:ascii="Arial" w:eastAsia="Calibri" w:hAnsi="Arial" w:cs="Arial"/>
          <w:color w:val="000000" w:themeColor="text1"/>
          <w:sz w:val="22"/>
        </w:rPr>
        <w:t>Señor</w:t>
      </w:r>
    </w:p>
    <w:p w14:paraId="06D53CB0" w14:textId="004A71EF" w:rsidR="00E850C7" w:rsidRPr="0093085B" w:rsidRDefault="00D87687" w:rsidP="00E850C7">
      <w:pPr>
        <w:rPr>
          <w:rFonts w:ascii="Arial" w:eastAsia="Calibri" w:hAnsi="Arial" w:cs="Arial"/>
          <w:b/>
          <w:bCs/>
          <w:color w:val="000000" w:themeColor="text1"/>
          <w:sz w:val="22"/>
        </w:rPr>
      </w:pPr>
      <w:r>
        <w:rPr>
          <w:rFonts w:ascii="Arial" w:eastAsia="Calibri" w:hAnsi="Arial" w:cs="Arial"/>
          <w:b/>
          <w:bCs/>
          <w:color w:val="000000" w:themeColor="text1"/>
          <w:sz w:val="22"/>
        </w:rPr>
        <w:t>David Felipe Alonso Jiménez</w:t>
      </w:r>
    </w:p>
    <w:p w14:paraId="3D85E196" w14:textId="77777777" w:rsidR="00E850C7" w:rsidRPr="001B0D3D" w:rsidRDefault="00E850C7" w:rsidP="00E850C7">
      <w:pPr>
        <w:rPr>
          <w:rFonts w:ascii="Arial" w:eastAsia="Calibri" w:hAnsi="Arial" w:cs="Arial"/>
          <w:color w:val="000000" w:themeColor="text1"/>
          <w:sz w:val="22"/>
        </w:rPr>
      </w:pPr>
      <w:r>
        <w:rPr>
          <w:rFonts w:ascii="Arial" w:eastAsia="Calibri" w:hAnsi="Arial" w:cs="Arial"/>
          <w:color w:val="000000" w:themeColor="text1"/>
          <w:sz w:val="22"/>
        </w:rPr>
        <w:t>Bogotá D.C</w:t>
      </w:r>
    </w:p>
    <w:p w14:paraId="542C1EEE" w14:textId="77777777" w:rsidR="00E850C7" w:rsidRPr="001B0D3D" w:rsidRDefault="00E850C7" w:rsidP="00E850C7">
      <w:pPr>
        <w:rPr>
          <w:rFonts w:ascii="Arial" w:eastAsia="Calibri" w:hAnsi="Arial" w:cs="Arial"/>
          <w:color w:val="000000" w:themeColor="text1"/>
          <w:sz w:val="22"/>
        </w:rPr>
      </w:pPr>
    </w:p>
    <w:p w14:paraId="3BAB741E" w14:textId="77777777" w:rsidR="00E850C7" w:rsidRPr="001B0D3D" w:rsidRDefault="00E850C7" w:rsidP="00E850C7">
      <w:pPr>
        <w:rPr>
          <w:rFonts w:ascii="Arial" w:eastAsia="Calibri" w:hAnsi="Arial" w:cs="Arial"/>
          <w:b/>
          <w:color w:val="000000" w:themeColor="text1"/>
          <w:sz w:val="22"/>
        </w:rPr>
      </w:pPr>
    </w:p>
    <w:p w14:paraId="3B926CB4" w14:textId="77777777" w:rsidR="00E850C7" w:rsidRPr="001B0D3D" w:rsidRDefault="00E850C7" w:rsidP="00E850C7">
      <w:pPr>
        <w:rPr>
          <w:rFonts w:ascii="Arial" w:eastAsia="Calibri" w:hAnsi="Arial" w:cs="Arial"/>
          <w:b/>
          <w:color w:val="000000" w:themeColor="text1"/>
          <w:sz w:val="22"/>
        </w:rPr>
      </w:pPr>
      <w:r>
        <w:rPr>
          <w:rFonts w:ascii="Arial" w:eastAsia="Calibri" w:hAnsi="Arial" w:cs="Arial"/>
          <w:b/>
          <w:color w:val="000000" w:themeColor="text1"/>
          <w:sz w:val="22"/>
        </w:rPr>
        <w:t xml:space="preserve">                                            Concepto C – 476 de 2021 </w:t>
      </w:r>
    </w:p>
    <w:p w14:paraId="7B610C01" w14:textId="77777777" w:rsidR="00E850C7" w:rsidRPr="001B0D3D" w:rsidRDefault="00E850C7" w:rsidP="00E850C7">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850C7" w:rsidRPr="0063204C" w14:paraId="45D4B7E4" w14:textId="77777777" w:rsidTr="008254FC">
        <w:trPr>
          <w:trHeight w:val="824"/>
        </w:trPr>
        <w:tc>
          <w:tcPr>
            <w:tcW w:w="2689" w:type="dxa"/>
          </w:tcPr>
          <w:p w14:paraId="551681AA" w14:textId="77777777" w:rsidR="00E850C7" w:rsidRPr="001B0D3D" w:rsidRDefault="00E850C7" w:rsidP="008254FC">
            <w:pPr>
              <w:rPr>
                <w:rFonts w:ascii="Arial" w:eastAsia="Calibri" w:hAnsi="Arial" w:cs="Arial"/>
                <w:color w:val="000000" w:themeColor="text1"/>
              </w:rPr>
            </w:pPr>
            <w:r w:rsidRPr="001B0D3D">
              <w:rPr>
                <w:rFonts w:ascii="Arial" w:eastAsia="Calibri" w:hAnsi="Arial" w:cs="Arial"/>
                <w:b/>
                <w:color w:val="000000" w:themeColor="text1"/>
              </w:rPr>
              <w:t>Temas:</w:t>
            </w:r>
            <w:r w:rsidRPr="001B0D3D">
              <w:rPr>
                <w:rFonts w:ascii="Arial" w:eastAsia="Calibri" w:hAnsi="Arial" w:cs="Arial"/>
                <w:color w:val="000000" w:themeColor="text1"/>
              </w:rPr>
              <w:t xml:space="preserve">                                      </w:t>
            </w:r>
          </w:p>
        </w:tc>
        <w:tc>
          <w:tcPr>
            <w:tcW w:w="6237" w:type="dxa"/>
          </w:tcPr>
          <w:p w14:paraId="5B7947F9" w14:textId="77777777" w:rsidR="00E850C7" w:rsidRDefault="00E850C7" w:rsidP="008254FC">
            <w:pPr>
              <w:jc w:val="both"/>
              <w:rPr>
                <w:rFonts w:ascii="Arial" w:eastAsia="Calibri" w:hAnsi="Arial" w:cs="Arial"/>
                <w:bCs/>
                <w:lang w:val="es-ES_tradnl"/>
              </w:rPr>
            </w:pPr>
            <w:r>
              <w:rPr>
                <w:rFonts w:ascii="Arial" w:eastAsia="Calibri" w:hAnsi="Arial" w:cs="Arial"/>
                <w:bCs/>
                <w:lang w:val="es-ES_tradnl"/>
              </w:rPr>
              <w:t>GARANTÍA SUPLEMENTARIA O ADICIONAL – Noción / GARANTÍA SUPLEMENTARIA O ADICIONAL – Obtención del puntaje</w:t>
            </w:r>
          </w:p>
          <w:p w14:paraId="56CB06E7" w14:textId="77777777" w:rsidR="00E850C7" w:rsidRPr="0063204C" w:rsidRDefault="00E850C7" w:rsidP="008254FC">
            <w:pPr>
              <w:jc w:val="both"/>
              <w:rPr>
                <w:rFonts w:ascii="Arial" w:eastAsia="Calibri" w:hAnsi="Arial" w:cs="Arial"/>
                <w:bCs/>
                <w:color w:val="000000" w:themeColor="text1"/>
              </w:rPr>
            </w:pPr>
          </w:p>
        </w:tc>
      </w:tr>
      <w:tr w:rsidR="00E850C7" w:rsidRPr="001B0D3D" w14:paraId="29DDD976" w14:textId="77777777" w:rsidTr="008254FC">
        <w:tc>
          <w:tcPr>
            <w:tcW w:w="2689" w:type="dxa"/>
          </w:tcPr>
          <w:p w14:paraId="0C9F75DB" w14:textId="77777777" w:rsidR="00E850C7" w:rsidRPr="001B0D3D" w:rsidRDefault="00E850C7" w:rsidP="008254FC">
            <w:pPr>
              <w:rPr>
                <w:rFonts w:ascii="Arial" w:eastAsia="Calibri" w:hAnsi="Arial" w:cs="Arial"/>
                <w:color w:val="000000" w:themeColor="text1"/>
              </w:rPr>
            </w:pPr>
            <w:r w:rsidRPr="001B0D3D">
              <w:rPr>
                <w:rFonts w:ascii="Arial" w:eastAsia="Calibri" w:hAnsi="Arial" w:cs="Arial"/>
                <w:b/>
                <w:color w:val="000000" w:themeColor="text1"/>
              </w:rPr>
              <w:t>Radicación:</w:t>
            </w:r>
            <w:r w:rsidRPr="001B0D3D">
              <w:rPr>
                <w:rFonts w:ascii="Arial" w:eastAsia="Calibri" w:hAnsi="Arial" w:cs="Arial"/>
                <w:color w:val="000000" w:themeColor="text1"/>
              </w:rPr>
              <w:t xml:space="preserve">                              </w:t>
            </w:r>
          </w:p>
        </w:tc>
        <w:tc>
          <w:tcPr>
            <w:tcW w:w="6237" w:type="dxa"/>
          </w:tcPr>
          <w:p w14:paraId="5C7905BC" w14:textId="77777777" w:rsidR="00E850C7" w:rsidRPr="001B0D3D" w:rsidRDefault="00E850C7" w:rsidP="008254FC">
            <w:pPr>
              <w:rPr>
                <w:rFonts w:ascii="Arial" w:eastAsia="Calibri" w:hAnsi="Arial" w:cs="Arial"/>
                <w:color w:val="000000" w:themeColor="text1"/>
              </w:rPr>
            </w:pPr>
            <w:r w:rsidRPr="001B0D3D">
              <w:rPr>
                <w:rFonts w:ascii="Arial" w:eastAsia="Calibri" w:hAnsi="Arial" w:cs="Arial"/>
                <w:color w:val="000000" w:themeColor="text1"/>
              </w:rPr>
              <w:t xml:space="preserve">Respuesta a consulta </w:t>
            </w:r>
            <w:r>
              <w:rPr>
                <w:rFonts w:ascii="Arial" w:eastAsia="Calibri" w:hAnsi="Arial" w:cs="Arial"/>
                <w:color w:val="000000" w:themeColor="text1"/>
              </w:rPr>
              <w:t>P20210727006591</w:t>
            </w:r>
          </w:p>
        </w:tc>
      </w:tr>
    </w:tbl>
    <w:p w14:paraId="3EEC4761" w14:textId="77777777" w:rsidR="00E850C7" w:rsidRDefault="00E850C7" w:rsidP="00E850C7">
      <w:pPr>
        <w:spacing w:line="276" w:lineRule="auto"/>
        <w:rPr>
          <w:rFonts w:ascii="Arial" w:eastAsia="Calibri" w:hAnsi="Arial" w:cs="Arial"/>
          <w:color w:val="000000" w:themeColor="text1"/>
          <w:sz w:val="22"/>
        </w:rPr>
      </w:pPr>
    </w:p>
    <w:p w14:paraId="097B20F8" w14:textId="77777777" w:rsidR="00E850C7" w:rsidRPr="001B0D3D" w:rsidRDefault="00E850C7" w:rsidP="00E850C7">
      <w:pPr>
        <w:spacing w:line="276" w:lineRule="auto"/>
        <w:rPr>
          <w:rFonts w:ascii="Arial" w:eastAsia="Calibri" w:hAnsi="Arial" w:cs="Arial"/>
          <w:color w:val="000000" w:themeColor="text1"/>
          <w:sz w:val="22"/>
        </w:rPr>
      </w:pPr>
    </w:p>
    <w:p w14:paraId="53AC7D92" w14:textId="6D9F3DF5" w:rsidR="00E850C7" w:rsidRPr="001B0D3D" w:rsidRDefault="00E850C7" w:rsidP="00E850C7">
      <w:pPr>
        <w:tabs>
          <w:tab w:val="left" w:pos="3736"/>
        </w:tabs>
        <w:spacing w:line="276" w:lineRule="auto"/>
        <w:rPr>
          <w:rFonts w:ascii="Arial" w:eastAsia="Calibri" w:hAnsi="Arial" w:cs="Arial"/>
          <w:color w:val="000000" w:themeColor="text1"/>
          <w:sz w:val="22"/>
        </w:rPr>
      </w:pPr>
      <w:r w:rsidRPr="001B0D3D">
        <w:rPr>
          <w:rFonts w:ascii="Arial" w:eastAsia="Calibri" w:hAnsi="Arial" w:cs="Arial"/>
          <w:color w:val="000000" w:themeColor="text1"/>
          <w:sz w:val="22"/>
        </w:rPr>
        <w:t>Estimad</w:t>
      </w:r>
      <w:r>
        <w:rPr>
          <w:rFonts w:ascii="Arial" w:eastAsia="Calibri" w:hAnsi="Arial" w:cs="Arial"/>
          <w:color w:val="000000" w:themeColor="text1"/>
          <w:sz w:val="22"/>
        </w:rPr>
        <w:t>o</w:t>
      </w:r>
      <w:r w:rsidRPr="001B0D3D">
        <w:rPr>
          <w:rFonts w:ascii="Arial" w:eastAsia="Calibri" w:hAnsi="Arial" w:cs="Arial"/>
          <w:color w:val="000000" w:themeColor="text1"/>
          <w:sz w:val="22"/>
        </w:rPr>
        <w:t xml:space="preserve"> señor</w:t>
      </w:r>
      <w:r w:rsidR="00D87687">
        <w:rPr>
          <w:rFonts w:ascii="Arial" w:eastAsia="Calibri" w:hAnsi="Arial" w:cs="Arial"/>
          <w:color w:val="000000" w:themeColor="text1"/>
          <w:sz w:val="22"/>
        </w:rPr>
        <w:t xml:space="preserve"> Alonso</w:t>
      </w:r>
      <w:r>
        <w:rPr>
          <w:rFonts w:ascii="Arial" w:eastAsia="Calibri" w:hAnsi="Arial" w:cs="Arial"/>
          <w:color w:val="000000" w:themeColor="text1"/>
          <w:sz w:val="22"/>
        </w:rPr>
        <w:t>:</w:t>
      </w:r>
      <w:r w:rsidRPr="001B0D3D">
        <w:rPr>
          <w:rFonts w:ascii="Arial" w:eastAsia="Calibri" w:hAnsi="Arial" w:cs="Arial"/>
          <w:color w:val="000000" w:themeColor="text1"/>
          <w:sz w:val="22"/>
        </w:rPr>
        <w:tab/>
      </w:r>
    </w:p>
    <w:p w14:paraId="1B5A1BB7" w14:textId="77777777" w:rsidR="00E850C7" w:rsidRPr="001B0D3D" w:rsidRDefault="00E850C7" w:rsidP="00E850C7">
      <w:pPr>
        <w:spacing w:line="276" w:lineRule="auto"/>
        <w:rPr>
          <w:rFonts w:ascii="Arial" w:eastAsia="Calibri" w:hAnsi="Arial" w:cs="Arial"/>
          <w:color w:val="000000" w:themeColor="text1"/>
          <w:sz w:val="22"/>
        </w:rPr>
      </w:pPr>
    </w:p>
    <w:p w14:paraId="6AE5EE81" w14:textId="77777777" w:rsidR="00E850C7" w:rsidRPr="001B0D3D" w:rsidRDefault="00E850C7" w:rsidP="00E850C7">
      <w:pPr>
        <w:spacing w:line="276" w:lineRule="auto"/>
        <w:jc w:val="both"/>
        <w:rPr>
          <w:rFonts w:ascii="Arial" w:eastAsia="Calibri" w:hAnsi="Arial" w:cs="Arial"/>
          <w:color w:val="000000" w:themeColor="text1"/>
          <w:sz w:val="22"/>
        </w:rPr>
      </w:pPr>
      <w:r w:rsidRPr="001B0D3D">
        <w:rPr>
          <w:rFonts w:ascii="Arial" w:eastAsia="Calibri" w:hAnsi="Arial" w:cs="Arial"/>
          <w:color w:val="000000" w:themeColor="text1"/>
          <w:sz w:val="22"/>
        </w:rPr>
        <w:t xml:space="preserve">La Agencia Nacional de Contratación Pública </w:t>
      </w:r>
      <w:r>
        <w:rPr>
          <w:rFonts w:ascii="Arial" w:eastAsia="Calibri" w:hAnsi="Arial" w:cs="Arial"/>
          <w:color w:val="000000" w:themeColor="text1"/>
          <w:sz w:val="22"/>
        </w:rPr>
        <w:t xml:space="preserve">– </w:t>
      </w:r>
      <w:r w:rsidRPr="001B0D3D">
        <w:rPr>
          <w:rFonts w:ascii="Arial" w:eastAsia="Calibri" w:hAnsi="Arial" w:cs="Arial"/>
          <w:color w:val="000000" w:themeColor="text1"/>
          <w:sz w:val="22"/>
        </w:rPr>
        <w:t>Colombia Compra Eficiente responde</w:t>
      </w:r>
      <w:r>
        <w:rPr>
          <w:rFonts w:ascii="Arial" w:eastAsia="Calibri" w:hAnsi="Arial" w:cs="Arial"/>
          <w:color w:val="000000" w:themeColor="text1"/>
          <w:sz w:val="22"/>
        </w:rPr>
        <w:t xml:space="preserve"> a su consulta del 27 de julio de 2021</w:t>
      </w:r>
      <w:r w:rsidRPr="001B0D3D">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11FBBF74" w14:textId="77777777" w:rsidR="00E850C7" w:rsidRPr="001B0D3D" w:rsidRDefault="00E850C7" w:rsidP="00E850C7">
      <w:pPr>
        <w:pStyle w:val="Prrafodelista"/>
        <w:spacing w:line="276" w:lineRule="auto"/>
        <w:ind w:left="0"/>
        <w:rPr>
          <w:rFonts w:ascii="Arial" w:eastAsia="Calibri" w:hAnsi="Arial" w:cs="Arial"/>
          <w:color w:val="000000" w:themeColor="text1"/>
          <w:sz w:val="22"/>
        </w:rPr>
      </w:pPr>
    </w:p>
    <w:p w14:paraId="01EC90E6" w14:textId="77777777" w:rsidR="00E850C7" w:rsidRPr="006C0EA1" w:rsidRDefault="00E850C7" w:rsidP="00E850C7">
      <w:pPr>
        <w:tabs>
          <w:tab w:val="left" w:pos="0"/>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Pr="006C0EA1">
        <w:rPr>
          <w:rFonts w:ascii="Arial" w:eastAsia="Calibri" w:hAnsi="Arial" w:cs="Arial"/>
          <w:b/>
          <w:color w:val="000000" w:themeColor="text1"/>
          <w:sz w:val="22"/>
        </w:rPr>
        <w:t>Problema planteado</w:t>
      </w:r>
    </w:p>
    <w:p w14:paraId="6B7F6D2B" w14:textId="77777777" w:rsidR="00E850C7" w:rsidRPr="0093085B" w:rsidRDefault="00E850C7" w:rsidP="00E850C7">
      <w:pPr>
        <w:rPr>
          <w:rFonts w:ascii="Arial" w:eastAsia="Calibri" w:hAnsi="Arial" w:cs="Arial"/>
          <w:color w:val="000000" w:themeColor="text1"/>
          <w:sz w:val="22"/>
        </w:rPr>
      </w:pPr>
    </w:p>
    <w:p w14:paraId="128BEB82" w14:textId="77777777" w:rsidR="00E850C7" w:rsidRDefault="00E850C7" w:rsidP="00E850C7">
      <w:pPr>
        <w:spacing w:line="276" w:lineRule="auto"/>
        <w:jc w:val="both"/>
        <w:rPr>
          <w:rFonts w:ascii="Arial" w:eastAsia="Calibri" w:hAnsi="Arial" w:cs="Arial"/>
          <w:sz w:val="22"/>
          <w:szCs w:val="22"/>
        </w:rPr>
      </w:pPr>
      <w:r w:rsidRPr="00564B5F">
        <w:rPr>
          <w:rFonts w:ascii="Arial" w:eastAsia="Calibri" w:hAnsi="Arial" w:cs="Arial"/>
          <w:sz w:val="22"/>
          <w:szCs w:val="22"/>
        </w:rPr>
        <w:t xml:space="preserve">Usted formula la siguiente pregunta: </w:t>
      </w:r>
    </w:p>
    <w:p w14:paraId="1CD69F63" w14:textId="77777777" w:rsidR="00E850C7" w:rsidRDefault="00E850C7" w:rsidP="00E850C7">
      <w:pPr>
        <w:spacing w:line="276" w:lineRule="auto"/>
        <w:jc w:val="both"/>
        <w:rPr>
          <w:rFonts w:ascii="Arial" w:eastAsia="Calibri" w:hAnsi="Arial" w:cs="Arial"/>
          <w:sz w:val="22"/>
          <w:szCs w:val="22"/>
        </w:rPr>
      </w:pPr>
    </w:p>
    <w:p w14:paraId="70AD658A" w14:textId="77777777" w:rsidR="00E850C7" w:rsidRPr="000E4F42" w:rsidRDefault="00E850C7" w:rsidP="00E850C7">
      <w:pPr>
        <w:spacing w:line="276" w:lineRule="auto"/>
        <w:ind w:left="708" w:right="1041"/>
        <w:jc w:val="both"/>
        <w:rPr>
          <w:rFonts w:ascii="Arial" w:hAnsi="Arial" w:cs="Arial"/>
          <w:sz w:val="21"/>
          <w:szCs w:val="21"/>
        </w:rPr>
      </w:pPr>
      <w:r w:rsidRPr="000E4F42">
        <w:rPr>
          <w:rFonts w:ascii="Arial" w:eastAsia="Calibri" w:hAnsi="Arial" w:cs="Arial"/>
          <w:sz w:val="21"/>
          <w:szCs w:val="21"/>
        </w:rPr>
        <w:t>«</w:t>
      </w:r>
      <w:r w:rsidRPr="000E4F42">
        <w:rPr>
          <w:rFonts w:ascii="Arial" w:hAnsi="Arial" w:cs="Arial"/>
          <w:color w:val="000000"/>
          <w:sz w:val="21"/>
          <w:szCs w:val="21"/>
          <w:shd w:val="clear" w:color="auto" w:fill="FFFFFF"/>
        </w:rPr>
        <w:t>¿Solicitamos atentamente aclarar si un oferente que pretende obtener los puntos por concepto de garantía suplementaria o adicional en un proceso de licitación publica para contratar obras de infraestructura de transporte, debe tener dentro de su objeto social la facultad de expedir directamente garantías comerciales, o la facultad de otorgar garantías adicionales o suplementarias para poder ser merecedor de este puntaje</w:t>
      </w:r>
      <w:r w:rsidRPr="000E4F42">
        <w:rPr>
          <w:rFonts w:ascii="Arial" w:hAnsi="Arial" w:cs="Arial"/>
          <w:sz w:val="21"/>
          <w:szCs w:val="21"/>
        </w:rPr>
        <w:t>?».</w:t>
      </w:r>
    </w:p>
    <w:p w14:paraId="471D5166" w14:textId="77777777" w:rsidR="00E850C7" w:rsidRPr="001B0D3D" w:rsidRDefault="00E850C7" w:rsidP="00E850C7">
      <w:pPr>
        <w:rPr>
          <w:rFonts w:ascii="Arial" w:eastAsia="Calibri" w:hAnsi="Arial" w:cs="Arial"/>
          <w:b/>
          <w:color w:val="000000" w:themeColor="text1"/>
          <w:sz w:val="22"/>
        </w:rPr>
      </w:pPr>
    </w:p>
    <w:p w14:paraId="4AC8900B" w14:textId="77777777" w:rsidR="00E850C7" w:rsidRPr="006C0EA1" w:rsidRDefault="00E850C7" w:rsidP="00E850C7">
      <w:pPr>
        <w:spacing w:line="276" w:lineRule="auto"/>
        <w:jc w:val="both"/>
        <w:rPr>
          <w:rFonts w:ascii="Arial" w:eastAsia="Calibri" w:hAnsi="Arial" w:cs="Arial"/>
          <w:color w:val="000000" w:themeColor="text1"/>
          <w:sz w:val="22"/>
        </w:rPr>
      </w:pPr>
      <w:r>
        <w:rPr>
          <w:rFonts w:ascii="Arial" w:eastAsia="Calibri" w:hAnsi="Arial" w:cs="Arial"/>
          <w:b/>
          <w:color w:val="000000" w:themeColor="text1"/>
          <w:sz w:val="22"/>
        </w:rPr>
        <w:t xml:space="preserve">2. </w:t>
      </w:r>
      <w:r w:rsidRPr="006C0EA1">
        <w:rPr>
          <w:rFonts w:ascii="Arial" w:eastAsia="Calibri" w:hAnsi="Arial" w:cs="Arial"/>
          <w:b/>
          <w:color w:val="000000" w:themeColor="text1"/>
          <w:sz w:val="22"/>
        </w:rPr>
        <w:t>Consideraciones</w:t>
      </w:r>
    </w:p>
    <w:p w14:paraId="0B4AD59C" w14:textId="77777777" w:rsidR="00E850C7" w:rsidRPr="00ED0F53" w:rsidRDefault="00E850C7" w:rsidP="00E850C7">
      <w:pPr>
        <w:pStyle w:val="Prrafodelista"/>
        <w:ind w:left="284"/>
        <w:jc w:val="both"/>
        <w:rPr>
          <w:rFonts w:ascii="Arial" w:eastAsia="Calibri" w:hAnsi="Arial" w:cs="Arial"/>
          <w:color w:val="000000" w:themeColor="text1"/>
          <w:sz w:val="22"/>
        </w:rPr>
      </w:pPr>
    </w:p>
    <w:p w14:paraId="50F16C75" w14:textId="77777777" w:rsidR="00E850C7" w:rsidRDefault="00E850C7" w:rsidP="00E850C7">
      <w:pPr>
        <w:spacing w:after="120" w:line="276" w:lineRule="auto"/>
        <w:jc w:val="both"/>
        <w:rPr>
          <w:rFonts w:ascii="Arial" w:hAnsi="Arial" w:cs="Arial"/>
          <w:bCs/>
          <w:sz w:val="22"/>
        </w:rPr>
      </w:pPr>
      <w:r>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58DA937A" w14:textId="77777777" w:rsidR="00E850C7" w:rsidRPr="004F3D28" w:rsidRDefault="00E850C7" w:rsidP="00E850C7">
      <w:pPr>
        <w:tabs>
          <w:tab w:val="left" w:pos="426"/>
        </w:tabs>
        <w:spacing w:after="120" w:line="276" w:lineRule="auto"/>
        <w:jc w:val="both"/>
        <w:rPr>
          <w:rFonts w:ascii="Calibri" w:hAnsi="Calibri" w:cs="Calibri"/>
          <w:color w:val="000000"/>
        </w:rPr>
      </w:pPr>
      <w:r>
        <w:rPr>
          <w:rFonts w:ascii="Arial" w:hAnsi="Arial" w:cs="Arial"/>
          <w:sz w:val="22"/>
          <w:lang w:val="es-ES"/>
        </w:rPr>
        <w:tab/>
      </w:r>
      <w:r>
        <w:rPr>
          <w:rFonts w:ascii="Arial" w:hAnsi="Arial" w:cs="Arial"/>
          <w:sz w:val="22"/>
          <w:lang w:val="es-ES"/>
        </w:rPr>
        <w:tab/>
        <w:t>Es necesario tener en cuenta que esta entidad solo tiene competencia para responder solicitudes sobre la aplicación de normas de carácter general en materia de compras y contratación pública</w:t>
      </w:r>
      <w:r w:rsidRPr="00162BC5">
        <w:rPr>
          <w:rFonts w:ascii="Arial" w:hAnsi="Arial" w:cs="Arial"/>
          <w:sz w:val="22"/>
          <w:vertAlign w:val="superscript"/>
          <w:lang w:val="es-ES"/>
        </w:rPr>
        <w:footnoteReference w:id="1"/>
      </w:r>
      <w:r>
        <w:rPr>
          <w:rFonts w:ascii="Arial" w:hAnsi="Arial" w:cs="Arial"/>
          <w:sz w:val="22"/>
          <w:lang w:val="es-ES"/>
        </w:rPr>
        <w:t xml:space="preserve">. Esta </w:t>
      </w:r>
      <w:r w:rsidRPr="00162BC5">
        <w:rPr>
          <w:rFonts w:ascii="Arial" w:hAnsi="Arial" w:cs="Arial"/>
          <w:sz w:val="22"/>
          <w:lang w:val="es-ES"/>
        </w:rPr>
        <w:t>se fija con límites claros, con el objeto de evitar que la Agencia actúe como una instancia de validación de las actuaciones de las entidades sujetas a la Ley 80 de 1993 o de los demás participantes de la contratación pública</w:t>
      </w:r>
      <w:r>
        <w:rPr>
          <w:rFonts w:ascii="Arial" w:hAnsi="Arial" w:cs="Arial"/>
          <w:sz w:val="22"/>
          <w:lang w:val="es-ES"/>
        </w:rPr>
        <w:t>.</w:t>
      </w:r>
      <w:r>
        <w:rPr>
          <w:rFonts w:ascii="Arial" w:eastAsia="Calibri" w:hAnsi="Arial" w:cs="Arial"/>
          <w:color w:val="000000" w:themeColor="text1"/>
          <w:sz w:val="22"/>
          <w:lang w:val="es-ES"/>
        </w:rPr>
        <w:t xml:space="preserve"> Por ello, la Subdirección –dentro de los límites de sus atribuciones– resolverá la consulta conforme a las normas generales en materia de contratación estatal refiriéndose, particular, al tema de la garantía suplementaria o adicional en procesos adelantados con documentos tipo. </w:t>
      </w:r>
      <w:r>
        <w:rPr>
          <w:rFonts w:ascii="Arial" w:eastAsia="Calibri" w:hAnsi="Arial" w:cs="Arial"/>
          <w:color w:val="000000" w:themeColor="text1"/>
          <w:sz w:val="22"/>
        </w:rPr>
        <w:t xml:space="preserve"> </w:t>
      </w:r>
    </w:p>
    <w:p w14:paraId="54589A64" w14:textId="77777777" w:rsidR="00E850C7" w:rsidRDefault="00E850C7" w:rsidP="00E850C7">
      <w:pPr>
        <w:spacing w:before="120" w:line="276" w:lineRule="auto"/>
        <w:ind w:firstLine="709"/>
        <w:jc w:val="both"/>
        <w:rPr>
          <w:rFonts w:ascii="Arial" w:eastAsia="Calibri" w:hAnsi="Arial" w:cs="Arial"/>
          <w:color w:val="000000" w:themeColor="text1"/>
          <w:sz w:val="22"/>
          <w:szCs w:val="22"/>
          <w:lang w:val="es-ES_tradnl"/>
        </w:rPr>
      </w:pPr>
      <w:r w:rsidRPr="004940E3">
        <w:rPr>
          <w:rFonts w:ascii="Arial" w:eastAsia="Calibri" w:hAnsi="Arial" w:cs="Arial"/>
          <w:color w:val="000000" w:themeColor="text1"/>
          <w:sz w:val="22"/>
          <w:lang w:val="es-ES_tradnl"/>
        </w:rPr>
        <w:t xml:space="preserve">Al respecto, conviene indicar que la Agencia Nacional de Contratación Pública </w:t>
      </w:r>
      <w:r>
        <w:rPr>
          <w:rFonts w:ascii="Arial" w:eastAsia="Calibri" w:hAnsi="Arial" w:cs="Arial"/>
          <w:color w:val="000000" w:themeColor="text1"/>
          <w:sz w:val="22"/>
          <w:lang w:val="es-ES_tradnl"/>
        </w:rPr>
        <w:t>–</w:t>
      </w:r>
      <w:r w:rsidRPr="004940E3">
        <w:rPr>
          <w:rFonts w:ascii="Arial" w:eastAsia="Calibri" w:hAnsi="Arial" w:cs="Arial"/>
          <w:color w:val="000000" w:themeColor="text1"/>
          <w:sz w:val="22"/>
          <w:lang w:val="es-ES_tradnl"/>
        </w:rPr>
        <w:t xml:space="preserve"> Colombia Compra Eficiente, </w:t>
      </w:r>
      <w:r w:rsidRPr="00A36636">
        <w:rPr>
          <w:rFonts w:ascii="Arial" w:eastAsia="Calibri" w:hAnsi="Arial" w:cs="Arial"/>
          <w:color w:val="000000" w:themeColor="text1"/>
          <w:sz w:val="22"/>
          <w:szCs w:val="22"/>
          <w:lang w:val="es-ES_tradnl"/>
        </w:rPr>
        <w:t xml:space="preserve">se pronunció, en términos generales, sobre </w:t>
      </w:r>
      <w:r>
        <w:rPr>
          <w:rFonts w:ascii="Arial" w:eastAsia="Calibri" w:hAnsi="Arial" w:cs="Arial"/>
          <w:color w:val="000000" w:themeColor="text1"/>
          <w:sz w:val="22"/>
          <w:lang w:val="es-ES_tradnl"/>
        </w:rPr>
        <w:t>la garantía suplementaria o adicional</w:t>
      </w:r>
      <w:r w:rsidRPr="00CA15C1">
        <w:rPr>
          <w:rFonts w:ascii="Arial" w:eastAsia="Calibri" w:hAnsi="Arial" w:cs="Arial"/>
          <w:color w:val="000000" w:themeColor="text1"/>
          <w:sz w:val="22"/>
          <w:lang w:val="es-ES_tradnl"/>
        </w:rPr>
        <w:t xml:space="preserve"> entre otros, en los conceptos expedidos en respuesta a las consultas con radicado Nº </w:t>
      </w:r>
      <w:r w:rsidRPr="00CA15C1">
        <w:rPr>
          <w:rFonts w:ascii="Arial" w:eastAsia="Calibri" w:hAnsi="Arial" w:cs="Arial"/>
          <w:color w:val="000000" w:themeColor="text1"/>
          <w:sz w:val="22"/>
        </w:rPr>
        <w:t xml:space="preserve">4201912000007341 del 24 de octubre de 2019, </w:t>
      </w:r>
      <w:r w:rsidRPr="00CA15C1">
        <w:rPr>
          <w:rFonts w:ascii="Arial" w:hAnsi="Arial" w:cs="Arial"/>
          <w:color w:val="000000" w:themeColor="text1"/>
          <w:sz w:val="22"/>
          <w:lang w:val="es-ES_tradnl"/>
        </w:rPr>
        <w:t xml:space="preserve">4202013000000922 del 7 de febrero de 2020, 4202012000001128 y </w:t>
      </w:r>
      <w:r w:rsidRPr="00CA15C1">
        <w:rPr>
          <w:rFonts w:ascii="Arial" w:eastAsia="Calibri" w:hAnsi="Arial" w:cs="Arial"/>
          <w:color w:val="000000" w:themeColor="text1"/>
          <w:sz w:val="22"/>
        </w:rPr>
        <w:t>420201300000110, ambos</w:t>
      </w:r>
      <w:r w:rsidRPr="00CA15C1">
        <w:rPr>
          <w:rFonts w:ascii="Arial" w:hAnsi="Arial" w:cs="Arial"/>
          <w:color w:val="000000" w:themeColor="text1"/>
          <w:sz w:val="22"/>
          <w:lang w:val="es-ES_tradnl"/>
        </w:rPr>
        <w:t xml:space="preserve"> del 17 de febrero de 2020</w:t>
      </w:r>
      <w:r>
        <w:rPr>
          <w:rFonts w:ascii="Arial" w:hAnsi="Arial" w:cs="Arial"/>
          <w:color w:val="000000" w:themeColor="text1"/>
          <w:sz w:val="22"/>
          <w:lang w:val="es-ES_tradnl"/>
        </w:rPr>
        <w:t xml:space="preserve">, C-242 del 21 de abril de 2020, </w:t>
      </w:r>
      <w:r w:rsidRPr="005F10E9">
        <w:rPr>
          <w:rFonts w:ascii="Arial" w:eastAsia="Calibri" w:hAnsi="Arial" w:cs="Arial"/>
          <w:color w:val="000000" w:themeColor="text1"/>
          <w:sz w:val="22"/>
          <w:lang w:val="es-ES_tradnl"/>
        </w:rPr>
        <w:t>C−375 del 23</w:t>
      </w:r>
      <w:r>
        <w:rPr>
          <w:rFonts w:ascii="Arial" w:eastAsia="Calibri" w:hAnsi="Arial" w:cs="Arial"/>
          <w:color w:val="000000" w:themeColor="text1"/>
          <w:sz w:val="22"/>
          <w:lang w:val="es-ES_tradnl"/>
        </w:rPr>
        <w:t xml:space="preserve"> de mayo de </w:t>
      </w:r>
      <w:r w:rsidRPr="005F10E9">
        <w:rPr>
          <w:rFonts w:ascii="Arial" w:eastAsia="Calibri" w:hAnsi="Arial" w:cs="Arial"/>
          <w:color w:val="000000" w:themeColor="text1"/>
          <w:sz w:val="22"/>
          <w:lang w:val="es-ES_tradnl"/>
        </w:rPr>
        <w:t xml:space="preserve">2020, </w:t>
      </w:r>
      <w:r w:rsidRPr="002C255F">
        <w:rPr>
          <w:rFonts w:ascii="Arial" w:eastAsia="Calibri" w:hAnsi="Arial" w:cs="Arial"/>
          <w:color w:val="000000" w:themeColor="text1"/>
          <w:sz w:val="22"/>
          <w:lang w:val="es-ES_tradnl"/>
        </w:rPr>
        <w:t>C−276 del 26</w:t>
      </w:r>
      <w:r>
        <w:rPr>
          <w:rFonts w:ascii="Arial" w:eastAsia="Calibri" w:hAnsi="Arial" w:cs="Arial"/>
          <w:color w:val="000000" w:themeColor="text1"/>
          <w:sz w:val="22"/>
          <w:lang w:val="es-ES_tradnl"/>
        </w:rPr>
        <w:t xml:space="preserve"> de mayo de </w:t>
      </w:r>
      <w:r w:rsidRPr="002C255F">
        <w:rPr>
          <w:rFonts w:ascii="Arial" w:eastAsia="Calibri" w:hAnsi="Arial" w:cs="Arial"/>
          <w:color w:val="000000" w:themeColor="text1"/>
          <w:sz w:val="22"/>
          <w:lang w:val="es-ES_tradnl"/>
        </w:rPr>
        <w:t>2020, C−277 del 26</w:t>
      </w:r>
      <w:r>
        <w:rPr>
          <w:rFonts w:ascii="Arial" w:eastAsia="Calibri" w:hAnsi="Arial" w:cs="Arial"/>
          <w:color w:val="000000" w:themeColor="text1"/>
          <w:sz w:val="22"/>
          <w:lang w:val="es-ES_tradnl"/>
        </w:rPr>
        <w:t xml:space="preserve"> de mayo de </w:t>
      </w:r>
      <w:r w:rsidRPr="002C255F">
        <w:rPr>
          <w:rFonts w:ascii="Arial" w:eastAsia="Calibri" w:hAnsi="Arial" w:cs="Arial"/>
          <w:color w:val="000000" w:themeColor="text1"/>
          <w:sz w:val="22"/>
          <w:lang w:val="es-ES_tradnl"/>
        </w:rPr>
        <w:t xml:space="preserve">2020, </w:t>
      </w:r>
      <w:r w:rsidRPr="00147101">
        <w:rPr>
          <w:rFonts w:ascii="Arial" w:eastAsia="Calibri" w:hAnsi="Arial" w:cs="Arial"/>
          <w:color w:val="000000" w:themeColor="text1"/>
          <w:sz w:val="22"/>
          <w:lang w:val="es-ES_tradnl"/>
        </w:rPr>
        <w:t>C−278 del 26</w:t>
      </w:r>
      <w:r>
        <w:rPr>
          <w:rFonts w:ascii="Arial" w:eastAsia="Calibri" w:hAnsi="Arial" w:cs="Arial"/>
          <w:color w:val="000000" w:themeColor="text1"/>
          <w:sz w:val="22"/>
          <w:lang w:val="es-ES_tradnl"/>
        </w:rPr>
        <w:t xml:space="preserve"> de mayo de </w:t>
      </w:r>
      <w:r w:rsidRPr="00147101">
        <w:rPr>
          <w:rFonts w:ascii="Arial" w:eastAsia="Calibri" w:hAnsi="Arial" w:cs="Arial"/>
          <w:color w:val="000000" w:themeColor="text1"/>
          <w:sz w:val="22"/>
          <w:lang w:val="es-ES_tradnl"/>
        </w:rPr>
        <w:t>2020,</w:t>
      </w:r>
      <w:r>
        <w:rPr>
          <w:rFonts w:ascii="Arial" w:eastAsia="Calibri" w:hAnsi="Arial" w:cs="Arial"/>
          <w:color w:val="000000" w:themeColor="text1"/>
          <w:sz w:val="22"/>
          <w:lang w:val="es-ES_tradnl"/>
        </w:rPr>
        <w:t xml:space="preserve"> </w:t>
      </w:r>
      <w:r w:rsidRPr="005F10E9">
        <w:rPr>
          <w:rFonts w:ascii="Arial" w:eastAsia="Calibri" w:hAnsi="Arial" w:cs="Arial"/>
          <w:color w:val="000000" w:themeColor="text1"/>
          <w:sz w:val="22"/>
          <w:lang w:val="es-ES_tradnl"/>
        </w:rPr>
        <w:t>C−481 del 27</w:t>
      </w:r>
      <w:r>
        <w:rPr>
          <w:rFonts w:ascii="Arial" w:eastAsia="Calibri" w:hAnsi="Arial" w:cs="Arial"/>
          <w:color w:val="000000" w:themeColor="text1"/>
          <w:sz w:val="22"/>
          <w:lang w:val="es-ES_tradnl"/>
        </w:rPr>
        <w:t xml:space="preserve"> de julio de </w:t>
      </w:r>
      <w:r w:rsidRPr="005F10E9">
        <w:rPr>
          <w:rFonts w:ascii="Arial" w:eastAsia="Calibri" w:hAnsi="Arial" w:cs="Arial"/>
          <w:color w:val="000000" w:themeColor="text1"/>
          <w:sz w:val="22"/>
          <w:lang w:val="es-ES_tradnl"/>
        </w:rPr>
        <w:t>2020, C−478 del 3</w:t>
      </w:r>
      <w:r>
        <w:rPr>
          <w:rFonts w:ascii="Arial" w:eastAsia="Calibri" w:hAnsi="Arial" w:cs="Arial"/>
          <w:color w:val="000000" w:themeColor="text1"/>
          <w:sz w:val="22"/>
          <w:lang w:val="es-ES_tradnl"/>
        </w:rPr>
        <w:t xml:space="preserve">0 de julio de </w:t>
      </w:r>
      <w:r w:rsidRPr="005F10E9">
        <w:rPr>
          <w:rFonts w:ascii="Arial" w:eastAsia="Calibri" w:hAnsi="Arial" w:cs="Arial"/>
          <w:color w:val="000000" w:themeColor="text1"/>
          <w:sz w:val="22"/>
          <w:lang w:val="es-ES_tradnl"/>
        </w:rPr>
        <w:t>2020</w:t>
      </w:r>
      <w:r>
        <w:rPr>
          <w:rFonts w:ascii="Arial" w:eastAsia="Calibri" w:hAnsi="Arial" w:cs="Arial"/>
          <w:color w:val="000000" w:themeColor="text1"/>
          <w:sz w:val="22"/>
          <w:lang w:val="es-ES_tradnl"/>
        </w:rPr>
        <w:t xml:space="preserve">, C-533 del 19 de agosto de 2020, </w:t>
      </w:r>
      <w:r w:rsidRPr="00147101">
        <w:rPr>
          <w:rFonts w:ascii="Arial" w:eastAsia="Calibri" w:hAnsi="Arial" w:cs="Arial"/>
          <w:color w:val="000000" w:themeColor="text1"/>
          <w:sz w:val="22"/>
          <w:lang w:val="es-ES_tradnl"/>
        </w:rPr>
        <w:t>C-540 del 19</w:t>
      </w:r>
      <w:r>
        <w:rPr>
          <w:rFonts w:ascii="Arial" w:eastAsia="Calibri" w:hAnsi="Arial" w:cs="Arial"/>
          <w:color w:val="000000" w:themeColor="text1"/>
          <w:sz w:val="22"/>
          <w:lang w:val="es-ES_tradnl"/>
        </w:rPr>
        <w:t xml:space="preserve"> de agosto de </w:t>
      </w:r>
      <w:r w:rsidRPr="00147101">
        <w:rPr>
          <w:rFonts w:ascii="Arial" w:eastAsia="Calibri" w:hAnsi="Arial" w:cs="Arial"/>
          <w:color w:val="000000" w:themeColor="text1"/>
          <w:sz w:val="22"/>
          <w:lang w:val="es-ES_tradnl"/>
        </w:rPr>
        <w:t xml:space="preserve">2020, </w:t>
      </w:r>
      <w:r w:rsidRPr="002C255F">
        <w:rPr>
          <w:rFonts w:ascii="Arial" w:eastAsia="Calibri" w:hAnsi="Arial" w:cs="Arial"/>
          <w:color w:val="000000" w:themeColor="text1"/>
          <w:sz w:val="22"/>
          <w:lang w:val="es-ES_tradnl"/>
        </w:rPr>
        <w:t>C-586 del 31</w:t>
      </w:r>
      <w:r>
        <w:rPr>
          <w:rFonts w:ascii="Arial" w:eastAsia="Calibri" w:hAnsi="Arial" w:cs="Arial"/>
          <w:color w:val="000000" w:themeColor="text1"/>
          <w:sz w:val="22"/>
          <w:lang w:val="es-ES_tradnl"/>
        </w:rPr>
        <w:t xml:space="preserve"> de agosto de </w:t>
      </w:r>
      <w:r w:rsidRPr="002C255F">
        <w:rPr>
          <w:rFonts w:ascii="Arial" w:eastAsia="Calibri" w:hAnsi="Arial" w:cs="Arial"/>
          <w:color w:val="000000" w:themeColor="text1"/>
          <w:sz w:val="22"/>
          <w:lang w:val="es-ES_tradnl"/>
        </w:rPr>
        <w:t>2020,</w:t>
      </w:r>
      <w:r>
        <w:rPr>
          <w:rFonts w:ascii="Arial" w:eastAsia="Calibri" w:hAnsi="Arial" w:cs="Arial"/>
          <w:color w:val="000000" w:themeColor="text1"/>
          <w:sz w:val="22"/>
          <w:lang w:val="es-ES_tradnl"/>
        </w:rPr>
        <w:t xml:space="preserve"> </w:t>
      </w:r>
      <w:r w:rsidRPr="002C255F">
        <w:rPr>
          <w:rFonts w:ascii="Arial" w:eastAsia="Calibri" w:hAnsi="Arial" w:cs="Arial"/>
          <w:color w:val="000000" w:themeColor="text1"/>
          <w:sz w:val="22"/>
          <w:lang w:val="es-ES_tradnl"/>
        </w:rPr>
        <w:t>C-627 del 16 de septiembre de 2020</w:t>
      </w:r>
      <w:r>
        <w:rPr>
          <w:rFonts w:ascii="Arial" w:eastAsia="Calibri" w:hAnsi="Arial" w:cs="Arial"/>
          <w:color w:val="000000" w:themeColor="text1"/>
          <w:sz w:val="22"/>
          <w:lang w:val="es-ES_tradnl"/>
        </w:rPr>
        <w:t>,</w:t>
      </w:r>
      <w:r w:rsidRPr="002C255F">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C-617 del 17 de septiembre de 2020, C-631 del 2 de octubre de 2020, </w:t>
      </w:r>
      <w:r w:rsidRPr="002C255F">
        <w:rPr>
          <w:rFonts w:ascii="Arial" w:eastAsia="Calibri" w:hAnsi="Arial" w:cs="Arial"/>
          <w:color w:val="000000" w:themeColor="text1"/>
          <w:sz w:val="22"/>
          <w:lang w:val="es-ES_tradnl"/>
        </w:rPr>
        <w:t>C-632 del 20</w:t>
      </w:r>
      <w:r>
        <w:rPr>
          <w:rFonts w:ascii="Arial" w:eastAsia="Calibri" w:hAnsi="Arial" w:cs="Arial"/>
          <w:color w:val="000000" w:themeColor="text1"/>
          <w:sz w:val="22"/>
          <w:lang w:val="es-ES_tradnl"/>
        </w:rPr>
        <w:t xml:space="preserve"> de octubre de </w:t>
      </w:r>
      <w:r w:rsidRPr="002C255F">
        <w:rPr>
          <w:rFonts w:ascii="Arial" w:eastAsia="Calibri" w:hAnsi="Arial" w:cs="Arial"/>
          <w:color w:val="000000" w:themeColor="text1"/>
          <w:sz w:val="22"/>
          <w:lang w:val="es-ES_tradnl"/>
        </w:rPr>
        <w:t>2020</w:t>
      </w:r>
      <w:r>
        <w:rPr>
          <w:rFonts w:ascii="Arial" w:eastAsia="Calibri" w:hAnsi="Arial" w:cs="Arial"/>
          <w:color w:val="000000" w:themeColor="text1"/>
          <w:sz w:val="22"/>
          <w:lang w:val="es-ES_tradnl"/>
        </w:rPr>
        <w:t>,</w:t>
      </w:r>
      <w:r w:rsidRPr="005F10E9">
        <w:rPr>
          <w:rFonts w:ascii="Arial" w:eastAsia="Calibri" w:hAnsi="Arial" w:cs="Arial"/>
          <w:color w:val="000000" w:themeColor="text1"/>
          <w:sz w:val="22"/>
          <w:lang w:val="es-ES_tradnl"/>
        </w:rPr>
        <w:t xml:space="preserve"> C-623 del 21</w:t>
      </w:r>
      <w:r>
        <w:rPr>
          <w:rFonts w:ascii="Arial" w:eastAsia="Calibri" w:hAnsi="Arial" w:cs="Arial"/>
          <w:color w:val="000000" w:themeColor="text1"/>
          <w:sz w:val="22"/>
          <w:lang w:val="es-ES_tradnl"/>
        </w:rPr>
        <w:t xml:space="preserve"> de octubre de </w:t>
      </w:r>
      <w:r w:rsidRPr="005F10E9">
        <w:rPr>
          <w:rFonts w:ascii="Arial" w:eastAsia="Calibri" w:hAnsi="Arial" w:cs="Arial"/>
          <w:color w:val="000000" w:themeColor="text1"/>
          <w:sz w:val="22"/>
          <w:lang w:val="es-ES_tradnl"/>
        </w:rPr>
        <w:t>2020</w:t>
      </w:r>
      <w:r>
        <w:rPr>
          <w:rFonts w:ascii="Arial" w:eastAsia="Calibri" w:hAnsi="Arial" w:cs="Arial"/>
          <w:color w:val="000000" w:themeColor="text1"/>
          <w:sz w:val="22"/>
          <w:lang w:val="es-ES_tradnl"/>
        </w:rPr>
        <w:t xml:space="preserve">, C-682 del 25 de noviembre de 2020. </w:t>
      </w:r>
      <w:r w:rsidRPr="00A36636">
        <w:rPr>
          <w:rFonts w:ascii="Arial" w:eastAsia="Calibri" w:hAnsi="Arial" w:cs="Arial"/>
          <w:color w:val="000000" w:themeColor="text1"/>
          <w:sz w:val="22"/>
          <w:szCs w:val="22"/>
          <w:lang w:val="es-ES_tradnl"/>
        </w:rPr>
        <w:t>Algunas de las consideraciones de estos conceptos se reiteran a continuación.</w:t>
      </w:r>
    </w:p>
    <w:p w14:paraId="6627DDD2" w14:textId="77777777" w:rsidR="00E850C7" w:rsidRPr="000E4F42" w:rsidRDefault="00E850C7" w:rsidP="00E850C7">
      <w:pPr>
        <w:spacing w:line="276" w:lineRule="auto"/>
        <w:ind w:firstLine="709"/>
        <w:jc w:val="both"/>
        <w:rPr>
          <w:rFonts w:ascii="Arial" w:eastAsia="Calibri" w:hAnsi="Arial" w:cs="Arial"/>
          <w:color w:val="000000" w:themeColor="text1"/>
          <w:sz w:val="22"/>
          <w:szCs w:val="22"/>
          <w:lang w:val="es-ES_tradnl"/>
        </w:rPr>
      </w:pPr>
    </w:p>
    <w:p w14:paraId="2275A5EB" w14:textId="77777777" w:rsidR="00E850C7" w:rsidRDefault="00E850C7" w:rsidP="00E850C7">
      <w:pPr>
        <w:spacing w:line="276" w:lineRule="auto"/>
        <w:jc w:val="both"/>
        <w:rPr>
          <w:rFonts w:ascii="Arial" w:eastAsia="Calibri" w:hAnsi="Arial" w:cs="Arial"/>
          <w:b/>
          <w:color w:val="000000" w:themeColor="text1"/>
          <w:sz w:val="22"/>
          <w:szCs w:val="22"/>
          <w:lang w:val="es-ES_tradnl"/>
        </w:rPr>
      </w:pPr>
      <w:r w:rsidRPr="000E4F42">
        <w:rPr>
          <w:rFonts w:ascii="Arial" w:hAnsi="Arial" w:cs="Arial"/>
          <w:b/>
          <w:color w:val="000000" w:themeColor="text1"/>
          <w:sz w:val="22"/>
          <w:szCs w:val="22"/>
          <w:lang w:val="es-ES_tradnl"/>
        </w:rPr>
        <w:t>2.1. G</w:t>
      </w:r>
      <w:r w:rsidRPr="000E4F42">
        <w:rPr>
          <w:rFonts w:ascii="Arial" w:eastAsia="Calibri" w:hAnsi="Arial" w:cs="Arial"/>
          <w:b/>
          <w:color w:val="000000" w:themeColor="text1"/>
          <w:sz w:val="22"/>
          <w:szCs w:val="22"/>
          <w:lang w:val="es-ES_tradnl"/>
        </w:rPr>
        <w:t xml:space="preserve">arantía suplementaria o adicional </w:t>
      </w:r>
    </w:p>
    <w:p w14:paraId="166B000A" w14:textId="77777777" w:rsidR="00E850C7" w:rsidRPr="000E4F42" w:rsidRDefault="00E850C7" w:rsidP="00E850C7">
      <w:pPr>
        <w:spacing w:line="276" w:lineRule="auto"/>
        <w:jc w:val="both"/>
        <w:rPr>
          <w:rFonts w:ascii="Arial" w:eastAsia="Calibri" w:hAnsi="Arial" w:cs="Arial"/>
          <w:b/>
          <w:color w:val="000000" w:themeColor="text1"/>
          <w:sz w:val="22"/>
          <w:szCs w:val="22"/>
          <w:lang w:val="es-ES_tradnl"/>
        </w:rPr>
      </w:pPr>
    </w:p>
    <w:p w14:paraId="21ED470B" w14:textId="77777777" w:rsidR="00E850C7" w:rsidRPr="000E4F42" w:rsidRDefault="00E850C7" w:rsidP="00E850C7">
      <w:pPr>
        <w:spacing w:after="120" w:line="276" w:lineRule="auto"/>
        <w:jc w:val="both"/>
        <w:rPr>
          <w:rFonts w:ascii="Arial" w:hAnsi="Arial" w:cs="Arial"/>
          <w:sz w:val="22"/>
          <w:szCs w:val="22"/>
        </w:rPr>
      </w:pPr>
      <w:r>
        <w:rPr>
          <w:rFonts w:ascii="Arial" w:hAnsi="Arial" w:cs="Arial"/>
          <w:sz w:val="22"/>
          <w:szCs w:val="22"/>
        </w:rPr>
        <w:lastRenderedPageBreak/>
        <w:t>En los documentos tipo de licitación de obra pública de infraestructura de transporte –versión 3– adoptados mediante la Resolución 240 de 2020, al igual que en anteriores documentos tipo se aplica el deber de selección objetiva en la evaluación de ofertas de conformidad con lo dispuesto en el literal del artículo 5-2 de la Ley 1150 de 2007, esto es, ponderando elementos de calidad y precio mediante puntajes. En cuanto a</w:t>
      </w:r>
      <w:r w:rsidRPr="000E4F42">
        <w:rPr>
          <w:rFonts w:ascii="Arial" w:hAnsi="Arial" w:cs="Arial"/>
          <w:sz w:val="22"/>
          <w:szCs w:val="22"/>
        </w:rPr>
        <w:t xml:space="preserve"> los factores de calidad, el numeral 4.2 del </w:t>
      </w:r>
      <w:r>
        <w:rPr>
          <w:rFonts w:ascii="Arial" w:hAnsi="Arial" w:cs="Arial"/>
          <w:sz w:val="22"/>
          <w:szCs w:val="22"/>
        </w:rPr>
        <w:t>D</w:t>
      </w:r>
      <w:r w:rsidRPr="000E4F42">
        <w:rPr>
          <w:rFonts w:ascii="Arial" w:hAnsi="Arial" w:cs="Arial"/>
          <w:sz w:val="22"/>
          <w:szCs w:val="22"/>
        </w:rPr>
        <w:t xml:space="preserve">ocumento </w:t>
      </w:r>
      <w:r>
        <w:rPr>
          <w:rFonts w:ascii="Arial" w:hAnsi="Arial" w:cs="Arial"/>
          <w:sz w:val="22"/>
          <w:szCs w:val="22"/>
        </w:rPr>
        <w:t>B</w:t>
      </w:r>
      <w:r w:rsidRPr="000E4F42">
        <w:rPr>
          <w:rFonts w:ascii="Arial" w:hAnsi="Arial" w:cs="Arial"/>
          <w:sz w:val="22"/>
          <w:szCs w:val="22"/>
        </w:rPr>
        <w:t>ase dispone que «De acuerdo con las características del objeto a contratar y con el principio de proporcionalidad y razonabilidad la Entidad debe elegir una o varias de las opciones previstas para otorgar el puntaje del factor de calidad […]». En este sentido, la entidad debe valorar, frente a su necesidad y a los principios mencionados, qué factores son pertinentes para asegurar mejor calidad en la obra pública contratada y, en todo caso, únicamente podrá exigir la acreditación de máximo tres de ellos, lo cual conserva el límite establecido en la primera y segunda versión de los documentos tipo de licitación para obra pública de infraestructura de transporte.</w:t>
      </w:r>
    </w:p>
    <w:p w14:paraId="26CB2872" w14:textId="77777777" w:rsidR="00E850C7" w:rsidRPr="000E4F42" w:rsidRDefault="00E850C7" w:rsidP="00E850C7">
      <w:pPr>
        <w:spacing w:after="120" w:line="276" w:lineRule="auto"/>
        <w:ind w:firstLine="708"/>
        <w:jc w:val="both"/>
        <w:rPr>
          <w:rFonts w:ascii="Arial" w:eastAsia="Arial" w:hAnsi="Arial" w:cs="Arial"/>
          <w:sz w:val="22"/>
          <w:szCs w:val="22"/>
          <w:lang w:val="es-ES_tradnl"/>
        </w:rPr>
      </w:pPr>
      <w:r w:rsidRPr="000E4F42">
        <w:rPr>
          <w:rFonts w:ascii="Arial" w:eastAsia="Arial" w:hAnsi="Arial" w:cs="Arial"/>
          <w:sz w:val="22"/>
          <w:szCs w:val="22"/>
          <w:lang w:val="es-ES_tradnl"/>
        </w:rPr>
        <w:t xml:space="preserve">Adicionalmente, esta versión de los documentos tipo conserva el puntaje de las versiones anteriores, de modo que no se alteró el total de los diecinueve (19) puntos que puede otorgar la entidad por este criterio de evaluación. Estos diecinueve (19) puntos corresponderán al total de los que podrán asignarse como puntaje al rubro de factor de calidad. En caso de que la entidad opte por varios factores de calidad estos puntos deben repartirse entre ellos, de tal manera que la sumatoria de los factores escogidos por la entidad no sobrepase los diecinueve (19) puntos. </w:t>
      </w:r>
    </w:p>
    <w:p w14:paraId="5ADB60C6" w14:textId="77777777" w:rsidR="00E850C7" w:rsidRPr="000E4F42" w:rsidRDefault="00E850C7" w:rsidP="00E850C7">
      <w:pPr>
        <w:tabs>
          <w:tab w:val="left" w:pos="426"/>
        </w:tabs>
        <w:spacing w:after="120" w:line="276" w:lineRule="auto"/>
        <w:jc w:val="both"/>
        <w:rPr>
          <w:rFonts w:ascii="Arial" w:eastAsia="Calibri" w:hAnsi="Arial" w:cs="Arial"/>
          <w:color w:val="000000"/>
          <w:sz w:val="22"/>
          <w:szCs w:val="22"/>
        </w:rPr>
      </w:pPr>
      <w:bookmarkStart w:id="0" w:name="_Hlk63671358"/>
      <w:r>
        <w:rPr>
          <w:rFonts w:ascii="Arial" w:eastAsia="Calibri" w:hAnsi="Arial" w:cs="Arial"/>
          <w:sz w:val="22"/>
          <w:szCs w:val="22"/>
          <w:lang w:eastAsia="es-ES_tradnl"/>
        </w:rPr>
        <w:tab/>
        <w:t>Conforme indica</w:t>
      </w:r>
      <w:r w:rsidRPr="000E4F42">
        <w:rPr>
          <w:rFonts w:ascii="Arial" w:eastAsia="Calibri" w:hAnsi="Arial" w:cs="Arial"/>
          <w:sz w:val="22"/>
          <w:szCs w:val="22"/>
          <w:lang w:eastAsia="es-ES_tradnl"/>
        </w:rPr>
        <w:t xml:space="preserve"> numeral 4.2.4 del </w:t>
      </w:r>
      <w:r>
        <w:rPr>
          <w:rFonts w:ascii="Arial" w:eastAsia="Calibri" w:hAnsi="Arial" w:cs="Arial"/>
          <w:sz w:val="22"/>
          <w:szCs w:val="22"/>
          <w:lang w:eastAsia="es-ES_tradnl"/>
        </w:rPr>
        <w:t>D</w:t>
      </w:r>
      <w:r w:rsidRPr="000E4F42">
        <w:rPr>
          <w:rFonts w:ascii="Arial" w:eastAsia="Calibri" w:hAnsi="Arial" w:cs="Arial"/>
          <w:sz w:val="22"/>
          <w:szCs w:val="22"/>
          <w:lang w:eastAsia="es-ES_tradnl"/>
        </w:rPr>
        <w:t xml:space="preserve">ocumento </w:t>
      </w:r>
      <w:r>
        <w:rPr>
          <w:rFonts w:ascii="Arial" w:eastAsia="Calibri" w:hAnsi="Arial" w:cs="Arial"/>
          <w:sz w:val="22"/>
          <w:szCs w:val="22"/>
          <w:lang w:eastAsia="es-ES_tradnl"/>
        </w:rPr>
        <w:t>B</w:t>
      </w:r>
      <w:r w:rsidRPr="000E4F42">
        <w:rPr>
          <w:rFonts w:ascii="Arial" w:eastAsia="Calibri" w:hAnsi="Arial" w:cs="Arial"/>
          <w:sz w:val="22"/>
          <w:szCs w:val="22"/>
          <w:lang w:eastAsia="es-ES_tradnl"/>
        </w:rPr>
        <w:t>ase</w:t>
      </w:r>
      <w:r>
        <w:rPr>
          <w:rFonts w:ascii="Arial" w:eastAsia="Calibri" w:hAnsi="Arial" w:cs="Arial"/>
          <w:sz w:val="22"/>
          <w:szCs w:val="22"/>
          <w:lang w:eastAsia="es-ES_tradnl"/>
        </w:rPr>
        <w:t xml:space="preserve">, </w:t>
      </w:r>
      <w:r w:rsidRPr="000E4F42">
        <w:rPr>
          <w:rFonts w:ascii="Arial" w:eastAsia="Calibri" w:hAnsi="Arial" w:cs="Arial"/>
          <w:sz w:val="22"/>
          <w:szCs w:val="22"/>
          <w:lang w:eastAsia="es-ES_tradnl"/>
        </w:rPr>
        <w:t xml:space="preserve">el </w:t>
      </w:r>
      <w:r w:rsidRPr="000E4F42">
        <w:rPr>
          <w:rFonts w:ascii="Arial" w:eastAsia="Arial" w:hAnsi="Arial" w:cs="Arial"/>
          <w:sz w:val="22"/>
          <w:szCs w:val="22"/>
          <w:lang w:val="es-ES_tradnl"/>
        </w:rPr>
        <w:t xml:space="preserve">«Factor de Calidad – Garantía Suplementaria o Adicional», </w:t>
      </w:r>
      <w:r w:rsidRPr="000E4F42">
        <w:rPr>
          <w:rFonts w:ascii="Arial" w:eastAsia="Calibri" w:hAnsi="Arial" w:cs="Arial"/>
          <w:sz w:val="22"/>
          <w:szCs w:val="22"/>
          <w:lang w:eastAsia="es-ES_tradnl"/>
        </w:rPr>
        <w:t>como</w:t>
      </w:r>
      <w:r>
        <w:rPr>
          <w:rFonts w:ascii="Arial" w:eastAsia="Calibri" w:hAnsi="Arial" w:cs="Arial"/>
          <w:sz w:val="22"/>
          <w:szCs w:val="22"/>
          <w:lang w:eastAsia="es-ES_tradnl"/>
        </w:rPr>
        <w:t xml:space="preserve"> es definido como</w:t>
      </w:r>
      <w:r w:rsidRPr="000E4F42">
        <w:rPr>
          <w:rFonts w:ascii="Arial" w:eastAsia="Calibri" w:hAnsi="Arial" w:cs="Arial"/>
          <w:sz w:val="22"/>
          <w:szCs w:val="22"/>
          <w:lang w:eastAsia="es-ES_tradnl"/>
        </w:rPr>
        <w:t xml:space="preserve"> </w:t>
      </w:r>
      <w:r>
        <w:rPr>
          <w:rFonts w:ascii="Arial" w:eastAsia="Calibri" w:hAnsi="Arial" w:cs="Arial"/>
          <w:sz w:val="22"/>
          <w:szCs w:val="22"/>
          <w:lang w:eastAsia="es-ES_tradnl"/>
        </w:rPr>
        <w:t>«</w:t>
      </w:r>
      <w:r w:rsidRPr="00A20B87">
        <w:rPr>
          <w:rFonts w:ascii="Arial" w:eastAsia="Calibri" w:hAnsi="Arial" w:cs="Arial"/>
          <w:i/>
          <w:iCs/>
          <w:sz w:val="22"/>
          <w:szCs w:val="22"/>
          <w:lang w:eastAsia="es-ES_tradnl"/>
        </w:rPr>
        <w:t>aquella otorgada por el contratista, distinta a la legal</w:t>
      </w:r>
      <w:r w:rsidRPr="004A33A2">
        <w:rPr>
          <w:rFonts w:ascii="Arial" w:eastAsia="Calibri" w:hAnsi="Arial" w:cs="Arial"/>
          <w:sz w:val="22"/>
          <w:szCs w:val="22"/>
          <w:lang w:eastAsia="es-ES_tradnl"/>
        </w:rPr>
        <w:t xml:space="preserve">, cuando amplíe o mejore gratuitamente la cobertura de esta, asociada a la estabilidad y calidad de la obra. En este sentido, </w:t>
      </w:r>
      <w:r w:rsidRPr="00A20B87">
        <w:rPr>
          <w:rFonts w:ascii="Arial" w:eastAsia="Calibri" w:hAnsi="Arial" w:cs="Arial"/>
          <w:i/>
          <w:iCs/>
          <w:sz w:val="22"/>
          <w:szCs w:val="22"/>
          <w:lang w:eastAsia="es-ES_tradnl"/>
        </w:rPr>
        <w:t>el proponente concederá la garantía adicional mediante una aseguradora, o puede hacerlo directamente como ocurre con la garantía comercial</w:t>
      </w:r>
      <w:r w:rsidRPr="004A33A2">
        <w:rPr>
          <w:rFonts w:ascii="Arial" w:eastAsia="Calibri" w:hAnsi="Arial" w:cs="Arial"/>
          <w:sz w:val="22"/>
          <w:szCs w:val="22"/>
          <w:lang w:eastAsia="es-ES_tradnl"/>
        </w:rPr>
        <w:t xml:space="preserve"> </w:t>
      </w:r>
      <w:r w:rsidRPr="000E4F42">
        <w:rPr>
          <w:rFonts w:ascii="Arial" w:eastAsia="Calibri" w:hAnsi="Arial" w:cs="Arial"/>
          <w:sz w:val="22"/>
          <w:szCs w:val="22"/>
          <w:lang w:eastAsia="es-ES_tradnl"/>
        </w:rPr>
        <w:t>que se otorga sobre un producto. Es decir, la posibilidad de obtener puntaje por este factor no se encuentra sujeta a la existencia de un seguro que respalde el amparo adicional, dado que el proponente puede otorgar la garantía por sí mismo, sin necesidad de acudir a una aseguradora</w:t>
      </w:r>
      <w:r>
        <w:rPr>
          <w:rFonts w:ascii="Arial" w:eastAsia="Calibri" w:hAnsi="Arial" w:cs="Arial"/>
          <w:sz w:val="22"/>
          <w:szCs w:val="22"/>
          <w:lang w:eastAsia="es-ES_tradnl"/>
        </w:rPr>
        <w:t>»</w:t>
      </w:r>
      <w:r w:rsidRPr="000E4F42">
        <w:rPr>
          <w:rFonts w:ascii="Arial" w:eastAsia="Calibri" w:hAnsi="Arial" w:cs="Arial"/>
          <w:sz w:val="22"/>
          <w:szCs w:val="22"/>
          <w:lang w:eastAsia="es-ES_tradnl"/>
        </w:rPr>
        <w:t>.</w:t>
      </w:r>
      <w:r>
        <w:rPr>
          <w:rFonts w:ascii="Arial" w:eastAsia="Calibri" w:hAnsi="Arial" w:cs="Arial"/>
          <w:sz w:val="22"/>
          <w:szCs w:val="22"/>
          <w:lang w:eastAsia="es-ES_tradnl"/>
        </w:rPr>
        <w:t xml:space="preserve"> (Cursiva fuera del texto). </w:t>
      </w:r>
    </w:p>
    <w:bookmarkEnd w:id="0"/>
    <w:p w14:paraId="2D1C7116" w14:textId="77777777" w:rsidR="00E850C7" w:rsidRDefault="00E850C7" w:rsidP="00E850C7">
      <w:pPr>
        <w:spacing w:before="120" w:line="276" w:lineRule="auto"/>
        <w:ind w:firstLine="708"/>
        <w:jc w:val="both"/>
        <w:rPr>
          <w:rFonts w:ascii="Arial" w:hAnsi="Arial" w:cs="Arial"/>
          <w:color w:val="000000"/>
          <w:sz w:val="22"/>
          <w:szCs w:val="22"/>
          <w:shd w:val="clear" w:color="auto" w:fill="FFFFFF"/>
        </w:rPr>
      </w:pPr>
      <w:r w:rsidRPr="005045C7">
        <w:rPr>
          <w:rFonts w:ascii="Arial" w:hAnsi="Arial" w:cs="Arial"/>
          <w:color w:val="000000"/>
          <w:sz w:val="22"/>
          <w:szCs w:val="22"/>
          <w:shd w:val="clear" w:color="auto" w:fill="FFFFFF"/>
        </w:rPr>
        <w:t>En efecto, según se desprende de este texto, y como manifiesta en la argumentación propuesta, esta garantía suplementaria no tiene como requisito la demostración de un contrato de seguro adicional que garantice el amparo ofrecido, sino que puede ser prestado directamente por el proponente como garantía comercial. En ese sentido, el adjudicatario, para cumplir compromiso adquirido con la presentación del Formato 7D, puede (i) presentar una póliza de seguro expedida por una entidad aseguradora debidamente autorizada por la ley para ejercer dicha actividad o (ii) presentar una garantía comercial suplementaria de conformidad con la habilitación del artículo 13 de la Ley 1480 de 2011.</w:t>
      </w:r>
    </w:p>
    <w:p w14:paraId="372B14B6" w14:textId="77777777" w:rsidR="00E850C7" w:rsidRDefault="00E850C7" w:rsidP="00E850C7">
      <w:pPr>
        <w:spacing w:before="120" w:line="276" w:lineRule="auto"/>
        <w:ind w:firstLine="708"/>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lastRenderedPageBreak/>
        <w:t xml:space="preserve">Lo anterior permite </w:t>
      </w:r>
      <w:r w:rsidRPr="005045C7">
        <w:rPr>
          <w:rFonts w:ascii="Arial" w:hAnsi="Arial" w:cs="Arial"/>
          <w:color w:val="000000"/>
          <w:sz w:val="22"/>
          <w:szCs w:val="22"/>
          <w:bdr w:val="none" w:sz="0" w:space="0" w:color="auto" w:frame="1"/>
        </w:rPr>
        <w:t>ilustrar que, de presentarse una garantía mediante el primer mecanismo, es apenas natural que este solo sirva para cumplir el amparo adicional ofrecido, si, efectivamente, cumple con todos los requisitos y formalidades establecidos por la ley para el contrato de seguro </w:t>
      </w:r>
      <w:r w:rsidRPr="005045C7">
        <w:rPr>
          <w:rFonts w:ascii="Arial" w:hAnsi="Arial" w:cs="Arial"/>
          <w:color w:val="000000"/>
          <w:sz w:val="22"/>
          <w:szCs w:val="22"/>
          <w:bdr w:val="none" w:sz="0" w:space="0" w:color="auto" w:frame="1"/>
          <w:shd w:val="clear" w:color="auto" w:fill="FFFFFF"/>
        </w:rPr>
        <w:t>(C de Comercio art. 1037 y s</w:t>
      </w:r>
      <w:r>
        <w:rPr>
          <w:rFonts w:ascii="Arial" w:hAnsi="Arial" w:cs="Arial"/>
          <w:color w:val="000000"/>
          <w:sz w:val="22"/>
          <w:szCs w:val="22"/>
          <w:bdr w:val="none" w:sz="0" w:space="0" w:color="auto" w:frame="1"/>
          <w:shd w:val="clear" w:color="auto" w:fill="FFFFFF"/>
        </w:rPr>
        <w:t>.</w:t>
      </w:r>
      <w:r w:rsidRPr="005045C7">
        <w:rPr>
          <w:rFonts w:ascii="Arial" w:hAnsi="Arial" w:cs="Arial"/>
          <w:color w:val="000000"/>
          <w:sz w:val="22"/>
          <w:szCs w:val="22"/>
          <w:bdr w:val="none" w:sz="0" w:space="0" w:color="auto" w:frame="1"/>
          <w:shd w:val="clear" w:color="auto" w:fill="FFFFFF"/>
        </w:rPr>
        <w:t>s</w:t>
      </w:r>
      <w:r>
        <w:rPr>
          <w:rFonts w:ascii="Arial" w:hAnsi="Arial" w:cs="Arial"/>
          <w:color w:val="000000"/>
          <w:sz w:val="22"/>
          <w:szCs w:val="22"/>
          <w:bdr w:val="none" w:sz="0" w:space="0" w:color="auto" w:frame="1"/>
          <w:shd w:val="clear" w:color="auto" w:fill="FFFFFF"/>
        </w:rPr>
        <w:t>.</w:t>
      </w:r>
      <w:r w:rsidRPr="005045C7">
        <w:rPr>
          <w:rFonts w:ascii="Arial" w:hAnsi="Arial" w:cs="Arial"/>
          <w:color w:val="000000"/>
          <w:sz w:val="22"/>
          <w:szCs w:val="22"/>
          <w:bdr w:val="none" w:sz="0" w:space="0" w:color="auto" w:frame="1"/>
          <w:shd w:val="clear" w:color="auto" w:fill="FFFFFF"/>
        </w:rPr>
        <w:t>)</w:t>
      </w:r>
      <w:r w:rsidRPr="005045C7">
        <w:rPr>
          <w:rFonts w:ascii="Arial" w:hAnsi="Arial" w:cs="Arial"/>
          <w:color w:val="000000"/>
          <w:sz w:val="22"/>
          <w:szCs w:val="22"/>
          <w:bdr w:val="none" w:sz="0" w:space="0" w:color="auto" w:frame="1"/>
        </w:rPr>
        <w:t>, entre los que se exige que la aseguradora sea autorizada conforme a la ley para ejercer dicha actividad, para lo que debe tener incluida dentro de su objeto social la expedición de seguros.  Por el contrario, conforme al segundo mecanismo, permitido en virtud de los artículos 13 y 14 de la Ley 1480 de 2011, el adjudicatario como proveedor puede ofrecer directamente la garantía suplementaria, sin que la inclusión de la actividad de expedición de dicho tipo de garantías dentro del objeto social sea una condición para la validez de dicho amparo derivada de la ley o el pliego tipo, sin perjuicio de los requisitos de validez de cualquier acto jurídico, ni de las formalidades que deban cumplirse con ocasión de los reglamentos y normas internas de la sociedad. </w:t>
      </w:r>
    </w:p>
    <w:p w14:paraId="0AC65B0B" w14:textId="77777777" w:rsidR="00E850C7" w:rsidRPr="000E4F42" w:rsidRDefault="00E850C7" w:rsidP="00E850C7">
      <w:pPr>
        <w:spacing w:before="120" w:line="276" w:lineRule="auto"/>
        <w:ind w:firstLine="708"/>
        <w:jc w:val="both"/>
      </w:pPr>
      <w:r>
        <w:rPr>
          <w:rFonts w:ascii="Arial" w:eastAsia="Calibri" w:hAnsi="Arial" w:cs="Arial"/>
          <w:sz w:val="22"/>
          <w:szCs w:val="22"/>
          <w:lang w:eastAsia="es-ES_tradnl"/>
        </w:rPr>
        <w:t>Además, es importante resaltar que e</w:t>
      </w:r>
      <w:r w:rsidRPr="000E4F42">
        <w:rPr>
          <w:rFonts w:ascii="Arial" w:eastAsia="Calibri" w:hAnsi="Arial" w:cs="Arial"/>
          <w:sz w:val="22"/>
          <w:szCs w:val="22"/>
          <w:lang w:eastAsia="es-ES_tradnl"/>
        </w:rPr>
        <w:t>l artículo 13 de la Ley 1480 de 2011 dispone que los productores y proveedores podrán otorgar garantías suplementarias a la legal, cuando amplíen o mejoren la cobertura de esta, de forma gratuita u onerosa. Asimismo, señala que también podrán otorgar este tipo de garantías terceros especializados que cuenten con la infraestructura y recursos adecuados para cumplir con la garantía</w:t>
      </w:r>
      <w:r w:rsidRPr="000E4F42">
        <w:rPr>
          <w:rFonts w:ascii="Arial" w:eastAsia="Calibri" w:hAnsi="Arial" w:cs="Arial"/>
          <w:sz w:val="22"/>
          <w:szCs w:val="22"/>
          <w:vertAlign w:val="superscript"/>
          <w:lang w:eastAsia="es-ES_tradnl"/>
        </w:rPr>
        <w:footnoteReference w:id="2"/>
      </w:r>
      <w:r w:rsidRPr="000E4F42">
        <w:rPr>
          <w:rFonts w:ascii="Arial" w:eastAsia="Calibri" w:hAnsi="Arial" w:cs="Arial"/>
          <w:sz w:val="22"/>
          <w:szCs w:val="22"/>
          <w:lang w:eastAsia="es-ES_tradnl"/>
        </w:rPr>
        <w:t>. De este modo, esta normativa también define las garantías suplementarias como aquellas que ofrecen los productores o proveedores de un bien o servicio, por el término adicional al previsto en la garantía legal.</w:t>
      </w:r>
    </w:p>
    <w:p w14:paraId="769F6F10" w14:textId="77777777" w:rsidR="00E850C7" w:rsidRPr="000E4F42" w:rsidRDefault="00E850C7" w:rsidP="00E850C7">
      <w:pPr>
        <w:spacing w:before="120" w:line="276" w:lineRule="auto"/>
        <w:ind w:firstLine="708"/>
        <w:jc w:val="both"/>
        <w:rPr>
          <w:rFonts w:ascii="Arial" w:eastAsia="Calibri" w:hAnsi="Arial" w:cs="Arial"/>
          <w:sz w:val="22"/>
          <w:szCs w:val="22"/>
          <w:lang w:eastAsia="es-ES_tradnl"/>
        </w:rPr>
      </w:pPr>
      <w:r w:rsidRPr="000E4F42">
        <w:rPr>
          <w:rFonts w:ascii="Arial" w:eastAsia="Calibri" w:hAnsi="Arial" w:cs="Arial"/>
          <w:sz w:val="22"/>
          <w:szCs w:val="22"/>
          <w:lang w:eastAsia="es-ES_tradnl"/>
        </w:rPr>
        <w:t>De esta manera, para obtener el puntaje por concepto de la «Garantía Suplementaria o Adicional» no es necesario que esta sea respaldada necesariamente por una aseguradora, sino que bastará la garantía comercial que ofrezca el propio contratista. Lo anterior significa que el ofrecimiento del factor de calidad no obliga a la expedición de la póliza respectiva para acreditar la cobertura, toda vez que el proponente puede suscribir la garantía adicional por sí mismo, sin la cobertura de un tercero. Por ello, las aseguradoras no están obligadas a brindar cobertura para la garantía suplementaria o adicional otorgada directamente por el proponente.</w:t>
      </w:r>
    </w:p>
    <w:p w14:paraId="5D74B03F" w14:textId="77777777" w:rsidR="00E850C7" w:rsidRPr="000E4F42" w:rsidRDefault="00E850C7" w:rsidP="00E850C7">
      <w:pPr>
        <w:spacing w:before="120" w:line="276" w:lineRule="auto"/>
        <w:ind w:firstLine="708"/>
        <w:jc w:val="both"/>
        <w:rPr>
          <w:rFonts w:ascii="Arial" w:eastAsia="Calibri" w:hAnsi="Arial" w:cs="Arial"/>
          <w:color w:val="000000"/>
          <w:sz w:val="22"/>
          <w:szCs w:val="22"/>
        </w:rPr>
      </w:pPr>
      <w:r w:rsidRPr="000E4F42">
        <w:rPr>
          <w:rFonts w:ascii="Arial" w:eastAsia="Calibri" w:hAnsi="Arial" w:cs="Arial"/>
          <w:sz w:val="22"/>
          <w:szCs w:val="22"/>
          <w:lang w:eastAsia="es-ES_tradnl"/>
        </w:rPr>
        <w:t xml:space="preserve">Aunque </w:t>
      </w:r>
      <w:r w:rsidRPr="000E4F42">
        <w:rPr>
          <w:rFonts w:ascii="Arial" w:eastAsia="Calibri" w:hAnsi="Arial" w:cs="Arial"/>
          <w:color w:val="000000"/>
          <w:sz w:val="22"/>
          <w:szCs w:val="22"/>
        </w:rPr>
        <w:t xml:space="preserve">el numeral 4.2.4 del </w:t>
      </w:r>
      <w:r>
        <w:rPr>
          <w:rFonts w:ascii="Arial" w:eastAsia="Calibri" w:hAnsi="Arial" w:cs="Arial"/>
          <w:color w:val="000000"/>
          <w:sz w:val="22"/>
          <w:szCs w:val="22"/>
        </w:rPr>
        <w:t>D</w:t>
      </w:r>
      <w:r w:rsidRPr="000E4F42">
        <w:rPr>
          <w:rFonts w:ascii="Arial" w:eastAsia="Calibri" w:hAnsi="Arial" w:cs="Arial"/>
          <w:color w:val="000000"/>
          <w:sz w:val="22"/>
          <w:szCs w:val="22"/>
        </w:rPr>
        <w:t xml:space="preserve">ocumento </w:t>
      </w:r>
      <w:r>
        <w:rPr>
          <w:rFonts w:ascii="Arial" w:eastAsia="Calibri" w:hAnsi="Arial" w:cs="Arial"/>
          <w:color w:val="000000"/>
          <w:sz w:val="22"/>
          <w:szCs w:val="22"/>
        </w:rPr>
        <w:t>B</w:t>
      </w:r>
      <w:r w:rsidRPr="000E4F42">
        <w:rPr>
          <w:rFonts w:ascii="Arial" w:eastAsia="Calibri" w:hAnsi="Arial" w:cs="Arial"/>
          <w:color w:val="000000"/>
          <w:sz w:val="22"/>
          <w:szCs w:val="22"/>
        </w:rPr>
        <w:t xml:space="preserve">ase –en concordancia con el artículo 13, parágrafo 1, de la Ley 1480 de 2011– dispone que «[…] es aplicable la regla de responsabilidad solidaria, respecto de quienes hayan participado en la cadena de </w:t>
      </w:r>
      <w:r w:rsidRPr="000E4F42">
        <w:rPr>
          <w:rFonts w:ascii="Arial" w:eastAsia="Calibri" w:hAnsi="Arial" w:cs="Arial"/>
          <w:color w:val="000000"/>
          <w:sz w:val="22"/>
          <w:szCs w:val="22"/>
        </w:rPr>
        <w:lastRenderedPageBreak/>
        <w:t>distribución con posterioridad a quien emitió la garantía suplementaria», si no existe cobertura de la garantía adicional a través de la póliza, la aseguradora no está obligada a responder. Esto en la medida que si el factor de calidad fue ofrecido directamente por el proponente, es necesario aplicar el principio de relatividad, postulado según el cual el cumplimiento de las obligaciones corresponde al deudor sin afectar a terceros que no hayan prestado previamente su consentimiento</w:t>
      </w:r>
      <w:r w:rsidRPr="000E4F42">
        <w:rPr>
          <w:rStyle w:val="Refdenotaalpie"/>
          <w:rFonts w:ascii="Arial" w:eastAsia="Calibri" w:hAnsi="Arial" w:cs="Arial"/>
          <w:color w:val="000000"/>
          <w:sz w:val="22"/>
          <w:szCs w:val="22"/>
        </w:rPr>
        <w:footnoteReference w:id="3"/>
      </w:r>
      <w:r w:rsidRPr="000E4F42">
        <w:rPr>
          <w:rFonts w:ascii="Arial" w:eastAsia="Calibri" w:hAnsi="Arial" w:cs="Arial"/>
          <w:color w:val="000000"/>
          <w:sz w:val="22"/>
          <w:szCs w:val="22"/>
        </w:rPr>
        <w:t xml:space="preserve">.  </w:t>
      </w:r>
    </w:p>
    <w:p w14:paraId="609A4F67" w14:textId="77777777" w:rsidR="00E850C7" w:rsidRPr="006C0EA1" w:rsidRDefault="00E850C7" w:rsidP="00E850C7">
      <w:pPr>
        <w:tabs>
          <w:tab w:val="left" w:pos="709"/>
        </w:tabs>
        <w:spacing w:line="276" w:lineRule="auto"/>
        <w:jc w:val="both"/>
        <w:rPr>
          <w:rFonts w:ascii="Arial" w:eastAsia="Calibri" w:hAnsi="Arial" w:cs="Arial"/>
          <w:b/>
          <w:sz w:val="22"/>
          <w:lang w:val="es-ES_tradnl"/>
        </w:rPr>
      </w:pPr>
      <w:r>
        <w:rPr>
          <w:rFonts w:ascii="Arial" w:eastAsia="Calibri" w:hAnsi="Arial" w:cs="Arial"/>
          <w:b/>
          <w:sz w:val="22"/>
          <w:lang w:val="es-ES_tradnl"/>
        </w:rPr>
        <w:t xml:space="preserve">3. </w:t>
      </w:r>
      <w:r w:rsidRPr="006C0EA1">
        <w:rPr>
          <w:rFonts w:ascii="Arial" w:eastAsia="Calibri" w:hAnsi="Arial" w:cs="Arial"/>
          <w:b/>
          <w:sz w:val="22"/>
          <w:lang w:val="es-ES_tradnl"/>
        </w:rPr>
        <w:t>Respuesta</w:t>
      </w:r>
    </w:p>
    <w:p w14:paraId="1AE51F8D" w14:textId="77777777" w:rsidR="00E850C7" w:rsidRPr="0093085B" w:rsidRDefault="00E850C7" w:rsidP="00E850C7">
      <w:pPr>
        <w:tabs>
          <w:tab w:val="left" w:pos="709"/>
        </w:tabs>
        <w:spacing w:line="276" w:lineRule="auto"/>
        <w:ind w:left="709" w:right="709"/>
        <w:jc w:val="both"/>
        <w:rPr>
          <w:rFonts w:ascii="Arial" w:eastAsia="Calibri" w:hAnsi="Arial" w:cs="Arial"/>
          <w:b/>
          <w:sz w:val="21"/>
          <w:szCs w:val="21"/>
          <w:lang w:val="es-ES_tradnl"/>
        </w:rPr>
      </w:pPr>
    </w:p>
    <w:p w14:paraId="62F824BC" w14:textId="77777777" w:rsidR="00E850C7" w:rsidRPr="000E4F42" w:rsidRDefault="00E850C7" w:rsidP="00E850C7">
      <w:pPr>
        <w:ind w:left="709" w:right="709"/>
        <w:jc w:val="both"/>
        <w:rPr>
          <w:rFonts w:ascii="Arial" w:hAnsi="Arial" w:cs="Arial"/>
          <w:sz w:val="21"/>
          <w:szCs w:val="21"/>
        </w:rPr>
      </w:pPr>
      <w:r w:rsidRPr="000E4F42">
        <w:rPr>
          <w:rFonts w:ascii="Arial" w:eastAsia="Calibri" w:hAnsi="Arial" w:cs="Arial"/>
          <w:sz w:val="21"/>
          <w:szCs w:val="21"/>
        </w:rPr>
        <w:t>«</w:t>
      </w:r>
      <w:r w:rsidRPr="000E4F42">
        <w:rPr>
          <w:rFonts w:ascii="Arial" w:hAnsi="Arial" w:cs="Arial"/>
          <w:color w:val="000000"/>
          <w:sz w:val="21"/>
          <w:szCs w:val="21"/>
          <w:shd w:val="clear" w:color="auto" w:fill="FFFFFF"/>
        </w:rPr>
        <w:t>¿Solicitamos atentamente aclarar si un oferente que pretende obtener los puntos por concepto de garantía suplementaria o adicional en un proceso de licitación publica para contratar obras de infraestructura de transporte, debe tener dentro de su objeto social la facultad de expedir directamente garantías comerciales, o la facultad de otorgar garantías adicionales o suplementarias para poder ser merecedor de este puntaje</w:t>
      </w:r>
      <w:r w:rsidRPr="000E4F42">
        <w:rPr>
          <w:rFonts w:ascii="Arial" w:hAnsi="Arial" w:cs="Arial"/>
          <w:sz w:val="21"/>
          <w:szCs w:val="21"/>
        </w:rPr>
        <w:t>?».</w:t>
      </w:r>
    </w:p>
    <w:p w14:paraId="64A62932" w14:textId="77777777" w:rsidR="00E850C7" w:rsidRDefault="00E850C7" w:rsidP="00E850C7">
      <w:pPr>
        <w:spacing w:before="120" w:after="120" w:line="276" w:lineRule="auto"/>
        <w:jc w:val="both"/>
        <w:rPr>
          <w:rFonts w:ascii="Arial" w:hAnsi="Arial" w:cs="Arial"/>
          <w:color w:val="000000"/>
          <w:sz w:val="22"/>
          <w:szCs w:val="22"/>
          <w:bdr w:val="none" w:sz="0" w:space="0" w:color="auto" w:frame="1"/>
        </w:rPr>
      </w:pPr>
      <w:r w:rsidRPr="000E4F42">
        <w:rPr>
          <w:rFonts w:ascii="Arial" w:hAnsi="Arial" w:cs="Arial"/>
          <w:color w:val="000000"/>
          <w:sz w:val="22"/>
          <w:szCs w:val="22"/>
          <w:bdr w:val="none" w:sz="0" w:space="0" w:color="auto" w:frame="1"/>
        </w:rPr>
        <w:t>Conforme al numeral 4.2.4 del documento base de los pliegos tipo de infraestructura de infraestructura de transporte, para obtener el puntaje por concepto de la «Garantía Suplementaria o Adicional» no es necesario que esta sea respaldada por una aseguradora, sino que bastará la garantía comercial que ofrezca el propio contratista.</w:t>
      </w:r>
    </w:p>
    <w:p w14:paraId="55874864" w14:textId="77777777" w:rsidR="00E850C7" w:rsidRPr="000E4F42" w:rsidRDefault="00E850C7" w:rsidP="00E850C7">
      <w:pPr>
        <w:spacing w:line="276" w:lineRule="auto"/>
        <w:ind w:firstLine="708"/>
        <w:jc w:val="both"/>
        <w:rPr>
          <w:rFonts w:ascii="Arial" w:hAnsi="Arial" w:cs="Arial"/>
          <w:sz w:val="22"/>
          <w:szCs w:val="22"/>
        </w:rPr>
      </w:pPr>
      <w:r w:rsidRPr="000E4F42">
        <w:rPr>
          <w:rFonts w:ascii="Arial" w:hAnsi="Arial" w:cs="Arial"/>
          <w:color w:val="000000"/>
          <w:sz w:val="22"/>
          <w:szCs w:val="22"/>
          <w:bdr w:val="none" w:sz="0" w:space="0" w:color="auto" w:frame="1"/>
        </w:rPr>
        <w:t>Lo anterior significa que el ofrecimiento del factor de calidad no obliga a la expedición de la póliza respectiva, toda vez que el proponente puede suscribir la garantía adicional por sí mismo, sin la cobertura de un tercero. Así las cosas, resulta claro que la garantía suplementaria o adicional debe ser otorgada directamente por el proponente. Entonces, para el caso de la consulta efectuada, es necesario aclarar que la normativa vigente y aplicable no exige que el objeto social de la persona jurídica oferente prevea expresamente que puede otorgar garantías adicionales o suplementarias. En todo caso, para que sea válida y oponible, dicha actividad deberá realizarse de conformidad con las normas societarias respectivas, contando con las aprobaciones y/o vistos buenos de los órganos societarios.</w:t>
      </w:r>
    </w:p>
    <w:p w14:paraId="41F10D61" w14:textId="77777777" w:rsidR="00E850C7" w:rsidRPr="0093085B" w:rsidRDefault="00E850C7" w:rsidP="00E850C7">
      <w:pPr>
        <w:pStyle w:val="xxmsonormal"/>
        <w:spacing w:before="0" w:beforeAutospacing="0" w:after="0" w:afterAutospacing="0" w:line="276" w:lineRule="auto"/>
        <w:jc w:val="both"/>
        <w:rPr>
          <w:rFonts w:ascii="Arial" w:hAnsi="Arial" w:cs="Arial"/>
          <w:color w:val="000000"/>
          <w:sz w:val="22"/>
          <w:szCs w:val="22"/>
          <w:bdr w:val="none" w:sz="0" w:space="0" w:color="auto" w:frame="1"/>
          <w:lang w:val="es-ES_tradnl"/>
        </w:rPr>
      </w:pPr>
    </w:p>
    <w:p w14:paraId="579B0F0A" w14:textId="77777777" w:rsidR="00E850C7" w:rsidRPr="007A0123" w:rsidRDefault="00E850C7" w:rsidP="00E850C7">
      <w:pPr>
        <w:spacing w:line="276" w:lineRule="auto"/>
        <w:jc w:val="both"/>
        <w:rPr>
          <w:rFonts w:ascii="Arial" w:eastAsia="Calibri" w:hAnsi="Arial" w:cs="Arial"/>
          <w:color w:val="000000" w:themeColor="text1"/>
          <w:sz w:val="22"/>
        </w:rPr>
      </w:pPr>
      <w:r w:rsidRPr="007A0123">
        <w:rPr>
          <w:rFonts w:ascii="Arial" w:eastAsia="Calibri" w:hAnsi="Arial" w:cs="Arial"/>
          <w:color w:val="000000" w:themeColor="text1"/>
          <w:sz w:val="22"/>
          <w:szCs w:val="22"/>
        </w:rPr>
        <w:t>Este concepto tiene el alcance previsto en el artículo 28 del Cód</w:t>
      </w:r>
      <w:r w:rsidRPr="007A0123">
        <w:rPr>
          <w:rFonts w:ascii="Arial" w:eastAsia="Calibri" w:hAnsi="Arial" w:cs="Arial"/>
          <w:color w:val="000000" w:themeColor="text1"/>
          <w:sz w:val="22"/>
        </w:rPr>
        <w:t>igo de Procedimiento Administrativo y de lo Contencioso Administrativo.</w:t>
      </w:r>
    </w:p>
    <w:p w14:paraId="729CD370" w14:textId="77777777" w:rsidR="00E850C7" w:rsidRPr="007A0123" w:rsidRDefault="00E850C7" w:rsidP="00E850C7">
      <w:pPr>
        <w:jc w:val="both"/>
        <w:rPr>
          <w:rFonts w:ascii="Arial" w:eastAsia="Calibri" w:hAnsi="Arial" w:cs="Arial"/>
          <w:color w:val="000000" w:themeColor="text1"/>
          <w:sz w:val="22"/>
        </w:rPr>
      </w:pPr>
    </w:p>
    <w:p w14:paraId="0568639B" w14:textId="77777777" w:rsidR="00E850C7" w:rsidRPr="007A0123" w:rsidRDefault="00E850C7" w:rsidP="00E850C7">
      <w:pPr>
        <w:jc w:val="both"/>
        <w:rPr>
          <w:rFonts w:ascii="Arial" w:hAnsi="Arial" w:cs="Arial"/>
          <w:color w:val="000000" w:themeColor="text1"/>
          <w:sz w:val="22"/>
          <w:lang w:eastAsia="es-CO"/>
        </w:rPr>
      </w:pPr>
      <w:r w:rsidRPr="007A0123">
        <w:rPr>
          <w:rFonts w:ascii="Arial" w:hAnsi="Arial" w:cs="Arial"/>
          <w:color w:val="000000" w:themeColor="text1"/>
          <w:sz w:val="22"/>
          <w:lang w:eastAsia="es-CO"/>
        </w:rPr>
        <w:t>Atentamente,</w:t>
      </w:r>
    </w:p>
    <w:p w14:paraId="10C1E4CA" w14:textId="77777777" w:rsidR="00E850C7" w:rsidRPr="007A0123" w:rsidRDefault="00E850C7" w:rsidP="00E850C7">
      <w:pPr>
        <w:jc w:val="center"/>
        <w:rPr>
          <w:rFonts w:ascii="Arial" w:hAnsi="Arial" w:cs="Arial"/>
          <w:color w:val="000000" w:themeColor="text1"/>
          <w:sz w:val="18"/>
          <w:szCs w:val="20"/>
          <w:lang w:eastAsia="es-CO"/>
        </w:rPr>
      </w:pPr>
    </w:p>
    <w:p w14:paraId="7972C4B0" w14:textId="6F98FDFB" w:rsidR="00E850C7" w:rsidRDefault="00FD33C0" w:rsidP="00E850C7">
      <w:pPr>
        <w:jc w:val="center"/>
        <w:rPr>
          <w:rFonts w:ascii="Arial" w:hAnsi="Arial" w:cs="Arial"/>
          <w:color w:val="000000" w:themeColor="text1"/>
          <w:sz w:val="18"/>
          <w:szCs w:val="20"/>
          <w:lang w:eastAsia="es-CO"/>
        </w:rPr>
      </w:pPr>
      <w:r>
        <w:rPr>
          <w:noProof/>
        </w:rPr>
        <w:lastRenderedPageBreak/>
        <w:drawing>
          <wp:inline distT="0" distB="0" distL="0" distR="0" wp14:anchorId="345C4FBA" wp14:editId="546B6524">
            <wp:extent cx="2514600" cy="1114425"/>
            <wp:effectExtent l="0" t="0" r="0" b="9525"/>
            <wp:docPr id="1357320060" name="Imagen 135732006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20060" name="Imagen 1357320060" descr="Texto&#10;&#10;Descripción generada automáticament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B5474A0" w14:textId="77777777" w:rsidR="00FD33C0" w:rsidRPr="007A0123" w:rsidRDefault="00FD33C0" w:rsidP="00E850C7">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850C7" w:rsidRPr="007A0123" w14:paraId="3CC4C8FA" w14:textId="77777777" w:rsidTr="008254FC">
        <w:trPr>
          <w:trHeight w:val="315"/>
        </w:trPr>
        <w:tc>
          <w:tcPr>
            <w:tcW w:w="812" w:type="dxa"/>
            <w:vAlign w:val="center"/>
            <w:hideMark/>
          </w:tcPr>
          <w:p w14:paraId="42F093B1" w14:textId="77777777" w:rsidR="00E850C7" w:rsidRPr="007A0123" w:rsidRDefault="00E850C7" w:rsidP="008254F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25EBB9A" w14:textId="77777777" w:rsidR="00E850C7" w:rsidRPr="007A0123" w:rsidRDefault="00E850C7" w:rsidP="008254F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 xml:space="preserve">Camilo Perdomo Villamil </w:t>
            </w:r>
          </w:p>
          <w:p w14:paraId="274FD5AB" w14:textId="77777777" w:rsidR="00E850C7" w:rsidRPr="007A0123" w:rsidRDefault="00E850C7" w:rsidP="008254F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Contratista de la Subdirección de Gestión Contractual</w:t>
            </w:r>
          </w:p>
        </w:tc>
      </w:tr>
      <w:tr w:rsidR="00E850C7" w:rsidRPr="007A0123" w14:paraId="241A22FA" w14:textId="77777777" w:rsidTr="008254FC">
        <w:trPr>
          <w:trHeight w:val="330"/>
        </w:trPr>
        <w:tc>
          <w:tcPr>
            <w:tcW w:w="812" w:type="dxa"/>
            <w:vAlign w:val="center"/>
            <w:hideMark/>
          </w:tcPr>
          <w:p w14:paraId="645F0013" w14:textId="77777777" w:rsidR="00E850C7" w:rsidRPr="007A0123" w:rsidRDefault="00E850C7" w:rsidP="008254F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92D044" w14:textId="77777777" w:rsidR="00E850C7" w:rsidRPr="007A0123" w:rsidRDefault="00E850C7" w:rsidP="008254FC">
            <w:pPr>
              <w:rPr>
                <w:rFonts w:ascii="Arial" w:hAnsi="Arial" w:cs="Arial"/>
                <w:color w:val="000000" w:themeColor="text1"/>
                <w:sz w:val="16"/>
                <w:szCs w:val="16"/>
                <w:lang w:eastAsia="es-ES"/>
              </w:rPr>
            </w:pPr>
            <w:r>
              <w:rPr>
                <w:rFonts w:ascii="Arial" w:hAnsi="Arial" w:cs="Arial"/>
                <w:color w:val="000000" w:themeColor="text1"/>
                <w:sz w:val="16"/>
                <w:szCs w:val="16"/>
                <w:lang w:eastAsia="es-ES"/>
              </w:rPr>
              <w:t>Alejandro Sarmiento Cantillo</w:t>
            </w:r>
          </w:p>
          <w:p w14:paraId="3A4C81BE" w14:textId="77777777" w:rsidR="00E850C7" w:rsidRPr="007A0123" w:rsidRDefault="00E850C7" w:rsidP="008254F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Gestor T1-1</w:t>
            </w:r>
            <w:r>
              <w:rPr>
                <w:rFonts w:ascii="Arial" w:hAnsi="Arial" w:cs="Arial"/>
                <w:color w:val="000000" w:themeColor="text1"/>
                <w:sz w:val="16"/>
                <w:szCs w:val="16"/>
                <w:lang w:eastAsia="es-ES"/>
              </w:rPr>
              <w:t>1</w:t>
            </w:r>
            <w:r w:rsidRPr="007A0123">
              <w:rPr>
                <w:rFonts w:ascii="Arial" w:hAnsi="Arial" w:cs="Arial"/>
                <w:color w:val="000000" w:themeColor="text1"/>
                <w:sz w:val="16"/>
                <w:szCs w:val="16"/>
                <w:lang w:eastAsia="es-ES"/>
              </w:rPr>
              <w:t xml:space="preserve"> de la Subdirección de Gestión Contractual</w:t>
            </w:r>
          </w:p>
        </w:tc>
      </w:tr>
      <w:tr w:rsidR="00E850C7" w:rsidRPr="003F6D32" w14:paraId="510699A8" w14:textId="77777777" w:rsidTr="008254FC">
        <w:trPr>
          <w:trHeight w:val="300"/>
        </w:trPr>
        <w:tc>
          <w:tcPr>
            <w:tcW w:w="812" w:type="dxa"/>
            <w:vAlign w:val="center"/>
            <w:hideMark/>
          </w:tcPr>
          <w:p w14:paraId="19BC9934" w14:textId="77777777" w:rsidR="00E850C7" w:rsidRPr="007A0123" w:rsidRDefault="00E850C7" w:rsidP="008254F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34E2532" w14:textId="77777777" w:rsidR="00E850C7" w:rsidRPr="007A0123" w:rsidRDefault="00E850C7" w:rsidP="008254F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Jorge Augusto Tirado Navarro</w:t>
            </w:r>
          </w:p>
          <w:p w14:paraId="17F5F00B" w14:textId="77777777" w:rsidR="00E850C7" w:rsidRPr="006C15D5" w:rsidRDefault="00E850C7" w:rsidP="008254F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Subdirector de Gestión Contractual ANCP – CCE</w:t>
            </w:r>
          </w:p>
        </w:tc>
      </w:tr>
    </w:tbl>
    <w:p w14:paraId="05419CB3" w14:textId="77777777" w:rsidR="00E850C7" w:rsidRDefault="00E850C7" w:rsidP="00E850C7"/>
    <w:p w14:paraId="390CB374" w14:textId="77777777" w:rsidR="00E850C7" w:rsidRDefault="00E850C7"/>
    <w:sectPr w:rsidR="00E850C7" w:rsidSect="007F1895">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933B" w14:textId="77777777" w:rsidR="007D6D25" w:rsidRDefault="007D6D25" w:rsidP="00E850C7">
      <w:r>
        <w:separator/>
      </w:r>
    </w:p>
  </w:endnote>
  <w:endnote w:type="continuationSeparator" w:id="0">
    <w:p w14:paraId="63B3960C" w14:textId="77777777" w:rsidR="007D6D25" w:rsidRDefault="007D6D25" w:rsidP="00E8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90BC" w14:textId="77777777" w:rsidR="00387886" w:rsidRDefault="007D6D25" w:rsidP="007F1895">
    <w:pPr>
      <w:pStyle w:val="Sinespaciado"/>
      <w:jc w:val="right"/>
      <w:rPr>
        <w:rFonts w:ascii="Arial" w:hAnsi="Arial" w:cs="Arial"/>
        <w:sz w:val="18"/>
        <w:szCs w:val="18"/>
      </w:rPr>
    </w:pPr>
  </w:p>
  <w:p w14:paraId="07C378FC" w14:textId="77777777" w:rsidR="00387886" w:rsidRDefault="007D6D25" w:rsidP="007F1895">
    <w:pPr>
      <w:pStyle w:val="Sinespaciado"/>
      <w:jc w:val="right"/>
      <w:rPr>
        <w:rFonts w:ascii="Arial" w:hAnsi="Arial" w:cs="Arial"/>
        <w:sz w:val="18"/>
        <w:szCs w:val="18"/>
      </w:rPr>
    </w:pPr>
  </w:p>
  <w:p w14:paraId="71050953" w14:textId="77777777" w:rsidR="00387886" w:rsidRPr="008217B7" w:rsidRDefault="000D6FB0"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943B4AE" w14:textId="77777777" w:rsidR="00387886" w:rsidRDefault="000D6FB0" w:rsidP="007F1895">
    <w:pPr>
      <w:pStyle w:val="Piedepgina"/>
      <w:jc w:val="center"/>
      <w:rPr>
        <w:lang w:val="es-ES"/>
      </w:rPr>
    </w:pPr>
    <w:r>
      <w:rPr>
        <w:noProof/>
      </w:rPr>
      <w:drawing>
        <wp:inline distT="0" distB="0" distL="0" distR="0" wp14:anchorId="702272A1" wp14:editId="74946EBD">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577570B" w14:textId="77777777" w:rsidR="00387886" w:rsidRPr="00E756AC" w:rsidRDefault="007D6D25" w:rsidP="007F1895">
    <w:pPr>
      <w:pStyle w:val="Piedepgina"/>
      <w:jc w:val="center"/>
      <w:rPr>
        <w:sz w:val="18"/>
        <w:szCs w:val="18"/>
        <w:lang w:val="es-ES"/>
      </w:rPr>
    </w:pPr>
  </w:p>
  <w:p w14:paraId="2E53270D" w14:textId="77777777" w:rsidR="00387886" w:rsidRPr="00E756AC" w:rsidRDefault="007D6D25"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0DDE" w14:textId="77777777" w:rsidR="007D6D25" w:rsidRDefault="007D6D25" w:rsidP="00E850C7">
      <w:r>
        <w:separator/>
      </w:r>
    </w:p>
  </w:footnote>
  <w:footnote w:type="continuationSeparator" w:id="0">
    <w:p w14:paraId="5233F4F1" w14:textId="77777777" w:rsidR="007D6D25" w:rsidRDefault="007D6D25" w:rsidP="00E850C7">
      <w:r>
        <w:continuationSeparator/>
      </w:r>
    </w:p>
  </w:footnote>
  <w:footnote w:id="1">
    <w:p w14:paraId="434FF130" w14:textId="77777777" w:rsidR="00E850C7" w:rsidRDefault="00E850C7" w:rsidP="00E850C7">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CE489D0" w14:textId="77777777" w:rsidR="00E850C7" w:rsidRPr="007C72F3" w:rsidRDefault="00E850C7" w:rsidP="00E850C7">
      <w:pPr>
        <w:pStyle w:val="Textonotapie"/>
        <w:ind w:firstLine="708"/>
        <w:jc w:val="both"/>
        <w:rPr>
          <w:rFonts w:ascii="Arial" w:hAnsi="Arial" w:cs="Arial"/>
          <w:sz w:val="19"/>
          <w:szCs w:val="19"/>
        </w:rPr>
      </w:pPr>
      <w:r w:rsidRPr="007C72F3">
        <w:rPr>
          <w:rStyle w:val="Refdenotaalpie"/>
          <w:rFonts w:ascii="Arial" w:hAnsi="Arial" w:cs="Arial"/>
          <w:sz w:val="19"/>
          <w:szCs w:val="19"/>
        </w:rPr>
        <w:footnoteRef/>
      </w:r>
      <w:r w:rsidRPr="007C72F3">
        <w:rPr>
          <w:rFonts w:ascii="Arial" w:hAnsi="Arial" w:cs="Arial"/>
          <w:sz w:val="19"/>
          <w:szCs w:val="19"/>
        </w:rPr>
        <w:t xml:space="preserve"> Ley 1480 de 2011: «Artículo 13. Garantías suplementarias. 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1687E66D" w14:textId="77777777" w:rsidR="00E850C7" w:rsidRPr="007C72F3" w:rsidRDefault="00E850C7" w:rsidP="00E850C7">
      <w:pPr>
        <w:pStyle w:val="Textonotapie"/>
        <w:ind w:firstLine="708"/>
        <w:jc w:val="both"/>
        <w:rPr>
          <w:rFonts w:ascii="Arial" w:hAnsi="Arial" w:cs="Arial"/>
          <w:sz w:val="19"/>
          <w:szCs w:val="19"/>
          <w:lang w:val="es-CO"/>
        </w:rPr>
      </w:pPr>
    </w:p>
  </w:footnote>
  <w:footnote w:id="3">
    <w:p w14:paraId="769FB2CB" w14:textId="77777777" w:rsidR="00E850C7" w:rsidRDefault="00E850C7" w:rsidP="00E850C7">
      <w:pPr>
        <w:pStyle w:val="Textonotapie"/>
        <w:ind w:firstLine="708"/>
        <w:jc w:val="both"/>
        <w:rPr>
          <w:rFonts w:ascii="Arial" w:hAnsi="Arial" w:cs="Arial"/>
          <w:sz w:val="19"/>
          <w:szCs w:val="19"/>
        </w:rPr>
      </w:pPr>
      <w:r w:rsidRPr="000E6890">
        <w:rPr>
          <w:rStyle w:val="Refdenotaalpie"/>
          <w:rFonts w:ascii="Arial" w:hAnsi="Arial" w:cs="Arial"/>
          <w:sz w:val="19"/>
          <w:szCs w:val="19"/>
        </w:rPr>
        <w:footnoteRef/>
      </w:r>
      <w:r w:rsidRPr="000E6890">
        <w:rPr>
          <w:rFonts w:ascii="Arial" w:hAnsi="Arial" w:cs="Arial"/>
          <w:sz w:val="19"/>
          <w:szCs w:val="19"/>
        </w:rPr>
        <w:t xml:space="preserve"> </w:t>
      </w:r>
      <w:r>
        <w:rPr>
          <w:rFonts w:ascii="Arial" w:hAnsi="Arial" w:cs="Arial"/>
          <w:sz w:val="19"/>
          <w:szCs w:val="19"/>
        </w:rPr>
        <w:t xml:space="preserve">Al respecto, la doctrina considera que «[…] salvo excepciones legales, [los actos jurídicos] no producen derechos y obligaciones para las personas enteramente ajenas a su celebración y que, además, no tienen vinculación alguna con las partes, o sea los terceros, en sentido estricto, </w:t>
      </w:r>
      <w:r w:rsidRPr="007750B4">
        <w:rPr>
          <w:rFonts w:ascii="Arial" w:hAnsi="Arial" w:cs="Arial"/>
          <w:i/>
          <w:iCs/>
          <w:sz w:val="19"/>
          <w:szCs w:val="19"/>
        </w:rPr>
        <w:t>a penitus extranei</w:t>
      </w:r>
      <w:r>
        <w:rPr>
          <w:rFonts w:ascii="Arial" w:hAnsi="Arial" w:cs="Arial"/>
          <w:sz w:val="19"/>
          <w:szCs w:val="19"/>
        </w:rPr>
        <w:t xml:space="preserve">, lo cual se justifica, ya que la participación voluntaria o consentimiento es un requisito esencial para la radicación subjetiva de los mencionados efectos de los actos jurídicos» (Cfr. </w:t>
      </w:r>
      <w:r w:rsidRPr="00D67E33">
        <w:rPr>
          <w:rFonts w:ascii="Arial" w:hAnsi="Arial" w:cs="Arial"/>
          <w:sz w:val="19"/>
          <w:szCs w:val="19"/>
        </w:rPr>
        <w:t>OSPINA FERNÁNDEZ, Guillermo</w:t>
      </w:r>
      <w:r>
        <w:rPr>
          <w:rFonts w:ascii="Arial" w:hAnsi="Arial" w:cs="Arial"/>
          <w:sz w:val="19"/>
          <w:szCs w:val="19"/>
        </w:rPr>
        <w:t xml:space="preserve"> y </w:t>
      </w:r>
      <w:r w:rsidRPr="00D67E33">
        <w:rPr>
          <w:rFonts w:ascii="Arial" w:hAnsi="Arial" w:cs="Arial"/>
          <w:sz w:val="19"/>
          <w:szCs w:val="19"/>
        </w:rPr>
        <w:t>OSPINA ACOSTA, Eduardo</w:t>
      </w:r>
      <w:r>
        <w:rPr>
          <w:rFonts w:ascii="Arial" w:hAnsi="Arial" w:cs="Arial"/>
          <w:sz w:val="19"/>
          <w:szCs w:val="19"/>
        </w:rPr>
        <w:t xml:space="preserve">. </w:t>
      </w:r>
      <w:r w:rsidRPr="00D67E33">
        <w:rPr>
          <w:rFonts w:ascii="Arial" w:hAnsi="Arial" w:cs="Arial"/>
          <w:sz w:val="19"/>
          <w:szCs w:val="19"/>
        </w:rPr>
        <w:t>Teoría general del contrato y del negocio jurídico</w:t>
      </w:r>
      <w:r>
        <w:rPr>
          <w:rFonts w:ascii="Arial" w:hAnsi="Arial" w:cs="Arial"/>
          <w:sz w:val="19"/>
          <w:szCs w:val="19"/>
        </w:rPr>
        <w:t xml:space="preserve">. Quinta edición. Bogotá: Temis, 1998. pp. 358-359. Corchetes fuera de texto).   </w:t>
      </w:r>
    </w:p>
    <w:p w14:paraId="679B15B9" w14:textId="77777777" w:rsidR="00E850C7" w:rsidRPr="000E6890" w:rsidRDefault="00E850C7" w:rsidP="00E850C7">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3D56" w14:textId="77777777" w:rsidR="00387886" w:rsidRDefault="000D6FB0">
    <w:pPr>
      <w:pStyle w:val="Encabezado"/>
    </w:pPr>
    <w:r>
      <w:rPr>
        <w:noProof/>
        <w:lang w:val="es-CO" w:eastAsia="es-CO"/>
      </w:rPr>
      <w:drawing>
        <wp:anchor distT="0" distB="0" distL="114300" distR="114300" simplePos="0" relativeHeight="251659264" behindDoc="1" locked="0" layoutInCell="1" allowOverlap="1" wp14:anchorId="7A640912" wp14:editId="6ABD02D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C7"/>
    <w:rsid w:val="000D6FB0"/>
    <w:rsid w:val="007D6D25"/>
    <w:rsid w:val="00C64B1C"/>
    <w:rsid w:val="00D87687"/>
    <w:rsid w:val="00E850C7"/>
    <w:rsid w:val="00FD33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FC0E"/>
  <w15:chartTrackingRefBased/>
  <w15:docId w15:val="{45C332F4-4C68-0141-8183-B35E218C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C7"/>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850C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E850C7"/>
    <w:rPr>
      <w:szCs w:val="22"/>
      <w:lang w:val="es-MX"/>
    </w:rPr>
  </w:style>
  <w:style w:type="paragraph" w:styleId="Encabezado">
    <w:name w:val="header"/>
    <w:basedOn w:val="Normal"/>
    <w:link w:val="EncabezadoCar"/>
    <w:uiPriority w:val="99"/>
    <w:unhideWhenUsed/>
    <w:rsid w:val="00E850C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E850C7"/>
    <w:rPr>
      <w:szCs w:val="22"/>
      <w:lang w:val="es-MX"/>
    </w:rPr>
  </w:style>
  <w:style w:type="table" w:styleId="Tablaconcuadrcula">
    <w:name w:val="Table Grid"/>
    <w:basedOn w:val="Tablanormal"/>
    <w:uiPriority w:val="59"/>
    <w:rsid w:val="00E850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E850C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E850C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850C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E850C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E850C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50C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E850C7"/>
    <w:rPr>
      <w:vertAlign w:val="superscript"/>
    </w:rPr>
  </w:style>
  <w:style w:type="paragraph" w:customStyle="1" w:styleId="Appelnotedebasde">
    <w:name w:val="Appel note de bas de..."/>
    <w:basedOn w:val="Normal"/>
    <w:link w:val="Refdenotaalpie"/>
    <w:uiPriority w:val="99"/>
    <w:rsid w:val="00E850C7"/>
    <w:pPr>
      <w:spacing w:after="160" w:line="240" w:lineRule="exact"/>
    </w:pPr>
    <w:rPr>
      <w:rFonts w:asciiTheme="minorHAnsi" w:eastAsiaTheme="minorHAnsi" w:hAnsiTheme="minorHAnsi" w:cstheme="minorBidi"/>
      <w:vertAlign w:val="superscript"/>
      <w:lang w:eastAsia="en-US"/>
    </w:rPr>
  </w:style>
  <w:style w:type="paragraph" w:customStyle="1" w:styleId="xxmsonormal">
    <w:name w:val="x_x_msonormal"/>
    <w:basedOn w:val="Normal"/>
    <w:rsid w:val="00E850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15530-00F1-42AF-89CC-7091FFEEC432}">
  <ds:schemaRefs>
    <ds:schemaRef ds:uri="http://schemas.microsoft.com/sharepoint/v3/contenttype/forms"/>
  </ds:schemaRefs>
</ds:datastoreItem>
</file>

<file path=customXml/itemProps2.xml><?xml version="1.0" encoding="utf-8"?>
<ds:datastoreItem xmlns:ds="http://schemas.openxmlformats.org/officeDocument/2006/customXml" ds:itemID="{8F0A0151-5E6D-498E-B5FE-C7BD23A0C32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9FD0A25-20E8-403D-9A21-BD4FE4A1E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11204</Characters>
  <Application>Microsoft Office Word</Application>
  <DocSecurity>0</DocSecurity>
  <Lines>93</Lines>
  <Paragraphs>26</Paragraphs>
  <ScaleCrop>false</ScaleCrop>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2022-04-21T17:30:00Z</dcterms:created>
  <dcterms:modified xsi:type="dcterms:W3CDTF">2022-04-21T17:30:00Z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