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71BA" w14:textId="77777777" w:rsidR="003C7067" w:rsidRPr="0008465D" w:rsidRDefault="003C7067" w:rsidP="003C7067">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4ADEC86F" w14:textId="77777777" w:rsidR="003C7067" w:rsidRDefault="003C7067" w:rsidP="003C7067">
      <w:pPr>
        <w:tabs>
          <w:tab w:val="left" w:pos="0"/>
        </w:tabs>
        <w:spacing w:line="276" w:lineRule="auto"/>
        <w:jc w:val="both"/>
        <w:rPr>
          <w:rFonts w:ascii="Arial" w:eastAsia="Calibri" w:hAnsi="Arial" w:cs="Arial"/>
          <w:b/>
          <w:sz w:val="22"/>
          <w:lang w:val="es-ES"/>
        </w:rPr>
      </w:pPr>
    </w:p>
    <w:p w14:paraId="5FBC1853" w14:textId="77777777" w:rsidR="003C7067" w:rsidRPr="00D83CE1" w:rsidRDefault="003C7067" w:rsidP="003C7067">
      <w:pPr>
        <w:jc w:val="both"/>
        <w:rPr>
          <w:rFonts w:ascii="Arial" w:hAnsi="Arial" w:cs="Arial"/>
          <w:lang w:val="es-MX"/>
        </w:rPr>
      </w:pPr>
      <w:r w:rsidRPr="00D83CE1">
        <w:rPr>
          <w:rFonts w:ascii="Arial" w:hAnsi="Arial" w:cs="Arial"/>
          <w:b/>
          <w:lang w:val="es-MX"/>
        </w:rPr>
        <w:t xml:space="preserve">EXPERIENCIA </w:t>
      </w:r>
      <w:r w:rsidRPr="00D83CE1">
        <w:rPr>
          <w:rFonts w:ascii="Arial" w:eastAsia="Calibri" w:hAnsi="Arial" w:cs="Arial"/>
          <w:b/>
          <w:lang w:val="es-MX"/>
        </w:rPr>
        <w:t xml:space="preserve">– </w:t>
      </w:r>
      <w:r w:rsidRPr="00D83CE1">
        <w:rPr>
          <w:rFonts w:ascii="Arial" w:hAnsi="Arial" w:cs="Arial"/>
          <w:b/>
          <w:lang w:val="es-MX"/>
        </w:rPr>
        <w:t xml:space="preserve">Noción ‒ </w:t>
      </w:r>
      <w:r w:rsidRPr="00D83CE1">
        <w:rPr>
          <w:rFonts w:ascii="Arial" w:hAnsi="Arial" w:cs="Arial"/>
          <w:b/>
          <w:bCs/>
          <w:lang w:val="es-MX"/>
        </w:rPr>
        <w:t>Colombia Compra Eficiente</w:t>
      </w:r>
    </w:p>
    <w:p w14:paraId="4DFE055D" w14:textId="77777777" w:rsidR="003C7067" w:rsidRPr="00D83CE1" w:rsidRDefault="003C7067" w:rsidP="003C7067">
      <w:pPr>
        <w:jc w:val="both"/>
        <w:rPr>
          <w:rFonts w:ascii="Arial" w:hAnsi="Arial" w:cs="Arial"/>
          <w:sz w:val="20"/>
          <w:szCs w:val="20"/>
          <w:lang w:val="es-MX"/>
        </w:rPr>
      </w:pPr>
    </w:p>
    <w:p w14:paraId="25209921" w14:textId="77777777" w:rsidR="003C7067" w:rsidRPr="00CA200B" w:rsidRDefault="003C7067" w:rsidP="003C7067">
      <w:pPr>
        <w:jc w:val="both"/>
        <w:rPr>
          <w:rFonts w:ascii="Arial" w:eastAsia="Calibri" w:hAnsi="Arial" w:cs="Arial"/>
          <w:sz w:val="20"/>
          <w:szCs w:val="20"/>
          <w:lang w:val="es-MX"/>
        </w:rPr>
      </w:pPr>
      <w:r w:rsidRPr="00CA200B">
        <w:rPr>
          <w:rFonts w:ascii="Arial" w:eastAsia="Calibri" w:hAnsi="Arial" w:cs="Arial"/>
          <w:sz w:val="20"/>
          <w:szCs w:val="20"/>
          <w:lang w:val="es-MX"/>
        </w:rPr>
        <w:t xml:space="preserve">i) La experiencia es </w:t>
      </w:r>
      <w:r w:rsidRPr="00CA200B">
        <w:rPr>
          <w:rFonts w:ascii="Arial" w:eastAsia="Calibri" w:hAnsi="Arial" w:cs="Arial"/>
          <w:i/>
          <w:iCs/>
          <w:sz w:val="20"/>
          <w:szCs w:val="20"/>
          <w:lang w:val="es-MX"/>
        </w:rPr>
        <w:t>personal</w:t>
      </w:r>
      <w:r w:rsidRPr="00CA200B">
        <w:rPr>
          <w:rFonts w:ascii="Arial" w:eastAsia="Calibri" w:hAnsi="Arial" w:cs="Arial"/>
          <w:sz w:val="20"/>
          <w:szCs w:val="20"/>
          <w:lang w:val="es-MX"/>
        </w:rPr>
        <w:t>, esto es, se adquiere participando, directa o indirectamente, sin que sea posible no hacerlo y tener experiencia.</w:t>
      </w:r>
    </w:p>
    <w:p w14:paraId="6E9F4061" w14:textId="77777777" w:rsidR="003C7067" w:rsidRPr="00CA200B" w:rsidRDefault="003C7067" w:rsidP="003C7067">
      <w:pPr>
        <w:spacing w:before="120" w:after="120"/>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ii</w:t>
      </w:r>
      <w:proofErr w:type="spellEnd"/>
      <w:r w:rsidRPr="00CA200B">
        <w:rPr>
          <w:rFonts w:ascii="Arial" w:eastAsia="Calibri" w:hAnsi="Arial" w:cs="Arial"/>
          <w:sz w:val="20"/>
          <w:szCs w:val="20"/>
          <w:lang w:val="es-MX"/>
        </w:rPr>
        <w:t xml:space="preserve">) La experiencia se puede </w:t>
      </w:r>
      <w:r w:rsidRPr="00CA200B">
        <w:rPr>
          <w:rFonts w:ascii="Arial" w:eastAsia="Calibri" w:hAnsi="Arial" w:cs="Arial"/>
          <w:i/>
          <w:iCs/>
          <w:sz w:val="20"/>
          <w:szCs w:val="20"/>
          <w:lang w:val="es-MX"/>
        </w:rPr>
        <w:t>compartir</w:t>
      </w:r>
      <w:r w:rsidRPr="00CA200B">
        <w:rPr>
          <w:rFonts w:ascii="Arial" w:eastAsia="Calibri" w:hAnsi="Arial" w:cs="Arial"/>
          <w:sz w:val="20"/>
          <w:szCs w:val="20"/>
          <w:lang w:val="es-MX"/>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6E75CEAF" w14:textId="77777777" w:rsidR="003C7067" w:rsidRPr="00CA200B" w:rsidRDefault="003C7067" w:rsidP="003C7067">
      <w:pPr>
        <w:spacing w:before="120" w:after="120"/>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iii</w:t>
      </w:r>
      <w:proofErr w:type="spellEnd"/>
      <w:r w:rsidRPr="00CA200B">
        <w:rPr>
          <w:rFonts w:ascii="Arial" w:eastAsia="Calibri" w:hAnsi="Arial" w:cs="Arial"/>
          <w:sz w:val="20"/>
          <w:szCs w:val="20"/>
          <w:lang w:val="es-MX"/>
        </w:rPr>
        <w:t xml:space="preserve">) La experiencia se puede </w:t>
      </w:r>
      <w:r w:rsidRPr="00CA200B">
        <w:rPr>
          <w:rFonts w:ascii="Arial" w:eastAsia="Calibri" w:hAnsi="Arial" w:cs="Arial"/>
          <w:i/>
          <w:iCs/>
          <w:sz w:val="20"/>
          <w:szCs w:val="20"/>
          <w:lang w:val="es-MX"/>
        </w:rPr>
        <w:t>transferir</w:t>
      </w:r>
      <w:r w:rsidRPr="00CA200B">
        <w:rPr>
          <w:rFonts w:ascii="Arial" w:eastAsia="Calibri" w:hAnsi="Arial" w:cs="Arial"/>
          <w:sz w:val="20"/>
          <w:szCs w:val="20"/>
          <w:lang w:val="es-MX"/>
        </w:rPr>
        <w:t>, y esto es diferente a compartir, lo que implica que la experiencia de una persona se traslada a otra, y esta última acredita la experiencia como propia, como sucede con la figura que se explicará con más detalle en el numeral 2.3 de este concepto.</w:t>
      </w:r>
    </w:p>
    <w:p w14:paraId="3886FCBF" w14:textId="77777777" w:rsidR="003C7067" w:rsidRPr="00CA200B" w:rsidRDefault="003C7067" w:rsidP="003C7067">
      <w:pPr>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iv</w:t>
      </w:r>
      <w:proofErr w:type="spellEnd"/>
      <w:r w:rsidRPr="00CA200B">
        <w:rPr>
          <w:rFonts w:ascii="Arial" w:eastAsia="Calibri" w:hAnsi="Arial" w:cs="Arial"/>
          <w:sz w:val="20"/>
          <w:szCs w:val="20"/>
          <w:lang w:val="es-MX"/>
        </w:rPr>
        <w:t xml:space="preserve">) Cuando la persona que adquirió la experiencia </w:t>
      </w:r>
      <w:r w:rsidRPr="00CA200B">
        <w:rPr>
          <w:rFonts w:ascii="Arial" w:eastAsia="Calibri" w:hAnsi="Arial" w:cs="Arial"/>
          <w:i/>
          <w:iCs/>
          <w:sz w:val="20"/>
          <w:szCs w:val="20"/>
          <w:lang w:val="es-MX"/>
        </w:rPr>
        <w:t>desaparece</w:t>
      </w:r>
      <w:r w:rsidRPr="00CA200B">
        <w:rPr>
          <w:rFonts w:ascii="Arial" w:eastAsia="Calibri" w:hAnsi="Arial" w:cs="Arial"/>
          <w:sz w:val="20"/>
          <w:szCs w:val="20"/>
          <w:lang w:val="es-MX"/>
        </w:rPr>
        <w:t xml:space="preserve"> o se liquida no es posible que comparta o transfiera su experiencia, porque al ser personal sigue la suerte de quien la adquirió.</w:t>
      </w:r>
    </w:p>
    <w:p w14:paraId="2D9AF7E4" w14:textId="77777777" w:rsidR="003C7067" w:rsidRPr="00D83CE1" w:rsidRDefault="003C7067" w:rsidP="003C7067">
      <w:pPr>
        <w:jc w:val="both"/>
        <w:rPr>
          <w:rFonts w:ascii="Arial" w:eastAsia="Calibri" w:hAnsi="Arial" w:cs="Arial"/>
          <w:b/>
          <w:lang w:val="es-MX"/>
        </w:rPr>
      </w:pPr>
    </w:p>
    <w:p w14:paraId="2D24AAC3" w14:textId="77777777" w:rsidR="003C7067" w:rsidRPr="00D83CE1" w:rsidRDefault="003C7067" w:rsidP="003C7067">
      <w:pPr>
        <w:jc w:val="both"/>
        <w:rPr>
          <w:rFonts w:ascii="Arial" w:eastAsia="Calibri" w:hAnsi="Arial" w:cs="Arial"/>
          <w:b/>
          <w:lang w:val="es-MX"/>
        </w:rPr>
      </w:pPr>
      <w:r w:rsidRPr="00D83CE1">
        <w:rPr>
          <w:rFonts w:ascii="Arial" w:eastAsia="Calibri" w:hAnsi="Arial" w:cs="Arial"/>
          <w:b/>
          <w:lang w:val="es-MX"/>
        </w:rPr>
        <w:t>SOCIEDADES NUEVAS ‒ Experiencia ‒ Inferior a tres años ‒ Requisitos habilitantes ‒ Desarrollo de la empresa</w:t>
      </w:r>
    </w:p>
    <w:p w14:paraId="72B7D8DF" w14:textId="77777777" w:rsidR="003C7067" w:rsidRPr="00D83CE1" w:rsidRDefault="003C7067" w:rsidP="003C7067">
      <w:pPr>
        <w:jc w:val="both"/>
        <w:rPr>
          <w:rFonts w:ascii="Arial" w:eastAsia="Calibri" w:hAnsi="Arial" w:cs="Arial"/>
          <w:sz w:val="20"/>
          <w:szCs w:val="20"/>
          <w:lang w:val="es-MX"/>
        </w:rPr>
      </w:pPr>
    </w:p>
    <w:p w14:paraId="1207E1A5" w14:textId="77777777" w:rsidR="003C7067" w:rsidRPr="00CA200B" w:rsidRDefault="003C7067" w:rsidP="003C7067">
      <w:pPr>
        <w:spacing w:after="120"/>
        <w:jc w:val="both"/>
        <w:rPr>
          <w:rFonts w:ascii="Arial" w:hAnsi="Arial" w:cs="Arial"/>
          <w:sz w:val="20"/>
          <w:szCs w:val="20"/>
          <w:lang w:val="es-MX"/>
        </w:rPr>
      </w:pPr>
      <w:r w:rsidRPr="00CA200B">
        <w:rPr>
          <w:rFonts w:ascii="Arial" w:hAnsi="Arial" w:cs="Arial"/>
          <w:sz w:val="20"/>
          <w:szCs w:val="20"/>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CA200B">
        <w:rPr>
          <w:rFonts w:ascii="Arial" w:eastAsia="Calibri" w:hAnsi="Arial" w:cs="Arial"/>
          <w:sz w:val="20"/>
          <w:szCs w:val="20"/>
          <w:lang w:val="es-MX"/>
        </w:rPr>
        <w:t>─</w:t>
      </w:r>
      <w:r w:rsidRPr="00CA200B">
        <w:rPr>
          <w:rFonts w:ascii="Arial" w:hAnsi="Arial" w:cs="Arial"/>
          <w:sz w:val="20"/>
          <w:szCs w:val="20"/>
          <w:lang w:val="es-MX"/>
        </w:rPr>
        <w:t>con menos de 3 años de constitución</w:t>
      </w:r>
      <w:r w:rsidRPr="00CA200B">
        <w:rPr>
          <w:rFonts w:ascii="Arial" w:eastAsia="Calibri" w:hAnsi="Arial" w:cs="Arial"/>
          <w:sz w:val="20"/>
          <w:szCs w:val="20"/>
          <w:lang w:val="es-MX"/>
        </w:rPr>
        <w:t>─</w:t>
      </w:r>
      <w:r w:rsidRPr="00CA200B">
        <w:rPr>
          <w:rFonts w:ascii="Arial" w:hAnsi="Arial" w:cs="Arial"/>
          <w:sz w:val="20"/>
          <w:szCs w:val="20"/>
          <w:lang w:val="es-MX"/>
        </w:rPr>
        <w:t xml:space="preserve"> puedan acreditar como experiencia en el RUP la de sus accionistas, socios o constituyentes. […]</w:t>
      </w:r>
    </w:p>
    <w:p w14:paraId="53682984" w14:textId="77777777" w:rsidR="003C7067" w:rsidRPr="00CA200B" w:rsidRDefault="003C7067" w:rsidP="003C7067">
      <w:pPr>
        <w:jc w:val="both"/>
        <w:rPr>
          <w:rFonts w:ascii="Arial" w:hAnsi="Arial" w:cs="Arial"/>
          <w:sz w:val="20"/>
          <w:szCs w:val="20"/>
          <w:lang w:val="es-MX"/>
        </w:rPr>
      </w:pPr>
      <w:r w:rsidRPr="00CA200B">
        <w:rPr>
          <w:rFonts w:ascii="Arial" w:hAnsi="Arial" w:cs="Arial"/>
          <w:sz w:val="20"/>
          <w:szCs w:val="20"/>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E0D9E18" w14:textId="77777777" w:rsidR="003C7067" w:rsidRPr="00D83CE1" w:rsidRDefault="003C7067" w:rsidP="003C7067">
      <w:pPr>
        <w:jc w:val="both"/>
        <w:rPr>
          <w:rFonts w:ascii="Arial" w:hAnsi="Arial" w:cs="Arial"/>
          <w:b/>
          <w:lang w:val="es-MX"/>
        </w:rPr>
      </w:pPr>
    </w:p>
    <w:p w14:paraId="4B76E332" w14:textId="77777777" w:rsidR="003C7067" w:rsidRPr="00D83CE1" w:rsidRDefault="003C7067" w:rsidP="003C7067">
      <w:pPr>
        <w:jc w:val="both"/>
        <w:rPr>
          <w:rFonts w:ascii="Arial" w:hAnsi="Arial" w:cs="Arial"/>
          <w:b/>
          <w:bCs/>
          <w:lang w:val="es-MX"/>
        </w:rPr>
      </w:pPr>
      <w:r w:rsidRPr="00D83CE1">
        <w:rPr>
          <w:rFonts w:ascii="Arial" w:hAnsi="Arial" w:cs="Arial"/>
          <w:b/>
          <w:bCs/>
          <w:lang w:val="es-MX"/>
        </w:rPr>
        <w:t>EXPERIENCIA ‒ Conservación ‒ Renovación RUP ‒ Cesación efectos RUP</w:t>
      </w:r>
    </w:p>
    <w:p w14:paraId="2AF6E542" w14:textId="77777777" w:rsidR="003C7067" w:rsidRPr="00D83CE1" w:rsidRDefault="003C7067" w:rsidP="003C7067">
      <w:pPr>
        <w:jc w:val="both"/>
        <w:rPr>
          <w:rFonts w:ascii="Arial" w:hAnsi="Arial" w:cs="Arial"/>
          <w:sz w:val="20"/>
          <w:szCs w:val="20"/>
          <w:lang w:val="es-MX"/>
        </w:rPr>
      </w:pPr>
    </w:p>
    <w:p w14:paraId="5CC5E4A0" w14:textId="77777777" w:rsidR="003C7067" w:rsidRPr="00DD4729" w:rsidRDefault="003C7067" w:rsidP="003C7067">
      <w:pPr>
        <w:jc w:val="both"/>
        <w:rPr>
          <w:rFonts w:ascii="Arial" w:hAnsi="Arial" w:cs="Arial"/>
          <w:sz w:val="20"/>
          <w:szCs w:val="20"/>
          <w:lang w:val="es-MX"/>
        </w:rPr>
      </w:pPr>
      <w:r w:rsidRPr="00DD4729">
        <w:rPr>
          <w:rFonts w:ascii="Arial" w:hAnsi="Arial" w:cs="Arial"/>
          <w:sz w:val="20"/>
          <w:szCs w:val="20"/>
          <w:lang w:val="es-MX"/>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EE0AB30" w14:textId="77777777" w:rsidR="003C7067" w:rsidRPr="00D83CE1" w:rsidRDefault="003C7067" w:rsidP="003C7067">
      <w:pPr>
        <w:jc w:val="both"/>
        <w:rPr>
          <w:rFonts w:ascii="Arial" w:hAnsi="Arial" w:cs="Arial"/>
          <w:b/>
          <w:lang w:val="es-MX"/>
        </w:rPr>
      </w:pPr>
    </w:p>
    <w:p w14:paraId="7C141AD7" w14:textId="77777777" w:rsidR="003C7067" w:rsidRPr="00D83CE1" w:rsidRDefault="003C7067" w:rsidP="003C7067">
      <w:pPr>
        <w:jc w:val="both"/>
        <w:rPr>
          <w:rFonts w:ascii="Arial" w:hAnsi="Arial" w:cs="Arial"/>
          <w:lang w:val="es-MX"/>
        </w:rPr>
      </w:pPr>
      <w:r w:rsidRPr="00D83CE1">
        <w:rPr>
          <w:rFonts w:ascii="Arial" w:hAnsi="Arial" w:cs="Arial"/>
          <w:b/>
          <w:lang w:val="es-MX"/>
        </w:rPr>
        <w:t xml:space="preserve">EXPERIENCIA </w:t>
      </w:r>
      <w:r w:rsidRPr="00D83CE1">
        <w:rPr>
          <w:rFonts w:ascii="Arial" w:eastAsia="Calibri" w:hAnsi="Arial" w:cs="Arial"/>
          <w:b/>
          <w:lang w:val="es-MX"/>
        </w:rPr>
        <w:t>–</w:t>
      </w:r>
      <w:r w:rsidRPr="00D83CE1">
        <w:rPr>
          <w:rFonts w:ascii="Arial" w:hAnsi="Arial" w:cs="Arial"/>
          <w:b/>
          <w:lang w:val="es-MX"/>
        </w:rPr>
        <w:t xml:space="preserve"> Conservación </w:t>
      </w:r>
      <w:r w:rsidRPr="00D83CE1">
        <w:rPr>
          <w:rFonts w:ascii="Arial" w:eastAsia="Calibri" w:hAnsi="Arial" w:cs="Arial"/>
          <w:b/>
          <w:lang w:val="es-MX"/>
        </w:rPr>
        <w:t xml:space="preserve">– </w:t>
      </w:r>
      <w:r w:rsidRPr="00D83CE1">
        <w:rPr>
          <w:rFonts w:ascii="Arial" w:hAnsi="Arial" w:cs="Arial"/>
          <w:b/>
          <w:lang w:val="es-MX"/>
        </w:rPr>
        <w:t xml:space="preserve">Sociedades </w:t>
      </w:r>
      <w:r w:rsidRPr="00D83CE1">
        <w:rPr>
          <w:rFonts w:ascii="Arial" w:eastAsia="Calibri" w:hAnsi="Arial" w:cs="Arial"/>
          <w:b/>
          <w:lang w:val="es-MX"/>
        </w:rPr>
        <w:t>– M</w:t>
      </w:r>
      <w:r w:rsidRPr="00D83CE1">
        <w:rPr>
          <w:rFonts w:ascii="Arial" w:hAnsi="Arial" w:cs="Arial"/>
          <w:b/>
          <w:lang w:val="es-MX"/>
        </w:rPr>
        <w:t>enor a 3 años de constitución</w:t>
      </w:r>
      <w:r w:rsidRPr="00D83CE1">
        <w:rPr>
          <w:rFonts w:ascii="Arial" w:hAnsi="Arial" w:cs="Arial"/>
          <w:sz w:val="21"/>
          <w:szCs w:val="21"/>
          <w:lang w:val="es-MX"/>
        </w:rPr>
        <w:t xml:space="preserve"> </w:t>
      </w:r>
    </w:p>
    <w:p w14:paraId="2A56921C" w14:textId="77777777" w:rsidR="003C7067" w:rsidRPr="00D83CE1" w:rsidRDefault="003C7067" w:rsidP="003C7067">
      <w:pPr>
        <w:jc w:val="both"/>
        <w:rPr>
          <w:rFonts w:ascii="Arial" w:hAnsi="Arial" w:cs="Arial"/>
          <w:sz w:val="20"/>
          <w:szCs w:val="20"/>
          <w:lang w:val="es-MX"/>
        </w:rPr>
      </w:pPr>
    </w:p>
    <w:p w14:paraId="562FF424" w14:textId="77777777" w:rsidR="003C7067" w:rsidRPr="00DD4729" w:rsidRDefault="003C7067" w:rsidP="003C7067">
      <w:pPr>
        <w:jc w:val="both"/>
        <w:rPr>
          <w:rFonts w:ascii="Arial" w:hAnsi="Arial" w:cs="Arial"/>
          <w:sz w:val="20"/>
          <w:szCs w:val="20"/>
          <w:lang w:val="es-MX"/>
        </w:rPr>
      </w:pPr>
      <w:r w:rsidRPr="00DD4729">
        <w:rPr>
          <w:rFonts w:ascii="Arial" w:hAnsi="Arial" w:cs="Arial"/>
          <w:sz w:val="20"/>
          <w:szCs w:val="20"/>
          <w:lang w:val="es-MX"/>
        </w:rPr>
        <w:t xml:space="preserve">[…]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w:t>
      </w:r>
      <w:r w:rsidRPr="00DD4729">
        <w:rPr>
          <w:rFonts w:ascii="Arial" w:hAnsi="Arial" w:cs="Arial"/>
          <w:sz w:val="20"/>
          <w:szCs w:val="20"/>
          <w:lang w:val="es-MX"/>
        </w:rPr>
        <w:lastRenderedPageBreak/>
        <w:t>procesos de contratación adelantados por otras entidades, incluso una vez vencidos los 3 años de constitución, siempre que no hayan cesado los efectos del RUP por el incumplimiento del deber de renovación.</w:t>
      </w:r>
    </w:p>
    <w:p w14:paraId="08B5FD38" w14:textId="77777777" w:rsidR="003C7067" w:rsidRDefault="003C7067" w:rsidP="003C7067">
      <w:pPr>
        <w:tabs>
          <w:tab w:val="left" w:pos="0"/>
        </w:tabs>
        <w:spacing w:line="276" w:lineRule="auto"/>
        <w:jc w:val="both"/>
        <w:rPr>
          <w:rFonts w:ascii="Arial" w:eastAsia="Calibri" w:hAnsi="Arial" w:cs="Arial"/>
          <w:b/>
          <w:sz w:val="22"/>
          <w:lang w:val="es-ES"/>
        </w:rPr>
      </w:pPr>
    </w:p>
    <w:p w14:paraId="48C015A6" w14:textId="77777777" w:rsidR="003C7067" w:rsidRDefault="003C7067" w:rsidP="003C7067">
      <w:pPr>
        <w:tabs>
          <w:tab w:val="left" w:pos="0"/>
        </w:tabs>
        <w:spacing w:line="276" w:lineRule="auto"/>
        <w:jc w:val="both"/>
        <w:rPr>
          <w:rFonts w:ascii="Arial" w:eastAsia="Calibri" w:hAnsi="Arial" w:cs="Arial"/>
          <w:b/>
          <w:sz w:val="22"/>
          <w:lang w:val="es-ES"/>
        </w:rPr>
      </w:pPr>
    </w:p>
    <w:p w14:paraId="0C0B6603" w14:textId="77777777" w:rsidR="003C7067" w:rsidRDefault="003C7067" w:rsidP="003C7067">
      <w:pPr>
        <w:tabs>
          <w:tab w:val="left" w:pos="0"/>
        </w:tabs>
        <w:spacing w:line="276" w:lineRule="auto"/>
        <w:jc w:val="both"/>
        <w:rPr>
          <w:rFonts w:ascii="Arial" w:eastAsia="Calibri" w:hAnsi="Arial" w:cs="Arial"/>
          <w:b/>
          <w:sz w:val="22"/>
          <w:lang w:val="es-ES"/>
        </w:rPr>
      </w:pPr>
    </w:p>
    <w:p w14:paraId="2C55395D" w14:textId="77777777" w:rsidR="003C7067" w:rsidRPr="0008465D" w:rsidRDefault="003C7067" w:rsidP="003C7067">
      <w:pPr>
        <w:tabs>
          <w:tab w:val="left" w:pos="0"/>
        </w:tabs>
        <w:spacing w:line="276" w:lineRule="auto"/>
        <w:jc w:val="both"/>
        <w:rPr>
          <w:rFonts w:ascii="Arial" w:eastAsia="Calibri" w:hAnsi="Arial" w:cs="Arial"/>
          <w:b/>
          <w:sz w:val="22"/>
          <w:lang w:val="es-ES"/>
        </w:rPr>
      </w:pPr>
    </w:p>
    <w:p w14:paraId="5C866812" w14:textId="77777777" w:rsidR="003C7067" w:rsidRDefault="003C7067" w:rsidP="003C7067">
      <w:pPr>
        <w:spacing w:after="120"/>
        <w:jc w:val="both"/>
        <w:rPr>
          <w:rFonts w:ascii="Arial" w:eastAsia="Arial," w:hAnsi="Arial" w:cs="Arial"/>
          <w:sz w:val="20"/>
          <w:szCs w:val="20"/>
        </w:rPr>
      </w:pPr>
    </w:p>
    <w:p w14:paraId="2B5358BA" w14:textId="77777777" w:rsidR="003C7067" w:rsidRDefault="003C7067" w:rsidP="003C7067">
      <w:pPr>
        <w:spacing w:after="120"/>
        <w:jc w:val="both"/>
        <w:rPr>
          <w:rFonts w:ascii="Arial" w:eastAsia="Arial," w:hAnsi="Arial" w:cs="Arial"/>
          <w:sz w:val="20"/>
          <w:szCs w:val="20"/>
        </w:rPr>
      </w:pPr>
    </w:p>
    <w:p w14:paraId="377F9769" w14:textId="77777777" w:rsidR="003C7067" w:rsidRDefault="003C7067" w:rsidP="003C7067">
      <w:pPr>
        <w:spacing w:after="120"/>
        <w:jc w:val="both"/>
        <w:rPr>
          <w:rFonts w:ascii="Arial" w:eastAsia="Arial," w:hAnsi="Arial" w:cs="Arial"/>
          <w:sz w:val="20"/>
          <w:szCs w:val="20"/>
        </w:rPr>
      </w:pPr>
    </w:p>
    <w:p w14:paraId="34E067B2" w14:textId="77777777" w:rsidR="003C7067" w:rsidRDefault="003C7067" w:rsidP="003C7067">
      <w:pPr>
        <w:spacing w:after="120"/>
        <w:jc w:val="both"/>
        <w:rPr>
          <w:rFonts w:ascii="Arial" w:eastAsia="Arial," w:hAnsi="Arial" w:cs="Arial"/>
          <w:sz w:val="20"/>
          <w:szCs w:val="20"/>
        </w:rPr>
      </w:pPr>
    </w:p>
    <w:p w14:paraId="1FF6D542" w14:textId="77777777" w:rsidR="003C7067" w:rsidRDefault="003C7067" w:rsidP="003C7067">
      <w:pPr>
        <w:spacing w:after="120"/>
        <w:jc w:val="both"/>
        <w:rPr>
          <w:rFonts w:ascii="Arial" w:eastAsia="Arial," w:hAnsi="Arial" w:cs="Arial"/>
          <w:sz w:val="20"/>
          <w:szCs w:val="20"/>
        </w:rPr>
      </w:pPr>
    </w:p>
    <w:p w14:paraId="5B60044A" w14:textId="77777777" w:rsidR="003C7067" w:rsidRDefault="003C7067" w:rsidP="003C7067">
      <w:pPr>
        <w:spacing w:after="120"/>
        <w:jc w:val="both"/>
        <w:rPr>
          <w:rFonts w:ascii="Arial" w:eastAsia="Arial," w:hAnsi="Arial" w:cs="Arial"/>
          <w:sz w:val="20"/>
          <w:szCs w:val="20"/>
        </w:rPr>
      </w:pPr>
    </w:p>
    <w:p w14:paraId="0D917762" w14:textId="77777777" w:rsidR="003C7067" w:rsidRDefault="003C7067" w:rsidP="003C7067">
      <w:pPr>
        <w:spacing w:after="120"/>
        <w:jc w:val="both"/>
        <w:rPr>
          <w:rFonts w:ascii="Arial" w:eastAsia="Arial," w:hAnsi="Arial" w:cs="Arial"/>
          <w:sz w:val="20"/>
          <w:szCs w:val="20"/>
        </w:rPr>
      </w:pPr>
    </w:p>
    <w:p w14:paraId="209D9EAE" w14:textId="77777777" w:rsidR="003C7067" w:rsidRPr="00735D41" w:rsidRDefault="003C7067" w:rsidP="003C7067">
      <w:pPr>
        <w:spacing w:after="120"/>
        <w:jc w:val="both"/>
        <w:rPr>
          <w:rFonts w:ascii="Arial" w:hAnsi="Arial" w:cs="Arial"/>
          <w:sz w:val="20"/>
          <w:szCs w:val="20"/>
        </w:rPr>
      </w:pPr>
    </w:p>
    <w:p w14:paraId="59DD35E7" w14:textId="77777777" w:rsidR="003C7067" w:rsidRDefault="003C7067" w:rsidP="003C7067">
      <w:pPr>
        <w:jc w:val="both"/>
        <w:rPr>
          <w:rFonts w:ascii="Arial" w:hAnsi="Arial" w:cs="Arial"/>
          <w:b/>
          <w:bCs/>
          <w:sz w:val="22"/>
          <w:szCs w:val="22"/>
          <w:lang w:val="es-ES"/>
        </w:rPr>
      </w:pPr>
    </w:p>
    <w:p w14:paraId="1669BDB5" w14:textId="77777777" w:rsidR="003C7067" w:rsidRDefault="003C7067" w:rsidP="003C7067">
      <w:pPr>
        <w:jc w:val="both"/>
        <w:rPr>
          <w:rFonts w:ascii="Arial" w:hAnsi="Arial" w:cs="Arial"/>
          <w:b/>
          <w:bCs/>
          <w:sz w:val="22"/>
          <w:szCs w:val="22"/>
          <w:lang w:val="es-ES"/>
        </w:rPr>
      </w:pPr>
    </w:p>
    <w:p w14:paraId="719F739C" w14:textId="77777777" w:rsidR="003C7067" w:rsidRDefault="003C7067" w:rsidP="003C7067">
      <w:pPr>
        <w:jc w:val="both"/>
        <w:rPr>
          <w:rFonts w:ascii="Arial" w:hAnsi="Arial" w:cs="Arial"/>
          <w:b/>
          <w:bCs/>
          <w:sz w:val="22"/>
          <w:szCs w:val="22"/>
          <w:lang w:val="es-ES"/>
        </w:rPr>
      </w:pPr>
    </w:p>
    <w:p w14:paraId="0D2323FB" w14:textId="77777777" w:rsidR="003C7067" w:rsidRDefault="003C7067" w:rsidP="003C7067">
      <w:pPr>
        <w:jc w:val="both"/>
        <w:rPr>
          <w:rFonts w:ascii="Arial" w:hAnsi="Arial" w:cs="Arial"/>
          <w:b/>
          <w:bCs/>
          <w:sz w:val="22"/>
          <w:szCs w:val="22"/>
          <w:lang w:val="es-ES"/>
        </w:rPr>
      </w:pPr>
    </w:p>
    <w:p w14:paraId="182814D9" w14:textId="77777777" w:rsidR="003C7067" w:rsidRDefault="003C7067" w:rsidP="003C7067">
      <w:pPr>
        <w:jc w:val="both"/>
        <w:rPr>
          <w:rFonts w:ascii="Arial" w:hAnsi="Arial" w:cs="Arial"/>
          <w:b/>
          <w:bCs/>
          <w:sz w:val="22"/>
          <w:szCs w:val="22"/>
          <w:lang w:val="es-ES"/>
        </w:rPr>
      </w:pPr>
    </w:p>
    <w:p w14:paraId="54B4994E" w14:textId="77777777" w:rsidR="003C7067" w:rsidRDefault="003C7067" w:rsidP="003C7067">
      <w:pPr>
        <w:jc w:val="both"/>
        <w:rPr>
          <w:rFonts w:ascii="Arial" w:hAnsi="Arial" w:cs="Arial"/>
          <w:b/>
          <w:bCs/>
          <w:sz w:val="22"/>
          <w:szCs w:val="22"/>
          <w:lang w:val="es-ES"/>
        </w:rPr>
      </w:pPr>
    </w:p>
    <w:p w14:paraId="2F6A2253" w14:textId="77777777" w:rsidR="003C7067" w:rsidRDefault="003C7067" w:rsidP="003C7067">
      <w:pPr>
        <w:jc w:val="both"/>
        <w:rPr>
          <w:rFonts w:ascii="Arial" w:hAnsi="Arial" w:cs="Arial"/>
          <w:b/>
          <w:bCs/>
          <w:sz w:val="22"/>
          <w:szCs w:val="22"/>
          <w:lang w:val="es-ES"/>
        </w:rPr>
      </w:pPr>
    </w:p>
    <w:p w14:paraId="15B38D97" w14:textId="77777777" w:rsidR="003C7067" w:rsidRDefault="003C7067" w:rsidP="003C7067">
      <w:pPr>
        <w:jc w:val="both"/>
        <w:rPr>
          <w:rFonts w:ascii="Arial" w:hAnsi="Arial" w:cs="Arial"/>
          <w:b/>
          <w:bCs/>
          <w:sz w:val="22"/>
          <w:szCs w:val="22"/>
          <w:lang w:val="es-ES"/>
        </w:rPr>
      </w:pPr>
    </w:p>
    <w:p w14:paraId="244B9F9E" w14:textId="77777777" w:rsidR="003C7067" w:rsidRDefault="003C7067" w:rsidP="003C7067">
      <w:pPr>
        <w:jc w:val="both"/>
        <w:rPr>
          <w:rFonts w:ascii="Arial" w:hAnsi="Arial" w:cs="Arial"/>
          <w:b/>
          <w:bCs/>
          <w:sz w:val="22"/>
          <w:szCs w:val="22"/>
          <w:lang w:val="es-ES"/>
        </w:rPr>
      </w:pPr>
    </w:p>
    <w:p w14:paraId="04372800" w14:textId="77777777" w:rsidR="003C7067" w:rsidRDefault="003C7067" w:rsidP="003C7067">
      <w:pPr>
        <w:jc w:val="both"/>
        <w:rPr>
          <w:rFonts w:ascii="Arial" w:hAnsi="Arial" w:cs="Arial"/>
          <w:b/>
          <w:bCs/>
          <w:sz w:val="22"/>
          <w:szCs w:val="22"/>
          <w:lang w:val="es-ES"/>
        </w:rPr>
      </w:pPr>
    </w:p>
    <w:p w14:paraId="530632EF" w14:textId="77777777" w:rsidR="003C7067" w:rsidRDefault="003C7067" w:rsidP="003C7067">
      <w:pPr>
        <w:jc w:val="both"/>
        <w:rPr>
          <w:rFonts w:ascii="Arial" w:hAnsi="Arial" w:cs="Arial"/>
          <w:b/>
          <w:bCs/>
          <w:sz w:val="22"/>
          <w:szCs w:val="22"/>
          <w:lang w:val="es-ES"/>
        </w:rPr>
      </w:pPr>
    </w:p>
    <w:p w14:paraId="2FDCD7BD" w14:textId="77777777" w:rsidR="003C7067" w:rsidRDefault="003C7067" w:rsidP="003C7067">
      <w:pPr>
        <w:jc w:val="both"/>
        <w:rPr>
          <w:rFonts w:ascii="Arial" w:hAnsi="Arial" w:cs="Arial"/>
          <w:b/>
          <w:bCs/>
          <w:sz w:val="22"/>
          <w:szCs w:val="22"/>
          <w:lang w:val="es-ES"/>
        </w:rPr>
      </w:pPr>
    </w:p>
    <w:p w14:paraId="464D2A21" w14:textId="77777777" w:rsidR="003C7067" w:rsidRDefault="003C7067" w:rsidP="003C7067">
      <w:pPr>
        <w:jc w:val="both"/>
        <w:rPr>
          <w:rFonts w:ascii="Arial" w:hAnsi="Arial" w:cs="Arial"/>
          <w:b/>
          <w:bCs/>
          <w:sz w:val="22"/>
          <w:szCs w:val="22"/>
          <w:lang w:val="es-ES"/>
        </w:rPr>
      </w:pPr>
    </w:p>
    <w:p w14:paraId="1955FDDF" w14:textId="77777777" w:rsidR="003C7067" w:rsidRDefault="003C7067" w:rsidP="003C7067">
      <w:pPr>
        <w:jc w:val="both"/>
        <w:rPr>
          <w:rFonts w:ascii="Arial" w:hAnsi="Arial" w:cs="Arial"/>
          <w:b/>
          <w:bCs/>
          <w:sz w:val="22"/>
          <w:szCs w:val="22"/>
          <w:lang w:val="es-ES"/>
        </w:rPr>
      </w:pPr>
    </w:p>
    <w:p w14:paraId="12F90B3D" w14:textId="77777777" w:rsidR="003C7067" w:rsidRDefault="003C7067" w:rsidP="003C7067">
      <w:pPr>
        <w:jc w:val="both"/>
        <w:rPr>
          <w:rFonts w:ascii="Arial" w:hAnsi="Arial" w:cs="Arial"/>
          <w:b/>
          <w:bCs/>
          <w:sz w:val="22"/>
          <w:szCs w:val="22"/>
          <w:lang w:val="es-ES"/>
        </w:rPr>
      </w:pPr>
    </w:p>
    <w:p w14:paraId="7730D19D" w14:textId="77777777" w:rsidR="003C7067" w:rsidRDefault="003C7067" w:rsidP="003C7067">
      <w:pPr>
        <w:jc w:val="both"/>
        <w:rPr>
          <w:rFonts w:ascii="Arial" w:hAnsi="Arial" w:cs="Arial"/>
          <w:b/>
          <w:bCs/>
          <w:sz w:val="22"/>
          <w:szCs w:val="22"/>
          <w:lang w:val="es-ES"/>
        </w:rPr>
      </w:pPr>
    </w:p>
    <w:p w14:paraId="26E6658E" w14:textId="77777777" w:rsidR="003C7067" w:rsidRDefault="003C7067" w:rsidP="003C7067">
      <w:pPr>
        <w:jc w:val="both"/>
        <w:rPr>
          <w:rFonts w:ascii="Arial" w:hAnsi="Arial" w:cs="Arial"/>
          <w:b/>
          <w:bCs/>
          <w:sz w:val="22"/>
          <w:szCs w:val="22"/>
          <w:lang w:val="es-ES"/>
        </w:rPr>
      </w:pPr>
    </w:p>
    <w:p w14:paraId="6FD2B341" w14:textId="77777777" w:rsidR="003C7067" w:rsidRDefault="003C7067" w:rsidP="003C7067">
      <w:pPr>
        <w:jc w:val="both"/>
        <w:rPr>
          <w:rFonts w:ascii="Arial" w:hAnsi="Arial" w:cs="Arial"/>
          <w:b/>
          <w:bCs/>
          <w:sz w:val="22"/>
          <w:szCs w:val="22"/>
          <w:lang w:val="es-ES"/>
        </w:rPr>
      </w:pPr>
    </w:p>
    <w:p w14:paraId="0133A713" w14:textId="77777777" w:rsidR="003C7067" w:rsidRDefault="003C7067" w:rsidP="003C7067">
      <w:pPr>
        <w:jc w:val="both"/>
        <w:rPr>
          <w:rFonts w:ascii="Arial" w:hAnsi="Arial" w:cs="Arial"/>
          <w:b/>
          <w:bCs/>
          <w:sz w:val="22"/>
          <w:szCs w:val="22"/>
          <w:lang w:val="es-ES"/>
        </w:rPr>
      </w:pPr>
    </w:p>
    <w:p w14:paraId="359D2B17" w14:textId="77777777" w:rsidR="003C7067" w:rsidRDefault="003C7067" w:rsidP="003C7067">
      <w:pPr>
        <w:jc w:val="both"/>
        <w:rPr>
          <w:rFonts w:ascii="Arial" w:hAnsi="Arial" w:cs="Arial"/>
          <w:b/>
          <w:bCs/>
          <w:sz w:val="22"/>
          <w:szCs w:val="22"/>
          <w:lang w:val="es-ES"/>
        </w:rPr>
      </w:pPr>
    </w:p>
    <w:p w14:paraId="698AEB1E" w14:textId="77777777" w:rsidR="003C7067" w:rsidRDefault="003C7067" w:rsidP="003C7067">
      <w:pPr>
        <w:jc w:val="both"/>
        <w:rPr>
          <w:rFonts w:ascii="Arial" w:hAnsi="Arial" w:cs="Arial"/>
          <w:b/>
          <w:bCs/>
          <w:sz w:val="22"/>
          <w:szCs w:val="22"/>
          <w:lang w:val="es-ES"/>
        </w:rPr>
      </w:pPr>
    </w:p>
    <w:p w14:paraId="116ADA6F" w14:textId="77777777" w:rsidR="003C7067" w:rsidRDefault="003C7067" w:rsidP="003C7067">
      <w:pPr>
        <w:jc w:val="both"/>
        <w:rPr>
          <w:rFonts w:ascii="Arial" w:hAnsi="Arial" w:cs="Arial"/>
          <w:b/>
          <w:bCs/>
          <w:sz w:val="22"/>
          <w:szCs w:val="22"/>
          <w:lang w:val="es-ES"/>
        </w:rPr>
      </w:pPr>
    </w:p>
    <w:p w14:paraId="4B4A8374" w14:textId="77777777" w:rsidR="003C7067" w:rsidRDefault="003C7067" w:rsidP="003C7067">
      <w:pPr>
        <w:jc w:val="both"/>
        <w:rPr>
          <w:rFonts w:ascii="Arial" w:hAnsi="Arial" w:cs="Arial"/>
          <w:b/>
          <w:bCs/>
          <w:sz w:val="22"/>
          <w:szCs w:val="22"/>
          <w:lang w:val="es-ES"/>
        </w:rPr>
      </w:pPr>
    </w:p>
    <w:p w14:paraId="04A1DCA6" w14:textId="77777777" w:rsidR="003C7067" w:rsidRDefault="003C7067" w:rsidP="003C7067">
      <w:pPr>
        <w:jc w:val="both"/>
        <w:rPr>
          <w:rFonts w:ascii="Arial" w:hAnsi="Arial" w:cs="Arial"/>
          <w:b/>
          <w:bCs/>
          <w:sz w:val="22"/>
          <w:szCs w:val="22"/>
          <w:lang w:val="es-ES"/>
        </w:rPr>
      </w:pPr>
    </w:p>
    <w:p w14:paraId="509A882C" w14:textId="77777777" w:rsidR="003C7067" w:rsidRDefault="003C7067" w:rsidP="003C7067">
      <w:pPr>
        <w:jc w:val="both"/>
        <w:rPr>
          <w:rFonts w:ascii="Arial" w:hAnsi="Arial" w:cs="Arial"/>
          <w:b/>
          <w:bCs/>
          <w:sz w:val="22"/>
          <w:szCs w:val="22"/>
          <w:lang w:val="es-ES"/>
        </w:rPr>
      </w:pPr>
    </w:p>
    <w:p w14:paraId="5366DED8" w14:textId="77777777" w:rsidR="003C7067" w:rsidRDefault="003C7067" w:rsidP="003C7067">
      <w:pPr>
        <w:jc w:val="both"/>
        <w:rPr>
          <w:rFonts w:ascii="Arial" w:hAnsi="Arial" w:cs="Arial"/>
          <w:b/>
          <w:bCs/>
          <w:sz w:val="22"/>
          <w:szCs w:val="22"/>
          <w:lang w:val="es-ES"/>
        </w:rPr>
      </w:pPr>
    </w:p>
    <w:p w14:paraId="2C7FDCA9" w14:textId="77777777" w:rsidR="003C7067" w:rsidRDefault="003C7067" w:rsidP="003C7067">
      <w:pPr>
        <w:jc w:val="both"/>
        <w:rPr>
          <w:rFonts w:ascii="Arial" w:hAnsi="Arial" w:cs="Arial"/>
          <w:b/>
          <w:bCs/>
          <w:sz w:val="22"/>
          <w:szCs w:val="22"/>
          <w:lang w:val="es-ES"/>
        </w:rPr>
      </w:pPr>
    </w:p>
    <w:p w14:paraId="40411137" w14:textId="0A1B5584" w:rsidR="003C7067" w:rsidRPr="00A47164" w:rsidRDefault="003C7067" w:rsidP="003C7067">
      <w:pPr>
        <w:jc w:val="right"/>
      </w:pPr>
      <w:r w:rsidRPr="00A47164">
        <w:lastRenderedPageBreak/>
        <w:fldChar w:fldCharType="begin"/>
      </w:r>
      <w:r w:rsidR="00130206">
        <w:instrText xml:space="preserve"> INCLUDEPICTURE "C:\\var\\folders\\tb\\0fmk9b510f57pz5rwhv8lnpw0000gp\\T\\com.microsoft.Word\\WebArchiveCopyPasteTempFiles\\page1image15183440" \* MERGEFORMAT </w:instrText>
      </w:r>
      <w:r w:rsidRPr="00A47164">
        <w:fldChar w:fldCharType="separate"/>
      </w:r>
      <w:r w:rsidRPr="00A47164">
        <w:rPr>
          <w:noProof/>
        </w:rPr>
        <w:drawing>
          <wp:inline distT="0" distB="0" distL="0" distR="0" wp14:anchorId="61DBD866" wp14:editId="4A92DF55">
            <wp:extent cx="2819686" cy="712381"/>
            <wp:effectExtent l="0" t="0" r="0" b="0"/>
            <wp:docPr id="4" name="Imagen 4" descr="page1image1518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183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907" cy="714205"/>
                    </a:xfrm>
                    <a:prstGeom prst="rect">
                      <a:avLst/>
                    </a:prstGeom>
                    <a:noFill/>
                    <a:ln>
                      <a:noFill/>
                    </a:ln>
                  </pic:spPr>
                </pic:pic>
              </a:graphicData>
            </a:graphic>
          </wp:inline>
        </w:drawing>
      </w:r>
      <w:r w:rsidRPr="00A47164">
        <w:fldChar w:fldCharType="end"/>
      </w:r>
    </w:p>
    <w:p w14:paraId="1B3E524F" w14:textId="77777777" w:rsidR="003C7067" w:rsidRPr="006244FD" w:rsidRDefault="003C7067" w:rsidP="003C7067">
      <w:pPr>
        <w:spacing w:line="276" w:lineRule="auto"/>
        <w:jc w:val="right"/>
        <w:rPr>
          <w:rFonts w:ascii="Arial" w:hAnsi="Arial" w:cs="Arial"/>
          <w:b/>
          <w:bCs/>
          <w:sz w:val="22"/>
          <w:szCs w:val="22"/>
          <w:lang w:val="es-ES"/>
        </w:rPr>
      </w:pPr>
    </w:p>
    <w:p w14:paraId="40E866AF" w14:textId="77777777" w:rsidR="003C7067" w:rsidRPr="006244FD" w:rsidRDefault="003C7067" w:rsidP="003C7067">
      <w:pPr>
        <w:spacing w:line="276" w:lineRule="auto"/>
        <w:jc w:val="right"/>
        <w:rPr>
          <w:rFonts w:ascii="Arial" w:hAnsi="Arial" w:cs="Arial"/>
          <w:b/>
          <w:bCs/>
          <w:sz w:val="22"/>
          <w:szCs w:val="22"/>
          <w:lang w:val="es-ES"/>
        </w:rPr>
      </w:pPr>
    </w:p>
    <w:p w14:paraId="2EB81414" w14:textId="77777777" w:rsidR="003C7067" w:rsidRPr="00924DEF" w:rsidRDefault="003C7067" w:rsidP="003C7067">
      <w:pPr>
        <w:rPr>
          <w:rFonts w:ascii="Arial" w:eastAsia="Calibri" w:hAnsi="Arial" w:cs="Arial"/>
          <w:sz w:val="22"/>
          <w:szCs w:val="22"/>
          <w:lang w:val="es-ES"/>
        </w:rPr>
      </w:pPr>
      <w:r w:rsidRPr="006244FD">
        <w:rPr>
          <w:rFonts w:ascii="Arial" w:eastAsia="Calibri" w:hAnsi="Arial" w:cs="Arial"/>
          <w:sz w:val="22"/>
          <w:szCs w:val="22"/>
          <w:lang w:val="es-ES"/>
        </w:rPr>
        <w:t>Señora</w:t>
      </w:r>
    </w:p>
    <w:p w14:paraId="66E70833" w14:textId="77777777" w:rsidR="003C7067" w:rsidRPr="00924DEF" w:rsidRDefault="003C7067" w:rsidP="003C7067">
      <w:pPr>
        <w:rPr>
          <w:rFonts w:ascii="Arial" w:eastAsia="Calibri" w:hAnsi="Arial" w:cs="Arial"/>
          <w:b/>
          <w:bCs/>
          <w:sz w:val="22"/>
          <w:szCs w:val="22"/>
          <w:lang w:val="es-ES"/>
        </w:rPr>
      </w:pPr>
      <w:r w:rsidRPr="00924DEF">
        <w:rPr>
          <w:rFonts w:ascii="Arial" w:eastAsia="Calibri" w:hAnsi="Arial" w:cs="Arial"/>
          <w:b/>
          <w:bCs/>
          <w:sz w:val="22"/>
          <w:szCs w:val="22"/>
          <w:lang w:val="es-ES"/>
        </w:rPr>
        <w:t xml:space="preserve">Evelyn Buitrago Restrepo </w:t>
      </w:r>
    </w:p>
    <w:p w14:paraId="48326A90" w14:textId="77777777" w:rsidR="003C7067" w:rsidRPr="00924DEF" w:rsidRDefault="003C7067" w:rsidP="003C7067">
      <w:pPr>
        <w:rPr>
          <w:rFonts w:ascii="Arial" w:eastAsia="Calibri" w:hAnsi="Arial" w:cs="Arial"/>
          <w:sz w:val="22"/>
          <w:szCs w:val="22"/>
          <w:lang w:val="es-ES"/>
        </w:rPr>
      </w:pPr>
      <w:r w:rsidRPr="00924DEF">
        <w:rPr>
          <w:rFonts w:ascii="Arial" w:eastAsia="Calibri" w:hAnsi="Arial" w:cs="Arial"/>
          <w:sz w:val="22"/>
          <w:szCs w:val="22"/>
          <w:lang w:val="es-ES"/>
        </w:rPr>
        <w:t>Bogotá D.C</w:t>
      </w:r>
      <w:r>
        <w:rPr>
          <w:rFonts w:ascii="Arial" w:eastAsia="Calibri" w:hAnsi="Arial" w:cs="Arial"/>
          <w:sz w:val="22"/>
          <w:szCs w:val="22"/>
          <w:lang w:val="es-ES"/>
        </w:rPr>
        <w:t>.</w:t>
      </w:r>
      <w:r w:rsidRPr="00924DEF">
        <w:rPr>
          <w:rFonts w:ascii="Arial" w:eastAsia="Calibri" w:hAnsi="Arial" w:cs="Arial"/>
          <w:sz w:val="22"/>
          <w:szCs w:val="22"/>
          <w:lang w:val="es-ES"/>
        </w:rPr>
        <w:t xml:space="preserve"> </w:t>
      </w:r>
    </w:p>
    <w:p w14:paraId="512EEE94" w14:textId="77777777" w:rsidR="003C7067" w:rsidRPr="00924DEF" w:rsidRDefault="003C7067" w:rsidP="003C7067">
      <w:pPr>
        <w:rPr>
          <w:rFonts w:ascii="Arial" w:eastAsia="Calibri" w:hAnsi="Arial" w:cs="Arial"/>
          <w:sz w:val="22"/>
          <w:szCs w:val="22"/>
          <w:lang w:val="es-ES"/>
        </w:rPr>
      </w:pPr>
    </w:p>
    <w:p w14:paraId="10837C8F" w14:textId="77777777" w:rsidR="003C7067" w:rsidRPr="00924DEF" w:rsidRDefault="003C7067" w:rsidP="003C7067">
      <w:pPr>
        <w:rPr>
          <w:rFonts w:ascii="Arial" w:eastAsia="Calibri" w:hAnsi="Arial" w:cs="Arial"/>
          <w:b/>
          <w:sz w:val="22"/>
          <w:szCs w:val="22"/>
          <w:lang w:val="es-ES"/>
        </w:rPr>
      </w:pPr>
    </w:p>
    <w:p w14:paraId="1F4E36CB" w14:textId="77777777" w:rsidR="003C7067" w:rsidRPr="00924DEF" w:rsidRDefault="003C7067" w:rsidP="003C7067">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608 de 2021 </w:t>
      </w:r>
    </w:p>
    <w:p w14:paraId="1698D01B" w14:textId="77777777" w:rsidR="003C7067" w:rsidRPr="00924DEF"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924DEF" w14:paraId="7C1768E2" w14:textId="77777777" w:rsidTr="00406F4B">
        <w:trPr>
          <w:trHeight w:val="550"/>
        </w:trPr>
        <w:tc>
          <w:tcPr>
            <w:tcW w:w="2689" w:type="dxa"/>
          </w:tcPr>
          <w:p w14:paraId="7F7464C9" w14:textId="77777777" w:rsidR="003C7067" w:rsidRPr="00924DEF" w:rsidRDefault="003C7067" w:rsidP="00406F4B">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237" w:type="dxa"/>
          </w:tcPr>
          <w:p w14:paraId="2F4B7014" w14:textId="77777777" w:rsidR="003C7067" w:rsidRPr="00924DEF" w:rsidRDefault="003C7067" w:rsidP="00406F4B">
            <w:pPr>
              <w:spacing w:after="120"/>
              <w:ind w:right="51"/>
              <w:jc w:val="both"/>
              <w:rPr>
                <w:rFonts w:ascii="Arial" w:eastAsia="Calibri" w:hAnsi="Arial" w:cs="Arial"/>
                <w:bCs/>
                <w:lang w:val="es-ES"/>
              </w:rPr>
            </w:pPr>
            <w:r w:rsidRPr="00D83CE1">
              <w:rPr>
                <w:rFonts w:ascii="Arial" w:hAnsi="Arial" w:cs="Arial"/>
                <w:bCs/>
                <w:lang w:val="es-MX"/>
              </w:rPr>
              <w:t xml:space="preserve">EXPERIENCIA − Noción − Colombia Compra Eficiente / </w:t>
            </w:r>
            <w:r w:rsidRPr="00D83CE1">
              <w:rPr>
                <w:rFonts w:ascii="Arial" w:eastAsia="Calibri" w:hAnsi="Arial" w:cs="Arial"/>
                <w:bCs/>
                <w:lang w:val="es-MX"/>
              </w:rPr>
              <w:t xml:space="preserve">SOCIEDADES NUEVAS ‒ Experiencia ‒ Inferior a tres años ‒ Requisitos habilitantes ‒ Desarrollo de la empresa/ </w:t>
            </w:r>
            <w:r w:rsidRPr="00D83CE1">
              <w:rPr>
                <w:rFonts w:ascii="Arial" w:hAnsi="Arial" w:cs="Arial"/>
                <w:bCs/>
                <w:lang w:val="es-MX"/>
              </w:rPr>
              <w:t xml:space="preserve">EXPERIENCIA ‒ Conservación ‒ Renovación RUP ‒ Cesación efectos RUP / EXPERIENCIA </w:t>
            </w:r>
            <w:r w:rsidRPr="00D83CE1">
              <w:rPr>
                <w:rFonts w:ascii="Arial" w:eastAsia="Calibri" w:hAnsi="Arial" w:cs="Arial"/>
                <w:bCs/>
                <w:lang w:val="es-MX"/>
              </w:rPr>
              <w:t>–</w:t>
            </w:r>
            <w:r w:rsidRPr="00D83CE1">
              <w:rPr>
                <w:rFonts w:ascii="Arial" w:hAnsi="Arial" w:cs="Arial"/>
                <w:bCs/>
                <w:lang w:val="es-MX"/>
              </w:rPr>
              <w:t xml:space="preserve"> Conservación </w:t>
            </w:r>
            <w:r w:rsidRPr="00D83CE1">
              <w:rPr>
                <w:rFonts w:ascii="Arial" w:eastAsia="Calibri" w:hAnsi="Arial" w:cs="Arial"/>
                <w:bCs/>
                <w:lang w:val="es-MX"/>
              </w:rPr>
              <w:t xml:space="preserve">– </w:t>
            </w:r>
            <w:r w:rsidRPr="00D83CE1">
              <w:rPr>
                <w:rFonts w:ascii="Arial" w:hAnsi="Arial" w:cs="Arial"/>
                <w:bCs/>
                <w:lang w:val="es-MX"/>
              </w:rPr>
              <w:t xml:space="preserve">Sociedades </w:t>
            </w:r>
            <w:r w:rsidRPr="00D83CE1">
              <w:rPr>
                <w:rFonts w:ascii="Arial" w:eastAsia="Calibri" w:hAnsi="Arial" w:cs="Arial"/>
                <w:bCs/>
                <w:lang w:val="es-MX"/>
              </w:rPr>
              <w:t>– M</w:t>
            </w:r>
            <w:r w:rsidRPr="00D83CE1">
              <w:rPr>
                <w:rFonts w:ascii="Arial" w:hAnsi="Arial" w:cs="Arial"/>
                <w:bCs/>
                <w:lang w:val="es-MX"/>
              </w:rPr>
              <w:t>enor a 3 años de constitución</w:t>
            </w:r>
          </w:p>
        </w:tc>
      </w:tr>
      <w:tr w:rsidR="003C7067" w:rsidRPr="00924DEF" w14:paraId="60D249F0" w14:textId="77777777" w:rsidTr="00406F4B">
        <w:tc>
          <w:tcPr>
            <w:tcW w:w="2689" w:type="dxa"/>
          </w:tcPr>
          <w:p w14:paraId="291F9A18" w14:textId="77777777" w:rsidR="003C7067" w:rsidRPr="00924DEF" w:rsidRDefault="003C7067" w:rsidP="00406F4B">
            <w:pPr>
              <w:rPr>
                <w:rFonts w:ascii="Arial" w:eastAsia="Calibri" w:hAnsi="Arial" w:cs="Arial"/>
                <w:lang w:val="es-ES"/>
              </w:rPr>
            </w:pPr>
            <w:r w:rsidRPr="00924DEF">
              <w:rPr>
                <w:rFonts w:ascii="Arial" w:eastAsia="Calibri" w:hAnsi="Arial" w:cs="Arial"/>
                <w:b/>
                <w:lang w:val="es-ES"/>
              </w:rPr>
              <w:t>Radicación:</w:t>
            </w:r>
            <w:r w:rsidRPr="00924DEF">
              <w:rPr>
                <w:rFonts w:ascii="Arial" w:eastAsia="Calibri" w:hAnsi="Arial" w:cs="Arial"/>
                <w:lang w:val="es-ES"/>
              </w:rPr>
              <w:t xml:space="preserve">                              </w:t>
            </w:r>
          </w:p>
        </w:tc>
        <w:tc>
          <w:tcPr>
            <w:tcW w:w="6237" w:type="dxa"/>
          </w:tcPr>
          <w:p w14:paraId="3C674517" w14:textId="77777777" w:rsidR="003C7067" w:rsidRPr="00924DEF" w:rsidRDefault="003C7067" w:rsidP="00406F4B">
            <w:pPr>
              <w:rPr>
                <w:rFonts w:ascii="Arial" w:eastAsia="Calibri" w:hAnsi="Arial" w:cs="Arial"/>
                <w:lang w:val="es-ES"/>
              </w:rPr>
            </w:pPr>
            <w:r w:rsidRPr="00924DEF">
              <w:rPr>
                <w:rFonts w:ascii="Arial" w:eastAsia="Calibri" w:hAnsi="Arial" w:cs="Arial"/>
                <w:lang w:val="es-ES"/>
              </w:rPr>
              <w:t>Respuesta a consulta P20210916008483</w:t>
            </w:r>
          </w:p>
        </w:tc>
      </w:tr>
    </w:tbl>
    <w:p w14:paraId="7E6B5A12" w14:textId="77777777" w:rsidR="003C7067" w:rsidRPr="00924DEF" w:rsidRDefault="003C7067" w:rsidP="003C7067">
      <w:pPr>
        <w:spacing w:line="276" w:lineRule="auto"/>
        <w:rPr>
          <w:rFonts w:ascii="Arial" w:eastAsia="Calibri" w:hAnsi="Arial" w:cs="Arial"/>
          <w:sz w:val="22"/>
          <w:szCs w:val="22"/>
          <w:lang w:val="es-ES"/>
        </w:rPr>
      </w:pPr>
    </w:p>
    <w:p w14:paraId="776B553A" w14:textId="77777777" w:rsidR="003C7067" w:rsidRPr="00924DEF" w:rsidRDefault="003C7067" w:rsidP="003C7067">
      <w:pPr>
        <w:spacing w:line="276" w:lineRule="auto"/>
        <w:rPr>
          <w:rFonts w:ascii="Arial" w:eastAsia="Calibri" w:hAnsi="Arial" w:cs="Arial"/>
          <w:sz w:val="22"/>
          <w:szCs w:val="22"/>
          <w:lang w:val="es-ES"/>
        </w:rPr>
      </w:pPr>
    </w:p>
    <w:p w14:paraId="6BB19977" w14:textId="77777777" w:rsidR="003C7067" w:rsidRPr="00924DEF" w:rsidRDefault="003C7067" w:rsidP="003C7067">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Estimada señora Buitrago:</w:t>
      </w:r>
      <w:r w:rsidRPr="00924DEF">
        <w:rPr>
          <w:rFonts w:ascii="Arial" w:eastAsia="Calibri" w:hAnsi="Arial" w:cs="Arial"/>
          <w:sz w:val="22"/>
          <w:szCs w:val="22"/>
          <w:lang w:val="es-ES"/>
        </w:rPr>
        <w:tab/>
      </w:r>
    </w:p>
    <w:p w14:paraId="17594CC4" w14:textId="77777777" w:rsidR="003C7067" w:rsidRPr="00924DEF" w:rsidRDefault="003C7067" w:rsidP="003C7067">
      <w:pPr>
        <w:spacing w:line="276" w:lineRule="auto"/>
        <w:rPr>
          <w:rFonts w:ascii="Arial" w:eastAsia="Calibri" w:hAnsi="Arial" w:cs="Arial"/>
          <w:sz w:val="22"/>
          <w:szCs w:val="22"/>
          <w:lang w:val="es-ES"/>
        </w:rPr>
      </w:pPr>
    </w:p>
    <w:p w14:paraId="57E2A948" w14:textId="77777777" w:rsidR="003C7067" w:rsidRPr="00924DEF" w:rsidRDefault="003C7067" w:rsidP="003C706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La Agencia Nacional de Contratación Pública – Colombia Compra Eficiente responde a su consulta del 16 de septiembre de 2021, en ejercicio de la competencia otorgada por el numeral 8 del artículo 11 y el numeral 5 del artículo 3 del Decreto Ley 4170 de 2011. </w:t>
      </w:r>
    </w:p>
    <w:p w14:paraId="2D852432" w14:textId="77777777" w:rsidR="003C7067" w:rsidRPr="00924DEF" w:rsidRDefault="003C7067" w:rsidP="003C7067">
      <w:pPr>
        <w:pStyle w:val="Prrafodelista"/>
        <w:spacing w:line="276" w:lineRule="auto"/>
        <w:ind w:left="0"/>
        <w:rPr>
          <w:rFonts w:ascii="Arial" w:eastAsia="Calibri" w:hAnsi="Arial" w:cs="Arial"/>
          <w:sz w:val="22"/>
          <w:lang w:val="es-ES"/>
        </w:rPr>
      </w:pPr>
    </w:p>
    <w:p w14:paraId="67CA615C" w14:textId="77777777" w:rsidR="003C7067" w:rsidRPr="00924DEF" w:rsidRDefault="003C7067" w:rsidP="003C7067">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A060666" w14:textId="77777777" w:rsidR="003C7067" w:rsidRPr="00924DEF" w:rsidRDefault="003C7067" w:rsidP="003C7067">
      <w:pPr>
        <w:rPr>
          <w:rFonts w:ascii="Arial" w:eastAsia="Calibri" w:hAnsi="Arial" w:cs="Arial"/>
          <w:sz w:val="22"/>
          <w:szCs w:val="22"/>
          <w:lang w:val="es-ES"/>
        </w:rPr>
      </w:pPr>
    </w:p>
    <w:p w14:paraId="34305A30" w14:textId="77777777" w:rsidR="003C7067" w:rsidRPr="00924DEF" w:rsidRDefault="003C7067" w:rsidP="003C706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 siguiente pregunta: </w:t>
      </w:r>
    </w:p>
    <w:p w14:paraId="3E00A2D4" w14:textId="77777777" w:rsidR="003C7067" w:rsidRPr="00924DEF" w:rsidRDefault="003C7067" w:rsidP="003C7067">
      <w:pPr>
        <w:spacing w:line="276" w:lineRule="auto"/>
        <w:jc w:val="both"/>
        <w:rPr>
          <w:rFonts w:ascii="Arial" w:eastAsia="Calibri" w:hAnsi="Arial" w:cs="Arial"/>
          <w:sz w:val="22"/>
          <w:szCs w:val="22"/>
          <w:lang w:val="es-ES"/>
        </w:rPr>
      </w:pPr>
    </w:p>
    <w:p w14:paraId="39736C1E" w14:textId="77777777" w:rsidR="003C7067" w:rsidRPr="000D768D" w:rsidRDefault="003C7067" w:rsidP="003C7067">
      <w:pPr>
        <w:ind w:left="709" w:right="709"/>
        <w:jc w:val="both"/>
        <w:rPr>
          <w:rFonts w:ascii="Arial" w:eastAsia="Calibri" w:hAnsi="Arial" w:cs="Arial"/>
          <w:sz w:val="21"/>
          <w:szCs w:val="21"/>
          <w:lang w:val="es-ES"/>
        </w:rPr>
      </w:pPr>
      <w:r w:rsidRPr="000D768D">
        <w:rPr>
          <w:rFonts w:ascii="Arial" w:eastAsia="Calibri" w:hAnsi="Arial" w:cs="Arial"/>
          <w:sz w:val="21"/>
          <w:szCs w:val="21"/>
          <w:lang w:val="es-ES"/>
        </w:rPr>
        <w:t>«[…] en el documento base, en el numeral 3.5.2. CARACTERISTICAS DE LOS CONTRATOS PRESENTADOS PARA ACREDITAR LA EXPERIENCIA EXIGIDA, en el literal E:</w:t>
      </w:r>
    </w:p>
    <w:p w14:paraId="1C079138" w14:textId="77777777" w:rsidR="003C7067" w:rsidRPr="000D768D" w:rsidRDefault="003C7067" w:rsidP="003C7067">
      <w:pPr>
        <w:ind w:left="709" w:right="709"/>
        <w:jc w:val="both"/>
        <w:rPr>
          <w:rFonts w:ascii="Arial" w:eastAsia="Calibri" w:hAnsi="Arial" w:cs="Arial"/>
          <w:sz w:val="21"/>
          <w:szCs w:val="21"/>
          <w:lang w:val="es-ES"/>
        </w:rPr>
      </w:pPr>
      <w:r w:rsidRPr="000D768D">
        <w:rPr>
          <w:rFonts w:ascii="Arial" w:eastAsia="Calibri" w:hAnsi="Arial" w:cs="Arial"/>
          <w:sz w:val="21"/>
          <w:szCs w:val="21"/>
          <w:lang w:val="es-ES"/>
        </w:rPr>
        <w:t>“Para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695ACE68" w14:textId="77777777" w:rsidR="003C7067" w:rsidRPr="000D768D" w:rsidRDefault="003C7067" w:rsidP="003C7067">
      <w:pPr>
        <w:ind w:left="709" w:right="709"/>
        <w:jc w:val="both"/>
        <w:rPr>
          <w:rFonts w:ascii="Arial" w:hAnsi="Arial" w:cs="Arial"/>
          <w:sz w:val="21"/>
          <w:szCs w:val="21"/>
        </w:rPr>
      </w:pPr>
      <w:r w:rsidRPr="000D768D">
        <w:rPr>
          <w:rFonts w:ascii="Arial" w:hAnsi="Arial" w:cs="Arial"/>
          <w:sz w:val="21"/>
          <w:szCs w:val="21"/>
        </w:rPr>
        <w:lastRenderedPageBreak/>
        <w:t>En esta última parte, del numeral 3.5.2 del documento tipo de infraestructura vial versión 3 – cuando se menciona que, pasado los 3 años de constitución de la empresa. ¿Cómo se debe interpretar la misma? toda vez que no es clara</w:t>
      </w:r>
      <w:r w:rsidRPr="000D768D">
        <w:rPr>
          <w:rFonts w:ascii="Arial" w:hAnsi="Arial" w:cs="Arial"/>
          <w:sz w:val="21"/>
          <w:szCs w:val="21"/>
          <w:lang w:val="es-ES"/>
        </w:rPr>
        <w:t>».</w:t>
      </w:r>
    </w:p>
    <w:p w14:paraId="5BAD6D68" w14:textId="77777777" w:rsidR="003C7067" w:rsidRDefault="003C7067" w:rsidP="003C7067">
      <w:pPr>
        <w:spacing w:line="276" w:lineRule="auto"/>
        <w:ind w:left="709" w:right="709"/>
        <w:jc w:val="both"/>
        <w:rPr>
          <w:rFonts w:ascii="Arial" w:eastAsia="Calibri" w:hAnsi="Arial" w:cs="Arial"/>
          <w:b/>
          <w:sz w:val="22"/>
          <w:szCs w:val="22"/>
          <w:lang w:val="es-ES"/>
        </w:rPr>
      </w:pPr>
    </w:p>
    <w:p w14:paraId="274B11C3" w14:textId="77777777" w:rsidR="003C7067" w:rsidRDefault="003C7067" w:rsidP="003C7067">
      <w:pPr>
        <w:spacing w:line="276" w:lineRule="auto"/>
        <w:ind w:left="709" w:right="709"/>
        <w:jc w:val="both"/>
        <w:rPr>
          <w:rFonts w:ascii="Arial" w:eastAsia="Calibri" w:hAnsi="Arial" w:cs="Arial"/>
          <w:b/>
          <w:sz w:val="22"/>
          <w:szCs w:val="22"/>
          <w:lang w:val="es-ES"/>
        </w:rPr>
      </w:pPr>
    </w:p>
    <w:p w14:paraId="05F53DA9" w14:textId="77777777" w:rsidR="003C7067" w:rsidRDefault="003C7067" w:rsidP="003C7067">
      <w:pPr>
        <w:spacing w:line="276" w:lineRule="auto"/>
        <w:ind w:left="709" w:right="709"/>
        <w:jc w:val="both"/>
        <w:rPr>
          <w:rFonts w:ascii="Arial" w:eastAsia="Calibri" w:hAnsi="Arial" w:cs="Arial"/>
          <w:b/>
          <w:sz w:val="22"/>
          <w:szCs w:val="22"/>
          <w:lang w:val="es-ES"/>
        </w:rPr>
      </w:pPr>
    </w:p>
    <w:p w14:paraId="2C4B2B60" w14:textId="77777777" w:rsidR="003C7067" w:rsidRPr="00924DEF" w:rsidRDefault="003C7067" w:rsidP="003C7067">
      <w:pPr>
        <w:spacing w:line="276" w:lineRule="auto"/>
        <w:ind w:left="709" w:right="709"/>
        <w:jc w:val="both"/>
        <w:rPr>
          <w:rFonts w:ascii="Arial" w:eastAsia="Calibri" w:hAnsi="Arial" w:cs="Arial"/>
          <w:b/>
          <w:sz w:val="22"/>
          <w:szCs w:val="22"/>
          <w:lang w:val="es-ES"/>
        </w:rPr>
      </w:pPr>
    </w:p>
    <w:p w14:paraId="5ACBD771" w14:textId="77777777" w:rsidR="003C7067" w:rsidRPr="00924DEF" w:rsidRDefault="003C7067" w:rsidP="003C7067">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5914F486" w14:textId="77777777" w:rsidR="003C7067" w:rsidRPr="00924DEF" w:rsidRDefault="003C7067" w:rsidP="003C7067">
      <w:pPr>
        <w:spacing w:line="276" w:lineRule="auto"/>
        <w:jc w:val="both"/>
        <w:rPr>
          <w:rFonts w:ascii="Arial" w:eastAsia="Calibri" w:hAnsi="Arial" w:cs="Arial"/>
          <w:b/>
          <w:sz w:val="22"/>
          <w:szCs w:val="22"/>
          <w:lang w:val="es-ES"/>
        </w:rPr>
      </w:pPr>
    </w:p>
    <w:p w14:paraId="13F596CB" w14:textId="77777777" w:rsidR="003C7067" w:rsidRPr="00703495" w:rsidRDefault="003C7067" w:rsidP="003C7067">
      <w:pPr>
        <w:spacing w:after="120" w:line="276" w:lineRule="auto"/>
        <w:jc w:val="both"/>
        <w:rPr>
          <w:rFonts w:ascii="Arial" w:hAnsi="Arial" w:cs="Arial"/>
          <w:sz w:val="22"/>
          <w:szCs w:val="22"/>
          <w:lang w:val="es-MX"/>
        </w:rPr>
      </w:pPr>
      <w:r>
        <w:rPr>
          <w:rFonts w:ascii="Arial" w:eastAsia="Calibri" w:hAnsi="Arial" w:cs="Arial"/>
          <w:sz w:val="22"/>
          <w:szCs w:val="22"/>
          <w:lang w:val="es-ES"/>
        </w:rPr>
        <w:t>Para resolver el interrogante planteado</w:t>
      </w:r>
      <w:r w:rsidRPr="00924DEF">
        <w:rPr>
          <w:rFonts w:ascii="Arial" w:eastAsia="Calibri" w:hAnsi="Arial" w:cs="Arial"/>
          <w:sz w:val="22"/>
          <w:szCs w:val="22"/>
          <w:lang w:val="es-ES"/>
        </w:rPr>
        <w:t xml:space="preserve"> se analizarán los siguientes temas: i) </w:t>
      </w:r>
      <w:r>
        <w:rPr>
          <w:rFonts w:ascii="Arial" w:eastAsia="Calibri" w:hAnsi="Arial" w:cs="Arial"/>
          <w:sz w:val="22"/>
          <w:szCs w:val="22"/>
          <w:lang w:val="es-ES"/>
        </w:rPr>
        <w:t xml:space="preserve">un recuento sobre normatividad aplicable a los documentos tipo de infraestructura de transporte en Colombia: </w:t>
      </w:r>
      <w:proofErr w:type="spellStart"/>
      <w:r>
        <w:rPr>
          <w:rFonts w:ascii="Arial" w:eastAsia="Calibri" w:hAnsi="Arial" w:cs="Arial"/>
          <w:sz w:val="22"/>
          <w:szCs w:val="22"/>
          <w:lang w:val="es-ES"/>
        </w:rPr>
        <w:t>ii</w:t>
      </w:r>
      <w:proofErr w:type="spellEnd"/>
      <w:r>
        <w:rPr>
          <w:rFonts w:ascii="Arial" w:eastAsia="Calibri" w:hAnsi="Arial" w:cs="Arial"/>
          <w:sz w:val="22"/>
          <w:szCs w:val="22"/>
          <w:lang w:val="es-ES"/>
        </w:rPr>
        <w:t xml:space="preserve">) una aproximación general al concepto de experiencia en la contratación estatal, </w:t>
      </w:r>
      <w:proofErr w:type="spellStart"/>
      <w:r>
        <w:rPr>
          <w:rFonts w:ascii="Arial" w:eastAsia="Calibri" w:hAnsi="Arial" w:cs="Arial"/>
          <w:sz w:val="22"/>
          <w:szCs w:val="22"/>
          <w:lang w:val="es-ES"/>
        </w:rPr>
        <w:t>iii</w:t>
      </w:r>
      <w:proofErr w:type="spellEnd"/>
      <w:r>
        <w:rPr>
          <w:rFonts w:ascii="Arial" w:eastAsia="Calibri" w:hAnsi="Arial" w:cs="Arial"/>
          <w:sz w:val="22"/>
          <w:szCs w:val="22"/>
          <w:lang w:val="es-ES"/>
        </w:rPr>
        <w:t xml:space="preserve">) consideraciones de la agencia acerca de la experiencia y </w:t>
      </w:r>
      <w:proofErr w:type="spellStart"/>
      <w:r>
        <w:rPr>
          <w:rFonts w:ascii="Arial" w:eastAsia="Calibri" w:hAnsi="Arial" w:cs="Arial"/>
          <w:sz w:val="22"/>
          <w:szCs w:val="22"/>
          <w:lang w:val="es-ES"/>
        </w:rPr>
        <w:t>iv</w:t>
      </w:r>
      <w:proofErr w:type="spellEnd"/>
      <w:r>
        <w:rPr>
          <w:rFonts w:ascii="Arial" w:eastAsia="Calibri" w:hAnsi="Arial" w:cs="Arial"/>
          <w:sz w:val="22"/>
          <w:szCs w:val="22"/>
          <w:lang w:val="es-ES"/>
        </w:rPr>
        <w:t xml:space="preserve">) </w:t>
      </w:r>
      <w:r>
        <w:rPr>
          <w:rFonts w:ascii="Arial" w:hAnsi="Arial" w:cs="Arial"/>
          <w:sz w:val="22"/>
          <w:szCs w:val="22"/>
          <w:lang w:val="es-MX"/>
        </w:rPr>
        <w:t>la a</w:t>
      </w:r>
      <w:r w:rsidRPr="00924DEF">
        <w:rPr>
          <w:rFonts w:ascii="Arial" w:hAnsi="Arial" w:cs="Arial"/>
          <w:sz w:val="22"/>
          <w:szCs w:val="22"/>
          <w:lang w:val="es-MX"/>
        </w:rPr>
        <w:t>creditación de experiencia de socios por parte de sociedades con menos de tres años de constitución</w:t>
      </w:r>
      <w:r>
        <w:rPr>
          <w:rFonts w:ascii="Arial" w:hAnsi="Arial" w:cs="Arial"/>
          <w:sz w:val="22"/>
          <w:szCs w:val="22"/>
          <w:lang w:val="es-MX"/>
        </w:rPr>
        <w:t xml:space="preserve">. </w:t>
      </w:r>
    </w:p>
    <w:p w14:paraId="4FA6A29E" w14:textId="77777777" w:rsidR="003C7067" w:rsidRPr="00924DEF" w:rsidRDefault="003C7067" w:rsidP="003C7067">
      <w:pPr>
        <w:spacing w:line="276" w:lineRule="auto"/>
        <w:ind w:firstLine="708"/>
        <w:jc w:val="both"/>
        <w:rPr>
          <w:rFonts w:ascii="Arial" w:hAnsi="Arial" w:cs="Arial"/>
          <w:sz w:val="22"/>
          <w:szCs w:val="22"/>
          <w:lang w:val="es-MX"/>
        </w:rPr>
      </w:pPr>
      <w:r w:rsidRPr="00924DEF">
        <w:rPr>
          <w:rFonts w:ascii="Arial" w:eastAsia="Calibri" w:hAnsi="Arial" w:cs="Arial"/>
          <w:sz w:val="22"/>
          <w:szCs w:val="22"/>
          <w:lang w:val="es-MX"/>
        </w:rPr>
        <w:t xml:space="preserve">La Agencia Nacional de Contratación Pública ‒ Colombia Compra Eficiente, </w:t>
      </w:r>
      <w:r w:rsidRPr="00254E6E">
        <w:rPr>
          <w:rFonts w:ascii="Arial" w:eastAsia="Calibri" w:hAnsi="Arial" w:cs="Arial"/>
          <w:sz w:val="22"/>
          <w:lang w:val="es-ES"/>
        </w:rPr>
        <w:t>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eastAsia="Calibri" w:hAnsi="Arial" w:cs="Arial"/>
          <w:sz w:val="22"/>
          <w:lang w:val="es-ES"/>
        </w:rPr>
        <w:t>,</w:t>
      </w:r>
      <w:r w:rsidRPr="00254E6E">
        <w:rPr>
          <w:rFonts w:ascii="Arial" w:eastAsia="Calibri" w:hAnsi="Arial" w:cs="Arial"/>
          <w:sz w:val="22"/>
          <w:lang w:val="es-ES"/>
        </w:rPr>
        <w:t xml:space="preserve"> C-710 del 9 de diciembre de 2020,</w:t>
      </w:r>
      <w:r>
        <w:rPr>
          <w:rFonts w:ascii="Arial" w:eastAsia="Calibri" w:hAnsi="Arial" w:cs="Arial"/>
          <w:sz w:val="22"/>
          <w:lang w:val="es-ES"/>
        </w:rPr>
        <w:t xml:space="preserve"> C-729 del 11 de diciembre de 2020,   C-103 del 24 de marzo de 2021,</w:t>
      </w:r>
      <w:r w:rsidRPr="00254E6E">
        <w:rPr>
          <w:rFonts w:ascii="Arial" w:eastAsia="Calibri" w:hAnsi="Arial" w:cs="Arial"/>
          <w:sz w:val="22"/>
          <w:lang w:val="es-ES"/>
        </w:rPr>
        <w:t xml:space="preserve"> </w:t>
      </w:r>
      <w:r w:rsidRPr="00E55B79">
        <w:rPr>
          <w:rFonts w:ascii="Arial" w:eastAsia="Calibri" w:hAnsi="Arial" w:cs="Arial"/>
          <w:sz w:val="22"/>
          <w:lang w:val="es-ES"/>
        </w:rPr>
        <w:t xml:space="preserve">C-249 de </w:t>
      </w:r>
      <w:r>
        <w:rPr>
          <w:rFonts w:ascii="Arial" w:eastAsia="Calibri" w:hAnsi="Arial" w:cs="Arial"/>
          <w:sz w:val="22"/>
          <w:lang w:val="es-ES"/>
        </w:rPr>
        <w:t xml:space="preserve">1 de junio de </w:t>
      </w:r>
      <w:r w:rsidRPr="00E55B79">
        <w:rPr>
          <w:rFonts w:ascii="Arial" w:eastAsia="Calibri" w:hAnsi="Arial" w:cs="Arial"/>
          <w:sz w:val="22"/>
          <w:lang w:val="es-ES"/>
        </w:rPr>
        <w:t>2021, C-326 del 2</w:t>
      </w:r>
      <w:r>
        <w:rPr>
          <w:rFonts w:ascii="Arial" w:eastAsia="Calibri" w:hAnsi="Arial" w:cs="Arial"/>
          <w:sz w:val="22"/>
          <w:lang w:val="es-ES"/>
        </w:rPr>
        <w:t xml:space="preserve"> de julio de </w:t>
      </w:r>
      <w:r w:rsidRPr="00E55B79">
        <w:rPr>
          <w:rFonts w:ascii="Arial" w:eastAsia="Calibri" w:hAnsi="Arial" w:cs="Arial"/>
          <w:sz w:val="22"/>
          <w:lang w:val="es-ES"/>
        </w:rPr>
        <w:t>202</w:t>
      </w:r>
      <w:r>
        <w:rPr>
          <w:rFonts w:ascii="Arial" w:eastAsia="Calibri" w:hAnsi="Arial" w:cs="Arial"/>
          <w:sz w:val="22"/>
          <w:lang w:val="es-ES"/>
        </w:rPr>
        <w:t xml:space="preserve">1, </w:t>
      </w:r>
      <w:r w:rsidRPr="00E55B79">
        <w:rPr>
          <w:rFonts w:ascii="Arial" w:eastAsia="Calibri" w:hAnsi="Arial" w:cs="Arial"/>
          <w:sz w:val="22"/>
          <w:lang w:val="es-ES"/>
        </w:rPr>
        <w:t xml:space="preserve"> C-358 del 19</w:t>
      </w:r>
      <w:r>
        <w:rPr>
          <w:rFonts w:ascii="Arial" w:eastAsia="Calibri" w:hAnsi="Arial" w:cs="Arial"/>
          <w:sz w:val="22"/>
          <w:lang w:val="es-ES"/>
        </w:rPr>
        <w:t xml:space="preserve"> de julio de </w:t>
      </w:r>
      <w:r w:rsidRPr="00E55B79">
        <w:rPr>
          <w:rFonts w:ascii="Arial" w:eastAsia="Calibri" w:hAnsi="Arial" w:cs="Arial"/>
          <w:sz w:val="22"/>
          <w:lang w:val="es-ES"/>
        </w:rPr>
        <w:t>2021</w:t>
      </w:r>
      <w:r>
        <w:rPr>
          <w:rFonts w:ascii="Arial" w:eastAsia="Calibri" w:hAnsi="Arial" w:cs="Arial"/>
          <w:sz w:val="22"/>
          <w:lang w:val="es-ES"/>
        </w:rPr>
        <w:t xml:space="preserve">, C-405 del 10 de agosto de 2021, C-415 del 10 de agosto de 2021 y C-414 del 13 de agosto de 2021, </w:t>
      </w:r>
      <w:r w:rsidRPr="00254E6E">
        <w:rPr>
          <w:rFonts w:ascii="Arial" w:eastAsia="Calibri" w:hAnsi="Arial" w:cs="Arial"/>
          <w:sz w:val="22"/>
          <w:lang w:val="es-ES"/>
        </w:rPr>
        <w:t>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Pr>
          <w:rFonts w:ascii="Arial" w:eastAsia="Calibri" w:hAnsi="Arial" w:cs="Arial"/>
          <w:sz w:val="22"/>
          <w:szCs w:val="22"/>
          <w:lang w:val="es-MX"/>
        </w:rPr>
        <w:t xml:space="preserve">El Concepto C-405 del 10 de agosto de 2021 se refiere específicamente al literal E del numeral </w:t>
      </w:r>
      <w:r w:rsidRPr="00D6676C">
        <w:rPr>
          <w:rFonts w:ascii="Arial" w:eastAsia="Calibri" w:hAnsi="Arial" w:cs="Arial"/>
          <w:sz w:val="22"/>
          <w:szCs w:val="22"/>
          <w:lang w:val="es-MX"/>
        </w:rPr>
        <w:t>3.5.2</w:t>
      </w:r>
      <w:r>
        <w:rPr>
          <w:rFonts w:ascii="Arial" w:eastAsia="Calibri" w:hAnsi="Arial" w:cs="Arial"/>
          <w:sz w:val="22"/>
          <w:szCs w:val="22"/>
          <w:lang w:val="es-MX"/>
        </w:rPr>
        <w:t xml:space="preserve"> del pliego de condiciones de los «Documentos Tipo – Versión 3» de licitación para obra pública de infraestructura de transporte.</w:t>
      </w:r>
      <w:r w:rsidRPr="00924DEF">
        <w:rPr>
          <w:rFonts w:ascii="Arial" w:eastAsia="Calibri" w:hAnsi="Arial" w:cs="Arial"/>
          <w:sz w:val="22"/>
          <w:szCs w:val="22"/>
          <w:lang w:val="es-MX"/>
        </w:rPr>
        <w:t xml:space="preserve"> La tesis desarrollada en estos conceptos se reitera a continuación:</w:t>
      </w:r>
    </w:p>
    <w:p w14:paraId="46B95C11" w14:textId="77777777" w:rsidR="003C7067" w:rsidRPr="00924DEF" w:rsidRDefault="003C7067" w:rsidP="003C7067">
      <w:pPr>
        <w:spacing w:line="276" w:lineRule="auto"/>
        <w:ind w:firstLine="708"/>
        <w:jc w:val="both"/>
        <w:rPr>
          <w:rFonts w:ascii="Arial" w:hAnsi="Arial" w:cs="Arial"/>
          <w:sz w:val="22"/>
          <w:szCs w:val="22"/>
          <w:lang w:val="es-MX"/>
        </w:rPr>
      </w:pPr>
    </w:p>
    <w:p w14:paraId="500DDBC1" w14:textId="77777777" w:rsidR="003C7067" w:rsidRDefault="003C7067" w:rsidP="003C7067">
      <w:pPr>
        <w:spacing w:line="276" w:lineRule="auto"/>
        <w:jc w:val="both"/>
        <w:rPr>
          <w:rFonts w:ascii="Arial" w:eastAsia="Calibri" w:hAnsi="Arial" w:cs="Arial"/>
          <w:b/>
          <w:bCs/>
          <w:sz w:val="22"/>
          <w:szCs w:val="22"/>
          <w:lang w:val="es-ES"/>
        </w:rPr>
      </w:pPr>
      <w:r>
        <w:rPr>
          <w:rFonts w:ascii="Arial" w:eastAsia="Calibri" w:hAnsi="Arial" w:cs="Arial"/>
          <w:b/>
          <w:bCs/>
          <w:sz w:val="22"/>
          <w:szCs w:val="22"/>
          <w:lang w:val="es-ES"/>
        </w:rPr>
        <w:t xml:space="preserve">2.1. </w:t>
      </w:r>
      <w:r w:rsidRPr="00782B2F">
        <w:rPr>
          <w:rFonts w:ascii="Arial" w:eastAsia="Arial" w:hAnsi="Arial" w:cs="Arial"/>
          <w:b/>
          <w:bCs/>
          <w:color w:val="000000"/>
          <w:sz w:val="22"/>
          <w:lang w:val="es-ES_tradnl"/>
        </w:rPr>
        <w:t>Fundamento normativo de</w:t>
      </w:r>
      <w:r>
        <w:rPr>
          <w:rFonts w:ascii="Arial" w:eastAsia="Calibri" w:hAnsi="Arial" w:cs="Arial"/>
          <w:b/>
          <w:bCs/>
          <w:sz w:val="22"/>
          <w:szCs w:val="22"/>
          <w:lang w:val="es-ES"/>
        </w:rPr>
        <w:t xml:space="preserve"> los documentos tipo para obra pública de infraestructura de transporte </w:t>
      </w:r>
    </w:p>
    <w:p w14:paraId="3EB46450" w14:textId="77777777" w:rsidR="003C7067" w:rsidRDefault="003C7067" w:rsidP="003C7067">
      <w:pPr>
        <w:spacing w:line="276" w:lineRule="auto"/>
        <w:jc w:val="both"/>
        <w:rPr>
          <w:rFonts w:ascii="Arial" w:eastAsia="Calibri" w:hAnsi="Arial" w:cs="Arial"/>
          <w:b/>
          <w:bCs/>
          <w:sz w:val="22"/>
          <w:szCs w:val="22"/>
          <w:lang w:val="es-ES"/>
        </w:rPr>
      </w:pPr>
    </w:p>
    <w:p w14:paraId="29792BCD" w14:textId="77777777" w:rsidR="003C7067" w:rsidRPr="000418EA" w:rsidRDefault="003C7067" w:rsidP="003C7067">
      <w:pPr>
        <w:shd w:val="clear" w:color="auto" w:fill="FFFFFF"/>
        <w:spacing w:line="276" w:lineRule="auto"/>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lastRenderedPageBreak/>
        <w:t>Los pliegos tipo surgen en el 2007 cuando el legislador facultó al Gobierno Nacional para adoptarlos en la compra o suministro de bienes de características técnicas uniformes</w:t>
      </w:r>
      <w:r w:rsidRPr="000418EA">
        <w:rPr>
          <w:rFonts w:ascii="Arial" w:eastAsiaTheme="minorHAnsi" w:hAnsi="Arial" w:cs="Arial"/>
          <w:color w:val="0D0D0D"/>
          <w:sz w:val="22"/>
          <w:szCs w:val="22"/>
          <w:bdr w:val="none" w:sz="0" w:space="0" w:color="auto" w:frame="1"/>
          <w:vertAlign w:val="superscript"/>
          <w:lang w:val="es-MX" w:eastAsia="es-CO"/>
        </w:rPr>
        <w:footnoteReference w:id="2"/>
      </w:r>
      <w:r w:rsidRPr="000418EA">
        <w:rPr>
          <w:rFonts w:ascii="Arial" w:eastAsiaTheme="minorHAnsi" w:hAnsi="Arial" w:cs="Arial"/>
          <w:color w:val="0D0D0D"/>
          <w:sz w:val="22"/>
          <w:szCs w:val="22"/>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0418EA">
        <w:rPr>
          <w:rFonts w:ascii="Arial" w:eastAsiaTheme="minorHAnsi" w:hAnsi="Arial" w:cs="Arial"/>
          <w:color w:val="0D0D0D"/>
          <w:sz w:val="22"/>
          <w:szCs w:val="22"/>
          <w:bdr w:val="none" w:sz="0" w:space="0" w:color="auto" w:frame="1"/>
          <w:vertAlign w:val="superscript"/>
          <w:lang w:val="es-MX" w:eastAsia="es-CO"/>
        </w:rPr>
        <w:footnoteReference w:id="3"/>
      </w:r>
      <w:r w:rsidRPr="000418EA">
        <w:rPr>
          <w:rFonts w:ascii="Arial" w:eastAsiaTheme="minorHAnsi" w:hAnsi="Arial" w:cs="Arial"/>
          <w:color w:val="0D0D0D"/>
          <w:sz w:val="22"/>
          <w:szCs w:val="22"/>
          <w:bdr w:val="none" w:sz="0" w:space="0" w:color="auto" w:frame="1"/>
          <w:lang w:val="es-MX" w:eastAsia="es-CO"/>
        </w:rPr>
        <w:t>. </w:t>
      </w:r>
    </w:p>
    <w:p w14:paraId="2892300A" w14:textId="77777777" w:rsidR="003C7067" w:rsidRPr="000418EA" w:rsidRDefault="003C7067" w:rsidP="003C7067">
      <w:pPr>
        <w:shd w:val="clear" w:color="auto" w:fill="FFFFFF"/>
        <w:spacing w:before="120"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0418EA">
        <w:rPr>
          <w:rFonts w:ascii="Arial" w:eastAsiaTheme="minorHAnsi" w:hAnsi="Arial" w:cs="Arial"/>
          <w:color w:val="0D0D0D"/>
          <w:sz w:val="22"/>
          <w:szCs w:val="22"/>
          <w:bdr w:val="none" w:sz="0" w:space="0" w:color="auto" w:frame="1"/>
          <w:vertAlign w:val="superscript"/>
          <w:lang w:val="es-MX" w:eastAsia="es-CO"/>
        </w:rPr>
        <w:footnoteReference w:id="4"/>
      </w:r>
      <w:r w:rsidRPr="000418EA">
        <w:rPr>
          <w:rFonts w:ascii="Arial" w:eastAsiaTheme="minorHAnsi" w:hAnsi="Arial" w:cs="Arial"/>
          <w:color w:val="0D0D0D"/>
          <w:sz w:val="22"/>
          <w:szCs w:val="22"/>
          <w:bdr w:val="none" w:sz="0" w:space="0" w:color="auto" w:frame="1"/>
          <w:lang w:val="es-MX" w:eastAsia="es-CO"/>
        </w:rPr>
        <w:t>. Sin embargo, en el texto aprobado, los pliegos tipo se limitaron a la adquisición o suministro de bienes de características técnicas uniformes</w:t>
      </w:r>
      <w:r w:rsidRPr="000418EA">
        <w:rPr>
          <w:rFonts w:ascii="Arial" w:eastAsiaTheme="minorHAnsi" w:hAnsi="Arial" w:cs="Arial"/>
          <w:color w:val="0D0D0D"/>
          <w:sz w:val="22"/>
          <w:szCs w:val="22"/>
          <w:bdr w:val="none" w:sz="0" w:space="0" w:color="auto" w:frame="1"/>
          <w:vertAlign w:val="superscript"/>
          <w:lang w:val="es-MX" w:eastAsia="es-CO"/>
        </w:rPr>
        <w:footnoteReference w:id="5"/>
      </w:r>
      <w:r w:rsidRPr="000418EA">
        <w:rPr>
          <w:rFonts w:ascii="Arial" w:eastAsiaTheme="minorHAnsi" w:hAnsi="Arial" w:cs="Arial"/>
          <w:color w:val="0D0D0D"/>
          <w:sz w:val="22"/>
          <w:szCs w:val="22"/>
          <w:bdr w:val="none" w:sz="0" w:space="0" w:color="auto" w:frame="1"/>
          <w:lang w:val="es-MX" w:eastAsia="es-CO"/>
        </w:rPr>
        <w:t>. </w:t>
      </w:r>
    </w:p>
    <w:p w14:paraId="0B49BDF0" w14:textId="77777777" w:rsidR="003C7067" w:rsidRPr="000418EA" w:rsidRDefault="003C7067" w:rsidP="003C7067">
      <w:pPr>
        <w:shd w:val="clear" w:color="auto" w:fill="FFFFFF"/>
        <w:spacing w:before="120" w:line="276" w:lineRule="auto"/>
        <w:ind w:firstLine="709"/>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Posteriormente, el artículo 2, parágrafo 7º, de la Ley 1150 de 2007, adicionado por el artículo 4 de la Ley 1882 de 2018, establece la obligatoriedad de la adopción de documentos tipo para algunos contratos, en los siguientes términos: </w:t>
      </w:r>
    </w:p>
    <w:p w14:paraId="27084C8C" w14:textId="77777777" w:rsidR="003C7067" w:rsidRPr="000418EA" w:rsidRDefault="003C7067" w:rsidP="003C7067">
      <w:pPr>
        <w:shd w:val="clear" w:color="auto" w:fill="FFFFFF"/>
        <w:spacing w:line="276" w:lineRule="auto"/>
        <w:ind w:firstLine="709"/>
        <w:jc w:val="both"/>
        <w:rPr>
          <w:rFonts w:ascii="Arial" w:eastAsiaTheme="minorHAnsi" w:hAnsi="Arial" w:cs="Arial"/>
          <w:color w:val="000000"/>
          <w:sz w:val="22"/>
          <w:szCs w:val="22"/>
          <w:lang w:val="es-MX" w:eastAsia="es-CO"/>
        </w:rPr>
      </w:pPr>
    </w:p>
    <w:p w14:paraId="046D5EB8" w14:textId="77777777" w:rsidR="003C7067" w:rsidRPr="000418EA" w:rsidRDefault="003C7067" w:rsidP="003C7067">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0418EA">
        <w:rPr>
          <w:rFonts w:ascii="Arial" w:eastAsiaTheme="minorHAnsi"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0418EA">
        <w:rPr>
          <w:rFonts w:ascii="Arial" w:eastAsiaTheme="minorHAnsi" w:hAnsi="Arial" w:cs="Arial"/>
          <w:i/>
          <w:iCs/>
          <w:color w:val="0D0D0D"/>
          <w:sz w:val="21"/>
          <w:szCs w:val="21"/>
          <w:bdr w:val="none" w:sz="0" w:space="0" w:color="auto" w:frame="1"/>
          <w:lang w:val="es-MX" w:eastAsia="es-CO"/>
        </w:rPr>
        <w:t xml:space="preserve">Dentro de los documentos tipo el Gobierno adoptará de manera general y con alcance obligatorio para todas las entidades sometidas al Estatuto General de Contratación de la Administración Pública, las condiciones habilitantes, así como los factores técnicos y económicos de </w:t>
      </w:r>
      <w:r w:rsidRPr="000418EA">
        <w:rPr>
          <w:rFonts w:ascii="Arial" w:eastAsiaTheme="minorHAnsi" w:hAnsi="Arial" w:cs="Arial"/>
          <w:i/>
          <w:iCs/>
          <w:color w:val="0D0D0D"/>
          <w:sz w:val="21"/>
          <w:szCs w:val="21"/>
          <w:bdr w:val="none" w:sz="0" w:space="0" w:color="auto" w:frame="1"/>
          <w:lang w:val="es-MX" w:eastAsia="es-CO"/>
        </w:rPr>
        <w:lastRenderedPageBreak/>
        <w:t>escogencia</w:t>
      </w:r>
      <w:r w:rsidRPr="000418EA">
        <w:rPr>
          <w:rFonts w:ascii="Arial" w:eastAsiaTheme="minorHAnsi" w:hAnsi="Arial" w:cs="Arial"/>
          <w:color w:val="0D0D0D"/>
          <w:sz w:val="21"/>
          <w:szCs w:val="21"/>
          <w:bdr w:val="none" w:sz="0" w:space="0" w:color="auto" w:frame="1"/>
          <w:lang w:val="es-MX" w:eastAsia="es-CO"/>
        </w:rPr>
        <w:t> […] </w:t>
      </w:r>
      <w:r w:rsidRPr="000418EA">
        <w:rPr>
          <w:rFonts w:ascii="Arial" w:eastAsiaTheme="minorHAnsi" w:hAnsi="Arial" w:cs="Arial"/>
          <w:i/>
          <w:iCs/>
          <w:color w:val="0D0D0D"/>
          <w:sz w:val="21"/>
          <w:szCs w:val="21"/>
          <w:bdr w:val="none" w:sz="0" w:space="0" w:color="auto" w:frame="1"/>
          <w:lang w:val="es-MX" w:eastAsia="es-CO"/>
        </w:rPr>
        <w:t>teniendo en cuenta la naturaleza y cuantía de los contratos</w:t>
      </w:r>
      <w:r w:rsidRPr="000418EA">
        <w:rPr>
          <w:rFonts w:ascii="Arial" w:eastAsiaTheme="minorHAnsi" w:hAnsi="Arial" w:cs="Arial"/>
          <w:color w:val="0D0D0D"/>
          <w:sz w:val="21"/>
          <w:szCs w:val="21"/>
          <w:bdr w:val="none" w:sz="0" w:space="0" w:color="auto" w:frame="1"/>
          <w:lang w:val="es-MX" w:eastAsia="es-CO"/>
        </w:rPr>
        <w:t> […]. (Énfasis fuera de texto) </w:t>
      </w:r>
    </w:p>
    <w:p w14:paraId="72D773BC" w14:textId="77777777" w:rsidR="003C7067" w:rsidRPr="000418EA" w:rsidRDefault="003C7067" w:rsidP="003C7067">
      <w:pPr>
        <w:shd w:val="clear" w:color="auto" w:fill="FFFFFF"/>
        <w:spacing w:line="276" w:lineRule="auto"/>
        <w:ind w:left="709" w:right="709"/>
        <w:jc w:val="both"/>
        <w:rPr>
          <w:rFonts w:ascii="Arial" w:eastAsiaTheme="minorHAnsi" w:hAnsi="Arial" w:cs="Arial"/>
          <w:color w:val="000000"/>
          <w:sz w:val="22"/>
          <w:szCs w:val="22"/>
          <w:lang w:val="es-MX" w:eastAsia="es-CO"/>
        </w:rPr>
      </w:pPr>
    </w:p>
    <w:p w14:paraId="4E7FEAA8" w14:textId="77777777" w:rsidR="003C7067" w:rsidRPr="000418EA" w:rsidRDefault="003C7067" w:rsidP="003C7067">
      <w:pPr>
        <w:shd w:val="clear" w:color="auto" w:fill="FFFFFF"/>
        <w:spacing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0418EA">
        <w:rPr>
          <w:rFonts w:ascii="Arial" w:eastAsiaTheme="minorHAnsi" w:hAnsi="Arial" w:cs="Arial"/>
          <w:color w:val="0D0D0D"/>
          <w:sz w:val="22"/>
          <w:szCs w:val="22"/>
          <w:bdr w:val="none" w:sz="0" w:space="0" w:color="auto" w:frame="1"/>
          <w:lang w:val="es-MX" w:eastAsia="es-CO"/>
        </w:rPr>
        <w:t>ii</w:t>
      </w:r>
      <w:proofErr w:type="spellEnd"/>
      <w:r w:rsidRPr="000418EA">
        <w:rPr>
          <w:rFonts w:ascii="Arial" w:eastAsiaTheme="minorHAnsi" w:hAnsi="Arial" w:cs="Arial"/>
          <w:color w:val="0D0D0D"/>
          <w:sz w:val="22"/>
          <w:szCs w:val="22"/>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0418EA">
        <w:rPr>
          <w:rFonts w:ascii="Arial" w:eastAsiaTheme="minorHAnsi" w:hAnsi="Arial" w:cs="Arial"/>
          <w:color w:val="0D0D0D"/>
          <w:sz w:val="22"/>
          <w:szCs w:val="22"/>
          <w:bdr w:val="none" w:sz="0" w:space="0" w:color="auto" w:frame="1"/>
          <w:lang w:val="es-MX" w:eastAsia="es-CO"/>
        </w:rPr>
        <w:t>iii</w:t>
      </w:r>
      <w:proofErr w:type="spellEnd"/>
      <w:r w:rsidRPr="000418EA">
        <w:rPr>
          <w:rFonts w:ascii="Arial" w:eastAsiaTheme="minorHAnsi" w:hAnsi="Arial" w:cs="Arial"/>
          <w:color w:val="0D0D0D"/>
          <w:sz w:val="22"/>
          <w:szCs w:val="22"/>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0418EA">
        <w:rPr>
          <w:rFonts w:ascii="Arial" w:eastAsiaTheme="minorHAnsi" w:hAnsi="Arial" w:cs="Arial"/>
          <w:color w:val="0D0D0D"/>
          <w:sz w:val="22"/>
          <w:szCs w:val="22"/>
          <w:bdr w:val="none" w:sz="0" w:space="0" w:color="auto" w:frame="1"/>
          <w:lang w:val="es-MX" w:eastAsia="es-CO"/>
        </w:rPr>
        <w:t>iv</w:t>
      </w:r>
      <w:proofErr w:type="spellEnd"/>
      <w:r w:rsidRPr="000418EA">
        <w:rPr>
          <w:rFonts w:ascii="Arial" w:eastAsiaTheme="minorHAnsi" w:hAnsi="Arial" w:cs="Arial"/>
          <w:color w:val="0D0D0D"/>
          <w:sz w:val="22"/>
          <w:szCs w:val="22"/>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18EA">
        <w:rPr>
          <w:rFonts w:ascii="Arial" w:eastAsiaTheme="minorHAnsi" w:hAnsi="Arial" w:cs="Arial"/>
          <w:color w:val="0D0D0D"/>
          <w:sz w:val="22"/>
          <w:szCs w:val="22"/>
          <w:bdr w:val="none" w:sz="0" w:space="0" w:color="auto" w:frame="1"/>
          <w:vertAlign w:val="superscript"/>
          <w:lang w:val="es-MX" w:eastAsia="es-CO"/>
        </w:rPr>
        <w:footnoteReference w:id="6"/>
      </w:r>
      <w:r w:rsidRPr="000418EA">
        <w:rPr>
          <w:rFonts w:ascii="Arial" w:eastAsiaTheme="minorHAnsi" w:hAnsi="Arial" w:cs="Arial"/>
          <w:color w:val="0D0D0D"/>
          <w:sz w:val="22"/>
          <w:szCs w:val="22"/>
          <w:bdr w:val="none" w:sz="0" w:space="0" w:color="auto" w:frame="1"/>
          <w:lang w:val="es-MX" w:eastAsia="es-CO"/>
        </w:rPr>
        <w:t>.  </w:t>
      </w:r>
    </w:p>
    <w:p w14:paraId="1C5A1682" w14:textId="77777777" w:rsidR="003C7067" w:rsidRPr="000418EA" w:rsidRDefault="003C7067" w:rsidP="003C7067">
      <w:pPr>
        <w:shd w:val="clear" w:color="auto" w:fill="FFFFFF"/>
        <w:spacing w:before="120" w:line="276" w:lineRule="auto"/>
        <w:ind w:firstLine="703"/>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 xml:space="preserve">Sin perjuicio de lo anterior, la exposición de motivos del proyecto que se convirtió en la Ley 1882 de 2018 se refirió a la necesidad de utilizar documentos tipo, pues reducen el tiempo de los procesos de contratación y contribuyen al logro de una contratación pública </w:t>
      </w:r>
      <w:r w:rsidRPr="000418EA">
        <w:rPr>
          <w:rFonts w:ascii="Arial" w:eastAsiaTheme="minorHAnsi" w:hAnsi="Arial" w:cs="Arial"/>
          <w:color w:val="0D0D0D"/>
          <w:sz w:val="22"/>
          <w:szCs w:val="22"/>
          <w:bdr w:val="none" w:sz="0" w:space="0" w:color="auto" w:frame="1"/>
          <w:lang w:val="es-MX" w:eastAsia="es-CO"/>
        </w:rPr>
        <w:lastRenderedPageBreak/>
        <w:t>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471E4D25" w14:textId="77777777" w:rsidR="003C7067" w:rsidRPr="000418EA" w:rsidRDefault="003C7067" w:rsidP="003C7067">
      <w:pPr>
        <w:shd w:val="clear" w:color="auto" w:fill="FFFFFF"/>
        <w:spacing w:before="120" w:line="276" w:lineRule="auto"/>
        <w:ind w:firstLine="705"/>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70826F10" w14:textId="77777777" w:rsidR="003C7067" w:rsidRPr="000418EA" w:rsidRDefault="003C7067" w:rsidP="003C7067">
      <w:pPr>
        <w:shd w:val="clear" w:color="auto" w:fill="FFFFFF"/>
        <w:spacing w:before="120" w:line="276" w:lineRule="auto"/>
        <w:ind w:firstLine="705"/>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56EBA4DC" w14:textId="77777777" w:rsidR="003C7067" w:rsidRPr="000418EA" w:rsidRDefault="003C7067" w:rsidP="003C7067">
      <w:pPr>
        <w:shd w:val="clear" w:color="auto" w:fill="FFFFFF"/>
        <w:spacing w:before="120" w:line="276" w:lineRule="auto"/>
        <w:ind w:firstLine="705"/>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29206311" w14:textId="77777777" w:rsidR="003C7067" w:rsidRPr="000418EA" w:rsidRDefault="003C7067" w:rsidP="003C7067">
      <w:pPr>
        <w:shd w:val="clear" w:color="auto" w:fill="FFFFFF"/>
        <w:spacing w:before="120" w:line="276" w:lineRule="auto"/>
        <w:ind w:firstLine="705"/>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5A85402B" w14:textId="77777777" w:rsidR="003C7067" w:rsidRPr="000418EA" w:rsidRDefault="003C7067" w:rsidP="003C7067">
      <w:pPr>
        <w:shd w:val="clear" w:color="auto" w:fill="FFFFFF"/>
        <w:spacing w:before="120"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 xml:space="preserve">El Gobierno Nacional ejerció nuevamente la competencia prevista en el citado artículo 4 de la Ley 1882 de 2018, expidiendo el Decreto 2096 de 2019. Mediante ese Decreto se autorizaron los documentos tipo para procesos de contratación de obra pública de infraestructura de transporte adelantados en la modalidad de selección abreviada de </w:t>
      </w:r>
      <w:r w:rsidRPr="000418EA">
        <w:rPr>
          <w:rFonts w:ascii="Arial" w:eastAsiaTheme="minorHAnsi" w:hAnsi="Arial" w:cs="Arial"/>
          <w:color w:val="0D0D0D"/>
          <w:sz w:val="22"/>
          <w:szCs w:val="22"/>
          <w:bdr w:val="none" w:sz="0" w:space="0" w:color="auto" w:frame="1"/>
          <w:lang w:val="es-MX" w:eastAsia="es-CO"/>
        </w:rPr>
        <w:lastRenderedPageBreak/>
        <w:t>menor cuantía. Este reglamento adicionó la Subsección 2 a la Sección 6 del Capítulo 2 del Título 1 de la parte 2 del Libro 2 del Decreto 1082 de 2015. </w:t>
      </w:r>
    </w:p>
    <w:p w14:paraId="44FB85EA" w14:textId="77777777" w:rsidR="003C7067" w:rsidRPr="000418EA" w:rsidRDefault="003C7067" w:rsidP="003C7067">
      <w:pPr>
        <w:shd w:val="clear" w:color="auto" w:fill="FFFFFF"/>
        <w:spacing w:before="120"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 xml:space="preserve">El artículo 2.2.1.2.6.2.2 del Decreto 1082 de 2015 contiene el listado de los documentos tipo aplicables a los procesos de selección abreviada de menor cuantía para la contratación de obra pública de infraestructura de transporte. Además, el 2.2.1.2.6.2.3 </w:t>
      </w:r>
      <w:r w:rsidRPr="000418EA">
        <w:rPr>
          <w:rFonts w:ascii="Arial" w:eastAsiaTheme="minorHAnsi" w:hAnsi="Arial" w:cs="Arial"/>
          <w:i/>
          <w:iCs/>
          <w:color w:val="0D0D0D"/>
          <w:sz w:val="22"/>
          <w:szCs w:val="22"/>
          <w:bdr w:val="none" w:sz="0" w:space="0" w:color="auto" w:frame="1"/>
          <w:lang w:val="es-MX" w:eastAsia="es-CO"/>
        </w:rPr>
        <w:t>ibidem</w:t>
      </w:r>
      <w:r w:rsidRPr="000418EA">
        <w:rPr>
          <w:rFonts w:ascii="Arial" w:eastAsiaTheme="minorHAnsi" w:hAnsi="Arial" w:cs="Arial"/>
          <w:color w:val="0D0D0D"/>
          <w:sz w:val="22"/>
          <w:szCs w:val="22"/>
          <w:bdr w:val="none" w:sz="0" w:space="0" w:color="auto" w:frame="1"/>
          <w:lang w:val="es-MX" w:eastAsia="es-CO"/>
        </w:rPr>
        <w:t xml:space="preserve">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004D491D" w14:textId="77777777" w:rsidR="003C7067" w:rsidRPr="000418EA" w:rsidRDefault="003C7067" w:rsidP="003C7067">
      <w:pPr>
        <w:shd w:val="clear" w:color="auto" w:fill="FFFFFF"/>
        <w:spacing w:before="120"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2FFA8E9D" w14:textId="77777777" w:rsidR="003C7067" w:rsidRPr="000418EA" w:rsidRDefault="003C7067" w:rsidP="003C7067">
      <w:pPr>
        <w:shd w:val="clear" w:color="auto" w:fill="FFFFFF"/>
        <w:spacing w:before="120" w:line="276" w:lineRule="auto"/>
        <w:ind w:firstLine="708"/>
        <w:jc w:val="both"/>
        <w:rPr>
          <w:rFonts w:ascii="Arial" w:eastAsiaTheme="minorHAnsi" w:hAnsi="Arial" w:cs="Arial"/>
          <w:color w:val="0D0D0D"/>
          <w:sz w:val="22"/>
          <w:szCs w:val="22"/>
          <w:bdr w:val="none" w:sz="0" w:space="0" w:color="auto" w:frame="1"/>
          <w:lang w:val="es-MX" w:eastAsia="es-CO"/>
        </w:rPr>
      </w:pPr>
      <w:r w:rsidRPr="000418EA">
        <w:rPr>
          <w:rFonts w:ascii="Arial" w:eastAsiaTheme="minorHAnsi" w:hAnsi="Arial" w:cs="Arial"/>
          <w:color w:val="0D0D0D"/>
          <w:sz w:val="22"/>
          <w:szCs w:val="22"/>
          <w:bdr w:val="none" w:sz="0" w:space="0" w:color="auto" w:frame="1"/>
          <w:lang w:val="es-MX"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3A3DF5E7" w14:textId="77777777" w:rsidR="003C7067" w:rsidRDefault="003C7067" w:rsidP="003C7067">
      <w:pPr>
        <w:spacing w:before="120" w:line="276" w:lineRule="auto"/>
        <w:ind w:firstLine="709"/>
        <w:jc w:val="both"/>
        <w:rPr>
          <w:rFonts w:ascii="Arial" w:hAnsi="Arial" w:cs="Arial"/>
          <w:color w:val="0D0D0D"/>
          <w:sz w:val="22"/>
          <w:szCs w:val="22"/>
          <w:bdr w:val="none" w:sz="0" w:space="0" w:color="auto" w:frame="1"/>
          <w:lang w:val="es-ES_tradnl" w:eastAsia="es-CO"/>
        </w:rPr>
      </w:pPr>
      <w:r w:rsidRPr="000418EA">
        <w:rPr>
          <w:rFonts w:ascii="Arial" w:hAnsi="Arial" w:cs="Arial"/>
          <w:color w:val="0D0D0D"/>
          <w:sz w:val="22"/>
          <w:szCs w:val="22"/>
          <w:bdr w:val="none" w:sz="0" w:space="0" w:color="auto" w:frame="1"/>
          <w:lang w:val="es-ES_tradnl" w:eastAsia="es-CO"/>
        </w:rPr>
        <w:t xml:space="preserve">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a través de las cuales se adoptan los documentos tipo de licitación de obra pública – versión 3 y de selección abreviada de menor cuantía – versión 2 de infraestructura de transporte, los cuales son obligatorios a partir del 1º de enero de 2021. </w:t>
      </w:r>
    </w:p>
    <w:p w14:paraId="760F711D" w14:textId="77777777" w:rsidR="003C7067" w:rsidRPr="00E01710" w:rsidRDefault="003C7067" w:rsidP="003C7067">
      <w:pPr>
        <w:spacing w:before="120" w:line="276" w:lineRule="auto"/>
        <w:ind w:firstLine="709"/>
        <w:jc w:val="both"/>
        <w:rPr>
          <w:rFonts w:ascii="Arial" w:hAnsi="Arial" w:cs="Arial"/>
          <w:color w:val="0D0D0D"/>
          <w:sz w:val="22"/>
          <w:szCs w:val="22"/>
          <w:bdr w:val="none" w:sz="0" w:space="0" w:color="auto" w:frame="1"/>
          <w:lang w:val="es-ES_tradnl" w:eastAsia="es-CO"/>
        </w:rPr>
      </w:pPr>
      <w:r>
        <w:rPr>
          <w:rFonts w:ascii="Arial" w:hAnsi="Arial" w:cs="Arial"/>
          <w:color w:val="0D0D0D"/>
          <w:sz w:val="22"/>
          <w:szCs w:val="22"/>
          <w:bdr w:val="none" w:sz="0" w:space="0" w:color="auto" w:frame="1"/>
          <w:lang w:val="es-ES_tradnl" w:eastAsia="es-CO"/>
        </w:rPr>
        <w:t>Adicionalmente</w:t>
      </w:r>
      <w:r w:rsidRPr="000418EA">
        <w:rPr>
          <w:rFonts w:ascii="Arial" w:hAnsi="Arial" w:cs="Arial"/>
          <w:color w:val="0D0D0D"/>
          <w:sz w:val="22"/>
          <w:szCs w:val="22"/>
          <w:bdr w:val="none" w:sz="0" w:space="0" w:color="auto" w:frame="1"/>
          <w:lang w:val="es-ES_tradnl" w:eastAsia="es-CO"/>
        </w:rPr>
        <w:t>, con la expedición de la Ley de Emprendimiento, estos se ajustaron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w:t>
      </w:r>
      <w:r>
        <w:rPr>
          <w:rFonts w:ascii="Arial" w:hAnsi="Arial" w:cs="Arial"/>
          <w:color w:val="0D0D0D"/>
          <w:sz w:val="22"/>
          <w:szCs w:val="22"/>
          <w:bdr w:val="none" w:sz="0" w:space="0" w:color="auto" w:frame="1"/>
          <w:lang w:val="es-ES_tradnl" w:eastAsia="es-CO"/>
        </w:rPr>
        <w:t xml:space="preserve"> Por último, para ajustar el </w:t>
      </w:r>
      <w:r>
        <w:rPr>
          <w:rFonts w:ascii="Arial" w:hAnsi="Arial" w:cs="Arial"/>
          <w:color w:val="0D0D0D"/>
          <w:sz w:val="22"/>
          <w:szCs w:val="22"/>
          <w:bdr w:val="none" w:sz="0" w:space="0" w:color="auto" w:frame="1"/>
          <w:lang w:val="es-ES_tradnl" w:eastAsia="es-CO"/>
        </w:rPr>
        <w:lastRenderedPageBreak/>
        <w:t>contenido a las normas de la regla de origen del Decreto 680 del 22 de junio de 2021, recientemente la Agencia modificó los documentos tipo a través de la Resolución No. 304 del 13 de octubre de 2021, la cual comienza a regir para los procesos de contratación cuyo aviso de convocatoria se publique a partir del 2 de noviembre de 2021</w:t>
      </w:r>
      <w:r w:rsidRPr="00895D5C">
        <w:rPr>
          <w:rFonts w:ascii="Arial" w:hAnsi="Arial" w:cs="Arial"/>
          <w:color w:val="0D0D0D"/>
          <w:sz w:val="22"/>
          <w:bdr w:val="none" w:sz="0" w:space="0" w:color="auto" w:frame="1"/>
          <w:lang w:eastAsia="es-CO"/>
        </w:rPr>
        <w:t>.</w:t>
      </w:r>
    </w:p>
    <w:p w14:paraId="49734957" w14:textId="77777777" w:rsidR="003C7067" w:rsidRPr="00924DEF" w:rsidRDefault="003C7067" w:rsidP="003C7067">
      <w:pPr>
        <w:jc w:val="both"/>
        <w:rPr>
          <w:rFonts w:ascii="Arial" w:eastAsia="Calibri" w:hAnsi="Arial" w:cs="Arial"/>
          <w:sz w:val="22"/>
          <w:szCs w:val="22"/>
          <w:lang w:val="es-MX"/>
        </w:rPr>
      </w:pPr>
    </w:p>
    <w:p w14:paraId="66D16658" w14:textId="77777777" w:rsidR="003C7067" w:rsidRPr="00924DEF" w:rsidRDefault="003C7067" w:rsidP="003C7067">
      <w:pPr>
        <w:jc w:val="both"/>
        <w:rPr>
          <w:rFonts w:ascii="Arial" w:eastAsia="Calibri" w:hAnsi="Arial" w:cs="Arial"/>
          <w:b/>
          <w:sz w:val="22"/>
          <w:szCs w:val="22"/>
          <w:lang w:val="es-MX"/>
        </w:rPr>
      </w:pPr>
      <w:r w:rsidRPr="00924DEF">
        <w:rPr>
          <w:rFonts w:ascii="Arial" w:eastAsia="Calibri" w:hAnsi="Arial" w:cs="Arial"/>
          <w:b/>
          <w:sz w:val="22"/>
          <w:szCs w:val="22"/>
          <w:lang w:val="es-MX"/>
        </w:rPr>
        <w:t>2.</w:t>
      </w:r>
      <w:r>
        <w:rPr>
          <w:rFonts w:ascii="Arial" w:eastAsia="Calibri" w:hAnsi="Arial" w:cs="Arial"/>
          <w:b/>
          <w:sz w:val="22"/>
          <w:szCs w:val="22"/>
          <w:lang w:val="es-MX"/>
        </w:rPr>
        <w:t>2</w:t>
      </w:r>
      <w:r w:rsidRPr="00924DEF">
        <w:rPr>
          <w:rFonts w:ascii="Arial" w:eastAsia="Calibri" w:hAnsi="Arial" w:cs="Arial"/>
          <w:b/>
          <w:sz w:val="22"/>
          <w:szCs w:val="22"/>
          <w:lang w:val="es-MX"/>
        </w:rPr>
        <w:t>. Aproximación general al concepto de experiencia en la contratación pública</w:t>
      </w:r>
    </w:p>
    <w:p w14:paraId="0A5032B6" w14:textId="77777777" w:rsidR="003C7067" w:rsidRPr="00924DEF" w:rsidRDefault="003C7067" w:rsidP="003C7067">
      <w:pPr>
        <w:spacing w:line="276" w:lineRule="auto"/>
        <w:jc w:val="both"/>
        <w:rPr>
          <w:rFonts w:ascii="Arial" w:eastAsia="Calibri" w:hAnsi="Arial" w:cs="Arial"/>
          <w:b/>
          <w:sz w:val="22"/>
          <w:szCs w:val="22"/>
          <w:lang w:val="es-MX"/>
        </w:rPr>
      </w:pPr>
    </w:p>
    <w:p w14:paraId="41B62371" w14:textId="77777777" w:rsidR="003C7067" w:rsidRPr="00E65B0E" w:rsidRDefault="003C7067" w:rsidP="003C7067">
      <w:pPr>
        <w:spacing w:line="276" w:lineRule="auto"/>
        <w:jc w:val="both"/>
        <w:rPr>
          <w:rFonts w:ascii="Arial" w:eastAsia="Calibri" w:hAnsi="Arial" w:cs="Arial"/>
          <w:sz w:val="22"/>
          <w:szCs w:val="22"/>
          <w:highlight w:val="yellow"/>
          <w:lang w:val="es-MX"/>
        </w:rPr>
      </w:pPr>
      <w:r w:rsidRPr="00E65B0E">
        <w:rPr>
          <w:rFonts w:ascii="Arial" w:eastAsia="Calibri" w:hAnsi="Arial" w:cs="Arial"/>
          <w:sz w:val="22"/>
          <w:szCs w:val="22"/>
          <w:lang w:val="es-MX"/>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E65B0E">
        <w:rPr>
          <w:rFonts w:ascii="Arial" w:eastAsia="Calibri" w:hAnsi="Arial" w:cs="Arial"/>
          <w:sz w:val="22"/>
          <w:szCs w:val="22"/>
          <w:vertAlign w:val="superscript"/>
          <w:lang w:val="es-MX"/>
        </w:rPr>
        <w:footnoteReference w:id="7"/>
      </w:r>
      <w:r w:rsidRPr="00E65B0E">
        <w:rPr>
          <w:rFonts w:ascii="Arial" w:eastAsia="Calibri" w:hAnsi="Arial" w:cs="Arial"/>
          <w:sz w:val="22"/>
          <w:szCs w:val="22"/>
          <w:lang w:val="es-MX"/>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E65B0E">
        <w:rPr>
          <w:rFonts w:ascii="Arial" w:eastAsia="Calibri" w:hAnsi="Arial" w:cs="Arial"/>
          <w:sz w:val="22"/>
          <w:szCs w:val="22"/>
          <w:vertAlign w:val="superscript"/>
          <w:lang w:val="es-MX"/>
        </w:rPr>
        <w:footnoteReference w:id="8"/>
      </w:r>
      <w:r w:rsidRPr="00E65B0E">
        <w:rPr>
          <w:rFonts w:ascii="Arial" w:eastAsia="Calibri" w:hAnsi="Arial" w:cs="Arial"/>
          <w:sz w:val="22"/>
          <w:szCs w:val="22"/>
          <w:lang w:val="es-MX"/>
        </w:rPr>
        <w:t>.</w:t>
      </w:r>
    </w:p>
    <w:p w14:paraId="037A9027" w14:textId="77777777" w:rsidR="003C7067" w:rsidRPr="00E65B0E" w:rsidRDefault="003C7067" w:rsidP="003C7067">
      <w:pPr>
        <w:spacing w:before="120" w:after="120" w:line="276" w:lineRule="auto"/>
        <w:ind w:firstLine="708"/>
        <w:jc w:val="both"/>
        <w:rPr>
          <w:rFonts w:ascii="Arial" w:eastAsia="Calibri" w:hAnsi="Arial" w:cs="Arial"/>
          <w:sz w:val="22"/>
          <w:szCs w:val="22"/>
          <w:lang w:val="es-MX"/>
        </w:rPr>
      </w:pPr>
      <w:r w:rsidRPr="00E65B0E">
        <w:rPr>
          <w:rFonts w:ascii="Arial" w:eastAsia="Calibri" w:hAnsi="Arial" w:cs="Arial"/>
          <w:sz w:val="22"/>
          <w:szCs w:val="22"/>
          <w:lang w:val="es-MX"/>
        </w:rPr>
        <w:t>La experiencia que se deriva de los contratos que el proponente ha celebrado y ejecutado con diferentes contratantes, sin importar la naturaleza de estos, se verifica con el Registro Único de Proponentes –RUP–</w:t>
      </w:r>
      <w:r w:rsidRPr="00E65B0E">
        <w:rPr>
          <w:rFonts w:ascii="Arial" w:eastAsia="Calibri" w:hAnsi="Arial" w:cs="Arial"/>
          <w:sz w:val="22"/>
          <w:szCs w:val="22"/>
          <w:vertAlign w:val="superscript"/>
          <w:lang w:val="es-MX"/>
        </w:rPr>
        <w:footnoteReference w:id="9"/>
      </w:r>
      <w:r w:rsidRPr="00E65B0E">
        <w:rPr>
          <w:rFonts w:ascii="Arial" w:eastAsia="Calibri" w:hAnsi="Arial" w:cs="Arial"/>
          <w:sz w:val="22"/>
          <w:szCs w:val="22"/>
          <w:lang w:val="es-MX"/>
        </w:rPr>
        <w:t xml:space="preserve">, cuando este certificado sea exigible de acuerdo </w:t>
      </w:r>
      <w:r w:rsidRPr="00E65B0E">
        <w:rPr>
          <w:rFonts w:ascii="Arial" w:eastAsia="Calibri" w:hAnsi="Arial" w:cs="Arial"/>
          <w:sz w:val="22"/>
          <w:szCs w:val="22"/>
          <w:lang w:val="es-MX"/>
        </w:rPr>
        <w:lastRenderedPageBreak/>
        <w:t>con la ley. En este registro constan los requisitos habilitantes que se evalúan exclusivamente con este documento, que es plena prueba, sin que la entidad o el proponente puedan solicitar o aportar otra documentación</w:t>
      </w:r>
      <w:r w:rsidRPr="00E65B0E">
        <w:rPr>
          <w:rFonts w:ascii="Arial" w:eastAsia="Calibri" w:hAnsi="Arial" w:cs="Arial"/>
          <w:sz w:val="22"/>
          <w:szCs w:val="22"/>
          <w:vertAlign w:val="superscript"/>
          <w:lang w:val="es-MX"/>
        </w:rPr>
        <w:footnoteReference w:id="10"/>
      </w:r>
      <w:r w:rsidRPr="00E65B0E">
        <w:rPr>
          <w:rFonts w:ascii="Arial" w:eastAsia="Calibri" w:hAnsi="Arial" w:cs="Arial"/>
          <w:sz w:val="22"/>
          <w:szCs w:val="22"/>
          <w:lang w:val="es-MX"/>
        </w:rPr>
        <w:t>.</w:t>
      </w:r>
    </w:p>
    <w:p w14:paraId="0FF8E371" w14:textId="77777777" w:rsidR="003C7067" w:rsidRPr="00E65B0E" w:rsidRDefault="003C7067" w:rsidP="003C7067">
      <w:pPr>
        <w:spacing w:line="276" w:lineRule="auto"/>
        <w:ind w:firstLine="708"/>
        <w:jc w:val="both"/>
        <w:rPr>
          <w:rFonts w:ascii="Arial" w:eastAsia="Calibri" w:hAnsi="Arial" w:cs="Arial"/>
          <w:sz w:val="22"/>
          <w:szCs w:val="22"/>
          <w:lang w:val="es-MX"/>
        </w:rPr>
      </w:pPr>
      <w:r w:rsidRPr="00E65B0E">
        <w:rPr>
          <w:rFonts w:ascii="Arial" w:eastAsia="Calibri" w:hAnsi="Arial" w:cs="Arial"/>
          <w:sz w:val="22"/>
          <w:szCs w:val="22"/>
          <w:lang w:val="es-MX"/>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E65B0E">
        <w:rPr>
          <w:rFonts w:ascii="Arial" w:eastAsia="Calibri" w:hAnsi="Arial" w:cs="Arial"/>
          <w:sz w:val="22"/>
          <w:szCs w:val="22"/>
          <w:vertAlign w:val="superscript"/>
          <w:lang w:val="es-MX"/>
        </w:rPr>
        <w:footnoteReference w:id="11"/>
      </w:r>
      <w:r w:rsidRPr="00E65B0E">
        <w:rPr>
          <w:rFonts w:ascii="Arial" w:eastAsia="Calibri" w:hAnsi="Arial" w:cs="Arial"/>
          <w:sz w:val="22"/>
          <w:szCs w:val="22"/>
          <w:lang w:val="es-MX"/>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5A3A0D29" w14:textId="77777777" w:rsidR="003C7067" w:rsidRPr="00924DEF" w:rsidRDefault="003C7067" w:rsidP="003C7067">
      <w:pPr>
        <w:spacing w:line="276" w:lineRule="auto"/>
        <w:jc w:val="both"/>
        <w:rPr>
          <w:rFonts w:ascii="Arial" w:eastAsia="Calibri" w:hAnsi="Arial" w:cs="Arial"/>
          <w:sz w:val="22"/>
          <w:szCs w:val="22"/>
          <w:lang w:val="es-MX"/>
        </w:rPr>
      </w:pPr>
    </w:p>
    <w:p w14:paraId="0017D70F" w14:textId="77777777" w:rsidR="003C7067" w:rsidRPr="00924DEF" w:rsidRDefault="003C7067" w:rsidP="003C7067">
      <w:pPr>
        <w:spacing w:line="276" w:lineRule="auto"/>
        <w:jc w:val="both"/>
        <w:rPr>
          <w:rFonts w:ascii="Arial" w:eastAsia="Calibri" w:hAnsi="Arial" w:cs="Arial"/>
          <w:b/>
          <w:bCs/>
          <w:sz w:val="22"/>
          <w:szCs w:val="22"/>
          <w:lang w:val="es-MX"/>
        </w:rPr>
      </w:pPr>
      <w:r w:rsidRPr="00924DEF">
        <w:rPr>
          <w:rFonts w:ascii="Arial" w:eastAsia="Calibri" w:hAnsi="Arial" w:cs="Arial"/>
          <w:b/>
          <w:bCs/>
          <w:sz w:val="22"/>
          <w:szCs w:val="22"/>
          <w:lang w:val="es-MX"/>
        </w:rPr>
        <w:lastRenderedPageBreak/>
        <w:t>2.</w:t>
      </w:r>
      <w:r>
        <w:rPr>
          <w:rFonts w:ascii="Arial" w:eastAsia="Calibri" w:hAnsi="Arial" w:cs="Arial"/>
          <w:b/>
          <w:bCs/>
          <w:sz w:val="22"/>
          <w:szCs w:val="22"/>
          <w:lang w:val="es-MX"/>
        </w:rPr>
        <w:t>3</w:t>
      </w:r>
      <w:r w:rsidRPr="00924DEF">
        <w:rPr>
          <w:rFonts w:ascii="Arial" w:eastAsia="Calibri" w:hAnsi="Arial" w:cs="Arial"/>
          <w:b/>
          <w:bCs/>
          <w:sz w:val="22"/>
          <w:szCs w:val="22"/>
          <w:lang w:val="es-MX"/>
        </w:rPr>
        <w:t>. Consideraciones de la Agencia respecto de la experiencia</w:t>
      </w:r>
    </w:p>
    <w:p w14:paraId="2DA202E9" w14:textId="77777777" w:rsidR="003C7067" w:rsidRPr="00924DEF" w:rsidRDefault="003C7067" w:rsidP="003C7067">
      <w:pPr>
        <w:spacing w:line="276" w:lineRule="auto"/>
        <w:jc w:val="both"/>
        <w:rPr>
          <w:rFonts w:ascii="Arial" w:eastAsia="Calibri" w:hAnsi="Arial" w:cs="Arial"/>
          <w:b/>
          <w:bCs/>
          <w:sz w:val="22"/>
          <w:szCs w:val="22"/>
          <w:lang w:val="es-MX"/>
        </w:rPr>
      </w:pPr>
    </w:p>
    <w:p w14:paraId="3B5681C8" w14:textId="77777777" w:rsidR="003C7067" w:rsidRPr="001E0A07" w:rsidRDefault="003C7067" w:rsidP="003C7067">
      <w:pPr>
        <w:spacing w:line="276" w:lineRule="auto"/>
        <w:jc w:val="both"/>
        <w:rPr>
          <w:rFonts w:ascii="Arial" w:eastAsia="Calibri" w:hAnsi="Arial" w:cs="Arial"/>
          <w:sz w:val="22"/>
          <w:szCs w:val="22"/>
          <w:lang w:val="es-MX"/>
        </w:rPr>
      </w:pPr>
      <w:r w:rsidRPr="001E0A07">
        <w:rPr>
          <w:rFonts w:ascii="Arial" w:eastAsia="Calibri" w:hAnsi="Arial" w:cs="Arial"/>
          <w:sz w:val="22"/>
          <w:szCs w:val="22"/>
          <w:lang w:val="es-MX"/>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1E0A07">
        <w:rPr>
          <w:rFonts w:ascii="Arial" w:eastAsia="Calibri" w:hAnsi="Arial" w:cs="Arial"/>
          <w:sz w:val="22"/>
          <w:szCs w:val="22"/>
          <w:vertAlign w:val="superscript"/>
          <w:lang w:val="es-MX"/>
        </w:rPr>
        <w:footnoteReference w:id="12"/>
      </w:r>
      <w:r w:rsidRPr="001E0A07">
        <w:rPr>
          <w:rFonts w:ascii="Arial" w:eastAsia="Calibri" w:hAnsi="Arial" w:cs="Arial"/>
          <w:sz w:val="22"/>
          <w:szCs w:val="22"/>
          <w:lang w:val="es-MX"/>
        </w:rPr>
        <w:t>.</w:t>
      </w:r>
    </w:p>
    <w:p w14:paraId="00BDB4AB" w14:textId="77777777" w:rsidR="003C7067" w:rsidRPr="001E0A07" w:rsidRDefault="003C7067" w:rsidP="003C7067">
      <w:pPr>
        <w:spacing w:before="120" w:after="120" w:line="276" w:lineRule="auto"/>
        <w:ind w:firstLine="708"/>
        <w:jc w:val="both"/>
        <w:rPr>
          <w:rFonts w:ascii="Arial" w:eastAsia="Calibri" w:hAnsi="Arial" w:cs="Arial"/>
          <w:sz w:val="22"/>
          <w:szCs w:val="22"/>
          <w:lang w:val="es-MX"/>
        </w:rPr>
      </w:pPr>
      <w:r w:rsidRPr="001E0A07">
        <w:rPr>
          <w:rFonts w:ascii="Arial" w:eastAsia="Calibri" w:hAnsi="Arial" w:cs="Arial"/>
          <w:sz w:val="22"/>
          <w:szCs w:val="22"/>
          <w:lang w:val="es-MX"/>
        </w:rPr>
        <w:t xml:space="preserve">Lo anterior es determinante, porque no es posible adquirir la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w:t>
      </w:r>
      <w:r w:rsidRPr="001E0A07">
        <w:rPr>
          <w:rFonts w:ascii="Arial" w:eastAsia="Calibri" w:hAnsi="Arial" w:cs="Arial"/>
          <w:sz w:val="22"/>
          <w:szCs w:val="22"/>
          <w:lang w:val="es-MX"/>
        </w:rPr>
        <w:lastRenderedPageBreak/>
        <w:t xml:space="preserve">proveedores por no haber ejecutado un objeto igual pero sí similar, lo que ayuda a que exista pluralidad de oferentes. </w:t>
      </w:r>
    </w:p>
    <w:p w14:paraId="08C8C3E4" w14:textId="77777777" w:rsidR="003C7067" w:rsidRPr="001E0A07" w:rsidRDefault="003C7067" w:rsidP="003C7067">
      <w:pPr>
        <w:spacing w:before="120" w:after="120" w:line="276" w:lineRule="auto"/>
        <w:ind w:firstLine="708"/>
        <w:jc w:val="both"/>
        <w:rPr>
          <w:rFonts w:ascii="Arial" w:eastAsia="Calibri" w:hAnsi="Arial" w:cs="Arial"/>
          <w:sz w:val="22"/>
          <w:szCs w:val="22"/>
          <w:lang w:val="es-MX"/>
        </w:rPr>
      </w:pPr>
      <w:r w:rsidRPr="001E0A07">
        <w:rPr>
          <w:rFonts w:ascii="Arial" w:eastAsia="Calibri" w:hAnsi="Arial" w:cs="Arial"/>
          <w:sz w:val="22"/>
          <w:szCs w:val="22"/>
          <w:lang w:val="es-MX"/>
        </w:rPr>
        <w:t xml:space="preserve">Finalmente, pueden extraerse cuatro (4) conclusiones relevantes para evaluar las figuras y reformas estatutarias de las sociedades comerciales, respecto de la experiencia: </w:t>
      </w:r>
    </w:p>
    <w:p w14:paraId="190FA50C" w14:textId="77777777" w:rsidR="003C7067" w:rsidRPr="001E0A07" w:rsidRDefault="003C7067" w:rsidP="003C7067">
      <w:pPr>
        <w:spacing w:before="120" w:after="120" w:line="276" w:lineRule="auto"/>
        <w:ind w:firstLine="708"/>
        <w:jc w:val="both"/>
        <w:rPr>
          <w:rFonts w:ascii="Arial" w:eastAsia="Calibri" w:hAnsi="Arial" w:cs="Arial"/>
          <w:sz w:val="22"/>
          <w:szCs w:val="22"/>
          <w:lang w:val="es-MX"/>
        </w:rPr>
      </w:pPr>
      <w:r w:rsidRPr="001E0A07">
        <w:rPr>
          <w:rFonts w:ascii="Arial" w:eastAsia="Calibri" w:hAnsi="Arial" w:cs="Arial"/>
          <w:sz w:val="22"/>
          <w:szCs w:val="22"/>
          <w:lang w:val="es-MX"/>
        </w:rPr>
        <w:t xml:space="preserve">i) La experiencia es </w:t>
      </w:r>
      <w:r w:rsidRPr="001E0A07">
        <w:rPr>
          <w:rFonts w:ascii="Arial" w:eastAsia="Calibri" w:hAnsi="Arial" w:cs="Arial"/>
          <w:i/>
          <w:iCs/>
          <w:sz w:val="22"/>
          <w:szCs w:val="22"/>
          <w:lang w:val="es-MX"/>
        </w:rPr>
        <w:t>personal</w:t>
      </w:r>
      <w:r w:rsidRPr="001E0A07">
        <w:rPr>
          <w:rFonts w:ascii="Arial" w:eastAsia="Calibri" w:hAnsi="Arial" w:cs="Arial"/>
          <w:sz w:val="22"/>
          <w:szCs w:val="22"/>
          <w:lang w:val="es-MX"/>
        </w:rPr>
        <w:t>, esto es, se adquiere participando, directa o indirectamente, sin que sea posible no hacerlo y tener experiencia.</w:t>
      </w:r>
    </w:p>
    <w:p w14:paraId="083B8A94" w14:textId="77777777" w:rsidR="003C7067" w:rsidRPr="001E0A07" w:rsidRDefault="003C7067" w:rsidP="003C7067">
      <w:pPr>
        <w:spacing w:before="120" w:after="120" w:line="276" w:lineRule="auto"/>
        <w:ind w:firstLine="708"/>
        <w:jc w:val="both"/>
        <w:rPr>
          <w:rFonts w:ascii="Arial" w:eastAsia="Calibri" w:hAnsi="Arial" w:cs="Arial"/>
          <w:sz w:val="22"/>
          <w:szCs w:val="22"/>
          <w:lang w:val="es-MX"/>
        </w:rPr>
      </w:pPr>
      <w:proofErr w:type="spellStart"/>
      <w:r w:rsidRPr="001E0A07">
        <w:rPr>
          <w:rFonts w:ascii="Arial" w:eastAsia="Calibri" w:hAnsi="Arial" w:cs="Arial"/>
          <w:sz w:val="22"/>
          <w:szCs w:val="22"/>
          <w:lang w:val="es-MX"/>
        </w:rPr>
        <w:t>ii</w:t>
      </w:r>
      <w:proofErr w:type="spellEnd"/>
      <w:r w:rsidRPr="001E0A07">
        <w:rPr>
          <w:rFonts w:ascii="Arial" w:eastAsia="Calibri" w:hAnsi="Arial" w:cs="Arial"/>
          <w:sz w:val="22"/>
          <w:szCs w:val="22"/>
          <w:lang w:val="es-MX"/>
        </w:rPr>
        <w:t xml:space="preserve">) La experiencia se puede </w:t>
      </w:r>
      <w:r w:rsidRPr="001E0A07">
        <w:rPr>
          <w:rFonts w:ascii="Arial" w:eastAsia="Calibri" w:hAnsi="Arial" w:cs="Arial"/>
          <w:i/>
          <w:iCs/>
          <w:sz w:val="22"/>
          <w:szCs w:val="22"/>
          <w:lang w:val="es-MX"/>
        </w:rPr>
        <w:t>compartir</w:t>
      </w:r>
      <w:r w:rsidRPr="001E0A07">
        <w:rPr>
          <w:rFonts w:ascii="Arial" w:eastAsia="Calibri" w:hAnsi="Arial" w:cs="Arial"/>
          <w:sz w:val="22"/>
          <w:szCs w:val="22"/>
          <w:lang w:val="es-MX"/>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1E0A07">
        <w:rPr>
          <w:rFonts w:ascii="Arial" w:eastAsia="Calibri" w:hAnsi="Arial" w:cs="Arial"/>
          <w:sz w:val="22"/>
          <w:szCs w:val="22"/>
          <w:vertAlign w:val="superscript"/>
          <w:lang w:val="es-MX"/>
        </w:rPr>
        <w:footnoteReference w:id="13"/>
      </w:r>
      <w:r w:rsidRPr="001E0A07">
        <w:rPr>
          <w:rFonts w:ascii="Arial" w:eastAsia="Calibri" w:hAnsi="Arial" w:cs="Arial"/>
          <w:sz w:val="22"/>
          <w:szCs w:val="22"/>
          <w:lang w:val="es-MX"/>
        </w:rPr>
        <w:t>.</w:t>
      </w:r>
    </w:p>
    <w:p w14:paraId="6F3FF6FD" w14:textId="77777777" w:rsidR="003C7067" w:rsidRPr="001E0A07" w:rsidRDefault="003C7067" w:rsidP="003C7067">
      <w:pPr>
        <w:spacing w:before="120" w:after="120" w:line="276" w:lineRule="auto"/>
        <w:ind w:firstLine="708"/>
        <w:jc w:val="both"/>
        <w:rPr>
          <w:rFonts w:ascii="Arial" w:eastAsia="Calibri" w:hAnsi="Arial" w:cs="Arial"/>
          <w:sz w:val="22"/>
          <w:szCs w:val="22"/>
          <w:lang w:val="es-MX"/>
        </w:rPr>
      </w:pPr>
      <w:proofErr w:type="spellStart"/>
      <w:r w:rsidRPr="001E0A07">
        <w:rPr>
          <w:rFonts w:ascii="Arial" w:eastAsia="Calibri" w:hAnsi="Arial" w:cs="Arial"/>
          <w:sz w:val="22"/>
          <w:szCs w:val="22"/>
          <w:lang w:val="es-MX"/>
        </w:rPr>
        <w:t>iii</w:t>
      </w:r>
      <w:proofErr w:type="spellEnd"/>
      <w:r w:rsidRPr="001E0A07">
        <w:rPr>
          <w:rFonts w:ascii="Arial" w:eastAsia="Calibri" w:hAnsi="Arial" w:cs="Arial"/>
          <w:sz w:val="22"/>
          <w:szCs w:val="22"/>
          <w:lang w:val="es-MX"/>
        </w:rPr>
        <w:t xml:space="preserve">) La experiencia se puede </w:t>
      </w:r>
      <w:r w:rsidRPr="001E0A07">
        <w:rPr>
          <w:rFonts w:ascii="Arial" w:eastAsia="Calibri" w:hAnsi="Arial" w:cs="Arial"/>
          <w:i/>
          <w:iCs/>
          <w:sz w:val="22"/>
          <w:szCs w:val="22"/>
          <w:lang w:val="es-MX"/>
        </w:rPr>
        <w:t>transferir</w:t>
      </w:r>
      <w:r w:rsidRPr="001E0A07">
        <w:rPr>
          <w:rFonts w:ascii="Arial" w:eastAsia="Calibri" w:hAnsi="Arial" w:cs="Arial"/>
          <w:sz w:val="22"/>
          <w:szCs w:val="22"/>
          <w:lang w:val="es-MX"/>
        </w:rPr>
        <w:t>, y esto es diferente a compartir, lo que implica que la experiencia de una persona se traslada a otra, y esta última acredita la experiencia como propia, como sucede con la figura que se explicará con más detalle en el numeral 2.3 de este concepto.</w:t>
      </w:r>
    </w:p>
    <w:p w14:paraId="03F33858" w14:textId="77777777" w:rsidR="003C7067" w:rsidRPr="001E0A07" w:rsidRDefault="003C7067" w:rsidP="003C7067">
      <w:pPr>
        <w:spacing w:line="276" w:lineRule="auto"/>
        <w:ind w:firstLine="708"/>
        <w:jc w:val="both"/>
        <w:rPr>
          <w:rFonts w:ascii="Arial" w:eastAsia="Calibri" w:hAnsi="Arial" w:cs="Arial"/>
          <w:sz w:val="22"/>
          <w:szCs w:val="22"/>
          <w:lang w:val="es-MX"/>
        </w:rPr>
      </w:pPr>
      <w:proofErr w:type="spellStart"/>
      <w:r w:rsidRPr="001E0A07">
        <w:rPr>
          <w:rFonts w:ascii="Arial" w:eastAsia="Calibri" w:hAnsi="Arial" w:cs="Arial"/>
          <w:sz w:val="22"/>
          <w:szCs w:val="22"/>
          <w:lang w:val="es-MX"/>
        </w:rPr>
        <w:t>iv</w:t>
      </w:r>
      <w:proofErr w:type="spellEnd"/>
      <w:r w:rsidRPr="001E0A07">
        <w:rPr>
          <w:rFonts w:ascii="Arial" w:eastAsia="Calibri" w:hAnsi="Arial" w:cs="Arial"/>
          <w:sz w:val="22"/>
          <w:szCs w:val="22"/>
          <w:lang w:val="es-MX"/>
        </w:rPr>
        <w:t xml:space="preserve">) Cuando la persona que adquirió la experiencia </w:t>
      </w:r>
      <w:r w:rsidRPr="001E0A07">
        <w:rPr>
          <w:rFonts w:ascii="Arial" w:eastAsia="Calibri" w:hAnsi="Arial" w:cs="Arial"/>
          <w:i/>
          <w:iCs/>
          <w:sz w:val="22"/>
          <w:szCs w:val="22"/>
          <w:lang w:val="es-MX"/>
        </w:rPr>
        <w:t>desaparece</w:t>
      </w:r>
      <w:r w:rsidRPr="001E0A07">
        <w:rPr>
          <w:rFonts w:ascii="Arial" w:eastAsia="Calibri" w:hAnsi="Arial" w:cs="Arial"/>
          <w:sz w:val="22"/>
          <w:szCs w:val="22"/>
          <w:lang w:val="es-MX"/>
        </w:rPr>
        <w:t xml:space="preserve"> o se liquida no es posible que comparta o transfiera su experiencia, porque al ser personal sigue la suerte de quien la adquirió.</w:t>
      </w:r>
    </w:p>
    <w:p w14:paraId="24C53D8B" w14:textId="77777777" w:rsidR="003C7067" w:rsidRPr="001E0A07" w:rsidRDefault="003C7067" w:rsidP="003C7067">
      <w:pPr>
        <w:spacing w:before="120" w:after="120" w:line="276" w:lineRule="auto"/>
        <w:ind w:firstLine="709"/>
        <w:jc w:val="both"/>
        <w:rPr>
          <w:rFonts w:ascii="Arial" w:hAnsi="Arial" w:cs="Arial"/>
          <w:sz w:val="22"/>
          <w:szCs w:val="22"/>
          <w:lang w:val="es-MX"/>
        </w:rPr>
      </w:pPr>
      <w:r w:rsidRPr="001E0A07">
        <w:rPr>
          <w:rFonts w:ascii="Arial" w:hAnsi="Arial" w:cs="Arial"/>
          <w:sz w:val="22"/>
          <w:szCs w:val="22"/>
          <w:lang w:val="es-MX"/>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1E0A07">
        <w:rPr>
          <w:rFonts w:ascii="Arial" w:hAnsi="Arial" w:cs="Arial"/>
          <w:sz w:val="22"/>
          <w:szCs w:val="22"/>
          <w:lang w:val="es-MX"/>
        </w:rPr>
        <w:t>sometid</w:t>
      </w:r>
      <w:proofErr w:type="spellEnd"/>
      <w:r w:rsidRPr="001E0A07">
        <w:rPr>
          <w:rFonts w:ascii="Arial" w:hAnsi="Arial" w:cs="Arial"/>
          <w:sz w:val="22"/>
          <w:szCs w:val="22"/>
          <w:lang w:val="es-MX"/>
        </w:rPr>
        <w:t>[a] a los principios de la función administrativa y de contratación estatal»</w:t>
      </w:r>
      <w:r w:rsidRPr="001E0A07">
        <w:rPr>
          <w:rFonts w:ascii="Arial" w:hAnsi="Arial" w:cs="Arial"/>
          <w:sz w:val="22"/>
          <w:szCs w:val="22"/>
          <w:vertAlign w:val="superscript"/>
          <w:lang w:val="es-MX"/>
        </w:rPr>
        <w:footnoteReference w:id="14"/>
      </w:r>
      <w:r w:rsidRPr="001E0A07">
        <w:rPr>
          <w:rFonts w:ascii="Arial" w:hAnsi="Arial" w:cs="Arial"/>
          <w:sz w:val="22"/>
          <w:szCs w:val="22"/>
          <w:lang w:val="es-MX"/>
        </w:rPr>
        <w:t xml:space="preserve">. </w:t>
      </w:r>
    </w:p>
    <w:p w14:paraId="3DD6D277" w14:textId="77777777" w:rsidR="003C7067" w:rsidRPr="001E0A07" w:rsidRDefault="003C7067" w:rsidP="003C7067">
      <w:pPr>
        <w:spacing w:before="120" w:after="120" w:line="276" w:lineRule="auto"/>
        <w:ind w:firstLine="705"/>
        <w:jc w:val="both"/>
        <w:rPr>
          <w:rFonts w:ascii="Arial" w:hAnsi="Arial" w:cs="Arial"/>
          <w:sz w:val="22"/>
          <w:szCs w:val="22"/>
          <w:lang w:val="es-MX"/>
        </w:rPr>
      </w:pPr>
      <w:r w:rsidRPr="001E0A07">
        <w:rPr>
          <w:rFonts w:ascii="Arial" w:hAnsi="Arial" w:cs="Arial"/>
          <w:sz w:val="22"/>
          <w:szCs w:val="22"/>
          <w:lang w:val="es-MX"/>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7554F851" w14:textId="77777777" w:rsidR="003C7067" w:rsidRPr="001E0A07" w:rsidRDefault="003C7067" w:rsidP="003C7067">
      <w:pPr>
        <w:spacing w:before="120" w:after="120" w:line="276" w:lineRule="auto"/>
        <w:ind w:firstLine="705"/>
        <w:jc w:val="both"/>
        <w:rPr>
          <w:rFonts w:ascii="Arial" w:hAnsi="Arial" w:cs="Arial"/>
          <w:sz w:val="22"/>
          <w:szCs w:val="22"/>
          <w:lang w:val="es-MX"/>
        </w:rPr>
      </w:pPr>
      <w:r w:rsidRPr="001E0A07">
        <w:rPr>
          <w:rFonts w:ascii="Arial" w:hAnsi="Arial" w:cs="Arial"/>
          <w:sz w:val="22"/>
          <w:szCs w:val="22"/>
          <w:lang w:val="es-MX"/>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w:t>
      </w:r>
      <w:r w:rsidRPr="001E0A07">
        <w:rPr>
          <w:rFonts w:ascii="Arial" w:hAnsi="Arial" w:cs="Arial"/>
          <w:sz w:val="22"/>
          <w:szCs w:val="22"/>
          <w:lang w:val="es-MX"/>
        </w:rPr>
        <w:lastRenderedPageBreak/>
        <w:t xml:space="preserve">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57C73A81" w14:textId="77777777" w:rsidR="003C7067" w:rsidRPr="001E0A07" w:rsidRDefault="003C7067" w:rsidP="003C7067">
      <w:pPr>
        <w:spacing w:before="120" w:after="120" w:line="276" w:lineRule="auto"/>
        <w:jc w:val="both"/>
        <w:rPr>
          <w:rFonts w:ascii="Arial" w:hAnsi="Arial" w:cs="Arial"/>
          <w:sz w:val="22"/>
          <w:szCs w:val="22"/>
          <w:lang w:val="es-MX"/>
        </w:rPr>
      </w:pPr>
      <w:r w:rsidRPr="001E0A07">
        <w:rPr>
          <w:rFonts w:ascii="Arial" w:hAnsi="Arial" w:cs="Arial"/>
          <w:sz w:val="22"/>
          <w:szCs w:val="22"/>
          <w:lang w:val="es-MX"/>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111C431A" w14:textId="77777777" w:rsidR="003C7067" w:rsidRPr="001E0A07" w:rsidRDefault="003C7067" w:rsidP="003C7067">
      <w:pPr>
        <w:spacing w:before="120" w:line="276" w:lineRule="auto"/>
        <w:ind w:firstLine="708"/>
        <w:jc w:val="both"/>
        <w:rPr>
          <w:rFonts w:ascii="Arial" w:hAnsi="Arial" w:cs="Arial"/>
          <w:sz w:val="22"/>
          <w:szCs w:val="22"/>
          <w:lang w:val="es-MX"/>
        </w:rPr>
      </w:pPr>
      <w:r w:rsidRPr="001E0A07">
        <w:rPr>
          <w:rFonts w:ascii="Arial" w:hAnsi="Arial" w:cs="Arial"/>
          <w:sz w:val="22"/>
          <w:szCs w:val="22"/>
          <w:lang w:val="es-MX"/>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044706EE" w14:textId="77777777" w:rsidR="003C7067" w:rsidRPr="00924DEF" w:rsidRDefault="003C7067" w:rsidP="003C7067">
      <w:pPr>
        <w:spacing w:line="276" w:lineRule="auto"/>
        <w:jc w:val="both"/>
        <w:rPr>
          <w:rFonts w:ascii="Arial" w:hAnsi="Arial" w:cs="Arial"/>
          <w:sz w:val="22"/>
          <w:szCs w:val="22"/>
          <w:lang w:val="es-MX"/>
        </w:rPr>
      </w:pPr>
    </w:p>
    <w:p w14:paraId="33E17AB4" w14:textId="77777777" w:rsidR="003C7067" w:rsidRDefault="003C7067" w:rsidP="003C7067">
      <w:pPr>
        <w:spacing w:line="276" w:lineRule="auto"/>
        <w:jc w:val="both"/>
        <w:rPr>
          <w:rFonts w:ascii="Arial" w:hAnsi="Arial" w:cs="Arial"/>
          <w:b/>
          <w:bCs/>
          <w:sz w:val="22"/>
          <w:szCs w:val="22"/>
          <w:lang w:val="es-MX"/>
        </w:rPr>
      </w:pPr>
      <w:r w:rsidRPr="00924DEF">
        <w:rPr>
          <w:rFonts w:ascii="Arial" w:hAnsi="Arial" w:cs="Arial"/>
          <w:b/>
          <w:bCs/>
          <w:sz w:val="22"/>
          <w:szCs w:val="22"/>
          <w:lang w:val="es-MX"/>
        </w:rPr>
        <w:t>2.</w:t>
      </w:r>
      <w:r>
        <w:rPr>
          <w:rFonts w:ascii="Arial" w:hAnsi="Arial" w:cs="Arial"/>
          <w:b/>
          <w:bCs/>
          <w:sz w:val="22"/>
          <w:szCs w:val="22"/>
          <w:lang w:val="es-MX"/>
        </w:rPr>
        <w:t>4</w:t>
      </w:r>
      <w:r w:rsidRPr="00924DEF">
        <w:rPr>
          <w:rFonts w:ascii="Arial" w:hAnsi="Arial" w:cs="Arial"/>
          <w:b/>
          <w:bCs/>
          <w:sz w:val="22"/>
          <w:szCs w:val="22"/>
          <w:lang w:val="es-MX"/>
        </w:rPr>
        <w:t>. Acreditación de experiencia de socios por parte de sociedades con menos de tres años de constitución</w:t>
      </w:r>
    </w:p>
    <w:p w14:paraId="6C2D259A" w14:textId="77777777" w:rsidR="003C7067" w:rsidRPr="00924DEF" w:rsidRDefault="003C7067" w:rsidP="003C7067">
      <w:pPr>
        <w:spacing w:line="276" w:lineRule="auto"/>
        <w:jc w:val="both"/>
        <w:rPr>
          <w:rFonts w:ascii="Arial" w:hAnsi="Arial" w:cs="Arial"/>
          <w:b/>
          <w:bCs/>
          <w:sz w:val="22"/>
          <w:szCs w:val="22"/>
          <w:lang w:val="es-MX"/>
        </w:rPr>
      </w:pPr>
    </w:p>
    <w:p w14:paraId="1B087976" w14:textId="77777777" w:rsidR="003C7067" w:rsidRPr="006A49BE" w:rsidRDefault="003C7067" w:rsidP="003C7067">
      <w:pPr>
        <w:spacing w:line="276" w:lineRule="auto"/>
        <w:jc w:val="both"/>
        <w:rPr>
          <w:rFonts w:ascii="Arial" w:hAnsi="Arial" w:cs="Arial"/>
          <w:sz w:val="22"/>
          <w:szCs w:val="22"/>
          <w:lang w:val="es-MX"/>
        </w:rPr>
      </w:pPr>
      <w:bookmarkStart w:id="0" w:name="_Hlk67498710"/>
      <w:r w:rsidRPr="006A49BE">
        <w:rPr>
          <w:rFonts w:ascii="Arial" w:hAnsi="Arial" w:cs="Arial"/>
          <w:sz w:val="22"/>
          <w:szCs w:val="22"/>
          <w:lang w:val="es-MX"/>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2F2868BA"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w:t>
      </w:r>
      <w:r w:rsidRPr="006A49BE">
        <w:rPr>
          <w:rFonts w:ascii="Arial" w:hAnsi="Arial" w:cs="Arial"/>
          <w:sz w:val="22"/>
          <w:szCs w:val="22"/>
          <w:lang w:val="es-MX"/>
        </w:rPr>
        <w:lastRenderedPageBreak/>
        <w:t>experiencia como «el conocimiento del proponente derivado de su participación previa en actividades iguales o similares a las previstas en el objeto del contrato».</w:t>
      </w:r>
    </w:p>
    <w:p w14:paraId="3C467EA3"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6A49BE">
        <w:rPr>
          <w:rFonts w:ascii="Arial" w:hAnsi="Arial" w:cs="Arial"/>
          <w:sz w:val="22"/>
          <w:szCs w:val="22"/>
          <w:vertAlign w:val="superscript"/>
          <w:lang w:val="es-MX"/>
        </w:rPr>
        <w:footnoteReference w:id="15"/>
      </w:r>
      <w:r w:rsidRPr="006A49BE">
        <w:rPr>
          <w:rFonts w:ascii="Arial" w:hAnsi="Arial" w:cs="Arial"/>
          <w:sz w:val="22"/>
          <w:szCs w:val="22"/>
          <w:lang w:val="es-MX"/>
        </w:rPr>
        <w:t xml:space="preserve">.  </w:t>
      </w:r>
    </w:p>
    <w:p w14:paraId="77750F99"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El numeral 2.5</w:t>
      </w:r>
      <w:r w:rsidRPr="006A49BE">
        <w:rPr>
          <w:rFonts w:ascii="Arial" w:hAnsi="Arial" w:cs="Arial"/>
          <w:sz w:val="22"/>
          <w:szCs w:val="22"/>
          <w:vertAlign w:val="superscript"/>
          <w:lang w:val="es-MX"/>
        </w:rPr>
        <w:footnoteReference w:id="16"/>
      </w:r>
      <w:r w:rsidRPr="006A49BE">
        <w:rPr>
          <w:rFonts w:ascii="Arial" w:hAnsi="Arial" w:cs="Arial"/>
          <w:sz w:val="22"/>
          <w:szCs w:val="22"/>
          <w:lang w:val="es-MX"/>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0E45F5C"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42B3326" w14:textId="77777777" w:rsidR="003C7067" w:rsidRPr="006A49BE" w:rsidRDefault="003C7067" w:rsidP="003C7067">
      <w:pPr>
        <w:spacing w:before="120" w:after="120" w:line="276" w:lineRule="auto"/>
        <w:ind w:firstLine="708"/>
        <w:jc w:val="both"/>
        <w:rPr>
          <w:rFonts w:ascii="Arial" w:hAnsi="Arial" w:cs="Arial"/>
          <w:sz w:val="22"/>
          <w:szCs w:val="22"/>
          <w:lang w:val="es-MX"/>
        </w:rPr>
      </w:pPr>
      <w:bookmarkStart w:id="1" w:name="_Hlk67496603"/>
      <w:r w:rsidRPr="006A49BE">
        <w:rPr>
          <w:rFonts w:ascii="Arial" w:hAnsi="Arial" w:cs="Arial"/>
          <w:sz w:val="22"/>
          <w:szCs w:val="22"/>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6A49BE">
        <w:rPr>
          <w:rFonts w:ascii="Arial" w:eastAsia="Calibri" w:hAnsi="Arial" w:cs="Arial"/>
          <w:sz w:val="22"/>
          <w:szCs w:val="22"/>
          <w:lang w:val="es-MX"/>
        </w:rPr>
        <w:t>─</w:t>
      </w:r>
      <w:r w:rsidRPr="006A49BE">
        <w:rPr>
          <w:rFonts w:ascii="Arial" w:hAnsi="Arial" w:cs="Arial"/>
          <w:sz w:val="22"/>
          <w:szCs w:val="22"/>
          <w:lang w:val="es-MX"/>
        </w:rPr>
        <w:t>con menos de 3 años de constitución</w:t>
      </w:r>
      <w:r w:rsidRPr="006A49BE">
        <w:rPr>
          <w:rFonts w:ascii="Arial" w:eastAsia="Calibri" w:hAnsi="Arial" w:cs="Arial"/>
          <w:sz w:val="22"/>
          <w:szCs w:val="22"/>
          <w:lang w:val="es-MX"/>
        </w:rPr>
        <w:t>─</w:t>
      </w:r>
      <w:r w:rsidRPr="006A49BE">
        <w:rPr>
          <w:rFonts w:ascii="Arial" w:hAnsi="Arial" w:cs="Arial"/>
          <w:sz w:val="22"/>
          <w:szCs w:val="22"/>
          <w:lang w:val="es-MX"/>
        </w:rPr>
        <w:t xml:space="preserve"> puedan acreditar como experiencia en el </w:t>
      </w:r>
      <w:r w:rsidRPr="006A49BE">
        <w:rPr>
          <w:rFonts w:ascii="Arial" w:hAnsi="Arial" w:cs="Arial"/>
          <w:sz w:val="22"/>
          <w:szCs w:val="22"/>
          <w:lang w:val="es-MX"/>
        </w:rPr>
        <w:lastRenderedPageBreak/>
        <w:t xml:space="preserve">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785613C4"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
    <w:p w14:paraId="194133AD"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756835DB"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39E713BC"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0ECF2D4" w14:textId="77777777" w:rsidR="003C7067" w:rsidRPr="006A49BE" w:rsidRDefault="003C7067" w:rsidP="003C7067">
      <w:pPr>
        <w:spacing w:before="120" w:after="120" w:line="276" w:lineRule="auto"/>
        <w:ind w:firstLine="708"/>
        <w:jc w:val="both"/>
        <w:rPr>
          <w:rFonts w:ascii="Arial" w:hAnsi="Arial" w:cs="Arial"/>
          <w:sz w:val="22"/>
          <w:szCs w:val="22"/>
          <w:lang w:val="es-MX"/>
        </w:rPr>
      </w:pPr>
      <w:proofErr w:type="spellStart"/>
      <w:r w:rsidRPr="006A49BE">
        <w:rPr>
          <w:rFonts w:ascii="Arial" w:hAnsi="Arial" w:cs="Arial"/>
          <w:sz w:val="22"/>
          <w:szCs w:val="22"/>
          <w:lang w:val="es-MX"/>
        </w:rPr>
        <w:t>ii</w:t>
      </w:r>
      <w:proofErr w:type="spellEnd"/>
      <w:r w:rsidRPr="006A49BE">
        <w:rPr>
          <w:rFonts w:ascii="Arial" w:hAnsi="Arial" w:cs="Arial"/>
          <w:sz w:val="22"/>
          <w:szCs w:val="22"/>
          <w:lang w:val="es-MX"/>
        </w:rPr>
        <w:t xml:space="preserve">) El Decreto 1082 de 2015 establece </w:t>
      </w:r>
      <w:proofErr w:type="gramStart"/>
      <w:r w:rsidRPr="006A49BE">
        <w:rPr>
          <w:rFonts w:ascii="Arial" w:hAnsi="Arial" w:cs="Arial"/>
          <w:sz w:val="22"/>
          <w:szCs w:val="22"/>
          <w:lang w:val="es-MX"/>
        </w:rPr>
        <w:t>que</w:t>
      </w:r>
      <w:proofErr w:type="gramEnd"/>
      <w:r w:rsidRPr="006A49BE">
        <w:rPr>
          <w:rFonts w:ascii="Arial" w:hAnsi="Arial" w:cs="Arial"/>
          <w:sz w:val="22"/>
          <w:szCs w:val="22"/>
          <w:lang w:val="es-MX"/>
        </w:rPr>
        <w:t xml:space="preserve"> para la inscripción en el RUP de una persona jurídica, si su constitución es menor a 3 años, puede acreditar la experiencia de sus accionistas, socios o constituyentes. </w:t>
      </w:r>
    </w:p>
    <w:p w14:paraId="4D2C9F8F" w14:textId="77777777" w:rsidR="003C7067" w:rsidRPr="006A49BE" w:rsidRDefault="003C7067" w:rsidP="003C7067">
      <w:pPr>
        <w:spacing w:before="120" w:after="120" w:line="276" w:lineRule="auto"/>
        <w:ind w:firstLine="708"/>
        <w:jc w:val="both"/>
        <w:rPr>
          <w:rFonts w:ascii="Arial" w:hAnsi="Arial" w:cs="Arial"/>
          <w:sz w:val="22"/>
          <w:szCs w:val="22"/>
          <w:lang w:val="es-MX"/>
        </w:rPr>
      </w:pPr>
      <w:proofErr w:type="spellStart"/>
      <w:r w:rsidRPr="006A49BE">
        <w:rPr>
          <w:rFonts w:ascii="Arial" w:hAnsi="Arial" w:cs="Arial"/>
          <w:sz w:val="22"/>
          <w:szCs w:val="22"/>
          <w:lang w:val="es-MX"/>
        </w:rPr>
        <w:t>iii</w:t>
      </w:r>
      <w:proofErr w:type="spellEnd"/>
      <w:r w:rsidRPr="006A49BE">
        <w:rPr>
          <w:rFonts w:ascii="Arial" w:hAnsi="Arial" w:cs="Arial"/>
          <w:sz w:val="22"/>
          <w:szCs w:val="22"/>
          <w:lang w:val="es-MX"/>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3F20432" w14:textId="77777777" w:rsidR="003C7067" w:rsidRPr="006A49BE" w:rsidRDefault="003C7067" w:rsidP="003C7067">
      <w:pPr>
        <w:spacing w:before="120" w:after="120" w:line="276" w:lineRule="auto"/>
        <w:ind w:firstLine="708"/>
        <w:jc w:val="both"/>
        <w:rPr>
          <w:rFonts w:ascii="Arial" w:hAnsi="Arial" w:cs="Arial"/>
          <w:sz w:val="22"/>
          <w:szCs w:val="22"/>
          <w:lang w:val="es-MX"/>
        </w:rPr>
      </w:pPr>
      <w:proofErr w:type="spellStart"/>
      <w:r w:rsidRPr="006A49BE">
        <w:rPr>
          <w:rFonts w:ascii="Arial" w:hAnsi="Arial" w:cs="Arial"/>
          <w:sz w:val="22"/>
          <w:szCs w:val="22"/>
          <w:lang w:val="es-MX"/>
        </w:rPr>
        <w:t>iv</w:t>
      </w:r>
      <w:proofErr w:type="spellEnd"/>
      <w:r w:rsidRPr="006A49BE">
        <w:rPr>
          <w:rFonts w:ascii="Arial" w:hAnsi="Arial" w:cs="Arial"/>
          <w:sz w:val="22"/>
          <w:szCs w:val="22"/>
          <w:lang w:val="es-MX"/>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w:t>
      </w:r>
      <w:r w:rsidRPr="006A49BE">
        <w:rPr>
          <w:rFonts w:ascii="Arial" w:hAnsi="Arial" w:cs="Arial"/>
          <w:sz w:val="22"/>
          <w:szCs w:val="22"/>
          <w:lang w:val="es-MX"/>
        </w:rPr>
        <w:lastRenderedPageBreak/>
        <w:t xml:space="preserve">constituida la persona jurídica a los que hace referencia la norma, pues no se cumple con el presupuesto normativo para acceder al beneficio que contempla el Decreto 1082. </w:t>
      </w:r>
    </w:p>
    <w:p w14:paraId="3697C470"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6A49BE">
        <w:rPr>
          <w:rFonts w:ascii="Arial" w:eastAsia="Calibri" w:hAnsi="Arial" w:cs="Arial"/>
          <w:sz w:val="22"/>
          <w:szCs w:val="22"/>
          <w:lang w:val="es-MX"/>
        </w:rPr>
        <w:t>―</w:t>
      </w:r>
      <w:r w:rsidRPr="006A49BE">
        <w:rPr>
          <w:rFonts w:ascii="Arial" w:hAnsi="Arial" w:cs="Arial"/>
          <w:sz w:val="22"/>
          <w:szCs w:val="22"/>
          <w:lang w:val="es-MX"/>
        </w:rPr>
        <w:t>únicamente para la capacidad jurídica y experiencia</w:t>
      </w:r>
      <w:r w:rsidRPr="006A49BE">
        <w:rPr>
          <w:rFonts w:ascii="Arial" w:eastAsia="Calibri" w:hAnsi="Arial" w:cs="Arial"/>
          <w:sz w:val="22"/>
          <w:szCs w:val="22"/>
          <w:lang w:val="es-MX"/>
        </w:rPr>
        <w:t>―</w:t>
      </w:r>
      <w:r w:rsidRPr="006A49BE">
        <w:rPr>
          <w:rFonts w:ascii="Arial" w:hAnsi="Arial" w:cs="Arial"/>
          <w:sz w:val="22"/>
          <w:szCs w:val="22"/>
          <w:lang w:val="es-MX"/>
        </w:rPr>
        <w:t xml:space="preserve"> y debe ser verificada junto con sus soportes por la Cámara de Comercio correspondiente. </w:t>
      </w:r>
    </w:p>
    <w:p w14:paraId="7757C118"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6A49BE">
        <w:rPr>
          <w:rFonts w:ascii="Arial" w:hAnsi="Arial" w:cs="Arial"/>
          <w:sz w:val="22"/>
          <w:szCs w:val="22"/>
          <w:vertAlign w:val="superscript"/>
          <w:lang w:val="es-MX"/>
        </w:rPr>
        <w:footnoteReference w:id="17"/>
      </w:r>
      <w:r w:rsidRPr="006A49BE">
        <w:rPr>
          <w:rFonts w:ascii="Arial" w:hAnsi="Arial" w:cs="Arial"/>
          <w:sz w:val="22"/>
          <w:szCs w:val="22"/>
          <w:lang w:val="es-MX"/>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C97AFB3"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Teniendo en cuenta lo anterior, aunque la persona jurídica tenga más de tres años de constituida y haya registrado inicialmente la experiencia de sus socios en el RUP </w:t>
      </w:r>
      <w:r w:rsidRPr="006A49BE">
        <w:rPr>
          <w:rFonts w:ascii="Arial" w:eastAsia="Calibri" w:hAnsi="Arial" w:cs="Arial"/>
          <w:sz w:val="22"/>
          <w:szCs w:val="22"/>
          <w:lang w:val="es-MX"/>
        </w:rPr>
        <w:t>–</w:t>
      </w:r>
      <w:r w:rsidRPr="006A49BE">
        <w:rPr>
          <w:rFonts w:ascii="Arial" w:hAnsi="Arial" w:cs="Arial"/>
          <w:sz w:val="22"/>
          <w:szCs w:val="22"/>
          <w:lang w:val="es-MX"/>
        </w:rPr>
        <w:t>pues su constitución era inferior a tres años</w:t>
      </w:r>
      <w:r w:rsidRPr="006A49BE">
        <w:rPr>
          <w:rFonts w:ascii="Arial" w:eastAsia="Calibri" w:hAnsi="Arial" w:cs="Arial"/>
          <w:sz w:val="22"/>
          <w:szCs w:val="22"/>
          <w:lang w:val="es-MX"/>
        </w:rPr>
        <w:t>–, cuando</w:t>
      </w:r>
      <w:r w:rsidRPr="006A49BE">
        <w:rPr>
          <w:rFonts w:ascii="Arial" w:hAnsi="Arial" w:cs="Arial"/>
          <w:sz w:val="22"/>
          <w:szCs w:val="22"/>
          <w:lang w:val="es-MX"/>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23C5B23"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6A49BE">
        <w:rPr>
          <w:rFonts w:ascii="Arial" w:hAnsi="Arial" w:cs="Arial"/>
          <w:sz w:val="22"/>
          <w:szCs w:val="22"/>
          <w:vertAlign w:val="superscript"/>
          <w:lang w:val="es-MX"/>
        </w:rPr>
        <w:footnoteReference w:id="18"/>
      </w:r>
      <w:r w:rsidRPr="006A49BE">
        <w:rPr>
          <w:rFonts w:ascii="Arial" w:hAnsi="Arial" w:cs="Arial"/>
          <w:sz w:val="22"/>
          <w:szCs w:val="22"/>
          <w:lang w:val="es-MX"/>
        </w:rPr>
        <w:t xml:space="preserve">. En la actualidad, las </w:t>
      </w:r>
      <w:r w:rsidRPr="006A49BE">
        <w:rPr>
          <w:rFonts w:ascii="Arial" w:hAnsi="Arial" w:cs="Arial"/>
          <w:sz w:val="22"/>
          <w:szCs w:val="22"/>
          <w:lang w:val="es-MX"/>
        </w:rPr>
        <w:lastRenderedPageBreak/>
        <w:t xml:space="preserve">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40814A52" w14:textId="77777777" w:rsidR="003C7067" w:rsidRPr="006A49BE" w:rsidRDefault="003C7067" w:rsidP="003C7067">
      <w:pPr>
        <w:spacing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En otras palabras, </w:t>
      </w:r>
      <w:bookmarkStart w:id="2" w:name="_Hlk67498604"/>
      <w:r w:rsidRPr="006A49BE">
        <w:rPr>
          <w:rFonts w:ascii="Arial" w:hAnsi="Arial" w:cs="Arial"/>
          <w:sz w:val="22"/>
          <w:szCs w:val="22"/>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2"/>
      <w:r w:rsidRPr="006A49BE">
        <w:rPr>
          <w:rFonts w:ascii="Arial" w:hAnsi="Arial" w:cs="Arial"/>
          <w:sz w:val="22"/>
          <w:szCs w:val="22"/>
          <w:lang w:val="es-MX"/>
        </w:rPr>
        <w:t xml:space="preserve">Lo anterior, tiene fundamento en la Circular Única de la Superintendencia de Industria y Comercio, cuyo numeral 4.2, sobre el procedimiento para llevar el registro único de proponentes, dispone lo siguiente:  </w:t>
      </w:r>
    </w:p>
    <w:p w14:paraId="3B0D0840" w14:textId="77777777" w:rsidR="003C7067" w:rsidRPr="006A49BE" w:rsidRDefault="003C7067" w:rsidP="003C7067">
      <w:pPr>
        <w:ind w:firstLine="708"/>
        <w:jc w:val="both"/>
        <w:rPr>
          <w:rFonts w:ascii="Arial" w:hAnsi="Arial" w:cs="Arial"/>
          <w:sz w:val="22"/>
          <w:szCs w:val="22"/>
          <w:lang w:val="es-MX"/>
        </w:rPr>
      </w:pPr>
    </w:p>
    <w:p w14:paraId="7E025EA1" w14:textId="77777777" w:rsidR="003C7067" w:rsidRPr="006A49BE" w:rsidRDefault="003C7067" w:rsidP="003C7067">
      <w:pPr>
        <w:ind w:left="709" w:right="709"/>
        <w:jc w:val="both"/>
        <w:rPr>
          <w:rFonts w:ascii="Arial" w:hAnsi="Arial" w:cs="Arial"/>
          <w:sz w:val="21"/>
          <w:szCs w:val="21"/>
          <w:lang w:val="es-MX"/>
        </w:rPr>
      </w:pPr>
      <w:r w:rsidRPr="006A49BE">
        <w:rPr>
          <w:rFonts w:ascii="Arial" w:hAnsi="Arial" w:cs="Arial"/>
          <w:sz w:val="21"/>
          <w:szCs w:val="21"/>
          <w:lang w:val="es-MX"/>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BF54F75" w14:textId="77777777" w:rsidR="003C7067" w:rsidRPr="006A49BE" w:rsidRDefault="003C7067" w:rsidP="003C7067">
      <w:pPr>
        <w:ind w:left="709" w:right="709"/>
        <w:jc w:val="both"/>
        <w:rPr>
          <w:rFonts w:ascii="Arial" w:hAnsi="Arial" w:cs="Arial"/>
          <w:sz w:val="22"/>
          <w:szCs w:val="22"/>
          <w:lang w:val="es-MX"/>
        </w:rPr>
      </w:pPr>
    </w:p>
    <w:p w14:paraId="4CF616D7" w14:textId="77777777" w:rsidR="003C7067" w:rsidRPr="006A49BE" w:rsidRDefault="003C7067" w:rsidP="003C7067">
      <w:pPr>
        <w:spacing w:line="276" w:lineRule="auto"/>
        <w:ind w:firstLine="708"/>
        <w:jc w:val="both"/>
        <w:rPr>
          <w:rFonts w:ascii="Arial" w:hAnsi="Arial" w:cs="Arial"/>
          <w:sz w:val="22"/>
          <w:szCs w:val="22"/>
          <w:lang w:val="es-MX"/>
        </w:rPr>
      </w:pPr>
      <w:r w:rsidRPr="006A49BE">
        <w:rPr>
          <w:rFonts w:ascii="Arial" w:hAnsi="Arial" w:cs="Arial"/>
          <w:sz w:val="22"/>
          <w:szCs w:val="22"/>
          <w:lang w:val="es-MX"/>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debe tener</w:t>
      </w:r>
      <w:r>
        <w:rPr>
          <w:rFonts w:ascii="Arial" w:hAnsi="Arial" w:cs="Arial"/>
          <w:sz w:val="22"/>
          <w:szCs w:val="22"/>
          <w:lang w:val="es-MX"/>
        </w:rPr>
        <w:t>la</w:t>
      </w:r>
      <w:r w:rsidRPr="006A49BE">
        <w:rPr>
          <w:rFonts w:ascii="Arial" w:hAnsi="Arial" w:cs="Arial"/>
          <w:sz w:val="22"/>
          <w:szCs w:val="22"/>
          <w:lang w:val="es-MX"/>
        </w:rPr>
        <w:t xml:space="preserve"> en cuenta. De esta forma se garantiza la pluralidad de oferentes en los procesos de contratación. </w:t>
      </w:r>
    </w:p>
    <w:p w14:paraId="17D7200F" w14:textId="77777777" w:rsidR="003C7067" w:rsidRPr="006A49BE" w:rsidRDefault="003C7067" w:rsidP="003C7067">
      <w:pPr>
        <w:spacing w:before="120" w:after="120" w:line="276" w:lineRule="auto"/>
        <w:ind w:firstLine="708"/>
        <w:jc w:val="both"/>
        <w:rPr>
          <w:rFonts w:ascii="Arial" w:hAnsi="Arial" w:cs="Arial"/>
          <w:sz w:val="22"/>
          <w:szCs w:val="22"/>
          <w:lang w:val="es-MX"/>
        </w:rPr>
      </w:pPr>
      <w:r w:rsidRPr="006A49BE">
        <w:rPr>
          <w:rFonts w:ascii="Arial" w:hAnsi="Arial" w:cs="Arial"/>
          <w:sz w:val="22"/>
          <w:szCs w:val="22"/>
          <w:lang w:val="es-MX"/>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32F58CC8" w14:textId="77777777" w:rsidR="003C7067" w:rsidRDefault="003C7067" w:rsidP="003C7067">
      <w:pPr>
        <w:spacing w:before="120" w:after="120" w:line="276" w:lineRule="auto"/>
        <w:ind w:firstLine="709"/>
        <w:jc w:val="both"/>
        <w:rPr>
          <w:rFonts w:ascii="Arial" w:hAnsi="Arial" w:cs="Arial"/>
          <w:sz w:val="22"/>
          <w:szCs w:val="22"/>
          <w:lang w:val="es-MX"/>
        </w:rPr>
      </w:pPr>
      <w:r w:rsidRPr="006A49BE">
        <w:rPr>
          <w:rFonts w:ascii="Arial" w:hAnsi="Arial" w:cs="Arial"/>
          <w:sz w:val="22"/>
          <w:szCs w:val="22"/>
          <w:lang w:val="es-MX"/>
        </w:rPr>
        <w:lastRenderedPageBreak/>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126AA61" w14:textId="77777777" w:rsidR="003C7067" w:rsidRPr="00D707C1" w:rsidRDefault="003C7067" w:rsidP="003C7067">
      <w:pPr>
        <w:pStyle w:val="Textoindependiente"/>
        <w:spacing w:before="70" w:line="276" w:lineRule="auto"/>
        <w:ind w:firstLine="708"/>
        <w:jc w:val="both"/>
        <w:rPr>
          <w:sz w:val="22"/>
          <w:szCs w:val="22"/>
        </w:rPr>
      </w:pPr>
      <w:r w:rsidRPr="00D707C1">
        <w:rPr>
          <w:sz w:val="22"/>
          <w:szCs w:val="22"/>
        </w:rPr>
        <w:t>Esta idea ha sido reiterada por Agencia en ejercicio de la función consultiva en los conceptos anteriormente enunciados. Por lo demás, la postura se ha reflejado en el contenido de los diferentes documentos tipo expedidos en virtud del parágrafo 7 del artículo 2 de la Ley</w:t>
      </w:r>
      <w:r w:rsidRPr="00D707C1">
        <w:rPr>
          <w:spacing w:val="-17"/>
          <w:sz w:val="22"/>
          <w:szCs w:val="22"/>
        </w:rPr>
        <w:t xml:space="preserve"> </w:t>
      </w:r>
      <w:r w:rsidRPr="00D707C1">
        <w:rPr>
          <w:sz w:val="22"/>
          <w:szCs w:val="22"/>
        </w:rPr>
        <w:t>1150</w:t>
      </w:r>
      <w:r w:rsidRPr="00D707C1">
        <w:rPr>
          <w:spacing w:val="-17"/>
          <w:sz w:val="22"/>
          <w:szCs w:val="22"/>
        </w:rPr>
        <w:t xml:space="preserve"> </w:t>
      </w:r>
      <w:r w:rsidRPr="00D707C1">
        <w:rPr>
          <w:sz w:val="22"/>
          <w:szCs w:val="22"/>
        </w:rPr>
        <w:t>de</w:t>
      </w:r>
      <w:r w:rsidRPr="00D707C1">
        <w:rPr>
          <w:spacing w:val="-16"/>
          <w:sz w:val="22"/>
          <w:szCs w:val="22"/>
        </w:rPr>
        <w:t xml:space="preserve"> </w:t>
      </w:r>
      <w:r w:rsidRPr="00D707C1">
        <w:rPr>
          <w:sz w:val="22"/>
          <w:szCs w:val="22"/>
        </w:rPr>
        <w:t>2007,</w:t>
      </w:r>
      <w:r w:rsidRPr="00D707C1">
        <w:rPr>
          <w:spacing w:val="-17"/>
          <w:sz w:val="22"/>
          <w:szCs w:val="22"/>
        </w:rPr>
        <w:t xml:space="preserve"> </w:t>
      </w:r>
      <w:r w:rsidRPr="00D707C1">
        <w:rPr>
          <w:sz w:val="22"/>
          <w:szCs w:val="22"/>
        </w:rPr>
        <w:t>modificado</w:t>
      </w:r>
      <w:r w:rsidRPr="00D707C1">
        <w:rPr>
          <w:spacing w:val="-16"/>
          <w:sz w:val="22"/>
          <w:szCs w:val="22"/>
        </w:rPr>
        <w:t xml:space="preserve"> </w:t>
      </w:r>
      <w:r w:rsidRPr="00D707C1">
        <w:rPr>
          <w:sz w:val="22"/>
          <w:szCs w:val="22"/>
        </w:rPr>
        <w:t>por</w:t>
      </w:r>
      <w:r w:rsidRPr="00D707C1">
        <w:rPr>
          <w:spacing w:val="-17"/>
          <w:sz w:val="22"/>
          <w:szCs w:val="22"/>
        </w:rPr>
        <w:t xml:space="preserve"> </w:t>
      </w:r>
      <w:r w:rsidRPr="00D707C1">
        <w:rPr>
          <w:sz w:val="22"/>
          <w:szCs w:val="22"/>
        </w:rPr>
        <w:t>la</w:t>
      </w:r>
      <w:r w:rsidRPr="00D707C1">
        <w:rPr>
          <w:spacing w:val="-16"/>
          <w:sz w:val="22"/>
          <w:szCs w:val="22"/>
        </w:rPr>
        <w:t xml:space="preserve"> </w:t>
      </w:r>
      <w:r w:rsidRPr="00D707C1">
        <w:rPr>
          <w:sz w:val="22"/>
          <w:szCs w:val="22"/>
        </w:rPr>
        <w:t>Ley</w:t>
      </w:r>
      <w:r w:rsidRPr="00D707C1">
        <w:rPr>
          <w:spacing w:val="-17"/>
          <w:sz w:val="22"/>
          <w:szCs w:val="22"/>
        </w:rPr>
        <w:t xml:space="preserve"> </w:t>
      </w:r>
      <w:r w:rsidRPr="00D707C1">
        <w:rPr>
          <w:sz w:val="22"/>
          <w:szCs w:val="22"/>
        </w:rPr>
        <w:t>2022</w:t>
      </w:r>
      <w:r w:rsidRPr="00D707C1">
        <w:rPr>
          <w:spacing w:val="-17"/>
          <w:sz w:val="22"/>
          <w:szCs w:val="22"/>
        </w:rPr>
        <w:t xml:space="preserve"> </w:t>
      </w:r>
      <w:r w:rsidRPr="00D707C1">
        <w:rPr>
          <w:sz w:val="22"/>
          <w:szCs w:val="22"/>
        </w:rPr>
        <w:t>de</w:t>
      </w:r>
      <w:r w:rsidRPr="00D707C1">
        <w:rPr>
          <w:spacing w:val="-16"/>
          <w:sz w:val="22"/>
          <w:szCs w:val="22"/>
        </w:rPr>
        <w:t xml:space="preserve"> </w:t>
      </w:r>
      <w:r w:rsidRPr="00D707C1">
        <w:rPr>
          <w:sz w:val="22"/>
          <w:szCs w:val="22"/>
        </w:rPr>
        <w:t>2020.</w:t>
      </w:r>
      <w:r w:rsidRPr="00D707C1">
        <w:rPr>
          <w:spacing w:val="-17"/>
          <w:sz w:val="22"/>
          <w:szCs w:val="22"/>
        </w:rPr>
        <w:t xml:space="preserve"> </w:t>
      </w:r>
      <w:r w:rsidRPr="00D707C1">
        <w:rPr>
          <w:sz w:val="22"/>
          <w:szCs w:val="22"/>
        </w:rPr>
        <w:t>Ejemplo</w:t>
      </w:r>
      <w:r w:rsidRPr="00D707C1">
        <w:rPr>
          <w:spacing w:val="-15"/>
          <w:sz w:val="22"/>
          <w:szCs w:val="22"/>
        </w:rPr>
        <w:t xml:space="preserve"> </w:t>
      </w:r>
      <w:r w:rsidRPr="00D707C1">
        <w:rPr>
          <w:sz w:val="22"/>
          <w:szCs w:val="22"/>
        </w:rPr>
        <w:t>de</w:t>
      </w:r>
      <w:r w:rsidRPr="00D707C1">
        <w:rPr>
          <w:spacing w:val="-17"/>
          <w:sz w:val="22"/>
          <w:szCs w:val="22"/>
        </w:rPr>
        <w:t xml:space="preserve"> </w:t>
      </w:r>
      <w:r w:rsidRPr="00D707C1">
        <w:rPr>
          <w:sz w:val="22"/>
          <w:szCs w:val="22"/>
        </w:rPr>
        <w:t>ello</w:t>
      </w:r>
      <w:r w:rsidRPr="00D707C1">
        <w:rPr>
          <w:spacing w:val="-16"/>
          <w:sz w:val="22"/>
          <w:szCs w:val="22"/>
        </w:rPr>
        <w:t xml:space="preserve"> </w:t>
      </w:r>
      <w:r w:rsidRPr="00D707C1">
        <w:rPr>
          <w:sz w:val="22"/>
          <w:szCs w:val="22"/>
        </w:rPr>
        <w:t>es</w:t>
      </w:r>
      <w:r w:rsidRPr="00D707C1">
        <w:rPr>
          <w:spacing w:val="-17"/>
          <w:sz w:val="22"/>
          <w:szCs w:val="22"/>
        </w:rPr>
        <w:t xml:space="preserve"> </w:t>
      </w:r>
      <w:r w:rsidRPr="00D707C1">
        <w:rPr>
          <w:sz w:val="22"/>
          <w:szCs w:val="22"/>
        </w:rPr>
        <w:t>el</w:t>
      </w:r>
      <w:r w:rsidRPr="00D707C1">
        <w:rPr>
          <w:spacing w:val="-17"/>
          <w:sz w:val="22"/>
          <w:szCs w:val="22"/>
        </w:rPr>
        <w:t xml:space="preserve"> «</w:t>
      </w:r>
      <w:r w:rsidRPr="00D707C1">
        <w:rPr>
          <w:sz w:val="22"/>
          <w:szCs w:val="22"/>
        </w:rPr>
        <w:t>Documento Tipo – Versión 3» expedido mediante la Resolución No. 240 de 2020 para procesos de licitación</w:t>
      </w:r>
      <w:r w:rsidRPr="00D707C1">
        <w:rPr>
          <w:spacing w:val="-9"/>
          <w:sz w:val="22"/>
          <w:szCs w:val="22"/>
        </w:rPr>
        <w:t xml:space="preserve"> </w:t>
      </w:r>
      <w:r w:rsidRPr="00D707C1">
        <w:rPr>
          <w:sz w:val="22"/>
          <w:szCs w:val="22"/>
        </w:rPr>
        <w:t>de</w:t>
      </w:r>
      <w:r w:rsidRPr="00D707C1">
        <w:rPr>
          <w:spacing w:val="-8"/>
          <w:sz w:val="22"/>
          <w:szCs w:val="22"/>
        </w:rPr>
        <w:t xml:space="preserve"> </w:t>
      </w:r>
      <w:r w:rsidRPr="00D707C1">
        <w:rPr>
          <w:sz w:val="22"/>
          <w:szCs w:val="22"/>
        </w:rPr>
        <w:t>obra</w:t>
      </w:r>
      <w:r w:rsidRPr="00D707C1">
        <w:rPr>
          <w:spacing w:val="-9"/>
          <w:sz w:val="22"/>
          <w:szCs w:val="22"/>
        </w:rPr>
        <w:t xml:space="preserve"> </w:t>
      </w:r>
      <w:r w:rsidRPr="00D707C1">
        <w:rPr>
          <w:sz w:val="22"/>
          <w:szCs w:val="22"/>
        </w:rPr>
        <w:t>pública</w:t>
      </w:r>
      <w:r w:rsidRPr="00D707C1">
        <w:rPr>
          <w:spacing w:val="-8"/>
          <w:sz w:val="22"/>
          <w:szCs w:val="22"/>
        </w:rPr>
        <w:t xml:space="preserve"> </w:t>
      </w:r>
      <w:r w:rsidRPr="00D707C1">
        <w:rPr>
          <w:sz w:val="22"/>
          <w:szCs w:val="22"/>
        </w:rPr>
        <w:t>de</w:t>
      </w:r>
      <w:r w:rsidRPr="00D707C1">
        <w:rPr>
          <w:spacing w:val="-8"/>
          <w:sz w:val="22"/>
          <w:szCs w:val="22"/>
        </w:rPr>
        <w:t xml:space="preserve"> </w:t>
      </w:r>
      <w:r w:rsidRPr="00D707C1">
        <w:rPr>
          <w:sz w:val="22"/>
          <w:szCs w:val="22"/>
        </w:rPr>
        <w:t>infraestructura</w:t>
      </w:r>
      <w:r w:rsidRPr="00D707C1">
        <w:rPr>
          <w:spacing w:val="-8"/>
          <w:sz w:val="22"/>
          <w:szCs w:val="22"/>
        </w:rPr>
        <w:t xml:space="preserve"> </w:t>
      </w:r>
      <w:r w:rsidRPr="00D707C1">
        <w:rPr>
          <w:sz w:val="22"/>
          <w:szCs w:val="22"/>
        </w:rPr>
        <w:t>de</w:t>
      </w:r>
      <w:r w:rsidRPr="00D707C1">
        <w:rPr>
          <w:spacing w:val="-8"/>
          <w:sz w:val="22"/>
          <w:szCs w:val="22"/>
        </w:rPr>
        <w:t xml:space="preserve"> </w:t>
      </w:r>
      <w:r w:rsidRPr="00D707C1">
        <w:rPr>
          <w:sz w:val="22"/>
          <w:szCs w:val="22"/>
        </w:rPr>
        <w:t>transporte.</w:t>
      </w:r>
      <w:r w:rsidRPr="00D707C1">
        <w:rPr>
          <w:spacing w:val="-9"/>
          <w:sz w:val="22"/>
          <w:szCs w:val="22"/>
        </w:rPr>
        <w:t xml:space="preserve"> </w:t>
      </w:r>
      <w:r w:rsidRPr="00D707C1">
        <w:rPr>
          <w:sz w:val="22"/>
          <w:szCs w:val="22"/>
        </w:rPr>
        <w:t>Al respecto,</w:t>
      </w:r>
      <w:r w:rsidRPr="00D707C1">
        <w:rPr>
          <w:spacing w:val="-8"/>
          <w:sz w:val="22"/>
          <w:szCs w:val="22"/>
        </w:rPr>
        <w:t xml:space="preserve"> </w:t>
      </w:r>
      <w:r w:rsidRPr="00D707C1">
        <w:rPr>
          <w:sz w:val="22"/>
          <w:szCs w:val="22"/>
        </w:rPr>
        <w:t>el</w:t>
      </w:r>
      <w:r w:rsidRPr="00D707C1">
        <w:rPr>
          <w:spacing w:val="-8"/>
          <w:sz w:val="22"/>
          <w:szCs w:val="22"/>
        </w:rPr>
        <w:t xml:space="preserve"> </w:t>
      </w:r>
      <w:r w:rsidRPr="00D707C1">
        <w:rPr>
          <w:sz w:val="22"/>
          <w:szCs w:val="22"/>
        </w:rPr>
        <w:t>literal</w:t>
      </w:r>
      <w:r w:rsidRPr="00D707C1">
        <w:rPr>
          <w:spacing w:val="-9"/>
          <w:sz w:val="22"/>
          <w:szCs w:val="22"/>
        </w:rPr>
        <w:t xml:space="preserve"> </w:t>
      </w:r>
      <w:r w:rsidRPr="00D707C1">
        <w:rPr>
          <w:sz w:val="22"/>
          <w:szCs w:val="22"/>
        </w:rPr>
        <w:t>E</w:t>
      </w:r>
      <w:r w:rsidRPr="00D707C1">
        <w:rPr>
          <w:spacing w:val="-8"/>
          <w:sz w:val="22"/>
          <w:szCs w:val="22"/>
        </w:rPr>
        <w:t xml:space="preserve"> </w:t>
      </w:r>
      <w:r w:rsidRPr="00D707C1">
        <w:rPr>
          <w:sz w:val="22"/>
          <w:szCs w:val="22"/>
        </w:rPr>
        <w:t>del numeral 3.5.2 del pliego de condiciones dispone lo siguiente:</w:t>
      </w:r>
    </w:p>
    <w:p w14:paraId="1362F6ED" w14:textId="77777777" w:rsidR="003C7067" w:rsidRDefault="003C7067" w:rsidP="003C7067">
      <w:pPr>
        <w:pStyle w:val="Textoindependiente"/>
        <w:spacing w:before="2"/>
      </w:pPr>
    </w:p>
    <w:p w14:paraId="56A7919A" w14:textId="77777777" w:rsidR="003C7067" w:rsidRPr="00D707C1" w:rsidRDefault="003C7067" w:rsidP="003C7067">
      <w:pPr>
        <w:ind w:left="709" w:right="709"/>
        <w:jc w:val="both"/>
        <w:rPr>
          <w:rFonts w:ascii="Arial" w:hAnsi="Arial" w:cs="Arial"/>
          <w:sz w:val="21"/>
        </w:rPr>
      </w:pPr>
      <w:r w:rsidRPr="00D707C1">
        <w:rPr>
          <w:rFonts w:ascii="Arial" w:hAnsi="Arial" w:cs="Arial"/>
          <w:sz w:val="21"/>
        </w:rPr>
        <w:t>E. Para los contratos que sean aportados por socios de empresas que no cuentan con más de tres (3) años de constituidas, además del RUP, deben adjuntar un documento suscrito por el representante legal y el revisor fiscal o</w:t>
      </w:r>
      <w:r w:rsidRPr="00D707C1">
        <w:rPr>
          <w:rFonts w:ascii="Arial" w:hAnsi="Arial" w:cs="Arial"/>
          <w:spacing w:val="-14"/>
          <w:sz w:val="21"/>
        </w:rPr>
        <w:t xml:space="preserve"> </w:t>
      </w:r>
      <w:r w:rsidRPr="00D707C1">
        <w:rPr>
          <w:rFonts w:ascii="Arial" w:hAnsi="Arial" w:cs="Arial"/>
          <w:sz w:val="21"/>
        </w:rPr>
        <w:t>contador</w:t>
      </w:r>
      <w:r w:rsidRPr="00D707C1">
        <w:rPr>
          <w:rFonts w:ascii="Arial" w:hAnsi="Arial" w:cs="Arial"/>
          <w:spacing w:val="-14"/>
          <w:sz w:val="21"/>
        </w:rPr>
        <w:t xml:space="preserve"> </w:t>
      </w:r>
      <w:r w:rsidRPr="00D707C1">
        <w:rPr>
          <w:rFonts w:ascii="Arial" w:hAnsi="Arial" w:cs="Arial"/>
          <w:sz w:val="21"/>
        </w:rPr>
        <w:t>público</w:t>
      </w:r>
      <w:r w:rsidRPr="00D707C1">
        <w:rPr>
          <w:rFonts w:ascii="Arial" w:hAnsi="Arial" w:cs="Arial"/>
          <w:spacing w:val="-14"/>
          <w:sz w:val="21"/>
        </w:rPr>
        <w:t xml:space="preserve"> </w:t>
      </w:r>
      <w:r w:rsidRPr="00D707C1">
        <w:rPr>
          <w:rFonts w:ascii="Arial" w:hAnsi="Arial" w:cs="Arial"/>
          <w:sz w:val="21"/>
        </w:rPr>
        <w:t>(según</w:t>
      </w:r>
      <w:r w:rsidRPr="00D707C1">
        <w:rPr>
          <w:rFonts w:ascii="Arial" w:hAnsi="Arial" w:cs="Arial"/>
          <w:spacing w:val="-14"/>
          <w:sz w:val="21"/>
        </w:rPr>
        <w:t xml:space="preserve"> </w:t>
      </w:r>
      <w:r w:rsidRPr="00D707C1">
        <w:rPr>
          <w:rFonts w:ascii="Arial" w:hAnsi="Arial" w:cs="Arial"/>
          <w:sz w:val="21"/>
        </w:rPr>
        <w:t>corresponda)</w:t>
      </w:r>
      <w:r w:rsidRPr="00D707C1">
        <w:rPr>
          <w:rFonts w:ascii="Arial" w:hAnsi="Arial" w:cs="Arial"/>
          <w:spacing w:val="-14"/>
          <w:sz w:val="21"/>
        </w:rPr>
        <w:t xml:space="preserve"> </w:t>
      </w:r>
      <w:r w:rsidRPr="00D707C1">
        <w:rPr>
          <w:rFonts w:ascii="Arial" w:hAnsi="Arial" w:cs="Arial"/>
          <w:sz w:val="21"/>
        </w:rPr>
        <w:t>donde</w:t>
      </w:r>
      <w:r w:rsidRPr="00D707C1">
        <w:rPr>
          <w:rFonts w:ascii="Arial" w:hAnsi="Arial" w:cs="Arial"/>
          <w:spacing w:val="-13"/>
          <w:sz w:val="21"/>
        </w:rPr>
        <w:t xml:space="preserve"> </w:t>
      </w:r>
      <w:r w:rsidRPr="00D707C1">
        <w:rPr>
          <w:rFonts w:ascii="Arial" w:hAnsi="Arial" w:cs="Arial"/>
          <w:sz w:val="21"/>
        </w:rPr>
        <w:t>se</w:t>
      </w:r>
      <w:r w:rsidRPr="00D707C1">
        <w:rPr>
          <w:rFonts w:ascii="Arial" w:hAnsi="Arial" w:cs="Arial"/>
          <w:spacing w:val="-14"/>
          <w:sz w:val="21"/>
        </w:rPr>
        <w:t xml:space="preserve"> </w:t>
      </w:r>
      <w:r w:rsidRPr="00D707C1">
        <w:rPr>
          <w:rFonts w:ascii="Arial" w:hAnsi="Arial" w:cs="Arial"/>
          <w:sz w:val="21"/>
        </w:rPr>
        <w:t>indique</w:t>
      </w:r>
      <w:r w:rsidRPr="00D707C1">
        <w:rPr>
          <w:rFonts w:ascii="Arial" w:hAnsi="Arial" w:cs="Arial"/>
          <w:spacing w:val="-14"/>
          <w:sz w:val="21"/>
        </w:rPr>
        <w:t xml:space="preserve"> </w:t>
      </w:r>
      <w:r w:rsidRPr="00D707C1">
        <w:rPr>
          <w:rFonts w:ascii="Arial" w:hAnsi="Arial" w:cs="Arial"/>
          <w:sz w:val="21"/>
        </w:rPr>
        <w:t>la</w:t>
      </w:r>
      <w:r w:rsidRPr="00D707C1">
        <w:rPr>
          <w:rFonts w:ascii="Arial" w:hAnsi="Arial" w:cs="Arial"/>
          <w:spacing w:val="-14"/>
          <w:sz w:val="21"/>
        </w:rPr>
        <w:t xml:space="preserve"> </w:t>
      </w:r>
      <w:r w:rsidRPr="00D707C1">
        <w:rPr>
          <w:rFonts w:ascii="Arial" w:hAnsi="Arial" w:cs="Arial"/>
          <w:sz w:val="21"/>
        </w:rPr>
        <w:t>conformación</w:t>
      </w:r>
      <w:r w:rsidRPr="00D707C1">
        <w:rPr>
          <w:rFonts w:ascii="Arial" w:hAnsi="Arial" w:cs="Arial"/>
          <w:spacing w:val="-14"/>
          <w:sz w:val="21"/>
        </w:rPr>
        <w:t xml:space="preserve"> </w:t>
      </w:r>
      <w:r w:rsidRPr="00D707C1">
        <w:rPr>
          <w:rFonts w:ascii="Arial" w:hAnsi="Arial" w:cs="Arial"/>
          <w:sz w:val="21"/>
        </w:rPr>
        <w:t xml:space="preserve">de la empresa. </w:t>
      </w:r>
      <w:r w:rsidRPr="00D707C1">
        <w:rPr>
          <w:rFonts w:ascii="Arial" w:hAnsi="Arial" w:cs="Arial"/>
          <w:i/>
          <w:sz w:val="21"/>
        </w:rPr>
        <w:t>La entidad tendrá en cuenta la experiencia individual de los accionistas,</w:t>
      </w:r>
      <w:r w:rsidRPr="00D707C1">
        <w:rPr>
          <w:rFonts w:ascii="Arial" w:hAnsi="Arial" w:cs="Arial"/>
          <w:i/>
          <w:spacing w:val="-10"/>
          <w:sz w:val="21"/>
        </w:rPr>
        <w:t xml:space="preserve"> </w:t>
      </w:r>
      <w:r w:rsidRPr="00D707C1">
        <w:rPr>
          <w:rFonts w:ascii="Arial" w:hAnsi="Arial" w:cs="Arial"/>
          <w:i/>
          <w:sz w:val="21"/>
        </w:rPr>
        <w:t>socios</w:t>
      </w:r>
      <w:r w:rsidRPr="00D707C1">
        <w:rPr>
          <w:rFonts w:ascii="Arial" w:hAnsi="Arial" w:cs="Arial"/>
          <w:i/>
          <w:spacing w:val="-10"/>
          <w:sz w:val="21"/>
        </w:rPr>
        <w:t xml:space="preserve"> </w:t>
      </w:r>
      <w:r w:rsidRPr="00D707C1">
        <w:rPr>
          <w:rFonts w:ascii="Arial" w:hAnsi="Arial" w:cs="Arial"/>
          <w:i/>
          <w:sz w:val="21"/>
        </w:rPr>
        <w:t>o</w:t>
      </w:r>
      <w:r w:rsidRPr="00D707C1">
        <w:rPr>
          <w:rFonts w:ascii="Arial" w:hAnsi="Arial" w:cs="Arial"/>
          <w:i/>
          <w:spacing w:val="-9"/>
          <w:sz w:val="21"/>
        </w:rPr>
        <w:t xml:space="preserve"> </w:t>
      </w:r>
      <w:r w:rsidRPr="00D707C1">
        <w:rPr>
          <w:rFonts w:ascii="Arial" w:hAnsi="Arial" w:cs="Arial"/>
          <w:i/>
          <w:sz w:val="21"/>
        </w:rPr>
        <w:t>constituyentes</w:t>
      </w:r>
      <w:r w:rsidRPr="00D707C1">
        <w:rPr>
          <w:rFonts w:ascii="Arial" w:hAnsi="Arial" w:cs="Arial"/>
          <w:i/>
          <w:spacing w:val="-10"/>
          <w:sz w:val="21"/>
        </w:rPr>
        <w:t xml:space="preserve"> </w:t>
      </w:r>
      <w:r w:rsidRPr="00D707C1">
        <w:rPr>
          <w:rFonts w:ascii="Arial" w:hAnsi="Arial" w:cs="Arial"/>
          <w:i/>
          <w:sz w:val="21"/>
        </w:rPr>
        <w:t>de</w:t>
      </w:r>
      <w:r w:rsidRPr="00D707C1">
        <w:rPr>
          <w:rFonts w:ascii="Arial" w:hAnsi="Arial" w:cs="Arial"/>
          <w:i/>
          <w:spacing w:val="-9"/>
          <w:sz w:val="21"/>
        </w:rPr>
        <w:t xml:space="preserve"> </w:t>
      </w:r>
      <w:r w:rsidRPr="00D707C1">
        <w:rPr>
          <w:rFonts w:ascii="Arial" w:hAnsi="Arial" w:cs="Arial"/>
          <w:i/>
          <w:sz w:val="21"/>
        </w:rPr>
        <w:t>las</w:t>
      </w:r>
      <w:r w:rsidRPr="00D707C1">
        <w:rPr>
          <w:rFonts w:ascii="Arial" w:hAnsi="Arial" w:cs="Arial"/>
          <w:i/>
          <w:spacing w:val="-10"/>
          <w:sz w:val="21"/>
        </w:rPr>
        <w:t xml:space="preserve"> </w:t>
      </w:r>
      <w:r w:rsidRPr="00D707C1">
        <w:rPr>
          <w:rFonts w:ascii="Arial" w:hAnsi="Arial" w:cs="Arial"/>
          <w:i/>
          <w:sz w:val="21"/>
        </w:rPr>
        <w:t>sociedades</w:t>
      </w:r>
      <w:r w:rsidRPr="00D707C1">
        <w:rPr>
          <w:rFonts w:ascii="Arial" w:hAnsi="Arial" w:cs="Arial"/>
          <w:i/>
          <w:spacing w:val="-9"/>
          <w:sz w:val="21"/>
        </w:rPr>
        <w:t xml:space="preserve"> </w:t>
      </w:r>
      <w:r w:rsidRPr="00D707C1">
        <w:rPr>
          <w:rFonts w:ascii="Arial" w:hAnsi="Arial" w:cs="Arial"/>
          <w:i/>
          <w:sz w:val="21"/>
        </w:rPr>
        <w:t>con</w:t>
      </w:r>
      <w:r w:rsidRPr="00D707C1">
        <w:rPr>
          <w:rFonts w:ascii="Arial" w:hAnsi="Arial" w:cs="Arial"/>
          <w:i/>
          <w:spacing w:val="-10"/>
          <w:sz w:val="21"/>
        </w:rPr>
        <w:t xml:space="preserve"> </w:t>
      </w:r>
      <w:r w:rsidRPr="00D707C1">
        <w:rPr>
          <w:rFonts w:ascii="Arial" w:hAnsi="Arial" w:cs="Arial"/>
          <w:i/>
          <w:sz w:val="21"/>
        </w:rPr>
        <w:t>menos</w:t>
      </w:r>
      <w:r w:rsidRPr="00D707C1">
        <w:rPr>
          <w:rFonts w:ascii="Arial" w:hAnsi="Arial" w:cs="Arial"/>
          <w:i/>
          <w:spacing w:val="-10"/>
          <w:sz w:val="21"/>
        </w:rPr>
        <w:t xml:space="preserve"> </w:t>
      </w:r>
      <w:r w:rsidRPr="00D707C1">
        <w:rPr>
          <w:rFonts w:ascii="Arial" w:hAnsi="Arial" w:cs="Arial"/>
          <w:i/>
          <w:sz w:val="21"/>
        </w:rPr>
        <w:t>de</w:t>
      </w:r>
      <w:r w:rsidRPr="00D707C1">
        <w:rPr>
          <w:rFonts w:ascii="Arial" w:hAnsi="Arial" w:cs="Arial"/>
          <w:i/>
          <w:spacing w:val="-9"/>
          <w:sz w:val="21"/>
        </w:rPr>
        <w:t xml:space="preserve"> </w:t>
      </w:r>
      <w:r w:rsidRPr="00D707C1">
        <w:rPr>
          <w:rFonts w:ascii="Arial" w:hAnsi="Arial" w:cs="Arial"/>
          <w:i/>
          <w:sz w:val="21"/>
        </w:rPr>
        <w:t>tres</w:t>
      </w:r>
      <w:r w:rsidRPr="00D707C1">
        <w:rPr>
          <w:rFonts w:ascii="Arial" w:hAnsi="Arial" w:cs="Arial"/>
          <w:i/>
          <w:spacing w:val="-9"/>
          <w:sz w:val="21"/>
        </w:rPr>
        <w:t xml:space="preserve"> </w:t>
      </w:r>
      <w:r w:rsidRPr="00D707C1">
        <w:rPr>
          <w:rFonts w:ascii="Arial" w:hAnsi="Arial" w:cs="Arial"/>
          <w:i/>
          <w:sz w:val="21"/>
        </w:rPr>
        <w:t>(3) años de constituidas. Pasado este tiempo, la sociedad conservará esta experiencia, tal y como haya quedado registrada en el RUP</w:t>
      </w:r>
      <w:r w:rsidRPr="00D707C1">
        <w:rPr>
          <w:rFonts w:ascii="Arial" w:hAnsi="Arial" w:cs="Arial"/>
          <w:sz w:val="21"/>
        </w:rPr>
        <w:t>. (Énfasis fuera de</w:t>
      </w:r>
      <w:r w:rsidRPr="00D707C1">
        <w:rPr>
          <w:rFonts w:ascii="Arial" w:hAnsi="Arial" w:cs="Arial"/>
          <w:spacing w:val="-2"/>
          <w:sz w:val="21"/>
        </w:rPr>
        <w:t xml:space="preserve"> </w:t>
      </w:r>
      <w:r w:rsidRPr="00D707C1">
        <w:rPr>
          <w:rFonts w:ascii="Arial" w:hAnsi="Arial" w:cs="Arial"/>
          <w:sz w:val="21"/>
        </w:rPr>
        <w:t>texto)</w:t>
      </w:r>
    </w:p>
    <w:p w14:paraId="7589A0ED" w14:textId="77777777" w:rsidR="003C7067" w:rsidRDefault="003C7067" w:rsidP="003C7067">
      <w:pPr>
        <w:spacing w:line="259" w:lineRule="auto"/>
        <w:ind w:left="810" w:right="1242"/>
        <w:jc w:val="both"/>
        <w:rPr>
          <w:sz w:val="21"/>
        </w:rPr>
      </w:pPr>
    </w:p>
    <w:p w14:paraId="3BEF9816" w14:textId="77777777" w:rsidR="003C7067" w:rsidRPr="00D707C1" w:rsidRDefault="003C7067" w:rsidP="003C7067">
      <w:pPr>
        <w:pStyle w:val="Textoindependiente"/>
        <w:spacing w:after="120" w:line="276" w:lineRule="auto"/>
        <w:ind w:firstLine="709"/>
        <w:jc w:val="both"/>
        <w:rPr>
          <w:i/>
          <w:sz w:val="22"/>
          <w:szCs w:val="22"/>
        </w:rPr>
      </w:pPr>
      <w:r w:rsidRPr="00D707C1">
        <w:rPr>
          <w:sz w:val="22"/>
          <w:szCs w:val="22"/>
        </w:rPr>
        <w:t>Como se aprecia, este literal, en desarrollo de lo dispuesto en el numeral 2.5 del artículo 2.2.1.1.1.5.2 del Decreto 1082 de 2015, establece la posibilidad de que las personas jurídicas de reciente constitución acrediten la experiencia adquirida por sus socios o constituyentes. Ahora, en concordancia con la postura expuesta en torno a la aplicación</w:t>
      </w:r>
      <w:r w:rsidRPr="00D707C1">
        <w:rPr>
          <w:spacing w:val="-18"/>
          <w:sz w:val="22"/>
          <w:szCs w:val="22"/>
        </w:rPr>
        <w:t xml:space="preserve"> </w:t>
      </w:r>
      <w:r w:rsidRPr="00D707C1">
        <w:rPr>
          <w:sz w:val="22"/>
          <w:szCs w:val="22"/>
        </w:rPr>
        <w:t>de</w:t>
      </w:r>
      <w:r w:rsidRPr="00D707C1">
        <w:rPr>
          <w:spacing w:val="-18"/>
          <w:sz w:val="22"/>
          <w:szCs w:val="22"/>
        </w:rPr>
        <w:t xml:space="preserve"> </w:t>
      </w:r>
      <w:r w:rsidRPr="00D707C1">
        <w:rPr>
          <w:sz w:val="22"/>
          <w:szCs w:val="22"/>
        </w:rPr>
        <w:t>dicha</w:t>
      </w:r>
      <w:r w:rsidRPr="00D707C1">
        <w:rPr>
          <w:spacing w:val="-17"/>
          <w:sz w:val="22"/>
          <w:szCs w:val="22"/>
        </w:rPr>
        <w:t xml:space="preserve"> </w:t>
      </w:r>
      <w:r w:rsidRPr="00D707C1">
        <w:rPr>
          <w:sz w:val="22"/>
          <w:szCs w:val="22"/>
        </w:rPr>
        <w:t>norma,</w:t>
      </w:r>
      <w:r w:rsidRPr="00D707C1">
        <w:rPr>
          <w:spacing w:val="-18"/>
          <w:sz w:val="22"/>
          <w:szCs w:val="22"/>
        </w:rPr>
        <w:t xml:space="preserve"> </w:t>
      </w:r>
      <w:r w:rsidRPr="00D707C1">
        <w:rPr>
          <w:sz w:val="22"/>
          <w:szCs w:val="22"/>
        </w:rPr>
        <w:t>esta</w:t>
      </w:r>
      <w:r w:rsidRPr="00D707C1">
        <w:rPr>
          <w:spacing w:val="-17"/>
          <w:sz w:val="22"/>
          <w:szCs w:val="22"/>
        </w:rPr>
        <w:t xml:space="preserve"> </w:t>
      </w:r>
      <w:r w:rsidRPr="00D707C1">
        <w:rPr>
          <w:sz w:val="22"/>
          <w:szCs w:val="22"/>
        </w:rPr>
        <w:t>Agencia</w:t>
      </w:r>
      <w:r w:rsidRPr="00D707C1">
        <w:rPr>
          <w:spacing w:val="-17"/>
          <w:sz w:val="22"/>
          <w:szCs w:val="22"/>
        </w:rPr>
        <w:t xml:space="preserve"> </w:t>
      </w:r>
      <w:r w:rsidRPr="00D707C1">
        <w:rPr>
          <w:sz w:val="22"/>
          <w:szCs w:val="22"/>
        </w:rPr>
        <w:t>estableció</w:t>
      </w:r>
      <w:r w:rsidRPr="00D707C1">
        <w:rPr>
          <w:spacing w:val="-17"/>
          <w:sz w:val="22"/>
          <w:szCs w:val="22"/>
        </w:rPr>
        <w:t xml:space="preserve"> </w:t>
      </w:r>
      <w:r w:rsidRPr="00D707C1">
        <w:rPr>
          <w:sz w:val="22"/>
          <w:szCs w:val="22"/>
        </w:rPr>
        <w:t>de</w:t>
      </w:r>
      <w:r w:rsidRPr="00D707C1">
        <w:rPr>
          <w:spacing w:val="-18"/>
          <w:sz w:val="22"/>
          <w:szCs w:val="22"/>
        </w:rPr>
        <w:t xml:space="preserve"> </w:t>
      </w:r>
      <w:r w:rsidRPr="00D707C1">
        <w:rPr>
          <w:sz w:val="22"/>
          <w:szCs w:val="22"/>
        </w:rPr>
        <w:t>manera</w:t>
      </w:r>
      <w:r w:rsidRPr="00D707C1">
        <w:rPr>
          <w:spacing w:val="-17"/>
          <w:sz w:val="22"/>
          <w:szCs w:val="22"/>
        </w:rPr>
        <w:t xml:space="preserve"> </w:t>
      </w:r>
      <w:r w:rsidRPr="00D707C1">
        <w:rPr>
          <w:sz w:val="22"/>
          <w:szCs w:val="22"/>
        </w:rPr>
        <w:t>expresa</w:t>
      </w:r>
      <w:r w:rsidRPr="00D707C1">
        <w:rPr>
          <w:spacing w:val="-18"/>
          <w:sz w:val="22"/>
          <w:szCs w:val="22"/>
        </w:rPr>
        <w:t xml:space="preserve"> </w:t>
      </w:r>
      <w:r w:rsidRPr="00D707C1">
        <w:rPr>
          <w:sz w:val="22"/>
          <w:szCs w:val="22"/>
        </w:rPr>
        <w:t>en</w:t>
      </w:r>
      <w:r w:rsidRPr="00D707C1">
        <w:rPr>
          <w:spacing w:val="-17"/>
          <w:sz w:val="22"/>
          <w:szCs w:val="22"/>
        </w:rPr>
        <w:t xml:space="preserve"> </w:t>
      </w:r>
      <w:r w:rsidRPr="00D707C1">
        <w:rPr>
          <w:sz w:val="22"/>
          <w:szCs w:val="22"/>
        </w:rPr>
        <w:t>el</w:t>
      </w:r>
      <w:r w:rsidRPr="00D707C1">
        <w:rPr>
          <w:spacing w:val="-18"/>
          <w:sz w:val="22"/>
          <w:szCs w:val="22"/>
        </w:rPr>
        <w:t xml:space="preserve"> </w:t>
      </w:r>
      <w:r w:rsidRPr="00D707C1">
        <w:rPr>
          <w:sz w:val="22"/>
          <w:szCs w:val="22"/>
        </w:rPr>
        <w:t>texto</w:t>
      </w:r>
      <w:r w:rsidRPr="00D707C1">
        <w:rPr>
          <w:spacing w:val="-17"/>
          <w:sz w:val="22"/>
          <w:szCs w:val="22"/>
        </w:rPr>
        <w:t xml:space="preserve"> </w:t>
      </w:r>
      <w:r w:rsidRPr="00D707C1">
        <w:rPr>
          <w:sz w:val="22"/>
          <w:szCs w:val="22"/>
        </w:rPr>
        <w:t>citado la posibilidad de que en estos procesos se acredite la referida experiencia, incluso una vez</w:t>
      </w:r>
      <w:r w:rsidRPr="00D707C1">
        <w:rPr>
          <w:spacing w:val="-8"/>
          <w:sz w:val="22"/>
          <w:szCs w:val="22"/>
        </w:rPr>
        <w:t xml:space="preserve"> </w:t>
      </w:r>
      <w:r w:rsidRPr="00D707C1">
        <w:rPr>
          <w:sz w:val="22"/>
          <w:szCs w:val="22"/>
        </w:rPr>
        <w:t>transcurridos</w:t>
      </w:r>
      <w:r w:rsidRPr="00D707C1">
        <w:rPr>
          <w:spacing w:val="-5"/>
          <w:sz w:val="22"/>
          <w:szCs w:val="22"/>
        </w:rPr>
        <w:t xml:space="preserve"> </w:t>
      </w:r>
      <w:r w:rsidRPr="00D707C1">
        <w:rPr>
          <w:sz w:val="22"/>
          <w:szCs w:val="22"/>
        </w:rPr>
        <w:t>los</w:t>
      </w:r>
      <w:r w:rsidRPr="00D707C1">
        <w:rPr>
          <w:spacing w:val="-8"/>
          <w:sz w:val="22"/>
          <w:szCs w:val="22"/>
        </w:rPr>
        <w:t xml:space="preserve"> </w:t>
      </w:r>
      <w:r w:rsidRPr="00D707C1">
        <w:rPr>
          <w:sz w:val="22"/>
          <w:szCs w:val="22"/>
        </w:rPr>
        <w:t>primeros</w:t>
      </w:r>
      <w:r w:rsidRPr="00D707C1">
        <w:rPr>
          <w:spacing w:val="-7"/>
          <w:sz w:val="22"/>
          <w:szCs w:val="22"/>
        </w:rPr>
        <w:t xml:space="preserve"> </w:t>
      </w:r>
      <w:r w:rsidRPr="00D707C1">
        <w:rPr>
          <w:sz w:val="22"/>
          <w:szCs w:val="22"/>
        </w:rPr>
        <w:t>tres</w:t>
      </w:r>
      <w:r w:rsidRPr="00D707C1">
        <w:rPr>
          <w:spacing w:val="-7"/>
          <w:sz w:val="22"/>
          <w:szCs w:val="22"/>
        </w:rPr>
        <w:t xml:space="preserve"> </w:t>
      </w:r>
      <w:r w:rsidRPr="00D707C1">
        <w:rPr>
          <w:sz w:val="22"/>
          <w:szCs w:val="22"/>
        </w:rPr>
        <w:t>años</w:t>
      </w:r>
      <w:r w:rsidRPr="00D707C1">
        <w:rPr>
          <w:spacing w:val="-7"/>
          <w:sz w:val="22"/>
          <w:szCs w:val="22"/>
        </w:rPr>
        <w:t xml:space="preserve"> </w:t>
      </w:r>
      <w:r w:rsidRPr="00D707C1">
        <w:rPr>
          <w:sz w:val="22"/>
          <w:szCs w:val="22"/>
        </w:rPr>
        <w:t>de</w:t>
      </w:r>
      <w:r w:rsidRPr="00D707C1">
        <w:rPr>
          <w:spacing w:val="-8"/>
          <w:sz w:val="22"/>
          <w:szCs w:val="22"/>
        </w:rPr>
        <w:t xml:space="preserve"> </w:t>
      </w:r>
      <w:r w:rsidRPr="00D707C1">
        <w:rPr>
          <w:sz w:val="22"/>
          <w:szCs w:val="22"/>
        </w:rPr>
        <w:t>constitución,</w:t>
      </w:r>
      <w:r w:rsidRPr="00D707C1">
        <w:rPr>
          <w:spacing w:val="-7"/>
          <w:sz w:val="22"/>
          <w:szCs w:val="22"/>
        </w:rPr>
        <w:t xml:space="preserve"> </w:t>
      </w:r>
      <w:r w:rsidRPr="00D707C1">
        <w:rPr>
          <w:sz w:val="22"/>
          <w:szCs w:val="22"/>
        </w:rPr>
        <w:t>al</w:t>
      </w:r>
      <w:r w:rsidRPr="00D707C1">
        <w:rPr>
          <w:spacing w:val="-7"/>
          <w:sz w:val="22"/>
          <w:szCs w:val="22"/>
        </w:rPr>
        <w:t xml:space="preserve"> </w:t>
      </w:r>
      <w:r w:rsidRPr="00D707C1">
        <w:rPr>
          <w:sz w:val="22"/>
          <w:szCs w:val="22"/>
        </w:rPr>
        <w:t>incorporarse</w:t>
      </w:r>
      <w:r w:rsidRPr="00D707C1">
        <w:rPr>
          <w:spacing w:val="-7"/>
          <w:sz w:val="22"/>
          <w:szCs w:val="22"/>
        </w:rPr>
        <w:t xml:space="preserve"> </w:t>
      </w:r>
      <w:r w:rsidRPr="00D707C1">
        <w:rPr>
          <w:sz w:val="22"/>
          <w:szCs w:val="22"/>
        </w:rPr>
        <w:t>esta</w:t>
      </w:r>
      <w:r w:rsidRPr="00D707C1">
        <w:rPr>
          <w:spacing w:val="-7"/>
          <w:sz w:val="22"/>
          <w:szCs w:val="22"/>
        </w:rPr>
        <w:t xml:space="preserve"> </w:t>
      </w:r>
      <w:r w:rsidRPr="00D707C1">
        <w:rPr>
          <w:sz w:val="22"/>
          <w:szCs w:val="22"/>
        </w:rPr>
        <w:t>en</w:t>
      </w:r>
      <w:r w:rsidRPr="00D707C1">
        <w:rPr>
          <w:spacing w:val="-8"/>
          <w:sz w:val="22"/>
          <w:szCs w:val="22"/>
        </w:rPr>
        <w:t xml:space="preserve"> </w:t>
      </w:r>
      <w:r w:rsidRPr="00D707C1">
        <w:rPr>
          <w:sz w:val="22"/>
          <w:szCs w:val="22"/>
        </w:rPr>
        <w:t>el</w:t>
      </w:r>
      <w:r w:rsidRPr="00D707C1">
        <w:rPr>
          <w:spacing w:val="-7"/>
          <w:sz w:val="22"/>
          <w:szCs w:val="22"/>
        </w:rPr>
        <w:t xml:space="preserve"> </w:t>
      </w:r>
      <w:r w:rsidRPr="00D707C1">
        <w:rPr>
          <w:sz w:val="22"/>
          <w:szCs w:val="22"/>
        </w:rPr>
        <w:t>RUP de la sociedad, siempre que se haya ejercido debidamente el deber de renovación que impide</w:t>
      </w:r>
      <w:r w:rsidRPr="00D707C1">
        <w:rPr>
          <w:spacing w:val="-10"/>
          <w:sz w:val="22"/>
          <w:szCs w:val="22"/>
        </w:rPr>
        <w:t xml:space="preserve"> </w:t>
      </w:r>
      <w:r w:rsidRPr="00D707C1">
        <w:rPr>
          <w:sz w:val="22"/>
          <w:szCs w:val="22"/>
        </w:rPr>
        <w:t>la</w:t>
      </w:r>
      <w:r w:rsidRPr="00D707C1">
        <w:rPr>
          <w:spacing w:val="-10"/>
          <w:sz w:val="22"/>
          <w:szCs w:val="22"/>
        </w:rPr>
        <w:t xml:space="preserve"> </w:t>
      </w:r>
      <w:r w:rsidRPr="00D707C1">
        <w:rPr>
          <w:sz w:val="22"/>
          <w:szCs w:val="22"/>
        </w:rPr>
        <w:t>cesación</w:t>
      </w:r>
      <w:r w:rsidRPr="00D707C1">
        <w:rPr>
          <w:spacing w:val="-10"/>
          <w:sz w:val="22"/>
          <w:szCs w:val="22"/>
        </w:rPr>
        <w:t xml:space="preserve"> </w:t>
      </w:r>
      <w:r w:rsidRPr="00D707C1">
        <w:rPr>
          <w:sz w:val="22"/>
          <w:szCs w:val="22"/>
        </w:rPr>
        <w:t>de</w:t>
      </w:r>
      <w:r w:rsidRPr="00D707C1">
        <w:rPr>
          <w:spacing w:val="-10"/>
          <w:sz w:val="22"/>
          <w:szCs w:val="22"/>
        </w:rPr>
        <w:t xml:space="preserve"> </w:t>
      </w:r>
      <w:r w:rsidRPr="00D707C1">
        <w:rPr>
          <w:sz w:val="22"/>
          <w:szCs w:val="22"/>
        </w:rPr>
        <w:t>los</w:t>
      </w:r>
      <w:r w:rsidRPr="00D707C1">
        <w:rPr>
          <w:spacing w:val="-10"/>
          <w:sz w:val="22"/>
          <w:szCs w:val="22"/>
        </w:rPr>
        <w:t xml:space="preserve"> </w:t>
      </w:r>
      <w:r w:rsidRPr="00D707C1">
        <w:rPr>
          <w:sz w:val="22"/>
          <w:szCs w:val="22"/>
        </w:rPr>
        <w:t>efectos</w:t>
      </w:r>
      <w:r w:rsidRPr="00D707C1">
        <w:rPr>
          <w:spacing w:val="-10"/>
          <w:sz w:val="22"/>
          <w:szCs w:val="22"/>
        </w:rPr>
        <w:t xml:space="preserve"> </w:t>
      </w:r>
      <w:r w:rsidRPr="00D707C1">
        <w:rPr>
          <w:sz w:val="22"/>
          <w:szCs w:val="22"/>
        </w:rPr>
        <w:t>de</w:t>
      </w:r>
      <w:r w:rsidRPr="00D707C1">
        <w:rPr>
          <w:spacing w:val="-10"/>
          <w:sz w:val="22"/>
          <w:szCs w:val="22"/>
        </w:rPr>
        <w:t xml:space="preserve"> </w:t>
      </w:r>
      <w:r w:rsidRPr="00D707C1">
        <w:rPr>
          <w:sz w:val="22"/>
          <w:szCs w:val="22"/>
        </w:rPr>
        <w:t>este</w:t>
      </w:r>
      <w:r w:rsidRPr="00D707C1">
        <w:rPr>
          <w:spacing w:val="-10"/>
          <w:sz w:val="22"/>
          <w:szCs w:val="22"/>
        </w:rPr>
        <w:t xml:space="preserve"> </w:t>
      </w:r>
      <w:r w:rsidRPr="00D707C1">
        <w:rPr>
          <w:sz w:val="22"/>
          <w:szCs w:val="22"/>
        </w:rPr>
        <w:t>instrumento,</w:t>
      </w:r>
      <w:r w:rsidRPr="00D707C1">
        <w:rPr>
          <w:spacing w:val="-9"/>
          <w:sz w:val="22"/>
          <w:szCs w:val="22"/>
        </w:rPr>
        <w:t xml:space="preserve"> </w:t>
      </w:r>
      <w:r w:rsidRPr="00D707C1">
        <w:rPr>
          <w:sz w:val="22"/>
          <w:szCs w:val="22"/>
        </w:rPr>
        <w:t>por</w:t>
      </w:r>
      <w:r w:rsidRPr="00D707C1">
        <w:rPr>
          <w:spacing w:val="-10"/>
          <w:sz w:val="22"/>
          <w:szCs w:val="22"/>
        </w:rPr>
        <w:t xml:space="preserve"> </w:t>
      </w:r>
      <w:r w:rsidRPr="00D707C1">
        <w:rPr>
          <w:sz w:val="22"/>
          <w:szCs w:val="22"/>
        </w:rPr>
        <w:t>las</w:t>
      </w:r>
      <w:r w:rsidRPr="00D707C1">
        <w:rPr>
          <w:spacing w:val="-10"/>
          <w:sz w:val="22"/>
          <w:szCs w:val="22"/>
        </w:rPr>
        <w:t xml:space="preserve"> </w:t>
      </w:r>
      <w:r w:rsidRPr="00D707C1">
        <w:rPr>
          <w:sz w:val="22"/>
          <w:szCs w:val="22"/>
        </w:rPr>
        <w:t>razones</w:t>
      </w:r>
      <w:r w:rsidRPr="00D707C1">
        <w:rPr>
          <w:spacing w:val="-10"/>
          <w:sz w:val="22"/>
          <w:szCs w:val="22"/>
        </w:rPr>
        <w:t xml:space="preserve"> </w:t>
      </w:r>
      <w:r w:rsidRPr="00D707C1">
        <w:rPr>
          <w:sz w:val="22"/>
          <w:szCs w:val="22"/>
        </w:rPr>
        <w:t>expuestas</w:t>
      </w:r>
      <w:r w:rsidRPr="00D707C1">
        <w:rPr>
          <w:spacing w:val="-9"/>
          <w:sz w:val="22"/>
          <w:szCs w:val="22"/>
        </w:rPr>
        <w:t xml:space="preserve"> </w:t>
      </w:r>
      <w:r w:rsidRPr="00D707C1">
        <w:rPr>
          <w:i/>
          <w:sz w:val="22"/>
          <w:szCs w:val="22"/>
        </w:rPr>
        <w:t>supra.</w:t>
      </w:r>
    </w:p>
    <w:bookmarkEnd w:id="0"/>
    <w:p w14:paraId="71AA64B9" w14:textId="77777777" w:rsidR="003C7067" w:rsidRPr="006A49BE" w:rsidRDefault="003C7067" w:rsidP="003C7067">
      <w:pPr>
        <w:spacing w:after="120" w:line="276" w:lineRule="auto"/>
        <w:ind w:firstLine="709"/>
        <w:jc w:val="both"/>
        <w:rPr>
          <w:rFonts w:ascii="Arial" w:hAnsi="Arial" w:cs="Arial"/>
          <w:sz w:val="22"/>
          <w:szCs w:val="22"/>
          <w:lang w:val="es-MX"/>
        </w:rPr>
      </w:pPr>
      <w:r w:rsidRPr="006A49BE">
        <w:rPr>
          <w:rFonts w:ascii="Arial" w:hAnsi="Arial" w:cs="Arial"/>
          <w:sz w:val="22"/>
          <w:szCs w:val="22"/>
          <w:lang w:val="es-MX"/>
        </w:rPr>
        <w:t xml:space="preserve">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30E6FA27" w14:textId="77777777" w:rsidR="003C7067" w:rsidRPr="006A49BE" w:rsidRDefault="003C7067" w:rsidP="003C7067">
      <w:pPr>
        <w:spacing w:after="120" w:line="276" w:lineRule="auto"/>
        <w:ind w:firstLine="709"/>
        <w:jc w:val="both"/>
        <w:rPr>
          <w:rFonts w:ascii="Arial" w:hAnsi="Arial" w:cs="Arial"/>
          <w:sz w:val="22"/>
          <w:szCs w:val="22"/>
          <w:lang w:val="es-MX"/>
        </w:rPr>
      </w:pPr>
      <w:r w:rsidRPr="006A49BE">
        <w:rPr>
          <w:rFonts w:ascii="Arial" w:hAnsi="Arial" w:cs="Arial"/>
          <w:sz w:val="22"/>
          <w:szCs w:val="22"/>
          <w:lang w:val="es-MX"/>
        </w:rPr>
        <w:lastRenderedPageBreak/>
        <w:t>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28178834" w14:textId="77777777" w:rsidR="003C7067" w:rsidRPr="006A49BE" w:rsidRDefault="003C7067" w:rsidP="003C7067">
      <w:pPr>
        <w:pStyle w:val="Textonotapie"/>
        <w:spacing w:after="120" w:line="276" w:lineRule="auto"/>
        <w:ind w:firstLine="709"/>
        <w:jc w:val="both"/>
        <w:rPr>
          <w:rFonts w:ascii="Arial" w:hAnsi="Arial" w:cs="Arial"/>
          <w:sz w:val="22"/>
          <w:szCs w:val="22"/>
        </w:rPr>
      </w:pPr>
      <w:r w:rsidRPr="006A49BE">
        <w:rPr>
          <w:rFonts w:ascii="Arial" w:hAnsi="Arial" w:cs="Arial"/>
          <w:sz w:val="22"/>
          <w:szCs w:val="22"/>
        </w:rPr>
        <w:t xml:space="preserve">Por otra parte, en cuanto a la </w:t>
      </w:r>
      <w:r w:rsidRPr="006A49BE">
        <w:rPr>
          <w:rFonts w:ascii="Arial" w:eastAsia="Calibri" w:hAnsi="Arial" w:cs="Arial"/>
          <w:bCs/>
          <w:sz w:val="22"/>
          <w:szCs w:val="22"/>
        </w:rPr>
        <w:t xml:space="preserve">«liquidación» de las sociedades comerciales, esta subdirección en los conceptos </w:t>
      </w:r>
      <w:r w:rsidRPr="006A49BE">
        <w:rPr>
          <w:rFonts w:ascii="Arial" w:hAnsi="Arial" w:cs="Arial"/>
          <w:sz w:val="22"/>
          <w:szCs w:val="22"/>
        </w:rPr>
        <w:t xml:space="preserve">C-051 del </w:t>
      </w:r>
      <w:r w:rsidRPr="006A49BE">
        <w:rPr>
          <w:rFonts w:ascii="Arial" w:hAnsi="Arial" w:cs="Arial"/>
          <w:color w:val="000000" w:themeColor="text1"/>
          <w:sz w:val="22"/>
          <w:szCs w:val="22"/>
        </w:rPr>
        <w:t xml:space="preserve">02 de marzo de 2020, C-491 del </w:t>
      </w:r>
      <w:r w:rsidRPr="006A49BE">
        <w:rPr>
          <w:rFonts w:ascii="Arial" w:hAnsi="Arial" w:cs="Arial"/>
          <w:color w:val="000000"/>
          <w:sz w:val="22"/>
          <w:szCs w:val="22"/>
          <w:lang w:val="es-CO"/>
        </w:rPr>
        <w:t xml:space="preserve">27 de julio y C-584 del 31 de agosto de 2020, </w:t>
      </w:r>
      <w:r w:rsidRPr="006A49BE">
        <w:rPr>
          <w:rFonts w:ascii="Arial" w:eastAsia="Calibri" w:hAnsi="Arial" w:cs="Arial"/>
          <w:bCs/>
          <w:sz w:val="22"/>
          <w:szCs w:val="22"/>
        </w:rPr>
        <w:t>ha indicado que, el Código de Comercio señala el procedimiento para realizar el inventario y distribución del patrimonio social, de lo cual se infiere que termina la persona jurídica</w:t>
      </w:r>
      <w:r w:rsidRPr="006A49BE">
        <w:rPr>
          <w:rStyle w:val="Refdenotaalpie"/>
          <w:rFonts w:ascii="Arial" w:eastAsia="Calibri" w:hAnsi="Arial" w:cs="Arial"/>
          <w:bCs/>
          <w:sz w:val="22"/>
          <w:szCs w:val="22"/>
        </w:rPr>
        <w:footnoteReference w:id="19"/>
      </w:r>
      <w:r w:rsidRPr="006A49BE">
        <w:rPr>
          <w:rFonts w:ascii="Arial" w:eastAsia="Calibri" w:hAnsi="Arial" w:cs="Arial"/>
          <w:bCs/>
          <w:sz w:val="22"/>
          <w:szCs w:val="22"/>
        </w:rPr>
        <w:t xml:space="preserve">, y la experiencia desaparece junto con la sociedad que la adquirió. Lo propio pasa con la muerte de uno de los socios, dado que, </w:t>
      </w:r>
      <w:r w:rsidRPr="006A49BE">
        <w:rPr>
          <w:rFonts w:ascii="Arial" w:hAnsi="Arial" w:cs="Arial"/>
          <w:sz w:val="22"/>
          <w:szCs w:val="22"/>
          <w:lang w:val="es-ES"/>
        </w:rPr>
        <w:t>será jurídicamente inviable pretender que la experiencia de un sujeto que no existe sea transferida. Las situaciones mencionadas con anterioridad no es posible aplicar</w:t>
      </w:r>
      <w:r w:rsidRPr="006A49BE">
        <w:rPr>
          <w:rFonts w:ascii="Arial" w:hAnsi="Arial" w:cs="Arial"/>
          <w:sz w:val="22"/>
          <w:szCs w:val="22"/>
        </w:rPr>
        <w:t xml:space="preserve"> el numeral 2.5 del artículo 2.2.1.1.1.5.2 del Decreto 1082 de 2015.</w:t>
      </w:r>
    </w:p>
    <w:p w14:paraId="29D10B28" w14:textId="77777777" w:rsidR="003C7067" w:rsidRPr="006A49BE" w:rsidRDefault="003C7067" w:rsidP="003C7067">
      <w:pPr>
        <w:spacing w:line="276" w:lineRule="auto"/>
        <w:ind w:firstLine="708"/>
        <w:jc w:val="both"/>
        <w:rPr>
          <w:rFonts w:ascii="Arial" w:hAnsi="Arial" w:cs="Arial"/>
          <w:sz w:val="22"/>
          <w:szCs w:val="22"/>
          <w:lang w:val="es-MX"/>
        </w:rPr>
      </w:pPr>
      <w:r w:rsidRPr="006A49BE">
        <w:rPr>
          <w:rFonts w:ascii="Arial" w:hAnsi="Arial" w:cs="Arial"/>
          <w:sz w:val="22"/>
          <w:szCs w:val="22"/>
          <w:lang w:val="es-MX"/>
        </w:rPr>
        <w:t>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w:t>
      </w:r>
    </w:p>
    <w:p w14:paraId="53A5D652" w14:textId="77777777" w:rsidR="003C7067" w:rsidRPr="00924DEF" w:rsidRDefault="003C7067" w:rsidP="003C7067">
      <w:pPr>
        <w:spacing w:line="276" w:lineRule="auto"/>
        <w:jc w:val="both"/>
        <w:rPr>
          <w:rFonts w:ascii="Arial" w:eastAsia="Calibri" w:hAnsi="Arial" w:cs="Arial"/>
          <w:b/>
          <w:bCs/>
          <w:sz w:val="22"/>
          <w:szCs w:val="22"/>
          <w:lang w:val="es-ES"/>
        </w:rPr>
      </w:pPr>
    </w:p>
    <w:p w14:paraId="1C1BEAFF" w14:textId="77777777" w:rsidR="003C7067" w:rsidRPr="00924DEF" w:rsidRDefault="003C7067" w:rsidP="003C7067">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7612FEFE" w14:textId="77777777" w:rsidR="003C7067" w:rsidRPr="00924DEF" w:rsidRDefault="003C7067" w:rsidP="003C7067">
      <w:pPr>
        <w:tabs>
          <w:tab w:val="left" w:pos="709"/>
        </w:tabs>
        <w:spacing w:line="276" w:lineRule="auto"/>
        <w:ind w:left="709" w:right="709"/>
        <w:jc w:val="both"/>
        <w:rPr>
          <w:rFonts w:ascii="Arial" w:eastAsia="Calibri" w:hAnsi="Arial" w:cs="Arial"/>
          <w:b/>
          <w:sz w:val="22"/>
          <w:szCs w:val="22"/>
          <w:lang w:val="es-ES"/>
        </w:rPr>
      </w:pPr>
    </w:p>
    <w:p w14:paraId="51CD459E" w14:textId="77777777" w:rsidR="003C7067" w:rsidRPr="000D768D" w:rsidRDefault="003C7067" w:rsidP="003C7067">
      <w:pPr>
        <w:spacing w:line="0" w:lineRule="atLeast"/>
        <w:ind w:left="709" w:right="709"/>
        <w:jc w:val="both"/>
        <w:rPr>
          <w:rFonts w:ascii="Arial" w:eastAsia="Calibri" w:hAnsi="Arial" w:cs="Arial"/>
          <w:sz w:val="21"/>
          <w:szCs w:val="21"/>
          <w:lang w:val="es-ES"/>
        </w:rPr>
      </w:pPr>
      <w:r w:rsidRPr="000D768D">
        <w:rPr>
          <w:rFonts w:ascii="Arial" w:eastAsia="Calibri" w:hAnsi="Arial" w:cs="Arial"/>
          <w:sz w:val="21"/>
          <w:szCs w:val="21"/>
          <w:lang w:val="es-ES"/>
        </w:rPr>
        <w:t>«[…] en el documento base, en el numeral 3.5.2. CARACTERISTICAS DE LOS CONTRATOS PRESENTADOS PARA ACREDITAR LA EXPERIENCIA EXIGIDA, en el literal E:</w:t>
      </w:r>
    </w:p>
    <w:p w14:paraId="4AF4953D" w14:textId="77777777" w:rsidR="003C7067" w:rsidRPr="000D768D" w:rsidRDefault="003C7067" w:rsidP="003C7067">
      <w:pPr>
        <w:spacing w:line="0" w:lineRule="atLeast"/>
        <w:ind w:left="709" w:right="709"/>
        <w:jc w:val="both"/>
        <w:rPr>
          <w:rFonts w:ascii="Arial" w:eastAsia="Calibri" w:hAnsi="Arial" w:cs="Arial"/>
          <w:sz w:val="21"/>
          <w:szCs w:val="21"/>
          <w:lang w:val="es-ES"/>
        </w:rPr>
      </w:pPr>
      <w:r w:rsidRPr="000D768D">
        <w:rPr>
          <w:rFonts w:ascii="Arial" w:eastAsia="Calibri" w:hAnsi="Arial" w:cs="Arial"/>
          <w:sz w:val="21"/>
          <w:szCs w:val="21"/>
          <w:lang w:val="es-ES"/>
        </w:rPr>
        <w:t>“Para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240E3302" w14:textId="77777777" w:rsidR="003C7067" w:rsidRDefault="003C7067" w:rsidP="003C7067">
      <w:pPr>
        <w:spacing w:line="0" w:lineRule="atLeast"/>
        <w:ind w:left="709" w:right="709"/>
        <w:jc w:val="both"/>
        <w:rPr>
          <w:rFonts w:ascii="Arial" w:hAnsi="Arial" w:cs="Arial"/>
          <w:sz w:val="22"/>
          <w:szCs w:val="22"/>
          <w:lang w:val="es-ES_tradnl"/>
        </w:rPr>
      </w:pPr>
      <w:r w:rsidRPr="000D768D">
        <w:rPr>
          <w:rFonts w:ascii="Arial" w:hAnsi="Arial" w:cs="Arial"/>
          <w:sz w:val="21"/>
          <w:szCs w:val="21"/>
        </w:rPr>
        <w:t>En esta última parte, del numeral 3.5.2 del documento tipo de infraestructura vial versión 3 – cuando se menciona que, pasado los 3 años de constitución de la empresa. ¿Cómo se debe interpretar la misma? toda vez que no es clara</w:t>
      </w:r>
      <w:r w:rsidRPr="000D768D">
        <w:rPr>
          <w:rFonts w:ascii="Arial" w:hAnsi="Arial" w:cs="Arial"/>
          <w:sz w:val="21"/>
          <w:szCs w:val="21"/>
          <w:lang w:val="es-ES"/>
        </w:rPr>
        <w:t>».</w:t>
      </w:r>
    </w:p>
    <w:p w14:paraId="4FC79224" w14:textId="77777777" w:rsidR="003C7067" w:rsidRDefault="003C7067" w:rsidP="003C7067">
      <w:pPr>
        <w:spacing w:line="276" w:lineRule="auto"/>
        <w:jc w:val="both"/>
        <w:rPr>
          <w:rFonts w:ascii="Arial" w:hAnsi="Arial" w:cs="Arial"/>
          <w:color w:val="000000"/>
          <w:sz w:val="22"/>
          <w:szCs w:val="22"/>
          <w:shd w:val="clear" w:color="auto" w:fill="FFFFFF"/>
        </w:rPr>
      </w:pPr>
    </w:p>
    <w:p w14:paraId="363E54AF" w14:textId="77777777" w:rsidR="003C7067" w:rsidRDefault="003C7067" w:rsidP="003C7067">
      <w:pPr>
        <w:spacing w:before="120" w:after="120" w:line="276" w:lineRule="auto"/>
        <w:jc w:val="both"/>
        <w:rPr>
          <w:rFonts w:ascii="Arial" w:hAnsi="Arial" w:cs="Arial"/>
          <w:sz w:val="22"/>
          <w:szCs w:val="22"/>
          <w:lang w:val="es-ES_tradnl"/>
        </w:rPr>
      </w:pPr>
      <w:r>
        <w:rPr>
          <w:rFonts w:ascii="Arial" w:hAnsi="Arial" w:cs="Arial"/>
          <w:color w:val="000000"/>
          <w:sz w:val="22"/>
          <w:szCs w:val="22"/>
          <w:shd w:val="clear" w:color="auto" w:fill="FFFFFF"/>
        </w:rPr>
        <w:t>De acuerdo con la posición adoptada por la Agencia Nacional de Contratación Pública – Colombia Compra Eficiente</w:t>
      </w:r>
      <w:r w:rsidRPr="0097340C">
        <w:rPr>
          <w:rFonts w:ascii="Arial" w:hAnsi="Arial" w:cs="Arial"/>
          <w:sz w:val="22"/>
          <w:szCs w:val="22"/>
          <w:lang w:val="es-ES_tradnl"/>
        </w:rPr>
        <w:t xml:space="preserve">, </w:t>
      </w:r>
      <w:r>
        <w:rPr>
          <w:rFonts w:ascii="Arial" w:hAnsi="Arial" w:cs="Arial"/>
          <w:color w:val="000000"/>
          <w:sz w:val="22"/>
          <w:szCs w:val="22"/>
          <w:shd w:val="clear" w:color="auto" w:fill="FFFFFF"/>
        </w:rPr>
        <w:t>es posible que las sociedades de reciente creación que, en aplicación del beneficio establecido en el numeral 2.5 del artículo 2.2.1.1.1.5.2 del Decreto 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r w:rsidRPr="0097340C">
        <w:rPr>
          <w:rFonts w:ascii="Arial" w:hAnsi="Arial" w:cs="Arial"/>
          <w:sz w:val="22"/>
          <w:szCs w:val="22"/>
          <w:lang w:val="es-ES_tradnl"/>
        </w:rPr>
        <w:t>. Esta posibilidad de acreditar la experiencia de los socios o constituyentes, incluso después de transcurridos los 3 años de constitución, aparece expresamente desarrollada en el literal E del numeral 3.5.2 del Documento Base adoptado por esta Agencia a través de la Resolución No. 240 de 2020, para procesos de licitación de obra pública de infraestructura de transporte</w:t>
      </w:r>
      <w:r>
        <w:rPr>
          <w:rFonts w:ascii="Arial" w:hAnsi="Arial" w:cs="Arial"/>
          <w:sz w:val="22"/>
          <w:szCs w:val="22"/>
          <w:lang w:val="es-ES_tradnl"/>
        </w:rPr>
        <w:t xml:space="preserve"> </w:t>
      </w:r>
      <w:r w:rsidRPr="0097340C">
        <w:rPr>
          <w:rFonts w:ascii="Arial" w:hAnsi="Arial" w:cs="Arial"/>
          <w:sz w:val="22"/>
          <w:szCs w:val="22"/>
          <w:lang w:val="es-ES_tradnl"/>
        </w:rPr>
        <w:t>–Versión 3–.</w:t>
      </w:r>
      <w:r w:rsidRPr="002364D6">
        <w:rPr>
          <w:rFonts w:ascii="Arial" w:hAnsi="Arial" w:cs="Arial"/>
          <w:sz w:val="22"/>
          <w:szCs w:val="22"/>
          <w:lang w:val="es-ES_tradnl"/>
        </w:rPr>
        <w:t xml:space="preserve"> </w:t>
      </w:r>
    </w:p>
    <w:p w14:paraId="10437CBE" w14:textId="77777777" w:rsidR="003C7067" w:rsidRPr="002364D6" w:rsidRDefault="003C7067" w:rsidP="003C7067">
      <w:pPr>
        <w:spacing w:before="120" w:after="120" w:line="276" w:lineRule="auto"/>
        <w:ind w:firstLine="708"/>
        <w:jc w:val="both"/>
        <w:rPr>
          <w:rFonts w:ascii="Arial" w:hAnsi="Arial" w:cs="Arial"/>
          <w:sz w:val="22"/>
          <w:szCs w:val="22"/>
          <w:lang w:val="es-ES_tradnl"/>
        </w:rPr>
      </w:pPr>
      <w:r>
        <w:rPr>
          <w:rStyle w:val="normaltextrun"/>
          <w:rFonts w:ascii="Arial" w:hAnsi="Arial" w:cs="Arial"/>
          <w:color w:val="000000"/>
          <w:sz w:val="22"/>
          <w:szCs w:val="22"/>
          <w:shd w:val="clear" w:color="auto" w:fill="FFFFFF"/>
        </w:rPr>
        <w:t>No obstante, es necesario aclarar que en el evento que el RUP no es renovado por los responsables y, en consecuencia, cesan los efectos de este, la experiencia de los socios no puede registrarse nuevamente. En este escenario, las Cámaras de Comercio tienen el deber de hacer nuevamente la verificación documental de la información presentada al momento de inscribirse en el registro. </w:t>
      </w:r>
      <w:r>
        <w:rPr>
          <w:rStyle w:val="eop"/>
          <w:rFonts w:ascii="Arial" w:hAnsi="Arial" w:cs="Arial"/>
          <w:color w:val="000000"/>
          <w:sz w:val="22"/>
          <w:shd w:val="clear" w:color="auto" w:fill="FFFFFF"/>
        </w:rPr>
        <w:t> </w:t>
      </w:r>
    </w:p>
    <w:p w14:paraId="08153D39" w14:textId="77777777" w:rsidR="003C7067" w:rsidRPr="00924DEF" w:rsidRDefault="003C7067" w:rsidP="003C7067">
      <w:pPr>
        <w:pStyle w:val="Textoindependiente"/>
        <w:spacing w:line="276" w:lineRule="auto"/>
        <w:ind w:right="51"/>
        <w:jc w:val="both"/>
      </w:pPr>
    </w:p>
    <w:p w14:paraId="31DA7007" w14:textId="77777777" w:rsidR="003C7067" w:rsidRPr="00924DEF" w:rsidRDefault="003C7067" w:rsidP="003C706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924DEF" w:rsidRDefault="003C7067" w:rsidP="003C7067">
      <w:pPr>
        <w:jc w:val="both"/>
        <w:rPr>
          <w:rFonts w:ascii="Arial" w:eastAsia="Calibri" w:hAnsi="Arial" w:cs="Arial"/>
          <w:sz w:val="22"/>
          <w:szCs w:val="22"/>
          <w:lang w:val="es-ES"/>
        </w:rPr>
      </w:pPr>
    </w:p>
    <w:p w14:paraId="740312DF" w14:textId="77777777" w:rsidR="003C7067" w:rsidRPr="00924DEF" w:rsidRDefault="003C7067" w:rsidP="003C7067">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34F7EF72" w14:textId="1F7085C0" w:rsidR="003C7067" w:rsidRPr="0008465D" w:rsidRDefault="00130206" w:rsidP="003C7067">
      <w:pPr>
        <w:jc w:val="center"/>
        <w:rPr>
          <w:rFonts w:ascii="Arial" w:hAnsi="Arial" w:cs="Arial"/>
          <w:sz w:val="18"/>
          <w:szCs w:val="20"/>
          <w:lang w:val="es-ES" w:eastAsia="es-CO"/>
        </w:rPr>
      </w:pPr>
      <w:r>
        <w:rPr>
          <w:rFonts w:ascii="Arial" w:hAnsi="Arial" w:cs="Arial"/>
          <w:noProof/>
          <w:lang w:val="en-US"/>
        </w:rPr>
        <w:drawing>
          <wp:inline distT="0" distB="0" distL="0" distR="0" wp14:anchorId="3AC7DE75" wp14:editId="20AE01D4">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26A9BAC3" w14:textId="77777777" w:rsidR="003C7067" w:rsidRPr="0008465D" w:rsidRDefault="003C7067"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08465D" w14:paraId="67DFEBDD" w14:textId="77777777" w:rsidTr="00406F4B">
        <w:trPr>
          <w:trHeight w:val="315"/>
        </w:trPr>
        <w:tc>
          <w:tcPr>
            <w:tcW w:w="812" w:type="dxa"/>
            <w:vAlign w:val="center"/>
            <w:hideMark/>
          </w:tcPr>
          <w:p w14:paraId="586E9637"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14:paraId="15047A99"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3C7067" w:rsidRPr="0008465D" w14:paraId="5E040385" w14:textId="77777777" w:rsidTr="00406F4B">
        <w:trPr>
          <w:trHeight w:val="330"/>
        </w:trPr>
        <w:tc>
          <w:tcPr>
            <w:tcW w:w="812" w:type="dxa"/>
            <w:vAlign w:val="center"/>
            <w:hideMark/>
          </w:tcPr>
          <w:p w14:paraId="1468648A"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77777777" w:rsidR="003C7067" w:rsidRPr="0008465D" w:rsidRDefault="003C7067" w:rsidP="00406F4B">
            <w:pPr>
              <w:rPr>
                <w:rFonts w:ascii="Arial" w:hAnsi="Arial" w:cs="Arial"/>
                <w:sz w:val="16"/>
                <w:szCs w:val="16"/>
                <w:lang w:val="es-ES" w:eastAsia="es-ES"/>
              </w:rPr>
            </w:pPr>
            <w:r>
              <w:rPr>
                <w:rFonts w:ascii="Arial" w:hAnsi="Arial" w:cs="Arial"/>
                <w:sz w:val="16"/>
                <w:szCs w:val="16"/>
                <w:lang w:val="es-ES" w:eastAsia="es-ES"/>
              </w:rPr>
              <w:t>Juan David Montoya Penagos</w:t>
            </w:r>
          </w:p>
          <w:p w14:paraId="202F9F6E"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Gestor T1-1</w:t>
            </w:r>
            <w:r>
              <w:rPr>
                <w:rFonts w:ascii="Arial" w:hAnsi="Arial" w:cs="Arial"/>
                <w:sz w:val="16"/>
                <w:szCs w:val="16"/>
                <w:lang w:val="es-ES" w:eastAsia="es-ES"/>
              </w:rPr>
              <w:t>5</w:t>
            </w:r>
            <w:r w:rsidRPr="0008465D">
              <w:rPr>
                <w:rFonts w:ascii="Arial" w:hAnsi="Arial" w:cs="Arial"/>
                <w:sz w:val="16"/>
                <w:szCs w:val="16"/>
                <w:lang w:val="es-ES" w:eastAsia="es-ES"/>
              </w:rPr>
              <w:t xml:space="preserve"> de la Subdirección de Gestión Contractual</w:t>
            </w:r>
          </w:p>
        </w:tc>
      </w:tr>
      <w:tr w:rsidR="003C7067" w:rsidRPr="0008465D" w14:paraId="65581C44" w14:textId="77777777" w:rsidTr="00406F4B">
        <w:trPr>
          <w:trHeight w:val="300"/>
        </w:trPr>
        <w:tc>
          <w:tcPr>
            <w:tcW w:w="812" w:type="dxa"/>
            <w:vAlign w:val="center"/>
            <w:hideMark/>
          </w:tcPr>
          <w:p w14:paraId="5B07E6DF"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43EFE605" w14:textId="77777777" w:rsidR="003C7067" w:rsidRPr="0008465D" w:rsidRDefault="003C7067" w:rsidP="00406F4B">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00413D5D" w14:textId="77777777" w:rsidR="003C7067" w:rsidRPr="0008465D" w:rsidRDefault="003C7067" w:rsidP="003C7067"/>
    <w:p w14:paraId="019B7BEC" w14:textId="77777777" w:rsidR="003C7067" w:rsidRDefault="003C7067"/>
    <w:sectPr w:rsidR="003C7067"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796F" w14:textId="77777777" w:rsidR="00FC4119" w:rsidRDefault="00FC4119" w:rsidP="003C7067">
      <w:r>
        <w:separator/>
      </w:r>
    </w:p>
  </w:endnote>
  <w:endnote w:type="continuationSeparator" w:id="0">
    <w:p w14:paraId="499924C2" w14:textId="77777777" w:rsidR="00FC4119" w:rsidRDefault="00FC4119"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387886" w:rsidRDefault="00FC4119" w:rsidP="007F1895">
    <w:pPr>
      <w:pStyle w:val="Sinespaciado"/>
      <w:jc w:val="right"/>
      <w:rPr>
        <w:rFonts w:ascii="Arial" w:hAnsi="Arial" w:cs="Arial"/>
        <w:sz w:val="18"/>
        <w:szCs w:val="18"/>
      </w:rPr>
    </w:pPr>
  </w:p>
  <w:p w14:paraId="7EE0D30C" w14:textId="77777777" w:rsidR="00387886" w:rsidRDefault="00FC4119" w:rsidP="007F1895">
    <w:pPr>
      <w:pStyle w:val="Sinespaciado"/>
      <w:jc w:val="right"/>
      <w:rPr>
        <w:rFonts w:ascii="Arial" w:hAnsi="Arial" w:cs="Arial"/>
        <w:sz w:val="18"/>
        <w:szCs w:val="18"/>
      </w:rPr>
    </w:pPr>
  </w:p>
  <w:p w14:paraId="120D6A59" w14:textId="77777777" w:rsidR="00387886" w:rsidRPr="008217B7" w:rsidRDefault="000965D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387886" w:rsidRDefault="000965D3" w:rsidP="007F1895">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387886" w:rsidRPr="00E756AC" w:rsidRDefault="00FC4119" w:rsidP="007F1895">
    <w:pPr>
      <w:pStyle w:val="Piedepgina"/>
      <w:jc w:val="center"/>
      <w:rPr>
        <w:sz w:val="18"/>
        <w:szCs w:val="18"/>
        <w:lang w:val="es-ES"/>
      </w:rPr>
    </w:pPr>
  </w:p>
  <w:p w14:paraId="1CBE747A" w14:textId="77777777" w:rsidR="00387886" w:rsidRPr="00E756AC" w:rsidRDefault="00FC4119"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11B4" w14:textId="77777777" w:rsidR="00FC4119" w:rsidRDefault="00FC4119" w:rsidP="003C7067">
      <w:r>
        <w:separator/>
      </w:r>
    </w:p>
  </w:footnote>
  <w:footnote w:type="continuationSeparator" w:id="0">
    <w:p w14:paraId="30A264A7" w14:textId="77777777" w:rsidR="00FC4119" w:rsidRDefault="00FC4119" w:rsidP="003C7067">
      <w:r>
        <w:continuationSeparator/>
      </w:r>
    </w:p>
  </w:footnote>
  <w:footnote w:id="1">
    <w:p w14:paraId="4C6CBB55" w14:textId="77777777" w:rsidR="003C7067" w:rsidRPr="00E63802" w:rsidRDefault="003C7067" w:rsidP="003C7067">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025B808D" w14:textId="77777777" w:rsidR="003C7067" w:rsidRPr="00061A12" w:rsidRDefault="003C7067" w:rsidP="003C7067">
      <w:pPr>
        <w:pStyle w:val="Textonotapie"/>
        <w:rPr>
          <w:rFonts w:ascii="Arial" w:hAnsi="Arial" w:cs="Arial"/>
          <w:sz w:val="19"/>
          <w:szCs w:val="19"/>
          <w:lang w:val="es-CO"/>
        </w:rPr>
      </w:pPr>
    </w:p>
  </w:footnote>
  <w:footnote w:id="2">
    <w:p w14:paraId="0B5F5E71" w14:textId="77777777" w:rsidR="003C7067" w:rsidRDefault="003C7067" w:rsidP="003C7067">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4B6D7E3" w14:textId="77777777" w:rsidR="003C7067" w:rsidRDefault="003C7067" w:rsidP="003C7067">
      <w:pPr>
        <w:pStyle w:val="Textonotapie"/>
        <w:ind w:firstLine="709"/>
      </w:pPr>
    </w:p>
  </w:footnote>
  <w:footnote w:id="3">
    <w:p w14:paraId="55851132" w14:textId="77777777" w:rsidR="003C7067" w:rsidRDefault="003C7067" w:rsidP="003C7067">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6CF191BD" w14:textId="77777777" w:rsidR="003C7067" w:rsidRDefault="003C7067" w:rsidP="003C7067">
      <w:pPr>
        <w:pStyle w:val="Textonotapie"/>
        <w:ind w:firstLine="709"/>
      </w:pPr>
    </w:p>
  </w:footnote>
  <w:footnote w:id="4">
    <w:p w14:paraId="0A70F30E" w14:textId="77777777" w:rsidR="003C7067" w:rsidRDefault="003C7067" w:rsidP="003C7067">
      <w:pPr>
        <w:pStyle w:val="Textonotapie"/>
        <w:ind w:firstLine="709"/>
      </w:pPr>
      <w:r>
        <w:rPr>
          <w:rStyle w:val="Refdenotaalpie"/>
        </w:rPr>
        <w:footnoteRef/>
      </w:r>
      <w:r>
        <w:t xml:space="preserve"> </w:t>
      </w:r>
      <w:r w:rsidRPr="0043040E">
        <w:rPr>
          <w:rFonts w:ascii="Arial" w:hAnsi="Arial" w:cs="Arial"/>
          <w:sz w:val="19"/>
          <w:szCs w:val="19"/>
        </w:rPr>
        <w:t>Ibidem</w:t>
      </w:r>
    </w:p>
    <w:p w14:paraId="2A290913" w14:textId="77777777" w:rsidR="003C7067" w:rsidRDefault="003C7067" w:rsidP="003C7067">
      <w:pPr>
        <w:pStyle w:val="Textonotapie"/>
        <w:ind w:firstLine="709"/>
      </w:pPr>
    </w:p>
  </w:footnote>
  <w:footnote w:id="5">
    <w:p w14:paraId="034DDF18" w14:textId="77777777" w:rsidR="003C7067" w:rsidRDefault="003C7067" w:rsidP="003C7067">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5D74503E" w14:textId="77777777" w:rsidR="003C7067" w:rsidRPr="0043040E" w:rsidRDefault="003C7067" w:rsidP="003C7067">
      <w:pPr>
        <w:shd w:val="clear" w:color="auto" w:fill="FFFFFF"/>
        <w:ind w:firstLine="709"/>
        <w:jc w:val="both"/>
        <w:textAlignment w:val="baseline"/>
        <w:rPr>
          <w:rFonts w:ascii="Calibri" w:hAnsi="Calibri" w:cs="Calibri"/>
          <w:color w:val="000000"/>
          <w:sz w:val="20"/>
          <w:szCs w:val="20"/>
          <w:lang w:eastAsia="es-CO"/>
        </w:rPr>
      </w:pPr>
    </w:p>
  </w:footnote>
  <w:footnote w:id="6">
    <w:p w14:paraId="52374107" w14:textId="77777777" w:rsidR="003C7067" w:rsidRPr="0043040E" w:rsidRDefault="003C7067" w:rsidP="003C7067">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CC6869B" w14:textId="77777777" w:rsidR="003C7067" w:rsidRPr="0043040E" w:rsidRDefault="003C7067" w:rsidP="003C7067">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726B2B6" w14:textId="77777777" w:rsidR="003C7067" w:rsidRPr="0043040E" w:rsidRDefault="003C7067" w:rsidP="003C7067">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A2D81F" w14:textId="77777777" w:rsidR="003C7067" w:rsidRPr="0043040E" w:rsidRDefault="003C7067" w:rsidP="003C7067">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C49D53C" w14:textId="77777777" w:rsidR="003C7067" w:rsidRPr="0043040E" w:rsidRDefault="003C7067" w:rsidP="003C7067">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7862C92" w14:textId="77777777" w:rsidR="003C7067" w:rsidRDefault="003C7067" w:rsidP="003C7067">
      <w:pPr>
        <w:pStyle w:val="Textonotapie"/>
      </w:pPr>
    </w:p>
  </w:footnote>
  <w:footnote w:id="7">
    <w:p w14:paraId="7168E2B5"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FCE3BC1"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5D73AA7" w14:textId="77777777" w:rsidR="003C7067" w:rsidRPr="009C5188" w:rsidRDefault="003C7067" w:rsidP="003C7067">
      <w:pPr>
        <w:pStyle w:val="Textonotapie"/>
        <w:jc w:val="both"/>
        <w:rPr>
          <w:rFonts w:ascii="Arial" w:hAnsi="Arial" w:cs="Arial"/>
          <w:sz w:val="19"/>
          <w:szCs w:val="19"/>
          <w:lang w:val="es-ES"/>
        </w:rPr>
      </w:pPr>
    </w:p>
  </w:footnote>
  <w:footnote w:id="8">
    <w:p w14:paraId="2CF1BC7C"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0D8B424" w14:textId="77777777" w:rsidR="003C7067" w:rsidRPr="009C5188" w:rsidRDefault="003C7067" w:rsidP="003C7067">
      <w:pPr>
        <w:pStyle w:val="Textonotapie"/>
        <w:ind w:firstLine="708"/>
        <w:jc w:val="both"/>
        <w:rPr>
          <w:rFonts w:ascii="Arial" w:hAnsi="Arial" w:cs="Arial"/>
          <w:sz w:val="19"/>
          <w:szCs w:val="19"/>
          <w:lang w:val="es-ES"/>
        </w:rPr>
      </w:pPr>
    </w:p>
  </w:footnote>
  <w:footnote w:id="9">
    <w:p w14:paraId="2483B3C7"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B94A5F1"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40AF07C9"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w:t>
      </w:r>
    </w:p>
    <w:p w14:paraId="15CA7FF7" w14:textId="77777777" w:rsidR="003C7067" w:rsidRPr="009C5188" w:rsidRDefault="003C7067" w:rsidP="003C7067">
      <w:pPr>
        <w:pStyle w:val="Textonotapie"/>
        <w:ind w:firstLine="708"/>
        <w:jc w:val="both"/>
        <w:rPr>
          <w:rFonts w:ascii="Arial" w:hAnsi="Arial" w:cs="Arial"/>
          <w:sz w:val="19"/>
          <w:szCs w:val="19"/>
          <w:lang w:val="es-ES"/>
        </w:rPr>
      </w:pPr>
    </w:p>
  </w:footnote>
  <w:footnote w:id="10">
    <w:p w14:paraId="149BE752"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C05FE4B"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w:t>
      </w:r>
    </w:p>
    <w:p w14:paraId="4CF9645A"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68BBA1F"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970008C" w14:textId="77777777" w:rsidR="003C7067" w:rsidRPr="009C5188" w:rsidRDefault="003C7067" w:rsidP="003C7067">
      <w:pPr>
        <w:pStyle w:val="Textonotapie"/>
        <w:jc w:val="both"/>
        <w:rPr>
          <w:rFonts w:ascii="Arial" w:hAnsi="Arial" w:cs="Arial"/>
          <w:sz w:val="19"/>
          <w:szCs w:val="19"/>
          <w:lang w:val="es-ES"/>
        </w:rPr>
      </w:pPr>
    </w:p>
  </w:footnote>
  <w:footnote w:id="11">
    <w:p w14:paraId="28D1A0B3"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D0EC274"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0A46A44D"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5319CE60"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200F1FC1" w14:textId="77777777" w:rsidR="003C7067" w:rsidRPr="009C5188" w:rsidRDefault="003C7067" w:rsidP="003C7067">
      <w:pPr>
        <w:pStyle w:val="Textonotapie"/>
        <w:ind w:firstLine="708"/>
        <w:jc w:val="both"/>
        <w:rPr>
          <w:rFonts w:ascii="Arial" w:hAnsi="Arial" w:cs="Arial"/>
          <w:sz w:val="19"/>
          <w:szCs w:val="19"/>
          <w:lang w:val="es-ES"/>
        </w:rPr>
      </w:pPr>
    </w:p>
  </w:footnote>
  <w:footnote w:id="12">
    <w:p w14:paraId="7F41F1A5" w14:textId="77777777" w:rsidR="003C7067" w:rsidRPr="009C5188"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FE05289"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BCB1487"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w:t>
      </w:r>
    </w:p>
    <w:p w14:paraId="38DF792D"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7038902E" w14:textId="77777777" w:rsidR="003C7067" w:rsidRPr="009C5188" w:rsidRDefault="003C7067" w:rsidP="003C7067">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450036F0" w14:textId="77777777" w:rsidR="003C7067" w:rsidRPr="00694D8E" w:rsidRDefault="003C7067" w:rsidP="003C7067">
      <w:pPr>
        <w:pStyle w:val="Textonotapie"/>
        <w:ind w:firstLine="708"/>
        <w:jc w:val="both"/>
        <w:rPr>
          <w:rFonts w:ascii="Arial" w:hAnsi="Arial" w:cs="Arial"/>
          <w:sz w:val="19"/>
          <w:szCs w:val="19"/>
        </w:rPr>
      </w:pPr>
      <w:r w:rsidRPr="009C5188">
        <w:rPr>
          <w:rFonts w:ascii="Arial" w:hAnsi="Arial" w:cs="Arial"/>
          <w:sz w:val="19"/>
          <w:szCs w:val="19"/>
        </w:rPr>
        <w:t>[...]».</w:t>
      </w:r>
    </w:p>
  </w:footnote>
  <w:footnote w:id="13">
    <w:p w14:paraId="34486357" w14:textId="77777777" w:rsidR="003C7067" w:rsidRPr="003513C4" w:rsidRDefault="003C7067" w:rsidP="003C7067">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5817C563" w14:textId="77777777" w:rsidR="003C7067" w:rsidRPr="00384698" w:rsidRDefault="003C7067" w:rsidP="003C7067">
      <w:pPr>
        <w:pStyle w:val="Textonotapie"/>
        <w:ind w:firstLine="708"/>
        <w:jc w:val="both"/>
        <w:rPr>
          <w:lang w:val="es-CO"/>
        </w:rPr>
      </w:pPr>
    </w:p>
  </w:footnote>
  <w:footnote w:id="14">
    <w:p w14:paraId="22FC5D6E" w14:textId="77777777" w:rsidR="003C7067" w:rsidRPr="00A24CD3" w:rsidRDefault="003C7067" w:rsidP="003C7067">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15">
    <w:p w14:paraId="4698FF1B" w14:textId="77777777" w:rsidR="003C7067" w:rsidRPr="004F3C32" w:rsidRDefault="003C7067" w:rsidP="003C7067">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67F86D9" w14:textId="77777777" w:rsidR="003C7067" w:rsidRPr="004F3C32" w:rsidRDefault="003C7067" w:rsidP="003C7067">
      <w:pPr>
        <w:pStyle w:val="Textonotapie"/>
        <w:ind w:firstLine="708"/>
        <w:jc w:val="both"/>
        <w:rPr>
          <w:rFonts w:ascii="Arial" w:hAnsi="Arial" w:cs="Arial"/>
          <w:sz w:val="19"/>
          <w:szCs w:val="19"/>
        </w:rPr>
      </w:pPr>
      <w:r w:rsidRPr="004F3C32">
        <w:rPr>
          <w:rFonts w:ascii="Arial" w:hAnsi="Arial" w:cs="Arial"/>
          <w:sz w:val="19"/>
          <w:szCs w:val="19"/>
        </w:rPr>
        <w:t>[…]</w:t>
      </w:r>
    </w:p>
    <w:p w14:paraId="15651D15" w14:textId="77777777" w:rsidR="003C7067" w:rsidRPr="001E7492" w:rsidRDefault="003C7067" w:rsidP="003C7067">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631977FB" w14:textId="77777777" w:rsidR="003C7067" w:rsidRPr="004F3C32" w:rsidRDefault="003C7067" w:rsidP="003C7067">
      <w:pPr>
        <w:pStyle w:val="Textonotapie"/>
        <w:ind w:firstLine="708"/>
        <w:jc w:val="both"/>
        <w:rPr>
          <w:rFonts w:ascii="Arial" w:hAnsi="Arial" w:cs="Arial"/>
          <w:sz w:val="19"/>
          <w:szCs w:val="19"/>
          <w:lang w:val="es-CO"/>
        </w:rPr>
      </w:pPr>
    </w:p>
  </w:footnote>
  <w:footnote w:id="16">
    <w:p w14:paraId="631CD1B7" w14:textId="77777777" w:rsidR="003C7067" w:rsidRPr="004F3C32" w:rsidRDefault="003C7067" w:rsidP="003C7067">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3A64B25" w14:textId="77777777" w:rsidR="003C7067" w:rsidRPr="004F3C32" w:rsidRDefault="003C7067" w:rsidP="003C7067">
      <w:pPr>
        <w:pStyle w:val="Textonotapie"/>
        <w:ind w:firstLine="708"/>
        <w:jc w:val="both"/>
        <w:rPr>
          <w:rFonts w:ascii="Arial" w:hAnsi="Arial" w:cs="Arial"/>
          <w:sz w:val="19"/>
          <w:szCs w:val="19"/>
        </w:rPr>
      </w:pPr>
      <w:r w:rsidRPr="004F3C32">
        <w:rPr>
          <w:rFonts w:ascii="Arial" w:hAnsi="Arial" w:cs="Arial"/>
          <w:sz w:val="19"/>
          <w:szCs w:val="19"/>
        </w:rPr>
        <w:t>[…]</w:t>
      </w:r>
    </w:p>
    <w:p w14:paraId="7D9DB955" w14:textId="77777777" w:rsidR="003C7067" w:rsidRPr="004F3C32" w:rsidRDefault="003C7067" w:rsidP="003C7067">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7">
    <w:p w14:paraId="26DBEB7D" w14:textId="77777777" w:rsidR="003C7067" w:rsidRDefault="003C7067" w:rsidP="003C7067">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5DE5ECC1" w14:textId="77777777" w:rsidR="003C7067" w:rsidRPr="005B3541" w:rsidRDefault="003C7067" w:rsidP="003C7067">
      <w:pPr>
        <w:pStyle w:val="Textonotapie"/>
        <w:ind w:left="708" w:firstLine="1"/>
      </w:pPr>
    </w:p>
  </w:footnote>
  <w:footnote w:id="18">
    <w:p w14:paraId="58B899DA" w14:textId="77777777" w:rsidR="003C7067" w:rsidRPr="00A222AD" w:rsidRDefault="003C7067" w:rsidP="003C7067">
      <w:pPr>
        <w:pStyle w:val="Textocomentario"/>
        <w:ind w:firstLine="708"/>
        <w:jc w:val="both"/>
        <w:rPr>
          <w:rFonts w:ascii="Arial" w:hAnsi="Arial" w:cs="Arial"/>
          <w:sz w:val="19"/>
          <w:szCs w:val="19"/>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9">
    <w:p w14:paraId="3CF3360F" w14:textId="77777777" w:rsidR="003C7067" w:rsidRPr="008D25E0" w:rsidRDefault="003C7067" w:rsidP="003C706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w:t>
      </w:r>
      <w:r>
        <w:rPr>
          <w:rFonts w:ascii="Arial" w:hAnsi="Arial" w:cs="Arial"/>
          <w:sz w:val="19"/>
          <w:szCs w:val="19"/>
        </w:rPr>
        <w:t>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387886"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965D3"/>
    <w:rsid w:val="00130206"/>
    <w:rsid w:val="00206971"/>
    <w:rsid w:val="003C7067"/>
    <w:rsid w:val="00877AD0"/>
    <w:rsid w:val="00FC41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48E14-6387-49CD-A0DF-B2B6454E0E5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5D14EA5-8916-4B9D-B611-1EE4CE51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15307-4366-4F01-8E74-F4CFFED81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6862</Words>
  <Characters>37743</Characters>
  <Application>Microsoft Office Word</Application>
  <DocSecurity>0</DocSecurity>
  <Lines>314</Lines>
  <Paragraphs>89</Paragraphs>
  <ScaleCrop>false</ScaleCrop>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4</cp:revision>
  <dcterms:created xsi:type="dcterms:W3CDTF">2022-04-26T21:09:00Z</dcterms:created>
  <dcterms:modified xsi:type="dcterms:W3CDTF">2022-05-05T17:23:00Z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