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25784C1D" w14:textId="77777777" w:rsidR="00BE1E33" w:rsidRPr="006C15D5" w:rsidRDefault="00BE1E33" w:rsidP="00BE1E33">
      <w:pPr>
        <w:jc w:val="both"/>
        <w:rPr>
          <w:rFonts w:ascii="Arial" w:eastAsia="Calibri" w:hAnsi="Arial" w:cs="Arial"/>
          <w:b/>
          <w:color w:val="000000" w:themeColor="text1"/>
          <w:sz w:val="20"/>
          <w:szCs w:val="20"/>
        </w:rPr>
      </w:pPr>
    </w:p>
    <w:p w14:paraId="5E960312" w14:textId="77777777" w:rsidR="00875763" w:rsidRPr="005B6E41" w:rsidRDefault="00875763" w:rsidP="00954F93">
      <w:pPr>
        <w:pStyle w:val="Textoindependiente"/>
        <w:jc w:val="both"/>
      </w:pPr>
      <w:r w:rsidRPr="248D5F6B">
        <w:rPr>
          <w:b/>
          <w:bCs/>
        </w:rPr>
        <w:t>EXPERIENCIA SOCIEDADES – Régimen jurídico – Registro único de proponentes</w:t>
      </w:r>
    </w:p>
    <w:p w14:paraId="3C00A33B" w14:textId="77777777" w:rsidR="00875763" w:rsidRPr="005B6E41" w:rsidRDefault="00875763" w:rsidP="00954F93">
      <w:pPr>
        <w:pStyle w:val="Textoindependiente"/>
        <w:jc w:val="both"/>
        <w:rPr>
          <w:sz w:val="20"/>
          <w:szCs w:val="20"/>
        </w:rPr>
      </w:pPr>
    </w:p>
    <w:p w14:paraId="7F82D22A" w14:textId="3F1AF3C7" w:rsidR="00875763" w:rsidRPr="005B6E41" w:rsidRDefault="00875763" w:rsidP="00954F93">
      <w:pPr>
        <w:pStyle w:val="Textoindependiente"/>
        <w:jc w:val="both"/>
        <w:rPr>
          <w:sz w:val="20"/>
          <w:szCs w:val="20"/>
        </w:rPr>
      </w:pPr>
      <w:r w:rsidRPr="005B6E41">
        <w:rPr>
          <w:sz w:val="20"/>
          <w:szCs w:val="20"/>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Por su parte, el artículo 6 de la Ley 1150 de 2007 </w:t>
      </w:r>
      <w:r w:rsidR="00E7360A">
        <w:rPr>
          <w:sz w:val="20"/>
          <w:szCs w:val="20"/>
        </w:rPr>
        <w:t>dispone</w:t>
      </w:r>
      <w:r w:rsidRPr="005B6E41">
        <w:rPr>
          <w:sz w:val="20"/>
          <w:szCs w:val="20"/>
        </w:rPr>
        <w:t xml:space="preserve">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5B6E41">
        <w:rPr>
          <w:spacing w:val="-8"/>
          <w:sz w:val="20"/>
          <w:szCs w:val="20"/>
        </w:rPr>
        <w:t xml:space="preserve"> </w:t>
      </w:r>
      <w:r w:rsidRPr="005B6E41">
        <w:rPr>
          <w:sz w:val="20"/>
          <w:szCs w:val="20"/>
        </w:rPr>
        <w:t>contrato”.</w:t>
      </w:r>
    </w:p>
    <w:p w14:paraId="58C59D40" w14:textId="77777777" w:rsidR="00875763" w:rsidRPr="005B6E41" w:rsidRDefault="00875763" w:rsidP="00954F93">
      <w:pPr>
        <w:pStyle w:val="Textoindependiente"/>
        <w:jc w:val="both"/>
        <w:rPr>
          <w:sz w:val="20"/>
          <w:szCs w:val="20"/>
        </w:rPr>
      </w:pPr>
    </w:p>
    <w:p w14:paraId="302E942A" w14:textId="77777777" w:rsidR="00875763" w:rsidRPr="005B6E41" w:rsidRDefault="00875763" w:rsidP="00954F93">
      <w:pPr>
        <w:pStyle w:val="Textoindependiente"/>
        <w:jc w:val="both"/>
        <w:rPr>
          <w:b/>
          <w:bCs/>
        </w:rPr>
      </w:pPr>
      <w:r>
        <w:rPr>
          <w:b/>
          <w:bCs/>
        </w:rPr>
        <w:t xml:space="preserve">PERSONA NATURAL </w:t>
      </w:r>
      <w:r w:rsidRPr="00302709">
        <w:rPr>
          <w:b/>
        </w:rPr>
        <w:t>–</w:t>
      </w:r>
      <w:r w:rsidRPr="005B6E41">
        <w:rPr>
          <w:b/>
          <w:bCs/>
        </w:rPr>
        <w:t xml:space="preserve"> </w:t>
      </w:r>
      <w:r>
        <w:rPr>
          <w:b/>
          <w:bCs/>
        </w:rPr>
        <w:t xml:space="preserve">Experiencia </w:t>
      </w:r>
      <w:r>
        <w:rPr>
          <w:b/>
        </w:rPr>
        <w:t xml:space="preserve">– </w:t>
      </w:r>
      <w:r w:rsidRPr="005B6E41">
        <w:rPr>
          <w:b/>
          <w:bCs/>
        </w:rPr>
        <w:t>Certificados de experiencia</w:t>
      </w:r>
    </w:p>
    <w:p w14:paraId="05F6E907" w14:textId="77777777" w:rsidR="00875763" w:rsidRPr="005B6E41" w:rsidRDefault="00875763" w:rsidP="00954F93">
      <w:pPr>
        <w:pStyle w:val="Textoindependiente"/>
        <w:jc w:val="both"/>
        <w:rPr>
          <w:sz w:val="20"/>
          <w:szCs w:val="20"/>
        </w:rPr>
      </w:pPr>
    </w:p>
    <w:p w14:paraId="6C5655E1" w14:textId="59B7766E" w:rsidR="00875763" w:rsidRPr="005B6E41" w:rsidRDefault="00875763" w:rsidP="00954F93">
      <w:pPr>
        <w:pStyle w:val="Textoindependiente"/>
        <w:jc w:val="both"/>
        <w:rPr>
          <w:sz w:val="20"/>
          <w:szCs w:val="20"/>
        </w:rPr>
      </w:pPr>
      <w:r w:rsidRPr="005B6E41">
        <w:rPr>
          <w:sz w:val="20"/>
          <w:szCs w:val="20"/>
        </w:rPr>
        <w:t xml:space="preserve">El Decreto 1082 de 2015, en el artículo 2.2.1.1.1.5.2, numeral 2.1, establece </w:t>
      </w:r>
      <w:proofErr w:type="gramStart"/>
      <w:r w:rsidRPr="005B6E41">
        <w:rPr>
          <w:sz w:val="20"/>
          <w:szCs w:val="20"/>
        </w:rPr>
        <w:t>que</w:t>
      </w:r>
      <w:proofErr w:type="gramEnd"/>
      <w:r w:rsidRPr="005B6E41">
        <w:rPr>
          <w:sz w:val="20"/>
          <w:szCs w:val="20"/>
        </w:rPr>
        <w:t xml:space="preserve"> si una persona natural es la que se inscribe al RUP, aportará los certificados de experiencia en provisión de bienes, obras y servicios, los cuales deben </w:t>
      </w:r>
      <w:r w:rsidR="00E7360A">
        <w:rPr>
          <w:sz w:val="20"/>
          <w:szCs w:val="20"/>
        </w:rPr>
        <w:t xml:space="preserve">expedirse </w:t>
      </w:r>
      <w:r w:rsidRPr="005B6E41">
        <w:rPr>
          <w:sz w:val="20"/>
          <w:szCs w:val="20"/>
        </w:rPr>
        <w:t>por terceros que hayan recibido tales bienes, obras y servicios, y deben corresponder a contratos ejecutados o copias de los contratos cuando el interesado no puede obtener tal certificado.</w:t>
      </w:r>
    </w:p>
    <w:p w14:paraId="47299C9D" w14:textId="77777777" w:rsidR="00875763" w:rsidRPr="005B6E41" w:rsidRDefault="00875763" w:rsidP="00954F93">
      <w:pPr>
        <w:pStyle w:val="Textoindependiente"/>
        <w:jc w:val="both"/>
        <w:rPr>
          <w:sz w:val="20"/>
          <w:szCs w:val="20"/>
        </w:rPr>
      </w:pPr>
    </w:p>
    <w:p w14:paraId="226A00E3" w14:textId="77777777" w:rsidR="00875763" w:rsidRPr="005B6E41" w:rsidRDefault="00875763" w:rsidP="00954F93">
      <w:pPr>
        <w:pStyle w:val="Textoindependiente"/>
        <w:jc w:val="both"/>
        <w:rPr>
          <w:b/>
          <w:bCs/>
        </w:rPr>
      </w:pPr>
      <w:r>
        <w:rPr>
          <w:b/>
          <w:bCs/>
        </w:rPr>
        <w:t xml:space="preserve">SOCIEDADES NUEVAS </w:t>
      </w:r>
      <w:r w:rsidRPr="00302709">
        <w:rPr>
          <w:b/>
        </w:rPr>
        <w:t>–</w:t>
      </w:r>
      <w:r w:rsidRPr="005B6E41">
        <w:rPr>
          <w:b/>
          <w:bCs/>
        </w:rPr>
        <w:t xml:space="preserve"> Certificados de experiencia </w:t>
      </w:r>
      <w:r w:rsidRPr="00302709">
        <w:rPr>
          <w:b/>
        </w:rPr>
        <w:t>–</w:t>
      </w:r>
      <w:r w:rsidRPr="005B6E41">
        <w:rPr>
          <w:b/>
          <w:bCs/>
        </w:rPr>
        <w:t xml:space="preserve"> Experiencia </w:t>
      </w:r>
    </w:p>
    <w:p w14:paraId="57B0D3BD" w14:textId="77777777" w:rsidR="00875763" w:rsidRPr="005B6E41" w:rsidRDefault="00875763" w:rsidP="00954F93">
      <w:pPr>
        <w:pStyle w:val="Textoindependiente"/>
        <w:jc w:val="both"/>
        <w:rPr>
          <w:sz w:val="20"/>
          <w:szCs w:val="20"/>
        </w:rPr>
      </w:pPr>
    </w:p>
    <w:p w14:paraId="35B7DA3E" w14:textId="77777777" w:rsidR="00875763" w:rsidRPr="005B6E41" w:rsidRDefault="00875763" w:rsidP="00954F93">
      <w:pPr>
        <w:pStyle w:val="Textoindependiente"/>
        <w:jc w:val="both"/>
        <w:rPr>
          <w:sz w:val="20"/>
          <w:szCs w:val="20"/>
        </w:rPr>
      </w:pPr>
      <w:r w:rsidRPr="005B6E41">
        <w:rPr>
          <w:sz w:val="20"/>
          <w:szCs w:val="20"/>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693C5B88" w14:textId="77777777" w:rsidR="00875763" w:rsidRPr="005B6E41" w:rsidRDefault="00875763" w:rsidP="00954F93">
      <w:pPr>
        <w:pStyle w:val="Textoindependiente"/>
        <w:jc w:val="both"/>
        <w:rPr>
          <w:sz w:val="20"/>
          <w:szCs w:val="20"/>
        </w:rPr>
      </w:pPr>
    </w:p>
    <w:p w14:paraId="4B905688" w14:textId="77777777" w:rsidR="00875763" w:rsidRPr="005B6E41" w:rsidRDefault="00875763" w:rsidP="00954F93">
      <w:pPr>
        <w:pStyle w:val="Textoindependiente"/>
        <w:jc w:val="both"/>
        <w:rPr>
          <w:b/>
          <w:bCs/>
        </w:rPr>
      </w:pPr>
      <w:r w:rsidRPr="248D5F6B">
        <w:rPr>
          <w:b/>
          <w:bCs/>
        </w:rPr>
        <w:t>SOCIEDADES NUEVAS – Experiencia – Socios – Transferencia experiencia socios – Fomento de participación – Desarrollo empresarial</w:t>
      </w:r>
    </w:p>
    <w:p w14:paraId="7B548F59" w14:textId="77777777" w:rsidR="00875763" w:rsidRPr="005B6E41" w:rsidRDefault="00875763" w:rsidP="00954F93">
      <w:pPr>
        <w:pStyle w:val="Textoindependiente"/>
        <w:jc w:val="both"/>
        <w:rPr>
          <w:sz w:val="20"/>
          <w:szCs w:val="20"/>
        </w:rPr>
      </w:pPr>
    </w:p>
    <w:p w14:paraId="760C3168" w14:textId="3D786730" w:rsidR="00875763" w:rsidRPr="005B6E41" w:rsidRDefault="00875763" w:rsidP="00954F93">
      <w:pPr>
        <w:pStyle w:val="Textoindependiente"/>
        <w:jc w:val="both"/>
        <w:rPr>
          <w:sz w:val="20"/>
          <w:szCs w:val="20"/>
        </w:rPr>
      </w:pPr>
      <w:r w:rsidRPr="005B6E41">
        <w:rPr>
          <w:sz w:val="20"/>
          <w:szCs w:val="20"/>
        </w:rPr>
        <w:t xml:space="preserve">Si la constitución del interesado es menor a tres (3) años, puede acreditar la experiencia de sus accionistas, socios o constituyentes. 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 </w:t>
      </w:r>
      <w:r>
        <w:rPr>
          <w:sz w:val="20"/>
          <w:szCs w:val="20"/>
        </w:rPr>
        <w:t>[…]</w:t>
      </w:r>
      <w:r w:rsidRPr="005B6E41">
        <w:rPr>
          <w:sz w:val="20"/>
          <w:szCs w:val="20"/>
        </w:rPr>
        <w:t xml:space="preserve"> La finalidad de esta norma es permitir que las sociedades que no cuentan con la experiencia suficiente para contratar con el Estado puedan apoyarse en la experiencia de sus accionistas, socios o constituyentes</w:t>
      </w:r>
      <w:r w:rsidR="00E7360A">
        <w:rPr>
          <w:sz w:val="20"/>
          <w:szCs w:val="20"/>
        </w:rPr>
        <w:t>,</w:t>
      </w:r>
      <w:r w:rsidRPr="005B6E41">
        <w:rPr>
          <w:sz w:val="20"/>
          <w:szCs w:val="20"/>
        </w:rPr>
        <w:t xml:space="preserve"> con el fin de incentivar la competencia en la contratación estatal. </w:t>
      </w:r>
      <w:r w:rsidR="00E7360A">
        <w:rPr>
          <w:sz w:val="20"/>
          <w:szCs w:val="20"/>
        </w:rPr>
        <w:t xml:space="preserve">El </w:t>
      </w:r>
      <w:r w:rsidRPr="005B6E41">
        <w:rPr>
          <w:sz w:val="20"/>
          <w:szCs w:val="20"/>
        </w:rPr>
        <w:t xml:space="preserve">socio transfiere la experiencia adquirida directamente a la sociedad de la que es parte, para que ésta, como persona jurídica independiente, pueda cumplir con los requisitos habilitantes o </w:t>
      </w:r>
      <w:r w:rsidRPr="005B6E41">
        <w:rPr>
          <w:sz w:val="20"/>
          <w:szCs w:val="20"/>
        </w:rPr>
        <w:lastRenderedPageBreak/>
        <w:t>puntuables que establezcan las entidades estatales en sus procesos de contratación, y de esta forma promover el desarrollo de la empresa y la pluralidad de oferentes en la contratación pública.</w:t>
      </w:r>
    </w:p>
    <w:p w14:paraId="4CD04829" w14:textId="77777777" w:rsidR="00875763" w:rsidRPr="005B6E41" w:rsidRDefault="00875763" w:rsidP="00954F93">
      <w:pPr>
        <w:pStyle w:val="Textoindependiente"/>
        <w:jc w:val="both"/>
        <w:rPr>
          <w:sz w:val="20"/>
          <w:szCs w:val="20"/>
        </w:rPr>
      </w:pPr>
    </w:p>
    <w:p w14:paraId="6D6D1D97" w14:textId="77777777" w:rsidR="00875763" w:rsidRPr="00DB4797" w:rsidRDefault="00875763" w:rsidP="00954F93">
      <w:pPr>
        <w:pStyle w:val="Textoindependiente"/>
        <w:jc w:val="both"/>
        <w:rPr>
          <w:b/>
          <w:bCs/>
        </w:rPr>
      </w:pPr>
      <w:r>
        <w:rPr>
          <w:b/>
          <w:bCs/>
        </w:rPr>
        <w:t xml:space="preserve">EXPERIENCIA </w:t>
      </w:r>
      <w:r w:rsidRPr="00302709">
        <w:rPr>
          <w:b/>
        </w:rPr>
        <w:t>–</w:t>
      </w:r>
      <w:r w:rsidRPr="00DB4797">
        <w:rPr>
          <w:b/>
          <w:bCs/>
        </w:rPr>
        <w:t xml:space="preserve"> Inherente </w:t>
      </w:r>
      <w:r w:rsidRPr="00302709">
        <w:rPr>
          <w:b/>
        </w:rPr>
        <w:t>–</w:t>
      </w:r>
      <w:r w:rsidRPr="00DB4797">
        <w:rPr>
          <w:b/>
          <w:bCs/>
        </w:rPr>
        <w:t xml:space="preserve"> Intransferible</w:t>
      </w:r>
    </w:p>
    <w:p w14:paraId="0E151BC0" w14:textId="77777777" w:rsidR="00875763" w:rsidRPr="00DB4797" w:rsidRDefault="00875763" w:rsidP="00954F93">
      <w:pPr>
        <w:pStyle w:val="Textoindependiente"/>
        <w:jc w:val="both"/>
      </w:pPr>
    </w:p>
    <w:p w14:paraId="5AD64BD2" w14:textId="77777777" w:rsidR="00875763" w:rsidRPr="005B6E41" w:rsidRDefault="00875763" w:rsidP="00954F93">
      <w:pPr>
        <w:pStyle w:val="Textoindependiente"/>
        <w:jc w:val="both"/>
        <w:rPr>
          <w:sz w:val="20"/>
          <w:szCs w:val="20"/>
        </w:rPr>
      </w:pPr>
      <w:r w:rsidRPr="005B6E41">
        <w:rPr>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6A27A488" w14:textId="77777777" w:rsidR="00875763" w:rsidRPr="005B6E41" w:rsidRDefault="00875763" w:rsidP="00954F93">
      <w:pPr>
        <w:pStyle w:val="Textoindependiente"/>
        <w:jc w:val="both"/>
        <w:rPr>
          <w:sz w:val="20"/>
          <w:szCs w:val="20"/>
        </w:rPr>
      </w:pPr>
    </w:p>
    <w:p w14:paraId="0DDFEF2B" w14:textId="77777777" w:rsidR="00875763" w:rsidRPr="005B6E41" w:rsidRDefault="00875763" w:rsidP="00954F93">
      <w:pPr>
        <w:pStyle w:val="Textoindependiente"/>
        <w:jc w:val="both"/>
        <w:rPr>
          <w:b/>
          <w:bCs/>
        </w:rPr>
      </w:pPr>
      <w:r w:rsidRPr="248D5F6B">
        <w:rPr>
          <w:b/>
          <w:bCs/>
        </w:rPr>
        <w:t xml:space="preserve">SOCIEDADES NUEVAS – Concepto unificado – </w:t>
      </w:r>
      <w:r>
        <w:rPr>
          <w:b/>
          <w:bCs/>
        </w:rPr>
        <w:t xml:space="preserve">Inscripción </w:t>
      </w:r>
      <w:r>
        <w:rPr>
          <w:b/>
        </w:rPr>
        <w:t xml:space="preserve">– Obligatoriedad </w:t>
      </w:r>
      <w:r w:rsidRPr="248D5F6B">
        <w:rPr>
          <w:b/>
          <w:bCs/>
        </w:rPr>
        <w:t>–</w:t>
      </w:r>
      <w:r>
        <w:rPr>
          <w:b/>
          <w:bCs/>
        </w:rPr>
        <w:t xml:space="preserve"> Registro único de proponentes</w:t>
      </w:r>
      <w:r w:rsidRPr="248D5F6B">
        <w:rPr>
          <w:b/>
          <w:bCs/>
        </w:rPr>
        <w:t xml:space="preserve"> – Conservación experiencia</w:t>
      </w:r>
    </w:p>
    <w:p w14:paraId="62E6FE77" w14:textId="77777777" w:rsidR="00875763" w:rsidRPr="005B6E41" w:rsidRDefault="00875763" w:rsidP="00954F93">
      <w:pPr>
        <w:pStyle w:val="Textoindependiente"/>
        <w:jc w:val="both"/>
        <w:rPr>
          <w:sz w:val="20"/>
          <w:szCs w:val="20"/>
        </w:rPr>
      </w:pPr>
    </w:p>
    <w:p w14:paraId="52BCFDC3" w14:textId="77777777" w:rsidR="00875763" w:rsidRPr="005B6E41" w:rsidRDefault="00875763" w:rsidP="00954F93">
      <w:pPr>
        <w:pStyle w:val="Textoindependiente"/>
        <w:spacing w:after="120"/>
        <w:jc w:val="both"/>
        <w:rPr>
          <w:sz w:val="20"/>
          <w:szCs w:val="20"/>
        </w:rPr>
      </w:pPr>
      <w:r w:rsidRPr="005B6E41">
        <w:rPr>
          <w:sz w:val="20"/>
          <w:szCs w:val="20"/>
        </w:rPr>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5B6E41">
        <w:rPr>
          <w:spacing w:val="-10"/>
          <w:sz w:val="20"/>
          <w:szCs w:val="20"/>
        </w:rPr>
        <w:t xml:space="preserve"> </w:t>
      </w:r>
      <w:r w:rsidRPr="005B6E41">
        <w:rPr>
          <w:sz w:val="20"/>
          <w:szCs w:val="20"/>
        </w:rPr>
        <w:t xml:space="preserve">citado. </w:t>
      </w:r>
    </w:p>
    <w:p w14:paraId="375FF636" w14:textId="77777777" w:rsidR="00875763" w:rsidRPr="005B6E41" w:rsidRDefault="00875763" w:rsidP="00954F93">
      <w:pPr>
        <w:pStyle w:val="Textoindependiente"/>
        <w:jc w:val="both"/>
        <w:rPr>
          <w:sz w:val="20"/>
          <w:szCs w:val="20"/>
        </w:rPr>
      </w:pPr>
      <w:r w:rsidRPr="005B6E41">
        <w:rPr>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5B6E41">
        <w:rPr>
          <w:spacing w:val="5"/>
          <w:sz w:val="20"/>
          <w:szCs w:val="20"/>
        </w:rPr>
        <w:t xml:space="preserve">se </w:t>
      </w:r>
      <w:r w:rsidRPr="005B6E41">
        <w:rPr>
          <w:sz w:val="20"/>
          <w:szCs w:val="20"/>
        </w:rPr>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5B6E41">
        <w:rPr>
          <w:spacing w:val="-27"/>
          <w:sz w:val="20"/>
          <w:szCs w:val="20"/>
        </w:rPr>
        <w:t xml:space="preserve"> </w:t>
      </w:r>
      <w:r w:rsidRPr="005B6E41">
        <w:rPr>
          <w:sz w:val="20"/>
          <w:szCs w:val="20"/>
        </w:rPr>
        <w:t>registro.</w:t>
      </w:r>
    </w:p>
    <w:p w14:paraId="77753D52" w14:textId="77777777" w:rsidR="00875763" w:rsidRPr="005B6E41" w:rsidRDefault="00875763" w:rsidP="00954F93">
      <w:pPr>
        <w:pStyle w:val="Textoindependiente"/>
        <w:jc w:val="both"/>
        <w:rPr>
          <w:b/>
          <w:bCs/>
          <w:sz w:val="20"/>
          <w:szCs w:val="20"/>
        </w:rPr>
      </w:pPr>
    </w:p>
    <w:p w14:paraId="67BE6C78" w14:textId="77777777" w:rsidR="00875763" w:rsidRPr="005B6E41" w:rsidRDefault="00875763" w:rsidP="00954F93">
      <w:pPr>
        <w:pStyle w:val="Textoindependiente"/>
        <w:jc w:val="both"/>
        <w:rPr>
          <w:b/>
          <w:bCs/>
        </w:rPr>
      </w:pPr>
      <w:r w:rsidRPr="005B6E41">
        <w:rPr>
          <w:b/>
          <w:bCs/>
        </w:rPr>
        <w:t xml:space="preserve">SOCIEDADES NUEVAS </w:t>
      </w:r>
      <w:r w:rsidRPr="00302709">
        <w:rPr>
          <w:b/>
        </w:rPr>
        <w:t>–</w:t>
      </w:r>
      <w:r w:rsidRPr="005B6E41">
        <w:rPr>
          <w:b/>
          <w:bCs/>
        </w:rPr>
        <w:t xml:space="preserve"> Circular Única Superintendencia de Industria y Comercio</w:t>
      </w:r>
      <w:r>
        <w:rPr>
          <w:b/>
          <w:bCs/>
        </w:rPr>
        <w:t xml:space="preserve"> </w:t>
      </w:r>
      <w:r w:rsidRPr="00302709">
        <w:rPr>
          <w:b/>
        </w:rPr>
        <w:t>–</w:t>
      </w:r>
      <w:r w:rsidRPr="005B6E41">
        <w:rPr>
          <w:b/>
          <w:bCs/>
        </w:rPr>
        <w:t xml:space="preserve"> </w:t>
      </w:r>
      <w:r>
        <w:rPr>
          <w:b/>
          <w:bCs/>
        </w:rPr>
        <w:t xml:space="preserve">Documentos </w:t>
      </w:r>
      <w:r>
        <w:rPr>
          <w:b/>
        </w:rPr>
        <w:t xml:space="preserve">– </w:t>
      </w:r>
      <w:r w:rsidRPr="005B6E41">
        <w:rPr>
          <w:b/>
          <w:bCs/>
        </w:rPr>
        <w:t xml:space="preserve">Vigencia </w:t>
      </w:r>
    </w:p>
    <w:p w14:paraId="0F543733" w14:textId="77777777" w:rsidR="00875763" w:rsidRPr="005B6E41" w:rsidRDefault="00875763" w:rsidP="00954F93">
      <w:pPr>
        <w:pStyle w:val="Textoindependiente"/>
        <w:jc w:val="both"/>
        <w:rPr>
          <w:sz w:val="20"/>
          <w:szCs w:val="20"/>
        </w:rPr>
      </w:pPr>
    </w:p>
    <w:p w14:paraId="2CD65FD1" w14:textId="64CCB0F3" w:rsidR="00875763" w:rsidRDefault="00875763" w:rsidP="00954F93">
      <w:pPr>
        <w:pStyle w:val="Textoindependiente"/>
        <w:jc w:val="both"/>
        <w:rPr>
          <w:sz w:val="20"/>
          <w:szCs w:val="20"/>
        </w:rPr>
      </w:pPr>
      <w:r w:rsidRPr="005B6E41">
        <w:rPr>
          <w:sz w:val="20"/>
          <w:szCs w:val="20"/>
        </w:rPr>
        <w:t>Lo anterior, tiene fundamento en la Circular Única de la Superintendencia de Industria y Comercio, en el numeral 4.2, sobre el procedimiento para llevar el registro único de proponentes, que establece: 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1BAD40C8" w14:textId="609AFEB6" w:rsidR="00D706D8" w:rsidRDefault="00D706D8" w:rsidP="00875763">
      <w:pPr>
        <w:pStyle w:val="Textoindependiente"/>
        <w:ind w:left="284" w:right="326"/>
        <w:jc w:val="both"/>
        <w:rPr>
          <w:sz w:val="20"/>
          <w:szCs w:val="20"/>
        </w:rPr>
      </w:pPr>
    </w:p>
    <w:p w14:paraId="352A85F4" w14:textId="3B61A274" w:rsidR="00D706D8" w:rsidRDefault="00D706D8" w:rsidP="00875763">
      <w:pPr>
        <w:pStyle w:val="Textoindependiente"/>
        <w:ind w:left="284" w:right="326"/>
        <w:jc w:val="both"/>
        <w:rPr>
          <w:sz w:val="20"/>
          <w:szCs w:val="20"/>
        </w:rPr>
      </w:pPr>
    </w:p>
    <w:p w14:paraId="2BA21A8D" w14:textId="04E167F8" w:rsidR="00D706D8" w:rsidRDefault="00D706D8" w:rsidP="00875763">
      <w:pPr>
        <w:pStyle w:val="Textoindependiente"/>
        <w:ind w:left="284" w:right="326"/>
        <w:jc w:val="both"/>
        <w:rPr>
          <w:sz w:val="20"/>
          <w:szCs w:val="20"/>
        </w:rPr>
      </w:pPr>
    </w:p>
    <w:p w14:paraId="565E5947" w14:textId="7C93DDDE" w:rsidR="00D706D8" w:rsidRDefault="00D706D8" w:rsidP="00875763">
      <w:pPr>
        <w:pStyle w:val="Textoindependiente"/>
        <w:ind w:left="284" w:right="326"/>
        <w:jc w:val="both"/>
        <w:rPr>
          <w:sz w:val="20"/>
          <w:szCs w:val="20"/>
        </w:rPr>
      </w:pPr>
    </w:p>
    <w:p w14:paraId="4FB38F20" w14:textId="368693AB" w:rsidR="00D706D8" w:rsidRDefault="00D706D8" w:rsidP="00875763">
      <w:pPr>
        <w:pStyle w:val="Textoindependiente"/>
        <w:ind w:left="284" w:right="326"/>
        <w:jc w:val="both"/>
        <w:rPr>
          <w:sz w:val="20"/>
          <w:szCs w:val="20"/>
        </w:rPr>
      </w:pPr>
    </w:p>
    <w:p w14:paraId="63DBE72D" w14:textId="0640A44F" w:rsidR="00D706D8" w:rsidRDefault="00D706D8" w:rsidP="00875763">
      <w:pPr>
        <w:pStyle w:val="Textoindependiente"/>
        <w:ind w:left="284" w:right="326"/>
        <w:jc w:val="both"/>
        <w:rPr>
          <w:sz w:val="20"/>
          <w:szCs w:val="20"/>
        </w:rPr>
      </w:pPr>
    </w:p>
    <w:p w14:paraId="78EC20F2" w14:textId="15B8D13D" w:rsidR="00D706D8" w:rsidRDefault="00D706D8" w:rsidP="00875763">
      <w:pPr>
        <w:pStyle w:val="Textoindependiente"/>
        <w:ind w:left="284" w:right="326"/>
        <w:jc w:val="both"/>
        <w:rPr>
          <w:sz w:val="20"/>
          <w:szCs w:val="20"/>
        </w:rPr>
      </w:pPr>
    </w:p>
    <w:p w14:paraId="6E3FC53C" w14:textId="1F7E71DB" w:rsidR="00D706D8" w:rsidRDefault="00D706D8" w:rsidP="00875763">
      <w:pPr>
        <w:pStyle w:val="Textoindependiente"/>
        <w:ind w:left="284" w:right="326"/>
        <w:jc w:val="both"/>
        <w:rPr>
          <w:sz w:val="20"/>
          <w:szCs w:val="20"/>
        </w:rPr>
      </w:pPr>
    </w:p>
    <w:p w14:paraId="50E29721" w14:textId="77777777" w:rsidR="00D706D8" w:rsidRPr="005B6E41" w:rsidRDefault="00D706D8" w:rsidP="00875763">
      <w:pPr>
        <w:pStyle w:val="Textoindependiente"/>
        <w:ind w:left="284" w:right="326"/>
        <w:jc w:val="both"/>
        <w:rPr>
          <w:sz w:val="20"/>
          <w:szCs w:val="20"/>
        </w:rPr>
      </w:pPr>
    </w:p>
    <w:p w14:paraId="04112049" w14:textId="77777777" w:rsidR="00BE1E33" w:rsidRPr="006C15D5" w:rsidRDefault="00BE1E33" w:rsidP="00BE1E33">
      <w:pPr>
        <w:jc w:val="both"/>
        <w:rPr>
          <w:rFonts w:ascii="Arial" w:eastAsia="Calibri" w:hAnsi="Arial" w:cs="Arial"/>
          <w:color w:val="000000" w:themeColor="text1"/>
          <w:sz w:val="20"/>
          <w:szCs w:val="20"/>
        </w:rPr>
      </w:pPr>
    </w:p>
    <w:p w14:paraId="2010468C" w14:textId="06F99130" w:rsidR="00BE1E33" w:rsidRDefault="00BE1E33" w:rsidP="00BE1E33">
      <w:pPr>
        <w:jc w:val="both"/>
        <w:rPr>
          <w:rFonts w:ascii="Arial" w:eastAsia="Calibri" w:hAnsi="Arial" w:cs="Arial"/>
          <w:bCs/>
          <w:color w:val="000000" w:themeColor="text1"/>
          <w:sz w:val="20"/>
          <w:szCs w:val="20"/>
        </w:rPr>
      </w:pPr>
    </w:p>
    <w:p w14:paraId="4ED669B5" w14:textId="77777777" w:rsidR="00BE1E33" w:rsidRPr="006C15D5" w:rsidRDefault="00BE1E33" w:rsidP="00BE1E33">
      <w:pPr>
        <w:rPr>
          <w:rFonts w:ascii="Arial" w:eastAsia="Calibri" w:hAnsi="Arial" w:cs="Arial"/>
          <w:color w:val="000000" w:themeColor="text1"/>
          <w:sz w:val="22"/>
        </w:rPr>
      </w:pPr>
    </w:p>
    <w:p w14:paraId="12A234ED" w14:textId="53CA0E59" w:rsidR="00BE1E33" w:rsidRDefault="00BE1E33" w:rsidP="00BE1E33">
      <w:pPr>
        <w:rPr>
          <w:rFonts w:ascii="Arial" w:eastAsia="Calibri" w:hAnsi="Arial" w:cs="Arial"/>
          <w:color w:val="000000" w:themeColor="text1"/>
          <w:sz w:val="22"/>
        </w:rPr>
      </w:pPr>
    </w:p>
    <w:p w14:paraId="09955A2E" w14:textId="77777777" w:rsidR="00434CB8" w:rsidRPr="006C15D5" w:rsidRDefault="00434CB8" w:rsidP="00BE1E33">
      <w:pPr>
        <w:rPr>
          <w:rFonts w:ascii="Arial" w:eastAsia="Calibri" w:hAnsi="Arial" w:cs="Arial"/>
          <w:color w:val="000000" w:themeColor="text1"/>
          <w:sz w:val="22"/>
        </w:rPr>
      </w:pPr>
    </w:p>
    <w:p w14:paraId="616C0381" w14:textId="02DE4DA7" w:rsidR="00206376" w:rsidRDefault="00206376" w:rsidP="00BE1E33">
      <w:pPr>
        <w:rPr>
          <w:rFonts w:ascii="Arial" w:eastAsia="Calibri" w:hAnsi="Arial" w:cs="Arial"/>
          <w:color w:val="000000" w:themeColor="text1"/>
          <w:sz w:val="22"/>
        </w:rPr>
      </w:pPr>
    </w:p>
    <w:p w14:paraId="3906E3D0" w14:textId="77777777" w:rsidR="00E37D48" w:rsidRDefault="00E37D48" w:rsidP="00E37D48">
      <w:pPr>
        <w:pStyle w:val="Textoindependiente"/>
        <w:ind w:left="4825"/>
        <w:rPr>
          <w:rFonts w:ascii="Times New Roman"/>
        </w:rPr>
      </w:pPr>
      <w:r>
        <w:rPr>
          <w:rFonts w:ascii="Times New Roman"/>
          <w:noProof/>
          <w:lang w:val="es-CO" w:eastAsia="es-CO"/>
        </w:rPr>
        <w:drawing>
          <wp:inline distT="0" distB="0" distL="0" distR="0" wp14:anchorId="08CDE15F" wp14:editId="5D4BB946">
            <wp:extent cx="2379945" cy="60883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585E6EEA" w14:textId="77777777" w:rsidR="00E37D48" w:rsidRDefault="00E37D48" w:rsidP="00E37D48">
      <w:pPr>
        <w:pStyle w:val="Textoindependiente"/>
        <w:spacing w:before="2"/>
        <w:rPr>
          <w:rFonts w:ascii="Times New Roman"/>
          <w:sz w:val="24"/>
        </w:rPr>
      </w:pPr>
    </w:p>
    <w:p w14:paraId="39D1E45F" w14:textId="77777777" w:rsidR="00E37D48" w:rsidRDefault="00E37D48" w:rsidP="00E37D48">
      <w:pPr>
        <w:spacing w:before="94"/>
        <w:ind w:right="533"/>
        <w:jc w:val="right"/>
        <w:rPr>
          <w:rFonts w:ascii="Arial"/>
          <w:b/>
          <w:sz w:val="20"/>
        </w:rPr>
      </w:pPr>
      <w:r>
        <w:rPr>
          <w:rFonts w:ascii="Arial"/>
          <w:b/>
          <w:color w:val="585858"/>
          <w:sz w:val="20"/>
        </w:rPr>
        <w:t>CCE-DES-FM-17</w:t>
      </w:r>
    </w:p>
    <w:p w14:paraId="4432D06D" w14:textId="77777777" w:rsidR="00E37D48" w:rsidRDefault="00E37D48" w:rsidP="00E37D48">
      <w:pPr>
        <w:pStyle w:val="Textoindependiente"/>
        <w:spacing w:before="3"/>
        <w:rPr>
          <w:b/>
          <w:sz w:val="12"/>
        </w:rPr>
      </w:pPr>
    </w:p>
    <w:p w14:paraId="6C72BD1D" w14:textId="77777777" w:rsidR="00E37D48" w:rsidRDefault="00E37D48" w:rsidP="00E37D48">
      <w:pPr>
        <w:pStyle w:val="Textoindependiente"/>
        <w:spacing w:before="93"/>
      </w:pPr>
      <w:r>
        <w:rPr>
          <w:color w:val="4E4D4D"/>
        </w:rPr>
        <w:t>Bogotá,</w:t>
      </w:r>
      <w:r>
        <w:rPr>
          <w:color w:val="4E4D4D"/>
          <w:spacing w:val="-2"/>
        </w:rPr>
        <w:t xml:space="preserve"> </w:t>
      </w:r>
      <w:r>
        <w:rPr>
          <w:color w:val="4E4D4D"/>
        </w:rPr>
        <w:t>17</w:t>
      </w:r>
      <w:r>
        <w:rPr>
          <w:color w:val="4E4D4D"/>
          <w:spacing w:val="-4"/>
        </w:rPr>
        <w:t xml:space="preserve"> </w:t>
      </w:r>
      <w:proofErr w:type="gramStart"/>
      <w:r>
        <w:rPr>
          <w:color w:val="4E4D4D"/>
        </w:rPr>
        <w:t>Agosto</w:t>
      </w:r>
      <w:proofErr w:type="gramEnd"/>
      <w:r>
        <w:rPr>
          <w:color w:val="4E4D4D"/>
          <w:spacing w:val="-4"/>
        </w:rPr>
        <w:t xml:space="preserve"> </w:t>
      </w:r>
      <w:r>
        <w:rPr>
          <w:color w:val="4E4D4D"/>
        </w:rPr>
        <w:t>2021</w:t>
      </w:r>
    </w:p>
    <w:p w14:paraId="2555A0CA" w14:textId="610623CC" w:rsidR="00206376" w:rsidRDefault="00206376" w:rsidP="00BE1E33">
      <w:pPr>
        <w:rPr>
          <w:rFonts w:ascii="Arial" w:eastAsia="Calibri" w:hAnsi="Arial" w:cs="Arial"/>
          <w:color w:val="000000" w:themeColor="text1"/>
          <w:sz w:val="22"/>
        </w:rPr>
      </w:pPr>
    </w:p>
    <w:p w14:paraId="64148925" w14:textId="3845013C" w:rsidR="00206376" w:rsidRDefault="00206376" w:rsidP="00BE1E33">
      <w:pPr>
        <w:rPr>
          <w:rFonts w:ascii="Arial" w:eastAsia="Calibri" w:hAnsi="Arial" w:cs="Arial"/>
          <w:color w:val="000000" w:themeColor="text1"/>
          <w:sz w:val="22"/>
        </w:rPr>
      </w:pPr>
    </w:p>
    <w:p w14:paraId="73D51859" w14:textId="27B5E0AF"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10ADBC56" w14:textId="77777777" w:rsidR="00DD2D2D" w:rsidRDefault="00434CB8"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Juan Felipe Restrepo Isaza </w:t>
      </w:r>
    </w:p>
    <w:p w14:paraId="77CECA2A" w14:textId="07795E4A" w:rsidR="00434CB8" w:rsidRPr="00434CB8" w:rsidRDefault="00434CB8" w:rsidP="00BE1E33">
      <w:pPr>
        <w:rPr>
          <w:rFonts w:ascii="Arial" w:eastAsia="Calibri" w:hAnsi="Arial" w:cs="Arial"/>
          <w:color w:val="000000" w:themeColor="text1"/>
          <w:sz w:val="22"/>
        </w:rPr>
      </w:pPr>
      <w:r w:rsidRPr="00434CB8">
        <w:rPr>
          <w:rFonts w:ascii="Arial" w:eastAsia="Calibri" w:hAnsi="Arial" w:cs="Arial"/>
          <w:color w:val="000000" w:themeColor="text1"/>
          <w:sz w:val="22"/>
        </w:rPr>
        <w:t>Andes</w:t>
      </w:r>
      <w:r w:rsidR="003149F9">
        <w:rPr>
          <w:rFonts w:ascii="Arial" w:eastAsia="Calibri" w:hAnsi="Arial" w:cs="Arial"/>
          <w:color w:val="000000" w:themeColor="text1"/>
          <w:sz w:val="22"/>
        </w:rPr>
        <w:t xml:space="preserve">, </w:t>
      </w:r>
      <w:r w:rsidRPr="00434CB8">
        <w:rPr>
          <w:rFonts w:ascii="Arial" w:eastAsia="Calibri" w:hAnsi="Arial" w:cs="Arial"/>
          <w:color w:val="000000" w:themeColor="text1"/>
          <w:sz w:val="22"/>
        </w:rPr>
        <w:t>Antioquia</w:t>
      </w:r>
    </w:p>
    <w:p w14:paraId="095BF112" w14:textId="0DF33157" w:rsidR="00BE1E33" w:rsidRPr="006C15D5" w:rsidRDefault="00BE1E33" w:rsidP="00BE1E33">
      <w:pPr>
        <w:rPr>
          <w:rFonts w:ascii="Arial" w:eastAsia="Calibri" w:hAnsi="Arial" w:cs="Arial"/>
          <w:color w:val="000000" w:themeColor="text1"/>
          <w:sz w:val="22"/>
        </w:rPr>
      </w:pPr>
    </w:p>
    <w:p w14:paraId="738DBA53" w14:textId="0BAD7C93" w:rsidR="00BE1E33" w:rsidRPr="006C15D5" w:rsidRDefault="00BE1E33" w:rsidP="00BE1E33">
      <w:pPr>
        <w:rPr>
          <w:rFonts w:ascii="Arial" w:eastAsia="Calibri" w:hAnsi="Arial" w:cs="Arial"/>
          <w:color w:val="000000" w:themeColor="text1"/>
          <w:sz w:val="22"/>
        </w:rPr>
      </w:pPr>
    </w:p>
    <w:p w14:paraId="5CEA4ADF" w14:textId="7495771E"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w:t>
      </w:r>
      <w:r w:rsidRPr="00DD2D2D">
        <w:rPr>
          <w:rFonts w:ascii="Arial" w:eastAsia="Calibri" w:hAnsi="Arial" w:cs="Arial"/>
          <w:b/>
          <w:color w:val="000000" w:themeColor="text1"/>
          <w:sz w:val="22"/>
        </w:rPr>
        <w:t xml:space="preserve">C </w:t>
      </w:r>
      <w:r w:rsidR="00490DBF" w:rsidRPr="00DD2D2D">
        <w:rPr>
          <w:rFonts w:ascii="Arial" w:eastAsia="Calibri" w:hAnsi="Arial" w:cs="Arial"/>
          <w:b/>
          <w:color w:val="000000" w:themeColor="text1"/>
          <w:sz w:val="22"/>
        </w:rPr>
        <w:t>–</w:t>
      </w:r>
      <w:r w:rsidRPr="00DD2D2D">
        <w:rPr>
          <w:rFonts w:ascii="Arial" w:eastAsia="Calibri" w:hAnsi="Arial" w:cs="Arial"/>
          <w:b/>
          <w:color w:val="000000" w:themeColor="text1"/>
          <w:sz w:val="22"/>
        </w:rPr>
        <w:t xml:space="preserve"> </w:t>
      </w:r>
      <w:r w:rsidR="00DD2D2D" w:rsidRPr="00DD2D2D">
        <w:rPr>
          <w:rFonts w:ascii="Arial" w:eastAsia="Calibri" w:hAnsi="Arial" w:cs="Arial"/>
          <w:b/>
          <w:color w:val="000000" w:themeColor="text1"/>
          <w:sz w:val="22"/>
        </w:rPr>
        <w:t>429 de 2021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4101BC">
        <w:tc>
          <w:tcPr>
            <w:tcW w:w="2689" w:type="dxa"/>
            <w:hideMark/>
          </w:tcPr>
          <w:p w14:paraId="7BC9E971"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71E489BB" w:rsidR="00BE1E33" w:rsidRPr="006C15D5" w:rsidRDefault="00B372E7" w:rsidP="00954F93">
            <w:pPr>
              <w:pStyle w:val="Textoindependiente"/>
              <w:jc w:val="both"/>
              <w:rPr>
                <w:rFonts w:eastAsia="Calibri"/>
                <w:color w:val="000000" w:themeColor="text1"/>
              </w:rPr>
            </w:pPr>
            <w:r w:rsidRPr="00B372E7">
              <w:rPr>
                <w:bCs/>
              </w:rPr>
              <w:t>EXPERIENCIA SOCIEDADES – Régimen jurídico – Registro único de proponentes</w:t>
            </w:r>
            <w:r w:rsidR="00A820C1">
              <w:rPr>
                <w:bCs/>
              </w:rPr>
              <w:t xml:space="preserve"> </w:t>
            </w:r>
            <w:r w:rsidRPr="00B372E7">
              <w:rPr>
                <w:bCs/>
              </w:rPr>
              <w:t xml:space="preserve">/ PERSONA NATURAL </w:t>
            </w:r>
            <w:r w:rsidRPr="00B372E7">
              <w:t>–</w:t>
            </w:r>
            <w:r w:rsidRPr="00B372E7">
              <w:rPr>
                <w:bCs/>
              </w:rPr>
              <w:t xml:space="preserve"> Experiencia </w:t>
            </w:r>
            <w:r w:rsidRPr="00B372E7">
              <w:t xml:space="preserve">– </w:t>
            </w:r>
            <w:r w:rsidRPr="00B372E7">
              <w:rPr>
                <w:bCs/>
              </w:rPr>
              <w:t xml:space="preserve">Certificados de experiencia/ SOCIEDADES NUEVAS </w:t>
            </w:r>
            <w:r w:rsidRPr="00B372E7">
              <w:t>–</w:t>
            </w:r>
            <w:r w:rsidRPr="00B372E7">
              <w:rPr>
                <w:bCs/>
              </w:rPr>
              <w:t xml:space="preserve"> Certificados de experiencia </w:t>
            </w:r>
            <w:r w:rsidRPr="00B372E7">
              <w:t>–</w:t>
            </w:r>
            <w:r w:rsidRPr="00B372E7">
              <w:rPr>
                <w:bCs/>
              </w:rPr>
              <w:t xml:space="preserve"> Experiencia</w:t>
            </w:r>
            <w:r w:rsidR="00A820C1">
              <w:rPr>
                <w:bCs/>
              </w:rPr>
              <w:t xml:space="preserve"> </w:t>
            </w:r>
            <w:r w:rsidRPr="00B372E7">
              <w:rPr>
                <w:bCs/>
              </w:rPr>
              <w:t>/ SOCIEDADES NUEVAS – Experiencia – Socios – Transferencia experiencia socios – Fomento de participación – Desarrollo empresarial</w:t>
            </w:r>
            <w:r w:rsidR="00A820C1">
              <w:rPr>
                <w:bCs/>
              </w:rPr>
              <w:t xml:space="preserve"> </w:t>
            </w:r>
            <w:r w:rsidRPr="00B372E7">
              <w:rPr>
                <w:bCs/>
              </w:rPr>
              <w:t xml:space="preserve">/ EXPERIENCIA </w:t>
            </w:r>
            <w:r w:rsidRPr="00B372E7">
              <w:t>–</w:t>
            </w:r>
            <w:r w:rsidRPr="00B372E7">
              <w:rPr>
                <w:bCs/>
              </w:rPr>
              <w:t xml:space="preserve"> Inherente </w:t>
            </w:r>
            <w:r w:rsidRPr="00B372E7">
              <w:t>–</w:t>
            </w:r>
            <w:r w:rsidRPr="00B372E7">
              <w:rPr>
                <w:bCs/>
              </w:rPr>
              <w:t xml:space="preserve"> Intransferible</w:t>
            </w:r>
            <w:r w:rsidR="00A820C1">
              <w:rPr>
                <w:bCs/>
              </w:rPr>
              <w:t xml:space="preserve"> </w:t>
            </w:r>
            <w:r w:rsidRPr="00B372E7">
              <w:rPr>
                <w:bCs/>
              </w:rPr>
              <w:t xml:space="preserve">/ SOCIEDADES NUEVAS – Concepto unificado – Inscripción </w:t>
            </w:r>
            <w:r w:rsidRPr="00B372E7">
              <w:t xml:space="preserve">– Obligatoriedad </w:t>
            </w:r>
            <w:r w:rsidRPr="00B372E7">
              <w:rPr>
                <w:bCs/>
              </w:rPr>
              <w:t>– Registro único de proponentes – Conservación experiencia</w:t>
            </w:r>
            <w:r w:rsidR="00A820C1">
              <w:rPr>
                <w:bCs/>
              </w:rPr>
              <w:t xml:space="preserve"> </w:t>
            </w:r>
            <w:r w:rsidRPr="00B372E7">
              <w:rPr>
                <w:bCs/>
              </w:rPr>
              <w:t xml:space="preserve">/ SOCIEDADES NUEVAS </w:t>
            </w:r>
            <w:r w:rsidRPr="00B372E7">
              <w:t>–</w:t>
            </w:r>
            <w:r w:rsidRPr="00B372E7">
              <w:rPr>
                <w:bCs/>
              </w:rPr>
              <w:t xml:space="preserve"> Circular Única Superintendencia de Industria y Comercio </w:t>
            </w:r>
            <w:r w:rsidRPr="00B372E7">
              <w:t>–</w:t>
            </w:r>
            <w:r w:rsidRPr="00B372E7">
              <w:rPr>
                <w:bCs/>
              </w:rPr>
              <w:t xml:space="preserve"> Documentos </w:t>
            </w:r>
            <w:r w:rsidRPr="00B372E7">
              <w:t xml:space="preserve">– </w:t>
            </w:r>
            <w:r w:rsidRPr="00B372E7">
              <w:rPr>
                <w:bCs/>
              </w:rPr>
              <w:t>Vigencia</w:t>
            </w:r>
            <w:r>
              <w:rPr>
                <w:bCs/>
              </w:rPr>
              <w:t>.</w:t>
            </w:r>
            <w:r w:rsidRPr="00B372E7">
              <w:rPr>
                <w:bCs/>
              </w:rPr>
              <w:t xml:space="preserve"> </w:t>
            </w:r>
          </w:p>
        </w:tc>
      </w:tr>
      <w:tr w:rsidR="003F6D32" w:rsidRPr="003F6D32" w14:paraId="20F2A3B6" w14:textId="77777777" w:rsidTr="004101BC">
        <w:tc>
          <w:tcPr>
            <w:tcW w:w="2689" w:type="dxa"/>
          </w:tcPr>
          <w:p w14:paraId="1E82F4FA" w14:textId="77777777" w:rsidR="00BE1E33" w:rsidRPr="006C15D5" w:rsidRDefault="00BE1E33" w:rsidP="004101BC">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4A86F687" w:rsidR="00BE1E33" w:rsidRPr="006C15D5" w:rsidRDefault="00BE1E33">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825237">
              <w:rPr>
                <w:rFonts w:ascii="Arial" w:eastAsia="Calibri" w:hAnsi="Arial" w:cs="Arial"/>
                <w:color w:val="000000" w:themeColor="text1"/>
                <w:sz w:val="22"/>
              </w:rPr>
              <w:t>P20210702</w:t>
            </w:r>
            <w:r w:rsidR="00482238">
              <w:rPr>
                <w:rFonts w:ascii="Arial" w:eastAsia="Calibri" w:hAnsi="Arial" w:cs="Arial"/>
                <w:color w:val="000000" w:themeColor="text1"/>
                <w:sz w:val="22"/>
              </w:rPr>
              <w:t>005830</w:t>
            </w:r>
          </w:p>
        </w:tc>
      </w:tr>
      <w:tr w:rsidR="00770D7D" w:rsidRPr="003F6D32" w14:paraId="27C2F130" w14:textId="77777777" w:rsidTr="004101BC">
        <w:tc>
          <w:tcPr>
            <w:tcW w:w="2689" w:type="dxa"/>
          </w:tcPr>
          <w:p w14:paraId="2CAB0965" w14:textId="77777777" w:rsidR="00770D7D" w:rsidRPr="006C15D5"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4101BC">
            <w:pPr>
              <w:spacing w:before="120"/>
              <w:jc w:val="both"/>
              <w:rPr>
                <w:rFonts w:ascii="Arial" w:eastAsia="Calibri" w:hAnsi="Arial" w:cs="Arial"/>
                <w:color w:val="000000" w:themeColor="text1"/>
                <w:sz w:val="22"/>
              </w:rPr>
            </w:pPr>
          </w:p>
        </w:tc>
      </w:tr>
    </w:tbl>
    <w:p w14:paraId="1B40B11C" w14:textId="277D24CD" w:rsidR="00482238" w:rsidRPr="003149F9" w:rsidRDefault="00482238" w:rsidP="00954F93">
      <w:pPr>
        <w:spacing w:line="276" w:lineRule="auto"/>
        <w:jc w:val="both"/>
        <w:rPr>
          <w:rFonts w:ascii="Arial" w:eastAsia="Calibri" w:hAnsi="Arial" w:cs="Arial"/>
          <w:color w:val="000000" w:themeColor="text1"/>
          <w:sz w:val="22"/>
        </w:rPr>
      </w:pPr>
      <w:r w:rsidRPr="003149F9">
        <w:rPr>
          <w:rFonts w:ascii="Arial" w:eastAsia="Calibri" w:hAnsi="Arial" w:cs="Arial"/>
          <w:color w:val="000000" w:themeColor="text1"/>
          <w:sz w:val="22"/>
        </w:rPr>
        <w:t>Estimado Señor Restrepo,</w:t>
      </w:r>
    </w:p>
    <w:p w14:paraId="18285183" w14:textId="77777777" w:rsidR="00955ADE" w:rsidRDefault="00955ADE" w:rsidP="003149F9">
      <w:pPr>
        <w:spacing w:line="276" w:lineRule="auto"/>
        <w:jc w:val="both"/>
        <w:rPr>
          <w:rFonts w:ascii="Arial" w:eastAsia="Calibri" w:hAnsi="Arial" w:cs="Arial"/>
          <w:color w:val="000000" w:themeColor="text1"/>
          <w:sz w:val="22"/>
        </w:rPr>
      </w:pPr>
    </w:p>
    <w:p w14:paraId="30D6E3AD" w14:textId="65375E44" w:rsidR="00482238" w:rsidRPr="003149F9" w:rsidRDefault="00482238">
      <w:pPr>
        <w:spacing w:line="276" w:lineRule="auto"/>
        <w:jc w:val="both"/>
        <w:rPr>
          <w:rFonts w:ascii="Arial" w:eastAsia="Calibri" w:hAnsi="Arial" w:cs="Arial"/>
          <w:color w:val="000000" w:themeColor="text1"/>
          <w:sz w:val="22"/>
        </w:rPr>
      </w:pPr>
      <w:r w:rsidRPr="003149F9">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−Colombia Compra Eficiente− responde su consulta del 24 de marzo de 2020. </w:t>
      </w:r>
    </w:p>
    <w:p w14:paraId="56AAF676" w14:textId="77777777" w:rsidR="00434CB8" w:rsidRPr="00954F93" w:rsidRDefault="00434CB8" w:rsidP="00954F93">
      <w:pPr>
        <w:pStyle w:val="Textoindependiente"/>
        <w:spacing w:before="2" w:line="276" w:lineRule="auto"/>
      </w:pPr>
    </w:p>
    <w:p w14:paraId="60FA3410" w14:textId="77777777" w:rsidR="00314B04" w:rsidRPr="003149F9" w:rsidRDefault="00314B04" w:rsidP="00954F93">
      <w:pPr>
        <w:pStyle w:val="Ttulo1"/>
        <w:numPr>
          <w:ilvl w:val="0"/>
          <w:numId w:val="6"/>
        </w:numPr>
        <w:tabs>
          <w:tab w:val="left" w:pos="426"/>
        </w:tabs>
        <w:spacing w:before="1" w:line="276" w:lineRule="auto"/>
        <w:ind w:left="357" w:hanging="357"/>
        <w:jc w:val="both"/>
      </w:pPr>
      <w:r w:rsidRPr="003149F9">
        <w:t>Problema</w:t>
      </w:r>
      <w:r w:rsidRPr="003149F9">
        <w:rPr>
          <w:spacing w:val="-2"/>
        </w:rPr>
        <w:t xml:space="preserve"> </w:t>
      </w:r>
      <w:r w:rsidRPr="003149F9">
        <w:t>planteado</w:t>
      </w:r>
    </w:p>
    <w:p w14:paraId="79AC26A5" w14:textId="52934DC1" w:rsidR="00314B04" w:rsidRPr="003149F9" w:rsidRDefault="00314B04" w:rsidP="00954F93">
      <w:pPr>
        <w:pStyle w:val="Textoindependiente"/>
        <w:spacing w:before="7" w:line="276" w:lineRule="auto"/>
        <w:jc w:val="both"/>
        <w:rPr>
          <w:b/>
        </w:rPr>
      </w:pPr>
    </w:p>
    <w:p w14:paraId="781ACD56" w14:textId="713FDEC9" w:rsidR="00875763" w:rsidRPr="003149F9" w:rsidRDefault="00F37EC4" w:rsidP="00954F93">
      <w:pPr>
        <w:autoSpaceDE w:val="0"/>
        <w:autoSpaceDN w:val="0"/>
        <w:adjustRightInd w:val="0"/>
        <w:spacing w:line="276" w:lineRule="auto"/>
        <w:jc w:val="both"/>
        <w:rPr>
          <w:rFonts w:ascii="Arial" w:hAnsi="Arial" w:cs="Arial"/>
          <w:sz w:val="22"/>
          <w:lang w:val="es-CO"/>
        </w:rPr>
      </w:pPr>
      <w:r>
        <w:rPr>
          <w:rFonts w:ascii="Arial" w:hAnsi="Arial" w:cs="Arial"/>
          <w:sz w:val="22"/>
          <w:lang w:val="es-CO"/>
        </w:rPr>
        <w:t xml:space="preserve">Usted realiza petición </w:t>
      </w:r>
      <w:r w:rsidR="00782982">
        <w:rPr>
          <w:rFonts w:ascii="Arial" w:hAnsi="Arial" w:cs="Arial"/>
          <w:sz w:val="22"/>
          <w:lang w:val="es-CO"/>
        </w:rPr>
        <w:t xml:space="preserve">de consulta en la que solicita </w:t>
      </w:r>
      <w:r w:rsidR="00783CFC">
        <w:rPr>
          <w:rFonts w:ascii="Arial" w:hAnsi="Arial" w:cs="Arial"/>
          <w:sz w:val="22"/>
          <w:lang w:val="es-CO"/>
        </w:rPr>
        <w:t>que esta Agencia</w:t>
      </w:r>
      <w:r w:rsidR="005861E7">
        <w:rPr>
          <w:rFonts w:ascii="Arial" w:hAnsi="Arial" w:cs="Arial"/>
          <w:sz w:val="22"/>
          <w:lang w:val="es-CO"/>
        </w:rPr>
        <w:t>:</w:t>
      </w:r>
      <w:r w:rsidR="00783CFC">
        <w:rPr>
          <w:rFonts w:ascii="Arial" w:hAnsi="Arial" w:cs="Arial"/>
          <w:sz w:val="22"/>
          <w:lang w:val="es-CO"/>
        </w:rPr>
        <w:t xml:space="preserve"> </w:t>
      </w:r>
      <w:r w:rsidR="00434CB8" w:rsidRPr="00954F93">
        <w:rPr>
          <w:rFonts w:ascii="Arial" w:hAnsi="Arial" w:cs="Arial"/>
          <w:sz w:val="22"/>
        </w:rPr>
        <w:t>«</w:t>
      </w:r>
      <w:r w:rsidR="005861E7">
        <w:rPr>
          <w:rFonts w:ascii="Arial" w:hAnsi="Arial" w:cs="Arial"/>
          <w:sz w:val="22"/>
        </w:rPr>
        <w:t>[…]</w:t>
      </w:r>
      <w:r w:rsidR="00875763" w:rsidRPr="003149F9">
        <w:rPr>
          <w:rFonts w:ascii="Arial" w:hAnsi="Arial" w:cs="Arial"/>
          <w:sz w:val="22"/>
          <w:lang w:val="es-CO"/>
        </w:rPr>
        <w:t xml:space="preserve"> indique el alcance de la experiencia</w:t>
      </w:r>
      <w:r w:rsidR="005357D1" w:rsidRPr="003149F9">
        <w:rPr>
          <w:rFonts w:ascii="Arial" w:hAnsi="Arial" w:cs="Arial"/>
          <w:sz w:val="22"/>
          <w:lang w:val="es-CO"/>
        </w:rPr>
        <w:t xml:space="preserve"> </w:t>
      </w:r>
      <w:r w:rsidR="00875763" w:rsidRPr="003149F9">
        <w:rPr>
          <w:rFonts w:ascii="Arial" w:hAnsi="Arial" w:cs="Arial"/>
          <w:sz w:val="22"/>
          <w:lang w:val="es-CO"/>
        </w:rPr>
        <w:t>otorgada por un accionista de la empresa en los primeros 3 años de</w:t>
      </w:r>
      <w:r w:rsidR="005357D1" w:rsidRPr="003149F9">
        <w:rPr>
          <w:rFonts w:ascii="Arial" w:hAnsi="Arial" w:cs="Arial"/>
          <w:sz w:val="22"/>
          <w:lang w:val="es-CO"/>
        </w:rPr>
        <w:t xml:space="preserve"> </w:t>
      </w:r>
      <w:r w:rsidR="00875763" w:rsidRPr="003149F9">
        <w:rPr>
          <w:rFonts w:ascii="Arial" w:hAnsi="Arial" w:cs="Arial"/>
          <w:sz w:val="22"/>
          <w:lang w:val="es-CO"/>
        </w:rPr>
        <w:t>constitución</w:t>
      </w:r>
      <w:r w:rsidR="00434CB8" w:rsidRPr="00954F93">
        <w:rPr>
          <w:rFonts w:ascii="Arial" w:hAnsi="Arial" w:cs="Arial"/>
          <w:sz w:val="22"/>
        </w:rPr>
        <w:t>»</w:t>
      </w:r>
      <w:r w:rsidR="00875763" w:rsidRPr="003149F9">
        <w:rPr>
          <w:rFonts w:ascii="Arial" w:hAnsi="Arial" w:cs="Arial"/>
          <w:sz w:val="22"/>
          <w:lang w:val="es-CO"/>
        </w:rPr>
        <w:t>.</w:t>
      </w:r>
    </w:p>
    <w:p w14:paraId="176AD0E1" w14:textId="77777777" w:rsidR="00314B04" w:rsidRPr="005B6E41" w:rsidRDefault="00314B04" w:rsidP="00954F93">
      <w:pPr>
        <w:pStyle w:val="Textoindependiente"/>
        <w:spacing w:line="278" w:lineRule="auto"/>
        <w:ind w:right="311"/>
        <w:jc w:val="both"/>
      </w:pPr>
    </w:p>
    <w:p w14:paraId="77DC0973" w14:textId="77777777" w:rsidR="00314B04" w:rsidRPr="005B6E41" w:rsidRDefault="00314B04" w:rsidP="00954F93">
      <w:pPr>
        <w:pStyle w:val="Ttulo1"/>
        <w:numPr>
          <w:ilvl w:val="0"/>
          <w:numId w:val="6"/>
        </w:numPr>
        <w:tabs>
          <w:tab w:val="left" w:pos="65"/>
        </w:tabs>
        <w:spacing w:line="249" w:lineRule="exact"/>
        <w:ind w:left="363" w:hanging="363"/>
      </w:pPr>
      <w:r w:rsidRPr="005B6E41">
        <w:lastRenderedPageBreak/>
        <w:t>Consideraciones</w:t>
      </w:r>
    </w:p>
    <w:p w14:paraId="4F636614" w14:textId="7A4DC04D" w:rsidR="00314B04" w:rsidRDefault="00314B04" w:rsidP="003149F9">
      <w:pPr>
        <w:pStyle w:val="Textoindependiente"/>
        <w:spacing w:before="8"/>
        <w:rPr>
          <w:b/>
        </w:rPr>
      </w:pPr>
    </w:p>
    <w:p w14:paraId="13D753D8" w14:textId="67620AF1" w:rsidR="00955ADE" w:rsidRDefault="00955ADE" w:rsidP="00954F93">
      <w:pPr>
        <w:pStyle w:val="Textoindependiente"/>
        <w:spacing w:before="8" w:line="276" w:lineRule="auto"/>
        <w:jc w:val="both"/>
        <w:rPr>
          <w:b/>
        </w:rPr>
      </w:pPr>
      <w:r w:rsidRPr="00254E6E">
        <w:rPr>
          <w:rFonts w:eastAsia="Calibri"/>
        </w:rPr>
        <w:t xml:space="preserve">La Agencia Nacional de Contratación Pública </w:t>
      </w:r>
      <w:r>
        <w:rPr>
          <w:rFonts w:eastAsia="Calibri"/>
        </w:rPr>
        <w:softHyphen/>
        <w:t>–</w:t>
      </w:r>
      <w:r w:rsidRPr="00254E6E">
        <w:rPr>
          <w:rFonts w:eastAsia="Calibri"/>
        </w:rPr>
        <w:t>Colombia Compra Eficiente</w:t>
      </w:r>
      <w:r>
        <w:rPr>
          <w:rFonts w:eastAsia="Calibri"/>
        </w:rPr>
        <w:t>–</w:t>
      </w:r>
      <w:r w:rsidRPr="00254E6E">
        <w:rPr>
          <w:rFonts w:eastAsia="Calibri"/>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eastAsia="Calibri"/>
        </w:rPr>
        <w:t>,</w:t>
      </w:r>
      <w:r w:rsidRPr="00254E6E">
        <w:rPr>
          <w:rFonts w:eastAsia="Calibri"/>
        </w:rPr>
        <w:t xml:space="preserve"> C-710 del 9 de diciembre de 2020,</w:t>
      </w:r>
      <w:r>
        <w:rPr>
          <w:rFonts w:eastAsia="Calibri"/>
        </w:rPr>
        <w:t xml:space="preserve"> C-729 del 11 de diciembre de 2020,   C-103 del 24 de marzo de 2021,</w:t>
      </w:r>
      <w:r w:rsidRPr="00254E6E">
        <w:rPr>
          <w:rFonts w:eastAsia="Calibri"/>
        </w:rPr>
        <w:t xml:space="preserve"> </w:t>
      </w:r>
      <w:r w:rsidRPr="00E55B79">
        <w:rPr>
          <w:rFonts w:eastAsia="Calibri"/>
        </w:rPr>
        <w:t xml:space="preserve">C-249 de </w:t>
      </w:r>
      <w:r>
        <w:rPr>
          <w:rFonts w:eastAsia="Calibri"/>
        </w:rPr>
        <w:t xml:space="preserve">1 de junio de </w:t>
      </w:r>
      <w:r w:rsidRPr="00E55B79">
        <w:rPr>
          <w:rFonts w:eastAsia="Calibri"/>
        </w:rPr>
        <w:t>2021, C-326 del 2</w:t>
      </w:r>
      <w:r>
        <w:rPr>
          <w:rFonts w:eastAsia="Calibri"/>
        </w:rPr>
        <w:t xml:space="preserve"> de julio de </w:t>
      </w:r>
      <w:r w:rsidRPr="00E55B79">
        <w:rPr>
          <w:rFonts w:eastAsia="Calibri"/>
        </w:rPr>
        <w:t>202</w:t>
      </w:r>
      <w:r>
        <w:rPr>
          <w:rFonts w:eastAsia="Calibri"/>
        </w:rPr>
        <w:t xml:space="preserve">1, </w:t>
      </w:r>
      <w:r w:rsidRPr="00E55B79">
        <w:rPr>
          <w:rFonts w:eastAsia="Calibri"/>
        </w:rPr>
        <w:t xml:space="preserve"> C-358 del 19</w:t>
      </w:r>
      <w:r>
        <w:rPr>
          <w:rFonts w:eastAsia="Calibri"/>
        </w:rPr>
        <w:t xml:space="preserve"> de julio de </w:t>
      </w:r>
      <w:r w:rsidRPr="00E55B79">
        <w:rPr>
          <w:rFonts w:eastAsia="Calibri"/>
        </w:rPr>
        <w:t>2021</w:t>
      </w:r>
      <w:r>
        <w:rPr>
          <w:rFonts w:eastAsia="Calibri"/>
        </w:rPr>
        <w:t xml:space="preserve">, C-405 y C-415 del 10 de agosto de 2021, </w:t>
      </w:r>
      <w:r w:rsidRPr="00254E6E">
        <w:rPr>
          <w:rFonts w:eastAsia="Calibri"/>
        </w:rPr>
        <w:t>estudió la acreditación de la experiencia de los socios por una sociedad nueva con menos de 3 años de constitución</w:t>
      </w:r>
      <w:r w:rsidRPr="00254E6E">
        <w:rPr>
          <w:rStyle w:val="Refdenotaalpie"/>
          <w:rFonts w:eastAsia="Calibri"/>
        </w:rPr>
        <w:footnoteReference w:id="1"/>
      </w:r>
      <w:r w:rsidRPr="00254E6E">
        <w:rPr>
          <w:rFonts w:eastAsia="Calibri"/>
        </w:rPr>
        <w:t xml:space="preserve">. </w:t>
      </w:r>
      <w:r>
        <w:rPr>
          <w:rFonts w:eastAsia="Calibri"/>
        </w:rPr>
        <w:t>Los argumentos expuestos se reiteran a continuación.</w:t>
      </w:r>
    </w:p>
    <w:p w14:paraId="19583125" w14:textId="77777777" w:rsidR="00955ADE" w:rsidRPr="00954F93" w:rsidRDefault="00955ADE">
      <w:pPr>
        <w:pStyle w:val="Textoindependiente"/>
        <w:spacing w:before="8"/>
        <w:rPr>
          <w:b/>
        </w:rPr>
      </w:pPr>
    </w:p>
    <w:p w14:paraId="27794E9C" w14:textId="77777777" w:rsidR="00235A4A" w:rsidRPr="00797AF9" w:rsidRDefault="00235A4A" w:rsidP="00235A4A">
      <w:pPr>
        <w:spacing w:line="276" w:lineRule="auto"/>
        <w:jc w:val="both"/>
        <w:rPr>
          <w:rFonts w:ascii="Arial" w:eastAsia="Calibri" w:hAnsi="Arial" w:cs="Arial"/>
          <w:b/>
          <w:bCs/>
          <w:sz w:val="22"/>
        </w:rPr>
      </w:pPr>
      <w:r w:rsidRPr="00797AF9">
        <w:rPr>
          <w:rFonts w:ascii="Arial" w:eastAsia="Calibri" w:hAnsi="Arial" w:cs="Arial"/>
          <w:b/>
          <w:bCs/>
          <w:sz w:val="22"/>
        </w:rPr>
        <w:t>2.</w:t>
      </w:r>
      <w:r>
        <w:rPr>
          <w:rFonts w:ascii="Arial" w:eastAsia="Calibri" w:hAnsi="Arial" w:cs="Arial"/>
          <w:b/>
          <w:bCs/>
          <w:sz w:val="22"/>
        </w:rPr>
        <w:t>1</w:t>
      </w:r>
      <w:r w:rsidRPr="00797AF9">
        <w:rPr>
          <w:rFonts w:ascii="Arial" w:eastAsia="Calibri" w:hAnsi="Arial" w:cs="Arial"/>
          <w:b/>
          <w:bCs/>
          <w:sz w:val="22"/>
        </w:rPr>
        <w:t>. Consideraciones de la Agencia respecto de la experiencia</w:t>
      </w:r>
    </w:p>
    <w:p w14:paraId="73C98844" w14:textId="77777777" w:rsidR="00235A4A" w:rsidRPr="00797AF9" w:rsidRDefault="00235A4A" w:rsidP="00235A4A">
      <w:pPr>
        <w:spacing w:line="276" w:lineRule="auto"/>
        <w:jc w:val="both"/>
        <w:rPr>
          <w:rFonts w:ascii="Arial" w:eastAsia="Calibri" w:hAnsi="Arial" w:cs="Arial"/>
          <w:b/>
          <w:bCs/>
          <w:sz w:val="22"/>
        </w:rPr>
      </w:pPr>
    </w:p>
    <w:p w14:paraId="157D917E" w14:textId="7F6434DC" w:rsidR="00235A4A" w:rsidRPr="00797AF9" w:rsidRDefault="00235A4A" w:rsidP="00235A4A">
      <w:pPr>
        <w:spacing w:line="276" w:lineRule="auto"/>
        <w:jc w:val="both"/>
        <w:rPr>
          <w:rFonts w:ascii="Arial" w:eastAsia="Calibri" w:hAnsi="Arial" w:cs="Arial"/>
          <w:sz w:val="22"/>
        </w:rPr>
      </w:pPr>
      <w:r w:rsidRPr="00797AF9">
        <w:rPr>
          <w:rFonts w:ascii="Arial" w:eastAsia="Calibri" w:hAnsi="Arial" w:cs="Arial"/>
          <w:sz w:val="22"/>
        </w:rPr>
        <w:t>La Agencia Nacional de Contratación Pública –Colombia Compra Eficiente</w:t>
      </w:r>
      <w:r w:rsidR="00A820C1" w:rsidRPr="00797AF9">
        <w:rPr>
          <w:rFonts w:ascii="Arial" w:eastAsia="Calibri" w:hAnsi="Arial" w:cs="Arial"/>
          <w:sz w:val="22"/>
        </w:rPr>
        <w:t>–</w:t>
      </w:r>
      <w:r w:rsidRPr="00797AF9">
        <w:rPr>
          <w:rFonts w:ascii="Arial" w:eastAsia="Calibri" w:hAnsi="Arial" w:cs="Arial"/>
          <w:sz w:val="22"/>
        </w:rPr>
        <w:t xml:space="preserve"> puso a disposición de los interesados del Sistema de Compra Pública el </w:t>
      </w:r>
      <w:r w:rsidR="00675742">
        <w:rPr>
          <w:rFonts w:ascii="Arial" w:eastAsia="Calibri" w:hAnsi="Arial" w:cs="Arial"/>
          <w:sz w:val="22"/>
        </w:rPr>
        <w:t>«</w:t>
      </w:r>
      <w:r w:rsidRPr="00675DCE">
        <w:rPr>
          <w:rFonts w:ascii="Arial" w:eastAsia="Calibri" w:hAnsi="Arial" w:cs="Arial"/>
          <w:i/>
          <w:iCs/>
          <w:sz w:val="22"/>
        </w:rPr>
        <w:t>Manual para determinar y verificar requisitos habilitantes en los procesos de contratación</w:t>
      </w:r>
      <w:r w:rsidR="00675742">
        <w:rPr>
          <w:rFonts w:ascii="Arial" w:eastAsia="Calibri" w:hAnsi="Arial" w:cs="Arial"/>
          <w:i/>
          <w:iCs/>
          <w:sz w:val="22"/>
        </w:rPr>
        <w:t>»</w:t>
      </w:r>
      <w:r w:rsidRPr="00797AF9">
        <w:rPr>
          <w:rFonts w:ascii="Arial" w:eastAsia="Calibri" w:hAnsi="Arial" w:cs="Arial"/>
          <w:sz w:val="22"/>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797AF9">
        <w:rPr>
          <w:rStyle w:val="Refdenotaalpie"/>
          <w:rFonts w:ascii="Arial" w:eastAsia="Calibri" w:hAnsi="Arial" w:cs="Arial"/>
          <w:sz w:val="22"/>
        </w:rPr>
        <w:footnoteReference w:id="2"/>
      </w:r>
      <w:r w:rsidRPr="00797AF9">
        <w:rPr>
          <w:rFonts w:ascii="Arial" w:eastAsia="Calibri" w:hAnsi="Arial" w:cs="Arial"/>
          <w:sz w:val="22"/>
        </w:rPr>
        <w:t>.</w:t>
      </w:r>
    </w:p>
    <w:p w14:paraId="0D433AC3" w14:textId="77777777" w:rsidR="00235A4A" w:rsidRPr="00797AF9" w:rsidRDefault="00235A4A" w:rsidP="00235A4A">
      <w:pPr>
        <w:spacing w:before="120" w:after="120" w:line="276" w:lineRule="auto"/>
        <w:ind w:firstLine="708"/>
        <w:jc w:val="both"/>
        <w:rPr>
          <w:rFonts w:ascii="Arial" w:eastAsia="Calibri" w:hAnsi="Arial" w:cs="Arial"/>
          <w:sz w:val="22"/>
        </w:rPr>
      </w:pPr>
      <w:r w:rsidRPr="00797AF9">
        <w:rPr>
          <w:rFonts w:ascii="Arial" w:eastAsia="Calibri" w:hAnsi="Arial" w:cs="Arial"/>
          <w:sz w:val="22"/>
        </w:rPr>
        <w:lastRenderedPageBreak/>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6731EFDA" w14:textId="77777777" w:rsidR="00235A4A" w:rsidRPr="00797AF9" w:rsidRDefault="00235A4A" w:rsidP="00235A4A">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01CB7410" w14:textId="77777777" w:rsidR="00235A4A" w:rsidRPr="00797AF9" w:rsidRDefault="00235A4A" w:rsidP="00235A4A">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i) La experiencia es </w:t>
      </w:r>
      <w:r w:rsidRPr="00797AF9">
        <w:rPr>
          <w:rFonts w:ascii="Arial" w:eastAsia="Calibri" w:hAnsi="Arial" w:cs="Arial"/>
          <w:i/>
          <w:iCs/>
          <w:sz w:val="22"/>
        </w:rPr>
        <w:t>personal</w:t>
      </w:r>
      <w:r w:rsidRPr="00797AF9">
        <w:rPr>
          <w:rFonts w:ascii="Arial" w:eastAsia="Calibri" w:hAnsi="Arial" w:cs="Arial"/>
          <w:sz w:val="22"/>
        </w:rPr>
        <w:t>, esto es, se adquiere participando, directa o indirectamente, sin que sea posible no hacerlo y tener experiencia.</w:t>
      </w:r>
    </w:p>
    <w:p w14:paraId="75303292" w14:textId="77777777" w:rsidR="00235A4A" w:rsidRPr="00797AF9" w:rsidRDefault="00235A4A" w:rsidP="00235A4A">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ii) La experiencia se puede </w:t>
      </w:r>
      <w:r w:rsidRPr="00797AF9">
        <w:rPr>
          <w:rFonts w:ascii="Arial" w:eastAsia="Calibri" w:hAnsi="Arial" w:cs="Arial"/>
          <w:i/>
          <w:iCs/>
          <w:sz w:val="22"/>
        </w:rPr>
        <w:t>compartir</w:t>
      </w:r>
      <w:r w:rsidRPr="00797AF9">
        <w:rPr>
          <w:rFonts w:ascii="Arial" w:eastAsia="Calibri" w:hAnsi="Arial" w:cs="Arial"/>
          <w:sz w:val="22"/>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797AF9">
        <w:rPr>
          <w:rStyle w:val="Refdenotaalpie"/>
          <w:rFonts w:ascii="Arial" w:eastAsia="Calibri" w:hAnsi="Arial" w:cs="Arial"/>
          <w:sz w:val="22"/>
        </w:rPr>
        <w:footnoteReference w:id="3"/>
      </w:r>
      <w:r w:rsidRPr="00797AF9">
        <w:rPr>
          <w:rFonts w:ascii="Arial" w:eastAsia="Calibri" w:hAnsi="Arial" w:cs="Arial"/>
          <w:sz w:val="22"/>
        </w:rPr>
        <w:t>.</w:t>
      </w:r>
    </w:p>
    <w:p w14:paraId="5511040D" w14:textId="77777777" w:rsidR="00235A4A" w:rsidRPr="00797AF9" w:rsidRDefault="00235A4A" w:rsidP="00235A4A">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iii) La experiencia se puede </w:t>
      </w:r>
      <w:r w:rsidRPr="00797AF9">
        <w:rPr>
          <w:rFonts w:ascii="Arial" w:eastAsia="Calibri" w:hAnsi="Arial" w:cs="Arial"/>
          <w:i/>
          <w:iCs/>
          <w:sz w:val="22"/>
        </w:rPr>
        <w:t>transferir</w:t>
      </w:r>
      <w:r w:rsidRPr="00797AF9">
        <w:rPr>
          <w:rFonts w:ascii="Arial" w:eastAsia="Calibri" w:hAnsi="Arial" w:cs="Arial"/>
          <w:sz w:val="22"/>
        </w:rPr>
        <w:t>, y esto es diferente a compartir, lo que implica que la experiencia de una persona se traslada a otra, y esta última acredita la experiencia como propia, como sucede con algunas figuras y reformas estatutarias, que se explicarán con más detalle en el numeral 2.4 de este concepto.</w:t>
      </w:r>
    </w:p>
    <w:p w14:paraId="08D53E9E" w14:textId="77777777" w:rsidR="00235A4A" w:rsidRPr="00797AF9" w:rsidRDefault="00235A4A" w:rsidP="00235A4A">
      <w:pPr>
        <w:spacing w:line="276" w:lineRule="auto"/>
        <w:ind w:firstLine="708"/>
        <w:jc w:val="both"/>
        <w:rPr>
          <w:rFonts w:ascii="Arial" w:eastAsia="Calibri" w:hAnsi="Arial" w:cs="Arial"/>
          <w:sz w:val="22"/>
        </w:rPr>
      </w:pPr>
      <w:r w:rsidRPr="00797AF9">
        <w:rPr>
          <w:rFonts w:ascii="Arial" w:eastAsia="Calibri" w:hAnsi="Arial" w:cs="Arial"/>
          <w:sz w:val="22"/>
        </w:rPr>
        <w:t xml:space="preserve">iv) Cuando la persona que adquirió la experiencia </w:t>
      </w:r>
      <w:r w:rsidRPr="00797AF9">
        <w:rPr>
          <w:rFonts w:ascii="Arial" w:eastAsia="Calibri" w:hAnsi="Arial" w:cs="Arial"/>
          <w:i/>
          <w:iCs/>
          <w:sz w:val="22"/>
        </w:rPr>
        <w:t>desaparece</w:t>
      </w:r>
      <w:r w:rsidRPr="00797AF9">
        <w:rPr>
          <w:rFonts w:ascii="Arial" w:eastAsia="Calibri" w:hAnsi="Arial" w:cs="Arial"/>
          <w:sz w:val="22"/>
        </w:rPr>
        <w:t xml:space="preserve"> o se liquida no es posible que comparta o transfiera su experiencia, porque al ser personal sigue la suerte de quien la adquirió.</w:t>
      </w:r>
    </w:p>
    <w:p w14:paraId="77CFE958" w14:textId="77777777" w:rsidR="00235A4A" w:rsidRPr="00797AF9" w:rsidRDefault="00235A4A" w:rsidP="00235A4A">
      <w:pPr>
        <w:spacing w:before="120" w:after="120" w:line="276" w:lineRule="auto"/>
        <w:ind w:firstLine="709"/>
        <w:jc w:val="both"/>
        <w:rPr>
          <w:rFonts w:ascii="Arial" w:hAnsi="Arial" w:cs="Arial"/>
          <w:sz w:val="22"/>
        </w:rPr>
      </w:pPr>
      <w:r w:rsidRPr="00797AF9">
        <w:rPr>
          <w:rFonts w:ascii="Arial" w:hAnsi="Arial" w:cs="Arial"/>
          <w:sz w:val="22"/>
        </w:rPr>
        <w:t xml:space="preserve">Ahora, el RUP fue creado por el artículo 6 de la Ley 1150 de 2007 y constituye el medio idóneo para verificar las condiciones de los proponentes en procesos de contratación </w:t>
      </w:r>
      <w:r w:rsidRPr="00797AF9">
        <w:rPr>
          <w:rFonts w:ascii="Arial" w:hAnsi="Arial" w:cs="Arial"/>
          <w:sz w:val="22"/>
        </w:rPr>
        <w:lastRenderedPageBreak/>
        <w:t>pública. Este registro, conforme a lo señalado por la Corte Constitucional</w:t>
      </w:r>
      <w:r w:rsidRPr="00797AF9">
        <w:rPr>
          <w:rFonts w:ascii="Arial" w:hAnsi="Arial" w:cs="Arial"/>
          <w:sz w:val="22"/>
          <w:vertAlign w:val="superscript"/>
        </w:rPr>
        <w:footnoteReference w:id="4"/>
      </w:r>
      <w:r w:rsidRPr="00797AF9">
        <w:rPr>
          <w:rFonts w:ascii="Arial" w:hAnsi="Arial" w:cs="Arial"/>
          <w:sz w:val="22"/>
        </w:rPr>
        <w:t>, es administrado por las Cámaras de Comercio y la actividad relacionada en el mismo está «</w:t>
      </w:r>
      <w:proofErr w:type="spellStart"/>
      <w:r w:rsidRPr="00797AF9">
        <w:rPr>
          <w:rFonts w:ascii="Arial" w:hAnsi="Arial" w:cs="Arial"/>
          <w:sz w:val="22"/>
        </w:rPr>
        <w:t>sometid</w:t>
      </w:r>
      <w:proofErr w:type="spellEnd"/>
      <w:r w:rsidRPr="00797AF9">
        <w:rPr>
          <w:rFonts w:ascii="Arial" w:hAnsi="Arial" w:cs="Arial"/>
          <w:sz w:val="22"/>
        </w:rPr>
        <w:t xml:space="preserve">[a] a los principios de la función administrativa y de contratación estatal». </w:t>
      </w:r>
    </w:p>
    <w:p w14:paraId="7E37CCC7" w14:textId="77777777" w:rsidR="00235A4A" w:rsidRPr="00797AF9" w:rsidRDefault="00235A4A" w:rsidP="00235A4A">
      <w:pPr>
        <w:spacing w:before="120" w:after="120" w:line="276" w:lineRule="auto"/>
        <w:ind w:firstLine="705"/>
        <w:jc w:val="both"/>
        <w:rPr>
          <w:rFonts w:ascii="Arial" w:hAnsi="Arial" w:cs="Arial"/>
          <w:sz w:val="22"/>
        </w:rPr>
      </w:pPr>
      <w:r w:rsidRPr="00797AF9">
        <w:rPr>
          <w:rFonts w:ascii="Arial" w:hAnsi="Arial" w:cs="Arial"/>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3DB7D937" w14:textId="77777777" w:rsidR="00235A4A" w:rsidRPr="00797AF9" w:rsidRDefault="00235A4A" w:rsidP="00235A4A">
      <w:pPr>
        <w:spacing w:before="120" w:after="120" w:line="276" w:lineRule="auto"/>
        <w:ind w:firstLine="705"/>
        <w:jc w:val="both"/>
        <w:rPr>
          <w:rFonts w:ascii="Arial" w:hAnsi="Arial" w:cs="Arial"/>
          <w:sz w:val="22"/>
        </w:rPr>
      </w:pPr>
      <w:r w:rsidRPr="00797AF9">
        <w:rPr>
          <w:rFonts w:ascii="Arial" w:hAnsi="Arial" w:cs="Arial"/>
          <w:sz w:val="22"/>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5114F49C" w14:textId="77777777" w:rsidR="00235A4A" w:rsidRPr="00797AF9" w:rsidRDefault="00235A4A" w:rsidP="00235A4A">
      <w:pPr>
        <w:spacing w:before="120" w:after="120" w:line="276" w:lineRule="auto"/>
        <w:jc w:val="both"/>
        <w:rPr>
          <w:rFonts w:ascii="Arial" w:hAnsi="Arial" w:cs="Arial"/>
          <w:sz w:val="22"/>
        </w:rPr>
      </w:pPr>
      <w:r w:rsidRPr="00797AF9">
        <w:rPr>
          <w:rFonts w:ascii="Arial" w:hAnsi="Arial" w:cs="Arial"/>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14:paraId="2BF8F883" w14:textId="77777777" w:rsidR="00235A4A" w:rsidRPr="00797AF9" w:rsidRDefault="00235A4A" w:rsidP="00235A4A">
      <w:pPr>
        <w:spacing w:before="120" w:after="120" w:line="276" w:lineRule="auto"/>
        <w:ind w:firstLine="708"/>
        <w:jc w:val="both"/>
        <w:rPr>
          <w:rFonts w:ascii="Arial" w:hAnsi="Arial" w:cs="Arial"/>
          <w:sz w:val="22"/>
        </w:rPr>
      </w:pPr>
      <w:r w:rsidRPr="00797AF9">
        <w:rPr>
          <w:rFonts w:ascii="Arial" w:hAnsi="Arial" w:cs="Arial"/>
          <w:sz w:val="22"/>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09628C64" w14:textId="77777777" w:rsidR="00235A4A" w:rsidRPr="00797AF9" w:rsidRDefault="00235A4A" w:rsidP="00235A4A">
      <w:pPr>
        <w:spacing w:line="276" w:lineRule="auto"/>
        <w:ind w:firstLine="709"/>
        <w:jc w:val="both"/>
        <w:rPr>
          <w:rFonts w:ascii="Arial" w:hAnsi="Arial" w:cs="Arial"/>
          <w:sz w:val="22"/>
        </w:rPr>
      </w:pPr>
      <w:r w:rsidRPr="00797AF9">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0C8B7F25" w14:textId="77777777" w:rsidR="00B7660A" w:rsidRDefault="00B7660A" w:rsidP="00235A4A">
      <w:pPr>
        <w:pStyle w:val="Ttulo1"/>
        <w:spacing w:line="276" w:lineRule="auto"/>
        <w:ind w:left="0" w:right="49" w:firstLine="0"/>
        <w:jc w:val="both"/>
      </w:pPr>
    </w:p>
    <w:p w14:paraId="12BF5FB6" w14:textId="6EDF6DFD" w:rsidR="00314B04" w:rsidRPr="005B6E41" w:rsidRDefault="00235A4A" w:rsidP="00954F93">
      <w:pPr>
        <w:pStyle w:val="Ttulo1"/>
        <w:spacing w:line="276" w:lineRule="auto"/>
        <w:ind w:left="0" w:right="49" w:firstLine="0"/>
        <w:jc w:val="both"/>
      </w:pPr>
      <w:r>
        <w:lastRenderedPageBreak/>
        <w:t xml:space="preserve">2.2. </w:t>
      </w:r>
      <w:r w:rsidR="00314B04" w:rsidRPr="005B6E41">
        <w:t>Acreditación de experiencia de sociedades con menos de tres (3) años de constitución</w:t>
      </w:r>
    </w:p>
    <w:p w14:paraId="52C79325" w14:textId="77777777" w:rsidR="00314B04" w:rsidRPr="00954F93" w:rsidRDefault="00314B04" w:rsidP="00314B04">
      <w:pPr>
        <w:pStyle w:val="Textoindependiente"/>
        <w:spacing w:before="3"/>
        <w:rPr>
          <w:b/>
        </w:rPr>
      </w:pPr>
    </w:p>
    <w:p w14:paraId="7F6BB799" w14:textId="427F8575" w:rsidR="00314B04" w:rsidRPr="005B6E41" w:rsidRDefault="00314B04" w:rsidP="00954F93">
      <w:pPr>
        <w:pStyle w:val="Textoindependiente"/>
        <w:spacing w:after="120" w:line="276" w:lineRule="auto"/>
        <w:jc w:val="both"/>
      </w:pPr>
      <w:r w:rsidRPr="005B6E41">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w:t>
      </w:r>
      <w:r w:rsidR="00D02A77">
        <w:t>. Esto</w:t>
      </w:r>
      <w:r w:rsidRPr="005B6E41">
        <w:t xml:space="preserve"> con excepción </w:t>
      </w:r>
      <w:r w:rsidR="00460F0A" w:rsidRPr="00460F0A">
        <w:t xml:space="preserve">de la selección de consultores mediante un concurso de méritos, donde es posible otorgar puntaje al criterio de experiencia. </w:t>
      </w:r>
    </w:p>
    <w:p w14:paraId="17B06126" w14:textId="69582EC5" w:rsidR="009E48AA" w:rsidRDefault="00F25457" w:rsidP="00954F93">
      <w:pPr>
        <w:pStyle w:val="Textoindependiente"/>
        <w:spacing w:after="120" w:line="276" w:lineRule="auto"/>
        <w:jc w:val="both"/>
      </w:pPr>
      <w:r>
        <w:rPr>
          <w:sz w:val="25"/>
        </w:rPr>
        <w:tab/>
      </w:r>
      <w:r w:rsidR="00314B04" w:rsidRPr="005B6E41">
        <w:t xml:space="preserve">Por su parte, el artículo 6 de la Ley 1150 de 2007 </w:t>
      </w:r>
      <w:r w:rsidR="009B1623">
        <w:t xml:space="preserve">dispone </w:t>
      </w:r>
      <w:r w:rsidR="00314B04" w:rsidRPr="005B6E41">
        <w:t>que todas las personas naturales o jurídicas, nacionales o extranjeras, domiciliadas o con sucursal en Colombia, que aspiren celebrar contratos con las entidades deberán estar inscritas en el Registro Único de Proponentes</w:t>
      </w:r>
      <w:r w:rsidR="009B1623">
        <w:t xml:space="preserve"> </w:t>
      </w:r>
      <w:r w:rsidR="00E205F1">
        <w:t>–</w:t>
      </w:r>
      <w:r w:rsidR="009B1623">
        <w:t>RUP</w:t>
      </w:r>
      <w:r w:rsidR="00E205F1">
        <w:t>–</w:t>
      </w:r>
      <w:r w:rsidR="00314B04" w:rsidRPr="005B6E41">
        <w:t xml:space="preserve">. </w:t>
      </w:r>
      <w:r w:rsidR="00B77DB7">
        <w:t xml:space="preserve"> </w:t>
      </w:r>
      <w:r w:rsidR="00314B04" w:rsidRPr="005B6E41">
        <w:t>En dicho registro constará la información relacionada con la experiencia, capacidad jurídica, financiera y de organización del proponente y su clasificación</w:t>
      </w:r>
      <w:r w:rsidR="00314B04" w:rsidRPr="005B6E41">
        <w:rPr>
          <w:rStyle w:val="Refdenotaalpie"/>
        </w:rPr>
        <w:footnoteReference w:id="5"/>
      </w:r>
      <w:r w:rsidR="00314B04" w:rsidRPr="005B6E41">
        <w:t xml:space="preserve">. </w:t>
      </w:r>
    </w:p>
    <w:p w14:paraId="192E9FBB" w14:textId="5D8D185D" w:rsidR="00314B04" w:rsidRPr="005B6E41" w:rsidRDefault="009E48AA" w:rsidP="00954F93">
      <w:pPr>
        <w:pStyle w:val="Textoindependiente"/>
        <w:spacing w:after="120" w:line="276" w:lineRule="auto"/>
        <w:ind w:right="51" w:firstLine="709"/>
        <w:jc w:val="both"/>
      </w:pPr>
      <w:r>
        <w:t xml:space="preserve">En torno </w:t>
      </w:r>
      <w:r w:rsidR="00314B04" w:rsidRPr="005B6E41">
        <w:t xml:space="preserve">al requisito habilitante de experiencia, el </w:t>
      </w:r>
      <w:r w:rsidR="006254DE" w:rsidRPr="00954F93">
        <w:rPr>
          <w:i/>
          <w:iCs/>
          <w:color w:val="000000" w:themeColor="text1"/>
          <w:sz w:val="20"/>
          <w:szCs w:val="20"/>
          <w:lang w:val="es-ES_tradnl"/>
        </w:rPr>
        <w:t>«</w:t>
      </w:r>
      <w:r w:rsidR="00314B04" w:rsidRPr="00954F93">
        <w:rPr>
          <w:i/>
          <w:iCs/>
        </w:rPr>
        <w:t>Manual para determinar y verificar requisitos habilitantes en los procesos de contratación</w:t>
      </w:r>
      <w:r w:rsidR="006254DE" w:rsidRPr="00954F93">
        <w:rPr>
          <w:rFonts w:eastAsia="Calibri"/>
          <w:i/>
          <w:iCs/>
          <w:color w:val="000000" w:themeColor="text1"/>
          <w:sz w:val="20"/>
          <w:szCs w:val="20"/>
        </w:rPr>
        <w:t>»</w:t>
      </w:r>
      <w:r w:rsidR="00314B04" w:rsidRPr="005B6E41">
        <w:t xml:space="preserve"> </w:t>
      </w:r>
      <w:r w:rsidR="00282CE5">
        <w:t>l</w:t>
      </w:r>
      <w:r w:rsidR="004A55E4">
        <w:t>o</w:t>
      </w:r>
      <w:r w:rsidR="00314B04" w:rsidRPr="005B6E41">
        <w:t xml:space="preserve"> define como </w:t>
      </w:r>
      <w:r w:rsidR="00CF1418" w:rsidRPr="00CB217B">
        <w:rPr>
          <w:color w:val="000000" w:themeColor="text1"/>
          <w:sz w:val="20"/>
          <w:szCs w:val="20"/>
          <w:lang w:val="es-ES_tradnl"/>
        </w:rPr>
        <w:t>«</w:t>
      </w:r>
      <w:r w:rsidR="00282CE5">
        <w:rPr>
          <w:color w:val="000000" w:themeColor="text1"/>
          <w:sz w:val="20"/>
          <w:szCs w:val="20"/>
          <w:lang w:val="es-ES_tradnl"/>
        </w:rPr>
        <w:t xml:space="preserve">[...] </w:t>
      </w:r>
      <w:r w:rsidR="00314B04" w:rsidRPr="005B6E41">
        <w:t>el conocimiento del proponente derivado de su participación previa en actividades iguales o similares a las previstas en el objeto del</w:t>
      </w:r>
      <w:r w:rsidR="00314B04" w:rsidRPr="005B6E41">
        <w:rPr>
          <w:spacing w:val="-8"/>
        </w:rPr>
        <w:t xml:space="preserve"> </w:t>
      </w:r>
      <w:r w:rsidR="00314B04" w:rsidRPr="005B6E41">
        <w:t>contrato</w:t>
      </w:r>
      <w:r w:rsidR="00CF1418" w:rsidRPr="00AC7A12">
        <w:rPr>
          <w:sz w:val="19"/>
          <w:szCs w:val="19"/>
        </w:rPr>
        <w:t>»</w:t>
      </w:r>
      <w:r w:rsidR="00314B04" w:rsidRPr="005B6E41">
        <w:t>.</w:t>
      </w:r>
      <w:r>
        <w:t xml:space="preserve"> </w:t>
      </w:r>
      <w:r w:rsidR="00314B04" w:rsidRPr="005B6E41">
        <w:t>El Decreto 1082 de 2015, en el artículo 2.2.1.1.1.5.2, numeral 2.1, establece que</w:t>
      </w:r>
      <w:r w:rsidR="00282CE5">
        <w:t>,</w:t>
      </w:r>
      <w:r w:rsidR="00314B04" w:rsidRPr="005B6E41">
        <w:t xml:space="preserve"> si una persona natural es la que se inscribe al RUP, aportará los certificados de experiencia en provisión de bienes, obras y servicios, los cuales deben </w:t>
      </w:r>
      <w:r w:rsidR="00425F12">
        <w:t xml:space="preserve">expedirse </w:t>
      </w:r>
      <w:r w:rsidR="00314B04" w:rsidRPr="005B6E41">
        <w:t xml:space="preserve">por terceros que hayan recibido tales bienes, obras y servicios, </w:t>
      </w:r>
      <w:r w:rsidR="00E8094F">
        <w:t>que</w:t>
      </w:r>
      <w:r w:rsidR="00E8094F" w:rsidRPr="005B6E41">
        <w:t xml:space="preserve"> </w:t>
      </w:r>
      <w:r w:rsidR="00314B04" w:rsidRPr="005B6E41">
        <w:t>deben corresponder a contratos ejecutados o copias de los contratos cuando el interesado no puede obtener tal certificado</w:t>
      </w:r>
      <w:r w:rsidR="00314B04" w:rsidRPr="005B6E41">
        <w:rPr>
          <w:rStyle w:val="Refdenotaalpie"/>
        </w:rPr>
        <w:footnoteReference w:id="6"/>
      </w:r>
      <w:r w:rsidR="00314B04" w:rsidRPr="005B6E41">
        <w:t>.</w:t>
      </w:r>
    </w:p>
    <w:p w14:paraId="67325600" w14:textId="68C01813" w:rsidR="00B97089" w:rsidRDefault="00E8094F">
      <w:pPr>
        <w:pStyle w:val="Textoindependiente"/>
        <w:spacing w:after="120" w:line="276" w:lineRule="auto"/>
        <w:jc w:val="both"/>
      </w:pPr>
      <w:r>
        <w:rPr>
          <w:sz w:val="25"/>
        </w:rPr>
        <w:lastRenderedPageBreak/>
        <w:tab/>
      </w:r>
      <w:r w:rsidR="00314B04" w:rsidRPr="005B6E41">
        <w:t>El numeral 2.5 del</w:t>
      </w:r>
      <w:r w:rsidR="00C20C77" w:rsidRPr="00254E6E">
        <w:rPr>
          <w:vertAlign w:val="superscript"/>
        </w:rPr>
        <w:footnoteReference w:id="7"/>
      </w:r>
      <w:r w:rsidR="00314B04" w:rsidRPr="005B6E41">
        <w:t xml:space="preserve"> mismo artículo </w:t>
      </w:r>
      <w:r w:rsidR="00D526CD">
        <w:t xml:space="preserve">señala </w:t>
      </w:r>
      <w:r w:rsidR="00314B04" w:rsidRPr="005B6E41">
        <w:t xml:space="preserve">que la persona jurídica se registrará aportando los certificados de la experiencia en la provisión de los bienes, obras y servicios que ofrecerá a las </w:t>
      </w:r>
      <w:r w:rsidR="00675D1F" w:rsidRPr="005B6E41">
        <w:t>entidades estatales</w:t>
      </w:r>
      <w:r w:rsidR="00314B04" w:rsidRPr="005B6E41">
        <w:t>, los cuales deben</w:t>
      </w:r>
      <w:r w:rsidR="0067019B">
        <w:t xml:space="preserve"> haber sido expedidos</w:t>
      </w:r>
      <w:r w:rsidR="009E48AA">
        <w:t xml:space="preserve"> </w:t>
      </w:r>
      <w:r w:rsidR="00314B04" w:rsidRPr="005B6E41">
        <w:t xml:space="preserve">por terceros que hayan recibido tales bienes, obras o servicios y deben corresponder a contratos ejecutados o copias de los contratos cuando el interesado no puede obtener tal certificado. </w:t>
      </w:r>
    </w:p>
    <w:p w14:paraId="5977D5FE" w14:textId="7987BB88" w:rsidR="00314B04" w:rsidRPr="005B6E41" w:rsidRDefault="00314B04" w:rsidP="00954F93">
      <w:pPr>
        <w:pStyle w:val="Textoindependiente"/>
        <w:spacing w:after="120" w:line="276" w:lineRule="auto"/>
        <w:ind w:firstLine="708"/>
        <w:jc w:val="both"/>
      </w:pPr>
      <w:r w:rsidRPr="005B6E41">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46F01238" w14:textId="6859ACC2" w:rsidR="005A56A5" w:rsidRDefault="00535999" w:rsidP="00954F93">
      <w:pPr>
        <w:pStyle w:val="Textoindependiente"/>
        <w:spacing w:after="120" w:line="276" w:lineRule="auto"/>
        <w:jc w:val="both"/>
      </w:pPr>
      <w:r>
        <w:tab/>
      </w:r>
      <w:r w:rsidR="00314B04" w:rsidRPr="00CF1418">
        <w:t>La parte final del numeral 2.5 del artículo citado incluye una medida diferenciada para las personas jurídicas cuya constitución sea menor a 3 años al momento del registro. Esta medida</w:t>
      </w:r>
      <w:r w:rsidR="002309C1" w:rsidRPr="00CF1418">
        <w:t xml:space="preserve"> pretende fomentar la participación </w:t>
      </w:r>
      <w:r w:rsidR="00314B04" w:rsidRPr="00CF1418">
        <w:t xml:space="preserve">de pequeños oferentes en la contratación estatal, </w:t>
      </w:r>
      <w:r w:rsidR="002309C1" w:rsidRPr="00CF1418">
        <w:t xml:space="preserve">posibilitando </w:t>
      </w:r>
      <w:r w:rsidR="00314B04" w:rsidRPr="00CF1418">
        <w:t>que las sociedades relativamente nuevas</w:t>
      </w:r>
      <w:r w:rsidR="009D44A0">
        <w:t xml:space="preserve"> ―</w:t>
      </w:r>
      <w:r w:rsidR="00314B04" w:rsidRPr="00CF1418">
        <w:t>con menos de 3 años de constitución</w:t>
      </w:r>
      <w:r w:rsidR="009D44A0">
        <w:t>―</w:t>
      </w:r>
      <w:r w:rsidR="00314B04" w:rsidRPr="00CF1418">
        <w:t xml:space="preserve"> puedan acreditar como experiencia en el RUP la de sus accionistas, socios o </w:t>
      </w:r>
      <w:proofErr w:type="spellStart"/>
      <w:r w:rsidR="00314B04" w:rsidRPr="00CF1418">
        <w:t>constituyentes</w:t>
      </w:r>
      <w:r w:rsidR="002309C1">
        <w:t>Si</w:t>
      </w:r>
      <w:proofErr w:type="spellEnd"/>
      <w:r w:rsidR="002309C1">
        <w:t xml:space="preserve"> bien la </w:t>
      </w:r>
      <w:r w:rsidR="00314B04" w:rsidRPr="005B6E41">
        <w:t>experiencia es inherente a la persona que la ha obtenido, razón por la cual es intransferible en virtud de su carácter personalísimo, por disposición legal o reglamentaria, en casos excepcionales, como el descrito por el artículo mencionado, se aplica de otra forma</w:t>
      </w:r>
      <w:r w:rsidR="00481B16" w:rsidRPr="00675DCE">
        <w:rPr>
          <w:vertAlign w:val="superscript"/>
        </w:rPr>
        <w:footnoteReference w:id="8"/>
      </w:r>
      <w:r w:rsidR="00314B04" w:rsidRPr="005B6E41">
        <w:t>.</w:t>
      </w:r>
      <w:r w:rsidR="002309C1">
        <w:t xml:space="preserve"> </w:t>
      </w:r>
    </w:p>
    <w:p w14:paraId="566EE4B8" w14:textId="53457AF9" w:rsidR="00314B04" w:rsidRPr="005B6E41" w:rsidRDefault="00314B04" w:rsidP="00954F93">
      <w:pPr>
        <w:pStyle w:val="Textoindependiente"/>
        <w:spacing w:after="120" w:line="276" w:lineRule="auto"/>
        <w:ind w:firstLine="709"/>
        <w:jc w:val="both"/>
      </w:pPr>
      <w:r w:rsidRPr="005B6E41">
        <w:t xml:space="preserve">La finalidad </w:t>
      </w:r>
      <w:r w:rsidR="002309C1">
        <w:t xml:space="preserve">de esta norma </w:t>
      </w:r>
      <w:r w:rsidRPr="005B6E41">
        <w:t xml:space="preserve">es permitir que las sociedades que no cuentan con la experiencia suficiente para contratar con el Estado puedan apoyarse en la experiencia de sus accionistas, socios o constituyentes con el fin de incentivar la competencia en la contratación estatal. </w:t>
      </w:r>
      <w:r w:rsidR="002309C1">
        <w:t xml:space="preserve">El </w:t>
      </w:r>
      <w:r w:rsidRPr="005B6E41">
        <w:t>socio transfiere la experiencia adquirida directamente a la sociedad de la que es parte, para que</w:t>
      </w:r>
      <w:r w:rsidR="004715BB">
        <w:t>,</w:t>
      </w:r>
      <w:r w:rsidRPr="005B6E41">
        <w:t xml:space="preserve"> como persona jurídica independiente, pueda cumplir con los requisitos habilitantes o puntuables que establezcan las entidades estatales en sus procesos de contratación</w:t>
      </w:r>
      <w:r w:rsidR="002309C1">
        <w:t xml:space="preserve">. De esta forma se promueve </w:t>
      </w:r>
      <w:r w:rsidRPr="005B6E41">
        <w:t xml:space="preserve">el desarrollo de la empresa y la </w:t>
      </w:r>
      <w:r w:rsidRPr="005B6E41">
        <w:lastRenderedPageBreak/>
        <w:t>pluralidad de oferentes en la contratación pública.</w:t>
      </w:r>
    </w:p>
    <w:p w14:paraId="7D0E6E06" w14:textId="50BE17B2" w:rsidR="002309C1" w:rsidRDefault="004715BB" w:rsidP="00954F93">
      <w:pPr>
        <w:pStyle w:val="Textoindependiente"/>
        <w:spacing w:after="120" w:line="276" w:lineRule="auto"/>
        <w:ind w:firstLine="709"/>
        <w:jc w:val="both"/>
      </w:pPr>
      <w:r>
        <w:t>E</w:t>
      </w:r>
      <w:r w:rsidR="00314B04" w:rsidRPr="005B6E41">
        <w:t xml:space="preserve">ste aspecto ofrece meridiana claridad en cuanto a su aplicación, pero </w:t>
      </w:r>
      <w:r w:rsidR="00581963">
        <w:t>los</w:t>
      </w:r>
      <w:r w:rsidR="00581963" w:rsidRPr="005B6E41">
        <w:t xml:space="preserve"> </w:t>
      </w:r>
      <w:r w:rsidR="00314B04" w:rsidRPr="005B6E41">
        <w:t>interrogante</w:t>
      </w:r>
      <w:r w:rsidR="00581963">
        <w:t>s</w:t>
      </w:r>
      <w:r w:rsidR="00314B04" w:rsidRPr="005B6E41">
        <w:t xml:space="preserve"> que ha generado la norma </w:t>
      </w:r>
      <w:r w:rsidR="00581963">
        <w:t>son:</w:t>
      </w:r>
      <w:r w:rsidR="00314B04" w:rsidRPr="005B6E41">
        <w:t xml:space="preserv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r w:rsidR="002309C1">
        <w:t xml:space="preserve"> </w:t>
      </w:r>
      <w:r w:rsidR="00314B04" w:rsidRPr="005B6E41">
        <w:t>Estos interrogantes han sido planteados a la Subdirección de Gestión Contractual,</w:t>
      </w:r>
      <w:r w:rsidR="006F79F1" w:rsidRPr="006F79F1">
        <w:t xml:space="preserve"> </w:t>
      </w:r>
      <w:r w:rsidR="006F79F1" w:rsidRPr="00254E6E">
        <w:t>y se han desarrollado, en torno a dos posiciones, que se plantean a continuación</w:t>
      </w:r>
      <w:r w:rsidR="0014335F">
        <w:t>.</w:t>
      </w:r>
      <w:r w:rsidR="006F79F1" w:rsidRPr="00254E6E">
        <w:t xml:space="preserve"> </w:t>
      </w:r>
    </w:p>
    <w:p w14:paraId="61758A39" w14:textId="578EE5E5" w:rsidR="00D0280A" w:rsidRDefault="00690AED" w:rsidP="00954F93">
      <w:pPr>
        <w:pStyle w:val="Textoindependiente"/>
        <w:spacing w:line="276" w:lineRule="auto"/>
        <w:ind w:firstLine="709"/>
        <w:jc w:val="both"/>
      </w:pPr>
      <w:r>
        <w:t xml:space="preserve">En un primer momento, </w:t>
      </w:r>
      <w:r w:rsidR="00314B04" w:rsidRPr="005B6E41">
        <w:t>en</w:t>
      </w:r>
      <w:r>
        <w:t xml:space="preserve"> el </w:t>
      </w:r>
      <w:r w:rsidR="00314B04" w:rsidRPr="005B6E41">
        <w:t>Concepto del 7 de febrero de 2018</w:t>
      </w:r>
      <w:r w:rsidR="002309C1">
        <w:t xml:space="preserve">, </w:t>
      </w:r>
      <w:r>
        <w:t>la Subdirección de Gestión Contra</w:t>
      </w:r>
      <w:r w:rsidR="00190D87">
        <w:t xml:space="preserve">ctual </w:t>
      </w:r>
      <w:r w:rsidR="00314B04" w:rsidRPr="005B6E41">
        <w:t>sostuvo que las personas jurídicas que hubieran sido beneficiarias de la norma podían seguir acreditando la experiencia de sus socios o accionistas, inclusive después de transcurridos 3 años desde la constitución de la sociedad, siempre que se renovara el RUP</w:t>
      </w:r>
      <w:r w:rsidR="004177FC">
        <w:t xml:space="preserve">. </w:t>
      </w:r>
      <w:r w:rsidR="00AE2B1C">
        <w:t>Al respecto se expuso:</w:t>
      </w:r>
    </w:p>
    <w:p w14:paraId="758A18E9" w14:textId="60142FBC" w:rsidR="004177FC" w:rsidRPr="00A728FB" w:rsidRDefault="004177FC" w:rsidP="00954F93">
      <w:pPr>
        <w:pStyle w:val="Textoindependiente"/>
        <w:spacing w:line="276" w:lineRule="auto"/>
        <w:ind w:firstLine="709"/>
        <w:jc w:val="both"/>
        <w:rPr>
          <w:sz w:val="21"/>
          <w:szCs w:val="21"/>
        </w:rPr>
      </w:pPr>
    </w:p>
    <w:p w14:paraId="10475224" w14:textId="77777777" w:rsidR="00F1170C" w:rsidRPr="00A728FB" w:rsidRDefault="00F1170C" w:rsidP="00954F93">
      <w:pPr>
        <w:ind w:left="709" w:right="709"/>
        <w:jc w:val="both"/>
        <w:rPr>
          <w:rFonts w:ascii="Arial" w:hAnsi="Arial" w:cs="Arial"/>
          <w:sz w:val="21"/>
          <w:szCs w:val="21"/>
        </w:rPr>
      </w:pPr>
      <w:r w:rsidRPr="00A728FB">
        <w:rPr>
          <w:rFonts w:ascii="Arial" w:hAnsi="Arial" w:cs="Arial"/>
          <w:sz w:val="21"/>
          <w:szCs w:val="21"/>
        </w:rPr>
        <w:t>Teniendo en cuenta lo anterior, aunque la persona jurídica tenga más de tres años de constituida y haya registrado inicialmente la experiencia de sus socios en el RUP (pues su constitución era inferior a tres años) y éste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w:t>
      </w:r>
      <w:r w:rsidRPr="00A728FB">
        <w:rPr>
          <w:rFonts w:ascii="Arial" w:hAnsi="Arial" w:cs="Arial"/>
          <w:spacing w:val="17"/>
          <w:sz w:val="21"/>
          <w:szCs w:val="21"/>
        </w:rPr>
        <w:t xml:space="preserve"> </w:t>
      </w:r>
      <w:r w:rsidRPr="00A728FB">
        <w:rPr>
          <w:rFonts w:ascii="Arial" w:hAnsi="Arial" w:cs="Arial"/>
          <w:sz w:val="21"/>
          <w:szCs w:val="21"/>
        </w:rPr>
        <w:t>puesto</w:t>
      </w:r>
      <w:r w:rsidRPr="00A728FB">
        <w:rPr>
          <w:rFonts w:ascii="Arial" w:hAnsi="Arial" w:cs="Arial"/>
          <w:spacing w:val="15"/>
          <w:sz w:val="21"/>
          <w:szCs w:val="21"/>
        </w:rPr>
        <w:t xml:space="preserve"> </w:t>
      </w:r>
      <w:r w:rsidRPr="00A728FB">
        <w:rPr>
          <w:rFonts w:ascii="Arial" w:hAnsi="Arial" w:cs="Arial"/>
          <w:sz w:val="21"/>
          <w:szCs w:val="21"/>
        </w:rPr>
        <w:t>que</w:t>
      </w:r>
      <w:r w:rsidRPr="00A728FB">
        <w:rPr>
          <w:rFonts w:ascii="Arial" w:hAnsi="Arial" w:cs="Arial"/>
          <w:spacing w:val="17"/>
          <w:sz w:val="21"/>
          <w:szCs w:val="21"/>
        </w:rPr>
        <w:t xml:space="preserve"> </w:t>
      </w:r>
      <w:r w:rsidRPr="00A728FB">
        <w:rPr>
          <w:rFonts w:ascii="Arial" w:hAnsi="Arial" w:cs="Arial"/>
          <w:sz w:val="21"/>
          <w:szCs w:val="21"/>
        </w:rPr>
        <w:t>el</w:t>
      </w:r>
      <w:r w:rsidRPr="00A728FB">
        <w:rPr>
          <w:rFonts w:ascii="Arial" w:hAnsi="Arial" w:cs="Arial"/>
          <w:spacing w:val="15"/>
          <w:sz w:val="21"/>
          <w:szCs w:val="21"/>
        </w:rPr>
        <w:t xml:space="preserve"> </w:t>
      </w:r>
      <w:r w:rsidRPr="00A728FB">
        <w:rPr>
          <w:rFonts w:ascii="Arial" w:hAnsi="Arial" w:cs="Arial"/>
          <w:sz w:val="21"/>
          <w:szCs w:val="21"/>
        </w:rPr>
        <w:t>RUP</w:t>
      </w:r>
      <w:r w:rsidRPr="00A728FB">
        <w:rPr>
          <w:rFonts w:ascii="Arial" w:hAnsi="Arial" w:cs="Arial"/>
          <w:spacing w:val="15"/>
          <w:sz w:val="21"/>
          <w:szCs w:val="21"/>
        </w:rPr>
        <w:t xml:space="preserve"> </w:t>
      </w:r>
      <w:r w:rsidRPr="00A728FB">
        <w:rPr>
          <w:rFonts w:ascii="Arial" w:hAnsi="Arial" w:cs="Arial"/>
          <w:sz w:val="21"/>
          <w:szCs w:val="21"/>
        </w:rPr>
        <w:t>ha</w:t>
      </w:r>
      <w:r w:rsidRPr="00A728FB">
        <w:rPr>
          <w:rFonts w:ascii="Arial" w:hAnsi="Arial" w:cs="Arial"/>
          <w:spacing w:val="15"/>
          <w:sz w:val="21"/>
          <w:szCs w:val="21"/>
        </w:rPr>
        <w:t xml:space="preserve"> </w:t>
      </w:r>
      <w:r w:rsidRPr="00A728FB">
        <w:rPr>
          <w:rFonts w:ascii="Arial" w:hAnsi="Arial" w:cs="Arial"/>
          <w:sz w:val="21"/>
          <w:szCs w:val="21"/>
        </w:rPr>
        <w:t>cesado</w:t>
      </w:r>
      <w:r w:rsidRPr="00A728FB">
        <w:rPr>
          <w:rFonts w:ascii="Arial" w:hAnsi="Arial" w:cs="Arial"/>
          <w:spacing w:val="17"/>
          <w:sz w:val="21"/>
          <w:szCs w:val="21"/>
        </w:rPr>
        <w:t xml:space="preserve"> </w:t>
      </w:r>
      <w:r w:rsidRPr="00A728FB">
        <w:rPr>
          <w:rFonts w:ascii="Arial" w:hAnsi="Arial" w:cs="Arial"/>
          <w:sz w:val="21"/>
          <w:szCs w:val="21"/>
        </w:rPr>
        <w:t>sus</w:t>
      </w:r>
      <w:r w:rsidRPr="00A728FB">
        <w:rPr>
          <w:rFonts w:ascii="Arial" w:hAnsi="Arial" w:cs="Arial"/>
          <w:spacing w:val="16"/>
          <w:sz w:val="21"/>
          <w:szCs w:val="21"/>
        </w:rPr>
        <w:t xml:space="preserve"> </w:t>
      </w:r>
      <w:r w:rsidRPr="00A728FB">
        <w:rPr>
          <w:rFonts w:ascii="Arial" w:hAnsi="Arial" w:cs="Arial"/>
          <w:sz w:val="21"/>
          <w:szCs w:val="21"/>
        </w:rPr>
        <w:t>efectos</w:t>
      </w:r>
      <w:r w:rsidRPr="00A728FB">
        <w:rPr>
          <w:rFonts w:ascii="Arial" w:hAnsi="Arial" w:cs="Arial"/>
          <w:spacing w:val="16"/>
          <w:sz w:val="21"/>
          <w:szCs w:val="21"/>
        </w:rPr>
        <w:t xml:space="preserve"> </w:t>
      </w:r>
      <w:r w:rsidRPr="00A728FB">
        <w:rPr>
          <w:rFonts w:ascii="Arial" w:hAnsi="Arial" w:cs="Arial"/>
          <w:sz w:val="21"/>
          <w:szCs w:val="21"/>
        </w:rPr>
        <w:t>y</w:t>
      </w:r>
      <w:r w:rsidRPr="00A728FB">
        <w:rPr>
          <w:rFonts w:ascii="Arial" w:hAnsi="Arial" w:cs="Arial"/>
          <w:spacing w:val="15"/>
          <w:sz w:val="21"/>
          <w:szCs w:val="21"/>
        </w:rPr>
        <w:t xml:space="preserve"> </w:t>
      </w:r>
      <w:r w:rsidRPr="00A728FB">
        <w:rPr>
          <w:rFonts w:ascii="Arial" w:hAnsi="Arial" w:cs="Arial"/>
          <w:sz w:val="21"/>
          <w:szCs w:val="21"/>
        </w:rPr>
        <w:t>la</w:t>
      </w:r>
      <w:r w:rsidRPr="00A728FB">
        <w:rPr>
          <w:rFonts w:ascii="Arial" w:hAnsi="Arial" w:cs="Arial"/>
          <w:spacing w:val="15"/>
          <w:sz w:val="21"/>
          <w:szCs w:val="21"/>
        </w:rPr>
        <w:t xml:space="preserve"> </w:t>
      </w:r>
      <w:r w:rsidRPr="00A728FB">
        <w:rPr>
          <w:rFonts w:ascii="Arial" w:hAnsi="Arial" w:cs="Arial"/>
          <w:sz w:val="21"/>
          <w:szCs w:val="21"/>
        </w:rPr>
        <w:t>Cámara</w:t>
      </w:r>
      <w:r w:rsidRPr="00A728FB">
        <w:rPr>
          <w:rFonts w:ascii="Arial" w:hAnsi="Arial" w:cs="Arial"/>
          <w:spacing w:val="17"/>
          <w:sz w:val="21"/>
          <w:szCs w:val="21"/>
        </w:rPr>
        <w:t xml:space="preserve"> </w:t>
      </w:r>
      <w:r w:rsidRPr="00A728FB">
        <w:rPr>
          <w:rFonts w:ascii="Arial" w:hAnsi="Arial" w:cs="Arial"/>
          <w:sz w:val="21"/>
          <w:szCs w:val="21"/>
        </w:rPr>
        <w:t>de</w:t>
      </w:r>
      <w:r w:rsidRPr="00A728FB">
        <w:rPr>
          <w:rFonts w:ascii="Arial" w:hAnsi="Arial" w:cs="Arial"/>
          <w:spacing w:val="15"/>
          <w:sz w:val="21"/>
          <w:szCs w:val="21"/>
        </w:rPr>
        <w:t xml:space="preserve"> </w:t>
      </w:r>
      <w:r w:rsidRPr="00A728FB">
        <w:rPr>
          <w:rFonts w:ascii="Arial" w:hAnsi="Arial" w:cs="Arial"/>
          <w:sz w:val="21"/>
          <w:szCs w:val="21"/>
        </w:rPr>
        <w:t>Comercio tiene que hacer nuevamente la verificación documental de la información presentada al momento de inscribirse en el registro</w:t>
      </w:r>
      <w:r w:rsidRPr="00A728FB">
        <w:rPr>
          <w:rStyle w:val="Refdenotaalpie"/>
          <w:rFonts w:ascii="Arial" w:hAnsi="Arial" w:cs="Arial"/>
          <w:sz w:val="21"/>
          <w:szCs w:val="21"/>
        </w:rPr>
        <w:footnoteReference w:id="9"/>
      </w:r>
      <w:r w:rsidRPr="00A728FB">
        <w:rPr>
          <w:rFonts w:ascii="Arial" w:hAnsi="Arial" w:cs="Arial"/>
          <w:sz w:val="21"/>
          <w:szCs w:val="21"/>
        </w:rPr>
        <w:t>.</w:t>
      </w:r>
    </w:p>
    <w:p w14:paraId="01680783" w14:textId="77777777" w:rsidR="00F1170C" w:rsidRPr="005B6E41" w:rsidRDefault="00F1170C" w:rsidP="00954F93">
      <w:pPr>
        <w:pStyle w:val="Textoindependiente"/>
        <w:spacing w:line="276" w:lineRule="auto"/>
        <w:ind w:firstLine="709"/>
        <w:jc w:val="both"/>
        <w:rPr>
          <w:sz w:val="24"/>
        </w:rPr>
      </w:pPr>
    </w:p>
    <w:p w14:paraId="6F17B7D7" w14:textId="4A59CCA9" w:rsidR="002F103D" w:rsidRPr="00852D94" w:rsidRDefault="00FF4AAB">
      <w:pPr>
        <w:spacing w:after="120" w:line="276" w:lineRule="auto"/>
        <w:ind w:firstLine="709"/>
        <w:jc w:val="both"/>
        <w:rPr>
          <w:rFonts w:ascii="Arial" w:hAnsi="Arial" w:cs="Arial"/>
          <w:sz w:val="22"/>
        </w:rPr>
      </w:pPr>
      <w:r w:rsidRPr="00852D94">
        <w:rPr>
          <w:rFonts w:ascii="Arial" w:hAnsi="Arial" w:cs="Arial"/>
          <w:sz w:val="22"/>
        </w:rPr>
        <w:t>Posteriormente, e</w:t>
      </w:r>
      <w:r w:rsidR="002F103D" w:rsidRPr="00852D94">
        <w:rPr>
          <w:rFonts w:ascii="Arial" w:hAnsi="Arial" w:cs="Arial"/>
          <w:sz w:val="22"/>
        </w:rPr>
        <w:t xml:space="preserve">n </w:t>
      </w:r>
      <w:r w:rsidRPr="00852D94">
        <w:rPr>
          <w:rFonts w:ascii="Arial" w:hAnsi="Arial" w:cs="Arial"/>
          <w:sz w:val="22"/>
        </w:rPr>
        <w:t>C</w:t>
      </w:r>
      <w:r w:rsidR="002F103D" w:rsidRPr="00852D94">
        <w:rPr>
          <w:rFonts w:ascii="Arial" w:hAnsi="Arial" w:cs="Arial"/>
          <w:sz w:val="22"/>
        </w:rPr>
        <w:t>oncepto</w:t>
      </w:r>
      <w:r w:rsidRPr="00852D94">
        <w:rPr>
          <w:rFonts w:ascii="Arial" w:hAnsi="Arial" w:cs="Arial"/>
          <w:sz w:val="22"/>
        </w:rPr>
        <w:t xml:space="preserve"> del</w:t>
      </w:r>
      <w:r w:rsidR="002F103D" w:rsidRPr="00852D94">
        <w:rPr>
          <w:rFonts w:ascii="Arial" w:hAnsi="Arial" w:cs="Arial"/>
          <w:sz w:val="22"/>
        </w:rPr>
        <w:t xml:space="preserve"> 3 de abril de 2018,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BF4A332" w14:textId="77777777" w:rsidR="002F103D" w:rsidRPr="00852D94" w:rsidRDefault="002F103D">
      <w:pPr>
        <w:spacing w:after="120" w:line="276" w:lineRule="auto"/>
        <w:ind w:firstLine="709"/>
        <w:jc w:val="both"/>
        <w:rPr>
          <w:rFonts w:ascii="Arial" w:hAnsi="Arial" w:cs="Arial"/>
          <w:sz w:val="22"/>
        </w:rPr>
      </w:pPr>
      <w:r w:rsidRPr="00852D94">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325AB2C" w14:textId="01F85F61" w:rsidR="002F103D" w:rsidRPr="00852D94" w:rsidRDefault="002F103D">
      <w:pPr>
        <w:spacing w:after="120" w:line="276" w:lineRule="auto"/>
        <w:ind w:firstLine="709"/>
        <w:jc w:val="both"/>
        <w:rPr>
          <w:rFonts w:ascii="Arial" w:hAnsi="Arial" w:cs="Arial"/>
          <w:sz w:val="22"/>
        </w:rPr>
      </w:pPr>
      <w:r w:rsidRPr="00852D94">
        <w:rPr>
          <w:rFonts w:ascii="Arial" w:hAnsi="Arial" w:cs="Arial"/>
          <w:sz w:val="22"/>
        </w:rPr>
        <w:t xml:space="preserve">ii) El Decreto 1082 de 2015 establece </w:t>
      </w:r>
      <w:r w:rsidR="00D0280A" w:rsidRPr="00852D94">
        <w:rPr>
          <w:rFonts w:ascii="Arial" w:hAnsi="Arial" w:cs="Arial"/>
          <w:sz w:val="22"/>
        </w:rPr>
        <w:t>que,</w:t>
      </w:r>
      <w:r w:rsidRPr="00852D94">
        <w:rPr>
          <w:rFonts w:ascii="Arial" w:hAnsi="Arial" w:cs="Arial"/>
          <w:sz w:val="22"/>
        </w:rPr>
        <w:t xml:space="preserve"> para la inscripción en el RUP de una persona jurídica, si su constitución es menor a 3 años, puede acreditar la experiencia de sus accionistas, socios o constituyentes. </w:t>
      </w:r>
    </w:p>
    <w:p w14:paraId="0724BA7D" w14:textId="77777777" w:rsidR="002F103D" w:rsidRPr="00852D94" w:rsidRDefault="002F103D">
      <w:pPr>
        <w:spacing w:after="120" w:line="276" w:lineRule="auto"/>
        <w:ind w:firstLine="709"/>
        <w:jc w:val="both"/>
        <w:rPr>
          <w:rFonts w:ascii="Arial" w:hAnsi="Arial" w:cs="Arial"/>
          <w:sz w:val="22"/>
        </w:rPr>
      </w:pPr>
      <w:r w:rsidRPr="00852D94">
        <w:rPr>
          <w:rFonts w:ascii="Arial" w:hAnsi="Arial" w:cs="Arial"/>
          <w:sz w:val="22"/>
        </w:rPr>
        <w:t xml:space="preserve">iii) La finalidad de esta norma es permitir que las sociedades que no cuentan con la experiencia suficiente para contratar con el Estado puedan apoyarse en la experiencia de </w:t>
      </w:r>
      <w:r w:rsidRPr="00852D94">
        <w:rPr>
          <w:rFonts w:ascii="Arial" w:hAnsi="Arial" w:cs="Arial"/>
          <w:sz w:val="22"/>
        </w:rPr>
        <w:lastRenderedPageBreak/>
        <w:t xml:space="preserve">sus accionistas, socios o constituyentes con el fin de incentivar la libre competencia en la contratación estatal. </w:t>
      </w:r>
    </w:p>
    <w:p w14:paraId="2712F87F" w14:textId="77777777" w:rsidR="002F103D" w:rsidRPr="00852D94" w:rsidRDefault="002F103D">
      <w:pPr>
        <w:spacing w:after="120" w:line="276" w:lineRule="auto"/>
        <w:ind w:firstLine="709"/>
        <w:jc w:val="both"/>
        <w:rPr>
          <w:rFonts w:ascii="Arial" w:hAnsi="Arial" w:cs="Arial"/>
          <w:sz w:val="22"/>
        </w:rPr>
      </w:pPr>
      <w:r w:rsidRPr="00852D94">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1DD3E4A0" w14:textId="0AABB3D2" w:rsidR="002F103D" w:rsidRPr="00852D94" w:rsidRDefault="002F103D">
      <w:pPr>
        <w:spacing w:after="120" w:line="276" w:lineRule="auto"/>
        <w:ind w:firstLine="709"/>
        <w:jc w:val="both"/>
        <w:rPr>
          <w:rFonts w:ascii="Arial" w:hAnsi="Arial" w:cs="Arial"/>
          <w:sz w:val="22"/>
        </w:rPr>
      </w:pPr>
      <w:r w:rsidRPr="00852D94">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64F68259" w14:textId="29192FC2" w:rsidR="002F103D" w:rsidRPr="00954F93" w:rsidRDefault="00C574F5" w:rsidP="00954F93">
      <w:pPr>
        <w:pStyle w:val="Textoindependiente"/>
        <w:spacing w:after="120" w:line="276" w:lineRule="auto"/>
        <w:ind w:firstLine="709"/>
        <w:jc w:val="both"/>
      </w:pPr>
      <w:r w:rsidRPr="00852D94">
        <w:t xml:space="preserve">Ante esta disparidad de criterios, la Subdirección de Gestión Contractual estimó necesario recoger estos pronunciamientos y unificar nuestra posición en </w:t>
      </w:r>
      <w:r w:rsidR="001D7E02" w:rsidRPr="00852D94">
        <w:t>C</w:t>
      </w:r>
      <w:r w:rsidRPr="00852D94">
        <w:t xml:space="preserve">oncepto </w:t>
      </w:r>
      <w:r w:rsidR="001D7E02" w:rsidRPr="00852D94">
        <w:t>del</w:t>
      </w:r>
      <w:r w:rsidRPr="00852D94">
        <w:t xml:space="preserve"> 19 de noviembre de 2019, en torno a la posibilidad o no de que las sociedades nuevas puedan seguir acreditando la experiencia de sus</w:t>
      </w:r>
      <w:r w:rsidRPr="00852D94">
        <w:rPr>
          <w:spacing w:val="18"/>
        </w:rPr>
        <w:t xml:space="preserve"> </w:t>
      </w:r>
      <w:r w:rsidRPr="00852D94">
        <w:t>socios, accionistas o constituyentes, incluso después de cumplidos 3 años de constitución de la persona jurídica</w:t>
      </w:r>
      <w:r w:rsidR="00BD16F7" w:rsidRPr="00852D94">
        <w:rPr>
          <w:rStyle w:val="Refdenotaalpie"/>
        </w:rPr>
        <w:footnoteReference w:id="10"/>
      </w:r>
      <w:r w:rsidRPr="00852D94">
        <w:t>.</w:t>
      </w:r>
      <w:r w:rsidR="002F591D" w:rsidRPr="00852D94">
        <w:t xml:space="preserve"> En </w:t>
      </w:r>
      <w:r w:rsidR="00AE2B1C" w:rsidRPr="00852D94">
        <w:t>este concepto se reto</w:t>
      </w:r>
      <w:r w:rsidR="000B4BDF" w:rsidRPr="00852D94">
        <w:t>m</w:t>
      </w:r>
      <w:r w:rsidR="00AE2B1C" w:rsidRPr="00852D94">
        <w:t>ó</w:t>
      </w:r>
      <w:r w:rsidR="00AF214E" w:rsidRPr="00852D94">
        <w:t xml:space="preserve"> </w:t>
      </w:r>
      <w:r w:rsidR="002F103D" w:rsidRPr="00954F93">
        <w:t>la tesis que ya había sido desarrollada en el concepto del 7 de febrero de 2018</w:t>
      </w:r>
      <w:r w:rsidR="001D7E02" w:rsidRPr="00954F93">
        <w:rPr>
          <w:vertAlign w:val="superscript"/>
        </w:rPr>
        <w:footnoteReference w:id="11"/>
      </w:r>
      <w:r w:rsidR="002F103D" w:rsidRPr="00954F93">
        <w:t xml:space="preserve">, </w:t>
      </w:r>
      <w:r w:rsidR="00641008" w:rsidRPr="00954F93">
        <w:t xml:space="preserve"> </w:t>
      </w:r>
      <w:r w:rsidR="002F103D" w:rsidRPr="00954F93">
        <w:t xml:space="preserve">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53BFD27" w14:textId="77777777" w:rsidR="00B8788D" w:rsidRPr="00852D94" w:rsidRDefault="00B8788D">
      <w:pPr>
        <w:spacing w:after="120" w:line="276" w:lineRule="auto"/>
        <w:ind w:firstLine="709"/>
        <w:jc w:val="both"/>
        <w:rPr>
          <w:rFonts w:ascii="Arial" w:hAnsi="Arial" w:cs="Arial"/>
          <w:sz w:val="22"/>
        </w:rPr>
      </w:pPr>
      <w:r w:rsidRPr="00852D94">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62CF653" w14:textId="54FFD472" w:rsidR="00314B04" w:rsidRPr="00852D94" w:rsidRDefault="00314B04" w:rsidP="00954F93">
      <w:pPr>
        <w:pStyle w:val="Textoindependiente"/>
        <w:spacing w:after="120" w:line="276" w:lineRule="auto"/>
        <w:ind w:firstLine="709"/>
        <w:jc w:val="both"/>
      </w:pPr>
      <w:r w:rsidRPr="00852D94">
        <w:t>Se reitera que la finalidad del numeral 2.5 del artículo 2.2.1.1.1.5.2 del Decreto 1082 de 2015 es incentivar la libre competencia</w:t>
      </w:r>
      <w:r w:rsidR="00FD6B37" w:rsidRPr="00852D94">
        <w:t xml:space="preserve">, la </w:t>
      </w:r>
      <w:r w:rsidRPr="00852D94">
        <w:t>pluralidad de oferentes</w:t>
      </w:r>
      <w:r w:rsidR="00FD6B37" w:rsidRPr="00852D94">
        <w:t xml:space="preserve"> y la </w:t>
      </w:r>
      <w:r w:rsidR="002C5801" w:rsidRPr="00852D94">
        <w:t xml:space="preserve">pluralidad de oferentes </w:t>
      </w:r>
      <w:r w:rsidRPr="00852D94">
        <w:t xml:space="preserve">en la contratación estatal. Adicionalmente, el Decreto 1082 de 2015 establece </w:t>
      </w:r>
      <w:r w:rsidRPr="00852D94">
        <w:lastRenderedPageBreak/>
        <w:t>que la persona inscrita en el RUP debe presentar la información para renovar su registro a más tardar el quinto día hábil del mes de abril de cada año, de lo contrario cesan sus efectos</w:t>
      </w:r>
      <w:r w:rsidRPr="00852D94">
        <w:rPr>
          <w:rStyle w:val="Refdenotaalpie"/>
        </w:rPr>
        <w:footnoteReference w:id="12"/>
      </w:r>
      <w:r w:rsidRPr="00852D94">
        <w:t>. En la actualidad, las Cámaras de Comercio sólo pueden eliminar la experiencia registrada en el RUP a solicitud del proponente</w:t>
      </w:r>
      <w:r w:rsidR="00584048" w:rsidRPr="00852D94">
        <w:t>. Po</w:t>
      </w:r>
      <w:r w:rsidRPr="00852D94">
        <w:t xml:space="preserve">r tanto, </w:t>
      </w:r>
      <w:proofErr w:type="gramStart"/>
      <w:r w:rsidRPr="00852D94">
        <w:t>le</w:t>
      </w:r>
      <w:proofErr w:type="gramEnd"/>
      <w:r w:rsidRPr="00852D94">
        <w:t xml:space="preserve"> corresponde a las personas jurídicas mantener su RUP actualizado y a las entidades estatales verificar, para efectos de tener en cuenta la experiencia.</w:t>
      </w:r>
    </w:p>
    <w:p w14:paraId="44A063C9" w14:textId="54D3039E" w:rsidR="00314B04" w:rsidRPr="00954F93" w:rsidRDefault="00852D94" w:rsidP="00954F93">
      <w:pPr>
        <w:pStyle w:val="Textoindependiente"/>
        <w:spacing w:before="8" w:line="276" w:lineRule="auto"/>
        <w:jc w:val="both"/>
      </w:pPr>
      <w:r w:rsidRPr="00852D94">
        <w:tab/>
      </w:r>
      <w:r w:rsidRPr="00954F93">
        <w:t>Esto significa que, sí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inscribirse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en el numeral 4.2, sobre el procedimiento para llevar el registro único de proponentes, que establece:</w:t>
      </w:r>
    </w:p>
    <w:p w14:paraId="60FE4FB3" w14:textId="77777777" w:rsidR="00852D94" w:rsidRPr="005B6E41" w:rsidRDefault="00852D94" w:rsidP="00314B04">
      <w:pPr>
        <w:pStyle w:val="Textoindependiente"/>
        <w:spacing w:before="8"/>
        <w:rPr>
          <w:sz w:val="20"/>
        </w:rPr>
      </w:pPr>
    </w:p>
    <w:p w14:paraId="5820F33B" w14:textId="77777777" w:rsidR="00314B04" w:rsidRPr="00482238" w:rsidRDefault="00314B04" w:rsidP="00954F93">
      <w:pPr>
        <w:spacing w:before="1"/>
        <w:ind w:left="709" w:right="709"/>
        <w:jc w:val="both"/>
        <w:rPr>
          <w:rFonts w:ascii="Arial" w:hAnsi="Arial" w:cs="Arial"/>
          <w:sz w:val="21"/>
        </w:rPr>
      </w:pPr>
      <w:r w:rsidRPr="00482238">
        <w:rPr>
          <w:rFonts w:ascii="Arial" w:hAnsi="Arial" w:cs="Arial"/>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03200DC8" w14:textId="77777777" w:rsidR="00314B04" w:rsidRPr="005B6E41" w:rsidRDefault="00314B04" w:rsidP="00314B04">
      <w:pPr>
        <w:pStyle w:val="Textoindependiente"/>
        <w:spacing w:before="6"/>
        <w:rPr>
          <w:sz w:val="25"/>
        </w:rPr>
      </w:pPr>
    </w:p>
    <w:p w14:paraId="7FBD61FB" w14:textId="3786C4F4" w:rsidR="00314B04" w:rsidRPr="0011235A" w:rsidRDefault="0011235A" w:rsidP="00954F93">
      <w:pPr>
        <w:pStyle w:val="Textoindependiente"/>
        <w:spacing w:line="276" w:lineRule="auto"/>
        <w:ind w:firstLine="708"/>
        <w:jc w:val="both"/>
      </w:pPr>
      <w:r w:rsidRPr="0011235A">
        <w:t xml:space="preserve">La finalidad </w:t>
      </w:r>
      <w:r w:rsidR="00314B04" w:rsidRPr="0011235A">
        <w:t>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w:t>
      </w:r>
      <w:r w:rsidRPr="0011235A">
        <w:t xml:space="preserve">. Esta </w:t>
      </w:r>
      <w:r w:rsidR="00314B04" w:rsidRPr="0011235A">
        <w:t>interpretación permite incentivar la creación de empresa y generar una mayor participación de las empresas recién constituidas</w:t>
      </w:r>
      <w:r w:rsidR="00FD6B37">
        <w:t>, garantizando a su vez una mayor competitividad</w:t>
      </w:r>
      <w:r w:rsidR="00314B04" w:rsidRPr="0011235A">
        <w:t>.</w:t>
      </w:r>
    </w:p>
    <w:p w14:paraId="1F64E076" w14:textId="77777777" w:rsidR="00314B04" w:rsidRPr="0011235A" w:rsidRDefault="00314B04" w:rsidP="00954F93">
      <w:pPr>
        <w:pStyle w:val="Textoindependiente"/>
      </w:pPr>
    </w:p>
    <w:p w14:paraId="7C03C63C" w14:textId="436F6CC3" w:rsidR="00314B04" w:rsidRDefault="00314B04" w:rsidP="007A6F18">
      <w:pPr>
        <w:pStyle w:val="Textoindependiente"/>
        <w:spacing w:line="276" w:lineRule="auto"/>
        <w:jc w:val="both"/>
      </w:pPr>
      <w:r w:rsidRPr="0011235A">
        <w:t xml:space="preserve">En este sentido, si bien la norma no determina si después de tres (3) años de constituida la </w:t>
      </w:r>
      <w:r w:rsidRPr="0011235A">
        <w:lastRenderedPageBreak/>
        <w:t>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w:t>
      </w:r>
      <w:r w:rsidRPr="0011235A">
        <w:rPr>
          <w:spacing w:val="-14"/>
        </w:rPr>
        <w:t xml:space="preserve"> </w:t>
      </w:r>
      <w:r w:rsidRPr="0011235A">
        <w:t>contratación.</w:t>
      </w:r>
    </w:p>
    <w:p w14:paraId="24AC5978" w14:textId="77777777" w:rsidR="00D0280A" w:rsidRPr="0011235A" w:rsidRDefault="00D0280A" w:rsidP="00954F93">
      <w:pPr>
        <w:pStyle w:val="Textoindependiente"/>
        <w:spacing w:line="276" w:lineRule="auto"/>
        <w:jc w:val="both"/>
      </w:pPr>
    </w:p>
    <w:p w14:paraId="4DAE4437" w14:textId="02F12844" w:rsidR="00BE1E33" w:rsidRPr="006C15D5" w:rsidRDefault="00D0280A" w:rsidP="00954F93">
      <w:pPr>
        <w:pStyle w:val="Prrafodelista"/>
        <w:tabs>
          <w:tab w:val="left" w:pos="284"/>
        </w:tabs>
        <w:spacing w:line="276" w:lineRule="auto"/>
        <w:ind w:left="0"/>
        <w:rPr>
          <w:rFonts w:ascii="Arial" w:hAnsi="Arial" w:cs="Arial"/>
          <w:b/>
          <w:bCs/>
          <w:color w:val="000000" w:themeColor="text1"/>
          <w:sz w:val="22"/>
          <w:lang w:val="es-CO"/>
        </w:rPr>
      </w:pPr>
      <w:r>
        <w:rPr>
          <w:rFonts w:ascii="Arial" w:hAnsi="Arial" w:cs="Arial"/>
          <w:b/>
          <w:bCs/>
          <w:color w:val="000000" w:themeColor="text1"/>
          <w:sz w:val="22"/>
          <w:lang w:val="es-CO"/>
        </w:rPr>
        <w:t xml:space="preserve">3.  </w:t>
      </w:r>
      <w:r w:rsidR="00BE1E33"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241DFB9E" w14:textId="0C5CBEE3" w:rsidR="007C3F6C" w:rsidRPr="005357D1" w:rsidRDefault="007C3F6C" w:rsidP="00954F93">
      <w:pPr>
        <w:autoSpaceDE w:val="0"/>
        <w:autoSpaceDN w:val="0"/>
        <w:adjustRightInd w:val="0"/>
        <w:ind w:left="709" w:right="709"/>
        <w:jc w:val="both"/>
        <w:rPr>
          <w:rFonts w:ascii="Arial" w:hAnsi="Arial" w:cs="Arial"/>
          <w:sz w:val="22"/>
          <w:lang w:val="es-CO"/>
        </w:rPr>
      </w:pPr>
      <w:r w:rsidRPr="00954F93">
        <w:rPr>
          <w:rFonts w:ascii="Arial" w:hAnsi="Arial" w:cs="Arial"/>
          <w:sz w:val="21"/>
          <w:szCs w:val="21"/>
        </w:rPr>
        <w:t>«[…]</w:t>
      </w:r>
      <w:r w:rsidRPr="00954F93">
        <w:rPr>
          <w:rFonts w:ascii="Arial" w:hAnsi="Arial" w:cs="Arial"/>
          <w:sz w:val="21"/>
          <w:szCs w:val="21"/>
          <w:lang w:val="es-CO"/>
        </w:rPr>
        <w:t xml:space="preserve"> indique el alcance de la experiencia otorgada por un accionista de la empresa en los primeros 3 años de constitución</w:t>
      </w:r>
      <w:r w:rsidRPr="00954F93">
        <w:rPr>
          <w:rFonts w:ascii="Arial" w:hAnsi="Arial" w:cs="Arial"/>
          <w:sz w:val="21"/>
          <w:szCs w:val="21"/>
        </w:rPr>
        <w:t>»</w:t>
      </w:r>
      <w:r w:rsidRPr="00954F93">
        <w:rPr>
          <w:rFonts w:ascii="Arial" w:hAnsi="Arial" w:cs="Arial"/>
          <w:sz w:val="21"/>
          <w:szCs w:val="21"/>
          <w:lang w:val="es-CO"/>
        </w:rPr>
        <w:t>.</w:t>
      </w:r>
    </w:p>
    <w:p w14:paraId="2B1BAA16" w14:textId="6CAC3696" w:rsidR="00982E99" w:rsidRPr="00B372E7" w:rsidRDefault="00982E99" w:rsidP="00BE1E33">
      <w:pPr>
        <w:jc w:val="both"/>
        <w:rPr>
          <w:rFonts w:ascii="Arial" w:eastAsia="Calibri" w:hAnsi="Arial" w:cs="Arial"/>
          <w:color w:val="000000" w:themeColor="text1"/>
          <w:sz w:val="22"/>
          <w:lang w:val="es-CO"/>
        </w:rPr>
      </w:pPr>
    </w:p>
    <w:p w14:paraId="0D161706" w14:textId="236DFAAA" w:rsidR="00425AC3" w:rsidRDefault="007C3F6C" w:rsidP="00954F93">
      <w:pPr>
        <w:pStyle w:val="Textoindependiente"/>
        <w:spacing w:after="120" w:line="276" w:lineRule="auto"/>
        <w:jc w:val="both"/>
      </w:pPr>
      <w:r>
        <w:t xml:space="preserve">Conforme a lo expuesto, </w:t>
      </w:r>
      <w:r w:rsidR="005D51F6">
        <w:t>e</w:t>
      </w:r>
      <w:r w:rsidR="005D51F6" w:rsidRPr="005B6E41">
        <w:t>l numeral 2.5 del artículo 2.2.1.1.1.5.</w:t>
      </w:r>
      <w:r w:rsidR="005D51F6">
        <w:t xml:space="preserve"> del Decreto 1082 de 2015</w:t>
      </w:r>
      <w:r>
        <w:t>, establece un</w:t>
      </w:r>
      <w:r w:rsidR="006F1088">
        <w:t>a</w:t>
      </w:r>
      <w:r>
        <w:t xml:space="preserve"> prerrogativa </w:t>
      </w:r>
      <w:r w:rsidR="00405866">
        <w:t>en atención a la cual</w:t>
      </w:r>
      <w:r w:rsidR="006F1088">
        <w:t>,</w:t>
      </w:r>
      <w:r w:rsidR="005D51F6">
        <w:t xml:space="preserve"> </w:t>
      </w:r>
      <w:r w:rsidR="005D51F6" w:rsidRPr="005B6E41">
        <w:t>la</w:t>
      </w:r>
      <w:r w:rsidR="00405866">
        <w:t>s</w:t>
      </w:r>
      <w:r w:rsidR="005D51F6" w:rsidRPr="005B6E41">
        <w:t xml:space="preserve"> persona</w:t>
      </w:r>
      <w:r w:rsidR="00405866">
        <w:t>s</w:t>
      </w:r>
      <w:r w:rsidR="005D51F6" w:rsidRPr="005B6E41">
        <w:t xml:space="preserve"> jurídica</w:t>
      </w:r>
      <w:r w:rsidR="00405866">
        <w:t>s</w:t>
      </w:r>
      <w:r w:rsidR="005D51F6" w:rsidRPr="005B6E41">
        <w:t xml:space="preserve"> </w:t>
      </w:r>
      <w:r w:rsidR="002B0C1C">
        <w:t xml:space="preserve">con menos de 3 años de </w:t>
      </w:r>
      <w:r w:rsidR="00376A36">
        <w:t>constitución</w:t>
      </w:r>
      <w:r w:rsidR="002B0C1C">
        <w:t xml:space="preserve"> </w:t>
      </w:r>
      <w:r w:rsidR="00376A36">
        <w:t xml:space="preserve">pueden inscribir en el RUP experiencia adquirida por sus socios o constituyentes, y en consecuencia acreditarla como propia en los procesos de selección en los que la persona </w:t>
      </w:r>
      <w:r w:rsidR="00E60FBC">
        <w:t xml:space="preserve">jurídica participe. </w:t>
      </w:r>
      <w:r w:rsidR="00896BD4">
        <w:t>Esto, siempre y cuando, se ejerza debidamente el deber de renovación del RUP, lo que evita que cesen sus efectos</w:t>
      </w:r>
      <w:r w:rsidR="00A142A5">
        <w:t>.</w:t>
      </w:r>
      <w:r w:rsidR="008B2FF0">
        <w:t xml:space="preserve"> </w:t>
      </w:r>
    </w:p>
    <w:p w14:paraId="78B2C408" w14:textId="2613E795" w:rsidR="00425AC3" w:rsidRPr="005B6E41" w:rsidRDefault="00A142A5" w:rsidP="00954F93">
      <w:pPr>
        <w:pStyle w:val="Textoindependiente"/>
        <w:tabs>
          <w:tab w:val="left" w:pos="8789"/>
        </w:tabs>
        <w:spacing w:line="276" w:lineRule="auto"/>
        <w:ind w:right="49" w:firstLine="708"/>
        <w:jc w:val="both"/>
      </w:pPr>
      <w:r>
        <w:t xml:space="preserve">La renovación oportuna del RUP además permitirá que, una vez transcurridos los primeros 3 años de constitución, la sociedad pueda seguir acreditando la experiencia de sus socios, al haber quedado incorporada en el RUP. </w:t>
      </w:r>
      <w:r w:rsidR="00425AC3" w:rsidRPr="005D51F6">
        <w:t xml:space="preserve">Por el contrario, si no </w:t>
      </w:r>
      <w:r w:rsidR="00425AC3" w:rsidRPr="005D51F6">
        <w:rPr>
          <w:spacing w:val="5"/>
        </w:rPr>
        <w:t xml:space="preserve">se </w:t>
      </w:r>
      <w:r w:rsidR="00425AC3" w:rsidRPr="005D51F6">
        <w:t>renueva y la persona jurídica supera los tres años de constituida, la experiencia que registró de sus socios no puede inscribirse nuevamente, puesto que el RUP ha cesado sus efectos y la Cámara de Comercio tiene que hacer nuevamente la verificación documental de la información presentada al momento de inscribirse en el</w:t>
      </w:r>
      <w:r w:rsidR="00425AC3" w:rsidRPr="005D51F6">
        <w:rPr>
          <w:spacing w:val="-27"/>
        </w:rPr>
        <w:t xml:space="preserve"> </w:t>
      </w:r>
      <w:r w:rsidR="00425AC3" w:rsidRPr="005D51F6">
        <w:t>registro.</w:t>
      </w:r>
    </w:p>
    <w:p w14:paraId="6E7FCB31" w14:textId="6B79A256" w:rsidR="00A142A5" w:rsidRDefault="00425AC3" w:rsidP="00954F93">
      <w:pPr>
        <w:spacing w:line="276" w:lineRule="auto"/>
        <w:jc w:val="both"/>
        <w:rPr>
          <w:rFonts w:ascii="Arial" w:eastAsia="Calibri" w:hAnsi="Arial" w:cs="Arial"/>
          <w:color w:val="000000" w:themeColor="text1"/>
          <w:sz w:val="22"/>
        </w:rPr>
      </w:pPr>
      <w:r>
        <w:rPr>
          <w:sz w:val="20"/>
        </w:rPr>
        <w:tab/>
      </w:r>
    </w:p>
    <w:p w14:paraId="66CE4DD8" w14:textId="25BA1336" w:rsidR="00BE1E33" w:rsidRPr="006C15D5" w:rsidRDefault="00BE1E33" w:rsidP="00954F9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4FE195B7" w14:textId="6FA7B252" w:rsidR="00D0280A" w:rsidRDefault="00C05C3D" w:rsidP="00BE1E33">
      <w:pPr>
        <w:jc w:val="center"/>
        <w:rPr>
          <w:rFonts w:ascii="Arial" w:eastAsia="Times New Roman" w:hAnsi="Arial" w:cs="Arial"/>
          <w:color w:val="000000" w:themeColor="text1"/>
          <w:sz w:val="18"/>
          <w:szCs w:val="20"/>
          <w:lang w:eastAsia="es-CO"/>
        </w:rPr>
      </w:pPr>
      <w:r>
        <w:rPr>
          <w:noProof/>
        </w:rPr>
        <w:drawing>
          <wp:inline distT="0" distB="0" distL="0" distR="0" wp14:anchorId="0F70D5B9" wp14:editId="76C3DD44">
            <wp:extent cx="2066795" cy="91440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074522" cy="917819"/>
                    </a:xfrm>
                    <a:prstGeom prst="rect">
                      <a:avLst/>
                    </a:prstGeom>
                  </pic:spPr>
                </pic:pic>
              </a:graphicData>
            </a:graphic>
          </wp:inline>
        </w:drawing>
      </w:r>
    </w:p>
    <w:p w14:paraId="2EF29EBE" w14:textId="0601D4E2" w:rsidR="00E37D48" w:rsidRPr="00E37D48" w:rsidRDefault="00E37D48" w:rsidP="00E37D48">
      <w:pP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15BB" w:rsidRPr="003F6D32" w14:paraId="28613E1D" w14:textId="77777777" w:rsidTr="00D92DF1">
        <w:trPr>
          <w:trHeight w:val="315"/>
        </w:trPr>
        <w:tc>
          <w:tcPr>
            <w:tcW w:w="812" w:type="dxa"/>
            <w:vAlign w:val="center"/>
            <w:hideMark/>
          </w:tcPr>
          <w:p w14:paraId="517FD7D1" w14:textId="77777777" w:rsidR="00DA15BB" w:rsidRPr="006C15D5" w:rsidRDefault="00DA15BB" w:rsidP="00D92DF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8750CE" w14:textId="1FE256B0" w:rsidR="00DA15BB" w:rsidRPr="006C15D5" w:rsidRDefault="00B250F5" w:rsidP="00D92D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José Luis Sánchez Cardona</w:t>
            </w:r>
          </w:p>
          <w:p w14:paraId="5233CD8B" w14:textId="31D68B3D" w:rsidR="00DA15BB" w:rsidRPr="006C15D5" w:rsidRDefault="00D0280A" w:rsidP="00D92D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w:t>
            </w:r>
            <w:r w:rsidR="00B250F5">
              <w:rPr>
                <w:rFonts w:ascii="Arial" w:eastAsia="Times New Roman" w:hAnsi="Arial" w:cs="Arial"/>
                <w:color w:val="000000" w:themeColor="text1"/>
                <w:sz w:val="16"/>
                <w:szCs w:val="16"/>
                <w:lang w:eastAsia="es-ES"/>
              </w:rPr>
              <w:t xml:space="preserve">ontratista de la </w:t>
            </w:r>
            <w:r w:rsidR="00DA15BB" w:rsidRPr="00CD169B">
              <w:rPr>
                <w:rFonts w:ascii="Arial" w:eastAsia="Times New Roman" w:hAnsi="Arial" w:cs="Arial"/>
                <w:color w:val="000000" w:themeColor="text1"/>
                <w:sz w:val="16"/>
                <w:szCs w:val="16"/>
                <w:lang w:eastAsia="es-ES"/>
              </w:rPr>
              <w:t>Subdirección de Gestión Contractual</w:t>
            </w:r>
          </w:p>
        </w:tc>
      </w:tr>
      <w:tr w:rsidR="00DA15BB" w:rsidRPr="003F6D32" w14:paraId="3338C616" w14:textId="77777777" w:rsidTr="00D92DF1">
        <w:trPr>
          <w:trHeight w:val="330"/>
        </w:trPr>
        <w:tc>
          <w:tcPr>
            <w:tcW w:w="812" w:type="dxa"/>
            <w:vAlign w:val="center"/>
            <w:hideMark/>
          </w:tcPr>
          <w:p w14:paraId="3598B89A" w14:textId="77777777" w:rsidR="00DA15BB" w:rsidRPr="006C15D5" w:rsidRDefault="00DA15BB" w:rsidP="00D92DF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A6E58C" w14:textId="54115043" w:rsidR="00F56313" w:rsidRDefault="00B250F5" w:rsidP="00D92D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Alejandro </w:t>
            </w:r>
            <w:r w:rsidR="00403AAA">
              <w:rPr>
                <w:rFonts w:ascii="Arial" w:eastAsia="Times New Roman" w:hAnsi="Arial" w:cs="Arial"/>
                <w:color w:val="000000" w:themeColor="text1"/>
                <w:sz w:val="16"/>
                <w:szCs w:val="16"/>
                <w:lang w:eastAsia="es-ES"/>
              </w:rPr>
              <w:t>Sarmiento</w:t>
            </w:r>
            <w:r>
              <w:rPr>
                <w:rFonts w:ascii="Arial" w:eastAsia="Times New Roman" w:hAnsi="Arial" w:cs="Arial"/>
                <w:color w:val="000000" w:themeColor="text1"/>
                <w:sz w:val="16"/>
                <w:szCs w:val="16"/>
                <w:lang w:eastAsia="es-ES"/>
              </w:rPr>
              <w:t xml:space="preserve"> </w:t>
            </w:r>
            <w:r w:rsidR="00D0280A">
              <w:rPr>
                <w:rFonts w:ascii="Arial" w:eastAsia="Times New Roman" w:hAnsi="Arial" w:cs="Arial"/>
                <w:color w:val="000000" w:themeColor="text1"/>
                <w:sz w:val="16"/>
                <w:szCs w:val="16"/>
                <w:lang w:eastAsia="es-ES"/>
              </w:rPr>
              <w:t>Cantillo</w:t>
            </w:r>
          </w:p>
          <w:p w14:paraId="654F6DEB" w14:textId="0EA8762F" w:rsidR="00DA15BB" w:rsidRPr="006C15D5" w:rsidRDefault="00DA15BB" w:rsidP="00D92DF1">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w:t>
            </w:r>
            <w:r w:rsidR="00D0280A">
              <w:rPr>
                <w:rFonts w:ascii="Arial" w:eastAsia="Times New Roman" w:hAnsi="Arial" w:cs="Arial"/>
                <w:color w:val="000000" w:themeColor="text1"/>
                <w:sz w:val="16"/>
                <w:szCs w:val="16"/>
                <w:lang w:eastAsia="es-ES"/>
              </w:rPr>
              <w:t>1</w:t>
            </w:r>
            <w:r w:rsidRPr="00CD169B">
              <w:rPr>
                <w:rFonts w:ascii="Arial" w:eastAsia="Times New Roman" w:hAnsi="Arial" w:cs="Arial"/>
                <w:color w:val="000000" w:themeColor="text1"/>
                <w:sz w:val="16"/>
                <w:szCs w:val="16"/>
                <w:lang w:eastAsia="es-ES"/>
              </w:rPr>
              <w:t xml:space="preserve"> de la Subdirección de Gestión Contractual</w:t>
            </w:r>
          </w:p>
        </w:tc>
      </w:tr>
      <w:tr w:rsidR="00DA15BB" w:rsidRPr="003F6D32" w14:paraId="518BF40D" w14:textId="77777777" w:rsidTr="00D92DF1">
        <w:trPr>
          <w:trHeight w:val="300"/>
        </w:trPr>
        <w:tc>
          <w:tcPr>
            <w:tcW w:w="812" w:type="dxa"/>
            <w:vAlign w:val="center"/>
            <w:hideMark/>
          </w:tcPr>
          <w:p w14:paraId="2413FB2F" w14:textId="77777777" w:rsidR="00DA15BB" w:rsidRPr="006C15D5" w:rsidRDefault="00DA15BB" w:rsidP="00D92DF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97EE9A" w14:textId="77777777" w:rsidR="00DA15BB" w:rsidRPr="00CD169B" w:rsidRDefault="00DA15BB" w:rsidP="00D92DF1">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38A94A16" w14:textId="77777777" w:rsidR="00DA15BB" w:rsidRPr="006C15D5" w:rsidRDefault="00DA15BB" w:rsidP="00D92DF1">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085A31AB" w14:textId="77777777" w:rsidR="006C5955" w:rsidRPr="006C15D5" w:rsidRDefault="006C5955" w:rsidP="00BE1E33">
      <w:pPr>
        <w:rPr>
          <w:color w:val="000000" w:themeColor="text1"/>
        </w:rPr>
      </w:pPr>
    </w:p>
    <w:sectPr w:rsidR="006C5955" w:rsidRPr="006C15D5" w:rsidSect="003149F9">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708F" w14:textId="77777777" w:rsidR="00A22619" w:rsidRDefault="00A22619" w:rsidP="008C487C">
      <w:r>
        <w:separator/>
      </w:r>
    </w:p>
  </w:endnote>
  <w:endnote w:type="continuationSeparator" w:id="0">
    <w:p w14:paraId="5E994D49" w14:textId="77777777" w:rsidR="00A22619" w:rsidRDefault="00A2261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A22619"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563CECAC"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37D4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37D4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CO" w:eastAsia="es-CO"/>
      </w:rPr>
      <w:drawing>
        <wp:inline distT="0" distB="0" distL="0" distR="0" wp14:anchorId="0323F87D" wp14:editId="160091C1">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A22619" w:rsidP="007B0854">
    <w:pPr>
      <w:pStyle w:val="Piedepgina"/>
      <w:jc w:val="center"/>
      <w:rPr>
        <w:sz w:val="18"/>
        <w:szCs w:val="18"/>
        <w:lang w:val="es-ES"/>
      </w:rPr>
    </w:pPr>
  </w:p>
  <w:p w14:paraId="428179B1" w14:textId="77777777" w:rsidR="004A34D2" w:rsidRPr="00E756AC" w:rsidRDefault="00A22619"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B765" w14:textId="77777777" w:rsidR="00A22619" w:rsidRDefault="00A22619" w:rsidP="008C487C">
      <w:r>
        <w:separator/>
      </w:r>
    </w:p>
  </w:footnote>
  <w:footnote w:type="continuationSeparator" w:id="0">
    <w:p w14:paraId="6A9282C5" w14:textId="77777777" w:rsidR="00A22619" w:rsidRDefault="00A22619" w:rsidP="008C487C">
      <w:r>
        <w:continuationSeparator/>
      </w:r>
    </w:p>
  </w:footnote>
  <w:footnote w:id="1">
    <w:p w14:paraId="465E06CF" w14:textId="06BCA24C" w:rsidR="00955ADE" w:rsidRPr="00CB1979" w:rsidRDefault="00955ADE" w:rsidP="00E37D48">
      <w:pPr>
        <w:pStyle w:val="Textonotapie"/>
        <w:ind w:firstLine="708"/>
        <w:jc w:val="both"/>
        <w:rPr>
          <w:rFonts w:ascii="Arial" w:hAnsi="Arial" w:cs="Arial"/>
          <w:sz w:val="19"/>
          <w:szCs w:val="19"/>
          <w:lang w:val="es-CO"/>
        </w:rPr>
      </w:pPr>
      <w:r w:rsidRPr="00CB1979">
        <w:rPr>
          <w:rStyle w:val="Refdenotaalpie"/>
          <w:rFonts w:ascii="Arial" w:hAnsi="Arial" w:cs="Arial"/>
          <w:sz w:val="19"/>
          <w:szCs w:val="19"/>
        </w:rPr>
        <w:footnoteRef/>
      </w:r>
      <w:r w:rsidRPr="00CB1979">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CB1979">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CB1979">
        <w:rPr>
          <w:rFonts w:ascii="Arial" w:hAnsi="Arial" w:cs="Arial"/>
          <w:sz w:val="19"/>
          <w:szCs w:val="19"/>
        </w:rPr>
        <w:t xml:space="preserve">4201913000006797 del 19 de noviembre de 2019, </w:t>
      </w:r>
      <w:r w:rsidRPr="00CB1979">
        <w:rPr>
          <w:rFonts w:ascii="Arial" w:eastAsia="Calibri" w:hAnsi="Arial" w:cs="Arial"/>
          <w:sz w:val="19"/>
          <w:szCs w:val="19"/>
        </w:rPr>
        <w:t xml:space="preserve">4201912000007182 del 3 de diciembre de 2019, 4201912000007512 del 16 de diciembre de 2019, 4201912000007607 del 9 de diciembre de 2019. </w:t>
      </w:r>
    </w:p>
  </w:footnote>
  <w:footnote w:id="2">
    <w:p w14:paraId="24B080CB" w14:textId="77777777" w:rsidR="00235A4A" w:rsidRPr="00CB1979" w:rsidRDefault="00235A4A" w:rsidP="00235A4A">
      <w:pPr>
        <w:pStyle w:val="Textonotapie"/>
        <w:ind w:firstLine="708"/>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249A285"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»Los</w:t>
      </w:r>
      <w:proofErr w:type="gramEnd"/>
      <w:r w:rsidRPr="00CB1979">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DEC99AF" w14:textId="77777777" w:rsidR="00235A4A" w:rsidRPr="00CB1979" w:rsidRDefault="00235A4A" w:rsidP="00235A4A">
      <w:pPr>
        <w:pStyle w:val="Textonotapie"/>
        <w:ind w:firstLine="708"/>
        <w:jc w:val="both"/>
        <w:rPr>
          <w:rFonts w:ascii="Arial" w:hAnsi="Arial" w:cs="Arial"/>
          <w:sz w:val="19"/>
          <w:szCs w:val="19"/>
        </w:rPr>
      </w:pPr>
      <w:r w:rsidRPr="00CB1979">
        <w:rPr>
          <w:rFonts w:ascii="Arial" w:hAnsi="Arial" w:cs="Arial"/>
          <w:sz w:val="19"/>
          <w:szCs w:val="19"/>
        </w:rPr>
        <w:t>[...]</w:t>
      </w:r>
    </w:p>
    <w:p w14:paraId="78D0D8D0"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»La</w:t>
      </w:r>
      <w:proofErr w:type="gramEnd"/>
      <w:r w:rsidRPr="00CB1979">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7F1AA8B5"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»La</w:t>
      </w:r>
      <w:proofErr w:type="gramEnd"/>
      <w:r w:rsidRPr="00CB1979">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w:t>
      </w:r>
      <w:proofErr w:type="gramStart"/>
      <w:r w:rsidRPr="00CB1979">
        <w:rPr>
          <w:rFonts w:ascii="Arial" w:hAnsi="Arial" w:cs="Arial"/>
          <w:sz w:val="19"/>
          <w:szCs w:val="19"/>
        </w:rPr>
        <w:t>obra.[...]</w:t>
      </w:r>
      <w:proofErr w:type="gramEnd"/>
      <w:r w:rsidRPr="00CB1979">
        <w:rPr>
          <w:rFonts w:ascii="Arial" w:hAnsi="Arial" w:cs="Arial"/>
          <w:sz w:val="19"/>
          <w:szCs w:val="19"/>
        </w:rPr>
        <w:t>».</w:t>
      </w:r>
    </w:p>
  </w:footnote>
  <w:footnote w:id="3">
    <w:p w14:paraId="3E0D027F" w14:textId="4C155CDC" w:rsidR="00235A4A" w:rsidRPr="00E37D48" w:rsidRDefault="00235A4A" w:rsidP="00E37D48">
      <w:pPr>
        <w:pStyle w:val="Textonotapie"/>
        <w:ind w:firstLine="708"/>
        <w:jc w:val="both"/>
        <w:rPr>
          <w:rFonts w:ascii="Arial" w:hAnsi="Arial" w:cs="Arial"/>
          <w:sz w:val="19"/>
          <w:szCs w:val="19"/>
        </w:rPr>
      </w:pPr>
      <w:r w:rsidRPr="00954F93">
        <w:rPr>
          <w:rStyle w:val="Refdenotaalpie"/>
          <w:rFonts w:ascii="Arial" w:hAnsi="Arial" w:cs="Arial"/>
          <w:sz w:val="19"/>
          <w:szCs w:val="19"/>
        </w:rPr>
        <w:footnoteRef/>
      </w:r>
      <w:r w:rsidRPr="00954F93">
        <w:rPr>
          <w:rFonts w:ascii="Arial" w:hAnsi="Arial" w:cs="Arial"/>
          <w:sz w:val="19"/>
          <w:szCs w:val="19"/>
        </w:rPr>
        <w:t xml:space="preserve"> </w:t>
      </w:r>
      <w:r w:rsidRPr="00CB1979">
        <w:rPr>
          <w:rFonts w:ascii="Arial" w:hAnsi="Arial" w:cs="Arial"/>
          <w:sz w:val="19"/>
          <w:szCs w:val="19"/>
        </w:rPr>
        <w:t>Esta conclusión cambió respecto del concepto C – 002 del 20 de febrero de 2020, para adecuarla a un mejor entendimiento de las normas sobre la experiencia.</w:t>
      </w:r>
    </w:p>
  </w:footnote>
  <w:footnote w:id="4">
    <w:p w14:paraId="14258593" w14:textId="77777777" w:rsidR="00235A4A" w:rsidRPr="00CB1979" w:rsidRDefault="00235A4A" w:rsidP="00235A4A">
      <w:pPr>
        <w:pStyle w:val="Textonotapie"/>
        <w:ind w:firstLine="708"/>
        <w:jc w:val="both"/>
        <w:rPr>
          <w:rFonts w:ascii="Arial" w:hAnsi="Arial" w:cs="Arial"/>
          <w:color w:val="000000" w:themeColor="text1"/>
          <w:sz w:val="19"/>
          <w:szCs w:val="19"/>
          <w:lang w:val="es-CO"/>
        </w:rPr>
      </w:pPr>
      <w:r w:rsidRPr="00CB1979">
        <w:rPr>
          <w:rStyle w:val="Refdenotaalpie"/>
          <w:rFonts w:ascii="Arial" w:hAnsi="Arial" w:cs="Arial"/>
          <w:color w:val="000000" w:themeColor="text1"/>
          <w:sz w:val="19"/>
          <w:szCs w:val="19"/>
        </w:rPr>
        <w:footnoteRef/>
      </w:r>
      <w:r w:rsidRPr="00CB1979">
        <w:rPr>
          <w:rFonts w:ascii="Arial" w:hAnsi="Arial" w:cs="Arial"/>
          <w:color w:val="000000" w:themeColor="text1"/>
          <w:sz w:val="19"/>
          <w:szCs w:val="19"/>
        </w:rPr>
        <w:t xml:space="preserve"> Corte Constitucional. </w:t>
      </w:r>
      <w:r w:rsidRPr="00CB1979">
        <w:rPr>
          <w:rFonts w:ascii="Arial" w:hAnsi="Arial" w:cs="Arial"/>
          <w:color w:val="000000" w:themeColor="text1"/>
          <w:sz w:val="19"/>
          <w:szCs w:val="19"/>
          <w:lang w:val="es-CO"/>
        </w:rPr>
        <w:t xml:space="preserve">Sentencia C </w:t>
      </w:r>
      <w:r w:rsidRPr="00CB1979">
        <w:rPr>
          <w:rFonts w:ascii="Arial" w:eastAsia="Calibri" w:hAnsi="Arial" w:cs="Arial"/>
          <w:color w:val="000000" w:themeColor="text1"/>
          <w:sz w:val="19"/>
          <w:szCs w:val="19"/>
        </w:rPr>
        <w:t xml:space="preserve">- </w:t>
      </w:r>
      <w:r w:rsidRPr="00CB1979">
        <w:rPr>
          <w:rFonts w:ascii="Arial" w:hAnsi="Arial" w:cs="Arial"/>
          <w:color w:val="000000" w:themeColor="text1"/>
          <w:sz w:val="19"/>
          <w:szCs w:val="19"/>
          <w:lang w:val="es-CO"/>
        </w:rPr>
        <w:t xml:space="preserve">259 del 11 de marzo 2008. M.P. Jaime Córdoba Triviño. </w:t>
      </w:r>
    </w:p>
  </w:footnote>
  <w:footnote w:id="5">
    <w:p w14:paraId="3AEF565B" w14:textId="0B8FDDA3" w:rsidR="001E6725" w:rsidRPr="00E37D48" w:rsidRDefault="00314B04" w:rsidP="00E37D48">
      <w:pPr>
        <w:pStyle w:val="Textonotapie"/>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Ley 1150 de 2007: </w:t>
      </w:r>
      <w:bookmarkStart w:id="2" w:name="_Hlk77345459"/>
      <w:r w:rsidR="006254DE" w:rsidRPr="00954F93">
        <w:rPr>
          <w:rFonts w:ascii="Arial" w:hAnsi="Arial" w:cs="Arial"/>
          <w:color w:val="000000" w:themeColor="text1"/>
          <w:sz w:val="19"/>
          <w:szCs w:val="19"/>
          <w:lang w:val="es-ES_tradnl"/>
        </w:rPr>
        <w:t>«</w:t>
      </w:r>
      <w:bookmarkEnd w:id="2"/>
      <w:r w:rsidRPr="00CB1979">
        <w:rPr>
          <w:rFonts w:ascii="Arial" w:hAnsi="Arial" w:cs="Arial"/>
          <w:sz w:val="19"/>
          <w:szCs w:val="19"/>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1E6725" w:rsidRPr="00CB1979">
        <w:rPr>
          <w:rFonts w:ascii="Arial" w:hAnsi="Arial" w:cs="Arial"/>
          <w:sz w:val="19"/>
          <w:szCs w:val="19"/>
        </w:rPr>
        <w:t>»</w:t>
      </w:r>
      <w:r w:rsidRPr="00CB1979">
        <w:rPr>
          <w:rFonts w:ascii="Arial" w:hAnsi="Arial" w:cs="Arial"/>
          <w:sz w:val="19"/>
          <w:szCs w:val="19"/>
        </w:rPr>
        <w:t>.</w:t>
      </w:r>
    </w:p>
  </w:footnote>
  <w:footnote w:id="6">
    <w:p w14:paraId="4333EC70" w14:textId="2C4037A3" w:rsidR="00314B04" w:rsidRPr="00CB1979" w:rsidRDefault="00314B04" w:rsidP="00314B04">
      <w:pPr>
        <w:spacing w:line="244" w:lineRule="auto"/>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Decreto 1082 de 2015:</w:t>
      </w:r>
      <w:r w:rsidR="00FE2CA6" w:rsidRPr="00CB1979">
        <w:rPr>
          <w:rFonts w:ascii="Arial" w:hAnsi="Arial" w:cs="Arial"/>
          <w:sz w:val="19"/>
          <w:szCs w:val="19"/>
        </w:rPr>
        <w:t xml:space="preserve"> «</w:t>
      </w:r>
      <w:r w:rsidRPr="00CB1979">
        <w:rPr>
          <w:rFonts w:ascii="Arial" w:hAnsi="Arial" w:cs="Arial"/>
          <w:sz w:val="19"/>
          <w:szCs w:val="19"/>
        </w:rPr>
        <w:t xml:space="preserve">Artículo 2.2.1.1.1.5.2. </w:t>
      </w:r>
      <w:r w:rsidRPr="00CB1979">
        <w:rPr>
          <w:rFonts w:ascii="Arial" w:hAnsi="Arial" w:cs="Arial"/>
          <w:i/>
          <w:sz w:val="19"/>
          <w:szCs w:val="19"/>
        </w:rPr>
        <w:t xml:space="preserve">Información para inscripción, renovación o actualización. </w:t>
      </w:r>
      <w:r w:rsidRPr="00CB1979">
        <w:rPr>
          <w:rFonts w:ascii="Arial" w:hAnsi="Arial" w:cs="Arial"/>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9EB1BF5" w14:textId="17CEEE47" w:rsidR="00314B04" w:rsidRPr="00CB1979" w:rsidRDefault="006254DE" w:rsidP="00F56313">
      <w:pPr>
        <w:ind w:firstLine="708"/>
        <w:jc w:val="both"/>
        <w:rPr>
          <w:rFonts w:ascii="Arial" w:hAnsi="Arial" w:cs="Arial"/>
          <w:sz w:val="19"/>
          <w:szCs w:val="19"/>
        </w:rPr>
      </w:pPr>
      <w:bookmarkStart w:id="3" w:name="_Hlk77345438"/>
      <w:r w:rsidRPr="00CB1979">
        <w:rPr>
          <w:rFonts w:ascii="Arial" w:hAnsi="Arial" w:cs="Arial"/>
          <w:sz w:val="19"/>
          <w:szCs w:val="19"/>
        </w:rPr>
        <w:t>»</w:t>
      </w:r>
      <w:bookmarkEnd w:id="3"/>
      <w:r w:rsidR="00314B04" w:rsidRPr="00CB1979">
        <w:rPr>
          <w:rFonts w:ascii="Arial" w:hAnsi="Arial" w:cs="Arial"/>
          <w:sz w:val="19"/>
          <w:szCs w:val="19"/>
        </w:rPr>
        <w:t>1. Si es una persona natural:</w:t>
      </w:r>
    </w:p>
    <w:p w14:paraId="53CEAFEC" w14:textId="708D4020" w:rsidR="00314B04" w:rsidRPr="00CB1979" w:rsidRDefault="006254DE" w:rsidP="00F56313">
      <w:pPr>
        <w:ind w:firstLine="708"/>
        <w:jc w:val="both"/>
        <w:rPr>
          <w:rFonts w:ascii="Arial" w:hAnsi="Arial" w:cs="Arial"/>
          <w:sz w:val="19"/>
          <w:szCs w:val="19"/>
        </w:rPr>
      </w:pPr>
      <w:r w:rsidRPr="00CB1979">
        <w:rPr>
          <w:rFonts w:ascii="Arial" w:hAnsi="Arial" w:cs="Arial"/>
          <w:sz w:val="19"/>
          <w:szCs w:val="19"/>
        </w:rPr>
        <w:t>»</w:t>
      </w:r>
      <w:r w:rsidR="00314B04" w:rsidRPr="00CB197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00314B04" w:rsidRPr="00CB1979">
        <w:rPr>
          <w:rFonts w:ascii="Arial" w:hAnsi="Arial" w:cs="Arial"/>
          <w:spacing w:val="-11"/>
          <w:sz w:val="19"/>
          <w:szCs w:val="19"/>
        </w:rPr>
        <w:t xml:space="preserve"> </w:t>
      </w:r>
      <w:r w:rsidR="00314B04" w:rsidRPr="00CB1979">
        <w:rPr>
          <w:rFonts w:ascii="Arial" w:hAnsi="Arial" w:cs="Arial"/>
          <w:sz w:val="19"/>
          <w:szCs w:val="19"/>
        </w:rPr>
        <w:t>nivel</w:t>
      </w:r>
      <w:r w:rsidR="00FE2CA6" w:rsidRPr="00CB1979">
        <w:rPr>
          <w:rFonts w:ascii="Arial" w:hAnsi="Arial" w:cs="Arial"/>
          <w:sz w:val="19"/>
          <w:szCs w:val="19"/>
        </w:rPr>
        <w:t xml:space="preserve"> […]</w:t>
      </w:r>
      <w:r w:rsidRPr="00CB1979">
        <w:rPr>
          <w:rFonts w:ascii="Arial" w:hAnsi="Arial" w:cs="Arial"/>
          <w:sz w:val="19"/>
          <w:szCs w:val="19"/>
        </w:rPr>
        <w:t>»</w:t>
      </w:r>
      <w:r w:rsidR="00314B04" w:rsidRPr="00CB1979">
        <w:rPr>
          <w:rFonts w:ascii="Arial" w:hAnsi="Arial" w:cs="Arial"/>
          <w:sz w:val="19"/>
          <w:szCs w:val="19"/>
        </w:rPr>
        <w:t>.</w:t>
      </w:r>
    </w:p>
    <w:p w14:paraId="3B3FDCDB" w14:textId="77777777" w:rsidR="00314B04" w:rsidRPr="00CB1979" w:rsidRDefault="00314B04" w:rsidP="00314B04">
      <w:pPr>
        <w:pStyle w:val="Textonotapie"/>
        <w:ind w:firstLine="720"/>
        <w:jc w:val="both"/>
        <w:rPr>
          <w:rFonts w:ascii="Arial" w:hAnsi="Arial" w:cs="Arial"/>
          <w:sz w:val="19"/>
          <w:szCs w:val="19"/>
          <w:lang w:val="es-CO"/>
        </w:rPr>
      </w:pPr>
    </w:p>
  </w:footnote>
  <w:footnote w:id="7">
    <w:p w14:paraId="5981F21A" w14:textId="3BA82241" w:rsidR="00C20C77" w:rsidRPr="00CB1979" w:rsidRDefault="00C20C77" w:rsidP="00C20C77">
      <w:pPr>
        <w:pStyle w:val="Textonotapie"/>
        <w:ind w:firstLine="708"/>
        <w:jc w:val="both"/>
        <w:rPr>
          <w:rFonts w:ascii="Arial" w:hAnsi="Arial" w:cs="Arial"/>
          <w:sz w:val="19"/>
          <w:szCs w:val="19"/>
          <w:lang w:val="es-CO"/>
        </w:rPr>
      </w:pPr>
      <w:r w:rsidRPr="00CB1979">
        <w:rPr>
          <w:rStyle w:val="Refdenotaalpie"/>
          <w:rFonts w:ascii="Arial" w:hAnsi="Arial" w:cs="Arial"/>
          <w:sz w:val="19"/>
          <w:szCs w:val="19"/>
        </w:rPr>
        <w:footnoteRef/>
      </w:r>
      <w:r w:rsidRPr="00CB1979">
        <w:rPr>
          <w:rFonts w:ascii="Arial" w:hAnsi="Arial" w:cs="Arial"/>
          <w:sz w:val="19"/>
          <w:szCs w:val="19"/>
        </w:rPr>
        <w:t xml:space="preserve"> «</w:t>
      </w:r>
      <w:r w:rsidR="00D526CD" w:rsidRPr="00CB1979">
        <w:rPr>
          <w:rFonts w:ascii="Arial" w:hAnsi="Arial" w:cs="Arial"/>
          <w:sz w:val="19"/>
          <w:szCs w:val="19"/>
        </w:rPr>
        <w:t xml:space="preserve">[…] </w:t>
      </w:r>
      <w:r w:rsidRPr="00CB1979">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CB1979">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CB1979">
        <w:rPr>
          <w:rFonts w:ascii="Arial" w:hAnsi="Arial" w:cs="Arial"/>
          <w:sz w:val="19"/>
          <w:szCs w:val="19"/>
        </w:rPr>
        <w:t>».</w:t>
      </w:r>
    </w:p>
  </w:footnote>
  <w:footnote w:id="8">
    <w:p w14:paraId="1D94588F" w14:textId="77777777" w:rsidR="00481B16" w:rsidRPr="00CB1979" w:rsidRDefault="00481B16" w:rsidP="00E37D48">
      <w:pPr>
        <w:pStyle w:val="Textonotapie"/>
        <w:rPr>
          <w:rFonts w:ascii="Arial" w:hAnsi="Arial" w:cs="Arial"/>
          <w:sz w:val="19"/>
          <w:szCs w:val="19"/>
        </w:rPr>
      </w:pPr>
    </w:p>
    <w:p w14:paraId="5F162364" w14:textId="77777777" w:rsidR="00481B16" w:rsidRPr="00CB1979" w:rsidRDefault="00481B16" w:rsidP="00481B16">
      <w:pPr>
        <w:pStyle w:val="Textonotapie"/>
        <w:ind w:firstLine="708"/>
        <w:jc w:val="both"/>
        <w:rPr>
          <w:rFonts w:ascii="Arial" w:hAnsi="Arial" w:cs="Arial"/>
          <w:sz w:val="19"/>
          <w:szCs w:val="19"/>
          <w:lang w:val="es-ES"/>
        </w:rPr>
      </w:pPr>
      <w:r w:rsidRPr="00CB1979">
        <w:rPr>
          <w:rStyle w:val="Refdenotaalpie"/>
          <w:rFonts w:ascii="Arial" w:hAnsi="Arial" w:cs="Arial"/>
          <w:sz w:val="19"/>
          <w:szCs w:val="19"/>
        </w:rPr>
        <w:footnoteRef/>
      </w:r>
      <w:r w:rsidRPr="00CB1979">
        <w:rPr>
          <w:rFonts w:ascii="Arial" w:hAnsi="Arial" w:cs="Arial"/>
          <w:sz w:val="19"/>
          <w:szCs w:val="19"/>
        </w:rPr>
        <w:t xml:space="preserve"> Al respecto, la doctrina señala: </w:t>
      </w:r>
      <w:r w:rsidRPr="00CB1979">
        <w:rPr>
          <w:rFonts w:ascii="Arial" w:hAnsi="Arial" w:cs="Arial"/>
          <w:sz w:val="19"/>
          <w:szCs w:val="19"/>
          <w:lang w:val="es-ES"/>
        </w:rPr>
        <w:t xml:space="preserve">«La capacidad de contratación es propia de la persona inscrita, por lo que es intransferible a otras como serían sus socios. Sin embargo, de manera excepcional se admite que se incluya como experiencia y capacidad de la sociedad la propia de sus socios. Así acontece para la sociedad cuya existencia sea inferior a 24 meses. Con igual criterio la clasificación de estas </w:t>
      </w:r>
      <w:r w:rsidRPr="00CB1979">
        <w:rPr>
          <w:rFonts w:ascii="Arial" w:hAnsi="Arial" w:cs="Arial"/>
          <w:sz w:val="19"/>
          <w:szCs w:val="19"/>
        </w:rPr>
        <w:t>sociedades</w:t>
      </w:r>
      <w:r w:rsidRPr="00CB1979">
        <w:rPr>
          <w:rFonts w:ascii="Arial" w:hAnsi="Arial" w:cs="Arial"/>
          <w:sz w:val="19"/>
          <w:szCs w:val="19"/>
          <w:lang w:val="es-ES"/>
        </w:rPr>
        <w:t xml:space="preserve"> se puede hacer aceptando la de sus socios (arts. 9°, 10, 14 y 19 del D. 92 de 1998, modificados por los artículos 8,13 y 18 del D. 393 de 2002, respectivamente)». </w:t>
      </w:r>
      <w:r w:rsidRPr="00CB1979">
        <w:rPr>
          <w:rFonts w:ascii="Arial" w:hAnsi="Arial" w:cs="Arial"/>
          <w:sz w:val="19"/>
          <w:szCs w:val="19"/>
        </w:rPr>
        <w:t xml:space="preserve">DÁVILA VINUEZA, Luis Guillermo. Régimen jurídico de la contratación estatal. 3° ed. Bogotá: Legis, 2016. p. 210. </w:t>
      </w:r>
    </w:p>
  </w:footnote>
  <w:footnote w:id="9">
    <w:p w14:paraId="1B26D7C4" w14:textId="77777777" w:rsidR="00F1170C" w:rsidRPr="00CB1979" w:rsidRDefault="00F1170C" w:rsidP="00F1170C">
      <w:pPr>
        <w:pStyle w:val="Textonotapie"/>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 Concepto del 7 de febrero de 2018, Rad. 2201813000000954.</w:t>
      </w:r>
    </w:p>
    <w:p w14:paraId="3C3045E2" w14:textId="77777777" w:rsidR="00F1170C" w:rsidRPr="00CB1979" w:rsidRDefault="00F1170C" w:rsidP="00F1170C">
      <w:pPr>
        <w:pStyle w:val="Textonotapie"/>
        <w:ind w:firstLine="720"/>
        <w:jc w:val="both"/>
        <w:rPr>
          <w:rFonts w:ascii="Arial" w:hAnsi="Arial" w:cs="Arial"/>
          <w:sz w:val="19"/>
          <w:szCs w:val="19"/>
          <w:lang w:val="es-CO"/>
        </w:rPr>
      </w:pPr>
    </w:p>
  </w:footnote>
  <w:footnote w:id="10">
    <w:p w14:paraId="74228C3E" w14:textId="77EC26F7" w:rsidR="00BD16F7" w:rsidRPr="00E37D48" w:rsidRDefault="00BD16F7" w:rsidP="00E37D48">
      <w:pPr>
        <w:pStyle w:val="Textonotapie"/>
        <w:ind w:firstLine="708"/>
        <w:jc w:val="both"/>
        <w:rPr>
          <w:rFonts w:ascii="Arial" w:hAnsi="Arial" w:cs="Arial"/>
          <w:sz w:val="19"/>
          <w:szCs w:val="19"/>
        </w:rPr>
      </w:pPr>
      <w:r w:rsidRPr="00954F93">
        <w:rPr>
          <w:rStyle w:val="Refdenotaalpie"/>
          <w:rFonts w:ascii="Arial" w:hAnsi="Arial" w:cs="Arial"/>
          <w:sz w:val="19"/>
          <w:szCs w:val="19"/>
        </w:rPr>
        <w:footnoteRef/>
      </w:r>
      <w:r w:rsidRPr="00954F93">
        <w:rPr>
          <w:rFonts w:ascii="Arial" w:hAnsi="Arial" w:cs="Arial"/>
          <w:sz w:val="19"/>
          <w:szCs w:val="19"/>
        </w:rPr>
        <w:t xml:space="preserve"> </w:t>
      </w:r>
      <w:r w:rsidRPr="00CB1979">
        <w:rPr>
          <w:rFonts w:ascii="Arial" w:hAnsi="Arial" w:cs="Arial"/>
          <w:sz w:val="19"/>
          <w:szCs w:val="19"/>
        </w:rPr>
        <w:t>Colombia Compra Eficiente, Concepto del 1</w:t>
      </w:r>
      <w:r w:rsidRPr="00954F93">
        <w:rPr>
          <w:rFonts w:ascii="Arial" w:hAnsi="Arial" w:cs="Arial"/>
          <w:sz w:val="19"/>
          <w:szCs w:val="19"/>
        </w:rPr>
        <w:t>9 de noviembre de 2019, Rad. 201913000006797.</w:t>
      </w:r>
    </w:p>
  </w:footnote>
  <w:footnote w:id="11">
    <w:p w14:paraId="1791E1B7" w14:textId="1DB99E4E" w:rsidR="001D7E02" w:rsidRPr="00CB1979" w:rsidRDefault="001D7E02" w:rsidP="00E37D48">
      <w:pPr>
        <w:pStyle w:val="Textonotapie"/>
        <w:ind w:left="708" w:firstLine="1"/>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w:t>
      </w:r>
      <w:r w:rsidR="00BD16F7" w:rsidRPr="00CB1979">
        <w:rPr>
          <w:rFonts w:ascii="Arial" w:hAnsi="Arial" w:cs="Arial"/>
          <w:sz w:val="19"/>
          <w:szCs w:val="19"/>
        </w:rPr>
        <w:t>,</w:t>
      </w:r>
      <w:r w:rsidRPr="00CB1979">
        <w:rPr>
          <w:rFonts w:ascii="Arial" w:hAnsi="Arial" w:cs="Arial"/>
          <w:sz w:val="19"/>
          <w:szCs w:val="19"/>
        </w:rPr>
        <w:t xml:space="preserve"> Concepto del 7</w:t>
      </w:r>
      <w:r w:rsidR="00BD16F7" w:rsidRPr="00CB1979">
        <w:rPr>
          <w:rFonts w:ascii="Arial" w:hAnsi="Arial" w:cs="Arial"/>
          <w:sz w:val="19"/>
          <w:szCs w:val="19"/>
        </w:rPr>
        <w:t xml:space="preserve"> </w:t>
      </w:r>
      <w:r w:rsidRPr="00CB1979">
        <w:rPr>
          <w:rFonts w:ascii="Arial" w:hAnsi="Arial" w:cs="Arial"/>
          <w:sz w:val="19"/>
          <w:szCs w:val="19"/>
        </w:rPr>
        <w:t>de febrero de 2018, Rad. 2201813000000954.</w:t>
      </w:r>
    </w:p>
  </w:footnote>
  <w:footnote w:id="12">
    <w:p w14:paraId="451FF9B4" w14:textId="484CC3D9" w:rsidR="00314B04" w:rsidRPr="00CB1979" w:rsidRDefault="00314B04" w:rsidP="00954F93">
      <w:pPr>
        <w:spacing w:after="60" w:line="244" w:lineRule="auto"/>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Decreto 1082 de 2015: </w:t>
      </w:r>
      <w:r w:rsidR="006254DE" w:rsidRPr="00954F93">
        <w:rPr>
          <w:rFonts w:ascii="Arial" w:hAnsi="Arial" w:cs="Arial"/>
          <w:color w:val="000000" w:themeColor="text1"/>
          <w:sz w:val="19"/>
          <w:szCs w:val="19"/>
          <w:lang w:val="es-ES_tradnl"/>
        </w:rPr>
        <w:t>«</w:t>
      </w:r>
      <w:r w:rsidRPr="00CB1979">
        <w:rPr>
          <w:rFonts w:ascii="Arial" w:hAnsi="Arial" w:cs="Arial"/>
          <w:sz w:val="19"/>
          <w:szCs w:val="19"/>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CB1979">
        <w:rPr>
          <w:rFonts w:ascii="Arial" w:hAnsi="Arial" w:cs="Arial"/>
          <w:spacing w:val="-14"/>
          <w:sz w:val="19"/>
          <w:szCs w:val="19"/>
        </w:rPr>
        <w:t xml:space="preserve"> </w:t>
      </w:r>
      <w:r w:rsidRPr="00CB1979">
        <w:rPr>
          <w:rFonts w:ascii="Arial" w:hAnsi="Arial" w:cs="Arial"/>
          <w:sz w:val="19"/>
          <w:szCs w:val="19"/>
        </w:rPr>
        <w:t>ley.</w:t>
      </w:r>
    </w:p>
    <w:p w14:paraId="079B6A75" w14:textId="440241CF" w:rsidR="00314B04" w:rsidRPr="00CB1979" w:rsidRDefault="00434CB8" w:rsidP="00954F93">
      <w:pPr>
        <w:spacing w:after="60"/>
        <w:jc w:val="both"/>
        <w:rPr>
          <w:rFonts w:ascii="Arial" w:hAnsi="Arial" w:cs="Arial"/>
          <w:sz w:val="19"/>
          <w:szCs w:val="19"/>
        </w:rPr>
      </w:pPr>
      <w:r w:rsidRPr="00CB1979">
        <w:rPr>
          <w:rFonts w:ascii="Arial" w:hAnsi="Arial" w:cs="Arial"/>
          <w:sz w:val="19"/>
          <w:szCs w:val="19"/>
        </w:rPr>
        <w:tab/>
        <w:t xml:space="preserve">» </w:t>
      </w:r>
      <w:r w:rsidR="00314B04" w:rsidRPr="00CB1979">
        <w:rPr>
          <w:rFonts w:ascii="Arial" w:hAnsi="Arial" w:cs="Arial"/>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D364E1B" w14:textId="64437BEA" w:rsidR="00314B04" w:rsidRPr="00CB1979" w:rsidRDefault="00434CB8" w:rsidP="00954F93">
      <w:pPr>
        <w:pStyle w:val="Textonotapie"/>
        <w:spacing w:after="60"/>
        <w:ind w:firstLine="720"/>
        <w:jc w:val="both"/>
        <w:rPr>
          <w:rFonts w:ascii="Arial" w:hAnsi="Arial" w:cs="Arial"/>
          <w:sz w:val="19"/>
          <w:szCs w:val="19"/>
          <w:lang w:val="es-CO"/>
        </w:rPr>
      </w:pPr>
      <w:r w:rsidRPr="00CB1979">
        <w:rPr>
          <w:rFonts w:ascii="Arial" w:hAnsi="Arial" w:cs="Arial"/>
          <w:sz w:val="19"/>
          <w:szCs w:val="19"/>
        </w:rPr>
        <w:t>»</w:t>
      </w:r>
      <w:r w:rsidR="009D1B51" w:rsidRPr="00CB1979">
        <w:rPr>
          <w:rFonts w:ascii="Arial" w:hAnsi="Arial" w:cs="Arial"/>
          <w:sz w:val="19"/>
          <w:szCs w:val="19"/>
        </w:rPr>
        <w:t xml:space="preserve"> </w:t>
      </w:r>
      <w:r w:rsidR="00314B04" w:rsidRPr="00CB1979">
        <w:rPr>
          <w:rFonts w:ascii="Arial" w:hAnsi="Arial" w:cs="Arial"/>
          <w:sz w:val="19"/>
          <w:szCs w:val="19"/>
        </w:rPr>
        <w:t>Los inscritos en el RUP pueden en cualquier momento solicitar a la cámara de comercio cancelar su inscripción</w:t>
      </w:r>
      <w:r w:rsidRPr="00CB1979">
        <w:rPr>
          <w:rFonts w:ascii="Arial" w:hAnsi="Arial" w:cs="Arial"/>
          <w:sz w:val="19"/>
          <w:szCs w:val="19"/>
        </w:rPr>
        <w:t>»</w:t>
      </w:r>
      <w:r w:rsidR="00314B04" w:rsidRPr="00CB197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D22D55"/>
    <w:multiLevelType w:val="hybridMultilevel"/>
    <w:tmpl w:val="2FD0C698"/>
    <w:lvl w:ilvl="0" w:tplc="92BA96A2">
      <w:start w:val="1"/>
      <w:numFmt w:val="decimal"/>
      <w:lvlText w:val="%1."/>
      <w:lvlJc w:val="left"/>
      <w:pPr>
        <w:ind w:left="720" w:hanging="360"/>
      </w:pPr>
      <w:rPr>
        <w:rFonts w:hint="default"/>
        <w:color w:val="4E4D4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E820B23"/>
    <w:multiLevelType w:val="hybridMultilevel"/>
    <w:tmpl w:val="223CC30E"/>
    <w:lvl w:ilvl="0" w:tplc="2F729978">
      <w:start w:val="1"/>
      <w:numFmt w:val="decimal"/>
      <w:lvlText w:val="%1."/>
      <w:lvlJc w:val="left"/>
      <w:pPr>
        <w:ind w:left="659" w:hanging="360"/>
      </w:pPr>
      <w:rPr>
        <w:rFonts w:hint="default"/>
        <w:color w:val="4E4D4D"/>
      </w:rPr>
    </w:lvl>
    <w:lvl w:ilvl="1" w:tplc="240A0019">
      <w:start w:val="1"/>
      <w:numFmt w:val="lowerLetter"/>
      <w:lvlText w:val="%2."/>
      <w:lvlJc w:val="left"/>
      <w:pPr>
        <w:ind w:left="1379" w:hanging="360"/>
      </w:pPr>
    </w:lvl>
    <w:lvl w:ilvl="2" w:tplc="240A001B">
      <w:start w:val="1"/>
      <w:numFmt w:val="lowerRoman"/>
      <w:lvlText w:val="%3."/>
      <w:lvlJc w:val="right"/>
      <w:pPr>
        <w:ind w:left="2099" w:hanging="180"/>
      </w:pPr>
    </w:lvl>
    <w:lvl w:ilvl="3" w:tplc="240A000F" w:tentative="1">
      <w:start w:val="1"/>
      <w:numFmt w:val="decimal"/>
      <w:lvlText w:val="%4."/>
      <w:lvlJc w:val="left"/>
      <w:pPr>
        <w:ind w:left="2819" w:hanging="360"/>
      </w:pPr>
    </w:lvl>
    <w:lvl w:ilvl="4" w:tplc="240A0019" w:tentative="1">
      <w:start w:val="1"/>
      <w:numFmt w:val="lowerLetter"/>
      <w:lvlText w:val="%5."/>
      <w:lvlJc w:val="left"/>
      <w:pPr>
        <w:ind w:left="3539" w:hanging="360"/>
      </w:pPr>
    </w:lvl>
    <w:lvl w:ilvl="5" w:tplc="240A001B" w:tentative="1">
      <w:start w:val="1"/>
      <w:numFmt w:val="lowerRoman"/>
      <w:lvlText w:val="%6."/>
      <w:lvlJc w:val="right"/>
      <w:pPr>
        <w:ind w:left="4259" w:hanging="180"/>
      </w:pPr>
    </w:lvl>
    <w:lvl w:ilvl="6" w:tplc="240A000F" w:tentative="1">
      <w:start w:val="1"/>
      <w:numFmt w:val="decimal"/>
      <w:lvlText w:val="%7."/>
      <w:lvlJc w:val="left"/>
      <w:pPr>
        <w:ind w:left="4979" w:hanging="360"/>
      </w:pPr>
    </w:lvl>
    <w:lvl w:ilvl="7" w:tplc="240A0019" w:tentative="1">
      <w:start w:val="1"/>
      <w:numFmt w:val="lowerLetter"/>
      <w:lvlText w:val="%8."/>
      <w:lvlJc w:val="left"/>
      <w:pPr>
        <w:ind w:left="5699" w:hanging="360"/>
      </w:pPr>
    </w:lvl>
    <w:lvl w:ilvl="8" w:tplc="240A001B" w:tentative="1">
      <w:start w:val="1"/>
      <w:numFmt w:val="lowerRoman"/>
      <w:lvlText w:val="%9."/>
      <w:lvlJc w:val="right"/>
      <w:pPr>
        <w:ind w:left="6419"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8E0633"/>
    <w:multiLevelType w:val="multilevel"/>
    <w:tmpl w:val="EF5E78A2"/>
    <w:lvl w:ilvl="0">
      <w:start w:val="2"/>
      <w:numFmt w:val="decimal"/>
      <w:lvlText w:val="%1."/>
      <w:lvlJc w:val="left"/>
      <w:pPr>
        <w:ind w:left="360" w:hanging="360"/>
      </w:pPr>
      <w:rPr>
        <w:rFonts w:hint="default"/>
        <w:color w:val="4E4D4D"/>
      </w:rPr>
    </w:lvl>
    <w:lvl w:ilvl="1">
      <w:start w:val="1"/>
      <w:numFmt w:val="decimal"/>
      <w:lvlText w:val="%1.%2."/>
      <w:lvlJc w:val="left"/>
      <w:pPr>
        <w:ind w:left="2138" w:hanging="720"/>
      </w:pPr>
      <w:rPr>
        <w:rFonts w:hint="default"/>
        <w:color w:val="4E4D4D"/>
      </w:rPr>
    </w:lvl>
    <w:lvl w:ilvl="2">
      <w:start w:val="1"/>
      <w:numFmt w:val="decimal"/>
      <w:lvlText w:val="%1.%2.%3."/>
      <w:lvlJc w:val="left"/>
      <w:pPr>
        <w:ind w:left="1318" w:hanging="720"/>
      </w:pPr>
      <w:rPr>
        <w:rFonts w:hint="default"/>
        <w:color w:val="4E4D4D"/>
      </w:rPr>
    </w:lvl>
    <w:lvl w:ilvl="3">
      <w:start w:val="1"/>
      <w:numFmt w:val="decimal"/>
      <w:lvlText w:val="%1.%2.%3.%4."/>
      <w:lvlJc w:val="left"/>
      <w:pPr>
        <w:ind w:left="1977" w:hanging="1080"/>
      </w:pPr>
      <w:rPr>
        <w:rFonts w:hint="default"/>
        <w:color w:val="4E4D4D"/>
      </w:rPr>
    </w:lvl>
    <w:lvl w:ilvl="4">
      <w:start w:val="1"/>
      <w:numFmt w:val="decimal"/>
      <w:lvlText w:val="%1.%2.%3.%4.%5."/>
      <w:lvlJc w:val="left"/>
      <w:pPr>
        <w:ind w:left="2276" w:hanging="1080"/>
      </w:pPr>
      <w:rPr>
        <w:rFonts w:hint="default"/>
        <w:color w:val="4E4D4D"/>
      </w:rPr>
    </w:lvl>
    <w:lvl w:ilvl="5">
      <w:start w:val="1"/>
      <w:numFmt w:val="decimal"/>
      <w:lvlText w:val="%1.%2.%3.%4.%5.%6."/>
      <w:lvlJc w:val="left"/>
      <w:pPr>
        <w:ind w:left="2935" w:hanging="1440"/>
      </w:pPr>
      <w:rPr>
        <w:rFonts w:hint="default"/>
        <w:color w:val="4E4D4D"/>
      </w:rPr>
    </w:lvl>
    <w:lvl w:ilvl="6">
      <w:start w:val="1"/>
      <w:numFmt w:val="decimal"/>
      <w:lvlText w:val="%1.%2.%3.%4.%5.%6.%7."/>
      <w:lvlJc w:val="left"/>
      <w:pPr>
        <w:ind w:left="3234" w:hanging="1440"/>
      </w:pPr>
      <w:rPr>
        <w:rFonts w:hint="default"/>
        <w:color w:val="4E4D4D"/>
      </w:rPr>
    </w:lvl>
    <w:lvl w:ilvl="7">
      <w:start w:val="1"/>
      <w:numFmt w:val="decimal"/>
      <w:lvlText w:val="%1.%2.%3.%4.%5.%6.%7.%8."/>
      <w:lvlJc w:val="left"/>
      <w:pPr>
        <w:ind w:left="3893" w:hanging="1800"/>
      </w:pPr>
      <w:rPr>
        <w:rFonts w:hint="default"/>
        <w:color w:val="4E4D4D"/>
      </w:rPr>
    </w:lvl>
    <w:lvl w:ilvl="8">
      <w:start w:val="1"/>
      <w:numFmt w:val="decimal"/>
      <w:lvlText w:val="%1.%2.%3.%4.%5.%6.%7.%8.%9."/>
      <w:lvlJc w:val="left"/>
      <w:pPr>
        <w:ind w:left="4192" w:hanging="1800"/>
      </w:pPr>
      <w:rPr>
        <w:rFonts w:hint="default"/>
        <w:color w:val="4E4D4D"/>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54980598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718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754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45087">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237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841492">
    <w:abstractNumId w:val="3"/>
  </w:num>
  <w:num w:numId="7" w16cid:durableId="773329034">
    <w:abstractNumId w:val="5"/>
  </w:num>
  <w:num w:numId="8" w16cid:durableId="118937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10D30"/>
    <w:rsid w:val="0003091B"/>
    <w:rsid w:val="000333A2"/>
    <w:rsid w:val="00040C88"/>
    <w:rsid w:val="00040D6E"/>
    <w:rsid w:val="00042C0C"/>
    <w:rsid w:val="00044FF2"/>
    <w:rsid w:val="00061EE4"/>
    <w:rsid w:val="00062B0D"/>
    <w:rsid w:val="0006519B"/>
    <w:rsid w:val="00067C12"/>
    <w:rsid w:val="00086A16"/>
    <w:rsid w:val="00097CD6"/>
    <w:rsid w:val="000A1DBA"/>
    <w:rsid w:val="000A6338"/>
    <w:rsid w:val="000B4BDF"/>
    <w:rsid w:val="000C0E39"/>
    <w:rsid w:val="000D088F"/>
    <w:rsid w:val="000D3C97"/>
    <w:rsid w:val="000E4A3C"/>
    <w:rsid w:val="000E6867"/>
    <w:rsid w:val="00102748"/>
    <w:rsid w:val="001056C0"/>
    <w:rsid w:val="00107607"/>
    <w:rsid w:val="0011235A"/>
    <w:rsid w:val="00112597"/>
    <w:rsid w:val="001321AB"/>
    <w:rsid w:val="00140E57"/>
    <w:rsid w:val="00141C64"/>
    <w:rsid w:val="0014335F"/>
    <w:rsid w:val="0014462B"/>
    <w:rsid w:val="001543B6"/>
    <w:rsid w:val="00164B50"/>
    <w:rsid w:val="00164E79"/>
    <w:rsid w:val="0017603D"/>
    <w:rsid w:val="00181A3E"/>
    <w:rsid w:val="00190D87"/>
    <w:rsid w:val="00194C50"/>
    <w:rsid w:val="001B2E5D"/>
    <w:rsid w:val="001D7E02"/>
    <w:rsid w:val="001E5DBB"/>
    <w:rsid w:val="001E6725"/>
    <w:rsid w:val="001F1051"/>
    <w:rsid w:val="001F1A89"/>
    <w:rsid w:val="001F34A8"/>
    <w:rsid w:val="002034AD"/>
    <w:rsid w:val="00206376"/>
    <w:rsid w:val="002239B4"/>
    <w:rsid w:val="00226460"/>
    <w:rsid w:val="002309C1"/>
    <w:rsid w:val="00231279"/>
    <w:rsid w:val="0023180C"/>
    <w:rsid w:val="00234C6C"/>
    <w:rsid w:val="00235A4A"/>
    <w:rsid w:val="00243D9D"/>
    <w:rsid w:val="00263E2B"/>
    <w:rsid w:val="00265031"/>
    <w:rsid w:val="00266277"/>
    <w:rsid w:val="00282CE5"/>
    <w:rsid w:val="00284C12"/>
    <w:rsid w:val="00286834"/>
    <w:rsid w:val="002A660C"/>
    <w:rsid w:val="002B0C1C"/>
    <w:rsid w:val="002B282F"/>
    <w:rsid w:val="002B4B30"/>
    <w:rsid w:val="002C5801"/>
    <w:rsid w:val="002E7BC2"/>
    <w:rsid w:val="002F103D"/>
    <w:rsid w:val="002F591D"/>
    <w:rsid w:val="002F63BB"/>
    <w:rsid w:val="002F6C10"/>
    <w:rsid w:val="002F701E"/>
    <w:rsid w:val="00302F9F"/>
    <w:rsid w:val="00304386"/>
    <w:rsid w:val="00305781"/>
    <w:rsid w:val="003149F9"/>
    <w:rsid w:val="00314B04"/>
    <w:rsid w:val="003401FE"/>
    <w:rsid w:val="00340A7A"/>
    <w:rsid w:val="003510A5"/>
    <w:rsid w:val="00376A36"/>
    <w:rsid w:val="00390DCF"/>
    <w:rsid w:val="003A2944"/>
    <w:rsid w:val="003B0DEF"/>
    <w:rsid w:val="003C2074"/>
    <w:rsid w:val="003C3ADB"/>
    <w:rsid w:val="003D11B5"/>
    <w:rsid w:val="003D134C"/>
    <w:rsid w:val="003D69A5"/>
    <w:rsid w:val="003E14F9"/>
    <w:rsid w:val="003F3119"/>
    <w:rsid w:val="003F6D32"/>
    <w:rsid w:val="00403AAA"/>
    <w:rsid w:val="00405866"/>
    <w:rsid w:val="004177FC"/>
    <w:rsid w:val="00425AC3"/>
    <w:rsid w:val="00425F12"/>
    <w:rsid w:val="00430B5A"/>
    <w:rsid w:val="00434CB8"/>
    <w:rsid w:val="0044207D"/>
    <w:rsid w:val="00447E9D"/>
    <w:rsid w:val="00447FE5"/>
    <w:rsid w:val="00460F0A"/>
    <w:rsid w:val="004617B8"/>
    <w:rsid w:val="0046504E"/>
    <w:rsid w:val="004715BB"/>
    <w:rsid w:val="004758FE"/>
    <w:rsid w:val="00475C78"/>
    <w:rsid w:val="00481B16"/>
    <w:rsid w:val="00482238"/>
    <w:rsid w:val="004830C8"/>
    <w:rsid w:val="004837AB"/>
    <w:rsid w:val="00483A2F"/>
    <w:rsid w:val="00490DBF"/>
    <w:rsid w:val="004A55E4"/>
    <w:rsid w:val="004A6EE1"/>
    <w:rsid w:val="004B1BEE"/>
    <w:rsid w:val="004B2AB8"/>
    <w:rsid w:val="004D770C"/>
    <w:rsid w:val="004E370E"/>
    <w:rsid w:val="004F4387"/>
    <w:rsid w:val="00510209"/>
    <w:rsid w:val="00510BF5"/>
    <w:rsid w:val="00521BA7"/>
    <w:rsid w:val="005252E2"/>
    <w:rsid w:val="005357D1"/>
    <w:rsid w:val="00535999"/>
    <w:rsid w:val="005511D5"/>
    <w:rsid w:val="0055340F"/>
    <w:rsid w:val="005579CD"/>
    <w:rsid w:val="00575DC6"/>
    <w:rsid w:val="00581963"/>
    <w:rsid w:val="00584048"/>
    <w:rsid w:val="00585FB5"/>
    <w:rsid w:val="005861E7"/>
    <w:rsid w:val="00591586"/>
    <w:rsid w:val="005A56A5"/>
    <w:rsid w:val="005D51F6"/>
    <w:rsid w:val="005E756F"/>
    <w:rsid w:val="005F5D19"/>
    <w:rsid w:val="005F6CBF"/>
    <w:rsid w:val="00607E20"/>
    <w:rsid w:val="006135E6"/>
    <w:rsid w:val="00623CDA"/>
    <w:rsid w:val="006254DE"/>
    <w:rsid w:val="00632EA5"/>
    <w:rsid w:val="00641008"/>
    <w:rsid w:val="00644E97"/>
    <w:rsid w:val="00646FF0"/>
    <w:rsid w:val="0065701C"/>
    <w:rsid w:val="00657BF5"/>
    <w:rsid w:val="00662792"/>
    <w:rsid w:val="0067019B"/>
    <w:rsid w:val="00671181"/>
    <w:rsid w:val="00675742"/>
    <w:rsid w:val="00675D1F"/>
    <w:rsid w:val="006818B6"/>
    <w:rsid w:val="006824B8"/>
    <w:rsid w:val="00690AED"/>
    <w:rsid w:val="006A7743"/>
    <w:rsid w:val="006B69D8"/>
    <w:rsid w:val="006B6C6A"/>
    <w:rsid w:val="006C15D5"/>
    <w:rsid w:val="006C234F"/>
    <w:rsid w:val="006C3D0C"/>
    <w:rsid w:val="006C5955"/>
    <w:rsid w:val="006D519D"/>
    <w:rsid w:val="006E3C46"/>
    <w:rsid w:val="006E75C2"/>
    <w:rsid w:val="006F1088"/>
    <w:rsid w:val="006F39D0"/>
    <w:rsid w:val="006F7746"/>
    <w:rsid w:val="006F79F1"/>
    <w:rsid w:val="00711157"/>
    <w:rsid w:val="00715B7E"/>
    <w:rsid w:val="00730CDB"/>
    <w:rsid w:val="00736C89"/>
    <w:rsid w:val="00745744"/>
    <w:rsid w:val="0075032A"/>
    <w:rsid w:val="0076089D"/>
    <w:rsid w:val="00770D7D"/>
    <w:rsid w:val="00772497"/>
    <w:rsid w:val="00782982"/>
    <w:rsid w:val="00783CFC"/>
    <w:rsid w:val="00791377"/>
    <w:rsid w:val="007A6F18"/>
    <w:rsid w:val="007C3F6C"/>
    <w:rsid w:val="007D62C7"/>
    <w:rsid w:val="007F7AC6"/>
    <w:rsid w:val="00803061"/>
    <w:rsid w:val="008051E8"/>
    <w:rsid w:val="00807EEE"/>
    <w:rsid w:val="008135F4"/>
    <w:rsid w:val="00813893"/>
    <w:rsid w:val="0082266E"/>
    <w:rsid w:val="008234E2"/>
    <w:rsid w:val="00824361"/>
    <w:rsid w:val="00825237"/>
    <w:rsid w:val="008327EE"/>
    <w:rsid w:val="00842E74"/>
    <w:rsid w:val="00843BE5"/>
    <w:rsid w:val="00852D94"/>
    <w:rsid w:val="00852E8C"/>
    <w:rsid w:val="00856B64"/>
    <w:rsid w:val="00863DD9"/>
    <w:rsid w:val="00866446"/>
    <w:rsid w:val="0086741B"/>
    <w:rsid w:val="00875763"/>
    <w:rsid w:val="00886F29"/>
    <w:rsid w:val="00896BD4"/>
    <w:rsid w:val="00897DAB"/>
    <w:rsid w:val="008A0633"/>
    <w:rsid w:val="008A3386"/>
    <w:rsid w:val="008A53F2"/>
    <w:rsid w:val="008B09B1"/>
    <w:rsid w:val="008B2FF0"/>
    <w:rsid w:val="008B5350"/>
    <w:rsid w:val="008C196F"/>
    <w:rsid w:val="008C24B6"/>
    <w:rsid w:val="008C487C"/>
    <w:rsid w:val="008C4C28"/>
    <w:rsid w:val="008E0FCC"/>
    <w:rsid w:val="008E2FE3"/>
    <w:rsid w:val="008E5F34"/>
    <w:rsid w:val="008E7D3F"/>
    <w:rsid w:val="008F2267"/>
    <w:rsid w:val="008F3EE2"/>
    <w:rsid w:val="009231E0"/>
    <w:rsid w:val="0094508D"/>
    <w:rsid w:val="009506A7"/>
    <w:rsid w:val="00954F93"/>
    <w:rsid w:val="00955ADE"/>
    <w:rsid w:val="00967230"/>
    <w:rsid w:val="00972C13"/>
    <w:rsid w:val="009812D7"/>
    <w:rsid w:val="00982E99"/>
    <w:rsid w:val="00983C8B"/>
    <w:rsid w:val="009A5714"/>
    <w:rsid w:val="009A5DA7"/>
    <w:rsid w:val="009B1623"/>
    <w:rsid w:val="009B1AEC"/>
    <w:rsid w:val="009D1B51"/>
    <w:rsid w:val="009D1D57"/>
    <w:rsid w:val="009D4204"/>
    <w:rsid w:val="009D44A0"/>
    <w:rsid w:val="009E2544"/>
    <w:rsid w:val="009E2770"/>
    <w:rsid w:val="009E48AA"/>
    <w:rsid w:val="009E4A43"/>
    <w:rsid w:val="009F2261"/>
    <w:rsid w:val="009F3537"/>
    <w:rsid w:val="009F4A68"/>
    <w:rsid w:val="00A142A5"/>
    <w:rsid w:val="00A22619"/>
    <w:rsid w:val="00A25657"/>
    <w:rsid w:val="00A329B6"/>
    <w:rsid w:val="00A367A1"/>
    <w:rsid w:val="00A415D2"/>
    <w:rsid w:val="00A460BA"/>
    <w:rsid w:val="00A510F6"/>
    <w:rsid w:val="00A651C9"/>
    <w:rsid w:val="00A728FB"/>
    <w:rsid w:val="00A80739"/>
    <w:rsid w:val="00A820C1"/>
    <w:rsid w:val="00A83829"/>
    <w:rsid w:val="00A95100"/>
    <w:rsid w:val="00AA2A39"/>
    <w:rsid w:val="00AA615B"/>
    <w:rsid w:val="00AB0DED"/>
    <w:rsid w:val="00AC0C81"/>
    <w:rsid w:val="00AD7725"/>
    <w:rsid w:val="00AE2B1C"/>
    <w:rsid w:val="00AE668A"/>
    <w:rsid w:val="00AE6858"/>
    <w:rsid w:val="00AF06E0"/>
    <w:rsid w:val="00AF214E"/>
    <w:rsid w:val="00AF5C62"/>
    <w:rsid w:val="00AF7270"/>
    <w:rsid w:val="00B050E9"/>
    <w:rsid w:val="00B0708E"/>
    <w:rsid w:val="00B1080D"/>
    <w:rsid w:val="00B17BC5"/>
    <w:rsid w:val="00B2158C"/>
    <w:rsid w:val="00B24E57"/>
    <w:rsid w:val="00B250F5"/>
    <w:rsid w:val="00B30D96"/>
    <w:rsid w:val="00B372E7"/>
    <w:rsid w:val="00B5123E"/>
    <w:rsid w:val="00B522C4"/>
    <w:rsid w:val="00B52B0E"/>
    <w:rsid w:val="00B5337D"/>
    <w:rsid w:val="00B65290"/>
    <w:rsid w:val="00B70E26"/>
    <w:rsid w:val="00B7660A"/>
    <w:rsid w:val="00B77DB7"/>
    <w:rsid w:val="00B8788D"/>
    <w:rsid w:val="00B97089"/>
    <w:rsid w:val="00B97D95"/>
    <w:rsid w:val="00BA7E78"/>
    <w:rsid w:val="00BB0833"/>
    <w:rsid w:val="00BB0EA7"/>
    <w:rsid w:val="00BB59F9"/>
    <w:rsid w:val="00BC15B8"/>
    <w:rsid w:val="00BC2CFA"/>
    <w:rsid w:val="00BC5279"/>
    <w:rsid w:val="00BC6C4E"/>
    <w:rsid w:val="00BD0E11"/>
    <w:rsid w:val="00BD16F7"/>
    <w:rsid w:val="00BD58A7"/>
    <w:rsid w:val="00BE1E33"/>
    <w:rsid w:val="00BE2AD3"/>
    <w:rsid w:val="00BE36F7"/>
    <w:rsid w:val="00BF2443"/>
    <w:rsid w:val="00C0442D"/>
    <w:rsid w:val="00C05C3D"/>
    <w:rsid w:val="00C12201"/>
    <w:rsid w:val="00C1405A"/>
    <w:rsid w:val="00C20C77"/>
    <w:rsid w:val="00C4526C"/>
    <w:rsid w:val="00C50B1B"/>
    <w:rsid w:val="00C52801"/>
    <w:rsid w:val="00C574F5"/>
    <w:rsid w:val="00C6210F"/>
    <w:rsid w:val="00C745C6"/>
    <w:rsid w:val="00C964DE"/>
    <w:rsid w:val="00CA5790"/>
    <w:rsid w:val="00CA634C"/>
    <w:rsid w:val="00CB1979"/>
    <w:rsid w:val="00CE6260"/>
    <w:rsid w:val="00CF1418"/>
    <w:rsid w:val="00CF326B"/>
    <w:rsid w:val="00D0280A"/>
    <w:rsid w:val="00D02A77"/>
    <w:rsid w:val="00D0763E"/>
    <w:rsid w:val="00D12644"/>
    <w:rsid w:val="00D17031"/>
    <w:rsid w:val="00D24682"/>
    <w:rsid w:val="00D24F06"/>
    <w:rsid w:val="00D25AEF"/>
    <w:rsid w:val="00D349EE"/>
    <w:rsid w:val="00D526CD"/>
    <w:rsid w:val="00D56D47"/>
    <w:rsid w:val="00D655FB"/>
    <w:rsid w:val="00D706D8"/>
    <w:rsid w:val="00D70FB4"/>
    <w:rsid w:val="00D74A1C"/>
    <w:rsid w:val="00D815C1"/>
    <w:rsid w:val="00D85C85"/>
    <w:rsid w:val="00D92F6C"/>
    <w:rsid w:val="00D95879"/>
    <w:rsid w:val="00D97A6B"/>
    <w:rsid w:val="00DA15BB"/>
    <w:rsid w:val="00DA2FA3"/>
    <w:rsid w:val="00DA7875"/>
    <w:rsid w:val="00DB751D"/>
    <w:rsid w:val="00DC679E"/>
    <w:rsid w:val="00DD0E98"/>
    <w:rsid w:val="00DD2D2D"/>
    <w:rsid w:val="00DE64DE"/>
    <w:rsid w:val="00DE7AB4"/>
    <w:rsid w:val="00DF4D86"/>
    <w:rsid w:val="00E01D84"/>
    <w:rsid w:val="00E137BB"/>
    <w:rsid w:val="00E205F1"/>
    <w:rsid w:val="00E3199C"/>
    <w:rsid w:val="00E37D48"/>
    <w:rsid w:val="00E60FBC"/>
    <w:rsid w:val="00E64988"/>
    <w:rsid w:val="00E64A38"/>
    <w:rsid w:val="00E7360A"/>
    <w:rsid w:val="00E756AC"/>
    <w:rsid w:val="00E8094F"/>
    <w:rsid w:val="00E8381A"/>
    <w:rsid w:val="00E87596"/>
    <w:rsid w:val="00E87794"/>
    <w:rsid w:val="00E96422"/>
    <w:rsid w:val="00EA5A59"/>
    <w:rsid w:val="00EB3D8F"/>
    <w:rsid w:val="00ED0FE3"/>
    <w:rsid w:val="00EF2CA6"/>
    <w:rsid w:val="00F1170C"/>
    <w:rsid w:val="00F117B1"/>
    <w:rsid w:val="00F134F9"/>
    <w:rsid w:val="00F24C62"/>
    <w:rsid w:val="00F25457"/>
    <w:rsid w:val="00F25DA9"/>
    <w:rsid w:val="00F34138"/>
    <w:rsid w:val="00F37EC4"/>
    <w:rsid w:val="00F45ECF"/>
    <w:rsid w:val="00F47FCE"/>
    <w:rsid w:val="00F501D2"/>
    <w:rsid w:val="00F5266F"/>
    <w:rsid w:val="00F56313"/>
    <w:rsid w:val="00F56447"/>
    <w:rsid w:val="00F64055"/>
    <w:rsid w:val="00F710C6"/>
    <w:rsid w:val="00F83757"/>
    <w:rsid w:val="00F9481A"/>
    <w:rsid w:val="00F94CE1"/>
    <w:rsid w:val="00FC755D"/>
    <w:rsid w:val="00FD6B37"/>
    <w:rsid w:val="00FE2CA6"/>
    <w:rsid w:val="00FE7362"/>
    <w:rsid w:val="00FF4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314B04"/>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character" w:customStyle="1" w:styleId="Ttulo1Car">
    <w:name w:val="Título 1 Car"/>
    <w:basedOn w:val="Fuentedeprrafopredeter"/>
    <w:link w:val="Ttulo1"/>
    <w:uiPriority w:val="9"/>
    <w:rsid w:val="00314B04"/>
    <w:rPr>
      <w:rFonts w:ascii="Arial" w:eastAsia="Arial" w:hAnsi="Arial" w:cs="Arial"/>
      <w:b/>
      <w:bCs/>
      <w:lang w:val="es-ES"/>
    </w:rPr>
  </w:style>
  <w:style w:type="table" w:customStyle="1" w:styleId="TableNormal">
    <w:name w:val="Table Normal"/>
    <w:uiPriority w:val="2"/>
    <w:semiHidden/>
    <w:unhideWhenUsed/>
    <w:qFormat/>
    <w:rsid w:val="00314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4B0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314B04"/>
    <w:rPr>
      <w:rFonts w:ascii="Arial" w:eastAsia="Arial" w:hAnsi="Arial" w:cs="Arial"/>
      <w:lang w:val="es-ES"/>
    </w:rPr>
  </w:style>
  <w:style w:type="paragraph" w:customStyle="1" w:styleId="TableParagraph">
    <w:name w:val="Table Paragraph"/>
    <w:basedOn w:val="Normal"/>
    <w:uiPriority w:val="1"/>
    <w:qFormat/>
    <w:rsid w:val="00314B04"/>
    <w:pPr>
      <w:widowControl w:val="0"/>
      <w:autoSpaceDE w:val="0"/>
      <w:autoSpaceDN w:val="0"/>
      <w:spacing w:line="229" w:lineRule="exact"/>
      <w:ind w:left="195"/>
    </w:pPr>
    <w:rPr>
      <w:rFonts w:ascii="Arial" w:eastAsia="Arial" w:hAnsi="Arial" w:cs="Arial"/>
      <w:sz w:val="22"/>
      <w:lang w:val="es-ES"/>
    </w:rPr>
  </w:style>
  <w:style w:type="paragraph" w:customStyle="1" w:styleId="Appelnotedebasde">
    <w:name w:val="Appel note de bas de..."/>
    <w:basedOn w:val="Normal"/>
    <w:link w:val="Refdenotaalpie"/>
    <w:uiPriority w:val="99"/>
    <w:rsid w:val="00235A4A"/>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6005">
      <w:bodyDiv w:val="1"/>
      <w:marLeft w:val="0"/>
      <w:marRight w:val="0"/>
      <w:marTop w:val="0"/>
      <w:marBottom w:val="0"/>
      <w:divBdr>
        <w:top w:val="none" w:sz="0" w:space="0" w:color="auto"/>
        <w:left w:val="none" w:sz="0" w:space="0" w:color="auto"/>
        <w:bottom w:val="none" w:sz="0" w:space="0" w:color="auto"/>
        <w:right w:val="none" w:sz="0" w:space="0" w:color="auto"/>
      </w:divBdr>
    </w:div>
    <w:div w:id="253755548">
      <w:bodyDiv w:val="1"/>
      <w:marLeft w:val="0"/>
      <w:marRight w:val="0"/>
      <w:marTop w:val="0"/>
      <w:marBottom w:val="0"/>
      <w:divBdr>
        <w:top w:val="none" w:sz="0" w:space="0" w:color="auto"/>
        <w:left w:val="none" w:sz="0" w:space="0" w:color="auto"/>
        <w:bottom w:val="none" w:sz="0" w:space="0" w:color="auto"/>
        <w:right w:val="none" w:sz="0" w:space="0" w:color="auto"/>
      </w:divBdr>
    </w:div>
    <w:div w:id="50240010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9A36A9F8-70A4-44B9-9898-20C7CA539DF7}">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0157A2A-DA25-454C-8122-0DA4A261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4307</Words>
  <Characters>23691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2022-04-13T15:53:00Z</dcterms:created>
  <dcterms:modified xsi:type="dcterms:W3CDTF">2022-04-13T15:53:00Z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