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7CDC" w14:textId="77777777" w:rsidR="002A57EA" w:rsidRPr="002A6E3A" w:rsidRDefault="002A57EA" w:rsidP="002A57EA">
      <w:pPr>
        <w:jc w:val="right"/>
        <w:rPr>
          <w:rFonts w:ascii="Arial" w:eastAsia="Calibri" w:hAnsi="Arial" w:cs="Arial"/>
          <w:b/>
          <w:color w:val="000000" w:themeColor="text1"/>
          <w:sz w:val="20"/>
          <w:szCs w:val="20"/>
          <w:lang w:val="es-ES_tradnl"/>
        </w:rPr>
      </w:pPr>
      <w:bookmarkStart w:id="0" w:name="_Hlk28946138"/>
      <w:bookmarkStart w:id="1" w:name="_Hlk29548183"/>
      <w:r w:rsidRPr="002A6E3A">
        <w:rPr>
          <w:rFonts w:ascii="Arial" w:hAnsi="Arial" w:cs="Arial"/>
          <w:b/>
          <w:color w:val="000000" w:themeColor="text1"/>
          <w:sz w:val="16"/>
          <w:szCs w:val="16"/>
          <w:lang w:val="es-ES_tradnl" w:eastAsia="es-ES"/>
        </w:rPr>
        <w:t>CCE-DES-FM-17</w:t>
      </w:r>
      <w:bookmarkEnd w:id="0"/>
      <w:bookmarkEnd w:id="1"/>
    </w:p>
    <w:p w14:paraId="16BC0F01" w14:textId="77777777" w:rsidR="000171C1" w:rsidRDefault="000171C1" w:rsidP="0090344C">
      <w:pPr>
        <w:spacing w:after="0" w:line="240" w:lineRule="auto"/>
        <w:jc w:val="both"/>
        <w:rPr>
          <w:rFonts w:ascii="Arial" w:eastAsia="Calibri" w:hAnsi="Arial" w:cs="Arial"/>
          <w:b/>
          <w:szCs w:val="24"/>
          <w:lang w:val="es-ES_tradnl" w:eastAsia="es-ES_tradnl"/>
        </w:rPr>
      </w:pPr>
    </w:p>
    <w:p w14:paraId="0D7DE993" w14:textId="09D6F685" w:rsidR="0090344C" w:rsidRPr="0090344C" w:rsidRDefault="0090344C" w:rsidP="0090344C">
      <w:pPr>
        <w:spacing w:after="0" w:line="240" w:lineRule="auto"/>
        <w:jc w:val="both"/>
        <w:rPr>
          <w:rFonts w:ascii="Arial" w:eastAsia="Calibri" w:hAnsi="Arial" w:cs="Arial"/>
          <w:b/>
          <w:szCs w:val="24"/>
          <w:lang w:val="es-ES_tradnl" w:eastAsia="es-ES_tradnl"/>
        </w:rPr>
      </w:pPr>
      <w:r w:rsidRPr="0090344C">
        <w:rPr>
          <w:rFonts w:ascii="Arial" w:eastAsia="Calibri" w:hAnsi="Arial" w:cs="Arial"/>
          <w:b/>
          <w:szCs w:val="24"/>
          <w:lang w:val="es-ES_tradnl" w:eastAsia="es-ES_tradnl"/>
        </w:rPr>
        <w:t xml:space="preserve">DOCUMENTOS TIPO </w:t>
      </w:r>
      <w:r w:rsidRPr="0090344C">
        <w:rPr>
          <w:rFonts w:ascii="Arial" w:eastAsia="Calibri" w:hAnsi="Arial" w:cs="Arial"/>
          <w:b/>
          <w:color w:val="000000"/>
          <w:szCs w:val="24"/>
          <w:lang w:val="es-ES_tradnl" w:eastAsia="es-ES_tradnl"/>
        </w:rPr>
        <w:t>–</w:t>
      </w:r>
      <w:r w:rsidRPr="0090344C">
        <w:rPr>
          <w:rFonts w:ascii="Arial" w:eastAsia="Calibri" w:hAnsi="Arial" w:cs="Arial"/>
          <w:b/>
          <w:szCs w:val="24"/>
          <w:lang w:val="es-ES_tradnl" w:eastAsia="es-ES_tradnl"/>
        </w:rPr>
        <w:t xml:space="preserve"> Fundamento normativo </w:t>
      </w:r>
      <w:r w:rsidRPr="0090344C">
        <w:rPr>
          <w:rFonts w:ascii="Arial" w:eastAsia="Calibri" w:hAnsi="Arial" w:cs="Arial"/>
          <w:b/>
          <w:color w:val="000000"/>
          <w:szCs w:val="24"/>
          <w:lang w:val="es-ES_tradnl" w:eastAsia="es-ES_tradnl"/>
        </w:rPr>
        <w:t xml:space="preserve">– </w:t>
      </w:r>
      <w:r w:rsidRPr="0090344C">
        <w:rPr>
          <w:rFonts w:ascii="Arial" w:eastAsia="Calibri" w:hAnsi="Arial" w:cs="Arial"/>
          <w:b/>
          <w:szCs w:val="24"/>
          <w:lang w:val="es-ES_tradnl" w:eastAsia="es-ES_tradnl"/>
        </w:rPr>
        <w:t>Ley 2022 de 2020</w:t>
      </w:r>
    </w:p>
    <w:p w14:paraId="32765889" w14:textId="77777777" w:rsidR="0090344C" w:rsidRPr="0090344C" w:rsidRDefault="0090344C" w:rsidP="0090344C">
      <w:pPr>
        <w:spacing w:after="0" w:line="240" w:lineRule="auto"/>
        <w:jc w:val="both"/>
        <w:rPr>
          <w:rFonts w:ascii="Arial" w:eastAsia="Calibri" w:hAnsi="Arial" w:cs="Arial"/>
          <w:b/>
          <w:szCs w:val="24"/>
          <w:lang w:val="es-ES_tradnl" w:eastAsia="es-ES_tradnl"/>
        </w:rPr>
      </w:pPr>
    </w:p>
    <w:p w14:paraId="012F5917" w14:textId="77777777" w:rsidR="0090344C" w:rsidRPr="0090344C" w:rsidRDefault="0090344C" w:rsidP="0090344C">
      <w:pPr>
        <w:spacing w:after="0" w:line="240" w:lineRule="auto"/>
        <w:jc w:val="both"/>
        <w:rPr>
          <w:rFonts w:ascii="Arial" w:eastAsia="Calibri" w:hAnsi="Arial" w:cs="Arial"/>
          <w:color w:val="000000"/>
          <w:sz w:val="20"/>
          <w:szCs w:val="20"/>
          <w:lang w:val="es-ES" w:eastAsia="es-ES"/>
        </w:rPr>
      </w:pPr>
      <w:r w:rsidRPr="0090344C">
        <w:rPr>
          <w:rFonts w:ascii="Arial" w:eastAsia="Calibri" w:hAnsi="Arial" w:cs="Arial"/>
          <w:color w:val="000000"/>
          <w:sz w:val="20"/>
          <w:szCs w:val="20"/>
          <w:lang w:val="es-ES" w:eastAsia="es-ES"/>
        </w:rPr>
        <w:t xml:space="preserve">[…] debe tenerse en cuenta que la Ley 2022 de 2020 fue sancionada por el </w:t>
      </w:r>
      <w:proofErr w:type="gramStart"/>
      <w:r w:rsidRPr="0090344C">
        <w:rPr>
          <w:rFonts w:ascii="Arial" w:eastAsia="Calibri" w:hAnsi="Arial" w:cs="Arial"/>
          <w:color w:val="000000"/>
          <w:sz w:val="20"/>
          <w:szCs w:val="20"/>
          <w:lang w:val="es-ES" w:eastAsia="es-ES"/>
        </w:rPr>
        <w:t>Presidente</w:t>
      </w:r>
      <w:proofErr w:type="gramEnd"/>
      <w:r w:rsidRPr="0090344C">
        <w:rPr>
          <w:rFonts w:ascii="Arial" w:eastAsia="Calibri" w:hAnsi="Arial" w:cs="Arial"/>
          <w:color w:val="000000"/>
          <w:sz w:val="20"/>
          <w:szCs w:val="20"/>
          <w:lang w:val="es-ES" w:eastAsia="es-ES"/>
        </w:rPr>
        <w:t xml:space="preserve"> de la República el 22 de julio del año pasado,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w:t>
      </w:r>
    </w:p>
    <w:p w14:paraId="10796841" w14:textId="77777777" w:rsidR="0090344C" w:rsidRPr="0090344C" w:rsidRDefault="0090344C" w:rsidP="0090344C">
      <w:pPr>
        <w:spacing w:after="0" w:line="240" w:lineRule="auto"/>
        <w:jc w:val="both"/>
        <w:rPr>
          <w:rFonts w:ascii="Arial" w:eastAsia="Calibri" w:hAnsi="Arial" w:cs="Arial"/>
          <w:sz w:val="20"/>
          <w:szCs w:val="20"/>
          <w:lang w:val="es-ES_tradnl" w:eastAsia="es-ES_tradnl"/>
        </w:rPr>
      </w:pPr>
    </w:p>
    <w:p w14:paraId="1CA12F21" w14:textId="77777777" w:rsidR="0090344C" w:rsidRPr="0090344C" w:rsidRDefault="0090344C" w:rsidP="0090344C">
      <w:pPr>
        <w:spacing w:after="0" w:line="240" w:lineRule="auto"/>
        <w:jc w:val="both"/>
        <w:rPr>
          <w:rFonts w:ascii="Arial" w:eastAsia="Calibri" w:hAnsi="Arial" w:cs="Arial"/>
          <w:b/>
          <w:szCs w:val="24"/>
          <w:lang w:val="es-ES_tradnl" w:eastAsia="es-ES_tradnl"/>
        </w:rPr>
      </w:pPr>
      <w:r w:rsidRPr="0090344C">
        <w:rPr>
          <w:rFonts w:ascii="Arial" w:eastAsia="Calibri" w:hAnsi="Arial" w:cs="Arial"/>
          <w:b/>
          <w:szCs w:val="24"/>
          <w:lang w:val="es-ES_tradnl" w:eastAsia="es-ES_tradnl"/>
        </w:rPr>
        <w:t xml:space="preserve">INALTERABILIDAD </w:t>
      </w:r>
      <w:r w:rsidRPr="0090344C">
        <w:rPr>
          <w:rFonts w:ascii="Arial" w:eastAsia="Calibri" w:hAnsi="Arial" w:cs="Arial"/>
          <w:b/>
          <w:color w:val="000000"/>
          <w:szCs w:val="24"/>
          <w:lang w:val="es-ES_tradnl" w:eastAsia="es-ES_tradnl"/>
        </w:rPr>
        <w:t>–</w:t>
      </w:r>
      <w:r w:rsidRPr="0090344C">
        <w:rPr>
          <w:rFonts w:ascii="Arial" w:eastAsia="Calibri" w:hAnsi="Arial" w:cs="Arial"/>
          <w:b/>
          <w:szCs w:val="24"/>
          <w:lang w:val="es-ES_tradnl" w:eastAsia="es-ES_tradnl"/>
        </w:rPr>
        <w:t xml:space="preserve"> Documentos tipo </w:t>
      </w:r>
      <w:r w:rsidRPr="0090344C">
        <w:rPr>
          <w:rFonts w:ascii="Arial" w:eastAsia="Calibri" w:hAnsi="Arial" w:cs="Arial"/>
          <w:b/>
          <w:color w:val="000000"/>
          <w:szCs w:val="24"/>
          <w:lang w:val="es-ES_tradnl" w:eastAsia="es-ES_tradnl"/>
        </w:rPr>
        <w:t xml:space="preserve">– </w:t>
      </w:r>
      <w:r w:rsidRPr="0090344C">
        <w:rPr>
          <w:rFonts w:ascii="Arial" w:eastAsia="Calibri" w:hAnsi="Arial" w:cs="Arial"/>
          <w:b/>
          <w:szCs w:val="24"/>
          <w:lang w:val="es-ES_tradnl" w:eastAsia="es-ES_tradnl"/>
        </w:rPr>
        <w:t xml:space="preserve">Regla vigente </w:t>
      </w:r>
      <w:r w:rsidRPr="0090344C">
        <w:rPr>
          <w:rFonts w:ascii="Arial" w:eastAsia="Calibri" w:hAnsi="Arial" w:cs="Arial"/>
          <w:b/>
          <w:color w:val="000000"/>
          <w:szCs w:val="24"/>
          <w:lang w:val="es-ES_tradnl" w:eastAsia="es-ES_tradnl"/>
        </w:rPr>
        <w:t>– Alcance</w:t>
      </w:r>
    </w:p>
    <w:p w14:paraId="6E99B5BA" w14:textId="77777777" w:rsidR="0090344C" w:rsidRPr="0090344C" w:rsidRDefault="0090344C" w:rsidP="0090344C">
      <w:pPr>
        <w:spacing w:after="0" w:line="240" w:lineRule="auto"/>
        <w:jc w:val="both"/>
        <w:rPr>
          <w:rFonts w:ascii="Arial" w:eastAsia="Calibri" w:hAnsi="Arial" w:cs="Arial"/>
          <w:sz w:val="20"/>
          <w:szCs w:val="20"/>
          <w:lang w:val="es-ES_tradnl" w:eastAsia="es-ES_tradnl"/>
        </w:rPr>
      </w:pPr>
    </w:p>
    <w:p w14:paraId="19DD93A0" w14:textId="77777777" w:rsidR="0090344C" w:rsidRPr="0090344C" w:rsidRDefault="0090344C" w:rsidP="0090344C">
      <w:pPr>
        <w:spacing w:after="0" w:line="240" w:lineRule="auto"/>
        <w:jc w:val="both"/>
        <w:rPr>
          <w:rFonts w:ascii="Arial" w:eastAsia="Times New Roman" w:hAnsi="Arial" w:cs="Arial"/>
          <w:sz w:val="20"/>
          <w:szCs w:val="20"/>
          <w:shd w:val="clear" w:color="auto" w:fill="FFFFFF"/>
          <w:lang w:val="es-ES_tradnl" w:eastAsia="es-ES_tradnl"/>
        </w:rPr>
      </w:pPr>
      <w:r w:rsidRPr="0090344C">
        <w:rPr>
          <w:rFonts w:ascii="Arial" w:eastAsia="Times New Roman" w:hAnsi="Arial" w:cs="Arial"/>
          <w:sz w:val="20"/>
          <w:szCs w:val="20"/>
          <w:shd w:val="clear" w:color="auto" w:fill="FFFFFF"/>
          <w:lang w:val="es-ES_tradnl" w:eastAsia="es-ES_tradnl"/>
        </w:rPr>
        <w:t xml:space="preserve">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90344C">
        <w:rPr>
          <w:rFonts w:ascii="Arial" w:eastAsia="Times New Roman" w:hAnsi="Arial" w:cs="Arial"/>
          <w:i/>
          <w:iCs/>
          <w:sz w:val="20"/>
          <w:szCs w:val="20"/>
          <w:shd w:val="clear" w:color="auto" w:fill="FFFFFF"/>
          <w:lang w:val="es-ES_tradnl" w:eastAsia="es-ES_tradnl"/>
        </w:rPr>
        <w:t>Documentos del Proceso</w:t>
      </w:r>
      <w:r w:rsidRPr="0090344C">
        <w:rPr>
          <w:rFonts w:ascii="Arial" w:eastAsia="Times New Roman" w:hAnsi="Arial" w:cs="Arial"/>
          <w:sz w:val="20"/>
          <w:szCs w:val="20"/>
          <w:shd w:val="clear" w:color="auto" w:fill="FFFFFF"/>
          <w:lang w:val="es-ES_tradnl" w:eastAsia="es-ES_tradnl"/>
        </w:rPr>
        <w:t xml:space="preserve">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64752455" w14:textId="77777777" w:rsidR="0090344C" w:rsidRPr="0090344C" w:rsidRDefault="0090344C" w:rsidP="0090344C">
      <w:pPr>
        <w:spacing w:after="0" w:line="240" w:lineRule="auto"/>
        <w:jc w:val="both"/>
        <w:rPr>
          <w:rFonts w:ascii="Arial" w:eastAsia="Calibri" w:hAnsi="Arial" w:cs="Arial"/>
          <w:b/>
          <w:bCs/>
          <w:color w:val="000000"/>
          <w:lang w:val="es-ES_tradnl" w:eastAsia="es-ES_tradnl"/>
        </w:rPr>
      </w:pPr>
    </w:p>
    <w:p w14:paraId="7CFFCE75" w14:textId="77777777" w:rsidR="0090344C" w:rsidRPr="0090344C" w:rsidRDefault="0090344C" w:rsidP="0090344C">
      <w:pPr>
        <w:spacing w:after="0" w:line="240" w:lineRule="auto"/>
        <w:jc w:val="both"/>
        <w:rPr>
          <w:rFonts w:ascii="Arial" w:eastAsia="Calibri" w:hAnsi="Arial" w:cs="Arial"/>
          <w:b/>
          <w:bCs/>
          <w:color w:val="000000"/>
          <w:lang w:val="es-ES_tradnl" w:eastAsia="es-ES_tradnl"/>
        </w:rPr>
      </w:pPr>
      <w:r w:rsidRPr="0090344C">
        <w:rPr>
          <w:rFonts w:ascii="Arial" w:eastAsia="Calibri" w:hAnsi="Arial" w:cs="Arial"/>
          <w:b/>
          <w:bCs/>
          <w:color w:val="000000"/>
          <w:lang w:val="es-ES_tradnl" w:eastAsia="es-ES_tradnl"/>
        </w:rPr>
        <w:t xml:space="preserve">DECRETO 680 DE 2021 – Regla de origen </w:t>
      </w:r>
    </w:p>
    <w:p w14:paraId="7CA048D3" w14:textId="77777777" w:rsidR="0090344C" w:rsidRPr="0090344C" w:rsidRDefault="0090344C" w:rsidP="0090344C">
      <w:pPr>
        <w:spacing w:after="0" w:line="240" w:lineRule="auto"/>
        <w:jc w:val="both"/>
        <w:rPr>
          <w:rFonts w:ascii="Arial" w:eastAsia="Calibri" w:hAnsi="Arial" w:cs="Arial"/>
          <w:b/>
          <w:bCs/>
          <w:color w:val="000000"/>
          <w:lang w:val="es-ES_tradnl" w:eastAsia="es-ES_tradnl"/>
        </w:rPr>
      </w:pPr>
    </w:p>
    <w:p w14:paraId="2C16BD44" w14:textId="77777777" w:rsidR="0090344C" w:rsidRPr="0090344C" w:rsidRDefault="0090344C" w:rsidP="0090344C">
      <w:pPr>
        <w:spacing w:after="120" w:line="240" w:lineRule="auto"/>
        <w:jc w:val="both"/>
        <w:rPr>
          <w:rFonts w:ascii="Arial" w:eastAsia="Times New Roman" w:hAnsi="Arial" w:cs="Arial"/>
          <w:bCs/>
          <w:color w:val="000000"/>
          <w:sz w:val="20"/>
          <w:szCs w:val="20"/>
          <w:lang w:val="es-ES_tradnl" w:eastAsia="es-ES_tradnl"/>
        </w:rPr>
      </w:pPr>
      <w:r w:rsidRPr="0090344C">
        <w:rPr>
          <w:rFonts w:ascii="Arial" w:eastAsia="Times New Roman" w:hAnsi="Arial" w:cs="Arial"/>
          <w:bCs/>
          <w:color w:val="000000"/>
          <w:sz w:val="20"/>
          <w:szCs w:val="20"/>
          <w:lang w:val="es-ES_tradnl" w:eastAsia="es-ES_tradnl"/>
        </w:rPr>
        <w:t>Reconociendo que la contratación estatal es una herramienta que contribuye a promover la industria nacional, el Gobierno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w:t>
      </w:r>
    </w:p>
    <w:p w14:paraId="7F67A1DB" w14:textId="77777777" w:rsidR="0090344C" w:rsidRPr="0090344C" w:rsidRDefault="0090344C" w:rsidP="0090344C">
      <w:pPr>
        <w:spacing w:after="0" w:line="240" w:lineRule="auto"/>
        <w:jc w:val="both"/>
        <w:rPr>
          <w:rFonts w:ascii="Arial" w:eastAsia="Times New Roman" w:hAnsi="Arial" w:cs="Arial"/>
          <w:bCs/>
          <w:color w:val="000000"/>
          <w:sz w:val="20"/>
          <w:szCs w:val="20"/>
          <w:lang w:val="es-ES_tradnl" w:eastAsia="es-ES_tradnl"/>
        </w:rPr>
      </w:pPr>
      <w:r w:rsidRPr="0090344C">
        <w:rPr>
          <w:rFonts w:ascii="Arial" w:eastAsia="Times New Roman" w:hAnsi="Arial" w:cs="Arial"/>
          <w:bCs/>
          <w:color w:val="000000"/>
          <w:sz w:val="20"/>
          <w:szCs w:val="20"/>
          <w:lang w:val="es-ES_tradnl" w:eastAsia="es-ES_tradnl"/>
        </w:rPr>
        <w:t>En las consideraciones del Decreto 680 de 2021 se indica que, con su expedición, se busca: i) precisar la aplicación de la regla de origen de los bienes y servicios nacionales, en los términos establecidos en el artículo 2 de la Ley 816 de 2003, respetando las estipulaciones de los tratados comerciales vigentes y el principio de reciprocidad, ii) definir la metodología como debe aplicarse el puntaje señalado en la mencionada disposición legal en relación con los proponentes plurales, iii) garantizar el uso, durante la ejecución del contrato estatal, de los bienes o servicios colombianos, para «[…] promover emparejamientos y encadenamientos productivos», así como «[…] el empleo en el país» y iv) establecer una regla de origen distinta, según el lugar en el cual debe ejecutarse el contrato.</w:t>
      </w:r>
    </w:p>
    <w:p w14:paraId="45B94BB0" w14:textId="77777777" w:rsidR="0090344C" w:rsidRPr="0090344C" w:rsidRDefault="0090344C" w:rsidP="0090344C">
      <w:pPr>
        <w:spacing w:after="0"/>
      </w:pPr>
    </w:p>
    <w:p w14:paraId="709985F6" w14:textId="77777777" w:rsidR="0090344C" w:rsidRPr="0090344C" w:rsidRDefault="0090344C" w:rsidP="00EF2B49">
      <w:pPr>
        <w:widowControl w:val="0"/>
        <w:autoSpaceDE w:val="0"/>
        <w:autoSpaceDN w:val="0"/>
        <w:spacing w:after="0" w:line="240" w:lineRule="auto"/>
        <w:jc w:val="both"/>
        <w:rPr>
          <w:rFonts w:ascii="Arial" w:eastAsia="Arial" w:hAnsi="Arial" w:cs="Arial"/>
          <w:b/>
          <w:lang w:eastAsia="es-ES" w:bidi="es-ES"/>
        </w:rPr>
      </w:pPr>
      <w:r w:rsidRPr="0090344C">
        <w:rPr>
          <w:rFonts w:ascii="Arial" w:eastAsia="Calibri" w:hAnsi="Arial" w:cs="Arial"/>
          <w:b/>
          <w:color w:val="000000" w:themeColor="text1"/>
          <w:lang w:val="es-ES_tradnl"/>
        </w:rPr>
        <w:t>APOYO A LA INDUSTRIA NACIONAL − Documentos tipo – Versión 3 − Decreto 680 de 2021</w:t>
      </w:r>
    </w:p>
    <w:p w14:paraId="4CB52534" w14:textId="77777777" w:rsidR="0090344C" w:rsidRPr="0090344C" w:rsidRDefault="0090344C" w:rsidP="00B4770F">
      <w:pPr>
        <w:spacing w:after="0" w:line="240" w:lineRule="auto"/>
        <w:jc w:val="both"/>
        <w:rPr>
          <w:rFonts w:ascii="Arial" w:eastAsia="Arial" w:hAnsi="Arial" w:cs="Arial"/>
          <w:bCs/>
          <w:lang w:eastAsia="es-ES" w:bidi="es-ES"/>
        </w:rPr>
      </w:pPr>
    </w:p>
    <w:p w14:paraId="5C611906" w14:textId="77777777" w:rsidR="0090344C" w:rsidRPr="0090344C" w:rsidRDefault="0090344C" w:rsidP="00B4770F">
      <w:pPr>
        <w:spacing w:after="0" w:line="240" w:lineRule="auto"/>
        <w:jc w:val="both"/>
        <w:rPr>
          <w:rFonts w:ascii="Arial" w:eastAsia="Calibri" w:hAnsi="Arial" w:cs="Arial"/>
          <w:bCs/>
          <w:color w:val="000000" w:themeColor="text1"/>
          <w:lang w:val="es-ES_tradnl"/>
        </w:rPr>
      </w:pPr>
      <w:r w:rsidRPr="0090344C">
        <w:rPr>
          <w:rFonts w:ascii="Arial" w:eastAsia="Arial" w:hAnsi="Arial" w:cs="Arial"/>
          <w:lang w:val="es-ES" w:eastAsia="es-ES" w:bidi="es-ES"/>
        </w:rPr>
        <w:t xml:space="preserve">Con </w:t>
      </w:r>
      <w:r w:rsidRPr="0090344C">
        <w:rPr>
          <w:rFonts w:ascii="Arial" w:eastAsia="Calibri" w:hAnsi="Arial" w:cs="Arial"/>
          <w:bCs/>
          <w:color w:val="000000" w:themeColor="text1"/>
          <w:lang w:val="es-ES_tradnl"/>
        </w:rPr>
        <w:t xml:space="preserve">la </w:t>
      </w:r>
      <w:proofErr w:type="gramStart"/>
      <w:r w:rsidRPr="0090344C">
        <w:rPr>
          <w:rFonts w:ascii="Arial" w:eastAsia="Calibri" w:hAnsi="Arial" w:cs="Arial"/>
          <w:bCs/>
          <w:color w:val="000000" w:themeColor="text1"/>
          <w:lang w:val="es-ES_tradnl"/>
        </w:rPr>
        <w:t>entrada en vigencia</w:t>
      </w:r>
      <w:proofErr w:type="gramEnd"/>
      <w:r w:rsidRPr="0090344C">
        <w:rPr>
          <w:rFonts w:ascii="Arial" w:eastAsia="Calibri" w:hAnsi="Arial" w:cs="Arial"/>
          <w:bCs/>
          <w:color w:val="000000" w:themeColor="text1"/>
          <w:lang w:val="es-ES_tradnl"/>
        </w:rPr>
        <w:t xml:space="preserve"> del Decreto 680 de 2021, al modificar la noción de </w:t>
      </w:r>
      <w:r w:rsidRPr="0090344C">
        <w:rPr>
          <w:rFonts w:ascii="Arial" w:eastAsia="Calibri" w:hAnsi="Arial" w:cs="Arial"/>
          <w:bCs/>
          <w:i/>
          <w:iCs/>
          <w:color w:val="000000" w:themeColor="text1"/>
          <w:lang w:val="es-ES_tradnl"/>
        </w:rPr>
        <w:t xml:space="preserve">Servicios Nacionales </w:t>
      </w:r>
      <w:r w:rsidRPr="0090344C">
        <w:rPr>
          <w:rFonts w:ascii="Arial" w:eastAsia="Calibri" w:hAnsi="Arial" w:cs="Arial"/>
          <w:bCs/>
          <w:color w:val="000000" w:themeColor="text1"/>
          <w:lang w:val="es-ES_tradnl"/>
        </w:rPr>
        <w:t xml:space="preserve">contenida en el Decreto 1082 de 2015, generó la necesidad de adecuar los </w:t>
      </w:r>
      <w:r w:rsidRPr="0090344C">
        <w:rPr>
          <w:rFonts w:ascii="Arial" w:eastAsia="Calibri" w:hAnsi="Arial" w:cs="Arial"/>
          <w:bCs/>
          <w:color w:val="000000" w:themeColor="text1"/>
          <w:lang w:val="es-ES_tradnl"/>
        </w:rPr>
        <w:lastRenderedPageBreak/>
        <w:t>documentos tipo expedidos por la Agencia Nacional de Contratación Pública – Colombia Compra Eficiente […]</w:t>
      </w:r>
    </w:p>
    <w:p w14:paraId="1409F2EB" w14:textId="77777777" w:rsidR="0090344C" w:rsidRPr="0090344C" w:rsidRDefault="0090344C" w:rsidP="00B4770F">
      <w:pPr>
        <w:widowControl w:val="0"/>
        <w:autoSpaceDE w:val="0"/>
        <w:autoSpaceDN w:val="0"/>
        <w:spacing w:before="120" w:after="120" w:line="240" w:lineRule="auto"/>
        <w:jc w:val="both"/>
        <w:rPr>
          <w:rFonts w:ascii="Arial" w:eastAsia="Calibri" w:hAnsi="Arial" w:cs="Arial"/>
          <w:bCs/>
          <w:color w:val="000000" w:themeColor="text1"/>
          <w:lang w:val="es-ES_tradnl"/>
        </w:rPr>
      </w:pPr>
      <w:r w:rsidRPr="0090344C">
        <w:rPr>
          <w:rFonts w:ascii="Arial" w:eastAsia="Calibri" w:hAnsi="Arial" w:cs="Arial"/>
          <w:bCs/>
          <w:color w:val="000000" w:themeColor="text1"/>
          <w:lang w:val="es-ES_tradnl"/>
        </w:rPr>
        <w:t>[…]</w:t>
      </w:r>
    </w:p>
    <w:p w14:paraId="5CB8DEE3" w14:textId="77777777" w:rsidR="0090344C" w:rsidRPr="0090344C" w:rsidRDefault="0090344C" w:rsidP="00B4770F">
      <w:pPr>
        <w:widowControl w:val="0"/>
        <w:autoSpaceDE w:val="0"/>
        <w:autoSpaceDN w:val="0"/>
        <w:spacing w:after="0" w:line="240" w:lineRule="auto"/>
        <w:jc w:val="both"/>
        <w:rPr>
          <w:rFonts w:ascii="Arial" w:eastAsia="Arial" w:hAnsi="Arial" w:cs="Arial"/>
          <w:bCs/>
          <w:lang w:eastAsia="es-ES" w:bidi="es-ES"/>
        </w:rPr>
      </w:pPr>
      <w:r w:rsidRPr="0090344C">
        <w:rPr>
          <w:rFonts w:ascii="Arial" w:eastAsia="Calibri" w:hAnsi="Arial" w:cs="Arial"/>
          <w:bCs/>
          <w:color w:val="000000" w:themeColor="text1"/>
          <w:lang w:val="es-ES_tradnl"/>
        </w:rPr>
        <w:t>En atención a este mandato, la Agencia Nacional de Contratación Pública, en desarrollo del procedimiento de actualización regulado por la Resolución 160 de 2020, expidió la Resolución 304 de 2021 «Por la cual se modifican los Documentos Tipo adoptados por la Agencia Nacional de Contratación Pública – Colombia Compra Eficiente»</w:t>
      </w:r>
      <w:r w:rsidRPr="0090344C">
        <w:rPr>
          <w:rFonts w:ascii="Arial" w:eastAsia="Arial" w:hAnsi="Arial" w:cs="Arial"/>
          <w:bCs/>
          <w:lang w:eastAsia="es-ES" w:bidi="es-ES"/>
        </w:rPr>
        <w:t xml:space="preserve"> </w:t>
      </w:r>
    </w:p>
    <w:p w14:paraId="3B4B892D" w14:textId="77777777" w:rsidR="0090344C" w:rsidRPr="0090344C" w:rsidRDefault="0090344C" w:rsidP="00B4770F">
      <w:pPr>
        <w:widowControl w:val="0"/>
        <w:autoSpaceDE w:val="0"/>
        <w:autoSpaceDN w:val="0"/>
        <w:spacing w:after="0" w:line="240" w:lineRule="auto"/>
        <w:jc w:val="both"/>
        <w:rPr>
          <w:rFonts w:ascii="Arial" w:eastAsia="Arial" w:hAnsi="Arial" w:cs="Arial"/>
          <w:bCs/>
          <w:lang w:eastAsia="es-ES" w:bidi="es-ES"/>
        </w:rPr>
      </w:pPr>
    </w:p>
    <w:p w14:paraId="5BDA4D9A" w14:textId="77777777" w:rsidR="0090344C" w:rsidRPr="0090344C" w:rsidRDefault="0090344C" w:rsidP="00B4770F">
      <w:pPr>
        <w:widowControl w:val="0"/>
        <w:autoSpaceDE w:val="0"/>
        <w:autoSpaceDN w:val="0"/>
        <w:spacing w:after="0" w:line="240" w:lineRule="auto"/>
        <w:jc w:val="both"/>
        <w:rPr>
          <w:rFonts w:ascii="Arial" w:eastAsia="Arial" w:hAnsi="Arial" w:cs="Arial"/>
          <w:b/>
          <w:lang w:eastAsia="es-ES" w:bidi="es-ES"/>
        </w:rPr>
      </w:pPr>
      <w:r w:rsidRPr="0090344C">
        <w:rPr>
          <w:rFonts w:ascii="Arial" w:eastAsia="Arial" w:hAnsi="Arial" w:cs="Arial"/>
          <w:b/>
          <w:lang w:eastAsia="es-ES" w:bidi="es-ES"/>
        </w:rPr>
        <w:t>DOCUMENTOS TIPO − Promoción de servicios nacionales o con trato nacional – Resolución 304 de 2021</w:t>
      </w:r>
    </w:p>
    <w:p w14:paraId="60DFE702" w14:textId="77777777" w:rsidR="0090344C" w:rsidRPr="0090344C" w:rsidRDefault="0090344C" w:rsidP="00B4770F">
      <w:pPr>
        <w:widowControl w:val="0"/>
        <w:autoSpaceDE w:val="0"/>
        <w:autoSpaceDN w:val="0"/>
        <w:spacing w:after="0" w:line="240" w:lineRule="auto"/>
        <w:jc w:val="both"/>
        <w:rPr>
          <w:rFonts w:ascii="Arial" w:eastAsia="Arial" w:hAnsi="Arial" w:cs="Arial"/>
          <w:bCs/>
          <w:lang w:eastAsia="es-ES" w:bidi="es-ES"/>
        </w:rPr>
      </w:pPr>
    </w:p>
    <w:p w14:paraId="08AE1E4F" w14:textId="77777777" w:rsidR="0090344C" w:rsidRPr="0090344C" w:rsidRDefault="0090344C" w:rsidP="00B4770F">
      <w:pPr>
        <w:widowControl w:val="0"/>
        <w:autoSpaceDE w:val="0"/>
        <w:autoSpaceDN w:val="0"/>
        <w:spacing w:after="120" w:line="240" w:lineRule="auto"/>
        <w:jc w:val="both"/>
        <w:rPr>
          <w:rFonts w:ascii="Arial" w:eastAsia="Calibri" w:hAnsi="Arial" w:cs="Arial"/>
          <w:bCs/>
          <w:color w:val="000000" w:themeColor="text1"/>
          <w:lang w:val="es-ES_tradnl"/>
        </w:rPr>
      </w:pPr>
      <w:r w:rsidRPr="0090344C">
        <w:rPr>
          <w:rFonts w:ascii="Arial" w:eastAsia="Arial" w:hAnsi="Arial" w:cs="Arial"/>
          <w:bCs/>
          <w:lang w:eastAsia="es-ES" w:bidi="es-ES"/>
        </w:rPr>
        <w:t xml:space="preserve">El numeral «4.3.1 Promoción de servicios nacionales o con trato nacional», de los documentos tipo de obra pública de infraestructura de transporte – Versión 3, en sus tres (3) primeros incisos, </w:t>
      </w:r>
      <w:r w:rsidRPr="0090344C">
        <w:rPr>
          <w:rFonts w:ascii="Arial" w:eastAsia="Calibri" w:hAnsi="Arial" w:cs="Arial"/>
          <w:bCs/>
          <w:color w:val="000000" w:themeColor="text1"/>
          <w:lang w:val="es-ES_tradnl"/>
        </w:rPr>
        <w:t xml:space="preserve">dispone la modificación parcial que introdujo el artículo 1 del Decreto 680 de 2021, al artículo 2.2.1.1.1.3.1. del Decreto 1082 de 2015, para definir los </w:t>
      </w:r>
      <w:r w:rsidRPr="0090344C">
        <w:rPr>
          <w:rFonts w:ascii="Arial" w:eastAsia="Calibri" w:hAnsi="Arial" w:cs="Arial"/>
          <w:bCs/>
          <w:i/>
          <w:iCs/>
          <w:color w:val="000000" w:themeColor="text1"/>
          <w:lang w:val="es-ES_tradnl"/>
        </w:rPr>
        <w:t>servicios nacionales</w:t>
      </w:r>
      <w:r w:rsidRPr="0090344C">
        <w:rPr>
          <w:rFonts w:ascii="Arial" w:eastAsia="Calibri" w:hAnsi="Arial" w:cs="Arial"/>
          <w:bCs/>
          <w:color w:val="000000" w:themeColor="text1"/>
          <w:lang w:val="es-ES_tradnl"/>
        </w:rPr>
        <w:t xml:space="preserve"> […]</w:t>
      </w:r>
    </w:p>
    <w:p w14:paraId="1ACD635D" w14:textId="77777777" w:rsidR="0090344C" w:rsidRPr="0090344C" w:rsidRDefault="0090344C" w:rsidP="00B4770F">
      <w:pPr>
        <w:widowControl w:val="0"/>
        <w:autoSpaceDE w:val="0"/>
        <w:autoSpaceDN w:val="0"/>
        <w:spacing w:after="120" w:line="240" w:lineRule="auto"/>
        <w:jc w:val="both"/>
        <w:rPr>
          <w:rFonts w:ascii="Arial" w:eastAsia="Calibri" w:hAnsi="Arial" w:cs="Arial"/>
          <w:bCs/>
          <w:color w:val="000000" w:themeColor="text1"/>
          <w:lang w:val="es-ES_tradnl"/>
        </w:rPr>
      </w:pPr>
      <w:r w:rsidRPr="0090344C">
        <w:rPr>
          <w:rFonts w:ascii="Arial" w:eastAsia="Calibri" w:hAnsi="Arial" w:cs="Arial"/>
          <w:bCs/>
          <w:color w:val="000000" w:themeColor="text1"/>
          <w:lang w:val="es-ES_tradnl"/>
        </w:rPr>
        <w:t>[…]</w:t>
      </w:r>
    </w:p>
    <w:p w14:paraId="5469B622" w14:textId="77777777" w:rsidR="0090344C" w:rsidRPr="0090344C" w:rsidRDefault="0090344C" w:rsidP="00B4770F">
      <w:pPr>
        <w:widowControl w:val="0"/>
        <w:autoSpaceDE w:val="0"/>
        <w:autoSpaceDN w:val="0"/>
        <w:spacing w:after="0" w:line="240" w:lineRule="auto"/>
        <w:jc w:val="both"/>
        <w:rPr>
          <w:rFonts w:ascii="Arial" w:eastAsia="Calibri" w:hAnsi="Arial" w:cs="Arial"/>
          <w:bCs/>
          <w:color w:val="000000"/>
          <w:lang w:val="es-ES_tradnl"/>
        </w:rPr>
      </w:pPr>
      <w:r w:rsidRPr="0090344C">
        <w:rPr>
          <w:rFonts w:ascii="Arial" w:eastAsia="Arial" w:hAnsi="Arial" w:cs="Arial"/>
          <w:bCs/>
          <w:lang w:eastAsia="es-ES" w:bidi="es-ES"/>
        </w:rPr>
        <w:t xml:space="preserve">Conforme con lo anterior, se adecuan los documentos tipo de tal manera que el puntaje de industria nacional sea otorgado a los proponentes que presten servicios nacionales en los términos del Decreto 680 de 2021. </w:t>
      </w:r>
      <w:r w:rsidRPr="0090344C">
        <w:rPr>
          <w:rFonts w:ascii="Arial" w:eastAsia="Calibri" w:hAnsi="Arial" w:cs="Arial"/>
          <w:bCs/>
          <w:color w:val="000000" w:themeColor="text1"/>
          <w:lang w:val="es-ES_tradnl"/>
        </w:rPr>
        <w:t xml:space="preserve">Mediante esta modificación, la noción de Servicios Nacionales no está determinada únicamente por la naturaleza jurídica de su prestador, ya que además de tratarse de una persona natural colombiana o jurídica conformada según la ley colombiana, se requiere que la propuesta, en principio, incluya en la ejecución del contrato la utilización de los bienes nacionales relevantes. </w:t>
      </w:r>
      <w:r w:rsidRPr="0090344C">
        <w:rPr>
          <w:rFonts w:ascii="Arial" w:eastAsia="Calibri" w:hAnsi="Arial" w:cs="Arial"/>
          <w:bCs/>
          <w:color w:val="000000"/>
          <w:lang w:val="es-ES_tradnl"/>
        </w:rPr>
        <w:t>[…]</w:t>
      </w:r>
    </w:p>
    <w:p w14:paraId="767D1DE6" w14:textId="77777777" w:rsidR="0090344C" w:rsidRPr="0090344C" w:rsidRDefault="0090344C" w:rsidP="00B4770F">
      <w:pPr>
        <w:widowControl w:val="0"/>
        <w:autoSpaceDE w:val="0"/>
        <w:autoSpaceDN w:val="0"/>
        <w:spacing w:after="0" w:line="240" w:lineRule="auto"/>
        <w:jc w:val="both"/>
        <w:rPr>
          <w:rFonts w:ascii="Arial" w:hAnsi="Arial" w:cs="Arial"/>
          <w:lang w:val="es-MX"/>
        </w:rPr>
      </w:pPr>
    </w:p>
    <w:p w14:paraId="38F101CF" w14:textId="77777777" w:rsidR="0090344C" w:rsidRPr="0090344C" w:rsidRDefault="0090344C" w:rsidP="00B4770F">
      <w:pPr>
        <w:widowControl w:val="0"/>
        <w:autoSpaceDE w:val="0"/>
        <w:autoSpaceDN w:val="0"/>
        <w:spacing w:after="0" w:line="240" w:lineRule="auto"/>
        <w:jc w:val="both"/>
        <w:rPr>
          <w:rFonts w:ascii="Arial" w:eastAsia="Arial" w:hAnsi="Arial" w:cs="Arial"/>
          <w:b/>
          <w:lang w:eastAsia="es-ES" w:bidi="es-ES"/>
        </w:rPr>
      </w:pPr>
      <w:r w:rsidRPr="0090344C">
        <w:rPr>
          <w:rFonts w:ascii="Arial" w:eastAsia="Arial" w:hAnsi="Arial" w:cs="Arial"/>
          <w:b/>
          <w:lang w:eastAsia="es-ES" w:bidi="es-ES"/>
        </w:rPr>
        <w:t>DOCUMENTOS TIPO − Promoción de servicios nacionales o con trato nacional – Bienes nacionales relevantes – Metodología</w:t>
      </w:r>
    </w:p>
    <w:p w14:paraId="10DF226A" w14:textId="77777777" w:rsidR="0090344C" w:rsidRPr="0090344C" w:rsidRDefault="0090344C" w:rsidP="00B4770F">
      <w:pPr>
        <w:widowControl w:val="0"/>
        <w:autoSpaceDE w:val="0"/>
        <w:autoSpaceDN w:val="0"/>
        <w:spacing w:after="0" w:line="240" w:lineRule="auto"/>
        <w:jc w:val="both"/>
        <w:rPr>
          <w:rFonts w:ascii="Arial" w:eastAsia="Calibri" w:hAnsi="Arial" w:cs="Arial"/>
          <w:bCs/>
          <w:color w:val="000000"/>
          <w:lang w:val="es-ES_tradnl"/>
        </w:rPr>
      </w:pPr>
    </w:p>
    <w:p w14:paraId="5B380988" w14:textId="77777777" w:rsidR="0090344C" w:rsidRPr="0090344C" w:rsidRDefault="0090344C" w:rsidP="00B4770F">
      <w:pPr>
        <w:widowControl w:val="0"/>
        <w:autoSpaceDE w:val="0"/>
        <w:autoSpaceDN w:val="0"/>
        <w:spacing w:after="120" w:line="240" w:lineRule="auto"/>
        <w:jc w:val="both"/>
        <w:rPr>
          <w:rFonts w:ascii="Arial" w:eastAsia="Arial" w:hAnsi="Arial" w:cs="Arial"/>
          <w:bCs/>
          <w:lang w:eastAsia="es-ES" w:bidi="es-ES"/>
        </w:rPr>
      </w:pPr>
      <w:r w:rsidRPr="0090344C">
        <w:rPr>
          <w:rFonts w:ascii="Arial" w:eastAsia="Arial" w:hAnsi="Arial" w:cs="Arial"/>
          <w:bCs/>
          <w:lang w:eastAsia="es-ES" w:bidi="es-ES"/>
        </w:rPr>
        <w:t xml:space="preserve">Para determinar uno o varios bienes nacionales relevantes la entidad estatal debe aplicar los criterios establecidos en el artículo </w:t>
      </w:r>
      <w:r w:rsidRPr="0090344C">
        <w:rPr>
          <w:rFonts w:ascii="Arial" w:eastAsia="Arial" w:hAnsi="Arial" w:cs="Arial"/>
          <w:lang w:val="es-419"/>
        </w:rPr>
        <w:t xml:space="preserve">2.2.1.2.4.2.9. del Decreto 1082 de 2015 </w:t>
      </w:r>
      <w:r w:rsidRPr="0090344C">
        <w:rPr>
          <w:rFonts w:ascii="Arial" w:eastAsia="Calibri" w:hAnsi="Arial" w:cs="Arial"/>
          <w:bCs/>
          <w:color w:val="000000" w:themeColor="text1"/>
          <w:lang w:val="es-ES_tradnl"/>
        </w:rPr>
        <w:t xml:space="preserve">adicionado por el Decreto 680 de 2021, a saber: i) «el análisis del sector económico y de los oferentes, y, toda aquella información adicional con la que cuente la entidad estatal en la etapa de planeación del Proceso de Contratación», ii) el porcentaje de participación de los bienes en el presupuesto del Proceso de Contratación y iii) la existencia de los bienes en el Registro de Productores de Bienes Nacionales, en los términos del Decreto 2680 de 2009. </w:t>
      </w:r>
      <w:r w:rsidRPr="0090344C">
        <w:rPr>
          <w:rFonts w:ascii="Arial" w:eastAsia="Arial" w:hAnsi="Arial" w:cs="Arial"/>
          <w:lang w:val="es-419"/>
        </w:rPr>
        <w:t xml:space="preserve">Además de estos tres criterios, la entidad estatal deberá aplicar los parámetros contenidos en la </w:t>
      </w:r>
      <w:r w:rsidRPr="0090344C">
        <w:rPr>
          <w:rFonts w:ascii="Arial" w:eastAsia="Arial" w:hAnsi="Arial" w:cs="Arial"/>
          <w:bCs/>
          <w:lang w:eastAsia="es-ES" w:bidi="es-ES"/>
        </w:rPr>
        <w:t>Matriz 4 – Bienes nacionales relevantes para la obra pública del sector transporte, en la que s</w:t>
      </w:r>
      <w:r w:rsidRPr="0090344C">
        <w:rPr>
          <w:rFonts w:ascii="Arial" w:eastAsia="Calibri" w:hAnsi="Arial" w:cs="Arial"/>
          <w:bCs/>
          <w:color w:val="000000" w:themeColor="text1"/>
          <w:lang w:val="es-ES_tradnl"/>
        </w:rPr>
        <w:t xml:space="preserve">e desarrolla una metodología para identificar los bienes nacionales relevantes para la ejecución del objeto a contratar. </w:t>
      </w:r>
    </w:p>
    <w:p w14:paraId="0FD29C1F" w14:textId="77777777" w:rsidR="0090344C" w:rsidRPr="0090344C" w:rsidRDefault="0090344C" w:rsidP="00B4770F">
      <w:pPr>
        <w:widowControl w:val="0"/>
        <w:autoSpaceDE w:val="0"/>
        <w:autoSpaceDN w:val="0"/>
        <w:spacing w:after="120" w:line="240" w:lineRule="auto"/>
        <w:jc w:val="both"/>
        <w:rPr>
          <w:rFonts w:ascii="Arial" w:eastAsia="Arial" w:hAnsi="Arial" w:cs="Arial"/>
          <w:bCs/>
          <w:lang w:eastAsia="es-ES" w:bidi="es-ES"/>
        </w:rPr>
      </w:pPr>
      <w:r w:rsidRPr="0090344C">
        <w:rPr>
          <w:rFonts w:ascii="Arial" w:eastAsia="Calibri" w:hAnsi="Arial" w:cs="Arial"/>
          <w:bCs/>
          <w:color w:val="000000" w:themeColor="text1"/>
          <w:lang w:val="es-ES_tradnl"/>
        </w:rPr>
        <w:t xml:space="preserve">Si luego de aplicar la metodología para determinar los bienes nacionales relevantes −descrita con anterioridad− , la entidad determina uno o varios bienes nacionales relevantes para el proceso de contratación, deberá incluir la </w:t>
      </w:r>
      <w:r w:rsidRPr="0090344C">
        <w:rPr>
          <w:rFonts w:ascii="Arial" w:eastAsia="Calibri" w:hAnsi="Arial" w:cs="Arial"/>
          <w:b/>
          <w:i/>
          <w:iCs/>
          <w:color w:val="000000" w:themeColor="text1"/>
          <w:lang w:val="es-ES_tradnl"/>
        </w:rPr>
        <w:t>opción 1</w:t>
      </w:r>
      <w:r w:rsidRPr="0090344C">
        <w:rPr>
          <w:rFonts w:ascii="Arial" w:eastAsia="Calibri" w:hAnsi="Arial" w:cs="Arial"/>
          <w:bCs/>
          <w:color w:val="000000" w:themeColor="text1"/>
          <w:lang w:val="es-ES_tradnl"/>
        </w:rPr>
        <w:t xml:space="preserve"> del numeral </w:t>
      </w:r>
      <w:r w:rsidRPr="0090344C">
        <w:rPr>
          <w:rFonts w:ascii="Arial" w:hAnsi="Arial" w:cs="Arial"/>
          <w:lang w:val="es-MX"/>
        </w:rPr>
        <w:t>4</w:t>
      </w:r>
      <w:r w:rsidRPr="0090344C">
        <w:rPr>
          <w:rFonts w:ascii="Arial" w:eastAsia="Arial" w:hAnsi="Arial" w:cs="Arial"/>
          <w:bCs/>
          <w:lang w:eastAsia="es-ES" w:bidi="es-ES"/>
        </w:rPr>
        <w:t xml:space="preserve">.3.1 «Promoción de servicios nacionales o con trato nacional», en la que se señalaran los bienes nacionales relevantes en el proceso de contratación, diligenciando una tabla con la información tomada del Registro de Productores de Bienes Nacionales, en la que se señalará: i) el bien nacional relevante, ii) la fecha de inscripción, iii) la fecha de vigencia, iv) el número de partida arancelaria, v) el porcentaje (%) de participación del bien y vi) el puntaje individual de cada </w:t>
      </w:r>
      <w:r w:rsidRPr="0090344C">
        <w:rPr>
          <w:rFonts w:ascii="Arial" w:eastAsia="Arial" w:hAnsi="Arial" w:cs="Arial"/>
          <w:bCs/>
          <w:lang w:eastAsia="es-ES" w:bidi="es-ES"/>
        </w:rPr>
        <w:lastRenderedPageBreak/>
        <w:t xml:space="preserve">bien. </w:t>
      </w:r>
    </w:p>
    <w:p w14:paraId="1DBC1274" w14:textId="77777777" w:rsidR="0090344C" w:rsidRPr="0090344C" w:rsidRDefault="0090344C" w:rsidP="00B4770F">
      <w:pPr>
        <w:widowControl w:val="0"/>
        <w:tabs>
          <w:tab w:val="left" w:pos="2143"/>
        </w:tabs>
        <w:autoSpaceDE w:val="0"/>
        <w:autoSpaceDN w:val="0"/>
        <w:spacing w:after="0" w:line="240" w:lineRule="auto"/>
        <w:jc w:val="both"/>
        <w:rPr>
          <w:rFonts w:ascii="Arial" w:eastAsia="Arial" w:hAnsi="Arial" w:cs="Arial"/>
          <w:bCs/>
          <w:lang w:eastAsia="es-ES" w:bidi="es-ES"/>
        </w:rPr>
      </w:pPr>
      <w:r w:rsidRPr="0090344C">
        <w:rPr>
          <w:rFonts w:ascii="Arial" w:eastAsia="Arial" w:hAnsi="Arial" w:cs="Arial"/>
          <w:bCs/>
          <w:lang w:eastAsia="es-ES" w:bidi="es-ES"/>
        </w:rPr>
        <w:t xml:space="preserve">Por otra parte, si luego de aplicar la metodología para identificar los bienes nacionales relevantes, prevista en la «Matriz 4 - Bienes nacionales relevantes para la obra pública del sector transporte», la entidad estatal demuestra que los bienes nacionales relevantes no están registrados en el Registro de Productos de Bienes Nacionales Relevantes, la entidad estatal deberá aplicar la </w:t>
      </w:r>
      <w:r w:rsidRPr="0090344C">
        <w:rPr>
          <w:rFonts w:ascii="Arial" w:eastAsia="Arial" w:hAnsi="Arial" w:cs="Arial"/>
          <w:b/>
          <w:i/>
          <w:iCs/>
          <w:lang w:eastAsia="es-ES" w:bidi="es-ES"/>
        </w:rPr>
        <w:t>opción 2</w:t>
      </w:r>
      <w:r w:rsidRPr="0090344C">
        <w:rPr>
          <w:rFonts w:ascii="Arial" w:eastAsia="Arial" w:hAnsi="Arial" w:cs="Arial"/>
          <w:bCs/>
          <w:lang w:eastAsia="es-ES" w:bidi="es-ES"/>
        </w:rPr>
        <w:t xml:space="preserve"> del numeral 4.3.1 «Promoción de servicios nacionales o con trato nacional». Así las cosas, la entidad, otorgará el puntaje a los proponentes que se comprometan a vincular al desarrollo del objeto contractual un porcentaje de empleados o contratistas por prestación de servicios colombianos de al menos el cuarenta (40%) del personal requerido para el cumplimento del contrato […]</w:t>
      </w:r>
    </w:p>
    <w:p w14:paraId="42718654" w14:textId="6DE15065" w:rsidR="0090344C" w:rsidRDefault="0090344C" w:rsidP="00EF2B49">
      <w:pPr>
        <w:spacing w:after="0" w:line="240" w:lineRule="auto"/>
        <w:rPr>
          <w:rFonts w:ascii="Arial" w:eastAsia="Calibri" w:hAnsi="Arial" w:cs="Arial"/>
          <w:color w:val="000000"/>
          <w:lang w:val="es-ES_tradnl"/>
        </w:rPr>
      </w:pPr>
    </w:p>
    <w:p w14:paraId="77D62C86" w14:textId="6E76F801" w:rsidR="0090344C" w:rsidRDefault="0090344C">
      <w:pPr>
        <w:spacing w:after="0" w:line="240" w:lineRule="auto"/>
        <w:rPr>
          <w:rFonts w:ascii="Arial" w:eastAsia="Calibri" w:hAnsi="Arial" w:cs="Arial"/>
          <w:color w:val="000000"/>
          <w:lang w:val="es-ES_tradnl"/>
        </w:rPr>
      </w:pPr>
    </w:p>
    <w:p w14:paraId="65152AC8" w14:textId="78173490" w:rsidR="0090344C" w:rsidRDefault="0090344C">
      <w:pPr>
        <w:spacing w:after="0" w:line="240" w:lineRule="auto"/>
        <w:rPr>
          <w:rFonts w:ascii="Arial" w:eastAsia="Calibri" w:hAnsi="Arial" w:cs="Arial"/>
          <w:color w:val="000000"/>
          <w:lang w:val="es-ES_tradnl"/>
        </w:rPr>
      </w:pPr>
    </w:p>
    <w:p w14:paraId="2D486675" w14:textId="4D8F70F1" w:rsidR="0090344C" w:rsidRDefault="0090344C">
      <w:pPr>
        <w:spacing w:after="0" w:line="240" w:lineRule="auto"/>
        <w:rPr>
          <w:rFonts w:ascii="Arial" w:eastAsia="Calibri" w:hAnsi="Arial" w:cs="Arial"/>
          <w:color w:val="000000"/>
          <w:lang w:val="es-ES_tradnl"/>
        </w:rPr>
      </w:pPr>
    </w:p>
    <w:p w14:paraId="12ECB09C" w14:textId="1D400918" w:rsidR="0090344C" w:rsidRDefault="0090344C">
      <w:pPr>
        <w:spacing w:after="0" w:line="240" w:lineRule="auto"/>
        <w:rPr>
          <w:rFonts w:ascii="Arial" w:eastAsia="Calibri" w:hAnsi="Arial" w:cs="Arial"/>
          <w:color w:val="000000"/>
          <w:lang w:val="es-ES_tradnl"/>
        </w:rPr>
      </w:pPr>
    </w:p>
    <w:p w14:paraId="3CA9AEF1" w14:textId="54A9297E" w:rsidR="0090344C" w:rsidRDefault="0090344C">
      <w:pPr>
        <w:spacing w:after="0" w:line="240" w:lineRule="auto"/>
        <w:rPr>
          <w:rFonts w:ascii="Arial" w:eastAsia="Calibri" w:hAnsi="Arial" w:cs="Arial"/>
          <w:color w:val="000000"/>
          <w:lang w:val="es-ES_tradnl"/>
        </w:rPr>
      </w:pPr>
    </w:p>
    <w:p w14:paraId="78A9ADB9" w14:textId="207A8214" w:rsidR="0090344C" w:rsidRDefault="0090344C">
      <w:pPr>
        <w:spacing w:after="0" w:line="240" w:lineRule="auto"/>
        <w:rPr>
          <w:rFonts w:ascii="Arial" w:eastAsia="Calibri" w:hAnsi="Arial" w:cs="Arial"/>
          <w:color w:val="000000"/>
          <w:lang w:val="es-ES_tradnl"/>
        </w:rPr>
      </w:pPr>
    </w:p>
    <w:p w14:paraId="16DCF416" w14:textId="358CBA06" w:rsidR="0090344C" w:rsidRDefault="0090344C" w:rsidP="004F0480">
      <w:pPr>
        <w:spacing w:after="0" w:line="240" w:lineRule="auto"/>
        <w:rPr>
          <w:rFonts w:ascii="Arial" w:eastAsia="Calibri" w:hAnsi="Arial" w:cs="Arial"/>
          <w:color w:val="000000"/>
          <w:lang w:val="es-ES_tradnl"/>
        </w:rPr>
      </w:pPr>
    </w:p>
    <w:p w14:paraId="72C93D56" w14:textId="2D42FF2F" w:rsidR="0090344C" w:rsidRDefault="0090344C" w:rsidP="004F0480">
      <w:pPr>
        <w:spacing w:after="0" w:line="240" w:lineRule="auto"/>
        <w:rPr>
          <w:rFonts w:ascii="Arial" w:eastAsia="Calibri" w:hAnsi="Arial" w:cs="Arial"/>
          <w:color w:val="000000"/>
          <w:lang w:val="es-ES_tradnl"/>
        </w:rPr>
      </w:pPr>
    </w:p>
    <w:p w14:paraId="7E447A1F" w14:textId="240E057A" w:rsidR="0090344C" w:rsidRDefault="0090344C" w:rsidP="004F0480">
      <w:pPr>
        <w:spacing w:after="0" w:line="240" w:lineRule="auto"/>
        <w:rPr>
          <w:rFonts w:ascii="Arial" w:eastAsia="Calibri" w:hAnsi="Arial" w:cs="Arial"/>
          <w:color w:val="000000"/>
          <w:lang w:val="es-ES_tradnl"/>
        </w:rPr>
      </w:pPr>
    </w:p>
    <w:p w14:paraId="48F4E9DE" w14:textId="76BCCD9A" w:rsidR="0090344C" w:rsidRDefault="0090344C" w:rsidP="004F0480">
      <w:pPr>
        <w:spacing w:after="0" w:line="240" w:lineRule="auto"/>
        <w:rPr>
          <w:rFonts w:ascii="Arial" w:eastAsia="Calibri" w:hAnsi="Arial" w:cs="Arial"/>
          <w:color w:val="000000"/>
          <w:lang w:val="es-ES_tradnl"/>
        </w:rPr>
      </w:pPr>
    </w:p>
    <w:p w14:paraId="442872A0" w14:textId="5EC22A55" w:rsidR="0090344C" w:rsidRDefault="0090344C" w:rsidP="004F0480">
      <w:pPr>
        <w:spacing w:after="0" w:line="240" w:lineRule="auto"/>
        <w:rPr>
          <w:rFonts w:ascii="Arial" w:eastAsia="Calibri" w:hAnsi="Arial" w:cs="Arial"/>
          <w:color w:val="000000"/>
          <w:lang w:val="es-ES_tradnl"/>
        </w:rPr>
      </w:pPr>
    </w:p>
    <w:p w14:paraId="59DEE049" w14:textId="564F2F74" w:rsidR="0090344C" w:rsidRDefault="0090344C" w:rsidP="004F0480">
      <w:pPr>
        <w:spacing w:after="0" w:line="240" w:lineRule="auto"/>
        <w:rPr>
          <w:rFonts w:ascii="Arial" w:eastAsia="Calibri" w:hAnsi="Arial" w:cs="Arial"/>
          <w:color w:val="000000"/>
          <w:lang w:val="es-ES_tradnl"/>
        </w:rPr>
      </w:pPr>
    </w:p>
    <w:p w14:paraId="36DC544D" w14:textId="3D9ADBAC" w:rsidR="0090344C" w:rsidRDefault="0090344C" w:rsidP="004F0480">
      <w:pPr>
        <w:spacing w:after="0" w:line="240" w:lineRule="auto"/>
        <w:rPr>
          <w:rFonts w:ascii="Arial" w:eastAsia="Calibri" w:hAnsi="Arial" w:cs="Arial"/>
          <w:color w:val="000000"/>
          <w:lang w:val="es-ES_tradnl"/>
        </w:rPr>
      </w:pPr>
    </w:p>
    <w:p w14:paraId="78EA3D2F" w14:textId="4D3A1CE6" w:rsidR="0090344C" w:rsidRDefault="0090344C" w:rsidP="004F0480">
      <w:pPr>
        <w:spacing w:after="0" w:line="240" w:lineRule="auto"/>
        <w:rPr>
          <w:rFonts w:ascii="Arial" w:eastAsia="Calibri" w:hAnsi="Arial" w:cs="Arial"/>
          <w:color w:val="000000"/>
          <w:lang w:val="es-ES_tradnl"/>
        </w:rPr>
      </w:pPr>
    </w:p>
    <w:p w14:paraId="497381E4" w14:textId="6F4AD59A" w:rsidR="0090344C" w:rsidRDefault="0090344C" w:rsidP="004F0480">
      <w:pPr>
        <w:spacing w:after="0" w:line="240" w:lineRule="auto"/>
        <w:rPr>
          <w:rFonts w:ascii="Arial" w:eastAsia="Calibri" w:hAnsi="Arial" w:cs="Arial"/>
          <w:color w:val="000000"/>
          <w:lang w:val="es-ES_tradnl"/>
        </w:rPr>
      </w:pPr>
    </w:p>
    <w:p w14:paraId="24F1639E" w14:textId="5B8762D0" w:rsidR="0090344C" w:rsidRDefault="0090344C" w:rsidP="004F0480">
      <w:pPr>
        <w:spacing w:after="0" w:line="240" w:lineRule="auto"/>
        <w:rPr>
          <w:rFonts w:ascii="Arial" w:eastAsia="Calibri" w:hAnsi="Arial" w:cs="Arial"/>
          <w:color w:val="000000"/>
          <w:lang w:val="es-ES_tradnl"/>
        </w:rPr>
      </w:pPr>
    </w:p>
    <w:p w14:paraId="73E6AB2A" w14:textId="73414FC8" w:rsidR="0090344C" w:rsidRDefault="0090344C" w:rsidP="004F0480">
      <w:pPr>
        <w:spacing w:after="0" w:line="240" w:lineRule="auto"/>
        <w:rPr>
          <w:rFonts w:ascii="Arial" w:eastAsia="Calibri" w:hAnsi="Arial" w:cs="Arial"/>
          <w:color w:val="000000"/>
          <w:lang w:val="es-ES_tradnl"/>
        </w:rPr>
      </w:pPr>
    </w:p>
    <w:p w14:paraId="2B9EB0A8" w14:textId="01EBE065" w:rsidR="0090344C" w:rsidRDefault="0090344C" w:rsidP="004F0480">
      <w:pPr>
        <w:spacing w:after="0" w:line="240" w:lineRule="auto"/>
        <w:rPr>
          <w:rFonts w:ascii="Arial" w:eastAsia="Calibri" w:hAnsi="Arial" w:cs="Arial"/>
          <w:color w:val="000000"/>
          <w:lang w:val="es-ES_tradnl"/>
        </w:rPr>
      </w:pPr>
    </w:p>
    <w:p w14:paraId="510C417B" w14:textId="5E38EDC4" w:rsidR="0090344C" w:rsidRDefault="0090344C" w:rsidP="004F0480">
      <w:pPr>
        <w:spacing w:after="0" w:line="240" w:lineRule="auto"/>
        <w:rPr>
          <w:rFonts w:ascii="Arial" w:eastAsia="Calibri" w:hAnsi="Arial" w:cs="Arial"/>
          <w:color w:val="000000"/>
          <w:lang w:val="es-ES_tradnl"/>
        </w:rPr>
      </w:pPr>
    </w:p>
    <w:p w14:paraId="49066021" w14:textId="14A2A95C" w:rsidR="0090344C" w:rsidRDefault="0090344C" w:rsidP="004F0480">
      <w:pPr>
        <w:spacing w:after="0" w:line="240" w:lineRule="auto"/>
        <w:rPr>
          <w:rFonts w:ascii="Arial" w:eastAsia="Calibri" w:hAnsi="Arial" w:cs="Arial"/>
          <w:color w:val="000000"/>
          <w:lang w:val="es-ES_tradnl"/>
        </w:rPr>
      </w:pPr>
    </w:p>
    <w:p w14:paraId="3F47D9F5" w14:textId="428153EF" w:rsidR="0090344C" w:rsidRDefault="0090344C" w:rsidP="004F0480">
      <w:pPr>
        <w:spacing w:after="0" w:line="240" w:lineRule="auto"/>
        <w:rPr>
          <w:rFonts w:ascii="Arial" w:eastAsia="Calibri" w:hAnsi="Arial" w:cs="Arial"/>
          <w:color w:val="000000"/>
          <w:lang w:val="es-ES_tradnl"/>
        </w:rPr>
      </w:pPr>
    </w:p>
    <w:p w14:paraId="767DE00C" w14:textId="56091F99" w:rsidR="0090344C" w:rsidRDefault="0090344C" w:rsidP="004F0480">
      <w:pPr>
        <w:spacing w:after="0" w:line="240" w:lineRule="auto"/>
        <w:rPr>
          <w:rFonts w:ascii="Arial" w:eastAsia="Calibri" w:hAnsi="Arial" w:cs="Arial"/>
          <w:color w:val="000000"/>
          <w:lang w:val="es-ES_tradnl"/>
        </w:rPr>
      </w:pPr>
    </w:p>
    <w:p w14:paraId="370E1882" w14:textId="32CF0A98" w:rsidR="0090344C" w:rsidRDefault="0090344C" w:rsidP="004F0480">
      <w:pPr>
        <w:spacing w:after="0" w:line="240" w:lineRule="auto"/>
        <w:rPr>
          <w:rFonts w:ascii="Arial" w:eastAsia="Calibri" w:hAnsi="Arial" w:cs="Arial"/>
          <w:color w:val="000000"/>
          <w:lang w:val="es-ES_tradnl"/>
        </w:rPr>
      </w:pPr>
    </w:p>
    <w:p w14:paraId="4BD63B1D" w14:textId="74A6B5D4" w:rsidR="0090344C" w:rsidRDefault="0090344C" w:rsidP="004F0480">
      <w:pPr>
        <w:spacing w:after="0" w:line="240" w:lineRule="auto"/>
        <w:rPr>
          <w:rFonts w:ascii="Arial" w:eastAsia="Calibri" w:hAnsi="Arial" w:cs="Arial"/>
          <w:color w:val="000000"/>
          <w:lang w:val="es-ES_tradnl"/>
        </w:rPr>
      </w:pPr>
    </w:p>
    <w:p w14:paraId="3A9A6E3E" w14:textId="51840D79" w:rsidR="0090344C" w:rsidRDefault="0090344C" w:rsidP="004F0480">
      <w:pPr>
        <w:spacing w:after="0" w:line="240" w:lineRule="auto"/>
        <w:rPr>
          <w:rFonts w:ascii="Arial" w:eastAsia="Calibri" w:hAnsi="Arial" w:cs="Arial"/>
          <w:color w:val="000000"/>
          <w:lang w:val="es-ES_tradnl"/>
        </w:rPr>
      </w:pPr>
    </w:p>
    <w:p w14:paraId="5205C9B3" w14:textId="4317C3B3" w:rsidR="0090344C" w:rsidRDefault="0090344C" w:rsidP="004F0480">
      <w:pPr>
        <w:spacing w:after="0" w:line="240" w:lineRule="auto"/>
        <w:rPr>
          <w:rFonts w:ascii="Arial" w:eastAsia="Calibri" w:hAnsi="Arial" w:cs="Arial"/>
          <w:color w:val="000000"/>
          <w:lang w:val="es-ES_tradnl"/>
        </w:rPr>
      </w:pPr>
    </w:p>
    <w:p w14:paraId="01BB848B" w14:textId="11D88C29" w:rsidR="0090344C" w:rsidRDefault="0090344C" w:rsidP="004F0480">
      <w:pPr>
        <w:spacing w:after="0" w:line="240" w:lineRule="auto"/>
        <w:rPr>
          <w:rFonts w:ascii="Arial" w:eastAsia="Calibri" w:hAnsi="Arial" w:cs="Arial"/>
          <w:color w:val="000000"/>
          <w:lang w:val="es-ES_tradnl"/>
        </w:rPr>
      </w:pPr>
    </w:p>
    <w:p w14:paraId="3B85B533" w14:textId="138527C4" w:rsidR="0090344C" w:rsidRDefault="0090344C" w:rsidP="004F0480">
      <w:pPr>
        <w:spacing w:after="0" w:line="240" w:lineRule="auto"/>
        <w:rPr>
          <w:rFonts w:ascii="Arial" w:eastAsia="Calibri" w:hAnsi="Arial" w:cs="Arial"/>
          <w:color w:val="000000"/>
          <w:lang w:val="es-ES_tradnl"/>
        </w:rPr>
      </w:pPr>
    </w:p>
    <w:p w14:paraId="7653538E" w14:textId="75B9681E" w:rsidR="0090344C" w:rsidRDefault="0090344C" w:rsidP="004F0480">
      <w:pPr>
        <w:spacing w:after="0" w:line="240" w:lineRule="auto"/>
        <w:rPr>
          <w:rFonts w:ascii="Arial" w:eastAsia="Calibri" w:hAnsi="Arial" w:cs="Arial"/>
          <w:color w:val="000000"/>
          <w:lang w:val="es-ES_tradnl"/>
        </w:rPr>
      </w:pPr>
    </w:p>
    <w:p w14:paraId="64DC38B6" w14:textId="77777777" w:rsidR="0090344C" w:rsidRDefault="0090344C" w:rsidP="004F0480">
      <w:pPr>
        <w:spacing w:after="0" w:line="240" w:lineRule="auto"/>
        <w:rPr>
          <w:rFonts w:ascii="Arial" w:eastAsia="Calibri" w:hAnsi="Arial" w:cs="Arial"/>
          <w:color w:val="000000"/>
          <w:lang w:val="es-ES_tradnl"/>
        </w:rPr>
      </w:pPr>
    </w:p>
    <w:p w14:paraId="30F6C47D" w14:textId="77777777" w:rsidR="0090344C" w:rsidRDefault="0090344C" w:rsidP="004F0480">
      <w:pPr>
        <w:spacing w:after="0" w:line="240" w:lineRule="auto"/>
        <w:rPr>
          <w:rFonts w:ascii="Arial" w:eastAsia="Calibri" w:hAnsi="Arial" w:cs="Arial"/>
          <w:color w:val="000000"/>
          <w:lang w:val="es-ES_tradnl"/>
        </w:rPr>
      </w:pPr>
    </w:p>
    <w:p w14:paraId="26E8C39D" w14:textId="77777777" w:rsidR="00EF2B49" w:rsidRDefault="00EF2B49" w:rsidP="004F0480">
      <w:pPr>
        <w:spacing w:after="0" w:line="240" w:lineRule="auto"/>
        <w:rPr>
          <w:rFonts w:ascii="Arial" w:eastAsia="Calibri" w:hAnsi="Arial" w:cs="Arial"/>
          <w:color w:val="000000"/>
          <w:lang w:val="es-ES_tradnl"/>
        </w:rPr>
      </w:pPr>
    </w:p>
    <w:p w14:paraId="3CD0DB68" w14:textId="77777777" w:rsidR="00EF2B49" w:rsidRDefault="00EF2B49" w:rsidP="004F0480">
      <w:pPr>
        <w:spacing w:after="0" w:line="240" w:lineRule="auto"/>
        <w:rPr>
          <w:rFonts w:ascii="Arial" w:eastAsia="Calibri" w:hAnsi="Arial" w:cs="Arial"/>
          <w:color w:val="000000"/>
          <w:lang w:val="es-ES_tradnl"/>
        </w:rPr>
      </w:pPr>
    </w:p>
    <w:p w14:paraId="000334F4" w14:textId="77777777" w:rsidR="00EF2B49" w:rsidRDefault="00EF2B49" w:rsidP="004F0480">
      <w:pPr>
        <w:spacing w:after="0" w:line="240" w:lineRule="auto"/>
        <w:rPr>
          <w:rFonts w:ascii="Arial" w:eastAsia="Calibri" w:hAnsi="Arial" w:cs="Arial"/>
          <w:color w:val="000000"/>
          <w:lang w:val="es-ES_tradnl"/>
        </w:rPr>
      </w:pPr>
    </w:p>
    <w:p w14:paraId="74EBDB9E" w14:textId="77777777" w:rsidR="00EF2B49" w:rsidRDefault="00EF2B49" w:rsidP="004F0480">
      <w:pPr>
        <w:spacing w:after="0" w:line="240" w:lineRule="auto"/>
        <w:rPr>
          <w:rFonts w:ascii="Arial" w:eastAsia="Calibri" w:hAnsi="Arial" w:cs="Arial"/>
          <w:color w:val="000000"/>
          <w:lang w:val="es-ES_tradnl"/>
        </w:rPr>
      </w:pPr>
    </w:p>
    <w:p w14:paraId="38E7E57D" w14:textId="77777777" w:rsidR="00EF2B49" w:rsidRDefault="00EF2B49" w:rsidP="004F0480">
      <w:pPr>
        <w:spacing w:after="0" w:line="240" w:lineRule="auto"/>
        <w:rPr>
          <w:rFonts w:ascii="Arial" w:eastAsia="Calibri" w:hAnsi="Arial" w:cs="Arial"/>
          <w:color w:val="000000"/>
          <w:lang w:val="es-ES_tradnl"/>
        </w:rPr>
      </w:pPr>
    </w:p>
    <w:p w14:paraId="629AB961" w14:textId="77777777" w:rsidR="00EF2B49" w:rsidRDefault="00EF2B49" w:rsidP="004F0480">
      <w:pPr>
        <w:spacing w:after="0" w:line="240" w:lineRule="auto"/>
        <w:rPr>
          <w:rFonts w:ascii="Arial" w:eastAsia="Calibri" w:hAnsi="Arial" w:cs="Arial"/>
          <w:color w:val="000000"/>
          <w:lang w:val="es-ES_tradnl"/>
        </w:rPr>
      </w:pPr>
    </w:p>
    <w:p w14:paraId="31F02700" w14:textId="77777777" w:rsidR="00EF2B49" w:rsidRDefault="00EF2B49" w:rsidP="004F0480">
      <w:pPr>
        <w:spacing w:after="0" w:line="240" w:lineRule="auto"/>
        <w:rPr>
          <w:rFonts w:ascii="Arial" w:eastAsia="Calibri" w:hAnsi="Arial" w:cs="Arial"/>
          <w:color w:val="000000"/>
          <w:lang w:val="es-ES_tradnl"/>
        </w:rPr>
      </w:pPr>
    </w:p>
    <w:p w14:paraId="0E965A9A" w14:textId="77777777" w:rsidR="00D42F53" w:rsidRDefault="00D42F53" w:rsidP="004F0480">
      <w:pPr>
        <w:spacing w:after="0" w:line="240" w:lineRule="auto"/>
        <w:rPr>
          <w:rFonts w:ascii="Arial" w:eastAsia="Calibri" w:hAnsi="Arial" w:cs="Arial"/>
          <w:color w:val="000000"/>
          <w:lang w:val="es-ES_tradnl"/>
        </w:rPr>
      </w:pPr>
    </w:p>
    <w:p w14:paraId="61D16E25" w14:textId="77777777" w:rsidR="00D42F53" w:rsidRDefault="00D42F53" w:rsidP="004F0480">
      <w:pPr>
        <w:spacing w:after="0" w:line="240" w:lineRule="auto"/>
        <w:rPr>
          <w:rFonts w:ascii="Arial" w:eastAsia="Calibri" w:hAnsi="Arial" w:cs="Arial"/>
          <w:color w:val="000000"/>
          <w:lang w:val="es-ES_tradnl"/>
        </w:rPr>
      </w:pPr>
    </w:p>
    <w:p w14:paraId="2C88C6E1" w14:textId="77777777" w:rsidR="00D42F53" w:rsidRDefault="00D42F53" w:rsidP="004F0480">
      <w:pPr>
        <w:spacing w:after="0" w:line="240" w:lineRule="auto"/>
        <w:rPr>
          <w:rFonts w:ascii="Arial" w:eastAsia="Calibri" w:hAnsi="Arial" w:cs="Arial"/>
          <w:color w:val="000000"/>
          <w:lang w:val="es-ES_tradnl"/>
        </w:rPr>
      </w:pPr>
    </w:p>
    <w:p w14:paraId="0B1D5C61" w14:textId="6647BEE3" w:rsidR="00D42F53" w:rsidRDefault="00D42F53" w:rsidP="00D42F53">
      <w:pPr>
        <w:spacing w:after="0" w:line="240" w:lineRule="auto"/>
        <w:jc w:val="right"/>
        <w:rPr>
          <w:rFonts w:ascii="Arial" w:eastAsia="Calibri" w:hAnsi="Arial" w:cs="Arial"/>
          <w:color w:val="000000"/>
          <w:lang w:val="es-ES_tradnl"/>
        </w:rPr>
      </w:pPr>
      <w:r>
        <w:rPr>
          <w:noProof/>
        </w:rPr>
        <w:drawing>
          <wp:inline distT="0" distB="0" distL="0" distR="0" wp14:anchorId="6972FE9A" wp14:editId="0BC48687">
            <wp:extent cx="2853389" cy="871869"/>
            <wp:effectExtent l="0" t="0" r="4445" b="444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rotWithShape="1">
                    <a:blip r:embed="rId11"/>
                    <a:srcRect l="50916" t="31498" r="18534" b="53567"/>
                    <a:stretch/>
                  </pic:blipFill>
                  <pic:spPr bwMode="auto">
                    <a:xfrm>
                      <a:off x="0" y="0"/>
                      <a:ext cx="2858201" cy="873339"/>
                    </a:xfrm>
                    <a:prstGeom prst="rect">
                      <a:avLst/>
                    </a:prstGeom>
                    <a:ln>
                      <a:noFill/>
                    </a:ln>
                    <a:extLst>
                      <a:ext uri="{53640926-AAD7-44D8-BBD7-CCE9431645EC}">
                        <a14:shadowObscured xmlns:a14="http://schemas.microsoft.com/office/drawing/2010/main"/>
                      </a:ext>
                    </a:extLst>
                  </pic:spPr>
                </pic:pic>
              </a:graphicData>
            </a:graphic>
          </wp:inline>
        </w:drawing>
      </w:r>
    </w:p>
    <w:p w14:paraId="0A94FEA8" w14:textId="77777777" w:rsidR="00D42F53" w:rsidRDefault="00D42F53" w:rsidP="004F0480">
      <w:pPr>
        <w:spacing w:after="0" w:line="240" w:lineRule="auto"/>
        <w:rPr>
          <w:rFonts w:ascii="Arial" w:eastAsia="Calibri" w:hAnsi="Arial" w:cs="Arial"/>
          <w:color w:val="000000"/>
          <w:lang w:val="es-ES_tradnl"/>
        </w:rPr>
      </w:pPr>
    </w:p>
    <w:p w14:paraId="1009B967" w14:textId="4982CFD4" w:rsidR="00D42F53" w:rsidRDefault="00D42F53" w:rsidP="004F0480">
      <w:pPr>
        <w:spacing w:after="0" w:line="240" w:lineRule="auto"/>
        <w:rPr>
          <w:rFonts w:ascii="Arial" w:eastAsia="Calibri" w:hAnsi="Arial" w:cs="Arial"/>
          <w:color w:val="000000"/>
          <w:lang w:val="es-ES_tradnl"/>
        </w:rPr>
      </w:pPr>
      <w:r w:rsidRPr="00D42F53">
        <w:rPr>
          <w:rFonts w:ascii="Arial" w:eastAsia="Calibri" w:hAnsi="Arial" w:cs="Arial"/>
          <w:color w:val="000000"/>
          <w:lang w:val="es-ES_tradnl"/>
        </w:rPr>
        <w:t>Bogot</w:t>
      </w:r>
      <w:r w:rsidRPr="00D42F53">
        <w:rPr>
          <w:rFonts w:ascii="Arial" w:eastAsia="Calibri" w:hAnsi="Arial" w:cs="Arial" w:hint="eastAsia"/>
          <w:color w:val="000000"/>
          <w:lang w:val="es-ES_tradnl"/>
        </w:rPr>
        <w:t>á</w:t>
      </w:r>
      <w:r w:rsidRPr="00D42F53">
        <w:rPr>
          <w:rFonts w:ascii="Arial" w:eastAsia="Calibri" w:hAnsi="Arial" w:cs="Arial"/>
          <w:color w:val="000000"/>
          <w:lang w:val="es-ES_tradnl"/>
        </w:rPr>
        <w:t xml:space="preserve">, 20 </w:t>
      </w:r>
      <w:proofErr w:type="gramStart"/>
      <w:r w:rsidRPr="00D42F53">
        <w:rPr>
          <w:rFonts w:ascii="Arial" w:eastAsia="Calibri" w:hAnsi="Arial" w:cs="Arial"/>
          <w:color w:val="000000"/>
          <w:lang w:val="es-ES_tradnl"/>
        </w:rPr>
        <w:t>Diciembre</w:t>
      </w:r>
      <w:proofErr w:type="gramEnd"/>
      <w:r w:rsidRPr="00D42F53">
        <w:rPr>
          <w:rFonts w:ascii="Arial" w:eastAsia="Calibri" w:hAnsi="Arial" w:cs="Arial"/>
          <w:color w:val="000000"/>
          <w:lang w:val="es-ES_tradnl"/>
        </w:rPr>
        <w:t xml:space="preserve"> 2021</w:t>
      </w:r>
    </w:p>
    <w:p w14:paraId="6ECFF0AB" w14:textId="77777777" w:rsidR="00D42F53" w:rsidRDefault="00D42F53" w:rsidP="004F0480">
      <w:pPr>
        <w:spacing w:after="0" w:line="240" w:lineRule="auto"/>
        <w:rPr>
          <w:rFonts w:ascii="Arial" w:eastAsia="Calibri" w:hAnsi="Arial" w:cs="Arial"/>
          <w:color w:val="000000"/>
          <w:lang w:val="es-ES_tradnl"/>
        </w:rPr>
      </w:pPr>
    </w:p>
    <w:p w14:paraId="5FB19576" w14:textId="601A5F89" w:rsidR="004F0480" w:rsidRPr="004F0480" w:rsidRDefault="004F0480" w:rsidP="004F0480">
      <w:pPr>
        <w:spacing w:after="0" w:line="240" w:lineRule="auto"/>
        <w:rPr>
          <w:rFonts w:ascii="Arial" w:eastAsia="Calibri" w:hAnsi="Arial" w:cs="Arial"/>
          <w:color w:val="000000"/>
          <w:lang w:val="es-ES_tradnl"/>
        </w:rPr>
      </w:pPr>
      <w:r w:rsidRPr="004F0480">
        <w:rPr>
          <w:rFonts w:ascii="Arial" w:eastAsia="Calibri" w:hAnsi="Arial" w:cs="Arial"/>
          <w:color w:val="000000"/>
          <w:lang w:val="es-ES_tradnl"/>
        </w:rPr>
        <w:t>Señor</w:t>
      </w:r>
    </w:p>
    <w:p w14:paraId="3ABFBEE9" w14:textId="77777777" w:rsidR="004F0480" w:rsidRPr="004F0480" w:rsidRDefault="004F0480" w:rsidP="004F0480">
      <w:pPr>
        <w:spacing w:after="0" w:line="240" w:lineRule="auto"/>
        <w:rPr>
          <w:rFonts w:ascii="Arial" w:eastAsia="Calibri" w:hAnsi="Arial" w:cs="Arial"/>
          <w:b/>
          <w:bCs/>
          <w:lang w:val="es-MX"/>
        </w:rPr>
      </w:pPr>
      <w:r w:rsidRPr="004F0480">
        <w:rPr>
          <w:rFonts w:ascii="Arial" w:eastAsia="Calibri" w:hAnsi="Arial" w:cs="Arial"/>
          <w:b/>
          <w:bCs/>
          <w:lang w:val="es-MX"/>
        </w:rPr>
        <w:t>Jonathan Delgado Potes</w:t>
      </w:r>
    </w:p>
    <w:p w14:paraId="690BD1D3" w14:textId="77777777" w:rsidR="004F0480" w:rsidRPr="004F0480" w:rsidRDefault="004F0480" w:rsidP="004F0480">
      <w:pPr>
        <w:spacing w:after="0" w:line="276" w:lineRule="auto"/>
        <w:rPr>
          <w:rFonts w:ascii="Arial" w:eastAsia="Calibri" w:hAnsi="Arial" w:cs="Arial"/>
          <w:color w:val="000000"/>
          <w:lang w:val="es-ES_tradnl"/>
        </w:rPr>
      </w:pPr>
      <w:r w:rsidRPr="004F0480">
        <w:rPr>
          <w:rFonts w:ascii="Arial" w:eastAsia="Calibri" w:hAnsi="Arial" w:cs="Arial"/>
          <w:lang w:val="es-MX"/>
        </w:rPr>
        <w:t xml:space="preserve">Tuluá, Valle del Cauca </w:t>
      </w:r>
    </w:p>
    <w:p w14:paraId="057D7C0C" w14:textId="77777777" w:rsidR="004F0480" w:rsidRPr="004F0480" w:rsidRDefault="004F0480" w:rsidP="004F0480">
      <w:pPr>
        <w:spacing w:after="0" w:line="276" w:lineRule="auto"/>
        <w:jc w:val="center"/>
        <w:rPr>
          <w:rFonts w:ascii="Arial" w:eastAsia="Calibri" w:hAnsi="Arial" w:cs="Arial"/>
          <w:b/>
          <w:color w:val="000000"/>
          <w:lang w:val="es-ES_tradnl"/>
        </w:rPr>
      </w:pPr>
    </w:p>
    <w:p w14:paraId="3A0C9D85" w14:textId="77777777" w:rsidR="004F0480" w:rsidRPr="004F0480" w:rsidRDefault="004F0480" w:rsidP="004F0480">
      <w:pPr>
        <w:spacing w:after="0" w:line="276" w:lineRule="auto"/>
        <w:jc w:val="center"/>
        <w:rPr>
          <w:rFonts w:ascii="Arial" w:eastAsia="Calibri" w:hAnsi="Arial" w:cs="Arial"/>
          <w:b/>
          <w:color w:val="000000"/>
          <w:lang w:val="es-ES_tradnl"/>
        </w:rPr>
      </w:pPr>
      <w:r w:rsidRPr="004F0480">
        <w:rPr>
          <w:rFonts w:ascii="Arial" w:eastAsia="Calibri" w:hAnsi="Arial" w:cs="Arial"/>
          <w:b/>
          <w:color w:val="000000"/>
          <w:lang w:val="es-ES_tradnl"/>
        </w:rPr>
        <w:t>Concepto C ─ 684 de 2021</w:t>
      </w:r>
    </w:p>
    <w:p w14:paraId="1103C3E5" w14:textId="77777777" w:rsidR="004F0480" w:rsidRPr="004F0480" w:rsidRDefault="004F0480" w:rsidP="004F0480">
      <w:pPr>
        <w:spacing w:after="0" w:line="276" w:lineRule="auto"/>
        <w:jc w:val="center"/>
        <w:rPr>
          <w:rFonts w:ascii="Arial" w:eastAsia="Calibri" w:hAnsi="Arial" w:cs="Arial"/>
          <w:b/>
          <w:color w:val="000000"/>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F0480" w:rsidRPr="004F0480" w14:paraId="7164400A" w14:textId="77777777" w:rsidTr="00E24777">
        <w:trPr>
          <w:trHeight w:val="1184"/>
        </w:trPr>
        <w:tc>
          <w:tcPr>
            <w:tcW w:w="2689" w:type="dxa"/>
            <w:hideMark/>
          </w:tcPr>
          <w:p w14:paraId="587EF418" w14:textId="77777777" w:rsidR="004F0480" w:rsidRPr="004F0480" w:rsidRDefault="004F0480" w:rsidP="004F0480">
            <w:pPr>
              <w:rPr>
                <w:rFonts w:ascii="Arial" w:eastAsia="Calibri" w:hAnsi="Arial" w:cs="Arial"/>
                <w:color w:val="000000"/>
                <w:lang w:val="es-ES_tradnl"/>
              </w:rPr>
            </w:pPr>
            <w:r w:rsidRPr="004F0480">
              <w:rPr>
                <w:rFonts w:ascii="Arial" w:eastAsia="Calibri" w:hAnsi="Arial" w:cs="Arial"/>
                <w:b/>
                <w:color w:val="000000"/>
                <w:lang w:val="es-ES_tradnl"/>
              </w:rPr>
              <w:t>Temas:</w:t>
            </w:r>
            <w:r w:rsidRPr="004F0480">
              <w:rPr>
                <w:rFonts w:ascii="Arial" w:eastAsia="Calibri" w:hAnsi="Arial" w:cs="Arial"/>
                <w:color w:val="000000"/>
                <w:lang w:val="es-ES_tradnl"/>
              </w:rPr>
              <w:t xml:space="preserve">           </w:t>
            </w:r>
          </w:p>
          <w:p w14:paraId="196716A3" w14:textId="77777777" w:rsidR="004F0480" w:rsidRPr="004F0480" w:rsidRDefault="004F0480" w:rsidP="004F0480">
            <w:pPr>
              <w:rPr>
                <w:rFonts w:ascii="Arial" w:eastAsia="Calibri" w:hAnsi="Arial" w:cs="Arial"/>
                <w:color w:val="000000"/>
                <w:lang w:val="es-ES_tradnl"/>
              </w:rPr>
            </w:pPr>
            <w:r w:rsidRPr="004F0480">
              <w:rPr>
                <w:rFonts w:ascii="Arial" w:eastAsia="Calibri" w:hAnsi="Arial" w:cs="Arial"/>
                <w:color w:val="000000"/>
                <w:lang w:val="es-ES_tradnl"/>
              </w:rPr>
              <w:t xml:space="preserve">                           </w:t>
            </w:r>
          </w:p>
        </w:tc>
        <w:tc>
          <w:tcPr>
            <w:tcW w:w="6237" w:type="dxa"/>
            <w:hideMark/>
          </w:tcPr>
          <w:p w14:paraId="7A9690C6" w14:textId="77777777" w:rsidR="000171C1" w:rsidRPr="0090344C" w:rsidRDefault="000171C1" w:rsidP="00B4770F">
            <w:pPr>
              <w:widowControl w:val="0"/>
              <w:autoSpaceDE w:val="0"/>
              <w:autoSpaceDN w:val="0"/>
              <w:jc w:val="both"/>
              <w:rPr>
                <w:rFonts w:ascii="Arial" w:eastAsia="Arial" w:hAnsi="Arial" w:cs="Arial"/>
                <w:bCs/>
                <w:lang w:eastAsia="es-ES" w:bidi="es-ES"/>
              </w:rPr>
            </w:pPr>
            <w:r w:rsidRPr="0090344C">
              <w:rPr>
                <w:rFonts w:ascii="Arial" w:eastAsia="Calibri" w:hAnsi="Arial" w:cs="Arial"/>
                <w:bCs/>
                <w:szCs w:val="24"/>
                <w:lang w:val="es-ES_tradnl" w:eastAsia="es-ES_tradnl"/>
              </w:rPr>
              <w:t xml:space="preserve">DOCUMENTOS TIPO </w:t>
            </w:r>
            <w:r w:rsidRPr="0090344C">
              <w:rPr>
                <w:rFonts w:ascii="Arial" w:eastAsia="Calibri" w:hAnsi="Arial" w:cs="Arial"/>
                <w:bCs/>
                <w:color w:val="000000"/>
                <w:szCs w:val="24"/>
                <w:lang w:val="es-ES_tradnl" w:eastAsia="es-ES_tradnl"/>
              </w:rPr>
              <w:t>–</w:t>
            </w:r>
            <w:r w:rsidRPr="0090344C">
              <w:rPr>
                <w:rFonts w:ascii="Arial" w:eastAsia="Calibri" w:hAnsi="Arial" w:cs="Arial"/>
                <w:bCs/>
                <w:szCs w:val="24"/>
                <w:lang w:val="es-ES_tradnl" w:eastAsia="es-ES_tradnl"/>
              </w:rPr>
              <w:t xml:space="preserve"> Fundamento normativo </w:t>
            </w:r>
            <w:r w:rsidRPr="0090344C">
              <w:rPr>
                <w:rFonts w:ascii="Arial" w:eastAsia="Calibri" w:hAnsi="Arial" w:cs="Arial"/>
                <w:bCs/>
                <w:color w:val="000000"/>
                <w:szCs w:val="24"/>
                <w:lang w:val="es-ES_tradnl" w:eastAsia="es-ES_tradnl"/>
              </w:rPr>
              <w:t xml:space="preserve">– </w:t>
            </w:r>
            <w:r w:rsidRPr="0090344C">
              <w:rPr>
                <w:rFonts w:ascii="Arial" w:eastAsia="Calibri" w:hAnsi="Arial" w:cs="Arial"/>
                <w:bCs/>
                <w:szCs w:val="24"/>
                <w:lang w:val="es-ES_tradnl" w:eastAsia="es-ES_tradnl"/>
              </w:rPr>
              <w:t>Ley 2022 de 2020</w:t>
            </w:r>
            <w:r w:rsidRPr="007A44DB">
              <w:rPr>
                <w:rFonts w:ascii="Arial" w:eastAsia="Calibri" w:hAnsi="Arial" w:cs="Arial"/>
                <w:bCs/>
                <w:szCs w:val="24"/>
                <w:lang w:val="es-ES_tradnl" w:eastAsia="es-ES_tradnl"/>
              </w:rPr>
              <w:t xml:space="preserve"> / </w:t>
            </w:r>
            <w:r w:rsidRPr="0090344C">
              <w:rPr>
                <w:rFonts w:ascii="Arial" w:eastAsia="Calibri" w:hAnsi="Arial" w:cs="Arial"/>
                <w:bCs/>
                <w:szCs w:val="24"/>
                <w:lang w:val="es-ES_tradnl" w:eastAsia="es-ES_tradnl"/>
              </w:rPr>
              <w:t xml:space="preserve">INALTERABILIDAD </w:t>
            </w:r>
            <w:r w:rsidRPr="0090344C">
              <w:rPr>
                <w:rFonts w:ascii="Arial" w:eastAsia="Calibri" w:hAnsi="Arial" w:cs="Arial"/>
                <w:bCs/>
                <w:color w:val="000000"/>
                <w:szCs w:val="24"/>
                <w:lang w:val="es-ES_tradnl" w:eastAsia="es-ES_tradnl"/>
              </w:rPr>
              <w:t>–</w:t>
            </w:r>
            <w:r w:rsidRPr="0090344C">
              <w:rPr>
                <w:rFonts w:ascii="Arial" w:eastAsia="Calibri" w:hAnsi="Arial" w:cs="Arial"/>
                <w:bCs/>
                <w:szCs w:val="24"/>
                <w:lang w:val="es-ES_tradnl" w:eastAsia="es-ES_tradnl"/>
              </w:rPr>
              <w:t xml:space="preserve"> Documentos tipo </w:t>
            </w:r>
            <w:r w:rsidRPr="0090344C">
              <w:rPr>
                <w:rFonts w:ascii="Arial" w:eastAsia="Calibri" w:hAnsi="Arial" w:cs="Arial"/>
                <w:bCs/>
                <w:color w:val="000000"/>
                <w:szCs w:val="24"/>
                <w:lang w:val="es-ES_tradnl" w:eastAsia="es-ES_tradnl"/>
              </w:rPr>
              <w:t xml:space="preserve">– </w:t>
            </w:r>
            <w:r w:rsidRPr="0090344C">
              <w:rPr>
                <w:rFonts w:ascii="Arial" w:eastAsia="Calibri" w:hAnsi="Arial" w:cs="Arial"/>
                <w:bCs/>
                <w:szCs w:val="24"/>
                <w:lang w:val="es-ES_tradnl" w:eastAsia="es-ES_tradnl"/>
              </w:rPr>
              <w:t xml:space="preserve">Regla vigente </w:t>
            </w:r>
            <w:r w:rsidRPr="0090344C">
              <w:rPr>
                <w:rFonts w:ascii="Arial" w:eastAsia="Calibri" w:hAnsi="Arial" w:cs="Arial"/>
                <w:bCs/>
                <w:color w:val="000000"/>
                <w:szCs w:val="24"/>
                <w:lang w:val="es-ES_tradnl" w:eastAsia="es-ES_tradnl"/>
              </w:rPr>
              <w:t>– Alcance</w:t>
            </w:r>
            <w:r w:rsidRPr="007A44DB">
              <w:rPr>
                <w:rFonts w:ascii="Arial" w:eastAsia="Calibri" w:hAnsi="Arial" w:cs="Arial"/>
                <w:bCs/>
                <w:color w:val="000000"/>
                <w:szCs w:val="24"/>
                <w:lang w:val="es-ES_tradnl" w:eastAsia="es-ES_tradnl"/>
              </w:rPr>
              <w:t xml:space="preserve"> / </w:t>
            </w:r>
            <w:r w:rsidRPr="0090344C">
              <w:rPr>
                <w:rFonts w:ascii="Arial" w:eastAsia="Calibri" w:hAnsi="Arial" w:cs="Arial"/>
                <w:bCs/>
                <w:color w:val="000000"/>
                <w:lang w:val="es-ES_tradnl" w:eastAsia="es-ES_tradnl"/>
              </w:rPr>
              <w:t xml:space="preserve">DECRETO 680 DE 2021 – Regla de origen </w:t>
            </w:r>
            <w:r w:rsidRPr="007A44DB">
              <w:rPr>
                <w:rFonts w:ascii="Arial" w:eastAsia="Calibri" w:hAnsi="Arial" w:cs="Arial"/>
                <w:bCs/>
                <w:color w:val="000000"/>
                <w:lang w:val="es-ES_tradnl" w:eastAsia="es-ES_tradnl"/>
              </w:rPr>
              <w:t xml:space="preserve">/ </w:t>
            </w:r>
            <w:r w:rsidRPr="0090344C">
              <w:rPr>
                <w:rFonts w:ascii="Arial" w:eastAsia="Calibri" w:hAnsi="Arial" w:cs="Arial"/>
                <w:bCs/>
                <w:color w:val="000000" w:themeColor="text1"/>
                <w:lang w:val="es-ES_tradnl"/>
              </w:rPr>
              <w:t>APOYO A LA INDUSTRIA NACIONAL − Documentos tipo – Versión 3 − Decreto 680 de 2021</w:t>
            </w:r>
            <w:r w:rsidRPr="007A44DB">
              <w:rPr>
                <w:rFonts w:ascii="Arial" w:eastAsia="Arial" w:hAnsi="Arial" w:cs="Arial"/>
                <w:bCs/>
                <w:lang w:eastAsia="es-ES" w:bidi="es-ES"/>
              </w:rPr>
              <w:t xml:space="preserve"> / </w:t>
            </w:r>
            <w:r w:rsidRPr="0090344C">
              <w:rPr>
                <w:rFonts w:ascii="Arial" w:eastAsia="Arial" w:hAnsi="Arial" w:cs="Arial"/>
                <w:bCs/>
                <w:lang w:eastAsia="es-ES" w:bidi="es-ES"/>
              </w:rPr>
              <w:t>DOCUMENTOS TIPO − Promoción de servicios nacionales o con trato nacional – Resolución 304 de 2021</w:t>
            </w:r>
            <w:r w:rsidRPr="007A44DB">
              <w:rPr>
                <w:rFonts w:ascii="Arial" w:eastAsia="Arial" w:hAnsi="Arial" w:cs="Arial"/>
                <w:bCs/>
                <w:lang w:eastAsia="es-ES" w:bidi="es-ES"/>
              </w:rPr>
              <w:t xml:space="preserve">/ </w:t>
            </w:r>
            <w:r w:rsidRPr="0090344C">
              <w:rPr>
                <w:rFonts w:ascii="Arial" w:eastAsia="Arial" w:hAnsi="Arial" w:cs="Arial"/>
                <w:bCs/>
                <w:lang w:eastAsia="es-ES" w:bidi="es-ES"/>
              </w:rPr>
              <w:t>DOCUMENTOS TIPO − Promoción de servicios nacionales o con trato nacional – Bienes nacionales relevantes – Metodología</w:t>
            </w:r>
          </w:p>
          <w:p w14:paraId="22DC1D7E" w14:textId="2E011530" w:rsidR="004F0480" w:rsidRPr="004F0480" w:rsidRDefault="004F0480" w:rsidP="004F0480">
            <w:pPr>
              <w:jc w:val="both"/>
              <w:rPr>
                <w:rFonts w:ascii="Arial" w:eastAsia="Calibri" w:hAnsi="Arial" w:cs="Arial"/>
                <w:bCs/>
                <w:color w:val="000000"/>
                <w:lang w:val="es-ES_tradnl"/>
              </w:rPr>
            </w:pPr>
          </w:p>
        </w:tc>
      </w:tr>
      <w:tr w:rsidR="004F0480" w:rsidRPr="004F0480" w14:paraId="02F7FE2C" w14:textId="77777777" w:rsidTr="00E24777">
        <w:tc>
          <w:tcPr>
            <w:tcW w:w="2689" w:type="dxa"/>
          </w:tcPr>
          <w:p w14:paraId="2DF9B499" w14:textId="77777777" w:rsidR="004F0480" w:rsidRPr="004F0480" w:rsidRDefault="004F0480" w:rsidP="004F0480">
            <w:pPr>
              <w:spacing w:before="120"/>
              <w:rPr>
                <w:rFonts w:ascii="Arial" w:eastAsia="Calibri" w:hAnsi="Arial" w:cs="Arial"/>
                <w:b/>
                <w:color w:val="000000"/>
                <w:lang w:val="es-ES_tradnl"/>
              </w:rPr>
            </w:pPr>
            <w:r w:rsidRPr="004F0480">
              <w:rPr>
                <w:rFonts w:ascii="Arial" w:eastAsia="Calibri" w:hAnsi="Arial" w:cs="Arial"/>
                <w:b/>
                <w:color w:val="000000"/>
                <w:lang w:val="es-ES_tradnl"/>
              </w:rPr>
              <w:t>Radicación:</w:t>
            </w:r>
            <w:r w:rsidRPr="004F0480">
              <w:rPr>
                <w:rFonts w:ascii="Arial" w:eastAsia="Calibri" w:hAnsi="Arial" w:cs="Arial"/>
                <w:color w:val="000000"/>
                <w:lang w:val="es-ES_tradnl"/>
              </w:rPr>
              <w:t xml:space="preserve">                              </w:t>
            </w:r>
          </w:p>
        </w:tc>
        <w:tc>
          <w:tcPr>
            <w:tcW w:w="6237" w:type="dxa"/>
          </w:tcPr>
          <w:p w14:paraId="5F9219E3" w14:textId="77777777" w:rsidR="004F0480" w:rsidRPr="004F0480" w:rsidRDefault="004F0480" w:rsidP="004F0480">
            <w:pPr>
              <w:spacing w:before="120"/>
              <w:jc w:val="both"/>
              <w:rPr>
                <w:rFonts w:ascii="Arial" w:eastAsia="Calibri" w:hAnsi="Arial" w:cs="Arial"/>
                <w:color w:val="000000"/>
                <w:lang w:val="es-ES_tradnl"/>
              </w:rPr>
            </w:pPr>
            <w:r w:rsidRPr="004F0480">
              <w:rPr>
                <w:rFonts w:ascii="Arial" w:eastAsia="Calibri" w:hAnsi="Arial" w:cs="Arial"/>
                <w:color w:val="000000"/>
                <w:lang w:val="es-ES_tradnl"/>
              </w:rPr>
              <w:t>Respuesta a consulta P20211104010186.</w:t>
            </w:r>
          </w:p>
        </w:tc>
      </w:tr>
    </w:tbl>
    <w:p w14:paraId="7EDE9641" w14:textId="77777777" w:rsidR="004F0480" w:rsidRPr="004F0480" w:rsidRDefault="004F0480" w:rsidP="004F0480">
      <w:pPr>
        <w:spacing w:after="0" w:line="240" w:lineRule="auto"/>
        <w:rPr>
          <w:rFonts w:ascii="Arial" w:eastAsia="Calibri" w:hAnsi="Arial" w:cs="Arial"/>
          <w:color w:val="000000"/>
          <w:lang w:val="es-ES_tradnl"/>
        </w:rPr>
      </w:pPr>
    </w:p>
    <w:p w14:paraId="3C372544" w14:textId="77777777" w:rsidR="004F0480" w:rsidRPr="004F0480" w:rsidRDefault="004F0480" w:rsidP="004F0480">
      <w:pPr>
        <w:spacing w:after="0" w:line="240" w:lineRule="auto"/>
        <w:rPr>
          <w:rFonts w:ascii="Arial" w:eastAsia="Calibri" w:hAnsi="Arial" w:cs="Arial"/>
          <w:color w:val="000000"/>
          <w:lang w:val="es-ES_tradnl"/>
        </w:rPr>
      </w:pPr>
      <w:r w:rsidRPr="004F0480">
        <w:rPr>
          <w:rFonts w:ascii="Arial" w:eastAsia="Calibri" w:hAnsi="Arial" w:cs="Arial"/>
          <w:color w:val="000000"/>
          <w:lang w:val="es-ES_tradnl"/>
        </w:rPr>
        <w:t xml:space="preserve">Estimado señor </w:t>
      </w:r>
      <w:r w:rsidRPr="004F0480">
        <w:rPr>
          <w:rFonts w:ascii="Arial" w:eastAsia="Calibri" w:hAnsi="Arial" w:cs="Arial"/>
          <w:lang w:val="es-MX"/>
        </w:rPr>
        <w:t>Delgado Potes</w:t>
      </w:r>
      <w:r w:rsidRPr="004F0480">
        <w:rPr>
          <w:rFonts w:ascii="Arial" w:eastAsia="Calibri" w:hAnsi="Arial" w:cs="Arial"/>
          <w:color w:val="000000"/>
          <w:lang w:val="es-ES_tradnl"/>
        </w:rPr>
        <w:t>,</w:t>
      </w:r>
    </w:p>
    <w:p w14:paraId="2A9D709B" w14:textId="77777777" w:rsidR="004F0480" w:rsidRPr="004F0480" w:rsidRDefault="004F0480" w:rsidP="004F0480">
      <w:pPr>
        <w:spacing w:after="0" w:line="276" w:lineRule="auto"/>
        <w:rPr>
          <w:rFonts w:ascii="Arial" w:eastAsia="Calibri" w:hAnsi="Arial" w:cs="Arial"/>
          <w:color w:val="000000"/>
          <w:lang w:val="es-ES_tradnl"/>
        </w:rPr>
      </w:pPr>
    </w:p>
    <w:p w14:paraId="74F5A80C" w14:textId="77777777" w:rsidR="004F0480" w:rsidRPr="004F0480" w:rsidRDefault="004F0480" w:rsidP="004F0480">
      <w:pPr>
        <w:spacing w:after="0" w:line="276" w:lineRule="auto"/>
        <w:jc w:val="both"/>
        <w:rPr>
          <w:rFonts w:ascii="Arial" w:eastAsia="Calibri" w:hAnsi="Arial" w:cs="Arial"/>
          <w:color w:val="000000"/>
          <w:lang w:val="es-ES_tradnl"/>
        </w:rPr>
      </w:pPr>
      <w:r w:rsidRPr="004F0480">
        <w:rPr>
          <w:rFonts w:ascii="Arial" w:eastAsia="Calibri" w:hAnsi="Arial" w:cs="Arial"/>
          <w:color w:val="000000"/>
          <w:lang w:val="es-ES_tradnl"/>
        </w:rPr>
        <w:t>En ejercicio de la competencia otorgada por el numeral 8 del artículo 11 y el numeral 5 del artículo 3 del Decreto Ley 4170 de 2011, la Agencia Nacional de Contratación Pública ― Colombia Compra Eficiente responde su consulta del 4 de noviembre de 2021.</w:t>
      </w:r>
    </w:p>
    <w:p w14:paraId="0F3CC7FA" w14:textId="77777777" w:rsidR="004F0480" w:rsidRPr="004F0480" w:rsidRDefault="004F0480" w:rsidP="004F0480">
      <w:pPr>
        <w:tabs>
          <w:tab w:val="left" w:pos="426"/>
        </w:tabs>
        <w:spacing w:after="0" w:line="276" w:lineRule="auto"/>
        <w:jc w:val="both"/>
        <w:rPr>
          <w:rFonts w:ascii="Arial" w:eastAsia="Calibri" w:hAnsi="Arial" w:cs="Arial"/>
          <w:color w:val="000000"/>
          <w:lang w:val="es-ES_tradnl"/>
        </w:rPr>
      </w:pPr>
    </w:p>
    <w:p w14:paraId="29D07FCA" w14:textId="77777777" w:rsidR="004F0480" w:rsidRPr="004F0480" w:rsidRDefault="004F0480" w:rsidP="004F0480">
      <w:pPr>
        <w:tabs>
          <w:tab w:val="left" w:pos="284"/>
        </w:tabs>
        <w:spacing w:after="0" w:line="276" w:lineRule="auto"/>
        <w:contextualSpacing/>
        <w:jc w:val="both"/>
        <w:rPr>
          <w:rFonts w:ascii="Arial" w:eastAsia="Calibri" w:hAnsi="Arial" w:cs="Arial"/>
          <w:b/>
          <w:color w:val="000000"/>
          <w:lang w:val="es-ES_tradnl"/>
        </w:rPr>
      </w:pPr>
      <w:r w:rsidRPr="004F0480">
        <w:rPr>
          <w:rFonts w:ascii="Arial" w:eastAsia="Calibri" w:hAnsi="Arial" w:cs="Arial"/>
          <w:b/>
          <w:color w:val="000000"/>
          <w:lang w:val="es-ES_tradnl"/>
        </w:rPr>
        <w:t xml:space="preserve">1. Problema planteado </w:t>
      </w:r>
    </w:p>
    <w:p w14:paraId="3EC3242D" w14:textId="77777777" w:rsidR="004F0480" w:rsidRPr="004F0480" w:rsidRDefault="004F0480" w:rsidP="004F0480">
      <w:pPr>
        <w:tabs>
          <w:tab w:val="left" w:pos="426"/>
        </w:tabs>
        <w:spacing w:after="0" w:line="276" w:lineRule="auto"/>
        <w:jc w:val="both"/>
        <w:rPr>
          <w:rFonts w:ascii="Arial" w:eastAsia="Calibri" w:hAnsi="Arial" w:cs="Arial"/>
          <w:b/>
          <w:color w:val="000000"/>
          <w:lang w:val="es-ES_tradnl"/>
        </w:rPr>
      </w:pPr>
    </w:p>
    <w:p w14:paraId="5F4FAA3D" w14:textId="77777777" w:rsidR="004F0480" w:rsidRPr="004F0480" w:rsidRDefault="004F0480" w:rsidP="00B4770F">
      <w:pPr>
        <w:spacing w:after="0" w:line="276" w:lineRule="auto"/>
        <w:jc w:val="both"/>
        <w:rPr>
          <w:rFonts w:ascii="Arial" w:eastAsia="Calibri" w:hAnsi="Arial" w:cs="Arial"/>
          <w:lang w:val="es-MX"/>
        </w:rPr>
      </w:pPr>
      <w:r w:rsidRPr="004F0480">
        <w:rPr>
          <w:rFonts w:ascii="Arial" w:eastAsia="Calibri" w:hAnsi="Arial" w:cs="Arial"/>
          <w:lang w:val="es-MX"/>
        </w:rPr>
        <w:t xml:space="preserve">En relación con el numeral 4.31 «Promoción de servicios nacionales o con trato nacional», contenido en los documentos tipo de licitación de obra pública de infraestructura de transporte – Versión 3, con la modificación de la Resolución 304 del 13 de octubre de 2021, usted realiza la siguiente pregunta: «[…] quisiera saber como (sic) es el modo de aplicación de este factor y si aplica para todos los proyectos». </w:t>
      </w:r>
    </w:p>
    <w:p w14:paraId="0E42C27A" w14:textId="77777777" w:rsidR="004F0480" w:rsidRPr="004F0480" w:rsidRDefault="004F0480" w:rsidP="004F0480">
      <w:pPr>
        <w:tabs>
          <w:tab w:val="left" w:pos="426"/>
        </w:tabs>
        <w:spacing w:after="0" w:line="276" w:lineRule="auto"/>
        <w:jc w:val="both"/>
        <w:rPr>
          <w:rFonts w:ascii="Arial" w:eastAsia="Calibri" w:hAnsi="Arial" w:cs="Arial"/>
          <w:color w:val="000000"/>
          <w:lang w:val="es-ES_tradnl"/>
        </w:rPr>
      </w:pPr>
    </w:p>
    <w:p w14:paraId="322B6D68" w14:textId="77777777" w:rsidR="004F0480" w:rsidRPr="004F0480" w:rsidRDefault="004F0480" w:rsidP="004F0480">
      <w:pPr>
        <w:tabs>
          <w:tab w:val="left" w:pos="426"/>
        </w:tabs>
        <w:spacing w:after="0" w:line="276" w:lineRule="auto"/>
        <w:jc w:val="both"/>
        <w:rPr>
          <w:rFonts w:ascii="Arial" w:eastAsia="Calibri" w:hAnsi="Arial" w:cs="Arial"/>
          <w:b/>
          <w:color w:val="000000"/>
          <w:lang w:val="es-ES_tradnl"/>
        </w:rPr>
      </w:pPr>
      <w:r w:rsidRPr="004F0480">
        <w:rPr>
          <w:rFonts w:ascii="Arial" w:eastAsia="Calibri" w:hAnsi="Arial" w:cs="Arial"/>
          <w:b/>
          <w:color w:val="000000"/>
          <w:lang w:val="es-ES_tradnl"/>
        </w:rPr>
        <w:t>2. Consideraciones</w:t>
      </w:r>
    </w:p>
    <w:p w14:paraId="4710F344" w14:textId="77777777" w:rsidR="004F0480" w:rsidRPr="004F0480" w:rsidRDefault="004F0480" w:rsidP="004F0480">
      <w:pPr>
        <w:spacing w:after="0" w:line="276" w:lineRule="auto"/>
        <w:jc w:val="both"/>
        <w:rPr>
          <w:rFonts w:ascii="Arial" w:eastAsia="Calibri" w:hAnsi="Arial" w:cs="Arial"/>
          <w:color w:val="000000"/>
          <w:lang w:val="es-ES_tradnl"/>
        </w:rPr>
      </w:pPr>
    </w:p>
    <w:p w14:paraId="79E9D2C1" w14:textId="460F5575" w:rsidR="00A73FF1" w:rsidRDefault="004F0480" w:rsidP="00A73FF1">
      <w:pPr>
        <w:spacing w:line="276" w:lineRule="auto"/>
        <w:jc w:val="both"/>
        <w:rPr>
          <w:rFonts w:ascii="Arial" w:eastAsia="Calibri" w:hAnsi="Arial" w:cs="Arial"/>
          <w:color w:val="000000" w:themeColor="text1"/>
          <w:lang w:val="es-ES_tradnl"/>
        </w:rPr>
      </w:pPr>
      <w:r w:rsidRPr="004F0480">
        <w:rPr>
          <w:rFonts w:ascii="Arial" w:eastAsia="Calibri" w:hAnsi="Arial" w:cs="Arial"/>
          <w:color w:val="000000"/>
          <w:lang w:val="es-ES_tradnl"/>
        </w:rPr>
        <w:t xml:space="preserve">Para abordar el interrogante planteado, se analizarán los siguientes temas: </w:t>
      </w:r>
      <w:r w:rsidRPr="004F0480">
        <w:rPr>
          <w:rFonts w:ascii="Arial" w:eastAsia="Calibri" w:hAnsi="Arial" w:cs="Arial"/>
          <w:lang w:val="es-ES_tradnl"/>
        </w:rPr>
        <w:t xml:space="preserve">i) fundamento normativo de los documentos tipo, ii) </w:t>
      </w:r>
      <w:r w:rsidRPr="004F0480">
        <w:rPr>
          <w:rFonts w:ascii="Arial" w:eastAsia="Arial" w:hAnsi="Arial" w:cs="Arial"/>
          <w:color w:val="000000"/>
          <w:lang w:val="es-ES_tradnl"/>
        </w:rPr>
        <w:t>inalterabilidad de los documentos tipo, iii)</w:t>
      </w:r>
      <w:r w:rsidR="00A73FF1" w:rsidRPr="00A73FF1">
        <w:rPr>
          <w:rFonts w:ascii="Arial" w:eastAsia="Calibri" w:hAnsi="Arial" w:cs="Arial"/>
          <w:color w:val="000000"/>
          <w:szCs w:val="24"/>
          <w:lang w:val="es-ES_tradnl" w:eastAsia="es-ES_tradnl"/>
        </w:rPr>
        <w:t xml:space="preserve"> o</w:t>
      </w:r>
      <w:r w:rsidR="00A73FF1" w:rsidRPr="007D3AC2">
        <w:rPr>
          <w:rFonts w:ascii="Arial" w:eastAsia="Calibri" w:hAnsi="Arial" w:cs="Arial"/>
          <w:color w:val="000000"/>
          <w:szCs w:val="24"/>
          <w:lang w:val="es-ES_tradnl" w:eastAsia="es-ES_tradnl"/>
        </w:rPr>
        <w:t xml:space="preserve">torgamiento </w:t>
      </w:r>
      <w:r w:rsidR="00A73FF1" w:rsidRPr="007D3AC2">
        <w:rPr>
          <w:rFonts w:ascii="Arial" w:eastAsia="Calibri" w:hAnsi="Arial" w:cs="Arial"/>
          <w:color w:val="000000"/>
          <w:szCs w:val="24"/>
          <w:lang w:val="es-ES_tradnl" w:eastAsia="es-ES_tradnl"/>
        </w:rPr>
        <w:lastRenderedPageBreak/>
        <w:t>de puntaje por apoyar la industria nacional, de conformidad con la Ley 816 de 2003 y el Decreto 680 de 2021</w:t>
      </w:r>
      <w:r w:rsidR="00A73FF1" w:rsidRPr="00A73FF1">
        <w:rPr>
          <w:rFonts w:ascii="Arial" w:eastAsia="Calibri" w:hAnsi="Arial" w:cs="Arial"/>
          <w:color w:val="000000"/>
          <w:szCs w:val="24"/>
          <w:lang w:val="es-ES_tradnl" w:eastAsia="es-ES_tradnl"/>
        </w:rPr>
        <w:t xml:space="preserve"> y iv)</w:t>
      </w:r>
      <w:r w:rsidR="00A73FF1" w:rsidRPr="00A73FF1">
        <w:rPr>
          <w:rFonts w:ascii="Arial" w:eastAsia="Arial" w:hAnsi="Arial" w:cs="Arial"/>
          <w:lang w:val="es-ES" w:eastAsia="es-ES" w:bidi="es-ES"/>
        </w:rPr>
        <w:t xml:space="preserve"> </w:t>
      </w:r>
      <w:r w:rsidR="00A73FF1" w:rsidRPr="00A73FF1">
        <w:rPr>
          <w:rFonts w:ascii="Arial" w:eastAsia="Calibri" w:hAnsi="Arial" w:cs="Arial"/>
          <w:color w:val="000000" w:themeColor="text1"/>
          <w:lang w:val="es-ES_tradnl"/>
        </w:rPr>
        <w:t>regulación del puntaje por apoyo a la industria nacional en procesos adelantados con los documentos tipo de licitación de obra pública de infraestructura de transporte – Versión 3, tras la expedición del Decreto 680 de 2021.</w:t>
      </w:r>
    </w:p>
    <w:p w14:paraId="1C1EDB89" w14:textId="11487173" w:rsidR="00BA6980" w:rsidRDefault="00BA6980" w:rsidP="00BA6980">
      <w:pPr>
        <w:spacing w:after="120" w:line="276" w:lineRule="auto"/>
        <w:ind w:firstLine="708"/>
        <w:jc w:val="both"/>
        <w:rPr>
          <w:rFonts w:ascii="Arial" w:eastAsia="Calibri" w:hAnsi="Arial" w:cs="Arial"/>
          <w:lang w:val="es-MX"/>
        </w:rPr>
      </w:pPr>
      <w:r w:rsidRPr="00BA6980">
        <w:rPr>
          <w:rFonts w:ascii="Arial" w:eastAsia="Calibri" w:hAnsi="Arial" w:cs="Arial"/>
          <w:lang w:val="es-MX"/>
        </w:rPr>
        <w:t xml:space="preserve">La Agencia Nacional de Contratación Pública – Colombia Compra Eficiente analizó el fundamento normativo de los pliegos de condiciones tipo en la contratación estatal, entre otros, en los siguientes conceptos: </w:t>
      </w:r>
      <w:r w:rsidRPr="00BA6980">
        <w:rPr>
          <w:rFonts w:ascii="Arial" w:hAnsi="Arial" w:cs="Arial"/>
        </w:rPr>
        <w:t>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 de marzo de 2021 y C-204 del 6 de mayo de 2021</w:t>
      </w:r>
      <w:r w:rsidRPr="00BA6980">
        <w:rPr>
          <w:rFonts w:ascii="Arial" w:eastAsia="Calibri" w:hAnsi="Arial" w:cs="Arial"/>
          <w:lang w:val="es-MX"/>
        </w:rPr>
        <w:t>, C-215 del 12 de mayo de 2021, C-224 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de septiembre de 2021</w:t>
      </w:r>
      <w:r>
        <w:rPr>
          <w:rFonts w:ascii="Arial" w:eastAsia="Calibri" w:hAnsi="Arial" w:cs="Arial"/>
          <w:lang w:val="es-MX"/>
        </w:rPr>
        <w:t>,</w:t>
      </w:r>
      <w:r w:rsidR="00176E77">
        <w:rPr>
          <w:rFonts w:ascii="Arial" w:eastAsia="Calibri" w:hAnsi="Arial" w:cs="Arial"/>
          <w:lang w:val="es-MX"/>
        </w:rPr>
        <w:t xml:space="preserve"> </w:t>
      </w:r>
      <w:r w:rsidR="00797BDE">
        <w:rPr>
          <w:rFonts w:ascii="Arial" w:eastAsia="Calibri" w:hAnsi="Arial" w:cs="Arial"/>
          <w:lang w:val="es-MX"/>
        </w:rPr>
        <w:t xml:space="preserve">C-591 del 31 de agosto de 2021, </w:t>
      </w:r>
      <w:r w:rsidR="00474F09">
        <w:rPr>
          <w:rFonts w:ascii="Arial" w:eastAsia="Calibri" w:hAnsi="Arial" w:cs="Arial"/>
          <w:lang w:val="es-MX"/>
        </w:rPr>
        <w:t xml:space="preserve">C-493 del 13 de septiembre de 2021, </w:t>
      </w:r>
      <w:r w:rsidR="00D2478D">
        <w:rPr>
          <w:rFonts w:ascii="Arial" w:eastAsia="Calibri" w:hAnsi="Arial" w:cs="Arial"/>
          <w:lang w:val="es-MX"/>
        </w:rPr>
        <w:t xml:space="preserve">C-569 del </w:t>
      </w:r>
      <w:r w:rsidR="009E59E2">
        <w:rPr>
          <w:rFonts w:ascii="Arial" w:eastAsia="Calibri" w:hAnsi="Arial" w:cs="Arial"/>
          <w:lang w:val="es-MX"/>
        </w:rPr>
        <w:t xml:space="preserve">12 de octubre de 2021, </w:t>
      </w:r>
      <w:r w:rsidR="00CC286E">
        <w:rPr>
          <w:rFonts w:ascii="Arial" w:eastAsia="Calibri" w:hAnsi="Arial" w:cs="Arial"/>
          <w:lang w:val="es-MX"/>
        </w:rPr>
        <w:t>C-599 del 26 de octubre de 2021</w:t>
      </w:r>
      <w:r w:rsidR="009E59E2">
        <w:rPr>
          <w:rFonts w:ascii="Arial" w:eastAsia="Calibri" w:hAnsi="Arial" w:cs="Arial"/>
          <w:lang w:val="es-MX"/>
        </w:rPr>
        <w:t xml:space="preserve"> y</w:t>
      </w:r>
      <w:r w:rsidR="00CC286E">
        <w:rPr>
          <w:rFonts w:ascii="Arial" w:eastAsia="Calibri" w:hAnsi="Arial" w:cs="Arial"/>
          <w:lang w:val="es-MX"/>
        </w:rPr>
        <w:t xml:space="preserve"> </w:t>
      </w:r>
      <w:r w:rsidR="005C3CB0">
        <w:rPr>
          <w:rFonts w:ascii="Arial" w:eastAsia="Calibri" w:hAnsi="Arial" w:cs="Arial"/>
          <w:lang w:val="es-MX"/>
        </w:rPr>
        <w:t>C-643 del 17 de noviembre de 2021</w:t>
      </w:r>
      <w:r w:rsidR="009E59E2">
        <w:rPr>
          <w:rFonts w:ascii="Arial" w:eastAsia="Calibri" w:hAnsi="Arial" w:cs="Arial"/>
          <w:lang w:val="es-MX"/>
        </w:rPr>
        <w:t>.</w:t>
      </w:r>
    </w:p>
    <w:p w14:paraId="2334FB95" w14:textId="0CC59D83" w:rsidR="009E59E2" w:rsidRPr="00BA6980" w:rsidRDefault="004317B4" w:rsidP="00BA6980">
      <w:pPr>
        <w:spacing w:after="120" w:line="276" w:lineRule="auto"/>
        <w:ind w:firstLine="708"/>
        <w:jc w:val="both"/>
        <w:rPr>
          <w:rFonts w:ascii="Arial" w:eastAsia="Calibri" w:hAnsi="Arial" w:cs="Arial"/>
          <w:lang w:val="es-MX"/>
        </w:rPr>
      </w:pPr>
      <w:r>
        <w:rPr>
          <w:rFonts w:ascii="Arial" w:eastAsia="Times New Roman" w:hAnsi="Arial" w:cs="Arial"/>
          <w:color w:val="000000"/>
          <w:szCs w:val="24"/>
          <w:lang w:val="es-ES" w:eastAsia="es-ES_tradnl"/>
        </w:rPr>
        <w:t>Así mismo, l</w:t>
      </w:r>
      <w:r w:rsidRPr="004317B4">
        <w:rPr>
          <w:rFonts w:ascii="Arial" w:eastAsia="Times New Roman" w:hAnsi="Arial" w:cs="Arial"/>
          <w:color w:val="000000"/>
          <w:szCs w:val="24"/>
          <w:lang w:val="es-ES" w:eastAsia="es-ES_tradnl"/>
        </w:rPr>
        <w:t xml:space="preserve">a Agencia Nacional de Contratación Pública – Colombia Compra Eficiente se pronunció sobre </w:t>
      </w:r>
      <w:r w:rsidRPr="004317B4">
        <w:rPr>
          <w:rFonts w:ascii="Arial" w:eastAsia="Arial" w:hAnsi="Arial" w:cs="Arial"/>
          <w:color w:val="000000"/>
          <w:szCs w:val="24"/>
          <w:lang w:val="es-ES" w:eastAsia="es-ES_tradnl"/>
        </w:rPr>
        <w:t>los pliegos de condiciones tipo en la contratación estatal</w:t>
      </w:r>
      <w:r w:rsidR="002A7967">
        <w:rPr>
          <w:rFonts w:ascii="Arial" w:eastAsia="Arial" w:hAnsi="Arial" w:cs="Arial"/>
          <w:color w:val="000000"/>
          <w:szCs w:val="24"/>
          <w:lang w:val="es-ES" w:eastAsia="es-ES_tradnl"/>
        </w:rPr>
        <w:t xml:space="preserve"> y</w:t>
      </w:r>
      <w:r w:rsidRPr="004317B4">
        <w:rPr>
          <w:rFonts w:ascii="Arial" w:eastAsia="Arial" w:hAnsi="Arial" w:cs="Arial"/>
          <w:color w:val="000000"/>
          <w:szCs w:val="24"/>
          <w:lang w:val="es-ES" w:eastAsia="es-ES_tradnl"/>
        </w:rPr>
        <w:t xml:space="preserve"> su inalterabilidad, entre otros, en los Conceptos </w:t>
      </w:r>
      <w:r w:rsidRPr="004317B4">
        <w:rPr>
          <w:rFonts w:ascii="Arial" w:eastAsia="Arial" w:hAnsi="Arial" w:cs="Arial"/>
          <w:szCs w:val="24"/>
          <w:lang w:val="es-ES" w:eastAsia="es-ES_tradnl"/>
        </w:rPr>
        <w:t>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C-744 del 22 de diciembre de 2020, C-031 del 1 de febrero de 2021</w:t>
      </w:r>
      <w:r w:rsidRPr="004317B4">
        <w:rPr>
          <w:rFonts w:ascii="Arial" w:eastAsia="Arial" w:hAnsi="Arial" w:cs="Arial"/>
          <w:szCs w:val="24"/>
          <w:lang w:val="es-ES_tradnl" w:eastAsia="es-ES_tradnl"/>
        </w:rPr>
        <w:t xml:space="preserve"> y C-157 de 13 de abril de 2021</w:t>
      </w:r>
      <w:r w:rsidRPr="004317B4">
        <w:rPr>
          <w:rFonts w:ascii="Arial" w:eastAsia="Arial" w:hAnsi="Arial" w:cs="Arial"/>
          <w:szCs w:val="24"/>
          <w:lang w:val="es-ES" w:eastAsia="es-ES_tradnl"/>
        </w:rPr>
        <w:t>.</w:t>
      </w:r>
      <w:r w:rsidRPr="004317B4">
        <w:rPr>
          <w:rFonts w:ascii="Arial" w:eastAsia="Calibri" w:hAnsi="Arial" w:cs="Arial"/>
          <w:szCs w:val="24"/>
          <w:lang w:eastAsia="es-ES_tradnl"/>
        </w:rPr>
        <w:t xml:space="preserve"> </w:t>
      </w:r>
      <w:r w:rsidRPr="004317B4">
        <w:rPr>
          <w:rFonts w:ascii="Arial" w:eastAsia="Arial" w:hAnsi="Arial" w:cs="Arial"/>
          <w:szCs w:val="24"/>
          <w:lang w:val="es-ES" w:eastAsia="es-ES_tradnl"/>
        </w:rPr>
        <w:t xml:space="preserve">Sobre </w:t>
      </w:r>
      <w:r w:rsidRPr="004317B4">
        <w:rPr>
          <w:rFonts w:ascii="Arial" w:eastAsia="Calibri" w:hAnsi="Arial" w:cs="Arial"/>
          <w:color w:val="000000"/>
          <w:szCs w:val="24"/>
          <w:lang w:val="es-ES_tradnl" w:eastAsia="es-ES_tradnl"/>
        </w:rPr>
        <w:t>el Decreto 680 de 2021</w:t>
      </w:r>
      <w:r w:rsidRPr="004317B4">
        <w:rPr>
          <w:rFonts w:ascii="Arial" w:eastAsia="Calibri" w:hAnsi="Arial" w:cs="Arial"/>
          <w:szCs w:val="24"/>
          <w:lang w:eastAsia="es-ES_tradnl"/>
        </w:rPr>
        <w:t xml:space="preserve">, esta Agencia se pronunció en los </w:t>
      </w:r>
      <w:r w:rsidRPr="004317B4">
        <w:rPr>
          <w:rFonts w:ascii="Arial" w:eastAsia="Calibri" w:hAnsi="Arial" w:cs="Arial"/>
          <w:color w:val="000000"/>
          <w:szCs w:val="24"/>
          <w:lang w:val="es-ES_tradnl" w:eastAsia="es-ES_tradnl"/>
        </w:rPr>
        <w:t>Concepto C-442 del 26 de agosto de 2021, C-547 del 5 de octubre de 2021</w:t>
      </w:r>
      <w:r w:rsidR="005F0C38">
        <w:rPr>
          <w:rFonts w:ascii="Arial" w:eastAsia="Calibri" w:hAnsi="Arial" w:cs="Arial"/>
          <w:color w:val="000000"/>
          <w:szCs w:val="24"/>
          <w:lang w:val="es-ES_tradnl" w:eastAsia="es-ES_tradnl"/>
        </w:rPr>
        <w:t xml:space="preserve">, </w:t>
      </w:r>
      <w:r w:rsidRPr="004317B4">
        <w:rPr>
          <w:rFonts w:ascii="Arial" w:eastAsia="Calibri" w:hAnsi="Arial" w:cs="Arial"/>
          <w:color w:val="000000"/>
          <w:szCs w:val="24"/>
          <w:lang w:val="es-ES_tradnl" w:eastAsia="es-ES_tradnl"/>
        </w:rPr>
        <w:t>C-542 del 20 de octubre de 2021</w:t>
      </w:r>
      <w:r w:rsidR="005F0C38">
        <w:rPr>
          <w:rFonts w:ascii="Arial" w:eastAsia="Calibri" w:hAnsi="Arial" w:cs="Arial"/>
          <w:color w:val="000000"/>
          <w:szCs w:val="24"/>
          <w:lang w:val="es-ES_tradnl" w:eastAsia="es-ES_tradnl"/>
        </w:rPr>
        <w:t xml:space="preserve"> y C-6</w:t>
      </w:r>
      <w:r w:rsidR="00FD06E3">
        <w:rPr>
          <w:rFonts w:ascii="Arial" w:eastAsia="Calibri" w:hAnsi="Arial" w:cs="Arial"/>
          <w:color w:val="000000"/>
          <w:szCs w:val="24"/>
          <w:lang w:val="es-ES_tradnl" w:eastAsia="es-ES_tradnl"/>
        </w:rPr>
        <w:t>4</w:t>
      </w:r>
      <w:r w:rsidR="005F0C38">
        <w:rPr>
          <w:rFonts w:ascii="Arial" w:eastAsia="Calibri" w:hAnsi="Arial" w:cs="Arial"/>
          <w:color w:val="000000"/>
          <w:szCs w:val="24"/>
          <w:lang w:val="es-ES_tradnl" w:eastAsia="es-ES_tradnl"/>
        </w:rPr>
        <w:t>7 del 2</w:t>
      </w:r>
      <w:r w:rsidR="00FD06E3">
        <w:rPr>
          <w:rFonts w:ascii="Arial" w:eastAsia="Calibri" w:hAnsi="Arial" w:cs="Arial"/>
          <w:color w:val="000000"/>
          <w:szCs w:val="24"/>
          <w:lang w:val="es-ES_tradnl" w:eastAsia="es-ES_tradnl"/>
        </w:rPr>
        <w:t>2</w:t>
      </w:r>
      <w:r w:rsidR="005F0C38">
        <w:rPr>
          <w:rFonts w:ascii="Arial" w:eastAsia="Calibri" w:hAnsi="Arial" w:cs="Arial"/>
          <w:color w:val="000000"/>
          <w:szCs w:val="24"/>
          <w:lang w:val="es-ES_tradnl" w:eastAsia="es-ES_tradnl"/>
        </w:rPr>
        <w:t xml:space="preserve"> de noviembre de 2021.</w:t>
      </w:r>
    </w:p>
    <w:p w14:paraId="7ACED1DF" w14:textId="7BC235A6" w:rsidR="004F0480" w:rsidRPr="004F0480" w:rsidRDefault="004F0480" w:rsidP="004F0480">
      <w:pPr>
        <w:tabs>
          <w:tab w:val="left" w:pos="426"/>
        </w:tabs>
        <w:spacing w:before="120" w:after="0" w:line="276" w:lineRule="auto"/>
        <w:jc w:val="both"/>
        <w:rPr>
          <w:rFonts w:ascii="Arial" w:eastAsia="Calibri" w:hAnsi="Arial" w:cs="Arial"/>
          <w:lang w:val="es-ES_tradnl"/>
        </w:rPr>
      </w:pPr>
      <w:r w:rsidRPr="004F0480">
        <w:rPr>
          <w:rFonts w:ascii="Arial" w:eastAsia="Calibri" w:hAnsi="Arial" w:cs="Arial"/>
          <w:lang w:val="es-ES_tradnl"/>
        </w:rPr>
        <w:lastRenderedPageBreak/>
        <w:tab/>
      </w:r>
      <w:r w:rsidRPr="004F0480">
        <w:rPr>
          <w:rFonts w:ascii="Arial" w:eastAsia="Calibri" w:hAnsi="Arial" w:cs="Arial"/>
          <w:lang w:val="es-ES_tradnl"/>
        </w:rPr>
        <w:tab/>
      </w:r>
      <w:r w:rsidR="0098021A">
        <w:rPr>
          <w:rFonts w:ascii="Arial" w:eastAsia="Calibri" w:hAnsi="Arial" w:cs="Arial"/>
          <w:lang w:val="es-ES_tradnl"/>
        </w:rPr>
        <w:t xml:space="preserve">Finalmente, esta Agencia, </w:t>
      </w:r>
      <w:r w:rsidRPr="004F0480">
        <w:rPr>
          <w:rFonts w:ascii="Arial" w:eastAsia="Calibri" w:hAnsi="Arial" w:cs="Arial"/>
          <w:lang w:val="es-ES_tradnl"/>
        </w:rPr>
        <w:t>mediante los conceptos C-442 del 26 de agosto de 2021, C-542 del 20 de octubre de 2021, C-549 del 5 de noviembre de 2021 y C-647 del 22 de noviembre de 2021, analizó la aplicación del Decreto 680 de 2021 y el otorgamiento del puntaje por apoyo a la industria nacional en los procedimientos de selección. Algunas de las tesis expuestas en dichas oportunidades se reiteran a continuación.</w:t>
      </w:r>
    </w:p>
    <w:p w14:paraId="6B5654EA" w14:textId="77777777" w:rsidR="004F0480" w:rsidRPr="004F0480" w:rsidRDefault="004F0480" w:rsidP="004F0480">
      <w:pPr>
        <w:tabs>
          <w:tab w:val="left" w:pos="426"/>
        </w:tabs>
        <w:spacing w:after="0" w:line="276" w:lineRule="auto"/>
        <w:jc w:val="both"/>
        <w:rPr>
          <w:rFonts w:ascii="Arial" w:eastAsia="Calibri" w:hAnsi="Arial" w:cs="Arial"/>
          <w:lang w:val="es-ES_tradnl"/>
        </w:rPr>
      </w:pPr>
    </w:p>
    <w:p w14:paraId="6A048D6A" w14:textId="77777777" w:rsidR="004F0480" w:rsidRPr="004F0480" w:rsidRDefault="004F0480" w:rsidP="004F0480">
      <w:pPr>
        <w:spacing w:after="0" w:line="276" w:lineRule="auto"/>
        <w:jc w:val="both"/>
        <w:rPr>
          <w:rFonts w:ascii="Arial" w:eastAsia="Arial" w:hAnsi="Arial" w:cs="Arial"/>
          <w:b/>
          <w:bCs/>
          <w:color w:val="000000"/>
          <w:lang w:val="es-ES_tradnl"/>
        </w:rPr>
      </w:pPr>
      <w:r w:rsidRPr="004F0480">
        <w:rPr>
          <w:rFonts w:ascii="Arial" w:eastAsia="Arial" w:hAnsi="Arial" w:cs="Arial"/>
          <w:b/>
          <w:bCs/>
          <w:color w:val="000000"/>
          <w:lang w:val="es-ES_tradnl"/>
        </w:rPr>
        <w:t xml:space="preserve">2.1. Fundamento normativo de los documentos tipo </w:t>
      </w:r>
    </w:p>
    <w:p w14:paraId="4BB217D0" w14:textId="77777777" w:rsidR="004F0480" w:rsidRPr="004F0480" w:rsidRDefault="004F0480" w:rsidP="004F0480">
      <w:pPr>
        <w:spacing w:after="0" w:line="240" w:lineRule="auto"/>
        <w:jc w:val="both"/>
        <w:rPr>
          <w:rFonts w:ascii="Arial" w:eastAsia="Calibri" w:hAnsi="Arial" w:cs="Arial"/>
          <w:color w:val="000000"/>
          <w:lang w:val="es-ES_tradnl"/>
        </w:rPr>
      </w:pPr>
    </w:p>
    <w:p w14:paraId="0A486D84" w14:textId="77777777" w:rsidR="004F0480" w:rsidRPr="004F0480" w:rsidRDefault="004F0480" w:rsidP="004F0480">
      <w:pPr>
        <w:spacing w:after="120" w:line="276" w:lineRule="auto"/>
        <w:jc w:val="both"/>
        <w:rPr>
          <w:rFonts w:ascii="Arial" w:eastAsia="Calibri" w:hAnsi="Arial" w:cs="Arial"/>
          <w:color w:val="000000"/>
          <w:szCs w:val="24"/>
          <w:lang w:val="es-ES" w:eastAsia="es-ES_tradnl"/>
        </w:rPr>
      </w:pPr>
      <w:r w:rsidRPr="004F0480">
        <w:rPr>
          <w:rFonts w:ascii="Arial" w:eastAsia="Calibri" w:hAnsi="Arial" w:cs="Arial"/>
          <w:color w:val="000000"/>
          <w:szCs w:val="24"/>
          <w:lang w:val="es-ES" w:eastAsia="es-ES_tradnl"/>
        </w:rPr>
        <w:t>La adopción de los documentos tipo obligatorios en el ordenamiento jurídico colombiano se incluyó por primera vez en el parágrafo 3 del artículo 2 de la Ley 1150 de 2007</w:t>
      </w:r>
      <w:r w:rsidRPr="004F0480">
        <w:rPr>
          <w:rFonts w:ascii="Arial" w:eastAsia="Calibri" w:hAnsi="Arial" w:cs="Arial"/>
          <w:color w:val="000000"/>
          <w:szCs w:val="24"/>
          <w:vertAlign w:val="superscript"/>
          <w:lang w:val="es-ES" w:eastAsia="es-ES_tradnl"/>
        </w:rPr>
        <w:footnoteReference w:id="1"/>
      </w:r>
      <w:r w:rsidRPr="004F0480">
        <w:rPr>
          <w:rFonts w:ascii="Arial" w:eastAsia="Calibri" w:hAnsi="Arial" w:cs="Arial"/>
          <w:color w:val="000000"/>
          <w:szCs w:val="24"/>
          <w:lang w:val="es-ES" w:eastAsia="es-ES_tradnl"/>
        </w:rPr>
        <w:t xml:space="preserve">, que facultó al gobierno nacional para expedirlos, pero solo cuando se tratara de la adquisición o suministro de bienes y servicios de características técnicas uniformes y de común utilización; facultad que no ha sido ejercida hasta la actualidad. </w:t>
      </w:r>
    </w:p>
    <w:p w14:paraId="179E2A76" w14:textId="77777777" w:rsidR="004F0480" w:rsidRPr="004F0480" w:rsidRDefault="004F0480" w:rsidP="004F0480">
      <w:pPr>
        <w:spacing w:line="276" w:lineRule="auto"/>
        <w:ind w:firstLine="708"/>
        <w:jc w:val="both"/>
        <w:rPr>
          <w:rFonts w:ascii="Arial" w:eastAsia="Calibri" w:hAnsi="Arial" w:cs="Arial"/>
          <w:color w:val="000000"/>
          <w:szCs w:val="24"/>
          <w:lang w:val="es-ES" w:eastAsia="es-ES_tradnl"/>
        </w:rPr>
      </w:pPr>
      <w:r w:rsidRPr="004F0480">
        <w:rPr>
          <w:rFonts w:ascii="Arial" w:eastAsia="Calibri" w:hAnsi="Arial" w:cs="Arial"/>
          <w:color w:val="000000"/>
          <w:szCs w:val="24"/>
          <w:lang w:val="es-ES" w:eastAsia="es-ES_tradnl"/>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29CFAB9D" w14:textId="77777777" w:rsidR="004F0480" w:rsidRPr="004F0480" w:rsidRDefault="004F0480" w:rsidP="004F0480">
      <w:pPr>
        <w:spacing w:before="120" w:after="120" w:line="276" w:lineRule="auto"/>
        <w:ind w:firstLine="708"/>
        <w:jc w:val="both"/>
        <w:rPr>
          <w:rFonts w:ascii="Arial" w:eastAsia="Calibri" w:hAnsi="Arial" w:cs="Arial"/>
          <w:color w:val="000000"/>
          <w:szCs w:val="24"/>
          <w:lang w:val="es-ES" w:eastAsia="es-ES_tradnl"/>
        </w:rPr>
      </w:pPr>
      <w:r w:rsidRPr="004F0480">
        <w:rPr>
          <w:rFonts w:ascii="Arial" w:eastAsia="Calibri" w:hAnsi="Arial" w:cs="Arial"/>
          <w:color w:val="000000"/>
          <w:szCs w:val="24"/>
          <w:lang w:val="es-ES" w:eastAsia="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4F0480">
        <w:rPr>
          <w:rFonts w:ascii="Arial" w:eastAsia="Calibri" w:hAnsi="Arial" w:cs="Arial"/>
          <w:color w:val="000000"/>
          <w:szCs w:val="24"/>
          <w:vertAlign w:val="superscript"/>
          <w:lang w:val="es-ES" w:eastAsia="es-ES_tradnl"/>
        </w:rPr>
        <w:footnoteReference w:id="2"/>
      </w:r>
      <w:r w:rsidRPr="004F0480">
        <w:rPr>
          <w:rFonts w:ascii="Arial" w:eastAsia="Calibri" w:hAnsi="Arial" w:cs="Arial"/>
          <w:color w:val="000000"/>
          <w:szCs w:val="24"/>
          <w:lang w:val="es-ES" w:eastAsia="es-ES_tradnl"/>
        </w:rPr>
        <w:t>.</w:t>
      </w:r>
    </w:p>
    <w:p w14:paraId="1EF76919" w14:textId="77777777" w:rsidR="004F0480" w:rsidRPr="004F0480" w:rsidRDefault="004F0480" w:rsidP="004F0480">
      <w:pPr>
        <w:spacing w:before="120" w:after="120" w:line="276" w:lineRule="auto"/>
        <w:jc w:val="both"/>
        <w:rPr>
          <w:rFonts w:ascii="Arial" w:eastAsia="Calibri" w:hAnsi="Arial" w:cs="Arial"/>
          <w:color w:val="000000"/>
          <w:szCs w:val="24"/>
          <w:lang w:val="es-ES" w:eastAsia="es-ES_tradnl"/>
        </w:rPr>
      </w:pPr>
      <w:r w:rsidRPr="004F0480">
        <w:rPr>
          <w:rFonts w:ascii="Arial" w:eastAsia="Calibri" w:hAnsi="Arial" w:cs="Arial"/>
          <w:color w:val="000000"/>
          <w:szCs w:val="24"/>
          <w:lang w:val="es-ES" w:eastAsia="es-ES_tradnl"/>
        </w:rPr>
        <w:lastRenderedPageBreak/>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1487AD5D" w14:textId="77777777" w:rsidR="004F0480" w:rsidRPr="004F0480" w:rsidRDefault="004F0480" w:rsidP="004F0480">
      <w:pPr>
        <w:spacing w:before="120" w:after="120" w:line="276" w:lineRule="auto"/>
        <w:jc w:val="both"/>
        <w:rPr>
          <w:rFonts w:ascii="Arial" w:eastAsia="Calibri" w:hAnsi="Arial" w:cs="Arial"/>
          <w:color w:val="000000"/>
          <w:szCs w:val="24"/>
          <w:lang w:val="es-ES" w:eastAsia="es-ES_tradnl"/>
        </w:rPr>
      </w:pPr>
      <w:r w:rsidRPr="004F0480">
        <w:rPr>
          <w:rFonts w:ascii="Arial" w:eastAsia="Calibri" w:hAnsi="Arial" w:cs="Arial"/>
          <w:color w:val="000000"/>
          <w:szCs w:val="24"/>
          <w:lang w:val="es-ES" w:eastAsia="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341294FD" w14:textId="267AC691" w:rsidR="004F0480" w:rsidRPr="004F0480" w:rsidRDefault="004F0480" w:rsidP="004F0480">
      <w:pPr>
        <w:spacing w:before="120" w:after="120" w:line="276" w:lineRule="auto"/>
        <w:jc w:val="both"/>
        <w:rPr>
          <w:rFonts w:ascii="Arial" w:eastAsia="Calibri" w:hAnsi="Arial" w:cs="Arial"/>
          <w:color w:val="000000"/>
          <w:szCs w:val="24"/>
          <w:lang w:val="es-ES" w:eastAsia="es-ES_tradnl"/>
        </w:rPr>
      </w:pPr>
      <w:r w:rsidRPr="004F0480">
        <w:rPr>
          <w:rFonts w:ascii="Arial" w:eastAsia="Calibri" w:hAnsi="Arial" w:cs="Arial"/>
          <w:color w:val="000000"/>
          <w:szCs w:val="24"/>
          <w:lang w:val="es-ES" w:eastAsia="es-ES_tradnl"/>
        </w:rPr>
        <w:tab/>
        <w:t xml:space="preserve">Esta norma fue estudiada por la Corte Constitucional en la sentencia C-119 de 2020. Al respecto, indicó que la adopción de los documentos tipo no afectaba la autonomía de las entidades territoriales, en cuanto </w:t>
      </w:r>
      <w:r w:rsidR="00F410F6">
        <w:rPr>
          <w:rFonts w:ascii="Arial" w:eastAsia="Calibri" w:hAnsi="Arial" w:cs="Arial"/>
          <w:color w:val="000000"/>
          <w:szCs w:val="24"/>
          <w:lang w:val="es-ES" w:eastAsia="es-ES_tradnl"/>
        </w:rPr>
        <w:t xml:space="preserve">a que </w:t>
      </w:r>
      <w:r w:rsidRPr="004F0480">
        <w:rPr>
          <w:rFonts w:ascii="Arial" w:eastAsia="Calibri" w:hAnsi="Arial" w:cs="Arial"/>
          <w:color w:val="000000"/>
          <w:szCs w:val="24"/>
          <w:lang w:val="es-ES" w:eastAsia="es-ES_tradnl"/>
        </w:rPr>
        <w:t>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4F0480">
        <w:rPr>
          <w:rFonts w:ascii="Arial" w:eastAsia="Calibri" w:hAnsi="Arial" w:cs="Arial"/>
          <w:color w:val="000000"/>
          <w:szCs w:val="24"/>
          <w:vertAlign w:val="superscript"/>
          <w:lang w:val="es-ES" w:eastAsia="es-ES_tradnl"/>
        </w:rPr>
        <w:footnoteReference w:id="3"/>
      </w:r>
      <w:r w:rsidRPr="004F0480">
        <w:rPr>
          <w:rFonts w:ascii="Arial" w:eastAsia="Calibri" w:hAnsi="Arial" w:cs="Arial"/>
          <w:color w:val="000000"/>
          <w:szCs w:val="24"/>
          <w:lang w:val="es-ES" w:eastAsia="es-ES_tradnl"/>
        </w:rPr>
        <w:t>.</w:t>
      </w:r>
    </w:p>
    <w:p w14:paraId="47EA7D56" w14:textId="77777777" w:rsidR="004F0480" w:rsidRPr="004F0480" w:rsidRDefault="004F0480" w:rsidP="004F0480">
      <w:pPr>
        <w:spacing w:before="120" w:after="120" w:line="276" w:lineRule="auto"/>
        <w:jc w:val="both"/>
        <w:rPr>
          <w:rFonts w:ascii="Arial" w:eastAsia="Calibri" w:hAnsi="Arial" w:cs="Arial"/>
          <w:color w:val="000000"/>
          <w:szCs w:val="24"/>
          <w:lang w:val="es-ES" w:eastAsia="es-ES_tradnl"/>
        </w:rPr>
      </w:pPr>
      <w:r w:rsidRPr="004F0480">
        <w:rPr>
          <w:rFonts w:ascii="Arial" w:eastAsia="Calibri" w:hAnsi="Arial" w:cs="Arial"/>
          <w:color w:val="000000"/>
          <w:szCs w:val="24"/>
          <w:lang w:val="es-ES" w:eastAsia="es-ES_tradnl"/>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w:t>
      </w:r>
      <w:r w:rsidRPr="004F0480">
        <w:rPr>
          <w:rFonts w:ascii="Arial" w:eastAsia="Calibri" w:hAnsi="Arial" w:cs="Arial"/>
          <w:color w:val="000000"/>
          <w:szCs w:val="24"/>
          <w:lang w:val="es-ES" w:eastAsia="es-ES_tradnl"/>
        </w:rPr>
        <w:lastRenderedPageBreak/>
        <w:t>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09D71467" w14:textId="77777777" w:rsidR="004F0480" w:rsidRPr="004F0480" w:rsidRDefault="004F0480" w:rsidP="004F0480">
      <w:pPr>
        <w:spacing w:before="120" w:after="120" w:line="276" w:lineRule="auto"/>
        <w:jc w:val="both"/>
        <w:rPr>
          <w:rFonts w:ascii="Arial" w:eastAsia="Calibri" w:hAnsi="Arial" w:cs="Arial"/>
          <w:lang w:val="es-ES"/>
        </w:rPr>
      </w:pPr>
      <w:r w:rsidRPr="004F0480">
        <w:rPr>
          <w:rFonts w:ascii="Arial" w:eastAsia="Calibri" w:hAnsi="Arial" w:cs="Arial"/>
          <w:color w:val="000000"/>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4F0480">
        <w:rPr>
          <w:rFonts w:ascii="Arial" w:eastAsia="Calibri" w:hAnsi="Arial" w:cs="Arial"/>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1B3663D3" w14:textId="77777777" w:rsidR="004F0480" w:rsidRPr="004F0480" w:rsidRDefault="004F0480" w:rsidP="004F0480">
      <w:pPr>
        <w:spacing w:before="120" w:after="120" w:line="276" w:lineRule="auto"/>
        <w:jc w:val="both"/>
        <w:rPr>
          <w:rFonts w:ascii="Arial" w:eastAsia="Calibri" w:hAnsi="Arial" w:cs="Arial"/>
          <w:color w:val="000000"/>
          <w:lang w:val="es-ES" w:eastAsia="es-ES_tradnl"/>
        </w:rPr>
      </w:pPr>
      <w:r w:rsidRPr="004F0480">
        <w:rPr>
          <w:rFonts w:ascii="Arial" w:eastAsia="Calibri" w:hAnsi="Arial" w:cs="Arial"/>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4F0480" w:rsidDel="00A434AB">
        <w:rPr>
          <w:rFonts w:ascii="Arial" w:eastAsia="Calibri" w:hAnsi="Arial" w:cs="Arial"/>
          <w:lang w:val="es-ES"/>
        </w:rPr>
        <w:t xml:space="preserve"> </w:t>
      </w:r>
      <w:r w:rsidRPr="004F0480">
        <w:rPr>
          <w:rFonts w:ascii="Arial" w:eastAsia="Calibri" w:hAnsi="Arial" w:cs="Arial"/>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10A0562B" w14:textId="77777777" w:rsidR="004F0480" w:rsidRPr="004F0480" w:rsidRDefault="004F0480" w:rsidP="004F0480">
      <w:pPr>
        <w:spacing w:before="120" w:line="276" w:lineRule="auto"/>
        <w:ind w:firstLine="709"/>
        <w:jc w:val="both"/>
        <w:rPr>
          <w:rFonts w:ascii="Arial" w:eastAsia="Calibri" w:hAnsi="Arial" w:cs="Arial"/>
          <w:color w:val="000000"/>
          <w:lang w:val="es-ES" w:eastAsia="es-ES"/>
        </w:rPr>
      </w:pPr>
      <w:r w:rsidRPr="004F0480">
        <w:rPr>
          <w:rFonts w:ascii="Arial" w:eastAsia="Calibri" w:hAnsi="Arial" w:cs="Arial"/>
          <w:color w:val="000000"/>
          <w:lang w:val="es-ES" w:eastAsia="es-ES"/>
        </w:rPr>
        <w:t>Por otra parte</w:t>
      </w:r>
      <w:r w:rsidRPr="004F0480">
        <w:rPr>
          <w:rFonts w:ascii="Arial" w:eastAsia="Calibri" w:hAnsi="Arial" w:cs="Arial"/>
          <w:i/>
          <w:iCs/>
          <w:color w:val="000000"/>
          <w:lang w:val="es-ES" w:eastAsia="es-ES"/>
        </w:rPr>
        <w:t>,</w:t>
      </w:r>
      <w:r w:rsidRPr="004F0480">
        <w:rPr>
          <w:rFonts w:ascii="Arial" w:eastAsia="Calibri" w:hAnsi="Arial" w:cs="Arial"/>
          <w:color w:val="000000"/>
          <w:lang w:val="es-ES" w:eastAsia="es-ES"/>
        </w:rPr>
        <w:t xml:space="preserve"> debe tenerse en cuenta que la Ley 2022 de 2020 fue sancionada por el </w:t>
      </w:r>
      <w:proofErr w:type="gramStart"/>
      <w:r w:rsidRPr="004F0480">
        <w:rPr>
          <w:rFonts w:ascii="Arial" w:eastAsia="Calibri" w:hAnsi="Arial" w:cs="Arial"/>
          <w:color w:val="000000"/>
          <w:lang w:val="es-ES" w:eastAsia="es-ES"/>
        </w:rPr>
        <w:t>Presidente</w:t>
      </w:r>
      <w:proofErr w:type="gramEnd"/>
      <w:r w:rsidRPr="004F0480">
        <w:rPr>
          <w:rFonts w:ascii="Arial" w:eastAsia="Calibri" w:hAnsi="Arial" w:cs="Arial"/>
          <w:color w:val="000000"/>
          <w:lang w:val="es-ES" w:eastAsia="es-ES"/>
        </w:rPr>
        <w:t xml:space="preserve"> de la República el 22 de julio del año pasado,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4F0480">
        <w:rPr>
          <w:rFonts w:ascii="Arial" w:eastAsia="Calibri" w:hAnsi="Arial" w:cs="Arial"/>
          <w:color w:val="000000"/>
          <w:vertAlign w:val="superscript"/>
          <w:lang w:val="es-ES" w:eastAsia="es-ES"/>
        </w:rPr>
        <w:footnoteReference w:id="4"/>
      </w:r>
      <w:r w:rsidRPr="004F0480">
        <w:rPr>
          <w:rFonts w:ascii="Arial" w:eastAsia="Calibri" w:hAnsi="Arial" w:cs="Arial"/>
          <w:color w:val="000000"/>
          <w:lang w:val="es-ES" w:eastAsia="es-ES"/>
        </w:rPr>
        <w:t xml:space="preserve">. En este sentido, </w:t>
      </w:r>
      <w:r w:rsidRPr="004F0480">
        <w:rPr>
          <w:rFonts w:ascii="Arial" w:eastAsia="Calibri" w:hAnsi="Arial" w:cs="Arial"/>
          <w:color w:val="000000"/>
          <w:lang w:val="es-ES" w:eastAsia="es-ES"/>
        </w:rPr>
        <w:lastRenderedPageBreak/>
        <w:t xml:space="preserve">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72167228" w14:textId="77777777" w:rsidR="004F0480" w:rsidRPr="004F0480" w:rsidRDefault="004F0480" w:rsidP="004F0480">
      <w:pPr>
        <w:spacing w:before="120" w:line="276" w:lineRule="auto"/>
        <w:ind w:firstLine="709"/>
        <w:jc w:val="both"/>
        <w:rPr>
          <w:rFonts w:ascii="Arial" w:eastAsia="Calibri" w:hAnsi="Arial" w:cs="Arial"/>
          <w:color w:val="000000"/>
          <w:lang w:val="es-ES" w:eastAsia="es-ES"/>
        </w:rPr>
      </w:pPr>
      <w:r w:rsidRPr="004F0480">
        <w:rPr>
          <w:rFonts w:ascii="Arial" w:eastAsia="Calibri" w:hAnsi="Arial" w:cs="Arial"/>
          <w:color w:val="000000"/>
          <w:lang w:val="es-ES" w:eastAsia="es-ES"/>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4F0480">
        <w:rPr>
          <w:rFonts w:ascii="Arial" w:eastAsia="Calibri" w:hAnsi="Arial" w:cs="Arial"/>
          <w:color w:val="000000"/>
          <w:lang w:val="es-ES" w:eastAsia="es-ES"/>
        </w:rPr>
        <w:t>entró en vigencia</w:t>
      </w:r>
      <w:proofErr w:type="gramEnd"/>
      <w:r w:rsidRPr="004F0480">
        <w:rPr>
          <w:rFonts w:ascii="Arial" w:eastAsia="Calibri" w:hAnsi="Arial" w:cs="Arial"/>
          <w:color w:val="000000"/>
          <w:lang w:val="es-ES" w:eastAsia="es-ES"/>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62264DC2" w14:textId="4614BBFA" w:rsidR="004F0480" w:rsidRPr="004F0480" w:rsidRDefault="004F0480" w:rsidP="004F0480">
      <w:pPr>
        <w:spacing w:before="120" w:line="276" w:lineRule="auto"/>
        <w:ind w:firstLine="709"/>
        <w:jc w:val="both"/>
        <w:rPr>
          <w:rFonts w:ascii="Arial" w:eastAsia="Calibri" w:hAnsi="Arial" w:cs="Arial"/>
          <w:color w:val="000000"/>
          <w:lang w:val="es-ES" w:eastAsia="es-ES"/>
        </w:rPr>
      </w:pPr>
      <w:r w:rsidRPr="004F0480">
        <w:rPr>
          <w:rFonts w:ascii="Arial" w:eastAsia="Calibri" w:hAnsi="Arial" w:cs="Arial"/>
          <w:color w:val="000000"/>
          <w:lang w:val="es-ES" w:eastAsia="es-ES"/>
        </w:rPr>
        <w:t>Asimismo, esta Agencia expidió la Resolución 193 del 14 de julio de 2021 «Por la cual se adoptan los documentos tipo para los procesos de 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w:t>
      </w:r>
      <w:r w:rsidR="00DD60F4">
        <w:rPr>
          <w:rFonts w:ascii="Arial" w:eastAsia="Calibri" w:hAnsi="Arial" w:cs="Arial"/>
          <w:color w:val="000000"/>
          <w:lang w:val="es-ES" w:eastAsia="es-ES"/>
        </w:rPr>
        <w:t xml:space="preserve">, </w:t>
      </w:r>
      <w:r w:rsidRPr="004F0480">
        <w:rPr>
          <w:rFonts w:ascii="Arial" w:eastAsia="Calibri" w:hAnsi="Arial" w:cs="Arial"/>
          <w:color w:val="000000"/>
          <w:lang w:val="es-ES" w:eastAsia="es-ES"/>
        </w:rPr>
        <w:t>220 de 2021 «Por la cual se adoptan los documentos tipo complementarios para los procesos de licitación de obra pública de infraestructura social relacionados con el sector educativo»</w:t>
      </w:r>
      <w:r w:rsidR="00DD60F4">
        <w:rPr>
          <w:rFonts w:ascii="Arial" w:eastAsia="Calibri" w:hAnsi="Arial" w:cs="Arial"/>
          <w:color w:val="000000"/>
          <w:lang w:val="es-ES" w:eastAsia="es-ES"/>
        </w:rPr>
        <w:t xml:space="preserve"> y </w:t>
      </w:r>
      <w:r w:rsidR="00DD60F4" w:rsidRPr="00831A21">
        <w:rPr>
          <w:rFonts w:ascii="Arial" w:eastAsia="Calibri" w:hAnsi="Arial" w:cs="Arial"/>
          <w:color w:val="000000"/>
          <w:lang w:val="es-ES" w:eastAsia="es-ES"/>
        </w:rPr>
        <w:t xml:space="preserve">392 </w:t>
      </w:r>
      <w:r w:rsidR="00831A21" w:rsidRPr="00831A21">
        <w:rPr>
          <w:rFonts w:ascii="Arial" w:eastAsia="Calibri" w:hAnsi="Arial" w:cs="Arial"/>
          <w:color w:val="000000"/>
          <w:lang w:val="es-ES" w:eastAsia="es-ES"/>
        </w:rPr>
        <w:t>de 2021 «</w:t>
      </w:r>
      <w:r w:rsidR="00831A21" w:rsidRPr="00831A21">
        <w:rPr>
          <w:rFonts w:ascii="Arial" w:hAnsi="Arial" w:cs="Arial"/>
        </w:rPr>
        <w:t>"Por la cual se adoptan los documentos tipo complementarios para los procesos de licitación de obra pública de infraestructura social relacionados con el sector salud».</w:t>
      </w:r>
      <w:r w:rsidR="00831A21">
        <w:rPr>
          <w:rFonts w:ascii="Arial" w:hAnsi="Arial" w:cs="Arial"/>
        </w:rPr>
        <w:t xml:space="preserve"> </w:t>
      </w:r>
      <w:r w:rsidRPr="004F0480">
        <w:rPr>
          <w:rFonts w:ascii="Arial" w:eastAsia="Calibri" w:hAnsi="Arial" w:cs="Arial"/>
          <w:color w:val="000000"/>
          <w:lang w:val="es-ES" w:eastAsia="es-ES"/>
        </w:rPr>
        <w:t xml:space="preserve">Estos últimos documentos tipo tienen la particularidad de que los documentos adoptados por la Resolución de 219 de 2021 serán utilizados en forma transversal en los sectores de educación, salud y recreación, cultura y deporte. Sin embargo, para que sean obligatorios en cada uno de los sectores, la Agencia deberá expedir una Resolución que adopte la Matriz de Experiencia y el Glosario de cada uno de los sectores. De esta manera, actualmente solo serían obligatorios los </w:t>
      </w:r>
      <w:r w:rsidRPr="004F0480">
        <w:rPr>
          <w:rFonts w:ascii="Arial" w:eastAsia="Calibri" w:hAnsi="Arial" w:cs="Arial"/>
          <w:color w:val="000000"/>
          <w:lang w:val="es-ES" w:eastAsia="es-ES"/>
        </w:rPr>
        <w:lastRenderedPageBreak/>
        <w:t>documentos tipo de infraestructura social para proyectos del sector educativo</w:t>
      </w:r>
      <w:r w:rsidR="0043363B">
        <w:rPr>
          <w:rFonts w:ascii="Arial" w:eastAsia="Calibri" w:hAnsi="Arial" w:cs="Arial"/>
          <w:color w:val="000000"/>
          <w:lang w:val="es-ES" w:eastAsia="es-ES"/>
        </w:rPr>
        <w:t xml:space="preserve"> y sector salud</w:t>
      </w:r>
      <w:r w:rsidRPr="004F0480">
        <w:rPr>
          <w:rFonts w:ascii="Arial" w:eastAsia="Calibri" w:hAnsi="Arial" w:cs="Arial"/>
          <w:color w:val="000000"/>
          <w:lang w:val="es-ES" w:eastAsia="es-ES"/>
        </w:rPr>
        <w:t xml:space="preserve"> pues la Resolución 220 del 6 de agosto de 2021 adoptó la Matriz de Experiencia y el Glosario para </w:t>
      </w:r>
      <w:r w:rsidR="000561A9">
        <w:rPr>
          <w:rFonts w:ascii="Arial" w:eastAsia="Calibri" w:hAnsi="Arial" w:cs="Arial"/>
          <w:color w:val="000000"/>
          <w:lang w:val="es-ES" w:eastAsia="es-ES"/>
        </w:rPr>
        <w:t xml:space="preserve">el sector educativo y la Resolución 392 del 18 de noviembre adoptó la </w:t>
      </w:r>
      <w:r w:rsidR="000561A9" w:rsidRPr="004F0480">
        <w:rPr>
          <w:rFonts w:ascii="Arial" w:eastAsia="Calibri" w:hAnsi="Arial" w:cs="Arial"/>
          <w:color w:val="000000"/>
          <w:lang w:val="es-ES" w:eastAsia="es-ES"/>
        </w:rPr>
        <w:t xml:space="preserve">Matriz de Experiencia y el Glosario para </w:t>
      </w:r>
      <w:r w:rsidR="000561A9">
        <w:rPr>
          <w:rFonts w:ascii="Arial" w:eastAsia="Calibri" w:hAnsi="Arial" w:cs="Arial"/>
          <w:color w:val="000000"/>
          <w:lang w:val="es-ES" w:eastAsia="es-ES"/>
        </w:rPr>
        <w:t>el sector salud.</w:t>
      </w:r>
    </w:p>
    <w:p w14:paraId="7281F499" w14:textId="77777777" w:rsidR="004F0480" w:rsidRPr="004F0480" w:rsidRDefault="004F0480" w:rsidP="004F0480">
      <w:pPr>
        <w:spacing w:before="120" w:line="276" w:lineRule="auto"/>
        <w:ind w:firstLine="709"/>
        <w:jc w:val="both"/>
        <w:rPr>
          <w:rFonts w:ascii="Arial" w:eastAsia="Calibri" w:hAnsi="Arial" w:cs="Arial"/>
          <w:color w:val="000000"/>
          <w:lang w:val="es-ES" w:eastAsia="es-ES"/>
        </w:rPr>
      </w:pPr>
      <w:r w:rsidRPr="004F0480">
        <w:rPr>
          <w:rFonts w:ascii="Arial" w:eastAsia="Calibri" w:hAnsi="Arial" w:cs="Arial"/>
          <w:color w:val="000000"/>
          <w:lang w:val="es-ES" w:eastAsia="es-ES"/>
        </w:rPr>
        <w:t xml:space="preserve">En síntesis, hasta el momento se han expedido los siguientes documentos tipo que son obligatorios para todas las entidades sometidas al Estatuto General de Contratación de la Administración Pública: </w:t>
      </w:r>
    </w:p>
    <w:p w14:paraId="7E918BB6" w14:textId="77777777" w:rsidR="004F0480" w:rsidRPr="004F0480" w:rsidRDefault="004F0480" w:rsidP="004F0480">
      <w:pPr>
        <w:spacing w:before="120" w:line="276" w:lineRule="auto"/>
        <w:ind w:firstLine="709"/>
        <w:jc w:val="both"/>
        <w:rPr>
          <w:rFonts w:ascii="Arial" w:eastAsia="Calibri" w:hAnsi="Arial" w:cs="Arial"/>
          <w:color w:val="000000"/>
          <w:lang w:val="es-ES" w:eastAsia="es-ES"/>
        </w:rPr>
      </w:pPr>
      <w:r w:rsidRPr="004F0480">
        <w:rPr>
          <w:rFonts w:ascii="Arial" w:eastAsia="Calibri" w:hAnsi="Arial" w:cs="Arial"/>
          <w:color w:val="000000"/>
          <w:lang w:val="es-ES" w:eastAsia="es-ES"/>
        </w:rPr>
        <w:t xml:space="preserve">i) Documentos tipo para licitación de obra pública de infraestructura de transporte –versión 1–, obligatorios para los procesos cuyo aviso de convocatoria se haya publicado desde el 1 de abril de 2019. </w:t>
      </w:r>
    </w:p>
    <w:p w14:paraId="30A9C851" w14:textId="77777777" w:rsidR="004F0480" w:rsidRPr="004F0480" w:rsidRDefault="004F0480" w:rsidP="004F0480">
      <w:pPr>
        <w:spacing w:before="120" w:line="276" w:lineRule="auto"/>
        <w:ind w:firstLine="709"/>
        <w:jc w:val="both"/>
        <w:rPr>
          <w:rFonts w:ascii="Arial" w:eastAsia="Calibri" w:hAnsi="Arial" w:cs="Arial"/>
          <w:color w:val="000000"/>
          <w:lang w:val="es-ES" w:eastAsia="es-ES"/>
        </w:rPr>
      </w:pPr>
      <w:r w:rsidRPr="004F0480">
        <w:rPr>
          <w:rFonts w:ascii="Arial" w:eastAsia="Calibri" w:hAnsi="Arial" w:cs="Arial"/>
          <w:color w:val="000000"/>
          <w:lang w:val="es-ES" w:eastAsia="es-ES"/>
        </w:rPr>
        <w:t>ii) Documentos tipo para licitación de obra pública de infraestructura de transporte –versión 2–, obligatorios para los procesos cuyo aviso de convocatoria se haya publicado desde el 10 de marzo de 2020.</w:t>
      </w:r>
    </w:p>
    <w:p w14:paraId="7C76A75C" w14:textId="77777777" w:rsidR="004F0480" w:rsidRPr="004F0480" w:rsidRDefault="004F0480" w:rsidP="004F0480">
      <w:pPr>
        <w:spacing w:before="120" w:line="276" w:lineRule="auto"/>
        <w:ind w:firstLine="709"/>
        <w:jc w:val="both"/>
        <w:rPr>
          <w:rFonts w:ascii="Arial" w:eastAsia="Calibri" w:hAnsi="Arial" w:cs="Arial"/>
          <w:color w:val="000000"/>
          <w:lang w:val="es-ES" w:eastAsia="es-ES"/>
        </w:rPr>
      </w:pPr>
      <w:r w:rsidRPr="004F0480">
        <w:rPr>
          <w:rFonts w:ascii="Arial" w:eastAsia="Calibri" w:hAnsi="Arial" w:cs="Arial"/>
          <w:color w:val="000000"/>
          <w:lang w:val="es-ES" w:eastAsia="es-ES"/>
        </w:rPr>
        <w:t>iii) Documentos tipo para licitación de obra pública de infraestructura de transporte –versión 3–, obligatorios para los procesos cuyo aviso de convocatoria se haya publicado desde el 1 de enero de 2021.</w:t>
      </w:r>
    </w:p>
    <w:p w14:paraId="6EFF6FC0" w14:textId="77777777" w:rsidR="004F0480" w:rsidRPr="004F0480" w:rsidRDefault="004F0480" w:rsidP="004F0480">
      <w:pPr>
        <w:spacing w:before="120" w:line="276" w:lineRule="auto"/>
        <w:ind w:firstLine="709"/>
        <w:jc w:val="both"/>
        <w:rPr>
          <w:rFonts w:ascii="Arial" w:eastAsia="Calibri" w:hAnsi="Arial" w:cs="Arial"/>
          <w:color w:val="000000"/>
          <w:lang w:val="es-ES" w:eastAsia="es-ES"/>
        </w:rPr>
      </w:pPr>
      <w:r w:rsidRPr="004F0480">
        <w:rPr>
          <w:rFonts w:ascii="Arial" w:eastAsia="Calibri" w:hAnsi="Arial" w:cs="Arial"/>
          <w:color w:val="000000"/>
          <w:lang w:val="es-ES" w:eastAsia="es-ES"/>
        </w:rPr>
        <w:t>iv) Documentos tipo para procesos de selección abreviada de menor cuantía de infraestructura de transporte –versión 1–, obligatorios para los procesos cuyo aviso de convocatoria se haya publicado desde el 17 de febrero de 2020.</w:t>
      </w:r>
    </w:p>
    <w:p w14:paraId="586F185A" w14:textId="77777777" w:rsidR="004F0480" w:rsidRPr="004F0480" w:rsidRDefault="004F0480" w:rsidP="004F0480">
      <w:pPr>
        <w:spacing w:before="120" w:line="276" w:lineRule="auto"/>
        <w:ind w:firstLine="709"/>
        <w:jc w:val="both"/>
        <w:rPr>
          <w:rFonts w:ascii="Arial" w:eastAsia="Calibri" w:hAnsi="Arial" w:cs="Arial"/>
          <w:color w:val="000000"/>
          <w:lang w:val="es-ES" w:eastAsia="es-ES"/>
        </w:rPr>
      </w:pPr>
      <w:r w:rsidRPr="004F0480">
        <w:rPr>
          <w:rFonts w:ascii="Arial" w:eastAsia="Calibri" w:hAnsi="Arial" w:cs="Arial"/>
          <w:color w:val="000000"/>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39061B6C" w14:textId="77777777" w:rsidR="004F0480" w:rsidRPr="004F0480" w:rsidRDefault="004F0480" w:rsidP="004F0480">
      <w:pPr>
        <w:spacing w:before="120" w:line="276" w:lineRule="auto"/>
        <w:ind w:firstLine="709"/>
        <w:jc w:val="both"/>
        <w:rPr>
          <w:rFonts w:ascii="Arial" w:eastAsia="Calibri" w:hAnsi="Arial" w:cs="Arial"/>
          <w:color w:val="000000"/>
          <w:lang w:val="es-ES" w:eastAsia="es-ES"/>
        </w:rPr>
      </w:pPr>
      <w:r w:rsidRPr="004F0480">
        <w:rPr>
          <w:rFonts w:ascii="Arial" w:eastAsia="Calibri" w:hAnsi="Arial" w:cs="Arial"/>
          <w:color w:val="000000"/>
          <w:lang w:val="es-ES" w:eastAsia="es-ES"/>
        </w:rPr>
        <w:t>vi) Documentos tipo para procesos de mínima cuantía de infraestructura de transporte, obligatorios para los procesos cuya invitación pública se haya publicado a partir del 10 de junio de 2020.</w:t>
      </w:r>
    </w:p>
    <w:p w14:paraId="3A56D933" w14:textId="77777777" w:rsidR="004F0480" w:rsidRPr="004F0480" w:rsidRDefault="004F0480" w:rsidP="004F0480">
      <w:pPr>
        <w:spacing w:before="120" w:line="276" w:lineRule="auto"/>
        <w:ind w:firstLine="709"/>
        <w:jc w:val="both"/>
        <w:rPr>
          <w:rFonts w:ascii="Arial" w:eastAsia="Calibri" w:hAnsi="Arial" w:cs="Arial"/>
          <w:color w:val="000000"/>
          <w:lang w:val="es-ES" w:eastAsia="es-ES"/>
        </w:rPr>
      </w:pPr>
      <w:r w:rsidRPr="004F0480">
        <w:rPr>
          <w:rFonts w:ascii="Arial" w:eastAsia="Calibri" w:hAnsi="Arial" w:cs="Arial"/>
          <w:color w:val="000000"/>
          <w:lang w:val="es-ES"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30D740A3" w14:textId="77777777" w:rsidR="004F0480" w:rsidRPr="004F0480" w:rsidRDefault="004F0480" w:rsidP="004F0480">
      <w:pPr>
        <w:spacing w:before="120" w:line="276" w:lineRule="auto"/>
        <w:ind w:firstLine="709"/>
        <w:jc w:val="both"/>
        <w:rPr>
          <w:rFonts w:ascii="Arial" w:eastAsia="Calibri" w:hAnsi="Arial" w:cs="Arial"/>
          <w:color w:val="000000"/>
          <w:lang w:val="es-ES" w:eastAsia="es-ES"/>
        </w:rPr>
      </w:pPr>
      <w:r w:rsidRPr="004F0480">
        <w:rPr>
          <w:rFonts w:ascii="Arial" w:eastAsia="Calibri" w:hAnsi="Arial" w:cs="Arial"/>
          <w:color w:val="000000"/>
          <w:lang w:val="es-ES" w:eastAsia="es-ES"/>
        </w:rPr>
        <w:t>viii) Documentos tipo para procesos de licitación pública para obras de infraestructura de agua potable y saneamiento básico, obligatorios para los procesos cuyo aviso de convocatoria se haya publicado desde el 11 de diciembre de 2020.</w:t>
      </w:r>
    </w:p>
    <w:p w14:paraId="4CD76F27" w14:textId="77777777" w:rsidR="004F0480" w:rsidRPr="004F0480" w:rsidRDefault="004F0480" w:rsidP="004F0480">
      <w:pPr>
        <w:spacing w:before="120" w:line="276" w:lineRule="auto"/>
        <w:ind w:firstLine="709"/>
        <w:jc w:val="both"/>
        <w:rPr>
          <w:rFonts w:ascii="Arial" w:eastAsia="Calibri" w:hAnsi="Arial" w:cs="Arial"/>
          <w:color w:val="000000"/>
          <w:lang w:val="es-ES" w:eastAsia="es-ES"/>
        </w:rPr>
      </w:pPr>
      <w:r w:rsidRPr="004F0480">
        <w:rPr>
          <w:rFonts w:ascii="Arial" w:eastAsia="Calibri" w:hAnsi="Arial" w:cs="Arial"/>
          <w:color w:val="000000"/>
          <w:lang w:val="es-ES" w:eastAsia="es-ES"/>
        </w:rPr>
        <w:t>ix)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7FCFFF02" w14:textId="77777777" w:rsidR="004F0480" w:rsidRPr="004F0480" w:rsidRDefault="004F0480" w:rsidP="004F0480">
      <w:pPr>
        <w:spacing w:before="120" w:line="276" w:lineRule="auto"/>
        <w:ind w:firstLine="709"/>
        <w:jc w:val="both"/>
        <w:rPr>
          <w:rFonts w:ascii="Arial" w:eastAsia="Calibri" w:hAnsi="Arial" w:cs="Arial"/>
          <w:color w:val="000000"/>
          <w:lang w:val="es-ES" w:eastAsia="es-ES"/>
        </w:rPr>
      </w:pPr>
      <w:r w:rsidRPr="004F0480">
        <w:rPr>
          <w:rFonts w:ascii="Arial" w:eastAsia="Calibri" w:hAnsi="Arial" w:cs="Arial"/>
          <w:color w:val="000000"/>
          <w:lang w:val="es-ES" w:eastAsia="es-ES"/>
        </w:rPr>
        <w:t>x) Documentos tipo para procesos de gestión catastral con enfoque multipropósito que se celebren a través de contratos interadministrativos, a partir del 1 de febrero de 2021.</w:t>
      </w:r>
    </w:p>
    <w:p w14:paraId="6976F9BE" w14:textId="77777777" w:rsidR="004F0480" w:rsidRPr="004F0480" w:rsidRDefault="004F0480" w:rsidP="004F0480">
      <w:pPr>
        <w:spacing w:before="120" w:line="276" w:lineRule="auto"/>
        <w:ind w:firstLine="709"/>
        <w:jc w:val="both"/>
        <w:rPr>
          <w:rFonts w:ascii="Arial" w:eastAsia="Calibri" w:hAnsi="Arial" w:cs="Arial"/>
          <w:color w:val="000000"/>
          <w:lang w:val="es-ES" w:eastAsia="es-ES"/>
        </w:rPr>
      </w:pPr>
      <w:r w:rsidRPr="004F0480">
        <w:rPr>
          <w:rFonts w:ascii="Arial" w:eastAsia="Calibri" w:hAnsi="Arial" w:cs="Arial"/>
          <w:color w:val="000000"/>
          <w:lang w:val="es-ES" w:eastAsia="es-ES"/>
        </w:rPr>
        <w:lastRenderedPageBreak/>
        <w:t>xi) Documentos tipo para procesos de selección de concurso de méritos, para contratar la consultoría de estudios de ingeniería de infraestructura de transporte, para los procesos cuyo aviso de convocatoria se haya publicado desde 9 de agosto de 2021</w:t>
      </w:r>
    </w:p>
    <w:p w14:paraId="5C9223A6" w14:textId="78C900A5" w:rsidR="008D6903" w:rsidRDefault="004F0480" w:rsidP="008D6903">
      <w:pPr>
        <w:spacing w:after="120" w:line="276" w:lineRule="auto"/>
        <w:ind w:firstLine="708"/>
        <w:jc w:val="both"/>
        <w:rPr>
          <w:rFonts w:ascii="Arial" w:eastAsia="Calibri" w:hAnsi="Arial" w:cs="Arial"/>
          <w:lang w:val="es-ES_tradnl"/>
        </w:rPr>
      </w:pPr>
      <w:r w:rsidRPr="004F0480">
        <w:rPr>
          <w:rFonts w:ascii="Arial" w:eastAsia="Calibri" w:hAnsi="Arial" w:cs="Arial"/>
          <w:color w:val="000000"/>
          <w:lang w:val="es-ES" w:eastAsia="es-ES"/>
        </w:rPr>
        <w:t xml:space="preserve">xi) Documentos tipo para procesos de licitación de obra pública de infraestructura social, </w:t>
      </w:r>
      <w:r w:rsidR="00762DAB">
        <w:rPr>
          <w:rFonts w:ascii="Arial" w:eastAsia="Calibri" w:hAnsi="Arial" w:cs="Arial"/>
          <w:color w:val="000000"/>
          <w:lang w:val="es-ES" w:eastAsia="es-ES"/>
        </w:rPr>
        <w:t xml:space="preserve">que </w:t>
      </w:r>
      <w:r w:rsidR="008D6903">
        <w:rPr>
          <w:rFonts w:ascii="Arial" w:hAnsi="Arial" w:cs="Arial"/>
          <w:lang w:val="es-ES_tradnl"/>
        </w:rPr>
        <w:t>entrarán a regir de acuerdo con los términos establecidos en el artículo 6 de la Resolución 219 de 2021 −modificado por el artículo 1 de la Resolución 336 del 2 de noviembre de 2021− y en el artículo 4 de la Resolución 392 de 18 de noviembre de 2021</w:t>
      </w:r>
      <w:r w:rsidR="008D6903" w:rsidRPr="00F1628E">
        <w:rPr>
          <w:rFonts w:ascii="Arial" w:eastAsia="Calibri" w:hAnsi="Arial" w:cs="Arial"/>
          <w:lang w:val="es-ES_tradnl"/>
        </w:rPr>
        <w:t>.</w:t>
      </w:r>
    </w:p>
    <w:p w14:paraId="1457DE58" w14:textId="6D6E8140" w:rsidR="004F0480" w:rsidRPr="004F0480" w:rsidRDefault="004F0480" w:rsidP="004F0480">
      <w:pPr>
        <w:spacing w:before="120" w:line="276" w:lineRule="auto"/>
        <w:ind w:firstLine="709"/>
        <w:jc w:val="both"/>
        <w:rPr>
          <w:rFonts w:ascii="Arial" w:eastAsia="Calibri" w:hAnsi="Arial" w:cs="Arial"/>
          <w:color w:val="000000"/>
          <w:lang w:val="es-ES" w:eastAsia="es-ES"/>
        </w:rPr>
      </w:pPr>
    </w:p>
    <w:p w14:paraId="6C9B5016" w14:textId="0D867F4D" w:rsidR="00762DAB" w:rsidRDefault="004F0480" w:rsidP="00762DAB">
      <w:pPr>
        <w:spacing w:after="120" w:line="276" w:lineRule="auto"/>
        <w:ind w:firstLine="708"/>
        <w:jc w:val="both"/>
        <w:rPr>
          <w:rFonts w:ascii="Arial" w:eastAsia="Calibri" w:hAnsi="Arial" w:cs="Arial"/>
          <w:lang w:val="es-ES_tradnl"/>
        </w:rPr>
      </w:pPr>
      <w:r w:rsidRPr="004F0480">
        <w:rPr>
          <w:rFonts w:ascii="Arial" w:eastAsia="Calibri" w:hAnsi="Arial" w:cs="Arial"/>
          <w:color w:val="000000"/>
          <w:lang w:val="es-ES" w:eastAsia="es-ES"/>
        </w:rPr>
        <w:t xml:space="preserve">xii) Documentos tipo complementarios para los procesos de licitación de obra pública de infraestructura social relacionados con el sector educativo, </w:t>
      </w:r>
      <w:r w:rsidR="00762DAB">
        <w:rPr>
          <w:rFonts w:ascii="Arial" w:eastAsia="Calibri" w:hAnsi="Arial" w:cs="Arial"/>
          <w:color w:val="000000"/>
          <w:lang w:val="es-ES" w:eastAsia="es-ES"/>
        </w:rPr>
        <w:t xml:space="preserve">que </w:t>
      </w:r>
      <w:r w:rsidR="00762DAB">
        <w:rPr>
          <w:rFonts w:ascii="Arial" w:hAnsi="Arial" w:cs="Arial"/>
          <w:lang w:val="es-ES_tradnl"/>
        </w:rPr>
        <w:t>entrarán a regir de acuerdo con los términos establecidos en el artículo 6 de la Resolución 219 de 2021 −modificado por el artículo 1 de la Resolución 336 del 2 de noviembre de 2021− y en el artículo 4 de la Resolución 392 de 18 de noviembre de 2021</w:t>
      </w:r>
      <w:r w:rsidR="00762DAB" w:rsidRPr="00F1628E">
        <w:rPr>
          <w:rFonts w:ascii="Arial" w:eastAsia="Calibri" w:hAnsi="Arial" w:cs="Arial"/>
          <w:lang w:val="es-ES_tradnl"/>
        </w:rPr>
        <w:t>.</w:t>
      </w:r>
    </w:p>
    <w:p w14:paraId="7477BA2A" w14:textId="77777777" w:rsidR="006C2D68" w:rsidRDefault="00762DAB" w:rsidP="006C2D68">
      <w:pPr>
        <w:spacing w:after="120" w:line="276" w:lineRule="auto"/>
        <w:ind w:firstLine="708"/>
        <w:jc w:val="both"/>
        <w:rPr>
          <w:rFonts w:ascii="Arial" w:eastAsia="Calibri" w:hAnsi="Arial" w:cs="Arial"/>
          <w:lang w:val="es-ES_tradnl"/>
        </w:rPr>
      </w:pPr>
      <w:r>
        <w:rPr>
          <w:rFonts w:ascii="Arial" w:eastAsia="Calibri" w:hAnsi="Arial" w:cs="Arial"/>
          <w:color w:val="000000"/>
          <w:lang w:val="es-ES" w:eastAsia="es-ES"/>
        </w:rPr>
        <w:t xml:space="preserve">xiii) </w:t>
      </w:r>
      <w:r w:rsidRPr="004F0480">
        <w:rPr>
          <w:rFonts w:ascii="Arial" w:eastAsia="Calibri" w:hAnsi="Arial" w:cs="Arial"/>
          <w:color w:val="000000"/>
          <w:lang w:val="es-ES" w:eastAsia="es-ES"/>
        </w:rPr>
        <w:t>Documentos tipo complementarios para los procesos de licitación de obra pública de infraestructura social relacionados con el sector</w:t>
      </w:r>
      <w:r>
        <w:rPr>
          <w:rFonts w:ascii="Arial" w:eastAsia="Calibri" w:hAnsi="Arial" w:cs="Arial"/>
          <w:color w:val="000000"/>
          <w:lang w:val="es-ES" w:eastAsia="es-ES"/>
        </w:rPr>
        <w:t xml:space="preserve"> cultura, recreación y deporte, que entrarán a regir </w:t>
      </w:r>
      <w:r w:rsidR="006C2D68">
        <w:rPr>
          <w:rFonts w:ascii="Arial" w:hAnsi="Arial" w:cs="Arial"/>
          <w:lang w:val="es-ES_tradnl"/>
        </w:rPr>
        <w:t>de acuerdo con los términos establecidos en el artículo 6 de la Resolución 219 de 2021 −modificado por el artículo 1 de la Resolución 336 del 2 de noviembre de 2021− y en el artículo 4 de la Resolución 392 de 18 de noviembre de 2021</w:t>
      </w:r>
      <w:r w:rsidR="006C2D68" w:rsidRPr="00F1628E">
        <w:rPr>
          <w:rFonts w:ascii="Arial" w:eastAsia="Calibri" w:hAnsi="Arial" w:cs="Arial"/>
          <w:lang w:val="es-ES_tradnl"/>
        </w:rPr>
        <w:t>.</w:t>
      </w:r>
    </w:p>
    <w:p w14:paraId="46B5B998" w14:textId="77777777" w:rsidR="004F0480" w:rsidRPr="004F0480" w:rsidRDefault="004F0480" w:rsidP="004F0480">
      <w:pPr>
        <w:shd w:val="clear" w:color="auto" w:fill="FFFFFF"/>
        <w:spacing w:after="0" w:line="276" w:lineRule="auto"/>
        <w:ind w:firstLine="709"/>
        <w:jc w:val="both"/>
        <w:textAlignment w:val="baseline"/>
        <w:rPr>
          <w:rFonts w:ascii="Arial" w:eastAsia="Calibri" w:hAnsi="Arial" w:cs="Arial"/>
        </w:rPr>
      </w:pPr>
      <w:r w:rsidRPr="004F0480">
        <w:rPr>
          <w:rFonts w:ascii="Arial" w:eastAsia="Calibri" w:hAnsi="Arial" w:cs="Arial"/>
        </w:rPr>
        <w:t xml:space="preserve">De acuerdo con lo expuesto, </w:t>
      </w:r>
      <w:r w:rsidRPr="004F0480">
        <w:rPr>
          <w:rFonts w:ascii="Arial" w:eastAsia="Calibri" w:hAnsi="Arial" w:cs="Arial"/>
          <w:color w:val="000000"/>
          <w:bdr w:val="none" w:sz="0" w:space="0" w:color="auto" w:frame="1"/>
        </w:rPr>
        <w:t>los documentos tipo adoptados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documento tipo.</w:t>
      </w:r>
    </w:p>
    <w:p w14:paraId="449DC7BF" w14:textId="77777777" w:rsidR="004F0480" w:rsidRPr="004F0480" w:rsidRDefault="004F0480" w:rsidP="004F0480">
      <w:pPr>
        <w:spacing w:after="0" w:line="276" w:lineRule="auto"/>
        <w:jc w:val="both"/>
        <w:rPr>
          <w:rFonts w:ascii="Arial" w:eastAsia="Arial" w:hAnsi="Arial" w:cs="Arial"/>
          <w:b/>
          <w:bCs/>
          <w:color w:val="000000"/>
          <w:szCs w:val="24"/>
          <w:lang w:val="es-ES_tradnl" w:eastAsia="es-ES_tradnl"/>
        </w:rPr>
      </w:pPr>
    </w:p>
    <w:p w14:paraId="7404C7D2" w14:textId="77777777" w:rsidR="004F0480" w:rsidRPr="004F0480" w:rsidRDefault="004F0480" w:rsidP="004F0480">
      <w:pPr>
        <w:spacing w:after="0" w:line="276" w:lineRule="auto"/>
        <w:jc w:val="both"/>
        <w:rPr>
          <w:rFonts w:ascii="Arial" w:eastAsia="Arial" w:hAnsi="Arial" w:cs="Arial"/>
          <w:b/>
          <w:bCs/>
          <w:color w:val="000000"/>
          <w:szCs w:val="24"/>
          <w:lang w:val="es-ES_tradnl" w:eastAsia="es-ES_tradnl"/>
        </w:rPr>
      </w:pPr>
      <w:r w:rsidRPr="004F0480">
        <w:rPr>
          <w:rFonts w:ascii="Arial" w:eastAsia="Arial" w:hAnsi="Arial" w:cs="Arial"/>
          <w:b/>
          <w:bCs/>
          <w:color w:val="000000"/>
          <w:szCs w:val="24"/>
          <w:lang w:val="es-ES_tradnl" w:eastAsia="es-ES_tradnl"/>
        </w:rPr>
        <w:t>2.2. Alcance de la regla de la inalterabilidad de los documentos tipo</w:t>
      </w:r>
    </w:p>
    <w:p w14:paraId="7672B088" w14:textId="77777777" w:rsidR="004F0480" w:rsidRPr="004F0480" w:rsidRDefault="004F0480" w:rsidP="004F0480">
      <w:pPr>
        <w:tabs>
          <w:tab w:val="left" w:pos="0"/>
        </w:tabs>
        <w:spacing w:after="0" w:line="276" w:lineRule="auto"/>
        <w:jc w:val="both"/>
        <w:rPr>
          <w:rFonts w:ascii="Arial" w:eastAsia="Calibri" w:hAnsi="Arial" w:cs="Arial"/>
          <w:b/>
          <w:color w:val="000000"/>
          <w:szCs w:val="24"/>
          <w:lang w:val="es-ES_tradnl" w:eastAsia="es-ES_tradnl"/>
        </w:rPr>
      </w:pPr>
    </w:p>
    <w:p w14:paraId="28EB4B51" w14:textId="77777777" w:rsidR="004F0480" w:rsidRPr="004F0480" w:rsidRDefault="004F0480" w:rsidP="004F0480">
      <w:pPr>
        <w:spacing w:after="0" w:line="276" w:lineRule="auto"/>
        <w:jc w:val="both"/>
        <w:rPr>
          <w:rFonts w:ascii="Arial" w:eastAsia="Times New Roman" w:hAnsi="Arial" w:cs="Arial"/>
          <w:szCs w:val="24"/>
          <w:shd w:val="clear" w:color="auto" w:fill="FFFFFF"/>
          <w:lang w:val="es-ES_tradnl" w:eastAsia="es-ES_tradnl"/>
        </w:rPr>
      </w:pPr>
      <w:r w:rsidRPr="004F0480">
        <w:rPr>
          <w:rFonts w:ascii="Arial" w:eastAsia="Times New Roman" w:hAnsi="Arial" w:cs="Arial"/>
          <w:szCs w:val="24"/>
          <w:shd w:val="clear" w:color="auto" w:fill="FFFFFF"/>
          <w:lang w:val="es-ES_tradnl" w:eastAsia="es-ES_tradnl"/>
        </w:rPr>
        <w:t>Todas las resoluciones</w:t>
      </w:r>
      <w:r w:rsidRPr="004F0480">
        <w:rPr>
          <w:rFonts w:ascii="Arial" w:eastAsia="Times New Roman" w:hAnsi="Arial" w:cs="Arial"/>
          <w:szCs w:val="24"/>
          <w:shd w:val="clear" w:color="auto" w:fill="FFFFFF"/>
          <w:vertAlign w:val="superscript"/>
          <w:lang w:val="es-ES_tradnl" w:eastAsia="es-ES_tradnl"/>
        </w:rPr>
        <w:footnoteReference w:id="5"/>
      </w:r>
      <w:r w:rsidRPr="004F0480">
        <w:rPr>
          <w:rFonts w:ascii="Arial" w:eastAsia="Times New Roman" w:hAnsi="Arial" w:cs="Arial"/>
          <w:szCs w:val="24"/>
          <w:shd w:val="clear" w:color="auto" w:fill="FFFFFF"/>
          <w:lang w:val="es-ES_tradnl" w:eastAsia="es-ES_tradnl"/>
        </w:rPr>
        <w:t xml:space="preserve"> expedidas por la Agencia Nacional de Contratación Pública – Colombia Compra Eficiente, mediante las cuales se han adoptado los documentos tipo, consagran la regla de la </w:t>
      </w:r>
      <w:r w:rsidRPr="00B4770F">
        <w:rPr>
          <w:rFonts w:ascii="Arial" w:eastAsia="Times New Roman" w:hAnsi="Arial" w:cs="Arial"/>
          <w:i/>
          <w:iCs/>
          <w:szCs w:val="24"/>
          <w:shd w:val="clear" w:color="auto" w:fill="FFFFFF"/>
          <w:lang w:val="es-ES_tradnl" w:eastAsia="es-ES_tradnl"/>
        </w:rPr>
        <w:t>inalterabilidad</w:t>
      </w:r>
      <w:r w:rsidRPr="004F0480">
        <w:rPr>
          <w:rFonts w:ascii="Arial" w:eastAsia="Times New Roman" w:hAnsi="Arial" w:cs="Arial"/>
          <w:szCs w:val="24"/>
          <w:shd w:val="clear" w:color="auto" w:fill="FFFFFF"/>
          <w:lang w:val="es-ES_tradnl" w:eastAsia="es-ES_tradnl"/>
        </w:rPr>
        <w:t xml:space="preserve">. Esta prohibición consiste en que las entidades estatales no pueden incluir o modificar en los </w:t>
      </w:r>
      <w:r w:rsidRPr="004F0480">
        <w:rPr>
          <w:rFonts w:ascii="Arial" w:eastAsia="Times New Roman" w:hAnsi="Arial" w:cs="Arial"/>
          <w:i/>
          <w:iCs/>
          <w:szCs w:val="24"/>
          <w:shd w:val="clear" w:color="auto" w:fill="FFFFFF"/>
          <w:lang w:val="es-ES_tradnl" w:eastAsia="es-ES_tradnl"/>
        </w:rPr>
        <w:t>Documentos del Proceso</w:t>
      </w:r>
      <w:r w:rsidRPr="004F0480">
        <w:rPr>
          <w:rFonts w:ascii="Arial" w:eastAsia="Times New Roman" w:hAnsi="Arial" w:cs="Arial"/>
          <w:szCs w:val="24"/>
          <w:shd w:val="clear" w:color="auto" w:fill="FFFFFF"/>
          <w:lang w:val="es-ES_tradnl" w:eastAsia="es-ES_tradnl"/>
        </w:rPr>
        <w:t xml:space="preserve">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65B52A48" w14:textId="77777777" w:rsidR="004F0480" w:rsidRPr="004F0480" w:rsidRDefault="004F0480" w:rsidP="004F0480">
      <w:pPr>
        <w:spacing w:before="120" w:after="120" w:line="276" w:lineRule="auto"/>
        <w:ind w:firstLine="709"/>
        <w:jc w:val="both"/>
        <w:rPr>
          <w:rFonts w:ascii="Arial" w:eastAsia="Times New Roman" w:hAnsi="Arial" w:cs="Arial"/>
          <w:shd w:val="clear" w:color="auto" w:fill="FFFFFF"/>
          <w:lang w:val="es-ES_tradnl" w:eastAsia="es-ES_tradnl"/>
        </w:rPr>
      </w:pPr>
      <w:r w:rsidRPr="004F0480">
        <w:rPr>
          <w:rFonts w:ascii="Arial" w:eastAsia="Times New Roman" w:hAnsi="Arial" w:cs="Arial"/>
          <w:shd w:val="clear" w:color="auto" w:fill="FFFFFF"/>
          <w:lang w:val="es-ES_tradnl" w:eastAsia="es-ES_tradnl"/>
        </w:rPr>
        <w:lastRenderedPageBreak/>
        <w:t xml:space="preserve">El fundamento legal vigente de la regla de la </w:t>
      </w:r>
      <w:r w:rsidRPr="004F0480">
        <w:rPr>
          <w:rFonts w:ascii="Arial" w:eastAsia="Times New Roman" w:hAnsi="Arial" w:cs="Arial"/>
          <w:szCs w:val="24"/>
          <w:shd w:val="clear" w:color="auto" w:fill="FFFFFF"/>
          <w:lang w:val="es-ES_tradnl" w:eastAsia="es-ES_tradnl"/>
        </w:rPr>
        <w:t xml:space="preserve">inalterabilidad </w:t>
      </w:r>
      <w:r w:rsidRPr="004F0480">
        <w:rPr>
          <w:rFonts w:ascii="Arial" w:eastAsia="Times New Roman" w:hAnsi="Arial" w:cs="Arial"/>
          <w:shd w:val="clear" w:color="auto" w:fill="FFFFFF"/>
          <w:lang w:val="es-ES_tradnl" w:eastAsia="es-ES_tradnl"/>
        </w:rPr>
        <w:t>se encuentra en el artículo 1 de la Ley 2022 de 2020, según el cual «</w:t>
      </w:r>
      <w:r w:rsidRPr="004F0480">
        <w:rPr>
          <w:rFonts w:ascii="Arial" w:eastAsia="Times New Roman" w:hAnsi="Arial" w:cs="Arial"/>
          <w:lang w:val="es-ES_tradnl" w:eastAsia="es-ES_tradnl"/>
        </w:rPr>
        <w:t xml:space="preserve">[…] </w:t>
      </w:r>
      <w:r w:rsidRPr="004F0480">
        <w:rPr>
          <w:rFonts w:ascii="Arial" w:eastAsia="Times New Roman" w:hAnsi="Arial" w:cs="Arial"/>
          <w:shd w:val="clear" w:color="auto" w:fill="FFFFFF"/>
          <w:lang w:val="es-ES_tradnl" w:eastAsia="es-ES_tradnl"/>
        </w:rPr>
        <w:t>serán de obligatorio cumplimiento en la actividad contractual de todas las entidades sometidas al Estatuto General de Contratación de la Administración Pública», el cual tenía como antecedente normativo el artículo 4 de la Ley 1882 de 2018. Incluso por vía reglamentaria también quedó consignado en su momento el carácter inmodificable de los pliegos tipo en el artículo 1 de los Decretos 342 de 2019 y 594 de 2020, que adicionaron, respectivamente, los artículos 2.2.1.2.6.1.4. y 2.2.1.2.6.3.4 al Decreto 1082 de 2015.</w:t>
      </w:r>
    </w:p>
    <w:p w14:paraId="7223ED69" w14:textId="24B7B74E" w:rsidR="004F0480" w:rsidRPr="004F0480" w:rsidRDefault="004F0480" w:rsidP="004F0480">
      <w:pPr>
        <w:spacing w:after="0" w:line="276" w:lineRule="auto"/>
        <w:ind w:firstLine="709"/>
        <w:jc w:val="both"/>
        <w:rPr>
          <w:rFonts w:ascii="Arial" w:eastAsia="Times New Roman" w:hAnsi="Arial" w:cs="Arial"/>
          <w:shd w:val="clear" w:color="auto" w:fill="FFFFFF"/>
          <w:lang w:val="es-ES_tradnl" w:eastAsia="es-ES_tradnl"/>
        </w:rPr>
      </w:pPr>
      <w:r w:rsidRPr="004F0480">
        <w:rPr>
          <w:rFonts w:ascii="Arial" w:eastAsia="Times New Roman" w:hAnsi="Arial" w:cs="Arial"/>
          <w:shd w:val="clear" w:color="auto" w:fill="FFFFFF"/>
          <w:lang w:val="es-ES_tradnl" w:eastAsia="es-ES_tradnl"/>
        </w:rPr>
        <w:t>Por tanto, no cabe duda de que está vigente la regla de la inalterabilidad de los documentos tipo. Lo anterior por cuanto las diferentes disposiciones normativas que se han expedido han ratificado dicha regla, como ha sucedido con el artículo 1 de la Ley 2022 de 2020 y con las resoluciones que ha expedido la Agencia Nacional de Contratación Pública – Colombia Compra Eficiente, entre estas, la</w:t>
      </w:r>
      <w:r w:rsidR="007A0E1A">
        <w:rPr>
          <w:rFonts w:ascii="Arial" w:eastAsia="Times New Roman" w:hAnsi="Arial" w:cs="Arial"/>
          <w:shd w:val="clear" w:color="auto" w:fill="FFFFFF"/>
          <w:lang w:val="es-ES_tradnl" w:eastAsia="es-ES_tradnl"/>
        </w:rPr>
        <w:t xml:space="preserve"> </w:t>
      </w:r>
      <w:r w:rsidR="007A0E1A" w:rsidRPr="004F0480">
        <w:rPr>
          <w:rFonts w:ascii="Arial" w:eastAsia="Calibri" w:hAnsi="Arial" w:cs="Arial"/>
          <w:color w:val="000000"/>
          <w:lang w:val="es-ES" w:eastAsia="es-ES"/>
        </w:rPr>
        <w:t>Resolución 240 del 27 de noviembre de 2020, «Por la cual se actualizan los Documentos Tipo para los procesos de selección de licitación de obra pública de infraestructura de transporte</w:t>
      </w:r>
      <w:r w:rsidRPr="004F0480">
        <w:rPr>
          <w:rFonts w:ascii="Arial" w:eastAsia="Calibri" w:hAnsi="Arial" w:cs="Arial"/>
        </w:rPr>
        <w:t xml:space="preserve">, </w:t>
      </w:r>
      <w:r w:rsidRPr="004F0480">
        <w:rPr>
          <w:rFonts w:ascii="Arial" w:eastAsia="Times New Roman" w:hAnsi="Arial" w:cs="Arial"/>
          <w:shd w:val="clear" w:color="auto" w:fill="FFFFFF"/>
          <w:lang w:val="es-ES_tradnl" w:eastAsia="es-ES_tradnl"/>
        </w:rPr>
        <w:t xml:space="preserve">cuyo artículo 3 establece la regla de la inalterabilidad de esos documentos tipo, cuando prescribe que «[…] </w:t>
      </w:r>
      <w:r w:rsidRPr="004F0480">
        <w:rPr>
          <w:rFonts w:ascii="Arial" w:eastAsia="Calibri" w:hAnsi="Arial" w:cs="Arial"/>
        </w:rPr>
        <w:t xml:space="preserve">las entidades estatales </w:t>
      </w:r>
      <w:r w:rsidR="00F04A97">
        <w:rPr>
          <w:rFonts w:ascii="Arial" w:eastAsia="Calibri" w:hAnsi="Arial" w:cs="Arial"/>
        </w:rPr>
        <w:t xml:space="preserve">contratantes </w:t>
      </w:r>
      <w:r w:rsidR="00C64437">
        <w:rPr>
          <w:rFonts w:ascii="Arial" w:eastAsia="Calibri" w:hAnsi="Arial" w:cs="Arial"/>
        </w:rPr>
        <w:t xml:space="preserve">no podrán incluir o modificar dentro de los documentos del proceso de selección las condiciones habilitantes, los factores técnicos y económicos de escogencia y los sistemas de ponderación que han sido definidos </w:t>
      </w:r>
      <w:r w:rsidR="00AF181A">
        <w:rPr>
          <w:rFonts w:ascii="Arial" w:eastAsia="Calibri" w:hAnsi="Arial" w:cs="Arial"/>
        </w:rPr>
        <w:t xml:space="preserve">y señalados en los Documentos tipo». </w:t>
      </w:r>
      <w:r w:rsidRPr="004F0480">
        <w:rPr>
          <w:rFonts w:ascii="Arial" w:eastAsia="Times New Roman" w:hAnsi="Arial" w:cs="Arial"/>
          <w:shd w:val="clear" w:color="auto" w:fill="FFFFFF"/>
          <w:lang w:val="es-ES_tradnl" w:eastAsia="es-ES_tradnl"/>
        </w:rPr>
        <w:t>Por tanto, frente a los documentos tipo relacionados con la pregunta del peticionario, rige la regla de la inalterabilidad, explicada anteriormente.</w:t>
      </w:r>
    </w:p>
    <w:p w14:paraId="0A4B6C80" w14:textId="77777777" w:rsidR="00914D11" w:rsidRDefault="00914D11" w:rsidP="007D3AC2">
      <w:pPr>
        <w:tabs>
          <w:tab w:val="left" w:pos="0"/>
        </w:tabs>
        <w:spacing w:after="0" w:line="276" w:lineRule="auto"/>
        <w:jc w:val="both"/>
        <w:rPr>
          <w:rFonts w:ascii="Arial" w:eastAsia="Calibri" w:hAnsi="Arial" w:cs="Arial"/>
          <w:b/>
          <w:color w:val="000000"/>
          <w:szCs w:val="24"/>
          <w:highlight w:val="yellow"/>
          <w:lang w:val="es-ES_tradnl" w:eastAsia="es-ES_tradnl"/>
        </w:rPr>
      </w:pPr>
    </w:p>
    <w:p w14:paraId="2CDD16D6" w14:textId="7F863D8B" w:rsidR="007D3AC2" w:rsidRPr="007D3AC2" w:rsidRDefault="00086160" w:rsidP="007D3AC2">
      <w:pPr>
        <w:tabs>
          <w:tab w:val="left" w:pos="0"/>
        </w:tabs>
        <w:spacing w:after="0" w:line="276" w:lineRule="auto"/>
        <w:jc w:val="both"/>
        <w:rPr>
          <w:rFonts w:ascii="Arial" w:eastAsia="Calibri" w:hAnsi="Arial" w:cs="Arial"/>
          <w:b/>
          <w:color w:val="000000"/>
          <w:szCs w:val="24"/>
          <w:lang w:val="es-ES_tradnl" w:eastAsia="es-ES_tradnl"/>
        </w:rPr>
      </w:pPr>
      <w:r>
        <w:rPr>
          <w:rFonts w:ascii="Arial" w:eastAsia="Calibri" w:hAnsi="Arial" w:cs="Arial"/>
          <w:b/>
          <w:color w:val="000000"/>
          <w:szCs w:val="24"/>
          <w:lang w:val="es-ES_tradnl" w:eastAsia="es-ES_tradnl"/>
        </w:rPr>
        <w:t>2.3</w:t>
      </w:r>
      <w:r w:rsidR="007D3AC2" w:rsidRPr="007D3AC2">
        <w:rPr>
          <w:rFonts w:ascii="Arial" w:eastAsia="Calibri" w:hAnsi="Arial" w:cs="Arial"/>
          <w:b/>
          <w:color w:val="000000"/>
          <w:szCs w:val="24"/>
          <w:lang w:val="es-ES_tradnl" w:eastAsia="es-ES_tradnl"/>
        </w:rPr>
        <w:t xml:space="preserve"> Otorgamiento de puntaje por apoyar la industria nacional, de conformidad con la Ley 816 de 2003 y el Decreto 680 de 2021</w:t>
      </w:r>
    </w:p>
    <w:p w14:paraId="38C1CA69" w14:textId="77777777" w:rsidR="007D3AC2" w:rsidRPr="007D3AC2" w:rsidRDefault="007D3AC2" w:rsidP="002068A3">
      <w:pPr>
        <w:tabs>
          <w:tab w:val="left" w:pos="0"/>
        </w:tabs>
        <w:spacing w:after="0" w:line="276" w:lineRule="auto"/>
        <w:jc w:val="both"/>
        <w:rPr>
          <w:rFonts w:ascii="Arial" w:eastAsia="Calibri" w:hAnsi="Arial" w:cs="Arial"/>
          <w:bCs/>
          <w:color w:val="000000"/>
          <w:szCs w:val="24"/>
          <w:lang w:val="es-ES_tradnl" w:eastAsia="es-ES_tradnl"/>
        </w:rPr>
      </w:pPr>
    </w:p>
    <w:p w14:paraId="35378D46" w14:textId="77777777" w:rsidR="00134925" w:rsidRPr="00134925" w:rsidRDefault="00134925" w:rsidP="002068A3">
      <w:pPr>
        <w:spacing w:after="0" w:line="276" w:lineRule="auto"/>
        <w:jc w:val="both"/>
        <w:rPr>
          <w:rFonts w:ascii="Arial" w:eastAsia="Arial" w:hAnsi="Arial" w:cs="Arial"/>
          <w:color w:val="000000"/>
          <w:lang w:val="es-ES" w:eastAsia="es-CO"/>
        </w:rPr>
      </w:pPr>
      <w:r w:rsidRPr="00134925">
        <w:rPr>
          <w:rFonts w:ascii="Arial" w:eastAsia="Arial" w:hAnsi="Arial" w:cs="Arial"/>
          <w:color w:val="000000"/>
          <w:lang w:val="es-ES" w:eastAsia="es-CO"/>
        </w:rPr>
        <w:t>La Ley 816 de 2003, «por medio de la cual se apoya a la industria nacional a través de la contratación pública», tiene como objetivo promover una mayor participación de los proveedores de bienes y servicios de origen colombiano en las compras de las entidades públicas. De igual manera, se adoptó con el propósito de crear un factor de preferencia para las propuestas que ofrezcan productos o servicios nacionales</w:t>
      </w:r>
      <w:r w:rsidRPr="00134925">
        <w:rPr>
          <w:rFonts w:ascii="Arial" w:eastAsia="Arial" w:hAnsi="Arial" w:cs="Arial"/>
          <w:color w:val="000000"/>
          <w:vertAlign w:val="superscript"/>
          <w:lang w:val="es-MX" w:eastAsia="es-CO"/>
        </w:rPr>
        <w:footnoteReference w:id="6"/>
      </w:r>
      <w:r w:rsidRPr="00134925">
        <w:rPr>
          <w:rFonts w:ascii="Arial" w:eastAsia="Arial" w:hAnsi="Arial" w:cs="Arial"/>
          <w:color w:val="000000"/>
          <w:lang w:val="es-ES" w:eastAsia="es-CO"/>
        </w:rPr>
        <w:t xml:space="preserve">. </w:t>
      </w:r>
    </w:p>
    <w:p w14:paraId="2F337B5D" w14:textId="77777777" w:rsidR="00134925" w:rsidRPr="00134925" w:rsidRDefault="00134925" w:rsidP="002068A3">
      <w:pPr>
        <w:tabs>
          <w:tab w:val="left" w:pos="0"/>
        </w:tabs>
        <w:spacing w:before="120" w:after="0" w:line="276" w:lineRule="auto"/>
        <w:jc w:val="both"/>
        <w:rPr>
          <w:rFonts w:ascii="Arial" w:eastAsia="Calibri" w:hAnsi="Arial" w:cs="Arial"/>
          <w:bCs/>
          <w:color w:val="000000"/>
          <w:lang w:val="es-ES_tradnl"/>
        </w:rPr>
      </w:pPr>
      <w:r w:rsidRPr="00134925">
        <w:rPr>
          <w:rFonts w:ascii="Arial" w:eastAsia="Calibri" w:hAnsi="Arial" w:cs="Arial"/>
          <w:bCs/>
          <w:color w:val="000000"/>
          <w:lang w:val="es-ES_tradnl"/>
        </w:rPr>
        <w:tab/>
        <w:t>Es por eso por lo que el artículo 1 dispone que las entidades estatales, en los procedimientos de selección que realicen e independientemente del régimen contractual que les sea aplicable, deben adoptar criterios que apoyen la industria nacional. En consonancia con lo anterior, el parágrafo de dicho artículo indica que:</w:t>
      </w:r>
    </w:p>
    <w:p w14:paraId="0C46E15A" w14:textId="77777777" w:rsidR="007D3AC2" w:rsidRPr="007D3AC2" w:rsidRDefault="007D3AC2" w:rsidP="007D3AC2">
      <w:pPr>
        <w:tabs>
          <w:tab w:val="left" w:pos="0"/>
        </w:tabs>
        <w:spacing w:after="0" w:line="240" w:lineRule="auto"/>
        <w:ind w:left="709" w:right="709"/>
        <w:jc w:val="both"/>
        <w:rPr>
          <w:rFonts w:ascii="Arial" w:eastAsia="Calibri" w:hAnsi="Arial" w:cs="Arial"/>
          <w:bCs/>
          <w:color w:val="000000"/>
          <w:sz w:val="21"/>
          <w:szCs w:val="21"/>
          <w:lang w:val="es-ES_tradnl" w:eastAsia="es-ES_tradnl"/>
        </w:rPr>
      </w:pPr>
    </w:p>
    <w:p w14:paraId="163FDF3D" w14:textId="77777777" w:rsidR="007D3AC2" w:rsidRPr="007D3AC2" w:rsidRDefault="007D3AC2" w:rsidP="007D3AC2">
      <w:pPr>
        <w:tabs>
          <w:tab w:val="left" w:pos="0"/>
        </w:tabs>
        <w:spacing w:after="0" w:line="240" w:lineRule="auto"/>
        <w:ind w:left="709" w:right="709"/>
        <w:jc w:val="both"/>
        <w:rPr>
          <w:rFonts w:ascii="Arial" w:eastAsia="Calibri" w:hAnsi="Arial" w:cs="Arial"/>
          <w:bCs/>
          <w:color w:val="000000"/>
          <w:sz w:val="21"/>
          <w:szCs w:val="21"/>
          <w:lang w:val="es-ES_tradnl" w:eastAsia="es-ES_tradnl"/>
        </w:rPr>
      </w:pPr>
      <w:r w:rsidRPr="007D3AC2">
        <w:rPr>
          <w:rFonts w:ascii="Arial" w:eastAsia="Calibri" w:hAnsi="Arial" w:cs="Arial"/>
          <w:bCs/>
          <w:color w:val="000000"/>
          <w:sz w:val="21"/>
          <w:szCs w:val="21"/>
          <w:lang w:val="es-ES_tradnl" w:eastAsia="es-ES_tradnl"/>
        </w:rPr>
        <w:t xml:space="preserve">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w:t>
      </w:r>
      <w:r w:rsidRPr="007D3AC2">
        <w:rPr>
          <w:rFonts w:ascii="Arial" w:eastAsia="Calibri" w:hAnsi="Arial" w:cs="Arial"/>
          <w:bCs/>
          <w:color w:val="000000"/>
          <w:sz w:val="21"/>
          <w:szCs w:val="21"/>
          <w:lang w:val="es-ES_tradnl" w:eastAsia="es-ES_tradnl"/>
        </w:rPr>
        <w:lastRenderedPageBreak/>
        <w:t>demostración de tal circunstancia se hará en los términos que señale el reglamento.</w:t>
      </w:r>
    </w:p>
    <w:p w14:paraId="2B63DAB6" w14:textId="5E7193E0" w:rsidR="007D3AC2" w:rsidRDefault="007D3AC2" w:rsidP="007D3AC2">
      <w:pPr>
        <w:tabs>
          <w:tab w:val="left" w:pos="0"/>
        </w:tabs>
        <w:spacing w:after="0" w:line="276" w:lineRule="auto"/>
        <w:jc w:val="both"/>
        <w:rPr>
          <w:rFonts w:ascii="Arial" w:eastAsia="Calibri" w:hAnsi="Arial" w:cs="Arial"/>
          <w:bCs/>
          <w:color w:val="000000"/>
          <w:szCs w:val="24"/>
          <w:lang w:val="es-ES_tradnl" w:eastAsia="es-ES_tradnl"/>
        </w:rPr>
      </w:pPr>
    </w:p>
    <w:p w14:paraId="0D816E68" w14:textId="77777777" w:rsidR="00B060E6" w:rsidRPr="00B060E6" w:rsidRDefault="00B060E6" w:rsidP="00B060E6">
      <w:pPr>
        <w:tabs>
          <w:tab w:val="left" w:pos="0"/>
        </w:tabs>
        <w:spacing w:after="0" w:line="276" w:lineRule="auto"/>
        <w:ind w:firstLine="709"/>
        <w:jc w:val="both"/>
        <w:rPr>
          <w:rFonts w:ascii="Arial" w:eastAsia="Calibri" w:hAnsi="Arial" w:cs="Arial"/>
          <w:bCs/>
          <w:color w:val="000000"/>
          <w:lang w:val="es-ES_tradnl"/>
        </w:rPr>
      </w:pPr>
      <w:r w:rsidRPr="00B060E6">
        <w:rPr>
          <w:rFonts w:ascii="Arial" w:eastAsia="Calibri" w:hAnsi="Arial" w:cs="Arial"/>
          <w:bCs/>
          <w:color w:val="000000"/>
          <w:lang w:val="es-ES_tradnl"/>
        </w:rPr>
        <w:t>En materia de contratación pública, dicho trato nacional es aplicable a los proponentes que ofrezcan bienes y servicios nacionales, de conformidad con las definiciones del artículo 2.2.1.1.1.3.1 del Decreto 1082 de 2015, así como a los extranjeros que cumplan con los criterios que se encuentran regulados en el artículo 2.2.1.2.4.1.3. del mismo Decreto</w:t>
      </w:r>
      <w:r w:rsidRPr="00B060E6">
        <w:rPr>
          <w:rFonts w:ascii="Arial" w:eastAsia="Calibri" w:hAnsi="Arial" w:cs="Arial"/>
          <w:bCs/>
          <w:color w:val="000000"/>
          <w:vertAlign w:val="superscript"/>
          <w:lang w:val="es-ES_tradnl"/>
        </w:rPr>
        <w:footnoteReference w:id="7"/>
      </w:r>
      <w:r w:rsidRPr="00B060E6">
        <w:rPr>
          <w:rFonts w:ascii="Arial" w:eastAsia="Calibri" w:hAnsi="Arial" w:cs="Arial"/>
          <w:bCs/>
          <w:color w:val="000000"/>
          <w:lang w:val="es-ES_tradnl"/>
        </w:rPr>
        <w:t>, en el que se establece la forma como se debe acreditar la existencia de trato nacional para extranjeros, dependiendo del fundamento de este y exigiendo el certificado expedido por el Ministerio de Relaciones Exteriores, cuando no exista tratado, ni regulación andina aplicable. Por otra parte, las entidades estatales deben aplicar en sus procedimientos de selección lo previsto en el artículo 2 de la Ley 816 de 2003, que establece un criterio de calificación diferencial, en los siguientes términos:</w:t>
      </w:r>
    </w:p>
    <w:p w14:paraId="3975318C" w14:textId="77777777" w:rsidR="00B060E6" w:rsidRPr="00B060E6" w:rsidRDefault="00B060E6" w:rsidP="00B060E6">
      <w:pPr>
        <w:tabs>
          <w:tab w:val="left" w:pos="0"/>
        </w:tabs>
        <w:spacing w:after="0" w:line="240" w:lineRule="auto"/>
        <w:ind w:left="709" w:right="709"/>
        <w:jc w:val="both"/>
        <w:rPr>
          <w:rFonts w:ascii="Arial" w:eastAsia="Calibri" w:hAnsi="Arial" w:cs="Arial"/>
          <w:bCs/>
          <w:color w:val="000000"/>
          <w:sz w:val="21"/>
          <w:szCs w:val="21"/>
          <w:lang w:val="es-ES_tradnl"/>
        </w:rPr>
      </w:pPr>
    </w:p>
    <w:p w14:paraId="5FFA9050" w14:textId="77777777" w:rsidR="00B060E6" w:rsidRPr="00B060E6" w:rsidRDefault="00B060E6" w:rsidP="00B060E6">
      <w:pPr>
        <w:tabs>
          <w:tab w:val="left" w:pos="0"/>
        </w:tabs>
        <w:spacing w:after="120" w:line="240" w:lineRule="auto"/>
        <w:ind w:left="709" w:right="709"/>
        <w:jc w:val="both"/>
        <w:rPr>
          <w:rFonts w:ascii="Arial" w:eastAsia="Calibri" w:hAnsi="Arial" w:cs="Arial"/>
          <w:bCs/>
          <w:color w:val="000000"/>
          <w:sz w:val="21"/>
          <w:szCs w:val="21"/>
          <w:lang w:val="es-ES_tradnl"/>
        </w:rPr>
      </w:pPr>
      <w:r w:rsidRPr="00B060E6">
        <w:rPr>
          <w:rFonts w:ascii="Arial" w:eastAsia="Calibri" w:hAnsi="Arial" w:cs="Arial"/>
          <w:bCs/>
          <w:color w:val="000000"/>
          <w:sz w:val="21"/>
          <w:szCs w:val="21"/>
          <w:lang w:val="es-ES_tradnl"/>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14:paraId="2A7F3FB4" w14:textId="77777777" w:rsidR="00B060E6" w:rsidRPr="00B060E6" w:rsidRDefault="00B060E6" w:rsidP="00B060E6">
      <w:pPr>
        <w:tabs>
          <w:tab w:val="left" w:pos="0"/>
        </w:tabs>
        <w:spacing w:after="120" w:line="240" w:lineRule="auto"/>
        <w:ind w:left="709" w:right="709"/>
        <w:jc w:val="both"/>
        <w:rPr>
          <w:rFonts w:ascii="Arial" w:eastAsia="Calibri" w:hAnsi="Arial" w:cs="Arial"/>
          <w:bCs/>
          <w:color w:val="000000"/>
          <w:sz w:val="21"/>
          <w:szCs w:val="21"/>
          <w:lang w:val="es-ES_tradnl"/>
        </w:rPr>
      </w:pPr>
      <w:r w:rsidRPr="00B060E6">
        <w:rPr>
          <w:rFonts w:ascii="Arial" w:eastAsia="Calibri" w:hAnsi="Arial" w:cs="Arial"/>
          <w:bCs/>
          <w:color w:val="000000"/>
          <w:sz w:val="21"/>
          <w:szCs w:val="21"/>
          <w:lang w:val="es-ES_tradnl"/>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6EBBB2C8" w14:textId="77777777" w:rsidR="00B060E6" w:rsidRPr="00B060E6" w:rsidRDefault="00B060E6" w:rsidP="00887A1E">
      <w:pPr>
        <w:tabs>
          <w:tab w:val="left" w:pos="0"/>
        </w:tabs>
        <w:spacing w:after="0" w:line="240" w:lineRule="auto"/>
        <w:ind w:left="709" w:right="709"/>
        <w:jc w:val="both"/>
        <w:rPr>
          <w:rFonts w:ascii="Arial" w:eastAsia="Calibri" w:hAnsi="Arial" w:cs="Arial"/>
          <w:bCs/>
          <w:color w:val="000000"/>
          <w:sz w:val="21"/>
          <w:szCs w:val="21"/>
          <w:lang w:val="es-ES_tradnl"/>
        </w:rPr>
      </w:pPr>
      <w:r w:rsidRPr="00B060E6">
        <w:rPr>
          <w:rFonts w:ascii="Arial" w:eastAsia="Calibri" w:hAnsi="Arial" w:cs="Arial"/>
          <w:bCs/>
          <w:color w:val="000000"/>
          <w:sz w:val="21"/>
          <w:szCs w:val="21"/>
          <w:lang w:val="es-ES_tradnl"/>
        </w:rPr>
        <w:lastRenderedPageBreak/>
        <w:t>Si una vez efectuada la calificación correspondiente, la oferta de un proponente extranjero se encuentra en igualdad de condiciones con la de un proponente nacional, se adjudicará al nacional.</w:t>
      </w:r>
    </w:p>
    <w:p w14:paraId="31C68D0E" w14:textId="77777777" w:rsidR="00B060E6" w:rsidRPr="00B060E6" w:rsidRDefault="00B060E6" w:rsidP="00887A1E">
      <w:pPr>
        <w:tabs>
          <w:tab w:val="left" w:pos="0"/>
        </w:tabs>
        <w:spacing w:after="0" w:line="276" w:lineRule="auto"/>
        <w:jc w:val="both"/>
        <w:rPr>
          <w:rFonts w:ascii="Arial" w:eastAsia="Calibri" w:hAnsi="Arial" w:cs="Arial"/>
          <w:bCs/>
          <w:color w:val="000000"/>
          <w:lang w:val="es-ES_tradnl"/>
        </w:rPr>
      </w:pPr>
      <w:r w:rsidRPr="00B060E6">
        <w:rPr>
          <w:rFonts w:ascii="Arial" w:eastAsia="Calibri" w:hAnsi="Arial" w:cs="Arial"/>
          <w:bCs/>
          <w:color w:val="000000"/>
          <w:lang w:val="es-ES_tradnl"/>
        </w:rPr>
        <w:tab/>
      </w:r>
    </w:p>
    <w:p w14:paraId="291E293B" w14:textId="77777777" w:rsidR="00B060E6" w:rsidRPr="00B060E6" w:rsidRDefault="00B060E6" w:rsidP="00887A1E">
      <w:pPr>
        <w:tabs>
          <w:tab w:val="left" w:pos="0"/>
        </w:tabs>
        <w:spacing w:after="0" w:line="276" w:lineRule="auto"/>
        <w:jc w:val="both"/>
        <w:rPr>
          <w:rFonts w:ascii="Arial" w:eastAsia="Calibri" w:hAnsi="Arial" w:cs="Arial"/>
          <w:bCs/>
          <w:color w:val="000000"/>
          <w:lang w:val="es-ES_tradnl"/>
        </w:rPr>
      </w:pPr>
      <w:r w:rsidRPr="00B060E6">
        <w:rPr>
          <w:rFonts w:ascii="Arial" w:eastAsia="Calibri" w:hAnsi="Arial" w:cs="Arial"/>
          <w:bCs/>
          <w:color w:val="000000"/>
          <w:lang w:val="es-ES_tradnl"/>
        </w:rPr>
        <w:tab/>
        <w:t>De acuerdo con esta norma, las ofertas de bienes y servicios nacionales –o extranjeros con derecho a trato nacional– deberán beneficiarse de la obtención de un puntaje comprendido entre el 10 y el 20 %, según lo haya definido la entidad estatal contratante en el pliego de condiciones, esto a modo de incentivo en favor de la industria nacional. Al respecto, conviene señalar que es la entidad pública la que, en el pliego de condiciones, debe fijar los criterios de asignación de puntaje –o factores de evaluación–. De este modo, cuenta con la discrecionalidad administrativa para determinar a partir de qué elementos o circunstancias realizará la calificación de las propuestas. Por supuesto, tal discrecionalidad no es absoluta, sino que está limitada por las normas de orden público, que incluyen reglas imperativas para la confección del pliego de condiciones y el deber de selección objetiva.</w:t>
      </w:r>
    </w:p>
    <w:p w14:paraId="0520796E" w14:textId="77777777" w:rsidR="00B060E6" w:rsidRPr="00B060E6" w:rsidRDefault="00B060E6" w:rsidP="00B060E6">
      <w:pPr>
        <w:tabs>
          <w:tab w:val="left" w:pos="0"/>
        </w:tabs>
        <w:spacing w:before="120" w:after="120" w:line="276" w:lineRule="auto"/>
        <w:jc w:val="both"/>
        <w:rPr>
          <w:rFonts w:ascii="Arial" w:eastAsia="Calibri" w:hAnsi="Arial" w:cs="Arial"/>
          <w:bCs/>
          <w:color w:val="000000"/>
          <w:lang w:val="es-ES_tradnl"/>
        </w:rPr>
      </w:pPr>
      <w:r w:rsidRPr="00B060E6">
        <w:rPr>
          <w:rFonts w:ascii="Arial" w:eastAsia="Calibri" w:hAnsi="Arial" w:cs="Arial"/>
          <w:bCs/>
          <w:color w:val="000000"/>
          <w:lang w:val="es-ES_tradnl"/>
        </w:rPr>
        <w:tab/>
        <w:t>Dentro de las reglas que restringen la discrecionalidad administrativa de las entidades estatales en la elaboración del pliego de condiciones se encuentra el artículo 2 de la Ley 816 de 2003. En efecto, este enunciado normativo establece que las entidades de la administración pública a las que se refiere el artículo 1 de la misma Ley deben incluir «</w:t>
      </w:r>
      <w:r w:rsidRPr="00B060E6">
        <w:rPr>
          <w:rFonts w:ascii="Arial" w:eastAsia="Calibri" w:hAnsi="Arial" w:cs="Arial"/>
          <w:lang w:val="es-ES_tradnl"/>
        </w:rPr>
        <w:t xml:space="preserve">[…] </w:t>
      </w:r>
      <w:r w:rsidRPr="00B060E6">
        <w:rPr>
          <w:rFonts w:ascii="Arial" w:eastAsia="Calibri" w:hAnsi="Arial" w:cs="Arial"/>
          <w:bCs/>
          <w:color w:val="000000"/>
          <w:lang w:val="es-ES_tradnl"/>
        </w:rPr>
        <w:t xml:space="preserve">un puntaje comprendido entre el diez (10) y el veinte por ciento (20%)» para estimular la industria nacional, cuando se oferten bienes o servicios nacionales. Adicionalmente, la norma indica </w:t>
      </w:r>
      <w:proofErr w:type="gramStart"/>
      <w:r w:rsidRPr="00B060E6">
        <w:rPr>
          <w:rFonts w:ascii="Arial" w:eastAsia="Calibri" w:hAnsi="Arial" w:cs="Arial"/>
          <w:bCs/>
          <w:color w:val="000000"/>
          <w:lang w:val="es-ES_tradnl"/>
        </w:rPr>
        <w:t>que</w:t>
      </w:r>
      <w:proofErr w:type="gramEnd"/>
      <w:r w:rsidRPr="00B060E6">
        <w:rPr>
          <w:rFonts w:ascii="Arial" w:eastAsia="Calibri" w:hAnsi="Arial" w:cs="Arial"/>
          <w:bCs/>
          <w:color w:val="000000"/>
          <w:lang w:val="es-ES_tradnl"/>
        </w:rPr>
        <w:t xml:space="preserve"> si no se ofertan bienes o servicios nacionales, sino bienes o servicios </w:t>
      </w:r>
      <w:r w:rsidRPr="00B060E6">
        <w:rPr>
          <w:rFonts w:ascii="Arial" w:eastAsia="Calibri" w:hAnsi="Arial" w:cs="Arial"/>
          <w:bCs/>
          <w:i/>
          <w:iCs/>
          <w:color w:val="000000"/>
          <w:lang w:val="es-ES_tradnl"/>
        </w:rPr>
        <w:t>extranjeros</w:t>
      </w:r>
      <w:r w:rsidRPr="00B060E6">
        <w:rPr>
          <w:rFonts w:ascii="Arial" w:eastAsia="Calibri" w:hAnsi="Arial" w:cs="Arial"/>
          <w:bCs/>
          <w:color w:val="000000"/>
          <w:lang w:val="es-ES_tradnl"/>
        </w:rPr>
        <w:t xml:space="preserve">, «[…] la entidad contratante establecerá un puntaje comprendido entre el cinco (5) y el quince por ciento (15%), para incentivar la incorporación de componente colombiano de bienes y servicios profesionales, técnicos y operativos». </w:t>
      </w:r>
    </w:p>
    <w:p w14:paraId="32F85CC2" w14:textId="0E442F5B" w:rsidR="00431D13" w:rsidRPr="00431D13" w:rsidRDefault="003F56E2" w:rsidP="00CE4935">
      <w:pPr>
        <w:spacing w:after="120" w:line="276" w:lineRule="auto"/>
        <w:jc w:val="both"/>
        <w:rPr>
          <w:rFonts w:ascii="Arial" w:eastAsia="Calibri" w:hAnsi="Arial" w:cs="Arial"/>
          <w:bCs/>
          <w:color w:val="000000"/>
          <w:szCs w:val="24"/>
          <w:lang w:val="es-ES_tradnl" w:eastAsia="es-ES_tradnl"/>
        </w:rPr>
      </w:pPr>
      <w:r>
        <w:rPr>
          <w:rFonts w:ascii="Arial" w:eastAsia="Calibri" w:hAnsi="Arial" w:cs="Arial"/>
          <w:b/>
          <w:bCs/>
          <w:color w:val="000000"/>
          <w:szCs w:val="24"/>
          <w:lang w:val="es-MX" w:eastAsia="en-GB"/>
        </w:rPr>
        <w:tab/>
      </w:r>
      <w:r w:rsidR="00E63565" w:rsidRPr="00F525A8">
        <w:rPr>
          <w:rFonts w:ascii="Arial" w:eastAsia="Calibri" w:hAnsi="Arial" w:cs="Arial"/>
          <w:bCs/>
          <w:color w:val="000000" w:themeColor="text1"/>
          <w:lang w:val="es-ES_tradnl"/>
        </w:rPr>
        <w:t>Aclarado el alcance de la norma que promueve el factor de evaluación de apoyo a la industria nacional en las compras públicas, es importante señalar que</w:t>
      </w:r>
      <w:r w:rsidR="00431D13" w:rsidRPr="00F525A8">
        <w:rPr>
          <w:rFonts w:ascii="Arial" w:eastAsia="Calibri" w:hAnsi="Arial" w:cs="Arial"/>
          <w:bCs/>
          <w:color w:val="000000"/>
          <w:szCs w:val="24"/>
          <w:lang w:val="es-ES_tradnl" w:eastAsia="es-ES_tradnl"/>
        </w:rPr>
        <w:t>, el Gobierno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w:t>
      </w:r>
    </w:p>
    <w:p w14:paraId="7D0B492D" w14:textId="77777777" w:rsidR="00431D13" w:rsidRPr="00431D13" w:rsidRDefault="00431D13" w:rsidP="00431D13">
      <w:pPr>
        <w:spacing w:before="120" w:after="0" w:line="276" w:lineRule="auto"/>
        <w:ind w:firstLine="709"/>
        <w:jc w:val="both"/>
        <w:rPr>
          <w:rFonts w:ascii="Arial" w:eastAsia="Calibri" w:hAnsi="Arial" w:cs="Arial"/>
          <w:bCs/>
          <w:color w:val="000000"/>
          <w:szCs w:val="24"/>
          <w:lang w:val="es-ES_tradnl" w:eastAsia="es-ES_tradnl"/>
        </w:rPr>
      </w:pPr>
      <w:r w:rsidRPr="00431D13">
        <w:rPr>
          <w:rFonts w:ascii="Arial" w:eastAsia="Calibri" w:hAnsi="Arial" w:cs="Arial"/>
          <w:bCs/>
          <w:color w:val="000000"/>
          <w:szCs w:val="24"/>
          <w:lang w:val="es-ES_tradnl" w:eastAsia="es-ES_tradnl"/>
        </w:rPr>
        <w:t>En las consideraciones del Decreto 680 de 2021 se indica que, con su expedición, se busca: i) precisar la aplicación de la regla de origen de los bienes y servicios nacionales, en los términos establecidos en el artículo 2 de la Ley 816 de 2003, respetando las estipulaciones de los tratados comerciales vigentes y el principio de reciprocidad, ii) definir la metodología como debe aplicarse el puntaje señalado en la mencionada disposición legal en relación con los proponentes plurales, iii) garantizar el uso, durante la ejecución del contrato estatal, de los bienes o servicios colombianos, para «[…] promover emparejamientos y encadenamientos productivos», así como «[…] el empleo en el país» y iv) establecer una regla de origen distinta, según el lugar en el cual debe ejecutarse el contrato. Para cumplir tales finalidades, el gobierno nacional sintetiza el contenido del Decreto bajo análisis, de la siguiente manera:</w:t>
      </w:r>
    </w:p>
    <w:p w14:paraId="35034739" w14:textId="77777777" w:rsidR="00431D13" w:rsidRPr="00431D13" w:rsidRDefault="00431D13" w:rsidP="00431D13">
      <w:pPr>
        <w:spacing w:after="0" w:line="240" w:lineRule="auto"/>
        <w:ind w:left="709" w:right="709"/>
        <w:jc w:val="both"/>
        <w:rPr>
          <w:rFonts w:ascii="Arial" w:eastAsia="Calibri" w:hAnsi="Arial" w:cs="Arial"/>
          <w:bCs/>
          <w:color w:val="000000"/>
          <w:szCs w:val="24"/>
          <w:lang w:val="es-ES_tradnl" w:eastAsia="es-ES_tradnl"/>
        </w:rPr>
      </w:pPr>
    </w:p>
    <w:p w14:paraId="59D0238E" w14:textId="77777777" w:rsidR="00431D13" w:rsidRPr="00431D13" w:rsidRDefault="00431D13" w:rsidP="00B768E9">
      <w:pPr>
        <w:spacing w:after="120" w:line="240" w:lineRule="auto"/>
        <w:ind w:left="709" w:right="709"/>
        <w:jc w:val="both"/>
        <w:rPr>
          <w:rFonts w:ascii="Arial" w:eastAsia="Calibri" w:hAnsi="Arial" w:cs="Arial"/>
          <w:bCs/>
          <w:color w:val="000000"/>
          <w:sz w:val="21"/>
          <w:szCs w:val="21"/>
          <w:lang w:val="es-ES_tradnl" w:eastAsia="es-ES_tradnl"/>
        </w:rPr>
      </w:pPr>
      <w:r w:rsidRPr="00431D13">
        <w:rPr>
          <w:rFonts w:ascii="Arial" w:eastAsia="Calibri" w:hAnsi="Arial" w:cs="Arial"/>
          <w:bCs/>
          <w:color w:val="000000"/>
          <w:sz w:val="21"/>
          <w:szCs w:val="21"/>
          <w:lang w:val="es-ES_tradnl" w:eastAsia="es-ES_tradnl"/>
        </w:rPr>
        <w:lastRenderedPageBreak/>
        <w:t>[…] en este sentido, la regla de origen será sustituida con el fin de encargar a la Entidad Estatal la definición de manera razonable y proporcionada de los bienes colombianos relevantes de acuerdo a la información analizada en la etapa de planeación del Proceso de Contratación, el porcentaje de participación de los bienes en el presupuesto y la existencia de las mismos en el Registro de Productores de Bienes Nacionales, con el fin de asignar el puntaje de que trata la primera franja de la Ley 816 de 2003, en función del uso de los bienes relevantes en la ejecución del contrato.</w:t>
      </w:r>
    </w:p>
    <w:p w14:paraId="20F0F43A" w14:textId="77777777" w:rsidR="00431D13" w:rsidRPr="00431D13" w:rsidRDefault="00431D13" w:rsidP="00B768E9">
      <w:pPr>
        <w:spacing w:after="120" w:line="240" w:lineRule="auto"/>
        <w:ind w:left="709" w:right="709"/>
        <w:jc w:val="both"/>
        <w:rPr>
          <w:rFonts w:ascii="Arial" w:eastAsia="Calibri" w:hAnsi="Arial" w:cs="Arial"/>
          <w:bCs/>
          <w:color w:val="000000"/>
          <w:sz w:val="21"/>
          <w:szCs w:val="21"/>
          <w:lang w:val="es-ES_tradnl" w:eastAsia="es-ES_tradnl"/>
        </w:rPr>
      </w:pPr>
      <w:r w:rsidRPr="00431D13">
        <w:rPr>
          <w:rFonts w:ascii="Arial" w:eastAsia="Calibri" w:hAnsi="Arial" w:cs="Arial"/>
          <w:bCs/>
          <w:color w:val="000000"/>
          <w:sz w:val="21"/>
          <w:szCs w:val="21"/>
          <w:lang w:val="es-ES_tradnl" w:eastAsia="es-ES_tradnl"/>
        </w:rPr>
        <w:t>[…]</w:t>
      </w:r>
    </w:p>
    <w:p w14:paraId="6D1568E4" w14:textId="77777777" w:rsidR="00431D13" w:rsidRPr="00431D13" w:rsidRDefault="00431D13" w:rsidP="00876275">
      <w:pPr>
        <w:spacing w:after="0" w:line="240" w:lineRule="auto"/>
        <w:ind w:left="709" w:right="709"/>
        <w:jc w:val="both"/>
        <w:rPr>
          <w:rFonts w:ascii="Arial" w:eastAsia="Calibri" w:hAnsi="Arial" w:cs="Arial"/>
          <w:bCs/>
          <w:color w:val="000000"/>
          <w:sz w:val="21"/>
          <w:szCs w:val="21"/>
          <w:lang w:val="es-ES_tradnl" w:eastAsia="es-ES_tradnl"/>
        </w:rPr>
      </w:pPr>
      <w:r w:rsidRPr="00431D13">
        <w:rPr>
          <w:rFonts w:ascii="Arial" w:eastAsia="Calibri" w:hAnsi="Arial" w:cs="Arial"/>
          <w:bCs/>
          <w:color w:val="000000"/>
          <w:sz w:val="21"/>
          <w:szCs w:val="21"/>
          <w:lang w:val="es-ES_tradnl" w:eastAsia="es-ES_tradnl"/>
        </w:rPr>
        <w:t>[…] subsidiariamente, para aquellas casos en las que no existan bienes colombianos relevantes o no exista oferta nacional de los mismos en el Registro de Productores de Bienes Nacionales, las Entidades Estatales deberán otorgar el puntaje de que trata la primera franja de la Ley 816 de 2003 a aquellos proveedores que se comprometan a vincular un porcentaje mínimo de empleados o contratistas por prestación de servicios colombianos, que no podrá ser inferior al cuarenta por ciento (40%) del total de empleados y contratistas asociados al cumplimiento del contrato.</w:t>
      </w:r>
    </w:p>
    <w:p w14:paraId="6965D8F4" w14:textId="77777777" w:rsidR="00431D13" w:rsidRPr="00431D13" w:rsidRDefault="00431D13" w:rsidP="00876275">
      <w:pPr>
        <w:tabs>
          <w:tab w:val="left" w:pos="0"/>
        </w:tabs>
        <w:spacing w:after="0" w:line="240" w:lineRule="auto"/>
        <w:jc w:val="both"/>
        <w:rPr>
          <w:rFonts w:ascii="Arial" w:eastAsia="Calibri" w:hAnsi="Arial" w:cs="Arial"/>
          <w:bCs/>
          <w:color w:val="000000"/>
          <w:szCs w:val="24"/>
          <w:lang w:val="es-ES_tradnl" w:eastAsia="es-ES_tradnl"/>
        </w:rPr>
      </w:pPr>
      <w:r w:rsidRPr="00431D13">
        <w:rPr>
          <w:rFonts w:ascii="Arial" w:eastAsia="Calibri" w:hAnsi="Arial" w:cs="Arial"/>
          <w:bCs/>
          <w:color w:val="000000"/>
          <w:szCs w:val="24"/>
          <w:lang w:val="es-ES_tradnl" w:eastAsia="es-ES_tradnl"/>
        </w:rPr>
        <w:t xml:space="preserve"> </w:t>
      </w:r>
    </w:p>
    <w:p w14:paraId="0340F8AA" w14:textId="77777777" w:rsidR="00431D13" w:rsidRPr="00431D13" w:rsidRDefault="00431D13" w:rsidP="00876275">
      <w:pPr>
        <w:spacing w:after="0" w:line="276" w:lineRule="auto"/>
        <w:ind w:firstLine="709"/>
        <w:jc w:val="both"/>
        <w:rPr>
          <w:rFonts w:ascii="Arial" w:eastAsia="Calibri" w:hAnsi="Arial" w:cs="Arial"/>
          <w:bCs/>
          <w:color w:val="000000"/>
          <w:lang w:val="es-ES_tradnl" w:eastAsia="es-ES_tradnl"/>
        </w:rPr>
      </w:pPr>
      <w:r w:rsidRPr="00431D13">
        <w:rPr>
          <w:rFonts w:ascii="Arial" w:eastAsia="Calibri" w:hAnsi="Arial" w:cs="Arial"/>
          <w:bCs/>
          <w:color w:val="000000"/>
          <w:lang w:val="es-ES_tradnl" w:eastAsia="es-ES_tradnl"/>
        </w:rPr>
        <w:t>Como se observa, con el Decreto 680 de 2021 se quiso fomentar la discrecionalidad administrativa de las entidades estatales para definir los bienes colombianos relevantes en cada procedimiento de selección. Sin embargo, el reglamento establece que dicha discrecionalidad se encuentra limitada por el principio de proporcionalidad</w:t>
      </w:r>
      <w:r w:rsidRPr="00431D13">
        <w:rPr>
          <w:rFonts w:ascii="Arial" w:eastAsia="Calibri" w:hAnsi="Arial" w:cs="Arial"/>
          <w:bCs/>
          <w:color w:val="000000"/>
          <w:vertAlign w:val="superscript"/>
          <w:lang w:val="es-ES_tradnl" w:eastAsia="es-ES_tradnl"/>
        </w:rPr>
        <w:footnoteReference w:id="8"/>
      </w:r>
      <w:r w:rsidRPr="00431D13">
        <w:rPr>
          <w:rFonts w:ascii="Arial" w:eastAsia="Calibri" w:hAnsi="Arial" w:cs="Arial"/>
          <w:bCs/>
          <w:color w:val="000000"/>
          <w:lang w:val="es-ES_tradnl" w:eastAsia="es-ES_tradnl"/>
        </w:rPr>
        <w:t xml:space="preserve">, que obliga a las autoridades a actuar de manera razonable, teniendo en cuenta la información obtenida en el estudio del sector. Además, se aclaró que en aquellos eventos en los cuales no existan bienes colombianos relevantes o no exista oferta nacional de los mismos en el Registro de Productores de Bienes Nacionales, el puntaje comprendido entre el diez (10) y el veinte por ciento (20%) se otorgará a los proveedores que se comprometan a vincular un porcentaje mínimo de empleados o contratistas de prestación de servicios colombianos. </w:t>
      </w:r>
    </w:p>
    <w:p w14:paraId="6E903413" w14:textId="77777777" w:rsidR="00431D13" w:rsidRPr="00431D13" w:rsidRDefault="00431D13" w:rsidP="00431D13">
      <w:pPr>
        <w:spacing w:before="120" w:after="0" w:line="276" w:lineRule="auto"/>
        <w:ind w:firstLine="709"/>
        <w:jc w:val="both"/>
        <w:rPr>
          <w:rFonts w:ascii="Arial" w:eastAsia="Arial" w:hAnsi="Arial" w:cs="Arial"/>
          <w:bCs/>
          <w:lang w:val="es-ES" w:eastAsia="es-ES" w:bidi="es-ES"/>
        </w:rPr>
      </w:pPr>
      <w:r w:rsidRPr="00431D13">
        <w:rPr>
          <w:rFonts w:ascii="Arial" w:eastAsia="Arial" w:hAnsi="Arial" w:cs="Arial"/>
          <w:bCs/>
          <w:lang w:val="es-ES" w:eastAsia="es-ES" w:bidi="es-ES"/>
        </w:rPr>
        <w:t>Con la finalidad de determinar la manera en que se deben cumplir tales exigencias en los procesos de contratación que lleven a cabo las entidades, ha de tenerse en cuenta la nueva regulación de la «regla de origen» contemplada en el Decreto 680 de 2021, el cual establece algunos cambios al respecto. En primer lugar, el artículo 1 del mencionado Decreto modifica parcialmente el artículo 2.2.1.1.1.3.1. 1082 de 2015, para definir los </w:t>
      </w:r>
      <w:r w:rsidRPr="00431D13">
        <w:rPr>
          <w:rFonts w:ascii="Arial" w:eastAsia="Arial" w:hAnsi="Arial" w:cs="Arial"/>
          <w:bCs/>
          <w:i/>
          <w:iCs/>
          <w:lang w:val="es-ES" w:eastAsia="es-ES" w:bidi="es-ES"/>
        </w:rPr>
        <w:t>servicios nacionales</w:t>
      </w:r>
      <w:r w:rsidRPr="00431D13">
        <w:rPr>
          <w:rFonts w:ascii="Arial" w:eastAsia="Arial" w:hAnsi="Arial" w:cs="Arial"/>
          <w:bCs/>
          <w:lang w:val="es-ES" w:eastAsia="es-ES" w:bidi="es-ES"/>
        </w:rPr>
        <w:t> en forma distinta, así:</w:t>
      </w:r>
      <w:r w:rsidRPr="00431D13">
        <w:rPr>
          <w:rFonts w:ascii="Arial" w:eastAsia="Arial" w:hAnsi="Arial" w:cs="Arial"/>
          <w:bCs/>
          <w:lang w:eastAsia="es-ES" w:bidi="es-ES"/>
        </w:rPr>
        <w:t> </w:t>
      </w:r>
    </w:p>
    <w:p w14:paraId="2D2A9E17" w14:textId="77777777" w:rsidR="00431D13" w:rsidRPr="00431D13" w:rsidRDefault="00431D13" w:rsidP="00431D13">
      <w:pPr>
        <w:spacing w:after="0" w:line="276" w:lineRule="auto"/>
        <w:jc w:val="both"/>
        <w:rPr>
          <w:rFonts w:ascii="Arial" w:eastAsia="Arial" w:hAnsi="Arial" w:cs="Arial"/>
          <w:bCs/>
          <w:lang w:eastAsia="es-ES" w:bidi="es-ES"/>
        </w:rPr>
      </w:pPr>
    </w:p>
    <w:p w14:paraId="25B82FA3" w14:textId="3C1B2596" w:rsidR="00431D13" w:rsidRPr="00431D13" w:rsidRDefault="00431D13" w:rsidP="008A01AD">
      <w:pPr>
        <w:spacing w:after="120" w:line="240" w:lineRule="auto"/>
        <w:ind w:left="709" w:right="618"/>
        <w:jc w:val="both"/>
        <w:rPr>
          <w:rFonts w:ascii="Arial" w:eastAsia="Arial" w:hAnsi="Arial" w:cs="Arial"/>
          <w:bCs/>
          <w:sz w:val="21"/>
          <w:szCs w:val="21"/>
          <w:lang w:eastAsia="es-ES" w:bidi="es-ES"/>
        </w:rPr>
      </w:pPr>
      <w:r w:rsidRPr="00431D13">
        <w:rPr>
          <w:rFonts w:ascii="Arial" w:eastAsia="Arial" w:hAnsi="Arial" w:cs="Arial"/>
          <w:bCs/>
          <w:sz w:val="21"/>
          <w:szCs w:val="21"/>
          <w:lang w:val="es-ES" w:eastAsia="es-ES" w:bidi="es-ES"/>
        </w:rPr>
        <w:t>«Servicios Nacionales.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r w:rsidRPr="00431D13">
        <w:rPr>
          <w:rFonts w:ascii="Arial" w:eastAsia="Arial" w:hAnsi="Arial" w:cs="Arial"/>
          <w:bCs/>
          <w:sz w:val="21"/>
          <w:szCs w:val="21"/>
          <w:lang w:eastAsia="es-ES" w:bidi="es-ES"/>
        </w:rPr>
        <w:t> </w:t>
      </w:r>
    </w:p>
    <w:p w14:paraId="2796723A" w14:textId="09D1A1C3" w:rsidR="00431D13" w:rsidRPr="00431D13" w:rsidRDefault="00431D13" w:rsidP="008A01AD">
      <w:pPr>
        <w:spacing w:after="120" w:line="240" w:lineRule="auto"/>
        <w:ind w:left="709" w:right="618"/>
        <w:jc w:val="both"/>
        <w:rPr>
          <w:rFonts w:ascii="Arial" w:eastAsia="Arial" w:hAnsi="Arial" w:cs="Arial"/>
          <w:bCs/>
          <w:sz w:val="21"/>
          <w:szCs w:val="21"/>
          <w:lang w:eastAsia="es-ES" w:bidi="es-ES"/>
        </w:rPr>
      </w:pPr>
      <w:r w:rsidRPr="00431D13">
        <w:rPr>
          <w:rFonts w:ascii="Arial" w:eastAsia="Arial" w:hAnsi="Arial" w:cs="Arial"/>
          <w:bCs/>
          <w:sz w:val="21"/>
          <w:szCs w:val="21"/>
          <w:lang w:val="es-ES" w:eastAsia="es-ES" w:bidi="es-ES"/>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r w:rsidRPr="00431D13">
        <w:rPr>
          <w:rFonts w:ascii="Arial" w:eastAsia="Arial" w:hAnsi="Arial" w:cs="Arial"/>
          <w:bCs/>
          <w:sz w:val="21"/>
          <w:szCs w:val="21"/>
          <w:lang w:eastAsia="es-ES" w:bidi="es-ES"/>
        </w:rPr>
        <w:t> </w:t>
      </w:r>
    </w:p>
    <w:p w14:paraId="51A8EE04" w14:textId="77777777" w:rsidR="00431D13" w:rsidRPr="00431D13" w:rsidRDefault="00431D13" w:rsidP="008A01AD">
      <w:pPr>
        <w:spacing w:after="0" w:line="240" w:lineRule="auto"/>
        <w:ind w:left="709" w:right="618"/>
        <w:jc w:val="both"/>
        <w:rPr>
          <w:rFonts w:ascii="Arial" w:eastAsia="Arial" w:hAnsi="Arial" w:cs="Arial"/>
          <w:bCs/>
          <w:sz w:val="21"/>
          <w:szCs w:val="21"/>
          <w:lang w:eastAsia="es-ES" w:bidi="es-ES"/>
        </w:rPr>
      </w:pPr>
      <w:r w:rsidRPr="00431D13">
        <w:rPr>
          <w:rFonts w:ascii="Arial" w:eastAsia="Arial" w:hAnsi="Arial" w:cs="Arial"/>
          <w:bCs/>
          <w:sz w:val="21"/>
          <w:szCs w:val="21"/>
          <w:lang w:val="es-ES" w:eastAsia="es-ES" w:bidi="es-ES"/>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r w:rsidRPr="00431D13">
        <w:rPr>
          <w:rFonts w:ascii="Arial" w:eastAsia="Arial" w:hAnsi="Arial" w:cs="Arial"/>
          <w:bCs/>
          <w:sz w:val="21"/>
          <w:szCs w:val="21"/>
          <w:lang w:eastAsia="es-ES" w:bidi="es-ES"/>
        </w:rPr>
        <w:t> </w:t>
      </w:r>
    </w:p>
    <w:p w14:paraId="58BFEC37" w14:textId="77777777" w:rsidR="00431D13" w:rsidRPr="00431D13" w:rsidRDefault="00431D13" w:rsidP="008A01AD">
      <w:pPr>
        <w:spacing w:after="0" w:line="276" w:lineRule="auto"/>
        <w:ind w:left="851" w:right="616"/>
        <w:jc w:val="both"/>
        <w:rPr>
          <w:rFonts w:ascii="Arial" w:eastAsia="Arial" w:hAnsi="Arial" w:cs="Arial"/>
          <w:bCs/>
          <w:sz w:val="21"/>
          <w:szCs w:val="21"/>
          <w:lang w:eastAsia="es-ES" w:bidi="es-ES"/>
        </w:rPr>
      </w:pPr>
    </w:p>
    <w:p w14:paraId="55D5CEE0" w14:textId="77777777" w:rsidR="00431D13" w:rsidRPr="00431D13" w:rsidRDefault="00431D13" w:rsidP="008A01AD">
      <w:pPr>
        <w:spacing w:after="0" w:line="276" w:lineRule="auto"/>
        <w:ind w:firstLine="709"/>
        <w:jc w:val="both"/>
        <w:rPr>
          <w:rFonts w:ascii="Arial" w:eastAsia="Arial" w:hAnsi="Arial" w:cs="Arial"/>
          <w:bCs/>
          <w:lang w:eastAsia="es-ES" w:bidi="es-ES"/>
        </w:rPr>
      </w:pPr>
      <w:r w:rsidRPr="00431D13">
        <w:rPr>
          <w:rFonts w:ascii="Arial" w:eastAsia="Arial" w:hAnsi="Arial" w:cs="Arial"/>
          <w:bCs/>
          <w:lang w:val="es-ES" w:eastAsia="es-ES" w:bidi="es-ES"/>
        </w:rPr>
        <w:t>En segundo lugar, el Decreto 680 de 2021 consagra, en el artículo 2, la metodología con fundamento en la cual la entidad pública contratante debe definir los </w:t>
      </w:r>
      <w:r w:rsidRPr="00431D13">
        <w:rPr>
          <w:rFonts w:ascii="Arial" w:eastAsia="Arial" w:hAnsi="Arial" w:cs="Arial"/>
          <w:bCs/>
          <w:i/>
          <w:iCs/>
          <w:lang w:val="es-ES" w:eastAsia="es-ES" w:bidi="es-ES"/>
        </w:rPr>
        <w:t>bienes colombianos relevantes</w:t>
      </w:r>
      <w:r w:rsidRPr="00431D13">
        <w:rPr>
          <w:rFonts w:ascii="Arial" w:eastAsia="Arial" w:hAnsi="Arial" w:cs="Arial"/>
          <w:bCs/>
          <w:lang w:val="es-ES" w:eastAsia="es-ES" w:bidi="es-ES"/>
        </w:rPr>
        <w:t> en cada proceso de contratación y otorgar el puntaje de que trata el inciso primero del artículo 2 de la Ley 816 de 2003. En efecto, el artículo 2 del Decreto en comento, dispone: </w:t>
      </w:r>
      <w:r w:rsidRPr="00431D13">
        <w:rPr>
          <w:rFonts w:ascii="Arial" w:eastAsia="Arial" w:hAnsi="Arial" w:cs="Arial"/>
          <w:bCs/>
          <w:lang w:eastAsia="es-ES" w:bidi="es-ES"/>
        </w:rPr>
        <w:t> </w:t>
      </w:r>
    </w:p>
    <w:p w14:paraId="066E3980" w14:textId="77777777" w:rsidR="00431D13" w:rsidRPr="00431D13" w:rsidRDefault="00431D13" w:rsidP="00431D13">
      <w:pPr>
        <w:spacing w:after="0" w:line="276" w:lineRule="auto"/>
        <w:ind w:firstLine="709"/>
        <w:jc w:val="both"/>
        <w:rPr>
          <w:rFonts w:ascii="Arial" w:eastAsia="Arial" w:hAnsi="Arial" w:cs="Arial"/>
          <w:bCs/>
          <w:lang w:eastAsia="es-ES" w:bidi="es-ES"/>
        </w:rPr>
      </w:pPr>
    </w:p>
    <w:p w14:paraId="4DA099F9" w14:textId="77777777" w:rsidR="00431D13" w:rsidRPr="00431D13" w:rsidRDefault="00431D13" w:rsidP="002F5561">
      <w:pPr>
        <w:spacing w:after="120" w:line="240" w:lineRule="auto"/>
        <w:ind w:left="709" w:right="567"/>
        <w:jc w:val="both"/>
        <w:rPr>
          <w:rFonts w:ascii="Arial" w:eastAsia="Arial" w:hAnsi="Arial" w:cs="Arial"/>
          <w:bCs/>
          <w:sz w:val="21"/>
          <w:szCs w:val="21"/>
          <w:lang w:eastAsia="es-ES" w:bidi="es-ES"/>
        </w:rPr>
      </w:pPr>
      <w:r w:rsidRPr="00431D13">
        <w:rPr>
          <w:rFonts w:ascii="Arial" w:eastAsia="Arial" w:hAnsi="Arial" w:cs="Arial"/>
          <w:bCs/>
          <w:sz w:val="21"/>
          <w:szCs w:val="21"/>
          <w:lang w:val="es-ES" w:eastAsia="es-ES" w:bidi="es-ES"/>
        </w:rPr>
        <w:t>Adiciónese el artículo 2.2.1.2.4.2.9. a la Subsección 2 de la Sección 4 del Capítulo 2 del Título 1 de la Parte 2 del Libro 2 del Decreto 1082 de 2015, Único Reglamentario del Sector Administrativo de Planeación Nacional, cuyo texto será el siguiente:</w:t>
      </w:r>
      <w:r w:rsidRPr="00431D13">
        <w:rPr>
          <w:rFonts w:ascii="Arial" w:eastAsia="Arial" w:hAnsi="Arial" w:cs="Arial"/>
          <w:bCs/>
          <w:sz w:val="21"/>
          <w:szCs w:val="21"/>
          <w:lang w:eastAsia="es-ES" w:bidi="es-ES"/>
        </w:rPr>
        <w:t> </w:t>
      </w:r>
    </w:p>
    <w:p w14:paraId="19E834CB" w14:textId="36862C16" w:rsidR="00431D13" w:rsidRPr="00431D13" w:rsidRDefault="00431D13" w:rsidP="002F5561">
      <w:pPr>
        <w:spacing w:after="120" w:line="240" w:lineRule="auto"/>
        <w:ind w:left="709" w:right="567"/>
        <w:jc w:val="both"/>
        <w:rPr>
          <w:rFonts w:ascii="Arial" w:eastAsia="Arial" w:hAnsi="Arial" w:cs="Arial"/>
          <w:bCs/>
          <w:sz w:val="21"/>
          <w:szCs w:val="21"/>
          <w:lang w:eastAsia="es-ES" w:bidi="es-ES"/>
        </w:rPr>
      </w:pPr>
      <w:r w:rsidRPr="00431D13">
        <w:rPr>
          <w:rFonts w:ascii="Arial" w:eastAsia="Arial" w:hAnsi="Arial" w:cs="Arial"/>
          <w:bCs/>
          <w:sz w:val="21"/>
          <w:szCs w:val="21"/>
          <w:lang w:val="es-ES" w:eastAsia="es-ES" w:bidi="es-ES"/>
        </w:rPr>
        <w:t>«ARTÍCULO 2.2.1.2.4.2.9. Puntaje para la promoción de la industria nacional en los Procesos de Contratación de servicios. La Entidad Estatal en los Procesos de Contratación de servicios, otorgará el puntaje de que trata el inciso primero del artículo 2 de la Ley 816 de 2003 al proponente que oferte Servicios Nacionales o servicios extranjeros con trato nacional de acuerdo con la regla de origen aplicable.</w:t>
      </w:r>
      <w:r w:rsidRPr="00431D13">
        <w:rPr>
          <w:rFonts w:ascii="Arial" w:eastAsia="Arial" w:hAnsi="Arial" w:cs="Arial"/>
          <w:bCs/>
          <w:sz w:val="21"/>
          <w:szCs w:val="21"/>
          <w:lang w:eastAsia="es-ES" w:bidi="es-ES"/>
        </w:rPr>
        <w:t> </w:t>
      </w:r>
    </w:p>
    <w:p w14:paraId="728FCD8E" w14:textId="512507E0" w:rsidR="00431D13" w:rsidRPr="00431D13" w:rsidRDefault="00431D13" w:rsidP="002F5561">
      <w:pPr>
        <w:spacing w:after="120" w:line="240" w:lineRule="auto"/>
        <w:ind w:left="709" w:right="567"/>
        <w:jc w:val="both"/>
        <w:rPr>
          <w:rFonts w:ascii="Arial" w:eastAsia="Arial" w:hAnsi="Arial" w:cs="Arial"/>
          <w:bCs/>
          <w:sz w:val="21"/>
          <w:szCs w:val="21"/>
          <w:lang w:eastAsia="es-ES" w:bidi="es-ES"/>
        </w:rPr>
      </w:pPr>
      <w:r w:rsidRPr="00431D13">
        <w:rPr>
          <w:rFonts w:ascii="Arial" w:eastAsia="Arial" w:hAnsi="Arial" w:cs="Arial"/>
          <w:bCs/>
          <w:sz w:val="21"/>
          <w:szCs w:val="21"/>
          <w:lang w:val="es-ES" w:eastAsia="es-ES" w:bidi="es-ES"/>
        </w:rPr>
        <w:t>En los contratos que deban cumplirse en Colombia, la Entidad Estatal definirá de manera razonable y proporcionada los bienes colombianos relevantes teniendo en cuenta:</w:t>
      </w:r>
      <w:r w:rsidRPr="00431D13">
        <w:rPr>
          <w:rFonts w:ascii="Arial" w:eastAsia="Arial" w:hAnsi="Arial" w:cs="Arial"/>
          <w:bCs/>
          <w:sz w:val="21"/>
          <w:szCs w:val="21"/>
          <w:lang w:eastAsia="es-ES" w:bidi="es-ES"/>
        </w:rPr>
        <w:t> </w:t>
      </w:r>
    </w:p>
    <w:p w14:paraId="1E4FCCC9" w14:textId="106269EB" w:rsidR="00431D13" w:rsidRPr="00431D13" w:rsidRDefault="00431D13" w:rsidP="002F5561">
      <w:pPr>
        <w:spacing w:after="120" w:line="240" w:lineRule="auto"/>
        <w:ind w:left="709" w:right="567"/>
        <w:jc w:val="both"/>
        <w:rPr>
          <w:rFonts w:ascii="Arial" w:eastAsia="Arial" w:hAnsi="Arial" w:cs="Arial"/>
          <w:bCs/>
          <w:sz w:val="21"/>
          <w:szCs w:val="21"/>
          <w:lang w:eastAsia="es-ES" w:bidi="es-ES"/>
        </w:rPr>
      </w:pPr>
      <w:r w:rsidRPr="00431D13">
        <w:rPr>
          <w:rFonts w:ascii="Arial" w:eastAsia="Arial" w:hAnsi="Arial" w:cs="Arial"/>
          <w:bCs/>
          <w:sz w:val="21"/>
          <w:szCs w:val="21"/>
          <w:lang w:val="es-ES" w:eastAsia="es-ES" w:bidi="es-ES"/>
        </w:rPr>
        <w:t>1. El análisis del sector económico y de los oferentes, y, toda aquella información adicional con la que cuente la Entidad Estatal en la etapa de planeación del Proceso de Contratación;</w:t>
      </w:r>
      <w:r w:rsidRPr="00431D13">
        <w:rPr>
          <w:rFonts w:ascii="Arial" w:eastAsia="Arial" w:hAnsi="Arial" w:cs="Arial"/>
          <w:bCs/>
          <w:sz w:val="21"/>
          <w:szCs w:val="21"/>
          <w:lang w:eastAsia="es-ES" w:bidi="es-ES"/>
        </w:rPr>
        <w:t> </w:t>
      </w:r>
    </w:p>
    <w:p w14:paraId="426D49A8" w14:textId="1AD8915E" w:rsidR="00431D13" w:rsidRPr="00431D13" w:rsidRDefault="00431D13" w:rsidP="002F5561">
      <w:pPr>
        <w:spacing w:after="120" w:line="240" w:lineRule="auto"/>
        <w:ind w:left="709" w:right="567"/>
        <w:jc w:val="both"/>
        <w:rPr>
          <w:rFonts w:ascii="Arial" w:eastAsia="Arial" w:hAnsi="Arial" w:cs="Arial"/>
          <w:bCs/>
          <w:sz w:val="21"/>
          <w:szCs w:val="21"/>
          <w:lang w:eastAsia="es-ES" w:bidi="es-ES"/>
        </w:rPr>
      </w:pPr>
      <w:r w:rsidRPr="00431D13">
        <w:rPr>
          <w:rFonts w:ascii="Arial" w:eastAsia="Arial" w:hAnsi="Arial" w:cs="Arial"/>
          <w:bCs/>
          <w:sz w:val="21"/>
          <w:szCs w:val="21"/>
          <w:lang w:val="es-ES" w:eastAsia="es-ES" w:bidi="es-ES"/>
        </w:rPr>
        <w:t>2. El porcentaje de participación de los bienes en el presupuesto del Proceso de Contratación; y</w:t>
      </w:r>
      <w:r w:rsidRPr="00431D13">
        <w:rPr>
          <w:rFonts w:ascii="Arial" w:eastAsia="Arial" w:hAnsi="Arial" w:cs="Arial"/>
          <w:bCs/>
          <w:sz w:val="21"/>
          <w:szCs w:val="21"/>
          <w:lang w:eastAsia="es-ES" w:bidi="es-ES"/>
        </w:rPr>
        <w:t> </w:t>
      </w:r>
    </w:p>
    <w:p w14:paraId="6C5067C4" w14:textId="3C1CB099" w:rsidR="00431D13" w:rsidRPr="00431D13" w:rsidRDefault="00431D13" w:rsidP="002F5561">
      <w:pPr>
        <w:spacing w:after="120" w:line="240" w:lineRule="auto"/>
        <w:ind w:left="709" w:right="567"/>
        <w:jc w:val="both"/>
        <w:rPr>
          <w:rFonts w:ascii="Arial" w:eastAsia="Arial" w:hAnsi="Arial" w:cs="Arial"/>
          <w:bCs/>
          <w:sz w:val="21"/>
          <w:szCs w:val="21"/>
          <w:lang w:eastAsia="es-ES" w:bidi="es-ES"/>
        </w:rPr>
      </w:pPr>
      <w:r w:rsidRPr="00431D13">
        <w:rPr>
          <w:rFonts w:ascii="Arial" w:eastAsia="Arial" w:hAnsi="Arial" w:cs="Arial"/>
          <w:bCs/>
          <w:sz w:val="21"/>
          <w:szCs w:val="21"/>
          <w:lang w:val="es-ES" w:eastAsia="es-ES" w:bidi="es-ES"/>
        </w:rPr>
        <w:lastRenderedPageBreak/>
        <w:t>3. La existencia de los bienes en el Registro de Productores de Bienes Nacionales, en los términos del Decreto 2680 de 2009 o las normas que lo modifiquen, aclaren, adicionen o sustituyan.</w:t>
      </w:r>
      <w:r w:rsidRPr="00431D13">
        <w:rPr>
          <w:rFonts w:ascii="Arial" w:eastAsia="Arial" w:hAnsi="Arial" w:cs="Arial"/>
          <w:bCs/>
          <w:sz w:val="21"/>
          <w:szCs w:val="21"/>
          <w:lang w:eastAsia="es-ES" w:bidi="es-ES"/>
        </w:rPr>
        <w:t> </w:t>
      </w:r>
    </w:p>
    <w:p w14:paraId="00966E43" w14:textId="0B035C79" w:rsidR="00431D13" w:rsidRPr="00431D13" w:rsidRDefault="00431D13" w:rsidP="002F5561">
      <w:pPr>
        <w:spacing w:after="120" w:line="240" w:lineRule="auto"/>
        <w:ind w:left="709" w:right="567"/>
        <w:jc w:val="both"/>
        <w:rPr>
          <w:rFonts w:ascii="Arial" w:eastAsia="Arial" w:hAnsi="Arial" w:cs="Arial"/>
          <w:bCs/>
          <w:sz w:val="21"/>
          <w:szCs w:val="21"/>
          <w:lang w:eastAsia="es-ES" w:bidi="es-ES"/>
        </w:rPr>
      </w:pPr>
      <w:r w:rsidRPr="00431D13">
        <w:rPr>
          <w:rFonts w:ascii="Arial" w:eastAsia="Arial" w:hAnsi="Arial" w:cs="Arial"/>
          <w:bCs/>
          <w:sz w:val="21"/>
          <w:szCs w:val="21"/>
          <w:lang w:val="es-ES" w:eastAsia="es-ES" w:bidi="es-ES"/>
        </w:rPr>
        <w:t>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r w:rsidRPr="00431D13">
        <w:rPr>
          <w:rFonts w:ascii="Arial" w:eastAsia="Arial" w:hAnsi="Arial" w:cs="Arial"/>
          <w:bCs/>
          <w:sz w:val="21"/>
          <w:szCs w:val="21"/>
          <w:lang w:eastAsia="es-ES" w:bidi="es-ES"/>
        </w:rPr>
        <w:t> </w:t>
      </w:r>
    </w:p>
    <w:p w14:paraId="67F4DFEF" w14:textId="77777777" w:rsidR="00431D13" w:rsidRPr="00431D13" w:rsidRDefault="00431D13" w:rsidP="002F5561">
      <w:pPr>
        <w:spacing w:after="0" w:line="240" w:lineRule="auto"/>
        <w:ind w:left="709" w:right="567"/>
        <w:jc w:val="both"/>
        <w:rPr>
          <w:rFonts w:ascii="Arial" w:eastAsia="Arial" w:hAnsi="Arial" w:cs="Arial"/>
          <w:bCs/>
          <w:sz w:val="21"/>
          <w:szCs w:val="21"/>
          <w:lang w:eastAsia="es-ES" w:bidi="es-ES"/>
        </w:rPr>
      </w:pPr>
      <w:r w:rsidRPr="00431D13">
        <w:rPr>
          <w:rFonts w:ascii="Arial" w:eastAsia="Arial" w:hAnsi="Arial" w:cs="Arial"/>
          <w:bCs/>
          <w:sz w:val="21"/>
          <w:szCs w:val="21"/>
          <w:lang w:val="es-ES" w:eastAsia="es-ES" w:bidi="es-ES"/>
        </w:rPr>
        <w:t>La Entidad Estatal documentará este análisis y dejará constancia en los Documentos del Proceso».</w:t>
      </w:r>
      <w:r w:rsidRPr="00431D13">
        <w:rPr>
          <w:rFonts w:ascii="Arial" w:eastAsia="Arial" w:hAnsi="Arial" w:cs="Arial"/>
          <w:bCs/>
          <w:sz w:val="21"/>
          <w:szCs w:val="21"/>
          <w:lang w:eastAsia="es-ES" w:bidi="es-ES"/>
        </w:rPr>
        <w:t> </w:t>
      </w:r>
    </w:p>
    <w:p w14:paraId="383FD484" w14:textId="77777777" w:rsidR="00431D13" w:rsidRPr="00431D13" w:rsidRDefault="00431D13" w:rsidP="002F5561">
      <w:pPr>
        <w:spacing w:after="0" w:line="240" w:lineRule="auto"/>
        <w:ind w:left="709" w:right="567"/>
        <w:jc w:val="both"/>
        <w:rPr>
          <w:rFonts w:ascii="Arial" w:eastAsia="Arial" w:hAnsi="Arial" w:cs="Arial"/>
          <w:bCs/>
          <w:sz w:val="21"/>
          <w:szCs w:val="21"/>
          <w:lang w:eastAsia="es-ES" w:bidi="es-ES"/>
        </w:rPr>
      </w:pPr>
    </w:p>
    <w:p w14:paraId="03C89157" w14:textId="247C4EF2" w:rsidR="00431D13" w:rsidRPr="00431D13" w:rsidRDefault="00431D13" w:rsidP="00856D76">
      <w:pPr>
        <w:tabs>
          <w:tab w:val="left" w:pos="0"/>
        </w:tabs>
        <w:spacing w:after="120" w:line="276" w:lineRule="auto"/>
        <w:ind w:firstLine="709"/>
        <w:jc w:val="both"/>
        <w:rPr>
          <w:rFonts w:ascii="Arial" w:eastAsia="Calibri" w:hAnsi="Arial" w:cs="Arial"/>
          <w:bCs/>
          <w:color w:val="000000"/>
          <w:szCs w:val="24"/>
          <w:lang w:val="es-ES_tradnl" w:eastAsia="es-ES_tradnl"/>
        </w:rPr>
      </w:pPr>
      <w:r w:rsidRPr="00431D13">
        <w:rPr>
          <w:rFonts w:ascii="Arial" w:eastAsia="Calibri" w:hAnsi="Arial" w:cs="Arial"/>
          <w:bCs/>
          <w:color w:val="000000"/>
          <w:szCs w:val="24"/>
          <w:lang w:val="es-ES_tradnl" w:eastAsia="es-ES_tradnl"/>
        </w:rPr>
        <w:t xml:space="preserve">En consecuencia, si el contrato debe cumplirse en Colombia, la entidad estatal debe definir los </w:t>
      </w:r>
      <w:r w:rsidRPr="00431D13">
        <w:rPr>
          <w:rFonts w:ascii="Arial" w:eastAsia="Calibri" w:hAnsi="Arial" w:cs="Arial"/>
          <w:bCs/>
          <w:i/>
          <w:iCs/>
          <w:color w:val="000000"/>
          <w:szCs w:val="24"/>
          <w:lang w:val="es-ES_tradnl" w:eastAsia="es-ES_tradnl"/>
        </w:rPr>
        <w:t>bienes nacionales relevantes</w:t>
      </w:r>
      <w:r w:rsidRPr="00431D13">
        <w:rPr>
          <w:rFonts w:ascii="Arial" w:eastAsia="Calibri" w:hAnsi="Arial" w:cs="Arial"/>
          <w:bCs/>
          <w:color w:val="000000"/>
          <w:szCs w:val="24"/>
          <w:lang w:val="es-ES_tradnl" w:eastAsia="es-ES_tradnl"/>
        </w:rPr>
        <w:t>,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no es necesario que se usen bienes colombianos o personal también colombiano, para que el servicio sea nacional, sino que basta con que sea prestado «por una persona natural colombiana o por un residente en Colombia, por una persona jurídica constituida de conformidad con la legislación colombiana o un proponente plural conformado por estos», en los términos del artículo 1 del Decreto 680 de 2021.</w:t>
      </w:r>
    </w:p>
    <w:p w14:paraId="407C71B9" w14:textId="4FED6DAF" w:rsidR="00431D13" w:rsidRDefault="00431D13" w:rsidP="00856D76">
      <w:pPr>
        <w:spacing w:after="0" w:line="276" w:lineRule="auto"/>
        <w:ind w:firstLine="709"/>
        <w:jc w:val="both"/>
        <w:rPr>
          <w:rFonts w:ascii="Arial" w:eastAsia="Arial" w:hAnsi="Arial" w:cs="Arial"/>
          <w:bCs/>
          <w:lang w:val="es-ES" w:eastAsia="es-ES" w:bidi="es-ES"/>
        </w:rPr>
      </w:pPr>
      <w:r w:rsidRPr="00431D13">
        <w:rPr>
          <w:rFonts w:ascii="Arial" w:eastAsia="Arial" w:hAnsi="Arial" w:cs="Arial"/>
          <w:bCs/>
          <w:lang w:val="es-ES" w:eastAsia="es-ES" w:bidi="es-ES"/>
        </w:rPr>
        <w:t>Para definir los bienes nacionales relevantes las entidades deben tener en cuenta los tres criterios previstos en el artículo 2 del Decreto 680 de 2021, es decir: i) «El análisis del sector económico y de los oferentes, y, toda aquella información adicional con la que cuente la Entidad Estatal en la etapa de planeación del Proceso de Contratación», ii) «El porcentaje de participación de los bienes en el presupuesto del Proceso de Contratación» y iii) «La existencia de los bienes en el Registro de Productores de Bienes Nacionales, en los términos del Decreto 2680 de 2009 o las normas que lo modifiquen, aclaren, adicionen o sustituyan». </w:t>
      </w:r>
    </w:p>
    <w:p w14:paraId="25B8C162" w14:textId="77777777" w:rsidR="00DE4F4E" w:rsidRDefault="00DE4F4E" w:rsidP="00856D76">
      <w:pPr>
        <w:widowControl w:val="0"/>
        <w:autoSpaceDE w:val="0"/>
        <w:autoSpaceDN w:val="0"/>
        <w:spacing w:after="0" w:line="276" w:lineRule="auto"/>
        <w:jc w:val="both"/>
        <w:rPr>
          <w:rFonts w:ascii="Arial" w:eastAsia="Arial" w:hAnsi="Arial" w:cs="Arial"/>
          <w:bCs/>
          <w:lang w:val="es-ES" w:eastAsia="es-ES" w:bidi="es-ES"/>
        </w:rPr>
      </w:pPr>
    </w:p>
    <w:p w14:paraId="31DC40E9" w14:textId="524DD1D2" w:rsidR="000207D3" w:rsidRPr="002204D9" w:rsidRDefault="00DE4F4E" w:rsidP="00856D76">
      <w:pPr>
        <w:widowControl w:val="0"/>
        <w:autoSpaceDE w:val="0"/>
        <w:autoSpaceDN w:val="0"/>
        <w:spacing w:after="0" w:line="240" w:lineRule="auto"/>
        <w:jc w:val="both"/>
        <w:rPr>
          <w:rFonts w:ascii="Arial" w:eastAsia="Arial" w:hAnsi="Arial" w:cs="Arial"/>
          <w:b/>
          <w:lang w:eastAsia="es-ES" w:bidi="es-ES"/>
        </w:rPr>
      </w:pPr>
      <w:r w:rsidRPr="00DE4F4E">
        <w:rPr>
          <w:rFonts w:ascii="Arial" w:eastAsia="Arial" w:hAnsi="Arial" w:cs="Arial"/>
          <w:b/>
          <w:lang w:val="es-ES" w:eastAsia="es-ES" w:bidi="es-ES"/>
        </w:rPr>
        <w:t>2.4</w:t>
      </w:r>
      <w:r w:rsidR="00DA1582">
        <w:rPr>
          <w:rFonts w:ascii="Arial" w:eastAsia="Calibri" w:hAnsi="Arial" w:cs="Arial"/>
          <w:b/>
          <w:color w:val="000000" w:themeColor="text1"/>
          <w:lang w:val="es-ES_tradnl"/>
        </w:rPr>
        <w:t xml:space="preserve"> </w:t>
      </w:r>
      <w:r w:rsidR="00DA387C" w:rsidRPr="00E33C3E">
        <w:rPr>
          <w:rFonts w:ascii="Arial" w:eastAsia="Calibri" w:hAnsi="Arial" w:cs="Arial"/>
          <w:b/>
          <w:color w:val="000000" w:themeColor="text1"/>
          <w:lang w:val="es-ES_tradnl"/>
        </w:rPr>
        <w:t xml:space="preserve">Regulación del puntaje por apoyo a la industria nacional en procesos adelantados con </w:t>
      </w:r>
      <w:r w:rsidR="00DA1582">
        <w:rPr>
          <w:rFonts w:ascii="Arial" w:eastAsia="Calibri" w:hAnsi="Arial" w:cs="Arial"/>
          <w:b/>
          <w:color w:val="000000" w:themeColor="text1"/>
          <w:lang w:val="es-ES_tradnl"/>
        </w:rPr>
        <w:t xml:space="preserve">los </w:t>
      </w:r>
      <w:r w:rsidR="00DA387C" w:rsidRPr="00E33C3E">
        <w:rPr>
          <w:rFonts w:ascii="Arial" w:eastAsia="Calibri" w:hAnsi="Arial" w:cs="Arial"/>
          <w:b/>
          <w:color w:val="000000" w:themeColor="text1"/>
          <w:lang w:val="es-ES_tradnl"/>
        </w:rPr>
        <w:t xml:space="preserve">documentos tipo </w:t>
      </w:r>
      <w:r w:rsidR="00DA1582">
        <w:rPr>
          <w:rFonts w:ascii="Arial" w:eastAsia="Calibri" w:hAnsi="Arial" w:cs="Arial"/>
          <w:b/>
          <w:color w:val="000000" w:themeColor="text1"/>
          <w:lang w:val="es-ES_tradnl"/>
        </w:rPr>
        <w:t xml:space="preserve">de licitación de obra pública de infraestructura de transporte – Versión 3, </w:t>
      </w:r>
      <w:r w:rsidR="00DA387C" w:rsidRPr="00E33C3E">
        <w:rPr>
          <w:rFonts w:ascii="Arial" w:eastAsia="Calibri" w:hAnsi="Arial" w:cs="Arial"/>
          <w:b/>
          <w:color w:val="000000" w:themeColor="text1"/>
          <w:lang w:val="es-ES_tradnl"/>
        </w:rPr>
        <w:t>tras la expedición del Decreto 680 de 2021</w:t>
      </w:r>
    </w:p>
    <w:p w14:paraId="13201C8A" w14:textId="77777777" w:rsidR="000207D3" w:rsidRPr="00431D13" w:rsidRDefault="000207D3" w:rsidP="000207D3">
      <w:pPr>
        <w:spacing w:after="0" w:line="276" w:lineRule="auto"/>
        <w:jc w:val="both"/>
        <w:rPr>
          <w:rFonts w:ascii="Arial" w:eastAsia="Arial" w:hAnsi="Arial" w:cs="Arial"/>
          <w:bCs/>
          <w:lang w:eastAsia="es-ES" w:bidi="es-ES"/>
        </w:rPr>
      </w:pPr>
    </w:p>
    <w:p w14:paraId="1DEE2527" w14:textId="512CE5F2" w:rsidR="002A3227" w:rsidRDefault="00DA1582" w:rsidP="000207D3">
      <w:pPr>
        <w:spacing w:after="0" w:line="276" w:lineRule="auto"/>
        <w:jc w:val="both"/>
        <w:rPr>
          <w:rFonts w:ascii="Arial" w:eastAsia="Calibri" w:hAnsi="Arial" w:cs="Arial"/>
          <w:bCs/>
          <w:color w:val="000000" w:themeColor="text1"/>
          <w:lang w:val="es-ES_tradnl"/>
        </w:rPr>
      </w:pPr>
      <w:r>
        <w:rPr>
          <w:rFonts w:ascii="Arial" w:eastAsia="Arial" w:hAnsi="Arial" w:cs="Arial"/>
          <w:lang w:val="es-ES" w:eastAsia="es-ES" w:bidi="es-ES"/>
        </w:rPr>
        <w:t xml:space="preserve">Con </w:t>
      </w:r>
      <w:r w:rsidR="002F1C6C">
        <w:rPr>
          <w:rFonts w:ascii="Arial" w:eastAsia="Calibri" w:hAnsi="Arial" w:cs="Arial"/>
          <w:bCs/>
          <w:color w:val="000000" w:themeColor="text1"/>
          <w:lang w:val="es-ES_tradnl"/>
        </w:rPr>
        <w:t>l</w:t>
      </w:r>
      <w:r w:rsidR="002A3227">
        <w:rPr>
          <w:rFonts w:ascii="Arial" w:eastAsia="Calibri" w:hAnsi="Arial" w:cs="Arial"/>
          <w:bCs/>
          <w:color w:val="000000" w:themeColor="text1"/>
          <w:lang w:val="es-ES_tradnl"/>
        </w:rPr>
        <w:t xml:space="preserve">a </w:t>
      </w:r>
      <w:proofErr w:type="gramStart"/>
      <w:r w:rsidR="002A3227">
        <w:rPr>
          <w:rFonts w:ascii="Arial" w:eastAsia="Calibri" w:hAnsi="Arial" w:cs="Arial"/>
          <w:bCs/>
          <w:color w:val="000000" w:themeColor="text1"/>
          <w:lang w:val="es-ES_tradnl"/>
        </w:rPr>
        <w:t>entrada en vigencia</w:t>
      </w:r>
      <w:proofErr w:type="gramEnd"/>
      <w:r w:rsidR="002A3227">
        <w:rPr>
          <w:rFonts w:ascii="Arial" w:eastAsia="Calibri" w:hAnsi="Arial" w:cs="Arial"/>
          <w:bCs/>
          <w:color w:val="000000" w:themeColor="text1"/>
          <w:lang w:val="es-ES_tradnl"/>
        </w:rPr>
        <w:t xml:space="preserve"> del Decreto 680 de 2021, al modificar la noción de </w:t>
      </w:r>
      <w:r w:rsidR="002A3227" w:rsidRPr="00E33C3E">
        <w:rPr>
          <w:rFonts w:ascii="Arial" w:eastAsia="Calibri" w:hAnsi="Arial" w:cs="Arial"/>
          <w:bCs/>
          <w:i/>
          <w:iCs/>
          <w:color w:val="000000" w:themeColor="text1"/>
          <w:lang w:val="es-ES_tradnl"/>
        </w:rPr>
        <w:t>Servicios Nacionales</w:t>
      </w:r>
      <w:r w:rsidR="002A3227">
        <w:rPr>
          <w:rFonts w:ascii="Arial" w:eastAsia="Calibri" w:hAnsi="Arial" w:cs="Arial"/>
          <w:bCs/>
          <w:i/>
          <w:iCs/>
          <w:color w:val="000000" w:themeColor="text1"/>
          <w:lang w:val="es-ES_tradnl"/>
        </w:rPr>
        <w:t xml:space="preserve"> </w:t>
      </w:r>
      <w:r w:rsidR="002A3227" w:rsidRPr="00E33C3E">
        <w:rPr>
          <w:rFonts w:ascii="Arial" w:eastAsia="Calibri" w:hAnsi="Arial" w:cs="Arial"/>
          <w:bCs/>
          <w:color w:val="000000" w:themeColor="text1"/>
          <w:lang w:val="es-ES_tradnl"/>
        </w:rPr>
        <w:t>contenida</w:t>
      </w:r>
      <w:r w:rsidR="002A3227">
        <w:rPr>
          <w:rFonts w:ascii="Arial" w:eastAsia="Calibri" w:hAnsi="Arial" w:cs="Arial"/>
          <w:bCs/>
          <w:color w:val="000000" w:themeColor="text1"/>
          <w:lang w:val="es-ES_tradnl"/>
        </w:rPr>
        <w:t xml:space="preserve"> en el Decreto 1082 de 2015, </w:t>
      </w:r>
      <w:r w:rsidR="00A673E1">
        <w:rPr>
          <w:rFonts w:ascii="Arial" w:eastAsia="Calibri" w:hAnsi="Arial" w:cs="Arial"/>
          <w:bCs/>
          <w:color w:val="000000" w:themeColor="text1"/>
          <w:lang w:val="es-ES_tradnl"/>
        </w:rPr>
        <w:t xml:space="preserve">se </w:t>
      </w:r>
      <w:r w:rsidR="002A3227">
        <w:rPr>
          <w:rFonts w:ascii="Arial" w:eastAsia="Calibri" w:hAnsi="Arial" w:cs="Arial"/>
          <w:bCs/>
          <w:color w:val="000000" w:themeColor="text1"/>
          <w:lang w:val="es-ES_tradnl"/>
        </w:rPr>
        <w:t xml:space="preserve">generó la necesidad de adecuar los documentos tipo expedidos por la Agencia Nacional de Contratación Pública – Colombia Compra Eficiente en ejercicio de las potestades conferidas por la Ley 2022 de 2020. Esto comoquiera que en los documentos vigentes antes de dicho Decreto el puntaje por apoyo a la industria nacional y la verificación de la procedencia del trato nacional se encontraban desarrolladas conforme con la antigua concepción de servicio nacional, por lo que para acceder al máximo puntaje bastaba con acreditar ser una persona natural colombiana o una persona jurídica constituida de acuerdo con la ley colombiana. Debido a esto, el </w:t>
      </w:r>
      <w:r w:rsidR="002A3227">
        <w:rPr>
          <w:rFonts w:ascii="Arial" w:eastAsia="Calibri" w:hAnsi="Arial" w:cs="Arial"/>
          <w:bCs/>
          <w:color w:val="000000" w:themeColor="text1"/>
          <w:lang w:val="es-ES_tradnl"/>
        </w:rPr>
        <w:lastRenderedPageBreak/>
        <w:t xml:space="preserve">parágrafo 2 del artículo 3 de tal </w:t>
      </w:r>
      <w:r w:rsidR="00A673E1">
        <w:rPr>
          <w:rFonts w:ascii="Arial" w:eastAsia="Calibri" w:hAnsi="Arial" w:cs="Arial"/>
          <w:bCs/>
          <w:color w:val="000000" w:themeColor="text1"/>
          <w:lang w:val="es-ES_tradnl"/>
        </w:rPr>
        <w:t>D</w:t>
      </w:r>
      <w:r w:rsidR="002A3227">
        <w:rPr>
          <w:rFonts w:ascii="Arial" w:eastAsia="Calibri" w:hAnsi="Arial" w:cs="Arial"/>
          <w:bCs/>
          <w:color w:val="000000" w:themeColor="text1"/>
          <w:lang w:val="es-ES_tradnl"/>
        </w:rPr>
        <w:t xml:space="preserve">ecreto contempló un plazo de tres meses para que esta Agencia realizara la adecuación de los documentos tipo. </w:t>
      </w:r>
    </w:p>
    <w:p w14:paraId="54140C61" w14:textId="0E148E73" w:rsidR="002A3227" w:rsidRDefault="002A3227" w:rsidP="002204D9">
      <w:pPr>
        <w:widowControl w:val="0"/>
        <w:autoSpaceDE w:val="0"/>
        <w:autoSpaceDN w:val="0"/>
        <w:spacing w:before="120" w:after="120" w:line="276" w:lineRule="auto"/>
        <w:ind w:firstLine="709"/>
        <w:jc w:val="both"/>
        <w:rPr>
          <w:rFonts w:ascii="Arial" w:eastAsia="Calibri" w:hAnsi="Arial" w:cs="Arial"/>
          <w:bCs/>
          <w:color w:val="000000" w:themeColor="text1"/>
          <w:lang w:val="es-ES_tradnl"/>
        </w:rPr>
      </w:pPr>
      <w:r>
        <w:rPr>
          <w:rFonts w:ascii="Arial" w:eastAsia="Calibri" w:hAnsi="Arial" w:cs="Arial"/>
          <w:bCs/>
          <w:color w:val="000000" w:themeColor="text1"/>
          <w:lang w:val="es-ES_tradnl"/>
        </w:rPr>
        <w:t>En atención a este mandato, la Agencia Nacional de Contratación Pública, en desarrollo del procedimiento de actualización regulado por la Resolución 160 de 2020, expidió la Resolución 304 de 2021</w:t>
      </w:r>
      <w:r w:rsidR="00A10504">
        <w:rPr>
          <w:rFonts w:ascii="Arial" w:eastAsia="Calibri" w:hAnsi="Arial" w:cs="Arial"/>
          <w:bCs/>
          <w:color w:val="000000" w:themeColor="text1"/>
          <w:lang w:val="es-ES_tradnl"/>
        </w:rPr>
        <w:t>,</w:t>
      </w:r>
      <w:r>
        <w:rPr>
          <w:rFonts w:ascii="Arial" w:eastAsia="Calibri" w:hAnsi="Arial" w:cs="Arial"/>
          <w:bCs/>
          <w:color w:val="000000" w:themeColor="text1"/>
          <w:lang w:val="es-ES_tradnl"/>
        </w:rPr>
        <w:t xml:space="preserve"> «</w:t>
      </w:r>
      <w:r w:rsidRPr="00906A72">
        <w:rPr>
          <w:rFonts w:ascii="Arial" w:eastAsia="Calibri" w:hAnsi="Arial" w:cs="Arial"/>
          <w:bCs/>
          <w:color w:val="000000" w:themeColor="text1"/>
          <w:lang w:val="es-ES_tradnl"/>
        </w:rPr>
        <w:t>Por la cual se modifican los Documentos Tipo adoptados por la Agencia Nacional de Contratación Pública –</w:t>
      </w:r>
      <w:r>
        <w:rPr>
          <w:rFonts w:ascii="Arial" w:eastAsia="Calibri" w:hAnsi="Arial" w:cs="Arial"/>
          <w:bCs/>
          <w:color w:val="000000" w:themeColor="text1"/>
          <w:lang w:val="es-ES_tradnl"/>
        </w:rPr>
        <w:t xml:space="preserve"> </w:t>
      </w:r>
      <w:r w:rsidRPr="00906A72">
        <w:rPr>
          <w:rFonts w:ascii="Arial" w:eastAsia="Calibri" w:hAnsi="Arial" w:cs="Arial"/>
          <w:bCs/>
          <w:color w:val="000000" w:themeColor="text1"/>
          <w:lang w:val="es-ES_tradnl"/>
        </w:rPr>
        <w:t>Colombia Compra Eficiente</w:t>
      </w:r>
      <w:r>
        <w:rPr>
          <w:rFonts w:ascii="Arial" w:eastAsia="Calibri" w:hAnsi="Arial" w:cs="Arial"/>
          <w:bCs/>
          <w:color w:val="000000" w:themeColor="text1"/>
          <w:lang w:val="es-ES_tradnl"/>
        </w:rPr>
        <w:t>». Esta resolución modificó y adicionó los documentos base, formatos y matrices de los documentos tipo de infraestructura de transporte –en sus distintas modalidades–, agua potable y saneamiento básico e infraestructura social</w:t>
      </w:r>
      <w:r w:rsidR="002F1C6C">
        <w:rPr>
          <w:rFonts w:ascii="Arial" w:eastAsia="Calibri" w:hAnsi="Arial" w:cs="Arial"/>
          <w:bCs/>
          <w:color w:val="000000" w:themeColor="text1"/>
          <w:lang w:val="es-ES_tradnl"/>
        </w:rPr>
        <w:t xml:space="preserve">, </w:t>
      </w:r>
      <w:r>
        <w:rPr>
          <w:rFonts w:ascii="Arial" w:eastAsia="Calibri" w:hAnsi="Arial" w:cs="Arial"/>
          <w:bCs/>
          <w:color w:val="000000" w:themeColor="text1"/>
          <w:lang w:val="es-ES_tradnl"/>
        </w:rPr>
        <w:t>introduciendo una metodología común a todos estos procedimientos, a partir de la cual</w:t>
      </w:r>
      <w:r w:rsidR="00100BAA">
        <w:rPr>
          <w:rFonts w:ascii="Arial" w:eastAsia="Calibri" w:hAnsi="Arial" w:cs="Arial"/>
          <w:bCs/>
          <w:color w:val="000000" w:themeColor="text1"/>
          <w:lang w:val="es-ES_tradnl"/>
        </w:rPr>
        <w:t>,</w:t>
      </w:r>
      <w:r>
        <w:rPr>
          <w:rFonts w:ascii="Arial" w:eastAsia="Calibri" w:hAnsi="Arial" w:cs="Arial"/>
          <w:bCs/>
          <w:color w:val="000000" w:themeColor="text1"/>
          <w:lang w:val="es-ES_tradnl"/>
        </w:rPr>
        <w:t xml:space="preserve"> en aplicación de la definición de Servicios Nacionales del Decreto 680, se otorga el puntaje por apoyo a la industria nacional en consideración al ofrecimiento de los bienes nacionales relevantes. De acuerdo con esta metodología, las entidades pueden establecer de manera objetiva los bienes nacionales que resultan relevantes para el desarrollo del objeto contractual, que</w:t>
      </w:r>
      <w:r w:rsidR="00100BAA">
        <w:rPr>
          <w:rFonts w:ascii="Arial" w:eastAsia="Calibri" w:hAnsi="Arial" w:cs="Arial"/>
          <w:bCs/>
          <w:color w:val="000000" w:themeColor="text1"/>
          <w:lang w:val="es-ES_tradnl"/>
        </w:rPr>
        <w:t>,</w:t>
      </w:r>
      <w:r>
        <w:rPr>
          <w:rFonts w:ascii="Arial" w:eastAsia="Calibri" w:hAnsi="Arial" w:cs="Arial"/>
          <w:bCs/>
          <w:color w:val="000000" w:themeColor="text1"/>
          <w:lang w:val="es-ES_tradnl"/>
        </w:rPr>
        <w:t xml:space="preserve"> al estar incluidos en el </w:t>
      </w:r>
      <w:r w:rsidRPr="00C411A9">
        <w:rPr>
          <w:rFonts w:ascii="Arial" w:eastAsia="Calibri" w:hAnsi="Arial" w:cs="Arial"/>
          <w:bCs/>
          <w:color w:val="000000" w:themeColor="text1"/>
          <w:lang w:val="es-ES_tradnl"/>
        </w:rPr>
        <w:t>Registro de Productores de Bienes Nacionales</w:t>
      </w:r>
      <w:r w:rsidR="00100BAA">
        <w:rPr>
          <w:rFonts w:ascii="Arial" w:eastAsia="Calibri" w:hAnsi="Arial" w:cs="Arial"/>
          <w:bCs/>
          <w:color w:val="000000" w:themeColor="text1"/>
          <w:lang w:val="es-ES_tradnl"/>
        </w:rPr>
        <w:t>,</w:t>
      </w:r>
      <w:r>
        <w:rPr>
          <w:rFonts w:ascii="Arial" w:eastAsia="Calibri" w:hAnsi="Arial" w:cs="Arial"/>
          <w:bCs/>
          <w:color w:val="000000" w:themeColor="text1"/>
          <w:lang w:val="es-ES_tradnl"/>
        </w:rPr>
        <w:t xml:space="preserve"> son determinantes para la asignación del puntaje por apoyo a la industria nacional. </w:t>
      </w:r>
    </w:p>
    <w:p w14:paraId="49D219F3" w14:textId="07AF787D" w:rsidR="00AC3ED1" w:rsidRDefault="00431D13" w:rsidP="00D06D0B">
      <w:pPr>
        <w:widowControl w:val="0"/>
        <w:autoSpaceDE w:val="0"/>
        <w:autoSpaceDN w:val="0"/>
        <w:spacing w:after="120" w:line="276" w:lineRule="auto"/>
        <w:ind w:firstLine="709"/>
        <w:jc w:val="both"/>
        <w:rPr>
          <w:rFonts w:ascii="Arial" w:eastAsia="Arial" w:hAnsi="Arial" w:cs="Arial"/>
          <w:bCs/>
          <w:lang w:eastAsia="es-ES" w:bidi="es-ES"/>
        </w:rPr>
      </w:pPr>
      <w:r w:rsidRPr="00431D13">
        <w:rPr>
          <w:rFonts w:ascii="Arial" w:eastAsia="Arial" w:hAnsi="Arial" w:cs="Arial"/>
          <w:bCs/>
          <w:lang w:eastAsia="es-ES" w:bidi="es-ES"/>
        </w:rPr>
        <w:t>Concretamente, el Capítulo I de la Resolución modifica los documentos tipo</w:t>
      </w:r>
      <w:r w:rsidR="002A3227">
        <w:rPr>
          <w:rFonts w:ascii="Arial" w:eastAsia="Arial" w:hAnsi="Arial" w:cs="Arial"/>
          <w:bCs/>
          <w:lang w:eastAsia="es-ES" w:bidi="es-ES"/>
        </w:rPr>
        <w:t xml:space="preserve"> de infraestructura de transporte</w:t>
      </w:r>
      <w:r w:rsidRPr="00431D13">
        <w:rPr>
          <w:rFonts w:ascii="Arial" w:eastAsia="Arial" w:hAnsi="Arial" w:cs="Arial"/>
          <w:bCs/>
          <w:lang w:eastAsia="es-ES" w:bidi="es-ES"/>
        </w:rPr>
        <w:t xml:space="preserve">. En relación con las disposiciones del Decreto 680 de 2021, se modifican los siguientes numerales del documento base: 4.3 </w:t>
      </w:r>
      <w:r w:rsidR="006C3304">
        <w:rPr>
          <w:rFonts w:ascii="Arial" w:eastAsia="Arial" w:hAnsi="Arial" w:cs="Arial"/>
          <w:bCs/>
          <w:lang w:eastAsia="es-ES" w:bidi="es-ES"/>
        </w:rPr>
        <w:t>«</w:t>
      </w:r>
      <w:r w:rsidRPr="00431D13">
        <w:rPr>
          <w:rFonts w:ascii="Arial" w:eastAsia="Arial" w:hAnsi="Arial" w:cs="Arial"/>
          <w:bCs/>
          <w:lang w:eastAsia="es-ES" w:bidi="es-ES"/>
        </w:rPr>
        <w:t>Apoyo a la industria nacional</w:t>
      </w:r>
      <w:r w:rsidR="006C3304">
        <w:rPr>
          <w:rFonts w:ascii="Arial" w:eastAsia="Arial" w:hAnsi="Arial" w:cs="Arial"/>
          <w:bCs/>
          <w:lang w:eastAsia="es-ES" w:bidi="es-ES"/>
        </w:rPr>
        <w:t>»</w:t>
      </w:r>
      <w:r w:rsidRPr="00431D13">
        <w:rPr>
          <w:rFonts w:ascii="Arial" w:eastAsia="Arial" w:hAnsi="Arial" w:cs="Arial"/>
          <w:bCs/>
          <w:lang w:eastAsia="es-ES" w:bidi="es-ES"/>
        </w:rPr>
        <w:t xml:space="preserve">, 4.3.1 </w:t>
      </w:r>
      <w:r w:rsidR="006C3304">
        <w:rPr>
          <w:rFonts w:ascii="Arial" w:eastAsia="Arial" w:hAnsi="Arial" w:cs="Arial"/>
          <w:bCs/>
          <w:lang w:eastAsia="es-ES" w:bidi="es-ES"/>
        </w:rPr>
        <w:t>«</w:t>
      </w:r>
      <w:r w:rsidRPr="00431D13">
        <w:rPr>
          <w:rFonts w:ascii="Arial" w:eastAsia="Arial" w:hAnsi="Arial" w:cs="Arial"/>
          <w:bCs/>
          <w:lang w:eastAsia="es-ES" w:bidi="es-ES"/>
        </w:rPr>
        <w:t>Promoción de servicios nacionales o con trato nacional</w:t>
      </w:r>
      <w:r w:rsidR="006C3304">
        <w:rPr>
          <w:rFonts w:ascii="Arial" w:eastAsia="Arial" w:hAnsi="Arial" w:cs="Arial"/>
          <w:bCs/>
          <w:lang w:eastAsia="es-ES" w:bidi="es-ES"/>
        </w:rPr>
        <w:t>»</w:t>
      </w:r>
      <w:r w:rsidRPr="00431D13">
        <w:rPr>
          <w:rFonts w:ascii="Arial" w:eastAsia="Arial" w:hAnsi="Arial" w:cs="Arial"/>
          <w:bCs/>
          <w:lang w:eastAsia="es-ES" w:bidi="es-ES"/>
        </w:rPr>
        <w:t xml:space="preserve">, 4.3.1.1 </w:t>
      </w:r>
      <w:r w:rsidR="006C3304">
        <w:rPr>
          <w:rFonts w:ascii="Arial" w:eastAsia="Arial" w:hAnsi="Arial" w:cs="Arial"/>
          <w:bCs/>
          <w:lang w:eastAsia="es-ES" w:bidi="es-ES"/>
        </w:rPr>
        <w:t>«</w:t>
      </w:r>
      <w:r w:rsidRPr="00431D13">
        <w:rPr>
          <w:rFonts w:ascii="Arial" w:eastAsia="Arial" w:hAnsi="Arial" w:cs="Arial"/>
          <w:bCs/>
          <w:lang w:eastAsia="es-ES" w:bidi="es-ES"/>
        </w:rPr>
        <w:t>Acreditación del puntaje por servicios nacionales o con trato nacional</w:t>
      </w:r>
      <w:r w:rsidR="006C3304">
        <w:rPr>
          <w:rFonts w:ascii="Arial" w:eastAsia="Arial" w:hAnsi="Arial" w:cs="Arial"/>
          <w:bCs/>
          <w:lang w:eastAsia="es-ES" w:bidi="es-ES"/>
        </w:rPr>
        <w:t>»</w:t>
      </w:r>
      <w:r w:rsidRPr="00431D13">
        <w:rPr>
          <w:rFonts w:ascii="Arial" w:eastAsia="Arial" w:hAnsi="Arial" w:cs="Arial"/>
          <w:bCs/>
          <w:lang w:eastAsia="es-ES" w:bidi="es-ES"/>
        </w:rPr>
        <w:t xml:space="preserve"> y 4.3.2. </w:t>
      </w:r>
      <w:r w:rsidR="006C3304">
        <w:rPr>
          <w:rFonts w:ascii="Arial" w:eastAsia="Arial" w:hAnsi="Arial" w:cs="Arial"/>
          <w:bCs/>
          <w:lang w:eastAsia="es-ES" w:bidi="es-ES"/>
        </w:rPr>
        <w:t>«</w:t>
      </w:r>
      <w:r w:rsidRPr="00431D13">
        <w:rPr>
          <w:rFonts w:ascii="Arial" w:eastAsia="Arial" w:hAnsi="Arial" w:cs="Arial"/>
          <w:bCs/>
          <w:lang w:eastAsia="es-ES" w:bidi="es-ES"/>
        </w:rPr>
        <w:t>Incorporación de componente nacional en servicios extranjeros</w:t>
      </w:r>
      <w:r w:rsidR="006C3304">
        <w:rPr>
          <w:rFonts w:ascii="Arial" w:eastAsia="Arial" w:hAnsi="Arial" w:cs="Arial"/>
          <w:bCs/>
          <w:lang w:eastAsia="es-ES" w:bidi="es-ES"/>
        </w:rPr>
        <w:t>»</w:t>
      </w:r>
      <w:r w:rsidRPr="00431D13">
        <w:rPr>
          <w:rFonts w:ascii="Arial" w:eastAsia="Arial" w:hAnsi="Arial" w:cs="Arial"/>
          <w:bCs/>
          <w:lang w:eastAsia="es-ES" w:bidi="es-ES"/>
        </w:rPr>
        <w:t xml:space="preserve">. Además, se incluye la Matriz 4 - Bienes nacionales relevantes para la obra pública del sector </w:t>
      </w:r>
      <w:r w:rsidR="00BF0323">
        <w:rPr>
          <w:rFonts w:ascii="Arial" w:eastAsia="Arial" w:hAnsi="Arial" w:cs="Arial"/>
          <w:bCs/>
          <w:lang w:eastAsia="es-ES" w:bidi="es-ES"/>
        </w:rPr>
        <w:t xml:space="preserve">transporte y </w:t>
      </w:r>
      <w:r w:rsidRPr="00431D13">
        <w:rPr>
          <w:rFonts w:ascii="Arial" w:eastAsia="Arial" w:hAnsi="Arial" w:cs="Arial"/>
          <w:bCs/>
          <w:lang w:eastAsia="es-ES" w:bidi="es-ES"/>
        </w:rPr>
        <w:t xml:space="preserve">se modifican los formatos y anexos respectivos. </w:t>
      </w:r>
    </w:p>
    <w:p w14:paraId="6F492B48" w14:textId="0B3A8815" w:rsidR="00BF0323" w:rsidRDefault="002F1C6C" w:rsidP="00D06D0B">
      <w:pPr>
        <w:widowControl w:val="0"/>
        <w:autoSpaceDE w:val="0"/>
        <w:autoSpaceDN w:val="0"/>
        <w:spacing w:after="120" w:line="276" w:lineRule="auto"/>
        <w:ind w:firstLine="709"/>
        <w:jc w:val="both"/>
        <w:rPr>
          <w:rFonts w:ascii="Arial" w:eastAsia="Arial" w:hAnsi="Arial" w:cs="Arial"/>
          <w:bCs/>
          <w:lang w:eastAsia="es-ES" w:bidi="es-ES"/>
        </w:rPr>
      </w:pPr>
      <w:r>
        <w:rPr>
          <w:rFonts w:ascii="Arial" w:eastAsia="Arial" w:hAnsi="Arial" w:cs="Arial"/>
          <w:bCs/>
          <w:lang w:eastAsia="es-ES" w:bidi="es-ES"/>
        </w:rPr>
        <w:t xml:space="preserve">Teniendo en cuenta que en su consulta usted </w:t>
      </w:r>
      <w:r w:rsidR="00DE1D4C">
        <w:rPr>
          <w:rFonts w:ascii="Arial" w:eastAsia="Arial" w:hAnsi="Arial" w:cs="Arial"/>
          <w:bCs/>
          <w:lang w:eastAsia="es-ES" w:bidi="es-ES"/>
        </w:rPr>
        <w:t xml:space="preserve">indaga </w:t>
      </w:r>
      <w:r>
        <w:rPr>
          <w:rFonts w:ascii="Arial" w:eastAsia="Arial" w:hAnsi="Arial" w:cs="Arial"/>
          <w:bCs/>
          <w:lang w:eastAsia="es-ES" w:bidi="es-ES"/>
        </w:rPr>
        <w:t xml:space="preserve">sobre el modo de aplicación del numeral </w:t>
      </w:r>
      <w:r w:rsidR="00DE1D4C">
        <w:rPr>
          <w:rFonts w:ascii="Arial" w:eastAsia="Arial" w:hAnsi="Arial" w:cs="Arial"/>
          <w:bCs/>
          <w:lang w:eastAsia="es-ES" w:bidi="es-ES"/>
        </w:rPr>
        <w:t>«</w:t>
      </w:r>
      <w:r w:rsidRPr="00431D13">
        <w:rPr>
          <w:rFonts w:ascii="Arial" w:eastAsia="Arial" w:hAnsi="Arial" w:cs="Arial"/>
          <w:bCs/>
          <w:lang w:eastAsia="es-ES" w:bidi="es-ES"/>
        </w:rPr>
        <w:t>4.3.1 Promoción de servicios nacionales o con trato nacional</w:t>
      </w:r>
      <w:r w:rsidR="00DE1D4C">
        <w:rPr>
          <w:rFonts w:ascii="Arial" w:eastAsia="Arial" w:hAnsi="Arial" w:cs="Arial"/>
          <w:bCs/>
          <w:lang w:eastAsia="es-ES" w:bidi="es-ES"/>
        </w:rPr>
        <w:t>»</w:t>
      </w:r>
      <w:r w:rsidRPr="00431D13">
        <w:rPr>
          <w:rFonts w:ascii="Arial" w:eastAsia="Arial" w:hAnsi="Arial" w:cs="Arial"/>
          <w:bCs/>
          <w:lang w:eastAsia="es-ES" w:bidi="es-ES"/>
        </w:rPr>
        <w:t xml:space="preserve">, </w:t>
      </w:r>
      <w:r>
        <w:rPr>
          <w:rFonts w:ascii="Arial" w:eastAsia="Arial" w:hAnsi="Arial" w:cs="Arial"/>
          <w:bCs/>
          <w:lang w:eastAsia="es-ES" w:bidi="es-ES"/>
        </w:rPr>
        <w:t xml:space="preserve">de los documentos tipo </w:t>
      </w:r>
      <w:r w:rsidR="00D31600">
        <w:rPr>
          <w:rFonts w:ascii="Arial" w:eastAsia="Arial" w:hAnsi="Arial" w:cs="Arial"/>
          <w:bCs/>
          <w:lang w:eastAsia="es-ES" w:bidi="es-ES"/>
        </w:rPr>
        <w:t xml:space="preserve">de licitación de obra pública </w:t>
      </w:r>
      <w:r>
        <w:rPr>
          <w:rFonts w:ascii="Arial" w:eastAsia="Arial" w:hAnsi="Arial" w:cs="Arial"/>
          <w:bCs/>
          <w:lang w:eastAsia="es-ES" w:bidi="es-ES"/>
        </w:rPr>
        <w:t xml:space="preserve">de infraestructura de transporte – Versión 3, </w:t>
      </w:r>
      <w:r w:rsidR="008232BA">
        <w:rPr>
          <w:rFonts w:ascii="Arial" w:eastAsia="Arial" w:hAnsi="Arial" w:cs="Arial"/>
          <w:bCs/>
          <w:lang w:eastAsia="es-ES" w:bidi="es-ES"/>
        </w:rPr>
        <w:t xml:space="preserve">a continuación, </w:t>
      </w:r>
      <w:r>
        <w:rPr>
          <w:rFonts w:ascii="Arial" w:eastAsia="Arial" w:hAnsi="Arial" w:cs="Arial"/>
          <w:bCs/>
          <w:lang w:eastAsia="es-ES" w:bidi="es-ES"/>
        </w:rPr>
        <w:t xml:space="preserve">se analizará el alcance de ese numeral con la modificación introducida por la Resolución 304 de 2021. </w:t>
      </w:r>
    </w:p>
    <w:p w14:paraId="1731B2B3" w14:textId="427E5160" w:rsidR="00902412" w:rsidRDefault="00C11B2A" w:rsidP="00556ECF">
      <w:pPr>
        <w:widowControl w:val="0"/>
        <w:autoSpaceDE w:val="0"/>
        <w:autoSpaceDN w:val="0"/>
        <w:spacing w:after="0" w:line="276" w:lineRule="auto"/>
        <w:ind w:firstLine="708"/>
        <w:jc w:val="both"/>
        <w:rPr>
          <w:rFonts w:ascii="Arial" w:eastAsia="Arial" w:hAnsi="Arial" w:cs="Arial"/>
          <w:bCs/>
          <w:lang w:eastAsia="es-ES" w:bidi="es-ES"/>
        </w:rPr>
      </w:pPr>
      <w:r w:rsidRPr="00C11B2A">
        <w:rPr>
          <w:rFonts w:ascii="Arial" w:eastAsia="Arial" w:hAnsi="Arial" w:cs="Arial"/>
          <w:bCs/>
          <w:lang w:eastAsia="es-ES" w:bidi="es-ES"/>
        </w:rPr>
        <w:t xml:space="preserve">El </w:t>
      </w:r>
      <w:r w:rsidR="00902412" w:rsidRPr="00C11B2A">
        <w:rPr>
          <w:rFonts w:ascii="Arial" w:eastAsia="Arial" w:hAnsi="Arial" w:cs="Arial"/>
          <w:bCs/>
          <w:lang w:eastAsia="es-ES" w:bidi="es-ES"/>
        </w:rPr>
        <w:t xml:space="preserve">numeral </w:t>
      </w:r>
      <w:r w:rsidR="008770BC">
        <w:rPr>
          <w:rFonts w:ascii="Arial" w:eastAsia="Arial" w:hAnsi="Arial" w:cs="Arial"/>
          <w:bCs/>
          <w:lang w:eastAsia="es-ES" w:bidi="es-ES"/>
        </w:rPr>
        <w:t>«</w:t>
      </w:r>
      <w:r w:rsidR="007A1790" w:rsidRPr="00C11B2A">
        <w:rPr>
          <w:rFonts w:ascii="Arial" w:eastAsia="Arial" w:hAnsi="Arial" w:cs="Arial"/>
          <w:bCs/>
          <w:lang w:eastAsia="es-ES" w:bidi="es-ES"/>
        </w:rPr>
        <w:t>4.3.1 Promoción de servicios nacionales o con trato nacional</w:t>
      </w:r>
      <w:r w:rsidR="00F86A88">
        <w:rPr>
          <w:rFonts w:ascii="Arial" w:eastAsia="Arial" w:hAnsi="Arial" w:cs="Arial"/>
          <w:bCs/>
          <w:lang w:eastAsia="es-ES" w:bidi="es-ES"/>
        </w:rPr>
        <w:t>»</w:t>
      </w:r>
      <w:r w:rsidR="00902412" w:rsidRPr="00C11B2A">
        <w:rPr>
          <w:rFonts w:ascii="Arial" w:eastAsia="Arial" w:hAnsi="Arial" w:cs="Arial"/>
          <w:bCs/>
          <w:lang w:eastAsia="es-ES" w:bidi="es-ES"/>
        </w:rPr>
        <w:t xml:space="preserve">, de los documentos tipo de obra </w:t>
      </w:r>
      <w:r w:rsidRPr="00C11B2A">
        <w:rPr>
          <w:rFonts w:ascii="Arial" w:eastAsia="Arial" w:hAnsi="Arial" w:cs="Arial"/>
          <w:bCs/>
          <w:lang w:eastAsia="es-ES" w:bidi="es-ES"/>
        </w:rPr>
        <w:t>pública</w:t>
      </w:r>
      <w:r w:rsidR="00902412" w:rsidRPr="00C11B2A">
        <w:rPr>
          <w:rFonts w:ascii="Arial" w:eastAsia="Arial" w:hAnsi="Arial" w:cs="Arial"/>
          <w:bCs/>
          <w:lang w:eastAsia="es-ES" w:bidi="es-ES"/>
        </w:rPr>
        <w:t xml:space="preserve"> de infraestructura de transporte – Versión 3, </w:t>
      </w:r>
      <w:r w:rsidRPr="00C11B2A">
        <w:rPr>
          <w:rFonts w:ascii="Arial" w:eastAsia="Arial" w:hAnsi="Arial" w:cs="Arial"/>
          <w:bCs/>
          <w:lang w:eastAsia="es-ES" w:bidi="es-ES"/>
        </w:rPr>
        <w:t>en sus t</w:t>
      </w:r>
      <w:r w:rsidR="00F86A88">
        <w:rPr>
          <w:rFonts w:ascii="Arial" w:eastAsia="Arial" w:hAnsi="Arial" w:cs="Arial"/>
          <w:bCs/>
          <w:lang w:eastAsia="es-ES" w:bidi="es-ES"/>
        </w:rPr>
        <w:t xml:space="preserve">res (3) </w:t>
      </w:r>
      <w:r w:rsidRPr="00C11B2A">
        <w:rPr>
          <w:rFonts w:ascii="Arial" w:eastAsia="Arial" w:hAnsi="Arial" w:cs="Arial"/>
          <w:bCs/>
          <w:lang w:eastAsia="es-ES" w:bidi="es-ES"/>
        </w:rPr>
        <w:t xml:space="preserve">primeros incisos, </w:t>
      </w:r>
      <w:r w:rsidR="00524D80">
        <w:rPr>
          <w:rFonts w:ascii="Arial" w:eastAsia="Calibri" w:hAnsi="Arial" w:cs="Arial"/>
          <w:bCs/>
          <w:color w:val="000000" w:themeColor="text1"/>
          <w:lang w:val="es-ES_tradnl"/>
        </w:rPr>
        <w:t xml:space="preserve">dispone </w:t>
      </w:r>
      <w:r w:rsidR="00902412" w:rsidRPr="002204D9">
        <w:rPr>
          <w:rFonts w:ascii="Arial" w:eastAsia="Calibri" w:hAnsi="Arial" w:cs="Arial"/>
          <w:bCs/>
          <w:color w:val="000000" w:themeColor="text1"/>
          <w:lang w:val="es-ES_tradnl"/>
        </w:rPr>
        <w:t xml:space="preserve">la modificación parcial que introdujo el artículo 1 del Decreto 680 de 2021 al artículo 2.2.1.1.1.3.1. del Decreto 1082 de 2015, para definir los </w:t>
      </w:r>
      <w:r w:rsidR="00902412" w:rsidRPr="002204D9">
        <w:rPr>
          <w:rFonts w:ascii="Arial" w:eastAsia="Calibri" w:hAnsi="Arial" w:cs="Arial"/>
          <w:bCs/>
          <w:i/>
          <w:iCs/>
          <w:color w:val="000000" w:themeColor="text1"/>
          <w:lang w:val="es-ES_tradnl"/>
        </w:rPr>
        <w:t>servicios nacionales</w:t>
      </w:r>
      <w:r w:rsidR="00902412" w:rsidRPr="002204D9">
        <w:rPr>
          <w:rFonts w:ascii="Arial" w:eastAsia="Calibri" w:hAnsi="Arial" w:cs="Arial"/>
          <w:bCs/>
          <w:color w:val="000000" w:themeColor="text1"/>
          <w:lang w:val="es-ES_tradnl"/>
        </w:rPr>
        <w:t xml:space="preserve"> en forma distinta</w:t>
      </w:r>
      <w:r>
        <w:rPr>
          <w:rFonts w:ascii="Arial" w:eastAsia="Calibri" w:hAnsi="Arial" w:cs="Arial"/>
          <w:bCs/>
          <w:color w:val="000000" w:themeColor="text1"/>
          <w:lang w:val="es-ES_tradnl"/>
        </w:rPr>
        <w:t>,</w:t>
      </w:r>
      <w:r w:rsidR="00F86A88">
        <w:rPr>
          <w:rFonts w:ascii="Arial" w:eastAsia="Calibri" w:hAnsi="Arial" w:cs="Arial"/>
          <w:bCs/>
          <w:color w:val="000000" w:themeColor="text1"/>
          <w:lang w:val="es-ES_tradnl"/>
        </w:rPr>
        <w:t xml:space="preserve"> así</w:t>
      </w:r>
      <w:r>
        <w:rPr>
          <w:rFonts w:ascii="Arial" w:eastAsia="Calibri" w:hAnsi="Arial" w:cs="Arial"/>
          <w:bCs/>
          <w:color w:val="000000" w:themeColor="text1"/>
          <w:lang w:val="es-ES_tradnl"/>
        </w:rPr>
        <w:t>:</w:t>
      </w:r>
    </w:p>
    <w:p w14:paraId="3CC15BF9" w14:textId="1989807A" w:rsidR="00F22164" w:rsidRDefault="00F22164" w:rsidP="00556ECF">
      <w:pPr>
        <w:widowControl w:val="0"/>
        <w:autoSpaceDE w:val="0"/>
        <w:autoSpaceDN w:val="0"/>
        <w:spacing w:after="0" w:line="276" w:lineRule="auto"/>
        <w:jc w:val="both"/>
        <w:rPr>
          <w:rFonts w:ascii="Arial" w:eastAsia="Arial" w:hAnsi="Arial" w:cs="Arial"/>
          <w:bCs/>
          <w:lang w:eastAsia="es-ES" w:bidi="es-ES"/>
        </w:rPr>
      </w:pPr>
    </w:p>
    <w:p w14:paraId="4B1278F3" w14:textId="392E4B62" w:rsidR="007A1790" w:rsidRDefault="007A1790" w:rsidP="00556ECF">
      <w:pPr>
        <w:widowControl w:val="0"/>
        <w:autoSpaceDE w:val="0"/>
        <w:autoSpaceDN w:val="0"/>
        <w:spacing w:after="120" w:line="276" w:lineRule="auto"/>
        <w:ind w:left="709" w:right="709"/>
        <w:jc w:val="both"/>
        <w:rPr>
          <w:rFonts w:ascii="Arial" w:hAnsi="Arial" w:cs="Arial"/>
          <w:b/>
          <w:bCs/>
          <w:sz w:val="21"/>
          <w:szCs w:val="21"/>
          <w:lang w:val="es-MX"/>
        </w:rPr>
      </w:pPr>
      <w:r w:rsidRPr="002204D9">
        <w:rPr>
          <w:rFonts w:ascii="Arial" w:hAnsi="Arial" w:cs="Arial"/>
          <w:b/>
          <w:bCs/>
          <w:sz w:val="21"/>
          <w:szCs w:val="21"/>
          <w:lang w:val="es-MX"/>
        </w:rPr>
        <w:t>4.3.1 Promoción de servicios nacionales o con trato nacional</w:t>
      </w:r>
    </w:p>
    <w:p w14:paraId="2CE18374" w14:textId="77777777" w:rsidR="00F22164" w:rsidRPr="002204D9" w:rsidRDefault="00F22164" w:rsidP="00556ECF">
      <w:pPr>
        <w:spacing w:after="120" w:line="240" w:lineRule="auto"/>
        <w:ind w:left="709" w:right="709"/>
        <w:jc w:val="both"/>
        <w:rPr>
          <w:rFonts w:ascii="Arial" w:hAnsi="Arial" w:cs="Arial"/>
          <w:sz w:val="21"/>
          <w:szCs w:val="21"/>
          <w:lang w:val="es-MX"/>
        </w:rPr>
      </w:pPr>
      <w:r w:rsidRPr="002204D9">
        <w:rPr>
          <w:rFonts w:ascii="Arial" w:hAnsi="Arial" w:cs="Arial"/>
          <w:sz w:val="21"/>
          <w:szCs w:val="21"/>
          <w:lang w:val="es-MX"/>
        </w:rPr>
        <w:t xml:space="preserve">En los contratos que deban cumplirse en Colombia, el servicio es nacional cuando además de ofertarse por una persona natural colombiana o por un residente en Colombia, por una persona jurídica constituida de conformidad con la legislación colombiana o por un Proponente Plural conformado por estos o por estos y un extranjero con Trato Nacional, (i) usa el o los bienes nacionales </w:t>
      </w:r>
      <w:r w:rsidRPr="002204D9">
        <w:rPr>
          <w:rFonts w:ascii="Arial" w:hAnsi="Arial" w:cs="Arial"/>
          <w:sz w:val="21"/>
          <w:szCs w:val="21"/>
          <w:lang w:val="es-MX"/>
        </w:rPr>
        <w:lastRenderedPageBreak/>
        <w:t>relevantes definidos por la Entidad Estatal para el desarrollo de la obra o (ii) vincula el porcentaje mínimo de personal colombiano, según corresponda.</w:t>
      </w:r>
    </w:p>
    <w:p w14:paraId="627CD6A6" w14:textId="52E3A982" w:rsidR="00F22164" w:rsidRPr="002204D9" w:rsidRDefault="00F22164" w:rsidP="002204D9">
      <w:pPr>
        <w:spacing w:after="120" w:line="240" w:lineRule="auto"/>
        <w:ind w:left="709" w:right="709"/>
        <w:jc w:val="both"/>
        <w:rPr>
          <w:rFonts w:ascii="Arial" w:hAnsi="Arial" w:cs="Arial"/>
          <w:sz w:val="21"/>
          <w:szCs w:val="21"/>
          <w:lang w:val="es-MX"/>
        </w:rPr>
      </w:pPr>
      <w:r w:rsidRPr="002204D9">
        <w:rPr>
          <w:rFonts w:ascii="Arial" w:hAnsi="Arial" w:cs="Arial"/>
          <w:sz w:val="21"/>
          <w:szCs w:val="21"/>
          <w:lang w:val="es-MX"/>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por un Proponente Plural conformado por estos, sin que sea necesario el uso de bienes colombianos o la vinculación de personal colombiano.</w:t>
      </w:r>
    </w:p>
    <w:p w14:paraId="36512CC4" w14:textId="0C3753AB" w:rsidR="00D445EF" w:rsidRPr="002204D9" w:rsidRDefault="00D445EF" w:rsidP="002204D9">
      <w:pPr>
        <w:spacing w:after="120" w:line="240" w:lineRule="auto"/>
        <w:ind w:left="709" w:right="709"/>
        <w:jc w:val="both"/>
        <w:rPr>
          <w:rFonts w:ascii="Arial" w:hAnsi="Arial" w:cs="Arial"/>
          <w:sz w:val="21"/>
          <w:szCs w:val="21"/>
          <w:lang w:val="es-MX"/>
        </w:rPr>
      </w:pPr>
      <w:r w:rsidRPr="002204D9">
        <w:rPr>
          <w:rFonts w:ascii="Arial" w:hAnsi="Arial" w:cs="Arial"/>
          <w:sz w:val="21"/>
          <w:szCs w:val="21"/>
          <w:lang w:val="es-MX"/>
        </w:rPr>
        <w:t xml:space="preserve">En el caso de los Proponentes extranjeros con trato nacional que participen en el Proceso de Contratación de manera singular o mediante la conformación de un Proponente Plural podrán definir si aplican las reglas previstas en este numeral o, </w:t>
      </w:r>
      <w:proofErr w:type="gramStart"/>
      <w:r w:rsidRPr="002204D9">
        <w:rPr>
          <w:rFonts w:ascii="Arial" w:hAnsi="Arial" w:cs="Arial"/>
          <w:sz w:val="21"/>
          <w:szCs w:val="21"/>
          <w:lang w:val="es-MX"/>
        </w:rPr>
        <w:t>si</w:t>
      </w:r>
      <w:proofErr w:type="gramEnd"/>
      <w:r w:rsidRPr="002204D9">
        <w:rPr>
          <w:rFonts w:ascii="Arial" w:hAnsi="Arial" w:cs="Arial"/>
          <w:sz w:val="21"/>
          <w:szCs w:val="21"/>
          <w:lang w:val="es-MX"/>
        </w:rPr>
        <w:t xml:space="preserve"> por el contrario, deciden acogerse a la regla de origen de su país. Para definir la regla aplicable al proceso, el Proponente extranjero con trato nacional así lo manifestará con el diligenciamiento de la opción 3 del Formato 9A – Promoción de Servicios Nacionales o con Trato Nacional. En el caso que no se diligencie la opción 3 del Formato 9A – Promoción de Servicios Nacionales o con Trato Nacional, la Entidad Estatal deberá evaluar la oferta de acuerdo con las reglas previstas en este numeral. </w:t>
      </w:r>
    </w:p>
    <w:p w14:paraId="20A308BD" w14:textId="2DEC7E59" w:rsidR="00F86A88" w:rsidRDefault="00F86A88" w:rsidP="002204D9">
      <w:pPr>
        <w:spacing w:after="0" w:line="240" w:lineRule="auto"/>
        <w:ind w:left="709"/>
        <w:jc w:val="both"/>
        <w:rPr>
          <w:lang w:val="es-MX"/>
        </w:rPr>
      </w:pPr>
      <w:r>
        <w:rPr>
          <w:lang w:val="es-MX"/>
        </w:rPr>
        <w:t>[…]</w:t>
      </w:r>
    </w:p>
    <w:p w14:paraId="64B7F7D1" w14:textId="77777777" w:rsidR="00F86A88" w:rsidRPr="00C36DB9" w:rsidRDefault="00F86A88" w:rsidP="002204D9">
      <w:pPr>
        <w:spacing w:after="0"/>
        <w:ind w:left="708"/>
        <w:jc w:val="both"/>
        <w:rPr>
          <w:lang w:val="es-MX"/>
        </w:rPr>
      </w:pPr>
    </w:p>
    <w:p w14:paraId="00B13442" w14:textId="2C9DD101" w:rsidR="00F22164" w:rsidRPr="007A1790" w:rsidRDefault="007A1790" w:rsidP="00E35FE5">
      <w:pPr>
        <w:widowControl w:val="0"/>
        <w:autoSpaceDE w:val="0"/>
        <w:autoSpaceDN w:val="0"/>
        <w:spacing w:after="120" w:line="276" w:lineRule="auto"/>
        <w:jc w:val="both"/>
        <w:rPr>
          <w:rFonts w:ascii="Arial" w:eastAsia="Calibri" w:hAnsi="Arial" w:cs="Arial"/>
          <w:bCs/>
          <w:color w:val="000000"/>
          <w:lang w:val="es-ES_tradnl"/>
        </w:rPr>
      </w:pPr>
      <w:r>
        <w:rPr>
          <w:rFonts w:ascii="Arial" w:eastAsia="Arial" w:hAnsi="Arial" w:cs="Arial"/>
          <w:bCs/>
          <w:lang w:eastAsia="es-ES" w:bidi="es-ES"/>
        </w:rPr>
        <w:tab/>
      </w:r>
      <w:r w:rsidR="00690D8C">
        <w:rPr>
          <w:rFonts w:ascii="Arial" w:eastAsia="Arial" w:hAnsi="Arial" w:cs="Arial"/>
          <w:bCs/>
          <w:lang w:eastAsia="es-ES" w:bidi="es-ES"/>
        </w:rPr>
        <w:t xml:space="preserve">Conforme con lo anterior, </w:t>
      </w:r>
      <w:r w:rsidR="00431D13" w:rsidRPr="007A1790">
        <w:rPr>
          <w:rFonts w:ascii="Arial" w:eastAsia="Arial" w:hAnsi="Arial" w:cs="Arial"/>
          <w:bCs/>
          <w:lang w:eastAsia="es-ES" w:bidi="es-ES"/>
        </w:rPr>
        <w:t xml:space="preserve">se adecuan los documentos tipo de tal manera que el puntaje de industria nacional sea otorgado a los proponentes que presten servicios nacionales en los términos del Decreto 680 de 2021. </w:t>
      </w:r>
      <w:r w:rsidR="00690D8C">
        <w:rPr>
          <w:rFonts w:ascii="Arial" w:eastAsia="Calibri" w:hAnsi="Arial" w:cs="Arial"/>
          <w:bCs/>
          <w:color w:val="000000" w:themeColor="text1"/>
          <w:lang w:val="es-ES_tradnl"/>
        </w:rPr>
        <w:t>Mediante esta modificación</w:t>
      </w:r>
      <w:r w:rsidR="00F22164" w:rsidRPr="002204D9">
        <w:rPr>
          <w:rFonts w:ascii="Arial" w:eastAsia="Calibri" w:hAnsi="Arial" w:cs="Arial"/>
          <w:bCs/>
          <w:color w:val="000000" w:themeColor="text1"/>
          <w:lang w:val="es-ES_tradnl"/>
        </w:rPr>
        <w:t>, la noción de Servicios Nacionales no está determinada únicamente por la naturaleza jurídica de su prestador, ya que</w:t>
      </w:r>
      <w:r w:rsidR="0074032E">
        <w:rPr>
          <w:rFonts w:ascii="Arial" w:eastAsia="Calibri" w:hAnsi="Arial" w:cs="Arial"/>
          <w:bCs/>
          <w:color w:val="000000" w:themeColor="text1"/>
          <w:lang w:val="es-ES_tradnl"/>
        </w:rPr>
        <w:t>,</w:t>
      </w:r>
      <w:r w:rsidR="00F22164" w:rsidRPr="002204D9">
        <w:rPr>
          <w:rFonts w:ascii="Arial" w:eastAsia="Calibri" w:hAnsi="Arial" w:cs="Arial"/>
          <w:bCs/>
          <w:color w:val="000000" w:themeColor="text1"/>
          <w:lang w:val="es-ES_tradnl"/>
        </w:rPr>
        <w:t xml:space="preserve"> además de tratarse de una persona natural colombiana o jurídica conformada según la ley colombiana, se requiere que la propuesta, en principio, incluya en la ejecución del contrato la utilización de los bienes nacionales relevantes. </w:t>
      </w:r>
      <w:r w:rsidR="00F22164" w:rsidRPr="007A1790">
        <w:rPr>
          <w:rFonts w:ascii="Arial" w:eastAsia="Calibri" w:hAnsi="Arial" w:cs="Arial"/>
          <w:bCs/>
          <w:color w:val="000000"/>
          <w:lang w:val="es-ES_tradnl"/>
        </w:rPr>
        <w:t>En consecuencia, si el contrato debe cumplirse en Colombia, la entidad estatal debe definir los bienes nacionales relevantes,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no es necesario que se usen bienes o personal colombianos, para que el servicio sea nacional, sino que basta con que sea prestado «por una persona natural colombiana o por un residente en Colombia, por una persona jurídica constituida de conformidad con la legislación colombiana o un proponente plural conformado por estos». Lo anterior en consonancia con el artículo 1 del Decreto 680 de 2021.</w:t>
      </w:r>
    </w:p>
    <w:p w14:paraId="4B0C6A8A" w14:textId="70B7818F" w:rsidR="00D445EF" w:rsidRPr="002204D9" w:rsidRDefault="00E35FE5" w:rsidP="00FF6A22">
      <w:pPr>
        <w:spacing w:after="120" w:line="276" w:lineRule="auto"/>
        <w:ind w:firstLine="708"/>
        <w:jc w:val="both"/>
        <w:rPr>
          <w:rFonts w:ascii="Arial" w:hAnsi="Arial" w:cs="Arial"/>
          <w:lang w:val="es-MX"/>
        </w:rPr>
      </w:pPr>
      <w:r>
        <w:rPr>
          <w:rFonts w:ascii="Arial" w:eastAsia="Arial" w:hAnsi="Arial" w:cs="Arial"/>
          <w:bCs/>
          <w:lang w:eastAsia="es-ES" w:bidi="es-ES"/>
        </w:rPr>
        <w:t>P</w:t>
      </w:r>
      <w:r w:rsidR="00D445EF" w:rsidRPr="007A1790">
        <w:rPr>
          <w:rFonts w:ascii="Arial" w:eastAsia="Arial" w:hAnsi="Arial" w:cs="Arial"/>
          <w:bCs/>
          <w:lang w:eastAsia="es-ES" w:bidi="es-ES"/>
        </w:rPr>
        <w:t xml:space="preserve">ara los </w:t>
      </w:r>
      <w:r w:rsidR="00D445EF" w:rsidRPr="002204D9">
        <w:rPr>
          <w:rFonts w:ascii="Arial" w:hAnsi="Arial" w:cs="Arial"/>
          <w:lang w:val="es-MX"/>
        </w:rPr>
        <w:t>Proponentes extranjeros con trato nacional que participen en el Proceso de Contratación de manera singular o mediante la conformación de un Proponente Plural −según se dispone en el incis</w:t>
      </w:r>
      <w:r w:rsidR="00644FA3">
        <w:rPr>
          <w:rFonts w:ascii="Arial" w:hAnsi="Arial" w:cs="Arial"/>
          <w:lang w:val="es-MX"/>
        </w:rPr>
        <w:t>o tercero</w:t>
      </w:r>
      <w:r w:rsidR="00D445EF" w:rsidRPr="002204D9">
        <w:rPr>
          <w:rFonts w:ascii="Arial" w:hAnsi="Arial" w:cs="Arial"/>
          <w:lang w:val="es-MX"/>
        </w:rPr>
        <w:t xml:space="preserve"> del numeral 4.3.1−, estos podrán definir si aplican las reglas previstas en </w:t>
      </w:r>
      <w:r w:rsidR="0091525F">
        <w:rPr>
          <w:rFonts w:ascii="Arial" w:hAnsi="Arial" w:cs="Arial"/>
          <w:lang w:val="es-MX"/>
        </w:rPr>
        <w:t>el numeral 4</w:t>
      </w:r>
      <w:r w:rsidR="0091525F" w:rsidRPr="00C11B2A">
        <w:rPr>
          <w:rFonts w:ascii="Arial" w:eastAsia="Arial" w:hAnsi="Arial" w:cs="Arial"/>
          <w:bCs/>
          <w:lang w:eastAsia="es-ES" w:bidi="es-ES"/>
        </w:rPr>
        <w:t xml:space="preserve">.3.1 </w:t>
      </w:r>
      <w:r w:rsidR="0091525F">
        <w:rPr>
          <w:rFonts w:ascii="Arial" w:eastAsia="Arial" w:hAnsi="Arial" w:cs="Arial"/>
          <w:bCs/>
          <w:lang w:eastAsia="es-ES" w:bidi="es-ES"/>
        </w:rPr>
        <w:t>«</w:t>
      </w:r>
      <w:r w:rsidR="0091525F" w:rsidRPr="00C11B2A">
        <w:rPr>
          <w:rFonts w:ascii="Arial" w:eastAsia="Arial" w:hAnsi="Arial" w:cs="Arial"/>
          <w:bCs/>
          <w:lang w:eastAsia="es-ES" w:bidi="es-ES"/>
        </w:rPr>
        <w:t>Promoción de servicios nacionales o con trato nacional</w:t>
      </w:r>
      <w:r w:rsidR="0091525F">
        <w:rPr>
          <w:rFonts w:ascii="Arial" w:eastAsia="Arial" w:hAnsi="Arial" w:cs="Arial"/>
          <w:bCs/>
          <w:lang w:eastAsia="es-ES" w:bidi="es-ES"/>
        </w:rPr>
        <w:t>»</w:t>
      </w:r>
      <w:r w:rsidR="0091525F" w:rsidRPr="00C11B2A">
        <w:rPr>
          <w:rFonts w:ascii="Arial" w:eastAsia="Arial" w:hAnsi="Arial" w:cs="Arial"/>
          <w:bCs/>
          <w:lang w:eastAsia="es-ES" w:bidi="es-ES"/>
        </w:rPr>
        <w:t xml:space="preserve">, de los documentos tipo de obra pública de infraestructura de transporte – Versión 3, </w:t>
      </w:r>
      <w:r w:rsidR="00D445EF" w:rsidRPr="002204D9">
        <w:rPr>
          <w:rFonts w:ascii="Arial" w:hAnsi="Arial" w:cs="Arial"/>
          <w:lang w:val="es-MX"/>
        </w:rPr>
        <w:t xml:space="preserve">o, si por el contrario, se acogen a la regla de origen de su país. Para definir la regla aplicable al proceso, </w:t>
      </w:r>
      <w:r w:rsidR="00A46A5E">
        <w:rPr>
          <w:rFonts w:ascii="Arial" w:hAnsi="Arial" w:cs="Arial"/>
          <w:lang w:val="es-MX"/>
        </w:rPr>
        <w:t xml:space="preserve">los Proponentes extranjeros </w:t>
      </w:r>
      <w:r w:rsidR="00D445EF" w:rsidRPr="002204D9">
        <w:rPr>
          <w:rFonts w:ascii="Arial" w:hAnsi="Arial" w:cs="Arial"/>
          <w:lang w:val="es-MX"/>
        </w:rPr>
        <w:t xml:space="preserve">deben manifestarlo con el </w:t>
      </w:r>
      <w:r w:rsidR="00D445EF" w:rsidRPr="002204D9">
        <w:rPr>
          <w:rFonts w:ascii="Arial" w:hAnsi="Arial" w:cs="Arial"/>
          <w:lang w:val="es-MX"/>
        </w:rPr>
        <w:lastRenderedPageBreak/>
        <w:t>diligenciamiento de la opción 3 del Formato 9A – Promoción de Servicios Nacionales o con Trato Nacional</w:t>
      </w:r>
      <w:r w:rsidR="007A1790" w:rsidRPr="002204D9">
        <w:rPr>
          <w:rFonts w:ascii="Arial" w:hAnsi="Arial" w:cs="Arial"/>
          <w:lang w:val="es-MX"/>
        </w:rPr>
        <w:t>, en la que manifiestan su voluntad de acogerse a la regla de origen de su país</w:t>
      </w:r>
      <w:r w:rsidR="00A46A5E">
        <w:rPr>
          <w:rStyle w:val="Refdenotaalpie"/>
          <w:rFonts w:ascii="Arial" w:hAnsi="Arial" w:cs="Arial"/>
          <w:lang w:val="es-MX"/>
        </w:rPr>
        <w:footnoteReference w:id="9"/>
      </w:r>
      <w:r w:rsidR="00A46A5E">
        <w:rPr>
          <w:rFonts w:ascii="Arial" w:hAnsi="Arial" w:cs="Arial"/>
          <w:lang w:val="es-MX"/>
        </w:rPr>
        <w:t>.</w:t>
      </w:r>
      <w:r w:rsidR="002D76DA">
        <w:rPr>
          <w:rFonts w:ascii="Arial" w:hAnsi="Arial" w:cs="Arial"/>
          <w:lang w:val="es-MX"/>
        </w:rPr>
        <w:t xml:space="preserve"> Por otra parte</w:t>
      </w:r>
      <w:r w:rsidR="00D445EF" w:rsidRPr="002204D9">
        <w:rPr>
          <w:rFonts w:ascii="Arial" w:hAnsi="Arial" w:cs="Arial"/>
          <w:lang w:val="es-MX"/>
        </w:rPr>
        <w:t>,</w:t>
      </w:r>
      <w:r w:rsidR="00AF478C">
        <w:rPr>
          <w:rFonts w:ascii="Arial" w:hAnsi="Arial" w:cs="Arial"/>
          <w:lang w:val="es-MX"/>
        </w:rPr>
        <w:t xml:space="preserve"> </w:t>
      </w:r>
      <w:r w:rsidR="0038669D">
        <w:rPr>
          <w:rFonts w:ascii="Arial" w:hAnsi="Arial" w:cs="Arial"/>
          <w:lang w:val="es-MX"/>
        </w:rPr>
        <w:t xml:space="preserve">si no </w:t>
      </w:r>
      <w:r w:rsidR="008B0A91">
        <w:rPr>
          <w:rFonts w:ascii="Arial" w:hAnsi="Arial" w:cs="Arial"/>
          <w:lang w:val="es-MX"/>
        </w:rPr>
        <w:t>se diligencia este formato</w:t>
      </w:r>
      <w:r w:rsidR="00D445EF" w:rsidRPr="002204D9">
        <w:rPr>
          <w:rFonts w:ascii="Arial" w:hAnsi="Arial" w:cs="Arial"/>
          <w:lang w:val="es-MX"/>
        </w:rPr>
        <w:t>, la Entidad Estatal deberá evaluar la oferta de acuerdo con las reglas previstas en</w:t>
      </w:r>
      <w:r w:rsidR="007A1790" w:rsidRPr="002204D9">
        <w:rPr>
          <w:rFonts w:ascii="Arial" w:hAnsi="Arial" w:cs="Arial"/>
          <w:lang w:val="es-MX"/>
        </w:rPr>
        <w:t xml:space="preserve"> el numeral </w:t>
      </w:r>
      <w:r w:rsidR="007A1790" w:rsidRPr="00F86A88">
        <w:rPr>
          <w:rFonts w:ascii="Arial" w:eastAsia="Arial" w:hAnsi="Arial" w:cs="Arial"/>
          <w:bCs/>
          <w:lang w:eastAsia="es-ES" w:bidi="es-ES"/>
        </w:rPr>
        <w:t xml:space="preserve">4.3.1 </w:t>
      </w:r>
      <w:r w:rsidR="002D76DA">
        <w:rPr>
          <w:rFonts w:ascii="Arial" w:eastAsia="Arial" w:hAnsi="Arial" w:cs="Arial"/>
          <w:bCs/>
          <w:lang w:eastAsia="es-ES" w:bidi="es-ES"/>
        </w:rPr>
        <w:t>«</w:t>
      </w:r>
      <w:r w:rsidR="007A1790" w:rsidRPr="00F86A88">
        <w:rPr>
          <w:rFonts w:ascii="Arial" w:eastAsia="Arial" w:hAnsi="Arial" w:cs="Arial"/>
          <w:bCs/>
          <w:lang w:eastAsia="es-ES" w:bidi="es-ES"/>
        </w:rPr>
        <w:t>Promoción de servicios nacionales o con trato nacional</w:t>
      </w:r>
      <w:r w:rsidR="002D76DA">
        <w:rPr>
          <w:rFonts w:ascii="Arial" w:eastAsia="Arial" w:hAnsi="Arial" w:cs="Arial"/>
          <w:bCs/>
          <w:lang w:eastAsia="es-ES" w:bidi="es-ES"/>
        </w:rPr>
        <w:t>» del documento base o pliego tipo.</w:t>
      </w:r>
    </w:p>
    <w:p w14:paraId="382E0B1E" w14:textId="6B1C3BCF" w:rsidR="00431D13" w:rsidRDefault="00431D13" w:rsidP="002204D9">
      <w:pPr>
        <w:widowControl w:val="0"/>
        <w:autoSpaceDE w:val="0"/>
        <w:autoSpaceDN w:val="0"/>
        <w:spacing w:after="0" w:line="276" w:lineRule="auto"/>
        <w:ind w:firstLine="709"/>
        <w:jc w:val="both"/>
        <w:rPr>
          <w:rFonts w:ascii="Arial" w:eastAsia="Arial" w:hAnsi="Arial" w:cs="Arial"/>
          <w:bCs/>
          <w:lang w:eastAsia="es-ES" w:bidi="es-ES"/>
        </w:rPr>
      </w:pPr>
      <w:r w:rsidRPr="00431D13">
        <w:rPr>
          <w:rFonts w:ascii="Arial" w:eastAsia="Arial" w:hAnsi="Arial" w:cs="Arial"/>
          <w:bCs/>
          <w:lang w:eastAsia="es-ES" w:bidi="es-ES"/>
        </w:rPr>
        <w:t xml:space="preserve">Asimismo, </w:t>
      </w:r>
      <w:r w:rsidR="002D76DA">
        <w:rPr>
          <w:rFonts w:ascii="Arial" w:eastAsia="Arial" w:hAnsi="Arial" w:cs="Arial"/>
          <w:bCs/>
          <w:lang w:eastAsia="es-ES" w:bidi="es-ES"/>
        </w:rPr>
        <w:t xml:space="preserve">en el numeral </w:t>
      </w:r>
      <w:r w:rsidR="002D76DA">
        <w:rPr>
          <w:rFonts w:ascii="Arial" w:hAnsi="Arial" w:cs="Arial"/>
          <w:lang w:val="es-MX"/>
        </w:rPr>
        <w:t>4</w:t>
      </w:r>
      <w:r w:rsidR="002D76DA" w:rsidRPr="00C11B2A">
        <w:rPr>
          <w:rFonts w:ascii="Arial" w:eastAsia="Arial" w:hAnsi="Arial" w:cs="Arial"/>
          <w:bCs/>
          <w:lang w:eastAsia="es-ES" w:bidi="es-ES"/>
        </w:rPr>
        <w:t xml:space="preserve">.3.1 </w:t>
      </w:r>
      <w:r w:rsidR="002D76DA">
        <w:rPr>
          <w:rFonts w:ascii="Arial" w:eastAsia="Arial" w:hAnsi="Arial" w:cs="Arial"/>
          <w:bCs/>
          <w:lang w:eastAsia="es-ES" w:bidi="es-ES"/>
        </w:rPr>
        <w:t>«</w:t>
      </w:r>
      <w:r w:rsidR="002D76DA" w:rsidRPr="00C11B2A">
        <w:rPr>
          <w:rFonts w:ascii="Arial" w:eastAsia="Arial" w:hAnsi="Arial" w:cs="Arial"/>
          <w:bCs/>
          <w:lang w:eastAsia="es-ES" w:bidi="es-ES"/>
        </w:rPr>
        <w:t>Promoción de servicios nacionales o con trato nacional</w:t>
      </w:r>
      <w:r w:rsidR="002D76DA">
        <w:rPr>
          <w:rFonts w:ascii="Arial" w:eastAsia="Arial" w:hAnsi="Arial" w:cs="Arial"/>
          <w:bCs/>
          <w:lang w:eastAsia="es-ES" w:bidi="es-ES"/>
        </w:rPr>
        <w:t>»</w:t>
      </w:r>
      <w:r w:rsidR="002D76DA" w:rsidRPr="00C11B2A">
        <w:rPr>
          <w:rFonts w:ascii="Arial" w:eastAsia="Arial" w:hAnsi="Arial" w:cs="Arial"/>
          <w:bCs/>
          <w:lang w:eastAsia="es-ES" w:bidi="es-ES"/>
        </w:rPr>
        <w:t xml:space="preserve">, de los documentos tipo </w:t>
      </w:r>
      <w:r w:rsidR="0006207C">
        <w:rPr>
          <w:rFonts w:ascii="Arial" w:eastAsia="Arial" w:hAnsi="Arial" w:cs="Arial"/>
          <w:bCs/>
          <w:lang w:eastAsia="es-ES" w:bidi="es-ES"/>
        </w:rPr>
        <w:t xml:space="preserve">de licitación </w:t>
      </w:r>
      <w:r w:rsidR="002D76DA" w:rsidRPr="00C11B2A">
        <w:rPr>
          <w:rFonts w:ascii="Arial" w:eastAsia="Arial" w:hAnsi="Arial" w:cs="Arial"/>
          <w:bCs/>
          <w:lang w:eastAsia="es-ES" w:bidi="es-ES"/>
        </w:rPr>
        <w:t>de obra pública de infraestructura de transporte – Versión 3</w:t>
      </w:r>
      <w:r w:rsidR="002D76DA">
        <w:rPr>
          <w:rFonts w:ascii="Arial" w:eastAsia="Arial" w:hAnsi="Arial" w:cs="Arial"/>
          <w:bCs/>
          <w:lang w:eastAsia="es-ES" w:bidi="es-ES"/>
        </w:rPr>
        <w:t xml:space="preserve">, </w:t>
      </w:r>
      <w:r w:rsidRPr="00431D13">
        <w:rPr>
          <w:rFonts w:ascii="Arial" w:eastAsia="Arial" w:hAnsi="Arial" w:cs="Arial"/>
          <w:bCs/>
          <w:lang w:eastAsia="es-ES" w:bidi="es-ES"/>
        </w:rPr>
        <w:t>se implementan reglas que garanti</w:t>
      </w:r>
      <w:r w:rsidR="0089705E">
        <w:rPr>
          <w:rFonts w:ascii="Arial" w:eastAsia="Arial" w:hAnsi="Arial" w:cs="Arial"/>
          <w:bCs/>
          <w:lang w:eastAsia="es-ES" w:bidi="es-ES"/>
        </w:rPr>
        <w:t>zan</w:t>
      </w:r>
      <w:r w:rsidRPr="00431D13">
        <w:rPr>
          <w:rFonts w:ascii="Arial" w:eastAsia="Arial" w:hAnsi="Arial" w:cs="Arial"/>
          <w:bCs/>
          <w:lang w:eastAsia="es-ES" w:bidi="es-ES"/>
        </w:rPr>
        <w:t xml:space="preserve"> que las entidades estatales en sus procesos de contratación definan de manera razonable y proporcional los bienes nacionales relevantes</w:t>
      </w:r>
      <w:r w:rsidR="000414C9">
        <w:rPr>
          <w:rFonts w:ascii="Arial" w:eastAsia="Arial" w:hAnsi="Arial" w:cs="Arial"/>
          <w:bCs/>
          <w:lang w:eastAsia="es-ES" w:bidi="es-ES"/>
        </w:rPr>
        <w:t>.</w:t>
      </w:r>
      <w:r w:rsidRPr="00431D13">
        <w:rPr>
          <w:rFonts w:ascii="Arial" w:eastAsia="Arial" w:hAnsi="Arial" w:cs="Arial"/>
          <w:bCs/>
          <w:lang w:eastAsia="es-ES" w:bidi="es-ES"/>
        </w:rPr>
        <w:t xml:space="preserve"> </w:t>
      </w:r>
      <w:r w:rsidR="002D76DA">
        <w:rPr>
          <w:rFonts w:ascii="Arial" w:eastAsia="Arial" w:hAnsi="Arial" w:cs="Arial"/>
          <w:bCs/>
          <w:lang w:eastAsia="es-ES" w:bidi="es-ES"/>
        </w:rPr>
        <w:t>En este sentido, en el citado numeral se establece que:</w:t>
      </w:r>
    </w:p>
    <w:p w14:paraId="11F17543" w14:textId="77777777" w:rsidR="0097362F" w:rsidRDefault="0097362F" w:rsidP="002204D9">
      <w:pPr>
        <w:widowControl w:val="0"/>
        <w:autoSpaceDE w:val="0"/>
        <w:autoSpaceDN w:val="0"/>
        <w:spacing w:after="0" w:line="276" w:lineRule="auto"/>
        <w:ind w:firstLine="709"/>
        <w:jc w:val="both"/>
        <w:rPr>
          <w:rFonts w:ascii="Arial" w:eastAsia="Arial" w:hAnsi="Arial" w:cs="Arial"/>
          <w:bCs/>
          <w:lang w:eastAsia="es-ES" w:bidi="es-ES"/>
        </w:rPr>
      </w:pPr>
    </w:p>
    <w:p w14:paraId="6D00EA33" w14:textId="77777777" w:rsidR="0097362F" w:rsidRPr="002204D9" w:rsidRDefault="0097362F" w:rsidP="002204D9">
      <w:pPr>
        <w:spacing w:after="0"/>
        <w:ind w:left="709" w:right="709"/>
        <w:jc w:val="both"/>
        <w:rPr>
          <w:rFonts w:ascii="Arial" w:hAnsi="Arial"/>
          <w:color w:val="000000" w:themeColor="text1"/>
          <w:sz w:val="21"/>
          <w:szCs w:val="21"/>
          <w:lang w:val="es-MX"/>
        </w:rPr>
      </w:pPr>
      <w:r w:rsidRPr="002204D9">
        <w:rPr>
          <w:rFonts w:ascii="Arial" w:hAnsi="Arial"/>
          <w:color w:val="000000" w:themeColor="text1"/>
          <w:sz w:val="21"/>
          <w:szCs w:val="21"/>
          <w:highlight w:val="lightGray"/>
          <w:lang w:val="es-MX"/>
        </w:rPr>
        <w:t>[Para determinar uno o varios bienes nacionales relevantes, la Entidad Estatal debe aplicar los criterios establecidos en el artículo 2.2.1.2.4.2.9. del Decreto 1082 de 2015, lo cual constará en los estudios y documentos previos y en las reglas definidas en la Matriz 4 – Bienes nacionales relevantes para la obra pública del sector transporte]:</w:t>
      </w:r>
    </w:p>
    <w:p w14:paraId="2C812FE4" w14:textId="7CCB8E15" w:rsidR="002D76DA" w:rsidRDefault="002D76DA" w:rsidP="002204D9">
      <w:pPr>
        <w:widowControl w:val="0"/>
        <w:autoSpaceDE w:val="0"/>
        <w:autoSpaceDN w:val="0"/>
        <w:spacing w:after="0" w:line="276" w:lineRule="auto"/>
        <w:jc w:val="both"/>
        <w:rPr>
          <w:rFonts w:ascii="Arial" w:eastAsia="Arial" w:hAnsi="Arial" w:cs="Arial"/>
          <w:bCs/>
          <w:lang w:eastAsia="es-ES" w:bidi="es-ES"/>
        </w:rPr>
      </w:pPr>
    </w:p>
    <w:p w14:paraId="0FAE0820" w14:textId="0304AF43" w:rsidR="00AB5BDF" w:rsidRDefault="0097362F" w:rsidP="00AB5BDF">
      <w:pPr>
        <w:widowControl w:val="0"/>
        <w:autoSpaceDE w:val="0"/>
        <w:autoSpaceDN w:val="0"/>
        <w:spacing w:after="120" w:line="276" w:lineRule="auto"/>
        <w:ind w:firstLine="709"/>
        <w:jc w:val="both"/>
        <w:rPr>
          <w:rFonts w:ascii="Arial" w:eastAsia="Arial" w:hAnsi="Arial" w:cs="Arial"/>
          <w:bCs/>
          <w:lang w:eastAsia="es-ES" w:bidi="es-ES"/>
        </w:rPr>
      </w:pPr>
      <w:r>
        <w:rPr>
          <w:rFonts w:ascii="Arial" w:eastAsia="Arial" w:hAnsi="Arial" w:cs="Arial"/>
          <w:bCs/>
          <w:lang w:eastAsia="es-ES" w:bidi="es-ES"/>
        </w:rPr>
        <w:t xml:space="preserve">Lo anterior guarda relación con los dispuesto en el artículo 2 del Decreto 680 de 2021, en donde se consagra la metodología con fundamento en la cual la entidad estatal debe definir los bienes colombianos relevantes y otorgar el puntaje de que trata el inciso 1 del artículo 2 de la Ley 816 de 2003. </w:t>
      </w:r>
    </w:p>
    <w:p w14:paraId="749A542C" w14:textId="539B0EDC" w:rsidR="002D76DA" w:rsidRDefault="00A04016" w:rsidP="002204D9">
      <w:pPr>
        <w:widowControl w:val="0"/>
        <w:autoSpaceDE w:val="0"/>
        <w:autoSpaceDN w:val="0"/>
        <w:spacing w:after="120" w:line="276" w:lineRule="auto"/>
        <w:ind w:firstLine="709"/>
        <w:jc w:val="both"/>
        <w:rPr>
          <w:rFonts w:ascii="Arial" w:eastAsia="Calibri" w:hAnsi="Arial" w:cs="Arial"/>
          <w:bCs/>
          <w:color w:val="000000" w:themeColor="text1"/>
          <w:lang w:val="es-ES_tradnl"/>
        </w:rPr>
      </w:pPr>
      <w:r w:rsidRPr="00A04016">
        <w:rPr>
          <w:rFonts w:ascii="Arial" w:eastAsia="Arial" w:hAnsi="Arial" w:cs="Arial"/>
          <w:bCs/>
          <w:lang w:eastAsia="es-ES" w:bidi="es-ES"/>
        </w:rPr>
        <w:t>P</w:t>
      </w:r>
      <w:r w:rsidR="004218AD" w:rsidRPr="00A04016">
        <w:rPr>
          <w:rFonts w:ascii="Arial" w:eastAsia="Arial" w:hAnsi="Arial" w:cs="Arial"/>
          <w:bCs/>
          <w:lang w:eastAsia="es-ES" w:bidi="es-ES"/>
        </w:rPr>
        <w:t xml:space="preserve">ara determinar uno o varios bienes nacionales relevantes la entidad estatal debe aplicar los criterios establecidos en el artículo </w:t>
      </w:r>
      <w:r w:rsidR="004218AD" w:rsidRPr="002204D9">
        <w:rPr>
          <w:rFonts w:ascii="Arial" w:eastAsia="Arial" w:hAnsi="Arial" w:cs="Arial"/>
          <w:lang w:val="es-419"/>
        </w:rPr>
        <w:t xml:space="preserve">2.2.1.2.4.2.9. del Decreto 1082 de 2015 </w:t>
      </w:r>
      <w:r w:rsidR="00044832" w:rsidRPr="00A04016">
        <w:rPr>
          <w:rFonts w:ascii="Arial" w:eastAsia="Calibri" w:hAnsi="Arial" w:cs="Arial"/>
          <w:bCs/>
          <w:color w:val="000000" w:themeColor="text1"/>
          <w:lang w:val="es-ES_tradnl"/>
        </w:rPr>
        <w:t xml:space="preserve">adicionado por el Decreto 680 de 2021, a saber: i) «el análisis del sector económico y de los oferentes, y, toda aquella información adicional con la que cuente la entidad estatal en la etapa de planeación del Proceso de Contratación», ii) el porcentaje de participación de los bienes en el presupuesto del Proceso de Contratación y iii) la existencia de los bienes en el Registro de Productores de Bienes Nacionales, en los términos del Decreto 2680 de </w:t>
      </w:r>
      <w:r w:rsidR="00044832" w:rsidRPr="00A04016">
        <w:rPr>
          <w:rFonts w:ascii="Arial" w:eastAsia="Calibri" w:hAnsi="Arial" w:cs="Arial"/>
          <w:bCs/>
          <w:color w:val="000000" w:themeColor="text1"/>
          <w:lang w:val="es-ES_tradnl"/>
        </w:rPr>
        <w:lastRenderedPageBreak/>
        <w:t>2009.</w:t>
      </w:r>
      <w:r w:rsidR="00AB5BDF" w:rsidRPr="00A04016">
        <w:rPr>
          <w:rFonts w:ascii="Arial" w:eastAsia="Calibri" w:hAnsi="Arial" w:cs="Arial"/>
          <w:bCs/>
          <w:color w:val="000000" w:themeColor="text1"/>
          <w:lang w:val="es-ES_tradnl"/>
        </w:rPr>
        <w:t xml:space="preserve"> </w:t>
      </w:r>
      <w:r w:rsidR="00AB5BDF" w:rsidRPr="002204D9">
        <w:rPr>
          <w:rFonts w:ascii="Arial" w:eastAsia="Arial" w:hAnsi="Arial" w:cs="Arial"/>
          <w:lang w:val="es-419"/>
        </w:rPr>
        <w:t>Además de estos tres</w:t>
      </w:r>
      <w:r w:rsidR="00EF6053">
        <w:rPr>
          <w:rFonts w:ascii="Arial" w:eastAsia="Arial" w:hAnsi="Arial" w:cs="Arial"/>
          <w:lang w:val="es-419"/>
        </w:rPr>
        <w:t xml:space="preserve"> criterios</w:t>
      </w:r>
      <w:r w:rsidR="00AB5BDF" w:rsidRPr="002204D9">
        <w:rPr>
          <w:rFonts w:ascii="Arial" w:eastAsia="Arial" w:hAnsi="Arial" w:cs="Arial"/>
          <w:lang w:val="es-419"/>
        </w:rPr>
        <w:t xml:space="preserve">, la entidad estatal deberá aplicar </w:t>
      </w:r>
      <w:r w:rsidR="00EF6053">
        <w:rPr>
          <w:rFonts w:ascii="Arial" w:eastAsia="Arial" w:hAnsi="Arial" w:cs="Arial"/>
          <w:lang w:val="es-419"/>
        </w:rPr>
        <w:t xml:space="preserve">los parámetros </w:t>
      </w:r>
      <w:r w:rsidR="00C43204">
        <w:rPr>
          <w:rFonts w:ascii="Arial" w:eastAsia="Arial" w:hAnsi="Arial" w:cs="Arial"/>
          <w:lang w:val="es-419"/>
        </w:rPr>
        <w:t xml:space="preserve">contenidos </w:t>
      </w:r>
      <w:r w:rsidR="00AB5BDF" w:rsidRPr="002204D9">
        <w:rPr>
          <w:rFonts w:ascii="Arial" w:eastAsia="Arial" w:hAnsi="Arial" w:cs="Arial"/>
          <w:lang w:val="es-419"/>
        </w:rPr>
        <w:t xml:space="preserve">en la </w:t>
      </w:r>
      <w:r w:rsidR="00AB5BDF" w:rsidRPr="00A04016">
        <w:rPr>
          <w:rFonts w:ascii="Arial" w:eastAsia="Arial" w:hAnsi="Arial" w:cs="Arial"/>
          <w:bCs/>
          <w:lang w:eastAsia="es-ES" w:bidi="es-ES"/>
        </w:rPr>
        <w:t>Matriz 4 – Bienes nacionales relevantes para la obra pública del sector transporte</w:t>
      </w:r>
      <w:r w:rsidR="00C43204">
        <w:rPr>
          <w:rFonts w:ascii="Arial" w:eastAsia="Arial" w:hAnsi="Arial" w:cs="Arial"/>
          <w:bCs/>
          <w:lang w:eastAsia="es-ES" w:bidi="es-ES"/>
        </w:rPr>
        <w:t>, en la que s</w:t>
      </w:r>
      <w:r w:rsidR="00AB5BDF" w:rsidRPr="00A04016">
        <w:rPr>
          <w:rFonts w:ascii="Arial" w:eastAsia="Calibri" w:hAnsi="Arial" w:cs="Arial"/>
          <w:bCs/>
          <w:color w:val="000000" w:themeColor="text1"/>
          <w:lang w:val="es-ES_tradnl"/>
        </w:rPr>
        <w:t xml:space="preserve">e desarrolla </w:t>
      </w:r>
      <w:r w:rsidR="00C6497A" w:rsidRPr="00A04016">
        <w:rPr>
          <w:rFonts w:ascii="Arial" w:eastAsia="Calibri" w:hAnsi="Arial" w:cs="Arial"/>
          <w:bCs/>
          <w:color w:val="000000" w:themeColor="text1"/>
          <w:lang w:val="es-ES_tradnl"/>
        </w:rPr>
        <w:t>una metodología para identificar los bienes nacionales relevantes para la ejecución del objeto a contrata</w:t>
      </w:r>
      <w:r w:rsidR="00B4770F">
        <w:rPr>
          <w:rFonts w:ascii="Arial" w:eastAsia="Calibri" w:hAnsi="Arial" w:cs="Arial"/>
          <w:bCs/>
          <w:color w:val="000000" w:themeColor="text1"/>
          <w:lang w:val="es-ES_tradnl"/>
        </w:rPr>
        <w:t>r.</w:t>
      </w:r>
      <w:r w:rsidR="00C6497A" w:rsidRPr="00A04016">
        <w:rPr>
          <w:rFonts w:ascii="Arial" w:eastAsia="Calibri" w:hAnsi="Arial" w:cs="Arial"/>
          <w:bCs/>
          <w:color w:val="000000" w:themeColor="text1"/>
          <w:lang w:val="es-ES_tradnl"/>
        </w:rPr>
        <w:t xml:space="preserve"> </w:t>
      </w:r>
    </w:p>
    <w:p w14:paraId="7AAC3298" w14:textId="52089F34" w:rsidR="00B4770F" w:rsidRDefault="00B4770F" w:rsidP="00B4770F">
      <w:pPr>
        <w:autoSpaceDE w:val="0"/>
        <w:autoSpaceDN w:val="0"/>
        <w:adjustRightInd w:val="0"/>
        <w:spacing w:after="0" w:line="240" w:lineRule="auto"/>
        <w:ind w:firstLine="708"/>
        <w:jc w:val="both"/>
        <w:rPr>
          <w:rFonts w:ascii="Arial" w:eastAsia="Calibri" w:hAnsi="Arial" w:cs="Arial"/>
          <w:bCs/>
          <w:color w:val="000000" w:themeColor="text1"/>
          <w:lang w:val="es-ES_tradnl"/>
        </w:rPr>
      </w:pPr>
      <w:r w:rsidRPr="00B4770F">
        <w:rPr>
          <w:rFonts w:ascii="Arial" w:eastAsia="Calibri" w:hAnsi="Arial" w:cs="Arial"/>
          <w:bCs/>
          <w:color w:val="000000" w:themeColor="text1"/>
          <w:lang w:val="es-ES_tradnl"/>
        </w:rPr>
        <w:t>A continuación, se enuncian los pasos a seguir que contiene la Matriz 4 – Bienes</w:t>
      </w:r>
      <w:r>
        <w:rPr>
          <w:rFonts w:ascii="Arial" w:eastAsia="Calibri" w:hAnsi="Arial" w:cs="Arial"/>
          <w:bCs/>
          <w:color w:val="000000" w:themeColor="text1"/>
          <w:lang w:val="es-ES_tradnl"/>
        </w:rPr>
        <w:t xml:space="preserve"> </w:t>
      </w:r>
      <w:r w:rsidRPr="00B4770F">
        <w:rPr>
          <w:rFonts w:ascii="Arial" w:eastAsia="Calibri" w:hAnsi="Arial" w:cs="Arial"/>
          <w:bCs/>
          <w:color w:val="000000" w:themeColor="text1"/>
          <w:lang w:val="es-ES_tradnl"/>
        </w:rPr>
        <w:t>nacionales relevantes para la obra pública del sector transporte, para la identificación de</w:t>
      </w:r>
      <w:r>
        <w:rPr>
          <w:rFonts w:ascii="Arial" w:eastAsia="Calibri" w:hAnsi="Arial" w:cs="Arial"/>
          <w:bCs/>
          <w:color w:val="000000" w:themeColor="text1"/>
          <w:lang w:val="es-ES_tradnl"/>
        </w:rPr>
        <w:t xml:space="preserve"> </w:t>
      </w:r>
      <w:r w:rsidRPr="00B4770F">
        <w:rPr>
          <w:rFonts w:ascii="Arial" w:eastAsia="Calibri" w:hAnsi="Arial" w:cs="Arial"/>
          <w:bCs/>
          <w:color w:val="000000" w:themeColor="text1"/>
          <w:lang w:val="es-ES_tradnl"/>
        </w:rPr>
        <w:t>los bienes nacionales relevantes</w:t>
      </w:r>
      <w:r>
        <w:rPr>
          <w:rFonts w:ascii="Arial" w:eastAsia="Calibri" w:hAnsi="Arial" w:cs="Arial"/>
          <w:bCs/>
          <w:color w:val="000000" w:themeColor="text1"/>
          <w:lang w:val="es-ES_tradnl"/>
        </w:rPr>
        <w:t>:</w:t>
      </w:r>
    </w:p>
    <w:p w14:paraId="2FD071B2" w14:textId="6AA69167" w:rsidR="00B4770F" w:rsidRDefault="00B4770F" w:rsidP="00B4770F">
      <w:pPr>
        <w:autoSpaceDE w:val="0"/>
        <w:autoSpaceDN w:val="0"/>
        <w:adjustRightInd w:val="0"/>
        <w:spacing w:after="0" w:line="240" w:lineRule="auto"/>
        <w:ind w:firstLine="708"/>
        <w:jc w:val="both"/>
        <w:rPr>
          <w:rFonts w:ascii="Arial" w:eastAsia="Calibri" w:hAnsi="Arial" w:cs="Arial"/>
          <w:bCs/>
          <w:color w:val="000000" w:themeColor="text1"/>
          <w:lang w:val="es-ES_tradnl"/>
        </w:rPr>
      </w:pPr>
    </w:p>
    <w:p w14:paraId="10100539" w14:textId="77777777" w:rsidR="00B4770F" w:rsidRPr="002204D9" w:rsidRDefault="00B4770F" w:rsidP="00B4770F">
      <w:pPr>
        <w:numPr>
          <w:ilvl w:val="0"/>
          <w:numId w:val="1"/>
        </w:numPr>
        <w:tabs>
          <w:tab w:val="left" w:pos="1134"/>
        </w:tabs>
        <w:spacing w:after="120" w:line="240" w:lineRule="auto"/>
        <w:ind w:left="1069" w:right="709"/>
        <w:contextualSpacing/>
        <w:jc w:val="both"/>
        <w:rPr>
          <w:rFonts w:ascii="Arial" w:eastAsia="Arial" w:hAnsi="Arial" w:cs="Arial"/>
          <w:i/>
          <w:color w:val="000000"/>
          <w:sz w:val="19"/>
          <w:szCs w:val="19"/>
        </w:rPr>
      </w:pPr>
      <w:r w:rsidRPr="002204D9">
        <w:rPr>
          <w:rFonts w:ascii="Arial" w:eastAsia="Arial" w:hAnsi="Arial" w:cs="Arial"/>
          <w:iCs/>
          <w:color w:val="000000"/>
          <w:sz w:val="19"/>
          <w:szCs w:val="19"/>
        </w:rPr>
        <w:t xml:space="preserve">Identificar dentro del Presupuesto </w:t>
      </w:r>
      <w:r w:rsidRPr="002204D9">
        <w:rPr>
          <w:rFonts w:ascii="Arial" w:eastAsia="Arial" w:hAnsi="Arial" w:cs="Arial"/>
          <w:color w:val="000000"/>
          <w:sz w:val="19"/>
          <w:szCs w:val="19"/>
        </w:rPr>
        <w:t>O</w:t>
      </w:r>
      <w:r w:rsidRPr="002204D9">
        <w:rPr>
          <w:rFonts w:ascii="Arial" w:eastAsia="Arial" w:hAnsi="Arial" w:cs="Arial"/>
          <w:iCs/>
          <w:color w:val="000000"/>
          <w:sz w:val="19"/>
          <w:szCs w:val="19"/>
        </w:rPr>
        <w:t>ficial los bienes o insumos requeridos para la ejecución del proyecto.</w:t>
      </w:r>
    </w:p>
    <w:p w14:paraId="51A51F71" w14:textId="77777777" w:rsidR="00B4770F" w:rsidRPr="002204D9" w:rsidRDefault="00B4770F" w:rsidP="00B4770F">
      <w:pPr>
        <w:pStyle w:val="Prrafodelista"/>
        <w:numPr>
          <w:ilvl w:val="0"/>
          <w:numId w:val="1"/>
        </w:numPr>
        <w:tabs>
          <w:tab w:val="left" w:pos="1134"/>
        </w:tabs>
        <w:spacing w:after="120"/>
        <w:ind w:left="1069" w:right="709"/>
        <w:rPr>
          <w:rFonts w:cs="Arial"/>
          <w:i/>
          <w:color w:val="000000"/>
          <w:sz w:val="19"/>
          <w:szCs w:val="19"/>
          <w:lang w:val="es-CO"/>
        </w:rPr>
      </w:pPr>
      <w:r w:rsidRPr="002204D9">
        <w:rPr>
          <w:rFonts w:cs="Arial"/>
          <w:color w:val="000000"/>
          <w:sz w:val="19"/>
          <w:szCs w:val="19"/>
          <w:lang w:val="es-CO"/>
        </w:rPr>
        <w:t xml:space="preserve">Calcular el </w:t>
      </w:r>
      <w:r w:rsidRPr="002204D9">
        <w:rPr>
          <w:rFonts w:cs="Arial"/>
          <w:b/>
          <w:i/>
          <w:color w:val="000000"/>
          <w:sz w:val="19"/>
          <w:szCs w:val="19"/>
          <w:lang w:val="es-CO"/>
        </w:rPr>
        <w:t xml:space="preserve">valor parcial </w:t>
      </w:r>
      <w:r w:rsidRPr="002204D9">
        <w:rPr>
          <w:rFonts w:cs="Arial"/>
          <w:color w:val="000000"/>
          <w:sz w:val="19"/>
          <w:szCs w:val="19"/>
          <w:lang w:val="es-CO"/>
        </w:rPr>
        <w:t>de los bienes o insumos identificados, para lo cual se deberá multiplicar el valor unitario de cada uno por la cantidad requerida.</w:t>
      </w:r>
    </w:p>
    <w:p w14:paraId="46B413AF" w14:textId="77777777" w:rsidR="00B4770F" w:rsidRPr="002204D9" w:rsidRDefault="00B4770F" w:rsidP="00B4770F">
      <w:pPr>
        <w:pStyle w:val="Prrafodelista"/>
        <w:spacing w:after="120"/>
        <w:ind w:left="709" w:right="709"/>
        <w:rPr>
          <w:rFonts w:cs="Arial"/>
          <w:i/>
          <w:color w:val="000000"/>
          <w:sz w:val="19"/>
          <w:szCs w:val="19"/>
          <w:lang w:val="es-CO"/>
        </w:rPr>
      </w:pPr>
    </w:p>
    <w:p w14:paraId="0563EE0E" w14:textId="77777777" w:rsidR="00B4770F" w:rsidRPr="002204D9" w:rsidRDefault="00B4770F" w:rsidP="00B4770F">
      <w:pPr>
        <w:pStyle w:val="Prrafodelista"/>
        <w:numPr>
          <w:ilvl w:val="0"/>
          <w:numId w:val="1"/>
        </w:numPr>
        <w:tabs>
          <w:tab w:val="left" w:pos="1134"/>
        </w:tabs>
        <w:spacing w:after="120"/>
        <w:ind w:left="1069" w:right="709"/>
        <w:rPr>
          <w:rFonts w:cs="Arial"/>
          <w:i/>
          <w:color w:val="000000"/>
          <w:sz w:val="19"/>
          <w:szCs w:val="19"/>
          <w:lang w:val="es-CO"/>
        </w:rPr>
      </w:pPr>
      <w:r w:rsidRPr="002204D9">
        <w:rPr>
          <w:rFonts w:cs="Arial"/>
          <w:color w:val="000000"/>
          <w:sz w:val="19"/>
          <w:szCs w:val="19"/>
          <w:lang w:val="es-CO"/>
        </w:rPr>
        <w:t>Calcular el</w:t>
      </w:r>
      <w:r w:rsidRPr="002204D9">
        <w:rPr>
          <w:rFonts w:cs="Arial"/>
          <w:b/>
          <w:i/>
          <w:color w:val="000000"/>
          <w:sz w:val="19"/>
          <w:szCs w:val="19"/>
          <w:lang w:val="es-CO"/>
        </w:rPr>
        <w:t xml:space="preserve"> valor total</w:t>
      </w:r>
      <w:r w:rsidRPr="002204D9">
        <w:rPr>
          <w:rFonts w:cs="Arial"/>
          <w:bCs/>
          <w:iCs/>
          <w:color w:val="000000"/>
          <w:sz w:val="19"/>
          <w:szCs w:val="19"/>
          <w:lang w:val="es-CO"/>
        </w:rPr>
        <w:t xml:space="preserve"> </w:t>
      </w:r>
      <w:r w:rsidRPr="002204D9">
        <w:rPr>
          <w:rFonts w:cs="Arial"/>
          <w:color w:val="000000"/>
          <w:sz w:val="19"/>
          <w:szCs w:val="19"/>
          <w:lang w:val="es-CO"/>
        </w:rPr>
        <w:t>realizando la sumatoria</w:t>
      </w:r>
      <w:r w:rsidRPr="002204D9">
        <w:rPr>
          <w:rFonts w:cs="Arial"/>
          <w:b/>
          <w:i/>
          <w:color w:val="000000"/>
          <w:sz w:val="19"/>
          <w:szCs w:val="19"/>
          <w:lang w:val="es-CO"/>
        </w:rPr>
        <w:t xml:space="preserve"> </w:t>
      </w:r>
      <w:r w:rsidRPr="002204D9">
        <w:rPr>
          <w:rFonts w:cs="Arial"/>
          <w:color w:val="000000"/>
          <w:sz w:val="19"/>
          <w:szCs w:val="19"/>
          <w:lang w:val="es-CO"/>
        </w:rPr>
        <w:t xml:space="preserve">de los </w:t>
      </w:r>
      <w:r w:rsidRPr="002204D9">
        <w:rPr>
          <w:rFonts w:cs="Arial"/>
          <w:b/>
          <w:i/>
          <w:color w:val="000000"/>
          <w:sz w:val="19"/>
          <w:szCs w:val="19"/>
          <w:lang w:val="es-CO"/>
        </w:rPr>
        <w:t>valores parciales</w:t>
      </w:r>
      <w:r w:rsidRPr="002204D9">
        <w:rPr>
          <w:rFonts w:cs="Arial"/>
          <w:color w:val="000000"/>
          <w:sz w:val="19"/>
          <w:szCs w:val="19"/>
          <w:lang w:val="es-CO"/>
        </w:rPr>
        <w:t xml:space="preserve"> de los bienes o insumos requeridos en el proyecto.</w:t>
      </w:r>
    </w:p>
    <w:p w14:paraId="65B03B84" w14:textId="77777777" w:rsidR="00B4770F" w:rsidRPr="002204D9" w:rsidRDefault="00B4770F" w:rsidP="00B4770F">
      <w:pPr>
        <w:pStyle w:val="Prrafodelista"/>
        <w:spacing w:after="120"/>
        <w:ind w:left="709" w:right="709"/>
        <w:rPr>
          <w:rFonts w:cs="Arial"/>
          <w:i/>
          <w:color w:val="000000"/>
          <w:sz w:val="19"/>
          <w:szCs w:val="19"/>
          <w:lang w:val="es-CO"/>
        </w:rPr>
      </w:pPr>
    </w:p>
    <w:p w14:paraId="34E82C24" w14:textId="77777777" w:rsidR="00B4770F" w:rsidRPr="002204D9" w:rsidRDefault="00B4770F" w:rsidP="00B4770F">
      <w:pPr>
        <w:pStyle w:val="Prrafodelista"/>
        <w:numPr>
          <w:ilvl w:val="0"/>
          <w:numId w:val="1"/>
        </w:numPr>
        <w:tabs>
          <w:tab w:val="left" w:pos="1134"/>
        </w:tabs>
        <w:spacing w:after="120"/>
        <w:ind w:left="1069" w:right="709"/>
        <w:rPr>
          <w:rFonts w:cs="Arial"/>
          <w:i/>
          <w:color w:val="000000"/>
          <w:sz w:val="19"/>
          <w:szCs w:val="19"/>
          <w:lang w:val="es-CO"/>
        </w:rPr>
      </w:pPr>
      <w:r w:rsidRPr="002204D9">
        <w:rPr>
          <w:rFonts w:cs="Arial"/>
          <w:color w:val="000000"/>
          <w:sz w:val="19"/>
          <w:szCs w:val="19"/>
          <w:lang w:val="es-CO"/>
        </w:rPr>
        <w:t xml:space="preserve">Determinar el </w:t>
      </w:r>
      <w:r w:rsidRPr="002204D9">
        <w:rPr>
          <w:rFonts w:cs="Arial"/>
          <w:b/>
          <w:i/>
          <w:color w:val="000000"/>
          <w:sz w:val="19"/>
          <w:szCs w:val="19"/>
          <w:lang w:val="es-CO"/>
        </w:rPr>
        <w:t>porcentaje de participación</w:t>
      </w:r>
      <w:r w:rsidRPr="002204D9">
        <w:rPr>
          <w:rFonts w:cs="Arial"/>
          <w:i/>
          <w:color w:val="000000"/>
          <w:sz w:val="19"/>
          <w:szCs w:val="19"/>
          <w:lang w:val="es-CO"/>
        </w:rPr>
        <w:t xml:space="preserve"> </w:t>
      </w:r>
      <w:r w:rsidRPr="002204D9">
        <w:rPr>
          <w:rFonts w:cs="Arial"/>
          <w:color w:val="000000"/>
          <w:sz w:val="19"/>
          <w:szCs w:val="19"/>
          <w:lang w:val="es-CO"/>
        </w:rPr>
        <w:t xml:space="preserve">de cada bien o insumo usando su </w:t>
      </w:r>
      <w:r w:rsidRPr="002204D9">
        <w:rPr>
          <w:rFonts w:cs="Arial"/>
          <w:b/>
          <w:i/>
          <w:color w:val="000000"/>
          <w:sz w:val="19"/>
          <w:szCs w:val="19"/>
          <w:lang w:val="es-CO"/>
        </w:rPr>
        <w:t>valor parcial</w:t>
      </w:r>
      <w:r w:rsidRPr="002204D9">
        <w:rPr>
          <w:rFonts w:cs="Arial"/>
          <w:color w:val="000000"/>
          <w:sz w:val="19"/>
          <w:szCs w:val="19"/>
          <w:lang w:val="es-CO"/>
        </w:rPr>
        <w:t xml:space="preserve"> divido por el </w:t>
      </w:r>
      <w:r w:rsidRPr="002204D9">
        <w:rPr>
          <w:rFonts w:cs="Arial"/>
          <w:b/>
          <w:i/>
          <w:color w:val="000000"/>
          <w:sz w:val="19"/>
          <w:szCs w:val="19"/>
          <w:lang w:val="es-CO"/>
        </w:rPr>
        <w:t>valor total</w:t>
      </w:r>
      <w:r w:rsidRPr="002204D9">
        <w:rPr>
          <w:rFonts w:cs="Arial"/>
          <w:color w:val="000000"/>
          <w:sz w:val="19"/>
          <w:szCs w:val="19"/>
          <w:lang w:val="es-CO"/>
        </w:rPr>
        <w:t>, cociente que deberá ser multiplicado por cien (100). Para esto se aplicará la siguiente fórmula:</w:t>
      </w:r>
    </w:p>
    <w:p w14:paraId="49F23E37" w14:textId="77777777" w:rsidR="00B4770F" w:rsidRPr="002204D9" w:rsidRDefault="00B4770F" w:rsidP="00B4770F">
      <w:pPr>
        <w:pStyle w:val="Prrafodelista"/>
        <w:tabs>
          <w:tab w:val="left" w:pos="1134"/>
        </w:tabs>
        <w:spacing w:after="120"/>
        <w:ind w:left="709" w:right="709"/>
        <w:rPr>
          <w:rFonts w:cs="Arial"/>
          <w:i/>
          <w:color w:val="000000"/>
          <w:sz w:val="19"/>
          <w:szCs w:val="19"/>
          <w:lang w:val="es-CO"/>
        </w:rPr>
      </w:pPr>
    </w:p>
    <w:p w14:paraId="6D49955A" w14:textId="77777777" w:rsidR="00B4770F" w:rsidRPr="002204D9" w:rsidRDefault="00B4770F" w:rsidP="00B4770F">
      <w:pPr>
        <w:tabs>
          <w:tab w:val="left" w:pos="1134"/>
        </w:tabs>
        <w:spacing w:after="120" w:line="240" w:lineRule="auto"/>
        <w:ind w:left="709" w:right="709"/>
        <w:contextualSpacing/>
        <w:jc w:val="center"/>
        <w:rPr>
          <w:rFonts w:ascii="Arial" w:eastAsia="Arial" w:hAnsi="Arial" w:cs="Arial"/>
          <w:i/>
          <w:color w:val="000000"/>
          <w:sz w:val="19"/>
          <w:szCs w:val="19"/>
        </w:rPr>
      </w:pPr>
      <w:r w:rsidRPr="002204D9">
        <w:rPr>
          <w:rFonts w:ascii="Arial" w:hAnsi="Arial" w:cs="Arial"/>
          <w:noProof/>
          <w:sz w:val="19"/>
          <w:szCs w:val="19"/>
        </w:rPr>
        <w:drawing>
          <wp:inline distT="0" distB="0" distL="0" distR="0" wp14:anchorId="43E8107C" wp14:editId="38CD30E0">
            <wp:extent cx="2668905" cy="4254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8905" cy="425450"/>
                    </a:xfrm>
                    <a:prstGeom prst="rect">
                      <a:avLst/>
                    </a:prstGeom>
                    <a:noFill/>
                    <a:ln>
                      <a:noFill/>
                    </a:ln>
                  </pic:spPr>
                </pic:pic>
              </a:graphicData>
            </a:graphic>
          </wp:inline>
        </w:drawing>
      </w:r>
    </w:p>
    <w:p w14:paraId="3AF38193" w14:textId="77777777" w:rsidR="00B4770F" w:rsidRPr="002204D9" w:rsidRDefault="00B4770F" w:rsidP="00B4770F">
      <w:pPr>
        <w:spacing w:after="120" w:line="240" w:lineRule="auto"/>
        <w:ind w:left="709" w:right="709"/>
        <w:rPr>
          <w:rFonts w:ascii="Arial" w:hAnsi="Arial" w:cs="Arial"/>
          <w:sz w:val="19"/>
          <w:szCs w:val="19"/>
          <w:lang w:val="es-ES"/>
        </w:rPr>
      </w:pPr>
    </w:p>
    <w:p w14:paraId="2ABEC330" w14:textId="77777777" w:rsidR="00B4770F" w:rsidRPr="002204D9" w:rsidRDefault="00B4770F" w:rsidP="00B4770F">
      <w:pPr>
        <w:numPr>
          <w:ilvl w:val="0"/>
          <w:numId w:val="1"/>
        </w:numPr>
        <w:tabs>
          <w:tab w:val="left" w:pos="1134"/>
        </w:tabs>
        <w:spacing w:after="120" w:line="240" w:lineRule="auto"/>
        <w:ind w:left="1069" w:right="709"/>
        <w:contextualSpacing/>
        <w:jc w:val="both"/>
        <w:rPr>
          <w:rFonts w:ascii="Arial" w:eastAsia="Arial" w:hAnsi="Arial" w:cs="Arial"/>
          <w:iCs/>
          <w:color w:val="000000"/>
          <w:sz w:val="19"/>
          <w:szCs w:val="19"/>
        </w:rPr>
      </w:pPr>
      <w:r w:rsidRPr="002204D9">
        <w:rPr>
          <w:rFonts w:ascii="Arial" w:eastAsia="Arial" w:hAnsi="Arial" w:cs="Arial"/>
          <w:color w:val="000000"/>
          <w:sz w:val="19"/>
          <w:szCs w:val="19"/>
        </w:rPr>
        <w:t>Determinar el</w:t>
      </w:r>
      <w:r w:rsidRPr="002204D9">
        <w:rPr>
          <w:rFonts w:ascii="Arial" w:eastAsia="Arial" w:hAnsi="Arial" w:cs="Arial"/>
          <w:b/>
          <w:i/>
          <w:color w:val="000000"/>
          <w:sz w:val="19"/>
          <w:szCs w:val="19"/>
        </w:rPr>
        <w:t xml:space="preserve"> porcentaje acumulado </w:t>
      </w:r>
      <w:r w:rsidRPr="002204D9">
        <w:rPr>
          <w:rFonts w:ascii="Arial" w:eastAsia="Arial" w:hAnsi="Arial" w:cs="Arial"/>
          <w:bCs/>
          <w:iCs/>
          <w:color w:val="000000"/>
          <w:sz w:val="19"/>
          <w:szCs w:val="19"/>
        </w:rPr>
        <w:t>entendido como la sumatoria de los porcentajes de participación definidos en el numeral anterior. P</w:t>
      </w:r>
      <w:r w:rsidRPr="002204D9">
        <w:rPr>
          <w:rFonts w:ascii="Arial" w:eastAsia="Arial" w:hAnsi="Arial" w:cs="Arial"/>
          <w:color w:val="000000"/>
          <w:sz w:val="19"/>
          <w:szCs w:val="19"/>
        </w:rPr>
        <w:t xml:space="preserve">ara lo cual, se sugiere, organizar los bienes en una tabla, en orden descendente según su </w:t>
      </w:r>
      <w:r w:rsidRPr="002204D9">
        <w:rPr>
          <w:rFonts w:ascii="Arial" w:eastAsia="Arial" w:hAnsi="Arial" w:cs="Arial"/>
          <w:b/>
          <w:i/>
          <w:color w:val="000000"/>
          <w:sz w:val="19"/>
          <w:szCs w:val="19"/>
        </w:rPr>
        <w:t>porcentaje de participación,</w:t>
      </w:r>
      <w:r w:rsidRPr="002204D9">
        <w:rPr>
          <w:rFonts w:ascii="Arial" w:eastAsia="Arial" w:hAnsi="Arial" w:cs="Arial"/>
          <w:color w:val="000000"/>
          <w:sz w:val="19"/>
          <w:szCs w:val="19"/>
        </w:rPr>
        <w:t xml:space="preserve"> disponiendo una fila por cada bien, una columna para el nombre o descripción del bien, otra para el </w:t>
      </w:r>
      <w:r w:rsidRPr="002204D9">
        <w:rPr>
          <w:rFonts w:ascii="Arial" w:eastAsia="Arial" w:hAnsi="Arial" w:cs="Arial"/>
          <w:b/>
          <w:i/>
          <w:color w:val="000000"/>
          <w:sz w:val="19"/>
          <w:szCs w:val="19"/>
        </w:rPr>
        <w:t>porcentaje de participación</w:t>
      </w:r>
      <w:r w:rsidRPr="002204D9">
        <w:rPr>
          <w:rFonts w:ascii="Arial" w:eastAsia="Arial" w:hAnsi="Arial" w:cs="Arial"/>
          <w:b/>
          <w:color w:val="000000"/>
          <w:sz w:val="19"/>
          <w:szCs w:val="19"/>
        </w:rPr>
        <w:t xml:space="preserve"> </w:t>
      </w:r>
      <w:r w:rsidRPr="002204D9">
        <w:rPr>
          <w:rFonts w:ascii="Arial" w:eastAsia="Arial" w:hAnsi="Arial" w:cs="Arial"/>
          <w:color w:val="000000"/>
          <w:sz w:val="19"/>
          <w:szCs w:val="19"/>
        </w:rPr>
        <w:t xml:space="preserve">y otra en la que se consignará el </w:t>
      </w:r>
      <w:r w:rsidRPr="002204D9">
        <w:rPr>
          <w:rFonts w:ascii="Arial" w:eastAsia="Arial" w:hAnsi="Arial" w:cs="Arial"/>
          <w:b/>
          <w:i/>
          <w:color w:val="000000"/>
          <w:sz w:val="19"/>
          <w:szCs w:val="19"/>
        </w:rPr>
        <w:t>porcentaje acumulado.</w:t>
      </w:r>
      <w:r w:rsidRPr="002204D9">
        <w:rPr>
          <w:rFonts w:ascii="Arial" w:eastAsia="Arial" w:hAnsi="Arial" w:cs="Arial"/>
          <w:b/>
          <w:color w:val="000000"/>
          <w:sz w:val="19"/>
          <w:szCs w:val="19"/>
        </w:rPr>
        <w:t xml:space="preserve"> </w:t>
      </w:r>
    </w:p>
    <w:p w14:paraId="7352D9A8" w14:textId="77777777" w:rsidR="00B4770F" w:rsidRPr="002204D9" w:rsidRDefault="00B4770F" w:rsidP="00B4770F">
      <w:pPr>
        <w:tabs>
          <w:tab w:val="left" w:pos="1134"/>
        </w:tabs>
        <w:spacing w:after="120" w:line="240" w:lineRule="auto"/>
        <w:ind w:left="709" w:right="709"/>
        <w:contextualSpacing/>
        <w:jc w:val="both"/>
        <w:rPr>
          <w:rFonts w:ascii="Arial" w:eastAsia="Arial" w:hAnsi="Arial" w:cs="Arial"/>
          <w:iCs/>
          <w:color w:val="000000"/>
          <w:sz w:val="19"/>
          <w:szCs w:val="19"/>
        </w:rPr>
      </w:pPr>
    </w:p>
    <w:p w14:paraId="4C74FE56" w14:textId="5D654447" w:rsidR="00B4770F" w:rsidRPr="002204D9" w:rsidRDefault="00B4770F" w:rsidP="00B4770F">
      <w:pPr>
        <w:tabs>
          <w:tab w:val="left" w:pos="1134"/>
        </w:tabs>
        <w:spacing w:after="120" w:line="240" w:lineRule="auto"/>
        <w:ind w:left="1069" w:right="709"/>
        <w:contextualSpacing/>
        <w:jc w:val="both"/>
        <w:rPr>
          <w:rFonts w:ascii="Arial" w:eastAsia="Arial" w:hAnsi="Arial" w:cs="Arial"/>
          <w:color w:val="000000"/>
          <w:sz w:val="19"/>
          <w:szCs w:val="19"/>
        </w:rPr>
      </w:pPr>
      <w:r>
        <w:rPr>
          <w:rFonts w:ascii="Arial" w:eastAsia="Arial" w:hAnsi="Arial" w:cs="Arial"/>
          <w:color w:val="000000"/>
          <w:sz w:val="19"/>
          <w:szCs w:val="19"/>
        </w:rPr>
        <w:tab/>
      </w:r>
      <w:r w:rsidRPr="002204D9">
        <w:rPr>
          <w:rFonts w:ascii="Arial" w:eastAsia="Arial" w:hAnsi="Arial" w:cs="Arial"/>
          <w:color w:val="000000"/>
          <w:sz w:val="19"/>
          <w:szCs w:val="19"/>
        </w:rPr>
        <w:t xml:space="preserve">Al bien o insumo que tiene la mayor participación, es decir, el que ocupa el primer lugar en el listado, le corresponderá como </w:t>
      </w:r>
      <w:r w:rsidRPr="002204D9">
        <w:rPr>
          <w:rFonts w:ascii="Arial" w:eastAsia="Arial" w:hAnsi="Arial" w:cs="Arial"/>
          <w:b/>
          <w:i/>
          <w:color w:val="000000"/>
          <w:sz w:val="19"/>
          <w:szCs w:val="19"/>
        </w:rPr>
        <w:t>porcentaje acumulado</w:t>
      </w:r>
      <w:r w:rsidRPr="002204D9">
        <w:rPr>
          <w:rFonts w:ascii="Arial" w:eastAsia="Arial" w:hAnsi="Arial" w:cs="Arial"/>
          <w:color w:val="000000"/>
          <w:sz w:val="19"/>
          <w:szCs w:val="19"/>
        </w:rPr>
        <w:t xml:space="preserve"> el valor asignado como </w:t>
      </w:r>
      <w:r w:rsidRPr="002204D9">
        <w:rPr>
          <w:rFonts w:ascii="Arial" w:eastAsia="Arial" w:hAnsi="Arial" w:cs="Arial"/>
          <w:b/>
          <w:i/>
          <w:color w:val="000000"/>
          <w:sz w:val="19"/>
          <w:szCs w:val="19"/>
        </w:rPr>
        <w:t>porcentaje de participación</w:t>
      </w:r>
      <w:r w:rsidRPr="002204D9">
        <w:rPr>
          <w:rFonts w:ascii="Arial" w:eastAsia="Arial" w:hAnsi="Arial" w:cs="Arial"/>
          <w:color w:val="000000"/>
          <w:sz w:val="19"/>
          <w:szCs w:val="19"/>
        </w:rPr>
        <w:t xml:space="preserve">. Para el segundo bien el </w:t>
      </w:r>
      <w:r w:rsidRPr="002204D9">
        <w:rPr>
          <w:rFonts w:ascii="Arial" w:eastAsia="Arial" w:hAnsi="Arial" w:cs="Arial"/>
          <w:b/>
          <w:bCs/>
          <w:i/>
          <w:iCs/>
          <w:color w:val="000000"/>
          <w:sz w:val="19"/>
          <w:szCs w:val="19"/>
        </w:rPr>
        <w:t xml:space="preserve">porcentaje acumulado </w:t>
      </w:r>
      <w:r w:rsidRPr="002204D9">
        <w:rPr>
          <w:rFonts w:ascii="Arial" w:eastAsia="Arial" w:hAnsi="Arial" w:cs="Arial"/>
          <w:color w:val="000000"/>
          <w:sz w:val="19"/>
          <w:szCs w:val="19"/>
        </w:rPr>
        <w:t xml:space="preserve">será la suma de su porcentaje de participación con el </w:t>
      </w:r>
      <w:r w:rsidRPr="002204D9">
        <w:rPr>
          <w:rFonts w:ascii="Arial" w:eastAsia="Arial" w:hAnsi="Arial" w:cs="Arial"/>
          <w:b/>
          <w:bCs/>
          <w:i/>
          <w:iCs/>
          <w:color w:val="000000"/>
          <w:sz w:val="19"/>
          <w:szCs w:val="19"/>
        </w:rPr>
        <w:t>porcentaje acumulado</w:t>
      </w:r>
      <w:r w:rsidRPr="002204D9">
        <w:rPr>
          <w:rFonts w:ascii="Arial" w:eastAsia="Arial" w:hAnsi="Arial" w:cs="Arial"/>
          <w:color w:val="000000"/>
          <w:sz w:val="19"/>
          <w:szCs w:val="19"/>
        </w:rPr>
        <w:t xml:space="preserve"> asignado al bien que lo antecede en el listado. Del mismo modo, para el tercer bien el </w:t>
      </w:r>
      <w:r w:rsidRPr="002204D9">
        <w:rPr>
          <w:rFonts w:ascii="Arial" w:eastAsia="Arial" w:hAnsi="Arial" w:cs="Arial"/>
          <w:b/>
          <w:bCs/>
          <w:i/>
          <w:iCs/>
          <w:color w:val="000000"/>
          <w:sz w:val="19"/>
          <w:szCs w:val="19"/>
        </w:rPr>
        <w:t>porcentaje acumulado</w:t>
      </w:r>
      <w:r w:rsidRPr="002204D9">
        <w:rPr>
          <w:rFonts w:ascii="Arial" w:eastAsia="Arial" w:hAnsi="Arial" w:cs="Arial"/>
          <w:color w:val="000000"/>
          <w:sz w:val="19"/>
          <w:szCs w:val="19"/>
        </w:rPr>
        <w:t xml:space="preserve"> será la suma de su porcentaje de participación con el </w:t>
      </w:r>
      <w:r w:rsidRPr="002204D9">
        <w:rPr>
          <w:rFonts w:ascii="Arial" w:eastAsia="Arial" w:hAnsi="Arial" w:cs="Arial"/>
          <w:b/>
          <w:bCs/>
          <w:i/>
          <w:iCs/>
          <w:color w:val="000000"/>
          <w:sz w:val="19"/>
          <w:szCs w:val="19"/>
        </w:rPr>
        <w:t>porcentaje acumulado</w:t>
      </w:r>
      <w:r w:rsidRPr="002204D9">
        <w:rPr>
          <w:rFonts w:ascii="Arial" w:eastAsia="Arial" w:hAnsi="Arial" w:cs="Arial"/>
          <w:color w:val="000000"/>
          <w:sz w:val="19"/>
          <w:szCs w:val="19"/>
        </w:rPr>
        <w:t xml:space="preserve"> calculado para el anterior bien, y así sucesivamente deberá procederse respecto de los demás bienes hasta completar todos los porcentajes acumulados. Para mayor claridad se aplicará la siguiente fórmula.</w:t>
      </w:r>
    </w:p>
    <w:p w14:paraId="3F4E1045" w14:textId="77777777" w:rsidR="00B4770F" w:rsidRPr="002204D9" w:rsidRDefault="00B4770F" w:rsidP="00B4770F">
      <w:pPr>
        <w:tabs>
          <w:tab w:val="left" w:pos="1134"/>
        </w:tabs>
        <w:spacing w:after="120" w:line="240" w:lineRule="auto"/>
        <w:ind w:left="709" w:right="709"/>
        <w:contextualSpacing/>
        <w:jc w:val="both"/>
        <w:rPr>
          <w:rFonts w:ascii="Arial" w:eastAsia="Arial" w:hAnsi="Arial" w:cs="Arial"/>
          <w:color w:val="000000"/>
          <w:sz w:val="19"/>
          <w:szCs w:val="19"/>
        </w:rPr>
      </w:pPr>
    </w:p>
    <w:p w14:paraId="30D2F78A" w14:textId="77777777" w:rsidR="00B4770F" w:rsidRPr="002204D9" w:rsidRDefault="00B4770F" w:rsidP="00B4770F">
      <w:pPr>
        <w:tabs>
          <w:tab w:val="left" w:pos="1134"/>
        </w:tabs>
        <w:spacing w:after="120" w:line="240" w:lineRule="auto"/>
        <w:ind w:left="709" w:right="709"/>
        <w:contextualSpacing/>
        <w:jc w:val="center"/>
        <w:rPr>
          <w:rFonts w:ascii="Arial" w:eastAsia="Arial" w:hAnsi="Arial" w:cs="Arial"/>
          <w:iCs/>
          <w:color w:val="000000"/>
          <w:sz w:val="19"/>
          <w:szCs w:val="19"/>
        </w:rPr>
      </w:pPr>
      <w:r w:rsidRPr="002204D9">
        <w:rPr>
          <w:rFonts w:ascii="Arial" w:hAnsi="Arial" w:cs="Arial"/>
          <w:noProof/>
          <w:sz w:val="19"/>
          <w:szCs w:val="19"/>
        </w:rPr>
        <w:drawing>
          <wp:inline distT="0" distB="0" distL="0" distR="0" wp14:anchorId="32D8D452" wp14:editId="43562A8D">
            <wp:extent cx="3061970" cy="510540"/>
            <wp:effectExtent l="0" t="0" r="5080" b="3810"/>
            <wp:docPr id="6" name="Imagen 6" descr="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ibujo de una persona&#10;&#10;Descripción generada automáticamente con confianza me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1970" cy="510540"/>
                    </a:xfrm>
                    <a:prstGeom prst="rect">
                      <a:avLst/>
                    </a:prstGeom>
                    <a:noFill/>
                    <a:ln>
                      <a:noFill/>
                    </a:ln>
                  </pic:spPr>
                </pic:pic>
              </a:graphicData>
            </a:graphic>
          </wp:inline>
        </w:drawing>
      </w:r>
    </w:p>
    <w:p w14:paraId="286F461F" w14:textId="77777777" w:rsidR="00B4770F" w:rsidRPr="002204D9" w:rsidRDefault="00B4770F" w:rsidP="00B4770F">
      <w:pPr>
        <w:tabs>
          <w:tab w:val="left" w:pos="1134"/>
        </w:tabs>
        <w:spacing w:after="120" w:line="240" w:lineRule="auto"/>
        <w:ind w:left="709" w:right="709"/>
        <w:contextualSpacing/>
        <w:jc w:val="center"/>
        <w:rPr>
          <w:rFonts w:ascii="Arial" w:eastAsia="Arial" w:hAnsi="Arial" w:cs="Arial"/>
          <w:iCs/>
          <w:color w:val="000000"/>
          <w:sz w:val="19"/>
          <w:szCs w:val="19"/>
        </w:rPr>
      </w:pPr>
    </w:p>
    <w:p w14:paraId="4FE1D6B2" w14:textId="43CF3B91" w:rsidR="00B4770F" w:rsidRPr="002204D9" w:rsidRDefault="00B4770F" w:rsidP="00B4770F">
      <w:pPr>
        <w:tabs>
          <w:tab w:val="left" w:pos="1134"/>
        </w:tabs>
        <w:spacing w:after="120" w:line="240" w:lineRule="auto"/>
        <w:ind w:left="1134" w:right="709"/>
        <w:contextualSpacing/>
        <w:jc w:val="both"/>
        <w:rPr>
          <w:rFonts w:ascii="Arial" w:eastAsia="Arial" w:hAnsi="Arial" w:cs="Arial"/>
          <w:color w:val="000000"/>
          <w:sz w:val="19"/>
          <w:szCs w:val="19"/>
        </w:rPr>
      </w:pPr>
      <w:r w:rsidRPr="002204D9">
        <w:rPr>
          <w:rFonts w:ascii="Arial" w:eastAsia="Arial" w:hAnsi="Arial" w:cs="Arial"/>
          <w:color w:val="000000"/>
          <w:sz w:val="19"/>
          <w:szCs w:val="19"/>
        </w:rPr>
        <w:t xml:space="preserve">Donde </w:t>
      </w:r>
      <m:oMath>
        <m:sSub>
          <m:sSubPr>
            <m:ctrlPr>
              <w:rPr>
                <w:rFonts w:ascii="Cambria Math" w:eastAsia="Arial" w:hAnsi="Cambria Math" w:cs="Arial"/>
                <w:color w:val="000000"/>
                <w:sz w:val="19"/>
                <w:szCs w:val="19"/>
              </w:rPr>
            </m:ctrlPr>
          </m:sSubPr>
          <m:e>
            <m:r>
              <w:rPr>
                <w:rFonts w:ascii="Cambria Math" w:eastAsia="Arial" w:hAnsi="Cambria Math" w:cs="Arial"/>
                <w:color w:val="000000"/>
                <w:sz w:val="19"/>
                <w:szCs w:val="19"/>
              </w:rPr>
              <m:t>participacion</m:t>
            </m:r>
            <m:r>
              <m:rPr>
                <m:sty m:val="p"/>
              </m:rPr>
              <w:rPr>
                <w:rFonts w:ascii="Cambria Math" w:eastAsia="Arial" w:hAnsi="Cambria Math" w:cs="Arial"/>
                <w:color w:val="000000"/>
                <w:sz w:val="19"/>
                <w:szCs w:val="19"/>
              </w:rPr>
              <m:t xml:space="preserve"> (%)</m:t>
            </m:r>
          </m:e>
          <m:sub>
            <m:r>
              <w:rPr>
                <w:rFonts w:ascii="Cambria Math" w:eastAsia="Arial" w:hAnsi="Cambria Math" w:cs="Arial"/>
                <w:color w:val="000000"/>
                <w:sz w:val="19"/>
                <w:szCs w:val="19"/>
              </w:rPr>
              <m:t>i</m:t>
            </m:r>
          </m:sub>
        </m:sSub>
      </m:oMath>
      <w:r w:rsidRPr="002204D9">
        <w:rPr>
          <w:rFonts w:ascii="Arial" w:eastAsia="Arial" w:hAnsi="Arial" w:cs="Arial"/>
          <w:color w:val="000000"/>
          <w:sz w:val="19"/>
          <w:szCs w:val="19"/>
        </w:rPr>
        <w:t xml:space="preserve"> son las frecuencias acumuladas o porcentaje de participación (%) calculado.</w:t>
      </w:r>
    </w:p>
    <w:p w14:paraId="25F656CA" w14:textId="77777777" w:rsidR="00B4770F" w:rsidRPr="002204D9" w:rsidRDefault="00B4770F" w:rsidP="00B4770F">
      <w:pPr>
        <w:tabs>
          <w:tab w:val="left" w:pos="1134"/>
        </w:tabs>
        <w:spacing w:after="120" w:line="240" w:lineRule="auto"/>
        <w:ind w:left="709" w:right="709"/>
        <w:contextualSpacing/>
        <w:jc w:val="both"/>
        <w:rPr>
          <w:rFonts w:ascii="Arial" w:eastAsia="Arial" w:hAnsi="Arial" w:cs="Arial"/>
          <w:iCs/>
          <w:color w:val="000000"/>
          <w:sz w:val="19"/>
          <w:szCs w:val="19"/>
        </w:rPr>
      </w:pPr>
    </w:p>
    <w:p w14:paraId="766C3AFA" w14:textId="77777777" w:rsidR="00B4770F" w:rsidRPr="002204D9" w:rsidRDefault="00B4770F" w:rsidP="00B4770F">
      <w:pPr>
        <w:numPr>
          <w:ilvl w:val="0"/>
          <w:numId w:val="1"/>
        </w:numPr>
        <w:tabs>
          <w:tab w:val="left" w:pos="1134"/>
        </w:tabs>
        <w:spacing w:after="120" w:line="240" w:lineRule="auto"/>
        <w:ind w:left="1069" w:right="709"/>
        <w:contextualSpacing/>
        <w:jc w:val="both"/>
        <w:rPr>
          <w:rFonts w:ascii="Arial" w:eastAsia="Arial" w:hAnsi="Arial" w:cs="Arial"/>
          <w:iCs/>
          <w:color w:val="000000"/>
          <w:sz w:val="19"/>
          <w:szCs w:val="19"/>
        </w:rPr>
      </w:pPr>
      <w:r w:rsidRPr="002204D9">
        <w:rPr>
          <w:rFonts w:ascii="Arial" w:eastAsia="Arial" w:hAnsi="Arial" w:cs="Arial"/>
          <w:iCs/>
          <w:color w:val="000000"/>
          <w:sz w:val="19"/>
          <w:szCs w:val="19"/>
        </w:rPr>
        <w:t>Identificar los bienes o insumos cuyo porcentaje acumulado esté dentro del ochenta por ciento (80%) o un valor aproximado por debajo.</w:t>
      </w:r>
    </w:p>
    <w:p w14:paraId="311F807B" w14:textId="77777777" w:rsidR="00B4770F" w:rsidRPr="002204D9" w:rsidRDefault="00B4770F" w:rsidP="00B4770F">
      <w:pPr>
        <w:tabs>
          <w:tab w:val="left" w:pos="1134"/>
        </w:tabs>
        <w:spacing w:after="120" w:line="240" w:lineRule="auto"/>
        <w:ind w:left="709" w:right="709"/>
        <w:contextualSpacing/>
        <w:jc w:val="both"/>
        <w:rPr>
          <w:rFonts w:ascii="Arial" w:eastAsia="Arial" w:hAnsi="Arial" w:cs="Arial"/>
          <w:iCs/>
          <w:color w:val="000000"/>
          <w:sz w:val="19"/>
          <w:szCs w:val="19"/>
        </w:rPr>
      </w:pPr>
    </w:p>
    <w:p w14:paraId="2090CBAC" w14:textId="77777777" w:rsidR="00B4770F" w:rsidRPr="002204D9" w:rsidRDefault="00B4770F" w:rsidP="00B4770F">
      <w:pPr>
        <w:numPr>
          <w:ilvl w:val="0"/>
          <w:numId w:val="1"/>
        </w:numPr>
        <w:tabs>
          <w:tab w:val="left" w:pos="1134"/>
        </w:tabs>
        <w:spacing w:after="120" w:line="240" w:lineRule="auto"/>
        <w:ind w:left="1069" w:right="709"/>
        <w:contextualSpacing/>
        <w:jc w:val="both"/>
        <w:rPr>
          <w:rFonts w:ascii="Arial" w:eastAsia="Arial" w:hAnsi="Arial" w:cs="Arial"/>
          <w:iCs/>
          <w:color w:val="000000"/>
          <w:sz w:val="19"/>
          <w:szCs w:val="19"/>
        </w:rPr>
      </w:pPr>
      <w:r w:rsidRPr="002204D9">
        <w:rPr>
          <w:rFonts w:ascii="Arial" w:eastAsia="Arial" w:hAnsi="Arial" w:cs="Arial"/>
          <w:iCs/>
          <w:color w:val="000000"/>
          <w:sz w:val="19"/>
          <w:szCs w:val="19"/>
        </w:rPr>
        <w:lastRenderedPageBreak/>
        <w:t xml:space="preserve">Identificar los bienes o insumos que cumplan con la condición anterior y en relación con estos se calculará el promedio de su porcentaje de participación. El promedio se calculará realizando la sumatoria de los porcentajes de participación de cada bien, resultado que luego se dividirá entre el número de bienes que se promedian. </w:t>
      </w:r>
    </w:p>
    <w:p w14:paraId="6DE248EB" w14:textId="77777777" w:rsidR="00B4770F" w:rsidRPr="002204D9" w:rsidRDefault="00B4770F" w:rsidP="00B4770F">
      <w:pPr>
        <w:tabs>
          <w:tab w:val="left" w:pos="1134"/>
        </w:tabs>
        <w:spacing w:after="120" w:line="240" w:lineRule="auto"/>
        <w:ind w:left="709" w:right="709"/>
        <w:contextualSpacing/>
        <w:jc w:val="both"/>
        <w:rPr>
          <w:rFonts w:ascii="Arial" w:eastAsia="Arial" w:hAnsi="Arial" w:cs="Arial"/>
          <w:iCs/>
          <w:color w:val="000000"/>
          <w:sz w:val="19"/>
          <w:szCs w:val="19"/>
        </w:rPr>
      </w:pPr>
    </w:p>
    <w:p w14:paraId="1D144B7F" w14:textId="77777777" w:rsidR="00B4770F" w:rsidRPr="002204D9" w:rsidRDefault="00B4770F" w:rsidP="00B4770F">
      <w:pPr>
        <w:numPr>
          <w:ilvl w:val="0"/>
          <w:numId w:val="1"/>
        </w:numPr>
        <w:tabs>
          <w:tab w:val="left" w:pos="1134"/>
        </w:tabs>
        <w:spacing w:after="120" w:line="240" w:lineRule="auto"/>
        <w:ind w:left="1069" w:right="709"/>
        <w:contextualSpacing/>
        <w:jc w:val="both"/>
        <w:rPr>
          <w:rFonts w:ascii="Arial" w:eastAsia="Arial" w:hAnsi="Arial" w:cs="Arial"/>
          <w:iCs/>
          <w:color w:val="000000"/>
          <w:sz w:val="19"/>
          <w:szCs w:val="19"/>
        </w:rPr>
      </w:pPr>
      <w:r w:rsidRPr="002204D9">
        <w:rPr>
          <w:rFonts w:ascii="Arial" w:eastAsia="Arial" w:hAnsi="Arial" w:cs="Arial"/>
          <w:iCs/>
          <w:color w:val="000000"/>
          <w:sz w:val="19"/>
          <w:szCs w:val="19"/>
        </w:rPr>
        <w:t xml:space="preserve">Los bienes relevantes serán aquellos cuyo porcentaje de participación sea igual o superior al promedio calculado en el paso anterior. </w:t>
      </w:r>
    </w:p>
    <w:p w14:paraId="2EA0FECF" w14:textId="77777777" w:rsidR="00B4770F" w:rsidRPr="002204D9" w:rsidRDefault="00B4770F" w:rsidP="00B4770F">
      <w:pPr>
        <w:tabs>
          <w:tab w:val="left" w:pos="1134"/>
        </w:tabs>
        <w:spacing w:after="120" w:line="240" w:lineRule="auto"/>
        <w:ind w:left="709" w:right="709"/>
        <w:contextualSpacing/>
        <w:jc w:val="both"/>
        <w:rPr>
          <w:rFonts w:ascii="Arial" w:eastAsia="Arial" w:hAnsi="Arial" w:cs="Arial"/>
          <w:iCs/>
          <w:color w:val="000000"/>
          <w:sz w:val="19"/>
          <w:szCs w:val="19"/>
        </w:rPr>
      </w:pPr>
    </w:p>
    <w:p w14:paraId="715C2376" w14:textId="77777777" w:rsidR="00B4770F" w:rsidRDefault="00B4770F" w:rsidP="00B4770F">
      <w:pPr>
        <w:numPr>
          <w:ilvl w:val="0"/>
          <w:numId w:val="1"/>
        </w:numPr>
        <w:tabs>
          <w:tab w:val="left" w:pos="1134"/>
        </w:tabs>
        <w:spacing w:after="120" w:line="240" w:lineRule="auto"/>
        <w:ind w:left="1069" w:right="709"/>
        <w:contextualSpacing/>
        <w:jc w:val="both"/>
        <w:rPr>
          <w:rFonts w:ascii="Arial" w:eastAsia="Arial" w:hAnsi="Arial" w:cs="Arial"/>
          <w:iCs/>
          <w:color w:val="000000"/>
          <w:sz w:val="19"/>
          <w:szCs w:val="19"/>
        </w:rPr>
      </w:pPr>
      <w:r w:rsidRPr="002204D9">
        <w:rPr>
          <w:rFonts w:ascii="Arial" w:eastAsia="Arial" w:hAnsi="Arial" w:cs="Arial"/>
          <w:iCs/>
          <w:color w:val="000000"/>
          <w:sz w:val="19"/>
          <w:szCs w:val="19"/>
        </w:rPr>
        <w:t>Verificar si uno o varios bienes que cumplan con lo previsto en el numeral anterior se encuentran incluidos en el Registro de Productores de Bienes Nacionales, en los términos del Decreto 2680 de 2009. De estar incorporados, la Entidad Estatal verificará al momento de publicar el pliego de condiciones definitivo que el registro del bien o insumo esté vigente hasta una fecha posterior a la del cierre del proceso. Para tal efecto, se entiende por fecha del cierre la publicada en el pliego de condiciones definitivo. Verificada la fecha de registro de estos bienes estos serán los que incluya en el numeral 4.3.1 del Pliego de Condiciones.</w:t>
      </w:r>
    </w:p>
    <w:p w14:paraId="76C96504" w14:textId="77777777" w:rsidR="00B4770F" w:rsidRPr="002204D9" w:rsidRDefault="00B4770F" w:rsidP="00B4770F">
      <w:pPr>
        <w:tabs>
          <w:tab w:val="left" w:pos="1134"/>
        </w:tabs>
        <w:spacing w:after="120" w:line="240" w:lineRule="auto"/>
        <w:ind w:left="709" w:right="709"/>
        <w:contextualSpacing/>
        <w:jc w:val="both"/>
        <w:rPr>
          <w:rFonts w:ascii="Arial" w:eastAsia="Arial" w:hAnsi="Arial" w:cs="Arial"/>
          <w:iCs/>
          <w:color w:val="000000"/>
          <w:sz w:val="19"/>
          <w:szCs w:val="19"/>
        </w:rPr>
      </w:pPr>
    </w:p>
    <w:p w14:paraId="27355419" w14:textId="77777777" w:rsidR="00B4770F" w:rsidRPr="002204D9" w:rsidRDefault="00B4770F" w:rsidP="00B4770F">
      <w:pPr>
        <w:numPr>
          <w:ilvl w:val="0"/>
          <w:numId w:val="1"/>
        </w:numPr>
        <w:spacing w:after="120" w:line="240" w:lineRule="auto"/>
        <w:ind w:left="1069" w:right="709"/>
        <w:contextualSpacing/>
        <w:jc w:val="both"/>
        <w:rPr>
          <w:rFonts w:ascii="Arial" w:eastAsia="Arial" w:hAnsi="Arial" w:cs="Arial"/>
          <w:sz w:val="19"/>
          <w:szCs w:val="19"/>
        </w:rPr>
      </w:pPr>
      <w:r w:rsidRPr="002204D9">
        <w:rPr>
          <w:rFonts w:ascii="Arial" w:eastAsia="Arial" w:hAnsi="Arial" w:cs="Arial"/>
          <w:color w:val="000000"/>
          <w:sz w:val="19"/>
          <w:szCs w:val="19"/>
        </w:rPr>
        <w:t xml:space="preserve">Si </w:t>
      </w:r>
      <w:proofErr w:type="gramStart"/>
      <w:r w:rsidRPr="002204D9">
        <w:rPr>
          <w:rFonts w:ascii="Arial" w:eastAsia="Arial" w:hAnsi="Arial" w:cs="Arial"/>
          <w:color w:val="000000"/>
          <w:sz w:val="19"/>
          <w:szCs w:val="19"/>
        </w:rPr>
        <w:t>ninguno de los bienes relevantes están</w:t>
      </w:r>
      <w:proofErr w:type="gramEnd"/>
      <w:r w:rsidRPr="002204D9">
        <w:rPr>
          <w:rFonts w:ascii="Arial" w:eastAsia="Arial" w:hAnsi="Arial" w:cs="Arial"/>
          <w:color w:val="000000"/>
          <w:sz w:val="19"/>
          <w:szCs w:val="19"/>
        </w:rPr>
        <w:t xml:space="preserve"> incluidos en el Registro de Productores de Bienes Nacionales, la Entidad Estatal otorgará el puntaje a los Proponentes que se comprometan a vincular un porcentaje de empleados o contratistas por prestación de servicios colombianos de al menos el </w:t>
      </w:r>
      <w:r w:rsidRPr="002204D9">
        <w:rPr>
          <w:rFonts w:ascii="Arial" w:eastAsia="Arial" w:hAnsi="Arial" w:cs="Arial"/>
          <w:color w:val="000000"/>
          <w:sz w:val="19"/>
          <w:szCs w:val="19"/>
          <w:highlight w:val="lightGray"/>
        </w:rPr>
        <w:t>[</w:t>
      </w:r>
      <w:r w:rsidRPr="002204D9">
        <w:rPr>
          <w:rFonts w:ascii="Arial" w:eastAsia="Arial" w:hAnsi="Arial" w:cs="Arial"/>
          <w:sz w:val="19"/>
          <w:szCs w:val="19"/>
          <w:highlight w:val="lightGray"/>
          <w:lang w:val="es-MX" w:bidi="en-US"/>
        </w:rPr>
        <w:t>l</w:t>
      </w:r>
      <w:r w:rsidRPr="002204D9">
        <w:rPr>
          <w:rFonts w:ascii="Arial" w:eastAsia="Arial" w:hAnsi="Arial" w:cs="Arial"/>
          <w:color w:val="000000"/>
          <w:sz w:val="19"/>
          <w:szCs w:val="19"/>
          <w:highlight w:val="lightGray"/>
        </w:rPr>
        <w:t>a Entidad Estatal incluirá el porcentaje definido en el numeral 4.3.1 del documento base]</w:t>
      </w:r>
      <w:r w:rsidRPr="002204D9">
        <w:rPr>
          <w:rFonts w:ascii="Arial" w:eastAsia="Arial" w:hAnsi="Arial" w:cs="Arial"/>
          <w:color w:val="000000"/>
          <w:sz w:val="19"/>
          <w:szCs w:val="19"/>
        </w:rPr>
        <w:t xml:space="preserve"> del personal requerido para el cumplimiento del contrato. </w:t>
      </w:r>
    </w:p>
    <w:p w14:paraId="567B9B5E" w14:textId="77777777" w:rsidR="00B4770F" w:rsidRPr="00B4770F" w:rsidRDefault="00B4770F" w:rsidP="00B4770F">
      <w:pPr>
        <w:autoSpaceDE w:val="0"/>
        <w:autoSpaceDN w:val="0"/>
        <w:adjustRightInd w:val="0"/>
        <w:spacing w:after="0" w:line="240" w:lineRule="auto"/>
        <w:jc w:val="both"/>
        <w:rPr>
          <w:rFonts w:ascii="Arial" w:eastAsia="Calibri" w:hAnsi="Arial" w:cs="Arial"/>
          <w:bCs/>
          <w:color w:val="000000" w:themeColor="text1"/>
          <w:lang w:val="es-ES_tradnl"/>
        </w:rPr>
      </w:pPr>
    </w:p>
    <w:p w14:paraId="39616BD9" w14:textId="6513BBB3" w:rsidR="005A292C" w:rsidRDefault="00FC4F6D" w:rsidP="002204D9">
      <w:pPr>
        <w:widowControl w:val="0"/>
        <w:autoSpaceDE w:val="0"/>
        <w:autoSpaceDN w:val="0"/>
        <w:spacing w:after="120" w:line="276" w:lineRule="auto"/>
        <w:ind w:firstLine="709"/>
        <w:jc w:val="both"/>
        <w:rPr>
          <w:rFonts w:ascii="Arial" w:eastAsia="Calibri" w:hAnsi="Arial" w:cs="Arial"/>
          <w:bCs/>
          <w:color w:val="000000" w:themeColor="text1"/>
          <w:lang w:val="es-ES_tradnl"/>
        </w:rPr>
      </w:pPr>
      <w:r>
        <w:rPr>
          <w:rFonts w:ascii="Arial" w:eastAsia="Calibri" w:hAnsi="Arial" w:cs="Arial"/>
          <w:bCs/>
          <w:color w:val="000000" w:themeColor="text1"/>
          <w:lang w:val="es-ES_tradnl"/>
        </w:rPr>
        <w:t xml:space="preserve">Aplicando estos numerales las entidades estatales obligadas a observar los documentos tipo </w:t>
      </w:r>
      <w:bookmarkStart w:id="3" w:name="_Hlk89626908"/>
      <w:r>
        <w:rPr>
          <w:rFonts w:ascii="Arial" w:eastAsia="Calibri" w:hAnsi="Arial" w:cs="Arial"/>
          <w:bCs/>
          <w:color w:val="000000" w:themeColor="text1"/>
          <w:lang w:val="es-ES_tradnl"/>
        </w:rPr>
        <w:t>deben definir los bienes nacionales que resultan relevantes para el cumplimiento del objeto contractual, que</w:t>
      </w:r>
      <w:r w:rsidR="0082118C">
        <w:rPr>
          <w:rFonts w:ascii="Arial" w:eastAsia="Calibri" w:hAnsi="Arial" w:cs="Arial"/>
          <w:bCs/>
          <w:color w:val="000000" w:themeColor="text1"/>
          <w:lang w:val="es-ES_tradnl"/>
        </w:rPr>
        <w:t>,</w:t>
      </w:r>
      <w:r>
        <w:rPr>
          <w:rFonts w:ascii="Arial" w:eastAsia="Calibri" w:hAnsi="Arial" w:cs="Arial"/>
          <w:bCs/>
          <w:color w:val="000000" w:themeColor="text1"/>
          <w:lang w:val="es-ES_tradnl"/>
        </w:rPr>
        <w:t xml:space="preserve"> en cumplimiento de lo dispuesto en el Decreto 680 de 2021, son relevantes para considerar un servicio como nacional y, por tanto, para determinar la aplicabilidad del puntaje por apoyo a la industria nacional regulado por el artículo 2 de la Ley 816 de 2003</w:t>
      </w:r>
      <w:bookmarkEnd w:id="3"/>
      <w:r>
        <w:rPr>
          <w:rFonts w:ascii="Arial" w:eastAsia="Calibri" w:hAnsi="Arial" w:cs="Arial"/>
          <w:bCs/>
          <w:color w:val="000000" w:themeColor="text1"/>
          <w:lang w:val="es-ES_tradnl"/>
        </w:rPr>
        <w:t xml:space="preserve">. </w:t>
      </w:r>
    </w:p>
    <w:p w14:paraId="710DFA0A" w14:textId="3E9012C4" w:rsidR="00B4770F" w:rsidRDefault="00D63569" w:rsidP="002204D9">
      <w:pPr>
        <w:widowControl w:val="0"/>
        <w:autoSpaceDE w:val="0"/>
        <w:autoSpaceDN w:val="0"/>
        <w:spacing w:after="120" w:line="276" w:lineRule="auto"/>
        <w:ind w:firstLine="709"/>
        <w:jc w:val="both"/>
        <w:rPr>
          <w:rFonts w:ascii="Arial" w:eastAsia="Arial" w:hAnsi="Arial" w:cs="Arial"/>
          <w:bCs/>
          <w:lang w:eastAsia="es-ES" w:bidi="es-ES"/>
        </w:rPr>
      </w:pPr>
      <w:r>
        <w:rPr>
          <w:rFonts w:ascii="Arial" w:eastAsia="Calibri" w:hAnsi="Arial" w:cs="Arial"/>
          <w:bCs/>
          <w:color w:val="000000" w:themeColor="text1"/>
          <w:lang w:val="es-ES_tradnl"/>
        </w:rPr>
        <w:t>S</w:t>
      </w:r>
      <w:r w:rsidR="002338DC">
        <w:rPr>
          <w:rFonts w:ascii="Arial" w:eastAsia="Calibri" w:hAnsi="Arial" w:cs="Arial"/>
          <w:bCs/>
          <w:color w:val="000000" w:themeColor="text1"/>
          <w:lang w:val="es-ES_tradnl"/>
        </w:rPr>
        <w:t>i luego de aplicar la metodología para determinar los bienes nacionales</w:t>
      </w:r>
      <w:r w:rsidR="00D75317">
        <w:rPr>
          <w:rFonts w:ascii="Arial" w:eastAsia="Calibri" w:hAnsi="Arial" w:cs="Arial"/>
          <w:bCs/>
          <w:color w:val="000000" w:themeColor="text1"/>
          <w:lang w:val="es-ES_tradnl"/>
        </w:rPr>
        <w:t xml:space="preserve"> relevantes −descrita con anterioridad− ,</w:t>
      </w:r>
      <w:r w:rsidR="00FC4F6D">
        <w:rPr>
          <w:rFonts w:ascii="Arial" w:eastAsia="Calibri" w:hAnsi="Arial" w:cs="Arial"/>
          <w:bCs/>
          <w:color w:val="000000" w:themeColor="text1"/>
          <w:lang w:val="es-ES_tradnl"/>
        </w:rPr>
        <w:t xml:space="preserve"> la entidad determina uno o varios bienes nacionales relevantes para el proceso de contratación, deberá incluir la </w:t>
      </w:r>
      <w:r w:rsidR="00FC4F6D" w:rsidRPr="00137C07">
        <w:rPr>
          <w:rFonts w:ascii="Arial" w:eastAsia="Calibri" w:hAnsi="Arial" w:cs="Arial"/>
          <w:b/>
          <w:i/>
          <w:iCs/>
          <w:color w:val="000000" w:themeColor="text1"/>
          <w:lang w:val="es-ES_tradnl"/>
        </w:rPr>
        <w:t>opción 1</w:t>
      </w:r>
      <w:r w:rsidR="00FC4F6D">
        <w:rPr>
          <w:rFonts w:ascii="Arial" w:eastAsia="Calibri" w:hAnsi="Arial" w:cs="Arial"/>
          <w:bCs/>
          <w:color w:val="000000" w:themeColor="text1"/>
          <w:lang w:val="es-ES_tradnl"/>
        </w:rPr>
        <w:t xml:space="preserve"> del numeral </w:t>
      </w:r>
      <w:r w:rsidR="00FC4F6D">
        <w:rPr>
          <w:rFonts w:ascii="Arial" w:hAnsi="Arial" w:cs="Arial"/>
          <w:lang w:val="es-MX"/>
        </w:rPr>
        <w:t>4</w:t>
      </w:r>
      <w:r w:rsidR="00FC4F6D" w:rsidRPr="00C11B2A">
        <w:rPr>
          <w:rFonts w:ascii="Arial" w:eastAsia="Arial" w:hAnsi="Arial" w:cs="Arial"/>
          <w:bCs/>
          <w:lang w:eastAsia="es-ES" w:bidi="es-ES"/>
        </w:rPr>
        <w:t xml:space="preserve">.3.1 </w:t>
      </w:r>
      <w:r w:rsidR="00FC4F6D">
        <w:rPr>
          <w:rFonts w:ascii="Arial" w:eastAsia="Arial" w:hAnsi="Arial" w:cs="Arial"/>
          <w:bCs/>
          <w:lang w:eastAsia="es-ES" w:bidi="es-ES"/>
        </w:rPr>
        <w:t>«</w:t>
      </w:r>
      <w:r w:rsidR="00FC4F6D" w:rsidRPr="00C11B2A">
        <w:rPr>
          <w:rFonts w:ascii="Arial" w:eastAsia="Arial" w:hAnsi="Arial" w:cs="Arial"/>
          <w:bCs/>
          <w:lang w:eastAsia="es-ES" w:bidi="es-ES"/>
        </w:rPr>
        <w:t>Promoción de servicios nacionales o con trato nacional</w:t>
      </w:r>
      <w:r w:rsidR="00FC4F6D">
        <w:rPr>
          <w:rFonts w:ascii="Arial" w:eastAsia="Arial" w:hAnsi="Arial" w:cs="Arial"/>
          <w:bCs/>
          <w:lang w:eastAsia="es-ES" w:bidi="es-ES"/>
        </w:rPr>
        <w:t>»</w:t>
      </w:r>
      <w:r w:rsidR="00FC4F6D" w:rsidRPr="00C11B2A">
        <w:rPr>
          <w:rFonts w:ascii="Arial" w:eastAsia="Arial" w:hAnsi="Arial" w:cs="Arial"/>
          <w:bCs/>
          <w:lang w:eastAsia="es-ES" w:bidi="es-ES"/>
        </w:rPr>
        <w:t>,</w:t>
      </w:r>
      <w:r w:rsidR="00FC4F6D">
        <w:rPr>
          <w:rFonts w:ascii="Arial" w:eastAsia="Arial" w:hAnsi="Arial" w:cs="Arial"/>
          <w:bCs/>
          <w:lang w:eastAsia="es-ES" w:bidi="es-ES"/>
        </w:rPr>
        <w:t xml:space="preserve"> </w:t>
      </w:r>
      <w:r w:rsidR="006E6411">
        <w:rPr>
          <w:rFonts w:ascii="Arial" w:eastAsia="Arial" w:hAnsi="Arial" w:cs="Arial"/>
          <w:bCs/>
          <w:lang w:eastAsia="es-ES" w:bidi="es-ES"/>
        </w:rPr>
        <w:t>en la que se</w:t>
      </w:r>
      <w:r w:rsidR="00FC4F6D">
        <w:rPr>
          <w:rFonts w:ascii="Arial" w:eastAsia="Arial" w:hAnsi="Arial" w:cs="Arial"/>
          <w:bCs/>
          <w:lang w:eastAsia="es-ES" w:bidi="es-ES"/>
        </w:rPr>
        <w:t xml:space="preserve"> señala</w:t>
      </w:r>
      <w:r w:rsidR="005411D3">
        <w:rPr>
          <w:rFonts w:ascii="Arial" w:eastAsia="Arial" w:hAnsi="Arial" w:cs="Arial"/>
          <w:bCs/>
          <w:lang w:eastAsia="es-ES" w:bidi="es-ES"/>
        </w:rPr>
        <w:t>r</w:t>
      </w:r>
      <w:r w:rsidR="004714E5">
        <w:rPr>
          <w:rFonts w:ascii="Arial" w:eastAsia="Arial" w:hAnsi="Arial" w:cs="Arial"/>
          <w:bCs/>
          <w:lang w:eastAsia="es-ES" w:bidi="es-ES"/>
        </w:rPr>
        <w:t>á</w:t>
      </w:r>
      <w:r w:rsidR="005411D3">
        <w:rPr>
          <w:rFonts w:ascii="Arial" w:eastAsia="Arial" w:hAnsi="Arial" w:cs="Arial"/>
          <w:bCs/>
          <w:lang w:eastAsia="es-ES" w:bidi="es-ES"/>
        </w:rPr>
        <w:t>n</w:t>
      </w:r>
      <w:r w:rsidR="00FC4F6D">
        <w:rPr>
          <w:rFonts w:ascii="Arial" w:eastAsia="Arial" w:hAnsi="Arial" w:cs="Arial"/>
          <w:bCs/>
          <w:lang w:eastAsia="es-ES" w:bidi="es-ES"/>
        </w:rPr>
        <w:t xml:space="preserve"> los bienes nacionales relevantes en el proceso de contratación, </w:t>
      </w:r>
      <w:r w:rsidR="005411D3">
        <w:rPr>
          <w:rFonts w:ascii="Arial" w:eastAsia="Arial" w:hAnsi="Arial" w:cs="Arial"/>
          <w:bCs/>
          <w:lang w:eastAsia="es-ES" w:bidi="es-ES"/>
        </w:rPr>
        <w:t>diligenciando u</w:t>
      </w:r>
      <w:r w:rsidR="00FC4F6D">
        <w:rPr>
          <w:rFonts w:ascii="Arial" w:eastAsia="Arial" w:hAnsi="Arial" w:cs="Arial"/>
          <w:bCs/>
          <w:lang w:eastAsia="es-ES" w:bidi="es-ES"/>
        </w:rPr>
        <w:t>na tabla con la información tomada del Registro de Productores de Bienes Nacionales, en la que se señalará: i) el bien nacional relevante, ii) la fecha de inscripción, iii) la fec</w:t>
      </w:r>
      <w:r w:rsidR="00856671">
        <w:rPr>
          <w:rFonts w:ascii="Arial" w:eastAsia="Arial" w:hAnsi="Arial" w:cs="Arial"/>
          <w:bCs/>
          <w:lang w:eastAsia="es-ES" w:bidi="es-ES"/>
        </w:rPr>
        <w:t>h</w:t>
      </w:r>
      <w:r w:rsidR="00FC4F6D">
        <w:rPr>
          <w:rFonts w:ascii="Arial" w:eastAsia="Arial" w:hAnsi="Arial" w:cs="Arial"/>
          <w:bCs/>
          <w:lang w:eastAsia="es-ES" w:bidi="es-ES"/>
        </w:rPr>
        <w:t>a de vigencia, iv)</w:t>
      </w:r>
      <w:r w:rsidR="00373A7C">
        <w:rPr>
          <w:rFonts w:ascii="Arial" w:eastAsia="Arial" w:hAnsi="Arial" w:cs="Arial"/>
          <w:bCs/>
          <w:lang w:eastAsia="es-ES" w:bidi="es-ES"/>
        </w:rPr>
        <w:t xml:space="preserve"> el número</w:t>
      </w:r>
      <w:r w:rsidR="00FC4F6D">
        <w:rPr>
          <w:rFonts w:ascii="Arial" w:eastAsia="Arial" w:hAnsi="Arial" w:cs="Arial"/>
          <w:bCs/>
          <w:lang w:eastAsia="es-ES" w:bidi="es-ES"/>
        </w:rPr>
        <w:t xml:space="preserve"> </w:t>
      </w:r>
      <w:r w:rsidR="00373A7C">
        <w:rPr>
          <w:rFonts w:ascii="Arial" w:eastAsia="Arial" w:hAnsi="Arial" w:cs="Arial"/>
          <w:bCs/>
          <w:lang w:eastAsia="es-ES" w:bidi="es-ES"/>
        </w:rPr>
        <w:t>d</w:t>
      </w:r>
      <w:r w:rsidR="00FC4F6D">
        <w:rPr>
          <w:rFonts w:ascii="Arial" w:eastAsia="Arial" w:hAnsi="Arial" w:cs="Arial"/>
          <w:bCs/>
          <w:lang w:eastAsia="es-ES" w:bidi="es-ES"/>
        </w:rPr>
        <w:t>e partida arancelaria, v) el porcentaje (%) de participación del bien y vi) el puntaje individual de cada bien</w:t>
      </w:r>
      <w:r w:rsidR="00D42F53">
        <w:rPr>
          <w:rFonts w:ascii="Arial" w:eastAsia="Arial" w:hAnsi="Arial" w:cs="Arial"/>
          <w:bCs/>
          <w:lang w:eastAsia="es-ES" w:bidi="es-ES"/>
        </w:rPr>
        <w:t>,</w:t>
      </w:r>
      <w:r w:rsidR="00B4770F">
        <w:rPr>
          <w:rFonts w:ascii="Arial" w:eastAsia="Arial" w:hAnsi="Arial" w:cs="Arial"/>
          <w:bCs/>
          <w:lang w:eastAsia="es-ES" w:bidi="es-ES"/>
        </w:rPr>
        <w:t xml:space="preserve"> de la siguiente forma:</w:t>
      </w:r>
    </w:p>
    <w:p w14:paraId="403E4ADE" w14:textId="77777777" w:rsidR="00B4770F" w:rsidRPr="002204D9" w:rsidRDefault="00B4770F" w:rsidP="00B4770F">
      <w:pPr>
        <w:ind w:left="709" w:right="709" w:firstLine="502"/>
        <w:jc w:val="both"/>
        <w:rPr>
          <w:rFonts w:ascii="Arial" w:hAnsi="Arial" w:cs="Arial"/>
          <w:sz w:val="19"/>
          <w:szCs w:val="19"/>
          <w:lang w:val="es-MX"/>
        </w:rPr>
      </w:pPr>
      <w:r w:rsidRPr="002204D9">
        <w:rPr>
          <w:rFonts w:ascii="Arial" w:hAnsi="Arial" w:cs="Arial"/>
          <w:sz w:val="19"/>
          <w:szCs w:val="19"/>
          <w:highlight w:val="lightGray"/>
          <w:lang w:val="es-MX"/>
        </w:rPr>
        <w:t>[</w:t>
      </w:r>
      <w:r w:rsidRPr="002204D9">
        <w:rPr>
          <w:rFonts w:ascii="Arial" w:hAnsi="Arial" w:cs="Arial"/>
          <w:b/>
          <w:bCs/>
          <w:sz w:val="19"/>
          <w:szCs w:val="19"/>
          <w:highlight w:val="lightGray"/>
          <w:lang w:val="es-MX"/>
        </w:rPr>
        <w:t>Opción 1.</w:t>
      </w:r>
      <w:r w:rsidRPr="002204D9">
        <w:rPr>
          <w:rFonts w:ascii="Arial" w:hAnsi="Arial" w:cs="Arial"/>
          <w:sz w:val="19"/>
          <w:szCs w:val="19"/>
          <w:highlight w:val="lightGray"/>
          <w:lang w:val="es-MX"/>
        </w:rPr>
        <w:t xml:space="preserve"> Si la Entidad Estatal luego de aplicar la metodología para identificar los bienes nacionales relevantes prevista en la Matriz 4, determina uno o varios bienes nacionales relevantes para el Proceso de Contratación, incluirá los siguientes párrafos:]</w:t>
      </w:r>
    </w:p>
    <w:p w14:paraId="30CAFC98" w14:textId="77777777" w:rsidR="00B4770F" w:rsidRPr="002204D9" w:rsidRDefault="00B4770F" w:rsidP="00B4770F">
      <w:pPr>
        <w:ind w:left="709" w:right="709"/>
        <w:jc w:val="both"/>
        <w:rPr>
          <w:rFonts w:ascii="Arial" w:hAnsi="Arial" w:cs="Arial"/>
          <w:sz w:val="19"/>
          <w:szCs w:val="19"/>
          <w:lang w:val="es-MX"/>
        </w:rPr>
      </w:pPr>
      <w:r w:rsidRPr="002204D9">
        <w:rPr>
          <w:rFonts w:ascii="Arial" w:hAnsi="Arial" w:cs="Arial"/>
          <w:sz w:val="19"/>
          <w:szCs w:val="19"/>
          <w:lang w:val="es-MX"/>
        </w:rPr>
        <w:t xml:space="preserve">En el presente Proceso de Contratación los bienes nacionales relevantes son: </w:t>
      </w:r>
    </w:p>
    <w:p w14:paraId="764913CE" w14:textId="77777777" w:rsidR="00B4770F" w:rsidRPr="002204D9" w:rsidRDefault="00B4770F" w:rsidP="00B4770F">
      <w:pPr>
        <w:ind w:left="709" w:right="709"/>
        <w:jc w:val="both"/>
        <w:rPr>
          <w:rFonts w:ascii="Arial" w:hAnsi="Arial" w:cs="Arial"/>
          <w:sz w:val="19"/>
          <w:szCs w:val="19"/>
          <w:lang w:val="es-MX"/>
        </w:rPr>
      </w:pPr>
      <w:r w:rsidRPr="002204D9">
        <w:rPr>
          <w:rFonts w:ascii="Arial" w:hAnsi="Arial" w:cs="Arial"/>
          <w:sz w:val="19"/>
          <w:szCs w:val="19"/>
          <w:highlight w:val="lightGray"/>
          <w:lang w:val="es-MX"/>
        </w:rPr>
        <w:t>[La Entidad debe diligenciar la siguiente tabla con la información tomada del Registro de Productores de Bienes Nacionales]</w:t>
      </w:r>
    </w:p>
    <w:tbl>
      <w:tblPr>
        <w:tblW w:w="569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47"/>
        <w:gridCol w:w="975"/>
        <w:gridCol w:w="1154"/>
        <w:gridCol w:w="901"/>
        <w:gridCol w:w="1144"/>
        <w:gridCol w:w="1323"/>
        <w:gridCol w:w="1027"/>
      </w:tblGrid>
      <w:tr w:rsidR="00B4770F" w:rsidRPr="002204D9" w14:paraId="431D1B92" w14:textId="77777777" w:rsidTr="000752E9">
        <w:trPr>
          <w:trHeight w:val="248"/>
          <w:tblHeader/>
          <w:jc w:val="center"/>
        </w:trPr>
        <w:tc>
          <w:tcPr>
            <w:tcW w:w="365" w:type="dxa"/>
            <w:tcBorders>
              <w:top w:val="double" w:sz="4" w:space="0" w:color="auto"/>
              <w:left w:val="double" w:sz="4" w:space="0" w:color="auto"/>
              <w:bottom w:val="single" w:sz="4" w:space="0" w:color="000000"/>
              <w:right w:val="single" w:sz="6" w:space="0" w:color="auto"/>
            </w:tcBorders>
            <w:shd w:val="clear" w:color="auto" w:fill="3B3838" w:themeFill="background2" w:themeFillShade="40"/>
            <w:vAlign w:val="center"/>
            <w:hideMark/>
          </w:tcPr>
          <w:p w14:paraId="6C89B5B4" w14:textId="77777777" w:rsidR="00B4770F" w:rsidRPr="002204D9" w:rsidRDefault="00B4770F" w:rsidP="000752E9">
            <w:pPr>
              <w:jc w:val="both"/>
              <w:rPr>
                <w:rFonts w:ascii="Arial" w:hAnsi="Arial" w:cs="Arial"/>
                <w:b/>
                <w:caps/>
                <w:color w:val="FFFFFF" w:themeColor="background1"/>
                <w:sz w:val="19"/>
                <w:szCs w:val="19"/>
              </w:rPr>
            </w:pPr>
            <w:r w:rsidRPr="002204D9">
              <w:rPr>
                <w:rFonts w:ascii="Arial" w:hAnsi="Arial" w:cs="Arial"/>
                <w:b/>
                <w:color w:val="FFFFFF" w:themeColor="background1"/>
                <w:sz w:val="19"/>
                <w:szCs w:val="19"/>
              </w:rPr>
              <w:lastRenderedPageBreak/>
              <w:t>No.</w:t>
            </w:r>
          </w:p>
        </w:tc>
        <w:tc>
          <w:tcPr>
            <w:tcW w:w="796" w:type="dxa"/>
            <w:tcBorders>
              <w:top w:val="double" w:sz="4" w:space="0" w:color="auto"/>
              <w:left w:val="single" w:sz="6" w:space="0" w:color="auto"/>
              <w:bottom w:val="single" w:sz="4" w:space="0" w:color="000000"/>
              <w:right w:val="single" w:sz="4" w:space="0" w:color="000000"/>
            </w:tcBorders>
            <w:shd w:val="clear" w:color="auto" w:fill="3B3838" w:themeFill="background2" w:themeFillShade="40"/>
            <w:vAlign w:val="center"/>
            <w:hideMark/>
          </w:tcPr>
          <w:p w14:paraId="7A0C9B92" w14:textId="77777777" w:rsidR="00B4770F" w:rsidRPr="002204D9" w:rsidRDefault="00B4770F" w:rsidP="000752E9">
            <w:pPr>
              <w:jc w:val="both"/>
              <w:rPr>
                <w:rFonts w:ascii="Arial" w:hAnsi="Arial" w:cs="Arial"/>
                <w:b/>
                <w:caps/>
                <w:color w:val="FFFFFF" w:themeColor="background1"/>
                <w:sz w:val="19"/>
                <w:szCs w:val="19"/>
              </w:rPr>
            </w:pPr>
            <w:r w:rsidRPr="002204D9">
              <w:rPr>
                <w:rFonts w:ascii="Arial" w:hAnsi="Arial" w:cs="Arial"/>
                <w:b/>
                <w:color w:val="FFFFFF" w:themeColor="background1"/>
                <w:sz w:val="19"/>
                <w:szCs w:val="19"/>
              </w:rPr>
              <w:t>Bien nacional relevante</w:t>
            </w:r>
          </w:p>
        </w:tc>
        <w:tc>
          <w:tcPr>
            <w:tcW w:w="942" w:type="dxa"/>
            <w:tcBorders>
              <w:top w:val="double" w:sz="4" w:space="0" w:color="auto"/>
              <w:left w:val="single" w:sz="6" w:space="0" w:color="auto"/>
              <w:bottom w:val="single" w:sz="4" w:space="0" w:color="000000"/>
              <w:right w:val="single" w:sz="4" w:space="0" w:color="000000"/>
            </w:tcBorders>
            <w:shd w:val="clear" w:color="auto" w:fill="3B3838" w:themeFill="background2" w:themeFillShade="40"/>
            <w:vAlign w:val="center"/>
          </w:tcPr>
          <w:p w14:paraId="50B92081" w14:textId="77777777" w:rsidR="00B4770F" w:rsidRPr="002204D9" w:rsidRDefault="00B4770F" w:rsidP="000752E9">
            <w:pPr>
              <w:jc w:val="both"/>
              <w:rPr>
                <w:rFonts w:ascii="Arial" w:hAnsi="Arial" w:cs="Arial"/>
                <w:b/>
                <w:color w:val="FFFFFF" w:themeColor="background1"/>
                <w:sz w:val="19"/>
                <w:szCs w:val="19"/>
              </w:rPr>
            </w:pPr>
            <w:r w:rsidRPr="002204D9">
              <w:rPr>
                <w:rFonts w:ascii="Arial" w:hAnsi="Arial" w:cs="Arial"/>
                <w:b/>
                <w:color w:val="FFFFFF" w:themeColor="background1"/>
                <w:sz w:val="19"/>
                <w:szCs w:val="19"/>
              </w:rPr>
              <w:t>Fecha de inscripción</w:t>
            </w:r>
          </w:p>
        </w:tc>
        <w:tc>
          <w:tcPr>
            <w:tcW w:w="736" w:type="dxa"/>
            <w:tcBorders>
              <w:top w:val="double" w:sz="4" w:space="0" w:color="auto"/>
              <w:left w:val="single" w:sz="4" w:space="0" w:color="000000"/>
              <w:bottom w:val="single" w:sz="4" w:space="0" w:color="000000"/>
              <w:right w:val="single" w:sz="4" w:space="0" w:color="000000"/>
            </w:tcBorders>
            <w:shd w:val="clear" w:color="auto" w:fill="3B3838" w:themeFill="background2" w:themeFillShade="40"/>
            <w:vAlign w:val="center"/>
          </w:tcPr>
          <w:p w14:paraId="6920E76D" w14:textId="77777777" w:rsidR="00B4770F" w:rsidRPr="002204D9" w:rsidRDefault="00B4770F" w:rsidP="000752E9">
            <w:pPr>
              <w:jc w:val="both"/>
              <w:rPr>
                <w:rFonts w:ascii="Arial" w:hAnsi="Arial" w:cs="Arial"/>
                <w:b/>
                <w:color w:val="FFFFFF" w:themeColor="background1"/>
                <w:sz w:val="19"/>
                <w:szCs w:val="19"/>
              </w:rPr>
            </w:pPr>
            <w:r w:rsidRPr="002204D9">
              <w:rPr>
                <w:rFonts w:ascii="Arial" w:hAnsi="Arial" w:cs="Arial"/>
                <w:b/>
                <w:color w:val="FFFFFF" w:themeColor="background1"/>
                <w:sz w:val="19"/>
                <w:szCs w:val="19"/>
              </w:rPr>
              <w:t>Fecha de vigencia</w:t>
            </w:r>
          </w:p>
        </w:tc>
        <w:tc>
          <w:tcPr>
            <w:tcW w:w="934" w:type="dxa"/>
            <w:tcBorders>
              <w:top w:val="double" w:sz="4" w:space="0" w:color="auto"/>
              <w:left w:val="single" w:sz="4" w:space="0" w:color="000000"/>
              <w:bottom w:val="single" w:sz="4" w:space="0" w:color="000000"/>
              <w:right w:val="single" w:sz="4" w:space="0" w:color="000000"/>
            </w:tcBorders>
            <w:shd w:val="clear" w:color="auto" w:fill="3B3838" w:themeFill="background2" w:themeFillShade="40"/>
            <w:vAlign w:val="center"/>
          </w:tcPr>
          <w:p w14:paraId="2E5B3663" w14:textId="77777777" w:rsidR="00B4770F" w:rsidRPr="002204D9" w:rsidRDefault="00B4770F" w:rsidP="000752E9">
            <w:pPr>
              <w:jc w:val="both"/>
              <w:rPr>
                <w:rFonts w:ascii="Arial" w:hAnsi="Arial" w:cs="Arial"/>
                <w:b/>
                <w:color w:val="FFFFFF" w:themeColor="background1"/>
                <w:sz w:val="19"/>
                <w:szCs w:val="19"/>
              </w:rPr>
            </w:pPr>
            <w:r w:rsidRPr="002204D9">
              <w:rPr>
                <w:rFonts w:ascii="Arial" w:hAnsi="Arial" w:cs="Arial"/>
                <w:b/>
                <w:color w:val="FFFFFF" w:themeColor="background1"/>
                <w:sz w:val="19"/>
                <w:szCs w:val="19"/>
              </w:rPr>
              <w:t>No. de partida arancelaria</w:t>
            </w:r>
          </w:p>
        </w:tc>
        <w:tc>
          <w:tcPr>
            <w:tcW w:w="1081" w:type="dxa"/>
            <w:tcBorders>
              <w:top w:val="double" w:sz="4" w:space="0" w:color="auto"/>
              <w:left w:val="single" w:sz="4" w:space="0" w:color="000000"/>
              <w:bottom w:val="single" w:sz="4" w:space="0" w:color="000000"/>
              <w:right w:val="double" w:sz="4" w:space="0" w:color="auto"/>
            </w:tcBorders>
            <w:shd w:val="clear" w:color="auto" w:fill="3B3838" w:themeFill="background2" w:themeFillShade="40"/>
            <w:vAlign w:val="center"/>
          </w:tcPr>
          <w:p w14:paraId="7C423C1E" w14:textId="77777777" w:rsidR="00B4770F" w:rsidRPr="002204D9" w:rsidRDefault="00B4770F" w:rsidP="000752E9">
            <w:pPr>
              <w:jc w:val="both"/>
              <w:rPr>
                <w:rFonts w:ascii="Arial" w:hAnsi="Arial" w:cs="Arial"/>
                <w:b/>
                <w:color w:val="FFFFFF" w:themeColor="background1"/>
                <w:sz w:val="19"/>
                <w:szCs w:val="19"/>
              </w:rPr>
            </w:pPr>
            <w:r w:rsidRPr="002204D9">
              <w:rPr>
                <w:rFonts w:ascii="Arial" w:hAnsi="Arial" w:cs="Arial"/>
                <w:b/>
                <w:color w:val="FFFFFF" w:themeColor="background1"/>
                <w:sz w:val="19"/>
                <w:szCs w:val="19"/>
              </w:rPr>
              <w:t>% de participación</w:t>
            </w:r>
          </w:p>
        </w:tc>
        <w:tc>
          <w:tcPr>
            <w:tcW w:w="839" w:type="dxa"/>
            <w:tcBorders>
              <w:top w:val="double" w:sz="4" w:space="0" w:color="auto"/>
              <w:left w:val="single" w:sz="4" w:space="0" w:color="000000"/>
              <w:bottom w:val="single" w:sz="4" w:space="0" w:color="000000"/>
              <w:right w:val="double" w:sz="4" w:space="0" w:color="auto"/>
            </w:tcBorders>
            <w:shd w:val="clear" w:color="auto" w:fill="3B3838" w:themeFill="background2" w:themeFillShade="40"/>
          </w:tcPr>
          <w:p w14:paraId="14094808" w14:textId="77777777" w:rsidR="00B4770F" w:rsidRPr="002204D9" w:rsidRDefault="00B4770F" w:rsidP="000752E9">
            <w:pPr>
              <w:jc w:val="both"/>
              <w:rPr>
                <w:rFonts w:ascii="Arial" w:hAnsi="Arial" w:cs="Arial"/>
                <w:b/>
                <w:color w:val="FFFFFF" w:themeColor="background1"/>
                <w:sz w:val="19"/>
                <w:szCs w:val="19"/>
              </w:rPr>
            </w:pPr>
            <w:r w:rsidRPr="002204D9">
              <w:rPr>
                <w:rFonts w:ascii="Arial" w:hAnsi="Arial" w:cs="Arial"/>
                <w:b/>
                <w:color w:val="FFFFFF" w:themeColor="background1"/>
                <w:sz w:val="19"/>
                <w:szCs w:val="19"/>
              </w:rPr>
              <w:t xml:space="preserve">Puntaje individual de cada bien </w:t>
            </w:r>
          </w:p>
        </w:tc>
      </w:tr>
      <w:tr w:rsidR="00B4770F" w:rsidRPr="002204D9" w14:paraId="45637C7A" w14:textId="77777777" w:rsidTr="000752E9">
        <w:trPr>
          <w:trHeight w:val="177"/>
          <w:tblHeader/>
          <w:jc w:val="center"/>
        </w:trPr>
        <w:tc>
          <w:tcPr>
            <w:tcW w:w="365" w:type="dxa"/>
            <w:tcBorders>
              <w:top w:val="single" w:sz="4" w:space="0" w:color="000000"/>
              <w:left w:val="double" w:sz="4" w:space="0" w:color="auto"/>
              <w:right w:val="single" w:sz="6" w:space="0" w:color="auto"/>
            </w:tcBorders>
            <w:shd w:val="clear" w:color="auto" w:fill="auto"/>
            <w:vAlign w:val="center"/>
          </w:tcPr>
          <w:p w14:paraId="4EB78083" w14:textId="77777777" w:rsidR="00B4770F" w:rsidRPr="002204D9" w:rsidRDefault="00B4770F" w:rsidP="000752E9">
            <w:pPr>
              <w:jc w:val="both"/>
              <w:rPr>
                <w:rFonts w:ascii="Arial" w:hAnsi="Arial" w:cs="Arial"/>
                <w:caps/>
                <w:sz w:val="19"/>
                <w:szCs w:val="19"/>
              </w:rPr>
            </w:pPr>
            <w:r w:rsidRPr="002204D9">
              <w:rPr>
                <w:rFonts w:ascii="Arial" w:hAnsi="Arial" w:cs="Arial"/>
                <w:caps/>
                <w:sz w:val="19"/>
                <w:szCs w:val="19"/>
              </w:rPr>
              <w:t>1.</w:t>
            </w:r>
          </w:p>
        </w:tc>
        <w:tc>
          <w:tcPr>
            <w:tcW w:w="796" w:type="dxa"/>
            <w:tcBorders>
              <w:top w:val="single" w:sz="4" w:space="0" w:color="000000"/>
              <w:left w:val="single" w:sz="6" w:space="0" w:color="auto"/>
              <w:right w:val="single" w:sz="4" w:space="0" w:color="000000"/>
            </w:tcBorders>
            <w:shd w:val="clear" w:color="auto" w:fill="auto"/>
            <w:vAlign w:val="center"/>
          </w:tcPr>
          <w:p w14:paraId="70C9FE93" w14:textId="77777777" w:rsidR="00B4770F" w:rsidRPr="002204D9" w:rsidRDefault="00B4770F" w:rsidP="000752E9">
            <w:pPr>
              <w:jc w:val="both"/>
              <w:rPr>
                <w:rFonts w:ascii="Arial" w:hAnsi="Arial" w:cs="Arial"/>
                <w:b/>
                <w:color w:val="FFFFFF" w:themeColor="background1"/>
                <w:sz w:val="19"/>
                <w:szCs w:val="19"/>
              </w:rPr>
            </w:pPr>
          </w:p>
        </w:tc>
        <w:tc>
          <w:tcPr>
            <w:tcW w:w="942" w:type="dxa"/>
            <w:tcBorders>
              <w:top w:val="single" w:sz="4" w:space="0" w:color="000000"/>
              <w:left w:val="single" w:sz="6" w:space="0" w:color="auto"/>
              <w:right w:val="single" w:sz="4" w:space="0" w:color="000000"/>
            </w:tcBorders>
            <w:shd w:val="clear" w:color="auto" w:fill="auto"/>
          </w:tcPr>
          <w:p w14:paraId="10383734" w14:textId="77777777" w:rsidR="00B4770F" w:rsidRPr="002204D9" w:rsidRDefault="00B4770F" w:rsidP="000752E9">
            <w:pPr>
              <w:jc w:val="both"/>
              <w:rPr>
                <w:rFonts w:ascii="Arial" w:hAnsi="Arial" w:cs="Arial"/>
                <w:b/>
                <w:color w:val="FFFFFF" w:themeColor="background1"/>
                <w:sz w:val="19"/>
                <w:szCs w:val="19"/>
              </w:rPr>
            </w:pPr>
          </w:p>
        </w:tc>
        <w:tc>
          <w:tcPr>
            <w:tcW w:w="736" w:type="dxa"/>
            <w:tcBorders>
              <w:top w:val="single" w:sz="4" w:space="0" w:color="000000"/>
              <w:left w:val="single" w:sz="4" w:space="0" w:color="000000"/>
              <w:right w:val="single" w:sz="4" w:space="0" w:color="000000"/>
            </w:tcBorders>
            <w:shd w:val="clear" w:color="auto" w:fill="auto"/>
          </w:tcPr>
          <w:p w14:paraId="57AA8BA6" w14:textId="77777777" w:rsidR="00B4770F" w:rsidRPr="002204D9" w:rsidRDefault="00B4770F" w:rsidP="000752E9">
            <w:pPr>
              <w:jc w:val="both"/>
              <w:rPr>
                <w:rFonts w:ascii="Arial" w:hAnsi="Arial" w:cs="Arial"/>
                <w:b/>
                <w:color w:val="FFFFFF" w:themeColor="background1"/>
                <w:sz w:val="19"/>
                <w:szCs w:val="19"/>
              </w:rPr>
            </w:pPr>
          </w:p>
        </w:tc>
        <w:tc>
          <w:tcPr>
            <w:tcW w:w="934" w:type="dxa"/>
            <w:tcBorders>
              <w:top w:val="single" w:sz="4" w:space="0" w:color="000000"/>
              <w:left w:val="single" w:sz="4" w:space="0" w:color="000000"/>
              <w:right w:val="single" w:sz="4" w:space="0" w:color="000000"/>
            </w:tcBorders>
            <w:shd w:val="clear" w:color="auto" w:fill="auto"/>
          </w:tcPr>
          <w:p w14:paraId="44BC3D44" w14:textId="77777777" w:rsidR="00B4770F" w:rsidRPr="002204D9" w:rsidRDefault="00B4770F" w:rsidP="000752E9">
            <w:pPr>
              <w:jc w:val="both"/>
              <w:rPr>
                <w:rFonts w:ascii="Arial" w:hAnsi="Arial" w:cs="Arial"/>
                <w:b/>
                <w:color w:val="FFFFFF" w:themeColor="background1"/>
                <w:sz w:val="19"/>
                <w:szCs w:val="19"/>
              </w:rPr>
            </w:pPr>
          </w:p>
        </w:tc>
        <w:tc>
          <w:tcPr>
            <w:tcW w:w="1081" w:type="dxa"/>
            <w:tcBorders>
              <w:top w:val="single" w:sz="4" w:space="0" w:color="000000"/>
              <w:left w:val="single" w:sz="4" w:space="0" w:color="000000"/>
              <w:right w:val="double" w:sz="4" w:space="0" w:color="auto"/>
            </w:tcBorders>
            <w:shd w:val="clear" w:color="auto" w:fill="auto"/>
          </w:tcPr>
          <w:p w14:paraId="04872B01" w14:textId="77777777" w:rsidR="00B4770F" w:rsidRPr="002204D9" w:rsidRDefault="00B4770F" w:rsidP="000752E9">
            <w:pPr>
              <w:jc w:val="both"/>
              <w:rPr>
                <w:rFonts w:ascii="Arial" w:hAnsi="Arial" w:cs="Arial"/>
                <w:b/>
                <w:color w:val="FFFFFF" w:themeColor="background1"/>
                <w:sz w:val="19"/>
                <w:szCs w:val="19"/>
              </w:rPr>
            </w:pPr>
          </w:p>
        </w:tc>
        <w:tc>
          <w:tcPr>
            <w:tcW w:w="839" w:type="dxa"/>
            <w:tcBorders>
              <w:top w:val="single" w:sz="4" w:space="0" w:color="000000"/>
              <w:left w:val="single" w:sz="4" w:space="0" w:color="000000"/>
              <w:right w:val="double" w:sz="4" w:space="0" w:color="auto"/>
            </w:tcBorders>
          </w:tcPr>
          <w:p w14:paraId="50897BE9" w14:textId="77777777" w:rsidR="00B4770F" w:rsidRPr="002204D9" w:rsidRDefault="00B4770F" w:rsidP="000752E9">
            <w:pPr>
              <w:jc w:val="both"/>
              <w:rPr>
                <w:rFonts w:ascii="Arial" w:hAnsi="Arial" w:cs="Arial"/>
                <w:b/>
                <w:color w:val="FFFFFF" w:themeColor="background1"/>
                <w:sz w:val="19"/>
                <w:szCs w:val="19"/>
              </w:rPr>
            </w:pPr>
          </w:p>
        </w:tc>
      </w:tr>
      <w:tr w:rsidR="00B4770F" w:rsidRPr="002204D9" w14:paraId="13FB0D5B" w14:textId="77777777" w:rsidTr="000752E9">
        <w:trPr>
          <w:trHeight w:val="193"/>
          <w:tblHeader/>
          <w:jc w:val="center"/>
        </w:trPr>
        <w:tc>
          <w:tcPr>
            <w:tcW w:w="365" w:type="dxa"/>
            <w:tcBorders>
              <w:top w:val="double" w:sz="4" w:space="0" w:color="auto"/>
              <w:left w:val="double" w:sz="4" w:space="0" w:color="auto"/>
              <w:bottom w:val="double" w:sz="4" w:space="0" w:color="auto"/>
              <w:right w:val="single" w:sz="6" w:space="0" w:color="auto"/>
            </w:tcBorders>
            <w:shd w:val="clear" w:color="auto" w:fill="auto"/>
            <w:vAlign w:val="center"/>
          </w:tcPr>
          <w:p w14:paraId="14AB1E34" w14:textId="77777777" w:rsidR="00B4770F" w:rsidRPr="002204D9" w:rsidRDefault="00B4770F" w:rsidP="000752E9">
            <w:pPr>
              <w:jc w:val="both"/>
              <w:rPr>
                <w:rFonts w:ascii="Arial" w:hAnsi="Arial" w:cs="Arial"/>
                <w:b/>
                <w:color w:val="FFFFFF" w:themeColor="background1"/>
                <w:sz w:val="19"/>
                <w:szCs w:val="19"/>
              </w:rPr>
            </w:pPr>
            <w:r w:rsidRPr="002204D9">
              <w:rPr>
                <w:rFonts w:ascii="Arial" w:hAnsi="Arial" w:cs="Arial"/>
                <w:caps/>
                <w:sz w:val="19"/>
                <w:szCs w:val="19"/>
              </w:rPr>
              <w:t>2.</w:t>
            </w:r>
          </w:p>
        </w:tc>
        <w:tc>
          <w:tcPr>
            <w:tcW w:w="796" w:type="dxa"/>
            <w:tcBorders>
              <w:top w:val="double" w:sz="4" w:space="0" w:color="auto"/>
              <w:left w:val="single" w:sz="6" w:space="0" w:color="auto"/>
              <w:bottom w:val="double" w:sz="4" w:space="0" w:color="auto"/>
              <w:right w:val="single" w:sz="4" w:space="0" w:color="000000"/>
            </w:tcBorders>
            <w:shd w:val="clear" w:color="auto" w:fill="auto"/>
            <w:vAlign w:val="center"/>
          </w:tcPr>
          <w:p w14:paraId="03B2681E" w14:textId="77777777" w:rsidR="00B4770F" w:rsidRPr="002204D9" w:rsidRDefault="00B4770F" w:rsidP="000752E9">
            <w:pPr>
              <w:jc w:val="both"/>
              <w:rPr>
                <w:rFonts w:ascii="Arial" w:hAnsi="Arial" w:cs="Arial"/>
                <w:b/>
                <w:color w:val="FFFFFF" w:themeColor="background1"/>
                <w:sz w:val="19"/>
                <w:szCs w:val="19"/>
              </w:rPr>
            </w:pPr>
          </w:p>
        </w:tc>
        <w:tc>
          <w:tcPr>
            <w:tcW w:w="942" w:type="dxa"/>
            <w:tcBorders>
              <w:top w:val="double" w:sz="4" w:space="0" w:color="auto"/>
              <w:left w:val="single" w:sz="6" w:space="0" w:color="auto"/>
              <w:bottom w:val="double" w:sz="4" w:space="0" w:color="auto"/>
              <w:right w:val="single" w:sz="4" w:space="0" w:color="000000"/>
            </w:tcBorders>
            <w:shd w:val="clear" w:color="auto" w:fill="auto"/>
          </w:tcPr>
          <w:p w14:paraId="6E50F55A" w14:textId="77777777" w:rsidR="00B4770F" w:rsidRPr="002204D9" w:rsidRDefault="00B4770F" w:rsidP="000752E9">
            <w:pPr>
              <w:jc w:val="both"/>
              <w:rPr>
                <w:rFonts w:ascii="Arial" w:hAnsi="Arial" w:cs="Arial"/>
                <w:b/>
                <w:color w:val="FFFFFF" w:themeColor="background1"/>
                <w:sz w:val="19"/>
                <w:szCs w:val="19"/>
              </w:rPr>
            </w:pPr>
          </w:p>
        </w:tc>
        <w:tc>
          <w:tcPr>
            <w:tcW w:w="736" w:type="dxa"/>
            <w:tcBorders>
              <w:top w:val="double" w:sz="4" w:space="0" w:color="auto"/>
              <w:left w:val="single" w:sz="4" w:space="0" w:color="000000"/>
              <w:bottom w:val="double" w:sz="4" w:space="0" w:color="auto"/>
              <w:right w:val="single" w:sz="4" w:space="0" w:color="000000"/>
            </w:tcBorders>
            <w:shd w:val="clear" w:color="auto" w:fill="auto"/>
          </w:tcPr>
          <w:p w14:paraId="32E16F36" w14:textId="77777777" w:rsidR="00B4770F" w:rsidRPr="002204D9" w:rsidRDefault="00B4770F" w:rsidP="000752E9">
            <w:pPr>
              <w:jc w:val="both"/>
              <w:rPr>
                <w:rFonts w:ascii="Arial" w:hAnsi="Arial" w:cs="Arial"/>
                <w:b/>
                <w:color w:val="FFFFFF" w:themeColor="background1"/>
                <w:sz w:val="19"/>
                <w:szCs w:val="19"/>
              </w:rPr>
            </w:pPr>
          </w:p>
        </w:tc>
        <w:tc>
          <w:tcPr>
            <w:tcW w:w="934" w:type="dxa"/>
            <w:tcBorders>
              <w:top w:val="double" w:sz="4" w:space="0" w:color="auto"/>
              <w:left w:val="single" w:sz="4" w:space="0" w:color="000000"/>
              <w:bottom w:val="double" w:sz="4" w:space="0" w:color="auto"/>
              <w:right w:val="double" w:sz="4" w:space="0" w:color="auto"/>
            </w:tcBorders>
            <w:shd w:val="clear" w:color="auto" w:fill="auto"/>
          </w:tcPr>
          <w:p w14:paraId="0D744BA7" w14:textId="77777777" w:rsidR="00B4770F" w:rsidRPr="002204D9" w:rsidRDefault="00B4770F" w:rsidP="000752E9">
            <w:pPr>
              <w:jc w:val="both"/>
              <w:rPr>
                <w:rFonts w:ascii="Arial" w:hAnsi="Arial" w:cs="Arial"/>
                <w:b/>
                <w:color w:val="FFFFFF" w:themeColor="background1"/>
                <w:sz w:val="19"/>
                <w:szCs w:val="19"/>
              </w:rPr>
            </w:pPr>
          </w:p>
        </w:tc>
        <w:tc>
          <w:tcPr>
            <w:tcW w:w="1081" w:type="dxa"/>
            <w:tcBorders>
              <w:top w:val="double" w:sz="4" w:space="0" w:color="auto"/>
              <w:left w:val="single" w:sz="4" w:space="0" w:color="000000"/>
              <w:bottom w:val="double" w:sz="4" w:space="0" w:color="auto"/>
              <w:right w:val="double" w:sz="4" w:space="0" w:color="auto"/>
            </w:tcBorders>
            <w:shd w:val="clear" w:color="auto" w:fill="auto"/>
          </w:tcPr>
          <w:p w14:paraId="418701C3" w14:textId="77777777" w:rsidR="00B4770F" w:rsidRPr="002204D9" w:rsidRDefault="00B4770F" w:rsidP="000752E9">
            <w:pPr>
              <w:jc w:val="both"/>
              <w:rPr>
                <w:rFonts w:ascii="Arial" w:hAnsi="Arial" w:cs="Arial"/>
                <w:b/>
                <w:color w:val="FFFFFF" w:themeColor="background1"/>
                <w:sz w:val="19"/>
                <w:szCs w:val="19"/>
              </w:rPr>
            </w:pPr>
          </w:p>
        </w:tc>
        <w:tc>
          <w:tcPr>
            <w:tcW w:w="839" w:type="dxa"/>
            <w:tcBorders>
              <w:top w:val="double" w:sz="4" w:space="0" w:color="auto"/>
              <w:left w:val="single" w:sz="4" w:space="0" w:color="000000"/>
              <w:bottom w:val="double" w:sz="4" w:space="0" w:color="auto"/>
              <w:right w:val="double" w:sz="4" w:space="0" w:color="auto"/>
            </w:tcBorders>
          </w:tcPr>
          <w:p w14:paraId="735B633D" w14:textId="77777777" w:rsidR="00B4770F" w:rsidRPr="002204D9" w:rsidRDefault="00B4770F" w:rsidP="000752E9">
            <w:pPr>
              <w:jc w:val="both"/>
              <w:rPr>
                <w:rFonts w:ascii="Arial" w:hAnsi="Arial" w:cs="Arial"/>
                <w:b/>
                <w:color w:val="FFFFFF" w:themeColor="background1"/>
                <w:sz w:val="19"/>
                <w:szCs w:val="19"/>
              </w:rPr>
            </w:pPr>
          </w:p>
        </w:tc>
      </w:tr>
      <w:tr w:rsidR="00B4770F" w:rsidRPr="002204D9" w14:paraId="46CCFF9C" w14:textId="77777777" w:rsidTr="000752E9">
        <w:trPr>
          <w:trHeight w:val="193"/>
          <w:tblHeader/>
          <w:jc w:val="center"/>
        </w:trPr>
        <w:tc>
          <w:tcPr>
            <w:tcW w:w="365" w:type="dxa"/>
            <w:tcBorders>
              <w:top w:val="double" w:sz="4" w:space="0" w:color="auto"/>
              <w:left w:val="double" w:sz="4" w:space="0" w:color="auto"/>
              <w:bottom w:val="double" w:sz="4" w:space="0" w:color="auto"/>
              <w:right w:val="single" w:sz="6" w:space="0" w:color="auto"/>
            </w:tcBorders>
            <w:shd w:val="clear" w:color="auto" w:fill="auto"/>
            <w:vAlign w:val="center"/>
          </w:tcPr>
          <w:p w14:paraId="213C08A5" w14:textId="77777777" w:rsidR="00B4770F" w:rsidRPr="002204D9" w:rsidRDefault="00B4770F" w:rsidP="000752E9">
            <w:pPr>
              <w:jc w:val="both"/>
              <w:rPr>
                <w:rFonts w:ascii="Arial" w:hAnsi="Arial" w:cs="Arial"/>
                <w:caps/>
                <w:sz w:val="19"/>
                <w:szCs w:val="19"/>
              </w:rPr>
            </w:pPr>
            <w:r w:rsidRPr="002204D9">
              <w:rPr>
                <w:rFonts w:ascii="Arial" w:hAnsi="Arial" w:cs="Arial"/>
                <w:caps/>
                <w:sz w:val="19"/>
                <w:szCs w:val="19"/>
              </w:rPr>
              <w:t>3</w:t>
            </w:r>
          </w:p>
        </w:tc>
        <w:tc>
          <w:tcPr>
            <w:tcW w:w="796" w:type="dxa"/>
            <w:tcBorders>
              <w:top w:val="double" w:sz="4" w:space="0" w:color="auto"/>
              <w:left w:val="single" w:sz="6" w:space="0" w:color="auto"/>
              <w:bottom w:val="double" w:sz="4" w:space="0" w:color="auto"/>
              <w:right w:val="single" w:sz="4" w:space="0" w:color="000000"/>
            </w:tcBorders>
            <w:shd w:val="clear" w:color="auto" w:fill="auto"/>
            <w:vAlign w:val="center"/>
          </w:tcPr>
          <w:p w14:paraId="17245858" w14:textId="77777777" w:rsidR="00B4770F" w:rsidRPr="002204D9" w:rsidRDefault="00B4770F" w:rsidP="000752E9">
            <w:pPr>
              <w:jc w:val="both"/>
              <w:rPr>
                <w:rFonts w:ascii="Arial" w:hAnsi="Arial" w:cs="Arial"/>
                <w:b/>
                <w:color w:val="FFFFFF" w:themeColor="background1"/>
                <w:sz w:val="19"/>
                <w:szCs w:val="19"/>
              </w:rPr>
            </w:pPr>
          </w:p>
        </w:tc>
        <w:tc>
          <w:tcPr>
            <w:tcW w:w="942" w:type="dxa"/>
            <w:tcBorders>
              <w:top w:val="double" w:sz="4" w:space="0" w:color="auto"/>
              <w:left w:val="single" w:sz="6" w:space="0" w:color="auto"/>
              <w:bottom w:val="double" w:sz="4" w:space="0" w:color="auto"/>
              <w:right w:val="single" w:sz="4" w:space="0" w:color="000000"/>
            </w:tcBorders>
            <w:shd w:val="clear" w:color="auto" w:fill="auto"/>
          </w:tcPr>
          <w:p w14:paraId="685DD67F" w14:textId="77777777" w:rsidR="00B4770F" w:rsidRPr="002204D9" w:rsidRDefault="00B4770F" w:rsidP="000752E9">
            <w:pPr>
              <w:jc w:val="both"/>
              <w:rPr>
                <w:rFonts w:ascii="Arial" w:hAnsi="Arial" w:cs="Arial"/>
                <w:b/>
                <w:color w:val="FFFFFF" w:themeColor="background1"/>
                <w:sz w:val="19"/>
                <w:szCs w:val="19"/>
              </w:rPr>
            </w:pPr>
          </w:p>
        </w:tc>
        <w:tc>
          <w:tcPr>
            <w:tcW w:w="736" w:type="dxa"/>
            <w:tcBorders>
              <w:top w:val="double" w:sz="4" w:space="0" w:color="auto"/>
              <w:left w:val="single" w:sz="4" w:space="0" w:color="000000"/>
              <w:bottom w:val="double" w:sz="4" w:space="0" w:color="auto"/>
              <w:right w:val="single" w:sz="4" w:space="0" w:color="000000"/>
            </w:tcBorders>
            <w:shd w:val="clear" w:color="auto" w:fill="auto"/>
          </w:tcPr>
          <w:p w14:paraId="72FABE9E" w14:textId="77777777" w:rsidR="00B4770F" w:rsidRPr="002204D9" w:rsidRDefault="00B4770F" w:rsidP="000752E9">
            <w:pPr>
              <w:jc w:val="both"/>
              <w:rPr>
                <w:rFonts w:ascii="Arial" w:hAnsi="Arial" w:cs="Arial"/>
                <w:b/>
                <w:color w:val="FFFFFF" w:themeColor="background1"/>
                <w:sz w:val="19"/>
                <w:szCs w:val="19"/>
              </w:rPr>
            </w:pPr>
          </w:p>
        </w:tc>
        <w:tc>
          <w:tcPr>
            <w:tcW w:w="934" w:type="dxa"/>
            <w:tcBorders>
              <w:top w:val="double" w:sz="4" w:space="0" w:color="auto"/>
              <w:left w:val="single" w:sz="4" w:space="0" w:color="000000"/>
              <w:bottom w:val="double" w:sz="4" w:space="0" w:color="auto"/>
              <w:right w:val="double" w:sz="4" w:space="0" w:color="auto"/>
            </w:tcBorders>
            <w:shd w:val="clear" w:color="auto" w:fill="auto"/>
          </w:tcPr>
          <w:p w14:paraId="186FB69A" w14:textId="77777777" w:rsidR="00B4770F" w:rsidRPr="002204D9" w:rsidRDefault="00B4770F" w:rsidP="000752E9">
            <w:pPr>
              <w:jc w:val="both"/>
              <w:rPr>
                <w:rFonts w:ascii="Arial" w:hAnsi="Arial" w:cs="Arial"/>
                <w:b/>
                <w:color w:val="FFFFFF" w:themeColor="background1"/>
                <w:sz w:val="19"/>
                <w:szCs w:val="19"/>
              </w:rPr>
            </w:pPr>
          </w:p>
        </w:tc>
        <w:tc>
          <w:tcPr>
            <w:tcW w:w="1081" w:type="dxa"/>
            <w:tcBorders>
              <w:top w:val="double" w:sz="4" w:space="0" w:color="auto"/>
              <w:left w:val="single" w:sz="4" w:space="0" w:color="000000"/>
              <w:bottom w:val="double" w:sz="4" w:space="0" w:color="auto"/>
              <w:right w:val="double" w:sz="4" w:space="0" w:color="auto"/>
            </w:tcBorders>
            <w:shd w:val="clear" w:color="auto" w:fill="auto"/>
          </w:tcPr>
          <w:p w14:paraId="10BCE786" w14:textId="77777777" w:rsidR="00B4770F" w:rsidRPr="002204D9" w:rsidRDefault="00B4770F" w:rsidP="000752E9">
            <w:pPr>
              <w:jc w:val="both"/>
              <w:rPr>
                <w:rFonts w:ascii="Arial" w:hAnsi="Arial" w:cs="Arial"/>
                <w:b/>
                <w:color w:val="FFFFFF" w:themeColor="background1"/>
                <w:sz w:val="19"/>
                <w:szCs w:val="19"/>
              </w:rPr>
            </w:pPr>
          </w:p>
        </w:tc>
        <w:tc>
          <w:tcPr>
            <w:tcW w:w="839" w:type="dxa"/>
            <w:tcBorders>
              <w:top w:val="double" w:sz="4" w:space="0" w:color="auto"/>
              <w:left w:val="single" w:sz="4" w:space="0" w:color="000000"/>
              <w:bottom w:val="double" w:sz="4" w:space="0" w:color="auto"/>
              <w:right w:val="double" w:sz="4" w:space="0" w:color="auto"/>
            </w:tcBorders>
          </w:tcPr>
          <w:p w14:paraId="3A0AAE49" w14:textId="77777777" w:rsidR="00B4770F" w:rsidRPr="002204D9" w:rsidRDefault="00B4770F" w:rsidP="000752E9">
            <w:pPr>
              <w:jc w:val="both"/>
              <w:rPr>
                <w:rFonts w:ascii="Arial" w:hAnsi="Arial" w:cs="Arial"/>
                <w:b/>
                <w:color w:val="FFFFFF" w:themeColor="background1"/>
                <w:sz w:val="19"/>
                <w:szCs w:val="19"/>
              </w:rPr>
            </w:pPr>
          </w:p>
        </w:tc>
      </w:tr>
      <w:tr w:rsidR="00B4770F" w:rsidRPr="002204D9" w14:paraId="3FABCCC5" w14:textId="77777777" w:rsidTr="000752E9">
        <w:trPr>
          <w:trHeight w:val="36"/>
          <w:tblHeader/>
          <w:jc w:val="center"/>
        </w:trPr>
        <w:tc>
          <w:tcPr>
            <w:tcW w:w="365" w:type="dxa"/>
            <w:tcBorders>
              <w:top w:val="double" w:sz="4" w:space="0" w:color="auto"/>
              <w:left w:val="double" w:sz="4" w:space="0" w:color="auto"/>
              <w:right w:val="single" w:sz="6" w:space="0" w:color="auto"/>
            </w:tcBorders>
            <w:shd w:val="clear" w:color="auto" w:fill="auto"/>
            <w:vAlign w:val="center"/>
          </w:tcPr>
          <w:p w14:paraId="4176DC63" w14:textId="77777777" w:rsidR="00B4770F" w:rsidRPr="002204D9" w:rsidRDefault="00B4770F" w:rsidP="000752E9">
            <w:pPr>
              <w:jc w:val="both"/>
              <w:rPr>
                <w:rFonts w:ascii="Arial" w:hAnsi="Arial" w:cs="Arial"/>
                <w:caps/>
                <w:sz w:val="19"/>
                <w:szCs w:val="19"/>
              </w:rPr>
            </w:pPr>
            <w:r w:rsidRPr="002204D9">
              <w:rPr>
                <w:rFonts w:ascii="Arial" w:hAnsi="Arial" w:cs="Arial"/>
                <w:caps/>
                <w:sz w:val="19"/>
                <w:szCs w:val="19"/>
              </w:rPr>
              <w:t>4</w:t>
            </w:r>
          </w:p>
        </w:tc>
        <w:tc>
          <w:tcPr>
            <w:tcW w:w="796" w:type="dxa"/>
            <w:tcBorders>
              <w:top w:val="double" w:sz="4" w:space="0" w:color="auto"/>
              <w:left w:val="single" w:sz="6" w:space="0" w:color="auto"/>
              <w:right w:val="single" w:sz="4" w:space="0" w:color="000000"/>
            </w:tcBorders>
            <w:shd w:val="clear" w:color="auto" w:fill="auto"/>
            <w:vAlign w:val="center"/>
          </w:tcPr>
          <w:p w14:paraId="07F19E35" w14:textId="77777777" w:rsidR="00B4770F" w:rsidRPr="002204D9" w:rsidRDefault="00B4770F" w:rsidP="000752E9">
            <w:pPr>
              <w:jc w:val="both"/>
              <w:rPr>
                <w:rFonts w:ascii="Arial" w:hAnsi="Arial" w:cs="Arial"/>
                <w:b/>
                <w:i/>
                <w:color w:val="FFFFFF" w:themeColor="background1"/>
                <w:sz w:val="19"/>
                <w:szCs w:val="19"/>
              </w:rPr>
            </w:pPr>
          </w:p>
        </w:tc>
        <w:tc>
          <w:tcPr>
            <w:tcW w:w="942" w:type="dxa"/>
            <w:tcBorders>
              <w:top w:val="double" w:sz="4" w:space="0" w:color="auto"/>
              <w:left w:val="single" w:sz="6" w:space="0" w:color="auto"/>
              <w:right w:val="single" w:sz="4" w:space="0" w:color="000000"/>
            </w:tcBorders>
            <w:shd w:val="clear" w:color="auto" w:fill="auto"/>
          </w:tcPr>
          <w:p w14:paraId="5B4EFB5E" w14:textId="77777777" w:rsidR="00B4770F" w:rsidRPr="002204D9" w:rsidRDefault="00B4770F" w:rsidP="000752E9">
            <w:pPr>
              <w:jc w:val="both"/>
              <w:rPr>
                <w:rFonts w:ascii="Arial" w:hAnsi="Arial" w:cs="Arial"/>
                <w:b/>
                <w:i/>
                <w:color w:val="FFFFFF" w:themeColor="background1"/>
                <w:sz w:val="19"/>
                <w:szCs w:val="19"/>
              </w:rPr>
            </w:pPr>
          </w:p>
        </w:tc>
        <w:tc>
          <w:tcPr>
            <w:tcW w:w="736" w:type="dxa"/>
            <w:tcBorders>
              <w:top w:val="double" w:sz="4" w:space="0" w:color="auto"/>
              <w:left w:val="single" w:sz="4" w:space="0" w:color="000000"/>
              <w:right w:val="single" w:sz="4" w:space="0" w:color="000000"/>
            </w:tcBorders>
            <w:shd w:val="clear" w:color="auto" w:fill="auto"/>
          </w:tcPr>
          <w:p w14:paraId="000E341F" w14:textId="77777777" w:rsidR="00B4770F" w:rsidRPr="002204D9" w:rsidRDefault="00B4770F" w:rsidP="000752E9">
            <w:pPr>
              <w:jc w:val="both"/>
              <w:rPr>
                <w:rFonts w:ascii="Arial" w:hAnsi="Arial" w:cs="Arial"/>
                <w:b/>
                <w:i/>
                <w:color w:val="FFFFFF" w:themeColor="background1"/>
                <w:sz w:val="19"/>
                <w:szCs w:val="19"/>
              </w:rPr>
            </w:pPr>
          </w:p>
        </w:tc>
        <w:tc>
          <w:tcPr>
            <w:tcW w:w="934" w:type="dxa"/>
            <w:tcBorders>
              <w:top w:val="double" w:sz="4" w:space="0" w:color="auto"/>
              <w:left w:val="single" w:sz="4" w:space="0" w:color="000000"/>
              <w:right w:val="double" w:sz="4" w:space="0" w:color="auto"/>
            </w:tcBorders>
            <w:shd w:val="clear" w:color="auto" w:fill="auto"/>
          </w:tcPr>
          <w:p w14:paraId="3BF23D1D" w14:textId="77777777" w:rsidR="00B4770F" w:rsidRPr="002204D9" w:rsidRDefault="00B4770F" w:rsidP="000752E9">
            <w:pPr>
              <w:jc w:val="both"/>
              <w:rPr>
                <w:rFonts w:ascii="Arial" w:hAnsi="Arial" w:cs="Arial"/>
                <w:b/>
                <w:i/>
                <w:color w:val="FFFFFF" w:themeColor="background1"/>
                <w:sz w:val="19"/>
                <w:szCs w:val="19"/>
              </w:rPr>
            </w:pPr>
          </w:p>
        </w:tc>
        <w:tc>
          <w:tcPr>
            <w:tcW w:w="1081" w:type="dxa"/>
            <w:tcBorders>
              <w:top w:val="double" w:sz="4" w:space="0" w:color="auto"/>
              <w:left w:val="single" w:sz="4" w:space="0" w:color="000000"/>
              <w:right w:val="double" w:sz="4" w:space="0" w:color="auto"/>
            </w:tcBorders>
            <w:shd w:val="clear" w:color="auto" w:fill="auto"/>
          </w:tcPr>
          <w:p w14:paraId="571F4FB0" w14:textId="77777777" w:rsidR="00B4770F" w:rsidRPr="002204D9" w:rsidRDefault="00B4770F" w:rsidP="000752E9">
            <w:pPr>
              <w:jc w:val="both"/>
              <w:rPr>
                <w:rFonts w:ascii="Arial" w:hAnsi="Arial" w:cs="Arial"/>
                <w:b/>
                <w:i/>
                <w:color w:val="FFFFFF" w:themeColor="background1"/>
                <w:sz w:val="19"/>
                <w:szCs w:val="19"/>
              </w:rPr>
            </w:pPr>
          </w:p>
        </w:tc>
        <w:tc>
          <w:tcPr>
            <w:tcW w:w="839" w:type="dxa"/>
            <w:tcBorders>
              <w:top w:val="double" w:sz="4" w:space="0" w:color="auto"/>
              <w:left w:val="single" w:sz="4" w:space="0" w:color="000000"/>
              <w:right w:val="double" w:sz="4" w:space="0" w:color="auto"/>
            </w:tcBorders>
          </w:tcPr>
          <w:p w14:paraId="6740E55B" w14:textId="77777777" w:rsidR="00B4770F" w:rsidRPr="002204D9" w:rsidRDefault="00B4770F" w:rsidP="000752E9">
            <w:pPr>
              <w:jc w:val="both"/>
              <w:rPr>
                <w:rFonts w:ascii="Arial" w:hAnsi="Arial" w:cs="Arial"/>
                <w:b/>
                <w:i/>
                <w:color w:val="FFFFFF" w:themeColor="background1"/>
                <w:sz w:val="19"/>
                <w:szCs w:val="19"/>
              </w:rPr>
            </w:pPr>
          </w:p>
        </w:tc>
      </w:tr>
    </w:tbl>
    <w:p w14:paraId="29308D81" w14:textId="2433C4B4" w:rsidR="004218AD" w:rsidRDefault="00FC4F6D" w:rsidP="002204D9">
      <w:pPr>
        <w:widowControl w:val="0"/>
        <w:autoSpaceDE w:val="0"/>
        <w:autoSpaceDN w:val="0"/>
        <w:spacing w:after="120" w:line="276" w:lineRule="auto"/>
        <w:ind w:firstLine="709"/>
        <w:jc w:val="both"/>
        <w:rPr>
          <w:rFonts w:ascii="Arial" w:eastAsia="Arial" w:hAnsi="Arial" w:cs="Arial"/>
          <w:bCs/>
          <w:lang w:eastAsia="es-ES" w:bidi="es-ES"/>
        </w:rPr>
      </w:pPr>
      <w:r>
        <w:rPr>
          <w:rFonts w:ascii="Arial" w:eastAsia="Arial" w:hAnsi="Arial" w:cs="Arial"/>
          <w:bCs/>
          <w:lang w:eastAsia="es-ES" w:bidi="es-ES"/>
        </w:rPr>
        <w:t xml:space="preserve"> </w:t>
      </w:r>
    </w:p>
    <w:p w14:paraId="73777520" w14:textId="370BE0F8" w:rsidR="00856671" w:rsidRDefault="00D05EC0" w:rsidP="002204D9">
      <w:pPr>
        <w:widowControl w:val="0"/>
        <w:tabs>
          <w:tab w:val="left" w:pos="2143"/>
        </w:tabs>
        <w:autoSpaceDE w:val="0"/>
        <w:autoSpaceDN w:val="0"/>
        <w:spacing w:after="120" w:line="276" w:lineRule="auto"/>
        <w:ind w:firstLine="709"/>
        <w:jc w:val="both"/>
        <w:rPr>
          <w:rFonts w:ascii="Arial" w:hAnsi="Arial" w:cs="Arial"/>
          <w:iCs/>
        </w:rPr>
      </w:pPr>
      <w:r>
        <w:rPr>
          <w:rFonts w:ascii="Arial" w:eastAsia="Arial" w:hAnsi="Arial" w:cs="Arial"/>
          <w:bCs/>
          <w:lang w:eastAsia="es-ES" w:bidi="es-ES"/>
        </w:rPr>
        <w:t>P</w:t>
      </w:r>
      <w:r w:rsidR="00856671" w:rsidRPr="00D91933">
        <w:rPr>
          <w:rFonts w:ascii="Arial" w:eastAsia="Arial" w:hAnsi="Arial" w:cs="Arial"/>
          <w:bCs/>
          <w:lang w:eastAsia="es-ES" w:bidi="es-ES"/>
        </w:rPr>
        <w:t>ara la asignación de puntajes por apoyo a la industria nacional por promoción de servicios o con trato nacional, la entidad estatal deberá tener en cuenta</w:t>
      </w:r>
      <w:r w:rsidR="00B20B11">
        <w:rPr>
          <w:rFonts w:ascii="Arial" w:eastAsia="Arial" w:hAnsi="Arial" w:cs="Arial"/>
          <w:bCs/>
          <w:lang w:eastAsia="es-ES" w:bidi="es-ES"/>
        </w:rPr>
        <w:t xml:space="preserve"> que</w:t>
      </w:r>
      <w:r w:rsidR="00856671" w:rsidRPr="00D91933">
        <w:rPr>
          <w:rFonts w:ascii="Arial" w:eastAsia="Arial" w:hAnsi="Arial" w:cs="Arial"/>
          <w:bCs/>
          <w:lang w:eastAsia="es-ES" w:bidi="es-ES"/>
        </w:rPr>
        <w:t xml:space="preserve">: i) </w:t>
      </w:r>
      <w:r w:rsidR="00B814CD" w:rsidRPr="00D91933">
        <w:rPr>
          <w:rFonts w:ascii="Arial" w:eastAsia="Arial" w:hAnsi="Arial" w:cs="Arial"/>
          <w:bCs/>
          <w:lang w:eastAsia="es-ES" w:bidi="es-ES"/>
        </w:rPr>
        <w:t>el puntaje se asignará a los proponentes que se comprometan a adquirir uno, va</w:t>
      </w:r>
      <w:r w:rsidR="00B20B11">
        <w:rPr>
          <w:rFonts w:ascii="Arial" w:eastAsia="Arial" w:hAnsi="Arial" w:cs="Arial"/>
          <w:bCs/>
          <w:lang w:eastAsia="es-ES" w:bidi="es-ES"/>
        </w:rPr>
        <w:t>r</w:t>
      </w:r>
      <w:r w:rsidR="00B814CD" w:rsidRPr="00D91933">
        <w:rPr>
          <w:rFonts w:ascii="Arial" w:eastAsia="Arial" w:hAnsi="Arial" w:cs="Arial"/>
          <w:bCs/>
          <w:lang w:eastAsia="es-ES" w:bidi="es-ES"/>
        </w:rPr>
        <w:t>ios o todos los bienes nacionales relevantes, sin someter a condicionamientos la oferta, ii) si la entidad determina la existencia de bienes nacionales relevantes, no se otorgará puntaje si el proponente no oferta alguno de esos bienes, iii) si hay más de un bien nacional relevante, se otorgará el puntaje de forma proporcional a la cantidad de estos</w:t>
      </w:r>
      <w:r w:rsidR="00B12E13">
        <w:rPr>
          <w:rFonts w:ascii="Arial" w:eastAsia="Arial" w:hAnsi="Arial" w:cs="Arial"/>
          <w:bCs/>
          <w:lang w:eastAsia="es-ES" w:bidi="es-ES"/>
        </w:rPr>
        <w:t xml:space="preserve"> bienes</w:t>
      </w:r>
      <w:r w:rsidR="00B814CD" w:rsidRPr="00D91933">
        <w:rPr>
          <w:rFonts w:ascii="Arial" w:eastAsia="Arial" w:hAnsi="Arial" w:cs="Arial"/>
          <w:bCs/>
          <w:lang w:eastAsia="es-ES" w:bidi="es-ES"/>
        </w:rPr>
        <w:t xml:space="preserve"> </w:t>
      </w:r>
      <w:r w:rsidR="00DD2F84">
        <w:rPr>
          <w:rFonts w:ascii="Arial" w:eastAsia="Arial" w:hAnsi="Arial" w:cs="Arial"/>
          <w:bCs/>
          <w:lang w:eastAsia="es-ES" w:bidi="es-ES"/>
        </w:rPr>
        <w:t>−</w:t>
      </w:r>
      <w:r w:rsidR="00B814CD" w:rsidRPr="00D91933">
        <w:rPr>
          <w:rFonts w:ascii="Arial" w:eastAsia="Arial" w:hAnsi="Arial" w:cs="Arial"/>
          <w:bCs/>
          <w:lang w:eastAsia="es-ES" w:bidi="es-ES"/>
        </w:rPr>
        <w:t>que el proponente se comprometa a incorporar a la ejecución del contrato</w:t>
      </w:r>
      <w:r w:rsidR="00DD2F84">
        <w:rPr>
          <w:rFonts w:ascii="Arial" w:eastAsia="Arial" w:hAnsi="Arial" w:cs="Arial"/>
          <w:bCs/>
          <w:lang w:eastAsia="es-ES" w:bidi="es-ES"/>
        </w:rPr>
        <w:t>−</w:t>
      </w:r>
      <w:r w:rsidR="00B814CD" w:rsidRPr="00D91933">
        <w:rPr>
          <w:rFonts w:ascii="Arial" w:eastAsia="Arial" w:hAnsi="Arial" w:cs="Arial"/>
          <w:bCs/>
          <w:lang w:eastAsia="es-ES" w:bidi="es-ES"/>
        </w:rPr>
        <w:t xml:space="preserve"> y dependiendo del porcentaje de participación de estos</w:t>
      </w:r>
      <w:r w:rsidR="00945F8A">
        <w:rPr>
          <w:rFonts w:ascii="Arial" w:eastAsia="Arial" w:hAnsi="Arial" w:cs="Arial"/>
          <w:bCs/>
          <w:lang w:eastAsia="es-ES" w:bidi="es-ES"/>
        </w:rPr>
        <w:t xml:space="preserve"> en el proceso de contratación</w:t>
      </w:r>
      <w:r w:rsidR="009F2A83" w:rsidRPr="00D91933">
        <w:rPr>
          <w:rFonts w:ascii="Arial" w:eastAsia="Arial" w:hAnsi="Arial" w:cs="Arial"/>
          <w:bCs/>
          <w:lang w:eastAsia="es-ES" w:bidi="es-ES"/>
        </w:rPr>
        <w:t>, así</w:t>
      </w:r>
      <w:r w:rsidR="00945F8A">
        <w:rPr>
          <w:rFonts w:ascii="Arial" w:eastAsia="Arial" w:hAnsi="Arial" w:cs="Arial"/>
          <w:bCs/>
          <w:lang w:eastAsia="es-ES" w:bidi="es-ES"/>
        </w:rPr>
        <w:t xml:space="preserve"> mismo</w:t>
      </w:r>
      <w:r w:rsidR="009F2A83" w:rsidRPr="00D91933">
        <w:rPr>
          <w:rFonts w:ascii="Arial" w:eastAsia="Arial" w:hAnsi="Arial" w:cs="Arial"/>
          <w:bCs/>
          <w:lang w:eastAsia="es-ES" w:bidi="es-ES"/>
        </w:rPr>
        <w:t xml:space="preserve">, una vez definido el porcentaje de participación de cada bien nacional relevante, entidad estatal otorgará el puntaje a cada proponente, </w:t>
      </w:r>
      <w:r w:rsidR="009F2A83" w:rsidRPr="002204D9">
        <w:rPr>
          <w:rFonts w:ascii="Arial" w:hAnsi="Arial" w:cs="Arial"/>
          <w:iCs/>
        </w:rPr>
        <w:t>dependiendo de la cantidad de bienes nacionales relevantes ofertados y el puntaje individual asignado a cada uno de ello, sin que supere los veinte (20) puntos</w:t>
      </w:r>
      <w:r w:rsidR="00D91933">
        <w:rPr>
          <w:rFonts w:ascii="Arial" w:hAnsi="Arial" w:cs="Arial"/>
          <w:iCs/>
        </w:rPr>
        <w:t xml:space="preserve">, y iv) </w:t>
      </w:r>
      <w:r w:rsidR="00D91933" w:rsidRPr="00C854FC">
        <w:rPr>
          <w:rFonts w:ascii="Arial" w:hAnsi="Arial" w:cs="Arial"/>
          <w:iCs/>
        </w:rPr>
        <w:t>para el caso de los proponentes plurales</w:t>
      </w:r>
      <w:r w:rsidR="00C854FC" w:rsidRPr="00C854FC">
        <w:rPr>
          <w:rFonts w:ascii="Arial" w:hAnsi="Arial" w:cs="Arial"/>
          <w:iCs/>
        </w:rPr>
        <w:t xml:space="preserve">, todos, varios o cualquiera de sus integrantes podrán incorporar todos o algunos de los bienes nacionales relevantes, </w:t>
      </w:r>
      <w:r w:rsidR="00C854FC">
        <w:rPr>
          <w:rFonts w:ascii="Arial" w:hAnsi="Arial" w:cs="Arial"/>
          <w:iCs/>
        </w:rPr>
        <w:t>además</w:t>
      </w:r>
      <w:r w:rsidR="00B91F23">
        <w:rPr>
          <w:rFonts w:ascii="Arial" w:hAnsi="Arial" w:cs="Arial"/>
          <w:iCs/>
        </w:rPr>
        <w:t xml:space="preserve"> su composición</w:t>
      </w:r>
      <w:r w:rsidR="00C854FC" w:rsidRPr="00C854FC">
        <w:rPr>
          <w:rFonts w:ascii="Arial" w:hAnsi="Arial" w:cs="Arial"/>
          <w:iCs/>
        </w:rPr>
        <w:t xml:space="preserve">, deberá estar acorde con </w:t>
      </w:r>
      <w:r w:rsidR="00C854FC" w:rsidRPr="002204D9">
        <w:rPr>
          <w:rFonts w:ascii="Arial" w:hAnsi="Arial" w:cs="Arial"/>
          <w:iCs/>
        </w:rPr>
        <w:t>la definición de Servicios Nacionales prevista en el artículo 2.2.1.1.1.3.1 del Decreto 1082 de 2015, de lo que dependerá la franja del puntaje aplicable en lo referente con el apoyo de la industria nacional</w:t>
      </w:r>
      <w:r w:rsidR="006A3223">
        <w:rPr>
          <w:rStyle w:val="Refdenotaalpie"/>
          <w:rFonts w:ascii="Arial" w:hAnsi="Arial" w:cs="Arial"/>
          <w:iCs/>
        </w:rPr>
        <w:footnoteReference w:id="10"/>
      </w:r>
      <w:r w:rsidR="00C854FC" w:rsidRPr="002204D9">
        <w:rPr>
          <w:rFonts w:ascii="Arial" w:hAnsi="Arial" w:cs="Arial"/>
          <w:iCs/>
        </w:rPr>
        <w:t>.</w:t>
      </w:r>
      <w:r w:rsidR="00C854FC">
        <w:rPr>
          <w:iCs/>
        </w:rPr>
        <w:t xml:space="preserve"> </w:t>
      </w:r>
    </w:p>
    <w:p w14:paraId="0A8D0221" w14:textId="466AB3D7" w:rsidR="00D91933" w:rsidRPr="002204D9" w:rsidRDefault="00C56552" w:rsidP="002430EA">
      <w:pPr>
        <w:widowControl w:val="0"/>
        <w:tabs>
          <w:tab w:val="left" w:pos="2143"/>
        </w:tabs>
        <w:autoSpaceDE w:val="0"/>
        <w:autoSpaceDN w:val="0"/>
        <w:spacing w:after="0" w:line="276" w:lineRule="auto"/>
        <w:ind w:firstLine="709"/>
        <w:jc w:val="both"/>
        <w:rPr>
          <w:rFonts w:ascii="Arial" w:eastAsia="Arial" w:hAnsi="Arial" w:cs="Arial"/>
          <w:bCs/>
          <w:lang w:eastAsia="es-ES" w:bidi="es-ES"/>
        </w:rPr>
      </w:pPr>
      <w:r>
        <w:rPr>
          <w:rFonts w:ascii="Arial" w:eastAsia="Arial" w:hAnsi="Arial" w:cs="Arial"/>
          <w:bCs/>
          <w:lang w:eastAsia="es-ES" w:bidi="es-ES"/>
        </w:rPr>
        <w:lastRenderedPageBreak/>
        <w:t>Por otra parte</w:t>
      </w:r>
      <w:r w:rsidR="00935A15">
        <w:rPr>
          <w:rFonts w:ascii="Arial" w:eastAsia="Arial" w:hAnsi="Arial" w:cs="Arial"/>
          <w:bCs/>
          <w:lang w:eastAsia="es-ES" w:bidi="es-ES"/>
        </w:rPr>
        <w:t xml:space="preserve">, si luego de aplicar la metodología para identificar los bienes nacionales relevantes, prevista en la </w:t>
      </w:r>
      <w:r w:rsidR="00CF4C04">
        <w:rPr>
          <w:rFonts w:ascii="Arial" w:eastAsia="Arial" w:hAnsi="Arial" w:cs="Arial"/>
          <w:bCs/>
          <w:lang w:eastAsia="es-ES" w:bidi="es-ES"/>
        </w:rPr>
        <w:t>«</w:t>
      </w:r>
      <w:r w:rsidR="00935A15" w:rsidRPr="002204D9">
        <w:rPr>
          <w:rFonts w:ascii="Arial" w:eastAsia="Arial" w:hAnsi="Arial" w:cs="Arial"/>
          <w:bCs/>
          <w:lang w:eastAsia="es-ES" w:bidi="es-ES"/>
        </w:rPr>
        <w:t>Matriz 4 - Bienes nacionales relevantes para la obra pública del sector transporte</w:t>
      </w:r>
      <w:r w:rsidR="00CF4C04">
        <w:rPr>
          <w:rFonts w:ascii="Arial" w:eastAsia="Arial" w:hAnsi="Arial" w:cs="Arial"/>
          <w:bCs/>
          <w:lang w:eastAsia="es-ES" w:bidi="es-ES"/>
        </w:rPr>
        <w:t>»</w:t>
      </w:r>
      <w:r w:rsidR="00935A15">
        <w:rPr>
          <w:rFonts w:ascii="Arial" w:eastAsia="Arial" w:hAnsi="Arial" w:cs="Arial"/>
          <w:bCs/>
          <w:lang w:eastAsia="es-ES" w:bidi="es-ES"/>
        </w:rPr>
        <w:t xml:space="preserve">, la entidad estatal demuestra que los bienes nacionales relevantes no están registrados en el Registro de Productos de Bienes Nacionales Relevantes, </w:t>
      </w:r>
      <w:r w:rsidR="00935A15" w:rsidRPr="002204D9">
        <w:rPr>
          <w:rFonts w:ascii="Arial" w:eastAsia="Arial" w:hAnsi="Arial" w:cs="Arial"/>
          <w:bCs/>
          <w:lang w:eastAsia="es-ES" w:bidi="es-ES"/>
        </w:rPr>
        <w:t xml:space="preserve">deberá aplicar la </w:t>
      </w:r>
      <w:r w:rsidR="00935A15" w:rsidRPr="002204D9">
        <w:rPr>
          <w:rFonts w:ascii="Arial" w:eastAsia="Arial" w:hAnsi="Arial" w:cs="Arial"/>
          <w:b/>
          <w:i/>
          <w:iCs/>
          <w:lang w:eastAsia="es-ES" w:bidi="es-ES"/>
        </w:rPr>
        <w:t>opción 2</w:t>
      </w:r>
      <w:r w:rsidR="00935A15" w:rsidRPr="002204D9">
        <w:rPr>
          <w:rFonts w:ascii="Arial" w:eastAsia="Arial" w:hAnsi="Arial" w:cs="Arial"/>
          <w:bCs/>
          <w:lang w:eastAsia="es-ES" w:bidi="es-ES"/>
        </w:rPr>
        <w:t xml:space="preserve"> del numeral 4.3.1 </w:t>
      </w:r>
      <w:r w:rsidR="005275BC">
        <w:rPr>
          <w:rFonts w:ascii="Arial" w:eastAsia="Arial" w:hAnsi="Arial" w:cs="Arial"/>
          <w:bCs/>
          <w:lang w:eastAsia="es-ES" w:bidi="es-ES"/>
        </w:rPr>
        <w:t>«</w:t>
      </w:r>
      <w:r w:rsidR="005275BC" w:rsidRPr="00C11B2A">
        <w:rPr>
          <w:rFonts w:ascii="Arial" w:eastAsia="Arial" w:hAnsi="Arial" w:cs="Arial"/>
          <w:bCs/>
          <w:lang w:eastAsia="es-ES" w:bidi="es-ES"/>
        </w:rPr>
        <w:t xml:space="preserve">Promoción de servicios </w:t>
      </w:r>
      <w:r w:rsidR="005275BC" w:rsidRPr="00C11B2A">
        <w:rPr>
          <w:rFonts w:ascii="Arial" w:eastAsia="Arial" w:hAnsi="Arial" w:cs="Arial"/>
          <w:bCs/>
          <w:lang w:eastAsia="es-ES" w:bidi="es-ES"/>
        </w:rPr>
        <w:lastRenderedPageBreak/>
        <w:t>nacionales o con trato nacional</w:t>
      </w:r>
      <w:r w:rsidR="005275BC">
        <w:rPr>
          <w:rFonts w:ascii="Arial" w:eastAsia="Arial" w:hAnsi="Arial" w:cs="Arial"/>
          <w:bCs/>
          <w:lang w:eastAsia="es-ES" w:bidi="es-ES"/>
        </w:rPr>
        <w:t>»</w:t>
      </w:r>
      <w:r w:rsidR="00BC0A6E">
        <w:rPr>
          <w:rFonts w:ascii="Arial" w:eastAsia="Arial" w:hAnsi="Arial" w:cs="Arial"/>
          <w:bCs/>
          <w:lang w:eastAsia="es-ES" w:bidi="es-ES"/>
        </w:rPr>
        <w:t xml:space="preserve">. </w:t>
      </w:r>
      <w:r w:rsidR="005275BC">
        <w:rPr>
          <w:rFonts w:ascii="Arial" w:eastAsia="Arial" w:hAnsi="Arial" w:cs="Arial"/>
          <w:bCs/>
          <w:lang w:eastAsia="es-ES" w:bidi="es-ES"/>
        </w:rPr>
        <w:t xml:space="preserve">Así, la entidad, </w:t>
      </w:r>
      <w:r w:rsidR="00935A15" w:rsidRPr="002204D9">
        <w:rPr>
          <w:rFonts w:ascii="Arial" w:eastAsia="Arial" w:hAnsi="Arial" w:cs="Arial"/>
          <w:bCs/>
          <w:lang w:eastAsia="es-ES" w:bidi="es-ES"/>
        </w:rPr>
        <w:t xml:space="preserve">otorgará el puntaje a los proponentes que se comprometan a vincular al desarrollo del objeto contractual un porcentaje de empleados o contratistas por prestación de servicios colombianos de al menos </w:t>
      </w:r>
      <w:r w:rsidR="005275BC" w:rsidRPr="002204D9">
        <w:rPr>
          <w:rFonts w:ascii="Arial" w:eastAsia="Arial" w:hAnsi="Arial" w:cs="Arial"/>
          <w:bCs/>
          <w:lang w:eastAsia="es-ES" w:bidi="es-ES"/>
        </w:rPr>
        <w:t>el cuarenta (40%) del personal requerido para el cumplimento del contrato, y deberá incluir los siguientes párrafos:</w:t>
      </w:r>
    </w:p>
    <w:p w14:paraId="70F612E4" w14:textId="270BC9B8" w:rsidR="005275BC" w:rsidRDefault="005275BC" w:rsidP="002204D9">
      <w:pPr>
        <w:widowControl w:val="0"/>
        <w:tabs>
          <w:tab w:val="left" w:pos="2143"/>
        </w:tabs>
        <w:autoSpaceDE w:val="0"/>
        <w:autoSpaceDN w:val="0"/>
        <w:spacing w:after="0" w:line="276" w:lineRule="auto"/>
        <w:jc w:val="both"/>
        <w:rPr>
          <w:rFonts w:ascii="Arial" w:eastAsia="Arial" w:hAnsi="Arial" w:cs="Arial"/>
          <w:bCs/>
          <w:lang w:eastAsia="es-ES" w:bidi="es-ES"/>
        </w:rPr>
      </w:pPr>
      <w:r>
        <w:rPr>
          <w:rFonts w:ascii="Arial" w:eastAsia="Arial" w:hAnsi="Arial" w:cs="Arial"/>
          <w:bCs/>
          <w:lang w:eastAsia="es-ES" w:bidi="es-ES"/>
        </w:rPr>
        <w:tab/>
      </w:r>
    </w:p>
    <w:p w14:paraId="10582764" w14:textId="2A4BE536" w:rsidR="005275BC" w:rsidRDefault="005275BC" w:rsidP="00DA2455">
      <w:pPr>
        <w:spacing w:after="120" w:line="240" w:lineRule="auto"/>
        <w:ind w:left="709" w:right="709"/>
        <w:jc w:val="both"/>
        <w:rPr>
          <w:rFonts w:ascii="Arial" w:hAnsi="Arial" w:cs="Arial"/>
          <w:iCs/>
          <w:color w:val="000000"/>
          <w:sz w:val="20"/>
          <w:szCs w:val="20"/>
        </w:rPr>
      </w:pPr>
      <w:r w:rsidRPr="005275BC">
        <w:rPr>
          <w:rFonts w:ascii="Arial" w:hAnsi="Arial" w:cs="Arial"/>
          <w:iCs/>
          <w:color w:val="000000"/>
          <w:sz w:val="20"/>
          <w:szCs w:val="20"/>
        </w:rPr>
        <w:t xml:space="preserve">De conformidad con la consulta del Registro de Productores de Bienes Nacionales, realizada en fecha </w:t>
      </w:r>
      <w:r w:rsidRPr="005275BC">
        <w:rPr>
          <w:rFonts w:ascii="Arial" w:hAnsi="Arial" w:cs="Arial"/>
          <w:iCs/>
          <w:color w:val="000000"/>
          <w:sz w:val="20"/>
          <w:szCs w:val="20"/>
          <w:highlight w:val="lightGray"/>
        </w:rPr>
        <w:t>[Ingresar fecha en formato DD/MM/AAAA],</w:t>
      </w:r>
      <w:r w:rsidRPr="005275BC">
        <w:rPr>
          <w:rFonts w:ascii="Arial" w:hAnsi="Arial" w:cs="Arial"/>
          <w:iCs/>
          <w:color w:val="000000"/>
          <w:sz w:val="20"/>
          <w:szCs w:val="20"/>
        </w:rPr>
        <w:t xml:space="preserve"> se determinó que los bienes relevantes para el desarrollo de la obra no se encuentran incluidos en dicho registro de conformidad con el numeral 3 del artículo 2.2.1.2.4.2.9. del Decreto 1082 de 2015. Por tal motivo, se otorgará el puntaje de apoyo a la industria nacional a los Proponentes que se comprometan a vincular al desarrollo del objeto contractual un porcentaje de empleados o contratistas por prestación de servicios colombianos, de al menos el </w:t>
      </w:r>
      <w:r w:rsidRPr="005275BC">
        <w:rPr>
          <w:rFonts w:ascii="Arial" w:hAnsi="Arial" w:cs="Arial"/>
          <w:iCs/>
          <w:color w:val="000000"/>
          <w:sz w:val="20"/>
          <w:szCs w:val="20"/>
          <w:highlight w:val="lightGray"/>
        </w:rPr>
        <w:t>[la Entidad Estatal definirá el porcentaje requerido que sea por lo menos del cuarenta por ciento (40 %), sin perjuicio de incluir uno superior]</w:t>
      </w:r>
      <w:r w:rsidRPr="005275BC">
        <w:rPr>
          <w:rFonts w:ascii="Arial" w:hAnsi="Arial" w:cs="Arial"/>
          <w:iCs/>
          <w:color w:val="000000"/>
          <w:sz w:val="20"/>
          <w:szCs w:val="20"/>
        </w:rPr>
        <w:t xml:space="preserve"> del personal requerido para el cumplimiento del contrato. </w:t>
      </w:r>
    </w:p>
    <w:p w14:paraId="69153EA2" w14:textId="2ECF9289" w:rsidR="00DA2455" w:rsidRPr="00DA2455" w:rsidRDefault="00DA2455" w:rsidP="00DA2455">
      <w:pPr>
        <w:spacing w:after="0" w:line="240" w:lineRule="auto"/>
        <w:ind w:left="705" w:right="709"/>
        <w:jc w:val="both"/>
        <w:rPr>
          <w:rFonts w:ascii="Arial" w:eastAsiaTheme="minorEastAsia" w:hAnsi="Arial" w:cs="Arial"/>
          <w:iCs/>
          <w:color w:val="000000"/>
          <w:sz w:val="21"/>
          <w:szCs w:val="21"/>
        </w:rPr>
      </w:pPr>
      <w:r w:rsidRPr="00DA2455">
        <w:rPr>
          <w:rFonts w:ascii="Arial" w:eastAsiaTheme="minorEastAsia" w:hAnsi="Arial" w:cs="Arial"/>
          <w:iCs/>
          <w:sz w:val="21"/>
          <w:szCs w:val="21"/>
        </w:rPr>
        <w:t xml:space="preserve">En el caso de Proponentes Plurales, </w:t>
      </w:r>
      <w:r w:rsidRPr="00DA2455">
        <w:rPr>
          <w:rFonts w:ascii="Arial" w:eastAsia="Arial Narrow" w:hAnsi="Arial" w:cs="Arial"/>
          <w:iCs/>
          <w:sz w:val="21"/>
          <w:szCs w:val="21"/>
          <w:lang w:eastAsia="es-ES"/>
        </w:rPr>
        <w:t xml:space="preserve">todos, varios o cualquiera </w:t>
      </w:r>
      <w:r w:rsidRPr="00DA2455">
        <w:rPr>
          <w:rFonts w:ascii="Arial" w:eastAsiaTheme="minorEastAsia" w:hAnsi="Arial" w:cs="Arial"/>
          <w:iCs/>
          <w:sz w:val="21"/>
          <w:szCs w:val="21"/>
        </w:rPr>
        <w:t xml:space="preserve">de sus integrantes podrá vincular un porcentaje de empleados o contratistas por prestación de servicios colombianos, de al menos el </w:t>
      </w:r>
      <w:r w:rsidRPr="00DA2455">
        <w:rPr>
          <w:rFonts w:ascii="Arial" w:eastAsiaTheme="minorEastAsia" w:hAnsi="Arial" w:cs="Arial"/>
          <w:iCs/>
          <w:sz w:val="21"/>
          <w:szCs w:val="21"/>
          <w:highlight w:val="lightGray"/>
        </w:rPr>
        <w:t>[la Entidad Estatal definirá el porcentaje requerido que sea por lo menos del cuarenta por ciento (40 %), sin perjuicio de incluir uno superior]</w:t>
      </w:r>
      <w:r w:rsidRPr="00DA2455">
        <w:rPr>
          <w:rFonts w:ascii="Arial" w:eastAsiaTheme="minorEastAsia" w:hAnsi="Arial" w:cs="Arial"/>
          <w:iCs/>
          <w:sz w:val="21"/>
          <w:szCs w:val="21"/>
        </w:rPr>
        <w:t xml:space="preserve"> del personal requerido para el cumplimiento del contrato. </w:t>
      </w:r>
    </w:p>
    <w:p w14:paraId="057871B8" w14:textId="77777777" w:rsidR="00C27936" w:rsidRDefault="00C27936" w:rsidP="00DA2455">
      <w:pPr>
        <w:spacing w:after="0" w:line="240" w:lineRule="auto"/>
        <w:ind w:right="709"/>
        <w:jc w:val="both"/>
        <w:rPr>
          <w:rFonts w:ascii="Arial" w:hAnsi="Arial" w:cs="Arial"/>
          <w:iCs/>
          <w:color w:val="000000"/>
          <w:sz w:val="20"/>
          <w:szCs w:val="20"/>
        </w:rPr>
      </w:pPr>
    </w:p>
    <w:p w14:paraId="2E3C9F33" w14:textId="5A95E61D" w:rsidR="00A27C10" w:rsidRDefault="005D002D" w:rsidP="002430EA">
      <w:pPr>
        <w:spacing w:after="120" w:line="276" w:lineRule="auto"/>
        <w:ind w:firstLine="708"/>
        <w:jc w:val="both"/>
        <w:rPr>
          <w:rFonts w:ascii="Arial" w:hAnsi="Arial" w:cs="Arial"/>
          <w:iCs/>
          <w:color w:val="000000"/>
        </w:rPr>
      </w:pPr>
      <w:r>
        <w:rPr>
          <w:rFonts w:ascii="Arial" w:hAnsi="Arial" w:cs="Arial"/>
          <w:iCs/>
          <w:color w:val="000000"/>
        </w:rPr>
        <w:t>P</w:t>
      </w:r>
      <w:r w:rsidR="00657968" w:rsidRPr="002204D9">
        <w:rPr>
          <w:rFonts w:ascii="Arial" w:hAnsi="Arial" w:cs="Arial"/>
          <w:iCs/>
          <w:color w:val="000000"/>
        </w:rPr>
        <w:t>ara el caso de los Proponentes Plurales</w:t>
      </w:r>
      <w:r w:rsidR="00E6468C" w:rsidRPr="002204D9">
        <w:rPr>
          <w:rFonts w:ascii="Arial" w:hAnsi="Arial" w:cs="Arial"/>
          <w:iCs/>
          <w:color w:val="000000"/>
        </w:rPr>
        <w:t xml:space="preserve">, todos, varios o cualquiera de sus integrantes podrá vincular un porcentaje de empleados o contratistas </w:t>
      </w:r>
      <w:r w:rsidR="00953177" w:rsidRPr="00953177">
        <w:rPr>
          <w:rFonts w:ascii="Arial" w:eastAsia="Arial" w:hAnsi="Arial" w:cs="Arial"/>
          <w:bCs/>
          <w:lang w:eastAsia="es-ES" w:bidi="es-ES"/>
        </w:rPr>
        <w:t xml:space="preserve">por prestación de servicios colombianos de al menos el cuarenta (40%) del personal requerido para el cumplimento del contrato. </w:t>
      </w:r>
      <w:r w:rsidR="00953177" w:rsidRPr="002204D9">
        <w:rPr>
          <w:rFonts w:ascii="Arial" w:eastAsiaTheme="minorEastAsia" w:hAnsi="Arial" w:cs="Arial"/>
          <w:iCs/>
          <w:color w:val="000000" w:themeColor="text1"/>
        </w:rPr>
        <w:t xml:space="preserve">Así mismo, </w:t>
      </w:r>
      <w:r w:rsidR="00F7794B" w:rsidRPr="00953177">
        <w:rPr>
          <w:rFonts w:ascii="Arial" w:eastAsia="Arial" w:hAnsi="Arial" w:cs="Arial"/>
          <w:bCs/>
          <w:lang w:eastAsia="es-ES" w:bidi="es-ES"/>
        </w:rPr>
        <w:t xml:space="preserve">su composición </w:t>
      </w:r>
      <w:r w:rsidR="008D0B1A" w:rsidRPr="00953177">
        <w:rPr>
          <w:rFonts w:ascii="Arial" w:eastAsia="Arial" w:hAnsi="Arial" w:cs="Arial"/>
          <w:bCs/>
          <w:lang w:eastAsia="es-ES" w:bidi="es-ES"/>
        </w:rPr>
        <w:t xml:space="preserve">deberá estar acorde con lo exigido por la noción de Servicios </w:t>
      </w:r>
      <w:r w:rsidR="00A27C10" w:rsidRPr="00953177">
        <w:rPr>
          <w:rFonts w:ascii="Arial" w:eastAsia="Arial" w:hAnsi="Arial" w:cs="Arial"/>
          <w:bCs/>
          <w:lang w:eastAsia="es-ES" w:bidi="es-ES"/>
        </w:rPr>
        <w:t>Nacionales</w:t>
      </w:r>
      <w:r w:rsidR="008D0B1A" w:rsidRPr="00953177">
        <w:rPr>
          <w:rFonts w:ascii="Arial" w:eastAsia="Arial" w:hAnsi="Arial" w:cs="Arial"/>
          <w:bCs/>
          <w:lang w:eastAsia="es-ES" w:bidi="es-ES"/>
        </w:rPr>
        <w:t xml:space="preserve"> prevista en el </w:t>
      </w:r>
      <w:r w:rsidR="00A27C10" w:rsidRPr="002204D9">
        <w:rPr>
          <w:rFonts w:ascii="Arial" w:hAnsi="Arial" w:cs="Arial"/>
          <w:iCs/>
          <w:color w:val="000000"/>
        </w:rPr>
        <w:t xml:space="preserve">en el artículo 2.2.1.1.1.3.1 del Decreto 1082 de 2015, de lo que dependerá la franja del puntaje aplicable en lo referente al apoyo de la industria nacional. </w:t>
      </w:r>
    </w:p>
    <w:p w14:paraId="32EE2F9F" w14:textId="4F7C64AD" w:rsidR="00536699" w:rsidRDefault="00C56552" w:rsidP="002430EA">
      <w:pPr>
        <w:shd w:val="clear" w:color="auto" w:fill="FFFFFF"/>
        <w:spacing w:after="120" w:line="276" w:lineRule="auto"/>
        <w:ind w:firstLine="709"/>
        <w:jc w:val="both"/>
        <w:textAlignment w:val="baseline"/>
        <w:rPr>
          <w:rFonts w:ascii="Arial" w:eastAsia="Calibri" w:hAnsi="Arial" w:cs="Arial"/>
          <w:bCs/>
          <w:color w:val="000000" w:themeColor="text1"/>
          <w:lang w:val="es-ES_tradnl"/>
        </w:rPr>
      </w:pPr>
      <w:r>
        <w:rPr>
          <w:rFonts w:ascii="Arial" w:eastAsia="Arial" w:hAnsi="Arial" w:cs="Arial"/>
          <w:bCs/>
          <w:lang w:eastAsia="es-ES" w:bidi="es-ES"/>
        </w:rPr>
        <w:t xml:space="preserve">Finalmente, </w:t>
      </w:r>
      <w:r w:rsidR="00682DEC">
        <w:rPr>
          <w:rFonts w:ascii="Arial" w:eastAsia="Arial" w:hAnsi="Arial" w:cs="Arial"/>
          <w:bCs/>
          <w:lang w:eastAsia="es-ES" w:bidi="es-ES"/>
        </w:rPr>
        <w:t xml:space="preserve">como se </w:t>
      </w:r>
      <w:r w:rsidR="000E2FAE">
        <w:rPr>
          <w:rFonts w:ascii="Arial" w:eastAsia="Arial" w:hAnsi="Arial" w:cs="Arial"/>
          <w:bCs/>
          <w:lang w:eastAsia="es-ES" w:bidi="es-ES"/>
        </w:rPr>
        <w:t>mencionó</w:t>
      </w:r>
      <w:r w:rsidR="00682DEC">
        <w:rPr>
          <w:rFonts w:ascii="Arial" w:eastAsia="Arial" w:hAnsi="Arial" w:cs="Arial"/>
          <w:bCs/>
          <w:lang w:eastAsia="es-ES" w:bidi="es-ES"/>
        </w:rPr>
        <w:t xml:space="preserve"> con anterioridad, </w:t>
      </w:r>
      <w:r w:rsidR="00682DEC">
        <w:rPr>
          <w:rFonts w:ascii="Arial" w:eastAsia="Calibri" w:hAnsi="Arial" w:cs="Arial"/>
          <w:bCs/>
          <w:color w:val="000000" w:themeColor="text1"/>
          <w:lang w:val="es-ES_tradnl"/>
        </w:rPr>
        <w:t>Resolución 304 de 2021 «</w:t>
      </w:r>
      <w:r w:rsidR="00682DEC" w:rsidRPr="00906A72">
        <w:rPr>
          <w:rFonts w:ascii="Arial" w:eastAsia="Calibri" w:hAnsi="Arial" w:cs="Arial"/>
          <w:bCs/>
          <w:color w:val="000000" w:themeColor="text1"/>
          <w:lang w:val="es-ES_tradnl"/>
        </w:rPr>
        <w:t>Por la cual se modifican los Documentos Tipo adoptados por la Agencia Nacional de Contratación Pública –</w:t>
      </w:r>
      <w:r w:rsidR="00682DEC">
        <w:rPr>
          <w:rFonts w:ascii="Arial" w:eastAsia="Calibri" w:hAnsi="Arial" w:cs="Arial"/>
          <w:bCs/>
          <w:color w:val="000000" w:themeColor="text1"/>
          <w:lang w:val="es-ES_tradnl"/>
        </w:rPr>
        <w:t xml:space="preserve"> </w:t>
      </w:r>
      <w:r w:rsidR="00682DEC" w:rsidRPr="00906A72">
        <w:rPr>
          <w:rFonts w:ascii="Arial" w:eastAsia="Calibri" w:hAnsi="Arial" w:cs="Arial"/>
          <w:bCs/>
          <w:color w:val="000000" w:themeColor="text1"/>
          <w:lang w:val="es-ES_tradnl"/>
        </w:rPr>
        <w:t>Colombia Compra Eficiente</w:t>
      </w:r>
      <w:r w:rsidR="00682DEC">
        <w:rPr>
          <w:rFonts w:ascii="Arial" w:eastAsia="Calibri" w:hAnsi="Arial" w:cs="Arial"/>
          <w:bCs/>
          <w:color w:val="000000" w:themeColor="text1"/>
          <w:lang w:val="es-ES_tradnl"/>
        </w:rPr>
        <w:t>», modificó y adicionó los documentos</w:t>
      </w:r>
      <w:r w:rsidR="001530A5">
        <w:rPr>
          <w:rFonts w:ascii="Arial" w:eastAsia="Calibri" w:hAnsi="Arial" w:cs="Arial"/>
          <w:bCs/>
          <w:color w:val="000000" w:themeColor="text1"/>
          <w:lang w:val="es-ES_tradnl"/>
        </w:rPr>
        <w:t xml:space="preserve"> tipo de licitación de obra pública de infraestructura de transporte</w:t>
      </w:r>
      <w:r w:rsidR="00163B65">
        <w:rPr>
          <w:rFonts w:ascii="Arial" w:eastAsia="Calibri" w:hAnsi="Arial" w:cs="Arial"/>
          <w:bCs/>
          <w:color w:val="000000" w:themeColor="text1"/>
          <w:lang w:val="es-ES_tradnl"/>
        </w:rPr>
        <w:t>.</w:t>
      </w:r>
      <w:r w:rsidR="001530A5">
        <w:rPr>
          <w:rFonts w:ascii="Arial" w:eastAsia="Calibri" w:hAnsi="Arial" w:cs="Arial"/>
          <w:bCs/>
          <w:color w:val="000000" w:themeColor="text1"/>
          <w:lang w:val="es-ES_tradnl"/>
        </w:rPr>
        <w:t xml:space="preserve"> </w:t>
      </w:r>
      <w:r w:rsidR="00163B65">
        <w:rPr>
          <w:rFonts w:ascii="Arial" w:eastAsia="Calibri" w:hAnsi="Arial" w:cs="Arial"/>
          <w:bCs/>
          <w:color w:val="000000" w:themeColor="text1"/>
          <w:lang w:val="es-ES_tradnl"/>
        </w:rPr>
        <w:t>E</w:t>
      </w:r>
      <w:r w:rsidR="005C669E">
        <w:rPr>
          <w:rFonts w:ascii="Arial" w:eastAsia="Calibri" w:hAnsi="Arial" w:cs="Arial"/>
          <w:bCs/>
          <w:color w:val="000000" w:themeColor="text1"/>
          <w:lang w:val="es-ES_tradnl"/>
        </w:rPr>
        <w:t>ntre estas modificaciones en el documento base, se modificó el numeral «4</w:t>
      </w:r>
      <w:r w:rsidR="005C669E" w:rsidRPr="00431D13">
        <w:rPr>
          <w:rFonts w:ascii="Arial" w:eastAsia="Arial" w:hAnsi="Arial" w:cs="Arial"/>
          <w:bCs/>
          <w:lang w:eastAsia="es-ES" w:bidi="es-ES"/>
        </w:rPr>
        <w:t>.3</w:t>
      </w:r>
      <w:r w:rsidR="005C669E" w:rsidRPr="001D4472">
        <w:rPr>
          <w:rFonts w:ascii="Arial" w:eastAsia="Arial" w:hAnsi="Arial" w:cs="Arial"/>
          <w:bCs/>
          <w:lang w:eastAsia="es-ES" w:bidi="es-ES"/>
        </w:rPr>
        <w:t xml:space="preserve">.1 Promoción de servicios nacionales o con trato nacional, </w:t>
      </w:r>
      <w:r w:rsidR="001577D9" w:rsidRPr="001D4472">
        <w:rPr>
          <w:rFonts w:ascii="Arial" w:eastAsia="Calibri" w:hAnsi="Arial" w:cs="Arial"/>
          <w:bCs/>
          <w:color w:val="000000" w:themeColor="text1"/>
          <w:lang w:val="es-ES_tradnl"/>
        </w:rPr>
        <w:t>respecto de la</w:t>
      </w:r>
      <w:r w:rsidR="00682DEC" w:rsidRPr="001D4472">
        <w:rPr>
          <w:rFonts w:ascii="Arial" w:eastAsia="Calibri" w:hAnsi="Arial" w:cs="Arial"/>
          <w:bCs/>
          <w:color w:val="000000" w:themeColor="text1"/>
          <w:lang w:val="es-ES_tradnl"/>
        </w:rPr>
        <w:t xml:space="preserve"> aplicación de la definición de Servicios Nacionales del Decreto 680</w:t>
      </w:r>
      <w:r w:rsidR="00536699" w:rsidRPr="001D4472">
        <w:rPr>
          <w:rFonts w:ascii="Arial" w:eastAsia="Calibri" w:hAnsi="Arial" w:cs="Arial"/>
          <w:bCs/>
          <w:color w:val="000000" w:themeColor="text1"/>
          <w:lang w:val="es-ES_tradnl"/>
        </w:rPr>
        <w:t xml:space="preserve">.  En tal sentido, </w:t>
      </w:r>
      <w:r w:rsidR="001D4472" w:rsidRPr="001D4472">
        <w:rPr>
          <w:rFonts w:ascii="Arial" w:eastAsia="Calibri" w:hAnsi="Arial" w:cs="Arial"/>
          <w:bCs/>
          <w:color w:val="000000" w:themeColor="text1"/>
          <w:lang w:val="es-ES_tradnl"/>
        </w:rPr>
        <w:t>estas modificaciones</w:t>
      </w:r>
      <w:r w:rsidR="00536699" w:rsidRPr="001D4472">
        <w:rPr>
          <w:rFonts w:ascii="Arial" w:eastAsia="Calibri" w:hAnsi="Arial" w:cs="Arial"/>
          <w:bCs/>
          <w:color w:val="000000" w:themeColor="text1"/>
          <w:lang w:val="es-ES_tradnl"/>
        </w:rPr>
        <w:t xml:space="preserve"> resultan </w:t>
      </w:r>
      <w:r w:rsidR="00536699" w:rsidRPr="004F0480">
        <w:rPr>
          <w:rFonts w:ascii="Arial" w:eastAsia="Calibri" w:hAnsi="Arial" w:cs="Arial"/>
          <w:color w:val="000000"/>
          <w:bdr w:val="none" w:sz="0" w:space="0" w:color="auto" w:frame="1"/>
        </w:rPr>
        <w:t>obligatori</w:t>
      </w:r>
      <w:r w:rsidR="008D1597" w:rsidRPr="001D4472">
        <w:rPr>
          <w:rFonts w:ascii="Arial" w:eastAsia="Calibri" w:hAnsi="Arial" w:cs="Arial"/>
          <w:color w:val="000000"/>
          <w:bdr w:val="none" w:sz="0" w:space="0" w:color="auto" w:frame="1"/>
        </w:rPr>
        <w:t>a</w:t>
      </w:r>
      <w:r w:rsidR="00536699" w:rsidRPr="004F0480">
        <w:rPr>
          <w:rFonts w:ascii="Arial" w:eastAsia="Calibri" w:hAnsi="Arial" w:cs="Arial"/>
          <w:color w:val="000000"/>
          <w:bdr w:val="none" w:sz="0" w:space="0" w:color="auto" w:frame="1"/>
        </w:rPr>
        <w:t>s para las entidades estatales cuyos contratos se rijan por el Estatuto General de la Contratación de la Administración Pública</w:t>
      </w:r>
      <w:r w:rsidR="00AE3AE5">
        <w:rPr>
          <w:rFonts w:ascii="Arial" w:eastAsia="Calibri" w:hAnsi="Arial" w:cs="Arial"/>
          <w:color w:val="000000"/>
          <w:bdr w:val="none" w:sz="0" w:space="0" w:color="auto" w:frame="1"/>
        </w:rPr>
        <w:t xml:space="preserve"> y</w:t>
      </w:r>
      <w:r w:rsidR="00536699" w:rsidRPr="004F0480">
        <w:rPr>
          <w:rFonts w:ascii="Arial" w:eastAsia="Calibri" w:hAnsi="Arial" w:cs="Arial"/>
          <w:color w:val="000000"/>
          <w:bdr w:val="none" w:sz="0" w:space="0" w:color="auto" w:frame="1"/>
        </w:rPr>
        <w:t xml:space="preserve"> que adelanten procesos de contratación mediante la modalidad </w:t>
      </w:r>
      <w:r w:rsidR="008D1597" w:rsidRPr="001D4472">
        <w:rPr>
          <w:rFonts w:ascii="Arial" w:eastAsia="Calibri" w:hAnsi="Arial" w:cs="Arial"/>
          <w:color w:val="000000"/>
          <w:bdr w:val="none" w:sz="0" w:space="0" w:color="auto" w:frame="1"/>
        </w:rPr>
        <w:t>de selección de licitación de obra pública de infraestructura de transporte</w:t>
      </w:r>
      <w:r w:rsidR="00AE3AE5">
        <w:rPr>
          <w:rFonts w:ascii="Arial" w:eastAsia="Calibri" w:hAnsi="Arial" w:cs="Arial"/>
          <w:color w:val="000000"/>
          <w:bdr w:val="none" w:sz="0" w:space="0" w:color="auto" w:frame="1"/>
        </w:rPr>
        <w:t>,</w:t>
      </w:r>
      <w:r w:rsidR="00536699" w:rsidRPr="004F0480">
        <w:rPr>
          <w:rFonts w:ascii="Arial" w:eastAsia="Calibri" w:hAnsi="Arial" w:cs="Arial"/>
          <w:color w:val="000000"/>
          <w:bdr w:val="none" w:sz="0" w:space="0" w:color="auto" w:frame="1"/>
        </w:rPr>
        <w:t xml:space="preserve"> teniendo en cuenta el ámbito de aplicación determinado en la Matriz de Experiencia</w:t>
      </w:r>
      <w:r w:rsidR="001D4472" w:rsidRPr="001D4472">
        <w:rPr>
          <w:rFonts w:ascii="Arial" w:eastAsia="Calibri" w:hAnsi="Arial" w:cs="Arial"/>
          <w:color w:val="000000"/>
          <w:bdr w:val="none" w:sz="0" w:space="0" w:color="auto" w:frame="1"/>
        </w:rPr>
        <w:t xml:space="preserve"> de </w:t>
      </w:r>
      <w:r w:rsidR="00CF6C7B">
        <w:rPr>
          <w:rFonts w:ascii="Arial" w:eastAsia="Calibri" w:hAnsi="Arial" w:cs="Arial"/>
          <w:color w:val="000000"/>
          <w:bdr w:val="none" w:sz="0" w:space="0" w:color="auto" w:frame="1"/>
        </w:rPr>
        <w:t>los documentos tipo de licitación de obra pública de infraestructura de transporte – Versión 3.</w:t>
      </w:r>
    </w:p>
    <w:p w14:paraId="596D4D52" w14:textId="722F2BB1" w:rsidR="00431D13" w:rsidRPr="00431D13" w:rsidRDefault="005760AE" w:rsidP="007F4207">
      <w:pPr>
        <w:widowControl w:val="0"/>
        <w:tabs>
          <w:tab w:val="left" w:pos="2143"/>
        </w:tabs>
        <w:autoSpaceDE w:val="0"/>
        <w:autoSpaceDN w:val="0"/>
        <w:spacing w:after="0" w:line="276" w:lineRule="auto"/>
        <w:ind w:firstLine="709"/>
        <w:jc w:val="both"/>
        <w:rPr>
          <w:rFonts w:ascii="Arial" w:eastAsia="Arial" w:hAnsi="Arial" w:cs="Arial"/>
          <w:bCs/>
          <w:lang w:eastAsia="es-ES" w:bidi="es-ES"/>
        </w:rPr>
      </w:pPr>
      <w:r>
        <w:rPr>
          <w:rFonts w:ascii="Arial" w:eastAsia="Arial" w:hAnsi="Arial" w:cs="Arial"/>
          <w:bCs/>
          <w:lang w:eastAsia="es-ES" w:bidi="es-ES"/>
        </w:rPr>
        <w:t xml:space="preserve">Así mismo, es importante mencionar </w:t>
      </w:r>
      <w:r w:rsidR="00287E01">
        <w:rPr>
          <w:rFonts w:ascii="Arial" w:eastAsia="Arial" w:hAnsi="Arial" w:cs="Arial"/>
          <w:bCs/>
          <w:lang w:eastAsia="es-ES" w:bidi="es-ES"/>
        </w:rPr>
        <w:t xml:space="preserve">que en el </w:t>
      </w:r>
      <w:r w:rsidR="00431D13" w:rsidRPr="00431D13">
        <w:rPr>
          <w:rFonts w:ascii="Arial" w:eastAsia="Arial" w:hAnsi="Arial" w:cs="Arial"/>
          <w:bCs/>
          <w:lang w:eastAsia="es-ES" w:bidi="es-ES"/>
        </w:rPr>
        <w:t xml:space="preserve">artículo 50 </w:t>
      </w:r>
      <w:r w:rsidR="00287E01">
        <w:rPr>
          <w:rFonts w:ascii="Arial" w:eastAsia="Arial" w:hAnsi="Arial" w:cs="Arial"/>
          <w:bCs/>
          <w:lang w:eastAsia="es-ES" w:bidi="es-ES"/>
        </w:rPr>
        <w:t xml:space="preserve">de la </w:t>
      </w:r>
      <w:r w:rsidR="00287E01" w:rsidRPr="00431D13">
        <w:rPr>
          <w:rFonts w:ascii="Arial" w:eastAsia="Arial" w:hAnsi="Arial" w:cs="Arial"/>
          <w:bCs/>
          <w:lang w:val="es-ES_tradnl" w:eastAsia="es-ES" w:bidi="es-ES"/>
        </w:rPr>
        <w:t>Resolución 304 del 2021</w:t>
      </w:r>
      <w:r w:rsidR="00287E01" w:rsidRPr="00431D13">
        <w:rPr>
          <w:rFonts w:ascii="Arial" w:eastAsia="Arial" w:hAnsi="Arial" w:cs="Arial"/>
          <w:bCs/>
          <w:lang w:eastAsia="es-ES" w:bidi="es-ES"/>
        </w:rPr>
        <w:t xml:space="preserve"> </w:t>
      </w:r>
      <w:r w:rsidR="00287E01">
        <w:rPr>
          <w:rFonts w:ascii="Arial" w:eastAsia="Arial" w:hAnsi="Arial" w:cs="Arial"/>
          <w:bCs/>
          <w:lang w:eastAsia="es-ES" w:bidi="es-ES"/>
        </w:rPr>
        <w:t>se</w:t>
      </w:r>
      <w:r w:rsidR="00287E01" w:rsidRPr="00431D13">
        <w:rPr>
          <w:rFonts w:ascii="Arial" w:eastAsia="Arial" w:hAnsi="Arial" w:cs="Arial"/>
          <w:bCs/>
          <w:lang w:eastAsia="es-ES" w:bidi="es-ES"/>
        </w:rPr>
        <w:t xml:space="preserve"> </w:t>
      </w:r>
      <w:r w:rsidR="00431D13" w:rsidRPr="00431D13">
        <w:rPr>
          <w:rFonts w:ascii="Arial" w:eastAsia="Arial" w:hAnsi="Arial" w:cs="Arial"/>
          <w:bCs/>
          <w:lang w:eastAsia="es-ES" w:bidi="es-ES"/>
        </w:rPr>
        <w:t>establece</w:t>
      </w:r>
      <w:r w:rsidR="00431D13" w:rsidRPr="00431D13">
        <w:rPr>
          <w:rFonts w:ascii="Arial" w:eastAsia="Arial" w:hAnsi="Arial" w:cs="Arial"/>
          <w:bCs/>
          <w:lang w:val="es-ES_tradnl" w:eastAsia="es-ES" w:bidi="es-ES"/>
        </w:rPr>
        <w:t xml:space="preserve"> que esta rige a partir de su publicación y aplicará a los procesos de contratación cuyo aviso de convocatoria se publique a partir del 2 de noviembre de 2021. </w:t>
      </w:r>
      <w:r w:rsidR="00431D13" w:rsidRPr="00431D13">
        <w:rPr>
          <w:rFonts w:ascii="Arial" w:eastAsia="Arial" w:hAnsi="Arial" w:cs="Arial"/>
          <w:bCs/>
          <w:lang w:val="es-ES_tradnl" w:eastAsia="es-ES" w:bidi="es-ES"/>
        </w:rPr>
        <w:lastRenderedPageBreak/>
        <w:t>En tal sentido, en los procesos de contratación que deban aplicarse los documentos tipo</w:t>
      </w:r>
      <w:r w:rsidR="003E62F9">
        <w:rPr>
          <w:rFonts w:ascii="Arial" w:eastAsia="Arial" w:hAnsi="Arial" w:cs="Arial"/>
          <w:bCs/>
          <w:lang w:val="es-ES_tradnl" w:eastAsia="es-ES" w:bidi="es-ES"/>
        </w:rPr>
        <w:t xml:space="preserve"> de licitación de obra pública de infraestructura de transporte</w:t>
      </w:r>
      <w:r w:rsidR="00431D13" w:rsidRPr="00431D13">
        <w:rPr>
          <w:rFonts w:ascii="Arial" w:eastAsia="Arial" w:hAnsi="Arial" w:cs="Arial"/>
          <w:bCs/>
          <w:lang w:val="es-ES_tradnl" w:eastAsia="es-ES" w:bidi="es-ES"/>
        </w:rPr>
        <w:t xml:space="preserve">, las modificaciones contempladas en la Resolución 304 de 2021 regirán a partir del 2 de noviembre de 2021, siempre que el aviso de convocatoria se haya publicado con posterioridad a esa fecha. </w:t>
      </w:r>
    </w:p>
    <w:p w14:paraId="0CC19646" w14:textId="39E1965A" w:rsidR="003255AD" w:rsidRPr="007F4207" w:rsidRDefault="003255AD" w:rsidP="007F4207">
      <w:pPr>
        <w:spacing w:after="0"/>
        <w:rPr>
          <w:rFonts w:ascii="Arial" w:eastAsia="Arial" w:hAnsi="Arial" w:cs="Arial"/>
          <w:b/>
          <w:lang w:val="es-ES_tradnl" w:eastAsia="es-ES" w:bidi="es-ES"/>
        </w:rPr>
      </w:pPr>
    </w:p>
    <w:p w14:paraId="1E51D6B6" w14:textId="48A993BB" w:rsidR="007F4207" w:rsidRDefault="007F4207" w:rsidP="007F4207">
      <w:pPr>
        <w:spacing w:after="0"/>
        <w:rPr>
          <w:rFonts w:ascii="Arial" w:eastAsia="Arial" w:hAnsi="Arial" w:cs="Arial"/>
          <w:b/>
          <w:lang w:val="es-ES_tradnl" w:eastAsia="es-ES" w:bidi="es-ES"/>
        </w:rPr>
      </w:pPr>
      <w:r w:rsidRPr="007F4207">
        <w:rPr>
          <w:rFonts w:ascii="Arial" w:eastAsia="Arial" w:hAnsi="Arial" w:cs="Arial"/>
          <w:b/>
          <w:lang w:val="es-ES_tradnl" w:eastAsia="es-ES" w:bidi="es-ES"/>
        </w:rPr>
        <w:t xml:space="preserve">3. Respuesta </w:t>
      </w:r>
    </w:p>
    <w:p w14:paraId="2C955AA1" w14:textId="77777777" w:rsidR="007F4207" w:rsidRPr="007F4207" w:rsidRDefault="007F4207" w:rsidP="007F4207">
      <w:pPr>
        <w:spacing w:after="0"/>
        <w:rPr>
          <w:rFonts w:ascii="Arial" w:eastAsia="Arial" w:hAnsi="Arial" w:cs="Arial"/>
          <w:b/>
          <w:lang w:val="es-ES_tradnl" w:eastAsia="es-ES" w:bidi="es-ES"/>
        </w:rPr>
      </w:pPr>
    </w:p>
    <w:p w14:paraId="214D0B59" w14:textId="24F4CD96" w:rsidR="005760AE" w:rsidRPr="004F0480" w:rsidRDefault="005760AE" w:rsidP="003E62F9">
      <w:pPr>
        <w:spacing w:after="0" w:line="240" w:lineRule="auto"/>
        <w:ind w:left="709" w:right="709"/>
        <w:jc w:val="both"/>
        <w:rPr>
          <w:rFonts w:ascii="Arial" w:eastAsia="Calibri" w:hAnsi="Arial" w:cs="Arial"/>
          <w:sz w:val="21"/>
          <w:szCs w:val="21"/>
          <w:lang w:val="es-MX"/>
        </w:rPr>
      </w:pPr>
      <w:r w:rsidRPr="004F0480">
        <w:rPr>
          <w:rFonts w:ascii="Arial" w:eastAsia="Calibri" w:hAnsi="Arial" w:cs="Arial"/>
          <w:sz w:val="21"/>
          <w:szCs w:val="21"/>
          <w:lang w:val="es-MX"/>
        </w:rPr>
        <w:t xml:space="preserve">«[…] quisiera saber como (sic) es el modo de aplicación de este factor y si aplica para todos los proyectos». </w:t>
      </w:r>
    </w:p>
    <w:p w14:paraId="4509BAB8" w14:textId="3D5CAAF7" w:rsidR="005760AE" w:rsidRDefault="005760AE" w:rsidP="003E62F9">
      <w:pPr>
        <w:spacing w:after="0"/>
      </w:pPr>
    </w:p>
    <w:p w14:paraId="1FE159B9" w14:textId="77777777" w:rsidR="00FD3B7C" w:rsidRPr="00FD3B7C" w:rsidRDefault="00FD3B7C" w:rsidP="003E62F9">
      <w:pPr>
        <w:widowControl w:val="0"/>
        <w:autoSpaceDE w:val="0"/>
        <w:autoSpaceDN w:val="0"/>
        <w:spacing w:after="0" w:line="276" w:lineRule="auto"/>
        <w:jc w:val="both"/>
        <w:rPr>
          <w:rFonts w:ascii="Arial" w:eastAsia="Calibri" w:hAnsi="Arial" w:cs="Arial"/>
          <w:bCs/>
          <w:color w:val="000000" w:themeColor="text1"/>
          <w:lang w:val="es-ES_tradnl"/>
        </w:rPr>
      </w:pPr>
      <w:r w:rsidRPr="00FD3B7C">
        <w:rPr>
          <w:rFonts w:ascii="Arial" w:eastAsia="Arial" w:hAnsi="Arial" w:cs="Arial"/>
          <w:bCs/>
          <w:lang w:eastAsia="es-ES" w:bidi="es-ES"/>
        </w:rPr>
        <w:t xml:space="preserve">El numeral «4.3.1 Promoción de servicios nacionales o con trato nacional», de los documentos tipo de obra pública de infraestructura de transporte – Versión 3, en sus tres (3) primeros incisos, </w:t>
      </w:r>
      <w:r w:rsidRPr="00FD3B7C">
        <w:rPr>
          <w:rFonts w:ascii="Arial" w:eastAsia="Calibri" w:hAnsi="Arial" w:cs="Arial"/>
          <w:bCs/>
          <w:color w:val="000000" w:themeColor="text1"/>
          <w:lang w:val="es-ES_tradnl"/>
        </w:rPr>
        <w:t xml:space="preserve">dispone la modificación parcial que introdujo el artículo 1 del Decreto 680 de 2021, al artículo 2.2.1.1.1.3.1. del Decreto 1082 de 2015, para definir los </w:t>
      </w:r>
      <w:r w:rsidRPr="00FD3B7C">
        <w:rPr>
          <w:rFonts w:ascii="Arial" w:eastAsia="Calibri" w:hAnsi="Arial" w:cs="Arial"/>
          <w:bCs/>
          <w:i/>
          <w:iCs/>
          <w:color w:val="000000" w:themeColor="text1"/>
          <w:lang w:val="es-ES_tradnl"/>
        </w:rPr>
        <w:t>servicios nacionales</w:t>
      </w:r>
      <w:r w:rsidRPr="00FD3B7C">
        <w:rPr>
          <w:rFonts w:ascii="Arial" w:eastAsia="Calibri" w:hAnsi="Arial" w:cs="Arial"/>
          <w:bCs/>
          <w:color w:val="000000" w:themeColor="text1"/>
          <w:lang w:val="es-ES_tradnl"/>
        </w:rPr>
        <w:t xml:space="preserve"> en forma distinta.</w:t>
      </w:r>
    </w:p>
    <w:p w14:paraId="233BE308" w14:textId="77777777" w:rsidR="00FD3B7C" w:rsidRPr="00FD3B7C" w:rsidRDefault="00FD3B7C" w:rsidP="00FD3B7C">
      <w:pPr>
        <w:widowControl w:val="0"/>
        <w:autoSpaceDE w:val="0"/>
        <w:autoSpaceDN w:val="0"/>
        <w:spacing w:after="120" w:line="276" w:lineRule="auto"/>
        <w:ind w:firstLine="708"/>
        <w:jc w:val="both"/>
        <w:rPr>
          <w:rFonts w:ascii="Arial" w:eastAsia="Arial" w:hAnsi="Arial" w:cs="Arial"/>
          <w:bCs/>
          <w:lang w:eastAsia="es-ES" w:bidi="es-ES"/>
        </w:rPr>
      </w:pPr>
      <w:r w:rsidRPr="00FD3B7C">
        <w:rPr>
          <w:rFonts w:ascii="Arial" w:eastAsia="Arial" w:hAnsi="Arial" w:cs="Arial"/>
          <w:bCs/>
          <w:lang w:eastAsia="es-ES" w:bidi="es-ES"/>
        </w:rPr>
        <w:t xml:space="preserve">Conforme con dicha modificación, se adecuan los documentos tipo de tal manera que el puntaje de industria nacional sea otorgado a los proponentes que presten servicios nacionales en los términos del Decreto 680 de 2021. </w:t>
      </w:r>
      <w:r w:rsidRPr="00FD3B7C">
        <w:rPr>
          <w:rFonts w:ascii="Arial" w:eastAsia="Calibri" w:hAnsi="Arial" w:cs="Arial"/>
          <w:bCs/>
          <w:color w:val="000000" w:themeColor="text1"/>
          <w:lang w:val="es-ES_tradnl"/>
        </w:rPr>
        <w:t xml:space="preserve">Mediante esta modificación, la noción de Servicios Nacionales no está determinada únicamente por la naturaleza jurídica de su prestador, ya que además de tratarse de una persona natural colombiana o jurídica conformada según la ley colombiana, se requiere que la propuesta, en principio, incluya en la ejecución del contrato la utilización de los bienes nacionales relevantes. </w:t>
      </w:r>
    </w:p>
    <w:p w14:paraId="70696B93" w14:textId="77777777" w:rsidR="007D530E" w:rsidRDefault="00FD3B7C" w:rsidP="00FD3B7C">
      <w:pPr>
        <w:widowControl w:val="0"/>
        <w:autoSpaceDE w:val="0"/>
        <w:autoSpaceDN w:val="0"/>
        <w:spacing w:after="120" w:line="276" w:lineRule="auto"/>
        <w:ind w:firstLine="709"/>
        <w:jc w:val="both"/>
        <w:rPr>
          <w:rFonts w:ascii="Arial" w:eastAsia="Arial" w:hAnsi="Arial" w:cs="Arial"/>
          <w:bCs/>
          <w:lang w:eastAsia="es-ES" w:bidi="es-ES"/>
        </w:rPr>
      </w:pPr>
      <w:r w:rsidRPr="00FD3B7C">
        <w:rPr>
          <w:rFonts w:ascii="Arial" w:eastAsia="Arial" w:hAnsi="Arial" w:cs="Arial"/>
          <w:bCs/>
          <w:lang w:eastAsia="es-ES" w:bidi="es-ES"/>
        </w:rPr>
        <w:t xml:space="preserve">En este sentido, en el numeral «4.3.1 Promoción de servicios nacionales o con trato nacional», se implementan reglas que garantizan que las entidades estatales en sus procesos de contratación definan de manera razonable y proporcional los bienes nacionales relevantes. </w:t>
      </w:r>
    </w:p>
    <w:p w14:paraId="4B8165B3" w14:textId="08E265D6" w:rsidR="00FD3B7C" w:rsidRPr="00FD3B7C" w:rsidRDefault="00FD3B7C" w:rsidP="00FD3B7C">
      <w:pPr>
        <w:widowControl w:val="0"/>
        <w:autoSpaceDE w:val="0"/>
        <w:autoSpaceDN w:val="0"/>
        <w:spacing w:after="120" w:line="276" w:lineRule="auto"/>
        <w:ind w:firstLine="709"/>
        <w:jc w:val="both"/>
        <w:rPr>
          <w:rFonts w:ascii="Arial" w:eastAsia="Arial" w:hAnsi="Arial" w:cs="Arial"/>
          <w:bCs/>
          <w:lang w:eastAsia="es-ES" w:bidi="es-ES"/>
        </w:rPr>
      </w:pPr>
      <w:r w:rsidRPr="00FD3B7C">
        <w:rPr>
          <w:rFonts w:ascii="Arial" w:eastAsia="Arial" w:hAnsi="Arial" w:cs="Arial"/>
          <w:bCs/>
          <w:lang w:eastAsia="es-ES" w:bidi="es-ES"/>
        </w:rPr>
        <w:t xml:space="preserve">Así, para determinar uno o varios bienes nacionales relevantes la entidad estatal debe aplicar los criterios establecidos en el artículo </w:t>
      </w:r>
      <w:r w:rsidRPr="00FD3B7C">
        <w:rPr>
          <w:rFonts w:ascii="Arial" w:eastAsia="Arial" w:hAnsi="Arial" w:cs="Arial"/>
          <w:lang w:val="es-419"/>
        </w:rPr>
        <w:t xml:space="preserve">2.2.1.2.4.2.9. del Decreto 1082 de 2015 </w:t>
      </w:r>
      <w:r w:rsidRPr="00FD3B7C">
        <w:rPr>
          <w:rFonts w:ascii="Arial" w:eastAsia="Calibri" w:hAnsi="Arial" w:cs="Arial"/>
          <w:bCs/>
          <w:color w:val="000000" w:themeColor="text1"/>
          <w:lang w:val="es-ES_tradnl"/>
        </w:rPr>
        <w:t xml:space="preserve">adicionado por el Decreto 680 de 2021, a saber: i) «el análisis del sector económico y de los oferentes, y, toda aquella información adicional con la que cuente la entidad estatal en la etapa de planeación del Proceso de Contratación», ii) el porcentaje de participación de los bienes en el presupuesto del Proceso de Contratación y iii) la existencia de los bienes en el Registro de Productores de Bienes Nacionales, en los términos del Decreto 2680 de 2009. </w:t>
      </w:r>
      <w:r w:rsidRPr="00FD3B7C">
        <w:rPr>
          <w:rFonts w:ascii="Arial" w:eastAsia="Arial" w:hAnsi="Arial" w:cs="Arial"/>
          <w:lang w:val="es-419"/>
        </w:rPr>
        <w:t xml:space="preserve">Además de estos tres criterios, la entidad estatal deberá aplicar los parámetros contenidos en la </w:t>
      </w:r>
      <w:r w:rsidRPr="00FD3B7C">
        <w:rPr>
          <w:rFonts w:ascii="Arial" w:eastAsia="Arial" w:hAnsi="Arial" w:cs="Arial"/>
          <w:bCs/>
          <w:lang w:eastAsia="es-ES" w:bidi="es-ES"/>
        </w:rPr>
        <w:t>Matriz 4 – Bienes nacionales relevantes para la obra pública del sector transporte, en la que s</w:t>
      </w:r>
      <w:r w:rsidRPr="00FD3B7C">
        <w:rPr>
          <w:rFonts w:ascii="Arial" w:eastAsia="Calibri" w:hAnsi="Arial" w:cs="Arial"/>
          <w:bCs/>
          <w:color w:val="000000" w:themeColor="text1"/>
          <w:lang w:val="es-ES_tradnl"/>
        </w:rPr>
        <w:t xml:space="preserve">e desarrolla una metodología para identificar los bienes nacionales relevantes para la ejecución del objeto a contratar. </w:t>
      </w:r>
    </w:p>
    <w:p w14:paraId="3E275BEB" w14:textId="77777777" w:rsidR="00FD3B7C" w:rsidRPr="00FD3B7C" w:rsidRDefault="00FD3B7C" w:rsidP="00FD3B7C">
      <w:pPr>
        <w:widowControl w:val="0"/>
        <w:autoSpaceDE w:val="0"/>
        <w:autoSpaceDN w:val="0"/>
        <w:spacing w:after="120" w:line="276" w:lineRule="auto"/>
        <w:ind w:firstLine="709"/>
        <w:jc w:val="both"/>
        <w:rPr>
          <w:rFonts w:ascii="Arial" w:eastAsia="Arial" w:hAnsi="Arial" w:cs="Arial"/>
          <w:bCs/>
          <w:lang w:eastAsia="es-ES" w:bidi="es-ES"/>
        </w:rPr>
      </w:pPr>
      <w:r w:rsidRPr="00FD3B7C">
        <w:rPr>
          <w:rFonts w:ascii="Arial" w:eastAsia="Calibri" w:hAnsi="Arial" w:cs="Arial"/>
          <w:bCs/>
          <w:color w:val="000000" w:themeColor="text1"/>
          <w:lang w:val="es-ES_tradnl"/>
        </w:rPr>
        <w:t xml:space="preserve">Si luego de aplicar la metodología para determinar los bienes nacionales relevantes −descrita con anterioridad− , la entidad determina uno o varios bienes nacionales relevantes para el proceso de contratación, deberá incluir la </w:t>
      </w:r>
      <w:r w:rsidRPr="00FD3B7C">
        <w:rPr>
          <w:rFonts w:ascii="Arial" w:eastAsia="Calibri" w:hAnsi="Arial" w:cs="Arial"/>
          <w:b/>
          <w:i/>
          <w:iCs/>
          <w:color w:val="000000" w:themeColor="text1"/>
          <w:lang w:val="es-ES_tradnl"/>
        </w:rPr>
        <w:t>opción 1</w:t>
      </w:r>
      <w:r w:rsidRPr="00FD3B7C">
        <w:rPr>
          <w:rFonts w:ascii="Arial" w:eastAsia="Calibri" w:hAnsi="Arial" w:cs="Arial"/>
          <w:bCs/>
          <w:color w:val="000000" w:themeColor="text1"/>
          <w:lang w:val="es-ES_tradnl"/>
        </w:rPr>
        <w:t xml:space="preserve"> del numeral </w:t>
      </w:r>
      <w:r w:rsidRPr="00FD3B7C">
        <w:rPr>
          <w:rFonts w:ascii="Arial" w:hAnsi="Arial" w:cs="Arial"/>
          <w:lang w:val="es-MX"/>
        </w:rPr>
        <w:t>4</w:t>
      </w:r>
      <w:r w:rsidRPr="00FD3B7C">
        <w:rPr>
          <w:rFonts w:ascii="Arial" w:eastAsia="Arial" w:hAnsi="Arial" w:cs="Arial"/>
          <w:bCs/>
          <w:lang w:eastAsia="es-ES" w:bidi="es-ES"/>
        </w:rPr>
        <w:t xml:space="preserve">.3.1 «Promoción de servicios nacionales o con trato nacional», en la que se señalaran los bienes nacionales relevantes en el proceso de contratación, diligenciando una tabla con la información tomada del Registro de Productores de Bienes Nacionales, en la que se señalará: i) el bien nacional </w:t>
      </w:r>
      <w:r w:rsidRPr="00FD3B7C">
        <w:rPr>
          <w:rFonts w:ascii="Arial" w:eastAsia="Arial" w:hAnsi="Arial" w:cs="Arial"/>
          <w:bCs/>
          <w:lang w:eastAsia="es-ES" w:bidi="es-ES"/>
        </w:rPr>
        <w:lastRenderedPageBreak/>
        <w:t xml:space="preserve">relevante, ii) la fecha de inscripción, iii) la fecha de vigencia, iv) el número de partida arancelaria, v) el porcentaje (%) de participación del bien y vi) el puntaje individual de cada bien. </w:t>
      </w:r>
    </w:p>
    <w:p w14:paraId="5E856505" w14:textId="16AC2641" w:rsidR="00FD3B7C" w:rsidRPr="00FD3B7C" w:rsidRDefault="00FD3B7C" w:rsidP="00FD3B7C">
      <w:pPr>
        <w:widowControl w:val="0"/>
        <w:tabs>
          <w:tab w:val="left" w:pos="2143"/>
        </w:tabs>
        <w:autoSpaceDE w:val="0"/>
        <w:autoSpaceDN w:val="0"/>
        <w:spacing w:after="120" w:line="276" w:lineRule="auto"/>
        <w:ind w:firstLine="709"/>
        <w:jc w:val="both"/>
        <w:rPr>
          <w:rFonts w:ascii="Arial" w:hAnsi="Arial" w:cs="Arial"/>
          <w:iCs/>
          <w:color w:val="000000"/>
        </w:rPr>
      </w:pPr>
      <w:r w:rsidRPr="00FD3B7C">
        <w:rPr>
          <w:rFonts w:ascii="Arial" w:eastAsia="Arial" w:hAnsi="Arial" w:cs="Arial"/>
          <w:bCs/>
          <w:lang w:eastAsia="es-ES" w:bidi="es-ES"/>
        </w:rPr>
        <w:t xml:space="preserve">Por otra parte, si luego de aplicar la metodología para identificar los bienes nacionales relevantes, prevista en la «Matriz 4 - Bienes nacionales relevantes para la obra pública del sector transporte», la entidad estatal demuestra que los bienes nacionales relevantes no están registrados en el Registro de Productos de Bienes Nacionales Relevantes, la entidad estatal deberá aplicar la </w:t>
      </w:r>
      <w:r w:rsidRPr="00FD3B7C">
        <w:rPr>
          <w:rFonts w:ascii="Arial" w:eastAsia="Arial" w:hAnsi="Arial" w:cs="Arial"/>
          <w:b/>
          <w:i/>
          <w:iCs/>
          <w:lang w:eastAsia="es-ES" w:bidi="es-ES"/>
        </w:rPr>
        <w:t>opción 2</w:t>
      </w:r>
      <w:r w:rsidRPr="00FD3B7C">
        <w:rPr>
          <w:rFonts w:ascii="Arial" w:eastAsia="Arial" w:hAnsi="Arial" w:cs="Arial"/>
          <w:bCs/>
          <w:lang w:eastAsia="es-ES" w:bidi="es-ES"/>
        </w:rPr>
        <w:t xml:space="preserve"> del numeral 4.3.1 «Promoción de servicios nacionales o con trato nacional». Así las cosas, la entidad otorgará el puntaje a los proponentes que se comprometan a vincular al desarrollo del objeto contractual un porcentaje de empleados o contratistas por prestación de servicios colombianos de al menos el cuarenta (40%) del personal requerido para el cumplimento del contrato.</w:t>
      </w:r>
    </w:p>
    <w:p w14:paraId="5D595913" w14:textId="65445651" w:rsidR="00536455" w:rsidRDefault="00536455" w:rsidP="00536455">
      <w:pPr>
        <w:shd w:val="clear" w:color="auto" w:fill="FFFFFF"/>
        <w:spacing w:after="120" w:line="276" w:lineRule="auto"/>
        <w:ind w:firstLine="709"/>
        <w:jc w:val="both"/>
        <w:textAlignment w:val="baseline"/>
        <w:rPr>
          <w:rFonts w:ascii="Arial" w:eastAsia="Calibri" w:hAnsi="Arial" w:cs="Arial"/>
          <w:bCs/>
          <w:color w:val="000000" w:themeColor="text1"/>
          <w:lang w:val="es-ES_tradnl"/>
        </w:rPr>
      </w:pPr>
      <w:r>
        <w:rPr>
          <w:rFonts w:ascii="Arial" w:eastAsia="Arial" w:hAnsi="Arial" w:cs="Arial"/>
          <w:bCs/>
          <w:lang w:eastAsia="es-ES" w:bidi="es-ES"/>
        </w:rPr>
        <w:t xml:space="preserve">Finalmente, como se mencionó con anterioridad, </w:t>
      </w:r>
      <w:r>
        <w:rPr>
          <w:rFonts w:ascii="Arial" w:eastAsia="Calibri" w:hAnsi="Arial" w:cs="Arial"/>
          <w:bCs/>
          <w:color w:val="000000" w:themeColor="text1"/>
          <w:lang w:val="es-ES_tradnl"/>
        </w:rPr>
        <w:t>Resolución 304 de 2021 «</w:t>
      </w:r>
      <w:r w:rsidRPr="00906A72">
        <w:rPr>
          <w:rFonts w:ascii="Arial" w:eastAsia="Calibri" w:hAnsi="Arial" w:cs="Arial"/>
          <w:bCs/>
          <w:color w:val="000000" w:themeColor="text1"/>
          <w:lang w:val="es-ES_tradnl"/>
        </w:rPr>
        <w:t>Por la cual se modifican los Documentos Tipo adoptados por la Agencia Nacional de Contratación Pública –</w:t>
      </w:r>
      <w:r>
        <w:rPr>
          <w:rFonts w:ascii="Arial" w:eastAsia="Calibri" w:hAnsi="Arial" w:cs="Arial"/>
          <w:bCs/>
          <w:color w:val="000000" w:themeColor="text1"/>
          <w:lang w:val="es-ES_tradnl"/>
        </w:rPr>
        <w:t xml:space="preserve"> </w:t>
      </w:r>
      <w:r w:rsidRPr="00906A72">
        <w:rPr>
          <w:rFonts w:ascii="Arial" w:eastAsia="Calibri" w:hAnsi="Arial" w:cs="Arial"/>
          <w:bCs/>
          <w:color w:val="000000" w:themeColor="text1"/>
          <w:lang w:val="es-ES_tradnl"/>
        </w:rPr>
        <w:t>Colombia Compra Eficiente</w:t>
      </w:r>
      <w:r>
        <w:rPr>
          <w:rFonts w:ascii="Arial" w:eastAsia="Calibri" w:hAnsi="Arial" w:cs="Arial"/>
          <w:bCs/>
          <w:color w:val="000000" w:themeColor="text1"/>
          <w:lang w:val="es-ES_tradnl"/>
        </w:rPr>
        <w:t>», modificó y adicionó los documentos tipo de licitación de obra pública de infraestructura de transporte. Entre estas modificaciones en el documento base, se modificó el numeral «4</w:t>
      </w:r>
      <w:r w:rsidRPr="00431D13">
        <w:rPr>
          <w:rFonts w:ascii="Arial" w:eastAsia="Arial" w:hAnsi="Arial" w:cs="Arial"/>
          <w:bCs/>
          <w:lang w:eastAsia="es-ES" w:bidi="es-ES"/>
        </w:rPr>
        <w:t>.3</w:t>
      </w:r>
      <w:r w:rsidRPr="001D4472">
        <w:rPr>
          <w:rFonts w:ascii="Arial" w:eastAsia="Arial" w:hAnsi="Arial" w:cs="Arial"/>
          <w:bCs/>
          <w:lang w:eastAsia="es-ES" w:bidi="es-ES"/>
        </w:rPr>
        <w:t xml:space="preserve">.1 Promoción de servicios nacionales o con trato nacional, </w:t>
      </w:r>
      <w:r w:rsidRPr="001D4472">
        <w:rPr>
          <w:rFonts w:ascii="Arial" w:eastAsia="Calibri" w:hAnsi="Arial" w:cs="Arial"/>
          <w:bCs/>
          <w:color w:val="000000" w:themeColor="text1"/>
          <w:lang w:val="es-ES_tradnl"/>
        </w:rPr>
        <w:t xml:space="preserve">respecto de la aplicación de la definición de Servicios Nacionales del Decreto 680.  En tal sentido, estas modificaciones resultan </w:t>
      </w:r>
      <w:r w:rsidRPr="004F0480">
        <w:rPr>
          <w:rFonts w:ascii="Arial" w:eastAsia="Calibri" w:hAnsi="Arial" w:cs="Arial"/>
          <w:color w:val="000000"/>
          <w:bdr w:val="none" w:sz="0" w:space="0" w:color="auto" w:frame="1"/>
        </w:rPr>
        <w:t>obligatori</w:t>
      </w:r>
      <w:r w:rsidRPr="001D4472">
        <w:rPr>
          <w:rFonts w:ascii="Arial" w:eastAsia="Calibri" w:hAnsi="Arial" w:cs="Arial"/>
          <w:color w:val="000000"/>
          <w:bdr w:val="none" w:sz="0" w:space="0" w:color="auto" w:frame="1"/>
        </w:rPr>
        <w:t>a</w:t>
      </w:r>
      <w:r w:rsidRPr="004F0480">
        <w:rPr>
          <w:rFonts w:ascii="Arial" w:eastAsia="Calibri" w:hAnsi="Arial" w:cs="Arial"/>
          <w:color w:val="000000"/>
          <w:bdr w:val="none" w:sz="0" w:space="0" w:color="auto" w:frame="1"/>
        </w:rPr>
        <w:t>s para las entidades estatales cuyos contratos se rijan por el Estatuto General de la Contratación de la Administración Pública</w:t>
      </w:r>
      <w:r>
        <w:rPr>
          <w:rFonts w:ascii="Arial" w:eastAsia="Calibri" w:hAnsi="Arial" w:cs="Arial"/>
          <w:color w:val="000000"/>
          <w:bdr w:val="none" w:sz="0" w:space="0" w:color="auto" w:frame="1"/>
        </w:rPr>
        <w:t xml:space="preserve"> y</w:t>
      </w:r>
      <w:r w:rsidRPr="004F0480">
        <w:rPr>
          <w:rFonts w:ascii="Arial" w:eastAsia="Calibri" w:hAnsi="Arial" w:cs="Arial"/>
          <w:color w:val="000000"/>
          <w:bdr w:val="none" w:sz="0" w:space="0" w:color="auto" w:frame="1"/>
        </w:rPr>
        <w:t xml:space="preserve"> que adelanten procesos de contratación mediante la modalidad </w:t>
      </w:r>
      <w:r w:rsidRPr="001D4472">
        <w:rPr>
          <w:rFonts w:ascii="Arial" w:eastAsia="Calibri" w:hAnsi="Arial" w:cs="Arial"/>
          <w:color w:val="000000"/>
          <w:bdr w:val="none" w:sz="0" w:space="0" w:color="auto" w:frame="1"/>
        </w:rPr>
        <w:t>de selección de licitación de obra pública de infraestructura de transporte</w:t>
      </w:r>
      <w:r>
        <w:rPr>
          <w:rFonts w:ascii="Arial" w:eastAsia="Calibri" w:hAnsi="Arial" w:cs="Arial"/>
          <w:color w:val="000000"/>
          <w:bdr w:val="none" w:sz="0" w:space="0" w:color="auto" w:frame="1"/>
        </w:rPr>
        <w:t>,</w:t>
      </w:r>
      <w:r w:rsidRPr="004F0480">
        <w:rPr>
          <w:rFonts w:ascii="Arial" w:eastAsia="Calibri" w:hAnsi="Arial" w:cs="Arial"/>
          <w:color w:val="000000"/>
          <w:bdr w:val="none" w:sz="0" w:space="0" w:color="auto" w:frame="1"/>
        </w:rPr>
        <w:t xml:space="preserve"> teniendo en cuenta el ámbito de aplicación determinado en la Matriz de Experiencia</w:t>
      </w:r>
      <w:r w:rsidRPr="001D4472">
        <w:rPr>
          <w:rFonts w:ascii="Arial" w:eastAsia="Calibri" w:hAnsi="Arial" w:cs="Arial"/>
          <w:color w:val="000000"/>
          <w:bdr w:val="none" w:sz="0" w:space="0" w:color="auto" w:frame="1"/>
        </w:rPr>
        <w:t xml:space="preserve"> de </w:t>
      </w:r>
      <w:r>
        <w:rPr>
          <w:rFonts w:ascii="Arial" w:eastAsia="Calibri" w:hAnsi="Arial" w:cs="Arial"/>
          <w:color w:val="000000"/>
          <w:bdr w:val="none" w:sz="0" w:space="0" w:color="auto" w:frame="1"/>
        </w:rPr>
        <w:t>los documentos tipo de licitación de obra pública de infraestructura de transporte – Versión 3.</w:t>
      </w:r>
    </w:p>
    <w:p w14:paraId="271796CE" w14:textId="768AD29D" w:rsidR="007F4207" w:rsidRDefault="007F4207"/>
    <w:p w14:paraId="716A8EEA" w14:textId="77777777" w:rsidR="004212E5" w:rsidRPr="004212E5" w:rsidRDefault="004212E5" w:rsidP="004212E5">
      <w:pPr>
        <w:spacing w:after="0" w:line="276" w:lineRule="auto"/>
        <w:jc w:val="both"/>
        <w:rPr>
          <w:rFonts w:ascii="Arial" w:eastAsia="Calibri" w:hAnsi="Arial" w:cs="Arial"/>
          <w:color w:val="000000"/>
          <w:lang w:val="es-ES_tradnl"/>
        </w:rPr>
      </w:pPr>
      <w:r w:rsidRPr="004212E5">
        <w:rPr>
          <w:rFonts w:ascii="Arial" w:eastAsia="Calibri" w:hAnsi="Arial" w:cs="Arial"/>
          <w:color w:val="000000"/>
          <w:lang w:val="es-ES_tradnl"/>
        </w:rPr>
        <w:t>Este concepto tiene el alcance previsto en el artículo 28 del Código de Procedimiento Administrativo y de lo Contencioso Administrativo.</w:t>
      </w:r>
    </w:p>
    <w:p w14:paraId="1FF993BB" w14:textId="77777777" w:rsidR="004212E5" w:rsidRPr="004212E5" w:rsidRDefault="004212E5" w:rsidP="004212E5">
      <w:pPr>
        <w:spacing w:after="0" w:line="276" w:lineRule="auto"/>
        <w:jc w:val="both"/>
        <w:rPr>
          <w:rFonts w:ascii="Arial" w:eastAsia="Times New Roman" w:hAnsi="Arial" w:cs="Arial"/>
          <w:color w:val="000000"/>
          <w:lang w:val="es-ES_tradnl" w:eastAsia="es-CO"/>
        </w:rPr>
      </w:pPr>
    </w:p>
    <w:p w14:paraId="44A535FD" w14:textId="77777777" w:rsidR="004212E5" w:rsidRPr="004212E5" w:rsidRDefault="004212E5" w:rsidP="004212E5">
      <w:pPr>
        <w:spacing w:after="0" w:line="276" w:lineRule="auto"/>
        <w:jc w:val="both"/>
        <w:rPr>
          <w:rFonts w:ascii="Arial" w:eastAsia="Times New Roman" w:hAnsi="Arial" w:cs="Arial"/>
          <w:color w:val="000000"/>
          <w:lang w:val="es-ES_tradnl" w:eastAsia="es-CO"/>
        </w:rPr>
      </w:pPr>
    </w:p>
    <w:p w14:paraId="11150893" w14:textId="77777777" w:rsidR="004212E5" w:rsidRPr="004212E5" w:rsidRDefault="004212E5" w:rsidP="004212E5">
      <w:pPr>
        <w:spacing w:after="0" w:line="276" w:lineRule="auto"/>
        <w:jc w:val="both"/>
        <w:rPr>
          <w:rFonts w:ascii="Arial" w:eastAsia="Times New Roman" w:hAnsi="Arial" w:cs="Arial"/>
          <w:color w:val="000000"/>
          <w:lang w:val="es-ES_tradnl" w:eastAsia="es-CO"/>
        </w:rPr>
      </w:pPr>
      <w:r w:rsidRPr="004212E5">
        <w:rPr>
          <w:rFonts w:ascii="Arial" w:eastAsia="Times New Roman" w:hAnsi="Arial" w:cs="Arial"/>
          <w:color w:val="000000"/>
          <w:lang w:val="es-ES_tradnl" w:eastAsia="es-CO"/>
        </w:rPr>
        <w:t>Atentamente,</w:t>
      </w:r>
    </w:p>
    <w:p w14:paraId="6EF6A4D3" w14:textId="5E966180" w:rsidR="004212E5" w:rsidRPr="004212E5" w:rsidRDefault="00D42F53" w:rsidP="004212E5">
      <w:pPr>
        <w:spacing w:after="0" w:line="276" w:lineRule="auto"/>
        <w:jc w:val="center"/>
        <w:rPr>
          <w:rFonts w:ascii="Arial" w:eastAsia="Times New Roman" w:hAnsi="Arial" w:cs="Arial"/>
          <w:color w:val="000000"/>
          <w:lang w:val="es-ES_tradnl" w:eastAsia="es-CO"/>
        </w:rPr>
      </w:pPr>
      <w:r>
        <w:rPr>
          <w:rFonts w:ascii="Arial" w:hAnsi="Arial" w:cs="Arial"/>
          <w:noProof/>
          <w:color w:val="000000" w:themeColor="text1"/>
          <w:sz w:val="18"/>
          <w:szCs w:val="20"/>
        </w:rPr>
        <w:drawing>
          <wp:inline distT="0" distB="0" distL="0" distR="0" wp14:anchorId="4A2743D7" wp14:editId="5F626EDD">
            <wp:extent cx="2047297" cy="905774"/>
            <wp:effectExtent l="0" t="0" r="0" b="889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071E200D" w14:textId="77777777" w:rsidR="004212E5" w:rsidRPr="004212E5" w:rsidRDefault="004212E5" w:rsidP="004212E5">
      <w:pPr>
        <w:spacing w:after="0" w:line="240" w:lineRule="auto"/>
        <w:rPr>
          <w:rFonts w:ascii="Arial" w:eastAsia="Calibri" w:hAnsi="Arial" w:cs="Arial"/>
          <w:color w:val="000000"/>
          <w:sz w:val="18"/>
          <w:szCs w:val="20"/>
          <w:lang w:val="es-ES_tradnl" w:eastAsia="es-CO"/>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212E5" w:rsidRPr="004212E5" w14:paraId="679EC6DF" w14:textId="77777777" w:rsidTr="004212E5">
        <w:trPr>
          <w:trHeight w:val="315"/>
        </w:trPr>
        <w:tc>
          <w:tcPr>
            <w:tcW w:w="812" w:type="dxa"/>
            <w:vAlign w:val="center"/>
            <w:hideMark/>
          </w:tcPr>
          <w:p w14:paraId="29C04DB1" w14:textId="77777777" w:rsidR="004212E5" w:rsidRPr="004212E5" w:rsidRDefault="004212E5" w:rsidP="004212E5">
            <w:pPr>
              <w:rPr>
                <w:rFonts w:ascii="Arial" w:eastAsia="Calibri" w:hAnsi="Arial" w:cs="Arial"/>
                <w:sz w:val="16"/>
                <w:szCs w:val="16"/>
                <w:lang w:val="es-ES_tradnl" w:eastAsia="es-ES"/>
              </w:rPr>
            </w:pPr>
            <w:r w:rsidRPr="004212E5">
              <w:rPr>
                <w:rFonts w:ascii="Arial" w:eastAsia="Calibri"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51715744" w14:textId="77777777" w:rsidR="004212E5" w:rsidRPr="004212E5" w:rsidRDefault="004212E5" w:rsidP="004212E5">
            <w:pPr>
              <w:rPr>
                <w:rFonts w:ascii="Arial" w:eastAsia="Calibri" w:hAnsi="Arial" w:cs="Arial"/>
                <w:sz w:val="16"/>
                <w:szCs w:val="16"/>
                <w:lang w:val="es-ES_tradnl" w:eastAsia="es-ES"/>
              </w:rPr>
            </w:pPr>
            <w:r w:rsidRPr="004212E5">
              <w:rPr>
                <w:rFonts w:ascii="Arial" w:eastAsia="Calibri" w:hAnsi="Arial" w:cs="Arial"/>
                <w:sz w:val="16"/>
                <w:szCs w:val="16"/>
                <w:lang w:val="es-ES_tradnl" w:eastAsia="es-ES"/>
              </w:rPr>
              <w:t>Carlos Mario Castrillón Endo</w:t>
            </w:r>
          </w:p>
          <w:p w14:paraId="042DAEFD" w14:textId="77777777" w:rsidR="004212E5" w:rsidRPr="004212E5" w:rsidRDefault="004212E5" w:rsidP="004212E5">
            <w:pPr>
              <w:rPr>
                <w:rFonts w:ascii="Arial" w:eastAsia="Calibri" w:hAnsi="Arial" w:cs="Arial"/>
                <w:sz w:val="16"/>
                <w:szCs w:val="16"/>
                <w:lang w:val="es-ES_tradnl" w:eastAsia="es-ES"/>
              </w:rPr>
            </w:pPr>
            <w:r w:rsidRPr="004212E5">
              <w:rPr>
                <w:rFonts w:ascii="Arial" w:eastAsia="Calibri" w:hAnsi="Arial" w:cs="Arial"/>
                <w:sz w:val="16"/>
                <w:szCs w:val="16"/>
                <w:lang w:val="es-ES_tradnl" w:eastAsia="es-ES"/>
              </w:rPr>
              <w:t>Contratista de la Subdirección de Gestión Contractual</w:t>
            </w:r>
          </w:p>
        </w:tc>
      </w:tr>
      <w:tr w:rsidR="004212E5" w:rsidRPr="004212E5" w14:paraId="32FF38E7" w14:textId="77777777" w:rsidTr="004212E5">
        <w:trPr>
          <w:trHeight w:val="330"/>
        </w:trPr>
        <w:tc>
          <w:tcPr>
            <w:tcW w:w="812" w:type="dxa"/>
            <w:vAlign w:val="center"/>
            <w:hideMark/>
          </w:tcPr>
          <w:p w14:paraId="5140443C" w14:textId="77777777" w:rsidR="004212E5" w:rsidRPr="004212E5" w:rsidRDefault="004212E5" w:rsidP="004212E5">
            <w:pPr>
              <w:rPr>
                <w:rFonts w:ascii="Arial" w:eastAsia="Calibri" w:hAnsi="Arial" w:cs="Arial"/>
                <w:sz w:val="16"/>
                <w:szCs w:val="16"/>
                <w:lang w:val="es-ES_tradnl" w:eastAsia="es-ES"/>
              </w:rPr>
            </w:pPr>
            <w:r w:rsidRPr="004212E5">
              <w:rPr>
                <w:rFonts w:ascii="Arial" w:eastAsia="Calibri"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298688DE" w14:textId="342A8DE8" w:rsidR="004212E5" w:rsidRPr="004212E5" w:rsidRDefault="004212E5" w:rsidP="004212E5">
            <w:pPr>
              <w:rPr>
                <w:rFonts w:ascii="Arial" w:eastAsia="Calibri" w:hAnsi="Arial" w:cs="Arial"/>
                <w:sz w:val="16"/>
                <w:szCs w:val="16"/>
                <w:lang w:val="es-ES_tradnl" w:eastAsia="es-ES"/>
              </w:rPr>
            </w:pPr>
            <w:r w:rsidRPr="004212E5">
              <w:rPr>
                <w:rFonts w:ascii="Arial" w:eastAsia="Calibri" w:hAnsi="Arial" w:cs="Arial"/>
                <w:sz w:val="16"/>
                <w:szCs w:val="16"/>
                <w:lang w:val="es-ES_tradnl" w:eastAsia="es-ES"/>
              </w:rPr>
              <w:t>Cristi</w:t>
            </w:r>
            <w:r w:rsidR="00552EB2">
              <w:rPr>
                <w:rFonts w:ascii="Arial" w:eastAsia="Calibri" w:hAnsi="Arial" w:cs="Arial"/>
                <w:sz w:val="16"/>
                <w:szCs w:val="16"/>
                <w:lang w:val="es-ES_tradnl" w:eastAsia="es-ES"/>
              </w:rPr>
              <w:t>a</w:t>
            </w:r>
            <w:r w:rsidRPr="004212E5">
              <w:rPr>
                <w:rFonts w:ascii="Arial" w:eastAsia="Calibri" w:hAnsi="Arial" w:cs="Arial"/>
                <w:sz w:val="16"/>
                <w:szCs w:val="16"/>
                <w:lang w:val="es-ES_tradnl" w:eastAsia="es-ES"/>
              </w:rPr>
              <w:t xml:space="preserve">n </w:t>
            </w:r>
            <w:r w:rsidR="00552EB2">
              <w:rPr>
                <w:rFonts w:ascii="Arial" w:eastAsia="Calibri" w:hAnsi="Arial" w:cs="Arial"/>
                <w:sz w:val="16"/>
                <w:szCs w:val="16"/>
                <w:lang w:val="es-ES_tradnl" w:eastAsia="es-ES"/>
              </w:rPr>
              <w:t xml:space="preserve">Andrés </w:t>
            </w:r>
            <w:r w:rsidRPr="004212E5">
              <w:rPr>
                <w:rFonts w:ascii="Arial" w:eastAsia="Calibri" w:hAnsi="Arial" w:cs="Arial"/>
                <w:sz w:val="16"/>
                <w:szCs w:val="16"/>
                <w:lang w:val="es-ES_tradnl" w:eastAsia="es-ES"/>
              </w:rPr>
              <w:t>D</w:t>
            </w:r>
            <w:r w:rsidR="00552EB2">
              <w:rPr>
                <w:rFonts w:ascii="Arial" w:eastAsia="Calibri" w:hAnsi="Arial" w:cs="Arial"/>
                <w:sz w:val="16"/>
                <w:szCs w:val="16"/>
                <w:lang w:val="es-ES_tradnl" w:eastAsia="es-ES"/>
              </w:rPr>
              <w:t>í</w:t>
            </w:r>
            <w:r w:rsidRPr="004212E5">
              <w:rPr>
                <w:rFonts w:ascii="Arial" w:eastAsia="Calibri" w:hAnsi="Arial" w:cs="Arial"/>
                <w:sz w:val="16"/>
                <w:szCs w:val="16"/>
                <w:lang w:val="es-ES_tradnl" w:eastAsia="es-ES"/>
              </w:rPr>
              <w:t>az D</w:t>
            </w:r>
            <w:r w:rsidR="00552EB2">
              <w:rPr>
                <w:rFonts w:ascii="Arial" w:eastAsia="Calibri" w:hAnsi="Arial" w:cs="Arial"/>
                <w:sz w:val="16"/>
                <w:szCs w:val="16"/>
                <w:lang w:val="es-ES_tradnl" w:eastAsia="es-ES"/>
              </w:rPr>
              <w:t>í</w:t>
            </w:r>
            <w:r w:rsidRPr="004212E5">
              <w:rPr>
                <w:rFonts w:ascii="Arial" w:eastAsia="Calibri" w:hAnsi="Arial" w:cs="Arial"/>
                <w:sz w:val="16"/>
                <w:szCs w:val="16"/>
                <w:lang w:val="es-ES_tradnl" w:eastAsia="es-ES"/>
              </w:rPr>
              <w:t xml:space="preserve">ez </w:t>
            </w:r>
          </w:p>
          <w:p w14:paraId="293D62AC" w14:textId="77777777" w:rsidR="004212E5" w:rsidRPr="004212E5" w:rsidRDefault="004212E5" w:rsidP="004212E5">
            <w:pPr>
              <w:rPr>
                <w:rFonts w:ascii="Arial" w:eastAsia="Calibri" w:hAnsi="Arial" w:cs="Arial"/>
                <w:sz w:val="16"/>
                <w:szCs w:val="16"/>
                <w:lang w:val="es-ES_tradnl" w:eastAsia="es-ES"/>
              </w:rPr>
            </w:pPr>
            <w:r w:rsidRPr="004212E5">
              <w:rPr>
                <w:rFonts w:ascii="Arial" w:eastAsia="Calibri" w:hAnsi="Arial" w:cs="Arial"/>
                <w:sz w:val="16"/>
                <w:szCs w:val="16"/>
                <w:lang w:val="es-ES_tradnl" w:eastAsia="es-ES"/>
              </w:rPr>
              <w:t>Contratista de la Subdirección de Gestión Contractual</w:t>
            </w:r>
          </w:p>
        </w:tc>
      </w:tr>
      <w:tr w:rsidR="004212E5" w:rsidRPr="004212E5" w14:paraId="311A5573" w14:textId="77777777" w:rsidTr="004212E5">
        <w:trPr>
          <w:trHeight w:val="300"/>
        </w:trPr>
        <w:tc>
          <w:tcPr>
            <w:tcW w:w="812" w:type="dxa"/>
            <w:vAlign w:val="center"/>
            <w:hideMark/>
          </w:tcPr>
          <w:p w14:paraId="0436B649" w14:textId="77777777" w:rsidR="004212E5" w:rsidRPr="004212E5" w:rsidRDefault="004212E5" w:rsidP="004212E5">
            <w:pPr>
              <w:rPr>
                <w:rFonts w:ascii="Arial" w:eastAsia="Calibri" w:hAnsi="Arial" w:cs="Arial"/>
                <w:sz w:val="16"/>
                <w:szCs w:val="16"/>
                <w:lang w:val="es-ES_tradnl" w:eastAsia="es-ES"/>
              </w:rPr>
            </w:pPr>
            <w:r w:rsidRPr="004212E5">
              <w:rPr>
                <w:rFonts w:ascii="Arial" w:eastAsia="Calibri"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41FBC31F" w14:textId="77777777" w:rsidR="004212E5" w:rsidRPr="004212E5" w:rsidRDefault="004212E5" w:rsidP="004212E5">
            <w:pPr>
              <w:rPr>
                <w:rFonts w:ascii="Arial" w:eastAsia="Calibri" w:hAnsi="Arial" w:cs="Arial"/>
                <w:sz w:val="16"/>
                <w:szCs w:val="16"/>
                <w:lang w:val="pt-BR" w:eastAsia="es-ES"/>
              </w:rPr>
            </w:pPr>
            <w:r w:rsidRPr="004212E5">
              <w:rPr>
                <w:rFonts w:ascii="Arial" w:eastAsia="Calibri" w:hAnsi="Arial" w:cs="Arial"/>
                <w:sz w:val="16"/>
                <w:szCs w:val="16"/>
                <w:lang w:val="pt-BR" w:eastAsia="es-ES"/>
              </w:rPr>
              <w:t>Jorge Augusto Tirado Navarro</w:t>
            </w:r>
          </w:p>
          <w:p w14:paraId="7279435E" w14:textId="77777777" w:rsidR="004212E5" w:rsidRPr="004212E5" w:rsidRDefault="004212E5" w:rsidP="004212E5">
            <w:pPr>
              <w:rPr>
                <w:rFonts w:ascii="Arial" w:eastAsia="Calibri" w:hAnsi="Arial" w:cs="Arial"/>
                <w:sz w:val="16"/>
                <w:szCs w:val="16"/>
                <w:lang w:val="pt-BR" w:eastAsia="es-ES"/>
              </w:rPr>
            </w:pPr>
            <w:proofErr w:type="spellStart"/>
            <w:r w:rsidRPr="004212E5">
              <w:rPr>
                <w:rFonts w:ascii="Arial" w:eastAsia="Calibri" w:hAnsi="Arial" w:cs="Arial"/>
                <w:sz w:val="16"/>
                <w:szCs w:val="16"/>
                <w:lang w:val="pt-BR" w:eastAsia="es-ES"/>
              </w:rPr>
              <w:t>Subdirector</w:t>
            </w:r>
            <w:proofErr w:type="spellEnd"/>
            <w:r w:rsidRPr="004212E5">
              <w:rPr>
                <w:rFonts w:ascii="Arial" w:eastAsia="Calibri" w:hAnsi="Arial" w:cs="Arial"/>
                <w:sz w:val="16"/>
                <w:szCs w:val="16"/>
                <w:lang w:val="pt-BR" w:eastAsia="es-ES"/>
              </w:rPr>
              <w:t xml:space="preserve"> de Gestión </w:t>
            </w:r>
            <w:proofErr w:type="spellStart"/>
            <w:r w:rsidRPr="004212E5">
              <w:rPr>
                <w:rFonts w:ascii="Arial" w:eastAsia="Calibri" w:hAnsi="Arial" w:cs="Arial"/>
                <w:sz w:val="16"/>
                <w:szCs w:val="16"/>
                <w:lang w:val="pt-BR" w:eastAsia="es-ES"/>
              </w:rPr>
              <w:t>Contractual</w:t>
            </w:r>
            <w:proofErr w:type="spellEnd"/>
          </w:p>
        </w:tc>
      </w:tr>
    </w:tbl>
    <w:p w14:paraId="5A4CF09F" w14:textId="77777777" w:rsidR="004212E5" w:rsidRPr="004212E5" w:rsidRDefault="004212E5" w:rsidP="004212E5">
      <w:pPr>
        <w:spacing w:after="0" w:line="240" w:lineRule="auto"/>
        <w:rPr>
          <w:rFonts w:ascii="Arial" w:eastAsia="Calibri" w:hAnsi="Arial" w:cs="Arial"/>
          <w:sz w:val="16"/>
          <w:szCs w:val="16"/>
          <w:lang w:val="pt-BR" w:eastAsia="es-ES"/>
        </w:rPr>
      </w:pPr>
    </w:p>
    <w:p w14:paraId="46BEC64C" w14:textId="77777777" w:rsidR="00FD3B7C" w:rsidRDefault="00FD3B7C"/>
    <w:sectPr w:rsidR="00FD3B7C">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5E06" w14:textId="77777777" w:rsidR="00D97192" w:rsidRDefault="00D97192" w:rsidP="00431D13">
      <w:pPr>
        <w:spacing w:after="0" w:line="240" w:lineRule="auto"/>
      </w:pPr>
      <w:r>
        <w:separator/>
      </w:r>
    </w:p>
  </w:endnote>
  <w:endnote w:type="continuationSeparator" w:id="0">
    <w:p w14:paraId="4EC994D0" w14:textId="77777777" w:rsidR="00D97192" w:rsidRDefault="00D97192" w:rsidP="0043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ED5F" w14:textId="77777777" w:rsidR="002A74DC" w:rsidRPr="008217B7" w:rsidRDefault="002A74DC" w:rsidP="002A74D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20</w:t>
    </w:r>
    <w:r w:rsidRPr="00084B97">
      <w:rPr>
        <w:rFonts w:ascii="Arial" w:hAnsi="Arial" w:cs="Arial"/>
        <w:b/>
        <w:bCs/>
        <w:color w:val="7F7F7F" w:themeColor="text1" w:themeTint="80"/>
        <w:sz w:val="16"/>
        <w:szCs w:val="16"/>
      </w:rPr>
      <w:fldChar w:fldCharType="end"/>
    </w:r>
  </w:p>
  <w:p w14:paraId="1D4D2730" w14:textId="37E508F7" w:rsidR="002A74DC" w:rsidRDefault="002A74DC" w:rsidP="002A74DC">
    <w:pPr>
      <w:pStyle w:val="Piedepgina"/>
      <w:jc w:val="center"/>
      <w:rPr>
        <w:lang w:val="es-ES"/>
      </w:rPr>
    </w:pPr>
    <w:r>
      <w:rPr>
        <w:noProof/>
        <w:lang w:val="en-US"/>
      </w:rPr>
      <w:drawing>
        <wp:inline distT="0" distB="0" distL="0" distR="0" wp14:anchorId="33E50F77" wp14:editId="758F1674">
          <wp:extent cx="3700130" cy="519139"/>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8875" w14:textId="77777777" w:rsidR="00D97192" w:rsidRDefault="00D97192" w:rsidP="00431D13">
      <w:pPr>
        <w:spacing w:after="0" w:line="240" w:lineRule="auto"/>
      </w:pPr>
      <w:r>
        <w:separator/>
      </w:r>
    </w:p>
  </w:footnote>
  <w:footnote w:type="continuationSeparator" w:id="0">
    <w:p w14:paraId="3A7CEE81" w14:textId="77777777" w:rsidR="00D97192" w:rsidRDefault="00D97192" w:rsidP="00431D13">
      <w:pPr>
        <w:spacing w:after="0" w:line="240" w:lineRule="auto"/>
      </w:pPr>
      <w:r>
        <w:continuationSeparator/>
      </w:r>
    </w:p>
  </w:footnote>
  <w:footnote w:id="1">
    <w:p w14:paraId="6706604D" w14:textId="2025B136" w:rsidR="004F0480" w:rsidRPr="00503226" w:rsidRDefault="004F0480" w:rsidP="00C63D7E">
      <w:pPr>
        <w:pStyle w:val="Textonotapie"/>
        <w:spacing w:after="120"/>
        <w:ind w:firstLine="709"/>
        <w:jc w:val="both"/>
        <w:rPr>
          <w:rFonts w:ascii="Arial" w:hAnsi="Arial" w:cs="Arial"/>
          <w:color w:val="000000"/>
          <w:sz w:val="19"/>
          <w:szCs w:val="19"/>
          <w:lang w:val="es-CO"/>
        </w:rPr>
      </w:pPr>
      <w:r w:rsidRPr="00503226">
        <w:rPr>
          <w:rStyle w:val="Refdenotaalpie"/>
          <w:rFonts w:ascii="Arial" w:hAnsi="Arial" w:cs="Arial"/>
          <w:color w:val="000000"/>
          <w:sz w:val="19"/>
          <w:szCs w:val="19"/>
        </w:rPr>
        <w:footnoteRef/>
      </w:r>
      <w:r w:rsidRPr="00503226">
        <w:rPr>
          <w:rFonts w:ascii="Arial" w:hAnsi="Arial" w:cs="Arial"/>
          <w:color w:val="000000"/>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2">
    <w:p w14:paraId="7AA95604" w14:textId="77777777" w:rsidR="004F0480" w:rsidRPr="00503226" w:rsidRDefault="004F0480" w:rsidP="00C63D7E">
      <w:pPr>
        <w:pStyle w:val="Textonotapie"/>
        <w:spacing w:after="120"/>
        <w:ind w:firstLine="709"/>
        <w:jc w:val="both"/>
        <w:rPr>
          <w:rFonts w:ascii="Arial" w:hAnsi="Arial" w:cs="Arial"/>
          <w:color w:val="000000"/>
          <w:sz w:val="19"/>
          <w:szCs w:val="19"/>
        </w:rPr>
      </w:pPr>
      <w:r w:rsidRPr="00503226">
        <w:rPr>
          <w:rStyle w:val="Refdenotaalpie"/>
          <w:rFonts w:ascii="Arial" w:hAnsi="Arial" w:cs="Arial"/>
          <w:color w:val="000000"/>
          <w:sz w:val="19"/>
          <w:szCs w:val="19"/>
        </w:rPr>
        <w:footnoteRef/>
      </w:r>
      <w:r w:rsidRPr="00503226">
        <w:rPr>
          <w:rFonts w:ascii="Arial" w:hAnsi="Arial" w:cs="Arial"/>
          <w:color w:val="000000"/>
          <w:sz w:val="19"/>
          <w:szCs w:val="19"/>
        </w:rPr>
        <w:t xml:space="preserve"> </w:t>
      </w:r>
      <w:r w:rsidRPr="00503226">
        <w:rPr>
          <w:rFonts w:ascii="Arial" w:hAnsi="Arial" w:cs="Arial"/>
          <w:color w:val="000000"/>
          <w:sz w:val="19"/>
          <w:szCs w:val="19"/>
          <w:lang w:val="es-CO"/>
        </w:rPr>
        <w:t xml:space="preserve">Ley 1882 de 2018: «Artículo 4. </w:t>
      </w:r>
      <w:r w:rsidRPr="00503226">
        <w:rPr>
          <w:rFonts w:ascii="Arial" w:hAnsi="Arial" w:cs="Arial"/>
          <w:color w:val="000000"/>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4D55D4CF" w14:textId="77777777" w:rsidR="004F0480" w:rsidRPr="00503226" w:rsidRDefault="004F0480" w:rsidP="004F0480">
      <w:pPr>
        <w:pStyle w:val="Textonotapie"/>
        <w:ind w:firstLine="709"/>
        <w:jc w:val="both"/>
        <w:rPr>
          <w:rFonts w:ascii="Arial" w:hAnsi="Arial" w:cs="Arial"/>
          <w:color w:val="000000"/>
          <w:sz w:val="19"/>
          <w:szCs w:val="19"/>
          <w:lang w:val="es-CO"/>
        </w:rPr>
      </w:pPr>
      <w:r w:rsidRPr="00503226">
        <w:rPr>
          <w:rFonts w:ascii="Arial" w:hAnsi="Arial" w:cs="Arial"/>
          <w:color w:val="000000"/>
          <w:sz w:val="19"/>
          <w:szCs w:val="19"/>
          <w:lang w:val="es-CO"/>
        </w:rPr>
        <w:t>»La facultad de adoptar documentos tipo la tendrá el Gobierno nacional, cuando lo considere necesario, en relación con otros contratos o procesos de selección.</w:t>
      </w:r>
    </w:p>
    <w:p w14:paraId="70D1DEB1" w14:textId="77777777" w:rsidR="004F0480" w:rsidRPr="00503226" w:rsidRDefault="004F0480" w:rsidP="004F0480">
      <w:pPr>
        <w:pStyle w:val="Textonotapie"/>
        <w:ind w:firstLine="709"/>
        <w:jc w:val="both"/>
        <w:rPr>
          <w:rFonts w:ascii="Arial" w:hAnsi="Arial" w:cs="Arial"/>
          <w:color w:val="000000"/>
          <w:sz w:val="19"/>
          <w:szCs w:val="19"/>
          <w:lang w:val="es-CO"/>
        </w:rPr>
      </w:pPr>
      <w:r w:rsidRPr="00503226">
        <w:rPr>
          <w:rFonts w:ascii="Arial" w:hAnsi="Arial" w:cs="Arial"/>
          <w:color w:val="000000"/>
          <w:sz w:val="19"/>
          <w:szCs w:val="19"/>
          <w:lang w:val="es-CO"/>
        </w:rPr>
        <w:t>»Los pliegos tipo se adoptarán por categorías de acuerdo con la cuantía de la contratación, según la reglamentación que expida el Gobierno nacional».</w:t>
      </w:r>
    </w:p>
    <w:p w14:paraId="3E590FCE" w14:textId="77777777" w:rsidR="004F0480" w:rsidRPr="00503226" w:rsidRDefault="004F0480" w:rsidP="004F0480">
      <w:pPr>
        <w:pStyle w:val="Textonotapie"/>
        <w:ind w:firstLine="709"/>
        <w:jc w:val="both"/>
        <w:rPr>
          <w:rFonts w:ascii="Arial" w:hAnsi="Arial" w:cs="Arial"/>
          <w:color w:val="000000"/>
          <w:sz w:val="19"/>
          <w:szCs w:val="19"/>
          <w:lang w:val="es-CO"/>
        </w:rPr>
      </w:pPr>
    </w:p>
  </w:footnote>
  <w:footnote w:id="3">
    <w:p w14:paraId="79C03410" w14:textId="77777777" w:rsidR="004F0480" w:rsidRPr="00503226" w:rsidRDefault="004F0480" w:rsidP="004F0480">
      <w:pPr>
        <w:pStyle w:val="Textonotapie"/>
        <w:ind w:firstLine="709"/>
        <w:jc w:val="both"/>
        <w:rPr>
          <w:rFonts w:ascii="Arial" w:hAnsi="Arial" w:cs="Arial"/>
          <w:color w:val="000000"/>
          <w:sz w:val="19"/>
          <w:szCs w:val="19"/>
        </w:rPr>
      </w:pPr>
      <w:r w:rsidRPr="00503226">
        <w:rPr>
          <w:rStyle w:val="Refdenotaalpie"/>
          <w:rFonts w:ascii="Arial" w:hAnsi="Arial" w:cs="Arial"/>
          <w:color w:val="000000"/>
          <w:sz w:val="19"/>
          <w:szCs w:val="19"/>
        </w:rPr>
        <w:footnoteRef/>
      </w:r>
      <w:r w:rsidRPr="00503226">
        <w:rPr>
          <w:rFonts w:ascii="Arial" w:hAnsi="Arial" w:cs="Arial"/>
          <w:color w:val="000000"/>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5D9A4F09" w14:textId="77777777" w:rsidR="004F0480" w:rsidRPr="00503226" w:rsidRDefault="004F0480" w:rsidP="004F0480">
      <w:pPr>
        <w:pStyle w:val="Textonotapie"/>
        <w:ind w:firstLine="709"/>
        <w:jc w:val="both"/>
        <w:rPr>
          <w:rFonts w:ascii="Arial" w:hAnsi="Arial" w:cs="Arial"/>
          <w:color w:val="000000"/>
          <w:sz w:val="19"/>
          <w:szCs w:val="19"/>
        </w:rPr>
      </w:pPr>
    </w:p>
  </w:footnote>
  <w:footnote w:id="4">
    <w:p w14:paraId="03D6E49D" w14:textId="77777777" w:rsidR="004F0480" w:rsidRPr="00503226" w:rsidRDefault="004F0480" w:rsidP="004F0480">
      <w:pPr>
        <w:pStyle w:val="Textonotapie"/>
        <w:ind w:firstLine="708"/>
        <w:jc w:val="both"/>
        <w:rPr>
          <w:rFonts w:ascii="Arial" w:hAnsi="Arial" w:cs="Arial"/>
          <w:color w:val="000000"/>
          <w:sz w:val="19"/>
          <w:szCs w:val="19"/>
        </w:rPr>
      </w:pPr>
      <w:r w:rsidRPr="00503226">
        <w:rPr>
          <w:rStyle w:val="Refdenotaalpie"/>
          <w:rFonts w:ascii="Arial" w:hAnsi="Arial" w:cs="Arial"/>
          <w:color w:val="000000"/>
          <w:sz w:val="19"/>
          <w:szCs w:val="19"/>
        </w:rPr>
        <w:footnoteRef/>
      </w:r>
      <w:r w:rsidRPr="00503226">
        <w:rPr>
          <w:rFonts w:ascii="Arial" w:hAnsi="Arial" w:cs="Arial"/>
          <w:color w:val="000000"/>
          <w:sz w:val="19"/>
          <w:szCs w:val="19"/>
        </w:rPr>
        <w:t xml:space="preserve"> «ARTÍCULO 1o. Modifíquese el artículo 4o de la Ley 1882 de 2018, el cual quedará así:</w:t>
      </w:r>
    </w:p>
    <w:p w14:paraId="660D146E" w14:textId="77777777" w:rsidR="004F0480" w:rsidRPr="00503226" w:rsidRDefault="004F0480" w:rsidP="004F0480">
      <w:pPr>
        <w:pStyle w:val="Textonotapie"/>
        <w:ind w:firstLine="708"/>
        <w:jc w:val="both"/>
        <w:rPr>
          <w:rFonts w:ascii="Arial" w:hAnsi="Arial" w:cs="Arial"/>
          <w:color w:val="000000"/>
          <w:sz w:val="19"/>
          <w:szCs w:val="19"/>
        </w:rPr>
      </w:pPr>
      <w:r w:rsidRPr="00503226">
        <w:rPr>
          <w:rFonts w:ascii="Arial" w:hAnsi="Arial" w:cs="Arial"/>
          <w:color w:val="000000"/>
          <w:sz w:val="19"/>
          <w:szCs w:val="19"/>
        </w:rPr>
        <w:t>»Artículo 4o. Adiciónese el siguiente parágrafo al artículo 2o de la Ley 1150 de 2007.</w:t>
      </w:r>
    </w:p>
    <w:p w14:paraId="1ED59F0C" w14:textId="77777777" w:rsidR="004F0480" w:rsidRPr="00503226" w:rsidRDefault="004F0480" w:rsidP="004F0480">
      <w:pPr>
        <w:pStyle w:val="Textonotapie"/>
        <w:ind w:firstLine="708"/>
        <w:jc w:val="both"/>
        <w:rPr>
          <w:rFonts w:ascii="Arial" w:hAnsi="Arial" w:cs="Arial"/>
          <w:color w:val="000000"/>
          <w:sz w:val="19"/>
          <w:szCs w:val="19"/>
        </w:rPr>
      </w:pPr>
      <w:r w:rsidRPr="00503226">
        <w:rPr>
          <w:rFonts w:ascii="Arial" w:hAnsi="Arial" w:cs="Arial"/>
          <w:color w:val="000000"/>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04435618" w14:textId="77777777" w:rsidR="004F0480" w:rsidRPr="00503226" w:rsidRDefault="004F0480" w:rsidP="004F0480">
      <w:pPr>
        <w:pStyle w:val="Textonotapie"/>
        <w:ind w:firstLine="708"/>
        <w:jc w:val="both"/>
        <w:rPr>
          <w:rFonts w:ascii="Arial" w:hAnsi="Arial" w:cs="Arial"/>
          <w:color w:val="000000"/>
          <w:sz w:val="19"/>
          <w:szCs w:val="19"/>
        </w:rPr>
      </w:pPr>
      <w:r w:rsidRPr="00503226">
        <w:rPr>
          <w:rFonts w:ascii="Arial" w:hAnsi="Arial" w:cs="Arial"/>
          <w:color w:val="000000"/>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264A9C2E" w14:textId="77777777" w:rsidR="004F0480" w:rsidRPr="00503226" w:rsidRDefault="004F0480" w:rsidP="004F0480">
      <w:pPr>
        <w:pStyle w:val="Textonotapie"/>
        <w:ind w:firstLine="708"/>
        <w:jc w:val="both"/>
        <w:rPr>
          <w:rFonts w:ascii="Arial" w:hAnsi="Arial" w:cs="Arial"/>
          <w:color w:val="000000"/>
          <w:sz w:val="19"/>
          <w:szCs w:val="19"/>
        </w:rPr>
      </w:pPr>
      <w:r w:rsidRPr="00503226">
        <w:rPr>
          <w:rFonts w:ascii="Arial" w:hAnsi="Arial" w:cs="Arial"/>
          <w:color w:val="000000"/>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175652CD" w14:textId="77777777" w:rsidR="004F0480" w:rsidRPr="00503226" w:rsidRDefault="004F0480" w:rsidP="004F0480">
      <w:pPr>
        <w:pStyle w:val="Textonotapie"/>
        <w:ind w:firstLine="708"/>
        <w:jc w:val="both"/>
        <w:rPr>
          <w:rFonts w:ascii="Arial" w:hAnsi="Arial" w:cs="Arial"/>
          <w:color w:val="000000"/>
          <w:sz w:val="19"/>
          <w:szCs w:val="19"/>
        </w:rPr>
      </w:pPr>
      <w:r w:rsidRPr="00503226">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65B33DE4" w14:textId="77777777" w:rsidR="004F0480" w:rsidRPr="00503226" w:rsidRDefault="004F0480" w:rsidP="004F0480">
      <w:pPr>
        <w:pStyle w:val="Textonotapie"/>
        <w:ind w:firstLine="708"/>
        <w:jc w:val="both"/>
        <w:rPr>
          <w:rFonts w:ascii="Arial" w:hAnsi="Arial" w:cs="Arial"/>
          <w:color w:val="000000"/>
          <w:sz w:val="19"/>
          <w:szCs w:val="19"/>
          <w:lang w:val="es-CO"/>
        </w:rPr>
      </w:pPr>
      <w:r w:rsidRPr="00503226">
        <w:rPr>
          <w:rFonts w:ascii="Arial" w:hAnsi="Arial" w:cs="Arial"/>
          <w:color w:val="000000"/>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5">
    <w:p w14:paraId="285A2F3E" w14:textId="77777777" w:rsidR="004F0480" w:rsidRPr="00730F7B" w:rsidRDefault="004F0480" w:rsidP="004F0480">
      <w:pPr>
        <w:pStyle w:val="Textonotapie"/>
        <w:spacing w:after="120"/>
        <w:ind w:firstLine="709"/>
        <w:jc w:val="both"/>
        <w:rPr>
          <w:rFonts w:ascii="Arial" w:hAnsi="Arial" w:cs="Arial"/>
          <w:sz w:val="19"/>
          <w:szCs w:val="19"/>
          <w:lang w:val="es-ES"/>
        </w:rPr>
      </w:pPr>
      <w:r w:rsidRPr="00730F7B">
        <w:rPr>
          <w:rStyle w:val="Refdenotaalpie"/>
          <w:rFonts w:ascii="Arial" w:hAnsi="Arial" w:cs="Arial"/>
          <w:sz w:val="19"/>
          <w:szCs w:val="19"/>
        </w:rPr>
        <w:footnoteRef/>
      </w:r>
      <w:r w:rsidRPr="00730F7B">
        <w:rPr>
          <w:rFonts w:ascii="Arial" w:hAnsi="Arial" w:cs="Arial"/>
          <w:sz w:val="19"/>
          <w:szCs w:val="19"/>
        </w:rPr>
        <w:t xml:space="preserve"> </w:t>
      </w:r>
      <w:r w:rsidRPr="00730F7B">
        <w:rPr>
          <w:rFonts w:ascii="Arial" w:hAnsi="Arial" w:cs="Arial"/>
          <w:sz w:val="19"/>
          <w:szCs w:val="19"/>
          <w:lang w:val="es-ES"/>
        </w:rPr>
        <w:t>En cuanto a las resoluciones vigentes, dicha regla se observa en el artículo 3 de las Resoluciones 240, 241, 248, 249, 256 y 269 de 2020 y Resoluciones 193, 219</w:t>
      </w:r>
      <w:r>
        <w:rPr>
          <w:rFonts w:ascii="Arial" w:hAnsi="Arial" w:cs="Arial"/>
          <w:sz w:val="19"/>
          <w:szCs w:val="19"/>
          <w:lang w:val="es-ES"/>
        </w:rPr>
        <w:t xml:space="preserve">, </w:t>
      </w:r>
      <w:r w:rsidRPr="00730F7B">
        <w:rPr>
          <w:rFonts w:ascii="Arial" w:hAnsi="Arial" w:cs="Arial"/>
          <w:sz w:val="19"/>
          <w:szCs w:val="19"/>
          <w:lang w:val="es-ES"/>
        </w:rPr>
        <w:t xml:space="preserve">2020 </w:t>
      </w:r>
      <w:r>
        <w:rPr>
          <w:rFonts w:ascii="Arial" w:hAnsi="Arial" w:cs="Arial"/>
          <w:sz w:val="19"/>
          <w:szCs w:val="19"/>
          <w:lang w:val="es-ES"/>
        </w:rPr>
        <w:t xml:space="preserve">y 392 </w:t>
      </w:r>
      <w:r w:rsidRPr="00730F7B">
        <w:rPr>
          <w:rFonts w:ascii="Arial" w:hAnsi="Arial" w:cs="Arial"/>
          <w:sz w:val="19"/>
          <w:szCs w:val="19"/>
          <w:lang w:val="es-ES"/>
        </w:rPr>
        <w:t>de 2021. Así como en el artículo 2 de la Resolución 094 de 2020.</w:t>
      </w:r>
    </w:p>
  </w:footnote>
  <w:footnote w:id="6">
    <w:p w14:paraId="65107CD1" w14:textId="77777777" w:rsidR="00134925" w:rsidRPr="00C76289" w:rsidRDefault="00134925" w:rsidP="00134925">
      <w:pPr>
        <w:pStyle w:val="Textonotapie"/>
        <w:ind w:firstLine="708"/>
        <w:jc w:val="both"/>
        <w:rPr>
          <w:rFonts w:ascii="Arial" w:hAnsi="Arial" w:cs="Arial"/>
          <w:sz w:val="19"/>
          <w:szCs w:val="19"/>
        </w:rPr>
      </w:pPr>
      <w:r w:rsidRPr="00C76289">
        <w:rPr>
          <w:rStyle w:val="Refdenotaalpie"/>
          <w:rFonts w:ascii="Arial" w:hAnsi="Arial" w:cs="Arial"/>
          <w:sz w:val="19"/>
          <w:szCs w:val="19"/>
        </w:rPr>
        <w:footnoteRef/>
      </w:r>
      <w:r w:rsidRPr="00C76289">
        <w:rPr>
          <w:rFonts w:ascii="Arial" w:hAnsi="Arial" w:cs="Arial"/>
          <w:sz w:val="19"/>
          <w:szCs w:val="19"/>
        </w:rPr>
        <w:t xml:space="preserve"> </w:t>
      </w:r>
      <w:r w:rsidRPr="00C76289">
        <w:rPr>
          <w:rFonts w:ascii="Arial" w:hAnsi="Arial" w:cs="Arial"/>
          <w:sz w:val="19"/>
          <w:szCs w:val="19"/>
          <w:lang w:val="es-ES"/>
        </w:rPr>
        <w:t xml:space="preserve">Gaceta del Congreso. Cámara de Representantes. Año X – No. 642, 11 de diciembre de 2001. Disponible en: </w:t>
      </w:r>
      <w:hyperlink r:id="rId1" w:history="1">
        <w:r w:rsidRPr="00C76289">
          <w:rPr>
            <w:rFonts w:ascii="Arial" w:hAnsi="Arial" w:cs="Arial"/>
            <w:sz w:val="19"/>
            <w:szCs w:val="19"/>
            <w:lang w:val="es-ES"/>
          </w:rPr>
          <w:t>GACETAS DEL CONGRESO (imprenta.gov.co)</w:t>
        </w:r>
      </w:hyperlink>
    </w:p>
  </w:footnote>
  <w:footnote w:id="7">
    <w:p w14:paraId="49DF1EE4" w14:textId="77777777" w:rsidR="00B060E6" w:rsidRPr="00C76289" w:rsidRDefault="00B060E6" w:rsidP="00B060E6">
      <w:pPr>
        <w:pStyle w:val="NormalWeb"/>
        <w:shd w:val="clear" w:color="auto" w:fill="FFFFFF"/>
        <w:spacing w:after="0"/>
        <w:ind w:firstLine="708"/>
        <w:jc w:val="both"/>
        <w:rPr>
          <w:rFonts w:ascii="Arial" w:hAnsi="Arial" w:cs="Arial"/>
          <w:sz w:val="19"/>
          <w:szCs w:val="19"/>
        </w:rPr>
      </w:pPr>
      <w:r w:rsidRPr="00C76289">
        <w:rPr>
          <w:rStyle w:val="Refdenotaalpie"/>
          <w:rFonts w:ascii="Arial" w:hAnsi="Arial" w:cs="Arial"/>
          <w:sz w:val="19"/>
          <w:szCs w:val="19"/>
        </w:rPr>
        <w:footnoteRef/>
      </w:r>
      <w:r w:rsidRPr="00C76289">
        <w:rPr>
          <w:rFonts w:ascii="Arial" w:hAnsi="Arial" w:cs="Arial"/>
          <w:sz w:val="19"/>
          <w:szCs w:val="19"/>
        </w:rPr>
        <w:t xml:space="preserve"> Decreto 1082 de 2015: «Artículo </w:t>
      </w:r>
      <w:bookmarkStart w:id="2" w:name="2.2.1.2.4.1.3"/>
      <w:bookmarkEnd w:id="2"/>
      <w:r w:rsidRPr="00C76289">
        <w:rPr>
          <w:rFonts w:ascii="Arial" w:hAnsi="Arial" w:cs="Arial"/>
          <w:sz w:val="19"/>
          <w:szCs w:val="19"/>
        </w:rPr>
        <w:t>2.2.1.2.4.1.3.</w:t>
      </w:r>
      <w:r w:rsidRPr="00C76289">
        <w:rPr>
          <w:rFonts w:ascii="Arial" w:hAnsi="Arial" w:cs="Arial"/>
          <w:i/>
          <w:iCs/>
          <w:sz w:val="19"/>
          <w:szCs w:val="19"/>
        </w:rPr>
        <w:t> </w:t>
      </w:r>
      <w:r w:rsidRPr="00C76289">
        <w:rPr>
          <w:rFonts w:ascii="Arial" w:hAnsi="Arial" w:cs="Arial"/>
          <w:sz w:val="19"/>
          <w:szCs w:val="19"/>
        </w:rPr>
        <w:t>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(e) a los servicios prestados por oferentes miembros de la Comunidad Andina de Naciones teniendo en cuenta la regulación andina aplicable a la materia.</w:t>
      </w:r>
    </w:p>
    <w:p w14:paraId="0FB0F7EF" w14:textId="77777777" w:rsidR="00B060E6" w:rsidRPr="00C76289" w:rsidRDefault="00B060E6" w:rsidP="00B060E6">
      <w:pPr>
        <w:shd w:val="clear" w:color="auto" w:fill="FFFFFF"/>
        <w:ind w:firstLine="708"/>
        <w:jc w:val="both"/>
        <w:rPr>
          <w:rFonts w:ascii="Arial" w:eastAsia="Times New Roman" w:hAnsi="Arial" w:cs="Arial"/>
          <w:sz w:val="19"/>
          <w:szCs w:val="19"/>
          <w:lang w:eastAsia="es-CO"/>
        </w:rPr>
      </w:pPr>
      <w:r w:rsidRPr="00C76289">
        <w:rPr>
          <w:rFonts w:ascii="Arial" w:eastAsia="Times New Roman" w:hAnsi="Arial" w:cs="Arial"/>
          <w:sz w:val="19"/>
          <w:szCs w:val="19"/>
          <w:lang w:eastAsia="es-CO"/>
        </w:rPr>
        <w:t>»El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13243CE8" w14:textId="77777777" w:rsidR="00B060E6" w:rsidRPr="00C76289" w:rsidRDefault="00B060E6" w:rsidP="00B060E6">
      <w:pPr>
        <w:shd w:val="clear" w:color="auto" w:fill="FFFFFF"/>
        <w:ind w:firstLine="708"/>
        <w:jc w:val="both"/>
        <w:rPr>
          <w:rFonts w:ascii="Arial" w:eastAsia="Times New Roman" w:hAnsi="Arial" w:cs="Arial"/>
          <w:sz w:val="19"/>
          <w:szCs w:val="19"/>
          <w:lang w:eastAsia="es-CO"/>
        </w:rPr>
      </w:pPr>
      <w:r w:rsidRPr="00C76289">
        <w:rPr>
          <w:rFonts w:ascii="Arial" w:eastAsia="Times New Roman" w:hAnsi="Arial" w:cs="Arial"/>
          <w:sz w:val="19"/>
          <w:szCs w:val="19"/>
          <w:lang w:eastAsia="es-CO"/>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14:paraId="704142C8" w14:textId="77777777" w:rsidR="00B060E6" w:rsidRPr="00C76289" w:rsidRDefault="00B060E6" w:rsidP="00B060E6">
      <w:pPr>
        <w:pStyle w:val="Textonotapie"/>
        <w:jc w:val="both"/>
        <w:rPr>
          <w:rFonts w:ascii="Arial" w:hAnsi="Arial" w:cs="Arial"/>
          <w:sz w:val="19"/>
          <w:szCs w:val="19"/>
          <w:lang w:val="es-CO"/>
        </w:rPr>
      </w:pPr>
    </w:p>
  </w:footnote>
  <w:footnote w:id="8">
    <w:p w14:paraId="0D3C7A78" w14:textId="77777777" w:rsidR="00431D13" w:rsidRPr="00431D13" w:rsidRDefault="00431D13" w:rsidP="00431D13">
      <w:pPr>
        <w:pStyle w:val="Car1"/>
        <w:ind w:firstLine="709"/>
        <w:jc w:val="both"/>
        <w:rPr>
          <w:rFonts w:ascii="Arial" w:hAnsi="Arial" w:cs="Arial"/>
          <w:color w:val="000000"/>
          <w:sz w:val="19"/>
          <w:szCs w:val="19"/>
          <w:lang w:val="es-ES"/>
        </w:rPr>
      </w:pPr>
      <w:r w:rsidRPr="00431D13">
        <w:rPr>
          <w:rStyle w:val="Refdenotaalpie"/>
          <w:rFonts w:ascii="Arial" w:hAnsi="Arial" w:cs="Arial"/>
          <w:color w:val="000000"/>
          <w:sz w:val="19"/>
          <w:szCs w:val="19"/>
        </w:rPr>
        <w:footnoteRef/>
      </w:r>
      <w:r w:rsidRPr="00431D13">
        <w:rPr>
          <w:rFonts w:ascii="Arial" w:hAnsi="Arial" w:cs="Arial"/>
          <w:color w:val="000000"/>
          <w:sz w:val="19"/>
          <w:szCs w:val="19"/>
        </w:rPr>
        <w:t xml:space="preserve"> Según la doctrina, este </w:t>
      </w:r>
      <w:r w:rsidRPr="00431D13">
        <w:rPr>
          <w:rFonts w:ascii="Arial" w:hAnsi="Arial" w:cs="Arial"/>
          <w:color w:val="000000"/>
          <w:sz w:val="19"/>
          <w:szCs w:val="19"/>
          <w:lang w:val="es-ES"/>
        </w:rPr>
        <w:t xml:space="preserve">principio se compone a su vez de «tres subprincipios, etapas o mandatos parciales: el </w:t>
      </w:r>
      <w:r w:rsidRPr="00431D13">
        <w:rPr>
          <w:rFonts w:ascii="Arial" w:hAnsi="Arial" w:cs="Arial"/>
          <w:i/>
          <w:iCs/>
          <w:color w:val="000000"/>
          <w:sz w:val="19"/>
          <w:szCs w:val="19"/>
          <w:lang w:val="es-ES"/>
        </w:rPr>
        <w:t>subprincipio o mandato de adecuación, de idoneidad o de congruencia</w:t>
      </w:r>
      <w:r w:rsidRPr="00431D13">
        <w:rPr>
          <w:rFonts w:ascii="Arial" w:hAnsi="Arial" w:cs="Arial"/>
          <w:color w:val="000000"/>
          <w:sz w:val="19"/>
          <w:szCs w:val="19"/>
          <w:lang w:val="es-ES"/>
        </w:rPr>
        <w:t xml:space="preserve">,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w:t>
      </w:r>
      <w:r w:rsidRPr="00431D13">
        <w:rPr>
          <w:rFonts w:ascii="Arial" w:hAnsi="Arial" w:cs="Arial"/>
          <w:i/>
          <w:iCs/>
          <w:color w:val="000000"/>
          <w:sz w:val="19"/>
          <w:szCs w:val="19"/>
          <w:lang w:val="es-ES"/>
        </w:rPr>
        <w:t>subprincipio o mandato de necesidad, intervención mínima o menor lesividad</w:t>
      </w:r>
      <w:r w:rsidRPr="00431D13">
        <w:rPr>
          <w:rFonts w:ascii="Arial" w:hAnsi="Arial" w:cs="Arial"/>
          <w:color w:val="000000"/>
          <w:sz w:val="19"/>
          <w:szCs w:val="19"/>
          <w:lang w:val="es-ES"/>
        </w:rPr>
        <w:t xml:space="preserve">,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w:t>
      </w:r>
      <w:r w:rsidRPr="00431D13">
        <w:rPr>
          <w:rFonts w:ascii="Arial" w:hAnsi="Arial" w:cs="Arial"/>
          <w:i/>
          <w:iCs/>
          <w:color w:val="000000"/>
          <w:sz w:val="19"/>
          <w:szCs w:val="19"/>
          <w:lang w:val="es-ES"/>
        </w:rPr>
        <w:t>el subprincipio o mandato de proporcionalidad en sentido estricto</w:t>
      </w:r>
      <w:r w:rsidRPr="00431D13">
        <w:rPr>
          <w:rFonts w:ascii="Arial" w:hAnsi="Arial" w:cs="Arial"/>
          <w:color w:val="000000"/>
          <w:sz w:val="19"/>
          <w:szCs w:val="19"/>
          <w:lang w:val="es-ES"/>
        </w:rPr>
        <w:t>, de acuerdo con el cual debe producirse un equilibrio entre el perjuicio irrogado al derecho o interés que se limita y el beneficio que de ello se deriva para el bien jurídico que la medida prohíja» (MARÍN HERNÁNDEZ, Hugo Alberto. El principio de proporcionalidad en el derecho administrativo colombiano. Bogotá: Universidad Externado de Colombia, 2018. p. 34).</w:t>
      </w:r>
    </w:p>
  </w:footnote>
  <w:footnote w:id="9">
    <w:p w14:paraId="4843FCDD" w14:textId="761E23A5" w:rsidR="00A46A5E" w:rsidRPr="002204D9" w:rsidDel="007628C9" w:rsidRDefault="00A46A5E" w:rsidP="002204D9">
      <w:pPr>
        <w:tabs>
          <w:tab w:val="left" w:pos="-142"/>
        </w:tabs>
        <w:autoSpaceDE w:val="0"/>
        <w:autoSpaceDN w:val="0"/>
        <w:adjustRightInd w:val="0"/>
        <w:spacing w:before="120" w:after="120" w:line="240" w:lineRule="auto"/>
        <w:outlineLvl w:val="0"/>
        <w:rPr>
          <w:rFonts w:ascii="Arial" w:eastAsia="Times New Roman" w:hAnsi="Arial" w:cs="Arial"/>
          <w:sz w:val="19"/>
          <w:szCs w:val="19"/>
          <w:highlight w:val="lightGray"/>
          <w:lang w:eastAsia="es-ES"/>
        </w:rPr>
      </w:pPr>
      <w:r>
        <w:rPr>
          <w:rFonts w:ascii="Arial" w:hAnsi="Arial" w:cs="Arial"/>
          <w:sz w:val="19"/>
          <w:szCs w:val="19"/>
        </w:rPr>
        <w:tab/>
      </w:r>
      <w:r w:rsidRPr="002204D9">
        <w:rPr>
          <w:rStyle w:val="Refdenotaalpie"/>
          <w:rFonts w:ascii="Arial" w:hAnsi="Arial" w:cs="Arial"/>
          <w:sz w:val="19"/>
          <w:szCs w:val="19"/>
        </w:rPr>
        <w:footnoteRef/>
      </w:r>
      <w:r w:rsidRPr="002204D9">
        <w:rPr>
          <w:rFonts w:ascii="Arial" w:hAnsi="Arial" w:cs="Arial"/>
          <w:sz w:val="19"/>
          <w:szCs w:val="19"/>
        </w:rPr>
        <w:t xml:space="preserve"> </w:t>
      </w:r>
      <w:r w:rsidRPr="002204D9" w:rsidDel="007628C9">
        <w:rPr>
          <w:rFonts w:ascii="Arial" w:eastAsia="Times New Roman" w:hAnsi="Arial" w:cs="Arial"/>
          <w:b/>
          <w:bCs/>
          <w:sz w:val="19"/>
          <w:szCs w:val="19"/>
          <w:lang w:val="es-ES" w:eastAsia="es-ES"/>
        </w:rPr>
        <w:t>FORMATO 9A – PROMOCIÓN DE SERVICIOS NACIONALES O CON TRATO NACIONAL</w:t>
      </w:r>
    </w:p>
    <w:p w14:paraId="3944170B" w14:textId="22D231AF" w:rsidR="00A46A5E" w:rsidRPr="002204D9" w:rsidRDefault="00A46A5E" w:rsidP="002204D9">
      <w:pPr>
        <w:spacing w:after="0" w:line="240" w:lineRule="auto"/>
        <w:ind w:firstLine="707"/>
        <w:jc w:val="both"/>
        <w:rPr>
          <w:rFonts w:ascii="Arial" w:hAnsi="Arial" w:cs="Arial"/>
          <w:sz w:val="19"/>
          <w:szCs w:val="19"/>
        </w:rPr>
      </w:pPr>
      <w:r w:rsidRPr="002204D9">
        <w:rPr>
          <w:rFonts w:ascii="Arial" w:hAnsi="Arial" w:cs="Arial"/>
          <w:sz w:val="19"/>
          <w:szCs w:val="19"/>
        </w:rPr>
        <w:t>[…]</w:t>
      </w:r>
    </w:p>
    <w:p w14:paraId="5BBF4C94" w14:textId="77777777" w:rsidR="00A46A5E" w:rsidRPr="002204D9" w:rsidRDefault="00A46A5E" w:rsidP="002204D9">
      <w:pPr>
        <w:spacing w:after="0" w:line="240" w:lineRule="auto"/>
        <w:jc w:val="both"/>
        <w:rPr>
          <w:rFonts w:ascii="Arial" w:hAnsi="Arial" w:cs="Arial"/>
          <w:sz w:val="19"/>
          <w:szCs w:val="19"/>
        </w:rPr>
      </w:pPr>
    </w:p>
    <w:p w14:paraId="2B880859" w14:textId="019C1431" w:rsidR="00A46A5E" w:rsidRPr="002204D9" w:rsidRDefault="00A46A5E" w:rsidP="002204D9">
      <w:pPr>
        <w:spacing w:after="0" w:line="240" w:lineRule="auto"/>
        <w:jc w:val="both"/>
        <w:rPr>
          <w:rFonts w:ascii="Arial" w:eastAsia="Times New Roman" w:hAnsi="Arial" w:cs="Arial"/>
          <w:color w:val="000000"/>
          <w:sz w:val="19"/>
          <w:szCs w:val="19"/>
          <w:lang w:eastAsia="es-ES"/>
        </w:rPr>
      </w:pPr>
      <w:r w:rsidRPr="002204D9">
        <w:rPr>
          <w:rFonts w:ascii="Arial" w:eastAsia="Times New Roman" w:hAnsi="Arial" w:cs="Arial"/>
          <w:color w:val="000000"/>
          <w:sz w:val="19"/>
          <w:szCs w:val="19"/>
          <w:highlight w:val="lightGray"/>
          <w:lang w:eastAsia="es-ES"/>
        </w:rPr>
        <w:t>[</w:t>
      </w:r>
      <w:r w:rsidRPr="002204D9">
        <w:rPr>
          <w:rFonts w:ascii="Arial" w:eastAsia="Times New Roman" w:hAnsi="Arial" w:cs="Arial"/>
          <w:b/>
          <w:bCs/>
          <w:color w:val="000000"/>
          <w:sz w:val="19"/>
          <w:szCs w:val="19"/>
          <w:highlight w:val="lightGray"/>
          <w:lang w:eastAsia="es-ES"/>
        </w:rPr>
        <w:t>Opción 3.</w:t>
      </w:r>
      <w:r w:rsidRPr="002204D9">
        <w:rPr>
          <w:rFonts w:ascii="Arial" w:eastAsia="Times New Roman" w:hAnsi="Arial" w:cs="Arial"/>
          <w:color w:val="000000"/>
          <w:sz w:val="19"/>
          <w:szCs w:val="19"/>
          <w:highlight w:val="lightGray"/>
          <w:lang w:eastAsia="es-ES"/>
        </w:rPr>
        <w:t xml:space="preserve"> Esta opción ÚNICAMENTE puede ser diligenciada por los proponentes extranjeros con derecho a trato nacional o Proponentes Plurales conformados por estos, que manifiesten su voluntad de acogerse a la regla de origen de su país]</w:t>
      </w:r>
      <w:r w:rsidRPr="002204D9">
        <w:rPr>
          <w:rFonts w:ascii="Arial" w:eastAsia="Times New Roman" w:hAnsi="Arial" w:cs="Arial"/>
          <w:color w:val="000000"/>
          <w:sz w:val="19"/>
          <w:szCs w:val="19"/>
          <w:lang w:eastAsia="es-ES"/>
        </w:rPr>
        <w:t xml:space="preserve"> </w:t>
      </w:r>
    </w:p>
    <w:p w14:paraId="1CB5170D" w14:textId="77777777" w:rsidR="00A46A5E" w:rsidRPr="002204D9" w:rsidRDefault="00A46A5E" w:rsidP="002204D9">
      <w:pPr>
        <w:spacing w:before="120" w:after="120" w:line="240" w:lineRule="auto"/>
        <w:jc w:val="both"/>
        <w:rPr>
          <w:rFonts w:ascii="Arial" w:eastAsia="Times New Roman" w:hAnsi="Arial" w:cs="Arial"/>
          <w:sz w:val="19"/>
          <w:szCs w:val="19"/>
          <w:lang w:eastAsia="es-ES" w:bidi="en-US"/>
        </w:rPr>
      </w:pPr>
      <w:r w:rsidRPr="002204D9">
        <w:rPr>
          <w:rFonts w:ascii="Arial" w:eastAsia="Times New Roman" w:hAnsi="Arial" w:cs="Arial"/>
          <w:sz w:val="19"/>
          <w:szCs w:val="19"/>
          <w:lang w:eastAsia="es-ES" w:bidi="en-US"/>
        </w:rPr>
        <w:t xml:space="preserve">Manifiesto que los servicios ofrecidos para la eventual ejecución del objeto contractual son originarios de </w:t>
      </w:r>
      <w:r w:rsidRPr="002204D9">
        <w:rPr>
          <w:rFonts w:ascii="Arial" w:eastAsia="Times New Roman" w:hAnsi="Arial" w:cs="Arial"/>
          <w:sz w:val="19"/>
          <w:szCs w:val="19"/>
          <w:highlight w:val="lightGray"/>
          <w:lang w:eastAsia="es-ES" w:bidi="en-US"/>
        </w:rPr>
        <w:t>[indicar nombre del país de origen de los servicios</w:t>
      </w:r>
      <w:r w:rsidRPr="002204D9">
        <w:rPr>
          <w:rFonts w:ascii="Arial" w:eastAsia="Times New Roman" w:hAnsi="Arial" w:cs="Arial"/>
          <w:sz w:val="19"/>
          <w:szCs w:val="19"/>
          <w:lang w:eastAsia="es-ES" w:bidi="en-US"/>
        </w:rPr>
        <w:t xml:space="preserve">], país con el que la República de Colombia </w:t>
      </w:r>
      <w:r w:rsidRPr="002204D9">
        <w:rPr>
          <w:rFonts w:ascii="Arial" w:eastAsia="Times New Roman" w:hAnsi="Arial" w:cs="Arial"/>
          <w:sz w:val="19"/>
          <w:szCs w:val="19"/>
          <w:highlight w:val="lightGray"/>
          <w:lang w:eastAsia="es-ES" w:bidi="en-US"/>
        </w:rPr>
        <w:t>[indicar si: A) tiene vigente un Acuerdo Comercial, en los términos del Capítulo VI del documento base; B) ha certificado Trato Nacional por reciprocidad; o C) se trata de un país miembro de la Comunidad Andina de Naciones]</w:t>
      </w:r>
      <w:r w:rsidRPr="002204D9">
        <w:rPr>
          <w:rFonts w:ascii="Arial" w:eastAsia="Times New Roman" w:hAnsi="Arial" w:cs="Arial"/>
          <w:sz w:val="19"/>
          <w:szCs w:val="19"/>
          <w:lang w:eastAsia="es-ES" w:bidi="en-US"/>
        </w:rPr>
        <w:t>.</w:t>
      </w:r>
    </w:p>
    <w:p w14:paraId="6A420398" w14:textId="77777777" w:rsidR="00A46A5E" w:rsidRPr="002204D9" w:rsidRDefault="00A46A5E" w:rsidP="002204D9">
      <w:pPr>
        <w:spacing w:after="0" w:line="240" w:lineRule="auto"/>
        <w:jc w:val="both"/>
        <w:rPr>
          <w:rFonts w:ascii="Arial" w:eastAsia="Times New Roman" w:hAnsi="Arial" w:cs="Arial"/>
          <w:sz w:val="19"/>
          <w:szCs w:val="19"/>
          <w:lang w:eastAsia="es-ES" w:bidi="en-US"/>
        </w:rPr>
      </w:pPr>
      <w:r w:rsidRPr="002204D9">
        <w:rPr>
          <w:rFonts w:ascii="Arial" w:eastAsia="Times New Roman" w:hAnsi="Arial" w:cs="Arial"/>
          <w:sz w:val="19"/>
          <w:szCs w:val="19"/>
          <w:lang w:eastAsia="es-ES" w:bidi="en-US"/>
        </w:rPr>
        <w:t xml:space="preserve">A efectos de demostrar el origen de los servicios, me acojo a la regla de origen prevista en </w:t>
      </w:r>
      <w:r w:rsidRPr="002204D9">
        <w:rPr>
          <w:rFonts w:ascii="Arial" w:eastAsia="Times New Roman" w:hAnsi="Arial" w:cs="Arial"/>
          <w:sz w:val="19"/>
          <w:szCs w:val="19"/>
          <w:highlight w:val="lightGray"/>
          <w:lang w:eastAsia="es-ES" w:bidi="en-US"/>
        </w:rPr>
        <w:t>[Indicar el instrumento jurídico o comercial en el que se regula la regla de origen del correspondiente país]</w:t>
      </w:r>
      <w:r w:rsidRPr="002204D9">
        <w:rPr>
          <w:rFonts w:ascii="Arial" w:eastAsia="Times New Roman" w:hAnsi="Arial" w:cs="Arial"/>
          <w:sz w:val="19"/>
          <w:szCs w:val="19"/>
          <w:lang w:eastAsia="es-ES" w:bidi="en-US"/>
        </w:rPr>
        <w:t xml:space="preserve">, para lo cual adjunto la siguiente documentación: </w:t>
      </w:r>
      <w:r w:rsidRPr="002204D9">
        <w:rPr>
          <w:rFonts w:ascii="Arial" w:eastAsia="Times New Roman" w:hAnsi="Arial" w:cs="Arial"/>
          <w:sz w:val="19"/>
          <w:szCs w:val="19"/>
          <w:highlight w:val="lightGray"/>
          <w:lang w:eastAsia="es-ES" w:bidi="en-US"/>
        </w:rPr>
        <w:t>[Señalar anexos al Formato 9, requeridos para demostrar el origen de los servicios en el correspondiente país]</w:t>
      </w:r>
      <w:r w:rsidRPr="002204D9">
        <w:rPr>
          <w:rFonts w:ascii="Arial" w:eastAsia="Times New Roman" w:hAnsi="Arial" w:cs="Arial"/>
          <w:sz w:val="19"/>
          <w:szCs w:val="19"/>
          <w:lang w:eastAsia="es-ES" w:bidi="en-US"/>
        </w:rPr>
        <w:t xml:space="preserve">. </w:t>
      </w:r>
    </w:p>
    <w:p w14:paraId="5B7E41CB" w14:textId="0190CF11" w:rsidR="00A46A5E" w:rsidRPr="002204D9" w:rsidRDefault="00A46A5E">
      <w:pPr>
        <w:pStyle w:val="Textonotapie"/>
        <w:rPr>
          <w:lang w:val="es-CO"/>
        </w:rPr>
      </w:pPr>
    </w:p>
  </w:footnote>
  <w:footnote w:id="10">
    <w:p w14:paraId="0A06E248" w14:textId="77777777" w:rsidR="006A3223" w:rsidRPr="002204D9" w:rsidRDefault="006A3223" w:rsidP="00BD4151">
      <w:pPr>
        <w:ind w:firstLine="708"/>
        <w:jc w:val="both"/>
        <w:rPr>
          <w:rFonts w:ascii="Arial" w:hAnsi="Arial" w:cs="Arial"/>
          <w:iCs/>
          <w:sz w:val="19"/>
          <w:szCs w:val="19"/>
        </w:rPr>
      </w:pPr>
      <w:r w:rsidRPr="002204D9">
        <w:rPr>
          <w:rStyle w:val="Refdenotaalpie"/>
          <w:rFonts w:ascii="Arial" w:hAnsi="Arial" w:cs="Arial"/>
          <w:sz w:val="19"/>
          <w:szCs w:val="19"/>
        </w:rPr>
        <w:footnoteRef/>
      </w:r>
      <w:r w:rsidRPr="002204D9">
        <w:rPr>
          <w:rFonts w:ascii="Arial" w:hAnsi="Arial" w:cs="Arial"/>
          <w:sz w:val="19"/>
          <w:szCs w:val="19"/>
        </w:rPr>
        <w:t xml:space="preserve"> </w:t>
      </w:r>
      <w:r w:rsidRPr="002204D9">
        <w:rPr>
          <w:rFonts w:ascii="Arial" w:hAnsi="Arial" w:cs="Arial"/>
          <w:iCs/>
          <w:sz w:val="19"/>
          <w:szCs w:val="19"/>
        </w:rPr>
        <w:t xml:space="preserve">Para asignar el puntaje deberán tenerse en cuenta las siguientes consideraciones: </w:t>
      </w:r>
    </w:p>
    <w:p w14:paraId="4523ACB0" w14:textId="77777777" w:rsidR="006A3223" w:rsidRPr="002204D9" w:rsidRDefault="006A3223" w:rsidP="002204D9">
      <w:pPr>
        <w:jc w:val="both"/>
        <w:rPr>
          <w:rFonts w:ascii="Arial" w:hAnsi="Arial" w:cs="Arial"/>
          <w:iCs/>
          <w:sz w:val="19"/>
          <w:szCs w:val="19"/>
        </w:rPr>
      </w:pPr>
      <w:r w:rsidRPr="002204D9">
        <w:rPr>
          <w:rFonts w:ascii="Arial" w:hAnsi="Arial" w:cs="Arial"/>
          <w:iCs/>
          <w:sz w:val="19"/>
          <w:szCs w:val="19"/>
        </w:rPr>
        <w:t>A. Los puntajes por apoyo a la industria nacional por promoción de Servicios Nacionales o con Trato Nacional solo se otorgarán a los Proponentes que se comprometan a adquirir uno, varios o todos los bienes nacionales relevantes para el cumplimiento del contrato. Para efectos de obtener el puntaje, la oferta respectiva no podrá someterse a condicionamientos.</w:t>
      </w:r>
    </w:p>
    <w:p w14:paraId="04A4AF30" w14:textId="77777777" w:rsidR="006A3223" w:rsidRPr="002204D9" w:rsidRDefault="006A3223" w:rsidP="002204D9">
      <w:pPr>
        <w:jc w:val="both"/>
        <w:rPr>
          <w:rFonts w:ascii="Arial" w:hAnsi="Arial" w:cs="Arial"/>
          <w:iCs/>
          <w:sz w:val="19"/>
          <w:szCs w:val="19"/>
        </w:rPr>
      </w:pPr>
      <w:r w:rsidRPr="002204D9">
        <w:rPr>
          <w:rFonts w:ascii="Arial" w:hAnsi="Arial" w:cs="Arial"/>
          <w:iCs/>
          <w:sz w:val="19"/>
          <w:szCs w:val="19"/>
        </w:rPr>
        <w:t xml:space="preserve">B. Cuando se determine la existencia de oferta de los bienes nacionales relevantes requeridos para el desarrollo del presente objeto contractual dentro del Registro de Productores de Bienes Nacionales, no se otorgará puntaje a los Proponentes que no ofrezcan alguno de los bienes mencionados. </w:t>
      </w:r>
      <w:r w:rsidRPr="002204D9">
        <w:rPr>
          <w:rFonts w:ascii="Arial" w:hAnsi="Arial" w:cs="Arial"/>
          <w:iCs/>
          <w:sz w:val="19"/>
          <w:szCs w:val="19"/>
        </w:rPr>
        <w:t>Esto aunque se comprometan a vincular al cumplimiento del objeto contractual un porcentaje de empleados o contratistas por prestación de servicios colombianos.</w:t>
      </w:r>
    </w:p>
    <w:p w14:paraId="3CE17059" w14:textId="77777777" w:rsidR="006A3223" w:rsidRPr="002204D9" w:rsidRDefault="006A3223" w:rsidP="002204D9">
      <w:pPr>
        <w:jc w:val="both"/>
        <w:rPr>
          <w:rFonts w:ascii="Arial" w:hAnsi="Arial" w:cs="Arial"/>
          <w:iCs/>
          <w:sz w:val="19"/>
          <w:szCs w:val="19"/>
        </w:rPr>
      </w:pPr>
      <w:r w:rsidRPr="002204D9">
        <w:rPr>
          <w:rFonts w:ascii="Arial" w:hAnsi="Arial" w:cs="Arial"/>
          <w:iCs/>
          <w:sz w:val="19"/>
          <w:szCs w:val="19"/>
        </w:rPr>
        <w:t>C. Cuando la Entidad Estatal haya determinado la existencia de más de un bien nacional relevante, se otorgará el puntaje de manera proporcional a la cantidad de bienes nacionales relevantes que los Proponentes se comprometan a incorporar durante la ejecución del contrato y dependiendo del porcentaje de participación de estos bienes, en los términos de la Matriz 4 – Bienes nacionales relevantes para la obra pública del sector transporte:</w:t>
      </w:r>
    </w:p>
    <w:p w14:paraId="2F9FCABE" w14:textId="77777777" w:rsidR="006A3223" w:rsidRPr="002204D9" w:rsidRDefault="006A3223" w:rsidP="002204D9">
      <w:pPr>
        <w:jc w:val="both"/>
        <w:rPr>
          <w:rFonts w:ascii="Arial" w:hAnsi="Arial" w:cs="Arial"/>
          <w:iCs/>
          <w:sz w:val="19"/>
          <w:szCs w:val="19"/>
        </w:rPr>
      </w:pPr>
      <w:r w:rsidRPr="002204D9">
        <w:rPr>
          <w:rFonts w:ascii="Arial" w:hAnsi="Arial" w:cs="Arial"/>
          <w:iCs/>
          <w:sz w:val="19"/>
          <w:szCs w:val="19"/>
        </w:rPr>
        <w:t xml:space="preserve">Para efectos de la asignación de puntaje, la Entidad Estatal definirá el puntaje de cada bien nacional relevante de acuerdo con su porcentaje de participación, para lo cual aplicará la siguiente fórmula. </w:t>
      </w:r>
    </w:p>
    <w:p w14:paraId="2031AEA5" w14:textId="77777777" w:rsidR="006A3223" w:rsidRPr="002204D9" w:rsidRDefault="006A3223" w:rsidP="002204D9">
      <w:pPr>
        <w:jc w:val="both"/>
        <w:rPr>
          <w:rFonts w:ascii="Arial" w:hAnsi="Arial" w:cs="Arial"/>
          <w:i/>
          <w:sz w:val="19"/>
          <w:szCs w:val="19"/>
        </w:rPr>
      </w:pPr>
      <m:oMathPara>
        <m:oMath>
          <m:r>
            <w:rPr>
              <w:rFonts w:ascii="Cambria Math" w:hAnsi="Cambria Math" w:cs="Arial"/>
              <w:sz w:val="19"/>
              <w:szCs w:val="19"/>
            </w:rPr>
            <m:t>Pi=</m:t>
          </m:r>
          <m:f>
            <m:fPr>
              <m:ctrlPr>
                <w:rPr>
                  <w:rFonts w:ascii="Cambria Math" w:hAnsi="Cambria Math" w:cs="Arial"/>
                  <w:i/>
                  <w:sz w:val="19"/>
                  <w:szCs w:val="19"/>
                </w:rPr>
              </m:ctrlPr>
            </m:fPr>
            <m:num>
              <m:sSub>
                <m:sSubPr>
                  <m:ctrlPr>
                    <w:rPr>
                      <w:rFonts w:ascii="Cambria Math" w:hAnsi="Cambria Math" w:cs="Arial"/>
                      <w:i/>
                      <w:sz w:val="19"/>
                      <w:szCs w:val="19"/>
                    </w:rPr>
                  </m:ctrlPr>
                </m:sSubPr>
                <m:e>
                  <m:r>
                    <w:rPr>
                      <w:rFonts w:ascii="Cambria Math" w:hAnsi="Cambria Math" w:cs="Arial"/>
                      <w:sz w:val="19"/>
                      <w:szCs w:val="19"/>
                    </w:rPr>
                    <m:t>Participación (%)</m:t>
                  </m:r>
                </m:e>
                <m:sub>
                  <m:r>
                    <w:rPr>
                      <w:rFonts w:ascii="Cambria Math" w:hAnsi="Cambria Math" w:cs="Arial"/>
                      <w:sz w:val="19"/>
                      <w:szCs w:val="19"/>
                    </w:rPr>
                    <m:t>i</m:t>
                  </m:r>
                </m:sub>
              </m:sSub>
              <m:r>
                <w:rPr>
                  <w:rFonts w:ascii="Cambria Math" w:hAnsi="Cambria Math" w:cs="Arial"/>
                  <w:sz w:val="19"/>
                  <w:szCs w:val="19"/>
                </w:rPr>
                <m:t>*(Pmax)</m:t>
              </m:r>
            </m:num>
            <m:den>
              <m:nary>
                <m:naryPr>
                  <m:chr m:val="∑"/>
                  <m:limLoc m:val="undOvr"/>
                  <m:ctrlPr>
                    <w:rPr>
                      <w:rFonts w:ascii="Cambria Math" w:hAnsi="Cambria Math" w:cs="Arial"/>
                      <w:i/>
                      <w:sz w:val="19"/>
                      <w:szCs w:val="19"/>
                    </w:rPr>
                  </m:ctrlPr>
                </m:naryPr>
                <m:sub>
                  <m:r>
                    <w:rPr>
                      <w:rFonts w:ascii="Cambria Math" w:hAnsi="Cambria Math" w:cs="Arial"/>
                      <w:sz w:val="19"/>
                      <w:szCs w:val="19"/>
                    </w:rPr>
                    <m:t>i</m:t>
                  </m:r>
                </m:sub>
                <m:sup>
                  <m:r>
                    <w:rPr>
                      <w:rFonts w:ascii="Cambria Math" w:hAnsi="Cambria Math" w:cs="Arial"/>
                      <w:sz w:val="19"/>
                      <w:szCs w:val="19"/>
                    </w:rPr>
                    <m:t>n</m:t>
                  </m:r>
                </m:sup>
                <m:e>
                  <m:r>
                    <w:rPr>
                      <w:rFonts w:ascii="Cambria Math" w:hAnsi="Cambria Math" w:cs="Arial"/>
                      <w:sz w:val="19"/>
                      <w:szCs w:val="19"/>
                    </w:rPr>
                    <m:t>Participación (%)</m:t>
                  </m:r>
                </m:e>
              </m:nary>
            </m:den>
          </m:f>
        </m:oMath>
      </m:oMathPara>
    </w:p>
    <w:p w14:paraId="2D05BEB1" w14:textId="77777777" w:rsidR="006A3223" w:rsidRPr="002204D9" w:rsidRDefault="006A3223" w:rsidP="002204D9">
      <w:pPr>
        <w:jc w:val="both"/>
        <w:rPr>
          <w:rFonts w:ascii="Arial" w:hAnsi="Arial" w:cs="Arial"/>
          <w:iCs/>
          <w:sz w:val="19"/>
          <w:szCs w:val="19"/>
        </w:rPr>
      </w:pPr>
      <w:r w:rsidRPr="002204D9">
        <w:rPr>
          <w:rFonts w:ascii="Arial" w:hAnsi="Arial" w:cs="Arial"/>
          <w:iCs/>
          <w:sz w:val="19"/>
          <w:szCs w:val="19"/>
        </w:rPr>
        <w:t>Donde:</w:t>
      </w:r>
    </w:p>
    <w:p w14:paraId="50716278" w14:textId="77777777" w:rsidR="006A3223" w:rsidRPr="002204D9" w:rsidRDefault="006A3223" w:rsidP="002204D9">
      <w:pPr>
        <w:jc w:val="both"/>
        <w:rPr>
          <w:rFonts w:ascii="Arial" w:hAnsi="Arial" w:cs="Arial"/>
          <w:iCs/>
          <w:sz w:val="19"/>
          <w:szCs w:val="19"/>
        </w:rPr>
      </w:pPr>
      <w:r w:rsidRPr="002204D9">
        <w:rPr>
          <w:rFonts w:ascii="Arial" w:hAnsi="Arial" w:cs="Arial"/>
          <w:iCs/>
          <w:sz w:val="19"/>
          <w:szCs w:val="19"/>
        </w:rPr>
        <w:t>Pi: Puntaje de cada bien relevante</w:t>
      </w:r>
    </w:p>
    <w:p w14:paraId="28DB6B17" w14:textId="77777777" w:rsidR="006A3223" w:rsidRPr="002204D9" w:rsidRDefault="006A3223" w:rsidP="002204D9">
      <w:pPr>
        <w:jc w:val="both"/>
        <w:rPr>
          <w:rFonts w:ascii="Arial" w:hAnsi="Arial" w:cs="Arial"/>
          <w:iCs/>
          <w:sz w:val="19"/>
          <w:szCs w:val="19"/>
        </w:rPr>
      </w:pPr>
      <w:r w:rsidRPr="002204D9">
        <w:rPr>
          <w:rFonts w:ascii="Arial" w:hAnsi="Arial" w:cs="Arial"/>
          <w:iCs/>
          <w:sz w:val="19"/>
          <w:szCs w:val="19"/>
        </w:rPr>
        <w:t xml:space="preserve">i: Bien o bienes nacionales relevantes </w:t>
      </w:r>
    </w:p>
    <w:p w14:paraId="04A80E80" w14:textId="77777777" w:rsidR="006A3223" w:rsidRPr="002204D9" w:rsidRDefault="006A3223" w:rsidP="002204D9">
      <w:pPr>
        <w:jc w:val="both"/>
        <w:rPr>
          <w:rFonts w:ascii="Arial" w:hAnsi="Arial" w:cs="Arial"/>
          <w:iCs/>
          <w:sz w:val="19"/>
          <w:szCs w:val="19"/>
        </w:rPr>
      </w:pPr>
      <w:r w:rsidRPr="002204D9">
        <w:rPr>
          <w:rFonts w:ascii="Arial" w:hAnsi="Arial" w:cs="Arial"/>
          <w:iCs/>
          <w:sz w:val="19"/>
          <w:szCs w:val="19"/>
        </w:rPr>
        <w:t xml:space="preserve">n: Número de bienes nacionales relevantes </w:t>
      </w:r>
    </w:p>
    <w:p w14:paraId="3E41005E" w14:textId="77777777" w:rsidR="006A3223" w:rsidRPr="002204D9" w:rsidRDefault="006A3223" w:rsidP="002204D9">
      <w:pPr>
        <w:jc w:val="both"/>
        <w:rPr>
          <w:rFonts w:ascii="Arial" w:hAnsi="Arial" w:cs="Arial"/>
          <w:iCs/>
          <w:sz w:val="19"/>
          <w:szCs w:val="19"/>
        </w:rPr>
      </w:pPr>
      <w:r w:rsidRPr="002204D9">
        <w:rPr>
          <w:rFonts w:ascii="Arial" w:hAnsi="Arial" w:cs="Arial"/>
          <w:iCs/>
          <w:sz w:val="19"/>
          <w:szCs w:val="19"/>
        </w:rPr>
        <w:t>Participación (%)i : Porcentaje de participación del bien</w:t>
      </w:r>
    </w:p>
    <w:p w14:paraId="5EB7F502" w14:textId="77777777" w:rsidR="006A3223" w:rsidRPr="002204D9" w:rsidRDefault="006A3223" w:rsidP="002204D9">
      <w:pPr>
        <w:jc w:val="both"/>
        <w:rPr>
          <w:rFonts w:ascii="Arial" w:hAnsi="Arial" w:cs="Arial"/>
          <w:iCs/>
          <w:sz w:val="19"/>
          <w:szCs w:val="19"/>
        </w:rPr>
      </w:pPr>
      <w:r w:rsidRPr="002204D9">
        <w:rPr>
          <w:rFonts w:ascii="Arial" w:hAnsi="Arial" w:cs="Arial"/>
          <w:iCs/>
          <w:sz w:val="19"/>
          <w:szCs w:val="19"/>
        </w:rPr>
        <w:t xml:space="preserve">Pmax =Puntaje máximo para el factor de evaluación de apoyo a la industria nacional (20 puntos) </w:t>
      </w:r>
    </w:p>
    <w:p w14:paraId="523F25EB" w14:textId="77777777" w:rsidR="006A3223" w:rsidRPr="002204D9" w:rsidRDefault="00D97192" w:rsidP="002204D9">
      <w:pPr>
        <w:jc w:val="both"/>
        <w:rPr>
          <w:rFonts w:ascii="Arial" w:hAnsi="Arial" w:cs="Arial"/>
          <w:iCs/>
          <w:sz w:val="19"/>
          <w:szCs w:val="19"/>
        </w:rPr>
      </w:pPr>
      <m:oMath>
        <m:nary>
          <m:naryPr>
            <m:chr m:val="∑"/>
            <m:limLoc m:val="undOvr"/>
            <m:ctrlPr>
              <w:rPr>
                <w:rFonts w:ascii="Cambria Math" w:hAnsi="Cambria Math" w:cs="Arial"/>
                <w:iCs/>
                <w:sz w:val="19"/>
                <w:szCs w:val="19"/>
              </w:rPr>
            </m:ctrlPr>
          </m:naryPr>
          <m:sub>
            <m:r>
              <m:rPr>
                <m:sty m:val="p"/>
              </m:rPr>
              <w:rPr>
                <w:rFonts w:ascii="Cambria Math" w:hAnsi="Cambria Math" w:cs="Arial"/>
                <w:sz w:val="19"/>
                <w:szCs w:val="19"/>
              </w:rPr>
              <m:t>i</m:t>
            </m:r>
          </m:sub>
          <m:sup>
            <m:r>
              <m:rPr>
                <m:sty m:val="p"/>
              </m:rPr>
              <w:rPr>
                <w:rFonts w:ascii="Cambria Math" w:hAnsi="Cambria Math" w:cs="Arial"/>
                <w:sz w:val="19"/>
                <w:szCs w:val="19"/>
              </w:rPr>
              <m:t>n</m:t>
            </m:r>
          </m:sup>
          <m:e>
            <m:r>
              <m:rPr>
                <m:sty m:val="p"/>
              </m:rPr>
              <w:rPr>
                <w:rFonts w:ascii="Cambria Math" w:hAnsi="Cambria Math" w:cs="Arial"/>
                <w:sz w:val="19"/>
                <w:szCs w:val="19"/>
              </w:rPr>
              <m:t>Participación (%)</m:t>
            </m:r>
          </m:e>
        </m:nary>
      </m:oMath>
      <w:r w:rsidR="006A3223" w:rsidRPr="002204D9">
        <w:rPr>
          <w:rFonts w:ascii="Arial" w:hAnsi="Arial" w:cs="Arial"/>
          <w:iCs/>
          <w:sz w:val="19"/>
          <w:szCs w:val="19"/>
        </w:rPr>
        <w:t xml:space="preserve">: Sumatoria de los porcentajes de participación de los bienes </w:t>
      </w:r>
    </w:p>
    <w:p w14:paraId="69C29120" w14:textId="77777777" w:rsidR="006A3223" w:rsidRPr="002204D9" w:rsidRDefault="006A3223" w:rsidP="002204D9">
      <w:pPr>
        <w:jc w:val="both"/>
        <w:rPr>
          <w:rFonts w:ascii="Arial" w:hAnsi="Arial" w:cs="Arial"/>
          <w:iCs/>
          <w:sz w:val="19"/>
          <w:szCs w:val="19"/>
        </w:rPr>
      </w:pPr>
      <w:r w:rsidRPr="002204D9">
        <w:rPr>
          <w:rFonts w:ascii="Arial" w:hAnsi="Arial" w:cs="Arial"/>
          <w:iCs/>
          <w:sz w:val="19"/>
          <w:szCs w:val="19"/>
        </w:rPr>
        <w:t xml:space="preserve">Para efectos de la asignación de los puntajes indicados, la Entidad Estatal tendrá en cuenta hasta el séptimo decimal. </w:t>
      </w:r>
    </w:p>
    <w:p w14:paraId="684664F8" w14:textId="77777777" w:rsidR="006A3223" w:rsidRPr="002204D9" w:rsidRDefault="006A3223" w:rsidP="002204D9">
      <w:pPr>
        <w:jc w:val="both"/>
        <w:rPr>
          <w:rFonts w:ascii="Arial" w:hAnsi="Arial" w:cs="Arial"/>
          <w:iCs/>
          <w:sz w:val="19"/>
          <w:szCs w:val="19"/>
        </w:rPr>
      </w:pPr>
      <w:r w:rsidRPr="002204D9">
        <w:rPr>
          <w:rFonts w:ascii="Arial" w:hAnsi="Arial" w:cs="Arial"/>
          <w:iCs/>
          <w:sz w:val="19"/>
          <w:szCs w:val="19"/>
        </w:rPr>
        <w:t>Definido el puntaje de cada bien nacional relevante, la Entidad Estatal otorgará el puntaje a cada Proponente dependiendo de la cantidad de bienes nacionales relevantes ofertados y el puntaje individual asignado a cada uno de ellos. Para la asignación de este puntaje se aplicará la siguiente fórmula.</w:t>
      </w:r>
    </w:p>
    <w:p w14:paraId="6F9C70F5" w14:textId="77777777" w:rsidR="006A3223" w:rsidRPr="002204D9" w:rsidRDefault="006A3223" w:rsidP="002204D9">
      <w:pPr>
        <w:jc w:val="both"/>
        <w:rPr>
          <w:rFonts w:ascii="Arial" w:hAnsi="Arial" w:cs="Arial"/>
          <w:i/>
          <w:sz w:val="19"/>
          <w:szCs w:val="19"/>
        </w:rPr>
      </w:pPr>
      <m:oMathPara>
        <m:oMath>
          <m:r>
            <w:rPr>
              <w:rFonts w:ascii="Cambria Math" w:hAnsi="Cambria Math" w:cs="Arial"/>
              <w:sz w:val="19"/>
              <w:szCs w:val="19"/>
            </w:rPr>
            <m:t xml:space="preserve">Puntaje proponente= </m:t>
          </m:r>
          <m:nary>
            <m:naryPr>
              <m:chr m:val="∑"/>
              <m:limLoc m:val="undOvr"/>
              <m:ctrlPr>
                <w:rPr>
                  <w:rFonts w:ascii="Cambria Math" w:hAnsi="Cambria Math" w:cs="Arial"/>
                  <w:i/>
                  <w:sz w:val="19"/>
                  <w:szCs w:val="19"/>
                </w:rPr>
              </m:ctrlPr>
            </m:naryPr>
            <m:sub>
              <m:r>
                <w:rPr>
                  <w:rFonts w:ascii="Cambria Math" w:hAnsi="Cambria Math" w:cs="Arial"/>
                  <w:sz w:val="19"/>
                  <w:szCs w:val="19"/>
                </w:rPr>
                <m:t>j=0</m:t>
              </m:r>
            </m:sub>
            <m:sup>
              <m:r>
                <w:rPr>
                  <w:rFonts w:ascii="Cambria Math" w:hAnsi="Cambria Math" w:cs="Arial"/>
                  <w:sz w:val="19"/>
                  <w:szCs w:val="19"/>
                </w:rPr>
                <m:t>i</m:t>
              </m:r>
            </m:sup>
            <m:e>
              <m:sSub>
                <m:sSubPr>
                  <m:ctrlPr>
                    <w:rPr>
                      <w:rFonts w:ascii="Cambria Math" w:hAnsi="Cambria Math" w:cs="Arial"/>
                      <w:i/>
                      <w:sz w:val="19"/>
                      <w:szCs w:val="19"/>
                    </w:rPr>
                  </m:ctrlPr>
                </m:sSubPr>
                <m:e>
                  <m:r>
                    <w:rPr>
                      <w:rFonts w:ascii="Cambria Math" w:hAnsi="Cambria Math" w:cs="Arial"/>
                      <w:sz w:val="19"/>
                      <w:szCs w:val="19"/>
                    </w:rPr>
                    <m:t>P</m:t>
                  </m:r>
                </m:e>
                <m:sub>
                  <m:r>
                    <w:rPr>
                      <w:rFonts w:ascii="Cambria Math" w:hAnsi="Cambria Math" w:cs="Arial"/>
                      <w:sz w:val="19"/>
                      <w:szCs w:val="19"/>
                    </w:rPr>
                    <m:t>i</m:t>
                  </m:r>
                </m:sub>
              </m:sSub>
            </m:e>
          </m:nary>
        </m:oMath>
      </m:oMathPara>
    </w:p>
    <w:p w14:paraId="5FA6524D" w14:textId="77777777" w:rsidR="006A3223" w:rsidRPr="002204D9" w:rsidRDefault="006A3223" w:rsidP="002204D9">
      <w:pPr>
        <w:jc w:val="both"/>
        <w:rPr>
          <w:rFonts w:ascii="Arial" w:hAnsi="Arial" w:cs="Arial"/>
          <w:iCs/>
          <w:sz w:val="19"/>
          <w:szCs w:val="19"/>
        </w:rPr>
      </w:pPr>
      <w:r w:rsidRPr="002204D9">
        <w:rPr>
          <w:rFonts w:ascii="Arial" w:hAnsi="Arial" w:cs="Arial"/>
          <w:iCs/>
          <w:sz w:val="19"/>
          <w:szCs w:val="19"/>
        </w:rPr>
        <w:t>Donde:</w:t>
      </w:r>
    </w:p>
    <w:p w14:paraId="0AB03203" w14:textId="77777777" w:rsidR="006A3223" w:rsidRPr="002204D9" w:rsidRDefault="006A3223" w:rsidP="002204D9">
      <w:pPr>
        <w:jc w:val="both"/>
        <w:rPr>
          <w:rFonts w:ascii="Arial" w:hAnsi="Arial" w:cs="Arial"/>
          <w:iCs/>
          <w:sz w:val="19"/>
          <w:szCs w:val="19"/>
        </w:rPr>
      </w:pPr>
      <w:r w:rsidRPr="002204D9">
        <w:rPr>
          <w:rFonts w:ascii="Arial" w:hAnsi="Arial" w:cs="Arial"/>
          <w:iCs/>
          <w:sz w:val="19"/>
          <w:szCs w:val="19"/>
        </w:rPr>
        <w:t xml:space="preserve">Puntaje proponente: Puntaje asignado al Proponente </w:t>
      </w:r>
    </w:p>
    <w:p w14:paraId="247B4EFE" w14:textId="77777777" w:rsidR="006A3223" w:rsidRPr="002204D9" w:rsidRDefault="00D97192" w:rsidP="002204D9">
      <w:pPr>
        <w:jc w:val="both"/>
        <w:rPr>
          <w:rFonts w:ascii="Arial" w:hAnsi="Arial" w:cs="Arial"/>
          <w:iCs/>
          <w:sz w:val="19"/>
          <w:szCs w:val="19"/>
        </w:rPr>
      </w:pPr>
      <m:oMath>
        <m:nary>
          <m:naryPr>
            <m:chr m:val="∑"/>
            <m:limLoc m:val="undOvr"/>
            <m:ctrlPr>
              <w:rPr>
                <w:rFonts w:ascii="Cambria Math" w:hAnsi="Cambria Math" w:cs="Arial"/>
                <w:iCs/>
                <w:sz w:val="19"/>
                <w:szCs w:val="19"/>
              </w:rPr>
            </m:ctrlPr>
          </m:naryPr>
          <m:sub>
            <m:r>
              <m:rPr>
                <m:sty m:val="p"/>
              </m:rPr>
              <w:rPr>
                <w:rFonts w:ascii="Cambria Math" w:hAnsi="Cambria Math" w:cs="Arial"/>
                <w:sz w:val="19"/>
                <w:szCs w:val="19"/>
              </w:rPr>
              <m:t>j=0</m:t>
            </m:r>
          </m:sub>
          <m:sup>
            <m:r>
              <m:rPr>
                <m:sty m:val="p"/>
              </m:rPr>
              <w:rPr>
                <w:rFonts w:ascii="Cambria Math" w:hAnsi="Cambria Math" w:cs="Arial"/>
                <w:sz w:val="19"/>
                <w:szCs w:val="19"/>
              </w:rPr>
              <m:t>i</m:t>
            </m:r>
          </m:sup>
          <m:e>
            <m:sSub>
              <m:sSubPr>
                <m:ctrlPr>
                  <w:rPr>
                    <w:rFonts w:ascii="Cambria Math" w:hAnsi="Cambria Math" w:cs="Arial"/>
                    <w:iCs/>
                    <w:sz w:val="19"/>
                    <w:szCs w:val="19"/>
                  </w:rPr>
                </m:ctrlPr>
              </m:sSubPr>
              <m:e>
                <m:r>
                  <m:rPr>
                    <m:sty m:val="p"/>
                  </m:rPr>
                  <w:rPr>
                    <w:rFonts w:ascii="Cambria Math" w:hAnsi="Cambria Math" w:cs="Arial"/>
                    <w:sz w:val="19"/>
                    <w:szCs w:val="19"/>
                  </w:rPr>
                  <m:t>P</m:t>
                </m:r>
              </m:e>
              <m:sub>
                <m:r>
                  <m:rPr>
                    <m:sty m:val="p"/>
                  </m:rPr>
                  <w:rPr>
                    <w:rFonts w:ascii="Cambria Math" w:hAnsi="Cambria Math" w:cs="Arial"/>
                    <w:sz w:val="19"/>
                    <w:szCs w:val="19"/>
                  </w:rPr>
                  <m:t>i</m:t>
                </m:r>
              </m:sub>
            </m:sSub>
          </m:e>
        </m:nary>
      </m:oMath>
      <w:r w:rsidR="006A3223" w:rsidRPr="002204D9">
        <w:rPr>
          <w:rFonts w:ascii="Arial" w:hAnsi="Arial" w:cs="Arial"/>
          <w:iCs/>
          <w:sz w:val="19"/>
          <w:szCs w:val="19"/>
        </w:rPr>
        <w:t>: Sumatoria de los puntajes de los bienes relevantes seleccionados por el Proponente</w:t>
      </w:r>
    </w:p>
    <w:p w14:paraId="29923F11" w14:textId="77777777" w:rsidR="006A3223" w:rsidRPr="002204D9" w:rsidRDefault="006A3223" w:rsidP="002204D9">
      <w:pPr>
        <w:jc w:val="both"/>
        <w:rPr>
          <w:rFonts w:ascii="Arial" w:hAnsi="Arial" w:cs="Arial"/>
          <w:iCs/>
          <w:sz w:val="19"/>
          <w:szCs w:val="19"/>
        </w:rPr>
      </w:pPr>
      <w:r w:rsidRPr="002204D9">
        <w:rPr>
          <w:rFonts w:ascii="Arial" w:hAnsi="Arial" w:cs="Arial"/>
          <w:iCs/>
          <w:sz w:val="19"/>
          <w:szCs w:val="19"/>
        </w:rPr>
        <w:t>Para efectos de la asignación del puntaje a los Proponentes, la Entidad Estatal tendrá en cuenta hasta el séptimo decimal. En todo caso, el puntaje asignado a los Proponentes no podrá superar los veinte (20) puntos.</w:t>
      </w:r>
    </w:p>
    <w:p w14:paraId="6A8A2C04" w14:textId="77777777" w:rsidR="006A3223" w:rsidRPr="002204D9" w:rsidRDefault="006A3223" w:rsidP="002204D9">
      <w:pPr>
        <w:jc w:val="both"/>
        <w:rPr>
          <w:rFonts w:ascii="Arial" w:hAnsi="Arial" w:cs="Arial"/>
          <w:iCs/>
          <w:sz w:val="19"/>
          <w:szCs w:val="19"/>
        </w:rPr>
      </w:pPr>
      <w:r w:rsidRPr="002204D9">
        <w:rPr>
          <w:rFonts w:ascii="Arial" w:hAnsi="Arial" w:cs="Arial"/>
          <w:iCs/>
          <w:sz w:val="19"/>
          <w:szCs w:val="19"/>
        </w:rPr>
        <w:t xml:space="preserve">D. En el caso de Proponentes Plurales, todos, varios o cualquiera de sus integrantes podrá incorporar todos o algunos de los bienes nacionales relevantes. Además de la incorporación del bien nacional relevante, tratándose de Proponentes Plurales, su composición deberá estar acorde con la definición de Servicios Nacionales prevista en el artículo 2.2.1.1.1.3.1 del Decreto 1082 de 2015, de lo que dependerá la franja del puntaje aplicable en lo referente con el apoyo de la industria nacional. </w:t>
      </w:r>
    </w:p>
    <w:p w14:paraId="1FC2CB3E" w14:textId="51C7822C" w:rsidR="006A3223" w:rsidRPr="002204D9" w:rsidRDefault="006A3223">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214D" w14:textId="4116F418" w:rsidR="00692DE4" w:rsidRDefault="00061BA8">
    <w:pPr>
      <w:pStyle w:val="Encabezado"/>
    </w:pPr>
    <w:r>
      <w:rPr>
        <w:noProof/>
        <w:lang w:val="en-US"/>
      </w:rPr>
      <w:drawing>
        <wp:anchor distT="0" distB="0" distL="114300" distR="114300" simplePos="0" relativeHeight="251659264" behindDoc="1" locked="0" layoutInCell="1" allowOverlap="1" wp14:anchorId="289F045A" wp14:editId="0BF03D3C">
          <wp:simplePos x="0" y="0"/>
          <wp:positionH relativeFrom="column">
            <wp:posOffset>4389120</wp:posOffset>
          </wp:positionH>
          <wp:positionV relativeFrom="paragraph">
            <wp:posOffset>-176504</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 Imagen"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B32BE"/>
    <w:multiLevelType w:val="hybridMultilevel"/>
    <w:tmpl w:val="1648147C"/>
    <w:lvl w:ilvl="0" w:tplc="1D164DA4">
      <w:start w:val="1"/>
      <w:numFmt w:val="decimal"/>
      <w:lvlText w:val="%1."/>
      <w:lvlJc w:val="left"/>
      <w:pPr>
        <w:ind w:left="502" w:hanging="360"/>
      </w:pPr>
      <w:rPr>
        <w:rFonts w:ascii="Arial" w:eastAsiaTheme="minorHAnsi" w:hAnsi="Arial" w:cs="Arial" w:hint="default"/>
        <w:b/>
        <w:bCs/>
        <w:i w:val="0"/>
        <w:iCs/>
        <w:sz w:val="20"/>
        <w:szCs w:val="20"/>
      </w:r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num w:numId="1" w16cid:durableId="1049646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13"/>
    <w:rsid w:val="00004F84"/>
    <w:rsid w:val="000171C1"/>
    <w:rsid w:val="000207D3"/>
    <w:rsid w:val="000414C9"/>
    <w:rsid w:val="00041D16"/>
    <w:rsid w:val="00044832"/>
    <w:rsid w:val="000561A9"/>
    <w:rsid w:val="00061BA8"/>
    <w:rsid w:val="0006207C"/>
    <w:rsid w:val="00076CBE"/>
    <w:rsid w:val="00086160"/>
    <w:rsid w:val="000C2133"/>
    <w:rsid w:val="000C525C"/>
    <w:rsid w:val="000E2FAE"/>
    <w:rsid w:val="00100BAA"/>
    <w:rsid w:val="00134925"/>
    <w:rsid w:val="00137C07"/>
    <w:rsid w:val="001530A5"/>
    <w:rsid w:val="001577D9"/>
    <w:rsid w:val="00163B65"/>
    <w:rsid w:val="00176E77"/>
    <w:rsid w:val="00177831"/>
    <w:rsid w:val="001871BD"/>
    <w:rsid w:val="001D4472"/>
    <w:rsid w:val="002068A3"/>
    <w:rsid w:val="002204D9"/>
    <w:rsid w:val="002253D1"/>
    <w:rsid w:val="002338DC"/>
    <w:rsid w:val="002430EA"/>
    <w:rsid w:val="00260F35"/>
    <w:rsid w:val="00287E01"/>
    <w:rsid w:val="00292BC0"/>
    <w:rsid w:val="002A3227"/>
    <w:rsid w:val="002A57EA"/>
    <w:rsid w:val="002A74DC"/>
    <w:rsid w:val="002A7967"/>
    <w:rsid w:val="002C749E"/>
    <w:rsid w:val="002D76DA"/>
    <w:rsid w:val="002F1C6C"/>
    <w:rsid w:val="002F5561"/>
    <w:rsid w:val="003255AD"/>
    <w:rsid w:val="00366468"/>
    <w:rsid w:val="00371E7F"/>
    <w:rsid w:val="00373A7C"/>
    <w:rsid w:val="003778A9"/>
    <w:rsid w:val="0038669D"/>
    <w:rsid w:val="003970C4"/>
    <w:rsid w:val="003A31E3"/>
    <w:rsid w:val="003E62F9"/>
    <w:rsid w:val="003F56E2"/>
    <w:rsid w:val="004212E5"/>
    <w:rsid w:val="004218AD"/>
    <w:rsid w:val="00425D72"/>
    <w:rsid w:val="004317B4"/>
    <w:rsid w:val="00431D13"/>
    <w:rsid w:val="0043363B"/>
    <w:rsid w:val="004714E5"/>
    <w:rsid w:val="00474F09"/>
    <w:rsid w:val="004F0480"/>
    <w:rsid w:val="004F2D5D"/>
    <w:rsid w:val="00505A18"/>
    <w:rsid w:val="00524D80"/>
    <w:rsid w:val="005275BC"/>
    <w:rsid w:val="00536455"/>
    <w:rsid w:val="00536699"/>
    <w:rsid w:val="005411D3"/>
    <w:rsid w:val="00552EB2"/>
    <w:rsid w:val="00556ECF"/>
    <w:rsid w:val="00575DE6"/>
    <w:rsid w:val="005760AE"/>
    <w:rsid w:val="0058062D"/>
    <w:rsid w:val="005A292C"/>
    <w:rsid w:val="005B6BE6"/>
    <w:rsid w:val="005C3CB0"/>
    <w:rsid w:val="005C669E"/>
    <w:rsid w:val="005D002D"/>
    <w:rsid w:val="005F0C38"/>
    <w:rsid w:val="005F1BC6"/>
    <w:rsid w:val="00602B3D"/>
    <w:rsid w:val="006342AD"/>
    <w:rsid w:val="006347E9"/>
    <w:rsid w:val="0064309C"/>
    <w:rsid w:val="00644FA3"/>
    <w:rsid w:val="00645A10"/>
    <w:rsid w:val="0065324B"/>
    <w:rsid w:val="00657968"/>
    <w:rsid w:val="0066416F"/>
    <w:rsid w:val="00677873"/>
    <w:rsid w:val="00682DEC"/>
    <w:rsid w:val="00685277"/>
    <w:rsid w:val="00690D8C"/>
    <w:rsid w:val="00692DE4"/>
    <w:rsid w:val="006A3223"/>
    <w:rsid w:val="006C2D68"/>
    <w:rsid w:val="006C3304"/>
    <w:rsid w:val="006E6411"/>
    <w:rsid w:val="00720CB7"/>
    <w:rsid w:val="0074032E"/>
    <w:rsid w:val="00762DAB"/>
    <w:rsid w:val="00797BDE"/>
    <w:rsid w:val="007A0E1A"/>
    <w:rsid w:val="007A1790"/>
    <w:rsid w:val="007A343D"/>
    <w:rsid w:val="007A7F87"/>
    <w:rsid w:val="007D3AC2"/>
    <w:rsid w:val="007D530E"/>
    <w:rsid w:val="007E0737"/>
    <w:rsid w:val="007F4207"/>
    <w:rsid w:val="0082118C"/>
    <w:rsid w:val="008232BA"/>
    <w:rsid w:val="00831A21"/>
    <w:rsid w:val="00856671"/>
    <w:rsid w:val="008567EB"/>
    <w:rsid w:val="00856D76"/>
    <w:rsid w:val="00857E31"/>
    <w:rsid w:val="00876275"/>
    <w:rsid w:val="008770BC"/>
    <w:rsid w:val="00887A1E"/>
    <w:rsid w:val="0089705E"/>
    <w:rsid w:val="008A01AD"/>
    <w:rsid w:val="008B0A91"/>
    <w:rsid w:val="008D0B1A"/>
    <w:rsid w:val="008D1597"/>
    <w:rsid w:val="008D6903"/>
    <w:rsid w:val="00902412"/>
    <w:rsid w:val="0090344C"/>
    <w:rsid w:val="00914D11"/>
    <w:rsid w:val="0091525F"/>
    <w:rsid w:val="00935A15"/>
    <w:rsid w:val="00945F8A"/>
    <w:rsid w:val="00953177"/>
    <w:rsid w:val="0097362F"/>
    <w:rsid w:val="0098021A"/>
    <w:rsid w:val="009E59E2"/>
    <w:rsid w:val="009F2A83"/>
    <w:rsid w:val="00A04016"/>
    <w:rsid w:val="00A10504"/>
    <w:rsid w:val="00A1708E"/>
    <w:rsid w:val="00A26C3D"/>
    <w:rsid w:val="00A27C10"/>
    <w:rsid w:val="00A42B58"/>
    <w:rsid w:val="00A46A5E"/>
    <w:rsid w:val="00A60E25"/>
    <w:rsid w:val="00A673E1"/>
    <w:rsid w:val="00A73FF1"/>
    <w:rsid w:val="00AB5BDF"/>
    <w:rsid w:val="00AC3B4C"/>
    <w:rsid w:val="00AC3ED1"/>
    <w:rsid w:val="00AE2E24"/>
    <w:rsid w:val="00AE3AE5"/>
    <w:rsid w:val="00AF181A"/>
    <w:rsid w:val="00AF478C"/>
    <w:rsid w:val="00B060E6"/>
    <w:rsid w:val="00B12E13"/>
    <w:rsid w:val="00B20B11"/>
    <w:rsid w:val="00B4770F"/>
    <w:rsid w:val="00B768E9"/>
    <w:rsid w:val="00B814CD"/>
    <w:rsid w:val="00B91F23"/>
    <w:rsid w:val="00BA6980"/>
    <w:rsid w:val="00BB360C"/>
    <w:rsid w:val="00BB7612"/>
    <w:rsid w:val="00BC0A6E"/>
    <w:rsid w:val="00BD4151"/>
    <w:rsid w:val="00BE1FB7"/>
    <w:rsid w:val="00BE4BAD"/>
    <w:rsid w:val="00BE78F3"/>
    <w:rsid w:val="00BF0323"/>
    <w:rsid w:val="00C11B2A"/>
    <w:rsid w:val="00C16D71"/>
    <w:rsid w:val="00C27936"/>
    <w:rsid w:val="00C43204"/>
    <w:rsid w:val="00C56552"/>
    <w:rsid w:val="00C63D7E"/>
    <w:rsid w:val="00C64437"/>
    <w:rsid w:val="00C6449C"/>
    <w:rsid w:val="00C6497A"/>
    <w:rsid w:val="00C854FC"/>
    <w:rsid w:val="00C91658"/>
    <w:rsid w:val="00CC286E"/>
    <w:rsid w:val="00CC4F3F"/>
    <w:rsid w:val="00CC5CBB"/>
    <w:rsid w:val="00CE4935"/>
    <w:rsid w:val="00CF4C04"/>
    <w:rsid w:val="00CF524D"/>
    <w:rsid w:val="00CF6C7B"/>
    <w:rsid w:val="00D05EC0"/>
    <w:rsid w:val="00D06D0B"/>
    <w:rsid w:val="00D2478D"/>
    <w:rsid w:val="00D31600"/>
    <w:rsid w:val="00D42F53"/>
    <w:rsid w:val="00D445EF"/>
    <w:rsid w:val="00D63569"/>
    <w:rsid w:val="00D65A34"/>
    <w:rsid w:val="00D714EB"/>
    <w:rsid w:val="00D75317"/>
    <w:rsid w:val="00D91933"/>
    <w:rsid w:val="00D97192"/>
    <w:rsid w:val="00DA1582"/>
    <w:rsid w:val="00DA2455"/>
    <w:rsid w:val="00DA387C"/>
    <w:rsid w:val="00DD2F84"/>
    <w:rsid w:val="00DD60F4"/>
    <w:rsid w:val="00DE1D4C"/>
    <w:rsid w:val="00DE4F4E"/>
    <w:rsid w:val="00E17439"/>
    <w:rsid w:val="00E35FE5"/>
    <w:rsid w:val="00E631C8"/>
    <w:rsid w:val="00E63565"/>
    <w:rsid w:val="00E6468C"/>
    <w:rsid w:val="00E672E9"/>
    <w:rsid w:val="00E8609B"/>
    <w:rsid w:val="00EB6CC1"/>
    <w:rsid w:val="00EC3ECF"/>
    <w:rsid w:val="00EF2B49"/>
    <w:rsid w:val="00EF6053"/>
    <w:rsid w:val="00F03C7A"/>
    <w:rsid w:val="00F04A97"/>
    <w:rsid w:val="00F22164"/>
    <w:rsid w:val="00F410F6"/>
    <w:rsid w:val="00F525A8"/>
    <w:rsid w:val="00F6322A"/>
    <w:rsid w:val="00F7794B"/>
    <w:rsid w:val="00F86A88"/>
    <w:rsid w:val="00F86A9D"/>
    <w:rsid w:val="00FC4F6D"/>
    <w:rsid w:val="00FD06E3"/>
    <w:rsid w:val="00FD3B7C"/>
    <w:rsid w:val="00FD554D"/>
    <w:rsid w:val="00FF6A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09E51"/>
  <w15:chartTrackingRefBased/>
  <w15:docId w15:val="{155E4E6C-3D4E-4681-95C5-2ABCC347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basedOn w:val="Fuentedeprrafopredeter"/>
    <w:link w:val="Textonotapie"/>
    <w:uiPriority w:val="99"/>
    <w:qFormat/>
    <w:locked/>
    <w:rsid w:val="00431D13"/>
    <w:rPr>
      <w:sz w:val="20"/>
      <w:szCs w:val="20"/>
      <w:lang w:val="es-MX"/>
    </w:rPr>
  </w:style>
  <w:style w:type="paragraph" w:customStyle="1" w:styleId="Car1">
    <w:name w:val="Car1"/>
    <w:basedOn w:val="Normal"/>
    <w:next w:val="Textonotapie"/>
    <w:uiPriority w:val="99"/>
    <w:unhideWhenUsed/>
    <w:qFormat/>
    <w:rsid w:val="00431D13"/>
    <w:pPr>
      <w:spacing w:after="0" w:line="240" w:lineRule="auto"/>
    </w:pPr>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431D13"/>
    <w:rPr>
      <w:vertAlign w:val="superscript"/>
    </w:rPr>
  </w:style>
  <w:style w:type="paragraph" w:customStyle="1" w:styleId="Appelnotedebasde">
    <w:name w:val="Appel note de bas de..."/>
    <w:basedOn w:val="Normal"/>
    <w:link w:val="Refdenotaalpie"/>
    <w:uiPriority w:val="99"/>
    <w:rsid w:val="00431D13"/>
    <w:pPr>
      <w:spacing w:line="240" w:lineRule="exact"/>
    </w:pPr>
    <w:rPr>
      <w:vertAlign w:val="superscript"/>
    </w:rPr>
  </w:style>
  <w:style w:type="paragraph" w:styleId="Textonotapie">
    <w:name w:val="footnote text"/>
    <w:basedOn w:val="Normal"/>
    <w:link w:val="TextonotapieCar"/>
    <w:uiPriority w:val="99"/>
    <w:semiHidden/>
    <w:unhideWhenUsed/>
    <w:rsid w:val="00431D13"/>
    <w:pPr>
      <w:spacing w:after="0" w:line="240" w:lineRule="auto"/>
    </w:pPr>
    <w:rPr>
      <w:sz w:val="20"/>
      <w:szCs w:val="20"/>
      <w:lang w:val="es-MX"/>
    </w:rPr>
  </w:style>
  <w:style w:type="character" w:customStyle="1" w:styleId="TextonotapieCar1">
    <w:name w:val="Texto nota pie Car1"/>
    <w:basedOn w:val="Fuentedeprrafopredeter"/>
    <w:uiPriority w:val="99"/>
    <w:semiHidden/>
    <w:rsid w:val="00431D13"/>
    <w:rPr>
      <w:sz w:val="20"/>
      <w:szCs w:val="20"/>
    </w:rPr>
  </w:style>
  <w:style w:type="paragraph" w:styleId="Revisin">
    <w:name w:val="Revision"/>
    <w:hidden/>
    <w:uiPriority w:val="99"/>
    <w:semiHidden/>
    <w:rsid w:val="00431D13"/>
    <w:pPr>
      <w:spacing w:after="0" w:line="240" w:lineRule="auto"/>
    </w:pPr>
  </w:style>
  <w:style w:type="paragraph" w:styleId="Prrafodelista">
    <w:name w:val="List Paragraph"/>
    <w:basedOn w:val="Normal"/>
    <w:uiPriority w:val="34"/>
    <w:qFormat/>
    <w:rsid w:val="004218AD"/>
    <w:pPr>
      <w:spacing w:after="0" w:line="240" w:lineRule="auto"/>
      <w:ind w:left="720"/>
      <w:contextualSpacing/>
      <w:jc w:val="both"/>
    </w:pPr>
    <w:rPr>
      <w:rFonts w:ascii="Arial" w:hAnsi="Arial"/>
      <w:sz w:val="20"/>
      <w:lang w:val="es-MX"/>
    </w:rPr>
  </w:style>
  <w:style w:type="paragraph" w:styleId="NormalWeb">
    <w:name w:val="Normal (Web)"/>
    <w:basedOn w:val="Normal"/>
    <w:uiPriority w:val="99"/>
    <w:semiHidden/>
    <w:unhideWhenUsed/>
    <w:rsid w:val="00B060E6"/>
    <w:rPr>
      <w:rFonts w:ascii="Times New Roman" w:hAnsi="Times New Roman" w:cs="Times New Roman"/>
      <w:sz w:val="24"/>
      <w:szCs w:val="24"/>
    </w:rPr>
  </w:style>
  <w:style w:type="paragraph" w:styleId="Textocomentario">
    <w:name w:val="annotation text"/>
    <w:basedOn w:val="Normal"/>
    <w:link w:val="TextocomentarioCar"/>
    <w:uiPriority w:val="99"/>
    <w:semiHidden/>
    <w:unhideWhenUsed/>
    <w:rsid w:val="004F04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0480"/>
    <w:rPr>
      <w:sz w:val="20"/>
      <w:szCs w:val="20"/>
    </w:rPr>
  </w:style>
  <w:style w:type="table" w:styleId="Tablaconcuadrcula">
    <w:name w:val="Table Grid"/>
    <w:basedOn w:val="Tablanormal"/>
    <w:uiPriority w:val="39"/>
    <w:rsid w:val="004F0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4F0480"/>
    <w:rPr>
      <w:sz w:val="16"/>
      <w:szCs w:val="16"/>
    </w:rPr>
  </w:style>
  <w:style w:type="paragraph" w:styleId="Encabezado">
    <w:name w:val="header"/>
    <w:basedOn w:val="Normal"/>
    <w:link w:val="EncabezadoCar"/>
    <w:uiPriority w:val="99"/>
    <w:unhideWhenUsed/>
    <w:rsid w:val="00692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2DE4"/>
  </w:style>
  <w:style w:type="paragraph" w:styleId="Piedepgina">
    <w:name w:val="footer"/>
    <w:basedOn w:val="Normal"/>
    <w:link w:val="PiedepginaCar"/>
    <w:uiPriority w:val="99"/>
    <w:unhideWhenUsed/>
    <w:rsid w:val="00692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2DE4"/>
  </w:style>
  <w:style w:type="table" w:customStyle="1" w:styleId="Tablaconcuadrcula1">
    <w:name w:val="Tabla con cuadrícula1"/>
    <w:basedOn w:val="Tablanormal"/>
    <w:next w:val="Tablaconcuadrcula"/>
    <w:uiPriority w:val="39"/>
    <w:rsid w:val="00421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F2B4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F2B49"/>
    <w:rPr>
      <w:rFonts w:ascii="Times New Roman" w:hAnsi="Times New Roman" w:cs="Times New Roman"/>
      <w:sz w:val="18"/>
      <w:szCs w:val="18"/>
    </w:rPr>
  </w:style>
  <w:style w:type="paragraph" w:styleId="Asuntodelcomentario">
    <w:name w:val="annotation subject"/>
    <w:basedOn w:val="Textocomentario"/>
    <w:next w:val="Textocomentario"/>
    <w:link w:val="AsuntodelcomentarioCar"/>
    <w:uiPriority w:val="99"/>
    <w:semiHidden/>
    <w:unhideWhenUsed/>
    <w:rsid w:val="00C16D71"/>
    <w:rPr>
      <w:b/>
      <w:bCs/>
    </w:rPr>
  </w:style>
  <w:style w:type="character" w:customStyle="1" w:styleId="AsuntodelcomentarioCar">
    <w:name w:val="Asunto del comentario Car"/>
    <w:basedOn w:val="TextocomentarioCar"/>
    <w:link w:val="Asuntodelcomentario"/>
    <w:uiPriority w:val="99"/>
    <w:semiHidden/>
    <w:rsid w:val="00C16D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vrpubindc.imprenta.gov.co/sena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BD1BE-7214-4217-B789-935E779C4FB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D63DDC4F-565E-48F3-B8BE-7D303E331C2B}">
  <ds:schemaRefs>
    <ds:schemaRef ds:uri="http://schemas.microsoft.com/sharepoint/v3/contenttype/forms"/>
  </ds:schemaRefs>
</ds:datastoreItem>
</file>

<file path=customXml/itemProps3.xml><?xml version="1.0" encoding="utf-8"?>
<ds:datastoreItem xmlns:ds="http://schemas.openxmlformats.org/officeDocument/2006/customXml" ds:itemID="{0A67C1B5-B4A8-4166-B2EF-A96EB88C0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30D92D-8ECA-8D40-B4DF-4973518D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10918</Words>
  <Characters>60051</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dc:creator>
  <cp:keywords/>
  <dc:description/>
  <cp:lastModifiedBy>Martin Rojas Mejia</cp:lastModifiedBy>
  <cp:revision>2</cp:revision>
  <dcterms:created xsi:type="dcterms:W3CDTF">2022-04-27T14:29:00Z</dcterms:created>
  <dcterms:modified xsi:type="dcterms:W3CDTF">2022-04-27T14:29:00Z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