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26BB0" w14:textId="77777777" w:rsidR="009F0A44" w:rsidRPr="009F5860" w:rsidRDefault="003C7067" w:rsidP="009F0A44">
      <w:pPr>
        <w:jc w:val="right"/>
        <w:rPr>
          <w:rFonts w:ascii="Arial" w:hAnsi="Arial" w:cs="Arial"/>
          <w:b/>
          <w:sz w:val="16"/>
          <w:szCs w:val="16"/>
          <w:lang w:val="es-ES" w:eastAsia="es-ES"/>
        </w:rPr>
      </w:pPr>
      <w:r w:rsidRPr="009F5860">
        <w:rPr>
          <w:rFonts w:ascii="Arial" w:hAnsi="Arial" w:cs="Arial"/>
          <w:b/>
          <w:sz w:val="16"/>
          <w:szCs w:val="16"/>
          <w:lang w:val="es-ES" w:eastAsia="es-ES"/>
        </w:rPr>
        <w:t>CCE-DES-FM-17</w:t>
      </w:r>
    </w:p>
    <w:p w14:paraId="513EB405" w14:textId="77777777" w:rsidR="009F0A44" w:rsidRPr="009F5860" w:rsidRDefault="009F0A44" w:rsidP="009F0A44">
      <w:pPr>
        <w:rPr>
          <w:rFonts w:ascii="Arial" w:hAnsi="Arial" w:cs="Arial"/>
          <w:b/>
          <w:sz w:val="16"/>
          <w:szCs w:val="16"/>
          <w:lang w:val="es-ES" w:eastAsia="es-ES"/>
        </w:rPr>
      </w:pPr>
    </w:p>
    <w:p w14:paraId="2E49D88E" w14:textId="77777777" w:rsidR="00452C65" w:rsidRPr="00E74412" w:rsidRDefault="00452C65" w:rsidP="003C7067">
      <w:pPr>
        <w:tabs>
          <w:tab w:val="left" w:pos="0"/>
        </w:tabs>
        <w:spacing w:line="276" w:lineRule="auto"/>
        <w:jc w:val="both"/>
        <w:rPr>
          <w:rFonts w:ascii="Arial" w:eastAsia="Calibri" w:hAnsi="Arial" w:cs="Arial"/>
          <w:b/>
          <w:bCs/>
          <w:sz w:val="22"/>
          <w:lang w:val="es-ES"/>
        </w:rPr>
      </w:pPr>
    </w:p>
    <w:p w14:paraId="18959FEA" w14:textId="65F93631" w:rsidR="00F13E1E" w:rsidRDefault="00E74412" w:rsidP="00E74412">
      <w:pPr>
        <w:tabs>
          <w:tab w:val="left" w:pos="2652"/>
        </w:tabs>
        <w:jc w:val="both"/>
        <w:rPr>
          <w:rFonts w:ascii="Arial" w:hAnsi="Arial" w:cs="Arial"/>
          <w:b/>
          <w:bCs/>
          <w:sz w:val="20"/>
        </w:rPr>
      </w:pPr>
      <w:r w:rsidRPr="00E74412">
        <w:rPr>
          <w:rFonts w:ascii="Arial" w:hAnsi="Arial" w:cs="Arial" w:hint="cs"/>
          <w:b/>
          <w:bCs/>
          <w:sz w:val="20"/>
        </w:rPr>
        <w:t>CARÁCTER</w:t>
      </w:r>
      <w:r w:rsidRPr="00E74412">
        <w:rPr>
          <w:rFonts w:ascii="Arial" w:hAnsi="Arial" w:cs="Arial" w:hint="cs"/>
          <w:b/>
          <w:bCs/>
          <w:spacing w:val="34"/>
          <w:sz w:val="20"/>
        </w:rPr>
        <w:t xml:space="preserve"> </w:t>
      </w:r>
      <w:r w:rsidRPr="00E74412">
        <w:rPr>
          <w:rFonts w:ascii="Arial" w:hAnsi="Arial" w:cs="Arial" w:hint="cs"/>
          <w:b/>
          <w:bCs/>
          <w:sz w:val="20"/>
        </w:rPr>
        <w:t>VINCULANTE</w:t>
      </w:r>
      <w:r w:rsidRPr="00E74412">
        <w:rPr>
          <w:rFonts w:ascii="Arial" w:hAnsi="Arial" w:cs="Arial" w:hint="cs"/>
          <w:b/>
          <w:bCs/>
          <w:spacing w:val="90"/>
          <w:sz w:val="20"/>
        </w:rPr>
        <w:t xml:space="preserve"> </w:t>
      </w:r>
      <w:r w:rsidRPr="00E74412">
        <w:rPr>
          <w:rFonts w:ascii="Arial" w:hAnsi="Arial" w:cs="Arial" w:hint="cs"/>
          <w:b/>
          <w:bCs/>
          <w:sz w:val="20"/>
        </w:rPr>
        <w:t>GUÍAS,</w:t>
      </w:r>
      <w:r w:rsidRPr="00E74412">
        <w:rPr>
          <w:rFonts w:ascii="Arial" w:hAnsi="Arial" w:cs="Arial" w:hint="cs"/>
          <w:b/>
          <w:bCs/>
          <w:spacing w:val="90"/>
          <w:sz w:val="20"/>
        </w:rPr>
        <w:t xml:space="preserve"> </w:t>
      </w:r>
      <w:r w:rsidRPr="00E74412">
        <w:rPr>
          <w:rFonts w:ascii="Arial" w:hAnsi="Arial" w:cs="Arial" w:hint="cs"/>
          <w:b/>
          <w:bCs/>
          <w:sz w:val="20"/>
        </w:rPr>
        <w:t>MANUALES,</w:t>
      </w:r>
      <w:r w:rsidRPr="00E74412">
        <w:rPr>
          <w:rFonts w:ascii="Arial" w:hAnsi="Arial" w:cs="Arial" w:hint="cs"/>
          <w:b/>
          <w:bCs/>
          <w:spacing w:val="88"/>
          <w:sz w:val="20"/>
        </w:rPr>
        <w:t xml:space="preserve"> </w:t>
      </w:r>
      <w:r w:rsidRPr="00E74412">
        <w:rPr>
          <w:rFonts w:ascii="Arial" w:hAnsi="Arial" w:cs="Arial" w:hint="cs"/>
          <w:b/>
          <w:bCs/>
          <w:sz w:val="20"/>
        </w:rPr>
        <w:t>CIRCULARES</w:t>
      </w:r>
      <w:r w:rsidRPr="00E74412">
        <w:rPr>
          <w:rFonts w:ascii="Arial" w:hAnsi="Arial" w:cs="Arial" w:hint="cs"/>
          <w:b/>
          <w:bCs/>
          <w:spacing w:val="89"/>
          <w:sz w:val="20"/>
        </w:rPr>
        <w:t xml:space="preserve"> </w:t>
      </w:r>
      <w:r w:rsidRPr="00E74412">
        <w:rPr>
          <w:rFonts w:ascii="Arial" w:hAnsi="Arial" w:cs="Arial" w:hint="cs"/>
          <w:b/>
          <w:bCs/>
          <w:sz w:val="20"/>
        </w:rPr>
        <w:t>Y</w:t>
      </w:r>
      <w:r>
        <w:rPr>
          <w:rFonts w:ascii="Arial" w:hAnsi="Arial" w:cs="Arial"/>
          <w:b/>
          <w:bCs/>
          <w:sz w:val="20"/>
        </w:rPr>
        <w:t xml:space="preserve"> </w:t>
      </w:r>
      <w:r w:rsidRPr="00E74412">
        <w:rPr>
          <w:rFonts w:ascii="Arial" w:hAnsi="Arial" w:cs="Arial" w:hint="cs"/>
          <w:b/>
          <w:bCs/>
          <w:sz w:val="20"/>
        </w:rPr>
        <w:t>DOCUMENTOS TIPO</w:t>
      </w:r>
    </w:p>
    <w:p w14:paraId="24A0EE83" w14:textId="77777777" w:rsidR="00E74412" w:rsidRPr="00E74412" w:rsidRDefault="00E74412" w:rsidP="00E74412">
      <w:pPr>
        <w:tabs>
          <w:tab w:val="left" w:pos="2652"/>
        </w:tabs>
        <w:jc w:val="both"/>
        <w:rPr>
          <w:rFonts w:ascii="Arial" w:hAnsi="Arial" w:cs="Arial"/>
          <w:b/>
          <w:bCs/>
          <w:sz w:val="20"/>
        </w:rPr>
      </w:pPr>
    </w:p>
    <w:p w14:paraId="6913EB94" w14:textId="63D0C796" w:rsidR="00F13E1E" w:rsidRPr="009F5860" w:rsidRDefault="00F13E1E" w:rsidP="00F13E1E">
      <w:pPr>
        <w:pStyle w:val="Textoindependiente"/>
        <w:jc w:val="both"/>
      </w:pPr>
      <w:r w:rsidRPr="009F5860">
        <w:t>[…] esta Agencia ha expedido guías, manuales y circulares externas, los cuales pueden ser calificados como herramientas de apoyo a los partícipes de la contratación pública. Esto en la medida en que han sido formulados como instrumentos dirigidos a facilitar las compras y la contratación pública, promoviendo las mejores prácticas, la eficiencia, transparencia y competitividad.</w:t>
      </w:r>
    </w:p>
    <w:p w14:paraId="423F5BC2" w14:textId="1F7F134B" w:rsidR="00F13E1E" w:rsidRPr="009F5860" w:rsidRDefault="00F13E1E" w:rsidP="00F13E1E">
      <w:pPr>
        <w:pStyle w:val="Textoindependiente"/>
        <w:jc w:val="both"/>
      </w:pPr>
      <w:r w:rsidRPr="009F5860">
        <w:t xml:space="preserve">Dentro del funcionamiento interno de esta Agencia, los manuales han sido entendidos como documentos que tratan de manera general aspectos fundamentales y elementales de un tema. Su contenido tiende a ser teórico y su finalidad es aclarar los puntos más importantes del asunto abordado. Por ejemplo, la entidad ha elaborado manuales para determinar y verificar los requisitos habilitantes o para el manejo de los acuerdos comerciales en los procesos de contratación. </w:t>
      </w:r>
    </w:p>
    <w:p w14:paraId="4B233609" w14:textId="13AFF9BF" w:rsidR="00452C65" w:rsidRPr="009F5860" w:rsidRDefault="00F13E1E" w:rsidP="00F13E1E">
      <w:pPr>
        <w:pStyle w:val="Textoindependiente"/>
        <w:jc w:val="both"/>
      </w:pPr>
      <w:r w:rsidRPr="009F5860">
        <w:t>Las guías, por su parte, se han entendido como documentos técnicos que indican generalmente un procedimiento sobre cómo deben operarse ciertos temas por parte de los partícipes del Sistema de Compra Pública. Así, por ejemplo, se han expedido guías de compras públicas socialmente responsables, la guía para la liquidación de los contratos estatales, la cual fija un procedimiento para el efecto o la guía para procesos de contratación de obra pública</w:t>
      </w:r>
      <w:r w:rsidR="00452C65" w:rsidRPr="009F5860">
        <w:t>.</w:t>
      </w:r>
    </w:p>
    <w:p w14:paraId="00007AF0" w14:textId="77777777" w:rsidR="00452C65" w:rsidRPr="009F5860" w:rsidRDefault="00452C65" w:rsidP="003C7067">
      <w:pPr>
        <w:tabs>
          <w:tab w:val="left" w:pos="0"/>
        </w:tabs>
        <w:spacing w:line="276" w:lineRule="auto"/>
        <w:jc w:val="both"/>
        <w:rPr>
          <w:rFonts w:ascii="Arial" w:eastAsia="Calibri" w:hAnsi="Arial" w:cs="Arial"/>
          <w:b/>
          <w:sz w:val="22"/>
          <w:lang w:val="es-ES"/>
        </w:rPr>
      </w:pPr>
    </w:p>
    <w:p w14:paraId="240DEEDC" w14:textId="55C1B3F9" w:rsidR="00452C65" w:rsidRPr="009F5860" w:rsidRDefault="00452C65" w:rsidP="003C7067">
      <w:pPr>
        <w:tabs>
          <w:tab w:val="left" w:pos="0"/>
        </w:tabs>
        <w:spacing w:line="276" w:lineRule="auto"/>
        <w:jc w:val="both"/>
        <w:rPr>
          <w:rFonts w:ascii="Arial" w:eastAsia="Calibri" w:hAnsi="Arial" w:cs="Arial"/>
          <w:b/>
          <w:sz w:val="22"/>
          <w:lang w:val="es-ES"/>
        </w:rPr>
      </w:pPr>
      <w:r w:rsidRPr="009F5860">
        <w:rPr>
          <w:rFonts w:ascii="Arial" w:eastAsia="Calibri" w:hAnsi="Arial" w:cs="Arial"/>
          <w:b/>
          <w:sz w:val="22"/>
          <w:lang w:val="es-ES"/>
        </w:rPr>
        <w:t xml:space="preserve">OBLIGATORIEDAD – documentos expedidos por la agencia – </w:t>
      </w:r>
      <w:r w:rsidR="00F13E1E" w:rsidRPr="009F5860">
        <w:rPr>
          <w:rFonts w:ascii="Arial" w:eastAsia="Calibri" w:hAnsi="Arial" w:cs="Arial"/>
          <w:b/>
          <w:sz w:val="22"/>
          <w:lang w:val="es-ES"/>
        </w:rPr>
        <w:t>g</w:t>
      </w:r>
      <w:r w:rsidRPr="009F5860">
        <w:rPr>
          <w:rFonts w:ascii="Arial" w:eastAsia="Calibri" w:hAnsi="Arial" w:cs="Arial"/>
          <w:b/>
          <w:sz w:val="22"/>
          <w:lang w:val="es-ES"/>
        </w:rPr>
        <w:t xml:space="preserve">uías, </w:t>
      </w:r>
      <w:r w:rsidR="00F13E1E" w:rsidRPr="009F5860">
        <w:rPr>
          <w:rFonts w:ascii="Arial" w:eastAsia="Calibri" w:hAnsi="Arial" w:cs="Arial"/>
          <w:b/>
          <w:sz w:val="22"/>
          <w:lang w:val="es-ES"/>
        </w:rPr>
        <w:t>m</w:t>
      </w:r>
      <w:r w:rsidRPr="009F5860">
        <w:rPr>
          <w:rFonts w:ascii="Arial" w:eastAsia="Calibri" w:hAnsi="Arial" w:cs="Arial"/>
          <w:b/>
          <w:sz w:val="22"/>
          <w:lang w:val="es-ES"/>
        </w:rPr>
        <w:t>anuales y circulares</w:t>
      </w:r>
    </w:p>
    <w:p w14:paraId="475FAECE" w14:textId="3520B94C" w:rsidR="008702BA" w:rsidRPr="009F5860" w:rsidRDefault="008702BA" w:rsidP="003C7067">
      <w:pPr>
        <w:tabs>
          <w:tab w:val="left" w:pos="0"/>
        </w:tabs>
        <w:spacing w:line="276" w:lineRule="auto"/>
        <w:jc w:val="both"/>
        <w:rPr>
          <w:rFonts w:ascii="Arial" w:eastAsia="Calibri" w:hAnsi="Arial" w:cs="Arial"/>
          <w:b/>
          <w:sz w:val="22"/>
          <w:lang w:val="es-ES"/>
        </w:rPr>
      </w:pPr>
    </w:p>
    <w:p w14:paraId="76B1BB88" w14:textId="7567F897" w:rsidR="00F13E1E" w:rsidRPr="009F5860" w:rsidRDefault="0099278D" w:rsidP="00F13E1E">
      <w:pPr>
        <w:tabs>
          <w:tab w:val="left" w:pos="0"/>
        </w:tabs>
        <w:jc w:val="both"/>
        <w:rPr>
          <w:rFonts w:ascii="Arial" w:eastAsia="Arial" w:hAnsi="Arial" w:cs="Arial"/>
          <w:sz w:val="20"/>
          <w:szCs w:val="20"/>
          <w:lang w:val="es-ES" w:eastAsia="en-US"/>
        </w:rPr>
      </w:pPr>
      <w:r w:rsidRPr="009F5860">
        <w:rPr>
          <w:rFonts w:ascii="Arial" w:eastAsia="Arial" w:hAnsi="Arial" w:cs="Arial"/>
          <w:sz w:val="20"/>
          <w:szCs w:val="20"/>
          <w:lang w:val="es-ES" w:eastAsia="en-US"/>
        </w:rPr>
        <w:t xml:space="preserve">[…] </w:t>
      </w:r>
      <w:r w:rsidR="00F13E1E" w:rsidRPr="009F5860">
        <w:rPr>
          <w:rFonts w:ascii="Arial" w:eastAsia="Arial" w:hAnsi="Arial" w:cs="Arial"/>
          <w:sz w:val="20"/>
          <w:szCs w:val="20"/>
          <w:lang w:val="es-ES" w:eastAsia="en-US"/>
        </w:rPr>
        <w:t xml:space="preserve">lo que define la obligatoriedad de determinado acto que expida la entidad no es que se adopte mediante circular externa, sino que el contenido sea de aquellos cuya regulación ha sido encargada por el legislador o el </w:t>
      </w:r>
      <w:proofErr w:type="gramStart"/>
      <w:r w:rsidR="00F13E1E" w:rsidRPr="009F5860">
        <w:rPr>
          <w:rFonts w:ascii="Arial" w:eastAsia="Arial" w:hAnsi="Arial" w:cs="Arial"/>
          <w:sz w:val="20"/>
          <w:szCs w:val="20"/>
          <w:lang w:val="es-ES" w:eastAsia="en-US"/>
        </w:rPr>
        <w:t>Presidente</w:t>
      </w:r>
      <w:proofErr w:type="gramEnd"/>
      <w:r w:rsidR="00F13E1E" w:rsidRPr="009F5860">
        <w:rPr>
          <w:rFonts w:ascii="Arial" w:eastAsia="Arial" w:hAnsi="Arial" w:cs="Arial"/>
          <w:sz w:val="20"/>
          <w:szCs w:val="20"/>
          <w:lang w:val="es-ES" w:eastAsia="en-US"/>
        </w:rPr>
        <w:t xml:space="preserve"> de la República a la Agencia Nacional de Contratación Pública. Lo anterior hace referencia a uno de los elementos de los actos administrativos: la competencia. Así las cosas, de acuerdo con esta postura, para que un acto expedido por esta entidad sea obligatorio o vinculante, debe reunir todos los demás elementos de un acto administrativo, entendido éste desde su concepción clásica, como la manifestación unilateral de voluntad de la Administración Pública, en ejercicio de la función administrativa, con el potencial de producir efectos jurídicos.</w:t>
      </w:r>
    </w:p>
    <w:p w14:paraId="4371560D" w14:textId="1B74490B" w:rsidR="00F13E1E" w:rsidRPr="009F5860" w:rsidRDefault="00F13E1E" w:rsidP="00F13E1E">
      <w:pPr>
        <w:tabs>
          <w:tab w:val="left" w:pos="0"/>
        </w:tabs>
        <w:jc w:val="both"/>
        <w:rPr>
          <w:rFonts w:ascii="Arial" w:eastAsia="Arial" w:hAnsi="Arial" w:cs="Arial"/>
          <w:sz w:val="20"/>
          <w:szCs w:val="20"/>
          <w:lang w:val="es-ES" w:eastAsia="en-US"/>
        </w:rPr>
      </w:pPr>
      <w:r w:rsidRPr="009F5860">
        <w:rPr>
          <w:rFonts w:ascii="Arial" w:eastAsia="Arial" w:hAnsi="Arial" w:cs="Arial"/>
          <w:sz w:val="20"/>
          <w:szCs w:val="20"/>
          <w:lang w:val="es-ES" w:eastAsia="en-US"/>
        </w:rPr>
        <w:t>Este enfoque sustantivo o material en relación con la obligatoriedad de las circulares, guías, manuales o documentos tipo se corresponde con las consideraciones de la jurisprudencia del Consejo de Estado al momento de determinar si se está ante un acto de la administración controlable por la jurisdicción de lo contencioso administrativo, esto es, si se está en presencia de un acto administrativo.</w:t>
      </w:r>
    </w:p>
    <w:p w14:paraId="6BF48B9A" w14:textId="77777777" w:rsidR="00F13E1E" w:rsidRPr="00E74412" w:rsidRDefault="00F13E1E" w:rsidP="003C7067">
      <w:pPr>
        <w:tabs>
          <w:tab w:val="left" w:pos="0"/>
        </w:tabs>
        <w:spacing w:line="276" w:lineRule="auto"/>
        <w:jc w:val="both"/>
        <w:rPr>
          <w:rFonts w:ascii="Arial" w:eastAsia="Calibri" w:hAnsi="Arial" w:cs="Arial"/>
          <w:b/>
          <w:bCs/>
          <w:sz w:val="22"/>
          <w:szCs w:val="22"/>
          <w:lang w:val="es-ES"/>
        </w:rPr>
      </w:pPr>
    </w:p>
    <w:p w14:paraId="59C5A0D8" w14:textId="77777777" w:rsidR="00E74412" w:rsidRPr="00E74412" w:rsidRDefault="00E74412" w:rsidP="00E74412">
      <w:pPr>
        <w:spacing w:before="35" w:line="276" w:lineRule="auto"/>
        <w:ind w:right="111"/>
        <w:jc w:val="both"/>
        <w:rPr>
          <w:rFonts w:ascii="Arial" w:hAnsi="Arial" w:cs="Arial"/>
          <w:b/>
          <w:bCs/>
          <w:sz w:val="20"/>
        </w:rPr>
      </w:pPr>
      <w:r w:rsidRPr="00E74412">
        <w:rPr>
          <w:rFonts w:ascii="Arial" w:hAnsi="Arial" w:cs="Arial" w:hint="cs"/>
          <w:b/>
          <w:bCs/>
          <w:sz w:val="20"/>
        </w:rPr>
        <w:t>GUÍA</w:t>
      </w:r>
      <w:r w:rsidRPr="00E74412">
        <w:rPr>
          <w:rFonts w:ascii="Arial" w:hAnsi="Arial" w:cs="Arial" w:hint="cs"/>
          <w:b/>
          <w:bCs/>
          <w:spacing w:val="1"/>
          <w:sz w:val="20"/>
        </w:rPr>
        <w:t xml:space="preserve"> </w:t>
      </w:r>
      <w:r w:rsidRPr="00E74412">
        <w:rPr>
          <w:rFonts w:ascii="Arial" w:hAnsi="Arial" w:cs="Arial" w:hint="cs"/>
          <w:b/>
          <w:bCs/>
          <w:sz w:val="20"/>
        </w:rPr>
        <w:t>DE</w:t>
      </w:r>
      <w:r w:rsidRPr="00E74412">
        <w:rPr>
          <w:rFonts w:ascii="Arial" w:hAnsi="Arial" w:cs="Arial" w:hint="cs"/>
          <w:b/>
          <w:bCs/>
          <w:spacing w:val="1"/>
          <w:sz w:val="20"/>
        </w:rPr>
        <w:t xml:space="preserve"> </w:t>
      </w:r>
      <w:r w:rsidRPr="00E74412">
        <w:rPr>
          <w:rFonts w:ascii="Arial" w:hAnsi="Arial" w:cs="Arial" w:hint="cs"/>
          <w:b/>
          <w:bCs/>
          <w:sz w:val="20"/>
        </w:rPr>
        <w:t>CONTRATACIÓN</w:t>
      </w:r>
      <w:r w:rsidRPr="00E74412">
        <w:rPr>
          <w:rFonts w:ascii="Arial" w:hAnsi="Arial" w:cs="Arial" w:hint="cs"/>
          <w:b/>
          <w:bCs/>
          <w:spacing w:val="-3"/>
          <w:sz w:val="20"/>
        </w:rPr>
        <w:t xml:space="preserve"> </w:t>
      </w:r>
      <w:r w:rsidRPr="00E74412">
        <w:rPr>
          <w:rFonts w:ascii="Arial" w:hAnsi="Arial" w:cs="Arial" w:hint="cs"/>
          <w:b/>
          <w:bCs/>
          <w:sz w:val="20"/>
        </w:rPr>
        <w:t>DE</w:t>
      </w:r>
      <w:r w:rsidRPr="00E74412">
        <w:rPr>
          <w:rFonts w:ascii="Arial" w:hAnsi="Arial" w:cs="Arial" w:hint="cs"/>
          <w:b/>
          <w:bCs/>
          <w:spacing w:val="-2"/>
          <w:sz w:val="20"/>
        </w:rPr>
        <w:t xml:space="preserve"> </w:t>
      </w:r>
      <w:r w:rsidRPr="00E74412">
        <w:rPr>
          <w:rFonts w:ascii="Arial" w:hAnsi="Arial" w:cs="Arial" w:hint="cs"/>
          <w:b/>
          <w:bCs/>
          <w:sz w:val="20"/>
        </w:rPr>
        <w:t>OBRA</w:t>
      </w:r>
      <w:r w:rsidRPr="00E74412">
        <w:rPr>
          <w:rFonts w:ascii="Arial" w:hAnsi="Arial" w:cs="Arial" w:hint="cs"/>
          <w:b/>
          <w:bCs/>
          <w:spacing w:val="-2"/>
          <w:sz w:val="20"/>
        </w:rPr>
        <w:t xml:space="preserve"> </w:t>
      </w:r>
      <w:r w:rsidRPr="00E74412">
        <w:rPr>
          <w:rFonts w:ascii="Arial" w:hAnsi="Arial" w:cs="Arial" w:hint="cs"/>
          <w:b/>
          <w:bCs/>
          <w:sz w:val="20"/>
        </w:rPr>
        <w:t>PÚBLICA</w:t>
      </w:r>
      <w:r w:rsidRPr="00E74412">
        <w:rPr>
          <w:rFonts w:ascii="Arial" w:hAnsi="Arial" w:cs="Arial" w:hint="cs"/>
          <w:b/>
          <w:bCs/>
          <w:spacing w:val="4"/>
          <w:sz w:val="20"/>
        </w:rPr>
        <w:t xml:space="preserve"> </w:t>
      </w:r>
      <w:r w:rsidRPr="00E74412">
        <w:rPr>
          <w:rFonts w:ascii="Arial" w:hAnsi="Arial" w:cs="Arial" w:hint="cs"/>
          <w:b/>
          <w:bCs/>
          <w:sz w:val="20"/>
        </w:rPr>
        <w:t>–</w:t>
      </w:r>
      <w:r w:rsidRPr="00E74412">
        <w:rPr>
          <w:rFonts w:ascii="Arial" w:hAnsi="Arial" w:cs="Arial" w:hint="cs"/>
          <w:b/>
          <w:bCs/>
          <w:spacing w:val="-2"/>
          <w:sz w:val="20"/>
        </w:rPr>
        <w:t xml:space="preserve"> </w:t>
      </w:r>
      <w:r w:rsidRPr="00E74412">
        <w:rPr>
          <w:rFonts w:ascii="Arial" w:hAnsi="Arial" w:cs="Arial" w:hint="cs"/>
          <w:b/>
          <w:bCs/>
          <w:sz w:val="20"/>
        </w:rPr>
        <w:t>Obligatoriedad</w:t>
      </w:r>
    </w:p>
    <w:p w14:paraId="5E6F1E2D" w14:textId="77777777" w:rsidR="00E74412" w:rsidRPr="009F5860" w:rsidRDefault="00E74412" w:rsidP="003C7067">
      <w:pPr>
        <w:tabs>
          <w:tab w:val="left" w:pos="0"/>
        </w:tabs>
        <w:spacing w:line="276" w:lineRule="auto"/>
        <w:jc w:val="both"/>
        <w:rPr>
          <w:rFonts w:ascii="Arial" w:eastAsia="Calibri" w:hAnsi="Arial" w:cs="Arial"/>
          <w:b/>
          <w:sz w:val="22"/>
          <w:lang w:val="es-ES"/>
        </w:rPr>
      </w:pPr>
    </w:p>
    <w:p w14:paraId="32B2C8C7" w14:textId="77777777" w:rsidR="0099278D" w:rsidRPr="009F5860" w:rsidRDefault="0099278D" w:rsidP="0099278D">
      <w:pPr>
        <w:tabs>
          <w:tab w:val="left" w:pos="0"/>
        </w:tabs>
        <w:jc w:val="both"/>
        <w:rPr>
          <w:rFonts w:ascii="Arial" w:eastAsia="Arial" w:hAnsi="Arial" w:cs="Arial"/>
          <w:sz w:val="20"/>
          <w:szCs w:val="20"/>
          <w:lang w:val="es-ES" w:eastAsia="en-US"/>
        </w:rPr>
      </w:pPr>
      <w:r w:rsidRPr="009F5860">
        <w:rPr>
          <w:rFonts w:ascii="Arial" w:eastAsia="Arial" w:hAnsi="Arial" w:cs="Arial"/>
          <w:sz w:val="20"/>
          <w:szCs w:val="20"/>
          <w:lang w:val="es-ES" w:eastAsia="en-US"/>
        </w:rPr>
        <w:t>La regla de la inalterabilidad es una prohibición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7B0BD42D" w14:textId="0FCD56D5" w:rsidR="0099278D" w:rsidRPr="009F5860" w:rsidRDefault="0099278D" w:rsidP="0099278D">
      <w:pPr>
        <w:tabs>
          <w:tab w:val="left" w:pos="0"/>
        </w:tabs>
        <w:jc w:val="both"/>
        <w:rPr>
          <w:rFonts w:ascii="Arial" w:eastAsia="Arial" w:hAnsi="Arial" w:cs="Arial"/>
          <w:sz w:val="20"/>
          <w:szCs w:val="20"/>
          <w:lang w:val="es-ES" w:eastAsia="en-US"/>
        </w:rPr>
      </w:pPr>
      <w:r w:rsidRPr="009F5860">
        <w:rPr>
          <w:rFonts w:ascii="Arial" w:eastAsia="Arial" w:hAnsi="Arial" w:cs="Arial"/>
          <w:sz w:val="20"/>
          <w:szCs w:val="20"/>
          <w:lang w:val="es-ES" w:eastAsia="en-US"/>
        </w:rPr>
        <w:lastRenderedPageBreak/>
        <w:t>El fundamento legal vigente de la regla de la inalterabilidad, como expresión de la obligatoriedad de los documentos tipo, se encuentra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Incluso por vía reglamentaria también quedó consignado en su momento el carácter inmodificable de los pliegos tipo en el artículo 1 de los Decretos 342 de 2019 y 594 de 2020, que adicionaron, respectivamente, los artículos 2.2.1.2.6.1.4. y 2.2.1.2.6.3.4 al Decreto 1082 de 2015.</w:t>
      </w:r>
    </w:p>
    <w:p w14:paraId="5FA2EC38" w14:textId="77777777" w:rsidR="0099278D" w:rsidRPr="009F5860" w:rsidRDefault="0099278D" w:rsidP="003C7067">
      <w:pPr>
        <w:tabs>
          <w:tab w:val="left" w:pos="0"/>
        </w:tabs>
        <w:spacing w:line="276" w:lineRule="auto"/>
        <w:jc w:val="both"/>
        <w:rPr>
          <w:rFonts w:ascii="Arial" w:eastAsia="Calibri" w:hAnsi="Arial" w:cs="Arial"/>
          <w:b/>
          <w:sz w:val="22"/>
          <w:lang w:val="es-ES"/>
        </w:rPr>
      </w:pPr>
    </w:p>
    <w:p w14:paraId="25236DEF" w14:textId="77777777" w:rsidR="007F4036" w:rsidRPr="009F5860" w:rsidRDefault="007F4036" w:rsidP="003C7067">
      <w:pPr>
        <w:tabs>
          <w:tab w:val="left" w:pos="0"/>
        </w:tabs>
        <w:spacing w:line="276" w:lineRule="auto"/>
        <w:jc w:val="both"/>
        <w:rPr>
          <w:rFonts w:ascii="Arial" w:eastAsia="Calibri" w:hAnsi="Arial" w:cs="Arial"/>
          <w:b/>
          <w:sz w:val="22"/>
          <w:lang w:val="es-ES"/>
        </w:rPr>
      </w:pPr>
    </w:p>
    <w:p w14:paraId="153125AE" w14:textId="77777777" w:rsidR="00452C65" w:rsidRPr="009F5860" w:rsidRDefault="00452C65" w:rsidP="003C7067">
      <w:pPr>
        <w:tabs>
          <w:tab w:val="left" w:pos="0"/>
        </w:tabs>
        <w:spacing w:line="276" w:lineRule="auto"/>
        <w:jc w:val="both"/>
        <w:rPr>
          <w:rFonts w:ascii="Arial" w:eastAsia="Calibri" w:hAnsi="Arial" w:cs="Arial"/>
          <w:b/>
          <w:sz w:val="22"/>
          <w:lang w:val="es-ES"/>
        </w:rPr>
      </w:pPr>
    </w:p>
    <w:p w14:paraId="4CFF536A" w14:textId="7A2FDC13" w:rsidR="00452C65" w:rsidRPr="009F5860" w:rsidRDefault="00452C65" w:rsidP="003C7067">
      <w:pPr>
        <w:tabs>
          <w:tab w:val="left" w:pos="0"/>
        </w:tabs>
        <w:spacing w:line="276" w:lineRule="auto"/>
        <w:jc w:val="both"/>
        <w:rPr>
          <w:rFonts w:ascii="Arial" w:eastAsia="Calibri" w:hAnsi="Arial" w:cs="Arial"/>
          <w:b/>
          <w:sz w:val="22"/>
          <w:lang w:val="es-ES"/>
        </w:rPr>
      </w:pPr>
    </w:p>
    <w:p w14:paraId="191ACB8D" w14:textId="33FFA36F" w:rsidR="00452C65" w:rsidRPr="009F5860" w:rsidRDefault="00452C65" w:rsidP="003C7067">
      <w:pPr>
        <w:tabs>
          <w:tab w:val="left" w:pos="0"/>
        </w:tabs>
        <w:spacing w:line="276" w:lineRule="auto"/>
        <w:jc w:val="both"/>
        <w:rPr>
          <w:rFonts w:ascii="Arial" w:eastAsia="Calibri" w:hAnsi="Arial" w:cs="Arial"/>
          <w:b/>
          <w:sz w:val="22"/>
          <w:lang w:val="es-ES"/>
        </w:rPr>
      </w:pPr>
    </w:p>
    <w:p w14:paraId="712DB08A" w14:textId="00DA8876" w:rsidR="00452C65" w:rsidRPr="009F5860" w:rsidRDefault="00452C65" w:rsidP="003C7067">
      <w:pPr>
        <w:tabs>
          <w:tab w:val="left" w:pos="0"/>
        </w:tabs>
        <w:spacing w:line="276" w:lineRule="auto"/>
        <w:jc w:val="both"/>
        <w:rPr>
          <w:rFonts w:ascii="Arial" w:eastAsia="Calibri" w:hAnsi="Arial" w:cs="Arial"/>
          <w:b/>
          <w:sz w:val="22"/>
          <w:lang w:val="es-ES"/>
        </w:rPr>
      </w:pPr>
    </w:p>
    <w:p w14:paraId="5AB1C0C0" w14:textId="703C7431" w:rsidR="00452C65" w:rsidRPr="009F5860" w:rsidRDefault="00452C65" w:rsidP="003C7067">
      <w:pPr>
        <w:tabs>
          <w:tab w:val="left" w:pos="0"/>
        </w:tabs>
        <w:spacing w:line="276" w:lineRule="auto"/>
        <w:jc w:val="both"/>
        <w:rPr>
          <w:rFonts w:ascii="Arial" w:eastAsia="Calibri" w:hAnsi="Arial" w:cs="Arial"/>
          <w:b/>
          <w:sz w:val="22"/>
          <w:lang w:val="es-ES"/>
        </w:rPr>
      </w:pPr>
    </w:p>
    <w:p w14:paraId="5A427D6D" w14:textId="7EAB3F4B" w:rsidR="00452C65" w:rsidRPr="009F5860" w:rsidRDefault="00452C65" w:rsidP="003C7067">
      <w:pPr>
        <w:tabs>
          <w:tab w:val="left" w:pos="0"/>
        </w:tabs>
        <w:spacing w:line="276" w:lineRule="auto"/>
        <w:jc w:val="both"/>
        <w:rPr>
          <w:rFonts w:ascii="Arial" w:eastAsia="Calibri" w:hAnsi="Arial" w:cs="Arial"/>
          <w:b/>
          <w:sz w:val="22"/>
          <w:lang w:val="es-ES"/>
        </w:rPr>
      </w:pPr>
    </w:p>
    <w:p w14:paraId="0AA8167D" w14:textId="0334C92D" w:rsidR="004963B0" w:rsidRPr="009F5860" w:rsidRDefault="004963B0" w:rsidP="003C7067">
      <w:pPr>
        <w:tabs>
          <w:tab w:val="left" w:pos="0"/>
        </w:tabs>
        <w:spacing w:line="276" w:lineRule="auto"/>
        <w:jc w:val="both"/>
        <w:rPr>
          <w:rFonts w:ascii="Arial" w:eastAsia="Calibri" w:hAnsi="Arial" w:cs="Arial"/>
          <w:b/>
          <w:sz w:val="22"/>
          <w:lang w:val="es-ES"/>
        </w:rPr>
      </w:pPr>
    </w:p>
    <w:p w14:paraId="1B1687C3" w14:textId="4A62F119" w:rsidR="004963B0" w:rsidRPr="009F5860" w:rsidRDefault="004963B0" w:rsidP="003C7067">
      <w:pPr>
        <w:tabs>
          <w:tab w:val="left" w:pos="0"/>
        </w:tabs>
        <w:spacing w:line="276" w:lineRule="auto"/>
        <w:jc w:val="both"/>
        <w:rPr>
          <w:rFonts w:ascii="Arial" w:eastAsia="Calibri" w:hAnsi="Arial" w:cs="Arial"/>
          <w:b/>
          <w:sz w:val="22"/>
          <w:lang w:val="es-ES"/>
        </w:rPr>
      </w:pPr>
    </w:p>
    <w:p w14:paraId="50C831D5" w14:textId="2B2CABD8" w:rsidR="004963B0" w:rsidRPr="009F5860" w:rsidRDefault="004963B0" w:rsidP="003C7067">
      <w:pPr>
        <w:tabs>
          <w:tab w:val="left" w:pos="0"/>
        </w:tabs>
        <w:spacing w:line="276" w:lineRule="auto"/>
        <w:jc w:val="both"/>
        <w:rPr>
          <w:rFonts w:ascii="Arial" w:eastAsia="Calibri" w:hAnsi="Arial" w:cs="Arial"/>
          <w:b/>
          <w:sz w:val="22"/>
          <w:lang w:val="es-ES"/>
        </w:rPr>
      </w:pPr>
    </w:p>
    <w:p w14:paraId="6BC953C9" w14:textId="4EE7BFA1" w:rsidR="004963B0" w:rsidRPr="009F5860" w:rsidRDefault="004963B0" w:rsidP="003C7067">
      <w:pPr>
        <w:tabs>
          <w:tab w:val="left" w:pos="0"/>
        </w:tabs>
        <w:spacing w:line="276" w:lineRule="auto"/>
        <w:jc w:val="both"/>
        <w:rPr>
          <w:rFonts w:ascii="Arial" w:eastAsia="Calibri" w:hAnsi="Arial" w:cs="Arial"/>
          <w:b/>
          <w:sz w:val="22"/>
          <w:lang w:val="es-ES"/>
        </w:rPr>
      </w:pPr>
    </w:p>
    <w:p w14:paraId="2BAF7382" w14:textId="04EF0AE9" w:rsidR="004963B0" w:rsidRPr="009F5860" w:rsidRDefault="004963B0" w:rsidP="003C7067">
      <w:pPr>
        <w:tabs>
          <w:tab w:val="left" w:pos="0"/>
        </w:tabs>
        <w:spacing w:line="276" w:lineRule="auto"/>
        <w:jc w:val="both"/>
        <w:rPr>
          <w:rFonts w:ascii="Arial" w:eastAsia="Calibri" w:hAnsi="Arial" w:cs="Arial"/>
          <w:b/>
          <w:sz w:val="22"/>
          <w:lang w:val="es-ES"/>
        </w:rPr>
      </w:pPr>
    </w:p>
    <w:p w14:paraId="61824776" w14:textId="5DFC6A42" w:rsidR="004963B0" w:rsidRPr="009F5860" w:rsidRDefault="004963B0" w:rsidP="003C7067">
      <w:pPr>
        <w:tabs>
          <w:tab w:val="left" w:pos="0"/>
        </w:tabs>
        <w:spacing w:line="276" w:lineRule="auto"/>
        <w:jc w:val="both"/>
        <w:rPr>
          <w:rFonts w:ascii="Arial" w:eastAsia="Calibri" w:hAnsi="Arial" w:cs="Arial"/>
          <w:b/>
          <w:sz w:val="22"/>
          <w:lang w:val="es-ES"/>
        </w:rPr>
      </w:pPr>
    </w:p>
    <w:p w14:paraId="37855180" w14:textId="10946814" w:rsidR="004963B0" w:rsidRPr="009F5860" w:rsidRDefault="004963B0" w:rsidP="003C7067">
      <w:pPr>
        <w:tabs>
          <w:tab w:val="left" w:pos="0"/>
        </w:tabs>
        <w:spacing w:line="276" w:lineRule="auto"/>
        <w:jc w:val="both"/>
        <w:rPr>
          <w:rFonts w:ascii="Arial" w:eastAsia="Calibri" w:hAnsi="Arial" w:cs="Arial"/>
          <w:b/>
          <w:sz w:val="22"/>
          <w:lang w:val="es-ES"/>
        </w:rPr>
      </w:pPr>
    </w:p>
    <w:p w14:paraId="2869932B" w14:textId="753FB288" w:rsidR="004963B0" w:rsidRPr="009F5860" w:rsidRDefault="004963B0" w:rsidP="003C7067">
      <w:pPr>
        <w:tabs>
          <w:tab w:val="left" w:pos="0"/>
        </w:tabs>
        <w:spacing w:line="276" w:lineRule="auto"/>
        <w:jc w:val="both"/>
        <w:rPr>
          <w:rFonts w:ascii="Arial" w:eastAsia="Calibri" w:hAnsi="Arial" w:cs="Arial"/>
          <w:b/>
          <w:sz w:val="22"/>
          <w:lang w:val="es-ES"/>
        </w:rPr>
      </w:pPr>
    </w:p>
    <w:p w14:paraId="27B10A69" w14:textId="4DE9337D" w:rsidR="004963B0" w:rsidRPr="009F5860" w:rsidRDefault="004963B0" w:rsidP="003C7067">
      <w:pPr>
        <w:tabs>
          <w:tab w:val="left" w:pos="0"/>
        </w:tabs>
        <w:spacing w:line="276" w:lineRule="auto"/>
        <w:jc w:val="both"/>
        <w:rPr>
          <w:rFonts w:ascii="Arial" w:eastAsia="Calibri" w:hAnsi="Arial" w:cs="Arial"/>
          <w:b/>
          <w:sz w:val="22"/>
          <w:lang w:val="es-ES"/>
        </w:rPr>
      </w:pPr>
    </w:p>
    <w:p w14:paraId="066917FB" w14:textId="75ABB790" w:rsidR="004963B0" w:rsidRPr="009F5860" w:rsidRDefault="004963B0" w:rsidP="003C7067">
      <w:pPr>
        <w:tabs>
          <w:tab w:val="left" w:pos="0"/>
        </w:tabs>
        <w:spacing w:line="276" w:lineRule="auto"/>
        <w:jc w:val="both"/>
        <w:rPr>
          <w:rFonts w:ascii="Arial" w:eastAsia="Calibri" w:hAnsi="Arial" w:cs="Arial"/>
          <w:b/>
          <w:sz w:val="22"/>
          <w:lang w:val="es-ES"/>
        </w:rPr>
      </w:pPr>
    </w:p>
    <w:p w14:paraId="57ADF5BD" w14:textId="47B93930" w:rsidR="0099278D" w:rsidRPr="009F5860" w:rsidRDefault="0099278D" w:rsidP="003C7067">
      <w:pPr>
        <w:tabs>
          <w:tab w:val="left" w:pos="0"/>
        </w:tabs>
        <w:spacing w:line="276" w:lineRule="auto"/>
        <w:jc w:val="both"/>
        <w:rPr>
          <w:rFonts w:ascii="Arial" w:eastAsia="Calibri" w:hAnsi="Arial" w:cs="Arial"/>
          <w:b/>
          <w:sz w:val="22"/>
          <w:lang w:val="es-ES"/>
        </w:rPr>
      </w:pPr>
    </w:p>
    <w:p w14:paraId="27D3C500" w14:textId="02394D52" w:rsidR="0099278D" w:rsidRPr="009F5860" w:rsidRDefault="0099278D" w:rsidP="003C7067">
      <w:pPr>
        <w:tabs>
          <w:tab w:val="left" w:pos="0"/>
        </w:tabs>
        <w:spacing w:line="276" w:lineRule="auto"/>
        <w:jc w:val="both"/>
        <w:rPr>
          <w:rFonts w:ascii="Arial" w:eastAsia="Calibri" w:hAnsi="Arial" w:cs="Arial"/>
          <w:b/>
          <w:sz w:val="22"/>
          <w:lang w:val="es-ES"/>
        </w:rPr>
      </w:pPr>
    </w:p>
    <w:p w14:paraId="6B57FEBB" w14:textId="29D431C4" w:rsidR="0099278D" w:rsidRPr="009F5860" w:rsidRDefault="0099278D" w:rsidP="003C7067">
      <w:pPr>
        <w:tabs>
          <w:tab w:val="left" w:pos="0"/>
        </w:tabs>
        <w:spacing w:line="276" w:lineRule="auto"/>
        <w:jc w:val="both"/>
        <w:rPr>
          <w:rFonts w:ascii="Arial" w:eastAsia="Calibri" w:hAnsi="Arial" w:cs="Arial"/>
          <w:b/>
          <w:sz w:val="22"/>
          <w:lang w:val="es-ES"/>
        </w:rPr>
      </w:pPr>
    </w:p>
    <w:p w14:paraId="4C85F0E9" w14:textId="49780A23" w:rsidR="0099278D" w:rsidRPr="009F5860" w:rsidRDefault="0099278D" w:rsidP="003C7067">
      <w:pPr>
        <w:tabs>
          <w:tab w:val="left" w:pos="0"/>
        </w:tabs>
        <w:spacing w:line="276" w:lineRule="auto"/>
        <w:jc w:val="both"/>
        <w:rPr>
          <w:rFonts w:ascii="Arial" w:eastAsia="Calibri" w:hAnsi="Arial" w:cs="Arial"/>
          <w:b/>
          <w:sz w:val="22"/>
          <w:lang w:val="es-ES"/>
        </w:rPr>
      </w:pPr>
    </w:p>
    <w:p w14:paraId="1D29C559" w14:textId="668498A2" w:rsidR="0099278D" w:rsidRPr="009F5860" w:rsidRDefault="0099278D" w:rsidP="003C7067">
      <w:pPr>
        <w:tabs>
          <w:tab w:val="left" w:pos="0"/>
        </w:tabs>
        <w:spacing w:line="276" w:lineRule="auto"/>
        <w:jc w:val="both"/>
        <w:rPr>
          <w:rFonts w:ascii="Arial" w:eastAsia="Calibri" w:hAnsi="Arial" w:cs="Arial"/>
          <w:b/>
          <w:sz w:val="22"/>
          <w:lang w:val="es-ES"/>
        </w:rPr>
      </w:pPr>
    </w:p>
    <w:p w14:paraId="07E06CA0" w14:textId="47B3ED92" w:rsidR="0099278D" w:rsidRPr="009F5860" w:rsidRDefault="0099278D" w:rsidP="003C7067">
      <w:pPr>
        <w:tabs>
          <w:tab w:val="left" w:pos="0"/>
        </w:tabs>
        <w:spacing w:line="276" w:lineRule="auto"/>
        <w:jc w:val="both"/>
        <w:rPr>
          <w:rFonts w:ascii="Arial" w:eastAsia="Calibri" w:hAnsi="Arial" w:cs="Arial"/>
          <w:b/>
          <w:sz w:val="22"/>
          <w:lang w:val="es-ES"/>
        </w:rPr>
      </w:pPr>
    </w:p>
    <w:p w14:paraId="5CADE3C3" w14:textId="160794FF" w:rsidR="0099278D" w:rsidRPr="009F5860" w:rsidRDefault="0099278D" w:rsidP="003C7067">
      <w:pPr>
        <w:tabs>
          <w:tab w:val="left" w:pos="0"/>
        </w:tabs>
        <w:spacing w:line="276" w:lineRule="auto"/>
        <w:jc w:val="both"/>
        <w:rPr>
          <w:rFonts w:ascii="Arial" w:eastAsia="Calibri" w:hAnsi="Arial" w:cs="Arial"/>
          <w:b/>
          <w:sz w:val="22"/>
          <w:lang w:val="es-ES"/>
        </w:rPr>
      </w:pPr>
    </w:p>
    <w:p w14:paraId="3BEBB65B" w14:textId="5CBF91FB" w:rsidR="0099278D" w:rsidRPr="009F5860" w:rsidRDefault="0099278D" w:rsidP="003C7067">
      <w:pPr>
        <w:tabs>
          <w:tab w:val="left" w:pos="0"/>
        </w:tabs>
        <w:spacing w:line="276" w:lineRule="auto"/>
        <w:jc w:val="both"/>
        <w:rPr>
          <w:rFonts w:ascii="Arial" w:eastAsia="Calibri" w:hAnsi="Arial" w:cs="Arial"/>
          <w:b/>
          <w:sz w:val="22"/>
          <w:lang w:val="es-ES"/>
        </w:rPr>
      </w:pPr>
    </w:p>
    <w:p w14:paraId="3C502A9E" w14:textId="6A7FC078" w:rsidR="0099278D" w:rsidRPr="009F5860" w:rsidRDefault="0099278D" w:rsidP="003C7067">
      <w:pPr>
        <w:tabs>
          <w:tab w:val="left" w:pos="0"/>
        </w:tabs>
        <w:spacing w:line="276" w:lineRule="auto"/>
        <w:jc w:val="both"/>
        <w:rPr>
          <w:rFonts w:ascii="Arial" w:eastAsia="Calibri" w:hAnsi="Arial" w:cs="Arial"/>
          <w:b/>
          <w:sz w:val="22"/>
          <w:lang w:val="es-ES"/>
        </w:rPr>
      </w:pPr>
    </w:p>
    <w:p w14:paraId="4207A9F7" w14:textId="3B103190" w:rsidR="0099278D" w:rsidRPr="009F5860" w:rsidRDefault="0099278D" w:rsidP="003C7067">
      <w:pPr>
        <w:tabs>
          <w:tab w:val="left" w:pos="0"/>
        </w:tabs>
        <w:spacing w:line="276" w:lineRule="auto"/>
        <w:jc w:val="both"/>
        <w:rPr>
          <w:rFonts w:ascii="Arial" w:eastAsia="Calibri" w:hAnsi="Arial" w:cs="Arial"/>
          <w:b/>
          <w:sz w:val="22"/>
          <w:lang w:val="es-ES"/>
        </w:rPr>
      </w:pPr>
    </w:p>
    <w:p w14:paraId="774A2A11" w14:textId="733CB653" w:rsidR="0099278D" w:rsidRPr="009F5860" w:rsidRDefault="0099278D" w:rsidP="003C7067">
      <w:pPr>
        <w:tabs>
          <w:tab w:val="left" w:pos="0"/>
        </w:tabs>
        <w:spacing w:line="276" w:lineRule="auto"/>
        <w:jc w:val="both"/>
        <w:rPr>
          <w:rFonts w:ascii="Arial" w:eastAsia="Calibri" w:hAnsi="Arial" w:cs="Arial"/>
          <w:b/>
          <w:sz w:val="22"/>
          <w:lang w:val="es-ES"/>
        </w:rPr>
      </w:pPr>
    </w:p>
    <w:p w14:paraId="7B2B7A92" w14:textId="4E0A2CF2" w:rsidR="0099278D" w:rsidRPr="009F5860" w:rsidRDefault="0099278D" w:rsidP="003C7067">
      <w:pPr>
        <w:tabs>
          <w:tab w:val="left" w:pos="0"/>
        </w:tabs>
        <w:spacing w:line="276" w:lineRule="auto"/>
        <w:jc w:val="both"/>
        <w:rPr>
          <w:rFonts w:ascii="Arial" w:eastAsia="Calibri" w:hAnsi="Arial" w:cs="Arial"/>
          <w:b/>
          <w:sz w:val="22"/>
          <w:lang w:val="es-ES"/>
        </w:rPr>
      </w:pPr>
    </w:p>
    <w:p w14:paraId="776B2E21" w14:textId="65D5AF9B" w:rsidR="0099278D" w:rsidRPr="009F5860" w:rsidRDefault="0099278D" w:rsidP="003C7067">
      <w:pPr>
        <w:tabs>
          <w:tab w:val="left" w:pos="0"/>
        </w:tabs>
        <w:spacing w:line="276" w:lineRule="auto"/>
        <w:jc w:val="both"/>
        <w:rPr>
          <w:rFonts w:ascii="Arial" w:eastAsia="Calibri" w:hAnsi="Arial" w:cs="Arial"/>
          <w:b/>
          <w:sz w:val="22"/>
          <w:lang w:val="es-ES"/>
        </w:rPr>
      </w:pPr>
    </w:p>
    <w:p w14:paraId="51BEC4D2" w14:textId="1E917B44" w:rsidR="0099278D" w:rsidRPr="009F5860" w:rsidRDefault="0099278D" w:rsidP="003C7067">
      <w:pPr>
        <w:tabs>
          <w:tab w:val="left" w:pos="0"/>
        </w:tabs>
        <w:spacing w:line="276" w:lineRule="auto"/>
        <w:jc w:val="both"/>
        <w:rPr>
          <w:rFonts w:ascii="Arial" w:eastAsia="Calibri" w:hAnsi="Arial" w:cs="Arial"/>
          <w:b/>
          <w:sz w:val="22"/>
          <w:lang w:val="es-ES"/>
        </w:rPr>
      </w:pPr>
    </w:p>
    <w:p w14:paraId="4E32A469" w14:textId="07DA3FA4" w:rsidR="0099278D" w:rsidRPr="009F5860" w:rsidRDefault="0099278D" w:rsidP="003C7067">
      <w:pPr>
        <w:tabs>
          <w:tab w:val="left" w:pos="0"/>
        </w:tabs>
        <w:spacing w:line="276" w:lineRule="auto"/>
        <w:jc w:val="both"/>
        <w:rPr>
          <w:rFonts w:ascii="Arial" w:eastAsia="Calibri" w:hAnsi="Arial" w:cs="Arial"/>
          <w:b/>
          <w:sz w:val="22"/>
          <w:lang w:val="es-ES"/>
        </w:rPr>
      </w:pPr>
    </w:p>
    <w:p w14:paraId="5AC834D8" w14:textId="4DA01A22" w:rsidR="0099278D" w:rsidRPr="009F5860" w:rsidRDefault="0099278D" w:rsidP="003C7067">
      <w:pPr>
        <w:tabs>
          <w:tab w:val="left" w:pos="0"/>
        </w:tabs>
        <w:spacing w:line="276" w:lineRule="auto"/>
        <w:jc w:val="both"/>
        <w:rPr>
          <w:rFonts w:ascii="Arial" w:eastAsia="Calibri" w:hAnsi="Arial" w:cs="Arial"/>
          <w:b/>
          <w:sz w:val="22"/>
          <w:lang w:val="es-ES"/>
        </w:rPr>
      </w:pPr>
    </w:p>
    <w:p w14:paraId="78C4F35E" w14:textId="77777777" w:rsidR="0092111A" w:rsidRPr="009F5860" w:rsidRDefault="0092111A" w:rsidP="003C7067">
      <w:pPr>
        <w:rPr>
          <w:rFonts w:ascii="Arial" w:hAnsi="Arial" w:cs="Arial"/>
          <w:sz w:val="22"/>
          <w:szCs w:val="22"/>
          <w:lang w:val="es-ES"/>
        </w:rPr>
      </w:pPr>
    </w:p>
    <w:p w14:paraId="142A0277" w14:textId="6B2FFB1B" w:rsidR="0004470C" w:rsidRDefault="0004470C" w:rsidP="003C7067">
      <w:pPr>
        <w:rPr>
          <w:rFonts w:ascii="Arial" w:eastAsia="Calibri" w:hAnsi="Arial" w:cs="Arial"/>
          <w:sz w:val="22"/>
          <w:szCs w:val="22"/>
          <w:lang w:val="es-ES"/>
        </w:rPr>
      </w:pPr>
    </w:p>
    <w:p w14:paraId="2AC12C54" w14:textId="4FCE4D2F" w:rsidR="004E5663" w:rsidRDefault="004E5663" w:rsidP="003C7067">
      <w:pPr>
        <w:rPr>
          <w:rFonts w:ascii="Arial" w:eastAsia="Calibri" w:hAnsi="Arial" w:cs="Arial"/>
          <w:sz w:val="22"/>
          <w:szCs w:val="22"/>
          <w:lang w:val="es-ES"/>
        </w:rPr>
      </w:pPr>
    </w:p>
    <w:p w14:paraId="3873E688" w14:textId="515FBCCE" w:rsidR="004E5663" w:rsidRPr="009F5860" w:rsidRDefault="004E5663" w:rsidP="004E5663">
      <w:pPr>
        <w:jc w:val="right"/>
        <w:rPr>
          <w:rFonts w:ascii="Arial" w:eastAsia="Calibri" w:hAnsi="Arial" w:cs="Arial"/>
          <w:sz w:val="22"/>
          <w:szCs w:val="22"/>
          <w:lang w:val="es-ES"/>
        </w:rPr>
      </w:pPr>
      <w:r>
        <w:rPr>
          <w:noProof/>
          <w:sz w:val="20"/>
        </w:rPr>
        <w:drawing>
          <wp:inline distT="0" distB="0" distL="0" distR="0" wp14:anchorId="60DB1D06" wp14:editId="50F5687D">
            <wp:extent cx="2379945" cy="608838"/>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9945" cy="608838"/>
                    </a:xfrm>
                    <a:prstGeom prst="rect">
                      <a:avLst/>
                    </a:prstGeom>
                  </pic:spPr>
                </pic:pic>
              </a:graphicData>
            </a:graphic>
          </wp:inline>
        </w:drawing>
      </w:r>
    </w:p>
    <w:p w14:paraId="2EB81414" w14:textId="289DD3F4" w:rsidR="003C7067" w:rsidRPr="009F5860" w:rsidRDefault="003C7067" w:rsidP="003C7067">
      <w:pPr>
        <w:rPr>
          <w:rFonts w:ascii="Arial" w:eastAsia="Calibri" w:hAnsi="Arial" w:cs="Arial"/>
          <w:sz w:val="22"/>
          <w:szCs w:val="22"/>
          <w:lang w:val="es-ES"/>
        </w:rPr>
      </w:pPr>
      <w:r w:rsidRPr="009F5860">
        <w:rPr>
          <w:rFonts w:ascii="Arial" w:eastAsia="Calibri" w:hAnsi="Arial" w:cs="Arial"/>
          <w:sz w:val="22"/>
          <w:szCs w:val="22"/>
          <w:lang w:val="es-ES"/>
        </w:rPr>
        <w:t>Señor</w:t>
      </w:r>
    </w:p>
    <w:p w14:paraId="197C6852" w14:textId="62565032" w:rsidR="00B036EA" w:rsidRPr="009F5860" w:rsidRDefault="00DA07F3" w:rsidP="003C7067">
      <w:pPr>
        <w:rPr>
          <w:rFonts w:ascii="Arial" w:eastAsia="Calibri" w:hAnsi="Arial" w:cs="Arial"/>
          <w:b/>
          <w:bCs/>
          <w:sz w:val="22"/>
          <w:szCs w:val="22"/>
          <w:lang w:val="es-ES"/>
        </w:rPr>
      </w:pPr>
      <w:r w:rsidRPr="009F5860">
        <w:rPr>
          <w:rFonts w:ascii="Arial" w:eastAsia="Calibri" w:hAnsi="Arial" w:cs="Arial"/>
          <w:b/>
          <w:bCs/>
          <w:sz w:val="22"/>
          <w:szCs w:val="22"/>
          <w:lang w:val="es-ES"/>
        </w:rPr>
        <w:t>Omar Martínez Blanco</w:t>
      </w:r>
    </w:p>
    <w:p w14:paraId="10837C8F" w14:textId="0732D46D" w:rsidR="003C7067" w:rsidRPr="00E74412" w:rsidRDefault="0092111A" w:rsidP="003C7067">
      <w:pPr>
        <w:rPr>
          <w:rFonts w:ascii="Arial" w:eastAsia="Calibri" w:hAnsi="Arial" w:cs="Arial"/>
          <w:bCs/>
          <w:sz w:val="22"/>
          <w:szCs w:val="22"/>
          <w:lang w:val="es-ES"/>
        </w:rPr>
      </w:pPr>
      <w:r w:rsidRPr="009F5860">
        <w:rPr>
          <w:rFonts w:ascii="Arial" w:eastAsia="Calibri" w:hAnsi="Arial" w:cs="Arial"/>
          <w:bCs/>
          <w:sz w:val="22"/>
          <w:szCs w:val="22"/>
          <w:lang w:val="es-ES"/>
        </w:rPr>
        <w:t>Bogotá, D.C.</w:t>
      </w:r>
    </w:p>
    <w:p w14:paraId="15C6E9E5" w14:textId="77777777" w:rsidR="0004470C" w:rsidRPr="009F5860" w:rsidRDefault="0004470C" w:rsidP="003C7067">
      <w:pPr>
        <w:rPr>
          <w:rFonts w:ascii="Arial" w:eastAsia="Calibri" w:hAnsi="Arial" w:cs="Arial"/>
          <w:b/>
          <w:sz w:val="22"/>
          <w:szCs w:val="22"/>
          <w:lang w:val="es-ES"/>
        </w:rPr>
      </w:pPr>
    </w:p>
    <w:p w14:paraId="1F4E36CB" w14:textId="205F8087" w:rsidR="003C7067" w:rsidRPr="009F5860" w:rsidRDefault="003C7067" w:rsidP="003C7067">
      <w:pPr>
        <w:rPr>
          <w:rFonts w:ascii="Arial" w:eastAsia="Calibri" w:hAnsi="Arial" w:cs="Arial"/>
          <w:b/>
          <w:sz w:val="22"/>
          <w:szCs w:val="22"/>
          <w:lang w:val="es-ES"/>
        </w:rPr>
      </w:pPr>
      <w:r w:rsidRPr="009F5860">
        <w:rPr>
          <w:rFonts w:ascii="Arial" w:eastAsia="Calibri" w:hAnsi="Arial" w:cs="Arial"/>
          <w:b/>
          <w:sz w:val="22"/>
          <w:szCs w:val="22"/>
          <w:lang w:val="es-ES"/>
        </w:rPr>
        <w:t xml:space="preserve">                                            Concepto C – 6</w:t>
      </w:r>
      <w:r w:rsidR="004F654F" w:rsidRPr="009F5860">
        <w:rPr>
          <w:rFonts w:ascii="Arial" w:eastAsia="Calibri" w:hAnsi="Arial" w:cs="Arial"/>
          <w:b/>
          <w:sz w:val="22"/>
          <w:szCs w:val="22"/>
          <w:lang w:val="es-ES"/>
        </w:rPr>
        <w:t>15</w:t>
      </w:r>
      <w:r w:rsidRPr="009F5860">
        <w:rPr>
          <w:rFonts w:ascii="Arial" w:eastAsia="Calibri" w:hAnsi="Arial" w:cs="Arial"/>
          <w:b/>
          <w:sz w:val="22"/>
          <w:szCs w:val="22"/>
          <w:lang w:val="es-ES"/>
        </w:rPr>
        <w:t xml:space="preserve"> de 2021 </w:t>
      </w:r>
    </w:p>
    <w:p w14:paraId="1698D01B" w14:textId="77777777" w:rsidR="003C7067" w:rsidRPr="009F5860" w:rsidRDefault="003C7067" w:rsidP="003C7067">
      <w:pPr>
        <w:rPr>
          <w:rFonts w:ascii="Arial" w:eastAsia="Calibri" w:hAnsi="Arial" w:cs="Arial"/>
          <w:b/>
          <w:sz w:val="22"/>
          <w:szCs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16"/>
      </w:tblGrid>
      <w:tr w:rsidR="003C7067" w:rsidRPr="009F5860" w14:paraId="7C1768E2" w14:textId="77777777" w:rsidTr="00E74412">
        <w:trPr>
          <w:trHeight w:val="823"/>
        </w:trPr>
        <w:tc>
          <w:tcPr>
            <w:tcW w:w="2410" w:type="dxa"/>
          </w:tcPr>
          <w:p w14:paraId="7F7464C9" w14:textId="77777777" w:rsidR="003C7067" w:rsidRPr="00E74412" w:rsidRDefault="003C7067" w:rsidP="00D81E5B">
            <w:pPr>
              <w:rPr>
                <w:rFonts w:ascii="Arial" w:eastAsia="Calibri" w:hAnsi="Arial" w:cs="Arial"/>
                <w:lang w:val="es-ES"/>
              </w:rPr>
            </w:pPr>
            <w:r w:rsidRPr="00E74412">
              <w:rPr>
                <w:rFonts w:ascii="Arial" w:eastAsia="Calibri" w:hAnsi="Arial" w:cs="Arial" w:hint="cs"/>
                <w:b/>
                <w:lang w:val="es-ES"/>
              </w:rPr>
              <w:t>Temas:</w:t>
            </w:r>
            <w:r w:rsidRPr="00E74412">
              <w:rPr>
                <w:rFonts w:ascii="Arial" w:eastAsia="Calibri" w:hAnsi="Arial" w:cs="Arial" w:hint="cs"/>
                <w:lang w:val="es-ES"/>
              </w:rPr>
              <w:t xml:space="preserve">                                      </w:t>
            </w:r>
          </w:p>
        </w:tc>
        <w:tc>
          <w:tcPr>
            <w:tcW w:w="6516" w:type="dxa"/>
          </w:tcPr>
          <w:p w14:paraId="2529C737" w14:textId="77777777" w:rsidR="00E74412" w:rsidRPr="00E74412" w:rsidRDefault="00E74412" w:rsidP="00E74412">
            <w:pPr>
              <w:tabs>
                <w:tab w:val="left" w:pos="2652"/>
              </w:tabs>
              <w:jc w:val="both"/>
              <w:rPr>
                <w:rFonts w:ascii="Arial" w:hAnsi="Arial" w:cs="Arial"/>
                <w:sz w:val="20"/>
              </w:rPr>
            </w:pPr>
            <w:r w:rsidRPr="00E74412">
              <w:rPr>
                <w:rFonts w:ascii="Arial" w:hAnsi="Arial" w:cs="Arial" w:hint="cs"/>
                <w:sz w:val="20"/>
              </w:rPr>
              <w:t>CARÁCTER</w:t>
            </w:r>
            <w:r w:rsidRPr="00E74412">
              <w:rPr>
                <w:rFonts w:ascii="Arial" w:hAnsi="Arial" w:cs="Arial" w:hint="cs"/>
                <w:spacing w:val="34"/>
                <w:sz w:val="20"/>
              </w:rPr>
              <w:t xml:space="preserve"> </w:t>
            </w:r>
            <w:r w:rsidRPr="00E74412">
              <w:rPr>
                <w:rFonts w:ascii="Arial" w:hAnsi="Arial" w:cs="Arial" w:hint="cs"/>
                <w:sz w:val="20"/>
              </w:rPr>
              <w:t>VINCULANTE</w:t>
            </w:r>
            <w:r w:rsidRPr="00E74412">
              <w:rPr>
                <w:rFonts w:ascii="Arial" w:hAnsi="Arial" w:cs="Arial" w:hint="cs"/>
                <w:spacing w:val="90"/>
                <w:sz w:val="20"/>
              </w:rPr>
              <w:t xml:space="preserve"> </w:t>
            </w:r>
            <w:r w:rsidRPr="00E74412">
              <w:rPr>
                <w:rFonts w:ascii="Arial" w:hAnsi="Arial" w:cs="Arial" w:hint="cs"/>
                <w:sz w:val="20"/>
              </w:rPr>
              <w:t>GUÍAS,</w:t>
            </w:r>
            <w:r w:rsidRPr="00E74412">
              <w:rPr>
                <w:rFonts w:ascii="Arial" w:hAnsi="Arial" w:cs="Arial" w:hint="cs"/>
                <w:spacing w:val="90"/>
                <w:sz w:val="20"/>
              </w:rPr>
              <w:t xml:space="preserve"> </w:t>
            </w:r>
            <w:r w:rsidRPr="00E74412">
              <w:rPr>
                <w:rFonts w:ascii="Arial" w:hAnsi="Arial" w:cs="Arial" w:hint="cs"/>
                <w:sz w:val="20"/>
              </w:rPr>
              <w:t>MANUALES,</w:t>
            </w:r>
            <w:r w:rsidRPr="00E74412">
              <w:rPr>
                <w:rFonts w:ascii="Arial" w:hAnsi="Arial" w:cs="Arial" w:hint="cs"/>
                <w:spacing w:val="88"/>
                <w:sz w:val="20"/>
              </w:rPr>
              <w:t xml:space="preserve"> </w:t>
            </w:r>
            <w:r w:rsidRPr="00E74412">
              <w:rPr>
                <w:rFonts w:ascii="Arial" w:hAnsi="Arial" w:cs="Arial" w:hint="cs"/>
                <w:sz w:val="20"/>
              </w:rPr>
              <w:t>CIRCULARES</w:t>
            </w:r>
            <w:r w:rsidRPr="00E74412">
              <w:rPr>
                <w:rFonts w:ascii="Arial" w:hAnsi="Arial" w:cs="Arial" w:hint="cs"/>
                <w:spacing w:val="89"/>
                <w:sz w:val="20"/>
              </w:rPr>
              <w:t xml:space="preserve"> </w:t>
            </w:r>
            <w:r w:rsidRPr="00E74412">
              <w:rPr>
                <w:rFonts w:ascii="Arial" w:hAnsi="Arial" w:cs="Arial" w:hint="cs"/>
                <w:sz w:val="20"/>
              </w:rPr>
              <w:t>Y</w:t>
            </w:r>
          </w:p>
          <w:p w14:paraId="4ECC5B67" w14:textId="77777777" w:rsidR="00E74412" w:rsidRPr="00E74412" w:rsidRDefault="00E74412" w:rsidP="00E74412">
            <w:pPr>
              <w:spacing w:before="35" w:line="276" w:lineRule="auto"/>
              <w:ind w:right="111"/>
              <w:jc w:val="both"/>
              <w:rPr>
                <w:rFonts w:ascii="Arial" w:hAnsi="Arial" w:cs="Arial"/>
                <w:sz w:val="20"/>
              </w:rPr>
            </w:pPr>
            <w:r w:rsidRPr="00E74412">
              <w:rPr>
                <w:rFonts w:ascii="Arial" w:hAnsi="Arial" w:cs="Arial" w:hint="cs"/>
                <w:sz w:val="20"/>
              </w:rPr>
              <w:t>DOCUMENTOS TIPO / OBLIGATORIEDAD – documentos expedidos</w:t>
            </w:r>
            <w:r w:rsidRPr="00E74412">
              <w:rPr>
                <w:rFonts w:ascii="Arial" w:hAnsi="Arial" w:cs="Arial" w:hint="cs"/>
                <w:spacing w:val="1"/>
                <w:sz w:val="20"/>
              </w:rPr>
              <w:t xml:space="preserve"> </w:t>
            </w:r>
            <w:r w:rsidRPr="00E74412">
              <w:rPr>
                <w:rFonts w:ascii="Arial" w:hAnsi="Arial" w:cs="Arial" w:hint="cs"/>
                <w:sz w:val="20"/>
              </w:rPr>
              <w:t>por</w:t>
            </w:r>
            <w:r w:rsidRPr="00E74412">
              <w:rPr>
                <w:rFonts w:ascii="Arial" w:hAnsi="Arial" w:cs="Arial" w:hint="cs"/>
                <w:spacing w:val="1"/>
                <w:sz w:val="20"/>
              </w:rPr>
              <w:t xml:space="preserve"> </w:t>
            </w:r>
            <w:r w:rsidRPr="00E74412">
              <w:rPr>
                <w:rFonts w:ascii="Arial" w:hAnsi="Arial" w:cs="Arial" w:hint="cs"/>
                <w:sz w:val="20"/>
              </w:rPr>
              <w:t>la</w:t>
            </w:r>
            <w:r w:rsidRPr="00E74412">
              <w:rPr>
                <w:rFonts w:ascii="Arial" w:hAnsi="Arial" w:cs="Arial" w:hint="cs"/>
                <w:spacing w:val="1"/>
                <w:sz w:val="20"/>
              </w:rPr>
              <w:t xml:space="preserve"> </w:t>
            </w:r>
            <w:r w:rsidRPr="00E74412">
              <w:rPr>
                <w:rFonts w:ascii="Arial" w:hAnsi="Arial" w:cs="Arial" w:hint="cs"/>
                <w:sz w:val="20"/>
              </w:rPr>
              <w:t>agencia</w:t>
            </w:r>
            <w:r w:rsidRPr="00E74412">
              <w:rPr>
                <w:rFonts w:ascii="Arial" w:hAnsi="Arial" w:cs="Arial" w:hint="cs"/>
                <w:spacing w:val="1"/>
                <w:sz w:val="20"/>
              </w:rPr>
              <w:t xml:space="preserve"> </w:t>
            </w:r>
            <w:r w:rsidRPr="00E74412">
              <w:rPr>
                <w:rFonts w:ascii="Arial" w:hAnsi="Arial" w:cs="Arial" w:hint="cs"/>
                <w:sz w:val="20"/>
              </w:rPr>
              <w:t>–</w:t>
            </w:r>
            <w:r w:rsidRPr="00E74412">
              <w:rPr>
                <w:rFonts w:ascii="Arial" w:hAnsi="Arial" w:cs="Arial" w:hint="cs"/>
                <w:spacing w:val="1"/>
                <w:sz w:val="20"/>
              </w:rPr>
              <w:t xml:space="preserve"> </w:t>
            </w:r>
            <w:r w:rsidRPr="00E74412">
              <w:rPr>
                <w:rFonts w:ascii="Arial" w:hAnsi="Arial" w:cs="Arial" w:hint="cs"/>
                <w:sz w:val="20"/>
              </w:rPr>
              <w:t>guías,</w:t>
            </w:r>
            <w:r w:rsidRPr="00E74412">
              <w:rPr>
                <w:rFonts w:ascii="Arial" w:hAnsi="Arial" w:cs="Arial" w:hint="cs"/>
                <w:spacing w:val="1"/>
                <w:sz w:val="20"/>
              </w:rPr>
              <w:t xml:space="preserve"> </w:t>
            </w:r>
            <w:r w:rsidRPr="00E74412">
              <w:rPr>
                <w:rFonts w:ascii="Arial" w:hAnsi="Arial" w:cs="Arial" w:hint="cs"/>
                <w:sz w:val="20"/>
              </w:rPr>
              <w:t>manuales</w:t>
            </w:r>
            <w:r w:rsidRPr="00E74412">
              <w:rPr>
                <w:rFonts w:ascii="Arial" w:hAnsi="Arial" w:cs="Arial" w:hint="cs"/>
                <w:spacing w:val="1"/>
                <w:sz w:val="20"/>
              </w:rPr>
              <w:t xml:space="preserve"> </w:t>
            </w:r>
            <w:r w:rsidRPr="00E74412">
              <w:rPr>
                <w:rFonts w:ascii="Arial" w:hAnsi="Arial" w:cs="Arial" w:hint="cs"/>
                <w:sz w:val="20"/>
              </w:rPr>
              <w:t>y</w:t>
            </w:r>
            <w:r w:rsidRPr="00E74412">
              <w:rPr>
                <w:rFonts w:ascii="Arial" w:hAnsi="Arial" w:cs="Arial" w:hint="cs"/>
                <w:spacing w:val="1"/>
                <w:sz w:val="20"/>
              </w:rPr>
              <w:t xml:space="preserve"> </w:t>
            </w:r>
            <w:r w:rsidRPr="00E74412">
              <w:rPr>
                <w:rFonts w:ascii="Arial" w:hAnsi="Arial" w:cs="Arial" w:hint="cs"/>
                <w:sz w:val="20"/>
              </w:rPr>
              <w:t>circulares</w:t>
            </w:r>
            <w:r w:rsidRPr="00E74412">
              <w:rPr>
                <w:rFonts w:ascii="Arial" w:hAnsi="Arial" w:cs="Arial" w:hint="cs"/>
                <w:spacing w:val="1"/>
                <w:sz w:val="20"/>
              </w:rPr>
              <w:t xml:space="preserve"> </w:t>
            </w:r>
            <w:r w:rsidRPr="00E74412">
              <w:rPr>
                <w:rFonts w:ascii="Arial" w:hAnsi="Arial" w:cs="Arial" w:hint="cs"/>
                <w:sz w:val="20"/>
              </w:rPr>
              <w:t>/</w:t>
            </w:r>
            <w:r w:rsidRPr="00E74412">
              <w:rPr>
                <w:rFonts w:ascii="Arial" w:hAnsi="Arial" w:cs="Arial" w:hint="cs"/>
                <w:spacing w:val="1"/>
                <w:sz w:val="20"/>
              </w:rPr>
              <w:t xml:space="preserve"> </w:t>
            </w:r>
            <w:r w:rsidRPr="00E74412">
              <w:rPr>
                <w:rFonts w:ascii="Arial" w:hAnsi="Arial" w:cs="Arial" w:hint="cs"/>
                <w:sz w:val="20"/>
              </w:rPr>
              <w:t>GUÍA</w:t>
            </w:r>
            <w:r w:rsidRPr="00E74412">
              <w:rPr>
                <w:rFonts w:ascii="Arial" w:hAnsi="Arial" w:cs="Arial" w:hint="cs"/>
                <w:spacing w:val="1"/>
                <w:sz w:val="20"/>
              </w:rPr>
              <w:t xml:space="preserve"> </w:t>
            </w:r>
            <w:r w:rsidRPr="00E74412">
              <w:rPr>
                <w:rFonts w:ascii="Arial" w:hAnsi="Arial" w:cs="Arial" w:hint="cs"/>
                <w:sz w:val="20"/>
              </w:rPr>
              <w:t>DE</w:t>
            </w:r>
            <w:r w:rsidRPr="00E74412">
              <w:rPr>
                <w:rFonts w:ascii="Arial" w:hAnsi="Arial" w:cs="Arial" w:hint="cs"/>
                <w:spacing w:val="1"/>
                <w:sz w:val="20"/>
              </w:rPr>
              <w:t xml:space="preserve"> </w:t>
            </w:r>
            <w:r w:rsidRPr="00E74412">
              <w:rPr>
                <w:rFonts w:ascii="Arial" w:hAnsi="Arial" w:cs="Arial" w:hint="cs"/>
                <w:sz w:val="20"/>
              </w:rPr>
              <w:t>CONTRATACIÓN</w:t>
            </w:r>
            <w:r w:rsidRPr="00E74412">
              <w:rPr>
                <w:rFonts w:ascii="Arial" w:hAnsi="Arial" w:cs="Arial" w:hint="cs"/>
                <w:spacing w:val="-3"/>
                <w:sz w:val="20"/>
              </w:rPr>
              <w:t xml:space="preserve"> </w:t>
            </w:r>
            <w:r w:rsidRPr="00E74412">
              <w:rPr>
                <w:rFonts w:ascii="Arial" w:hAnsi="Arial" w:cs="Arial" w:hint="cs"/>
                <w:sz w:val="20"/>
              </w:rPr>
              <w:t>DE</w:t>
            </w:r>
            <w:r w:rsidRPr="00E74412">
              <w:rPr>
                <w:rFonts w:ascii="Arial" w:hAnsi="Arial" w:cs="Arial" w:hint="cs"/>
                <w:spacing w:val="-2"/>
                <w:sz w:val="20"/>
              </w:rPr>
              <w:t xml:space="preserve"> </w:t>
            </w:r>
            <w:r w:rsidRPr="00E74412">
              <w:rPr>
                <w:rFonts w:ascii="Arial" w:hAnsi="Arial" w:cs="Arial" w:hint="cs"/>
                <w:sz w:val="20"/>
              </w:rPr>
              <w:t>OBRA</w:t>
            </w:r>
            <w:r w:rsidRPr="00E74412">
              <w:rPr>
                <w:rFonts w:ascii="Arial" w:hAnsi="Arial" w:cs="Arial" w:hint="cs"/>
                <w:spacing w:val="-2"/>
                <w:sz w:val="20"/>
              </w:rPr>
              <w:t xml:space="preserve"> </w:t>
            </w:r>
            <w:r w:rsidRPr="00E74412">
              <w:rPr>
                <w:rFonts w:ascii="Arial" w:hAnsi="Arial" w:cs="Arial" w:hint="cs"/>
                <w:sz w:val="20"/>
              </w:rPr>
              <w:t>PÚBLICA</w:t>
            </w:r>
            <w:r w:rsidRPr="00E74412">
              <w:rPr>
                <w:rFonts w:ascii="Arial" w:hAnsi="Arial" w:cs="Arial" w:hint="cs"/>
                <w:spacing w:val="4"/>
                <w:sz w:val="20"/>
              </w:rPr>
              <w:t xml:space="preserve"> </w:t>
            </w:r>
            <w:r w:rsidRPr="00E74412">
              <w:rPr>
                <w:rFonts w:ascii="Arial" w:hAnsi="Arial" w:cs="Arial" w:hint="cs"/>
                <w:sz w:val="20"/>
              </w:rPr>
              <w:t>–</w:t>
            </w:r>
            <w:r w:rsidRPr="00E74412">
              <w:rPr>
                <w:rFonts w:ascii="Arial" w:hAnsi="Arial" w:cs="Arial" w:hint="cs"/>
                <w:spacing w:val="-2"/>
                <w:sz w:val="20"/>
              </w:rPr>
              <w:t xml:space="preserve"> </w:t>
            </w:r>
            <w:r w:rsidRPr="00E74412">
              <w:rPr>
                <w:rFonts w:ascii="Arial" w:hAnsi="Arial" w:cs="Arial" w:hint="cs"/>
                <w:sz w:val="20"/>
              </w:rPr>
              <w:t>Obligatoriedad</w:t>
            </w:r>
          </w:p>
          <w:p w14:paraId="2F4B7014" w14:textId="0118D494" w:rsidR="00E74412" w:rsidRPr="00E74412" w:rsidRDefault="00E74412" w:rsidP="00E74412">
            <w:pPr>
              <w:tabs>
                <w:tab w:val="left" w:pos="0"/>
              </w:tabs>
              <w:spacing w:line="276" w:lineRule="auto"/>
              <w:jc w:val="both"/>
              <w:rPr>
                <w:rFonts w:ascii="Arial" w:eastAsia="Calibri" w:hAnsi="Arial" w:cs="Arial"/>
                <w:bCs/>
                <w:lang w:val="es-ES"/>
              </w:rPr>
            </w:pPr>
          </w:p>
        </w:tc>
      </w:tr>
      <w:tr w:rsidR="003C7067" w:rsidRPr="009F5860" w14:paraId="60D249F0" w14:textId="77777777" w:rsidTr="00E74412">
        <w:tc>
          <w:tcPr>
            <w:tcW w:w="2410" w:type="dxa"/>
          </w:tcPr>
          <w:p w14:paraId="291F9A18" w14:textId="77777777" w:rsidR="003C7067" w:rsidRPr="009F5860" w:rsidRDefault="003C7067" w:rsidP="00D81E5B">
            <w:pPr>
              <w:rPr>
                <w:rFonts w:ascii="Arial" w:eastAsia="Calibri" w:hAnsi="Arial" w:cs="Arial"/>
                <w:lang w:val="es-ES"/>
              </w:rPr>
            </w:pPr>
            <w:r w:rsidRPr="009F5860">
              <w:rPr>
                <w:rFonts w:ascii="Arial" w:eastAsia="Calibri" w:hAnsi="Arial" w:cs="Arial"/>
                <w:b/>
                <w:lang w:val="es-ES"/>
              </w:rPr>
              <w:t>Radicación:</w:t>
            </w:r>
            <w:r w:rsidRPr="009F5860">
              <w:rPr>
                <w:rFonts w:ascii="Arial" w:eastAsia="Calibri" w:hAnsi="Arial" w:cs="Arial"/>
                <w:lang w:val="es-ES"/>
              </w:rPr>
              <w:t xml:space="preserve">                              </w:t>
            </w:r>
          </w:p>
        </w:tc>
        <w:tc>
          <w:tcPr>
            <w:tcW w:w="6516" w:type="dxa"/>
          </w:tcPr>
          <w:p w14:paraId="3C674517" w14:textId="69178BB7" w:rsidR="003C7067" w:rsidRPr="009F5860" w:rsidRDefault="003C7067" w:rsidP="00D81E5B">
            <w:pPr>
              <w:rPr>
                <w:rFonts w:ascii="Arial" w:hAnsi="Arial" w:cs="Arial"/>
              </w:rPr>
            </w:pPr>
            <w:r w:rsidRPr="009F5860">
              <w:rPr>
                <w:rFonts w:ascii="Arial" w:eastAsia="Calibri" w:hAnsi="Arial" w:cs="Arial"/>
                <w:lang w:val="es-ES"/>
              </w:rPr>
              <w:t xml:space="preserve">Respuesta a consulta </w:t>
            </w:r>
            <w:r w:rsidR="004F654F" w:rsidRPr="009F5860">
              <w:rPr>
                <w:rFonts w:ascii="Arial" w:hAnsi="Arial" w:cs="Arial"/>
                <w:color w:val="000000"/>
                <w:shd w:val="clear" w:color="auto" w:fill="FFFFFF"/>
              </w:rPr>
              <w:t>P20211111010474</w:t>
            </w:r>
          </w:p>
        </w:tc>
      </w:tr>
    </w:tbl>
    <w:p w14:paraId="776B553A" w14:textId="77777777" w:rsidR="003C7067" w:rsidRPr="009F5860" w:rsidRDefault="003C7067" w:rsidP="003C7067">
      <w:pPr>
        <w:spacing w:line="276" w:lineRule="auto"/>
        <w:rPr>
          <w:rFonts w:ascii="Arial" w:eastAsia="Calibri" w:hAnsi="Arial" w:cs="Arial"/>
          <w:sz w:val="22"/>
          <w:szCs w:val="22"/>
          <w:lang w:val="es-ES"/>
        </w:rPr>
      </w:pPr>
    </w:p>
    <w:p w14:paraId="6BB19977" w14:textId="5FAA2593" w:rsidR="003C7067" w:rsidRPr="009F5860" w:rsidRDefault="003C7067" w:rsidP="003C7067">
      <w:pPr>
        <w:tabs>
          <w:tab w:val="left" w:pos="3736"/>
        </w:tabs>
        <w:spacing w:line="276" w:lineRule="auto"/>
        <w:rPr>
          <w:rFonts w:ascii="Arial" w:eastAsia="Calibri" w:hAnsi="Arial" w:cs="Arial"/>
          <w:sz w:val="22"/>
          <w:szCs w:val="22"/>
          <w:lang w:val="es-ES"/>
        </w:rPr>
      </w:pPr>
      <w:r w:rsidRPr="009F5860">
        <w:rPr>
          <w:rFonts w:ascii="Arial" w:eastAsia="Calibri" w:hAnsi="Arial" w:cs="Arial"/>
          <w:sz w:val="22"/>
          <w:szCs w:val="22"/>
          <w:lang w:val="es-ES"/>
        </w:rPr>
        <w:t>Estimada señor</w:t>
      </w:r>
      <w:r w:rsidR="00DA07F3" w:rsidRPr="009F5860">
        <w:rPr>
          <w:rFonts w:ascii="Arial" w:eastAsia="Calibri" w:hAnsi="Arial" w:cs="Arial"/>
          <w:sz w:val="22"/>
          <w:szCs w:val="22"/>
          <w:lang w:val="es-ES"/>
        </w:rPr>
        <w:t xml:space="preserve"> Martínez</w:t>
      </w:r>
      <w:r w:rsidRPr="009F5860">
        <w:rPr>
          <w:rFonts w:ascii="Arial" w:eastAsia="Calibri" w:hAnsi="Arial" w:cs="Arial"/>
          <w:sz w:val="22"/>
          <w:szCs w:val="22"/>
          <w:lang w:val="es-ES"/>
        </w:rPr>
        <w:t>:</w:t>
      </w:r>
      <w:r w:rsidRPr="009F5860">
        <w:rPr>
          <w:rFonts w:ascii="Arial" w:eastAsia="Calibri" w:hAnsi="Arial" w:cs="Arial"/>
          <w:sz w:val="22"/>
          <w:szCs w:val="22"/>
          <w:lang w:val="es-ES"/>
        </w:rPr>
        <w:tab/>
      </w:r>
    </w:p>
    <w:p w14:paraId="17594CC4" w14:textId="77777777" w:rsidR="003C7067" w:rsidRPr="009F5860" w:rsidRDefault="003C7067" w:rsidP="003C7067">
      <w:pPr>
        <w:spacing w:line="276" w:lineRule="auto"/>
        <w:rPr>
          <w:rFonts w:ascii="Arial" w:eastAsia="Calibri" w:hAnsi="Arial" w:cs="Arial"/>
          <w:sz w:val="22"/>
          <w:szCs w:val="22"/>
          <w:lang w:val="es-ES"/>
        </w:rPr>
      </w:pPr>
    </w:p>
    <w:p w14:paraId="57E2A948" w14:textId="294D8BC4" w:rsidR="003C7067" w:rsidRPr="009F5860" w:rsidRDefault="003C7067" w:rsidP="003C7067">
      <w:pPr>
        <w:spacing w:line="276" w:lineRule="auto"/>
        <w:jc w:val="both"/>
        <w:rPr>
          <w:rFonts w:ascii="Arial" w:eastAsia="Calibri" w:hAnsi="Arial" w:cs="Arial"/>
          <w:sz w:val="22"/>
          <w:szCs w:val="22"/>
          <w:lang w:val="es-ES"/>
        </w:rPr>
      </w:pPr>
      <w:r w:rsidRPr="009F5860">
        <w:rPr>
          <w:rFonts w:ascii="Arial" w:eastAsia="Calibri" w:hAnsi="Arial" w:cs="Arial"/>
          <w:sz w:val="22"/>
          <w:szCs w:val="22"/>
          <w:lang w:val="es-ES"/>
        </w:rPr>
        <w:t>La Agencia Nacional de Contratación Pública – Colombia Compra Eficiente responde a su consulta del 1</w:t>
      </w:r>
      <w:r w:rsidR="001F0BA1" w:rsidRPr="00E74412">
        <w:rPr>
          <w:rFonts w:ascii="Arial" w:eastAsia="Calibri" w:hAnsi="Arial" w:cs="Arial"/>
          <w:sz w:val="22"/>
          <w:szCs w:val="22"/>
          <w:lang w:val="es-ES"/>
        </w:rPr>
        <w:t>1</w:t>
      </w:r>
      <w:r w:rsidRPr="009F5860">
        <w:rPr>
          <w:rFonts w:ascii="Arial" w:eastAsia="Calibri" w:hAnsi="Arial" w:cs="Arial"/>
          <w:sz w:val="22"/>
          <w:szCs w:val="22"/>
          <w:lang w:val="es-ES"/>
        </w:rPr>
        <w:t xml:space="preserve"> de </w:t>
      </w:r>
      <w:r w:rsidR="001F0BA1" w:rsidRPr="00E74412">
        <w:rPr>
          <w:rFonts w:ascii="Arial" w:eastAsia="Calibri" w:hAnsi="Arial" w:cs="Arial"/>
          <w:sz w:val="22"/>
          <w:szCs w:val="22"/>
          <w:lang w:val="es-ES"/>
        </w:rPr>
        <w:t>novie</w:t>
      </w:r>
      <w:r w:rsidR="001F0BA1" w:rsidRPr="009F5860">
        <w:rPr>
          <w:rFonts w:ascii="Arial" w:eastAsia="Calibri" w:hAnsi="Arial" w:cs="Arial"/>
          <w:sz w:val="22"/>
          <w:szCs w:val="22"/>
          <w:lang w:val="es-ES"/>
        </w:rPr>
        <w:t xml:space="preserve">mbre </w:t>
      </w:r>
      <w:r w:rsidRPr="009F5860">
        <w:rPr>
          <w:rFonts w:ascii="Arial" w:eastAsia="Calibri" w:hAnsi="Arial" w:cs="Arial"/>
          <w:sz w:val="22"/>
          <w:szCs w:val="22"/>
          <w:lang w:val="es-ES"/>
        </w:rPr>
        <w:t xml:space="preserve">de 2021, en ejercicio de la competencia otorgada por el numeral 8 del artículo 11 y el numeral 5 del artículo 3 del Decreto Ley 4170 de 2011. </w:t>
      </w:r>
    </w:p>
    <w:p w14:paraId="2D852432" w14:textId="77777777" w:rsidR="003C7067" w:rsidRPr="009F5860" w:rsidRDefault="003C7067" w:rsidP="003C7067">
      <w:pPr>
        <w:pStyle w:val="Prrafodelista"/>
        <w:spacing w:line="276" w:lineRule="auto"/>
        <w:ind w:left="0"/>
        <w:rPr>
          <w:rFonts w:ascii="Arial" w:eastAsia="Calibri" w:hAnsi="Arial" w:cs="Arial"/>
          <w:sz w:val="22"/>
          <w:lang w:val="es-ES"/>
        </w:rPr>
      </w:pPr>
    </w:p>
    <w:p w14:paraId="67CA615C" w14:textId="77777777" w:rsidR="003C7067" w:rsidRPr="009F5860" w:rsidRDefault="003C7067" w:rsidP="003C7067">
      <w:pPr>
        <w:tabs>
          <w:tab w:val="left" w:pos="0"/>
        </w:tabs>
        <w:spacing w:line="276" w:lineRule="auto"/>
        <w:jc w:val="both"/>
        <w:rPr>
          <w:rFonts w:ascii="Arial" w:eastAsia="Calibri" w:hAnsi="Arial" w:cs="Arial"/>
          <w:b/>
          <w:sz w:val="22"/>
          <w:szCs w:val="22"/>
          <w:lang w:val="es-ES"/>
        </w:rPr>
      </w:pPr>
      <w:r w:rsidRPr="009F5860">
        <w:rPr>
          <w:rFonts w:ascii="Arial" w:eastAsia="Calibri" w:hAnsi="Arial" w:cs="Arial"/>
          <w:b/>
          <w:sz w:val="22"/>
          <w:szCs w:val="22"/>
          <w:lang w:val="es-ES"/>
        </w:rPr>
        <w:t>1. Problema planteado</w:t>
      </w:r>
    </w:p>
    <w:p w14:paraId="5A060666" w14:textId="77777777" w:rsidR="003C7067" w:rsidRPr="009F5860" w:rsidRDefault="003C7067" w:rsidP="003C7067">
      <w:pPr>
        <w:rPr>
          <w:rFonts w:ascii="Arial" w:eastAsia="Calibri" w:hAnsi="Arial" w:cs="Arial"/>
          <w:sz w:val="22"/>
          <w:szCs w:val="22"/>
          <w:lang w:val="es-ES"/>
        </w:rPr>
      </w:pPr>
    </w:p>
    <w:p w14:paraId="34305A30" w14:textId="77777777" w:rsidR="003C7067" w:rsidRPr="009F5860" w:rsidRDefault="003C7067" w:rsidP="003C7067">
      <w:pPr>
        <w:spacing w:line="276" w:lineRule="auto"/>
        <w:jc w:val="both"/>
        <w:rPr>
          <w:rFonts w:ascii="Arial" w:eastAsia="Calibri" w:hAnsi="Arial" w:cs="Arial"/>
          <w:sz w:val="22"/>
          <w:szCs w:val="22"/>
          <w:lang w:val="es-ES"/>
        </w:rPr>
      </w:pPr>
      <w:r w:rsidRPr="009F5860">
        <w:rPr>
          <w:rFonts w:ascii="Arial" w:eastAsia="Calibri" w:hAnsi="Arial" w:cs="Arial"/>
          <w:sz w:val="22"/>
          <w:szCs w:val="22"/>
          <w:lang w:val="es-ES"/>
        </w:rPr>
        <w:t xml:space="preserve">Usted realiza la siguiente pregunta: </w:t>
      </w:r>
    </w:p>
    <w:p w14:paraId="3E00A2D4" w14:textId="77777777" w:rsidR="003C7067" w:rsidRPr="009F5860" w:rsidRDefault="003C7067" w:rsidP="003C7067">
      <w:pPr>
        <w:spacing w:line="276" w:lineRule="auto"/>
        <w:jc w:val="both"/>
        <w:rPr>
          <w:rFonts w:ascii="Arial" w:eastAsia="Calibri" w:hAnsi="Arial" w:cs="Arial"/>
          <w:sz w:val="22"/>
          <w:szCs w:val="22"/>
          <w:lang w:val="es-ES"/>
        </w:rPr>
      </w:pPr>
    </w:p>
    <w:p w14:paraId="1C23EB65" w14:textId="77777777" w:rsidR="00DA07F3" w:rsidRPr="009F5860" w:rsidRDefault="003C7067" w:rsidP="004F654F">
      <w:pPr>
        <w:spacing w:line="276" w:lineRule="auto"/>
        <w:ind w:left="709" w:right="709"/>
        <w:jc w:val="both"/>
        <w:rPr>
          <w:rFonts w:ascii="Arial" w:hAnsi="Arial" w:cs="Arial"/>
          <w:color w:val="000000"/>
          <w:sz w:val="21"/>
          <w:szCs w:val="21"/>
        </w:rPr>
      </w:pPr>
      <w:r w:rsidRPr="009F5860">
        <w:rPr>
          <w:rFonts w:ascii="Arial" w:eastAsia="Calibri" w:hAnsi="Arial" w:cs="Arial"/>
          <w:sz w:val="21"/>
          <w:szCs w:val="21"/>
          <w:lang w:val="es-ES"/>
        </w:rPr>
        <w:t>«[…]</w:t>
      </w:r>
      <w:r w:rsidR="004F654F" w:rsidRPr="009F5860">
        <w:rPr>
          <w:rFonts w:ascii="Arial" w:hAnsi="Arial" w:cs="Arial"/>
          <w:color w:val="000000"/>
          <w:sz w:val="21"/>
          <w:szCs w:val="21"/>
        </w:rPr>
        <w:t xml:space="preserve"> me dirijo a ustedes con el fin de solicitarles me informen si los documentos expedidos por la Agencia Nacional de Contratación Pública –Colombia Compra Eficiente, ya sean circulares, guías o manuales son de obligatorio cumplimiento para las entidades que usan ya sea la plataforma SECOP II o estén obligados a contratar por la Ley 80 de 1.983</w:t>
      </w:r>
      <w:r w:rsidR="00DA07F3" w:rsidRPr="009F5860">
        <w:rPr>
          <w:rFonts w:ascii="Arial" w:hAnsi="Arial" w:cs="Arial"/>
          <w:color w:val="000000"/>
          <w:sz w:val="21"/>
          <w:szCs w:val="21"/>
        </w:rPr>
        <w:t xml:space="preserve">. </w:t>
      </w:r>
    </w:p>
    <w:p w14:paraId="64C46BB6" w14:textId="0AE2A16E" w:rsidR="00DA07F3" w:rsidRPr="009F5860" w:rsidRDefault="00DA07F3" w:rsidP="004963B0">
      <w:pPr>
        <w:ind w:left="709" w:right="709"/>
        <w:jc w:val="both"/>
        <w:textAlignment w:val="baseline"/>
        <w:rPr>
          <w:rFonts w:ascii="Arial" w:hAnsi="Arial" w:cs="Arial"/>
          <w:color w:val="201F1E"/>
          <w:sz w:val="21"/>
          <w:szCs w:val="21"/>
        </w:rPr>
      </w:pPr>
      <w:r w:rsidRPr="009F5860">
        <w:rPr>
          <w:rFonts w:ascii="Arial" w:hAnsi="Arial" w:cs="Arial"/>
          <w:color w:val="201F1E"/>
          <w:sz w:val="21"/>
          <w:szCs w:val="21"/>
        </w:rPr>
        <w:t>En particular en el documento "Guía para Procesos de Contratación de obra pública" en el literal "</w:t>
      </w:r>
      <w:r w:rsidRPr="009F5860">
        <w:rPr>
          <w:rFonts w:ascii="Arial" w:hAnsi="Arial" w:cs="Arial"/>
          <w:color w:val="201F1E"/>
          <w:sz w:val="21"/>
          <w:szCs w:val="21"/>
          <w:bdr w:val="none" w:sz="0" w:space="0" w:color="auto" w:frame="1"/>
        </w:rPr>
        <w:t>B. Factor de calidad en la etapa de selección del Proceso de Contratación" en </w:t>
      </w:r>
      <w:r w:rsidRPr="009F5860">
        <w:rPr>
          <w:rFonts w:ascii="Arial" w:hAnsi="Arial" w:cs="Arial"/>
          <w:color w:val="201F1E"/>
          <w:sz w:val="21"/>
          <w:szCs w:val="21"/>
        </w:rPr>
        <w:t>la página 20 se establece que: Finalmente, la Entidades Estatales deben abstenerse de ponderar como calidad de la obra los siguientes</w:t>
      </w:r>
    </w:p>
    <w:p w14:paraId="5E6524DF" w14:textId="77777777" w:rsidR="00DA07F3" w:rsidRPr="009F5860" w:rsidRDefault="00DA07F3" w:rsidP="004963B0">
      <w:pPr>
        <w:ind w:left="709" w:right="709"/>
        <w:jc w:val="both"/>
        <w:textAlignment w:val="baseline"/>
        <w:rPr>
          <w:rFonts w:ascii="Arial" w:hAnsi="Arial" w:cs="Arial"/>
          <w:color w:val="201F1E"/>
          <w:sz w:val="21"/>
          <w:szCs w:val="21"/>
        </w:rPr>
      </w:pPr>
      <w:r w:rsidRPr="009F5860">
        <w:rPr>
          <w:rFonts w:ascii="Arial" w:hAnsi="Arial" w:cs="Arial"/>
          <w:color w:val="201F1E"/>
          <w:sz w:val="21"/>
          <w:szCs w:val="21"/>
        </w:rPr>
        <w:t>criterios: </w:t>
      </w:r>
    </w:p>
    <w:p w14:paraId="35DD5A65" w14:textId="77777777" w:rsidR="00DA07F3" w:rsidRPr="009F5860" w:rsidRDefault="00DA07F3" w:rsidP="00DA07F3">
      <w:pPr>
        <w:ind w:left="709" w:right="709"/>
        <w:jc w:val="both"/>
        <w:textAlignment w:val="baseline"/>
        <w:rPr>
          <w:rFonts w:ascii="Arial" w:hAnsi="Arial" w:cs="Arial"/>
          <w:color w:val="201F1E"/>
          <w:sz w:val="21"/>
          <w:szCs w:val="21"/>
        </w:rPr>
      </w:pPr>
      <w:r w:rsidRPr="009F5860">
        <w:rPr>
          <w:rFonts w:ascii="Arial" w:hAnsi="Arial" w:cs="Arial"/>
          <w:color w:val="201F1E"/>
          <w:sz w:val="21"/>
          <w:szCs w:val="21"/>
        </w:rPr>
        <w:t>Calificación de los programas de trabajo.</w:t>
      </w:r>
    </w:p>
    <w:p w14:paraId="7E0BB51F" w14:textId="72AB6F65" w:rsidR="00DA07F3" w:rsidRPr="009F5860" w:rsidRDefault="00DA07F3" w:rsidP="004963B0">
      <w:pPr>
        <w:ind w:left="709" w:right="709"/>
        <w:jc w:val="both"/>
        <w:textAlignment w:val="baseline"/>
        <w:rPr>
          <w:rFonts w:ascii="Arial" w:hAnsi="Arial" w:cs="Arial"/>
          <w:color w:val="201F1E"/>
          <w:sz w:val="21"/>
          <w:szCs w:val="21"/>
        </w:rPr>
      </w:pPr>
      <w:r w:rsidRPr="009F5860">
        <w:rPr>
          <w:rFonts w:ascii="Arial" w:hAnsi="Arial" w:cs="Arial"/>
          <w:color w:val="201F1E"/>
          <w:sz w:val="21"/>
          <w:szCs w:val="21"/>
        </w:rPr>
        <w:t>Cronograma de obra.</w:t>
      </w:r>
    </w:p>
    <w:p w14:paraId="22306E42" w14:textId="77777777" w:rsidR="00DA07F3" w:rsidRPr="009F5860" w:rsidRDefault="00DA07F3" w:rsidP="004963B0">
      <w:pPr>
        <w:ind w:left="709" w:right="709"/>
        <w:jc w:val="both"/>
        <w:textAlignment w:val="baseline"/>
        <w:rPr>
          <w:rFonts w:ascii="Arial" w:hAnsi="Arial" w:cs="Arial"/>
          <w:color w:val="201F1E"/>
          <w:sz w:val="21"/>
          <w:szCs w:val="21"/>
        </w:rPr>
      </w:pPr>
      <w:r w:rsidRPr="009F5860">
        <w:rPr>
          <w:rFonts w:ascii="Arial" w:hAnsi="Arial" w:cs="Arial"/>
          <w:color w:val="201F1E"/>
          <w:sz w:val="21"/>
          <w:szCs w:val="21"/>
        </w:rPr>
        <w:t>Programas de inversión.</w:t>
      </w:r>
    </w:p>
    <w:p w14:paraId="3702A787" w14:textId="1EF7AB02" w:rsidR="00DA07F3" w:rsidRPr="009F5860" w:rsidRDefault="00DA07F3" w:rsidP="004963B0">
      <w:pPr>
        <w:ind w:left="709" w:right="709"/>
        <w:jc w:val="both"/>
        <w:textAlignment w:val="baseline"/>
        <w:rPr>
          <w:rFonts w:ascii="Arial" w:hAnsi="Arial" w:cs="Arial"/>
          <w:color w:val="201F1E"/>
          <w:sz w:val="21"/>
          <w:szCs w:val="21"/>
        </w:rPr>
      </w:pPr>
      <w:r w:rsidRPr="009F5860">
        <w:rPr>
          <w:rFonts w:ascii="Arial" w:hAnsi="Arial" w:cs="Arial"/>
          <w:color w:val="201F1E"/>
          <w:sz w:val="21"/>
          <w:szCs w:val="21"/>
        </w:rPr>
        <w:t>Diligenciamiento de los formatos de análisis de precios unitarios - APU -.</w:t>
      </w:r>
    </w:p>
    <w:p w14:paraId="6A15A580" w14:textId="7A9A2BE8" w:rsidR="00DA07F3" w:rsidRPr="009F5860" w:rsidRDefault="00DA07F3" w:rsidP="004963B0">
      <w:pPr>
        <w:ind w:left="709" w:right="709"/>
        <w:jc w:val="both"/>
        <w:textAlignment w:val="baseline"/>
        <w:rPr>
          <w:rFonts w:ascii="Arial" w:hAnsi="Arial" w:cs="Arial"/>
          <w:color w:val="201F1E"/>
          <w:sz w:val="21"/>
          <w:szCs w:val="21"/>
        </w:rPr>
      </w:pPr>
      <w:r w:rsidRPr="009F5860">
        <w:rPr>
          <w:rFonts w:ascii="Arial" w:hAnsi="Arial" w:cs="Arial"/>
          <w:color w:val="201F1E"/>
          <w:sz w:val="21"/>
          <w:szCs w:val="21"/>
        </w:rPr>
        <w:lastRenderedPageBreak/>
        <w:t>Las calidades del personal (mayor tiempo de experiencia, mayores logros académicos o mayor disponibilidad de tiempo).</w:t>
      </w:r>
    </w:p>
    <w:p w14:paraId="5B7B1AAE" w14:textId="77777777" w:rsidR="00DA07F3" w:rsidRPr="009F5860" w:rsidRDefault="00DA07F3" w:rsidP="004963B0">
      <w:pPr>
        <w:ind w:left="709" w:right="709"/>
        <w:jc w:val="both"/>
        <w:textAlignment w:val="baseline"/>
        <w:rPr>
          <w:rFonts w:ascii="Arial" w:hAnsi="Arial" w:cs="Arial"/>
          <w:color w:val="201F1E"/>
          <w:sz w:val="21"/>
          <w:szCs w:val="21"/>
        </w:rPr>
      </w:pPr>
      <w:r w:rsidRPr="009F5860">
        <w:rPr>
          <w:rFonts w:ascii="Arial" w:hAnsi="Arial" w:cs="Arial"/>
          <w:color w:val="201F1E"/>
          <w:sz w:val="21"/>
          <w:szCs w:val="21"/>
        </w:rPr>
        <w:t>Sanciones o multas.</w:t>
      </w:r>
    </w:p>
    <w:p w14:paraId="1CBB76BB" w14:textId="77777777" w:rsidR="00DA07F3" w:rsidRPr="009F5860" w:rsidRDefault="00DA07F3" w:rsidP="004963B0">
      <w:pPr>
        <w:ind w:left="709" w:right="709"/>
        <w:jc w:val="both"/>
        <w:textAlignment w:val="baseline"/>
        <w:rPr>
          <w:rFonts w:ascii="Arial" w:hAnsi="Arial" w:cs="Arial"/>
          <w:color w:val="201F1E"/>
          <w:sz w:val="21"/>
          <w:szCs w:val="21"/>
        </w:rPr>
      </w:pPr>
      <w:r w:rsidRPr="009F5860">
        <w:rPr>
          <w:rFonts w:ascii="Arial" w:hAnsi="Arial" w:cs="Arial"/>
          <w:color w:val="201F1E"/>
          <w:sz w:val="21"/>
          <w:szCs w:val="21"/>
        </w:rPr>
        <w:t>Apoyo a la industria nacional.</w:t>
      </w:r>
    </w:p>
    <w:p w14:paraId="5EC69E87" w14:textId="77777777" w:rsidR="00DA07F3" w:rsidRPr="009F5860" w:rsidRDefault="00DA07F3" w:rsidP="004963B0">
      <w:pPr>
        <w:ind w:left="709" w:right="709"/>
        <w:jc w:val="both"/>
        <w:textAlignment w:val="baseline"/>
        <w:rPr>
          <w:rFonts w:ascii="Arial" w:hAnsi="Arial" w:cs="Arial"/>
          <w:color w:val="201F1E"/>
          <w:sz w:val="21"/>
          <w:szCs w:val="21"/>
        </w:rPr>
      </w:pPr>
      <w:r w:rsidRPr="009F5860">
        <w:rPr>
          <w:rFonts w:ascii="Arial" w:hAnsi="Arial" w:cs="Arial"/>
          <w:color w:val="201F1E"/>
          <w:sz w:val="21"/>
          <w:szCs w:val="21"/>
        </w:rPr>
        <w:t>Cumplimiento de las especificaciones técnicas mínimas de la obra.</w:t>
      </w:r>
    </w:p>
    <w:p w14:paraId="04BC7C89" w14:textId="77777777" w:rsidR="00DA07F3" w:rsidRPr="009F5860" w:rsidRDefault="00DA07F3" w:rsidP="004963B0">
      <w:pPr>
        <w:ind w:left="709" w:right="709"/>
        <w:jc w:val="both"/>
        <w:textAlignment w:val="baseline"/>
        <w:rPr>
          <w:rFonts w:ascii="Arial" w:hAnsi="Arial" w:cs="Arial"/>
          <w:color w:val="201F1E"/>
          <w:sz w:val="21"/>
          <w:szCs w:val="21"/>
        </w:rPr>
      </w:pPr>
      <w:r w:rsidRPr="009F5860">
        <w:rPr>
          <w:rFonts w:ascii="Arial" w:hAnsi="Arial" w:cs="Arial"/>
          <w:color w:val="201F1E"/>
          <w:sz w:val="21"/>
          <w:szCs w:val="21"/>
        </w:rPr>
        <w:t>Programas de manejo ambiental obligatorios por el objeto a contratar.</w:t>
      </w:r>
    </w:p>
    <w:p w14:paraId="4E023EED" w14:textId="77777777" w:rsidR="00DA07F3" w:rsidRPr="009F5860" w:rsidRDefault="00DA07F3" w:rsidP="004963B0">
      <w:pPr>
        <w:ind w:left="709" w:right="709"/>
        <w:jc w:val="both"/>
        <w:textAlignment w:val="baseline"/>
        <w:rPr>
          <w:rFonts w:ascii="Arial" w:hAnsi="Arial" w:cs="Arial"/>
          <w:color w:val="201F1E"/>
          <w:sz w:val="21"/>
          <w:szCs w:val="21"/>
        </w:rPr>
      </w:pPr>
      <w:r w:rsidRPr="009F5860">
        <w:rPr>
          <w:rFonts w:ascii="Arial" w:hAnsi="Arial" w:cs="Arial"/>
          <w:color w:val="201F1E"/>
          <w:sz w:val="21"/>
          <w:szCs w:val="21"/>
        </w:rPr>
        <w:t>Porcentaje solicitado como anticipo.</w:t>
      </w:r>
    </w:p>
    <w:p w14:paraId="695ACE68" w14:textId="751B3A5F" w:rsidR="003C7067" w:rsidRPr="009F5860" w:rsidRDefault="00DA07F3" w:rsidP="004963B0">
      <w:pPr>
        <w:ind w:left="709" w:right="709"/>
        <w:jc w:val="both"/>
        <w:textAlignment w:val="baseline"/>
        <w:rPr>
          <w:rFonts w:ascii="Arial" w:hAnsi="Arial" w:cs="Arial"/>
          <w:color w:val="201F1E"/>
          <w:sz w:val="21"/>
          <w:szCs w:val="21"/>
        </w:rPr>
      </w:pPr>
      <w:r w:rsidRPr="009F5860">
        <w:rPr>
          <w:rFonts w:ascii="Arial" w:hAnsi="Arial" w:cs="Arial"/>
          <w:color w:val="201F1E"/>
          <w:sz w:val="21"/>
          <w:szCs w:val="21"/>
        </w:rPr>
        <w:t>Visita de obra</w:t>
      </w:r>
      <w:r w:rsidR="003C7067" w:rsidRPr="009F5860">
        <w:rPr>
          <w:rFonts w:ascii="Arial" w:hAnsi="Arial" w:cs="Arial"/>
          <w:sz w:val="21"/>
          <w:szCs w:val="21"/>
          <w:lang w:val="es-ES"/>
        </w:rPr>
        <w:t>».</w:t>
      </w:r>
    </w:p>
    <w:p w14:paraId="2C4B2B60" w14:textId="77777777" w:rsidR="003C7067" w:rsidRPr="009F5860" w:rsidRDefault="003C7067" w:rsidP="00172E23">
      <w:pPr>
        <w:spacing w:line="276" w:lineRule="auto"/>
        <w:ind w:right="709"/>
        <w:jc w:val="both"/>
        <w:rPr>
          <w:rFonts w:ascii="Arial" w:eastAsia="Calibri" w:hAnsi="Arial" w:cs="Arial"/>
          <w:b/>
          <w:sz w:val="22"/>
          <w:szCs w:val="22"/>
          <w:lang w:val="es-ES"/>
        </w:rPr>
      </w:pPr>
    </w:p>
    <w:p w14:paraId="5ACBD771" w14:textId="77777777" w:rsidR="003C7067" w:rsidRPr="009F5860" w:rsidRDefault="003C7067" w:rsidP="003C7067">
      <w:pPr>
        <w:spacing w:line="276" w:lineRule="auto"/>
        <w:jc w:val="both"/>
        <w:rPr>
          <w:rFonts w:ascii="Arial" w:eastAsia="Calibri" w:hAnsi="Arial" w:cs="Arial"/>
          <w:b/>
          <w:sz w:val="22"/>
          <w:szCs w:val="22"/>
          <w:lang w:val="es-ES"/>
        </w:rPr>
      </w:pPr>
      <w:r w:rsidRPr="009F5860">
        <w:rPr>
          <w:rFonts w:ascii="Arial" w:eastAsia="Calibri" w:hAnsi="Arial" w:cs="Arial"/>
          <w:b/>
          <w:sz w:val="22"/>
          <w:szCs w:val="22"/>
          <w:lang w:val="es-ES"/>
        </w:rPr>
        <w:t>2. Consideraciones</w:t>
      </w:r>
    </w:p>
    <w:p w14:paraId="25DC51CC" w14:textId="77777777" w:rsidR="0016321F" w:rsidRPr="009F5860" w:rsidRDefault="0016321F" w:rsidP="00E74412">
      <w:pPr>
        <w:jc w:val="both"/>
        <w:rPr>
          <w:rFonts w:ascii="Arial" w:eastAsia="Calibri" w:hAnsi="Arial" w:cs="Arial"/>
          <w:b/>
          <w:sz w:val="22"/>
          <w:szCs w:val="22"/>
          <w:lang w:val="es-ES"/>
        </w:rPr>
      </w:pPr>
    </w:p>
    <w:p w14:paraId="727D3A25" w14:textId="02169072" w:rsidR="00452C65" w:rsidRPr="009F5860" w:rsidRDefault="003C7067" w:rsidP="00E74412">
      <w:pPr>
        <w:spacing w:after="120" w:line="276" w:lineRule="auto"/>
        <w:jc w:val="both"/>
        <w:rPr>
          <w:rFonts w:ascii="Arial" w:eastAsia="Calibri" w:hAnsi="Arial" w:cs="Arial"/>
          <w:color w:val="000000" w:themeColor="text1"/>
          <w:sz w:val="22"/>
          <w:szCs w:val="22"/>
          <w:lang w:val="es-ES_tradnl"/>
        </w:rPr>
      </w:pPr>
      <w:r w:rsidRPr="009F5860">
        <w:rPr>
          <w:rFonts w:ascii="Arial" w:eastAsia="Calibri" w:hAnsi="Arial" w:cs="Arial"/>
          <w:sz w:val="22"/>
          <w:szCs w:val="22"/>
          <w:lang w:val="es-ES"/>
        </w:rPr>
        <w:t>Para resolver el interrogante planteado se analizará</w:t>
      </w:r>
      <w:r w:rsidR="00172E23" w:rsidRPr="009F5860">
        <w:rPr>
          <w:rFonts w:ascii="Arial" w:eastAsia="Calibri" w:hAnsi="Arial" w:cs="Arial"/>
          <w:sz w:val="22"/>
          <w:szCs w:val="22"/>
          <w:lang w:val="es-ES"/>
        </w:rPr>
        <w:t>n los</w:t>
      </w:r>
      <w:r w:rsidRPr="009F5860">
        <w:rPr>
          <w:rFonts w:ascii="Arial" w:eastAsia="Calibri" w:hAnsi="Arial" w:cs="Arial"/>
          <w:sz w:val="22"/>
          <w:szCs w:val="22"/>
          <w:lang w:val="es-ES"/>
        </w:rPr>
        <w:t xml:space="preserve"> siguiente</w:t>
      </w:r>
      <w:r w:rsidR="00172E23" w:rsidRPr="009F5860">
        <w:rPr>
          <w:rFonts w:ascii="Arial" w:eastAsia="Calibri" w:hAnsi="Arial" w:cs="Arial"/>
          <w:sz w:val="22"/>
          <w:szCs w:val="22"/>
          <w:lang w:val="es-ES"/>
        </w:rPr>
        <w:t>s</w:t>
      </w:r>
      <w:r w:rsidRPr="009F5860">
        <w:rPr>
          <w:rFonts w:ascii="Arial" w:eastAsia="Calibri" w:hAnsi="Arial" w:cs="Arial"/>
          <w:sz w:val="22"/>
          <w:szCs w:val="22"/>
          <w:lang w:val="es-ES"/>
        </w:rPr>
        <w:t xml:space="preserve"> temas: </w:t>
      </w:r>
      <w:r w:rsidR="00546BD3" w:rsidRPr="009F5860">
        <w:rPr>
          <w:rFonts w:ascii="Arial" w:eastAsia="Calibri" w:hAnsi="Arial" w:cs="Arial"/>
          <w:sz w:val="22"/>
          <w:szCs w:val="22"/>
          <w:lang w:val="es-ES"/>
        </w:rPr>
        <w:t xml:space="preserve">i) </w:t>
      </w:r>
      <w:r w:rsidR="00994D39" w:rsidRPr="009F5860">
        <w:rPr>
          <w:rFonts w:ascii="Arial" w:eastAsia="Calibri" w:hAnsi="Arial" w:cs="Arial"/>
          <w:sz w:val="22"/>
          <w:szCs w:val="22"/>
          <w:lang w:val="es-ES"/>
        </w:rPr>
        <w:t>carácter vinculante de las guías, manuales y circulares expedidas por Colombia Compra Eficiente</w:t>
      </w:r>
      <w:r w:rsidR="00546BD3" w:rsidRPr="009F5860">
        <w:rPr>
          <w:rFonts w:ascii="Arial" w:eastAsia="Calibri" w:hAnsi="Arial" w:cs="Arial"/>
          <w:sz w:val="22"/>
          <w:szCs w:val="22"/>
          <w:lang w:val="es-ES"/>
        </w:rPr>
        <w:t xml:space="preserve">, ii) </w:t>
      </w:r>
      <w:r w:rsidR="00994D39" w:rsidRPr="009F5860">
        <w:rPr>
          <w:rFonts w:ascii="Arial" w:eastAsia="Calibri" w:hAnsi="Arial" w:cs="Arial"/>
          <w:sz w:val="22"/>
          <w:szCs w:val="22"/>
          <w:lang w:val="es-ES"/>
        </w:rPr>
        <w:t xml:space="preserve">alcance y vigencia de la </w:t>
      </w:r>
      <w:r w:rsidR="00994D39" w:rsidRPr="00E74412">
        <w:rPr>
          <w:rFonts w:ascii="Arial" w:eastAsia="Calibri" w:hAnsi="Arial" w:cs="Arial"/>
          <w:i/>
          <w:iCs/>
          <w:sz w:val="22"/>
          <w:szCs w:val="22"/>
          <w:lang w:val="es-ES"/>
        </w:rPr>
        <w:t>Guía para Procesos de Contratación de obra pública</w:t>
      </w:r>
      <w:r w:rsidR="00994D39" w:rsidRPr="009F5860">
        <w:rPr>
          <w:rFonts w:ascii="Arial" w:eastAsia="Calibri" w:hAnsi="Arial" w:cs="Arial"/>
          <w:sz w:val="22"/>
          <w:szCs w:val="22"/>
          <w:lang w:val="es-ES"/>
        </w:rPr>
        <w:t xml:space="preserve"> tras la implementación de los documentos tipo obligatorios  Para desarrollar estos </w:t>
      </w:r>
      <w:r w:rsidR="00BD5A6F">
        <w:rPr>
          <w:rFonts w:ascii="Arial" w:eastAsia="Calibri" w:hAnsi="Arial" w:cs="Arial"/>
          <w:sz w:val="22"/>
          <w:szCs w:val="22"/>
          <w:lang w:val="es-ES"/>
        </w:rPr>
        <w:t>puntos</w:t>
      </w:r>
      <w:r w:rsidR="00994D39" w:rsidRPr="009F5860">
        <w:rPr>
          <w:rFonts w:ascii="Arial" w:eastAsia="Calibri" w:hAnsi="Arial" w:cs="Arial"/>
          <w:sz w:val="22"/>
          <w:szCs w:val="22"/>
          <w:lang w:val="es-ES"/>
        </w:rPr>
        <w:t xml:space="preserve">, se reiterarán algunos de los argumentos expuestos </w:t>
      </w:r>
      <w:r w:rsidR="006E280E" w:rsidRPr="009F5860">
        <w:rPr>
          <w:rFonts w:ascii="Arial" w:eastAsia="Calibri" w:hAnsi="Arial" w:cs="Arial"/>
          <w:color w:val="000000" w:themeColor="text1"/>
          <w:sz w:val="22"/>
          <w:szCs w:val="22"/>
          <w:lang w:val="es-ES_tradnl"/>
        </w:rPr>
        <w:t xml:space="preserve">en los conceptos C-124 de 5 de abril de 2021, C-451 de 31 de agosto de 2021 y C-519 de 23 de septiembre de 2021, </w:t>
      </w:r>
      <w:r w:rsidR="00994D39" w:rsidRPr="009F5860">
        <w:rPr>
          <w:rFonts w:ascii="Arial" w:eastAsia="Calibri" w:hAnsi="Arial" w:cs="Arial"/>
          <w:color w:val="000000" w:themeColor="text1"/>
          <w:sz w:val="22"/>
          <w:szCs w:val="22"/>
          <w:lang w:val="es-ES_tradnl"/>
        </w:rPr>
        <w:t xml:space="preserve">en los que se </w:t>
      </w:r>
      <w:r w:rsidR="006E280E" w:rsidRPr="009F5860">
        <w:rPr>
          <w:rFonts w:ascii="Arial" w:eastAsia="Calibri" w:hAnsi="Arial" w:cs="Arial"/>
          <w:color w:val="000000" w:themeColor="text1"/>
          <w:sz w:val="22"/>
          <w:szCs w:val="22"/>
          <w:lang w:val="es-ES_tradnl"/>
        </w:rPr>
        <w:t>estudi</w:t>
      </w:r>
      <w:r w:rsidR="001B1ED3" w:rsidRPr="009F5860">
        <w:rPr>
          <w:rFonts w:ascii="Arial" w:eastAsia="Calibri" w:hAnsi="Arial" w:cs="Arial"/>
          <w:color w:val="000000" w:themeColor="text1"/>
          <w:sz w:val="22"/>
          <w:szCs w:val="22"/>
          <w:lang w:val="es-ES_tradnl"/>
        </w:rPr>
        <w:t>ó</w:t>
      </w:r>
      <w:r w:rsidR="006E280E" w:rsidRPr="009F5860">
        <w:rPr>
          <w:rFonts w:ascii="Arial" w:eastAsia="Calibri" w:hAnsi="Arial" w:cs="Arial"/>
          <w:color w:val="000000" w:themeColor="text1"/>
          <w:sz w:val="22"/>
          <w:szCs w:val="22"/>
          <w:lang w:val="es-ES_tradnl"/>
        </w:rPr>
        <w:t xml:space="preserve"> el tema de la obligatoriedad de los documentos expedidos por parte de esta entidad</w:t>
      </w:r>
      <w:r w:rsidR="001B1ED3" w:rsidRPr="009F5860">
        <w:rPr>
          <w:rFonts w:ascii="Arial" w:eastAsia="Calibri" w:hAnsi="Arial" w:cs="Arial"/>
          <w:color w:val="000000" w:themeColor="text1"/>
          <w:sz w:val="22"/>
          <w:szCs w:val="22"/>
          <w:lang w:val="es-ES_tradnl"/>
        </w:rPr>
        <w:t>.</w:t>
      </w:r>
      <w:r w:rsidR="006E280E" w:rsidRPr="009F5860">
        <w:rPr>
          <w:rFonts w:ascii="Arial" w:eastAsia="Calibri" w:hAnsi="Arial" w:cs="Arial"/>
          <w:color w:val="000000" w:themeColor="text1"/>
          <w:sz w:val="22"/>
          <w:szCs w:val="22"/>
          <w:lang w:val="es-ES_tradnl"/>
        </w:rPr>
        <w:t xml:space="preserve"> </w:t>
      </w:r>
    </w:p>
    <w:p w14:paraId="35ED992F" w14:textId="77777777" w:rsidR="006E280E" w:rsidRPr="009F5860" w:rsidRDefault="006E280E" w:rsidP="004963B0">
      <w:pPr>
        <w:jc w:val="both"/>
        <w:rPr>
          <w:rFonts w:ascii="Arial" w:eastAsia="Calibri" w:hAnsi="Arial" w:cs="Arial"/>
          <w:sz w:val="14"/>
          <w:szCs w:val="14"/>
          <w:lang w:val="es-ES"/>
        </w:rPr>
      </w:pPr>
    </w:p>
    <w:p w14:paraId="3EB46450" w14:textId="17008409" w:rsidR="003C7067" w:rsidRPr="009F5860" w:rsidRDefault="003C7067" w:rsidP="007C14A7">
      <w:pPr>
        <w:spacing w:line="276" w:lineRule="auto"/>
        <w:jc w:val="both"/>
        <w:rPr>
          <w:rFonts w:ascii="Arial" w:eastAsia="Arial" w:hAnsi="Arial" w:cs="Arial"/>
          <w:b/>
          <w:bCs/>
          <w:color w:val="000000"/>
          <w:sz w:val="22"/>
          <w:szCs w:val="22"/>
          <w:lang w:val="es-ES_tradnl"/>
        </w:rPr>
      </w:pPr>
      <w:r w:rsidRPr="009F5860">
        <w:rPr>
          <w:rFonts w:ascii="Arial" w:eastAsia="Calibri" w:hAnsi="Arial" w:cs="Arial"/>
          <w:b/>
          <w:bCs/>
          <w:sz w:val="22"/>
          <w:szCs w:val="22"/>
          <w:lang w:val="es-ES"/>
        </w:rPr>
        <w:t xml:space="preserve">2.1. </w:t>
      </w:r>
      <w:r w:rsidR="00994D39" w:rsidRPr="009F5860">
        <w:rPr>
          <w:rFonts w:ascii="Arial" w:eastAsia="Calibri" w:hAnsi="Arial" w:cs="Arial"/>
          <w:b/>
          <w:bCs/>
          <w:sz w:val="22"/>
          <w:szCs w:val="22"/>
          <w:lang w:val="es-ES"/>
        </w:rPr>
        <w:t>C</w:t>
      </w:r>
      <w:r w:rsidR="00027E00" w:rsidRPr="009F5860">
        <w:rPr>
          <w:rFonts w:ascii="Arial" w:eastAsia="Calibri" w:hAnsi="Arial" w:cs="Arial"/>
          <w:b/>
          <w:bCs/>
          <w:sz w:val="22"/>
          <w:szCs w:val="22"/>
          <w:lang w:val="es-ES"/>
        </w:rPr>
        <w:t>arácter</w:t>
      </w:r>
      <w:r w:rsidR="007704C1" w:rsidRPr="009F5860">
        <w:rPr>
          <w:rFonts w:ascii="Arial" w:eastAsia="Calibri" w:hAnsi="Arial" w:cs="Arial"/>
          <w:b/>
          <w:bCs/>
          <w:sz w:val="22"/>
          <w:szCs w:val="22"/>
          <w:lang w:val="es-ES"/>
        </w:rPr>
        <w:t xml:space="preserve"> </w:t>
      </w:r>
      <w:r w:rsidR="00027E00" w:rsidRPr="009F5860">
        <w:rPr>
          <w:rFonts w:ascii="Arial" w:eastAsia="Calibri" w:hAnsi="Arial" w:cs="Arial"/>
          <w:b/>
          <w:bCs/>
          <w:sz w:val="22"/>
          <w:szCs w:val="22"/>
          <w:lang w:val="es-ES"/>
        </w:rPr>
        <w:t>vinculante</w:t>
      </w:r>
      <w:r w:rsidR="007704C1" w:rsidRPr="009F5860">
        <w:rPr>
          <w:rFonts w:ascii="Arial" w:eastAsia="Calibri" w:hAnsi="Arial" w:cs="Arial"/>
          <w:b/>
          <w:bCs/>
          <w:sz w:val="22"/>
          <w:szCs w:val="22"/>
          <w:lang w:val="es-ES"/>
        </w:rPr>
        <w:t xml:space="preserve"> </w:t>
      </w:r>
      <w:r w:rsidR="00027E00" w:rsidRPr="009F5860">
        <w:rPr>
          <w:rFonts w:ascii="Arial" w:eastAsia="Calibri" w:hAnsi="Arial" w:cs="Arial"/>
          <w:b/>
          <w:bCs/>
          <w:sz w:val="22"/>
          <w:szCs w:val="22"/>
          <w:lang w:val="es-ES"/>
        </w:rPr>
        <w:t>de</w:t>
      </w:r>
      <w:r w:rsidR="007704C1" w:rsidRPr="009F5860">
        <w:rPr>
          <w:rFonts w:ascii="Arial" w:eastAsia="Calibri" w:hAnsi="Arial" w:cs="Arial"/>
          <w:b/>
          <w:bCs/>
          <w:sz w:val="22"/>
          <w:szCs w:val="22"/>
          <w:lang w:val="es-ES"/>
        </w:rPr>
        <w:t xml:space="preserve"> </w:t>
      </w:r>
      <w:r w:rsidR="00027E00" w:rsidRPr="009F5860">
        <w:rPr>
          <w:rFonts w:ascii="Arial" w:eastAsia="Calibri" w:hAnsi="Arial" w:cs="Arial"/>
          <w:b/>
          <w:bCs/>
          <w:sz w:val="22"/>
          <w:szCs w:val="22"/>
          <w:lang w:val="es-ES"/>
        </w:rPr>
        <w:t>las</w:t>
      </w:r>
      <w:r w:rsidR="007704C1" w:rsidRPr="009F5860">
        <w:rPr>
          <w:rFonts w:ascii="Arial" w:eastAsia="Calibri" w:hAnsi="Arial" w:cs="Arial"/>
          <w:b/>
          <w:bCs/>
          <w:sz w:val="22"/>
          <w:szCs w:val="22"/>
          <w:lang w:val="es-ES"/>
        </w:rPr>
        <w:t xml:space="preserve"> </w:t>
      </w:r>
      <w:r w:rsidR="00027E00" w:rsidRPr="009F5860">
        <w:rPr>
          <w:rFonts w:ascii="Arial" w:eastAsia="Arial" w:hAnsi="Arial" w:cs="Arial"/>
          <w:b/>
          <w:bCs/>
          <w:color w:val="000000"/>
          <w:sz w:val="22"/>
          <w:szCs w:val="22"/>
          <w:lang w:val="es-ES_tradnl"/>
        </w:rPr>
        <w:t>g</w:t>
      </w:r>
      <w:r w:rsidR="004F654F" w:rsidRPr="009F5860">
        <w:rPr>
          <w:rFonts w:ascii="Arial" w:eastAsia="Arial" w:hAnsi="Arial" w:cs="Arial"/>
          <w:b/>
          <w:bCs/>
          <w:color w:val="000000"/>
          <w:sz w:val="22"/>
          <w:szCs w:val="22"/>
          <w:lang w:val="es-ES_tradnl"/>
        </w:rPr>
        <w:t>uías, manuales</w:t>
      </w:r>
      <w:r w:rsidR="00027E00" w:rsidRPr="009F5860">
        <w:rPr>
          <w:rFonts w:ascii="Arial" w:eastAsia="Arial" w:hAnsi="Arial" w:cs="Arial"/>
          <w:b/>
          <w:bCs/>
          <w:color w:val="000000"/>
          <w:sz w:val="22"/>
          <w:szCs w:val="22"/>
          <w:lang w:val="es-ES_tradnl"/>
        </w:rPr>
        <w:t xml:space="preserve"> y</w:t>
      </w:r>
      <w:r w:rsidR="004F654F" w:rsidRPr="009F5860">
        <w:rPr>
          <w:rFonts w:ascii="Arial" w:eastAsia="Arial" w:hAnsi="Arial" w:cs="Arial"/>
          <w:b/>
          <w:bCs/>
          <w:color w:val="000000"/>
          <w:sz w:val="22"/>
          <w:szCs w:val="22"/>
          <w:lang w:val="es-ES_tradnl"/>
        </w:rPr>
        <w:t xml:space="preserve"> circulares</w:t>
      </w:r>
      <w:r w:rsidR="007704C1" w:rsidRPr="009F5860">
        <w:rPr>
          <w:rFonts w:ascii="Arial" w:eastAsia="Arial" w:hAnsi="Arial" w:cs="Arial"/>
          <w:b/>
          <w:bCs/>
          <w:color w:val="000000"/>
          <w:sz w:val="22"/>
          <w:szCs w:val="22"/>
          <w:lang w:val="es-ES_tradnl"/>
        </w:rPr>
        <w:t xml:space="preserve"> </w:t>
      </w:r>
      <w:r w:rsidR="00027E00" w:rsidRPr="009F5860">
        <w:rPr>
          <w:rFonts w:ascii="Arial" w:eastAsia="Arial" w:hAnsi="Arial" w:cs="Arial"/>
          <w:b/>
          <w:bCs/>
          <w:color w:val="000000"/>
          <w:sz w:val="22"/>
          <w:szCs w:val="22"/>
          <w:lang w:val="es-ES_tradnl"/>
        </w:rPr>
        <w:t>expedid</w:t>
      </w:r>
      <w:r w:rsidR="007704C1" w:rsidRPr="009F5860">
        <w:rPr>
          <w:rFonts w:ascii="Arial" w:eastAsia="Arial" w:hAnsi="Arial" w:cs="Arial"/>
          <w:b/>
          <w:bCs/>
          <w:color w:val="000000"/>
          <w:sz w:val="22"/>
          <w:szCs w:val="22"/>
          <w:lang w:val="es-ES_tradnl"/>
        </w:rPr>
        <w:t>a</w:t>
      </w:r>
      <w:r w:rsidR="00027E00" w:rsidRPr="009F5860">
        <w:rPr>
          <w:rFonts w:ascii="Arial" w:eastAsia="Arial" w:hAnsi="Arial" w:cs="Arial"/>
          <w:b/>
          <w:bCs/>
          <w:color w:val="000000"/>
          <w:sz w:val="22"/>
          <w:szCs w:val="22"/>
          <w:lang w:val="es-ES_tradnl"/>
        </w:rPr>
        <w:t>s</w:t>
      </w:r>
      <w:r w:rsidR="007704C1" w:rsidRPr="009F5860">
        <w:rPr>
          <w:rFonts w:ascii="Arial" w:eastAsia="Arial" w:hAnsi="Arial" w:cs="Arial"/>
          <w:b/>
          <w:bCs/>
          <w:color w:val="000000"/>
          <w:sz w:val="22"/>
          <w:szCs w:val="22"/>
          <w:lang w:val="es-ES_tradnl"/>
        </w:rPr>
        <w:t xml:space="preserve"> </w:t>
      </w:r>
      <w:r w:rsidR="00027E00" w:rsidRPr="009F5860">
        <w:rPr>
          <w:rFonts w:ascii="Arial" w:eastAsia="Arial" w:hAnsi="Arial" w:cs="Arial"/>
          <w:b/>
          <w:bCs/>
          <w:color w:val="000000"/>
          <w:sz w:val="22"/>
          <w:szCs w:val="22"/>
          <w:lang w:val="es-ES_tradnl"/>
        </w:rPr>
        <w:t>por Colombia Compra Eficiente</w:t>
      </w:r>
      <w:r w:rsidR="004F654F" w:rsidRPr="009F5860">
        <w:rPr>
          <w:rFonts w:ascii="Arial" w:eastAsia="Arial" w:hAnsi="Arial" w:cs="Arial"/>
          <w:b/>
          <w:bCs/>
          <w:color w:val="000000"/>
          <w:sz w:val="22"/>
          <w:szCs w:val="22"/>
          <w:lang w:val="es-ES_tradnl"/>
        </w:rPr>
        <w:t xml:space="preserve"> </w:t>
      </w:r>
    </w:p>
    <w:p w14:paraId="36E099BC" w14:textId="77777777" w:rsidR="00334B19" w:rsidRPr="009F5860" w:rsidRDefault="00334B19" w:rsidP="004963B0">
      <w:pPr>
        <w:jc w:val="both"/>
        <w:rPr>
          <w:rFonts w:ascii="Arial" w:eastAsia="Calibri" w:hAnsi="Arial" w:cs="Arial"/>
          <w:b/>
          <w:bCs/>
          <w:sz w:val="16"/>
          <w:szCs w:val="16"/>
          <w:lang w:val="es-ES"/>
        </w:rPr>
      </w:pPr>
    </w:p>
    <w:p w14:paraId="065B3C5C" w14:textId="09D6088B" w:rsidR="002C3DC8" w:rsidRPr="009F5860" w:rsidRDefault="004F654F" w:rsidP="00E74412">
      <w:pPr>
        <w:pStyle w:val="Textoindependiente"/>
        <w:spacing w:after="120" w:line="276" w:lineRule="auto"/>
        <w:jc w:val="both"/>
        <w:rPr>
          <w:sz w:val="22"/>
          <w:szCs w:val="22"/>
        </w:rPr>
      </w:pPr>
      <w:r w:rsidRPr="009F5860">
        <w:rPr>
          <w:sz w:val="22"/>
          <w:szCs w:val="22"/>
        </w:rPr>
        <w:t xml:space="preserve">La Agencia Nacional de Contratación Pública – Colombia Compra Eficiente fue creada por el Decreto Ley 4170 de 2011, como una Unidad Administrativa Especial, </w:t>
      </w:r>
      <w:r w:rsidR="00F2234C" w:rsidRPr="009F5860">
        <w:rPr>
          <w:sz w:val="22"/>
          <w:szCs w:val="22"/>
        </w:rPr>
        <w:t xml:space="preserve">entidad </w:t>
      </w:r>
      <w:r w:rsidRPr="009F5860">
        <w:rPr>
          <w:sz w:val="22"/>
          <w:szCs w:val="22"/>
        </w:rPr>
        <w:t xml:space="preserve">descentralizada de la Rama Ejecutiva del orden nacional, adscrita al Departamento Nacional de Planeación. </w:t>
      </w:r>
    </w:p>
    <w:p w14:paraId="52959542" w14:textId="7312639B" w:rsidR="004F654F" w:rsidRPr="009F5860" w:rsidRDefault="004F654F" w:rsidP="00E74412">
      <w:pPr>
        <w:pStyle w:val="Textoindependiente"/>
        <w:spacing w:line="276" w:lineRule="auto"/>
        <w:ind w:firstLine="708"/>
        <w:jc w:val="both"/>
        <w:rPr>
          <w:sz w:val="22"/>
          <w:szCs w:val="22"/>
        </w:rPr>
      </w:pPr>
      <w:r w:rsidRPr="009F5860">
        <w:rPr>
          <w:sz w:val="22"/>
          <w:szCs w:val="22"/>
        </w:rPr>
        <w:t>El legislador determinó que su objetivo sería servir como ente rector de la política de compras y contratación del Estado, co</w:t>
      </w:r>
      <w:r w:rsidR="00F2234C" w:rsidRPr="009F5860">
        <w:rPr>
          <w:sz w:val="22"/>
          <w:szCs w:val="22"/>
        </w:rPr>
        <w:t>mo</w:t>
      </w:r>
      <w:r w:rsidRPr="009F5860">
        <w:rPr>
          <w:sz w:val="22"/>
          <w:szCs w:val="22"/>
        </w:rPr>
        <w:t xml:space="preserve"> órgano técnico especializado </w:t>
      </w:r>
      <w:r w:rsidR="00F2234C" w:rsidRPr="009F5860">
        <w:rPr>
          <w:sz w:val="22"/>
          <w:szCs w:val="22"/>
        </w:rPr>
        <w:t xml:space="preserve">encargado de </w:t>
      </w:r>
      <w:r w:rsidRPr="009F5860">
        <w:rPr>
          <w:sz w:val="22"/>
          <w:szCs w:val="22"/>
        </w:rPr>
        <w:t xml:space="preserve">la tarea de formular políticas públicas, normas y unificar los procesos de contratación estatal, </w:t>
      </w:r>
      <w:r w:rsidR="00F2234C" w:rsidRPr="009F5860">
        <w:rPr>
          <w:sz w:val="22"/>
          <w:szCs w:val="22"/>
        </w:rPr>
        <w:t xml:space="preserve">de conformidad con </w:t>
      </w:r>
      <w:r w:rsidR="00EB32BF" w:rsidRPr="009F5860">
        <w:rPr>
          <w:sz w:val="22"/>
          <w:szCs w:val="22"/>
        </w:rPr>
        <w:t>la</w:t>
      </w:r>
      <w:r w:rsidR="00F2234C" w:rsidRPr="009F5860">
        <w:rPr>
          <w:sz w:val="22"/>
          <w:szCs w:val="22"/>
        </w:rPr>
        <w:t xml:space="preserve"> facultad </w:t>
      </w:r>
      <w:r w:rsidR="00EB32BF" w:rsidRPr="009F5860">
        <w:rPr>
          <w:sz w:val="22"/>
          <w:szCs w:val="22"/>
        </w:rPr>
        <w:t xml:space="preserve">atribuida por el numeral 2 del artículo 3 del Decreto Ley 4170 de 2011 </w:t>
      </w:r>
      <w:r w:rsidRPr="009F5860">
        <w:rPr>
          <w:sz w:val="22"/>
          <w:szCs w:val="22"/>
        </w:rPr>
        <w:t>para «</w:t>
      </w:r>
      <w:r w:rsidR="00EB32BF" w:rsidRPr="009F5860">
        <w:rPr>
          <w:sz w:val="22"/>
          <w:szCs w:val="22"/>
        </w:rPr>
        <w:t xml:space="preserve">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 </w:t>
      </w:r>
      <w:r w:rsidRPr="009F5860">
        <w:rPr>
          <w:sz w:val="22"/>
          <w:szCs w:val="22"/>
        </w:rPr>
        <w:t xml:space="preserve"> </w:t>
      </w:r>
      <w:r w:rsidR="00FB2D69" w:rsidRPr="009F5860">
        <w:rPr>
          <w:sz w:val="22"/>
          <w:szCs w:val="22"/>
        </w:rPr>
        <w:t>En concordancia con esto</w:t>
      </w:r>
      <w:r w:rsidRPr="009F5860">
        <w:rPr>
          <w:sz w:val="22"/>
          <w:szCs w:val="22"/>
        </w:rPr>
        <w:t>, el numeral 5 del mismo artículo otorga la facultad para expedir circulares externas en materia de compras y contratación pública.</w:t>
      </w:r>
    </w:p>
    <w:p w14:paraId="17213C43" w14:textId="1D49AB2B" w:rsidR="004F654F" w:rsidRPr="009F5860" w:rsidRDefault="00E2370B" w:rsidP="00E2370B">
      <w:pPr>
        <w:pStyle w:val="Textoindependiente"/>
        <w:spacing w:before="120" w:line="276" w:lineRule="auto"/>
        <w:ind w:firstLine="708"/>
        <w:jc w:val="both"/>
        <w:rPr>
          <w:sz w:val="22"/>
          <w:szCs w:val="22"/>
        </w:rPr>
      </w:pPr>
      <w:r w:rsidRPr="009F5860">
        <w:rPr>
          <w:sz w:val="22"/>
          <w:szCs w:val="22"/>
        </w:rPr>
        <w:t xml:space="preserve">En ejercicio de estas competencias </w:t>
      </w:r>
      <w:r w:rsidR="00994D39" w:rsidRPr="009F5860">
        <w:rPr>
          <w:sz w:val="22"/>
          <w:szCs w:val="22"/>
        </w:rPr>
        <w:t xml:space="preserve">la </w:t>
      </w:r>
      <w:r w:rsidR="00C1122A" w:rsidRPr="009F5860">
        <w:rPr>
          <w:sz w:val="22"/>
          <w:szCs w:val="22"/>
        </w:rPr>
        <w:t xml:space="preserve">Agencia </w:t>
      </w:r>
      <w:r w:rsidRPr="009F5860">
        <w:rPr>
          <w:sz w:val="22"/>
          <w:szCs w:val="22"/>
        </w:rPr>
        <w:t xml:space="preserve">ha expedido </w:t>
      </w:r>
      <w:r w:rsidR="00994D39" w:rsidRPr="009F5860">
        <w:rPr>
          <w:sz w:val="22"/>
          <w:szCs w:val="22"/>
        </w:rPr>
        <w:t xml:space="preserve">diferentes </w:t>
      </w:r>
      <w:r w:rsidRPr="009F5860">
        <w:rPr>
          <w:sz w:val="22"/>
          <w:szCs w:val="22"/>
        </w:rPr>
        <w:t>guías, manuales y circulares externas, los cuales pueden ser calificad</w:t>
      </w:r>
      <w:r w:rsidR="00994D39" w:rsidRPr="009F5860">
        <w:rPr>
          <w:sz w:val="22"/>
          <w:szCs w:val="22"/>
        </w:rPr>
        <w:t>a</w:t>
      </w:r>
      <w:r w:rsidRPr="009F5860">
        <w:rPr>
          <w:sz w:val="22"/>
          <w:szCs w:val="22"/>
        </w:rPr>
        <w:t xml:space="preserve">s como herramientas de apoyo a los partícipes de la contratación pública. Esto en la medida </w:t>
      </w:r>
      <w:r w:rsidR="00C1122A" w:rsidRPr="009F5860">
        <w:rPr>
          <w:sz w:val="22"/>
          <w:szCs w:val="22"/>
        </w:rPr>
        <w:t xml:space="preserve">en </w:t>
      </w:r>
      <w:r w:rsidRPr="009F5860">
        <w:rPr>
          <w:sz w:val="22"/>
          <w:szCs w:val="22"/>
        </w:rPr>
        <w:t xml:space="preserve">que han sido formulados como instrumentos dirigidos a facilitar las compras y la contratación pública, </w:t>
      </w:r>
      <w:r w:rsidRPr="009F5860">
        <w:rPr>
          <w:sz w:val="22"/>
          <w:szCs w:val="22"/>
        </w:rPr>
        <w:lastRenderedPageBreak/>
        <w:t>promoviendo las mejores prácticas, la eficiencia, transparencia y competitividad.</w:t>
      </w:r>
      <w:r w:rsidR="009346BA" w:rsidRPr="009F5860">
        <w:rPr>
          <w:sz w:val="22"/>
          <w:szCs w:val="22"/>
        </w:rPr>
        <w:t xml:space="preserve"> </w:t>
      </w:r>
      <w:r w:rsidR="00C1122A" w:rsidRPr="009F5860">
        <w:rPr>
          <w:sz w:val="22"/>
          <w:szCs w:val="22"/>
        </w:rPr>
        <w:t>Con todo, es importante resaltar que e</w:t>
      </w:r>
      <w:r w:rsidR="00F17E55" w:rsidRPr="009F5860">
        <w:rPr>
          <w:sz w:val="22"/>
          <w:szCs w:val="22"/>
        </w:rPr>
        <w:t>l Decreto</w:t>
      </w:r>
      <w:r w:rsidR="00C1122A" w:rsidRPr="009F5860">
        <w:rPr>
          <w:sz w:val="22"/>
          <w:szCs w:val="22"/>
        </w:rPr>
        <w:t xml:space="preserve"> L</w:t>
      </w:r>
      <w:r w:rsidR="00F17E55" w:rsidRPr="009F5860">
        <w:rPr>
          <w:sz w:val="22"/>
          <w:szCs w:val="22"/>
        </w:rPr>
        <w:t xml:space="preserve">ey 4170 de 2011 no contiene de manera expresa los vocablos guía o manual. </w:t>
      </w:r>
      <w:r w:rsidRPr="009F5860">
        <w:rPr>
          <w:sz w:val="22"/>
          <w:szCs w:val="22"/>
        </w:rPr>
        <w:t>Por su parte, e</w:t>
      </w:r>
      <w:r w:rsidR="00F17E55" w:rsidRPr="009F5860">
        <w:rPr>
          <w:sz w:val="22"/>
          <w:szCs w:val="22"/>
        </w:rPr>
        <w:t>l</w:t>
      </w:r>
      <w:r w:rsidR="00EB1DBF" w:rsidRPr="009F5860">
        <w:rPr>
          <w:sz w:val="22"/>
          <w:szCs w:val="22"/>
        </w:rPr>
        <w:t xml:space="preserve"> artículo 2.2.1.2.5.2 del Decreto 1082 de 2015</w:t>
      </w:r>
      <w:r w:rsidR="00F17E55" w:rsidRPr="009F5860">
        <w:rPr>
          <w:sz w:val="22"/>
          <w:szCs w:val="22"/>
        </w:rPr>
        <w:t xml:space="preserve">, a pesar de que se refiere de forma expresa a los </w:t>
      </w:r>
      <w:r w:rsidRPr="009F5860">
        <w:rPr>
          <w:sz w:val="22"/>
          <w:szCs w:val="22"/>
        </w:rPr>
        <w:t>m</w:t>
      </w:r>
      <w:r w:rsidR="00F17E55" w:rsidRPr="009F5860">
        <w:rPr>
          <w:sz w:val="22"/>
          <w:szCs w:val="22"/>
        </w:rPr>
        <w:t xml:space="preserve">anuales y </w:t>
      </w:r>
      <w:r w:rsidRPr="009F5860">
        <w:rPr>
          <w:sz w:val="22"/>
          <w:szCs w:val="22"/>
        </w:rPr>
        <w:t>g</w:t>
      </w:r>
      <w:r w:rsidR="00F17E55" w:rsidRPr="009F5860">
        <w:rPr>
          <w:sz w:val="22"/>
          <w:szCs w:val="22"/>
        </w:rPr>
        <w:t>uías, no distingue o precisa el concepto de cada uno</w:t>
      </w:r>
      <w:r w:rsidR="0071057D" w:rsidRPr="009F5860">
        <w:rPr>
          <w:rStyle w:val="Refdenotaalpie"/>
          <w:sz w:val="22"/>
          <w:szCs w:val="22"/>
        </w:rPr>
        <w:footnoteReference w:id="1"/>
      </w:r>
      <w:r w:rsidR="00F17E55" w:rsidRPr="009F5860">
        <w:rPr>
          <w:sz w:val="22"/>
          <w:szCs w:val="22"/>
        </w:rPr>
        <w:t>.</w:t>
      </w:r>
      <w:r w:rsidRPr="009F5860">
        <w:rPr>
          <w:sz w:val="22"/>
          <w:szCs w:val="22"/>
        </w:rPr>
        <w:t xml:space="preserve"> </w:t>
      </w:r>
      <w:r w:rsidR="004F654F" w:rsidRPr="009F5860">
        <w:rPr>
          <w:sz w:val="22"/>
          <w:szCs w:val="22"/>
        </w:rPr>
        <w:t xml:space="preserve">Bajo </w:t>
      </w:r>
      <w:r w:rsidRPr="009F5860">
        <w:rPr>
          <w:sz w:val="22"/>
          <w:szCs w:val="22"/>
        </w:rPr>
        <w:t xml:space="preserve">estas </w:t>
      </w:r>
      <w:r w:rsidR="004F654F" w:rsidRPr="009F5860">
        <w:rPr>
          <w:sz w:val="22"/>
          <w:szCs w:val="22"/>
        </w:rPr>
        <w:t>denominaciones</w:t>
      </w:r>
      <w:r w:rsidRPr="009F5860">
        <w:rPr>
          <w:sz w:val="22"/>
          <w:szCs w:val="22"/>
        </w:rPr>
        <w:t>,</w:t>
      </w:r>
      <w:r w:rsidR="004F654F" w:rsidRPr="009F5860">
        <w:rPr>
          <w:sz w:val="22"/>
          <w:szCs w:val="22"/>
        </w:rPr>
        <w:t xml:space="preserve"> </w:t>
      </w:r>
      <w:r w:rsidRPr="009F5860">
        <w:rPr>
          <w:sz w:val="22"/>
          <w:szCs w:val="22"/>
        </w:rPr>
        <w:t>y otras como</w:t>
      </w:r>
      <w:r w:rsidR="004F654F" w:rsidRPr="009F5860">
        <w:rPr>
          <w:sz w:val="22"/>
          <w:szCs w:val="22"/>
        </w:rPr>
        <w:t xml:space="preserve"> instructivos y protocolos</w:t>
      </w:r>
      <w:r w:rsidRPr="009F5860">
        <w:rPr>
          <w:sz w:val="22"/>
          <w:szCs w:val="22"/>
        </w:rPr>
        <w:t>,</w:t>
      </w:r>
      <w:r w:rsidR="004F654F" w:rsidRPr="009F5860">
        <w:rPr>
          <w:sz w:val="22"/>
          <w:szCs w:val="22"/>
        </w:rPr>
        <w:t xml:space="preserve"> muchas entidades del Estado han adoptado herramientas e instrumentos para definir criterios técnicos, fijar procedimientos, estandarizar procesos y establecer metodologías</w:t>
      </w:r>
      <w:r w:rsidRPr="009F5860">
        <w:rPr>
          <w:sz w:val="22"/>
          <w:szCs w:val="22"/>
        </w:rPr>
        <w:t xml:space="preserve">, </w:t>
      </w:r>
      <w:r w:rsidR="004F654F" w:rsidRPr="009F5860">
        <w:rPr>
          <w:sz w:val="22"/>
          <w:szCs w:val="22"/>
        </w:rPr>
        <w:t>no exist</w:t>
      </w:r>
      <w:r w:rsidRPr="009F5860">
        <w:rPr>
          <w:sz w:val="22"/>
          <w:szCs w:val="22"/>
        </w:rPr>
        <w:t>iendo</w:t>
      </w:r>
      <w:r w:rsidR="004F654F" w:rsidRPr="009F5860">
        <w:rPr>
          <w:sz w:val="22"/>
          <w:szCs w:val="22"/>
        </w:rPr>
        <w:t xml:space="preserve"> un significado unívoco que defina cada</w:t>
      </w:r>
      <w:r w:rsidRPr="009F5860">
        <w:rPr>
          <w:sz w:val="22"/>
          <w:szCs w:val="22"/>
        </w:rPr>
        <w:t xml:space="preserve"> una de estas categorías</w:t>
      </w:r>
      <w:r w:rsidR="004F654F" w:rsidRPr="009F5860">
        <w:rPr>
          <w:rStyle w:val="Refdenotaalpie"/>
          <w:sz w:val="22"/>
          <w:szCs w:val="22"/>
        </w:rPr>
        <w:footnoteReference w:id="2"/>
      </w:r>
      <w:r w:rsidR="004F654F" w:rsidRPr="009F5860">
        <w:rPr>
          <w:sz w:val="22"/>
          <w:szCs w:val="22"/>
        </w:rPr>
        <w:t>.</w:t>
      </w:r>
    </w:p>
    <w:p w14:paraId="7087DE84" w14:textId="43261A95" w:rsidR="009346BA" w:rsidRPr="009F5860" w:rsidRDefault="004F654F" w:rsidP="009346BA">
      <w:pPr>
        <w:pStyle w:val="Textoindependiente"/>
        <w:spacing w:before="120" w:line="276" w:lineRule="auto"/>
        <w:ind w:firstLine="708"/>
        <w:jc w:val="both"/>
        <w:rPr>
          <w:sz w:val="22"/>
          <w:szCs w:val="22"/>
        </w:rPr>
      </w:pPr>
      <w:r w:rsidRPr="009F5860">
        <w:rPr>
          <w:sz w:val="22"/>
          <w:szCs w:val="22"/>
        </w:rPr>
        <w:t xml:space="preserve">Dentro del funcionamiento interno de esta </w:t>
      </w:r>
      <w:r w:rsidR="00CF4D94" w:rsidRPr="009F5860">
        <w:rPr>
          <w:sz w:val="22"/>
          <w:szCs w:val="22"/>
        </w:rPr>
        <w:t>Agencia</w:t>
      </w:r>
      <w:r w:rsidRPr="009F5860">
        <w:rPr>
          <w:sz w:val="22"/>
          <w:szCs w:val="22"/>
        </w:rPr>
        <w:t xml:space="preserve">, los </w:t>
      </w:r>
      <w:r w:rsidR="00E2370B" w:rsidRPr="009F5860">
        <w:rPr>
          <w:i/>
          <w:iCs/>
          <w:sz w:val="22"/>
          <w:szCs w:val="22"/>
        </w:rPr>
        <w:t>m</w:t>
      </w:r>
      <w:r w:rsidRPr="009F5860">
        <w:rPr>
          <w:i/>
          <w:iCs/>
          <w:sz w:val="22"/>
          <w:szCs w:val="22"/>
        </w:rPr>
        <w:t>anuales</w:t>
      </w:r>
      <w:r w:rsidRPr="009F5860">
        <w:rPr>
          <w:sz w:val="22"/>
          <w:szCs w:val="22"/>
        </w:rPr>
        <w:t xml:space="preserve"> han sido entendidos como documentos que tratan de manera general aspectos fundamentales y elementales de un tema. Su contenido tiende a ser teórico y su finalidad es aclarar los puntos más importantes del asunto abordado. Por ejemplo, la entidad ha elaborado </w:t>
      </w:r>
      <w:r w:rsidRPr="009F5860">
        <w:rPr>
          <w:i/>
          <w:iCs/>
          <w:sz w:val="22"/>
          <w:szCs w:val="22"/>
        </w:rPr>
        <w:t>manuales</w:t>
      </w:r>
      <w:r w:rsidRPr="009F5860">
        <w:rPr>
          <w:sz w:val="22"/>
          <w:szCs w:val="22"/>
        </w:rPr>
        <w:t xml:space="preserve"> para determinar y verificar los requisitos habilitantes o para el manejo de los acuerdos comerciales en los procesos de contratación.</w:t>
      </w:r>
      <w:r w:rsidR="00472517" w:rsidRPr="009F5860">
        <w:rPr>
          <w:sz w:val="22"/>
          <w:szCs w:val="22"/>
        </w:rPr>
        <w:t xml:space="preserve"> </w:t>
      </w:r>
      <w:r w:rsidR="009346BA" w:rsidRPr="009F5860">
        <w:rPr>
          <w:sz w:val="22"/>
          <w:szCs w:val="22"/>
        </w:rPr>
        <w:t xml:space="preserve"> </w:t>
      </w:r>
    </w:p>
    <w:p w14:paraId="3A034809" w14:textId="70115B45" w:rsidR="004F654F" w:rsidRPr="009F5860" w:rsidRDefault="00C21998" w:rsidP="00E74412">
      <w:pPr>
        <w:pStyle w:val="Textoindependiente"/>
        <w:spacing w:before="120" w:after="120" w:line="276" w:lineRule="auto"/>
        <w:ind w:firstLine="709"/>
        <w:jc w:val="both"/>
        <w:rPr>
          <w:sz w:val="22"/>
          <w:szCs w:val="22"/>
        </w:rPr>
      </w:pPr>
      <w:r w:rsidRPr="009F5860">
        <w:rPr>
          <w:sz w:val="22"/>
          <w:szCs w:val="22"/>
        </w:rPr>
        <w:t>Por su parte, l</w:t>
      </w:r>
      <w:r w:rsidR="004F654F" w:rsidRPr="009F5860">
        <w:rPr>
          <w:sz w:val="22"/>
          <w:szCs w:val="22"/>
        </w:rPr>
        <w:t xml:space="preserve">as </w:t>
      </w:r>
      <w:r w:rsidR="00E2370B" w:rsidRPr="009F5860">
        <w:rPr>
          <w:i/>
          <w:iCs/>
          <w:sz w:val="22"/>
          <w:szCs w:val="22"/>
        </w:rPr>
        <w:t>g</w:t>
      </w:r>
      <w:r w:rsidR="004F654F" w:rsidRPr="009F5860">
        <w:rPr>
          <w:i/>
          <w:iCs/>
          <w:sz w:val="22"/>
          <w:szCs w:val="22"/>
        </w:rPr>
        <w:t>uías</w:t>
      </w:r>
      <w:r w:rsidR="004F654F" w:rsidRPr="009F5860">
        <w:rPr>
          <w:sz w:val="22"/>
          <w:szCs w:val="22"/>
        </w:rPr>
        <w:t xml:space="preserve">, se han entendido como documentos técnicos que indican generalmente un procedimiento sobre cómo deben operarse ciertos temas por parte de los </w:t>
      </w:r>
      <w:r w:rsidR="004F654F" w:rsidRPr="009F5860">
        <w:rPr>
          <w:sz w:val="22"/>
          <w:szCs w:val="22"/>
        </w:rPr>
        <w:lastRenderedPageBreak/>
        <w:t>partícipes del Sistema de Compra Pública. Así, por ejemplo, se han expedido guías de compras públicas socialmente responsables</w:t>
      </w:r>
      <w:r w:rsidR="007A52B4" w:rsidRPr="009F5860">
        <w:rPr>
          <w:sz w:val="22"/>
          <w:szCs w:val="22"/>
        </w:rPr>
        <w:t>,</w:t>
      </w:r>
      <w:r w:rsidR="004F654F" w:rsidRPr="009F5860">
        <w:rPr>
          <w:sz w:val="22"/>
          <w:szCs w:val="22"/>
        </w:rPr>
        <w:t xml:space="preserve"> </w:t>
      </w:r>
      <w:r w:rsidR="007A52B4" w:rsidRPr="009F5860">
        <w:rPr>
          <w:sz w:val="22"/>
          <w:szCs w:val="22"/>
        </w:rPr>
        <w:t xml:space="preserve">la </w:t>
      </w:r>
      <w:r w:rsidR="004F654F" w:rsidRPr="009F5860">
        <w:rPr>
          <w:sz w:val="22"/>
          <w:szCs w:val="22"/>
        </w:rPr>
        <w:t>guía para la liquidación de los contratos estatales, la cual fija un procedimiento para el efecto</w:t>
      </w:r>
      <w:r w:rsidR="001F2FE7" w:rsidRPr="009F5860">
        <w:rPr>
          <w:sz w:val="22"/>
          <w:szCs w:val="22"/>
        </w:rPr>
        <w:t xml:space="preserve"> o la guía para procesos de contratación de obra pública, sobre la que versa su consulta</w:t>
      </w:r>
      <w:r w:rsidR="004F654F" w:rsidRPr="009F5860">
        <w:rPr>
          <w:sz w:val="22"/>
          <w:szCs w:val="22"/>
        </w:rPr>
        <w:t>.</w:t>
      </w:r>
    </w:p>
    <w:p w14:paraId="4FE477F4" w14:textId="64E769A3" w:rsidR="001F0BA1" w:rsidRPr="009F5860" w:rsidRDefault="0092073B" w:rsidP="00E74412">
      <w:pPr>
        <w:pStyle w:val="Textoindependiente"/>
        <w:spacing w:after="120" w:line="276" w:lineRule="auto"/>
        <w:ind w:firstLine="709"/>
        <w:jc w:val="both"/>
        <w:rPr>
          <w:sz w:val="22"/>
          <w:szCs w:val="22"/>
        </w:rPr>
      </w:pPr>
      <w:r w:rsidRPr="009F5860">
        <w:rPr>
          <w:sz w:val="22"/>
          <w:szCs w:val="22"/>
        </w:rPr>
        <w:t>Sobre el carácter vinculante</w:t>
      </w:r>
      <w:r w:rsidR="00924576" w:rsidRPr="009F5860">
        <w:rPr>
          <w:sz w:val="22"/>
          <w:szCs w:val="22"/>
        </w:rPr>
        <w:t xml:space="preserve"> del contenido </w:t>
      </w:r>
      <w:r w:rsidRPr="009F5860">
        <w:rPr>
          <w:sz w:val="22"/>
          <w:szCs w:val="22"/>
        </w:rPr>
        <w:t xml:space="preserve">de los guías, manuales y circulares expedidas por Colombia Compra Eficiente han </w:t>
      </w:r>
      <w:r w:rsidR="003142AF" w:rsidRPr="009F5860">
        <w:rPr>
          <w:sz w:val="22"/>
          <w:szCs w:val="22"/>
        </w:rPr>
        <w:t xml:space="preserve">existido diferentes posturas, una en la que prima un </w:t>
      </w:r>
      <w:r w:rsidR="00C76716" w:rsidRPr="009F5860">
        <w:rPr>
          <w:i/>
          <w:iCs/>
          <w:sz w:val="22"/>
          <w:szCs w:val="22"/>
        </w:rPr>
        <w:t>enfoque</w:t>
      </w:r>
      <w:r w:rsidR="003142AF" w:rsidRPr="00E74412">
        <w:rPr>
          <w:i/>
          <w:iCs/>
          <w:sz w:val="22"/>
          <w:szCs w:val="22"/>
        </w:rPr>
        <w:t xml:space="preserve"> formal</w:t>
      </w:r>
      <w:r w:rsidR="003142AF" w:rsidRPr="009F5860">
        <w:rPr>
          <w:sz w:val="22"/>
          <w:szCs w:val="22"/>
        </w:rPr>
        <w:t xml:space="preserve"> y otra que obedece a un </w:t>
      </w:r>
      <w:r w:rsidR="00C76716" w:rsidRPr="009F5860">
        <w:rPr>
          <w:i/>
          <w:iCs/>
          <w:sz w:val="22"/>
          <w:szCs w:val="22"/>
        </w:rPr>
        <w:t>enfoque</w:t>
      </w:r>
      <w:r w:rsidR="003142AF" w:rsidRPr="00E74412">
        <w:rPr>
          <w:i/>
          <w:iCs/>
          <w:sz w:val="22"/>
          <w:szCs w:val="22"/>
        </w:rPr>
        <w:t xml:space="preserve"> sustantivo</w:t>
      </w:r>
      <w:r w:rsidR="003142AF" w:rsidRPr="009F5860">
        <w:rPr>
          <w:sz w:val="22"/>
          <w:szCs w:val="22"/>
        </w:rPr>
        <w:t xml:space="preserve">. </w:t>
      </w:r>
      <w:r w:rsidR="00234C96" w:rsidRPr="009F5860">
        <w:rPr>
          <w:sz w:val="22"/>
          <w:szCs w:val="22"/>
        </w:rPr>
        <w:t>Esta</w:t>
      </w:r>
      <w:r w:rsidR="00924576" w:rsidRPr="009F5860">
        <w:rPr>
          <w:sz w:val="22"/>
          <w:szCs w:val="22"/>
        </w:rPr>
        <w:t xml:space="preserve"> Agencia </w:t>
      </w:r>
      <w:r w:rsidR="00234C96" w:rsidRPr="009F5860">
        <w:rPr>
          <w:sz w:val="22"/>
          <w:szCs w:val="22"/>
        </w:rPr>
        <w:t xml:space="preserve">en el marco del ejercicio de las funciones antes mencionadas, </w:t>
      </w:r>
      <w:r w:rsidR="00924576" w:rsidRPr="009F5860">
        <w:rPr>
          <w:sz w:val="22"/>
          <w:szCs w:val="22"/>
        </w:rPr>
        <w:t xml:space="preserve">ha </w:t>
      </w:r>
      <w:r w:rsidR="00607049">
        <w:rPr>
          <w:sz w:val="22"/>
          <w:szCs w:val="22"/>
        </w:rPr>
        <w:t>sostenido</w:t>
      </w:r>
      <w:r w:rsidR="00924576" w:rsidRPr="009F5860">
        <w:rPr>
          <w:sz w:val="22"/>
          <w:szCs w:val="22"/>
        </w:rPr>
        <w:t xml:space="preserve"> </w:t>
      </w:r>
      <w:r w:rsidR="00234C96" w:rsidRPr="009F5860">
        <w:rPr>
          <w:sz w:val="22"/>
          <w:szCs w:val="22"/>
        </w:rPr>
        <w:t>uno y</w:t>
      </w:r>
      <w:r w:rsidR="00924576" w:rsidRPr="009F5860">
        <w:rPr>
          <w:sz w:val="22"/>
          <w:szCs w:val="22"/>
        </w:rPr>
        <w:t xml:space="preserve"> otro </w:t>
      </w:r>
      <w:r w:rsidR="00C76716" w:rsidRPr="009F5860">
        <w:rPr>
          <w:sz w:val="22"/>
          <w:szCs w:val="22"/>
        </w:rPr>
        <w:t>enfoque</w:t>
      </w:r>
      <w:r w:rsidR="00234C96" w:rsidRPr="009F5860">
        <w:rPr>
          <w:sz w:val="22"/>
          <w:szCs w:val="22"/>
        </w:rPr>
        <w:t xml:space="preserve">, en diferentes momentos, </w:t>
      </w:r>
      <w:r w:rsidR="00924576" w:rsidRPr="009F5860">
        <w:rPr>
          <w:sz w:val="22"/>
          <w:szCs w:val="22"/>
        </w:rPr>
        <w:t>por las razones que se explican</w:t>
      </w:r>
      <w:r w:rsidR="00C76716" w:rsidRPr="009F5860">
        <w:rPr>
          <w:sz w:val="22"/>
          <w:szCs w:val="22"/>
        </w:rPr>
        <w:t xml:space="preserve"> a continuación</w:t>
      </w:r>
      <w:r w:rsidR="00924576" w:rsidRPr="009F5860">
        <w:rPr>
          <w:sz w:val="22"/>
          <w:szCs w:val="22"/>
        </w:rPr>
        <w:t xml:space="preserve">.  </w:t>
      </w:r>
    </w:p>
    <w:p w14:paraId="31139F1C" w14:textId="627E57F5" w:rsidR="00334B19" w:rsidRPr="009F5860" w:rsidRDefault="00334B19" w:rsidP="00E74412">
      <w:pPr>
        <w:pStyle w:val="Textoindependiente"/>
        <w:spacing w:line="276" w:lineRule="auto"/>
        <w:jc w:val="both"/>
        <w:rPr>
          <w:sz w:val="22"/>
          <w:szCs w:val="22"/>
        </w:rPr>
      </w:pPr>
      <w:r w:rsidRPr="009F5860">
        <w:rPr>
          <w:sz w:val="22"/>
          <w:szCs w:val="22"/>
        </w:rPr>
        <w:t xml:space="preserve"> </w:t>
      </w:r>
      <w:r w:rsidR="00924576" w:rsidRPr="009F5860">
        <w:rPr>
          <w:sz w:val="22"/>
          <w:szCs w:val="22"/>
        </w:rPr>
        <w:tab/>
        <w:t xml:space="preserve">En </w:t>
      </w:r>
      <w:r w:rsidRPr="009F5860">
        <w:rPr>
          <w:sz w:val="22"/>
          <w:szCs w:val="22"/>
        </w:rPr>
        <w:t>el año 201</w:t>
      </w:r>
      <w:r w:rsidR="004D4519" w:rsidRPr="009F5860">
        <w:rPr>
          <w:sz w:val="22"/>
          <w:szCs w:val="22"/>
        </w:rPr>
        <w:t>6</w:t>
      </w:r>
      <w:r w:rsidR="00A55358" w:rsidRPr="009F5860">
        <w:rPr>
          <w:sz w:val="22"/>
          <w:szCs w:val="22"/>
        </w:rPr>
        <w:t>, para la expedición de los guías, manuales y demás instrumentos de buenas prácticas contractuales, la Agencia</w:t>
      </w:r>
      <w:r w:rsidRPr="009F5860">
        <w:rPr>
          <w:sz w:val="22"/>
          <w:szCs w:val="22"/>
        </w:rPr>
        <w:t xml:space="preserve"> </w:t>
      </w:r>
      <w:r w:rsidR="00924576" w:rsidRPr="009F5860">
        <w:rPr>
          <w:sz w:val="22"/>
          <w:szCs w:val="22"/>
        </w:rPr>
        <w:t>asumió</w:t>
      </w:r>
      <w:r w:rsidR="00A55358" w:rsidRPr="009F5860">
        <w:rPr>
          <w:sz w:val="22"/>
          <w:szCs w:val="22"/>
        </w:rPr>
        <w:t xml:space="preserve"> un</w:t>
      </w:r>
      <w:r w:rsidR="00924576" w:rsidRPr="009F5860">
        <w:rPr>
          <w:sz w:val="22"/>
          <w:szCs w:val="22"/>
        </w:rPr>
        <w:t xml:space="preserve"> </w:t>
      </w:r>
      <w:r w:rsidR="00C76716" w:rsidRPr="009F5860">
        <w:rPr>
          <w:sz w:val="22"/>
          <w:szCs w:val="22"/>
        </w:rPr>
        <w:t>criterio</w:t>
      </w:r>
      <w:r w:rsidR="00924576" w:rsidRPr="009F5860">
        <w:rPr>
          <w:sz w:val="22"/>
          <w:szCs w:val="22"/>
        </w:rPr>
        <w:t xml:space="preserve"> según</w:t>
      </w:r>
      <w:r w:rsidR="00A55358" w:rsidRPr="009F5860">
        <w:rPr>
          <w:sz w:val="22"/>
          <w:szCs w:val="22"/>
        </w:rPr>
        <w:t xml:space="preserve"> el cual estos</w:t>
      </w:r>
      <w:r w:rsidR="00924576" w:rsidRPr="009F5860">
        <w:rPr>
          <w:sz w:val="22"/>
          <w:szCs w:val="22"/>
        </w:rPr>
        <w:t xml:space="preserve"> </w:t>
      </w:r>
      <w:r w:rsidRPr="009F5860">
        <w:rPr>
          <w:sz w:val="22"/>
          <w:szCs w:val="22"/>
        </w:rPr>
        <w:t>documentos solo eran obligatorios cuando se a</w:t>
      </w:r>
      <w:r w:rsidR="00543797">
        <w:rPr>
          <w:sz w:val="22"/>
          <w:szCs w:val="22"/>
        </w:rPr>
        <w:t>doptaba</w:t>
      </w:r>
      <w:r w:rsidRPr="009F5860">
        <w:rPr>
          <w:sz w:val="22"/>
          <w:szCs w:val="22"/>
        </w:rPr>
        <w:t xml:space="preserve">n </w:t>
      </w:r>
      <w:r w:rsidR="00543797">
        <w:rPr>
          <w:sz w:val="22"/>
          <w:szCs w:val="22"/>
        </w:rPr>
        <w:t>mediante</w:t>
      </w:r>
      <w:r w:rsidRPr="009F5860">
        <w:rPr>
          <w:sz w:val="22"/>
          <w:szCs w:val="22"/>
        </w:rPr>
        <w:t xml:space="preserve"> una circular</w:t>
      </w:r>
      <w:r w:rsidR="00C76716" w:rsidRPr="009F5860">
        <w:rPr>
          <w:sz w:val="22"/>
          <w:szCs w:val="22"/>
        </w:rPr>
        <w:t xml:space="preserve"> externa</w:t>
      </w:r>
      <w:r w:rsidR="002E0539" w:rsidRPr="009F5860">
        <w:rPr>
          <w:sz w:val="22"/>
          <w:szCs w:val="22"/>
        </w:rPr>
        <w:t>. Esto por cuanto, l</w:t>
      </w:r>
      <w:r w:rsidRPr="009F5860">
        <w:rPr>
          <w:sz w:val="22"/>
          <w:szCs w:val="22"/>
        </w:rPr>
        <w:t>as</w:t>
      </w:r>
      <w:r w:rsidR="00222FE7" w:rsidRPr="009F5860">
        <w:rPr>
          <w:sz w:val="22"/>
          <w:szCs w:val="22"/>
        </w:rPr>
        <w:t xml:space="preserve"> </w:t>
      </w:r>
      <w:r w:rsidRPr="009F5860">
        <w:rPr>
          <w:sz w:val="22"/>
          <w:szCs w:val="22"/>
        </w:rPr>
        <w:t xml:space="preserve">circulares externas, al </w:t>
      </w:r>
      <w:r w:rsidR="002E0539" w:rsidRPr="009F5860">
        <w:rPr>
          <w:sz w:val="22"/>
          <w:szCs w:val="22"/>
        </w:rPr>
        <w:t>tener la naturaleza de</w:t>
      </w:r>
      <w:r w:rsidRPr="009F5860">
        <w:rPr>
          <w:sz w:val="22"/>
          <w:szCs w:val="22"/>
        </w:rPr>
        <w:t xml:space="preserve"> actos administrativos generales, eran obligatorias siempre que se hubieran publicado en el Diario Oficial</w:t>
      </w:r>
      <w:r w:rsidR="00222FE7" w:rsidRPr="009F5860">
        <w:rPr>
          <w:sz w:val="22"/>
          <w:szCs w:val="22"/>
        </w:rPr>
        <w:t>.</w:t>
      </w:r>
      <w:r w:rsidRPr="009F5860">
        <w:rPr>
          <w:sz w:val="22"/>
          <w:szCs w:val="22"/>
        </w:rPr>
        <w:t xml:space="preserve"> </w:t>
      </w:r>
      <w:r w:rsidR="00222FE7" w:rsidRPr="009F5860">
        <w:rPr>
          <w:sz w:val="22"/>
          <w:szCs w:val="22"/>
        </w:rPr>
        <w:t>E</w:t>
      </w:r>
      <w:r w:rsidRPr="009F5860">
        <w:rPr>
          <w:sz w:val="22"/>
          <w:szCs w:val="22"/>
        </w:rPr>
        <w:t>n este sentido, las directrices, manuales, guías o lineamientos que se adopt</w:t>
      </w:r>
      <w:r w:rsidR="00C76716" w:rsidRPr="009F5860">
        <w:rPr>
          <w:sz w:val="22"/>
          <w:szCs w:val="22"/>
        </w:rPr>
        <w:t>aren</w:t>
      </w:r>
      <w:r w:rsidRPr="009F5860">
        <w:rPr>
          <w:sz w:val="22"/>
          <w:szCs w:val="22"/>
        </w:rPr>
        <w:t xml:space="preserve"> </w:t>
      </w:r>
      <w:r w:rsidR="00234C96" w:rsidRPr="009F5860">
        <w:rPr>
          <w:sz w:val="22"/>
          <w:szCs w:val="22"/>
        </w:rPr>
        <w:t>mediante una</w:t>
      </w:r>
      <w:r w:rsidRPr="009F5860">
        <w:rPr>
          <w:sz w:val="22"/>
          <w:szCs w:val="22"/>
        </w:rPr>
        <w:t xml:space="preserve"> circular</w:t>
      </w:r>
      <w:r w:rsidR="00234C96" w:rsidRPr="009F5860">
        <w:rPr>
          <w:sz w:val="22"/>
          <w:szCs w:val="22"/>
        </w:rPr>
        <w:t xml:space="preserve"> externa</w:t>
      </w:r>
      <w:r w:rsidR="00222FE7" w:rsidRPr="009F5860">
        <w:rPr>
          <w:sz w:val="22"/>
          <w:szCs w:val="22"/>
        </w:rPr>
        <w:t>,</w:t>
      </w:r>
      <w:r w:rsidRPr="009F5860">
        <w:rPr>
          <w:sz w:val="22"/>
          <w:szCs w:val="22"/>
        </w:rPr>
        <w:t xml:space="preserve"> o cualquier otro acto administrativo vinculante</w:t>
      </w:r>
      <w:r w:rsidR="00222FE7" w:rsidRPr="009F5860">
        <w:rPr>
          <w:sz w:val="22"/>
          <w:szCs w:val="22"/>
        </w:rPr>
        <w:t>,</w:t>
      </w:r>
      <w:r w:rsidRPr="009F5860">
        <w:rPr>
          <w:sz w:val="22"/>
          <w:szCs w:val="22"/>
        </w:rPr>
        <w:t xml:space="preserve"> eran obligatorias para los partícipes del Sistema de Compra Pública</w:t>
      </w:r>
      <w:r w:rsidRPr="009F5860">
        <w:rPr>
          <w:rStyle w:val="Refdenotaalpie"/>
          <w:sz w:val="22"/>
          <w:szCs w:val="22"/>
        </w:rPr>
        <w:footnoteReference w:id="3"/>
      </w:r>
      <w:r w:rsidR="00C76716" w:rsidRPr="009F5860">
        <w:rPr>
          <w:sz w:val="22"/>
          <w:szCs w:val="22"/>
        </w:rPr>
        <w:t xml:space="preserve">, </w:t>
      </w:r>
      <w:r w:rsidR="004D4519" w:rsidRPr="009F5860">
        <w:rPr>
          <w:sz w:val="22"/>
          <w:szCs w:val="22"/>
        </w:rPr>
        <w:t>de manera tal que, si las entidades estatales se apartaban de esas buenas prácticas tenían una carga de argumentación que debía quedar consignada de manera expresa en los documentos del</w:t>
      </w:r>
      <w:r w:rsidR="004D4519" w:rsidRPr="009F5860">
        <w:rPr>
          <w:spacing w:val="-8"/>
          <w:sz w:val="22"/>
          <w:szCs w:val="22"/>
        </w:rPr>
        <w:t xml:space="preserve"> </w:t>
      </w:r>
      <w:r w:rsidR="004D4519" w:rsidRPr="009F5860">
        <w:rPr>
          <w:sz w:val="22"/>
          <w:szCs w:val="22"/>
        </w:rPr>
        <w:t>proceso.</w:t>
      </w:r>
    </w:p>
    <w:p w14:paraId="58CBB815" w14:textId="2C9A9F8E" w:rsidR="00334B19" w:rsidRPr="009F5860" w:rsidRDefault="00A55366" w:rsidP="00334B19">
      <w:pPr>
        <w:pStyle w:val="Textoindependiente"/>
        <w:spacing w:before="120" w:line="276" w:lineRule="auto"/>
        <w:ind w:firstLine="708"/>
        <w:jc w:val="both"/>
        <w:rPr>
          <w:sz w:val="22"/>
          <w:szCs w:val="22"/>
        </w:rPr>
      </w:pPr>
      <w:r w:rsidRPr="009F5860">
        <w:rPr>
          <w:sz w:val="22"/>
          <w:szCs w:val="22"/>
        </w:rPr>
        <w:t>D</w:t>
      </w:r>
      <w:r w:rsidR="000C41FF" w:rsidRPr="009F5860">
        <w:rPr>
          <w:sz w:val="22"/>
          <w:szCs w:val="22"/>
        </w:rPr>
        <w:t>e acuerdo con este criterio,</w:t>
      </w:r>
      <w:r w:rsidR="00C95355" w:rsidRPr="009F5860">
        <w:rPr>
          <w:sz w:val="22"/>
          <w:szCs w:val="22"/>
        </w:rPr>
        <w:t xml:space="preserve"> </w:t>
      </w:r>
      <w:r w:rsidR="00334B19" w:rsidRPr="009F5860">
        <w:rPr>
          <w:sz w:val="22"/>
          <w:szCs w:val="22"/>
        </w:rPr>
        <w:t xml:space="preserve">la obligatoriedad </w:t>
      </w:r>
      <w:r w:rsidR="00234C96" w:rsidRPr="009F5860">
        <w:rPr>
          <w:sz w:val="22"/>
          <w:szCs w:val="22"/>
        </w:rPr>
        <w:t xml:space="preserve">de </w:t>
      </w:r>
      <w:r w:rsidR="00334B19" w:rsidRPr="009F5860">
        <w:rPr>
          <w:sz w:val="22"/>
          <w:szCs w:val="22"/>
        </w:rPr>
        <w:t>l</w:t>
      </w:r>
      <w:r w:rsidR="000C41FF" w:rsidRPr="009F5860">
        <w:rPr>
          <w:sz w:val="22"/>
          <w:szCs w:val="22"/>
        </w:rPr>
        <w:t xml:space="preserve">as directrices, pautas, lineamientos u orientaciones </w:t>
      </w:r>
      <w:r w:rsidR="00334B19" w:rsidRPr="009F5860">
        <w:rPr>
          <w:sz w:val="22"/>
          <w:szCs w:val="22"/>
        </w:rPr>
        <w:t xml:space="preserve">proferidas por la Agencia Nacional de Contratación Pública, en ejercicio de sus funciones, </w:t>
      </w:r>
      <w:r w:rsidR="000C41FF" w:rsidRPr="009F5860">
        <w:rPr>
          <w:sz w:val="22"/>
          <w:szCs w:val="22"/>
        </w:rPr>
        <w:t>estaba determinada</w:t>
      </w:r>
      <w:r w:rsidR="00334B19" w:rsidRPr="009F5860">
        <w:rPr>
          <w:sz w:val="22"/>
          <w:szCs w:val="22"/>
        </w:rPr>
        <w:t xml:space="preserve"> </w:t>
      </w:r>
      <w:r w:rsidR="000C41FF" w:rsidRPr="009F5860">
        <w:rPr>
          <w:sz w:val="22"/>
          <w:szCs w:val="22"/>
        </w:rPr>
        <w:t xml:space="preserve">por </w:t>
      </w:r>
      <w:r w:rsidR="00334B19" w:rsidRPr="009F5860">
        <w:rPr>
          <w:sz w:val="22"/>
          <w:szCs w:val="22"/>
        </w:rPr>
        <w:t>la forma</w:t>
      </w:r>
      <w:r w:rsidR="00543797">
        <w:rPr>
          <w:sz w:val="22"/>
          <w:szCs w:val="22"/>
        </w:rPr>
        <w:t xml:space="preserve"> o instrumento</w:t>
      </w:r>
      <w:r w:rsidR="00334B19" w:rsidRPr="009F5860">
        <w:rPr>
          <w:sz w:val="22"/>
          <w:szCs w:val="22"/>
        </w:rPr>
        <w:t xml:space="preserve"> mediante la cual se adoptaba</w:t>
      </w:r>
      <w:r w:rsidR="000C41FF" w:rsidRPr="009F5860">
        <w:rPr>
          <w:sz w:val="22"/>
          <w:szCs w:val="22"/>
        </w:rPr>
        <w:t>.</w:t>
      </w:r>
      <w:r w:rsidR="00334B19" w:rsidRPr="009F5860">
        <w:rPr>
          <w:sz w:val="22"/>
          <w:szCs w:val="22"/>
        </w:rPr>
        <w:t xml:space="preserve"> </w:t>
      </w:r>
      <w:r w:rsidR="000C41FF" w:rsidRPr="009F5860">
        <w:rPr>
          <w:sz w:val="22"/>
          <w:szCs w:val="22"/>
        </w:rPr>
        <w:t>Esto</w:t>
      </w:r>
      <w:r w:rsidR="00F646A8" w:rsidRPr="009F5860">
        <w:rPr>
          <w:sz w:val="22"/>
          <w:szCs w:val="22"/>
        </w:rPr>
        <w:t xml:space="preserve"> </w:t>
      </w:r>
      <w:r w:rsidR="000C41FF" w:rsidRPr="009F5860">
        <w:rPr>
          <w:sz w:val="22"/>
          <w:szCs w:val="22"/>
        </w:rPr>
        <w:t>suponía que las</w:t>
      </w:r>
      <w:r w:rsidR="00334B19" w:rsidRPr="009F5860">
        <w:rPr>
          <w:sz w:val="22"/>
          <w:szCs w:val="22"/>
        </w:rPr>
        <w:t xml:space="preserve"> </w:t>
      </w:r>
      <w:r w:rsidR="007A52B4" w:rsidRPr="009F5860">
        <w:rPr>
          <w:sz w:val="22"/>
          <w:szCs w:val="22"/>
        </w:rPr>
        <w:t>c</w:t>
      </w:r>
      <w:r w:rsidR="00334B19" w:rsidRPr="009F5860">
        <w:rPr>
          <w:sz w:val="22"/>
          <w:szCs w:val="22"/>
        </w:rPr>
        <w:t xml:space="preserve">irculares </w:t>
      </w:r>
      <w:r w:rsidR="007A52B4" w:rsidRPr="009F5860">
        <w:rPr>
          <w:sz w:val="22"/>
          <w:szCs w:val="22"/>
        </w:rPr>
        <w:t>e</w:t>
      </w:r>
      <w:r w:rsidR="00334B19" w:rsidRPr="009F5860">
        <w:rPr>
          <w:sz w:val="22"/>
          <w:szCs w:val="22"/>
        </w:rPr>
        <w:t xml:space="preserve">xternas </w:t>
      </w:r>
      <w:r w:rsidR="000C41FF" w:rsidRPr="009F5860">
        <w:rPr>
          <w:sz w:val="22"/>
          <w:szCs w:val="22"/>
        </w:rPr>
        <w:t xml:space="preserve">eran </w:t>
      </w:r>
      <w:r w:rsidR="00334B19" w:rsidRPr="009F5860">
        <w:rPr>
          <w:sz w:val="22"/>
          <w:szCs w:val="22"/>
        </w:rPr>
        <w:t>norma</w:t>
      </w:r>
      <w:r w:rsidR="000C41FF" w:rsidRPr="009F5860">
        <w:rPr>
          <w:sz w:val="22"/>
          <w:szCs w:val="22"/>
        </w:rPr>
        <w:t>s</w:t>
      </w:r>
      <w:r w:rsidR="00334B19" w:rsidRPr="009F5860">
        <w:rPr>
          <w:sz w:val="22"/>
          <w:szCs w:val="22"/>
        </w:rPr>
        <w:t xml:space="preserve"> de obligatorio cumplimiento</w:t>
      </w:r>
      <w:r w:rsidR="000C41FF" w:rsidRPr="009F5860">
        <w:rPr>
          <w:sz w:val="22"/>
          <w:szCs w:val="22"/>
        </w:rPr>
        <w:t>, amparadas en el principio de legalidad</w:t>
      </w:r>
      <w:r w:rsidR="00543797">
        <w:rPr>
          <w:sz w:val="22"/>
          <w:szCs w:val="22"/>
        </w:rPr>
        <w:t>,</w:t>
      </w:r>
      <w:r w:rsidR="007444BB" w:rsidRPr="009F5860">
        <w:rPr>
          <w:sz w:val="22"/>
          <w:szCs w:val="22"/>
        </w:rPr>
        <w:t xml:space="preserve"> mientras que</w:t>
      </w:r>
      <w:r w:rsidR="00334B19" w:rsidRPr="009F5860">
        <w:rPr>
          <w:sz w:val="22"/>
          <w:szCs w:val="22"/>
        </w:rPr>
        <w:t xml:space="preserve"> directri</w:t>
      </w:r>
      <w:r w:rsidR="007444BB" w:rsidRPr="009F5860">
        <w:rPr>
          <w:sz w:val="22"/>
          <w:szCs w:val="22"/>
        </w:rPr>
        <w:t xml:space="preserve">ces </w:t>
      </w:r>
      <w:r w:rsidR="00334B19" w:rsidRPr="009F5860">
        <w:rPr>
          <w:sz w:val="22"/>
          <w:szCs w:val="22"/>
        </w:rPr>
        <w:t>adopta</w:t>
      </w:r>
      <w:r w:rsidR="00543797">
        <w:rPr>
          <w:sz w:val="22"/>
          <w:szCs w:val="22"/>
        </w:rPr>
        <w:t>d</w:t>
      </w:r>
      <w:r w:rsidR="00334B19" w:rsidRPr="009F5860">
        <w:rPr>
          <w:sz w:val="22"/>
          <w:szCs w:val="22"/>
        </w:rPr>
        <w:t>a</w:t>
      </w:r>
      <w:r w:rsidR="007444BB" w:rsidRPr="009F5860">
        <w:rPr>
          <w:sz w:val="22"/>
          <w:szCs w:val="22"/>
        </w:rPr>
        <w:t>s</w:t>
      </w:r>
      <w:r w:rsidR="00334B19" w:rsidRPr="009F5860">
        <w:rPr>
          <w:sz w:val="22"/>
          <w:szCs w:val="22"/>
        </w:rPr>
        <w:t xml:space="preserve"> bajo la forma de una </w:t>
      </w:r>
      <w:r w:rsidR="007A52B4" w:rsidRPr="009F5860">
        <w:rPr>
          <w:sz w:val="22"/>
          <w:szCs w:val="22"/>
        </w:rPr>
        <w:t>g</w:t>
      </w:r>
      <w:r w:rsidR="00334B19" w:rsidRPr="009F5860">
        <w:rPr>
          <w:sz w:val="22"/>
          <w:szCs w:val="22"/>
        </w:rPr>
        <w:t>uía</w:t>
      </w:r>
      <w:r w:rsidR="007444BB" w:rsidRPr="009F5860">
        <w:rPr>
          <w:sz w:val="22"/>
          <w:szCs w:val="22"/>
        </w:rPr>
        <w:t xml:space="preserve"> o</w:t>
      </w:r>
      <w:r w:rsidR="00334B19" w:rsidRPr="009F5860">
        <w:rPr>
          <w:sz w:val="22"/>
          <w:szCs w:val="22"/>
        </w:rPr>
        <w:t xml:space="preserve"> </w:t>
      </w:r>
      <w:r w:rsidR="007A52B4" w:rsidRPr="009F5860">
        <w:rPr>
          <w:sz w:val="22"/>
          <w:szCs w:val="22"/>
        </w:rPr>
        <w:t>m</w:t>
      </w:r>
      <w:r w:rsidR="00334B19" w:rsidRPr="009F5860">
        <w:rPr>
          <w:sz w:val="22"/>
          <w:szCs w:val="22"/>
        </w:rPr>
        <w:t>anual</w:t>
      </w:r>
      <w:r w:rsidR="007444BB" w:rsidRPr="009F5860">
        <w:rPr>
          <w:sz w:val="22"/>
          <w:szCs w:val="22"/>
        </w:rPr>
        <w:t>,</w:t>
      </w:r>
      <w:r w:rsidR="009346BA" w:rsidRPr="009F5860">
        <w:rPr>
          <w:sz w:val="22"/>
          <w:szCs w:val="22"/>
        </w:rPr>
        <w:t xml:space="preserve"> de no ser adoptadas </w:t>
      </w:r>
      <w:r w:rsidR="00543797">
        <w:rPr>
          <w:sz w:val="22"/>
          <w:szCs w:val="22"/>
        </w:rPr>
        <w:t>mediante</w:t>
      </w:r>
      <w:r w:rsidR="009346BA" w:rsidRPr="009F5860">
        <w:rPr>
          <w:sz w:val="22"/>
          <w:szCs w:val="22"/>
        </w:rPr>
        <w:t xml:space="preserve"> circular </w:t>
      </w:r>
      <w:proofErr w:type="gramStart"/>
      <w:r w:rsidR="009346BA" w:rsidRPr="009F5860">
        <w:rPr>
          <w:sz w:val="22"/>
          <w:szCs w:val="22"/>
        </w:rPr>
        <w:t xml:space="preserve">externa, </w:t>
      </w:r>
      <w:r w:rsidR="007A52B4" w:rsidRPr="009F5860">
        <w:rPr>
          <w:sz w:val="22"/>
          <w:szCs w:val="22"/>
        </w:rPr>
        <w:t xml:space="preserve"> </w:t>
      </w:r>
      <w:r w:rsidR="00543797">
        <w:rPr>
          <w:sz w:val="22"/>
          <w:szCs w:val="22"/>
        </w:rPr>
        <w:t>eran</w:t>
      </w:r>
      <w:proofErr w:type="gramEnd"/>
      <w:r w:rsidR="00543797">
        <w:rPr>
          <w:sz w:val="22"/>
          <w:szCs w:val="22"/>
        </w:rPr>
        <w:t xml:space="preserve"> meramente </w:t>
      </w:r>
      <w:r w:rsidR="00334B19" w:rsidRPr="009F5860">
        <w:rPr>
          <w:sz w:val="22"/>
          <w:szCs w:val="22"/>
        </w:rPr>
        <w:t>facultativa</w:t>
      </w:r>
      <w:r w:rsidR="00543797">
        <w:rPr>
          <w:sz w:val="22"/>
          <w:szCs w:val="22"/>
        </w:rPr>
        <w:t>s</w:t>
      </w:r>
      <w:r w:rsidR="00334B19" w:rsidRPr="009F5860">
        <w:rPr>
          <w:sz w:val="22"/>
          <w:szCs w:val="22"/>
        </w:rPr>
        <w:t xml:space="preserve">, </w:t>
      </w:r>
      <w:r w:rsidR="007A52B4" w:rsidRPr="009F5860">
        <w:rPr>
          <w:sz w:val="22"/>
          <w:szCs w:val="22"/>
        </w:rPr>
        <w:t>dado que</w:t>
      </w:r>
      <w:r w:rsidR="00334B19" w:rsidRPr="009F5860">
        <w:rPr>
          <w:sz w:val="22"/>
          <w:szCs w:val="22"/>
        </w:rPr>
        <w:t xml:space="preserve"> su rango normativo no pasaba de ser una recomendación de buenas prácticas administrativas.</w:t>
      </w:r>
      <w:r w:rsidR="009346BA" w:rsidRPr="009F5860">
        <w:rPr>
          <w:sz w:val="22"/>
          <w:szCs w:val="22"/>
        </w:rPr>
        <w:t xml:space="preserve"> </w:t>
      </w:r>
    </w:p>
    <w:p w14:paraId="37C1BAB0" w14:textId="48127C4E" w:rsidR="00334B19" w:rsidRPr="009F5860" w:rsidRDefault="0099407E" w:rsidP="00334B19">
      <w:pPr>
        <w:pStyle w:val="Textoindependiente"/>
        <w:spacing w:before="120" w:line="276" w:lineRule="auto"/>
        <w:ind w:firstLine="708"/>
        <w:jc w:val="both"/>
        <w:rPr>
          <w:sz w:val="22"/>
          <w:szCs w:val="22"/>
        </w:rPr>
      </w:pPr>
      <w:r w:rsidRPr="00E74412">
        <w:rPr>
          <w:sz w:val="22"/>
          <w:szCs w:val="22"/>
        </w:rPr>
        <w:t>Posterior</w:t>
      </w:r>
      <w:r w:rsidRPr="009F5860">
        <w:rPr>
          <w:sz w:val="22"/>
          <w:szCs w:val="22"/>
        </w:rPr>
        <w:t>mente, e</w:t>
      </w:r>
      <w:r w:rsidR="007A52B4" w:rsidRPr="009F5860">
        <w:rPr>
          <w:sz w:val="22"/>
          <w:szCs w:val="22"/>
        </w:rPr>
        <w:t xml:space="preserve">n el </w:t>
      </w:r>
      <w:r w:rsidR="00334B19" w:rsidRPr="009F5860">
        <w:rPr>
          <w:sz w:val="22"/>
          <w:szCs w:val="22"/>
        </w:rPr>
        <w:t>2017</w:t>
      </w:r>
      <w:r w:rsidRPr="009F5860">
        <w:rPr>
          <w:sz w:val="22"/>
          <w:szCs w:val="22"/>
        </w:rPr>
        <w:t>,</w:t>
      </w:r>
      <w:r w:rsidR="00334B19" w:rsidRPr="009F5860">
        <w:rPr>
          <w:sz w:val="22"/>
          <w:szCs w:val="22"/>
        </w:rPr>
        <w:t xml:space="preserve"> la </w:t>
      </w:r>
      <w:r w:rsidR="007A52B4" w:rsidRPr="009F5860">
        <w:rPr>
          <w:sz w:val="22"/>
          <w:szCs w:val="22"/>
        </w:rPr>
        <w:t>Agencia</w:t>
      </w:r>
      <w:r w:rsidR="00334B19" w:rsidRPr="009F5860">
        <w:rPr>
          <w:sz w:val="22"/>
          <w:szCs w:val="22"/>
        </w:rPr>
        <w:t xml:space="preserve"> </w:t>
      </w:r>
      <w:r w:rsidR="009B6276" w:rsidRPr="009F5860">
        <w:rPr>
          <w:sz w:val="22"/>
          <w:szCs w:val="22"/>
        </w:rPr>
        <w:t>asumió una</w:t>
      </w:r>
      <w:r w:rsidR="00D62C94" w:rsidRPr="009F5860">
        <w:rPr>
          <w:sz w:val="22"/>
          <w:szCs w:val="22"/>
        </w:rPr>
        <w:t xml:space="preserve"> interpretación</w:t>
      </w:r>
      <w:r w:rsidR="009B6276" w:rsidRPr="009F5860">
        <w:rPr>
          <w:sz w:val="22"/>
          <w:szCs w:val="22"/>
        </w:rPr>
        <w:t xml:space="preserve"> diferente</w:t>
      </w:r>
      <w:r w:rsidR="00334B19" w:rsidRPr="009F5860">
        <w:rPr>
          <w:sz w:val="22"/>
          <w:szCs w:val="22"/>
        </w:rPr>
        <w:t xml:space="preserve"> sobre el carácter obligatorio de los </w:t>
      </w:r>
      <w:proofErr w:type="gramStart"/>
      <w:r w:rsidR="009B6276" w:rsidRPr="009F5860">
        <w:rPr>
          <w:sz w:val="22"/>
          <w:szCs w:val="22"/>
        </w:rPr>
        <w:t xml:space="preserve">instrumentos </w:t>
      </w:r>
      <w:r w:rsidR="00334B19" w:rsidRPr="009F5860">
        <w:rPr>
          <w:sz w:val="22"/>
          <w:szCs w:val="22"/>
        </w:rPr>
        <w:t xml:space="preserve"> </w:t>
      </w:r>
      <w:r w:rsidR="009B6276" w:rsidRPr="009F5860">
        <w:rPr>
          <w:sz w:val="22"/>
          <w:szCs w:val="22"/>
        </w:rPr>
        <w:t>e</w:t>
      </w:r>
      <w:r w:rsidR="00334B19" w:rsidRPr="009F5860">
        <w:rPr>
          <w:sz w:val="22"/>
          <w:szCs w:val="22"/>
        </w:rPr>
        <w:t>xpedidos</w:t>
      </w:r>
      <w:proofErr w:type="gramEnd"/>
      <w:r w:rsidR="00334B19" w:rsidRPr="009F5860">
        <w:rPr>
          <w:sz w:val="22"/>
          <w:szCs w:val="22"/>
        </w:rPr>
        <w:t xml:space="preserve"> por la entidad</w:t>
      </w:r>
      <w:r w:rsidRPr="009F5860">
        <w:rPr>
          <w:sz w:val="22"/>
          <w:szCs w:val="22"/>
        </w:rPr>
        <w:t xml:space="preserve">, en la que prima </w:t>
      </w:r>
      <w:r w:rsidR="00D62C94" w:rsidRPr="009F5860">
        <w:rPr>
          <w:sz w:val="22"/>
          <w:szCs w:val="22"/>
        </w:rPr>
        <w:t xml:space="preserve">un criterio sustantivo, </w:t>
      </w:r>
      <w:r w:rsidR="00334B19" w:rsidRPr="009F5860">
        <w:rPr>
          <w:sz w:val="22"/>
          <w:szCs w:val="22"/>
        </w:rPr>
        <w:t>con</w:t>
      </w:r>
      <w:r w:rsidR="00334B19" w:rsidRPr="009F5860">
        <w:rPr>
          <w:spacing w:val="1"/>
          <w:sz w:val="22"/>
          <w:szCs w:val="22"/>
        </w:rPr>
        <w:t xml:space="preserve"> </w:t>
      </w:r>
      <w:r w:rsidR="00334B19" w:rsidRPr="009F5860">
        <w:rPr>
          <w:sz w:val="22"/>
          <w:szCs w:val="22"/>
        </w:rPr>
        <w:t>independencia de la forma</w:t>
      </w:r>
      <w:r w:rsidRPr="009F5860">
        <w:rPr>
          <w:sz w:val="22"/>
          <w:szCs w:val="22"/>
        </w:rPr>
        <w:t xml:space="preserve"> o </w:t>
      </w:r>
      <w:r w:rsidR="00543797">
        <w:rPr>
          <w:sz w:val="22"/>
          <w:szCs w:val="22"/>
        </w:rPr>
        <w:t>instrumento</w:t>
      </w:r>
      <w:r w:rsidRPr="009F5860">
        <w:rPr>
          <w:sz w:val="22"/>
          <w:szCs w:val="22"/>
        </w:rPr>
        <w:t xml:space="preserve"> que</w:t>
      </w:r>
      <w:r w:rsidR="00334B19" w:rsidRPr="009F5860">
        <w:rPr>
          <w:sz w:val="22"/>
          <w:szCs w:val="22"/>
        </w:rPr>
        <w:t xml:space="preserve"> </w:t>
      </w:r>
      <w:r w:rsidRPr="009F5860">
        <w:rPr>
          <w:sz w:val="22"/>
          <w:szCs w:val="22"/>
        </w:rPr>
        <w:t xml:space="preserve">se use para </w:t>
      </w:r>
      <w:r w:rsidR="00334B19" w:rsidRPr="009F5860">
        <w:rPr>
          <w:sz w:val="22"/>
          <w:szCs w:val="22"/>
        </w:rPr>
        <w:t>adopt</w:t>
      </w:r>
      <w:r w:rsidRPr="009F5860">
        <w:rPr>
          <w:sz w:val="22"/>
          <w:szCs w:val="22"/>
        </w:rPr>
        <w:t>ar</w:t>
      </w:r>
      <w:r w:rsidR="00334B19" w:rsidRPr="009F5860">
        <w:rPr>
          <w:sz w:val="22"/>
          <w:szCs w:val="22"/>
        </w:rPr>
        <w:t xml:space="preserve"> la directriz</w:t>
      </w:r>
      <w:r w:rsidR="00C95355" w:rsidRPr="009F5860">
        <w:rPr>
          <w:sz w:val="22"/>
          <w:szCs w:val="22"/>
        </w:rPr>
        <w:t xml:space="preserve"> o conjunto de directrices</w:t>
      </w:r>
      <w:r w:rsidRPr="009F5860">
        <w:rPr>
          <w:sz w:val="22"/>
          <w:szCs w:val="22"/>
        </w:rPr>
        <w:t xml:space="preserve">. De acuerdo con este enfoque, el </w:t>
      </w:r>
      <w:proofErr w:type="gramStart"/>
      <w:r w:rsidRPr="009F5860">
        <w:rPr>
          <w:sz w:val="22"/>
          <w:szCs w:val="22"/>
        </w:rPr>
        <w:t xml:space="preserve">carácter </w:t>
      </w:r>
      <w:r w:rsidR="00334B19" w:rsidRPr="009F5860">
        <w:rPr>
          <w:sz w:val="22"/>
          <w:szCs w:val="22"/>
        </w:rPr>
        <w:t xml:space="preserve"> obligatorio</w:t>
      </w:r>
      <w:proofErr w:type="gramEnd"/>
      <w:r w:rsidR="00334B19" w:rsidRPr="009F5860">
        <w:rPr>
          <w:sz w:val="22"/>
          <w:szCs w:val="22"/>
        </w:rPr>
        <w:t xml:space="preserve"> </w:t>
      </w:r>
      <w:r w:rsidRPr="009F5860">
        <w:rPr>
          <w:sz w:val="22"/>
          <w:szCs w:val="22"/>
        </w:rPr>
        <w:t xml:space="preserve">del respectivo instrumento </w:t>
      </w:r>
      <w:r w:rsidR="00334B19" w:rsidRPr="009F5860">
        <w:rPr>
          <w:sz w:val="22"/>
          <w:szCs w:val="22"/>
        </w:rPr>
        <w:t>está determinado por la existencia de una competencia legal o reglamentaria para regular el asunto en concreto</w:t>
      </w:r>
      <w:r w:rsidRPr="009F5860">
        <w:rPr>
          <w:sz w:val="22"/>
          <w:szCs w:val="22"/>
        </w:rPr>
        <w:t xml:space="preserve"> al que se refiere </w:t>
      </w:r>
      <w:r w:rsidR="00C95355" w:rsidRPr="009F5860">
        <w:rPr>
          <w:sz w:val="22"/>
          <w:szCs w:val="22"/>
        </w:rPr>
        <w:t>el documento</w:t>
      </w:r>
      <w:r w:rsidRPr="009F5860">
        <w:rPr>
          <w:sz w:val="22"/>
          <w:szCs w:val="22"/>
        </w:rPr>
        <w:t xml:space="preserve">. </w:t>
      </w:r>
    </w:p>
    <w:p w14:paraId="41AE0046" w14:textId="1271FAEE" w:rsidR="00334B19" w:rsidRPr="009F5860" w:rsidRDefault="00AE3552" w:rsidP="00334B19">
      <w:pPr>
        <w:pStyle w:val="Textoindependiente"/>
        <w:spacing w:before="120" w:line="276" w:lineRule="auto"/>
        <w:ind w:firstLine="708"/>
        <w:jc w:val="both"/>
        <w:rPr>
          <w:sz w:val="22"/>
          <w:szCs w:val="22"/>
        </w:rPr>
      </w:pPr>
      <w:r w:rsidRPr="009F5860">
        <w:rPr>
          <w:sz w:val="22"/>
          <w:szCs w:val="22"/>
        </w:rPr>
        <w:lastRenderedPageBreak/>
        <w:t>E</w:t>
      </w:r>
      <w:r w:rsidR="002F3B48" w:rsidRPr="009F5860">
        <w:rPr>
          <w:sz w:val="22"/>
          <w:szCs w:val="22"/>
        </w:rPr>
        <w:t xml:space="preserve">n el marco de este enfoque sustantivo, </w:t>
      </w:r>
      <w:r w:rsidR="00334B19" w:rsidRPr="009F5860">
        <w:rPr>
          <w:sz w:val="22"/>
          <w:szCs w:val="22"/>
        </w:rPr>
        <w:t xml:space="preserve">lo que define la obligatoriedad de </w:t>
      </w:r>
      <w:r w:rsidRPr="009F5860">
        <w:rPr>
          <w:sz w:val="22"/>
          <w:szCs w:val="22"/>
        </w:rPr>
        <w:t xml:space="preserve">un </w:t>
      </w:r>
      <w:r w:rsidR="00334B19" w:rsidRPr="009F5860">
        <w:rPr>
          <w:sz w:val="22"/>
          <w:szCs w:val="22"/>
        </w:rPr>
        <w:t xml:space="preserve">determinado </w:t>
      </w:r>
      <w:r w:rsidR="002F3B48" w:rsidRPr="009F5860">
        <w:rPr>
          <w:sz w:val="22"/>
          <w:szCs w:val="22"/>
        </w:rPr>
        <w:t xml:space="preserve">instrumento </w:t>
      </w:r>
      <w:r w:rsidR="00334B19" w:rsidRPr="009F5860">
        <w:rPr>
          <w:sz w:val="22"/>
          <w:szCs w:val="22"/>
        </w:rPr>
        <w:t xml:space="preserve">que expida </w:t>
      </w:r>
      <w:r w:rsidRPr="009F5860">
        <w:rPr>
          <w:sz w:val="22"/>
          <w:szCs w:val="22"/>
        </w:rPr>
        <w:t>esta</w:t>
      </w:r>
      <w:r w:rsidR="00334B19" w:rsidRPr="009F5860">
        <w:rPr>
          <w:sz w:val="22"/>
          <w:szCs w:val="22"/>
        </w:rPr>
        <w:t xml:space="preserve"> entidad no es que se adopte mediante </w:t>
      </w:r>
      <w:r w:rsidR="00D62C94" w:rsidRPr="009F5860">
        <w:rPr>
          <w:sz w:val="22"/>
          <w:szCs w:val="22"/>
        </w:rPr>
        <w:t>c</w:t>
      </w:r>
      <w:r w:rsidR="00334B19" w:rsidRPr="009F5860">
        <w:rPr>
          <w:sz w:val="22"/>
          <w:szCs w:val="22"/>
        </w:rPr>
        <w:t xml:space="preserve">ircular </w:t>
      </w:r>
      <w:r w:rsidR="00D62C94" w:rsidRPr="009F5860">
        <w:rPr>
          <w:sz w:val="22"/>
          <w:szCs w:val="22"/>
        </w:rPr>
        <w:t>e</w:t>
      </w:r>
      <w:r w:rsidR="00334B19" w:rsidRPr="009F5860">
        <w:rPr>
          <w:sz w:val="22"/>
          <w:szCs w:val="22"/>
        </w:rPr>
        <w:t xml:space="preserve">xterna, sino que </w:t>
      </w:r>
      <w:r w:rsidRPr="009F5860">
        <w:rPr>
          <w:sz w:val="22"/>
          <w:szCs w:val="22"/>
        </w:rPr>
        <w:t>su</w:t>
      </w:r>
      <w:r w:rsidR="00334B19" w:rsidRPr="009F5860">
        <w:rPr>
          <w:sz w:val="22"/>
          <w:szCs w:val="22"/>
        </w:rPr>
        <w:t xml:space="preserve"> contenido sea de aquellos cuya regulación ha sido encargada por el legislador o el </w:t>
      </w:r>
      <w:proofErr w:type="gramStart"/>
      <w:r w:rsidR="00334B19" w:rsidRPr="009F5860">
        <w:rPr>
          <w:sz w:val="22"/>
          <w:szCs w:val="22"/>
        </w:rPr>
        <w:t>Presidente</w:t>
      </w:r>
      <w:proofErr w:type="gramEnd"/>
      <w:r w:rsidR="00334B19" w:rsidRPr="009F5860">
        <w:rPr>
          <w:sz w:val="22"/>
          <w:szCs w:val="22"/>
        </w:rPr>
        <w:t xml:space="preserve"> de la República a la Agencia Nacional de Contratación Pública. </w:t>
      </w:r>
      <w:r w:rsidR="00987493" w:rsidRPr="009F5860">
        <w:rPr>
          <w:sz w:val="22"/>
          <w:szCs w:val="22"/>
        </w:rPr>
        <w:t xml:space="preserve">Esto comoquiera que esta postura se erige sobre </w:t>
      </w:r>
      <w:r w:rsidR="006D7111" w:rsidRPr="009F5860">
        <w:rPr>
          <w:sz w:val="22"/>
          <w:szCs w:val="22"/>
        </w:rPr>
        <w:t xml:space="preserve">el argumento </w:t>
      </w:r>
      <w:proofErr w:type="gramStart"/>
      <w:r w:rsidR="006D7111" w:rsidRPr="009F5860">
        <w:rPr>
          <w:sz w:val="22"/>
          <w:szCs w:val="22"/>
        </w:rPr>
        <w:t xml:space="preserve">de </w:t>
      </w:r>
      <w:r w:rsidR="00987493" w:rsidRPr="009F5860">
        <w:rPr>
          <w:sz w:val="22"/>
          <w:szCs w:val="22"/>
        </w:rPr>
        <w:t xml:space="preserve"> que</w:t>
      </w:r>
      <w:proofErr w:type="gramEnd"/>
      <w:r w:rsidR="00987493" w:rsidRPr="009F5860">
        <w:rPr>
          <w:sz w:val="22"/>
          <w:szCs w:val="22"/>
        </w:rPr>
        <w:t xml:space="preserve"> la concurrencia de todos los elementos esenciales de un acto administrativo genera</w:t>
      </w:r>
      <w:r w:rsidR="007E48AE" w:rsidRPr="009F5860">
        <w:rPr>
          <w:sz w:val="22"/>
          <w:szCs w:val="22"/>
        </w:rPr>
        <w:t>l</w:t>
      </w:r>
      <w:r w:rsidR="007E48AE" w:rsidRPr="009F5860">
        <w:rPr>
          <w:rStyle w:val="Refdenotaalpie"/>
          <w:sz w:val="22"/>
          <w:szCs w:val="22"/>
        </w:rPr>
        <w:footnoteReference w:id="4"/>
      </w:r>
      <w:r w:rsidR="00987493" w:rsidRPr="009F5860">
        <w:rPr>
          <w:sz w:val="22"/>
          <w:szCs w:val="22"/>
        </w:rPr>
        <w:t xml:space="preserve">, entre estos la atribución de competencia –elemento subjetivo–, serían los que determinarían </w:t>
      </w:r>
      <w:r w:rsidR="006D7111" w:rsidRPr="009F5860">
        <w:rPr>
          <w:sz w:val="22"/>
          <w:szCs w:val="22"/>
        </w:rPr>
        <w:t>la posibilidad de que un</w:t>
      </w:r>
      <w:r w:rsidR="00987493" w:rsidRPr="009F5860">
        <w:rPr>
          <w:sz w:val="22"/>
          <w:szCs w:val="22"/>
        </w:rPr>
        <w:t xml:space="preserve"> </w:t>
      </w:r>
      <w:r w:rsidR="000A71F8" w:rsidRPr="009F5860">
        <w:rPr>
          <w:sz w:val="22"/>
          <w:szCs w:val="22"/>
        </w:rPr>
        <w:t>instrumento jurídico</w:t>
      </w:r>
      <w:r w:rsidR="005058EF">
        <w:rPr>
          <w:sz w:val="22"/>
          <w:szCs w:val="22"/>
        </w:rPr>
        <w:t xml:space="preserve"> elaborado</w:t>
      </w:r>
      <w:r w:rsidR="000A71F8" w:rsidRPr="009F5860">
        <w:rPr>
          <w:sz w:val="22"/>
          <w:szCs w:val="22"/>
        </w:rPr>
        <w:t xml:space="preserve"> por esta Agencia</w:t>
      </w:r>
      <w:r w:rsidR="006D7111" w:rsidRPr="009F5860">
        <w:rPr>
          <w:sz w:val="22"/>
          <w:szCs w:val="22"/>
        </w:rPr>
        <w:t xml:space="preserve"> –como una guía, un manual o una circular externa</w:t>
      </w:r>
      <w:r w:rsidR="000A71F8" w:rsidRPr="009F5860">
        <w:rPr>
          <w:sz w:val="22"/>
          <w:szCs w:val="22"/>
        </w:rPr>
        <w:t>,</w:t>
      </w:r>
      <w:r w:rsidR="006D7111" w:rsidRPr="009F5860">
        <w:rPr>
          <w:sz w:val="22"/>
          <w:szCs w:val="22"/>
        </w:rPr>
        <w:t xml:space="preserve"> </w:t>
      </w:r>
      <w:r w:rsidR="005058EF">
        <w:rPr>
          <w:sz w:val="22"/>
          <w:szCs w:val="22"/>
        </w:rPr>
        <w:t>genere</w:t>
      </w:r>
      <w:r w:rsidR="006D7111" w:rsidRPr="009F5860">
        <w:rPr>
          <w:sz w:val="22"/>
          <w:szCs w:val="22"/>
        </w:rPr>
        <w:t xml:space="preserve"> efectos jurídicos obligatorios</w:t>
      </w:r>
      <w:r w:rsidR="005058EF">
        <w:rPr>
          <w:sz w:val="22"/>
          <w:szCs w:val="22"/>
        </w:rPr>
        <w:t xml:space="preserve"> para sus destinatarios</w:t>
      </w:r>
      <w:r w:rsidR="00156332" w:rsidRPr="009F5860">
        <w:rPr>
          <w:sz w:val="22"/>
          <w:szCs w:val="22"/>
        </w:rPr>
        <w:t>.</w:t>
      </w:r>
      <w:r w:rsidR="006D7111" w:rsidRPr="009F5860">
        <w:rPr>
          <w:sz w:val="22"/>
          <w:szCs w:val="22"/>
        </w:rPr>
        <w:t xml:space="preserve"> </w:t>
      </w:r>
    </w:p>
    <w:p w14:paraId="3B48DACD" w14:textId="7E731117" w:rsidR="002C3DC8" w:rsidRPr="009F5860" w:rsidRDefault="002C3DC8" w:rsidP="002C3DC8">
      <w:pPr>
        <w:pStyle w:val="Textoindependiente"/>
        <w:spacing w:before="120" w:line="276" w:lineRule="auto"/>
        <w:ind w:firstLine="708"/>
        <w:jc w:val="both"/>
        <w:rPr>
          <w:sz w:val="22"/>
          <w:szCs w:val="22"/>
        </w:rPr>
      </w:pPr>
      <w:r w:rsidRPr="009F5860">
        <w:rPr>
          <w:sz w:val="22"/>
          <w:szCs w:val="22"/>
        </w:rPr>
        <w:t>Estos actos administrativos expedidos por Colombia Compra Eficiente, en atención a una atribución particular de competencia, cumplen la función de darle especificidad al marco jurídico reglamentario, de lo que se deriva su carácter vinculante, distinto de lo que sucede con los instrumentos expedidos en desarrollo de la función de difusión normativa dispuesta en el artículo 3-2 del Decreto 4170 de 2011</w:t>
      </w:r>
      <w:r w:rsidR="00A2369A" w:rsidRPr="009F5860">
        <w:rPr>
          <w:rStyle w:val="Refdenotaalpie"/>
          <w:sz w:val="22"/>
          <w:szCs w:val="22"/>
        </w:rPr>
        <w:footnoteReference w:id="5"/>
      </w:r>
      <w:r w:rsidRPr="009F5860">
        <w:rPr>
          <w:sz w:val="22"/>
          <w:szCs w:val="22"/>
        </w:rPr>
        <w:t xml:space="preserve">.  Esto por cuanto, </w:t>
      </w:r>
      <w:r w:rsidR="006C25DE" w:rsidRPr="009F5860">
        <w:rPr>
          <w:sz w:val="22"/>
          <w:szCs w:val="22"/>
        </w:rPr>
        <w:t>tales</w:t>
      </w:r>
      <w:r w:rsidRPr="009F5860">
        <w:rPr>
          <w:sz w:val="22"/>
          <w:szCs w:val="22"/>
        </w:rPr>
        <w:t xml:space="preserve"> instrumentos, </w:t>
      </w:r>
      <w:r w:rsidRPr="009F5860">
        <w:rPr>
          <w:sz w:val="22"/>
          <w:szCs w:val="22"/>
        </w:rPr>
        <w:lastRenderedPageBreak/>
        <w:t xml:space="preserve">con la naturaleza de actos administrativos de carácter general, impersonal y abstracto, tienen la finalidad de </w:t>
      </w:r>
      <w:r w:rsidR="001A7515">
        <w:rPr>
          <w:sz w:val="22"/>
          <w:szCs w:val="22"/>
        </w:rPr>
        <w:t>concretar, detallar y facilitar la aplicación de</w:t>
      </w:r>
      <w:r w:rsidRPr="009F5860">
        <w:rPr>
          <w:sz w:val="22"/>
          <w:szCs w:val="22"/>
        </w:rPr>
        <w:t xml:space="preserve"> las normas a las que están subordinadas, de forma que sea posible su aplicación. </w:t>
      </w:r>
    </w:p>
    <w:p w14:paraId="417AF6CB" w14:textId="492142F9" w:rsidR="009D6BD7" w:rsidRPr="009F5860" w:rsidRDefault="00A2369A" w:rsidP="002E4878">
      <w:pPr>
        <w:pStyle w:val="Textoindependiente"/>
        <w:spacing w:before="120" w:line="276" w:lineRule="auto"/>
        <w:ind w:firstLine="708"/>
        <w:jc w:val="both"/>
        <w:rPr>
          <w:sz w:val="22"/>
          <w:szCs w:val="22"/>
        </w:rPr>
      </w:pPr>
      <w:r w:rsidRPr="009F5860">
        <w:rPr>
          <w:sz w:val="22"/>
          <w:szCs w:val="22"/>
        </w:rPr>
        <w:t>E</w:t>
      </w:r>
      <w:r w:rsidR="00A86314" w:rsidRPr="009F5860">
        <w:rPr>
          <w:sz w:val="22"/>
          <w:szCs w:val="22"/>
        </w:rPr>
        <w:t>ste enfoque</w:t>
      </w:r>
      <w:r w:rsidRPr="009F5860">
        <w:rPr>
          <w:sz w:val="22"/>
          <w:szCs w:val="22"/>
        </w:rPr>
        <w:t xml:space="preserve"> sustantivo o material </w:t>
      </w:r>
      <w:r w:rsidR="00A86314" w:rsidRPr="009F5860">
        <w:rPr>
          <w:sz w:val="22"/>
          <w:szCs w:val="22"/>
        </w:rPr>
        <w:t xml:space="preserve">sobre </w:t>
      </w:r>
      <w:r w:rsidRPr="009F5860">
        <w:rPr>
          <w:sz w:val="22"/>
          <w:szCs w:val="22"/>
        </w:rPr>
        <w:t>la obligatoriedad de</w:t>
      </w:r>
      <w:r w:rsidR="00A86314" w:rsidRPr="009F5860">
        <w:rPr>
          <w:sz w:val="22"/>
          <w:szCs w:val="22"/>
        </w:rPr>
        <w:t xml:space="preserve"> </w:t>
      </w:r>
      <w:r w:rsidR="002E4878" w:rsidRPr="009F5860">
        <w:rPr>
          <w:sz w:val="22"/>
          <w:szCs w:val="22"/>
        </w:rPr>
        <w:t xml:space="preserve">los </w:t>
      </w:r>
      <w:r w:rsidR="00A86314" w:rsidRPr="009F5860">
        <w:rPr>
          <w:sz w:val="22"/>
          <w:szCs w:val="22"/>
        </w:rPr>
        <w:t xml:space="preserve">documentos expedidos por esta Agencia con destino a los actores del Sistema de Compra Pública, es concordante con </w:t>
      </w:r>
      <w:r w:rsidR="00D56CA2" w:rsidRPr="009F5860">
        <w:rPr>
          <w:sz w:val="22"/>
          <w:szCs w:val="22"/>
        </w:rPr>
        <w:t xml:space="preserve">la interpretación </w:t>
      </w:r>
      <w:r w:rsidR="006C25DE" w:rsidRPr="009F5860">
        <w:rPr>
          <w:sz w:val="22"/>
          <w:szCs w:val="22"/>
        </w:rPr>
        <w:t xml:space="preserve">que </w:t>
      </w:r>
      <w:r w:rsidR="00A86314" w:rsidRPr="009F5860">
        <w:rPr>
          <w:sz w:val="22"/>
          <w:szCs w:val="22"/>
        </w:rPr>
        <w:t xml:space="preserve">el Consejo de Estado </w:t>
      </w:r>
      <w:r w:rsidR="00D56CA2" w:rsidRPr="009F5860">
        <w:rPr>
          <w:sz w:val="22"/>
          <w:szCs w:val="22"/>
        </w:rPr>
        <w:t xml:space="preserve">ha </w:t>
      </w:r>
      <w:r w:rsidR="006C25DE" w:rsidRPr="009F5860">
        <w:rPr>
          <w:sz w:val="22"/>
          <w:szCs w:val="22"/>
        </w:rPr>
        <w:t>dado</w:t>
      </w:r>
      <w:r w:rsidR="00D56CA2" w:rsidRPr="009F5860">
        <w:rPr>
          <w:sz w:val="22"/>
          <w:szCs w:val="22"/>
        </w:rPr>
        <w:t xml:space="preserve"> </w:t>
      </w:r>
      <w:r w:rsidR="006C25DE" w:rsidRPr="009F5860">
        <w:rPr>
          <w:sz w:val="22"/>
          <w:szCs w:val="22"/>
        </w:rPr>
        <w:t>a</w:t>
      </w:r>
      <w:r w:rsidR="00D56CA2" w:rsidRPr="009F5860">
        <w:rPr>
          <w:sz w:val="22"/>
          <w:szCs w:val="22"/>
        </w:rPr>
        <w:t xml:space="preserve">l alcance de las competencias para expedición de </w:t>
      </w:r>
      <w:r w:rsidR="00D56CA2" w:rsidRPr="00E74412">
        <w:rPr>
          <w:i/>
          <w:iCs/>
          <w:sz w:val="22"/>
          <w:szCs w:val="22"/>
        </w:rPr>
        <w:t xml:space="preserve">guías, manuales, pliegos tipo </w:t>
      </w:r>
      <w:r w:rsidR="00D56CA2" w:rsidRPr="009F5860">
        <w:rPr>
          <w:sz w:val="22"/>
          <w:szCs w:val="22"/>
        </w:rPr>
        <w:t>y</w:t>
      </w:r>
      <w:r w:rsidR="00D56CA2" w:rsidRPr="00E74412">
        <w:rPr>
          <w:i/>
          <w:iCs/>
          <w:sz w:val="22"/>
          <w:szCs w:val="22"/>
        </w:rPr>
        <w:t xml:space="preserve"> minutas tipo</w:t>
      </w:r>
      <w:r w:rsidR="00D56CA2" w:rsidRPr="009F5860">
        <w:rPr>
          <w:sz w:val="22"/>
          <w:szCs w:val="22"/>
        </w:rPr>
        <w:t>, atribuida</w:t>
      </w:r>
      <w:r w:rsidR="006C25DE" w:rsidRPr="009F5860">
        <w:rPr>
          <w:sz w:val="22"/>
          <w:szCs w:val="22"/>
        </w:rPr>
        <w:t xml:space="preserve"> </w:t>
      </w:r>
      <w:r w:rsidR="002E4878" w:rsidRPr="009F5860">
        <w:rPr>
          <w:sz w:val="22"/>
          <w:szCs w:val="22"/>
        </w:rPr>
        <w:t>por</w:t>
      </w:r>
      <w:r w:rsidR="006C25DE" w:rsidRPr="009F5860">
        <w:rPr>
          <w:sz w:val="22"/>
          <w:szCs w:val="22"/>
        </w:rPr>
        <w:t xml:space="preserve"> </w:t>
      </w:r>
      <w:r w:rsidR="002E4878" w:rsidRPr="009F5860">
        <w:rPr>
          <w:sz w:val="22"/>
          <w:szCs w:val="22"/>
        </w:rPr>
        <w:t xml:space="preserve">el </w:t>
      </w:r>
      <w:r w:rsidR="00D56CA2" w:rsidRPr="009F5860">
        <w:rPr>
          <w:sz w:val="22"/>
          <w:szCs w:val="22"/>
        </w:rPr>
        <w:t xml:space="preserve">artículo 159 del Decreto 1510 de 2013 </w:t>
      </w:r>
      <w:r w:rsidR="00F646A8" w:rsidRPr="009F5860">
        <w:rPr>
          <w:sz w:val="22"/>
          <w:szCs w:val="22"/>
        </w:rPr>
        <w:t>–</w:t>
      </w:r>
      <w:r w:rsidR="00D56CA2" w:rsidRPr="009F5860">
        <w:rPr>
          <w:sz w:val="22"/>
          <w:szCs w:val="22"/>
        </w:rPr>
        <w:t>compilado en el artículo 2.2.1.2.5.2 del Decreto 1082 de 2015–.</w:t>
      </w:r>
      <w:r w:rsidR="002E4878" w:rsidRPr="009F5860">
        <w:rPr>
          <w:sz w:val="22"/>
          <w:szCs w:val="22"/>
        </w:rPr>
        <w:t xml:space="preserve"> En la sentencia </w:t>
      </w:r>
      <w:r w:rsidR="00C807B0">
        <w:rPr>
          <w:sz w:val="22"/>
          <w:szCs w:val="22"/>
        </w:rPr>
        <w:t xml:space="preserve">de </w:t>
      </w:r>
      <w:r w:rsidR="002E4878" w:rsidRPr="009F5860">
        <w:rPr>
          <w:sz w:val="22"/>
          <w:szCs w:val="22"/>
        </w:rPr>
        <w:t xml:space="preserve">11 de abril de 2019, proferida en el marco de la resolución de una pretensión de nulidad simple presentada contra el artículo 159 </w:t>
      </w:r>
      <w:r w:rsidR="002E4878" w:rsidRPr="009F5860">
        <w:rPr>
          <w:i/>
          <w:iCs/>
          <w:sz w:val="22"/>
          <w:szCs w:val="22"/>
        </w:rPr>
        <w:t>i</w:t>
      </w:r>
      <w:r w:rsidR="002E4878" w:rsidRPr="00E74412">
        <w:rPr>
          <w:i/>
          <w:iCs/>
          <w:sz w:val="22"/>
          <w:szCs w:val="22"/>
        </w:rPr>
        <w:t>bídem</w:t>
      </w:r>
      <w:r w:rsidR="002E4878" w:rsidRPr="009F5860">
        <w:rPr>
          <w:i/>
          <w:iCs/>
          <w:sz w:val="22"/>
          <w:szCs w:val="22"/>
        </w:rPr>
        <w:t xml:space="preserve">, </w:t>
      </w:r>
      <w:r w:rsidR="002E4878" w:rsidRPr="009F5860">
        <w:rPr>
          <w:sz w:val="22"/>
          <w:szCs w:val="22"/>
        </w:rPr>
        <w:t>la Sección Tercera del referido alto tribunal manifestó</w:t>
      </w:r>
      <w:r w:rsidR="00F44EDE" w:rsidRPr="009F5860">
        <w:rPr>
          <w:sz w:val="22"/>
          <w:szCs w:val="22"/>
        </w:rPr>
        <w:t>:</w:t>
      </w:r>
    </w:p>
    <w:p w14:paraId="12524FCE" w14:textId="77777777" w:rsidR="00EB1DBF" w:rsidRPr="009F5860" w:rsidRDefault="00EB1DBF" w:rsidP="00E74412">
      <w:pPr>
        <w:pStyle w:val="Textoindependiente"/>
        <w:ind w:firstLine="708"/>
        <w:jc w:val="both"/>
        <w:rPr>
          <w:sz w:val="22"/>
          <w:szCs w:val="22"/>
        </w:rPr>
      </w:pPr>
    </w:p>
    <w:p w14:paraId="6E817859" w14:textId="1C13281F" w:rsidR="00F44EDE" w:rsidRPr="009F5860" w:rsidRDefault="00EB1DBF" w:rsidP="00EB1DBF">
      <w:pPr>
        <w:pStyle w:val="Textoindependiente"/>
        <w:ind w:left="708" w:right="900"/>
        <w:jc w:val="both"/>
        <w:rPr>
          <w:sz w:val="21"/>
          <w:szCs w:val="21"/>
        </w:rPr>
      </w:pPr>
      <w:r w:rsidRPr="009F5860">
        <w:rPr>
          <w:rFonts w:eastAsia="MS Mincho"/>
          <w:sz w:val="21"/>
          <w:szCs w:val="21"/>
          <w:lang w:eastAsia="es-CO"/>
        </w:rPr>
        <w:t>«</w:t>
      </w:r>
      <w:r w:rsidR="00F44EDE" w:rsidRPr="009F5860">
        <w:rPr>
          <w:sz w:val="21"/>
          <w:szCs w:val="21"/>
        </w:rPr>
        <w:t xml:space="preserve">La doctrina las llama normas reglamentarias de segundo o tercer grado, “cuando se expiden con sujeción a un reglamento de la ley o de otro reglamento. Se da así un escalonamiento o cadena de normas reglamentarias, con tantos grados o niveles como sea posible en la estructura jerárquica y territorial del Estado” , reservando los reglamentos de primer grado, a aquellos que frente a la ley, profiere el presidente de la República en ejercicio de la facultad otorgada por el numeral 11 del artículo 189 de la Constitución Política, y a los proferidos por las demás autoridades a las que constitucionalmente se les atribuyó también la posibilidad de reglamentar directamente la ley. </w:t>
      </w:r>
    </w:p>
    <w:p w14:paraId="07EFF14A" w14:textId="77777777" w:rsidR="00EB1DBF" w:rsidRPr="009F5860" w:rsidRDefault="00EB1DBF" w:rsidP="00E74412">
      <w:pPr>
        <w:pStyle w:val="Textoindependiente"/>
        <w:ind w:left="708" w:right="900"/>
        <w:jc w:val="both"/>
        <w:rPr>
          <w:sz w:val="21"/>
          <w:szCs w:val="21"/>
        </w:rPr>
      </w:pPr>
    </w:p>
    <w:p w14:paraId="64367D56" w14:textId="25F6E2B0" w:rsidR="00F44EDE" w:rsidRPr="009F5860" w:rsidRDefault="00F44EDE" w:rsidP="00E74412">
      <w:pPr>
        <w:pStyle w:val="Textoindependiente"/>
        <w:ind w:left="708" w:right="900"/>
        <w:jc w:val="both"/>
        <w:rPr>
          <w:sz w:val="21"/>
          <w:szCs w:val="21"/>
        </w:rPr>
      </w:pPr>
      <w:r w:rsidRPr="009F5860">
        <w:rPr>
          <w:sz w:val="21"/>
          <w:szCs w:val="21"/>
        </w:rPr>
        <w:t xml:space="preserve">Es claro entonces, que en la pirámide normativa que compone el régimen jurídico estatal, en cuya cúspide se halla la Constitución Política, además de la ley, que le sigue en orden y de los decretos reglamentarios, que se hallan a continuación, existe una miríada de normas de carácter general que son de inferior categoría, y que van descendiendo en la medida en que son proferidas por autoridades ubicadas en niveles administrativos inferiores y que, por lo tanto, van quedando sujetas a aquellas jerárquicamente superiores. Se reitera así mismo, que un acto administrativo de carácter general, lo será en la medida en que contenga unas disposiciones, reglas o normas objetivas, impersonales y abstractas, a las que deban ajustarse los destinatarios indefinidos e indeterminados de la respectiva disposición. </w:t>
      </w:r>
    </w:p>
    <w:p w14:paraId="7B68F393" w14:textId="77777777" w:rsidR="00EB1DBF" w:rsidRPr="009F5860" w:rsidRDefault="00EB1DBF" w:rsidP="00EB1DBF">
      <w:pPr>
        <w:pStyle w:val="Textoindependiente"/>
        <w:ind w:left="708" w:right="900"/>
        <w:jc w:val="both"/>
        <w:rPr>
          <w:sz w:val="21"/>
          <w:szCs w:val="21"/>
        </w:rPr>
      </w:pPr>
    </w:p>
    <w:p w14:paraId="72DBF60A" w14:textId="469FCC2F" w:rsidR="00F44EDE" w:rsidRPr="009F5860" w:rsidRDefault="00F44EDE" w:rsidP="00E74412">
      <w:pPr>
        <w:pStyle w:val="Textoindependiente"/>
        <w:ind w:left="708" w:right="900"/>
        <w:jc w:val="both"/>
        <w:rPr>
          <w:sz w:val="21"/>
          <w:szCs w:val="21"/>
        </w:rPr>
      </w:pPr>
      <w:r w:rsidRPr="009F5860">
        <w:rPr>
          <w:sz w:val="21"/>
          <w:szCs w:val="21"/>
        </w:rPr>
        <w:t>Siempre que responda a las características anotadas, un acto administrativo de carácter general puede revestir distintas formas, tales como decretos, resoluciones, reglamentos, acuerdos, circulares, etc. En consecuencia, no es el nombre que recibe el que le otorga la naturaleza de acto administrativo, sino su contenido reglamentario o normativo de obligatoria aplicación, y ello es predicable, incluso, de los manuales expedidos por las distintas autoridades.</w:t>
      </w:r>
    </w:p>
    <w:p w14:paraId="6F0A117F" w14:textId="1463C775" w:rsidR="00EB1DBF" w:rsidRPr="009F5860" w:rsidRDefault="00EB1DBF" w:rsidP="00EB1DBF">
      <w:pPr>
        <w:pStyle w:val="Textoindependiente"/>
        <w:ind w:left="708" w:right="1041" w:firstLine="1"/>
        <w:jc w:val="both"/>
        <w:rPr>
          <w:sz w:val="21"/>
          <w:szCs w:val="21"/>
        </w:rPr>
      </w:pPr>
      <w:r w:rsidRPr="009F5860">
        <w:rPr>
          <w:sz w:val="21"/>
          <w:szCs w:val="21"/>
        </w:rPr>
        <w:t xml:space="preserve">[…] </w:t>
      </w:r>
    </w:p>
    <w:p w14:paraId="52E78CD3" w14:textId="77777777" w:rsidR="00EB1DBF" w:rsidRPr="009F5860" w:rsidRDefault="00EB1DBF" w:rsidP="00E74412">
      <w:pPr>
        <w:pStyle w:val="Textoindependiente"/>
        <w:ind w:left="708" w:right="1041" w:firstLine="1"/>
        <w:jc w:val="both"/>
        <w:rPr>
          <w:sz w:val="21"/>
          <w:szCs w:val="21"/>
        </w:rPr>
      </w:pPr>
    </w:p>
    <w:p w14:paraId="66742848" w14:textId="4E58D6C1" w:rsidR="00EB1DBF" w:rsidRPr="009F5860" w:rsidRDefault="00EB1DBF" w:rsidP="00E74412">
      <w:pPr>
        <w:pStyle w:val="Textoindependiente"/>
        <w:ind w:left="708" w:right="1041" w:firstLine="1"/>
        <w:jc w:val="both"/>
        <w:rPr>
          <w:sz w:val="21"/>
          <w:szCs w:val="21"/>
        </w:rPr>
      </w:pPr>
      <w:r w:rsidRPr="00E74412">
        <w:rPr>
          <w:rFonts w:eastAsia="Times New Roman"/>
          <w:color w:val="000000"/>
          <w:sz w:val="21"/>
          <w:szCs w:val="21"/>
          <w:lang w:val="es-CO" w:eastAsia="es-MX"/>
        </w:rPr>
        <w:lastRenderedPageBreak/>
        <w:t>La Sección Tercera del Consejo de Estado no ha sido ajena al reconocimiento de la obligatoriedad que, en general, revisten los distintos manuales expedidos por las entidades estatales en el ámbito de su propia actuación, puesto que se ha considerado como un elemento de juicio fundamental, a tener en cuenta en el juzgamiento de la responsabilidad extracontractual del Estado, para efectos de deducirla o no, respecto de las entidades demandadas y de determinar la responsabilidad personal de los servidores públicos, en la acción de repetición entablada por aquellas en su contra, dependiendo del acatamiento o vulneración de las normas de conducta que les eran exigibles a las entidades y sus funcionarios, contenidas en los diversos manuales, conformados por normas generales, impersonales y abstractas que deben ser acatadas por sus destinatarios</w:t>
      </w:r>
    </w:p>
    <w:p w14:paraId="24C5D62C" w14:textId="77777777" w:rsidR="00EB1DBF" w:rsidRPr="009F5860" w:rsidRDefault="00EB1DBF" w:rsidP="00EB1DBF">
      <w:pPr>
        <w:pStyle w:val="Textoindependiente"/>
        <w:ind w:left="708" w:right="1041" w:firstLine="1"/>
        <w:jc w:val="both"/>
        <w:rPr>
          <w:sz w:val="21"/>
          <w:szCs w:val="21"/>
        </w:rPr>
      </w:pPr>
    </w:p>
    <w:p w14:paraId="48179941" w14:textId="3C5BB1EE" w:rsidR="00EB1DBF" w:rsidRPr="009F5860" w:rsidRDefault="00EB1DBF" w:rsidP="00E74412">
      <w:pPr>
        <w:pStyle w:val="Textoindependiente"/>
        <w:ind w:left="708" w:right="1041" w:firstLine="1"/>
        <w:jc w:val="both"/>
        <w:rPr>
          <w:sz w:val="21"/>
          <w:szCs w:val="21"/>
        </w:rPr>
      </w:pPr>
      <w:r w:rsidRPr="009F5860">
        <w:rPr>
          <w:sz w:val="21"/>
          <w:szCs w:val="21"/>
        </w:rPr>
        <w:t>[…]</w:t>
      </w:r>
    </w:p>
    <w:p w14:paraId="20A1764A" w14:textId="77777777" w:rsidR="00EB1DBF" w:rsidRPr="009F5860" w:rsidRDefault="00EB1DBF" w:rsidP="00EB1DBF">
      <w:pPr>
        <w:pStyle w:val="Textoindependiente"/>
        <w:ind w:left="708" w:right="1041" w:firstLine="1"/>
        <w:jc w:val="both"/>
        <w:rPr>
          <w:color w:val="000000"/>
          <w:sz w:val="21"/>
          <w:szCs w:val="21"/>
        </w:rPr>
      </w:pPr>
    </w:p>
    <w:p w14:paraId="5BCEBF4D" w14:textId="4DC3B3BE" w:rsidR="00F44EDE" w:rsidRPr="009F5860" w:rsidRDefault="00EB1DBF" w:rsidP="00EB1DBF">
      <w:pPr>
        <w:pStyle w:val="Textoindependiente"/>
        <w:ind w:left="708" w:right="1041" w:firstLine="1"/>
        <w:jc w:val="both"/>
        <w:rPr>
          <w:rFonts w:eastAsia="MS Mincho"/>
          <w:sz w:val="21"/>
          <w:szCs w:val="21"/>
          <w:lang w:eastAsia="es-CO"/>
        </w:rPr>
      </w:pPr>
      <w:r w:rsidRPr="00E74412">
        <w:rPr>
          <w:color w:val="000000"/>
          <w:sz w:val="21"/>
          <w:szCs w:val="21"/>
        </w:rPr>
        <w:t>[L]a Sala que, en relación con los manuales expedidos por Colombia Compra Eficiente, en cuanto los mismos contengan disposiciones que resulten de obligatorio cumplimiento para aquellas entidades a las que están dirigidos, los mismos sin duda constituyen actos administrativos de carácter general, susceptibles, por lo tanto, de ser controlados judicialmente por esta jurisdicción especializada en cuanto a su legalidad</w:t>
      </w:r>
      <w:r w:rsidRPr="009F5860">
        <w:rPr>
          <w:color w:val="000000"/>
          <w:sz w:val="21"/>
          <w:szCs w:val="21"/>
        </w:rPr>
        <w:t>»</w:t>
      </w:r>
      <w:r w:rsidRPr="00E74412">
        <w:rPr>
          <w:color w:val="000000"/>
          <w:sz w:val="21"/>
          <w:szCs w:val="21"/>
        </w:rPr>
        <w:t>.</w:t>
      </w:r>
      <w:r w:rsidR="00660C19" w:rsidRPr="009F5860">
        <w:rPr>
          <w:rStyle w:val="Refdenotaalpie"/>
          <w:rFonts w:eastAsia="MS Mincho"/>
          <w:sz w:val="21"/>
          <w:szCs w:val="21"/>
          <w:lang w:eastAsia="es-CO"/>
        </w:rPr>
        <w:footnoteReference w:id="6"/>
      </w:r>
    </w:p>
    <w:p w14:paraId="4DB8D81D" w14:textId="77777777" w:rsidR="00EB1DBF" w:rsidRPr="009F5860" w:rsidRDefault="00EB1DBF" w:rsidP="00E74412">
      <w:pPr>
        <w:pStyle w:val="Textoindependiente"/>
        <w:ind w:left="708" w:right="1041" w:firstLine="1"/>
        <w:jc w:val="both"/>
        <w:rPr>
          <w:sz w:val="21"/>
          <w:szCs w:val="21"/>
        </w:rPr>
      </w:pPr>
    </w:p>
    <w:p w14:paraId="3049CA82" w14:textId="1463C85C" w:rsidR="009D6BD7" w:rsidRPr="009F5860" w:rsidRDefault="0037154B" w:rsidP="00E74412">
      <w:pPr>
        <w:spacing w:after="120" w:line="276" w:lineRule="auto"/>
        <w:ind w:firstLine="709"/>
        <w:jc w:val="both"/>
        <w:rPr>
          <w:rFonts w:ascii="Arial" w:eastAsia="MS Mincho" w:hAnsi="Arial" w:cs="Arial"/>
          <w:sz w:val="22"/>
          <w:szCs w:val="22"/>
          <w:lang w:eastAsia="es-CO"/>
        </w:rPr>
      </w:pPr>
      <w:r w:rsidRPr="009F5860">
        <w:rPr>
          <w:rFonts w:ascii="Arial" w:eastAsia="MS Mincho" w:hAnsi="Arial" w:cs="Arial"/>
          <w:sz w:val="22"/>
          <w:szCs w:val="22"/>
          <w:lang w:eastAsia="es-CO"/>
        </w:rPr>
        <w:t>De acuerdo con lo expuesto,</w:t>
      </w:r>
      <w:r w:rsidR="009D6BD7" w:rsidRPr="009F5860">
        <w:rPr>
          <w:rFonts w:ascii="Arial" w:eastAsia="MS Mincho" w:hAnsi="Arial" w:cs="Arial"/>
          <w:sz w:val="22"/>
          <w:szCs w:val="22"/>
          <w:lang w:eastAsia="es-CO"/>
        </w:rPr>
        <w:t xml:space="preserve"> </w:t>
      </w:r>
      <w:r w:rsidRPr="009F5860">
        <w:rPr>
          <w:rFonts w:ascii="Arial" w:eastAsia="MS Mincho" w:hAnsi="Arial" w:cs="Arial"/>
          <w:sz w:val="22"/>
          <w:szCs w:val="22"/>
          <w:lang w:eastAsia="es-CO"/>
        </w:rPr>
        <w:t>surge como corolario que,</w:t>
      </w:r>
      <w:r w:rsidR="009D6BD7" w:rsidRPr="009F5860">
        <w:rPr>
          <w:rFonts w:ascii="Arial" w:eastAsia="MS Mincho" w:hAnsi="Arial" w:cs="Arial"/>
          <w:sz w:val="22"/>
          <w:szCs w:val="22"/>
          <w:lang w:eastAsia="es-CO"/>
        </w:rPr>
        <w:t xml:space="preserve"> con</w:t>
      </w:r>
      <w:r w:rsidR="009D6BD7" w:rsidRPr="009F5860">
        <w:rPr>
          <w:rFonts w:ascii="Arial" w:eastAsia="MS Mincho" w:hAnsi="Arial" w:cs="Arial"/>
          <w:spacing w:val="1"/>
          <w:sz w:val="22"/>
          <w:szCs w:val="22"/>
          <w:lang w:eastAsia="es-CO"/>
        </w:rPr>
        <w:t xml:space="preserve"> </w:t>
      </w:r>
      <w:r w:rsidR="009D6BD7" w:rsidRPr="009F5860">
        <w:rPr>
          <w:rFonts w:ascii="Arial" w:eastAsia="MS Mincho" w:hAnsi="Arial" w:cs="Arial"/>
          <w:sz w:val="22"/>
          <w:szCs w:val="22"/>
          <w:lang w:eastAsia="es-CO"/>
        </w:rPr>
        <w:t xml:space="preserve">independencia de la forma que adopte la directriz, </w:t>
      </w:r>
      <w:r w:rsidR="00AC5A39" w:rsidRPr="009F5860">
        <w:rPr>
          <w:rFonts w:ascii="Arial" w:eastAsia="MS Mincho" w:hAnsi="Arial" w:cs="Arial"/>
          <w:sz w:val="22"/>
          <w:szCs w:val="22"/>
          <w:lang w:eastAsia="es-CO"/>
        </w:rPr>
        <w:t xml:space="preserve">el carácter de los documentos expedidos por esta Agencia, </w:t>
      </w:r>
      <w:r w:rsidR="009D6BD7" w:rsidRPr="009F5860">
        <w:rPr>
          <w:rFonts w:ascii="Arial" w:eastAsia="MS Mincho" w:hAnsi="Arial" w:cs="Arial"/>
          <w:sz w:val="22"/>
          <w:szCs w:val="22"/>
          <w:lang w:eastAsia="es-CO"/>
        </w:rPr>
        <w:t xml:space="preserve">está determinado por la existencia de una competencia legal o reglamentaria para regular el asunto en concreto. En otras palabras, lo que define la obligatoriedad de estos instrumentos no es que se adopte mediante una forma particular, sino que el contenido sea de aquellos cuya regulación ha sido encargada por el legislador o el </w:t>
      </w:r>
      <w:proofErr w:type="gramStart"/>
      <w:r w:rsidR="009D6BD7" w:rsidRPr="009F5860">
        <w:rPr>
          <w:rFonts w:ascii="Arial" w:eastAsia="MS Mincho" w:hAnsi="Arial" w:cs="Arial"/>
          <w:sz w:val="22"/>
          <w:szCs w:val="22"/>
          <w:lang w:eastAsia="es-CO"/>
        </w:rPr>
        <w:t>Presidente</w:t>
      </w:r>
      <w:proofErr w:type="gramEnd"/>
      <w:r w:rsidR="009D6BD7" w:rsidRPr="009F5860">
        <w:rPr>
          <w:rFonts w:ascii="Arial" w:eastAsia="MS Mincho" w:hAnsi="Arial" w:cs="Arial"/>
          <w:sz w:val="22"/>
          <w:szCs w:val="22"/>
          <w:lang w:eastAsia="es-CO"/>
        </w:rPr>
        <w:t xml:space="preserve"> de la República a la Agencia Nacional de Contratación Pública</w:t>
      </w:r>
      <w:r w:rsidR="006C25DE" w:rsidRPr="009F5860">
        <w:rPr>
          <w:rFonts w:ascii="Arial" w:eastAsia="MS Mincho" w:hAnsi="Arial" w:cs="Arial"/>
          <w:sz w:val="22"/>
          <w:szCs w:val="22"/>
          <w:lang w:eastAsia="es-CO"/>
        </w:rPr>
        <w:t>, en atención que el objeto misional de esta entidad se encuentra asociado al asunto</w:t>
      </w:r>
      <w:r w:rsidR="00D95F6B" w:rsidRPr="009F5860">
        <w:rPr>
          <w:rFonts w:ascii="Arial" w:eastAsia="MS Mincho" w:hAnsi="Arial" w:cs="Arial"/>
          <w:sz w:val="22"/>
          <w:szCs w:val="22"/>
          <w:lang w:eastAsia="es-CO"/>
        </w:rPr>
        <w:t xml:space="preserve"> por regular</w:t>
      </w:r>
      <w:r w:rsidR="009D6BD7" w:rsidRPr="009F5860">
        <w:rPr>
          <w:rStyle w:val="Refdenotaalpie"/>
          <w:rFonts w:ascii="Arial" w:eastAsia="MS Mincho" w:hAnsi="Arial" w:cs="Arial"/>
          <w:sz w:val="22"/>
          <w:szCs w:val="22"/>
          <w:lang w:eastAsia="es-CO"/>
        </w:rPr>
        <w:footnoteReference w:id="7"/>
      </w:r>
      <w:r w:rsidR="00D95F6B" w:rsidRPr="009F5860">
        <w:rPr>
          <w:rFonts w:ascii="Arial" w:eastAsia="MS Mincho" w:hAnsi="Arial" w:cs="Arial"/>
          <w:sz w:val="22"/>
          <w:szCs w:val="22"/>
          <w:lang w:eastAsia="es-CO"/>
        </w:rPr>
        <w:t>.</w:t>
      </w:r>
      <w:r w:rsidR="009D6BD7" w:rsidRPr="009F5860">
        <w:rPr>
          <w:rFonts w:ascii="Arial" w:eastAsia="MS Mincho" w:hAnsi="Arial" w:cs="Arial"/>
          <w:sz w:val="22"/>
          <w:szCs w:val="22"/>
          <w:lang w:eastAsia="es-CO"/>
        </w:rPr>
        <w:t xml:space="preserve"> </w:t>
      </w:r>
    </w:p>
    <w:p w14:paraId="5B18E54A" w14:textId="763736B7" w:rsidR="007E48AE" w:rsidRPr="009F5860" w:rsidRDefault="00A977C8" w:rsidP="007E48AE">
      <w:pPr>
        <w:pStyle w:val="Textoindependiente"/>
        <w:spacing w:before="120" w:line="276" w:lineRule="auto"/>
        <w:ind w:firstLine="708"/>
        <w:jc w:val="both"/>
        <w:rPr>
          <w:sz w:val="22"/>
          <w:szCs w:val="22"/>
        </w:rPr>
      </w:pPr>
      <w:r w:rsidRPr="009F5860">
        <w:rPr>
          <w:sz w:val="22"/>
          <w:szCs w:val="22"/>
        </w:rPr>
        <w:t>Al no depender</w:t>
      </w:r>
      <w:r w:rsidR="00334B19" w:rsidRPr="009F5860">
        <w:rPr>
          <w:sz w:val="22"/>
          <w:szCs w:val="22"/>
        </w:rPr>
        <w:t xml:space="preserve"> la obligatoriedad de las herramientas normativas expedidas por Colombia Compra Eficiente de la forma mediante la cual se adopten, </w:t>
      </w:r>
      <w:r w:rsidRPr="009F5860">
        <w:rPr>
          <w:sz w:val="22"/>
          <w:szCs w:val="22"/>
        </w:rPr>
        <w:t xml:space="preserve"> el contenido de documentos como</w:t>
      </w:r>
      <w:r w:rsidR="00334B19" w:rsidRPr="009F5860">
        <w:rPr>
          <w:sz w:val="22"/>
          <w:szCs w:val="22"/>
        </w:rPr>
        <w:t xml:space="preserve"> guías, manuales o circulares podrá ser de obligatoria observancia</w:t>
      </w:r>
      <w:r w:rsidRPr="009F5860">
        <w:rPr>
          <w:sz w:val="22"/>
          <w:szCs w:val="22"/>
        </w:rPr>
        <w:t xml:space="preserve">, </w:t>
      </w:r>
      <w:r w:rsidR="00334B19" w:rsidRPr="009F5860">
        <w:rPr>
          <w:sz w:val="22"/>
          <w:szCs w:val="22"/>
        </w:rPr>
        <w:t xml:space="preserve"> o de mera pauta para fomentar buenas prácticas administrativas, </w:t>
      </w:r>
      <w:r w:rsidRPr="009F5860">
        <w:rPr>
          <w:sz w:val="22"/>
          <w:szCs w:val="22"/>
        </w:rPr>
        <w:t xml:space="preserve">esto </w:t>
      </w:r>
      <w:r w:rsidR="00334B19" w:rsidRPr="009F5860">
        <w:rPr>
          <w:sz w:val="22"/>
          <w:szCs w:val="22"/>
        </w:rPr>
        <w:t xml:space="preserve">dependiendo de si existe una norma de rango legal o reglamentario, diferente de la general del Decreto 4170 de 2011, que confiera la competencia para regular determinado aspecto de la contratación </w:t>
      </w:r>
      <w:r w:rsidR="00334B19" w:rsidRPr="009F5860">
        <w:rPr>
          <w:sz w:val="22"/>
          <w:szCs w:val="22"/>
        </w:rPr>
        <w:lastRenderedPageBreak/>
        <w:t xml:space="preserve">estatal. Si la competencia no proviene de la ley o el reglamento, sin importar que se trate de una guía, un manual o una circular externa, no </w:t>
      </w:r>
      <w:r w:rsidR="00027E00" w:rsidRPr="009F5860">
        <w:rPr>
          <w:sz w:val="22"/>
          <w:szCs w:val="22"/>
        </w:rPr>
        <w:t xml:space="preserve">serán de aplicación </w:t>
      </w:r>
      <w:proofErr w:type="gramStart"/>
      <w:r w:rsidR="00027E00" w:rsidRPr="009F5860">
        <w:rPr>
          <w:sz w:val="22"/>
          <w:szCs w:val="22"/>
        </w:rPr>
        <w:t>forzosa</w:t>
      </w:r>
      <w:r w:rsidRPr="009F5860">
        <w:rPr>
          <w:sz w:val="22"/>
          <w:szCs w:val="22"/>
        </w:rPr>
        <w:t>,  puesto</w:t>
      </w:r>
      <w:proofErr w:type="gramEnd"/>
      <w:r w:rsidRPr="009F5860">
        <w:rPr>
          <w:sz w:val="22"/>
          <w:szCs w:val="22"/>
        </w:rPr>
        <w:t xml:space="preserve"> que </w:t>
      </w:r>
      <w:r w:rsidR="00334B19" w:rsidRPr="009F5860">
        <w:rPr>
          <w:sz w:val="22"/>
          <w:szCs w:val="22"/>
        </w:rPr>
        <w:t>su</w:t>
      </w:r>
      <w:r w:rsidR="00027E00" w:rsidRPr="009F5860">
        <w:rPr>
          <w:sz w:val="22"/>
          <w:szCs w:val="22"/>
        </w:rPr>
        <w:t xml:space="preserve">s efectos </w:t>
      </w:r>
      <w:r w:rsidR="00334B19" w:rsidRPr="009F5860">
        <w:rPr>
          <w:sz w:val="22"/>
          <w:szCs w:val="22"/>
        </w:rPr>
        <w:t>estará</w:t>
      </w:r>
      <w:r w:rsidR="00027E00" w:rsidRPr="009F5860">
        <w:rPr>
          <w:sz w:val="22"/>
          <w:szCs w:val="22"/>
        </w:rPr>
        <w:t>n</w:t>
      </w:r>
      <w:r w:rsidR="00334B19" w:rsidRPr="009F5860">
        <w:rPr>
          <w:sz w:val="22"/>
          <w:szCs w:val="22"/>
        </w:rPr>
        <w:t xml:space="preserve"> limitad</w:t>
      </w:r>
      <w:r w:rsidR="00027E00" w:rsidRPr="009F5860">
        <w:rPr>
          <w:sz w:val="22"/>
          <w:szCs w:val="22"/>
        </w:rPr>
        <w:t>os</w:t>
      </w:r>
      <w:r w:rsidR="00334B19" w:rsidRPr="009F5860">
        <w:rPr>
          <w:sz w:val="22"/>
          <w:szCs w:val="22"/>
        </w:rPr>
        <w:t xml:space="preserve"> </w:t>
      </w:r>
      <w:r w:rsidR="00027E00" w:rsidRPr="009F5860">
        <w:rPr>
          <w:sz w:val="22"/>
          <w:szCs w:val="22"/>
        </w:rPr>
        <w:t>a</w:t>
      </w:r>
      <w:r w:rsidR="00C807B0">
        <w:rPr>
          <w:sz w:val="22"/>
          <w:szCs w:val="22"/>
        </w:rPr>
        <w:t xml:space="preserve"> </w:t>
      </w:r>
      <w:r w:rsidR="00027E00" w:rsidRPr="009F5860">
        <w:rPr>
          <w:sz w:val="22"/>
          <w:szCs w:val="22"/>
        </w:rPr>
        <w:t>l</w:t>
      </w:r>
      <w:r w:rsidR="00C807B0">
        <w:rPr>
          <w:sz w:val="22"/>
          <w:szCs w:val="22"/>
        </w:rPr>
        <w:t>a</w:t>
      </w:r>
      <w:r w:rsidR="00334B19" w:rsidRPr="009F5860">
        <w:rPr>
          <w:sz w:val="22"/>
          <w:szCs w:val="22"/>
        </w:rPr>
        <w:t xml:space="preserve"> </w:t>
      </w:r>
      <w:r w:rsidR="00027E00" w:rsidRPr="009F5860">
        <w:rPr>
          <w:sz w:val="22"/>
          <w:szCs w:val="22"/>
        </w:rPr>
        <w:t>fin</w:t>
      </w:r>
      <w:r w:rsidR="00C807B0">
        <w:rPr>
          <w:sz w:val="22"/>
          <w:szCs w:val="22"/>
        </w:rPr>
        <w:t>alidad</w:t>
      </w:r>
      <w:r w:rsidR="00027E00" w:rsidRPr="009F5860">
        <w:rPr>
          <w:sz w:val="22"/>
          <w:szCs w:val="22"/>
        </w:rPr>
        <w:t xml:space="preserve"> de servir de </w:t>
      </w:r>
      <w:r w:rsidRPr="009F5860">
        <w:rPr>
          <w:sz w:val="22"/>
          <w:szCs w:val="22"/>
        </w:rPr>
        <w:t>pautas generales de aplicación de normas generales. Esto en el marco de las funciones</w:t>
      </w:r>
      <w:r w:rsidR="00C807B0">
        <w:rPr>
          <w:sz w:val="22"/>
          <w:szCs w:val="22"/>
        </w:rPr>
        <w:t xml:space="preserve"> de</w:t>
      </w:r>
      <w:r w:rsidRPr="009F5860">
        <w:rPr>
          <w:sz w:val="22"/>
          <w:szCs w:val="22"/>
        </w:rPr>
        <w:t xml:space="preserve"> difusión o compendio </w:t>
      </w:r>
      <w:proofErr w:type="gramStart"/>
      <w:r w:rsidRPr="009F5860">
        <w:rPr>
          <w:sz w:val="22"/>
          <w:szCs w:val="22"/>
        </w:rPr>
        <w:t xml:space="preserve">de </w:t>
      </w:r>
      <w:r w:rsidR="00334B19" w:rsidRPr="009F5860">
        <w:rPr>
          <w:sz w:val="22"/>
          <w:szCs w:val="22"/>
        </w:rPr>
        <w:t xml:space="preserve"> normas</w:t>
      </w:r>
      <w:proofErr w:type="gramEnd"/>
      <w:r w:rsidR="00334B19" w:rsidRPr="009F5860">
        <w:rPr>
          <w:sz w:val="22"/>
          <w:szCs w:val="22"/>
        </w:rPr>
        <w:t xml:space="preserve">, </w:t>
      </w:r>
      <w:r w:rsidRPr="009F5860">
        <w:rPr>
          <w:sz w:val="22"/>
          <w:szCs w:val="22"/>
        </w:rPr>
        <w:t>lo que signific</w:t>
      </w:r>
      <w:r w:rsidR="00027E00" w:rsidRPr="009F5860">
        <w:rPr>
          <w:sz w:val="22"/>
          <w:szCs w:val="22"/>
        </w:rPr>
        <w:t>a que</w:t>
      </w:r>
      <w:r w:rsidR="00334B19" w:rsidRPr="009F5860">
        <w:rPr>
          <w:sz w:val="22"/>
          <w:szCs w:val="22"/>
        </w:rPr>
        <w:t xml:space="preserve"> no tendrá</w:t>
      </w:r>
      <w:r w:rsidR="00027E00" w:rsidRPr="009F5860">
        <w:rPr>
          <w:sz w:val="22"/>
          <w:szCs w:val="22"/>
        </w:rPr>
        <w:t>n</w:t>
      </w:r>
      <w:r w:rsidR="00334B19" w:rsidRPr="009F5860">
        <w:rPr>
          <w:sz w:val="22"/>
          <w:szCs w:val="22"/>
        </w:rPr>
        <w:t xml:space="preserve"> fuerza obligatoria para sus destinatarios</w:t>
      </w:r>
      <w:r w:rsidR="00027E00" w:rsidRPr="009F5860">
        <w:rPr>
          <w:sz w:val="22"/>
          <w:szCs w:val="22"/>
        </w:rPr>
        <w:t xml:space="preserve">.  </w:t>
      </w:r>
      <w:r w:rsidR="007E48AE" w:rsidRPr="009F5860">
        <w:rPr>
          <w:sz w:val="22"/>
          <w:szCs w:val="22"/>
        </w:rPr>
        <w:t xml:space="preserve"> </w:t>
      </w:r>
    </w:p>
    <w:p w14:paraId="1DBE9BB6" w14:textId="3F3B01FE" w:rsidR="007E48AE" w:rsidRPr="009F5860" w:rsidRDefault="007E48AE" w:rsidP="00E74412">
      <w:pPr>
        <w:pStyle w:val="Textoindependiente"/>
        <w:spacing w:line="276" w:lineRule="auto"/>
        <w:ind w:firstLine="708"/>
        <w:jc w:val="both"/>
        <w:rPr>
          <w:sz w:val="22"/>
          <w:szCs w:val="22"/>
        </w:rPr>
      </w:pPr>
    </w:p>
    <w:p w14:paraId="0876DA73" w14:textId="249C3B64" w:rsidR="001F0BA1" w:rsidRPr="00E74412" w:rsidRDefault="001F0BA1" w:rsidP="004963B0">
      <w:pPr>
        <w:pStyle w:val="Textoindependiente"/>
        <w:spacing w:line="276" w:lineRule="auto"/>
        <w:jc w:val="both"/>
        <w:rPr>
          <w:b/>
          <w:bCs/>
          <w:sz w:val="22"/>
          <w:szCs w:val="22"/>
        </w:rPr>
      </w:pPr>
      <w:r w:rsidRPr="00E74412">
        <w:rPr>
          <w:b/>
          <w:bCs/>
          <w:sz w:val="22"/>
          <w:szCs w:val="22"/>
        </w:rPr>
        <w:t>2.</w:t>
      </w:r>
      <w:r w:rsidR="00D95F6B" w:rsidRPr="009F5860">
        <w:rPr>
          <w:b/>
          <w:bCs/>
          <w:sz w:val="22"/>
          <w:szCs w:val="22"/>
        </w:rPr>
        <w:t>2</w:t>
      </w:r>
      <w:r w:rsidRPr="00E74412">
        <w:rPr>
          <w:b/>
          <w:bCs/>
          <w:sz w:val="22"/>
          <w:szCs w:val="22"/>
        </w:rPr>
        <w:t>.</w:t>
      </w:r>
      <w:r w:rsidRPr="009F5860">
        <w:rPr>
          <w:b/>
          <w:bCs/>
          <w:sz w:val="22"/>
          <w:szCs w:val="22"/>
        </w:rPr>
        <w:t xml:space="preserve"> Alcance y vigencia de la Guía para Procesos de Contratación de obra pública</w:t>
      </w:r>
      <w:r w:rsidR="002370E0" w:rsidRPr="009F5860">
        <w:rPr>
          <w:b/>
          <w:bCs/>
          <w:sz w:val="22"/>
          <w:szCs w:val="22"/>
        </w:rPr>
        <w:t xml:space="preserve"> </w:t>
      </w:r>
      <w:r w:rsidR="0053012B">
        <w:rPr>
          <w:b/>
          <w:bCs/>
          <w:sz w:val="22"/>
          <w:szCs w:val="22"/>
        </w:rPr>
        <w:t>después</w:t>
      </w:r>
      <w:r w:rsidR="002370E0" w:rsidRPr="009F5860">
        <w:rPr>
          <w:b/>
          <w:bCs/>
          <w:sz w:val="22"/>
          <w:szCs w:val="22"/>
        </w:rPr>
        <w:t xml:space="preserve"> </w:t>
      </w:r>
      <w:r w:rsidR="0053012B">
        <w:rPr>
          <w:b/>
          <w:bCs/>
          <w:sz w:val="22"/>
          <w:szCs w:val="22"/>
        </w:rPr>
        <w:t xml:space="preserve">de </w:t>
      </w:r>
      <w:r w:rsidR="002370E0" w:rsidRPr="009F5860">
        <w:rPr>
          <w:b/>
          <w:bCs/>
          <w:sz w:val="22"/>
          <w:szCs w:val="22"/>
        </w:rPr>
        <w:t xml:space="preserve">la implementación de los documentos tipo </w:t>
      </w:r>
      <w:r w:rsidR="0053012B">
        <w:rPr>
          <w:b/>
          <w:bCs/>
          <w:sz w:val="22"/>
          <w:szCs w:val="22"/>
        </w:rPr>
        <w:t xml:space="preserve">de carácter </w:t>
      </w:r>
      <w:r w:rsidR="002370E0" w:rsidRPr="009F5860">
        <w:rPr>
          <w:b/>
          <w:bCs/>
          <w:sz w:val="22"/>
          <w:szCs w:val="22"/>
        </w:rPr>
        <w:t>obligatorio</w:t>
      </w:r>
    </w:p>
    <w:p w14:paraId="7F4AB23C" w14:textId="7E8B5218" w:rsidR="001F0BA1" w:rsidRPr="009F5860" w:rsidRDefault="001F0BA1" w:rsidP="00E74412">
      <w:pPr>
        <w:pStyle w:val="Textoindependiente"/>
        <w:jc w:val="both"/>
        <w:rPr>
          <w:sz w:val="22"/>
          <w:szCs w:val="22"/>
        </w:rPr>
      </w:pPr>
    </w:p>
    <w:p w14:paraId="3340A945" w14:textId="2D1CC31C" w:rsidR="001F0BA1" w:rsidRPr="009F5860" w:rsidRDefault="001F0BA1" w:rsidP="001F0BA1">
      <w:pPr>
        <w:pStyle w:val="Textoindependiente"/>
        <w:spacing w:after="120" w:line="276" w:lineRule="auto"/>
        <w:jc w:val="both"/>
        <w:rPr>
          <w:sz w:val="22"/>
          <w:szCs w:val="22"/>
        </w:rPr>
      </w:pPr>
      <w:r w:rsidRPr="009F5860">
        <w:rPr>
          <w:sz w:val="22"/>
          <w:szCs w:val="22"/>
        </w:rPr>
        <w:t>De acuerdo con lo anterior,</w:t>
      </w:r>
      <w:r w:rsidR="00D95F6B" w:rsidRPr="009F5860">
        <w:rPr>
          <w:sz w:val="22"/>
          <w:szCs w:val="22"/>
        </w:rPr>
        <w:t xml:space="preserve"> </w:t>
      </w:r>
      <w:r w:rsidRPr="009F5860">
        <w:rPr>
          <w:sz w:val="22"/>
          <w:szCs w:val="22"/>
        </w:rPr>
        <w:t xml:space="preserve">esta Agencia expidió la </w:t>
      </w:r>
      <w:r w:rsidRPr="009F5860">
        <w:rPr>
          <w:i/>
          <w:iCs/>
          <w:sz w:val="22"/>
          <w:szCs w:val="22"/>
        </w:rPr>
        <w:t xml:space="preserve">Guía para Procesos de Contratación de obra pública, </w:t>
      </w:r>
      <w:r w:rsidRPr="009F5860">
        <w:rPr>
          <w:sz w:val="22"/>
          <w:szCs w:val="22"/>
        </w:rPr>
        <w:t xml:space="preserve">cuyo contenido consiste en una serie de orientaciones en torno al desarrollo de Procesos de Contratación, específicamente, de obra pública. </w:t>
      </w:r>
      <w:r w:rsidR="00294A56" w:rsidRPr="009F5860">
        <w:rPr>
          <w:sz w:val="22"/>
          <w:szCs w:val="22"/>
        </w:rPr>
        <w:t>E</w:t>
      </w:r>
      <w:r w:rsidRPr="009F5860">
        <w:rPr>
          <w:sz w:val="22"/>
          <w:szCs w:val="22"/>
        </w:rPr>
        <w:t xml:space="preserve">l documento </w:t>
      </w:r>
      <w:r w:rsidR="00AC4FE9" w:rsidRPr="009F5860">
        <w:rPr>
          <w:sz w:val="22"/>
          <w:szCs w:val="22"/>
        </w:rPr>
        <w:t>realiza una explicación</w:t>
      </w:r>
      <w:r w:rsidRPr="009F5860">
        <w:rPr>
          <w:sz w:val="22"/>
          <w:szCs w:val="22"/>
        </w:rPr>
        <w:t xml:space="preserve"> </w:t>
      </w:r>
      <w:proofErr w:type="gramStart"/>
      <w:r w:rsidR="00A009D4">
        <w:rPr>
          <w:sz w:val="22"/>
          <w:szCs w:val="22"/>
        </w:rPr>
        <w:t>de</w:t>
      </w:r>
      <w:r w:rsidRPr="009F5860">
        <w:rPr>
          <w:sz w:val="22"/>
          <w:szCs w:val="22"/>
        </w:rPr>
        <w:t>las</w:t>
      </w:r>
      <w:proofErr w:type="gramEnd"/>
      <w:r w:rsidRPr="009F5860">
        <w:rPr>
          <w:sz w:val="22"/>
          <w:szCs w:val="22"/>
        </w:rPr>
        <w:t xml:space="preserve"> etapas precontractual y de ejecución, refiriéndose además a distintos aspectos de importancia en este tipo de procesos, como, por ejemplo, el factor de calidad en la evaluación. </w:t>
      </w:r>
    </w:p>
    <w:p w14:paraId="15291976" w14:textId="1907988E" w:rsidR="001F0BA1" w:rsidRPr="009F5860" w:rsidRDefault="001F0BA1" w:rsidP="001F0BA1">
      <w:pPr>
        <w:pStyle w:val="Textoindependiente"/>
        <w:spacing w:after="120" w:line="276" w:lineRule="auto"/>
        <w:ind w:firstLine="709"/>
        <w:jc w:val="both"/>
        <w:rPr>
          <w:sz w:val="22"/>
          <w:szCs w:val="22"/>
        </w:rPr>
      </w:pPr>
      <w:r w:rsidRPr="009F5860">
        <w:rPr>
          <w:sz w:val="22"/>
          <w:szCs w:val="22"/>
        </w:rPr>
        <w:t xml:space="preserve">En el numeral IV, literal B de la guía se hacen una serie de precisiones sobre las nociones de </w:t>
      </w:r>
      <w:r w:rsidRPr="00E74412">
        <w:rPr>
          <w:i/>
          <w:iCs/>
          <w:sz w:val="22"/>
          <w:szCs w:val="22"/>
        </w:rPr>
        <w:t>Calidad</w:t>
      </w:r>
      <w:r w:rsidRPr="009F5860">
        <w:rPr>
          <w:sz w:val="22"/>
          <w:szCs w:val="22"/>
        </w:rPr>
        <w:t xml:space="preserve">, </w:t>
      </w:r>
      <w:r w:rsidRPr="00E74412">
        <w:rPr>
          <w:i/>
          <w:iCs/>
          <w:sz w:val="22"/>
          <w:szCs w:val="22"/>
        </w:rPr>
        <w:t>Indicadores de calidad</w:t>
      </w:r>
      <w:r w:rsidRPr="009F5860">
        <w:rPr>
          <w:sz w:val="22"/>
          <w:szCs w:val="22"/>
        </w:rPr>
        <w:t xml:space="preserve">, </w:t>
      </w:r>
      <w:r w:rsidRPr="00E74412">
        <w:rPr>
          <w:i/>
          <w:iCs/>
          <w:sz w:val="22"/>
          <w:szCs w:val="22"/>
        </w:rPr>
        <w:t>Medida de calidad</w:t>
      </w:r>
      <w:r w:rsidRPr="009F5860">
        <w:rPr>
          <w:sz w:val="22"/>
          <w:szCs w:val="22"/>
        </w:rPr>
        <w:t xml:space="preserve">, </w:t>
      </w:r>
      <w:r w:rsidRPr="00E74412">
        <w:rPr>
          <w:i/>
          <w:iCs/>
          <w:sz w:val="22"/>
          <w:szCs w:val="22"/>
        </w:rPr>
        <w:t>Método de calidad</w:t>
      </w:r>
      <w:r w:rsidRPr="009F5860">
        <w:rPr>
          <w:sz w:val="22"/>
          <w:szCs w:val="22"/>
        </w:rPr>
        <w:t xml:space="preserve">, </w:t>
      </w:r>
      <w:r w:rsidRPr="00E74412">
        <w:rPr>
          <w:i/>
          <w:iCs/>
          <w:sz w:val="22"/>
          <w:szCs w:val="22"/>
        </w:rPr>
        <w:t>Sistema de control de calidad</w:t>
      </w:r>
      <w:r w:rsidRPr="009F5860">
        <w:rPr>
          <w:sz w:val="22"/>
          <w:szCs w:val="22"/>
        </w:rPr>
        <w:t xml:space="preserve">, </w:t>
      </w:r>
      <w:r w:rsidRPr="00E74412">
        <w:rPr>
          <w:i/>
          <w:iCs/>
          <w:sz w:val="22"/>
          <w:szCs w:val="22"/>
        </w:rPr>
        <w:t>Características técnicas mínimas</w:t>
      </w:r>
      <w:r w:rsidRPr="009F5860">
        <w:rPr>
          <w:sz w:val="22"/>
          <w:szCs w:val="22"/>
        </w:rPr>
        <w:t>, entre otros conceptos técnicos asociados a la evaluación de la calidad de las obras civiles</w:t>
      </w:r>
      <w:r w:rsidRPr="009F5860">
        <w:rPr>
          <w:rStyle w:val="Refdenotaalpie"/>
          <w:sz w:val="22"/>
          <w:szCs w:val="22"/>
        </w:rPr>
        <w:footnoteReference w:id="8"/>
      </w:r>
      <w:r w:rsidRPr="009F5860">
        <w:rPr>
          <w:sz w:val="22"/>
          <w:szCs w:val="22"/>
        </w:rPr>
        <w:t xml:space="preserve">. A partir </w:t>
      </w:r>
      <w:r w:rsidR="00A009D4">
        <w:rPr>
          <w:sz w:val="22"/>
          <w:szCs w:val="22"/>
        </w:rPr>
        <w:t xml:space="preserve">de </w:t>
      </w:r>
      <w:r w:rsidRPr="009F5860">
        <w:rPr>
          <w:sz w:val="22"/>
          <w:szCs w:val="22"/>
        </w:rPr>
        <w:t>las precisiones conceptuales realizadas sobre estas categorías, la Agencia formula una serie de recomendaciones referidas a la etapa de planeación –numeral IV, literal A– y otras referidas a la etapa de selección –numeral IV, literal B‒, en lo relacionado con la formulación de criterios para evaluar la calidad.</w:t>
      </w:r>
    </w:p>
    <w:p w14:paraId="0FD10DC5" w14:textId="54E5D6CA" w:rsidR="001F0BA1" w:rsidRPr="009F5860" w:rsidRDefault="001F0BA1" w:rsidP="001F0BA1">
      <w:pPr>
        <w:pStyle w:val="Textoindependiente"/>
        <w:spacing w:after="120" w:line="276" w:lineRule="auto"/>
        <w:ind w:firstLine="709"/>
        <w:jc w:val="both"/>
        <w:rPr>
          <w:sz w:val="22"/>
          <w:szCs w:val="22"/>
        </w:rPr>
      </w:pPr>
      <w:r w:rsidRPr="009F5860">
        <w:rPr>
          <w:sz w:val="22"/>
          <w:szCs w:val="22"/>
        </w:rPr>
        <w:t>En lo relacionado con la etapa de selección, la guía, de conformidad con lo dispuesto en el numeral 2 del artículo 5 de la Ley 1150 de 2007, comienza por explicar c</w:t>
      </w:r>
      <w:r w:rsidR="00CB0C0E">
        <w:rPr>
          <w:sz w:val="22"/>
          <w:szCs w:val="22"/>
        </w:rPr>
        <w:t>ó</w:t>
      </w:r>
      <w:r w:rsidRPr="009F5860">
        <w:rPr>
          <w:sz w:val="22"/>
          <w:szCs w:val="22"/>
        </w:rPr>
        <w:t>mo el deber de selección objetiva en los procesos de obra pública supone la evaluación de la calidad mediante «</w:t>
      </w:r>
      <w:r w:rsidRPr="00E74412">
        <w:rPr>
          <w:sz w:val="22"/>
          <w:szCs w:val="22"/>
        </w:rPr>
        <w:t xml:space="preserve">(a) la ponderación los elementos de calidad y precio que representan la mejor </w:t>
      </w:r>
      <w:r w:rsidRPr="00E74412">
        <w:rPr>
          <w:sz w:val="22"/>
          <w:szCs w:val="22"/>
        </w:rPr>
        <w:lastRenderedPageBreak/>
        <w:t>relación costo-beneficio o (b) la ponderación de los elementos de calidad y precio soportados en puntajes o formulas»</w:t>
      </w:r>
      <w:r w:rsidRPr="009F5860">
        <w:rPr>
          <w:sz w:val="22"/>
          <w:szCs w:val="22"/>
        </w:rPr>
        <w:t xml:space="preserve">. </w:t>
      </w:r>
      <w:r w:rsidR="00166895" w:rsidRPr="009F5860">
        <w:rPr>
          <w:sz w:val="22"/>
          <w:szCs w:val="22"/>
        </w:rPr>
        <w:t>De igual forma</w:t>
      </w:r>
      <w:r w:rsidRPr="009F5860">
        <w:rPr>
          <w:sz w:val="22"/>
          <w:szCs w:val="22"/>
        </w:rPr>
        <w:t xml:space="preserve">, la guía realiza </w:t>
      </w:r>
      <w:r w:rsidR="00CB0C0E">
        <w:rPr>
          <w:sz w:val="22"/>
          <w:szCs w:val="22"/>
        </w:rPr>
        <w:t>algunas</w:t>
      </w:r>
      <w:r w:rsidRPr="009F5860">
        <w:rPr>
          <w:sz w:val="22"/>
          <w:szCs w:val="22"/>
        </w:rPr>
        <w:t xml:space="preserve"> recomendaciones </w:t>
      </w:r>
      <w:r w:rsidR="004541BB" w:rsidRPr="009F5860">
        <w:rPr>
          <w:sz w:val="22"/>
          <w:szCs w:val="22"/>
        </w:rPr>
        <w:t>referidas</w:t>
      </w:r>
      <w:r w:rsidRPr="009F5860">
        <w:rPr>
          <w:sz w:val="22"/>
          <w:szCs w:val="22"/>
        </w:rPr>
        <w:t xml:space="preserve"> a la evaluación del factor de calidad, </w:t>
      </w:r>
      <w:r w:rsidR="00CB0C0E">
        <w:rPr>
          <w:sz w:val="22"/>
          <w:szCs w:val="22"/>
        </w:rPr>
        <w:t>que</w:t>
      </w:r>
      <w:r w:rsidRPr="009F5860">
        <w:rPr>
          <w:sz w:val="22"/>
          <w:szCs w:val="22"/>
        </w:rPr>
        <w:t xml:space="preserve"> sugieren </w:t>
      </w:r>
      <w:r w:rsidR="004541BB" w:rsidRPr="009F5860">
        <w:rPr>
          <w:sz w:val="22"/>
          <w:szCs w:val="22"/>
        </w:rPr>
        <w:t xml:space="preserve">unos </w:t>
      </w:r>
      <w:r w:rsidRPr="009F5860">
        <w:rPr>
          <w:sz w:val="22"/>
          <w:szCs w:val="22"/>
        </w:rPr>
        <w:t>criterios que técnicamente resultan adecuados para evaluar la calidad de las obras, por ser los que</w:t>
      </w:r>
      <w:r w:rsidR="00CB0C0E">
        <w:rPr>
          <w:sz w:val="22"/>
          <w:szCs w:val="22"/>
        </w:rPr>
        <w:t xml:space="preserve"> aportan mayor </w:t>
      </w:r>
      <w:r w:rsidRPr="009F5860">
        <w:rPr>
          <w:sz w:val="22"/>
          <w:szCs w:val="22"/>
        </w:rPr>
        <w:t xml:space="preserve">calidad a la obra, </w:t>
      </w:r>
      <w:r w:rsidR="004541BB" w:rsidRPr="009F5860">
        <w:rPr>
          <w:sz w:val="22"/>
          <w:szCs w:val="22"/>
        </w:rPr>
        <w:t xml:space="preserve">además de ser los que mejor garantizan una </w:t>
      </w:r>
      <w:r w:rsidRPr="009F5860">
        <w:rPr>
          <w:sz w:val="22"/>
          <w:szCs w:val="22"/>
        </w:rPr>
        <w:t>selección objetiva</w:t>
      </w:r>
      <w:r w:rsidR="004541BB" w:rsidRPr="009F5860">
        <w:rPr>
          <w:sz w:val="22"/>
          <w:szCs w:val="22"/>
        </w:rPr>
        <w:t xml:space="preserve"> en este tipo de procesos de selección</w:t>
      </w:r>
      <w:r w:rsidRPr="009F5860">
        <w:rPr>
          <w:sz w:val="22"/>
          <w:szCs w:val="22"/>
        </w:rPr>
        <w:t xml:space="preserve">. </w:t>
      </w:r>
    </w:p>
    <w:p w14:paraId="68693AD2" w14:textId="5D78263D" w:rsidR="001F0BA1" w:rsidRPr="009F5860" w:rsidRDefault="00CF21BD" w:rsidP="001F0BA1">
      <w:pPr>
        <w:pStyle w:val="Textoindependiente"/>
        <w:spacing w:after="120" w:line="276" w:lineRule="auto"/>
        <w:ind w:firstLine="709"/>
        <w:jc w:val="both"/>
        <w:rPr>
          <w:sz w:val="22"/>
          <w:szCs w:val="22"/>
        </w:rPr>
      </w:pPr>
      <w:r>
        <w:rPr>
          <w:sz w:val="22"/>
          <w:szCs w:val="22"/>
        </w:rPr>
        <w:t>En igual sentido</w:t>
      </w:r>
      <w:r w:rsidR="001F0BA1" w:rsidRPr="009F5860">
        <w:rPr>
          <w:sz w:val="22"/>
          <w:szCs w:val="22"/>
        </w:rPr>
        <w:t xml:space="preserve">, la guía en la página 20 enlista una serie de criterios respecto de los que advierte «[…] las Entidades Estatales deben abstenerse de ponderar como calidad de la obra». Entre estos se incluyen la </w:t>
      </w:r>
      <w:r w:rsidR="001F0BA1" w:rsidRPr="00E74412">
        <w:rPr>
          <w:sz w:val="22"/>
          <w:szCs w:val="22"/>
        </w:rPr>
        <w:t xml:space="preserve">Calificación de los programas de trabajo, Cronograma de obra, Programas de inversión, Diligenciamiento de los formatos de análisis de precios unitarios - APU -, Sanciones o multas, Apoyo a la industria nacional, entre otros a los que expresamente se alude en la consulta. </w:t>
      </w:r>
      <w:r w:rsidR="001F0BA1" w:rsidRPr="009F5860">
        <w:rPr>
          <w:sz w:val="22"/>
          <w:szCs w:val="22"/>
        </w:rPr>
        <w:t>La razón por la que se sugiere no utilizar este tipo de mecanismos, comúnmente utilizados por algunas entidades estatales para evaluar la calidad en los procesos de selección, es que estos no responden a</w:t>
      </w:r>
      <w:r>
        <w:rPr>
          <w:sz w:val="22"/>
          <w:szCs w:val="22"/>
        </w:rPr>
        <w:t>l criterio de</w:t>
      </w:r>
      <w:r w:rsidR="001F0BA1" w:rsidRPr="009F5860">
        <w:rPr>
          <w:sz w:val="22"/>
          <w:szCs w:val="22"/>
        </w:rPr>
        <w:t xml:space="preserve"> calidad a la que se refiere el artículo 5 de la Ley 1150 de 2007, por lo que no resulta adecuado emplearlos en la evaluación</w:t>
      </w:r>
      <w:r w:rsidR="004541BB" w:rsidRPr="009F5860">
        <w:rPr>
          <w:sz w:val="22"/>
          <w:szCs w:val="22"/>
        </w:rPr>
        <w:t>.</w:t>
      </w:r>
      <w:r w:rsidR="001F0BA1" w:rsidRPr="009F5860">
        <w:rPr>
          <w:sz w:val="22"/>
          <w:szCs w:val="22"/>
        </w:rPr>
        <w:t xml:space="preserve"> </w:t>
      </w:r>
    </w:p>
    <w:p w14:paraId="6D8FBAED" w14:textId="2721EDAC" w:rsidR="001F0BA1" w:rsidRPr="009F5860" w:rsidRDefault="001F0BA1" w:rsidP="00E74412">
      <w:pPr>
        <w:pStyle w:val="Textoindependiente"/>
        <w:spacing w:after="120" w:line="276" w:lineRule="auto"/>
        <w:jc w:val="both"/>
        <w:rPr>
          <w:sz w:val="22"/>
          <w:szCs w:val="22"/>
        </w:rPr>
      </w:pPr>
      <w:r w:rsidRPr="009F5860">
        <w:rPr>
          <w:sz w:val="22"/>
          <w:szCs w:val="22"/>
        </w:rPr>
        <w:tab/>
        <w:t xml:space="preserve">Sin perjuicio de lo anterior, en concordancia con las consideraciones </w:t>
      </w:r>
      <w:r w:rsidR="00B71F0A" w:rsidRPr="009F5860">
        <w:rPr>
          <w:sz w:val="22"/>
          <w:szCs w:val="22"/>
        </w:rPr>
        <w:t xml:space="preserve">expuestas </w:t>
      </w:r>
      <w:r w:rsidR="00B71F0A" w:rsidRPr="00E74412">
        <w:rPr>
          <w:i/>
          <w:iCs/>
          <w:sz w:val="22"/>
          <w:szCs w:val="22"/>
        </w:rPr>
        <w:t>ut</w:t>
      </w:r>
      <w:r w:rsidR="00B71F0A" w:rsidRPr="009F5860">
        <w:rPr>
          <w:sz w:val="22"/>
          <w:szCs w:val="22"/>
        </w:rPr>
        <w:t xml:space="preserve"> </w:t>
      </w:r>
      <w:r w:rsidR="00B71F0A" w:rsidRPr="00E74412">
        <w:rPr>
          <w:i/>
          <w:iCs/>
          <w:sz w:val="22"/>
          <w:szCs w:val="22"/>
        </w:rPr>
        <w:t>supra</w:t>
      </w:r>
      <w:r w:rsidRPr="009F5860">
        <w:rPr>
          <w:sz w:val="22"/>
          <w:szCs w:val="22"/>
        </w:rPr>
        <w:t xml:space="preserve"> en torno al carácter vinculante de los instrumentos expedidos por esta Agencia, debe precisarse que la </w:t>
      </w:r>
      <w:r w:rsidRPr="009F5860">
        <w:rPr>
          <w:i/>
          <w:iCs/>
          <w:sz w:val="22"/>
          <w:szCs w:val="22"/>
        </w:rPr>
        <w:t xml:space="preserve">Guía para Procesos de Contratación de obra pública </w:t>
      </w:r>
      <w:r w:rsidRPr="009F5860">
        <w:rPr>
          <w:sz w:val="22"/>
          <w:szCs w:val="22"/>
        </w:rPr>
        <w:t xml:space="preserve">fue expedida, en ejercicio de las competencias </w:t>
      </w:r>
      <w:r w:rsidR="0092073B" w:rsidRPr="009F5860">
        <w:rPr>
          <w:sz w:val="22"/>
          <w:szCs w:val="22"/>
        </w:rPr>
        <w:t>para</w:t>
      </w:r>
      <w:r w:rsidRPr="009F5860">
        <w:rPr>
          <w:sz w:val="22"/>
          <w:szCs w:val="22"/>
        </w:rPr>
        <w:t xml:space="preserve"> desarrollar «[…] </w:t>
      </w:r>
      <w:r w:rsidRPr="00E74412">
        <w:rPr>
          <w:sz w:val="22"/>
          <w:szCs w:val="22"/>
        </w:rPr>
        <w:t>mecanismos de apoyo para los partícipes del Sistema de Compra Pública» y  «difundir normas, reglas, procedimientos, medios tecnológicos y mejores prácticas para el sistema»</w:t>
      </w:r>
      <w:r w:rsidRPr="009F5860">
        <w:rPr>
          <w:sz w:val="22"/>
          <w:szCs w:val="22"/>
        </w:rPr>
        <w:t>, tal como se indica en la introducción de dicho documento.</w:t>
      </w:r>
      <w:r w:rsidR="00CF21BD">
        <w:rPr>
          <w:sz w:val="22"/>
          <w:szCs w:val="22"/>
        </w:rPr>
        <w:t xml:space="preserve"> </w:t>
      </w:r>
      <w:r w:rsidR="00391B62">
        <w:rPr>
          <w:sz w:val="22"/>
          <w:szCs w:val="22"/>
        </w:rPr>
        <w:t>Esto indica que</w:t>
      </w:r>
      <w:r w:rsidRPr="009F5860">
        <w:rPr>
          <w:sz w:val="22"/>
          <w:szCs w:val="22"/>
        </w:rPr>
        <w:t xml:space="preserve"> las recomendaciones establecidas en esta guía no se hacían en ejercicio de ninguna competencia </w:t>
      </w:r>
      <w:r w:rsidR="00166895" w:rsidRPr="009F5860">
        <w:rPr>
          <w:sz w:val="22"/>
          <w:szCs w:val="22"/>
        </w:rPr>
        <w:t>específica</w:t>
      </w:r>
      <w:r w:rsidRPr="009F5860">
        <w:rPr>
          <w:sz w:val="22"/>
          <w:szCs w:val="22"/>
        </w:rPr>
        <w:t xml:space="preserve"> para realizarlas, razón por la que, conforme a lo explicado</w:t>
      </w:r>
      <w:r w:rsidRPr="009F5860">
        <w:rPr>
          <w:i/>
          <w:iCs/>
          <w:sz w:val="22"/>
          <w:szCs w:val="22"/>
        </w:rPr>
        <w:t xml:space="preserve">, </w:t>
      </w:r>
      <w:r w:rsidRPr="009F5860">
        <w:rPr>
          <w:sz w:val="22"/>
          <w:szCs w:val="22"/>
        </w:rPr>
        <w:t xml:space="preserve">no tenían carácter vinculante. </w:t>
      </w:r>
    </w:p>
    <w:p w14:paraId="5149EFE2" w14:textId="63EDF465" w:rsidR="00C46B18" w:rsidRPr="009F5860" w:rsidRDefault="001F0BA1" w:rsidP="00C46B18">
      <w:pPr>
        <w:pStyle w:val="Textoindependiente"/>
        <w:spacing w:after="120" w:line="276" w:lineRule="auto"/>
        <w:jc w:val="both"/>
        <w:rPr>
          <w:sz w:val="22"/>
          <w:szCs w:val="22"/>
        </w:rPr>
      </w:pPr>
      <w:r w:rsidRPr="009F5860">
        <w:rPr>
          <w:sz w:val="22"/>
          <w:szCs w:val="22"/>
        </w:rPr>
        <w:tab/>
      </w:r>
      <w:r w:rsidR="00391B62">
        <w:rPr>
          <w:sz w:val="22"/>
          <w:szCs w:val="22"/>
        </w:rPr>
        <w:t>T</w:t>
      </w:r>
      <w:r w:rsidR="00273DB1" w:rsidRPr="009F5860">
        <w:rPr>
          <w:sz w:val="22"/>
          <w:szCs w:val="22"/>
        </w:rPr>
        <w:t xml:space="preserve">ambién debe destacarse que las pautas y orientaciones formuladas en </w:t>
      </w:r>
      <w:r w:rsidR="00E1744A">
        <w:rPr>
          <w:sz w:val="22"/>
          <w:szCs w:val="22"/>
        </w:rPr>
        <w:t xml:space="preserve">la </w:t>
      </w:r>
      <w:r w:rsidR="00273DB1" w:rsidRPr="009F5860">
        <w:rPr>
          <w:sz w:val="22"/>
          <w:szCs w:val="22"/>
        </w:rPr>
        <w:t>guía</w:t>
      </w:r>
      <w:r w:rsidR="00E1744A">
        <w:rPr>
          <w:sz w:val="22"/>
          <w:szCs w:val="22"/>
        </w:rPr>
        <w:t xml:space="preserve"> mencionada</w:t>
      </w:r>
      <w:r w:rsidR="00273DB1" w:rsidRPr="009F5860">
        <w:rPr>
          <w:sz w:val="22"/>
          <w:szCs w:val="22"/>
        </w:rPr>
        <w:t>, se hicieron sobre la base de que, la</w:t>
      </w:r>
      <w:r w:rsidR="00664E56" w:rsidRPr="009F5860">
        <w:rPr>
          <w:sz w:val="22"/>
          <w:szCs w:val="22"/>
        </w:rPr>
        <w:t>s</w:t>
      </w:r>
      <w:r w:rsidR="00273DB1" w:rsidRPr="009F5860">
        <w:rPr>
          <w:sz w:val="22"/>
          <w:szCs w:val="22"/>
        </w:rPr>
        <w:t xml:space="preserve"> competencia</w:t>
      </w:r>
      <w:r w:rsidR="00664E56" w:rsidRPr="009F5860">
        <w:rPr>
          <w:sz w:val="22"/>
          <w:szCs w:val="22"/>
        </w:rPr>
        <w:t>s</w:t>
      </w:r>
      <w:r w:rsidR="00273DB1" w:rsidRPr="009F5860">
        <w:rPr>
          <w:sz w:val="22"/>
          <w:szCs w:val="22"/>
        </w:rPr>
        <w:t xml:space="preserve"> para planear y desarrollar los procesos de contratación </w:t>
      </w:r>
      <w:r w:rsidR="00664E56" w:rsidRPr="009F5860">
        <w:rPr>
          <w:sz w:val="22"/>
          <w:szCs w:val="22"/>
        </w:rPr>
        <w:t xml:space="preserve">suponen, mayormente, el ejercicio de </w:t>
      </w:r>
      <w:r w:rsidR="00273DB1" w:rsidRPr="009F5860">
        <w:rPr>
          <w:sz w:val="22"/>
          <w:szCs w:val="22"/>
        </w:rPr>
        <w:t>facultad</w:t>
      </w:r>
      <w:r w:rsidR="00664E56" w:rsidRPr="009F5860">
        <w:rPr>
          <w:sz w:val="22"/>
          <w:szCs w:val="22"/>
        </w:rPr>
        <w:t>es</w:t>
      </w:r>
      <w:r w:rsidR="00273DB1" w:rsidRPr="009F5860">
        <w:rPr>
          <w:sz w:val="22"/>
          <w:szCs w:val="22"/>
        </w:rPr>
        <w:t xml:space="preserve"> discrecional</w:t>
      </w:r>
      <w:r w:rsidR="00664E56" w:rsidRPr="009F5860">
        <w:rPr>
          <w:sz w:val="22"/>
          <w:szCs w:val="22"/>
        </w:rPr>
        <w:t>es</w:t>
      </w:r>
      <w:r w:rsidR="00273DB1" w:rsidRPr="009F5860">
        <w:rPr>
          <w:sz w:val="22"/>
          <w:szCs w:val="22"/>
        </w:rPr>
        <w:t>, por lo que existe un amplio margen de configuración del contenido del pliego de condiciones para las entidades estatales</w:t>
      </w:r>
      <w:r w:rsidR="00C46B18" w:rsidRPr="009F5860">
        <w:rPr>
          <w:sz w:val="22"/>
          <w:szCs w:val="22"/>
        </w:rPr>
        <w:t>, lo</w:t>
      </w:r>
      <w:r w:rsidR="00273DB1" w:rsidRPr="009F5860">
        <w:rPr>
          <w:sz w:val="22"/>
          <w:szCs w:val="22"/>
        </w:rPr>
        <w:t xml:space="preserve"> que les permite implementar los criterios de calidad que consideren más adecuados</w:t>
      </w:r>
      <w:r w:rsidR="00C46B18" w:rsidRPr="009F5860">
        <w:rPr>
          <w:sz w:val="22"/>
          <w:szCs w:val="22"/>
        </w:rPr>
        <w:t xml:space="preserve">. Sin embargo, este panorama fue alterado por la irrupción en el marco jurídico de los documentos tipo obligatorios, a partir del año 2019, con </w:t>
      </w:r>
      <w:r w:rsidR="00C46B18" w:rsidRPr="009F5860">
        <w:rPr>
          <w:sz w:val="22"/>
          <w:szCs w:val="22"/>
        </w:rPr>
        <w:lastRenderedPageBreak/>
        <w:t xml:space="preserve">la </w:t>
      </w:r>
      <w:r w:rsidR="00E1744A">
        <w:rPr>
          <w:sz w:val="22"/>
          <w:szCs w:val="22"/>
        </w:rPr>
        <w:t>expedición</w:t>
      </w:r>
      <w:r w:rsidR="00C46B18" w:rsidRPr="009F5860">
        <w:rPr>
          <w:sz w:val="22"/>
          <w:szCs w:val="22"/>
        </w:rPr>
        <w:t xml:space="preserve"> de las Leyes 1882 de 2018</w:t>
      </w:r>
      <w:r w:rsidR="00C46B18" w:rsidRPr="009F5860">
        <w:rPr>
          <w:rStyle w:val="Refdenotaalpie"/>
          <w:sz w:val="22"/>
          <w:szCs w:val="22"/>
        </w:rPr>
        <w:footnoteReference w:id="9"/>
      </w:r>
      <w:r w:rsidR="00C46B18" w:rsidRPr="009F5860">
        <w:rPr>
          <w:sz w:val="22"/>
          <w:szCs w:val="22"/>
        </w:rPr>
        <w:t xml:space="preserve"> y 2022 de 2020</w:t>
      </w:r>
      <w:r w:rsidR="00C46B18" w:rsidRPr="009F5860">
        <w:rPr>
          <w:rStyle w:val="Refdenotaalpie"/>
          <w:sz w:val="22"/>
          <w:szCs w:val="22"/>
        </w:rPr>
        <w:footnoteReference w:id="10"/>
      </w:r>
      <w:r w:rsidR="00C46B18" w:rsidRPr="009F5860">
        <w:rPr>
          <w:sz w:val="22"/>
          <w:szCs w:val="22"/>
        </w:rPr>
        <w:t>.</w:t>
      </w:r>
    </w:p>
    <w:p w14:paraId="2A26B144" w14:textId="0C88874B" w:rsidR="001F0BA1" w:rsidRPr="009F5860" w:rsidRDefault="00C46B18" w:rsidP="00E74412">
      <w:pPr>
        <w:pStyle w:val="Textoindependiente"/>
        <w:spacing w:after="120" w:line="276" w:lineRule="auto"/>
        <w:jc w:val="both"/>
        <w:rPr>
          <w:sz w:val="22"/>
          <w:szCs w:val="22"/>
        </w:rPr>
      </w:pPr>
      <w:r w:rsidRPr="009F5860">
        <w:rPr>
          <w:sz w:val="22"/>
          <w:szCs w:val="22"/>
        </w:rPr>
        <w:t xml:space="preserve"> </w:t>
      </w:r>
      <w:r w:rsidRPr="009F5860">
        <w:rPr>
          <w:sz w:val="22"/>
          <w:szCs w:val="22"/>
        </w:rPr>
        <w:tab/>
        <w:t>En ejercicio de las competencias y facultades derivadas de estas normas</w:t>
      </w:r>
      <w:r w:rsidR="00664E56" w:rsidRPr="009F5860">
        <w:rPr>
          <w:sz w:val="22"/>
          <w:szCs w:val="22"/>
        </w:rPr>
        <w:t>,</w:t>
      </w:r>
      <w:r w:rsidRPr="009F5860">
        <w:rPr>
          <w:sz w:val="22"/>
          <w:szCs w:val="22"/>
        </w:rPr>
        <w:t xml:space="preserve"> el gobierno nacional y esta Agencia emprendieron el proceso para estandarizar requisitos habilitantes, factores técnicos y económicos de escogencia, así como sistemas de evaluación, en procesos de contratación públicos, con especial aplicación en los procesos de obra pública. </w:t>
      </w:r>
      <w:r w:rsidR="001F0BA1" w:rsidRPr="009F5860">
        <w:rPr>
          <w:sz w:val="22"/>
          <w:szCs w:val="22"/>
        </w:rPr>
        <w:t xml:space="preserve">Los documentos tipo expedidos en virtud de estas normas tienen la particularidad de tener carácter vinculante para las entidades estatales regidas por el Estatuto General de Contratación de la Administración Pública, razón por la que están obligadas a aplicarlos para desarrollar los procesos de contratación cuyo objeto y modalidad de selección se encuentre </w:t>
      </w:r>
      <w:proofErr w:type="gramStart"/>
      <w:r w:rsidR="00E1744A">
        <w:rPr>
          <w:sz w:val="22"/>
          <w:szCs w:val="22"/>
        </w:rPr>
        <w:t>sometida</w:t>
      </w:r>
      <w:r w:rsidR="001F0BA1" w:rsidRPr="009F5860">
        <w:rPr>
          <w:sz w:val="22"/>
          <w:szCs w:val="22"/>
        </w:rPr>
        <w:t xml:space="preserve"> </w:t>
      </w:r>
      <w:r w:rsidR="00E1744A">
        <w:rPr>
          <w:sz w:val="22"/>
          <w:szCs w:val="22"/>
        </w:rPr>
        <w:t xml:space="preserve"> a</w:t>
      </w:r>
      <w:proofErr w:type="gramEnd"/>
      <w:r w:rsidR="00E1744A">
        <w:rPr>
          <w:sz w:val="22"/>
          <w:szCs w:val="22"/>
        </w:rPr>
        <w:t xml:space="preserve"> </w:t>
      </w:r>
      <w:r w:rsidR="001F0BA1" w:rsidRPr="009F5860">
        <w:rPr>
          <w:sz w:val="22"/>
          <w:szCs w:val="22"/>
        </w:rPr>
        <w:t xml:space="preserve">algún documento tipo. Enel contenido de estos documentos tipo se encuentra, por ejemplo, los criterios </w:t>
      </w:r>
      <w:r w:rsidR="009D66B9" w:rsidRPr="009F5860">
        <w:rPr>
          <w:sz w:val="22"/>
          <w:szCs w:val="22"/>
        </w:rPr>
        <w:t>que pueden ser</w:t>
      </w:r>
      <w:r w:rsidR="001F0BA1" w:rsidRPr="009F5860">
        <w:rPr>
          <w:sz w:val="22"/>
          <w:szCs w:val="22"/>
        </w:rPr>
        <w:t xml:space="preserve"> u</w:t>
      </w:r>
      <w:r w:rsidR="009D66B9" w:rsidRPr="009F5860">
        <w:rPr>
          <w:sz w:val="22"/>
          <w:szCs w:val="22"/>
        </w:rPr>
        <w:t>tilizados</w:t>
      </w:r>
      <w:r w:rsidR="001F0BA1" w:rsidRPr="009F5860">
        <w:rPr>
          <w:sz w:val="22"/>
          <w:szCs w:val="22"/>
        </w:rPr>
        <w:t xml:space="preserve"> por las entidades estatales en los procesos de contratación para evaluar el factor de calidad, los </w:t>
      </w:r>
      <w:r w:rsidRPr="009F5860">
        <w:rPr>
          <w:sz w:val="22"/>
          <w:szCs w:val="22"/>
        </w:rPr>
        <w:t>que</w:t>
      </w:r>
      <w:r w:rsidR="001F0BA1" w:rsidRPr="009F5860">
        <w:rPr>
          <w:sz w:val="22"/>
          <w:szCs w:val="22"/>
        </w:rPr>
        <w:t xml:space="preserve">, a diferencia de los señalados en la </w:t>
      </w:r>
      <w:r w:rsidR="001F0BA1" w:rsidRPr="009F5860">
        <w:rPr>
          <w:i/>
          <w:iCs/>
          <w:sz w:val="22"/>
          <w:szCs w:val="22"/>
        </w:rPr>
        <w:t xml:space="preserve">Guía para Procesos de Contratación de obra pública, </w:t>
      </w:r>
      <w:r w:rsidR="001F0BA1" w:rsidRPr="009F5860">
        <w:rPr>
          <w:sz w:val="22"/>
          <w:szCs w:val="22"/>
        </w:rPr>
        <w:t>s</w:t>
      </w:r>
      <w:r w:rsidR="009D66B9" w:rsidRPr="009F5860">
        <w:rPr>
          <w:sz w:val="22"/>
          <w:szCs w:val="22"/>
        </w:rPr>
        <w:t>í</w:t>
      </w:r>
      <w:r w:rsidR="001F0BA1" w:rsidRPr="009F5860">
        <w:rPr>
          <w:sz w:val="22"/>
          <w:szCs w:val="22"/>
        </w:rPr>
        <w:t xml:space="preserve"> tienen carácter obligatorio. </w:t>
      </w:r>
    </w:p>
    <w:p w14:paraId="4C9785E2" w14:textId="5422A8D6" w:rsidR="005E57D6" w:rsidRPr="009F5860" w:rsidRDefault="009C5E1C" w:rsidP="00E74412">
      <w:pPr>
        <w:pStyle w:val="Normal11pt"/>
        <w:spacing w:after="120" w:line="276" w:lineRule="auto"/>
        <w:ind w:left="0" w:firstLine="709"/>
        <w:rPr>
          <w:rFonts w:eastAsia="Calibri"/>
          <w:color w:val="auto"/>
        </w:rPr>
      </w:pPr>
      <w:bookmarkStart w:id="0" w:name="_Hlk90458000"/>
      <w:r w:rsidRPr="009F5860">
        <w:t>Si bien</w:t>
      </w:r>
      <w:r w:rsidR="00E1744A">
        <w:t xml:space="preserve"> actualmente</w:t>
      </w:r>
      <w:r w:rsidRPr="009F5860">
        <w:t xml:space="preserve"> la contratación mediante </w:t>
      </w:r>
      <w:r w:rsidRPr="009F5860">
        <w:rPr>
          <w:rFonts w:eastAsia="Arial"/>
          <w:lang w:val="es-ES" w:eastAsia="en-US"/>
        </w:rPr>
        <w:t xml:space="preserve">documentos tipo no es una regla general respecto de todos los objetos contractuales sobre los que versan los procesos de contratación pública, a </w:t>
      </w:r>
      <w:r w:rsidR="001F0BA1" w:rsidRPr="00E74412">
        <w:t xml:space="preserve">la fecha </w:t>
      </w:r>
      <w:r w:rsidR="00F537D7" w:rsidRPr="009F5860">
        <w:rPr>
          <w:rFonts w:eastAsia="Calibri"/>
          <w:color w:val="auto"/>
        </w:rPr>
        <w:t>existen</w:t>
      </w:r>
      <w:r w:rsidR="001F0BA1" w:rsidRPr="009F5860">
        <w:rPr>
          <w:rFonts w:eastAsia="Calibri"/>
          <w:color w:val="auto"/>
        </w:rPr>
        <w:t xml:space="preserve"> una variedad</w:t>
      </w:r>
      <w:r w:rsidR="00F537D7" w:rsidRPr="009F5860">
        <w:rPr>
          <w:rFonts w:eastAsia="Calibri"/>
          <w:color w:val="auto"/>
        </w:rPr>
        <w:t xml:space="preserve"> </w:t>
      </w:r>
      <w:r w:rsidRPr="009F5860">
        <w:rPr>
          <w:rFonts w:eastAsia="Calibri"/>
          <w:color w:val="auto"/>
        </w:rPr>
        <w:t xml:space="preserve">de </w:t>
      </w:r>
      <w:r w:rsidR="00F537D7" w:rsidRPr="009F5860">
        <w:rPr>
          <w:rFonts w:eastAsia="Calibri"/>
          <w:color w:val="auto"/>
        </w:rPr>
        <w:t xml:space="preserve">obras públicas </w:t>
      </w:r>
      <w:r w:rsidR="009B5641" w:rsidRPr="009F5860">
        <w:rPr>
          <w:rFonts w:eastAsia="Calibri"/>
          <w:color w:val="auto"/>
        </w:rPr>
        <w:t>regidas por este tipo de documentos</w:t>
      </w:r>
      <w:r w:rsidRPr="009F5860">
        <w:rPr>
          <w:rFonts w:eastAsia="Calibri"/>
          <w:color w:val="auto"/>
        </w:rPr>
        <w:t>,</w:t>
      </w:r>
      <w:r w:rsidR="001F4A87" w:rsidRPr="009F5860">
        <w:rPr>
          <w:rFonts w:eastAsia="Calibri"/>
          <w:color w:val="auto"/>
        </w:rPr>
        <w:t xml:space="preserve"> siendo este uno de los objetos que las entidades estatales más suelen contratar, demandando </w:t>
      </w:r>
      <w:r w:rsidR="0094506A" w:rsidRPr="009F5860">
        <w:rPr>
          <w:rFonts w:eastAsia="Calibri"/>
          <w:color w:val="auto"/>
        </w:rPr>
        <w:t xml:space="preserve">además </w:t>
      </w:r>
      <w:r w:rsidR="001F4A87" w:rsidRPr="009F5860">
        <w:rPr>
          <w:rFonts w:eastAsia="Calibri"/>
          <w:color w:val="auto"/>
        </w:rPr>
        <w:t>una gran cantidad de recursos</w:t>
      </w:r>
      <w:r w:rsidR="00FB5F56" w:rsidRPr="009F5860">
        <w:rPr>
          <w:rFonts w:eastAsia="Calibri"/>
          <w:color w:val="auto"/>
        </w:rPr>
        <w:t xml:space="preserve"> públicos</w:t>
      </w:r>
      <w:r w:rsidR="001F4A87" w:rsidRPr="009F5860">
        <w:rPr>
          <w:rFonts w:eastAsia="Calibri"/>
          <w:color w:val="auto"/>
        </w:rPr>
        <w:t>.</w:t>
      </w:r>
      <w:r w:rsidRPr="009F5860">
        <w:rPr>
          <w:rFonts w:eastAsia="Calibri"/>
          <w:color w:val="auto"/>
        </w:rPr>
        <w:t xml:space="preserve"> </w:t>
      </w:r>
      <w:r w:rsidR="001F4A87" w:rsidRPr="009F5860">
        <w:rPr>
          <w:rFonts w:eastAsia="Calibri"/>
          <w:color w:val="auto"/>
        </w:rPr>
        <w:t>Es</w:t>
      </w:r>
      <w:r w:rsidR="0010115C" w:rsidRPr="009F5860">
        <w:rPr>
          <w:rFonts w:eastAsia="Calibri"/>
          <w:color w:val="auto"/>
        </w:rPr>
        <w:t xml:space="preserve"> por esto</w:t>
      </w:r>
      <w:r w:rsidR="00664E56" w:rsidRPr="009F5860">
        <w:rPr>
          <w:rFonts w:eastAsia="Calibri"/>
          <w:color w:val="auto"/>
        </w:rPr>
        <w:t xml:space="preserve"> </w:t>
      </w:r>
      <w:proofErr w:type="gramStart"/>
      <w:r w:rsidR="00664E56" w:rsidRPr="009F5860">
        <w:rPr>
          <w:rFonts w:eastAsia="Calibri"/>
          <w:color w:val="auto"/>
        </w:rPr>
        <w:t>que</w:t>
      </w:r>
      <w:proofErr w:type="gramEnd"/>
      <w:r w:rsidR="0010115C" w:rsidRPr="009F5860">
        <w:rPr>
          <w:rFonts w:eastAsia="Calibri"/>
          <w:color w:val="auto"/>
        </w:rPr>
        <w:t xml:space="preserve"> </w:t>
      </w:r>
      <w:r w:rsidR="001F4A87" w:rsidRPr="009F5860">
        <w:rPr>
          <w:rFonts w:eastAsia="Calibri"/>
          <w:color w:val="auto"/>
        </w:rPr>
        <w:t xml:space="preserve">hasta ahora </w:t>
      </w:r>
      <w:r w:rsidR="0010115C" w:rsidRPr="009F5860">
        <w:rPr>
          <w:rFonts w:eastAsia="Calibri"/>
          <w:color w:val="auto"/>
        </w:rPr>
        <w:t xml:space="preserve">se han </w:t>
      </w:r>
      <w:r w:rsidR="001F4A87" w:rsidRPr="009F5860">
        <w:rPr>
          <w:rFonts w:eastAsia="Calibri"/>
          <w:color w:val="auto"/>
        </w:rPr>
        <w:t>expedido</w:t>
      </w:r>
      <w:r w:rsidR="0010115C" w:rsidRPr="009F5860">
        <w:rPr>
          <w:rFonts w:eastAsia="Calibri"/>
          <w:color w:val="auto"/>
        </w:rPr>
        <w:t xml:space="preserve"> documentos tipo que</w:t>
      </w:r>
      <w:r w:rsidR="001F4A87" w:rsidRPr="009F5860">
        <w:rPr>
          <w:rFonts w:eastAsia="Calibri"/>
          <w:color w:val="auto"/>
        </w:rPr>
        <w:t xml:space="preserve"> </w:t>
      </w:r>
      <w:r w:rsidR="0094506A" w:rsidRPr="009F5860">
        <w:rPr>
          <w:rFonts w:eastAsia="Calibri"/>
          <w:color w:val="auto"/>
        </w:rPr>
        <w:t xml:space="preserve">abarcan obras públicas </w:t>
      </w:r>
      <w:r w:rsidR="001F0BA1" w:rsidRPr="009F5860">
        <w:rPr>
          <w:rFonts w:eastAsia="Calibri"/>
          <w:color w:val="auto"/>
        </w:rPr>
        <w:t xml:space="preserve">en </w:t>
      </w:r>
      <w:r w:rsidR="0010115C" w:rsidRPr="009F5860">
        <w:rPr>
          <w:rFonts w:eastAsia="Calibri"/>
          <w:color w:val="auto"/>
        </w:rPr>
        <w:t xml:space="preserve">los sectores </w:t>
      </w:r>
      <w:r w:rsidR="001F0BA1" w:rsidRPr="009F5860">
        <w:rPr>
          <w:rFonts w:eastAsia="Calibri"/>
          <w:color w:val="auto"/>
        </w:rPr>
        <w:lastRenderedPageBreak/>
        <w:t xml:space="preserve">de </w:t>
      </w:r>
      <w:r w:rsidR="009B5641" w:rsidRPr="009F5860">
        <w:rPr>
          <w:rFonts w:eastAsia="Calibri"/>
          <w:color w:val="auto"/>
        </w:rPr>
        <w:t xml:space="preserve">infraestructura de transporte, </w:t>
      </w:r>
      <w:r w:rsidR="001F0BA1" w:rsidRPr="009F5860">
        <w:rPr>
          <w:rFonts w:eastAsia="Calibri"/>
          <w:color w:val="auto"/>
        </w:rPr>
        <w:t>i</w:t>
      </w:r>
      <w:r w:rsidR="009B5641" w:rsidRPr="009F5860">
        <w:rPr>
          <w:rFonts w:eastAsia="Calibri"/>
          <w:color w:val="auto"/>
        </w:rPr>
        <w:t>nfraestructura de agua potable</w:t>
      </w:r>
      <w:r w:rsidR="0094506A" w:rsidRPr="009F5860">
        <w:rPr>
          <w:rFonts w:eastAsia="Calibri"/>
          <w:color w:val="auto"/>
        </w:rPr>
        <w:t>,</w:t>
      </w:r>
      <w:r w:rsidR="009B5641" w:rsidRPr="009F5860">
        <w:rPr>
          <w:rFonts w:eastAsia="Calibri"/>
          <w:color w:val="auto"/>
        </w:rPr>
        <w:t xml:space="preserve"> saneamiento básico </w:t>
      </w:r>
      <w:r w:rsidR="001F0BA1" w:rsidRPr="009F5860">
        <w:rPr>
          <w:rFonts w:eastAsia="Calibri"/>
          <w:color w:val="auto"/>
        </w:rPr>
        <w:t xml:space="preserve">e </w:t>
      </w:r>
      <w:r w:rsidR="009B5641" w:rsidRPr="009F5860">
        <w:rPr>
          <w:rFonts w:eastAsia="Calibri"/>
          <w:color w:val="auto"/>
        </w:rPr>
        <w:t>infraestructura social</w:t>
      </w:r>
      <w:r w:rsidR="00664E56" w:rsidRPr="009F5860">
        <w:rPr>
          <w:rFonts w:eastAsia="Calibri"/>
          <w:color w:val="auto"/>
        </w:rPr>
        <w:t xml:space="preserve"> –educación, salud, cultura, recreación y deporte–</w:t>
      </w:r>
      <w:r w:rsidR="009B5641" w:rsidRPr="009F5860">
        <w:rPr>
          <w:rFonts w:eastAsia="Calibri"/>
          <w:color w:val="auto"/>
        </w:rPr>
        <w:t xml:space="preserve">. </w:t>
      </w:r>
      <w:r w:rsidR="0094506A" w:rsidRPr="009F5860">
        <w:rPr>
          <w:rFonts w:eastAsia="Calibri"/>
          <w:color w:val="auto"/>
        </w:rPr>
        <w:t xml:space="preserve">La expedición de documentos tipo para objetos y modalidades de contratación </w:t>
      </w:r>
      <w:r w:rsidR="001F0BA1" w:rsidRPr="009F5860">
        <w:rPr>
          <w:rFonts w:eastAsia="Calibri"/>
          <w:color w:val="auto"/>
        </w:rPr>
        <w:t xml:space="preserve">relacionados </w:t>
      </w:r>
      <w:r w:rsidR="00E1744A">
        <w:rPr>
          <w:rFonts w:eastAsia="Calibri"/>
          <w:color w:val="auto"/>
        </w:rPr>
        <w:t>con</w:t>
      </w:r>
      <w:r w:rsidR="0094506A" w:rsidRPr="009F5860">
        <w:rPr>
          <w:rFonts w:eastAsia="Calibri"/>
          <w:color w:val="auto"/>
        </w:rPr>
        <w:t xml:space="preserve"> estos sectores</w:t>
      </w:r>
      <w:r w:rsidR="009B5641" w:rsidRPr="009F5860">
        <w:rPr>
          <w:rFonts w:eastAsia="Calibri"/>
          <w:color w:val="auto"/>
        </w:rPr>
        <w:t xml:space="preserve">, </w:t>
      </w:r>
      <w:r w:rsidR="0094506A" w:rsidRPr="009F5860">
        <w:rPr>
          <w:rFonts w:eastAsia="Calibri"/>
          <w:color w:val="auto"/>
        </w:rPr>
        <w:t>supone la</w:t>
      </w:r>
      <w:r w:rsidR="009B5641" w:rsidRPr="009F5860">
        <w:rPr>
          <w:rFonts w:eastAsia="Calibri"/>
          <w:color w:val="auto"/>
        </w:rPr>
        <w:t xml:space="preserve"> aplica</w:t>
      </w:r>
      <w:r w:rsidR="0094506A" w:rsidRPr="009F5860">
        <w:rPr>
          <w:rFonts w:eastAsia="Calibri"/>
          <w:color w:val="auto"/>
        </w:rPr>
        <w:t>ción forzosa de</w:t>
      </w:r>
      <w:r w:rsidR="009B5641" w:rsidRPr="009F5860">
        <w:rPr>
          <w:rFonts w:eastAsia="Calibri"/>
          <w:color w:val="auto"/>
        </w:rPr>
        <w:t xml:space="preserve"> las reglas</w:t>
      </w:r>
      <w:r w:rsidR="001F0BA1" w:rsidRPr="009F5860">
        <w:rPr>
          <w:rFonts w:eastAsia="Calibri"/>
          <w:color w:val="auto"/>
        </w:rPr>
        <w:t xml:space="preserve"> y criterios establecidos en su contenido</w:t>
      </w:r>
      <w:r w:rsidR="009B5641" w:rsidRPr="009F5860">
        <w:rPr>
          <w:rFonts w:eastAsia="Calibri"/>
          <w:color w:val="auto"/>
        </w:rPr>
        <w:t xml:space="preserve"> </w:t>
      </w:r>
      <w:r w:rsidR="001F0BA1" w:rsidRPr="009F5860">
        <w:rPr>
          <w:rFonts w:eastAsia="Calibri"/>
          <w:color w:val="auto"/>
        </w:rPr>
        <w:t>para desarrollar el proceso de contratación</w:t>
      </w:r>
      <w:r w:rsidRPr="009F5860">
        <w:rPr>
          <w:rStyle w:val="Refdenotaalpie"/>
          <w:rFonts w:eastAsia="Calibri"/>
          <w:color w:val="auto"/>
        </w:rPr>
        <w:footnoteReference w:id="11"/>
      </w:r>
      <w:r w:rsidR="001F0BA1" w:rsidRPr="009F5860">
        <w:rPr>
          <w:rFonts w:eastAsia="Calibri"/>
          <w:color w:val="auto"/>
        </w:rPr>
        <w:t xml:space="preserve">. </w:t>
      </w:r>
    </w:p>
    <w:bookmarkEnd w:id="0"/>
    <w:p w14:paraId="540F61B7" w14:textId="58B71828" w:rsidR="005E57D6" w:rsidRPr="009F5860" w:rsidRDefault="001F0BA1" w:rsidP="003B42A6">
      <w:pPr>
        <w:pStyle w:val="Normal11pt"/>
        <w:spacing w:before="120" w:line="276" w:lineRule="auto"/>
        <w:ind w:left="0" w:firstLine="709"/>
        <w:rPr>
          <w:shd w:val="clear" w:color="auto" w:fill="FFFFFF"/>
          <w:lang w:eastAsia="es-ES_tradnl"/>
        </w:rPr>
      </w:pPr>
      <w:r w:rsidRPr="009F5860">
        <w:rPr>
          <w:rFonts w:eastAsia="Calibri"/>
          <w:color w:val="auto"/>
        </w:rPr>
        <w:t xml:space="preserve">El contenido de estos documentos además se </w:t>
      </w:r>
      <w:r w:rsidR="00545362" w:rsidRPr="009F5860">
        <w:rPr>
          <w:rFonts w:eastAsia="Calibri"/>
          <w:color w:val="auto"/>
        </w:rPr>
        <w:t>rige</w:t>
      </w:r>
      <w:r w:rsidRPr="009F5860">
        <w:rPr>
          <w:rFonts w:eastAsia="Calibri"/>
          <w:color w:val="auto"/>
        </w:rPr>
        <w:t xml:space="preserve"> por una </w:t>
      </w:r>
      <w:r w:rsidR="009B5641" w:rsidRPr="009F5860">
        <w:rPr>
          <w:rFonts w:eastAsia="Calibri"/>
          <w:color w:val="auto"/>
        </w:rPr>
        <w:t xml:space="preserve">regla </w:t>
      </w:r>
      <w:proofErr w:type="gramStart"/>
      <w:r w:rsidR="009B5641" w:rsidRPr="009F5860">
        <w:rPr>
          <w:rFonts w:eastAsia="Calibri"/>
          <w:color w:val="auto"/>
        </w:rPr>
        <w:t>de  inalterabilidad</w:t>
      </w:r>
      <w:proofErr w:type="gramEnd"/>
      <w:r w:rsidRPr="009F5860">
        <w:rPr>
          <w:rFonts w:eastAsia="Calibri"/>
          <w:color w:val="auto"/>
        </w:rPr>
        <w:t>, la cual consiste</w:t>
      </w:r>
      <w:r w:rsidR="009B5641" w:rsidRPr="009F5860">
        <w:rPr>
          <w:rFonts w:eastAsia="Calibri"/>
          <w:color w:val="auto"/>
        </w:rPr>
        <w:t xml:space="preserve"> </w:t>
      </w:r>
      <w:r w:rsidR="005E57D6" w:rsidRPr="009F5860">
        <w:rPr>
          <w:shd w:val="clear" w:color="auto" w:fill="FFFFFF"/>
          <w:lang w:eastAsia="es-ES_tradnl"/>
        </w:rPr>
        <w:t>e</w:t>
      </w:r>
      <w:r w:rsidRPr="009F5860">
        <w:rPr>
          <w:shd w:val="clear" w:color="auto" w:fill="FFFFFF"/>
          <w:lang w:eastAsia="es-ES_tradnl"/>
        </w:rPr>
        <w:t>n</w:t>
      </w:r>
      <w:r w:rsidR="005E57D6" w:rsidRPr="009F5860">
        <w:rPr>
          <w:shd w:val="clear" w:color="auto" w:fill="FFFFFF"/>
          <w:lang w:eastAsia="es-ES_tradnl"/>
        </w:rPr>
        <w:t xml:space="preserve"> una prohibición</w:t>
      </w:r>
      <w:r w:rsidRPr="009F5860">
        <w:rPr>
          <w:shd w:val="clear" w:color="auto" w:fill="FFFFFF"/>
          <w:lang w:eastAsia="es-ES_tradnl"/>
        </w:rPr>
        <w:t xml:space="preserve"> dirigida a las entidades estatales, en virtud de la cual estas no pueden </w:t>
      </w:r>
      <w:r w:rsidR="005E57D6" w:rsidRPr="009F5860">
        <w:rPr>
          <w:shd w:val="clear" w:color="auto" w:fill="FFFFFF"/>
          <w:lang w:eastAsia="es-ES_tradnl"/>
        </w:rPr>
        <w:t xml:space="preserve">incluir o modificar en los </w:t>
      </w:r>
      <w:r w:rsidRPr="009F5860">
        <w:rPr>
          <w:shd w:val="clear" w:color="auto" w:fill="FFFFFF"/>
          <w:lang w:eastAsia="es-ES_tradnl"/>
        </w:rPr>
        <w:t>documentos del proceso</w:t>
      </w:r>
      <w:r w:rsidR="005E57D6" w:rsidRPr="009F5860">
        <w:rPr>
          <w:shd w:val="clear" w:color="auto" w:fill="FFFFFF"/>
          <w:lang w:eastAsia="es-ES_tradnl"/>
        </w:rPr>
        <w:t xml:space="preserve"> las condiciones habilitantes, los factores técnicos y económicos de escogencia y los sistemas de ponderación distintos a los señalados en los Documentos Tipo</w:t>
      </w:r>
      <w:r w:rsidRPr="009F5860">
        <w:rPr>
          <w:rStyle w:val="Refdenotaalpie"/>
          <w:shd w:val="clear" w:color="auto" w:fill="FFFFFF"/>
          <w:lang w:eastAsia="es-ES_tradnl"/>
        </w:rPr>
        <w:footnoteReference w:id="12"/>
      </w:r>
      <w:r w:rsidR="005E57D6" w:rsidRPr="009F5860">
        <w:rPr>
          <w:shd w:val="clear" w:color="auto" w:fill="FFFFFF"/>
          <w:lang w:eastAsia="es-ES_tradnl"/>
        </w:rPr>
        <w:t xml:space="preserve">. En consecuencia, las condiciones establecidas en dichos documentos son de obligatorio cumplimiento para las entidades sometidas al Estatuto General de Contratación de la Administración Pública que adelanten procesos que deban regirse por su contenido, </w:t>
      </w:r>
      <w:r w:rsidR="00594698" w:rsidRPr="009F5860">
        <w:rPr>
          <w:shd w:val="clear" w:color="auto" w:fill="FFFFFF"/>
          <w:lang w:eastAsia="es-ES_tradnl"/>
        </w:rPr>
        <w:t>quienes</w:t>
      </w:r>
      <w:r w:rsidR="005E57D6" w:rsidRPr="009F5860">
        <w:rPr>
          <w:shd w:val="clear" w:color="auto" w:fill="FFFFFF"/>
          <w:lang w:eastAsia="es-ES_tradnl"/>
        </w:rPr>
        <w:t xml:space="preserve"> no pueden variar los requisitos fijados en ellos</w:t>
      </w:r>
      <w:r w:rsidR="00FB5F56" w:rsidRPr="009F5860">
        <w:rPr>
          <w:shd w:val="clear" w:color="auto" w:fill="FFFFFF"/>
          <w:lang w:eastAsia="es-ES_tradnl"/>
        </w:rPr>
        <w:t>.</w:t>
      </w:r>
    </w:p>
    <w:p w14:paraId="6FA7D899" w14:textId="032692D9" w:rsidR="00FB5F56" w:rsidRPr="009F5860" w:rsidRDefault="003B42A6" w:rsidP="003B42A6">
      <w:pPr>
        <w:pStyle w:val="Normal11pt"/>
        <w:spacing w:before="120" w:line="276" w:lineRule="auto"/>
        <w:ind w:left="0"/>
        <w:rPr>
          <w:shd w:val="clear" w:color="auto" w:fill="FFFFFF"/>
          <w:lang w:eastAsia="es-ES_tradnl"/>
        </w:rPr>
      </w:pPr>
      <w:r w:rsidRPr="009F5860">
        <w:rPr>
          <w:shd w:val="clear" w:color="auto" w:fill="FFFFFF"/>
          <w:lang w:eastAsia="es-ES_tradnl"/>
        </w:rPr>
        <w:tab/>
        <w:t xml:space="preserve">En ese sentido, en </w:t>
      </w:r>
      <w:r w:rsidR="0010115C" w:rsidRPr="009F5860">
        <w:rPr>
          <w:shd w:val="clear" w:color="auto" w:fill="FFFFFF"/>
          <w:lang w:eastAsia="es-ES_tradnl"/>
        </w:rPr>
        <w:t>cuanto</w:t>
      </w:r>
      <w:r w:rsidRPr="009F5860">
        <w:rPr>
          <w:shd w:val="clear" w:color="auto" w:fill="FFFFFF"/>
          <w:lang w:eastAsia="es-ES_tradnl"/>
        </w:rPr>
        <w:t xml:space="preserve"> al papel de las entidades estatales </w:t>
      </w:r>
      <w:r w:rsidR="00594698" w:rsidRPr="009F5860">
        <w:rPr>
          <w:shd w:val="clear" w:color="auto" w:fill="FFFFFF"/>
          <w:lang w:eastAsia="es-ES_tradnl"/>
        </w:rPr>
        <w:t>en el desarrollo del proceso de contratación, la implementación de los documentos tipo</w:t>
      </w:r>
      <w:r w:rsidR="0094506A" w:rsidRPr="009F5860">
        <w:rPr>
          <w:shd w:val="clear" w:color="auto" w:fill="FFFFFF"/>
          <w:lang w:eastAsia="es-ES_tradnl"/>
        </w:rPr>
        <w:t xml:space="preserve"> obligatorios</w:t>
      </w:r>
      <w:r w:rsidR="00594698" w:rsidRPr="009F5860">
        <w:rPr>
          <w:shd w:val="clear" w:color="auto" w:fill="FFFFFF"/>
          <w:lang w:eastAsia="es-ES_tradnl"/>
        </w:rPr>
        <w:t xml:space="preserve"> se traduce en una ostensible reducción </w:t>
      </w:r>
      <w:r w:rsidR="00244285">
        <w:rPr>
          <w:shd w:val="clear" w:color="auto" w:fill="FFFFFF"/>
          <w:lang w:eastAsia="es-ES_tradnl"/>
        </w:rPr>
        <w:t xml:space="preserve">de </w:t>
      </w:r>
      <w:r w:rsidR="00594698" w:rsidRPr="009F5860">
        <w:rPr>
          <w:shd w:val="clear" w:color="auto" w:fill="FFFFFF"/>
          <w:lang w:eastAsia="es-ES_tradnl"/>
        </w:rPr>
        <w:t>su discrecionalidad para configurar los criterios de evaluación</w:t>
      </w:r>
      <w:r w:rsidR="00594698" w:rsidRPr="009F5860">
        <w:rPr>
          <w:rStyle w:val="Refdenotaalpie"/>
          <w:shd w:val="clear" w:color="auto" w:fill="FFFFFF"/>
          <w:lang w:eastAsia="es-ES_tradnl"/>
        </w:rPr>
        <w:footnoteReference w:id="13"/>
      </w:r>
      <w:r w:rsidR="00594698" w:rsidRPr="009F5860">
        <w:rPr>
          <w:shd w:val="clear" w:color="auto" w:fill="FFFFFF"/>
          <w:lang w:eastAsia="es-ES_tradnl"/>
        </w:rPr>
        <w:t>.</w:t>
      </w:r>
      <w:r w:rsidR="00FB5F56" w:rsidRPr="009F5860">
        <w:rPr>
          <w:shd w:val="clear" w:color="auto" w:fill="FFFFFF"/>
          <w:lang w:eastAsia="es-ES_tradnl"/>
        </w:rPr>
        <w:t xml:space="preserve"> Es</w:t>
      </w:r>
      <w:r w:rsidR="0010115C" w:rsidRPr="009F5860">
        <w:rPr>
          <w:shd w:val="clear" w:color="auto" w:fill="FFFFFF"/>
          <w:lang w:eastAsia="es-ES_tradnl"/>
        </w:rPr>
        <w:t>to</w:t>
      </w:r>
      <w:r w:rsidR="00FB5F56" w:rsidRPr="009F5860">
        <w:rPr>
          <w:shd w:val="clear" w:color="auto" w:fill="FFFFFF"/>
          <w:lang w:eastAsia="es-ES_tradnl"/>
        </w:rPr>
        <w:t xml:space="preserve"> </w:t>
      </w:r>
      <w:r w:rsidR="0010115C" w:rsidRPr="009F5860">
        <w:rPr>
          <w:shd w:val="clear" w:color="auto" w:fill="FFFFFF"/>
          <w:lang w:eastAsia="es-ES_tradnl"/>
        </w:rPr>
        <w:t xml:space="preserve">se </w:t>
      </w:r>
      <w:r w:rsidR="00FB5F56" w:rsidRPr="009F5860">
        <w:rPr>
          <w:shd w:val="clear" w:color="auto" w:fill="FFFFFF"/>
          <w:lang w:eastAsia="es-ES_tradnl"/>
        </w:rPr>
        <w:t xml:space="preserve">manifiesta, por ejemplo, en materia de factor de calidad, en que las entidades tienen vedado incluir factores de evaluación establecidos en el respectivo pliego tipo, </w:t>
      </w:r>
      <w:r w:rsidR="00244285">
        <w:rPr>
          <w:shd w:val="clear" w:color="auto" w:fill="FFFFFF"/>
          <w:lang w:eastAsia="es-ES_tradnl"/>
        </w:rPr>
        <w:t>pues</w:t>
      </w:r>
      <w:r w:rsidR="00FB5F56" w:rsidRPr="009F5860">
        <w:rPr>
          <w:shd w:val="clear" w:color="auto" w:fill="FFFFFF"/>
          <w:lang w:eastAsia="es-ES_tradnl"/>
        </w:rPr>
        <w:t xml:space="preserve"> esto supondría una desatención del carácter obligatorio de los documentos tipo expedidos por esta Agencia, derivado de lo dispuesto por el legislador en las Leyes 1882 y 2022 de 2020.  </w:t>
      </w:r>
    </w:p>
    <w:p w14:paraId="36703C9A" w14:textId="65DBB339" w:rsidR="00461578" w:rsidRPr="009F5860" w:rsidRDefault="00FB5F56" w:rsidP="003B42A6">
      <w:pPr>
        <w:pStyle w:val="Normal11pt"/>
        <w:spacing w:before="120" w:line="276" w:lineRule="auto"/>
        <w:ind w:left="0"/>
      </w:pPr>
      <w:r w:rsidRPr="009F5860">
        <w:rPr>
          <w:shd w:val="clear" w:color="auto" w:fill="FFFFFF"/>
          <w:lang w:eastAsia="es-ES_tradnl"/>
        </w:rPr>
        <w:tab/>
      </w:r>
      <w:r w:rsidR="0010115C" w:rsidRPr="009F5860">
        <w:rPr>
          <w:shd w:val="clear" w:color="auto" w:fill="FFFFFF"/>
          <w:lang w:eastAsia="es-ES_tradnl"/>
        </w:rPr>
        <w:t xml:space="preserve">Tal limitación para la configuración de criterios de evaluación, en lo que respecta al contenido </w:t>
      </w:r>
      <w:r w:rsidR="0010115C" w:rsidRPr="009F5860">
        <w:rPr>
          <w:i/>
          <w:iCs/>
        </w:rPr>
        <w:t>Guía para Procesos de Contratación de obra pública</w:t>
      </w:r>
      <w:r w:rsidR="00FF2096" w:rsidRPr="009F5860">
        <w:rPr>
          <w:i/>
          <w:iCs/>
        </w:rPr>
        <w:t xml:space="preserve">, </w:t>
      </w:r>
      <w:r w:rsidR="00FF2096" w:rsidRPr="009F5860">
        <w:t>permite ilustrar c</w:t>
      </w:r>
      <w:r w:rsidR="00244285">
        <w:t>ó</w:t>
      </w:r>
      <w:r w:rsidR="00FF2096" w:rsidRPr="009F5860">
        <w:t>mo la mayoría de las consideraciones de la guía han perdido</w:t>
      </w:r>
      <w:r w:rsidR="00244285">
        <w:t xml:space="preserve"> </w:t>
      </w:r>
      <w:r w:rsidR="00FF2096" w:rsidRPr="009F5860">
        <w:t xml:space="preserve">actualidad </w:t>
      </w:r>
      <w:r w:rsidR="00244285">
        <w:t>y aplicación por modificaciones en el marco jurídico</w:t>
      </w:r>
      <w:r w:rsidR="00FF2096" w:rsidRPr="009F5860">
        <w:t xml:space="preserve"> vigente</w:t>
      </w:r>
      <w:r w:rsidR="006908AF" w:rsidRPr="009F5860">
        <w:t xml:space="preserve">. Esto comoquiera que, en procesos de selección regidos por documentos tipo, no resultan aplicables las pautas formuladas en torno a los </w:t>
      </w:r>
      <w:r w:rsidR="006908AF" w:rsidRPr="009F5860">
        <w:lastRenderedPageBreak/>
        <w:t>criterios que se deben o no incluir para evaluar el factor de calidad, toda vez que aquí las entidades deben regirse por lo establecido en el documento tipo</w:t>
      </w:r>
      <w:r w:rsidR="0069743E" w:rsidRPr="009F5860">
        <w:rPr>
          <w:rStyle w:val="Refdenotaalpie"/>
        </w:rPr>
        <w:footnoteReference w:id="14"/>
      </w:r>
      <w:r w:rsidR="006908AF" w:rsidRPr="009F5860">
        <w:t xml:space="preserve">. </w:t>
      </w:r>
    </w:p>
    <w:p w14:paraId="3781C061" w14:textId="0D620393" w:rsidR="004C1C33" w:rsidRPr="009F5860" w:rsidRDefault="00461578" w:rsidP="003B42A6">
      <w:pPr>
        <w:pStyle w:val="Normal11pt"/>
        <w:spacing w:before="120" w:line="276" w:lineRule="auto"/>
        <w:ind w:left="0"/>
        <w:rPr>
          <w:shd w:val="clear" w:color="auto" w:fill="FFFFFF"/>
          <w:lang w:eastAsia="es-ES_tradnl"/>
        </w:rPr>
      </w:pPr>
      <w:r w:rsidRPr="009F5860">
        <w:tab/>
        <w:t xml:space="preserve">Debido a esto, en el entendido de que el contenido de la </w:t>
      </w:r>
      <w:r w:rsidRPr="009F5860">
        <w:rPr>
          <w:i/>
          <w:iCs/>
        </w:rPr>
        <w:t>Guía para Procesos de Contratación de obra pública</w:t>
      </w:r>
      <w:r w:rsidR="006908AF" w:rsidRPr="009F5860">
        <w:t xml:space="preserve"> </w:t>
      </w:r>
      <w:r w:rsidRPr="009F5860">
        <w:t>no se encuentra conforme al marco jurídico vigente, esta Agencia decidió retirar este instrumento de la oferta institucional de guías y manuales disponibles en la página web de la entidad</w:t>
      </w:r>
      <w:r w:rsidRPr="009F5860">
        <w:rPr>
          <w:rStyle w:val="Refdenotaalpie"/>
        </w:rPr>
        <w:footnoteReference w:id="15"/>
      </w:r>
      <w:r w:rsidRPr="009F5860">
        <w:t xml:space="preserve">. </w:t>
      </w:r>
      <w:r w:rsidR="00FF2096" w:rsidRPr="009F5860">
        <w:t xml:space="preserve"> </w:t>
      </w:r>
      <w:r w:rsidR="004708A3" w:rsidRPr="009F5860">
        <w:t>No obstante, en lo que respecta a la aplicación de los factores de evaluación establecidos en los documentos tipo, y en general sobre la aplicación de los mismo</w:t>
      </w:r>
      <w:r w:rsidR="009C16B3" w:rsidRPr="009F5860">
        <w:t>s</w:t>
      </w:r>
      <w:r w:rsidR="004708A3" w:rsidRPr="009F5860">
        <w:t>, Colombia Compra Eficiente ha venido desarrollando nuevas guías, como, por ejemplo</w:t>
      </w:r>
      <w:r w:rsidR="004C1C33" w:rsidRPr="009F5860">
        <w:t>:</w:t>
      </w:r>
      <w:r w:rsidR="004708A3" w:rsidRPr="009F5860">
        <w:t xml:space="preserve"> </w:t>
      </w:r>
      <w:r w:rsidR="004C1C33" w:rsidRPr="009F5860">
        <w:t xml:space="preserve">i) </w:t>
      </w:r>
      <w:r w:rsidR="0069743E" w:rsidRPr="009F5860">
        <w:t>la</w:t>
      </w:r>
      <w:r w:rsidR="004C1C33" w:rsidRPr="009F5860">
        <w:t xml:space="preserve"> </w:t>
      </w:r>
      <w:r w:rsidR="004C1C33" w:rsidRPr="00E74412">
        <w:rPr>
          <w:i/>
          <w:iCs/>
          <w:shd w:val="clear" w:color="auto" w:fill="FFFFFF"/>
          <w:lang w:eastAsia="es-ES_tradnl"/>
        </w:rPr>
        <w:t>Guía documentos tipo de licitación pública infraestructura de transporte,</w:t>
      </w:r>
      <w:r w:rsidR="004C1C33" w:rsidRPr="009F5860">
        <w:rPr>
          <w:i/>
          <w:iCs/>
          <w:shd w:val="clear" w:color="auto" w:fill="FFFFFF"/>
          <w:lang w:eastAsia="es-ES_tradnl"/>
        </w:rPr>
        <w:t xml:space="preserve"> </w:t>
      </w:r>
      <w:r w:rsidR="004C1C33" w:rsidRPr="00E74412">
        <w:rPr>
          <w:shd w:val="clear" w:color="auto" w:fill="FFFFFF"/>
          <w:lang w:eastAsia="es-ES_tradnl"/>
        </w:rPr>
        <w:t>ii)</w:t>
      </w:r>
      <w:r w:rsidR="004C1C33" w:rsidRPr="00E74412">
        <w:rPr>
          <w:i/>
          <w:iCs/>
          <w:shd w:val="clear" w:color="auto" w:fill="FFFFFF"/>
          <w:lang w:eastAsia="es-ES_tradnl"/>
        </w:rPr>
        <w:t xml:space="preserve"> </w:t>
      </w:r>
      <w:r w:rsidR="004C1C33" w:rsidRPr="009F5860">
        <w:rPr>
          <w:i/>
          <w:iCs/>
          <w:shd w:val="clear" w:color="auto" w:fill="FFFFFF"/>
          <w:lang w:eastAsia="es-ES_tradnl"/>
        </w:rPr>
        <w:t xml:space="preserve">la </w:t>
      </w:r>
      <w:r w:rsidR="004C1C33" w:rsidRPr="00E74412">
        <w:rPr>
          <w:i/>
          <w:iCs/>
          <w:shd w:val="clear" w:color="auto" w:fill="FFFFFF"/>
          <w:lang w:eastAsia="es-ES_tradnl"/>
        </w:rPr>
        <w:t>Guía documentos tipo de selección abreviada infraestructura de transporte versión</w:t>
      </w:r>
      <w:r w:rsidR="004C1C33" w:rsidRPr="009F5860">
        <w:rPr>
          <w:i/>
          <w:iCs/>
          <w:shd w:val="clear" w:color="auto" w:fill="FFFFFF"/>
          <w:lang w:eastAsia="es-ES_tradnl"/>
        </w:rPr>
        <w:t xml:space="preserve">, </w:t>
      </w:r>
      <w:r w:rsidR="004C1C33" w:rsidRPr="00E74412">
        <w:rPr>
          <w:shd w:val="clear" w:color="auto" w:fill="FFFFFF"/>
          <w:lang w:eastAsia="es-ES_tradnl"/>
        </w:rPr>
        <w:t>iii)</w:t>
      </w:r>
      <w:r w:rsidR="004C1C33" w:rsidRPr="009F5860">
        <w:t xml:space="preserve"> </w:t>
      </w:r>
      <w:r w:rsidR="0069743E" w:rsidRPr="009F5860">
        <w:t xml:space="preserve">la </w:t>
      </w:r>
      <w:r w:rsidR="004C1C33" w:rsidRPr="00E74412">
        <w:rPr>
          <w:i/>
          <w:iCs/>
          <w:shd w:val="clear" w:color="auto" w:fill="FFFFFF"/>
          <w:lang w:eastAsia="es-ES_tradnl"/>
        </w:rPr>
        <w:t>Guía de documentos tipo de mínima cuantía</w:t>
      </w:r>
      <w:r w:rsidR="004C1C33" w:rsidRPr="009F5860">
        <w:rPr>
          <w:i/>
          <w:iCs/>
          <w:shd w:val="clear" w:color="auto" w:fill="FFFFFF"/>
          <w:lang w:eastAsia="es-ES_tradnl"/>
        </w:rPr>
        <w:t>, y i</w:t>
      </w:r>
      <w:r w:rsidR="004C1C33" w:rsidRPr="00E74412">
        <w:rPr>
          <w:shd w:val="clear" w:color="auto" w:fill="FFFFFF"/>
          <w:lang w:eastAsia="es-ES_tradnl"/>
        </w:rPr>
        <w:t>v)</w:t>
      </w:r>
      <w:r w:rsidR="0069743E" w:rsidRPr="009F5860">
        <w:rPr>
          <w:shd w:val="clear" w:color="auto" w:fill="FFFFFF"/>
          <w:lang w:eastAsia="es-ES_tradnl"/>
        </w:rPr>
        <w:t xml:space="preserve"> la</w:t>
      </w:r>
      <w:r w:rsidR="004C1C33" w:rsidRPr="009F5860">
        <w:rPr>
          <w:i/>
          <w:iCs/>
          <w:shd w:val="clear" w:color="auto" w:fill="FFFFFF"/>
          <w:lang w:eastAsia="es-ES_tradnl"/>
        </w:rPr>
        <w:t xml:space="preserve"> Guía para la comprensión e implementación de los Documentos Tipo de obra pública de infraestructura de transporte bajo las diferentes modalidades de contratación vigentes, </w:t>
      </w:r>
      <w:r w:rsidR="004C1C33" w:rsidRPr="009F5860">
        <w:rPr>
          <w:shd w:val="clear" w:color="auto" w:fill="FFFFFF"/>
          <w:lang w:eastAsia="es-ES_tradnl"/>
        </w:rPr>
        <w:t xml:space="preserve">todas estas disponibles en el portal web de la Agencia. </w:t>
      </w:r>
    </w:p>
    <w:p w14:paraId="5E97ED22" w14:textId="3950B1DB" w:rsidR="00FC0CA5" w:rsidRPr="009F5860" w:rsidRDefault="00BC51F1" w:rsidP="00E74412">
      <w:pPr>
        <w:spacing w:before="120" w:line="276" w:lineRule="auto"/>
        <w:ind w:firstLine="709"/>
        <w:jc w:val="both"/>
        <w:rPr>
          <w:rFonts w:ascii="Arial" w:hAnsi="Arial" w:cs="Arial"/>
          <w:color w:val="000000"/>
          <w:sz w:val="22"/>
          <w:szCs w:val="22"/>
        </w:rPr>
      </w:pPr>
      <w:r>
        <w:rPr>
          <w:rFonts w:ascii="Arial" w:hAnsi="Arial" w:cs="Arial"/>
          <w:color w:val="000000"/>
          <w:sz w:val="22"/>
          <w:szCs w:val="22"/>
        </w:rPr>
        <w:t>Por tanto</w:t>
      </w:r>
      <w:r w:rsidR="005E57D6" w:rsidRPr="009F5860">
        <w:rPr>
          <w:rFonts w:ascii="Arial" w:hAnsi="Arial" w:cs="Arial"/>
          <w:color w:val="000000"/>
          <w:sz w:val="22"/>
          <w:szCs w:val="22"/>
        </w:rPr>
        <w:t xml:space="preserve">, </w:t>
      </w:r>
      <w:r w:rsidR="00676C2D" w:rsidRPr="009F5860">
        <w:rPr>
          <w:rFonts w:ascii="Arial" w:hAnsi="Arial" w:cs="Arial"/>
          <w:color w:val="000000"/>
          <w:sz w:val="22"/>
          <w:szCs w:val="22"/>
        </w:rPr>
        <w:t>p</w:t>
      </w:r>
      <w:r w:rsidR="005E57D6" w:rsidRPr="009F5860">
        <w:rPr>
          <w:rFonts w:ascii="Arial" w:hAnsi="Arial" w:cs="Arial"/>
          <w:color w:val="000000"/>
          <w:sz w:val="22"/>
          <w:szCs w:val="22"/>
        </w:rPr>
        <w:t>a</w:t>
      </w:r>
      <w:r w:rsidR="00676C2D" w:rsidRPr="009F5860">
        <w:rPr>
          <w:rFonts w:ascii="Arial" w:hAnsi="Arial" w:cs="Arial"/>
          <w:color w:val="000000"/>
          <w:sz w:val="22"/>
          <w:szCs w:val="22"/>
        </w:rPr>
        <w:t>ra</w:t>
      </w:r>
      <w:r w:rsidR="005E57D6" w:rsidRPr="009F5860">
        <w:rPr>
          <w:rFonts w:ascii="Arial" w:hAnsi="Arial" w:cs="Arial"/>
          <w:color w:val="000000"/>
          <w:sz w:val="22"/>
          <w:szCs w:val="22"/>
        </w:rPr>
        <w:t xml:space="preserve"> efectos </w:t>
      </w:r>
      <w:r w:rsidR="005463B4" w:rsidRPr="009F5860">
        <w:rPr>
          <w:rFonts w:ascii="Arial" w:hAnsi="Arial" w:cs="Arial"/>
          <w:color w:val="000000"/>
          <w:sz w:val="22"/>
          <w:szCs w:val="22"/>
        </w:rPr>
        <w:t>de</w:t>
      </w:r>
      <w:r w:rsidR="00676C2D" w:rsidRPr="009F5860">
        <w:rPr>
          <w:rFonts w:ascii="Arial" w:hAnsi="Arial" w:cs="Arial"/>
          <w:color w:val="000000"/>
          <w:sz w:val="22"/>
          <w:szCs w:val="22"/>
        </w:rPr>
        <w:t xml:space="preserve"> responder</w:t>
      </w:r>
      <w:r w:rsidR="005463B4" w:rsidRPr="009F5860">
        <w:rPr>
          <w:rFonts w:ascii="Arial" w:hAnsi="Arial" w:cs="Arial"/>
          <w:color w:val="000000"/>
          <w:sz w:val="22"/>
          <w:szCs w:val="22"/>
        </w:rPr>
        <w:t xml:space="preserve"> su consulta, es posible c</w:t>
      </w:r>
      <w:r w:rsidR="005E57D6" w:rsidRPr="009F5860">
        <w:rPr>
          <w:rFonts w:ascii="Arial" w:hAnsi="Arial" w:cs="Arial"/>
          <w:color w:val="000000"/>
          <w:sz w:val="22"/>
          <w:szCs w:val="22"/>
        </w:rPr>
        <w:t>oncluir</w:t>
      </w:r>
      <w:r w:rsidR="00034765" w:rsidRPr="009F5860">
        <w:rPr>
          <w:rFonts w:ascii="Arial" w:hAnsi="Arial" w:cs="Arial"/>
          <w:color w:val="000000"/>
          <w:sz w:val="22"/>
          <w:szCs w:val="22"/>
        </w:rPr>
        <w:t xml:space="preserve">, por un lado, que la </w:t>
      </w:r>
      <w:r w:rsidR="00034765" w:rsidRPr="009F5860">
        <w:rPr>
          <w:rFonts w:ascii="Arial" w:hAnsi="Arial" w:cs="Arial"/>
          <w:i/>
          <w:iCs/>
          <w:color w:val="000000"/>
          <w:sz w:val="22"/>
          <w:szCs w:val="22"/>
        </w:rPr>
        <w:t>Guía para Procesos de Contratación de obra pública</w:t>
      </w:r>
      <w:r w:rsidR="00034765" w:rsidRPr="009F5860">
        <w:rPr>
          <w:rFonts w:ascii="Arial" w:hAnsi="Arial" w:cs="Arial"/>
          <w:color w:val="000000"/>
          <w:sz w:val="22"/>
          <w:szCs w:val="22"/>
        </w:rPr>
        <w:t xml:space="preserve">, no tienen carácter obligatorio o vinculante, </w:t>
      </w:r>
      <w:r>
        <w:rPr>
          <w:rFonts w:ascii="Arial" w:hAnsi="Arial" w:cs="Arial"/>
          <w:color w:val="000000"/>
          <w:sz w:val="22"/>
          <w:szCs w:val="22"/>
        </w:rPr>
        <w:t>pues</w:t>
      </w:r>
      <w:r w:rsidR="00034765" w:rsidRPr="009F5860">
        <w:rPr>
          <w:rFonts w:ascii="Arial" w:hAnsi="Arial" w:cs="Arial"/>
          <w:color w:val="000000"/>
          <w:sz w:val="22"/>
          <w:szCs w:val="22"/>
        </w:rPr>
        <w:t xml:space="preserve"> no cumple con el referido criterio sustantivo, toda vez que dicha guía no fue expedida en virtud de ninguna competencia </w:t>
      </w:r>
      <w:r>
        <w:rPr>
          <w:rFonts w:ascii="Arial" w:hAnsi="Arial" w:cs="Arial"/>
          <w:color w:val="000000"/>
          <w:sz w:val="22"/>
          <w:szCs w:val="22"/>
        </w:rPr>
        <w:t xml:space="preserve">legal o reglamentaria </w:t>
      </w:r>
      <w:r w:rsidR="00034765" w:rsidRPr="009F5860">
        <w:rPr>
          <w:rFonts w:ascii="Arial" w:hAnsi="Arial" w:cs="Arial"/>
          <w:color w:val="000000"/>
          <w:sz w:val="22"/>
          <w:szCs w:val="22"/>
        </w:rPr>
        <w:t xml:space="preserve">específica para adoptarla, por lo que no constituye un acto administrativo de carácter general de carácter obligatorio. De otra parte, </w:t>
      </w:r>
      <w:r w:rsidR="00FC0CA5" w:rsidRPr="009F5860">
        <w:rPr>
          <w:rFonts w:ascii="Arial" w:hAnsi="Arial" w:cs="Arial"/>
          <w:color w:val="000000"/>
          <w:sz w:val="22"/>
          <w:szCs w:val="22"/>
        </w:rPr>
        <w:t>la</w:t>
      </w:r>
      <w:r w:rsidR="00034765" w:rsidRPr="009F5860">
        <w:rPr>
          <w:rFonts w:ascii="Arial" w:hAnsi="Arial" w:cs="Arial"/>
          <w:color w:val="000000"/>
          <w:sz w:val="22"/>
          <w:szCs w:val="22"/>
        </w:rPr>
        <w:t xml:space="preserve"> ausencia de fuerza vin</w:t>
      </w:r>
      <w:r w:rsidR="00FC0CA5" w:rsidRPr="009F5860">
        <w:rPr>
          <w:rFonts w:ascii="Arial" w:hAnsi="Arial" w:cs="Arial"/>
          <w:color w:val="000000"/>
          <w:sz w:val="22"/>
          <w:szCs w:val="22"/>
        </w:rPr>
        <w:t>culante</w:t>
      </w:r>
      <w:r w:rsidR="00034765" w:rsidRPr="009F5860">
        <w:rPr>
          <w:rFonts w:ascii="Arial" w:hAnsi="Arial" w:cs="Arial"/>
          <w:color w:val="000000"/>
          <w:sz w:val="22"/>
          <w:szCs w:val="22"/>
        </w:rPr>
        <w:t xml:space="preserve"> </w:t>
      </w:r>
      <w:r w:rsidR="00FC0CA5" w:rsidRPr="009F5860">
        <w:rPr>
          <w:rFonts w:ascii="Arial" w:hAnsi="Arial" w:cs="Arial"/>
          <w:color w:val="000000"/>
          <w:sz w:val="22"/>
          <w:szCs w:val="22"/>
        </w:rPr>
        <w:t xml:space="preserve">de las pautas de la referida guía –especialmente de las del literal B del numeral IV– en la actualidad también se sustenta en el cambio de marco jurídico ocurrido de manera sobreviniente a su expedición, </w:t>
      </w:r>
      <w:r w:rsidR="00F06CDD">
        <w:rPr>
          <w:rFonts w:ascii="Arial" w:hAnsi="Arial" w:cs="Arial"/>
          <w:color w:val="000000"/>
          <w:sz w:val="22"/>
          <w:szCs w:val="22"/>
        </w:rPr>
        <w:t>como consecuencia</w:t>
      </w:r>
      <w:r w:rsidR="00FC0CA5" w:rsidRPr="009F5860">
        <w:rPr>
          <w:rFonts w:ascii="Arial" w:hAnsi="Arial" w:cs="Arial"/>
          <w:color w:val="000000"/>
          <w:sz w:val="22"/>
          <w:szCs w:val="22"/>
        </w:rPr>
        <w:t xml:space="preserve"> de la implementación de los documentos tipo obligatorios</w:t>
      </w:r>
      <w:r w:rsidR="00F06CDD">
        <w:rPr>
          <w:rFonts w:ascii="Arial" w:hAnsi="Arial" w:cs="Arial"/>
          <w:color w:val="000000"/>
          <w:sz w:val="22"/>
          <w:szCs w:val="22"/>
        </w:rPr>
        <w:t>, con ocasión de la expedición de las Leyes 1882 de 2018 y 2022 de 2020.</w:t>
      </w:r>
    </w:p>
    <w:p w14:paraId="41102AC4" w14:textId="77777777" w:rsidR="0004470C" w:rsidRPr="009F5860" w:rsidRDefault="0004470C" w:rsidP="007A48A1">
      <w:pPr>
        <w:jc w:val="both"/>
        <w:rPr>
          <w:rFonts w:ascii="Arial" w:eastAsia="Calibri" w:hAnsi="Arial" w:cs="Arial"/>
          <w:bCs/>
          <w:sz w:val="22"/>
          <w:szCs w:val="22"/>
          <w:lang w:val="es-MX"/>
        </w:rPr>
      </w:pPr>
    </w:p>
    <w:p w14:paraId="1C1BEAFF" w14:textId="77777777" w:rsidR="003C7067" w:rsidRPr="009F5860" w:rsidRDefault="003C7067" w:rsidP="003C7067">
      <w:pPr>
        <w:tabs>
          <w:tab w:val="left" w:pos="709"/>
        </w:tabs>
        <w:spacing w:line="276" w:lineRule="auto"/>
        <w:jc w:val="both"/>
        <w:rPr>
          <w:rFonts w:ascii="Arial" w:eastAsia="Calibri" w:hAnsi="Arial" w:cs="Arial"/>
          <w:b/>
          <w:sz w:val="22"/>
          <w:szCs w:val="22"/>
          <w:lang w:val="es-ES"/>
        </w:rPr>
      </w:pPr>
      <w:r w:rsidRPr="009F5860">
        <w:rPr>
          <w:rFonts w:ascii="Arial" w:eastAsia="Calibri" w:hAnsi="Arial" w:cs="Arial"/>
          <w:b/>
          <w:sz w:val="22"/>
          <w:szCs w:val="22"/>
          <w:lang w:val="es-ES"/>
        </w:rPr>
        <w:t>3. Respuesta</w:t>
      </w:r>
    </w:p>
    <w:p w14:paraId="7612FEFE" w14:textId="77777777" w:rsidR="003C7067" w:rsidRPr="009F5860" w:rsidRDefault="003C7067" w:rsidP="003C7067">
      <w:pPr>
        <w:tabs>
          <w:tab w:val="left" w:pos="709"/>
        </w:tabs>
        <w:spacing w:line="276" w:lineRule="auto"/>
        <w:ind w:left="709" w:right="709"/>
        <w:jc w:val="both"/>
        <w:rPr>
          <w:rFonts w:ascii="Arial" w:eastAsia="Calibri" w:hAnsi="Arial" w:cs="Arial"/>
          <w:b/>
          <w:sz w:val="22"/>
          <w:szCs w:val="22"/>
          <w:lang w:val="es-ES"/>
        </w:rPr>
      </w:pPr>
    </w:p>
    <w:p w14:paraId="3274E17B" w14:textId="77777777" w:rsidR="00FC460F" w:rsidRPr="009F5860" w:rsidRDefault="00334B19" w:rsidP="00334B19">
      <w:pPr>
        <w:spacing w:line="276" w:lineRule="auto"/>
        <w:ind w:left="709" w:right="709"/>
        <w:jc w:val="both"/>
        <w:rPr>
          <w:rFonts w:ascii="Arial" w:hAnsi="Arial" w:cs="Arial"/>
          <w:color w:val="000000"/>
          <w:sz w:val="21"/>
          <w:szCs w:val="21"/>
        </w:rPr>
      </w:pPr>
      <w:r w:rsidRPr="009F5860">
        <w:rPr>
          <w:rFonts w:ascii="Arial" w:eastAsia="Calibri" w:hAnsi="Arial" w:cs="Arial"/>
          <w:sz w:val="21"/>
          <w:szCs w:val="21"/>
          <w:lang w:val="es-ES"/>
        </w:rPr>
        <w:t>«[…]</w:t>
      </w:r>
      <w:r w:rsidRPr="009F5860">
        <w:rPr>
          <w:rFonts w:ascii="Arial" w:hAnsi="Arial" w:cs="Arial"/>
          <w:color w:val="000000"/>
          <w:sz w:val="21"/>
          <w:szCs w:val="21"/>
        </w:rPr>
        <w:t xml:space="preserve"> me dirijo a ustedes con el fin de solicitarles me informen si los documentos expedidos por la Agencia Nacional de Contratación Pública –Colombia Compra Eficiente, ya sean circulares, guías o manuales son de obligatorio cumplimiento para las entidades que usan ya sea la plataforma SECOP II o estén obligados a contratar por la Ley 80 de 1.983</w:t>
      </w:r>
    </w:p>
    <w:p w14:paraId="4CCBA913" w14:textId="77777777" w:rsidR="00FC460F" w:rsidRPr="009F5860" w:rsidRDefault="00FC460F" w:rsidP="00FC460F">
      <w:pPr>
        <w:ind w:left="709" w:right="709"/>
        <w:jc w:val="both"/>
        <w:textAlignment w:val="baseline"/>
        <w:rPr>
          <w:rFonts w:ascii="Arial" w:hAnsi="Arial" w:cs="Arial"/>
          <w:color w:val="201F1E"/>
          <w:sz w:val="21"/>
          <w:szCs w:val="21"/>
        </w:rPr>
      </w:pPr>
      <w:r w:rsidRPr="009F5860">
        <w:rPr>
          <w:rFonts w:ascii="Arial" w:hAnsi="Arial" w:cs="Arial"/>
          <w:color w:val="201F1E"/>
          <w:sz w:val="21"/>
          <w:szCs w:val="21"/>
        </w:rPr>
        <w:t>En particular en el documento "Guía para Procesos de Contratación de obra pública" en el literal "</w:t>
      </w:r>
      <w:r w:rsidRPr="009F5860">
        <w:rPr>
          <w:rFonts w:ascii="Arial" w:hAnsi="Arial" w:cs="Arial"/>
          <w:color w:val="201F1E"/>
          <w:sz w:val="21"/>
          <w:szCs w:val="21"/>
          <w:bdr w:val="none" w:sz="0" w:space="0" w:color="auto" w:frame="1"/>
        </w:rPr>
        <w:t xml:space="preserve">B. Factor de calidad en la etapa de selección del Proceso </w:t>
      </w:r>
      <w:r w:rsidRPr="009F5860">
        <w:rPr>
          <w:rFonts w:ascii="Arial" w:hAnsi="Arial" w:cs="Arial"/>
          <w:color w:val="201F1E"/>
          <w:sz w:val="21"/>
          <w:szCs w:val="21"/>
          <w:bdr w:val="none" w:sz="0" w:space="0" w:color="auto" w:frame="1"/>
        </w:rPr>
        <w:lastRenderedPageBreak/>
        <w:t>de Contratación" en </w:t>
      </w:r>
      <w:r w:rsidRPr="009F5860">
        <w:rPr>
          <w:rFonts w:ascii="Arial" w:hAnsi="Arial" w:cs="Arial"/>
          <w:color w:val="201F1E"/>
          <w:sz w:val="21"/>
          <w:szCs w:val="21"/>
        </w:rPr>
        <w:t>la página 20 se establece que: Finalmente, la Entidades Estatales deben abstenerse de ponderar como calidad de la obra los siguientes</w:t>
      </w:r>
    </w:p>
    <w:p w14:paraId="3C2210D9" w14:textId="77777777" w:rsidR="00FC460F" w:rsidRPr="009F5860" w:rsidRDefault="00FC460F" w:rsidP="004963B0">
      <w:pPr>
        <w:ind w:left="709" w:right="709"/>
        <w:jc w:val="both"/>
        <w:textAlignment w:val="baseline"/>
        <w:rPr>
          <w:rFonts w:ascii="Arial" w:hAnsi="Arial" w:cs="Arial"/>
          <w:color w:val="201F1E"/>
          <w:sz w:val="21"/>
          <w:szCs w:val="21"/>
        </w:rPr>
      </w:pPr>
      <w:r w:rsidRPr="009F5860">
        <w:rPr>
          <w:rFonts w:ascii="Arial" w:hAnsi="Arial" w:cs="Arial"/>
          <w:color w:val="201F1E"/>
          <w:sz w:val="21"/>
          <w:szCs w:val="21"/>
        </w:rPr>
        <w:t>criterios: </w:t>
      </w:r>
    </w:p>
    <w:p w14:paraId="01ED3199" w14:textId="77777777" w:rsidR="00FC460F" w:rsidRPr="009F5860" w:rsidRDefault="00FC460F" w:rsidP="00FC460F">
      <w:pPr>
        <w:ind w:left="709" w:right="709"/>
        <w:jc w:val="both"/>
        <w:textAlignment w:val="baseline"/>
        <w:rPr>
          <w:rFonts w:ascii="Arial" w:hAnsi="Arial" w:cs="Arial"/>
          <w:color w:val="201F1E"/>
          <w:sz w:val="21"/>
          <w:szCs w:val="21"/>
        </w:rPr>
      </w:pPr>
      <w:r w:rsidRPr="009F5860">
        <w:rPr>
          <w:rFonts w:ascii="Arial" w:hAnsi="Arial" w:cs="Arial"/>
          <w:color w:val="201F1E"/>
          <w:sz w:val="21"/>
          <w:szCs w:val="21"/>
        </w:rPr>
        <w:t>Calificación de los programas de trabajo.</w:t>
      </w:r>
    </w:p>
    <w:p w14:paraId="0394691E" w14:textId="77777777" w:rsidR="00FC460F" w:rsidRPr="009F5860" w:rsidRDefault="00FC460F" w:rsidP="004963B0">
      <w:pPr>
        <w:ind w:left="709" w:right="709"/>
        <w:jc w:val="both"/>
        <w:textAlignment w:val="baseline"/>
        <w:rPr>
          <w:rFonts w:ascii="Arial" w:hAnsi="Arial" w:cs="Arial"/>
          <w:color w:val="201F1E"/>
          <w:sz w:val="21"/>
          <w:szCs w:val="21"/>
        </w:rPr>
      </w:pPr>
      <w:r w:rsidRPr="009F5860">
        <w:rPr>
          <w:rFonts w:ascii="Arial" w:hAnsi="Arial" w:cs="Arial"/>
          <w:color w:val="201F1E"/>
          <w:sz w:val="21"/>
          <w:szCs w:val="21"/>
        </w:rPr>
        <w:t>Cronograma de obra.</w:t>
      </w:r>
    </w:p>
    <w:p w14:paraId="6F914FA8" w14:textId="77777777" w:rsidR="00FC460F" w:rsidRPr="009F5860" w:rsidRDefault="00FC460F" w:rsidP="004963B0">
      <w:pPr>
        <w:ind w:left="709" w:right="709"/>
        <w:jc w:val="both"/>
        <w:textAlignment w:val="baseline"/>
        <w:rPr>
          <w:rFonts w:ascii="Arial" w:hAnsi="Arial" w:cs="Arial"/>
          <w:color w:val="201F1E"/>
          <w:sz w:val="21"/>
          <w:szCs w:val="21"/>
        </w:rPr>
      </w:pPr>
      <w:r w:rsidRPr="009F5860">
        <w:rPr>
          <w:rFonts w:ascii="Arial" w:hAnsi="Arial" w:cs="Arial"/>
          <w:color w:val="201F1E"/>
          <w:sz w:val="21"/>
          <w:szCs w:val="21"/>
        </w:rPr>
        <w:t>Programas de inversión.</w:t>
      </w:r>
    </w:p>
    <w:p w14:paraId="34A9D3DD" w14:textId="77777777" w:rsidR="00FC460F" w:rsidRPr="009F5860" w:rsidRDefault="00FC460F" w:rsidP="004963B0">
      <w:pPr>
        <w:ind w:left="709" w:right="709"/>
        <w:jc w:val="both"/>
        <w:textAlignment w:val="baseline"/>
        <w:rPr>
          <w:rFonts w:ascii="Arial" w:hAnsi="Arial" w:cs="Arial"/>
          <w:color w:val="201F1E"/>
          <w:sz w:val="21"/>
          <w:szCs w:val="21"/>
        </w:rPr>
      </w:pPr>
      <w:r w:rsidRPr="009F5860">
        <w:rPr>
          <w:rFonts w:ascii="Arial" w:hAnsi="Arial" w:cs="Arial"/>
          <w:color w:val="201F1E"/>
          <w:sz w:val="21"/>
          <w:szCs w:val="21"/>
        </w:rPr>
        <w:t xml:space="preserve">Diligenciamiento de los formatos de análisis de precios </w:t>
      </w:r>
      <w:proofErr w:type="gramStart"/>
      <w:r w:rsidRPr="009F5860">
        <w:rPr>
          <w:rFonts w:ascii="Arial" w:hAnsi="Arial" w:cs="Arial"/>
          <w:color w:val="201F1E"/>
          <w:sz w:val="21"/>
          <w:szCs w:val="21"/>
        </w:rPr>
        <w:t>unitarios  -</w:t>
      </w:r>
      <w:proofErr w:type="gramEnd"/>
      <w:r w:rsidRPr="009F5860">
        <w:rPr>
          <w:rFonts w:ascii="Arial" w:hAnsi="Arial" w:cs="Arial"/>
          <w:color w:val="201F1E"/>
          <w:sz w:val="21"/>
          <w:szCs w:val="21"/>
        </w:rPr>
        <w:t xml:space="preserve"> APU -.</w:t>
      </w:r>
    </w:p>
    <w:p w14:paraId="723188F1" w14:textId="77777777" w:rsidR="00FC460F" w:rsidRPr="009F5860" w:rsidRDefault="00FC460F" w:rsidP="004963B0">
      <w:pPr>
        <w:ind w:left="709" w:right="709"/>
        <w:jc w:val="both"/>
        <w:textAlignment w:val="baseline"/>
        <w:rPr>
          <w:rFonts w:ascii="Arial" w:hAnsi="Arial" w:cs="Arial"/>
          <w:color w:val="201F1E"/>
          <w:sz w:val="21"/>
          <w:szCs w:val="21"/>
        </w:rPr>
      </w:pPr>
      <w:r w:rsidRPr="009F5860">
        <w:rPr>
          <w:rFonts w:ascii="Arial" w:hAnsi="Arial" w:cs="Arial"/>
          <w:color w:val="201F1E"/>
          <w:sz w:val="21"/>
          <w:szCs w:val="21"/>
        </w:rPr>
        <w:t>Las calidades del personal (mayo</w:t>
      </w:r>
    </w:p>
    <w:p w14:paraId="715F8693" w14:textId="77777777" w:rsidR="00FC460F" w:rsidRPr="009F5860" w:rsidRDefault="00FC460F" w:rsidP="004963B0">
      <w:pPr>
        <w:ind w:left="709" w:right="709"/>
        <w:jc w:val="both"/>
        <w:textAlignment w:val="baseline"/>
        <w:rPr>
          <w:rFonts w:ascii="Arial" w:hAnsi="Arial" w:cs="Arial"/>
          <w:color w:val="201F1E"/>
          <w:sz w:val="21"/>
          <w:szCs w:val="21"/>
        </w:rPr>
      </w:pPr>
      <w:r w:rsidRPr="009F5860">
        <w:rPr>
          <w:rFonts w:ascii="Arial" w:hAnsi="Arial" w:cs="Arial"/>
          <w:color w:val="201F1E"/>
          <w:sz w:val="21"/>
          <w:szCs w:val="21"/>
        </w:rPr>
        <w:t>r tiempo de experiencia, mayores logros académicos o mayor </w:t>
      </w:r>
    </w:p>
    <w:p w14:paraId="78BAAD82" w14:textId="77777777" w:rsidR="00FC460F" w:rsidRPr="009F5860" w:rsidRDefault="00FC460F" w:rsidP="004963B0">
      <w:pPr>
        <w:ind w:left="709" w:right="709"/>
        <w:jc w:val="both"/>
        <w:textAlignment w:val="baseline"/>
        <w:rPr>
          <w:rFonts w:ascii="Arial" w:hAnsi="Arial" w:cs="Arial"/>
          <w:color w:val="201F1E"/>
          <w:sz w:val="21"/>
          <w:szCs w:val="21"/>
        </w:rPr>
      </w:pPr>
      <w:r w:rsidRPr="009F5860">
        <w:rPr>
          <w:rFonts w:ascii="Arial" w:hAnsi="Arial" w:cs="Arial"/>
          <w:color w:val="201F1E"/>
          <w:sz w:val="21"/>
          <w:szCs w:val="21"/>
        </w:rPr>
        <w:t>disponibilidad de tiempo).</w:t>
      </w:r>
    </w:p>
    <w:p w14:paraId="2C9F5B06" w14:textId="77777777" w:rsidR="00FC460F" w:rsidRPr="009F5860" w:rsidRDefault="00FC460F" w:rsidP="004963B0">
      <w:pPr>
        <w:ind w:left="709" w:right="709"/>
        <w:jc w:val="both"/>
        <w:textAlignment w:val="baseline"/>
        <w:rPr>
          <w:rFonts w:ascii="Arial" w:hAnsi="Arial" w:cs="Arial"/>
          <w:color w:val="201F1E"/>
          <w:sz w:val="21"/>
          <w:szCs w:val="21"/>
        </w:rPr>
      </w:pPr>
      <w:r w:rsidRPr="009F5860">
        <w:rPr>
          <w:rFonts w:ascii="Arial" w:hAnsi="Arial" w:cs="Arial"/>
          <w:color w:val="201F1E"/>
          <w:sz w:val="21"/>
          <w:szCs w:val="21"/>
        </w:rPr>
        <w:t>Sanciones o multas.</w:t>
      </w:r>
    </w:p>
    <w:p w14:paraId="7873C653" w14:textId="77777777" w:rsidR="00FC460F" w:rsidRPr="009F5860" w:rsidRDefault="00FC460F" w:rsidP="004963B0">
      <w:pPr>
        <w:ind w:left="709" w:right="709"/>
        <w:jc w:val="both"/>
        <w:textAlignment w:val="baseline"/>
        <w:rPr>
          <w:rFonts w:ascii="Arial" w:hAnsi="Arial" w:cs="Arial"/>
          <w:color w:val="201F1E"/>
          <w:sz w:val="21"/>
          <w:szCs w:val="21"/>
        </w:rPr>
      </w:pPr>
      <w:r w:rsidRPr="009F5860">
        <w:rPr>
          <w:rFonts w:ascii="Arial" w:hAnsi="Arial" w:cs="Arial"/>
          <w:color w:val="201F1E"/>
          <w:sz w:val="21"/>
          <w:szCs w:val="21"/>
        </w:rPr>
        <w:t>Apoyo a la industria nacional.</w:t>
      </w:r>
    </w:p>
    <w:p w14:paraId="0C8C537E" w14:textId="77777777" w:rsidR="00FC460F" w:rsidRPr="009F5860" w:rsidRDefault="00FC460F" w:rsidP="004963B0">
      <w:pPr>
        <w:ind w:left="709" w:right="709"/>
        <w:jc w:val="both"/>
        <w:textAlignment w:val="baseline"/>
        <w:rPr>
          <w:rFonts w:ascii="Arial" w:hAnsi="Arial" w:cs="Arial"/>
          <w:color w:val="201F1E"/>
          <w:sz w:val="21"/>
          <w:szCs w:val="21"/>
        </w:rPr>
      </w:pPr>
      <w:r w:rsidRPr="009F5860">
        <w:rPr>
          <w:rFonts w:ascii="Arial" w:hAnsi="Arial" w:cs="Arial"/>
          <w:color w:val="201F1E"/>
          <w:sz w:val="21"/>
          <w:szCs w:val="21"/>
        </w:rPr>
        <w:t>Cumplimiento de las especificaciones técnicas mínimas de la obra.</w:t>
      </w:r>
    </w:p>
    <w:p w14:paraId="7E6BCDA1" w14:textId="77777777" w:rsidR="00FC460F" w:rsidRPr="009F5860" w:rsidRDefault="00FC460F" w:rsidP="004963B0">
      <w:pPr>
        <w:ind w:left="709" w:right="709"/>
        <w:jc w:val="both"/>
        <w:textAlignment w:val="baseline"/>
        <w:rPr>
          <w:rFonts w:ascii="Arial" w:hAnsi="Arial" w:cs="Arial"/>
          <w:color w:val="201F1E"/>
          <w:sz w:val="21"/>
          <w:szCs w:val="21"/>
        </w:rPr>
      </w:pPr>
      <w:r w:rsidRPr="009F5860">
        <w:rPr>
          <w:rFonts w:ascii="Arial" w:hAnsi="Arial" w:cs="Arial"/>
          <w:color w:val="201F1E"/>
          <w:sz w:val="21"/>
          <w:szCs w:val="21"/>
        </w:rPr>
        <w:t>Programas de manejo ambiental obligatorios por el objeto a contratar.</w:t>
      </w:r>
    </w:p>
    <w:p w14:paraId="08BC96EC" w14:textId="77777777" w:rsidR="00FC460F" w:rsidRPr="009F5860" w:rsidRDefault="00FC460F" w:rsidP="004963B0">
      <w:pPr>
        <w:ind w:left="709" w:right="709"/>
        <w:jc w:val="both"/>
        <w:textAlignment w:val="baseline"/>
        <w:rPr>
          <w:rFonts w:ascii="Arial" w:hAnsi="Arial" w:cs="Arial"/>
          <w:color w:val="201F1E"/>
          <w:sz w:val="21"/>
          <w:szCs w:val="21"/>
        </w:rPr>
      </w:pPr>
      <w:r w:rsidRPr="009F5860">
        <w:rPr>
          <w:rFonts w:ascii="Arial" w:hAnsi="Arial" w:cs="Arial"/>
          <w:color w:val="201F1E"/>
          <w:sz w:val="21"/>
          <w:szCs w:val="21"/>
        </w:rPr>
        <w:t>Porcentaje solicitado como anticipo.</w:t>
      </w:r>
    </w:p>
    <w:p w14:paraId="35B7641F" w14:textId="62152DB2" w:rsidR="00334B19" w:rsidRPr="009F5860" w:rsidRDefault="00FC460F" w:rsidP="004963B0">
      <w:pPr>
        <w:ind w:left="709" w:right="709"/>
        <w:jc w:val="both"/>
        <w:textAlignment w:val="baseline"/>
        <w:rPr>
          <w:rFonts w:ascii="Arial" w:hAnsi="Arial" w:cs="Arial"/>
          <w:color w:val="201F1E"/>
          <w:sz w:val="21"/>
          <w:szCs w:val="21"/>
        </w:rPr>
      </w:pPr>
      <w:r w:rsidRPr="009F5860">
        <w:rPr>
          <w:rFonts w:ascii="Arial" w:hAnsi="Arial" w:cs="Arial"/>
          <w:color w:val="201F1E"/>
          <w:sz w:val="21"/>
          <w:szCs w:val="21"/>
        </w:rPr>
        <w:t>Visita de obra</w:t>
      </w:r>
      <w:r w:rsidRPr="009F5860">
        <w:rPr>
          <w:rFonts w:ascii="Arial" w:hAnsi="Arial" w:cs="Arial"/>
          <w:sz w:val="21"/>
          <w:szCs w:val="21"/>
          <w:lang w:val="es-ES"/>
        </w:rPr>
        <w:t>».</w:t>
      </w:r>
    </w:p>
    <w:p w14:paraId="4F48CFC8" w14:textId="07D55E3D" w:rsidR="0038422A" w:rsidRPr="009F5860" w:rsidRDefault="0038422A" w:rsidP="003C7067">
      <w:pPr>
        <w:spacing w:line="276" w:lineRule="auto"/>
        <w:jc w:val="both"/>
        <w:rPr>
          <w:rFonts w:ascii="Arial" w:hAnsi="Arial" w:cs="Arial"/>
          <w:color w:val="000000"/>
          <w:sz w:val="22"/>
          <w:szCs w:val="22"/>
          <w:shd w:val="clear" w:color="auto" w:fill="FFFFFF"/>
        </w:rPr>
      </w:pPr>
    </w:p>
    <w:p w14:paraId="3AF2FE64" w14:textId="1DE72AC8" w:rsidR="00CF4D94" w:rsidRPr="009F5860" w:rsidRDefault="0038422A" w:rsidP="00E74412">
      <w:pPr>
        <w:spacing w:after="120" w:line="276" w:lineRule="auto"/>
        <w:jc w:val="both"/>
        <w:rPr>
          <w:rFonts w:ascii="Arial" w:hAnsi="Arial" w:cs="Arial"/>
          <w:sz w:val="22"/>
          <w:szCs w:val="22"/>
        </w:rPr>
      </w:pPr>
      <w:r w:rsidRPr="009F5860">
        <w:rPr>
          <w:rFonts w:ascii="Arial" w:hAnsi="Arial" w:cs="Arial"/>
          <w:sz w:val="22"/>
          <w:szCs w:val="22"/>
        </w:rPr>
        <w:t xml:space="preserve">Con base </w:t>
      </w:r>
      <w:r w:rsidR="00290872" w:rsidRPr="009F5860">
        <w:rPr>
          <w:rFonts w:ascii="Arial" w:hAnsi="Arial" w:cs="Arial"/>
          <w:sz w:val="22"/>
          <w:szCs w:val="22"/>
        </w:rPr>
        <w:t xml:space="preserve">en las consideraciones </w:t>
      </w:r>
      <w:r w:rsidR="009C16B3" w:rsidRPr="009F5860">
        <w:rPr>
          <w:rFonts w:ascii="Arial" w:hAnsi="Arial" w:cs="Arial"/>
          <w:sz w:val="22"/>
          <w:szCs w:val="22"/>
        </w:rPr>
        <w:t>expuestas</w:t>
      </w:r>
      <w:r w:rsidR="00290872" w:rsidRPr="009F5860">
        <w:rPr>
          <w:rFonts w:ascii="Arial" w:hAnsi="Arial" w:cs="Arial"/>
          <w:sz w:val="22"/>
          <w:szCs w:val="22"/>
        </w:rPr>
        <w:t xml:space="preserve">, </w:t>
      </w:r>
      <w:r w:rsidR="00584231" w:rsidRPr="009F5860">
        <w:rPr>
          <w:rFonts w:ascii="Arial" w:hAnsi="Arial" w:cs="Arial"/>
          <w:sz w:val="22"/>
          <w:szCs w:val="22"/>
        </w:rPr>
        <w:t>es posible concluir que</w:t>
      </w:r>
      <w:r w:rsidR="00CF4D94" w:rsidRPr="009F5860">
        <w:rPr>
          <w:rFonts w:ascii="Arial" w:hAnsi="Arial" w:cs="Arial"/>
          <w:sz w:val="22"/>
          <w:szCs w:val="22"/>
        </w:rPr>
        <w:t xml:space="preserve"> esta Agencia ha expedido guías, manuales y circulares externas, los cuales pueden ser calificados como herramientas de apoyo a los partícipes de la contratación pública. Esto en la medida en que han sido formulados como instrumentos dirigidos a facilitar las compras y la contratación pública, promoviendo las mejores prácticas, la eficiencia, transparencia y competitividad</w:t>
      </w:r>
      <w:r w:rsidR="001F0BA1" w:rsidRPr="009F5860">
        <w:rPr>
          <w:rFonts w:ascii="Arial" w:hAnsi="Arial" w:cs="Arial"/>
          <w:sz w:val="22"/>
          <w:szCs w:val="22"/>
        </w:rPr>
        <w:t xml:space="preserve">, tales como, </w:t>
      </w:r>
      <w:r w:rsidR="001F0BA1" w:rsidRPr="009F5860">
        <w:rPr>
          <w:rFonts w:ascii="Arial" w:hAnsi="Arial" w:cs="Arial"/>
          <w:i/>
          <w:iCs/>
          <w:sz w:val="22"/>
          <w:szCs w:val="22"/>
        </w:rPr>
        <w:t>guías</w:t>
      </w:r>
      <w:r w:rsidR="001F0BA1" w:rsidRPr="00E74412">
        <w:rPr>
          <w:rFonts w:ascii="Arial" w:hAnsi="Arial" w:cs="Arial"/>
          <w:i/>
          <w:iCs/>
          <w:sz w:val="22"/>
          <w:szCs w:val="22"/>
        </w:rPr>
        <w:t xml:space="preserve">, manuales </w:t>
      </w:r>
      <w:r w:rsidR="001F0BA1" w:rsidRPr="009F5860">
        <w:rPr>
          <w:rFonts w:ascii="Arial" w:hAnsi="Arial" w:cs="Arial"/>
          <w:sz w:val="22"/>
          <w:szCs w:val="22"/>
        </w:rPr>
        <w:t>y</w:t>
      </w:r>
      <w:r w:rsidR="001F0BA1" w:rsidRPr="00E74412">
        <w:rPr>
          <w:rFonts w:ascii="Arial" w:hAnsi="Arial" w:cs="Arial"/>
          <w:i/>
          <w:iCs/>
          <w:sz w:val="22"/>
          <w:szCs w:val="22"/>
        </w:rPr>
        <w:t xml:space="preserve"> circulares.</w:t>
      </w:r>
    </w:p>
    <w:p w14:paraId="654C229E" w14:textId="0D42DF87" w:rsidR="001F0BA1" w:rsidRPr="009F5860" w:rsidRDefault="00155176" w:rsidP="00E74412">
      <w:pPr>
        <w:spacing w:before="120" w:after="120" w:line="276" w:lineRule="auto"/>
        <w:jc w:val="both"/>
        <w:rPr>
          <w:sz w:val="22"/>
          <w:szCs w:val="22"/>
        </w:rPr>
      </w:pPr>
      <w:r>
        <w:rPr>
          <w:rFonts w:ascii="Arial" w:hAnsi="Arial" w:cs="Arial"/>
          <w:sz w:val="22"/>
          <w:szCs w:val="22"/>
        </w:rPr>
        <w:tab/>
      </w:r>
      <w:r w:rsidR="00372146" w:rsidRPr="009F5860">
        <w:rPr>
          <w:rFonts w:ascii="Arial" w:hAnsi="Arial" w:cs="Arial"/>
          <w:sz w:val="22"/>
          <w:szCs w:val="22"/>
        </w:rPr>
        <w:t>De acuerdo con la jurisprudencia del Consejo de Estado, e</w:t>
      </w:r>
      <w:r w:rsidR="00063E22" w:rsidRPr="009F5860">
        <w:rPr>
          <w:rFonts w:ascii="Arial" w:hAnsi="Arial" w:cs="Arial"/>
          <w:sz w:val="22"/>
          <w:szCs w:val="22"/>
        </w:rPr>
        <w:t xml:space="preserve">l carácter </w:t>
      </w:r>
      <w:r w:rsidR="004A6DF7" w:rsidRPr="009F5860">
        <w:rPr>
          <w:rFonts w:ascii="Arial" w:hAnsi="Arial" w:cs="Arial"/>
          <w:sz w:val="22"/>
          <w:szCs w:val="22"/>
        </w:rPr>
        <w:t>vinculante de estos instrumentos</w:t>
      </w:r>
      <w:r w:rsidR="009C16B3" w:rsidRPr="009F5860">
        <w:rPr>
          <w:rFonts w:ascii="Arial" w:hAnsi="Arial" w:cs="Arial"/>
          <w:sz w:val="22"/>
          <w:szCs w:val="22"/>
        </w:rPr>
        <w:t xml:space="preserve"> </w:t>
      </w:r>
      <w:r w:rsidR="001F0BA1" w:rsidRPr="009F5860">
        <w:rPr>
          <w:rFonts w:ascii="Arial" w:hAnsi="Arial" w:cs="Arial"/>
          <w:sz w:val="22"/>
          <w:szCs w:val="22"/>
        </w:rPr>
        <w:t>está determinado por un</w:t>
      </w:r>
      <w:r w:rsidR="00584231" w:rsidRPr="009F5860">
        <w:rPr>
          <w:rFonts w:ascii="Arial" w:hAnsi="Arial" w:cs="Arial"/>
          <w:sz w:val="22"/>
          <w:szCs w:val="22"/>
        </w:rPr>
        <w:t xml:space="preserve"> criterio sustantivo o material</w:t>
      </w:r>
      <w:r w:rsidR="00F37E69" w:rsidRPr="009F5860">
        <w:rPr>
          <w:rFonts w:ascii="Arial" w:hAnsi="Arial" w:cs="Arial"/>
          <w:sz w:val="22"/>
          <w:szCs w:val="22"/>
        </w:rPr>
        <w:t>,</w:t>
      </w:r>
      <w:r w:rsidR="00584231" w:rsidRPr="009F5860">
        <w:rPr>
          <w:rFonts w:ascii="Arial" w:hAnsi="Arial" w:cs="Arial"/>
          <w:sz w:val="22"/>
          <w:szCs w:val="22"/>
        </w:rPr>
        <w:t xml:space="preserve"> </w:t>
      </w:r>
      <w:r w:rsidR="004A6DF7" w:rsidRPr="009F5860">
        <w:rPr>
          <w:rFonts w:ascii="Arial" w:hAnsi="Arial" w:cs="Arial"/>
          <w:sz w:val="22"/>
          <w:szCs w:val="22"/>
        </w:rPr>
        <w:t xml:space="preserve">según el cual </w:t>
      </w:r>
      <w:r w:rsidR="00F37E69" w:rsidRPr="009F5860">
        <w:rPr>
          <w:rFonts w:ascii="Arial" w:hAnsi="Arial" w:cs="Arial"/>
          <w:sz w:val="22"/>
          <w:szCs w:val="22"/>
        </w:rPr>
        <w:t xml:space="preserve">los </w:t>
      </w:r>
      <w:r w:rsidR="009C16B3" w:rsidRPr="00E74412">
        <w:rPr>
          <w:rFonts w:ascii="Arial" w:hAnsi="Arial" w:cs="Arial"/>
          <w:sz w:val="22"/>
          <w:szCs w:val="22"/>
        </w:rPr>
        <w:t>documentos</w:t>
      </w:r>
      <w:r w:rsidR="00F06CDD">
        <w:rPr>
          <w:rFonts w:ascii="Arial" w:hAnsi="Arial" w:cs="Arial"/>
          <w:sz w:val="22"/>
          <w:szCs w:val="22"/>
        </w:rPr>
        <w:t xml:space="preserve"> mencionados</w:t>
      </w:r>
      <w:r w:rsidR="009C16B3" w:rsidRPr="00E74412">
        <w:rPr>
          <w:rFonts w:ascii="Arial" w:hAnsi="Arial" w:cs="Arial"/>
          <w:sz w:val="22"/>
          <w:szCs w:val="22"/>
        </w:rPr>
        <w:t xml:space="preserve"> </w:t>
      </w:r>
      <w:r w:rsidR="009C16B3" w:rsidRPr="009F5860">
        <w:rPr>
          <w:rFonts w:ascii="Arial" w:hAnsi="Arial" w:cs="Arial"/>
          <w:sz w:val="22"/>
          <w:szCs w:val="22"/>
        </w:rPr>
        <w:t xml:space="preserve">son </w:t>
      </w:r>
      <w:r w:rsidR="009C16B3" w:rsidRPr="00E74412">
        <w:rPr>
          <w:rFonts w:ascii="Arial" w:hAnsi="Arial" w:cs="Arial"/>
          <w:sz w:val="22"/>
          <w:szCs w:val="22"/>
        </w:rPr>
        <w:t>obligatorios</w:t>
      </w:r>
      <w:r w:rsidR="009C16B3" w:rsidRPr="009F5860">
        <w:rPr>
          <w:rFonts w:ascii="Arial" w:hAnsi="Arial" w:cs="Arial"/>
          <w:i/>
          <w:iCs/>
          <w:sz w:val="22"/>
          <w:szCs w:val="22"/>
        </w:rPr>
        <w:t xml:space="preserve"> </w:t>
      </w:r>
      <w:r w:rsidR="009C16B3" w:rsidRPr="009F5860">
        <w:rPr>
          <w:rFonts w:ascii="Arial" w:hAnsi="Arial" w:cs="Arial"/>
          <w:sz w:val="22"/>
          <w:szCs w:val="22"/>
        </w:rPr>
        <w:t xml:space="preserve">siempre </w:t>
      </w:r>
      <w:proofErr w:type="gramStart"/>
      <w:r w:rsidR="009C16B3" w:rsidRPr="009F5860">
        <w:rPr>
          <w:rFonts w:ascii="Arial" w:hAnsi="Arial" w:cs="Arial"/>
          <w:sz w:val="22"/>
          <w:szCs w:val="22"/>
        </w:rPr>
        <w:t xml:space="preserve">que </w:t>
      </w:r>
      <w:r w:rsidR="004A6DF7" w:rsidRPr="009F5860">
        <w:rPr>
          <w:rFonts w:ascii="Arial" w:hAnsi="Arial" w:cs="Arial"/>
          <w:sz w:val="22"/>
          <w:szCs w:val="22"/>
        </w:rPr>
        <w:t xml:space="preserve"> sean</w:t>
      </w:r>
      <w:proofErr w:type="gramEnd"/>
      <w:r w:rsidR="004A6DF7" w:rsidRPr="009F5860">
        <w:rPr>
          <w:rFonts w:ascii="Arial" w:hAnsi="Arial" w:cs="Arial"/>
          <w:sz w:val="22"/>
          <w:szCs w:val="22"/>
        </w:rPr>
        <w:t xml:space="preserve"> expedidos </w:t>
      </w:r>
      <w:r w:rsidR="008E518E" w:rsidRPr="009F5860">
        <w:rPr>
          <w:rFonts w:ascii="Arial" w:hAnsi="Arial" w:cs="Arial"/>
          <w:sz w:val="22"/>
          <w:szCs w:val="22"/>
        </w:rPr>
        <w:t>con</w:t>
      </w:r>
      <w:r w:rsidR="00F37E69" w:rsidRPr="009F5860">
        <w:rPr>
          <w:rFonts w:ascii="Arial" w:hAnsi="Arial" w:cs="Arial"/>
          <w:sz w:val="22"/>
          <w:szCs w:val="22"/>
        </w:rPr>
        <w:t xml:space="preserve"> fundamento</w:t>
      </w:r>
      <w:r w:rsidR="008E518E" w:rsidRPr="009F5860">
        <w:rPr>
          <w:rFonts w:ascii="Arial" w:hAnsi="Arial" w:cs="Arial"/>
          <w:sz w:val="22"/>
          <w:szCs w:val="22"/>
        </w:rPr>
        <w:t xml:space="preserve"> en una norma de </w:t>
      </w:r>
      <w:r w:rsidR="00F37E69" w:rsidRPr="009F5860">
        <w:rPr>
          <w:rFonts w:ascii="Arial" w:hAnsi="Arial" w:cs="Arial"/>
          <w:sz w:val="22"/>
          <w:szCs w:val="22"/>
        </w:rPr>
        <w:t>rango legal o reglamentario</w:t>
      </w:r>
      <w:r w:rsidR="008E518E" w:rsidRPr="009F5860">
        <w:rPr>
          <w:rFonts w:ascii="Arial" w:hAnsi="Arial" w:cs="Arial"/>
          <w:sz w:val="22"/>
          <w:szCs w:val="22"/>
        </w:rPr>
        <w:t>,</w:t>
      </w:r>
      <w:r w:rsidR="00F37E69" w:rsidRPr="009F5860">
        <w:rPr>
          <w:rFonts w:ascii="Arial" w:hAnsi="Arial" w:cs="Arial"/>
          <w:sz w:val="22"/>
          <w:szCs w:val="22"/>
        </w:rPr>
        <w:t xml:space="preserve"> que </w:t>
      </w:r>
      <w:r w:rsidR="008E518E" w:rsidRPr="009F5860">
        <w:rPr>
          <w:rFonts w:ascii="Arial" w:hAnsi="Arial" w:cs="Arial"/>
          <w:sz w:val="22"/>
          <w:szCs w:val="22"/>
        </w:rPr>
        <w:t xml:space="preserve">otorgue </w:t>
      </w:r>
      <w:r w:rsidR="00F37E69" w:rsidRPr="009F5860">
        <w:rPr>
          <w:rFonts w:ascii="Arial" w:hAnsi="Arial" w:cs="Arial"/>
          <w:sz w:val="22"/>
          <w:szCs w:val="22"/>
        </w:rPr>
        <w:t>competencia a Colombia Compra Eficiente</w:t>
      </w:r>
      <w:r w:rsidR="009C16B3" w:rsidRPr="009F5860">
        <w:rPr>
          <w:rFonts w:ascii="Arial" w:hAnsi="Arial" w:cs="Arial"/>
          <w:sz w:val="22"/>
          <w:szCs w:val="22"/>
        </w:rPr>
        <w:t>. Esto</w:t>
      </w:r>
      <w:r w:rsidR="00F37E69" w:rsidRPr="009F5860">
        <w:rPr>
          <w:rFonts w:ascii="Arial" w:hAnsi="Arial" w:cs="Arial"/>
          <w:sz w:val="22"/>
          <w:szCs w:val="22"/>
        </w:rPr>
        <w:t xml:space="preserve"> </w:t>
      </w:r>
      <w:r w:rsidR="001D579D" w:rsidRPr="009F5860">
        <w:rPr>
          <w:rFonts w:ascii="Arial" w:hAnsi="Arial" w:cs="Arial"/>
          <w:sz w:val="22"/>
          <w:szCs w:val="22"/>
        </w:rPr>
        <w:t>debido a que</w:t>
      </w:r>
      <w:r w:rsidR="009F5860" w:rsidRPr="009F5860">
        <w:rPr>
          <w:rFonts w:ascii="Arial" w:hAnsi="Arial" w:cs="Arial"/>
          <w:sz w:val="22"/>
          <w:szCs w:val="22"/>
        </w:rPr>
        <w:t>,</w:t>
      </w:r>
      <w:r w:rsidR="001D579D" w:rsidRPr="009F5860">
        <w:rPr>
          <w:rFonts w:ascii="Arial" w:hAnsi="Arial" w:cs="Arial"/>
          <w:sz w:val="22"/>
          <w:szCs w:val="22"/>
        </w:rPr>
        <w:t xml:space="preserve"> atribuciones de competencia en este sentido permiten predicar del respectivo instrumento el elemento subjetivo del acto administrativo, encuadrándolo como </w:t>
      </w:r>
      <w:r w:rsidR="009F5860" w:rsidRPr="009F5860">
        <w:rPr>
          <w:rFonts w:ascii="Arial" w:hAnsi="Arial" w:cs="Arial"/>
          <w:sz w:val="22"/>
          <w:szCs w:val="22"/>
        </w:rPr>
        <w:t xml:space="preserve">un </w:t>
      </w:r>
      <w:r w:rsidR="00F37E69" w:rsidRPr="009F5860">
        <w:rPr>
          <w:rFonts w:ascii="Arial" w:hAnsi="Arial" w:cs="Arial"/>
          <w:sz w:val="22"/>
          <w:szCs w:val="22"/>
        </w:rPr>
        <w:t>acto administrativo</w:t>
      </w:r>
      <w:r w:rsidR="001D579D" w:rsidRPr="009F5860">
        <w:rPr>
          <w:rFonts w:ascii="Arial" w:hAnsi="Arial" w:cs="Arial"/>
          <w:sz w:val="22"/>
          <w:szCs w:val="22"/>
        </w:rPr>
        <w:t xml:space="preserve"> de carácter general con la función de desarrollar el marco jurídico al que se encuentra subordinad</w:t>
      </w:r>
      <w:r w:rsidR="009F5860" w:rsidRPr="009F5860">
        <w:rPr>
          <w:rFonts w:ascii="Arial" w:hAnsi="Arial" w:cs="Arial"/>
          <w:sz w:val="22"/>
          <w:szCs w:val="22"/>
        </w:rPr>
        <w:t>o</w:t>
      </w:r>
      <w:r w:rsidR="001D579D" w:rsidRPr="009F5860">
        <w:rPr>
          <w:rFonts w:ascii="Arial" w:hAnsi="Arial" w:cs="Arial"/>
          <w:sz w:val="22"/>
          <w:szCs w:val="22"/>
        </w:rPr>
        <w:t xml:space="preserve">, </w:t>
      </w:r>
      <w:r w:rsidR="00F37E69" w:rsidRPr="009F5860">
        <w:rPr>
          <w:rFonts w:ascii="Arial" w:hAnsi="Arial" w:cs="Arial"/>
          <w:sz w:val="22"/>
          <w:szCs w:val="22"/>
        </w:rPr>
        <w:t>de</w:t>
      </w:r>
      <w:r w:rsidR="001D579D" w:rsidRPr="009F5860">
        <w:rPr>
          <w:rFonts w:ascii="Arial" w:hAnsi="Arial" w:cs="Arial"/>
          <w:sz w:val="22"/>
          <w:szCs w:val="22"/>
        </w:rPr>
        <w:t xml:space="preserve"> lo que surge su carácter</w:t>
      </w:r>
      <w:r w:rsidR="00F37E69" w:rsidRPr="009F5860">
        <w:rPr>
          <w:rFonts w:ascii="Arial" w:hAnsi="Arial" w:cs="Arial"/>
          <w:sz w:val="22"/>
          <w:szCs w:val="22"/>
        </w:rPr>
        <w:t xml:space="preserve"> obligatorio. Este es el caso del manual de uso de los acuerdos marco de precios, los manuales y guías para la elaboración y actualización del plan anual de adquisiciones y el manual o guía para el uso del clasificador de bienes y servicios.</w:t>
      </w:r>
    </w:p>
    <w:p w14:paraId="20E47219" w14:textId="61EB9F42" w:rsidR="00F37E69" w:rsidRPr="009F5860" w:rsidRDefault="00F37E69" w:rsidP="00E74412">
      <w:pPr>
        <w:spacing w:before="120" w:after="120" w:line="276" w:lineRule="auto"/>
        <w:ind w:firstLine="708"/>
        <w:jc w:val="both"/>
        <w:rPr>
          <w:sz w:val="22"/>
          <w:szCs w:val="22"/>
        </w:rPr>
      </w:pPr>
      <w:r w:rsidRPr="00E74412">
        <w:rPr>
          <w:rFonts w:ascii="Arial" w:hAnsi="Arial" w:cs="Arial"/>
          <w:sz w:val="22"/>
          <w:szCs w:val="22"/>
        </w:rPr>
        <w:t xml:space="preserve">Distinto es el caso de los </w:t>
      </w:r>
      <w:r w:rsidR="008E518E" w:rsidRPr="00E74412">
        <w:rPr>
          <w:rFonts w:ascii="Arial" w:hAnsi="Arial" w:cs="Arial"/>
          <w:i/>
          <w:iCs/>
          <w:sz w:val="22"/>
          <w:szCs w:val="22"/>
        </w:rPr>
        <w:t>m</w:t>
      </w:r>
      <w:r w:rsidRPr="00E74412">
        <w:rPr>
          <w:rFonts w:ascii="Arial" w:hAnsi="Arial" w:cs="Arial"/>
          <w:i/>
          <w:iCs/>
          <w:sz w:val="22"/>
          <w:szCs w:val="22"/>
        </w:rPr>
        <w:t xml:space="preserve">anuales, </w:t>
      </w:r>
      <w:r w:rsidR="008E518E" w:rsidRPr="00E74412">
        <w:rPr>
          <w:rFonts w:ascii="Arial" w:hAnsi="Arial" w:cs="Arial"/>
          <w:i/>
          <w:iCs/>
          <w:sz w:val="22"/>
          <w:szCs w:val="22"/>
        </w:rPr>
        <w:t>g</w:t>
      </w:r>
      <w:r w:rsidRPr="00E74412">
        <w:rPr>
          <w:rFonts w:ascii="Arial" w:hAnsi="Arial" w:cs="Arial"/>
          <w:i/>
          <w:iCs/>
          <w:sz w:val="22"/>
          <w:szCs w:val="22"/>
        </w:rPr>
        <w:t xml:space="preserve">uías o </w:t>
      </w:r>
      <w:r w:rsidR="008E518E" w:rsidRPr="00E74412">
        <w:rPr>
          <w:rFonts w:ascii="Arial" w:hAnsi="Arial" w:cs="Arial"/>
          <w:i/>
          <w:iCs/>
          <w:sz w:val="22"/>
          <w:szCs w:val="22"/>
        </w:rPr>
        <w:t>c</w:t>
      </w:r>
      <w:r w:rsidRPr="00E74412">
        <w:rPr>
          <w:rFonts w:ascii="Arial" w:hAnsi="Arial" w:cs="Arial"/>
          <w:i/>
          <w:iCs/>
          <w:sz w:val="22"/>
          <w:szCs w:val="22"/>
        </w:rPr>
        <w:t>irculares</w:t>
      </w:r>
      <w:r w:rsidRPr="00E74412">
        <w:rPr>
          <w:rFonts w:ascii="Arial" w:hAnsi="Arial" w:cs="Arial"/>
          <w:sz w:val="22"/>
          <w:szCs w:val="22"/>
        </w:rPr>
        <w:t xml:space="preserve"> que se expid</w:t>
      </w:r>
      <w:r w:rsidR="008E518E" w:rsidRPr="00E74412">
        <w:rPr>
          <w:rFonts w:ascii="Arial" w:hAnsi="Arial" w:cs="Arial"/>
          <w:sz w:val="22"/>
          <w:szCs w:val="22"/>
        </w:rPr>
        <w:t>a</w:t>
      </w:r>
      <w:r w:rsidRPr="00E74412">
        <w:rPr>
          <w:rFonts w:ascii="Arial" w:hAnsi="Arial" w:cs="Arial"/>
          <w:sz w:val="22"/>
          <w:szCs w:val="22"/>
        </w:rPr>
        <w:t xml:space="preserve">n sin una competencia legal o reglamentaria, diferente de la genérica contenida en el Decreto Ley 4170 de 2011, que </w:t>
      </w:r>
      <w:r w:rsidR="008E518E" w:rsidRPr="00E74412">
        <w:rPr>
          <w:rFonts w:ascii="Arial" w:hAnsi="Arial" w:cs="Arial"/>
          <w:sz w:val="22"/>
          <w:szCs w:val="22"/>
        </w:rPr>
        <w:t>confiera a</w:t>
      </w:r>
      <w:r w:rsidRPr="00E74412">
        <w:rPr>
          <w:rFonts w:ascii="Arial" w:hAnsi="Arial" w:cs="Arial"/>
          <w:sz w:val="22"/>
          <w:szCs w:val="22"/>
        </w:rPr>
        <w:t xml:space="preserve"> esta</w:t>
      </w:r>
      <w:r w:rsidR="008E518E" w:rsidRPr="00E74412">
        <w:rPr>
          <w:rFonts w:ascii="Arial" w:hAnsi="Arial" w:cs="Arial"/>
          <w:sz w:val="22"/>
          <w:szCs w:val="22"/>
        </w:rPr>
        <w:t xml:space="preserve"> Agencia </w:t>
      </w:r>
      <w:r w:rsidR="009F5860" w:rsidRPr="009F5860">
        <w:rPr>
          <w:rFonts w:ascii="Arial" w:hAnsi="Arial" w:cs="Arial"/>
          <w:sz w:val="22"/>
          <w:szCs w:val="22"/>
        </w:rPr>
        <w:t>la facultad</w:t>
      </w:r>
      <w:r w:rsidR="009F5860" w:rsidRPr="00E74412">
        <w:rPr>
          <w:rFonts w:ascii="Arial" w:hAnsi="Arial" w:cs="Arial"/>
          <w:sz w:val="22"/>
          <w:szCs w:val="22"/>
        </w:rPr>
        <w:t xml:space="preserve"> </w:t>
      </w:r>
      <w:r w:rsidR="008E518E" w:rsidRPr="00E74412">
        <w:rPr>
          <w:rFonts w:ascii="Arial" w:hAnsi="Arial" w:cs="Arial"/>
          <w:sz w:val="22"/>
          <w:szCs w:val="22"/>
        </w:rPr>
        <w:t xml:space="preserve">para </w:t>
      </w:r>
      <w:r w:rsidRPr="00E74412">
        <w:rPr>
          <w:rFonts w:ascii="Arial" w:hAnsi="Arial" w:cs="Arial"/>
          <w:sz w:val="22"/>
          <w:szCs w:val="22"/>
        </w:rPr>
        <w:t xml:space="preserve">su adopción, como ocurre con los manuales y guías para la identificación y cobertura del riesgo, </w:t>
      </w:r>
      <w:r w:rsidR="009F5860" w:rsidRPr="009F5860">
        <w:rPr>
          <w:rFonts w:ascii="Arial" w:hAnsi="Arial" w:cs="Arial"/>
          <w:sz w:val="22"/>
          <w:szCs w:val="22"/>
        </w:rPr>
        <w:t xml:space="preserve">la </w:t>
      </w:r>
      <w:r w:rsidRPr="00E74412">
        <w:rPr>
          <w:rFonts w:ascii="Arial" w:hAnsi="Arial" w:cs="Arial"/>
          <w:sz w:val="22"/>
          <w:szCs w:val="22"/>
        </w:rPr>
        <w:t>guía para la determinación de la capacidad residual</w:t>
      </w:r>
      <w:r w:rsidR="008E518E" w:rsidRPr="00E74412">
        <w:rPr>
          <w:rFonts w:ascii="Arial" w:hAnsi="Arial" w:cs="Arial"/>
          <w:sz w:val="22"/>
          <w:szCs w:val="22"/>
        </w:rPr>
        <w:t xml:space="preserve"> o la guía para procesos de contratación de obra pública. </w:t>
      </w:r>
      <w:r w:rsidRPr="00E74412">
        <w:rPr>
          <w:rFonts w:ascii="Arial" w:hAnsi="Arial" w:cs="Arial"/>
          <w:sz w:val="22"/>
          <w:szCs w:val="22"/>
        </w:rPr>
        <w:t>Estos instrumentos o herramientas quedan en el ámbito de normas de apoyo y de buenas prácticas para los partícipes del Sistema de Compra Pública, de donde no se puede derivar obligatoriedad.</w:t>
      </w:r>
    </w:p>
    <w:p w14:paraId="1A615D36" w14:textId="27498CA8" w:rsidR="00AD027E" w:rsidRPr="009F5860" w:rsidRDefault="00F37E69" w:rsidP="008E518E">
      <w:pPr>
        <w:spacing w:before="120" w:after="120" w:line="276" w:lineRule="auto"/>
        <w:ind w:firstLine="708"/>
        <w:jc w:val="both"/>
        <w:rPr>
          <w:rFonts w:ascii="Arial" w:eastAsia="Arial" w:hAnsi="Arial" w:cs="Arial"/>
          <w:sz w:val="22"/>
          <w:szCs w:val="22"/>
          <w:lang w:val="es-ES" w:eastAsia="en-US"/>
        </w:rPr>
      </w:pPr>
      <w:r w:rsidRPr="009F5860">
        <w:rPr>
          <w:rFonts w:ascii="Arial" w:eastAsia="Arial" w:hAnsi="Arial" w:cs="Arial"/>
          <w:sz w:val="22"/>
          <w:szCs w:val="22"/>
          <w:lang w:val="es-ES" w:eastAsia="en-US"/>
        </w:rPr>
        <w:lastRenderedPageBreak/>
        <w:t xml:space="preserve">De este modo, </w:t>
      </w:r>
      <w:r w:rsidR="004A0C2B" w:rsidRPr="009F5860">
        <w:rPr>
          <w:rFonts w:ascii="Arial" w:eastAsia="Arial" w:hAnsi="Arial" w:cs="Arial"/>
          <w:sz w:val="22"/>
          <w:szCs w:val="22"/>
          <w:lang w:val="es-ES" w:eastAsia="en-US"/>
        </w:rPr>
        <w:t>queda claro que la obligatoriedad de las herramientas normativas expedidas por Colombia Compra Eficiente no depende de la forma mediante la cual se adopten, pues guías, manuales o circulares podrán ser de obligatoria observancia o de mera pauta para fomentar buenas prácticas administrativas, dependiendo de si existe una norma de rango legal o reglamentario, diferente de la general del Decreto 4170 de 2011, que confiera la competencia para regular determinado aspecto de la contratación estatal. Si la competencia no proviene de la ley o el reglamento, sin importar que se trate de una guía, un manual o una circular externa, no producirá efectos jurídicos y su función estará limitada a dar orientaciones o a reproducir normas, esto es, no tendrá fuerza obligatoria y, en consecuencia, no será vinculante para sus destinatarios, con independencia del nombre que tenga.</w:t>
      </w:r>
    </w:p>
    <w:p w14:paraId="2B6333D1" w14:textId="51525F0F" w:rsidR="00E93DD3" w:rsidRPr="009F5860" w:rsidRDefault="00E93DD3" w:rsidP="008E518E">
      <w:pPr>
        <w:spacing w:before="120" w:after="120" w:line="276" w:lineRule="auto"/>
        <w:ind w:firstLine="708"/>
        <w:jc w:val="both"/>
        <w:rPr>
          <w:rFonts w:ascii="Arial" w:hAnsi="Arial" w:cs="Arial"/>
          <w:color w:val="201F1E"/>
          <w:sz w:val="22"/>
          <w:szCs w:val="22"/>
          <w:bdr w:val="none" w:sz="0" w:space="0" w:color="auto" w:frame="1"/>
        </w:rPr>
      </w:pPr>
      <w:r w:rsidRPr="009F5860">
        <w:rPr>
          <w:rFonts w:ascii="Arial" w:eastAsia="Arial" w:hAnsi="Arial" w:cs="Arial"/>
          <w:sz w:val="22"/>
          <w:szCs w:val="22"/>
          <w:lang w:val="es-ES" w:eastAsia="en-US"/>
        </w:rPr>
        <w:t>De acuerdo con esto</w:t>
      </w:r>
      <w:r w:rsidR="004A0C2B" w:rsidRPr="009F5860">
        <w:rPr>
          <w:rFonts w:ascii="Arial" w:eastAsia="Arial" w:hAnsi="Arial" w:cs="Arial"/>
          <w:sz w:val="22"/>
          <w:szCs w:val="22"/>
          <w:lang w:val="es-ES" w:eastAsia="en-US"/>
        </w:rPr>
        <w:t xml:space="preserve">, </w:t>
      </w:r>
      <w:r w:rsidRPr="009F5860">
        <w:rPr>
          <w:rFonts w:ascii="Arial" w:eastAsia="Arial" w:hAnsi="Arial" w:cs="Arial"/>
          <w:sz w:val="22"/>
          <w:szCs w:val="22"/>
          <w:lang w:val="es-ES" w:eastAsia="en-US"/>
        </w:rPr>
        <w:t>en cuanto a</w:t>
      </w:r>
      <w:r w:rsidR="00521AC0">
        <w:rPr>
          <w:rFonts w:ascii="Arial" w:eastAsia="Arial" w:hAnsi="Arial" w:cs="Arial"/>
          <w:sz w:val="22"/>
          <w:szCs w:val="22"/>
          <w:lang w:val="es-ES" w:eastAsia="en-US"/>
        </w:rPr>
        <w:t>l</w:t>
      </w:r>
      <w:r w:rsidRPr="009F5860">
        <w:rPr>
          <w:rFonts w:ascii="Arial" w:eastAsia="Arial" w:hAnsi="Arial" w:cs="Arial"/>
          <w:sz w:val="22"/>
          <w:szCs w:val="22"/>
          <w:lang w:val="es-ES" w:eastAsia="en-US"/>
        </w:rPr>
        <w:t xml:space="preserve"> </w:t>
      </w:r>
      <w:r w:rsidR="001F0BA1" w:rsidRPr="009F5860">
        <w:rPr>
          <w:rFonts w:ascii="Arial" w:eastAsia="Arial" w:hAnsi="Arial" w:cs="Arial"/>
          <w:sz w:val="22"/>
          <w:szCs w:val="22"/>
          <w:lang w:val="es-ES" w:eastAsia="en-US"/>
        </w:rPr>
        <w:t>in</w:t>
      </w:r>
      <w:r w:rsidR="00521AC0">
        <w:rPr>
          <w:rFonts w:ascii="Arial" w:eastAsia="Arial" w:hAnsi="Arial" w:cs="Arial"/>
          <w:sz w:val="22"/>
          <w:szCs w:val="22"/>
          <w:lang w:val="es-ES" w:eastAsia="en-US"/>
        </w:rPr>
        <w:t>terrogante</w:t>
      </w:r>
      <w:r w:rsidR="001F0BA1" w:rsidRPr="009F5860">
        <w:rPr>
          <w:rFonts w:ascii="Arial" w:hAnsi="Arial" w:cs="Arial"/>
          <w:color w:val="000000"/>
          <w:sz w:val="22"/>
          <w:szCs w:val="22"/>
          <w:shd w:val="clear" w:color="auto" w:fill="FFFFFF"/>
        </w:rPr>
        <w:t xml:space="preserve"> </w:t>
      </w:r>
      <w:r w:rsidR="007A09E8" w:rsidRPr="009F5860">
        <w:rPr>
          <w:rFonts w:ascii="Arial" w:hAnsi="Arial" w:cs="Arial"/>
          <w:color w:val="000000"/>
          <w:sz w:val="22"/>
          <w:szCs w:val="22"/>
          <w:shd w:val="clear" w:color="auto" w:fill="FFFFFF"/>
        </w:rPr>
        <w:t>específica</w:t>
      </w:r>
      <w:r w:rsidRPr="009F5860">
        <w:rPr>
          <w:rFonts w:ascii="Arial" w:hAnsi="Arial" w:cs="Arial"/>
          <w:color w:val="000000"/>
          <w:sz w:val="22"/>
          <w:szCs w:val="22"/>
          <w:shd w:val="clear" w:color="auto" w:fill="FFFFFF"/>
        </w:rPr>
        <w:t>mente relacionad</w:t>
      </w:r>
      <w:r w:rsidR="00521AC0">
        <w:rPr>
          <w:rFonts w:ascii="Arial" w:hAnsi="Arial" w:cs="Arial"/>
          <w:color w:val="000000"/>
          <w:sz w:val="22"/>
          <w:szCs w:val="22"/>
          <w:shd w:val="clear" w:color="auto" w:fill="FFFFFF"/>
        </w:rPr>
        <w:t>o</w:t>
      </w:r>
      <w:r w:rsidR="00FC460F" w:rsidRPr="009F5860">
        <w:rPr>
          <w:rFonts w:ascii="Arial" w:hAnsi="Arial" w:cs="Arial"/>
          <w:color w:val="000000"/>
          <w:sz w:val="22"/>
          <w:szCs w:val="22"/>
          <w:shd w:val="clear" w:color="auto" w:fill="FFFFFF"/>
        </w:rPr>
        <w:t xml:space="preserve"> sobre </w:t>
      </w:r>
      <w:r w:rsidR="001F0BA1" w:rsidRPr="009F5860">
        <w:rPr>
          <w:rFonts w:ascii="Arial" w:hAnsi="Arial" w:cs="Arial"/>
          <w:color w:val="000000"/>
          <w:sz w:val="22"/>
          <w:szCs w:val="22"/>
          <w:shd w:val="clear" w:color="auto" w:fill="FFFFFF"/>
        </w:rPr>
        <w:t xml:space="preserve">el alcance de </w:t>
      </w:r>
      <w:r w:rsidR="00FC460F" w:rsidRPr="009F5860">
        <w:rPr>
          <w:rFonts w:ascii="Arial" w:hAnsi="Arial" w:cs="Arial"/>
          <w:color w:val="000000"/>
          <w:sz w:val="22"/>
          <w:szCs w:val="22"/>
          <w:shd w:val="clear" w:color="auto" w:fill="FFFFFF"/>
        </w:rPr>
        <w:t>l</w:t>
      </w:r>
      <w:r w:rsidR="001F0BA1" w:rsidRPr="009F5860">
        <w:rPr>
          <w:rFonts w:ascii="Arial" w:hAnsi="Arial" w:cs="Arial"/>
          <w:color w:val="000000"/>
          <w:sz w:val="22"/>
          <w:szCs w:val="22"/>
          <w:shd w:val="clear" w:color="auto" w:fill="FFFFFF"/>
        </w:rPr>
        <w:t xml:space="preserve">o dispuesto en </w:t>
      </w:r>
      <w:r w:rsidR="001F0BA1" w:rsidRPr="009F5860">
        <w:rPr>
          <w:rFonts w:ascii="Arial" w:hAnsi="Arial" w:cs="Arial"/>
          <w:color w:val="201F1E"/>
          <w:sz w:val="22"/>
          <w:szCs w:val="22"/>
        </w:rPr>
        <w:t xml:space="preserve">el numeral IV, literal </w:t>
      </w:r>
      <w:proofErr w:type="gramStart"/>
      <w:r w:rsidR="001F0BA1" w:rsidRPr="009F5860">
        <w:rPr>
          <w:rFonts w:ascii="Arial" w:hAnsi="Arial" w:cs="Arial"/>
          <w:color w:val="201F1E"/>
          <w:sz w:val="22"/>
          <w:szCs w:val="22"/>
          <w:bdr w:val="none" w:sz="0" w:space="0" w:color="auto" w:frame="1"/>
        </w:rPr>
        <w:t>B</w:t>
      </w:r>
      <w:r w:rsidR="001F0BA1" w:rsidRPr="009F5860" w:rsidDel="001F0BA1">
        <w:rPr>
          <w:rFonts w:ascii="Arial" w:hAnsi="Arial" w:cs="Arial"/>
          <w:color w:val="000000"/>
          <w:sz w:val="22"/>
          <w:szCs w:val="22"/>
          <w:shd w:val="clear" w:color="auto" w:fill="FFFFFF"/>
        </w:rPr>
        <w:t xml:space="preserve"> </w:t>
      </w:r>
      <w:r w:rsidR="001F0BA1" w:rsidRPr="009F5860">
        <w:rPr>
          <w:rFonts w:ascii="Arial" w:hAnsi="Arial" w:cs="Arial"/>
          <w:color w:val="000000"/>
          <w:sz w:val="22"/>
          <w:szCs w:val="22"/>
          <w:shd w:val="clear" w:color="auto" w:fill="FFFFFF"/>
        </w:rPr>
        <w:t xml:space="preserve"> de</w:t>
      </w:r>
      <w:proofErr w:type="gramEnd"/>
      <w:r w:rsidR="001F0BA1" w:rsidRPr="009F5860">
        <w:rPr>
          <w:rFonts w:ascii="Arial" w:hAnsi="Arial" w:cs="Arial"/>
          <w:color w:val="000000"/>
          <w:sz w:val="22"/>
          <w:szCs w:val="22"/>
          <w:shd w:val="clear" w:color="auto" w:fill="FFFFFF"/>
        </w:rPr>
        <w:t xml:space="preserve"> la</w:t>
      </w:r>
      <w:r w:rsidR="00FC460F" w:rsidRPr="009F5860">
        <w:rPr>
          <w:rFonts w:ascii="Arial" w:hAnsi="Arial" w:cs="Arial"/>
          <w:color w:val="000000"/>
          <w:sz w:val="22"/>
          <w:szCs w:val="22"/>
          <w:shd w:val="clear" w:color="auto" w:fill="FFFFFF"/>
        </w:rPr>
        <w:t xml:space="preserve"> </w:t>
      </w:r>
      <w:r w:rsidR="001F0BA1" w:rsidRPr="009F5860">
        <w:rPr>
          <w:rFonts w:ascii="Arial" w:hAnsi="Arial" w:cs="Arial"/>
          <w:i/>
          <w:iCs/>
          <w:color w:val="000000"/>
          <w:sz w:val="22"/>
          <w:szCs w:val="22"/>
        </w:rPr>
        <w:t>Guía para Procesos de Contratación de obra pública</w:t>
      </w:r>
      <w:r w:rsidR="001F0BA1" w:rsidRPr="009F5860">
        <w:rPr>
          <w:rFonts w:ascii="Arial" w:hAnsi="Arial" w:cs="Arial"/>
          <w:color w:val="000000"/>
          <w:sz w:val="22"/>
          <w:szCs w:val="22"/>
        </w:rPr>
        <w:t xml:space="preserve">, </w:t>
      </w:r>
      <w:r w:rsidR="001F0BA1" w:rsidRPr="009F5860">
        <w:rPr>
          <w:rFonts w:ascii="Arial" w:hAnsi="Arial" w:cs="Arial"/>
          <w:color w:val="201F1E"/>
          <w:sz w:val="22"/>
          <w:szCs w:val="22"/>
          <w:bdr w:val="none" w:sz="0" w:space="0" w:color="auto" w:frame="1"/>
        </w:rPr>
        <w:t xml:space="preserve"> </w:t>
      </w:r>
      <w:r w:rsidRPr="009F5860">
        <w:rPr>
          <w:rFonts w:ascii="Arial" w:hAnsi="Arial" w:cs="Arial"/>
          <w:color w:val="201F1E"/>
          <w:sz w:val="22"/>
          <w:szCs w:val="22"/>
          <w:bdr w:val="none" w:sz="0" w:space="0" w:color="auto" w:frame="1"/>
        </w:rPr>
        <w:t xml:space="preserve">se advierte que esta no tiene carácter obligatorio, por lo que su aplicación es facultativa. Esto comoquiera que la misma no cumple con el criterio sustantivo explicado, al no haber sido expedida en desarrollo de una competencia específicamente atribuida para su expedición. </w:t>
      </w:r>
    </w:p>
    <w:p w14:paraId="4577D0EC" w14:textId="1DE6F12E" w:rsidR="00E93DD3" w:rsidRPr="009F5860" w:rsidRDefault="00E93DD3" w:rsidP="00E74412">
      <w:pPr>
        <w:spacing w:before="120" w:line="276" w:lineRule="auto"/>
        <w:ind w:firstLine="708"/>
        <w:jc w:val="both"/>
        <w:rPr>
          <w:rFonts w:ascii="Arial" w:hAnsi="Arial" w:cs="Arial"/>
          <w:color w:val="201F1E"/>
          <w:sz w:val="22"/>
          <w:szCs w:val="22"/>
          <w:bdr w:val="none" w:sz="0" w:space="0" w:color="auto" w:frame="1"/>
        </w:rPr>
      </w:pPr>
      <w:r w:rsidRPr="009F5860">
        <w:rPr>
          <w:rFonts w:ascii="Arial" w:hAnsi="Arial" w:cs="Arial"/>
          <w:color w:val="201F1E"/>
          <w:sz w:val="22"/>
          <w:szCs w:val="22"/>
          <w:bdr w:val="none" w:sz="0" w:space="0" w:color="auto" w:frame="1"/>
        </w:rPr>
        <w:t>Tal ausencia de carácter vinculante en el alcance</w:t>
      </w:r>
      <w:r w:rsidR="00155176">
        <w:rPr>
          <w:rFonts w:ascii="Arial" w:hAnsi="Arial" w:cs="Arial"/>
          <w:color w:val="201F1E"/>
          <w:sz w:val="22"/>
          <w:szCs w:val="22"/>
          <w:bdr w:val="none" w:sz="0" w:space="0" w:color="auto" w:frame="1"/>
        </w:rPr>
        <w:t xml:space="preserve"> </w:t>
      </w:r>
      <w:r w:rsidRPr="009F5860">
        <w:rPr>
          <w:rFonts w:ascii="Arial" w:hAnsi="Arial" w:cs="Arial"/>
          <w:color w:val="201F1E"/>
          <w:sz w:val="22"/>
          <w:szCs w:val="22"/>
          <w:bdr w:val="none" w:sz="0" w:space="0" w:color="auto" w:frame="1"/>
        </w:rPr>
        <w:t xml:space="preserve">de la referida guía, además se sustenta en la irrupción en el marco jurídico de la contratación estatal de los documentos tipo obligatorios, con ocasión de la </w:t>
      </w:r>
      <w:r w:rsidR="008D35A4">
        <w:rPr>
          <w:rFonts w:ascii="Arial" w:hAnsi="Arial" w:cs="Arial"/>
          <w:color w:val="201F1E"/>
          <w:sz w:val="22"/>
          <w:szCs w:val="22"/>
          <w:bdr w:val="none" w:sz="0" w:space="0" w:color="auto" w:frame="1"/>
        </w:rPr>
        <w:t>expedición</w:t>
      </w:r>
      <w:r w:rsidRPr="009F5860">
        <w:rPr>
          <w:rFonts w:ascii="Arial" w:hAnsi="Arial" w:cs="Arial"/>
          <w:color w:val="201F1E"/>
          <w:sz w:val="22"/>
          <w:szCs w:val="22"/>
          <w:bdr w:val="none" w:sz="0" w:space="0" w:color="auto" w:frame="1"/>
        </w:rPr>
        <w:t xml:space="preserve"> de las Leyes 1882 de 20</w:t>
      </w:r>
      <w:r w:rsidR="007B0517" w:rsidRPr="009F5860">
        <w:rPr>
          <w:rFonts w:ascii="Arial" w:hAnsi="Arial" w:cs="Arial"/>
          <w:color w:val="201F1E"/>
          <w:sz w:val="22"/>
          <w:szCs w:val="22"/>
          <w:bdr w:val="none" w:sz="0" w:space="0" w:color="auto" w:frame="1"/>
        </w:rPr>
        <w:t xml:space="preserve">18 y 2022. De estas normas se derivan unas facultades conferidas a la Agencia Nacional de Contratación Pública –Colombia Compra Eficiente– para la expedición de documentos tipo con carácter obligatorio, en lo relacionado con requisitos habilitantes, factores técnicos-económicos de escogencia y sistemas de ponderación. </w:t>
      </w:r>
      <w:r w:rsidR="002370E0" w:rsidRPr="009F5860">
        <w:rPr>
          <w:rFonts w:ascii="Arial" w:hAnsi="Arial" w:cs="Arial"/>
          <w:color w:val="201F1E"/>
          <w:sz w:val="22"/>
          <w:szCs w:val="22"/>
          <w:bdr w:val="none" w:sz="0" w:space="0" w:color="auto" w:frame="1"/>
        </w:rPr>
        <w:t>En atención a estas facultades, en los documentos tipo se estandarizan unos criterios para la evaluación del factor de calidad, los cuales tienen el carácter de inalterables, por lo que las entidades estatales deben limitarse a aplicarlos en sus procesos de contratación, de acuerdo con las reglas establecidas en el pliego</w:t>
      </w:r>
      <w:r w:rsidR="00155176">
        <w:rPr>
          <w:rFonts w:ascii="Arial" w:hAnsi="Arial" w:cs="Arial"/>
          <w:color w:val="201F1E"/>
          <w:sz w:val="22"/>
          <w:szCs w:val="22"/>
          <w:bdr w:val="none" w:sz="0" w:space="0" w:color="auto" w:frame="1"/>
        </w:rPr>
        <w:t>, absteniéndose en todo caso de incluir factores de evaluación diferentes de los estandarizado</w:t>
      </w:r>
      <w:r w:rsidR="00155176" w:rsidRPr="009B5F97">
        <w:rPr>
          <w:rFonts w:ascii="Arial" w:hAnsi="Arial" w:cs="Arial"/>
          <w:color w:val="201F1E"/>
          <w:sz w:val="22"/>
          <w:szCs w:val="22"/>
          <w:bdr w:val="none" w:sz="0" w:space="0" w:color="auto" w:frame="1"/>
        </w:rPr>
        <w:t>s</w:t>
      </w:r>
      <w:r w:rsidR="002370E0" w:rsidRPr="009B5F97">
        <w:rPr>
          <w:rFonts w:ascii="Arial" w:hAnsi="Arial" w:cs="Arial"/>
          <w:color w:val="201F1E"/>
          <w:sz w:val="22"/>
          <w:szCs w:val="22"/>
          <w:bdr w:val="none" w:sz="0" w:space="0" w:color="auto" w:frame="1"/>
        </w:rPr>
        <w:t xml:space="preserve">. </w:t>
      </w:r>
      <w:r w:rsidR="009B5F97" w:rsidRPr="00E74412">
        <w:rPr>
          <w:rFonts w:ascii="Arial" w:hAnsi="Arial" w:cs="Arial"/>
          <w:color w:val="201F1E"/>
          <w:sz w:val="22"/>
          <w:szCs w:val="22"/>
          <w:bdr w:val="none" w:sz="0" w:space="0" w:color="auto" w:frame="1"/>
        </w:rPr>
        <w:t>Por tanto</w:t>
      </w:r>
      <w:r w:rsidR="003F2CA6" w:rsidRPr="009B5F97">
        <w:rPr>
          <w:rFonts w:ascii="Arial" w:hAnsi="Arial" w:cs="Arial"/>
          <w:color w:val="201F1E"/>
          <w:sz w:val="22"/>
          <w:szCs w:val="22"/>
          <w:bdr w:val="none" w:sz="0" w:space="0" w:color="auto" w:frame="1"/>
        </w:rPr>
        <w:t xml:space="preserve">, el contenido de </w:t>
      </w:r>
      <w:r w:rsidR="007B0517" w:rsidRPr="009B5F97">
        <w:rPr>
          <w:rFonts w:ascii="Arial" w:hAnsi="Arial" w:cs="Arial"/>
          <w:color w:val="201F1E"/>
          <w:sz w:val="22"/>
          <w:szCs w:val="22"/>
          <w:bdr w:val="none" w:sz="0" w:space="0" w:color="auto" w:frame="1"/>
        </w:rPr>
        <w:t xml:space="preserve">la </w:t>
      </w:r>
      <w:r w:rsidR="007B0517" w:rsidRPr="009B5F97">
        <w:rPr>
          <w:rFonts w:ascii="Arial" w:hAnsi="Arial" w:cs="Arial"/>
          <w:i/>
          <w:iCs/>
          <w:color w:val="000000"/>
          <w:sz w:val="22"/>
          <w:szCs w:val="22"/>
        </w:rPr>
        <w:t>Guía para Procesos de Contratación de obra pública</w:t>
      </w:r>
      <w:r w:rsidR="00155176" w:rsidRPr="00E74412">
        <w:rPr>
          <w:rFonts w:ascii="Arial" w:hAnsi="Arial" w:cs="Arial"/>
          <w:i/>
          <w:iCs/>
          <w:color w:val="000000"/>
          <w:sz w:val="22"/>
          <w:szCs w:val="22"/>
        </w:rPr>
        <w:t xml:space="preserve"> </w:t>
      </w:r>
      <w:r w:rsidR="007B0517" w:rsidRPr="009B5F97">
        <w:rPr>
          <w:rFonts w:ascii="Arial" w:hAnsi="Arial" w:cs="Arial"/>
          <w:color w:val="000000"/>
          <w:sz w:val="22"/>
          <w:szCs w:val="22"/>
        </w:rPr>
        <w:t>ya no se encuentra conforme al marco jurídico vigente, por lo que la Agencia decidió retirar dicho instrumento de la oferta institucional de guías y manuales disponible</w:t>
      </w:r>
      <w:r w:rsidR="003F2CA6" w:rsidRPr="009B5F97">
        <w:rPr>
          <w:rFonts w:ascii="Arial" w:hAnsi="Arial" w:cs="Arial"/>
          <w:color w:val="000000"/>
          <w:sz w:val="22"/>
          <w:szCs w:val="22"/>
        </w:rPr>
        <w:t>s</w:t>
      </w:r>
      <w:r w:rsidR="007B0517" w:rsidRPr="009B5F97">
        <w:rPr>
          <w:rFonts w:ascii="Arial" w:hAnsi="Arial" w:cs="Arial"/>
          <w:color w:val="000000"/>
          <w:sz w:val="22"/>
          <w:szCs w:val="22"/>
        </w:rPr>
        <w:t xml:space="preserve"> en la página web de la entidad. </w:t>
      </w:r>
      <w:r w:rsidR="007B0517" w:rsidRPr="009B5F97">
        <w:rPr>
          <w:rFonts w:ascii="Arial" w:hAnsi="Arial" w:cs="Arial"/>
          <w:i/>
          <w:iCs/>
          <w:color w:val="000000"/>
          <w:sz w:val="22"/>
          <w:szCs w:val="22"/>
        </w:rPr>
        <w:t xml:space="preserve"> </w:t>
      </w:r>
      <w:r w:rsidR="007B0517" w:rsidRPr="009B5F97">
        <w:rPr>
          <w:rFonts w:ascii="Arial" w:hAnsi="Arial" w:cs="Arial"/>
          <w:color w:val="201F1E"/>
          <w:sz w:val="22"/>
          <w:szCs w:val="22"/>
          <w:bdr w:val="none" w:sz="0" w:space="0" w:color="auto" w:frame="1"/>
        </w:rPr>
        <w:t xml:space="preserve"> </w:t>
      </w:r>
    </w:p>
    <w:p w14:paraId="481C7C32" w14:textId="77777777" w:rsidR="0038422A" w:rsidRPr="009F5860" w:rsidRDefault="0038422A" w:rsidP="003C7067">
      <w:pPr>
        <w:spacing w:line="276" w:lineRule="auto"/>
        <w:jc w:val="both"/>
        <w:rPr>
          <w:rFonts w:ascii="Arial" w:hAnsi="Arial" w:cs="Arial"/>
          <w:color w:val="000000"/>
          <w:sz w:val="22"/>
          <w:szCs w:val="22"/>
          <w:shd w:val="clear" w:color="auto" w:fill="FFFFFF"/>
        </w:rPr>
      </w:pPr>
    </w:p>
    <w:p w14:paraId="31DA7007" w14:textId="0AE35BE3" w:rsidR="003C7067" w:rsidRPr="009F5860" w:rsidRDefault="003C7067" w:rsidP="003C7067">
      <w:pPr>
        <w:spacing w:line="276" w:lineRule="auto"/>
        <w:jc w:val="both"/>
        <w:rPr>
          <w:rFonts w:ascii="Arial" w:eastAsia="Calibri" w:hAnsi="Arial" w:cs="Arial"/>
          <w:sz w:val="22"/>
          <w:szCs w:val="22"/>
          <w:lang w:val="es-ES"/>
        </w:rPr>
      </w:pPr>
      <w:r w:rsidRPr="009F5860">
        <w:rPr>
          <w:rFonts w:ascii="Arial" w:eastAsia="Calibri" w:hAnsi="Arial" w:cs="Arial"/>
          <w:sz w:val="22"/>
          <w:szCs w:val="22"/>
          <w:lang w:val="es-ES"/>
        </w:rPr>
        <w:t>Este concepto tiene el alcance previsto en el artículo 28 del Código de Procedimiento Administrativo y de lo Contencioso Administrativo.</w:t>
      </w:r>
    </w:p>
    <w:p w14:paraId="2408787D" w14:textId="77777777" w:rsidR="003C7067" w:rsidRPr="009F5860" w:rsidRDefault="003C7067" w:rsidP="003C7067">
      <w:pPr>
        <w:jc w:val="both"/>
        <w:rPr>
          <w:rFonts w:ascii="Arial" w:eastAsia="Calibri" w:hAnsi="Arial" w:cs="Arial"/>
          <w:sz w:val="22"/>
          <w:szCs w:val="22"/>
          <w:lang w:val="es-ES"/>
        </w:rPr>
      </w:pPr>
    </w:p>
    <w:p w14:paraId="740312DF" w14:textId="77777777" w:rsidR="003C7067" w:rsidRPr="009F5860" w:rsidRDefault="003C7067" w:rsidP="003C7067">
      <w:pPr>
        <w:jc w:val="both"/>
        <w:rPr>
          <w:rFonts w:ascii="Arial" w:hAnsi="Arial" w:cs="Arial"/>
          <w:sz w:val="22"/>
          <w:szCs w:val="22"/>
          <w:lang w:val="es-ES" w:eastAsia="es-CO"/>
        </w:rPr>
      </w:pPr>
      <w:r w:rsidRPr="009F5860">
        <w:rPr>
          <w:rFonts w:ascii="Arial" w:hAnsi="Arial" w:cs="Arial"/>
          <w:sz w:val="22"/>
          <w:szCs w:val="22"/>
          <w:lang w:val="es-ES" w:eastAsia="es-CO"/>
        </w:rPr>
        <w:t>Atentamente,</w:t>
      </w:r>
    </w:p>
    <w:p w14:paraId="34F7EF72" w14:textId="01030AC7" w:rsidR="003C7067" w:rsidRPr="009F5860" w:rsidRDefault="0081740F" w:rsidP="003C7067">
      <w:pPr>
        <w:jc w:val="center"/>
        <w:rPr>
          <w:rFonts w:ascii="Arial" w:hAnsi="Arial" w:cs="Arial"/>
          <w:sz w:val="18"/>
          <w:szCs w:val="20"/>
          <w:lang w:val="es-ES" w:eastAsia="es-CO"/>
        </w:rPr>
      </w:pPr>
      <w:r>
        <w:rPr>
          <w:rFonts w:ascii="Arial" w:hAnsi="Arial" w:cs="Arial"/>
          <w:noProof/>
          <w:lang w:val="en-US"/>
        </w:rPr>
        <w:lastRenderedPageBreak/>
        <w:drawing>
          <wp:inline distT="0" distB="0" distL="0" distR="0" wp14:anchorId="6CC132AB" wp14:editId="4AC1BF6C">
            <wp:extent cx="2273831" cy="1024890"/>
            <wp:effectExtent l="0" t="0" r="0" b="381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82670" cy="1028874"/>
                    </a:xfrm>
                    <a:prstGeom prst="rect">
                      <a:avLst/>
                    </a:prstGeom>
                  </pic:spPr>
                </pic:pic>
              </a:graphicData>
            </a:graphic>
          </wp:inline>
        </w:drawing>
      </w:r>
    </w:p>
    <w:p w14:paraId="26A9BAC3" w14:textId="77777777" w:rsidR="003C7067" w:rsidRPr="009F5860" w:rsidRDefault="003C7067" w:rsidP="003C7067">
      <w:pPr>
        <w:jc w:val="cente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C7067" w:rsidRPr="009F5860" w14:paraId="67DFEBDD" w14:textId="77777777" w:rsidTr="00D81E5B">
        <w:trPr>
          <w:trHeight w:val="315"/>
        </w:trPr>
        <w:tc>
          <w:tcPr>
            <w:tcW w:w="812" w:type="dxa"/>
            <w:vAlign w:val="center"/>
            <w:hideMark/>
          </w:tcPr>
          <w:p w14:paraId="586E9637" w14:textId="77777777" w:rsidR="003C7067" w:rsidRPr="009F5860" w:rsidRDefault="003C7067" w:rsidP="00D81E5B">
            <w:pPr>
              <w:rPr>
                <w:rFonts w:ascii="Arial" w:hAnsi="Arial" w:cs="Arial"/>
                <w:sz w:val="16"/>
                <w:szCs w:val="16"/>
                <w:lang w:val="es-ES" w:eastAsia="es-ES"/>
              </w:rPr>
            </w:pPr>
            <w:r w:rsidRPr="009F5860">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2585B1D8" w14:textId="77777777" w:rsidR="003C7067" w:rsidRPr="009F5860" w:rsidRDefault="003C7067" w:rsidP="00D81E5B">
            <w:pPr>
              <w:rPr>
                <w:rFonts w:ascii="Arial" w:hAnsi="Arial" w:cs="Arial"/>
                <w:sz w:val="16"/>
                <w:szCs w:val="16"/>
                <w:lang w:val="es-ES" w:eastAsia="es-ES"/>
              </w:rPr>
            </w:pPr>
            <w:r w:rsidRPr="009F5860">
              <w:rPr>
                <w:rFonts w:ascii="Arial" w:hAnsi="Arial" w:cs="Arial"/>
                <w:sz w:val="16"/>
                <w:szCs w:val="16"/>
                <w:lang w:val="es-ES" w:eastAsia="es-ES"/>
              </w:rPr>
              <w:t xml:space="preserve">Camilo Perdomo Villamil </w:t>
            </w:r>
          </w:p>
          <w:p w14:paraId="15047A99" w14:textId="77777777" w:rsidR="003C7067" w:rsidRPr="009F5860" w:rsidRDefault="003C7067" w:rsidP="00D81E5B">
            <w:pPr>
              <w:rPr>
                <w:rFonts w:ascii="Arial" w:hAnsi="Arial" w:cs="Arial"/>
                <w:sz w:val="16"/>
                <w:szCs w:val="16"/>
                <w:lang w:val="es-ES" w:eastAsia="es-ES"/>
              </w:rPr>
            </w:pPr>
            <w:r w:rsidRPr="009F5860">
              <w:rPr>
                <w:rFonts w:ascii="Arial" w:hAnsi="Arial" w:cs="Arial"/>
                <w:sz w:val="16"/>
                <w:szCs w:val="16"/>
                <w:lang w:val="es-ES" w:eastAsia="es-ES"/>
              </w:rPr>
              <w:t>Contratista de la Subdirección de Gestión Contractual</w:t>
            </w:r>
          </w:p>
        </w:tc>
      </w:tr>
      <w:tr w:rsidR="003C7067" w:rsidRPr="009F5860" w14:paraId="5E040385" w14:textId="77777777" w:rsidTr="00D81E5B">
        <w:trPr>
          <w:trHeight w:val="330"/>
        </w:trPr>
        <w:tc>
          <w:tcPr>
            <w:tcW w:w="812" w:type="dxa"/>
            <w:vAlign w:val="center"/>
            <w:hideMark/>
          </w:tcPr>
          <w:p w14:paraId="1468648A" w14:textId="77777777" w:rsidR="003C7067" w:rsidRPr="009F5860" w:rsidRDefault="003C7067" w:rsidP="00D81E5B">
            <w:pPr>
              <w:rPr>
                <w:rFonts w:ascii="Arial" w:hAnsi="Arial" w:cs="Arial"/>
                <w:sz w:val="16"/>
                <w:szCs w:val="16"/>
                <w:lang w:val="es-ES" w:eastAsia="es-ES"/>
              </w:rPr>
            </w:pPr>
            <w:r w:rsidRPr="009F5860">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E5C127" w14:textId="777CCCD6" w:rsidR="003C7067" w:rsidRPr="009F5860" w:rsidRDefault="0038422A" w:rsidP="00D81E5B">
            <w:pPr>
              <w:rPr>
                <w:rFonts w:ascii="Arial" w:hAnsi="Arial" w:cs="Arial"/>
                <w:sz w:val="16"/>
                <w:szCs w:val="16"/>
                <w:lang w:val="es-ES" w:eastAsia="es-ES"/>
              </w:rPr>
            </w:pPr>
            <w:r w:rsidRPr="009F5860">
              <w:rPr>
                <w:rFonts w:ascii="Arial" w:hAnsi="Arial" w:cs="Arial"/>
                <w:sz w:val="16"/>
                <w:szCs w:val="16"/>
                <w:lang w:val="es-ES" w:eastAsia="es-ES"/>
              </w:rPr>
              <w:t>Alejandro Sarmiento</w:t>
            </w:r>
            <w:r w:rsidR="0000290E" w:rsidRPr="009F5860">
              <w:rPr>
                <w:rFonts w:ascii="Arial" w:hAnsi="Arial" w:cs="Arial"/>
                <w:sz w:val="16"/>
                <w:szCs w:val="16"/>
                <w:lang w:val="es-ES" w:eastAsia="es-ES"/>
              </w:rPr>
              <w:t xml:space="preserve"> Cantillo</w:t>
            </w:r>
          </w:p>
          <w:p w14:paraId="202F9F6E" w14:textId="61C46FDA" w:rsidR="003C7067" w:rsidRPr="009F5860" w:rsidRDefault="003C7067" w:rsidP="00D81E5B">
            <w:pPr>
              <w:rPr>
                <w:rFonts w:ascii="Arial" w:hAnsi="Arial" w:cs="Arial"/>
                <w:sz w:val="16"/>
                <w:szCs w:val="16"/>
                <w:lang w:val="es-ES" w:eastAsia="es-ES"/>
              </w:rPr>
            </w:pPr>
            <w:r w:rsidRPr="009F5860">
              <w:rPr>
                <w:rFonts w:ascii="Arial" w:hAnsi="Arial" w:cs="Arial"/>
                <w:sz w:val="16"/>
                <w:szCs w:val="16"/>
                <w:lang w:val="es-ES" w:eastAsia="es-ES"/>
              </w:rPr>
              <w:t>Gestor T1-1</w:t>
            </w:r>
            <w:r w:rsidR="0000290E" w:rsidRPr="009F5860">
              <w:rPr>
                <w:rFonts w:ascii="Arial" w:hAnsi="Arial" w:cs="Arial"/>
                <w:sz w:val="16"/>
                <w:szCs w:val="16"/>
                <w:lang w:val="es-ES" w:eastAsia="es-ES"/>
              </w:rPr>
              <w:t>1</w:t>
            </w:r>
            <w:r w:rsidRPr="009F5860">
              <w:rPr>
                <w:rFonts w:ascii="Arial" w:hAnsi="Arial" w:cs="Arial"/>
                <w:sz w:val="16"/>
                <w:szCs w:val="16"/>
                <w:lang w:val="es-ES" w:eastAsia="es-ES"/>
              </w:rPr>
              <w:t xml:space="preserve"> de la Subdirección de Gestión Contractual</w:t>
            </w:r>
          </w:p>
        </w:tc>
      </w:tr>
      <w:tr w:rsidR="003C7067" w:rsidRPr="0008465D" w14:paraId="65581C44" w14:textId="77777777" w:rsidTr="00D81E5B">
        <w:trPr>
          <w:trHeight w:val="300"/>
        </w:trPr>
        <w:tc>
          <w:tcPr>
            <w:tcW w:w="812" w:type="dxa"/>
            <w:vAlign w:val="center"/>
            <w:hideMark/>
          </w:tcPr>
          <w:p w14:paraId="5B07E6DF" w14:textId="77777777" w:rsidR="003C7067" w:rsidRPr="009F5860" w:rsidRDefault="003C7067" w:rsidP="00D81E5B">
            <w:pPr>
              <w:rPr>
                <w:rFonts w:ascii="Arial" w:hAnsi="Arial" w:cs="Arial"/>
                <w:sz w:val="16"/>
                <w:szCs w:val="16"/>
                <w:lang w:val="es-ES" w:eastAsia="es-ES"/>
              </w:rPr>
            </w:pPr>
            <w:r w:rsidRPr="009F5860">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930E5E2" w14:textId="77777777" w:rsidR="003C7067" w:rsidRPr="009F5860" w:rsidRDefault="003C7067" w:rsidP="00D81E5B">
            <w:pPr>
              <w:rPr>
                <w:rFonts w:ascii="Arial" w:hAnsi="Arial" w:cs="Arial"/>
                <w:sz w:val="16"/>
                <w:szCs w:val="16"/>
                <w:lang w:val="es-ES" w:eastAsia="es-ES"/>
              </w:rPr>
            </w:pPr>
            <w:r w:rsidRPr="009F5860">
              <w:rPr>
                <w:rFonts w:ascii="Arial" w:hAnsi="Arial" w:cs="Arial"/>
                <w:sz w:val="16"/>
                <w:szCs w:val="16"/>
                <w:lang w:val="es-ES" w:eastAsia="es-ES"/>
              </w:rPr>
              <w:t>Jorge Augusto Tirado Navarro</w:t>
            </w:r>
          </w:p>
          <w:p w14:paraId="43EFE605" w14:textId="77777777" w:rsidR="003C7067" w:rsidRPr="0008465D" w:rsidRDefault="003C7067" w:rsidP="00D81E5B">
            <w:pPr>
              <w:rPr>
                <w:rFonts w:ascii="Arial" w:hAnsi="Arial" w:cs="Arial"/>
                <w:sz w:val="16"/>
                <w:szCs w:val="16"/>
                <w:lang w:val="es-ES" w:eastAsia="es-ES"/>
              </w:rPr>
            </w:pPr>
            <w:r w:rsidRPr="009F5860">
              <w:rPr>
                <w:rFonts w:ascii="Arial" w:hAnsi="Arial" w:cs="Arial"/>
                <w:sz w:val="16"/>
                <w:szCs w:val="16"/>
                <w:lang w:val="es-ES" w:eastAsia="es-ES"/>
              </w:rPr>
              <w:t>Subdirector de Gestión Contractual ANCP – CCE</w:t>
            </w:r>
          </w:p>
        </w:tc>
      </w:tr>
    </w:tbl>
    <w:p w14:paraId="019B7BEC" w14:textId="77777777" w:rsidR="003C7067" w:rsidRDefault="003C7067"/>
    <w:sectPr w:rsidR="003C7067" w:rsidSect="00D81E5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5F078" w14:textId="77777777" w:rsidR="003A4ACF" w:rsidRDefault="003A4ACF" w:rsidP="003C7067">
      <w:r>
        <w:separator/>
      </w:r>
    </w:p>
  </w:endnote>
  <w:endnote w:type="continuationSeparator" w:id="0">
    <w:p w14:paraId="68474616" w14:textId="77777777" w:rsidR="003A4ACF" w:rsidRDefault="003A4ACF" w:rsidP="003C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F19D" w14:textId="77777777" w:rsidR="00D81E5B" w:rsidRDefault="00D81E5B" w:rsidP="00D81E5B">
    <w:pPr>
      <w:pStyle w:val="Sinespaciado"/>
      <w:jc w:val="right"/>
      <w:rPr>
        <w:rFonts w:ascii="Arial" w:hAnsi="Arial" w:cs="Arial"/>
        <w:sz w:val="18"/>
        <w:szCs w:val="18"/>
      </w:rPr>
    </w:pPr>
  </w:p>
  <w:p w14:paraId="7EE0D30C" w14:textId="77777777" w:rsidR="00D81E5B" w:rsidRDefault="00D81E5B" w:rsidP="00D81E5B">
    <w:pPr>
      <w:pStyle w:val="Sinespaciado"/>
      <w:jc w:val="right"/>
      <w:rPr>
        <w:rFonts w:ascii="Arial" w:hAnsi="Arial" w:cs="Arial"/>
        <w:sz w:val="18"/>
        <w:szCs w:val="18"/>
      </w:rPr>
    </w:pPr>
  </w:p>
  <w:p w14:paraId="120D6A59" w14:textId="77777777" w:rsidR="00D81E5B" w:rsidRPr="008217B7" w:rsidRDefault="000965D3" w:rsidP="00D81E5B">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7B59CE5" w14:textId="77777777" w:rsidR="00D81E5B" w:rsidRDefault="000965D3" w:rsidP="00D81E5B">
    <w:pPr>
      <w:pStyle w:val="Piedepgina"/>
      <w:jc w:val="center"/>
      <w:rPr>
        <w:lang w:val="es-ES"/>
      </w:rPr>
    </w:pPr>
    <w:r>
      <w:rPr>
        <w:noProof/>
      </w:rPr>
      <w:drawing>
        <wp:inline distT="0" distB="0" distL="0" distR="0" wp14:anchorId="467852E1" wp14:editId="11106060">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D50B862" w14:textId="77777777" w:rsidR="00D81E5B" w:rsidRPr="00E756AC" w:rsidRDefault="00D81E5B" w:rsidP="00D81E5B">
    <w:pPr>
      <w:pStyle w:val="Piedepgina"/>
      <w:jc w:val="center"/>
      <w:rPr>
        <w:sz w:val="18"/>
        <w:szCs w:val="18"/>
        <w:lang w:val="es-ES"/>
      </w:rPr>
    </w:pPr>
  </w:p>
  <w:p w14:paraId="1CBE747A" w14:textId="77777777" w:rsidR="00D81E5B" w:rsidRPr="00E756AC" w:rsidRDefault="00D81E5B" w:rsidP="00D81E5B">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78D2F" w14:textId="77777777" w:rsidR="003A4ACF" w:rsidRDefault="003A4ACF" w:rsidP="003C7067">
      <w:r>
        <w:separator/>
      </w:r>
    </w:p>
  </w:footnote>
  <w:footnote w:type="continuationSeparator" w:id="0">
    <w:p w14:paraId="01205F28" w14:textId="77777777" w:rsidR="003A4ACF" w:rsidRDefault="003A4ACF" w:rsidP="003C7067">
      <w:r>
        <w:continuationSeparator/>
      </w:r>
    </w:p>
  </w:footnote>
  <w:footnote w:id="1">
    <w:p w14:paraId="6AD7D404" w14:textId="59F149D5" w:rsidR="0071057D" w:rsidRPr="00E74412" w:rsidRDefault="0071057D" w:rsidP="009F5860">
      <w:pPr>
        <w:pStyle w:val="NormalWeb"/>
        <w:spacing w:before="0" w:beforeAutospacing="0" w:after="0" w:afterAutospacing="0"/>
        <w:ind w:firstLine="708"/>
        <w:jc w:val="both"/>
        <w:rPr>
          <w:rFonts w:ascii="Arial" w:hAnsi="Arial" w:cs="Arial"/>
          <w:color w:val="000000" w:themeColor="text1"/>
          <w:sz w:val="18"/>
          <w:szCs w:val="18"/>
        </w:rPr>
      </w:pPr>
      <w:r w:rsidRPr="00E74412">
        <w:rPr>
          <w:rStyle w:val="Refdenotaalpie"/>
          <w:rFonts w:ascii="Arial" w:hAnsi="Arial" w:cs="Arial"/>
          <w:color w:val="000000" w:themeColor="text1"/>
          <w:sz w:val="18"/>
          <w:szCs w:val="18"/>
        </w:rPr>
        <w:footnoteRef/>
      </w:r>
      <w:r w:rsidRPr="00E74412">
        <w:rPr>
          <w:rFonts w:ascii="Arial" w:hAnsi="Arial" w:cs="Arial"/>
          <w:color w:val="000000" w:themeColor="text1"/>
          <w:sz w:val="18"/>
          <w:szCs w:val="18"/>
        </w:rPr>
        <w:t xml:space="preserve"> </w:t>
      </w:r>
      <w:r w:rsidR="0071587F" w:rsidRPr="00E74412">
        <w:rPr>
          <w:rFonts w:ascii="Arial" w:hAnsi="Arial" w:cs="Arial"/>
          <w:color w:val="000000" w:themeColor="text1"/>
          <w:sz w:val="18"/>
          <w:szCs w:val="18"/>
        </w:rPr>
        <w:t>«</w:t>
      </w:r>
      <w:r w:rsidRPr="00E74412">
        <w:rPr>
          <w:rStyle w:val="Textoennegrita"/>
          <w:rFonts w:ascii="Arial" w:hAnsi="Arial" w:cs="Arial"/>
          <w:b w:val="0"/>
          <w:bCs w:val="0"/>
          <w:color w:val="000000" w:themeColor="text1"/>
          <w:sz w:val="18"/>
          <w:szCs w:val="18"/>
        </w:rPr>
        <w:t>Artículo 2.2.1.2.5.2. </w:t>
      </w:r>
      <w:r w:rsidRPr="00E74412">
        <w:rPr>
          <w:rStyle w:val="nfasis"/>
          <w:rFonts w:ascii="Arial" w:hAnsi="Arial" w:cs="Arial"/>
          <w:color w:val="000000" w:themeColor="text1"/>
          <w:sz w:val="18"/>
          <w:szCs w:val="18"/>
        </w:rPr>
        <w:t>Estándares y documentos tipo. </w:t>
      </w:r>
      <w:r w:rsidRPr="00E74412">
        <w:rPr>
          <w:rFonts w:ascii="Arial" w:hAnsi="Arial" w:cs="Arial"/>
          <w:color w:val="000000" w:themeColor="text1"/>
          <w:sz w:val="18"/>
          <w:szCs w:val="18"/>
        </w:rPr>
        <w:t>Sin perjuicio de la función permanente que el </w:t>
      </w:r>
      <w:hyperlink r:id="rId1" w:history="1">
        <w:r w:rsidRPr="00E74412">
          <w:rPr>
            <w:rStyle w:val="Hipervnculo"/>
            <w:rFonts w:ascii="Arial" w:hAnsi="Arial" w:cs="Arial"/>
            <w:color w:val="000000" w:themeColor="text1"/>
            <w:sz w:val="18"/>
            <w:szCs w:val="18"/>
          </w:rPr>
          <w:t>Decreto-Ley 4170 de 2011​</w:t>
        </w:r>
      </w:hyperlink>
      <w:r w:rsidRPr="00E74412">
        <w:rPr>
          <w:rFonts w:ascii="Arial" w:hAnsi="Arial" w:cs="Arial"/>
          <w:color w:val="000000" w:themeColor="text1"/>
          <w:sz w:val="18"/>
          <w:szCs w:val="18"/>
        </w:rPr>
        <w:t> 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 pública:</w:t>
      </w:r>
    </w:p>
    <w:p w14:paraId="74ED91E4" w14:textId="77777777" w:rsidR="0071057D" w:rsidRPr="00E74412" w:rsidRDefault="0071057D" w:rsidP="00E74412">
      <w:pPr>
        <w:pStyle w:val="NormalWeb"/>
        <w:spacing w:before="0" w:beforeAutospacing="0" w:after="0" w:afterAutospacing="0"/>
        <w:ind w:firstLine="708"/>
        <w:jc w:val="both"/>
        <w:rPr>
          <w:rFonts w:ascii="Arial" w:hAnsi="Arial" w:cs="Arial"/>
          <w:color w:val="000000" w:themeColor="text1"/>
          <w:sz w:val="18"/>
          <w:szCs w:val="18"/>
        </w:rPr>
      </w:pPr>
      <w:r w:rsidRPr="00E74412">
        <w:rPr>
          <w:rFonts w:ascii="Arial" w:hAnsi="Arial" w:cs="Arial"/>
          <w:color w:val="000000" w:themeColor="text1"/>
          <w:sz w:val="18"/>
          <w:szCs w:val="18"/>
        </w:rPr>
        <w:t>1.    Manuales para el uso de los Acuerdos Marco de Precios.</w:t>
      </w:r>
    </w:p>
    <w:p w14:paraId="5902BC28" w14:textId="77777777" w:rsidR="0071057D" w:rsidRPr="00E74412" w:rsidRDefault="0071057D" w:rsidP="00E74412">
      <w:pPr>
        <w:pStyle w:val="NormalWeb"/>
        <w:spacing w:before="0" w:beforeAutospacing="0" w:after="0" w:afterAutospacing="0"/>
        <w:ind w:firstLine="709"/>
        <w:jc w:val="both"/>
        <w:rPr>
          <w:rFonts w:ascii="Arial" w:hAnsi="Arial" w:cs="Arial"/>
          <w:color w:val="000000" w:themeColor="text1"/>
          <w:sz w:val="18"/>
          <w:szCs w:val="18"/>
        </w:rPr>
      </w:pPr>
      <w:r w:rsidRPr="00E74412">
        <w:rPr>
          <w:rFonts w:ascii="Arial" w:hAnsi="Arial" w:cs="Arial"/>
          <w:color w:val="000000" w:themeColor="text1"/>
          <w:sz w:val="18"/>
          <w:szCs w:val="18"/>
        </w:rPr>
        <w:t>2.    Manuales y guías para: (a) la identificación y cobertura del Riesgo; (b) la determi</w:t>
      </w:r>
      <w:r w:rsidRPr="00E74412">
        <w:rPr>
          <w:rFonts w:ascii="Arial" w:hAnsi="Arial" w:cs="Arial"/>
          <w:color w:val="000000" w:themeColor="text1"/>
          <w:sz w:val="18"/>
          <w:szCs w:val="18"/>
        </w:rPr>
        <w:softHyphen/>
        <w:t>nación de la Capacidad Residual para los contratos de obra pública dependiendo del valor de los mismos; (c) la elaboración y actualización del Plan Anual de Adquisiciones; y (d) el uso del Clasificador de Bienes y Servicios. (Numeral declarado nulo por el Consejo de Estado en sentencia del 11 de abril de 2019 (exp. 52.055)</w:t>
      </w:r>
      <w:r w:rsidRPr="00E74412">
        <w:rPr>
          <w:rStyle w:val="apple-converted-space"/>
          <w:rFonts w:ascii="Arial" w:hAnsi="Arial" w:cs="Arial"/>
          <w:color w:val="000000" w:themeColor="text1"/>
          <w:sz w:val="18"/>
          <w:szCs w:val="18"/>
        </w:rPr>
        <w:t> </w:t>
      </w:r>
      <w:r w:rsidRPr="00E74412">
        <w:rPr>
          <w:rFonts w:ascii="Arial" w:hAnsi="Arial" w:cs="Arial"/>
          <w:color w:val="000000" w:themeColor="text1"/>
          <w:sz w:val="18"/>
          <w:szCs w:val="18"/>
        </w:rPr>
        <w:t>Consejera Ponente:  MARÍA ADRIANA MARÍN.)</w:t>
      </w:r>
    </w:p>
    <w:p w14:paraId="58F92CC3" w14:textId="52C628C8" w:rsidR="0071057D" w:rsidRPr="00E74412" w:rsidRDefault="0071057D" w:rsidP="009F5860">
      <w:pPr>
        <w:pStyle w:val="NormalWeb"/>
        <w:spacing w:before="0" w:beforeAutospacing="0" w:after="0" w:afterAutospacing="0"/>
        <w:ind w:firstLine="708"/>
        <w:jc w:val="both"/>
        <w:rPr>
          <w:rFonts w:ascii="Arial" w:hAnsi="Arial" w:cs="Arial"/>
          <w:color w:val="000000" w:themeColor="text1"/>
          <w:sz w:val="18"/>
          <w:szCs w:val="18"/>
        </w:rPr>
      </w:pPr>
      <w:r w:rsidRPr="00E74412">
        <w:rPr>
          <w:rFonts w:ascii="Arial" w:hAnsi="Arial" w:cs="Arial"/>
          <w:color w:val="000000" w:themeColor="text1"/>
          <w:sz w:val="18"/>
          <w:szCs w:val="18"/>
        </w:rPr>
        <w:t>3.    Pliegos de condiciones tipo para la contratación. (Numeral declarado nulo por el Consejo de Estado en sentencia del 11 de abril de 2019 (exp. 52.055)</w:t>
      </w:r>
      <w:r w:rsidRPr="00E74412">
        <w:rPr>
          <w:rStyle w:val="apple-converted-space"/>
          <w:rFonts w:ascii="Arial" w:hAnsi="Arial" w:cs="Arial"/>
          <w:color w:val="000000" w:themeColor="text1"/>
          <w:sz w:val="18"/>
          <w:szCs w:val="18"/>
        </w:rPr>
        <w:t> </w:t>
      </w:r>
      <w:r w:rsidRPr="00E74412">
        <w:rPr>
          <w:rFonts w:ascii="Arial" w:hAnsi="Arial" w:cs="Arial"/>
          <w:color w:val="000000" w:themeColor="text1"/>
          <w:sz w:val="18"/>
          <w:szCs w:val="18"/>
        </w:rPr>
        <w:t>Consejera Ponente:  MARÍA ADRIANA MARÍN.)</w:t>
      </w:r>
    </w:p>
    <w:p w14:paraId="171750AF" w14:textId="77777777" w:rsidR="00D14CB4" w:rsidRPr="00E74412" w:rsidRDefault="00D14CB4" w:rsidP="009F5860">
      <w:pPr>
        <w:pStyle w:val="NormalWeb"/>
        <w:spacing w:before="0" w:beforeAutospacing="0" w:after="0" w:afterAutospacing="0"/>
        <w:ind w:firstLine="708"/>
        <w:jc w:val="both"/>
        <w:rPr>
          <w:rFonts w:ascii="Arial" w:hAnsi="Arial" w:cs="Arial"/>
          <w:color w:val="000000" w:themeColor="text1"/>
          <w:sz w:val="18"/>
          <w:szCs w:val="18"/>
        </w:rPr>
      </w:pPr>
    </w:p>
    <w:p w14:paraId="6A3713B2" w14:textId="77777777" w:rsidR="0071057D" w:rsidRPr="00E74412" w:rsidRDefault="0071057D" w:rsidP="009F5860">
      <w:pPr>
        <w:pStyle w:val="NormalWeb"/>
        <w:spacing w:before="0" w:beforeAutospacing="0" w:after="0" w:afterAutospacing="0"/>
        <w:ind w:firstLine="708"/>
        <w:jc w:val="both"/>
        <w:rPr>
          <w:rFonts w:ascii="Arial" w:hAnsi="Arial" w:cs="Arial"/>
          <w:color w:val="000000" w:themeColor="text1"/>
          <w:sz w:val="18"/>
          <w:szCs w:val="18"/>
        </w:rPr>
      </w:pPr>
      <w:r w:rsidRPr="00E74412">
        <w:rPr>
          <w:rFonts w:ascii="Arial" w:hAnsi="Arial" w:cs="Arial"/>
          <w:color w:val="000000" w:themeColor="text1"/>
          <w:sz w:val="18"/>
          <w:szCs w:val="18"/>
        </w:rPr>
        <w:t>4.    Minutas tipo de contratos. ​​(Numeral declarado nulo por el Consejo de Estado en sentencia del 11 de abril de 2019 (exp. 52.055)</w:t>
      </w:r>
      <w:r w:rsidRPr="00E74412">
        <w:rPr>
          <w:rStyle w:val="apple-converted-space"/>
          <w:rFonts w:ascii="Arial" w:hAnsi="Arial" w:cs="Arial"/>
          <w:color w:val="000000" w:themeColor="text1"/>
          <w:sz w:val="18"/>
          <w:szCs w:val="18"/>
        </w:rPr>
        <w:t> </w:t>
      </w:r>
      <w:r w:rsidRPr="00E74412">
        <w:rPr>
          <w:rFonts w:ascii="Arial" w:hAnsi="Arial" w:cs="Arial"/>
          <w:color w:val="000000" w:themeColor="text1"/>
          <w:sz w:val="18"/>
          <w:szCs w:val="18"/>
        </w:rPr>
        <w:t>Consejera Ponente:  MARÍA ADRIANA MARÍN.)​</w:t>
      </w:r>
    </w:p>
    <w:p w14:paraId="5DFB9237" w14:textId="77777777" w:rsidR="0071057D" w:rsidRPr="00E74412" w:rsidRDefault="0071057D" w:rsidP="009F5860">
      <w:pPr>
        <w:pStyle w:val="Textonotapie"/>
        <w:rPr>
          <w:rFonts w:ascii="Arial" w:hAnsi="Arial" w:cs="Arial"/>
          <w:sz w:val="18"/>
          <w:szCs w:val="18"/>
          <w:lang w:val="es-ES"/>
        </w:rPr>
      </w:pPr>
    </w:p>
  </w:footnote>
  <w:footnote w:id="2">
    <w:p w14:paraId="3BC37021" w14:textId="77777777" w:rsidR="004F654F" w:rsidRPr="00E74412" w:rsidRDefault="004F654F" w:rsidP="009F5860">
      <w:pPr>
        <w:tabs>
          <w:tab w:val="left" w:pos="426"/>
          <w:tab w:val="left" w:pos="2087"/>
          <w:tab w:val="left" w:pos="3424"/>
          <w:tab w:val="left" w:pos="4701"/>
          <w:tab w:val="left" w:pos="5341"/>
          <w:tab w:val="left" w:pos="5920"/>
          <w:tab w:val="left" w:pos="7487"/>
          <w:tab w:val="left" w:pos="8037"/>
          <w:tab w:val="left" w:pos="8524"/>
        </w:tabs>
        <w:ind w:firstLine="709"/>
        <w:jc w:val="both"/>
        <w:rPr>
          <w:rFonts w:ascii="Arial" w:hAnsi="Arial" w:cs="Arial"/>
          <w:sz w:val="18"/>
          <w:szCs w:val="18"/>
        </w:rPr>
      </w:pPr>
      <w:r w:rsidRPr="00E74412">
        <w:rPr>
          <w:rStyle w:val="Refdenotaalpie"/>
          <w:rFonts w:ascii="Arial" w:hAnsi="Arial" w:cs="Arial"/>
          <w:sz w:val="18"/>
          <w:szCs w:val="18"/>
        </w:rPr>
        <w:footnoteRef/>
      </w:r>
      <w:r w:rsidRPr="00E74412">
        <w:rPr>
          <w:rFonts w:ascii="Arial" w:hAnsi="Arial" w:cs="Arial"/>
          <w:sz w:val="18"/>
          <w:szCs w:val="18"/>
        </w:rPr>
        <w:t xml:space="preserve"> Por ejemplo, para Colciencias los manuales «son instrumentos administrativos que se elaboran para determinar en forma explícita, ordenada y sistemática información sobre objetivos, políticas, atribuciones, organización y procedimientos de los órganos de una institución. Se caracterizan por desarrollar criterios generales sobre un tema estratégico y en su mayoría, referencian procedimientos, guías, instructivos, modelos y formatos». Mientras que las guías son «documentos que contienen orientaciones acerca de la forma como se desarrolla una metodología</w:t>
      </w:r>
      <w:r w:rsidRPr="00E74412">
        <w:rPr>
          <w:rFonts w:ascii="Arial" w:hAnsi="Arial" w:cs="Arial"/>
          <w:sz w:val="18"/>
          <w:szCs w:val="18"/>
        </w:rPr>
        <w:tab/>
        <w:t>relacionada con los procedimientos de la entidad»: https://www.colciencias.gov.co/sites/default/files/ckeditor_files/G102PR01-procedimiento-elaboracion- control.pdf</w:t>
      </w:r>
    </w:p>
    <w:p w14:paraId="595E7767" w14:textId="6186FB99" w:rsidR="004F654F" w:rsidRPr="00E74412" w:rsidRDefault="004F654F" w:rsidP="009F5860">
      <w:pPr>
        <w:ind w:firstLine="408"/>
        <w:jc w:val="both"/>
        <w:rPr>
          <w:rFonts w:ascii="Arial" w:hAnsi="Arial" w:cs="Arial"/>
          <w:sz w:val="18"/>
          <w:szCs w:val="18"/>
        </w:rPr>
      </w:pPr>
      <w:r w:rsidRPr="00E74412">
        <w:rPr>
          <w:rFonts w:ascii="Arial" w:eastAsiaTheme="minorEastAsia" w:hAnsi="Arial" w:cs="Arial"/>
          <w:sz w:val="18"/>
          <w:szCs w:val="18"/>
          <w:lang w:eastAsia="es-CO"/>
        </w:rPr>
        <w:tab/>
      </w:r>
      <w:r w:rsidRPr="00E74412">
        <w:rPr>
          <w:rFonts w:ascii="Arial" w:hAnsi="Arial" w:cs="Arial"/>
          <w:sz w:val="18"/>
          <w:szCs w:val="18"/>
        </w:rPr>
        <w:t xml:space="preserve">Para la Autoridad Nacional de Licencias Ambientales los manuales y guías </w:t>
      </w:r>
      <w:r w:rsidRPr="00E74412">
        <w:rPr>
          <w:rFonts w:ascii="Arial" w:hAnsi="Arial" w:cs="Arial"/>
          <w:sz w:val="18"/>
          <w:szCs w:val="18"/>
          <w:lang w:val="es-MX"/>
        </w:rPr>
        <w:t>«</w:t>
      </w:r>
      <w:r w:rsidRPr="00E74412">
        <w:rPr>
          <w:rFonts w:ascii="Arial" w:hAnsi="Arial" w:cs="Arial"/>
          <w:sz w:val="18"/>
          <w:szCs w:val="18"/>
        </w:rPr>
        <w:t xml:space="preserve">son documentos técnicos a través de los cuales se estandarizan y se definen criterios y procedimientos de una actividad específica. A través de ellos se indican enfoques, lineamientos, se definen instructivos y se detallan los pasos que deben seguir quienes desarrollan una actividad determinada. El propósito de esta herramienta es el de permitir que las autoridades o a cualquier otro organismo equivalente haga más efectiva su gestión y documente sistemáticamente los criterios considerados durante los procesos de toma de decisiones»: </w:t>
      </w:r>
      <w:hyperlink r:id="rId2">
        <w:r w:rsidRPr="00E74412">
          <w:rPr>
            <w:rFonts w:ascii="Arial" w:hAnsi="Arial" w:cs="Arial"/>
            <w:sz w:val="18"/>
            <w:szCs w:val="18"/>
          </w:rPr>
          <w:t>http://portal.anla.gov.co/manuales-y-guias</w:t>
        </w:r>
      </w:hyperlink>
    </w:p>
  </w:footnote>
  <w:footnote w:id="3">
    <w:p w14:paraId="599B14B4" w14:textId="4803D629" w:rsidR="00334B19" w:rsidRPr="00E74412" w:rsidRDefault="00334B19" w:rsidP="00E74412">
      <w:pPr>
        <w:tabs>
          <w:tab w:val="left" w:pos="4805"/>
        </w:tabs>
        <w:ind w:firstLine="707"/>
        <w:jc w:val="both"/>
        <w:rPr>
          <w:rFonts w:ascii="Arial" w:hAnsi="Arial" w:cs="Arial"/>
          <w:sz w:val="18"/>
          <w:szCs w:val="18"/>
        </w:rPr>
      </w:pPr>
      <w:r w:rsidRPr="00E74412">
        <w:rPr>
          <w:rStyle w:val="Refdenotaalpie"/>
          <w:rFonts w:ascii="Arial" w:hAnsi="Arial" w:cs="Arial"/>
          <w:sz w:val="18"/>
          <w:szCs w:val="18"/>
        </w:rPr>
        <w:footnoteRef/>
      </w:r>
      <w:r w:rsidRPr="00E74412">
        <w:rPr>
          <w:rFonts w:ascii="Arial" w:hAnsi="Arial" w:cs="Arial"/>
          <w:sz w:val="18"/>
          <w:szCs w:val="18"/>
        </w:rPr>
        <w:t xml:space="preserve"> La Circular Externa Única de Colombia Compra Eficiente señala: “Las circulares externas proferidas por Colombia Compra Eficiente son actos administrativos que contienen mandatos, orientaciones e instrucciones que van dirigidas a las Entidades Estatales y al público en general y son de obligatorio cumplimiento”.</w:t>
      </w:r>
      <w:r w:rsidRPr="00E74412">
        <w:rPr>
          <w:rFonts w:ascii="Arial" w:hAnsi="Arial" w:cs="Arial"/>
          <w:sz w:val="18"/>
          <w:szCs w:val="18"/>
        </w:rPr>
        <w:tab/>
        <w:t>Disponible</w:t>
      </w:r>
      <w:r w:rsidRPr="00E74412">
        <w:rPr>
          <w:rFonts w:ascii="Arial" w:hAnsi="Arial" w:cs="Arial"/>
          <w:sz w:val="18"/>
          <w:szCs w:val="18"/>
        </w:rPr>
        <w:tab/>
      </w:r>
      <w:r w:rsidRPr="00E74412">
        <w:rPr>
          <w:rFonts w:ascii="Arial" w:hAnsi="Arial" w:cs="Arial"/>
          <w:spacing w:val="-6"/>
          <w:sz w:val="18"/>
          <w:szCs w:val="18"/>
        </w:rPr>
        <w:t xml:space="preserve">en: </w:t>
      </w:r>
      <w:hyperlink r:id="rId3">
        <w:r w:rsidRPr="00E74412">
          <w:rPr>
            <w:rFonts w:ascii="Arial" w:hAnsi="Arial" w:cs="Arial"/>
            <w:sz w:val="18"/>
            <w:szCs w:val="18"/>
          </w:rPr>
          <w:t>https://www.colombiacompra.gov.co/sites/cce_public/files/cce_circulares/cce_circular_unica.pdf</w:t>
        </w:r>
      </w:hyperlink>
    </w:p>
  </w:footnote>
  <w:footnote w:id="4">
    <w:p w14:paraId="4A1985BF" w14:textId="4C9DBA8B" w:rsidR="007E48AE" w:rsidRPr="00C667F5" w:rsidRDefault="007E48AE" w:rsidP="009F5860">
      <w:pPr>
        <w:pStyle w:val="Textonotapie"/>
        <w:ind w:firstLine="707"/>
        <w:jc w:val="both"/>
        <w:rPr>
          <w:rFonts w:ascii="Arial" w:hAnsi="Arial" w:cs="Arial"/>
          <w:sz w:val="18"/>
          <w:szCs w:val="18"/>
        </w:rPr>
      </w:pPr>
      <w:r w:rsidRPr="00E74412">
        <w:rPr>
          <w:rStyle w:val="Refdenotaalpie"/>
          <w:rFonts w:ascii="Arial" w:hAnsi="Arial" w:cs="Arial"/>
          <w:sz w:val="18"/>
          <w:szCs w:val="18"/>
        </w:rPr>
        <w:footnoteRef/>
      </w:r>
      <w:r w:rsidRPr="00E74412">
        <w:rPr>
          <w:rFonts w:ascii="Arial" w:hAnsi="Arial" w:cs="Arial"/>
          <w:sz w:val="18"/>
          <w:szCs w:val="18"/>
        </w:rPr>
        <w:t xml:space="preserve"> El Consejo de Estado estudió la naturaleza jurídica de los actos administrativos, entre ellos sus elementos como son: </w:t>
      </w:r>
      <w:r w:rsidRPr="00E74412">
        <w:rPr>
          <w:rFonts w:ascii="Arial" w:eastAsia="MS Mincho" w:hAnsi="Arial" w:cs="Arial"/>
          <w:sz w:val="18"/>
          <w:szCs w:val="18"/>
          <w:lang w:eastAsia="es-CO"/>
        </w:rPr>
        <w:t>la competencia, objeto, forma, causa y finalidad, por lo que reunidos forman un acto administrativo. En relación con este punto, el Consejo de Estado ha manifestado:</w:t>
      </w:r>
      <w:r w:rsidRPr="00C667F5">
        <w:rPr>
          <w:rFonts w:ascii="Arial" w:eastAsia="MS Mincho" w:hAnsi="Arial" w:cs="Arial"/>
          <w:sz w:val="18"/>
          <w:szCs w:val="18"/>
          <w:lang w:eastAsia="es-CO"/>
        </w:rPr>
        <w:t xml:space="preserve"> </w:t>
      </w:r>
      <w:r w:rsidRPr="00E74412">
        <w:rPr>
          <w:rFonts w:ascii="Arial" w:eastAsia="MS Mincho" w:hAnsi="Arial" w:cs="Arial"/>
          <w:sz w:val="18"/>
          <w:szCs w:val="18"/>
          <w:lang w:eastAsia="es-CO"/>
        </w:rPr>
        <w:t xml:space="preserve">«Los elementos de validez a los que hace alusión la jurisprudencia cuyo desconocimiento acarrea la nulidad del acto administrativo son: i) los sujetos, diferenciados entre activo o quien expide el acto y quien debe gozar de competencia y voluntad para emitirlo, y el pasivo, esto es, sobre quien recaen sus efectos, ii) el objeto o contenido del acto que determina la situación jurídica que se va a afectar con este, que en todo caso debe ser lícito, posible y existente, iii) los motivos o razón de hecho o de derecho determinantes que impulsaron la emisión del acto, iv) los fines o lo que la administración pretende alcanzar con la expedición del acto administrativo, que debe ser el interés general, y v) la formalidad, concepto que encierra indistintamente los de procedimiento, forma y formalidad. Así, el primero indica que para expedir el acto debe seguirse un trámite determinado, el segundo señala que debe ser expedido de acuerdo con su contenido y alcance ya sea mediante leyes, resoluciones, acuerdos, etc., y el tercero advierte los requisitos que debe acatarse para la expedición». </w:t>
      </w:r>
      <w:r w:rsidR="00A2369A" w:rsidRPr="00E74412">
        <w:rPr>
          <w:rFonts w:ascii="Arial" w:hAnsi="Arial" w:cs="Arial"/>
          <w:sz w:val="18"/>
          <w:szCs w:val="18"/>
        </w:rPr>
        <w:t>Consejo de Estado, Sección Segunda, Sentencia del 17 de mayo de 2018, Radicado No. 110010325000201601071, C.P. Rafael Francisco Suárez Vargas.</w:t>
      </w:r>
    </w:p>
    <w:p w14:paraId="3C76DB9D" w14:textId="77777777" w:rsidR="00A2369A" w:rsidRPr="00E74412" w:rsidRDefault="00A2369A" w:rsidP="00E74412">
      <w:pPr>
        <w:pStyle w:val="Textonotapie"/>
        <w:ind w:firstLine="707"/>
        <w:jc w:val="both"/>
        <w:rPr>
          <w:rFonts w:ascii="Arial" w:hAnsi="Arial" w:cs="Arial"/>
          <w:sz w:val="18"/>
          <w:szCs w:val="18"/>
        </w:rPr>
      </w:pPr>
    </w:p>
  </w:footnote>
  <w:footnote w:id="5">
    <w:p w14:paraId="3C71D336" w14:textId="0F37C431" w:rsidR="00A2369A" w:rsidRPr="00E74412" w:rsidRDefault="00A2369A" w:rsidP="00E74412">
      <w:pPr>
        <w:pStyle w:val="Textonotapie"/>
        <w:ind w:firstLine="707"/>
        <w:jc w:val="both"/>
        <w:rPr>
          <w:rFonts w:ascii="Arial" w:hAnsi="Arial" w:cs="Arial"/>
          <w:sz w:val="18"/>
          <w:szCs w:val="18"/>
        </w:rPr>
      </w:pPr>
      <w:r w:rsidRPr="00E74412">
        <w:rPr>
          <w:rStyle w:val="Refdenotaalpie"/>
          <w:rFonts w:ascii="Arial" w:hAnsi="Arial" w:cs="Arial"/>
          <w:sz w:val="18"/>
          <w:szCs w:val="18"/>
        </w:rPr>
        <w:footnoteRef/>
      </w:r>
      <w:r w:rsidRPr="00E74412">
        <w:rPr>
          <w:rFonts w:ascii="Arial" w:hAnsi="Arial" w:cs="Arial"/>
          <w:sz w:val="18"/>
          <w:szCs w:val="18"/>
        </w:rPr>
        <w:t xml:space="preserve"> </w:t>
      </w:r>
      <w:r w:rsidR="000C0C5A" w:rsidRPr="00C667F5">
        <w:rPr>
          <w:rFonts w:ascii="Arial" w:hAnsi="Arial" w:cs="Arial"/>
          <w:sz w:val="18"/>
          <w:szCs w:val="18"/>
        </w:rPr>
        <w:t xml:space="preserve">Al resolver </w:t>
      </w:r>
      <w:r w:rsidR="00554FCF" w:rsidRPr="00E74412">
        <w:rPr>
          <w:rFonts w:ascii="Arial" w:hAnsi="Arial" w:cs="Arial"/>
          <w:sz w:val="18"/>
          <w:szCs w:val="18"/>
        </w:rPr>
        <w:t xml:space="preserve">una solicitud de suspensión provisional, presentada en el marco de un proceso de nulidad simple </w:t>
      </w:r>
      <w:r w:rsidR="00554FCF" w:rsidRPr="00C667F5">
        <w:rPr>
          <w:rFonts w:ascii="Arial" w:hAnsi="Arial" w:cs="Arial"/>
          <w:sz w:val="18"/>
          <w:szCs w:val="18"/>
        </w:rPr>
        <w:t>c</w:t>
      </w:r>
      <w:r w:rsidR="00554FCF" w:rsidRPr="00E74412">
        <w:rPr>
          <w:rFonts w:ascii="Arial" w:hAnsi="Arial" w:cs="Arial"/>
          <w:sz w:val="18"/>
          <w:szCs w:val="18"/>
        </w:rPr>
        <w:t>o</w:t>
      </w:r>
      <w:r w:rsidR="00554FCF" w:rsidRPr="00C667F5">
        <w:rPr>
          <w:rFonts w:ascii="Arial" w:hAnsi="Arial" w:cs="Arial"/>
          <w:sz w:val="18"/>
          <w:szCs w:val="18"/>
        </w:rPr>
        <w:t>ntra</w:t>
      </w:r>
      <w:r w:rsidR="00554FCF" w:rsidRPr="00E74412">
        <w:rPr>
          <w:rFonts w:ascii="Arial" w:hAnsi="Arial" w:cs="Arial"/>
          <w:sz w:val="18"/>
          <w:szCs w:val="18"/>
        </w:rPr>
        <w:t xml:space="preserve"> la Circular Externa 01 de 2013 expedida por esta Agencia, </w:t>
      </w:r>
      <w:r w:rsidR="000C0C5A" w:rsidRPr="00C667F5">
        <w:rPr>
          <w:rFonts w:ascii="Arial" w:hAnsi="Arial" w:cs="Arial"/>
          <w:sz w:val="18"/>
          <w:szCs w:val="18"/>
        </w:rPr>
        <w:t xml:space="preserve">el Consejo de Estado </w:t>
      </w:r>
      <w:r w:rsidR="00554FCF" w:rsidRPr="00E74412">
        <w:rPr>
          <w:rFonts w:ascii="Arial" w:hAnsi="Arial" w:cs="Arial"/>
          <w:sz w:val="18"/>
          <w:szCs w:val="18"/>
        </w:rPr>
        <w:t xml:space="preserve">manifestó lo siguiente sobre la funciones de difusión normativa atribuidas a esta Agencia: </w:t>
      </w:r>
      <w:r w:rsidRPr="00E74412">
        <w:rPr>
          <w:rFonts w:ascii="Arial" w:hAnsi="Arial" w:cs="Arial"/>
          <w:sz w:val="18"/>
          <w:szCs w:val="18"/>
        </w:rPr>
        <w:t xml:space="preserve"> «[T]ampoco advierte de manera preliminar esta judicatura elementos de juicio suficientes que le lleven a considerar que en el </w:t>
      </w:r>
      <w:r w:rsidRPr="00E74412">
        <w:rPr>
          <w:rFonts w:ascii="Arial" w:hAnsi="Arial" w:cs="Arial"/>
          <w:i/>
          <w:sz w:val="18"/>
          <w:szCs w:val="18"/>
        </w:rPr>
        <w:t>sub judice</w:t>
      </w:r>
      <w:r w:rsidRPr="00E74412">
        <w:rPr>
          <w:rFonts w:ascii="Arial" w:hAnsi="Arial" w:cs="Arial"/>
          <w:sz w:val="18"/>
          <w:szCs w:val="18"/>
        </w:rPr>
        <w:t xml:space="preserve"> ocurrió una violación a la potestad reglamentaria de la que es titular el Presidente de la República como lo pregona el artículo 189.11 de la Carta, pues tiene averiguado provisoriamente que, además de que la obligación de informar no parece haber surgido con ocasión de la expedición de la </w:t>
      </w:r>
      <w:r w:rsidR="00554FCF" w:rsidRPr="00E74412">
        <w:rPr>
          <w:rFonts w:ascii="Arial" w:hAnsi="Arial" w:cs="Arial"/>
          <w:sz w:val="18"/>
          <w:szCs w:val="18"/>
        </w:rPr>
        <w:t>C</w:t>
      </w:r>
      <w:r w:rsidRPr="00E74412">
        <w:rPr>
          <w:rFonts w:ascii="Arial" w:hAnsi="Arial" w:cs="Arial"/>
          <w:sz w:val="18"/>
          <w:szCs w:val="18"/>
        </w:rPr>
        <w:t>ircular Externa 01 de 2013 acá demandada, se cuenta con una base jurídica mínima que apoya la competencia de la Agencia Nacional de Contratación Estatal para su expedición pues se sabe que esa Agencia, como Unidad Administrativa Especial, se ubica dentro del sector descentralizado del orden nacional</w:t>
      </w:r>
      <w:r w:rsidRPr="00E74412">
        <w:rPr>
          <w:rStyle w:val="Refdenotaalpie"/>
          <w:rFonts w:ascii="Arial" w:hAnsi="Arial" w:cs="Arial"/>
          <w:sz w:val="18"/>
          <w:szCs w:val="18"/>
        </w:rPr>
        <w:footnoteRef/>
      </w:r>
      <w:r w:rsidRPr="00E74412">
        <w:rPr>
          <w:rFonts w:ascii="Arial" w:hAnsi="Arial" w:cs="Arial"/>
          <w:sz w:val="18"/>
          <w:szCs w:val="18"/>
        </w:rPr>
        <w:t xml:space="preserve"> y cuenta dentro de su ámbito funcional con competencias atinentes a la materia de la contratación estatal, esto es, a la actividad administrativa vinculada a la provisión de bienes y/o servicios por cuenta del Estado para la satisfacción de sus necesidades y la realización de los cometidos estatales y ejerce una competencia de orientación o coordinación toda vez que tiene a su cargo la formulación de </w:t>
      </w:r>
      <w:r w:rsidRPr="00E74412">
        <w:rPr>
          <w:rFonts w:ascii="Arial" w:hAnsi="Arial" w:cs="Arial"/>
          <w:i/>
          <w:sz w:val="18"/>
          <w:szCs w:val="18"/>
        </w:rPr>
        <w:t>políticas públicas</w:t>
      </w:r>
      <w:r w:rsidRPr="00E74412">
        <w:rPr>
          <w:rFonts w:ascii="Arial" w:hAnsi="Arial" w:cs="Arial"/>
          <w:sz w:val="18"/>
          <w:szCs w:val="18"/>
        </w:rPr>
        <w:t xml:space="preserve">, esto es, el diseño o gestión de instrumentos de toma de decisión en determinado sector gubernamental dirigido a abordar y proponer soluciones a asuntos de relevancia pública y, concretamente, se le ha atribuido la competencia de “difundir las normas, reglas, procedimientos, medios tecnológicos y mejores prácticas para las compras y la contratación pública (…)”, según las voces del numeral 10° del artículo 3° del Decreto 4170 de 2011, potestad reguladora que, en todo caso, debe ejercerse conforme a la Ley y ajustada a la potestad reglamentaria del Gobierno Nacional». </w:t>
      </w:r>
      <w:r w:rsidRPr="00E74412">
        <w:rPr>
          <w:rStyle w:val="Refdenotaalpie"/>
          <w:rFonts w:ascii="Arial" w:hAnsi="Arial" w:cs="Arial"/>
          <w:sz w:val="18"/>
          <w:szCs w:val="18"/>
          <w:vertAlign w:val="baseline"/>
        </w:rPr>
        <w:t>Consejo de Estado, Sección Tercera, Subsección C,  Auto del 14 de agosto de 2017, Radicación 11001-03-26-000-2017-00031-00, (58820), C.P. Jaime Orlando Santofimio Gamboa.</w:t>
      </w:r>
    </w:p>
  </w:footnote>
  <w:footnote w:id="6">
    <w:p w14:paraId="45BA58A8" w14:textId="3A47933D" w:rsidR="00660C19" w:rsidRPr="00E74412" w:rsidRDefault="00660C19" w:rsidP="009F5860">
      <w:pPr>
        <w:pStyle w:val="Textonotapie"/>
        <w:ind w:firstLine="707"/>
        <w:jc w:val="both"/>
        <w:rPr>
          <w:rFonts w:ascii="Arial" w:hAnsi="Arial" w:cs="Arial"/>
          <w:sz w:val="18"/>
          <w:szCs w:val="18"/>
        </w:rPr>
      </w:pPr>
      <w:r w:rsidRPr="00E74412">
        <w:rPr>
          <w:rStyle w:val="Refdenotaalpie"/>
          <w:rFonts w:ascii="Arial" w:hAnsi="Arial" w:cs="Arial"/>
          <w:sz w:val="18"/>
          <w:szCs w:val="18"/>
        </w:rPr>
        <w:footnoteRef/>
      </w:r>
      <w:r w:rsidRPr="00E74412">
        <w:rPr>
          <w:rFonts w:ascii="Arial" w:hAnsi="Arial" w:cs="Arial"/>
          <w:sz w:val="18"/>
          <w:szCs w:val="18"/>
        </w:rPr>
        <w:t xml:space="preserve"> Consejo de Estado, Sección Tercera, Sentencia del 11 de abril de 2019, Radicado No. 11001-03-26-000-2014-00135-00 (52055), C.P. María Adriana Marín. </w:t>
      </w:r>
    </w:p>
    <w:p w14:paraId="66E84C0C" w14:textId="77777777" w:rsidR="008D2933" w:rsidRPr="00E74412" w:rsidRDefault="008D2933" w:rsidP="009F5860">
      <w:pPr>
        <w:pStyle w:val="Textonotapie"/>
        <w:ind w:firstLine="707"/>
        <w:jc w:val="both"/>
        <w:rPr>
          <w:rFonts w:ascii="Arial" w:hAnsi="Arial" w:cs="Arial"/>
          <w:sz w:val="18"/>
          <w:szCs w:val="18"/>
        </w:rPr>
      </w:pPr>
    </w:p>
  </w:footnote>
  <w:footnote w:id="7">
    <w:p w14:paraId="71BBE7ED" w14:textId="77777777" w:rsidR="009D6BD7" w:rsidRPr="00E74412" w:rsidRDefault="009D6BD7" w:rsidP="009F5860">
      <w:pPr>
        <w:pStyle w:val="Textonotapie"/>
        <w:ind w:firstLine="707"/>
        <w:jc w:val="both"/>
        <w:rPr>
          <w:rFonts w:ascii="Arial" w:hAnsi="Arial" w:cs="Arial"/>
          <w:sz w:val="18"/>
          <w:szCs w:val="18"/>
        </w:rPr>
      </w:pPr>
      <w:r w:rsidRPr="00E74412">
        <w:rPr>
          <w:rStyle w:val="Refdenotaalpie"/>
          <w:rFonts w:ascii="Arial" w:hAnsi="Arial" w:cs="Arial"/>
          <w:sz w:val="18"/>
          <w:szCs w:val="18"/>
        </w:rPr>
        <w:footnoteRef/>
      </w:r>
      <w:r w:rsidRPr="00E74412">
        <w:rPr>
          <w:rFonts w:ascii="Arial" w:hAnsi="Arial" w:cs="Arial"/>
          <w:sz w:val="18"/>
          <w:szCs w:val="18"/>
        </w:rPr>
        <w:t xml:space="preserve"> En línea con lo anterior, esta Agencia señaló en el concepto del 30 de diciembre de 2019 –radicado de entrada 4201913000008497 y radicado de salida: 2201913000009739–, que: «De conformidad con la concepción acogida por la entidad, la obligatoriedad de las herramientas normativas expedida por Colombia Compra Eficiente no depende de la forma con la que se adopten, sino de la existencia de una competencia legal o reglamentaria que faculte a la entidad para expedir la respectiva guía, manual, circular o documento tipo, y que este pueda ser considerado un acto administrativo, por reunir todos sus elementos».</w:t>
      </w:r>
    </w:p>
  </w:footnote>
  <w:footnote w:id="8">
    <w:p w14:paraId="60EACE8B" w14:textId="235E0F9E" w:rsidR="001F0BA1" w:rsidRPr="00E74412" w:rsidRDefault="001F0BA1" w:rsidP="009F5860">
      <w:pPr>
        <w:pStyle w:val="Textonotapie"/>
        <w:ind w:firstLine="707"/>
        <w:jc w:val="both"/>
        <w:rPr>
          <w:rFonts w:ascii="Arial" w:hAnsi="Arial" w:cs="Arial"/>
          <w:sz w:val="18"/>
          <w:szCs w:val="18"/>
        </w:rPr>
      </w:pPr>
      <w:r w:rsidRPr="00E74412">
        <w:rPr>
          <w:rStyle w:val="Refdenotaalpie"/>
          <w:rFonts w:ascii="Arial" w:hAnsi="Arial" w:cs="Arial"/>
          <w:sz w:val="18"/>
          <w:szCs w:val="18"/>
        </w:rPr>
        <w:footnoteRef/>
      </w:r>
      <w:r w:rsidRPr="00E74412">
        <w:rPr>
          <w:rFonts w:ascii="Arial" w:hAnsi="Arial" w:cs="Arial"/>
          <w:sz w:val="18"/>
          <w:szCs w:val="18"/>
        </w:rPr>
        <w:t xml:space="preserve"> En la página 13 de la guía, por ejemplo, se realizan las siguientes precisiones: «Definición de calidad: según su sentido natural y obvio, calidad es “la propiedad o conjunto de propiedades inherentes a una cosa que permiten apreciarla como igual, mejor o peor que las restantes de su especie”4 . En cuanto a la ejecución de obras civiles, la calidad debe ser entendida en sus acepciones del campo de la Ingeniería como: “1) el grado de excelencia de un producto o servicio. 2) El grado en el que un producto o servicio satisface las necesidades de un cliente especifico. 3) El grado de conformidad de un producto o servicio con un requerimiento dado”. </w:t>
      </w:r>
    </w:p>
    <w:p w14:paraId="2F0D0BE1" w14:textId="0E1F15BE" w:rsidR="001F0BA1" w:rsidRPr="00E74412" w:rsidRDefault="001F0BA1" w:rsidP="009F5860">
      <w:pPr>
        <w:pStyle w:val="Textonotapie"/>
        <w:ind w:firstLine="707"/>
        <w:jc w:val="both"/>
        <w:rPr>
          <w:rFonts w:ascii="Arial" w:hAnsi="Arial" w:cs="Arial"/>
          <w:sz w:val="18"/>
          <w:szCs w:val="18"/>
        </w:rPr>
      </w:pPr>
      <w:r w:rsidRPr="00E74412">
        <w:rPr>
          <w:rFonts w:ascii="Arial" w:hAnsi="Arial" w:cs="Arial"/>
          <w:sz w:val="18"/>
          <w:szCs w:val="18"/>
        </w:rPr>
        <w:t xml:space="preserve">»Según esas definiciones, la calidad está relacionada con: (i) la conformidad del producto con sus especificaciones o requerimientos y (ii) la satisfacción de la necesidad, por lo cual, es importante que las Entidades Estatales definan adecuadamente las propiedades que debe tener el producto final y la forma en que deben ser medidas o comprobadas. </w:t>
      </w:r>
    </w:p>
    <w:p w14:paraId="4FF0F0D1" w14:textId="4306F750" w:rsidR="001F0BA1" w:rsidRPr="00E74412" w:rsidRDefault="001F0BA1" w:rsidP="00E74412">
      <w:pPr>
        <w:pStyle w:val="Textonotapie"/>
        <w:ind w:firstLine="707"/>
        <w:jc w:val="both"/>
        <w:rPr>
          <w:rFonts w:ascii="Arial" w:hAnsi="Arial" w:cs="Arial"/>
          <w:sz w:val="18"/>
          <w:szCs w:val="18"/>
        </w:rPr>
      </w:pPr>
      <w:r w:rsidRPr="00E74412">
        <w:rPr>
          <w:rFonts w:ascii="Arial" w:hAnsi="Arial" w:cs="Arial"/>
          <w:sz w:val="18"/>
          <w:szCs w:val="18"/>
        </w:rPr>
        <w:t xml:space="preserve">»Características o indicadores de calidad6 : son las características de un producto que pueden ser objeto de medición y que definen la conformidad del bien con un requerimiento previo. Las características deben ser medibles en un procedimiento de control de calidad. Por ejemplo, si en un proceso de construcción de una vía la Entidad Estatal requiere que el asfalto sea durable, debe establecer como característica de calidad las propiedades del asfalto que garantizan la durabilidad».  </w:t>
      </w:r>
    </w:p>
  </w:footnote>
  <w:footnote w:id="9">
    <w:p w14:paraId="3C6905F5" w14:textId="77777777" w:rsidR="00C46B18" w:rsidRPr="00E74412" w:rsidRDefault="00C46B18" w:rsidP="009F5860">
      <w:pPr>
        <w:pStyle w:val="Textonotapie"/>
        <w:ind w:firstLine="709"/>
        <w:jc w:val="both"/>
        <w:rPr>
          <w:rFonts w:ascii="Arial" w:hAnsi="Arial" w:cs="Arial"/>
          <w:sz w:val="18"/>
          <w:szCs w:val="18"/>
        </w:rPr>
      </w:pPr>
      <w:r w:rsidRPr="00E74412">
        <w:rPr>
          <w:rStyle w:val="Refdenotaalpie"/>
          <w:rFonts w:ascii="Arial" w:hAnsi="Arial" w:cs="Arial"/>
          <w:sz w:val="18"/>
          <w:szCs w:val="18"/>
        </w:rPr>
        <w:footnoteRef/>
      </w:r>
      <w:r w:rsidRPr="00E74412">
        <w:rPr>
          <w:rFonts w:ascii="Arial" w:hAnsi="Arial" w:cs="Arial"/>
          <w:sz w:val="18"/>
          <w:szCs w:val="18"/>
        </w:rPr>
        <w:t xml:space="preserve"> </w:t>
      </w:r>
      <w:r w:rsidRPr="00E74412">
        <w:rPr>
          <w:rFonts w:ascii="Arial" w:hAnsi="Arial" w:cs="Arial"/>
          <w:sz w:val="18"/>
          <w:szCs w:val="18"/>
          <w:lang w:val="es-CO"/>
        </w:rPr>
        <w:t xml:space="preserve">«Artículo 4. </w:t>
      </w:r>
      <w:r w:rsidRPr="00E74412">
        <w:rPr>
          <w:rFonts w:ascii="Arial" w:hAnsi="Arial" w:cs="Arial"/>
          <w:sz w:val="18"/>
          <w:szCs w:val="18"/>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241653B0" w14:textId="77777777" w:rsidR="00C46B18" w:rsidRPr="00E74412" w:rsidRDefault="00C46B18" w:rsidP="009F5860">
      <w:pPr>
        <w:pStyle w:val="Textonotapie"/>
        <w:ind w:firstLine="709"/>
        <w:jc w:val="both"/>
        <w:rPr>
          <w:rFonts w:ascii="Arial" w:hAnsi="Arial" w:cs="Arial"/>
          <w:sz w:val="18"/>
          <w:szCs w:val="18"/>
          <w:lang w:val="es-CO"/>
        </w:rPr>
      </w:pPr>
      <w:r w:rsidRPr="00E74412">
        <w:rPr>
          <w:rFonts w:ascii="Arial" w:hAnsi="Arial" w:cs="Arial"/>
          <w:sz w:val="18"/>
          <w:szCs w:val="18"/>
          <w:lang w:val="es-CO"/>
        </w:rPr>
        <w:t>»La facultad de adoptar documentos tipo la tendrá el Gobierno nacional, cuando lo considere necesario, en relación con otros contratos o procesos de selección.</w:t>
      </w:r>
    </w:p>
    <w:p w14:paraId="07953C97" w14:textId="77777777" w:rsidR="00C46B18" w:rsidRPr="00E74412" w:rsidRDefault="00C46B18" w:rsidP="009F5860">
      <w:pPr>
        <w:pStyle w:val="Textonotapie"/>
        <w:ind w:firstLine="709"/>
        <w:jc w:val="both"/>
        <w:rPr>
          <w:rFonts w:ascii="Arial" w:hAnsi="Arial" w:cs="Arial"/>
          <w:sz w:val="18"/>
          <w:szCs w:val="18"/>
          <w:lang w:val="es-CO"/>
        </w:rPr>
      </w:pPr>
      <w:r w:rsidRPr="00E74412">
        <w:rPr>
          <w:rFonts w:ascii="Arial" w:hAnsi="Arial" w:cs="Arial"/>
          <w:sz w:val="18"/>
          <w:szCs w:val="18"/>
          <w:lang w:val="es-CO"/>
        </w:rPr>
        <w:t>»Los pliegos tipo se adoptarán por categorías de acuerdo con la cuantía de la contratación, según la reglamentación que expida el Gobierno nacional».</w:t>
      </w:r>
    </w:p>
    <w:p w14:paraId="0342226F" w14:textId="77777777" w:rsidR="00C46B18" w:rsidRPr="00E74412" w:rsidRDefault="00C46B18" w:rsidP="009F5860">
      <w:pPr>
        <w:pStyle w:val="Textonotapie"/>
        <w:ind w:firstLine="707"/>
        <w:rPr>
          <w:rFonts w:ascii="Arial" w:hAnsi="Arial" w:cs="Arial"/>
          <w:sz w:val="18"/>
          <w:szCs w:val="18"/>
        </w:rPr>
      </w:pPr>
      <w:r w:rsidRPr="00E74412">
        <w:rPr>
          <w:rFonts w:ascii="Arial" w:hAnsi="Arial" w:cs="Arial"/>
          <w:sz w:val="18"/>
          <w:szCs w:val="18"/>
        </w:rPr>
        <w:t xml:space="preserve"> </w:t>
      </w:r>
    </w:p>
  </w:footnote>
  <w:footnote w:id="10">
    <w:p w14:paraId="1B2FAAEF" w14:textId="77777777" w:rsidR="00C46B18" w:rsidRPr="00C667F5" w:rsidRDefault="00C46B18" w:rsidP="009F5860">
      <w:pPr>
        <w:pStyle w:val="Textonotapie"/>
        <w:ind w:firstLine="707"/>
        <w:jc w:val="both"/>
        <w:rPr>
          <w:rFonts w:ascii="Arial" w:hAnsi="Arial" w:cs="Arial"/>
          <w:sz w:val="18"/>
          <w:szCs w:val="18"/>
        </w:rPr>
      </w:pPr>
      <w:r w:rsidRPr="00C667F5">
        <w:rPr>
          <w:rStyle w:val="Refdenotaalpie"/>
          <w:rFonts w:ascii="Arial" w:hAnsi="Arial" w:cs="Arial"/>
          <w:sz w:val="18"/>
          <w:szCs w:val="18"/>
        </w:rPr>
        <w:footnoteRef/>
      </w:r>
      <w:r w:rsidRPr="00C667F5">
        <w:rPr>
          <w:rFonts w:ascii="Arial" w:hAnsi="Arial" w:cs="Arial"/>
          <w:sz w:val="18"/>
          <w:szCs w:val="18"/>
        </w:rPr>
        <w:t xml:space="preserve"> «Artículo 4º. Adiciónese el siguiente parágrafo al artículo 2º de la Ley 1150 de 2007. PARÁGRAFO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w:t>
      </w:r>
    </w:p>
  </w:footnote>
  <w:footnote w:id="11">
    <w:p w14:paraId="36164583" w14:textId="2FFB7503" w:rsidR="009C5E1C" w:rsidRPr="00C667F5" w:rsidRDefault="009C5E1C" w:rsidP="009F5860">
      <w:pPr>
        <w:pStyle w:val="Textonotapie"/>
        <w:ind w:firstLine="709"/>
        <w:jc w:val="both"/>
        <w:rPr>
          <w:rFonts w:ascii="Arial" w:eastAsia="Calibri" w:hAnsi="Arial" w:cs="Arial"/>
          <w:sz w:val="18"/>
          <w:szCs w:val="18"/>
        </w:rPr>
      </w:pPr>
      <w:r w:rsidRPr="00E74412">
        <w:rPr>
          <w:rStyle w:val="Refdenotaalpie"/>
          <w:rFonts w:ascii="Arial" w:hAnsi="Arial" w:cs="Arial"/>
          <w:sz w:val="18"/>
          <w:szCs w:val="18"/>
        </w:rPr>
        <w:footnoteRef/>
      </w:r>
      <w:r w:rsidRPr="00E74412">
        <w:rPr>
          <w:rFonts w:ascii="Arial" w:hAnsi="Arial" w:cs="Arial"/>
          <w:sz w:val="18"/>
          <w:szCs w:val="18"/>
        </w:rPr>
        <w:t xml:space="preserve"> </w:t>
      </w:r>
      <w:r w:rsidRPr="00E74412">
        <w:rPr>
          <w:rFonts w:ascii="Arial" w:eastAsia="Calibri" w:hAnsi="Arial" w:cs="Arial"/>
          <w:sz w:val="18"/>
          <w:szCs w:val="18"/>
        </w:rPr>
        <w:t xml:space="preserve">Todos los documentos tipo vigentes en la actualidad puede ser consultado en: </w:t>
      </w:r>
      <w:hyperlink r:id="rId4" w:history="1">
        <w:r w:rsidRPr="00E74412">
          <w:rPr>
            <w:rStyle w:val="Hipervnculo"/>
            <w:rFonts w:ascii="Arial" w:eastAsia="Calibri" w:hAnsi="Arial" w:cs="Arial"/>
            <w:sz w:val="18"/>
            <w:szCs w:val="18"/>
          </w:rPr>
          <w:t>https://www.colombiacompra.gov.co/documentos-tipo/documentos-tipo</w:t>
        </w:r>
      </w:hyperlink>
    </w:p>
    <w:p w14:paraId="5CC4D053" w14:textId="77777777" w:rsidR="003B42A6" w:rsidRPr="00E74412" w:rsidRDefault="003B42A6" w:rsidP="00E74412">
      <w:pPr>
        <w:pStyle w:val="Textonotapie"/>
        <w:ind w:firstLine="709"/>
        <w:jc w:val="both"/>
        <w:rPr>
          <w:rFonts w:ascii="Arial" w:hAnsi="Arial" w:cs="Arial"/>
          <w:sz w:val="18"/>
          <w:szCs w:val="18"/>
        </w:rPr>
      </w:pPr>
    </w:p>
  </w:footnote>
  <w:footnote w:id="12">
    <w:p w14:paraId="02629CBF" w14:textId="563BC62C" w:rsidR="001F4A87" w:rsidRPr="00E74412" w:rsidRDefault="001F0BA1" w:rsidP="00E74412">
      <w:pPr>
        <w:ind w:firstLine="709"/>
        <w:jc w:val="both"/>
        <w:rPr>
          <w:rFonts w:ascii="Arial" w:hAnsi="Arial" w:cs="Arial"/>
          <w:sz w:val="18"/>
          <w:szCs w:val="18"/>
          <w:shd w:val="clear" w:color="auto" w:fill="FFFFFF"/>
          <w:lang w:val="es-ES_tradnl" w:eastAsia="es-ES_tradnl"/>
        </w:rPr>
      </w:pPr>
      <w:r w:rsidRPr="00E74412">
        <w:rPr>
          <w:rStyle w:val="Refdenotaalpie"/>
          <w:rFonts w:ascii="Arial" w:hAnsi="Arial" w:cs="Arial"/>
          <w:sz w:val="18"/>
          <w:szCs w:val="18"/>
        </w:rPr>
        <w:footnoteRef/>
      </w:r>
      <w:r w:rsidRPr="00E74412">
        <w:rPr>
          <w:rFonts w:ascii="Arial" w:hAnsi="Arial" w:cs="Arial"/>
          <w:sz w:val="18"/>
          <w:szCs w:val="18"/>
        </w:rPr>
        <w:t xml:space="preserve"> </w:t>
      </w:r>
      <w:r w:rsidRPr="00E74412">
        <w:rPr>
          <w:rFonts w:ascii="Arial" w:hAnsi="Arial" w:cs="Arial"/>
          <w:sz w:val="18"/>
          <w:szCs w:val="18"/>
          <w:shd w:val="clear" w:color="auto" w:fill="FFFFFF"/>
          <w:lang w:val="es-ES_tradnl" w:eastAsia="es-ES_tradnl"/>
        </w:rPr>
        <w:t>El fundamento legal vigente de la regla de la inalterabilidad, como expresión de la obligatoriedad de los documentos tipo, se encuentra en el artículo 1 de la Ley 2022 de 2020, según el cual «</w:t>
      </w:r>
      <w:r w:rsidRPr="00E74412">
        <w:rPr>
          <w:rFonts w:ascii="Arial" w:hAnsi="Arial" w:cs="Arial"/>
          <w:sz w:val="18"/>
          <w:szCs w:val="18"/>
          <w:lang w:val="es-ES_tradnl" w:eastAsia="es-ES_tradnl"/>
        </w:rPr>
        <w:t xml:space="preserve">[…] </w:t>
      </w:r>
      <w:r w:rsidRPr="00E74412">
        <w:rPr>
          <w:rFonts w:ascii="Arial" w:hAnsi="Arial" w:cs="Arial"/>
          <w:sz w:val="18"/>
          <w:szCs w:val="18"/>
          <w:shd w:val="clear" w:color="auto" w:fill="FFFFFF"/>
          <w:lang w:val="es-ES_tradnl" w:eastAsia="es-ES_tradnl"/>
        </w:rPr>
        <w:t>serán de obligatorio cumplimiento en la actividad contractual de todas las entidades sometidas al Estatuto General de Contratación de la Administración Pública», pero eso no significa que antes no rigiera, pues así también lo disponía el artículo 4 de la Ley 1882 de 2018. Incluso por vía reglamentaria también quedó consignado en su momento el carácter inmodificable de los pliegos tipo en el artículo 1 de los Decretos 342 de 2019 y 594 de 2020, que adicionaron, respectivamente, los artículos 2.2.1.2.6.1.4. y 2.2.1.2.6.3.4 al Decreto 1082 de 2015.</w:t>
      </w:r>
    </w:p>
    <w:p w14:paraId="6C0CC2C0" w14:textId="7163D685" w:rsidR="001F0BA1" w:rsidRPr="00E74412" w:rsidRDefault="001F0BA1" w:rsidP="00E74412">
      <w:pPr>
        <w:ind w:firstLine="709"/>
        <w:jc w:val="both"/>
        <w:rPr>
          <w:rFonts w:ascii="Arial" w:hAnsi="Arial" w:cs="Arial"/>
          <w:sz w:val="18"/>
          <w:szCs w:val="18"/>
        </w:rPr>
      </w:pPr>
    </w:p>
  </w:footnote>
  <w:footnote w:id="13">
    <w:p w14:paraId="011BC607" w14:textId="5279C0E6" w:rsidR="00594698" w:rsidRPr="00E74412" w:rsidRDefault="00594698" w:rsidP="00E74412">
      <w:pPr>
        <w:shd w:val="clear" w:color="auto" w:fill="FFFFFF"/>
        <w:ind w:firstLine="709"/>
        <w:jc w:val="both"/>
        <w:rPr>
          <w:rFonts w:ascii="Arial" w:hAnsi="Arial" w:cs="Arial"/>
          <w:sz w:val="18"/>
          <w:szCs w:val="18"/>
        </w:rPr>
      </w:pPr>
      <w:r w:rsidRPr="00E74412">
        <w:rPr>
          <w:rStyle w:val="Refdenotaalpie"/>
          <w:rFonts w:ascii="Arial" w:hAnsi="Arial" w:cs="Arial"/>
          <w:sz w:val="18"/>
          <w:szCs w:val="18"/>
        </w:rPr>
        <w:footnoteRef/>
      </w:r>
      <w:r w:rsidRPr="00E74412">
        <w:rPr>
          <w:rFonts w:ascii="Arial" w:hAnsi="Arial" w:cs="Arial"/>
          <w:sz w:val="18"/>
          <w:szCs w:val="18"/>
        </w:rPr>
        <w:t xml:space="preserve"> Díaz Díez, Cristian </w:t>
      </w:r>
      <w:r w:rsidR="001F4A87" w:rsidRPr="00E74412">
        <w:rPr>
          <w:rFonts w:ascii="Arial" w:hAnsi="Arial" w:cs="Arial"/>
          <w:sz w:val="18"/>
          <w:szCs w:val="18"/>
        </w:rPr>
        <w:t xml:space="preserve">Andrés. </w:t>
      </w:r>
      <w:r w:rsidR="001F4A87" w:rsidRPr="00E74412">
        <w:rPr>
          <w:rFonts w:ascii="Arial" w:hAnsi="Arial" w:cs="Arial"/>
          <w:sz w:val="18"/>
          <w:szCs w:val="18"/>
          <w:lang w:eastAsia="es-CO"/>
        </w:rPr>
        <w:t>Documentos tipo obligatorios: ¿supresión de la potestad discrecional para la confección del pliego de condiciones?”, Revista digital de Derecho Administrativo, Universidad Externado de Colombia, n.º 24, 2020, pp. 127-159</w:t>
      </w:r>
    </w:p>
  </w:footnote>
  <w:footnote w:id="14">
    <w:p w14:paraId="2C85E350" w14:textId="4B74AE0C" w:rsidR="0069743E" w:rsidRPr="00E74412" w:rsidRDefault="0069743E" w:rsidP="00E74412">
      <w:pPr>
        <w:pStyle w:val="Textonotapie"/>
        <w:ind w:firstLine="709"/>
        <w:jc w:val="both"/>
        <w:rPr>
          <w:rFonts w:ascii="Arial" w:hAnsi="Arial" w:cs="Arial"/>
          <w:color w:val="000000"/>
          <w:sz w:val="18"/>
          <w:szCs w:val="18"/>
        </w:rPr>
      </w:pPr>
      <w:r w:rsidRPr="00E74412">
        <w:rPr>
          <w:rStyle w:val="Refdenotaalpie"/>
          <w:rFonts w:ascii="Arial" w:hAnsi="Arial" w:cs="Arial"/>
          <w:sz w:val="18"/>
          <w:szCs w:val="18"/>
        </w:rPr>
        <w:footnoteRef/>
      </w:r>
      <w:r w:rsidRPr="00E74412">
        <w:rPr>
          <w:rFonts w:ascii="Arial" w:hAnsi="Arial" w:cs="Arial"/>
          <w:sz w:val="18"/>
          <w:szCs w:val="18"/>
        </w:rPr>
        <w:t xml:space="preserve"> </w:t>
      </w:r>
      <w:r w:rsidRPr="00E74412">
        <w:rPr>
          <w:rFonts w:ascii="Arial" w:hAnsi="Arial" w:cs="Arial"/>
          <w:color w:val="000000"/>
          <w:sz w:val="18"/>
          <w:szCs w:val="18"/>
        </w:rPr>
        <w:t>Esto sin perjuicio de que, en los procesos en los que no resulte forzosa la aplicación de documentos tipo, las entidades estatales puedan, en ejercicio de su autonomía contractual y discrecionalidad administrativa, aplicar los documentos tipo como buena práctica contractual, sin que ello implique condicionar o eliminar su discrecionalidad para incorporar factores de evaluación diferentes.</w:t>
      </w:r>
    </w:p>
    <w:p w14:paraId="4780F6BA" w14:textId="77777777" w:rsidR="0069743E" w:rsidRPr="00E74412" w:rsidRDefault="0069743E" w:rsidP="00E74412">
      <w:pPr>
        <w:pStyle w:val="Textonotapie"/>
        <w:jc w:val="both"/>
        <w:rPr>
          <w:rFonts w:ascii="Arial" w:hAnsi="Arial" w:cs="Arial"/>
          <w:sz w:val="18"/>
          <w:szCs w:val="18"/>
        </w:rPr>
      </w:pPr>
    </w:p>
  </w:footnote>
  <w:footnote w:id="15">
    <w:p w14:paraId="3C625784" w14:textId="326B07B2" w:rsidR="00461578" w:rsidRPr="00E74412" w:rsidRDefault="00461578" w:rsidP="00E74412">
      <w:pPr>
        <w:pStyle w:val="Textonotapie"/>
        <w:ind w:firstLine="709"/>
        <w:rPr>
          <w:rFonts w:ascii="Arial" w:hAnsi="Arial" w:cs="Arial"/>
          <w:sz w:val="18"/>
          <w:szCs w:val="18"/>
        </w:rPr>
      </w:pPr>
      <w:r w:rsidRPr="00E74412">
        <w:rPr>
          <w:rStyle w:val="Refdenotaalpie"/>
          <w:rFonts w:ascii="Arial" w:hAnsi="Arial" w:cs="Arial"/>
          <w:sz w:val="18"/>
          <w:szCs w:val="18"/>
        </w:rPr>
        <w:footnoteRef/>
      </w:r>
      <w:r w:rsidRPr="00E74412">
        <w:rPr>
          <w:rFonts w:ascii="Arial" w:hAnsi="Arial" w:cs="Arial"/>
          <w:sz w:val="18"/>
          <w:szCs w:val="18"/>
        </w:rPr>
        <w:t xml:space="preserve"> </w:t>
      </w:r>
      <w:hyperlink r:id="rId5" w:history="1">
        <w:r w:rsidRPr="00E74412">
          <w:rPr>
            <w:rStyle w:val="Hipervnculo"/>
            <w:rFonts w:ascii="Arial" w:hAnsi="Arial" w:cs="Arial"/>
            <w:sz w:val="18"/>
            <w:szCs w:val="18"/>
          </w:rPr>
          <w:t>https://www.colombiacompra.gov.co/manuales-guias-y-pliegos-tipo/manuales-y-guias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AC93" w14:textId="77777777" w:rsidR="00D81E5B" w:rsidRDefault="000965D3">
    <w:pPr>
      <w:pStyle w:val="Encabezado"/>
    </w:pPr>
    <w:r>
      <w:rPr>
        <w:noProof/>
        <w:lang w:val="es-CO" w:eastAsia="es-CO"/>
      </w:rPr>
      <w:drawing>
        <wp:anchor distT="0" distB="0" distL="114300" distR="114300" simplePos="0" relativeHeight="251659264" behindDoc="1" locked="0" layoutInCell="1" allowOverlap="1" wp14:anchorId="476E6BB2" wp14:editId="7226683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546DC"/>
    <w:multiLevelType w:val="multilevel"/>
    <w:tmpl w:val="AB72A7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16cid:durableId="803934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67"/>
    <w:rsid w:val="000027AC"/>
    <w:rsid w:val="0000290E"/>
    <w:rsid w:val="00027E00"/>
    <w:rsid w:val="00034765"/>
    <w:rsid w:val="0004470C"/>
    <w:rsid w:val="00051DF9"/>
    <w:rsid w:val="00063E22"/>
    <w:rsid w:val="000770A6"/>
    <w:rsid w:val="00093ECC"/>
    <w:rsid w:val="000965D3"/>
    <w:rsid w:val="000A71F8"/>
    <w:rsid w:val="000B322A"/>
    <w:rsid w:val="000B6B23"/>
    <w:rsid w:val="000B7A2F"/>
    <w:rsid w:val="000C0C5A"/>
    <w:rsid w:val="000C41FF"/>
    <w:rsid w:val="000D31AF"/>
    <w:rsid w:val="000E4BCC"/>
    <w:rsid w:val="0010115C"/>
    <w:rsid w:val="00110547"/>
    <w:rsid w:val="0014294A"/>
    <w:rsid w:val="00145CEA"/>
    <w:rsid w:val="001542F1"/>
    <w:rsid w:val="00155176"/>
    <w:rsid w:val="00156332"/>
    <w:rsid w:val="00160EA4"/>
    <w:rsid w:val="0016321F"/>
    <w:rsid w:val="00166895"/>
    <w:rsid w:val="00172E23"/>
    <w:rsid w:val="001A7515"/>
    <w:rsid w:val="001B1ED3"/>
    <w:rsid w:val="001B5043"/>
    <w:rsid w:val="001D169F"/>
    <w:rsid w:val="001D579D"/>
    <w:rsid w:val="001F0BA1"/>
    <w:rsid w:val="001F2FE7"/>
    <w:rsid w:val="001F4A87"/>
    <w:rsid w:val="0022027A"/>
    <w:rsid w:val="00222FE7"/>
    <w:rsid w:val="00234C96"/>
    <w:rsid w:val="00236169"/>
    <w:rsid w:val="002370E0"/>
    <w:rsid w:val="00244285"/>
    <w:rsid w:val="0025667C"/>
    <w:rsid w:val="00266469"/>
    <w:rsid w:val="00273DB1"/>
    <w:rsid w:val="00276E87"/>
    <w:rsid w:val="00276F1D"/>
    <w:rsid w:val="00290872"/>
    <w:rsid w:val="00294A56"/>
    <w:rsid w:val="002B5D94"/>
    <w:rsid w:val="002C3DC8"/>
    <w:rsid w:val="002D55E0"/>
    <w:rsid w:val="002E0539"/>
    <w:rsid w:val="002E4878"/>
    <w:rsid w:val="002F3B48"/>
    <w:rsid w:val="00305DDD"/>
    <w:rsid w:val="00311E48"/>
    <w:rsid w:val="003142AF"/>
    <w:rsid w:val="003210B5"/>
    <w:rsid w:val="003258E3"/>
    <w:rsid w:val="00334B19"/>
    <w:rsid w:val="0035529C"/>
    <w:rsid w:val="00355937"/>
    <w:rsid w:val="0037154B"/>
    <w:rsid w:val="00372146"/>
    <w:rsid w:val="00375947"/>
    <w:rsid w:val="0038422A"/>
    <w:rsid w:val="00391B62"/>
    <w:rsid w:val="00395260"/>
    <w:rsid w:val="003A4ACF"/>
    <w:rsid w:val="003B42A6"/>
    <w:rsid w:val="003C0050"/>
    <w:rsid w:val="003C7067"/>
    <w:rsid w:val="003E060B"/>
    <w:rsid w:val="003F2CA6"/>
    <w:rsid w:val="00427639"/>
    <w:rsid w:val="00452C65"/>
    <w:rsid w:val="004541BB"/>
    <w:rsid w:val="00461578"/>
    <w:rsid w:val="004662C1"/>
    <w:rsid w:val="004708A3"/>
    <w:rsid w:val="00472517"/>
    <w:rsid w:val="004963B0"/>
    <w:rsid w:val="004A0C2B"/>
    <w:rsid w:val="004A2FA1"/>
    <w:rsid w:val="004A6DF7"/>
    <w:rsid w:val="004B3476"/>
    <w:rsid w:val="004C1C33"/>
    <w:rsid w:val="004D4519"/>
    <w:rsid w:val="004E5663"/>
    <w:rsid w:val="004E76CB"/>
    <w:rsid w:val="004F654F"/>
    <w:rsid w:val="005058EF"/>
    <w:rsid w:val="0051003B"/>
    <w:rsid w:val="00521AC0"/>
    <w:rsid w:val="005278E3"/>
    <w:rsid w:val="0053012B"/>
    <w:rsid w:val="005313ED"/>
    <w:rsid w:val="00543797"/>
    <w:rsid w:val="00545362"/>
    <w:rsid w:val="005463B4"/>
    <w:rsid w:val="00546A01"/>
    <w:rsid w:val="00546BD3"/>
    <w:rsid w:val="00554FCF"/>
    <w:rsid w:val="00584231"/>
    <w:rsid w:val="005867C9"/>
    <w:rsid w:val="00594698"/>
    <w:rsid w:val="005E57D6"/>
    <w:rsid w:val="00607049"/>
    <w:rsid w:val="00645FB0"/>
    <w:rsid w:val="00660C19"/>
    <w:rsid w:val="00664E56"/>
    <w:rsid w:val="00676C2D"/>
    <w:rsid w:val="006908AF"/>
    <w:rsid w:val="0069743E"/>
    <w:rsid w:val="006B205F"/>
    <w:rsid w:val="006C25DE"/>
    <w:rsid w:val="006C67CE"/>
    <w:rsid w:val="006C730C"/>
    <w:rsid w:val="006D66D3"/>
    <w:rsid w:val="006D7111"/>
    <w:rsid w:val="006E280E"/>
    <w:rsid w:val="006E2E59"/>
    <w:rsid w:val="006E3684"/>
    <w:rsid w:val="006F628A"/>
    <w:rsid w:val="007007D0"/>
    <w:rsid w:val="0071057D"/>
    <w:rsid w:val="0071587F"/>
    <w:rsid w:val="007444BB"/>
    <w:rsid w:val="007477FE"/>
    <w:rsid w:val="00763584"/>
    <w:rsid w:val="007704C1"/>
    <w:rsid w:val="00774EA0"/>
    <w:rsid w:val="00780EF8"/>
    <w:rsid w:val="007A09E8"/>
    <w:rsid w:val="007A48A1"/>
    <w:rsid w:val="007A52B4"/>
    <w:rsid w:val="007B0517"/>
    <w:rsid w:val="007B4AAC"/>
    <w:rsid w:val="007B4CC3"/>
    <w:rsid w:val="007C14A7"/>
    <w:rsid w:val="007E48AE"/>
    <w:rsid w:val="007F4036"/>
    <w:rsid w:val="0081740F"/>
    <w:rsid w:val="00854A55"/>
    <w:rsid w:val="008702BA"/>
    <w:rsid w:val="00876B78"/>
    <w:rsid w:val="00890D5F"/>
    <w:rsid w:val="00893807"/>
    <w:rsid w:val="008951CE"/>
    <w:rsid w:val="008A6295"/>
    <w:rsid w:val="008D2933"/>
    <w:rsid w:val="008D35A4"/>
    <w:rsid w:val="008E33F5"/>
    <w:rsid w:val="008E518E"/>
    <w:rsid w:val="00920086"/>
    <w:rsid w:val="0092073B"/>
    <w:rsid w:val="0092111A"/>
    <w:rsid w:val="00924576"/>
    <w:rsid w:val="009346BA"/>
    <w:rsid w:val="0094506A"/>
    <w:rsid w:val="009527E4"/>
    <w:rsid w:val="00961511"/>
    <w:rsid w:val="00977BC1"/>
    <w:rsid w:val="00984D8B"/>
    <w:rsid w:val="00987493"/>
    <w:rsid w:val="0099278D"/>
    <w:rsid w:val="0099407E"/>
    <w:rsid w:val="00994D39"/>
    <w:rsid w:val="0099787B"/>
    <w:rsid w:val="009B5641"/>
    <w:rsid w:val="009B5F97"/>
    <w:rsid w:val="009B6276"/>
    <w:rsid w:val="009C16B3"/>
    <w:rsid w:val="009C5E1C"/>
    <w:rsid w:val="009C7BBC"/>
    <w:rsid w:val="009D66B9"/>
    <w:rsid w:val="009D6BD7"/>
    <w:rsid w:val="009F0A44"/>
    <w:rsid w:val="009F4002"/>
    <w:rsid w:val="009F5860"/>
    <w:rsid w:val="00A009D4"/>
    <w:rsid w:val="00A04819"/>
    <w:rsid w:val="00A21241"/>
    <w:rsid w:val="00A2369A"/>
    <w:rsid w:val="00A23905"/>
    <w:rsid w:val="00A55358"/>
    <w:rsid w:val="00A55366"/>
    <w:rsid w:val="00A57E21"/>
    <w:rsid w:val="00A63DA3"/>
    <w:rsid w:val="00A86314"/>
    <w:rsid w:val="00A977C8"/>
    <w:rsid w:val="00AC4FE9"/>
    <w:rsid w:val="00AC5A39"/>
    <w:rsid w:val="00AD027E"/>
    <w:rsid w:val="00AE3552"/>
    <w:rsid w:val="00B0338C"/>
    <w:rsid w:val="00B036EA"/>
    <w:rsid w:val="00B24B11"/>
    <w:rsid w:val="00B71F0A"/>
    <w:rsid w:val="00B742C2"/>
    <w:rsid w:val="00B74E3B"/>
    <w:rsid w:val="00B82D1D"/>
    <w:rsid w:val="00BA0AE4"/>
    <w:rsid w:val="00BC51F1"/>
    <w:rsid w:val="00BD5A6F"/>
    <w:rsid w:val="00BD5ED5"/>
    <w:rsid w:val="00C1122A"/>
    <w:rsid w:val="00C21998"/>
    <w:rsid w:val="00C30F2F"/>
    <w:rsid w:val="00C43F7C"/>
    <w:rsid w:val="00C46B18"/>
    <w:rsid w:val="00C667F5"/>
    <w:rsid w:val="00C76716"/>
    <w:rsid w:val="00C807B0"/>
    <w:rsid w:val="00C95355"/>
    <w:rsid w:val="00C967B4"/>
    <w:rsid w:val="00CB0C0E"/>
    <w:rsid w:val="00CF21BD"/>
    <w:rsid w:val="00CF4D94"/>
    <w:rsid w:val="00D13E49"/>
    <w:rsid w:val="00D14CB4"/>
    <w:rsid w:val="00D56CA2"/>
    <w:rsid w:val="00D62C94"/>
    <w:rsid w:val="00D81E5B"/>
    <w:rsid w:val="00D95F6B"/>
    <w:rsid w:val="00D97105"/>
    <w:rsid w:val="00DA07F3"/>
    <w:rsid w:val="00DE7249"/>
    <w:rsid w:val="00E06A3D"/>
    <w:rsid w:val="00E1744A"/>
    <w:rsid w:val="00E2370B"/>
    <w:rsid w:val="00E36420"/>
    <w:rsid w:val="00E457BB"/>
    <w:rsid w:val="00E55AA2"/>
    <w:rsid w:val="00E74412"/>
    <w:rsid w:val="00E84094"/>
    <w:rsid w:val="00E93DD3"/>
    <w:rsid w:val="00EB1DBF"/>
    <w:rsid w:val="00EB32BF"/>
    <w:rsid w:val="00ED55F2"/>
    <w:rsid w:val="00F00588"/>
    <w:rsid w:val="00F06CDD"/>
    <w:rsid w:val="00F13E1E"/>
    <w:rsid w:val="00F17E55"/>
    <w:rsid w:val="00F2234C"/>
    <w:rsid w:val="00F37E69"/>
    <w:rsid w:val="00F37FFA"/>
    <w:rsid w:val="00F4282D"/>
    <w:rsid w:val="00F44EDE"/>
    <w:rsid w:val="00F537D7"/>
    <w:rsid w:val="00F646A8"/>
    <w:rsid w:val="00F967CA"/>
    <w:rsid w:val="00FB2D69"/>
    <w:rsid w:val="00FB4302"/>
    <w:rsid w:val="00FB59B1"/>
    <w:rsid w:val="00FB5F56"/>
    <w:rsid w:val="00FC0382"/>
    <w:rsid w:val="00FC0CA5"/>
    <w:rsid w:val="00FC460F"/>
    <w:rsid w:val="00FE1E54"/>
    <w:rsid w:val="00FF20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49E1"/>
  <w15:docId w15:val="{3AA234BB-4D13-49C7-BBBC-CD96B266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067"/>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C706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C7067"/>
    <w:rPr>
      <w:szCs w:val="22"/>
      <w:lang w:val="es-MX"/>
    </w:rPr>
  </w:style>
  <w:style w:type="paragraph" w:styleId="Encabezado">
    <w:name w:val="header"/>
    <w:basedOn w:val="Normal"/>
    <w:link w:val="EncabezadoCar"/>
    <w:uiPriority w:val="99"/>
    <w:unhideWhenUsed/>
    <w:rsid w:val="003C706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C7067"/>
    <w:rPr>
      <w:szCs w:val="22"/>
      <w:lang w:val="es-MX"/>
    </w:rPr>
  </w:style>
  <w:style w:type="table" w:styleId="Tablaconcuadrcula">
    <w:name w:val="Table Grid"/>
    <w:basedOn w:val="Tablanormal"/>
    <w:uiPriority w:val="39"/>
    <w:qFormat/>
    <w:rsid w:val="003C7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3C7067"/>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3C706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3C706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3C7067"/>
    <w:rPr>
      <w:rFonts w:asciiTheme="minorHAnsi" w:eastAsiaTheme="minorHAnsi" w:hAnsiTheme="minorHAnsi" w:cstheme="minorBidi"/>
      <w:sz w:val="20"/>
      <w:szCs w:val="20"/>
      <w:lang w:val="es-MX" w:eastAsia="en-US"/>
    </w:rPr>
  </w:style>
  <w:style w:type="character" w:customStyle="1" w:styleId="TextonotapieCar1">
    <w:name w:val="Texto nota pie Car1"/>
    <w:aliases w:val="Texto nota pie Car Car,Footnote Text Char Char Char Char Car,Footnote Text Cha Car,Footnote Text Char Char Char Car,FA Fußnotentext Car,FA Fuﬂnotentext Car"/>
    <w:basedOn w:val="Fuentedeprrafopredeter"/>
    <w:qFormat/>
    <w:rsid w:val="003C7067"/>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C706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3C7067"/>
    <w:rPr>
      <w:vertAlign w:val="superscript"/>
    </w:rPr>
  </w:style>
  <w:style w:type="paragraph" w:styleId="Textoindependiente">
    <w:name w:val="Body Text"/>
    <w:basedOn w:val="Normal"/>
    <w:link w:val="TextoindependienteCar"/>
    <w:uiPriority w:val="1"/>
    <w:qFormat/>
    <w:rsid w:val="003C706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3C7067"/>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3C7067"/>
    <w:pPr>
      <w:spacing w:after="160" w:line="240" w:lineRule="exact"/>
    </w:pPr>
    <w:rPr>
      <w:rFonts w:asciiTheme="minorHAnsi" w:eastAsiaTheme="minorHAnsi" w:hAnsiTheme="minorHAnsi" w:cstheme="minorBidi"/>
      <w:vertAlign w:val="superscript"/>
      <w:lang w:eastAsia="en-US"/>
    </w:rPr>
  </w:style>
  <w:style w:type="paragraph" w:styleId="Textocomentario">
    <w:name w:val="annotation text"/>
    <w:basedOn w:val="Normal"/>
    <w:link w:val="TextocomentarioCar"/>
    <w:uiPriority w:val="99"/>
    <w:unhideWhenUsed/>
    <w:rsid w:val="003C7067"/>
    <w:rPr>
      <w:sz w:val="20"/>
      <w:szCs w:val="20"/>
    </w:rPr>
  </w:style>
  <w:style w:type="character" w:customStyle="1" w:styleId="TextocomentarioCar">
    <w:name w:val="Texto comentario Car"/>
    <w:basedOn w:val="Fuentedeprrafopredeter"/>
    <w:link w:val="Textocomentario"/>
    <w:uiPriority w:val="99"/>
    <w:rsid w:val="003C7067"/>
    <w:rPr>
      <w:rFonts w:ascii="Times New Roman" w:eastAsia="Times New Roman" w:hAnsi="Times New Roman" w:cs="Times New Roman"/>
      <w:sz w:val="20"/>
      <w:szCs w:val="20"/>
      <w:lang w:eastAsia="es-MX"/>
    </w:rPr>
  </w:style>
  <w:style w:type="character" w:customStyle="1" w:styleId="normaltextrun">
    <w:name w:val="normaltextrun"/>
    <w:basedOn w:val="Fuentedeprrafopredeter"/>
    <w:rsid w:val="003C7067"/>
  </w:style>
  <w:style w:type="character" w:customStyle="1" w:styleId="eop">
    <w:name w:val="eop"/>
    <w:basedOn w:val="Fuentedeprrafopredeter"/>
    <w:rsid w:val="003C7067"/>
  </w:style>
  <w:style w:type="paragraph" w:customStyle="1" w:styleId="ql-align-justify">
    <w:name w:val="ql-align-justify"/>
    <w:basedOn w:val="Normal"/>
    <w:rsid w:val="003E060B"/>
    <w:pPr>
      <w:spacing w:before="100" w:beforeAutospacing="1" w:after="100" w:afterAutospacing="1"/>
    </w:pPr>
  </w:style>
  <w:style w:type="character" w:customStyle="1" w:styleId="apple-converted-space">
    <w:name w:val="apple-converted-space"/>
    <w:basedOn w:val="Fuentedeprrafopredeter"/>
    <w:rsid w:val="003E060B"/>
  </w:style>
  <w:style w:type="character" w:styleId="Refdecomentario">
    <w:name w:val="annotation reference"/>
    <w:basedOn w:val="Fuentedeprrafopredeter"/>
    <w:uiPriority w:val="99"/>
    <w:semiHidden/>
    <w:unhideWhenUsed/>
    <w:rsid w:val="0016321F"/>
    <w:rPr>
      <w:sz w:val="16"/>
      <w:szCs w:val="16"/>
    </w:rPr>
  </w:style>
  <w:style w:type="paragraph" w:styleId="Asuntodelcomentario">
    <w:name w:val="annotation subject"/>
    <w:basedOn w:val="Textocomentario"/>
    <w:next w:val="Textocomentario"/>
    <w:link w:val="AsuntodelcomentarioCar"/>
    <w:uiPriority w:val="99"/>
    <w:semiHidden/>
    <w:unhideWhenUsed/>
    <w:rsid w:val="0016321F"/>
    <w:rPr>
      <w:b/>
      <w:bCs/>
    </w:rPr>
  </w:style>
  <w:style w:type="character" w:customStyle="1" w:styleId="AsuntodelcomentarioCar">
    <w:name w:val="Asunto del comentario Car"/>
    <w:basedOn w:val="TextocomentarioCar"/>
    <w:link w:val="Asuntodelcomentario"/>
    <w:uiPriority w:val="99"/>
    <w:semiHidden/>
    <w:rsid w:val="0016321F"/>
    <w:rPr>
      <w:rFonts w:ascii="Times New Roman" w:eastAsia="Times New Roman" w:hAnsi="Times New Roman" w:cs="Times New Roman"/>
      <w:b/>
      <w:bCs/>
      <w:sz w:val="20"/>
      <w:szCs w:val="20"/>
      <w:lang w:eastAsia="es-MX"/>
    </w:rPr>
  </w:style>
  <w:style w:type="paragraph" w:styleId="Revisin">
    <w:name w:val="Revision"/>
    <w:hidden/>
    <w:uiPriority w:val="99"/>
    <w:semiHidden/>
    <w:rsid w:val="001B1ED3"/>
    <w:rPr>
      <w:rFonts w:ascii="Times New Roman" w:eastAsia="Times New Roman" w:hAnsi="Times New Roman" w:cs="Times New Roman"/>
      <w:lang w:eastAsia="es-MX"/>
    </w:rPr>
  </w:style>
  <w:style w:type="paragraph" w:customStyle="1" w:styleId="Normal11pt">
    <w:name w:val="Normal + 11 pt"/>
    <w:aliases w:val="Negro,Justificado,Izquierda:  -0,95 cm,Derecha:  0,04 cm"/>
    <w:basedOn w:val="Normal"/>
    <w:uiPriority w:val="99"/>
    <w:rsid w:val="00236169"/>
    <w:pPr>
      <w:ind w:left="-540"/>
      <w:jc w:val="both"/>
    </w:pPr>
    <w:rPr>
      <w:rFonts w:ascii="Arial" w:hAnsi="Arial" w:cs="Arial"/>
      <w:color w:val="000000"/>
      <w:sz w:val="22"/>
      <w:szCs w:val="22"/>
      <w:lang w:val="es-ES_tradnl" w:eastAsia="es-ES"/>
    </w:rPr>
  </w:style>
  <w:style w:type="character" w:styleId="Hipervnculo">
    <w:name w:val="Hyperlink"/>
    <w:basedOn w:val="Fuentedeprrafopredeter"/>
    <w:uiPriority w:val="99"/>
    <w:unhideWhenUsed/>
    <w:rsid w:val="009D6BD7"/>
    <w:rPr>
      <w:color w:val="0000FF"/>
      <w:u w:val="single"/>
    </w:rPr>
  </w:style>
  <w:style w:type="paragraph" w:styleId="NormalWeb">
    <w:name w:val="Normal (Web)"/>
    <w:basedOn w:val="Normal"/>
    <w:uiPriority w:val="99"/>
    <w:semiHidden/>
    <w:unhideWhenUsed/>
    <w:rsid w:val="004963B0"/>
    <w:pPr>
      <w:spacing w:before="100" w:beforeAutospacing="1" w:after="100" w:afterAutospacing="1"/>
    </w:pPr>
  </w:style>
  <w:style w:type="character" w:styleId="Textoennegrita">
    <w:name w:val="Strong"/>
    <w:basedOn w:val="Fuentedeprrafopredeter"/>
    <w:uiPriority w:val="22"/>
    <w:qFormat/>
    <w:rsid w:val="004963B0"/>
    <w:rPr>
      <w:b/>
      <w:bCs/>
    </w:rPr>
  </w:style>
  <w:style w:type="character" w:styleId="nfasis">
    <w:name w:val="Emphasis"/>
    <w:basedOn w:val="Fuentedeprrafopredeter"/>
    <w:uiPriority w:val="20"/>
    <w:qFormat/>
    <w:rsid w:val="004963B0"/>
    <w:rPr>
      <w:i/>
      <w:iCs/>
    </w:rPr>
  </w:style>
  <w:style w:type="character" w:styleId="Mencinsinresolver">
    <w:name w:val="Unresolved Mention"/>
    <w:basedOn w:val="Fuentedeprrafopredeter"/>
    <w:uiPriority w:val="99"/>
    <w:semiHidden/>
    <w:unhideWhenUsed/>
    <w:rsid w:val="001F0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80027">
      <w:bodyDiv w:val="1"/>
      <w:marLeft w:val="0"/>
      <w:marRight w:val="0"/>
      <w:marTop w:val="0"/>
      <w:marBottom w:val="0"/>
      <w:divBdr>
        <w:top w:val="none" w:sz="0" w:space="0" w:color="auto"/>
        <w:left w:val="none" w:sz="0" w:space="0" w:color="auto"/>
        <w:bottom w:val="none" w:sz="0" w:space="0" w:color="auto"/>
        <w:right w:val="none" w:sz="0" w:space="0" w:color="auto"/>
      </w:divBdr>
      <w:divsChild>
        <w:div w:id="399133508">
          <w:marLeft w:val="0"/>
          <w:marRight w:val="0"/>
          <w:marTop w:val="0"/>
          <w:marBottom w:val="0"/>
          <w:divBdr>
            <w:top w:val="none" w:sz="0" w:space="0" w:color="auto"/>
            <w:left w:val="none" w:sz="0" w:space="0" w:color="auto"/>
            <w:bottom w:val="none" w:sz="0" w:space="0" w:color="auto"/>
            <w:right w:val="none" w:sz="0" w:space="0" w:color="auto"/>
          </w:divBdr>
          <w:divsChild>
            <w:div w:id="110511755">
              <w:marLeft w:val="0"/>
              <w:marRight w:val="0"/>
              <w:marTop w:val="0"/>
              <w:marBottom w:val="0"/>
              <w:divBdr>
                <w:top w:val="none" w:sz="0" w:space="0" w:color="auto"/>
                <w:left w:val="none" w:sz="0" w:space="0" w:color="auto"/>
                <w:bottom w:val="none" w:sz="0" w:space="0" w:color="auto"/>
                <w:right w:val="none" w:sz="0" w:space="0" w:color="auto"/>
              </w:divBdr>
            </w:div>
            <w:div w:id="173619910">
              <w:marLeft w:val="0"/>
              <w:marRight w:val="0"/>
              <w:marTop w:val="0"/>
              <w:marBottom w:val="0"/>
              <w:divBdr>
                <w:top w:val="none" w:sz="0" w:space="0" w:color="auto"/>
                <w:left w:val="none" w:sz="0" w:space="0" w:color="auto"/>
                <w:bottom w:val="none" w:sz="0" w:space="0" w:color="auto"/>
                <w:right w:val="none" w:sz="0" w:space="0" w:color="auto"/>
              </w:divBdr>
            </w:div>
            <w:div w:id="579483539">
              <w:marLeft w:val="0"/>
              <w:marRight w:val="0"/>
              <w:marTop w:val="0"/>
              <w:marBottom w:val="0"/>
              <w:divBdr>
                <w:top w:val="none" w:sz="0" w:space="0" w:color="auto"/>
                <w:left w:val="none" w:sz="0" w:space="0" w:color="auto"/>
                <w:bottom w:val="none" w:sz="0" w:space="0" w:color="auto"/>
                <w:right w:val="none" w:sz="0" w:space="0" w:color="auto"/>
              </w:divBdr>
            </w:div>
            <w:div w:id="792556381">
              <w:marLeft w:val="0"/>
              <w:marRight w:val="0"/>
              <w:marTop w:val="0"/>
              <w:marBottom w:val="0"/>
              <w:divBdr>
                <w:top w:val="none" w:sz="0" w:space="0" w:color="auto"/>
                <w:left w:val="none" w:sz="0" w:space="0" w:color="auto"/>
                <w:bottom w:val="none" w:sz="0" w:space="0" w:color="auto"/>
                <w:right w:val="none" w:sz="0" w:space="0" w:color="auto"/>
              </w:divBdr>
            </w:div>
            <w:div w:id="806319965">
              <w:marLeft w:val="0"/>
              <w:marRight w:val="0"/>
              <w:marTop w:val="0"/>
              <w:marBottom w:val="0"/>
              <w:divBdr>
                <w:top w:val="none" w:sz="0" w:space="0" w:color="auto"/>
                <w:left w:val="none" w:sz="0" w:space="0" w:color="auto"/>
                <w:bottom w:val="none" w:sz="0" w:space="0" w:color="auto"/>
                <w:right w:val="none" w:sz="0" w:space="0" w:color="auto"/>
              </w:divBdr>
            </w:div>
            <w:div w:id="1027372752">
              <w:marLeft w:val="0"/>
              <w:marRight w:val="0"/>
              <w:marTop w:val="0"/>
              <w:marBottom w:val="0"/>
              <w:divBdr>
                <w:top w:val="none" w:sz="0" w:space="0" w:color="auto"/>
                <w:left w:val="none" w:sz="0" w:space="0" w:color="auto"/>
                <w:bottom w:val="none" w:sz="0" w:space="0" w:color="auto"/>
                <w:right w:val="none" w:sz="0" w:space="0" w:color="auto"/>
              </w:divBdr>
            </w:div>
            <w:div w:id="1208839404">
              <w:marLeft w:val="0"/>
              <w:marRight w:val="0"/>
              <w:marTop w:val="0"/>
              <w:marBottom w:val="0"/>
              <w:divBdr>
                <w:top w:val="none" w:sz="0" w:space="0" w:color="auto"/>
                <w:left w:val="none" w:sz="0" w:space="0" w:color="auto"/>
                <w:bottom w:val="none" w:sz="0" w:space="0" w:color="auto"/>
                <w:right w:val="none" w:sz="0" w:space="0" w:color="auto"/>
              </w:divBdr>
            </w:div>
            <w:div w:id="1229070665">
              <w:marLeft w:val="0"/>
              <w:marRight w:val="0"/>
              <w:marTop w:val="0"/>
              <w:marBottom w:val="0"/>
              <w:divBdr>
                <w:top w:val="none" w:sz="0" w:space="0" w:color="auto"/>
                <w:left w:val="none" w:sz="0" w:space="0" w:color="auto"/>
                <w:bottom w:val="none" w:sz="0" w:space="0" w:color="auto"/>
                <w:right w:val="none" w:sz="0" w:space="0" w:color="auto"/>
              </w:divBdr>
            </w:div>
            <w:div w:id="1411733568">
              <w:marLeft w:val="0"/>
              <w:marRight w:val="0"/>
              <w:marTop w:val="0"/>
              <w:marBottom w:val="0"/>
              <w:divBdr>
                <w:top w:val="none" w:sz="0" w:space="0" w:color="auto"/>
                <w:left w:val="none" w:sz="0" w:space="0" w:color="auto"/>
                <w:bottom w:val="none" w:sz="0" w:space="0" w:color="auto"/>
                <w:right w:val="none" w:sz="0" w:space="0" w:color="auto"/>
              </w:divBdr>
            </w:div>
            <w:div w:id="1499230849">
              <w:marLeft w:val="0"/>
              <w:marRight w:val="0"/>
              <w:marTop w:val="0"/>
              <w:marBottom w:val="0"/>
              <w:divBdr>
                <w:top w:val="none" w:sz="0" w:space="0" w:color="auto"/>
                <w:left w:val="none" w:sz="0" w:space="0" w:color="auto"/>
                <w:bottom w:val="none" w:sz="0" w:space="0" w:color="auto"/>
                <w:right w:val="none" w:sz="0" w:space="0" w:color="auto"/>
              </w:divBdr>
            </w:div>
            <w:div w:id="1549955371">
              <w:marLeft w:val="0"/>
              <w:marRight w:val="0"/>
              <w:marTop w:val="0"/>
              <w:marBottom w:val="0"/>
              <w:divBdr>
                <w:top w:val="none" w:sz="0" w:space="0" w:color="auto"/>
                <w:left w:val="none" w:sz="0" w:space="0" w:color="auto"/>
                <w:bottom w:val="none" w:sz="0" w:space="0" w:color="auto"/>
                <w:right w:val="none" w:sz="0" w:space="0" w:color="auto"/>
              </w:divBdr>
            </w:div>
            <w:div w:id="1630018027">
              <w:marLeft w:val="0"/>
              <w:marRight w:val="0"/>
              <w:marTop w:val="0"/>
              <w:marBottom w:val="0"/>
              <w:divBdr>
                <w:top w:val="none" w:sz="0" w:space="0" w:color="auto"/>
                <w:left w:val="none" w:sz="0" w:space="0" w:color="auto"/>
                <w:bottom w:val="none" w:sz="0" w:space="0" w:color="auto"/>
                <w:right w:val="none" w:sz="0" w:space="0" w:color="auto"/>
              </w:divBdr>
            </w:div>
            <w:div w:id="1639648031">
              <w:marLeft w:val="0"/>
              <w:marRight w:val="0"/>
              <w:marTop w:val="0"/>
              <w:marBottom w:val="0"/>
              <w:divBdr>
                <w:top w:val="none" w:sz="0" w:space="0" w:color="auto"/>
                <w:left w:val="none" w:sz="0" w:space="0" w:color="auto"/>
                <w:bottom w:val="none" w:sz="0" w:space="0" w:color="auto"/>
                <w:right w:val="none" w:sz="0" w:space="0" w:color="auto"/>
              </w:divBdr>
            </w:div>
            <w:div w:id="1720202991">
              <w:marLeft w:val="0"/>
              <w:marRight w:val="0"/>
              <w:marTop w:val="0"/>
              <w:marBottom w:val="0"/>
              <w:divBdr>
                <w:top w:val="none" w:sz="0" w:space="0" w:color="auto"/>
                <w:left w:val="none" w:sz="0" w:space="0" w:color="auto"/>
                <w:bottom w:val="none" w:sz="0" w:space="0" w:color="auto"/>
                <w:right w:val="none" w:sz="0" w:space="0" w:color="auto"/>
              </w:divBdr>
            </w:div>
            <w:div w:id="2006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1424">
      <w:bodyDiv w:val="1"/>
      <w:marLeft w:val="0"/>
      <w:marRight w:val="0"/>
      <w:marTop w:val="0"/>
      <w:marBottom w:val="0"/>
      <w:divBdr>
        <w:top w:val="none" w:sz="0" w:space="0" w:color="auto"/>
        <w:left w:val="none" w:sz="0" w:space="0" w:color="auto"/>
        <w:bottom w:val="none" w:sz="0" w:space="0" w:color="auto"/>
        <w:right w:val="none" w:sz="0" w:space="0" w:color="auto"/>
      </w:divBdr>
    </w:div>
    <w:div w:id="371344272">
      <w:bodyDiv w:val="1"/>
      <w:marLeft w:val="0"/>
      <w:marRight w:val="0"/>
      <w:marTop w:val="0"/>
      <w:marBottom w:val="0"/>
      <w:divBdr>
        <w:top w:val="none" w:sz="0" w:space="0" w:color="auto"/>
        <w:left w:val="none" w:sz="0" w:space="0" w:color="auto"/>
        <w:bottom w:val="none" w:sz="0" w:space="0" w:color="auto"/>
        <w:right w:val="none" w:sz="0" w:space="0" w:color="auto"/>
      </w:divBdr>
    </w:div>
    <w:div w:id="377316997">
      <w:bodyDiv w:val="1"/>
      <w:marLeft w:val="0"/>
      <w:marRight w:val="0"/>
      <w:marTop w:val="0"/>
      <w:marBottom w:val="0"/>
      <w:divBdr>
        <w:top w:val="none" w:sz="0" w:space="0" w:color="auto"/>
        <w:left w:val="none" w:sz="0" w:space="0" w:color="auto"/>
        <w:bottom w:val="none" w:sz="0" w:space="0" w:color="auto"/>
        <w:right w:val="none" w:sz="0" w:space="0" w:color="auto"/>
      </w:divBdr>
    </w:div>
    <w:div w:id="729768611">
      <w:bodyDiv w:val="1"/>
      <w:marLeft w:val="0"/>
      <w:marRight w:val="0"/>
      <w:marTop w:val="0"/>
      <w:marBottom w:val="0"/>
      <w:divBdr>
        <w:top w:val="none" w:sz="0" w:space="0" w:color="auto"/>
        <w:left w:val="none" w:sz="0" w:space="0" w:color="auto"/>
        <w:bottom w:val="none" w:sz="0" w:space="0" w:color="auto"/>
        <w:right w:val="none" w:sz="0" w:space="0" w:color="auto"/>
      </w:divBdr>
    </w:div>
    <w:div w:id="1403792217">
      <w:bodyDiv w:val="1"/>
      <w:marLeft w:val="0"/>
      <w:marRight w:val="0"/>
      <w:marTop w:val="0"/>
      <w:marBottom w:val="0"/>
      <w:divBdr>
        <w:top w:val="none" w:sz="0" w:space="0" w:color="auto"/>
        <w:left w:val="none" w:sz="0" w:space="0" w:color="auto"/>
        <w:bottom w:val="none" w:sz="0" w:space="0" w:color="auto"/>
        <w:right w:val="none" w:sz="0" w:space="0" w:color="auto"/>
      </w:divBdr>
      <w:divsChild>
        <w:div w:id="1821799566">
          <w:marLeft w:val="0"/>
          <w:marRight w:val="0"/>
          <w:marTop w:val="15"/>
          <w:marBottom w:val="0"/>
          <w:divBdr>
            <w:top w:val="single" w:sz="48" w:space="0" w:color="auto"/>
            <w:left w:val="single" w:sz="48" w:space="0" w:color="auto"/>
            <w:bottom w:val="single" w:sz="48" w:space="0" w:color="auto"/>
            <w:right w:val="single" w:sz="48" w:space="0" w:color="auto"/>
          </w:divBdr>
          <w:divsChild>
            <w:div w:id="16153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5548">
      <w:bodyDiv w:val="1"/>
      <w:marLeft w:val="0"/>
      <w:marRight w:val="0"/>
      <w:marTop w:val="0"/>
      <w:marBottom w:val="0"/>
      <w:divBdr>
        <w:top w:val="none" w:sz="0" w:space="0" w:color="auto"/>
        <w:left w:val="none" w:sz="0" w:space="0" w:color="auto"/>
        <w:bottom w:val="none" w:sz="0" w:space="0" w:color="auto"/>
        <w:right w:val="none" w:sz="0" w:space="0" w:color="auto"/>
      </w:divBdr>
    </w:div>
    <w:div w:id="1768768690">
      <w:bodyDiv w:val="1"/>
      <w:marLeft w:val="0"/>
      <w:marRight w:val="0"/>
      <w:marTop w:val="0"/>
      <w:marBottom w:val="0"/>
      <w:divBdr>
        <w:top w:val="none" w:sz="0" w:space="0" w:color="auto"/>
        <w:left w:val="none" w:sz="0" w:space="0" w:color="auto"/>
        <w:bottom w:val="none" w:sz="0" w:space="0" w:color="auto"/>
        <w:right w:val="none" w:sz="0" w:space="0" w:color="auto"/>
      </w:divBdr>
    </w:div>
    <w:div w:id="2050033785">
      <w:bodyDiv w:val="1"/>
      <w:marLeft w:val="0"/>
      <w:marRight w:val="0"/>
      <w:marTop w:val="0"/>
      <w:marBottom w:val="0"/>
      <w:divBdr>
        <w:top w:val="none" w:sz="0" w:space="0" w:color="auto"/>
        <w:left w:val="none" w:sz="0" w:space="0" w:color="auto"/>
        <w:bottom w:val="none" w:sz="0" w:space="0" w:color="auto"/>
        <w:right w:val="none" w:sz="0" w:space="0" w:color="auto"/>
      </w:divBdr>
    </w:div>
    <w:div w:id="2089690658">
      <w:bodyDiv w:val="1"/>
      <w:marLeft w:val="0"/>
      <w:marRight w:val="0"/>
      <w:marTop w:val="0"/>
      <w:marBottom w:val="0"/>
      <w:divBdr>
        <w:top w:val="none" w:sz="0" w:space="0" w:color="auto"/>
        <w:left w:val="none" w:sz="0" w:space="0" w:color="auto"/>
        <w:bottom w:val="none" w:sz="0" w:space="0" w:color="auto"/>
        <w:right w:val="none" w:sz="0" w:space="0" w:color="auto"/>
      </w:divBdr>
      <w:divsChild>
        <w:div w:id="135414708">
          <w:marLeft w:val="0"/>
          <w:marRight w:val="0"/>
          <w:marTop w:val="0"/>
          <w:marBottom w:val="0"/>
          <w:divBdr>
            <w:top w:val="none" w:sz="0" w:space="0" w:color="auto"/>
            <w:left w:val="none" w:sz="0" w:space="0" w:color="auto"/>
            <w:bottom w:val="none" w:sz="0" w:space="0" w:color="auto"/>
            <w:right w:val="none" w:sz="0" w:space="0" w:color="auto"/>
          </w:divBdr>
          <w:divsChild>
            <w:div w:id="196892328">
              <w:marLeft w:val="0"/>
              <w:marRight w:val="0"/>
              <w:marTop w:val="0"/>
              <w:marBottom w:val="0"/>
              <w:divBdr>
                <w:top w:val="none" w:sz="0" w:space="0" w:color="auto"/>
                <w:left w:val="none" w:sz="0" w:space="0" w:color="auto"/>
                <w:bottom w:val="none" w:sz="0" w:space="0" w:color="auto"/>
                <w:right w:val="none" w:sz="0" w:space="0" w:color="auto"/>
              </w:divBdr>
              <w:divsChild>
                <w:div w:id="13381731">
                  <w:marLeft w:val="0"/>
                  <w:marRight w:val="0"/>
                  <w:marTop w:val="0"/>
                  <w:marBottom w:val="0"/>
                  <w:divBdr>
                    <w:top w:val="none" w:sz="0" w:space="0" w:color="auto"/>
                    <w:left w:val="none" w:sz="0" w:space="0" w:color="auto"/>
                    <w:bottom w:val="none" w:sz="0" w:space="0" w:color="auto"/>
                    <w:right w:val="none" w:sz="0" w:space="0" w:color="auto"/>
                  </w:divBdr>
                </w:div>
                <w:div w:id="133526210">
                  <w:marLeft w:val="0"/>
                  <w:marRight w:val="0"/>
                  <w:marTop w:val="0"/>
                  <w:marBottom w:val="0"/>
                  <w:divBdr>
                    <w:top w:val="none" w:sz="0" w:space="0" w:color="auto"/>
                    <w:left w:val="none" w:sz="0" w:space="0" w:color="auto"/>
                    <w:bottom w:val="none" w:sz="0" w:space="0" w:color="auto"/>
                    <w:right w:val="none" w:sz="0" w:space="0" w:color="auto"/>
                  </w:divBdr>
                </w:div>
                <w:div w:id="164825959">
                  <w:marLeft w:val="0"/>
                  <w:marRight w:val="0"/>
                  <w:marTop w:val="0"/>
                  <w:marBottom w:val="0"/>
                  <w:divBdr>
                    <w:top w:val="none" w:sz="0" w:space="0" w:color="auto"/>
                    <w:left w:val="none" w:sz="0" w:space="0" w:color="auto"/>
                    <w:bottom w:val="none" w:sz="0" w:space="0" w:color="auto"/>
                    <w:right w:val="none" w:sz="0" w:space="0" w:color="auto"/>
                  </w:divBdr>
                </w:div>
                <w:div w:id="681275181">
                  <w:marLeft w:val="0"/>
                  <w:marRight w:val="0"/>
                  <w:marTop w:val="0"/>
                  <w:marBottom w:val="0"/>
                  <w:divBdr>
                    <w:top w:val="none" w:sz="0" w:space="0" w:color="auto"/>
                    <w:left w:val="none" w:sz="0" w:space="0" w:color="auto"/>
                    <w:bottom w:val="none" w:sz="0" w:space="0" w:color="auto"/>
                    <w:right w:val="none" w:sz="0" w:space="0" w:color="auto"/>
                  </w:divBdr>
                </w:div>
                <w:div w:id="723455002">
                  <w:marLeft w:val="0"/>
                  <w:marRight w:val="0"/>
                  <w:marTop w:val="0"/>
                  <w:marBottom w:val="0"/>
                  <w:divBdr>
                    <w:top w:val="none" w:sz="0" w:space="0" w:color="auto"/>
                    <w:left w:val="none" w:sz="0" w:space="0" w:color="auto"/>
                    <w:bottom w:val="none" w:sz="0" w:space="0" w:color="auto"/>
                    <w:right w:val="none" w:sz="0" w:space="0" w:color="auto"/>
                  </w:divBdr>
                </w:div>
                <w:div w:id="815923830">
                  <w:marLeft w:val="0"/>
                  <w:marRight w:val="0"/>
                  <w:marTop w:val="0"/>
                  <w:marBottom w:val="0"/>
                  <w:divBdr>
                    <w:top w:val="none" w:sz="0" w:space="0" w:color="auto"/>
                    <w:left w:val="none" w:sz="0" w:space="0" w:color="auto"/>
                    <w:bottom w:val="none" w:sz="0" w:space="0" w:color="auto"/>
                    <w:right w:val="none" w:sz="0" w:space="0" w:color="auto"/>
                  </w:divBdr>
                </w:div>
                <w:div w:id="819418525">
                  <w:marLeft w:val="0"/>
                  <w:marRight w:val="0"/>
                  <w:marTop w:val="0"/>
                  <w:marBottom w:val="0"/>
                  <w:divBdr>
                    <w:top w:val="none" w:sz="0" w:space="0" w:color="auto"/>
                    <w:left w:val="none" w:sz="0" w:space="0" w:color="auto"/>
                    <w:bottom w:val="none" w:sz="0" w:space="0" w:color="auto"/>
                    <w:right w:val="none" w:sz="0" w:space="0" w:color="auto"/>
                  </w:divBdr>
                </w:div>
                <w:div w:id="1060593502">
                  <w:marLeft w:val="0"/>
                  <w:marRight w:val="0"/>
                  <w:marTop w:val="0"/>
                  <w:marBottom w:val="0"/>
                  <w:divBdr>
                    <w:top w:val="none" w:sz="0" w:space="0" w:color="auto"/>
                    <w:left w:val="none" w:sz="0" w:space="0" w:color="auto"/>
                    <w:bottom w:val="none" w:sz="0" w:space="0" w:color="auto"/>
                    <w:right w:val="none" w:sz="0" w:space="0" w:color="auto"/>
                  </w:divBdr>
                </w:div>
                <w:div w:id="1087651719">
                  <w:marLeft w:val="0"/>
                  <w:marRight w:val="0"/>
                  <w:marTop w:val="0"/>
                  <w:marBottom w:val="0"/>
                  <w:divBdr>
                    <w:top w:val="none" w:sz="0" w:space="0" w:color="auto"/>
                    <w:left w:val="none" w:sz="0" w:space="0" w:color="auto"/>
                    <w:bottom w:val="none" w:sz="0" w:space="0" w:color="auto"/>
                    <w:right w:val="none" w:sz="0" w:space="0" w:color="auto"/>
                  </w:divBdr>
                </w:div>
                <w:div w:id="1153333282">
                  <w:marLeft w:val="0"/>
                  <w:marRight w:val="0"/>
                  <w:marTop w:val="0"/>
                  <w:marBottom w:val="0"/>
                  <w:divBdr>
                    <w:top w:val="none" w:sz="0" w:space="0" w:color="auto"/>
                    <w:left w:val="none" w:sz="0" w:space="0" w:color="auto"/>
                    <w:bottom w:val="none" w:sz="0" w:space="0" w:color="auto"/>
                    <w:right w:val="none" w:sz="0" w:space="0" w:color="auto"/>
                  </w:divBdr>
                </w:div>
                <w:div w:id="1357582108">
                  <w:marLeft w:val="0"/>
                  <w:marRight w:val="0"/>
                  <w:marTop w:val="0"/>
                  <w:marBottom w:val="0"/>
                  <w:divBdr>
                    <w:top w:val="none" w:sz="0" w:space="0" w:color="auto"/>
                    <w:left w:val="none" w:sz="0" w:space="0" w:color="auto"/>
                    <w:bottom w:val="none" w:sz="0" w:space="0" w:color="auto"/>
                    <w:right w:val="none" w:sz="0" w:space="0" w:color="auto"/>
                  </w:divBdr>
                </w:div>
                <w:div w:id="1510556059">
                  <w:marLeft w:val="0"/>
                  <w:marRight w:val="0"/>
                  <w:marTop w:val="0"/>
                  <w:marBottom w:val="0"/>
                  <w:divBdr>
                    <w:top w:val="none" w:sz="0" w:space="0" w:color="auto"/>
                    <w:left w:val="none" w:sz="0" w:space="0" w:color="auto"/>
                    <w:bottom w:val="none" w:sz="0" w:space="0" w:color="auto"/>
                    <w:right w:val="none" w:sz="0" w:space="0" w:color="auto"/>
                  </w:divBdr>
                </w:div>
                <w:div w:id="1685205253">
                  <w:marLeft w:val="0"/>
                  <w:marRight w:val="0"/>
                  <w:marTop w:val="0"/>
                  <w:marBottom w:val="0"/>
                  <w:divBdr>
                    <w:top w:val="none" w:sz="0" w:space="0" w:color="auto"/>
                    <w:left w:val="none" w:sz="0" w:space="0" w:color="auto"/>
                    <w:bottom w:val="none" w:sz="0" w:space="0" w:color="auto"/>
                    <w:right w:val="none" w:sz="0" w:space="0" w:color="auto"/>
                  </w:divBdr>
                </w:div>
                <w:div w:id="1698384643">
                  <w:marLeft w:val="0"/>
                  <w:marRight w:val="0"/>
                  <w:marTop w:val="0"/>
                  <w:marBottom w:val="0"/>
                  <w:divBdr>
                    <w:top w:val="none" w:sz="0" w:space="0" w:color="auto"/>
                    <w:left w:val="none" w:sz="0" w:space="0" w:color="auto"/>
                    <w:bottom w:val="none" w:sz="0" w:space="0" w:color="auto"/>
                    <w:right w:val="none" w:sz="0" w:space="0" w:color="auto"/>
                  </w:divBdr>
                </w:div>
                <w:div w:id="20005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89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cce_circulares/cce_circular_unica.pdf" TargetMode="External"/><Relationship Id="rId2" Type="http://schemas.openxmlformats.org/officeDocument/2006/relationships/hyperlink" Target="http://portal.anla.gov.co/manuales-y-guias" TargetMode="External"/><Relationship Id="rId1" Type="http://schemas.openxmlformats.org/officeDocument/2006/relationships/hyperlink" Target="http://wsp.presidencia.gov.co/Normativa/Decretos/2011/Documents/Noviembre/03/dec417003112011.pdf" TargetMode="External"/><Relationship Id="rId5" Type="http://schemas.openxmlformats.org/officeDocument/2006/relationships/hyperlink" Target="https://www.colombiacompra.gov.co/manuales-guias-y-pliegos-tipo/manuales-y-guias" TargetMode="External"/><Relationship Id="rId4" Type="http://schemas.openxmlformats.org/officeDocument/2006/relationships/hyperlink" Target="https://www.colombiacompra.gov.co/documentos-tipo/documentos-tip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38A-4594-4716-9D8A-93AE9521E067}">
  <ds:schemaRefs>
    <ds:schemaRef ds:uri="http://schemas.microsoft.com/sharepoint/v3/contenttype/forms"/>
  </ds:schemaRefs>
</ds:datastoreItem>
</file>

<file path=customXml/itemProps2.xml><?xml version="1.0" encoding="utf-8"?>
<ds:datastoreItem xmlns:ds="http://schemas.openxmlformats.org/officeDocument/2006/customXml" ds:itemID="{97B86CD8-609B-4F18-8498-305141205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6932E-B5DA-4FFD-BE52-77ED27B73A1E}">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B4D261E8-4D55-8F4E-97C5-84C381B4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5552</Words>
  <Characters>30541</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Martin Rojas Mejia</cp:lastModifiedBy>
  <cp:revision>2</cp:revision>
  <dcterms:created xsi:type="dcterms:W3CDTF">2022-04-26T22:10:00Z</dcterms:created>
  <dcterms:modified xsi:type="dcterms:W3CDTF">2022-04-26T22:10:00Z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