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9709" w14:textId="77777777" w:rsidR="00EC3CA7" w:rsidRDefault="00AF30F5">
      <w:pPr>
        <w:spacing w:after="0" w:line="240" w:lineRule="auto"/>
        <w:rPr>
          <w:rFonts w:ascii="Arial" w:eastAsia="Arial" w:hAnsi="Arial" w:cs="Arial"/>
          <w:b/>
          <w:sz w:val="20"/>
          <w:szCs w:val="20"/>
        </w:rPr>
      </w:pPr>
      <w:bookmarkStart w:id="0" w:name="_gjdgxs" w:colFirst="0" w:colLast="0"/>
      <w:bookmarkEnd w:id="0"/>
      <w:r>
        <w:rPr>
          <w:rFonts w:ascii="Arial" w:eastAsia="Arial" w:hAnsi="Arial" w:cs="Arial"/>
          <w:b/>
          <w:sz w:val="20"/>
          <w:szCs w:val="20"/>
        </w:rPr>
        <w:t>LEY DE GARANTÍAS ELECTORALES – Finalidad</w:t>
      </w:r>
    </w:p>
    <w:p w14:paraId="41DF1C1F" w14:textId="77777777" w:rsidR="00EC3CA7" w:rsidRDefault="00EC3CA7">
      <w:pPr>
        <w:spacing w:after="0" w:line="240" w:lineRule="auto"/>
        <w:rPr>
          <w:rFonts w:ascii="Arial" w:eastAsia="Arial" w:hAnsi="Arial" w:cs="Arial"/>
          <w:sz w:val="20"/>
          <w:szCs w:val="20"/>
        </w:rPr>
      </w:pPr>
    </w:p>
    <w:p w14:paraId="2746A1D0" w14:textId="77777777" w:rsidR="00EC3CA7" w:rsidRDefault="00AF30F5">
      <w:pPr>
        <w:tabs>
          <w:tab w:val="left" w:pos="426"/>
        </w:tabs>
        <w:spacing w:after="0" w:line="240" w:lineRule="auto"/>
        <w:rPr>
          <w:rFonts w:ascii="Arial" w:eastAsia="Arial" w:hAnsi="Arial" w:cs="Arial"/>
          <w:sz w:val="20"/>
          <w:szCs w:val="20"/>
        </w:rPr>
      </w:pPr>
      <w:bookmarkStart w:id="1" w:name="_30j0zll" w:colFirst="0" w:colLast="0"/>
      <w:bookmarkEnd w:id="1"/>
      <w:r>
        <w:rPr>
          <w:rFonts w:ascii="Arial" w:eastAsia="Arial" w:hAnsi="Arial" w:cs="Arial"/>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5BBA6627" w14:textId="77777777" w:rsidR="00EC3CA7" w:rsidRDefault="00EC3CA7">
      <w:pPr>
        <w:tabs>
          <w:tab w:val="left" w:pos="426"/>
        </w:tabs>
        <w:spacing w:after="0" w:line="240" w:lineRule="auto"/>
        <w:rPr>
          <w:rFonts w:ascii="Arial" w:eastAsia="Arial" w:hAnsi="Arial" w:cs="Arial"/>
          <w:sz w:val="20"/>
          <w:szCs w:val="20"/>
        </w:rPr>
      </w:pPr>
      <w:bookmarkStart w:id="2" w:name="_1fob9te" w:colFirst="0" w:colLast="0"/>
      <w:bookmarkEnd w:id="2"/>
    </w:p>
    <w:p w14:paraId="18EDCBD9" w14:textId="77777777" w:rsidR="00EC3CA7" w:rsidRDefault="00AF30F5">
      <w:pPr>
        <w:tabs>
          <w:tab w:val="left" w:pos="426"/>
        </w:tabs>
        <w:spacing w:after="0" w:line="240" w:lineRule="auto"/>
        <w:rPr>
          <w:rFonts w:ascii="Arial" w:eastAsia="Arial" w:hAnsi="Arial" w:cs="Arial"/>
          <w:b/>
          <w:sz w:val="20"/>
          <w:szCs w:val="20"/>
        </w:rPr>
      </w:pPr>
      <w:bookmarkStart w:id="3" w:name="_3znysh7" w:colFirst="0" w:colLast="0"/>
      <w:bookmarkEnd w:id="3"/>
      <w:r>
        <w:rPr>
          <w:rFonts w:ascii="Arial" w:eastAsia="Arial" w:hAnsi="Arial" w:cs="Arial"/>
          <w:b/>
          <w:sz w:val="20"/>
          <w:szCs w:val="20"/>
        </w:rPr>
        <w:t xml:space="preserve">LEY DE GARANTÍAS ELECTORALES ‒ Tipos de restricciones ‒ Ámbito temporal </w:t>
      </w:r>
    </w:p>
    <w:p w14:paraId="75B209F6" w14:textId="77777777" w:rsidR="00EC3CA7" w:rsidRDefault="00EC3CA7">
      <w:pPr>
        <w:tabs>
          <w:tab w:val="left" w:pos="426"/>
        </w:tabs>
        <w:spacing w:after="0" w:line="240" w:lineRule="auto"/>
        <w:rPr>
          <w:rFonts w:ascii="Arial" w:eastAsia="Arial" w:hAnsi="Arial" w:cs="Arial"/>
          <w:b/>
          <w:sz w:val="20"/>
          <w:szCs w:val="20"/>
        </w:rPr>
      </w:pPr>
    </w:p>
    <w:p w14:paraId="4A35232B" w14:textId="77777777" w:rsidR="00EC3CA7" w:rsidRDefault="00AF30F5">
      <w:pPr>
        <w:tabs>
          <w:tab w:val="left" w:pos="426"/>
        </w:tabs>
        <w:spacing w:after="0" w:line="240" w:lineRule="auto"/>
        <w:rPr>
          <w:rFonts w:ascii="Arial" w:eastAsia="Arial" w:hAnsi="Arial" w:cs="Arial"/>
          <w:sz w:val="20"/>
          <w:szCs w:val="20"/>
        </w:rPr>
      </w:pPr>
      <w:r>
        <w:rPr>
          <w:rFonts w:ascii="Arial" w:eastAsia="Arial" w:hAnsi="Arial" w:cs="Arial"/>
          <w:sz w:val="20"/>
          <w:szCs w:val="20"/>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3930BC0" w14:textId="77777777" w:rsidR="00EC3CA7" w:rsidRDefault="00EC3CA7">
      <w:pPr>
        <w:tabs>
          <w:tab w:val="left" w:pos="426"/>
        </w:tabs>
        <w:spacing w:after="0" w:line="240" w:lineRule="auto"/>
        <w:rPr>
          <w:rFonts w:ascii="Arial" w:eastAsia="Arial" w:hAnsi="Arial" w:cs="Arial"/>
          <w:sz w:val="20"/>
          <w:szCs w:val="20"/>
        </w:rPr>
      </w:pPr>
    </w:p>
    <w:p w14:paraId="6B36AA80" w14:textId="77777777" w:rsidR="00EC3CA7" w:rsidRDefault="00AF30F5">
      <w:pPr>
        <w:tabs>
          <w:tab w:val="left" w:pos="426"/>
        </w:tabs>
        <w:spacing w:after="0" w:line="240" w:lineRule="auto"/>
        <w:rPr>
          <w:rFonts w:ascii="Arial" w:eastAsia="Arial" w:hAnsi="Arial" w:cs="Arial"/>
          <w:b/>
          <w:sz w:val="20"/>
          <w:szCs w:val="20"/>
        </w:rPr>
      </w:pPr>
      <w:bookmarkStart w:id="4" w:name="_2et92p0" w:colFirst="0" w:colLast="0"/>
      <w:bookmarkEnd w:id="4"/>
      <w:r>
        <w:rPr>
          <w:rFonts w:ascii="Arial" w:eastAsia="Arial" w:hAnsi="Arial" w:cs="Arial"/>
          <w:b/>
          <w:sz w:val="20"/>
          <w:szCs w:val="20"/>
        </w:rPr>
        <w:t xml:space="preserve">LEY DE GARANTÍAS ELECTORALES ─ Prohibición ‒ Contratación directa ‒ Alcance </w:t>
      </w:r>
    </w:p>
    <w:p w14:paraId="2B37E41E" w14:textId="77777777" w:rsidR="00EC3CA7" w:rsidRDefault="00EC3CA7">
      <w:pPr>
        <w:tabs>
          <w:tab w:val="left" w:pos="426"/>
        </w:tabs>
        <w:spacing w:after="0" w:line="240" w:lineRule="auto"/>
        <w:rPr>
          <w:rFonts w:ascii="Arial" w:eastAsia="Arial" w:hAnsi="Arial" w:cs="Arial"/>
          <w:sz w:val="20"/>
          <w:szCs w:val="20"/>
        </w:rPr>
      </w:pPr>
    </w:p>
    <w:p w14:paraId="1A3710DE" w14:textId="77777777" w:rsidR="00EC3CA7" w:rsidRDefault="00AF30F5">
      <w:pPr>
        <w:tabs>
          <w:tab w:val="left" w:pos="426"/>
        </w:tabs>
        <w:spacing w:after="0" w:line="240" w:lineRule="auto"/>
        <w:rPr>
          <w:rFonts w:ascii="Arial" w:eastAsia="Arial" w:hAnsi="Arial" w:cs="Arial"/>
          <w:sz w:val="20"/>
          <w:szCs w:val="20"/>
        </w:rPr>
      </w:pPr>
      <w:r>
        <w:rPr>
          <w:rFonts w:ascii="Arial" w:eastAsia="Arial" w:hAnsi="Arial" w:cs="Arial"/>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4D8ED071" w14:textId="77777777" w:rsidR="00EC3CA7" w:rsidRDefault="00AF30F5">
      <w:pPr>
        <w:tabs>
          <w:tab w:val="left" w:pos="426"/>
        </w:tabs>
        <w:spacing w:after="0" w:line="240" w:lineRule="auto"/>
        <w:rPr>
          <w:rFonts w:ascii="Arial" w:eastAsia="Arial" w:hAnsi="Arial" w:cs="Arial"/>
          <w:sz w:val="20"/>
          <w:szCs w:val="20"/>
        </w:rPr>
      </w:pPr>
      <w:r>
        <w:rPr>
          <w:rFonts w:ascii="Arial" w:eastAsia="Arial" w:hAnsi="Arial" w:cs="Arial"/>
          <w:sz w:val="20"/>
          <w:szCs w:val="20"/>
        </w:rPr>
        <w:t xml:space="preserve">  </w:t>
      </w:r>
    </w:p>
    <w:p w14:paraId="7ADF56F0" w14:textId="77777777" w:rsidR="00EC3CA7" w:rsidRDefault="00AF30F5">
      <w:pPr>
        <w:shd w:val="clear" w:color="auto" w:fill="FFFFFF"/>
        <w:spacing w:after="0" w:line="240" w:lineRule="auto"/>
        <w:rPr>
          <w:rFonts w:ascii="Arial" w:eastAsia="Arial" w:hAnsi="Arial" w:cs="Arial"/>
          <w:sz w:val="20"/>
          <w:szCs w:val="20"/>
        </w:rPr>
      </w:pPr>
      <w:r>
        <w:rPr>
          <w:rFonts w:ascii="Arial" w:eastAsia="Arial" w:hAnsi="Arial" w:cs="Arial"/>
          <w:b/>
          <w:sz w:val="20"/>
          <w:szCs w:val="20"/>
        </w:rPr>
        <w:t>LEY DE GARANTÍAS ELECTORALES ‒ Excepciones</w:t>
      </w:r>
      <w:r>
        <w:rPr>
          <w:rFonts w:ascii="Arial" w:eastAsia="Arial" w:hAnsi="Arial" w:cs="Arial"/>
          <w:sz w:val="20"/>
          <w:szCs w:val="20"/>
        </w:rPr>
        <w:t xml:space="preserve"> </w:t>
      </w:r>
      <w:bookmarkStart w:id="5" w:name="_tyjcwt" w:colFirst="0" w:colLast="0"/>
      <w:bookmarkEnd w:id="5"/>
    </w:p>
    <w:p w14:paraId="651737DC" w14:textId="77777777" w:rsidR="00EC3CA7" w:rsidRDefault="00EC3CA7">
      <w:pPr>
        <w:shd w:val="clear" w:color="auto" w:fill="FFFFFF"/>
        <w:spacing w:after="0" w:line="240" w:lineRule="auto"/>
        <w:rPr>
          <w:rFonts w:ascii="Arial" w:eastAsia="Arial" w:hAnsi="Arial" w:cs="Arial"/>
          <w:sz w:val="20"/>
          <w:szCs w:val="20"/>
        </w:rPr>
      </w:pPr>
    </w:p>
    <w:p w14:paraId="46C6EABB" w14:textId="77777777" w:rsidR="00EC3CA7" w:rsidRDefault="00AF30F5">
      <w:pPr>
        <w:tabs>
          <w:tab w:val="left" w:pos="426"/>
        </w:tabs>
        <w:spacing w:after="0" w:line="240" w:lineRule="auto"/>
        <w:rPr>
          <w:rFonts w:ascii="Arial" w:eastAsia="Arial" w:hAnsi="Arial" w:cs="Arial"/>
          <w:sz w:val="20"/>
          <w:szCs w:val="20"/>
        </w:rPr>
      </w:pPr>
      <w:r>
        <w:rPr>
          <w:rFonts w:ascii="Arial" w:eastAsia="Arial" w:hAnsi="Arial" w:cs="Arial"/>
          <w:sz w:val="20"/>
          <w:szCs w:val="20"/>
        </w:rPr>
        <w:t xml:space="preserve">[…]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w:t>
      </w:r>
      <w:r>
        <w:rPr>
          <w:rFonts w:ascii="Arial" w:eastAsia="Arial" w:hAnsi="Arial" w:cs="Arial"/>
          <w:sz w:val="20"/>
          <w:szCs w:val="20"/>
        </w:rPr>
        <w:lastRenderedPageBreak/>
        <w:t>en caso de que hayan sido objeto de atentados, acciones terroristas, desastres naturales o casos de fuerza mayor; y, v) los que deban realizar las entidades sanitarias y hospitalarias.</w:t>
      </w:r>
    </w:p>
    <w:p w14:paraId="5827F2C8" w14:textId="77777777" w:rsidR="00EC3CA7" w:rsidRDefault="00EC3CA7">
      <w:pPr>
        <w:tabs>
          <w:tab w:val="left" w:pos="426"/>
        </w:tabs>
        <w:spacing w:after="0" w:line="240" w:lineRule="auto"/>
        <w:rPr>
          <w:rFonts w:ascii="Arial" w:eastAsia="Arial" w:hAnsi="Arial" w:cs="Arial"/>
          <w:sz w:val="20"/>
          <w:szCs w:val="20"/>
        </w:rPr>
      </w:pPr>
    </w:p>
    <w:p w14:paraId="0F99BD3F" w14:textId="77777777" w:rsidR="00EC3CA7" w:rsidRDefault="00AF30F5">
      <w:pPr>
        <w:spacing w:after="0" w:line="240" w:lineRule="auto"/>
        <w:rPr>
          <w:rFonts w:ascii="Arial" w:eastAsia="Arial" w:hAnsi="Arial" w:cs="Arial"/>
          <w:b/>
          <w:sz w:val="20"/>
          <w:szCs w:val="20"/>
        </w:rPr>
      </w:pPr>
      <w:bookmarkStart w:id="6" w:name="_3dy6vkm" w:colFirst="0" w:colLast="0"/>
      <w:bookmarkEnd w:id="6"/>
      <w:r>
        <w:rPr>
          <w:rFonts w:ascii="Arial" w:eastAsia="Arial" w:hAnsi="Arial" w:cs="Arial"/>
          <w:b/>
          <w:sz w:val="20"/>
          <w:szCs w:val="20"/>
        </w:rPr>
        <w:t>LEY DE GARANTÍAS ELECTORALES ‒ Prohibición del artículo 33 de la Ley de garantías ‒ Destinatarios</w:t>
      </w:r>
    </w:p>
    <w:p w14:paraId="17FDE485" w14:textId="77777777" w:rsidR="00EC3CA7" w:rsidRDefault="00EC3CA7">
      <w:pPr>
        <w:tabs>
          <w:tab w:val="left" w:pos="426"/>
        </w:tabs>
        <w:spacing w:after="0" w:line="240" w:lineRule="auto"/>
        <w:rPr>
          <w:rFonts w:ascii="Arial" w:eastAsia="Arial" w:hAnsi="Arial" w:cs="Arial"/>
          <w:sz w:val="20"/>
          <w:szCs w:val="20"/>
        </w:rPr>
      </w:pPr>
    </w:p>
    <w:p w14:paraId="02347280" w14:textId="77777777" w:rsidR="00EC3CA7" w:rsidRDefault="00AF30F5">
      <w:pPr>
        <w:tabs>
          <w:tab w:val="left" w:pos="426"/>
        </w:tabs>
        <w:spacing w:after="0" w:line="240" w:lineRule="auto"/>
        <w:rPr>
          <w:rFonts w:ascii="Arial" w:eastAsia="Arial" w:hAnsi="Arial" w:cs="Arial"/>
          <w:sz w:val="20"/>
          <w:szCs w:val="20"/>
        </w:rPr>
      </w:pPr>
      <w:r>
        <w:rPr>
          <w:rFonts w:ascii="Arial" w:eastAsia="Arial" w:hAnsi="Arial" w:cs="Arial"/>
          <w:sz w:val="20"/>
          <w:szCs w:val="20"/>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119441C" w14:textId="77777777" w:rsidR="00EC3CA7" w:rsidRDefault="00EC3CA7">
      <w:pPr>
        <w:tabs>
          <w:tab w:val="left" w:pos="426"/>
        </w:tabs>
        <w:spacing w:after="0" w:line="240" w:lineRule="auto"/>
        <w:rPr>
          <w:rFonts w:ascii="Arial" w:eastAsia="Arial" w:hAnsi="Arial" w:cs="Arial"/>
          <w:sz w:val="20"/>
          <w:szCs w:val="20"/>
        </w:rPr>
      </w:pPr>
    </w:p>
    <w:p w14:paraId="3156B513" w14:textId="77777777" w:rsidR="00EC3CA7" w:rsidRDefault="00AF30F5">
      <w:pPr>
        <w:tabs>
          <w:tab w:val="left" w:pos="426"/>
        </w:tabs>
        <w:spacing w:after="0" w:line="240" w:lineRule="auto"/>
        <w:rPr>
          <w:rFonts w:ascii="Arial" w:eastAsia="Arial" w:hAnsi="Arial" w:cs="Arial"/>
          <w:b/>
          <w:sz w:val="20"/>
          <w:szCs w:val="20"/>
        </w:rPr>
      </w:pPr>
      <w:r>
        <w:rPr>
          <w:rFonts w:ascii="Arial" w:eastAsia="Arial" w:hAnsi="Arial" w:cs="Arial"/>
          <w:b/>
          <w:sz w:val="20"/>
          <w:szCs w:val="20"/>
        </w:rPr>
        <w:t>LEY DE GARANTÍAS ELECTORALES ‒ Prohibición comicios cargos de elección popular – Convenios y contratos interadministrativos</w:t>
      </w:r>
    </w:p>
    <w:p w14:paraId="666D6EA5" w14:textId="77777777" w:rsidR="00EC3CA7" w:rsidRDefault="00EC3CA7">
      <w:pPr>
        <w:tabs>
          <w:tab w:val="left" w:pos="426"/>
        </w:tabs>
        <w:spacing w:after="0" w:line="240" w:lineRule="auto"/>
        <w:rPr>
          <w:rFonts w:ascii="Arial" w:eastAsia="Arial" w:hAnsi="Arial" w:cs="Arial"/>
          <w:sz w:val="20"/>
          <w:szCs w:val="20"/>
        </w:rPr>
      </w:pPr>
    </w:p>
    <w:p w14:paraId="0F3A9A7E" w14:textId="77777777" w:rsidR="00EC3CA7" w:rsidRDefault="00AF30F5">
      <w:pPr>
        <w:tabs>
          <w:tab w:val="left" w:pos="426"/>
        </w:tabs>
        <w:spacing w:after="0" w:line="240" w:lineRule="auto"/>
        <w:rPr>
          <w:rFonts w:ascii="Arial" w:eastAsia="Arial" w:hAnsi="Arial" w:cs="Arial"/>
          <w:sz w:val="20"/>
          <w:szCs w:val="20"/>
        </w:rPr>
      </w:pPr>
      <w:r>
        <w:rPr>
          <w:rFonts w:ascii="Arial" w:eastAsia="Arial"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5645927D" w14:textId="77777777" w:rsidR="00EC3CA7" w:rsidRDefault="00EC3CA7">
      <w:pPr>
        <w:spacing w:after="0" w:line="240" w:lineRule="auto"/>
        <w:rPr>
          <w:rFonts w:ascii="Arial" w:eastAsia="Arial" w:hAnsi="Arial" w:cs="Arial"/>
          <w:b/>
          <w:color w:val="000000"/>
          <w:sz w:val="20"/>
          <w:szCs w:val="20"/>
        </w:rPr>
      </w:pPr>
    </w:p>
    <w:p w14:paraId="4611A086" w14:textId="77777777" w:rsidR="00EC3CA7" w:rsidRDefault="00AF30F5">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CONTRATOS Y CONVENIOS INTERADMINISTRATIVOS – Definición – Criterio orgánico </w:t>
      </w:r>
    </w:p>
    <w:p w14:paraId="2D4809BA" w14:textId="77777777" w:rsidR="00EC3CA7" w:rsidRDefault="00EC3CA7">
      <w:pPr>
        <w:spacing w:after="0" w:line="240" w:lineRule="auto"/>
        <w:rPr>
          <w:rFonts w:ascii="Arial" w:eastAsia="Arial" w:hAnsi="Arial" w:cs="Arial"/>
          <w:color w:val="000000"/>
          <w:sz w:val="20"/>
          <w:szCs w:val="20"/>
        </w:rPr>
      </w:pPr>
    </w:p>
    <w:p w14:paraId="3FA9DE44" w14:textId="77777777" w:rsidR="00EC3CA7" w:rsidRDefault="00AF30F5">
      <w:pPr>
        <w:spacing w:after="0" w:line="240" w:lineRule="auto"/>
        <w:rPr>
          <w:rFonts w:ascii="Arial" w:eastAsia="Arial" w:hAnsi="Arial" w:cs="Arial"/>
          <w:color w:val="000000"/>
          <w:sz w:val="20"/>
          <w:szCs w:val="20"/>
        </w:rPr>
      </w:pPr>
      <w:r>
        <w:rPr>
          <w:rFonts w:ascii="Arial" w:eastAsia="Arial" w:hAnsi="Arial" w:cs="Arial"/>
          <w:color w:val="000000"/>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2C0AB4B" w14:textId="77777777" w:rsidR="00EC3CA7" w:rsidRDefault="00EC3CA7">
      <w:pPr>
        <w:spacing w:after="0" w:line="240" w:lineRule="auto"/>
        <w:rPr>
          <w:rFonts w:ascii="Arial" w:eastAsia="Arial" w:hAnsi="Arial" w:cs="Arial"/>
          <w:color w:val="000000"/>
          <w:sz w:val="20"/>
          <w:szCs w:val="20"/>
        </w:rPr>
      </w:pPr>
    </w:p>
    <w:p w14:paraId="64785F38" w14:textId="77777777" w:rsidR="00EC3CA7" w:rsidRDefault="00AF30F5">
      <w:pPr>
        <w:spacing w:after="0" w:line="240" w:lineRule="auto"/>
        <w:rPr>
          <w:rFonts w:ascii="Arial" w:eastAsia="Arial" w:hAnsi="Arial" w:cs="Arial"/>
          <w:b/>
          <w:color w:val="000000"/>
          <w:sz w:val="20"/>
          <w:szCs w:val="20"/>
        </w:rPr>
      </w:pPr>
      <w:bookmarkStart w:id="7" w:name="_1t3h5sf" w:colFirst="0" w:colLast="0"/>
      <w:bookmarkEnd w:id="7"/>
      <w:r>
        <w:rPr>
          <w:rFonts w:ascii="Arial" w:eastAsia="Arial" w:hAnsi="Arial" w:cs="Arial"/>
          <w:b/>
          <w:color w:val="000000"/>
          <w:sz w:val="20"/>
          <w:szCs w:val="20"/>
        </w:rPr>
        <w:t>CONTRATOS Y CONVENIOS INTERADMINISTRATIVOS – Entidades con régimen especial de contratación – Procedencia</w:t>
      </w:r>
    </w:p>
    <w:p w14:paraId="78E9D4A9" w14:textId="77777777" w:rsidR="00EC3CA7" w:rsidRDefault="00EC3CA7">
      <w:pPr>
        <w:spacing w:after="0" w:line="240" w:lineRule="auto"/>
        <w:rPr>
          <w:rFonts w:ascii="Arial" w:eastAsia="Arial" w:hAnsi="Arial" w:cs="Arial"/>
          <w:color w:val="000000"/>
          <w:sz w:val="20"/>
          <w:szCs w:val="20"/>
        </w:rPr>
      </w:pPr>
    </w:p>
    <w:p w14:paraId="3D90581F" w14:textId="77777777" w:rsidR="00EC3CA7" w:rsidRDefault="00AF30F5">
      <w:pPr>
        <w:tabs>
          <w:tab w:val="left" w:pos="426"/>
        </w:tabs>
        <w:spacing w:after="0" w:line="240" w:lineRule="auto"/>
        <w:rPr>
          <w:rFonts w:ascii="Arial" w:eastAsia="Arial" w:hAnsi="Arial" w:cs="Arial"/>
          <w:sz w:val="20"/>
          <w:szCs w:val="20"/>
        </w:rPr>
      </w:pPr>
      <w:r>
        <w:rPr>
          <w:rFonts w:ascii="Arial" w:eastAsia="Arial" w:hAnsi="Arial" w:cs="Arial"/>
          <w:color w:val="000000"/>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6591797F" w14:textId="77777777" w:rsidR="00EC3CA7" w:rsidRDefault="00EC3CA7">
      <w:pPr>
        <w:spacing w:after="0" w:line="240" w:lineRule="auto"/>
        <w:rPr>
          <w:rFonts w:ascii="Arial" w:eastAsia="Arial" w:hAnsi="Arial" w:cs="Arial"/>
          <w:b/>
          <w:color w:val="000000"/>
          <w:sz w:val="20"/>
          <w:szCs w:val="20"/>
        </w:rPr>
      </w:pPr>
    </w:p>
    <w:p w14:paraId="18EEEDFB" w14:textId="77777777" w:rsidR="00EC3CA7" w:rsidRDefault="00AF30F5">
      <w:pPr>
        <w:spacing w:after="0" w:line="240" w:lineRule="auto"/>
        <w:rPr>
          <w:rFonts w:ascii="Arial" w:eastAsia="Arial" w:hAnsi="Arial" w:cs="Arial"/>
          <w:b/>
          <w:color w:val="000000"/>
          <w:sz w:val="20"/>
          <w:szCs w:val="20"/>
        </w:rPr>
      </w:pPr>
      <w:r>
        <w:rPr>
          <w:rFonts w:ascii="Arial" w:eastAsia="Arial" w:hAnsi="Arial" w:cs="Arial"/>
          <w:b/>
          <w:color w:val="000000"/>
          <w:sz w:val="20"/>
          <w:szCs w:val="20"/>
        </w:rPr>
        <w:lastRenderedPageBreak/>
        <w:t>CONTRATOS Y CONVENIOS INTERADMINISTRATIVOS – Modalidad de selección</w:t>
      </w:r>
    </w:p>
    <w:p w14:paraId="212C7ECB" w14:textId="77777777" w:rsidR="00EC3CA7" w:rsidRDefault="00EC3CA7">
      <w:pPr>
        <w:spacing w:after="0" w:line="240" w:lineRule="auto"/>
        <w:rPr>
          <w:rFonts w:ascii="Arial" w:eastAsia="Arial" w:hAnsi="Arial" w:cs="Arial"/>
          <w:b/>
          <w:color w:val="000000"/>
          <w:sz w:val="20"/>
          <w:szCs w:val="20"/>
        </w:rPr>
      </w:pPr>
    </w:p>
    <w:p w14:paraId="4308E599" w14:textId="77777777" w:rsidR="00EC3CA7" w:rsidRDefault="00AF30F5">
      <w:pPr>
        <w:spacing w:after="0" w:line="240" w:lineRule="auto"/>
        <w:rPr>
          <w:rFonts w:ascii="Arial" w:eastAsia="Arial" w:hAnsi="Arial" w:cs="Arial"/>
          <w:color w:val="000000"/>
          <w:sz w:val="20"/>
          <w:szCs w:val="20"/>
        </w:rPr>
      </w:pPr>
      <w:r>
        <w:rPr>
          <w:rFonts w:ascii="Arial" w:eastAsia="Arial" w:hAnsi="Arial" w:cs="Arial"/>
          <w:color w:val="000000"/>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475CECBB" w14:textId="77777777" w:rsidR="00EC3CA7" w:rsidRDefault="00EC3CA7">
      <w:pPr>
        <w:spacing w:after="0" w:line="240" w:lineRule="auto"/>
        <w:rPr>
          <w:rFonts w:ascii="Arial" w:eastAsia="Arial" w:hAnsi="Arial" w:cs="Arial"/>
          <w:color w:val="000000"/>
          <w:sz w:val="20"/>
          <w:szCs w:val="20"/>
        </w:rPr>
      </w:pPr>
    </w:p>
    <w:p w14:paraId="52F2AD15" w14:textId="77777777" w:rsidR="00EC3CA7" w:rsidRDefault="00AF30F5">
      <w:pPr>
        <w:tabs>
          <w:tab w:val="left" w:pos="426"/>
        </w:tabs>
        <w:spacing w:after="0" w:line="240" w:lineRule="auto"/>
        <w:rPr>
          <w:rFonts w:ascii="Arial" w:eastAsia="Arial" w:hAnsi="Arial" w:cs="Arial"/>
          <w:b/>
          <w:sz w:val="20"/>
          <w:szCs w:val="20"/>
        </w:rPr>
      </w:pPr>
      <w:bookmarkStart w:id="8" w:name="_4d34og8" w:colFirst="0" w:colLast="0"/>
      <w:bookmarkEnd w:id="8"/>
      <w:r>
        <w:rPr>
          <w:rFonts w:ascii="Arial" w:eastAsia="Arial" w:hAnsi="Arial" w:cs="Arial"/>
          <w:b/>
          <w:sz w:val="20"/>
          <w:szCs w:val="20"/>
        </w:rPr>
        <w:t xml:space="preserve">LEY DE GARANTÍAS ELECTORALES – Prohibición – Celebración convenios o contratos interadministrativos – Orden judicial </w:t>
      </w:r>
    </w:p>
    <w:p w14:paraId="42E6CEBA" w14:textId="77777777" w:rsidR="00EC3CA7" w:rsidRDefault="00EC3CA7">
      <w:pPr>
        <w:spacing w:after="0" w:line="240" w:lineRule="auto"/>
        <w:rPr>
          <w:rFonts w:ascii="Arial" w:eastAsia="Arial" w:hAnsi="Arial" w:cs="Arial"/>
          <w:sz w:val="20"/>
          <w:szCs w:val="20"/>
        </w:rPr>
      </w:pPr>
    </w:p>
    <w:p w14:paraId="2B959614" w14:textId="77777777" w:rsidR="00EC3CA7" w:rsidRDefault="00AF30F5">
      <w:pPr>
        <w:spacing w:after="0" w:line="240" w:lineRule="auto"/>
        <w:rPr>
          <w:rFonts w:ascii="Arial" w:eastAsia="Arial" w:hAnsi="Arial" w:cs="Arial"/>
          <w:sz w:val="20"/>
          <w:szCs w:val="20"/>
        </w:rPr>
      </w:pPr>
      <w:r>
        <w:rPr>
          <w:rFonts w:ascii="Arial" w:eastAsia="Arial" w:hAnsi="Arial" w:cs="Arial"/>
          <w:sz w:val="20"/>
          <w:szCs w:val="20"/>
        </w:rPr>
        <w:t xml:space="preserv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 </w:t>
      </w:r>
    </w:p>
    <w:p w14:paraId="24AB554F" w14:textId="77777777" w:rsidR="00EC3CA7" w:rsidRDefault="00EC3CA7">
      <w:pPr>
        <w:spacing w:after="0" w:line="240" w:lineRule="auto"/>
        <w:rPr>
          <w:rFonts w:ascii="Arial" w:eastAsia="Arial" w:hAnsi="Arial" w:cs="Arial"/>
          <w:sz w:val="20"/>
          <w:szCs w:val="20"/>
        </w:rPr>
      </w:pPr>
    </w:p>
    <w:p w14:paraId="5BF47B95" w14:textId="77777777" w:rsidR="00EC3CA7" w:rsidRDefault="00AF30F5">
      <w:pPr>
        <w:spacing w:after="0" w:line="240" w:lineRule="auto"/>
        <w:rPr>
          <w:rFonts w:ascii="Arial" w:eastAsia="Arial" w:hAnsi="Arial" w:cs="Arial"/>
          <w:b/>
          <w:sz w:val="20"/>
          <w:szCs w:val="20"/>
        </w:rPr>
      </w:pPr>
      <w:r>
        <w:rPr>
          <w:rFonts w:ascii="Arial" w:eastAsia="Arial" w:hAnsi="Arial" w:cs="Arial"/>
          <w:b/>
          <w:sz w:val="20"/>
          <w:szCs w:val="20"/>
        </w:rPr>
        <w:t>MODIFICACIÓN DE LA LEY 2159 DE 2021 – Ley Anual de Presupuesto - parágrafo del artículo 38 de la Ley de Garantías – transitoriedad</w:t>
      </w:r>
    </w:p>
    <w:p w14:paraId="4D35F2B2" w14:textId="77777777" w:rsidR="00EC3CA7" w:rsidRDefault="00EC3CA7">
      <w:pPr>
        <w:spacing w:after="0" w:line="240" w:lineRule="auto"/>
        <w:rPr>
          <w:rFonts w:ascii="Arial" w:eastAsia="Arial" w:hAnsi="Arial" w:cs="Arial"/>
          <w:b/>
          <w:sz w:val="20"/>
          <w:szCs w:val="20"/>
        </w:rPr>
      </w:pPr>
    </w:p>
    <w:p w14:paraId="29AC8243" w14:textId="77777777" w:rsidR="00EC3CA7" w:rsidRDefault="00AF30F5">
      <w:pPr>
        <w:shd w:val="clear" w:color="auto" w:fill="FFFFFF"/>
        <w:spacing w:after="0" w:line="240" w:lineRule="auto"/>
        <w:rPr>
          <w:rFonts w:ascii="Arial" w:eastAsia="Arial" w:hAnsi="Arial" w:cs="Arial"/>
          <w:sz w:val="20"/>
          <w:szCs w:val="20"/>
        </w:rPr>
      </w:pPr>
      <w:r>
        <w:rPr>
          <w:rFonts w:ascii="Arial" w:eastAsia="Arial" w:hAnsi="Arial" w:cs="Arial"/>
          <w:sz w:val="20"/>
          <w:szCs w:val="20"/>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 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5A0E17E2" w14:textId="77777777" w:rsidR="00EC3CA7" w:rsidRDefault="00EC3CA7">
      <w:pPr>
        <w:shd w:val="clear" w:color="auto" w:fill="FFFFFF"/>
        <w:spacing w:after="0" w:line="240" w:lineRule="auto"/>
        <w:rPr>
          <w:rFonts w:ascii="Arial" w:eastAsia="Arial" w:hAnsi="Arial" w:cs="Arial"/>
          <w:sz w:val="20"/>
          <w:szCs w:val="20"/>
        </w:rPr>
      </w:pPr>
    </w:p>
    <w:p w14:paraId="69B7273E" w14:textId="77777777" w:rsidR="00EC3CA7" w:rsidRDefault="00AF30F5">
      <w:pPr>
        <w:spacing w:after="0" w:line="240" w:lineRule="auto"/>
        <w:rPr>
          <w:rFonts w:ascii="Arial" w:eastAsia="Arial" w:hAnsi="Arial" w:cs="Arial"/>
          <w:b/>
          <w:sz w:val="20"/>
          <w:szCs w:val="20"/>
        </w:rPr>
      </w:pPr>
      <w:r>
        <w:rPr>
          <w:rFonts w:ascii="Arial" w:eastAsia="Arial" w:hAnsi="Arial" w:cs="Arial"/>
          <w:b/>
          <w:sz w:val="20"/>
          <w:szCs w:val="20"/>
        </w:rPr>
        <w:t>MODIFICACIÓN DE LA LEY 2159 DE 2021 – Ley Anual de Presupuesto - parágrafo del artículo 38 de la Ley de Garantías</w:t>
      </w:r>
    </w:p>
    <w:p w14:paraId="3269762D" w14:textId="77777777" w:rsidR="00EC3CA7" w:rsidRDefault="00EC3CA7">
      <w:pPr>
        <w:spacing w:after="0" w:line="240" w:lineRule="auto"/>
        <w:rPr>
          <w:rFonts w:ascii="Arial" w:eastAsia="Arial" w:hAnsi="Arial" w:cs="Arial"/>
          <w:sz w:val="20"/>
          <w:szCs w:val="20"/>
        </w:rPr>
      </w:pPr>
    </w:p>
    <w:p w14:paraId="12E77178" w14:textId="77777777" w:rsidR="00EC3CA7" w:rsidRDefault="00AF30F5">
      <w:pPr>
        <w:shd w:val="clear" w:color="auto" w:fill="FFFFFF"/>
        <w:spacing w:after="0" w:line="240" w:lineRule="auto"/>
        <w:rPr>
          <w:rFonts w:ascii="Arial" w:eastAsia="Arial" w:hAnsi="Arial" w:cs="Arial"/>
          <w:sz w:val="20"/>
          <w:szCs w:val="20"/>
        </w:rPr>
      </w:pPr>
      <w:r>
        <w:rPr>
          <w:rFonts w:ascii="Arial" w:eastAsia="Arial" w:hAnsi="Arial" w:cs="Arial"/>
          <w:sz w:val="20"/>
          <w:szCs w:val="20"/>
        </w:rPr>
        <w:t xml:space="preserve">[…]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w:t>
      </w:r>
      <w:r>
        <w:rPr>
          <w:rFonts w:ascii="Arial" w:eastAsia="Arial" w:hAnsi="Arial" w:cs="Arial"/>
          <w:sz w:val="20"/>
          <w:szCs w:val="20"/>
        </w:rPr>
        <w:lastRenderedPageBreak/>
        <w:t>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53F8C942" w14:textId="77777777" w:rsidR="00EC3CA7" w:rsidRDefault="00EC3CA7">
      <w:pPr>
        <w:shd w:val="clear" w:color="auto" w:fill="FFFFFF"/>
        <w:spacing w:after="0" w:line="240" w:lineRule="auto"/>
        <w:rPr>
          <w:rFonts w:ascii="Arial" w:eastAsia="Arial" w:hAnsi="Arial" w:cs="Arial"/>
          <w:sz w:val="20"/>
          <w:szCs w:val="20"/>
        </w:rPr>
      </w:pPr>
    </w:p>
    <w:p w14:paraId="0A4DB974" w14:textId="4C7837D3" w:rsidR="00EC3CA7" w:rsidRDefault="00AF30F5">
      <w:pPr>
        <w:spacing w:after="0" w:line="240" w:lineRule="auto"/>
        <w:rPr>
          <w:rFonts w:ascii="Arial" w:eastAsia="Arial" w:hAnsi="Arial" w:cs="Arial"/>
          <w:b/>
          <w:sz w:val="20"/>
          <w:szCs w:val="20"/>
        </w:rPr>
      </w:pPr>
      <w:r>
        <w:rPr>
          <w:rFonts w:ascii="Arial" w:eastAsia="Arial" w:hAnsi="Arial" w:cs="Arial"/>
          <w:b/>
          <w:sz w:val="20"/>
          <w:szCs w:val="20"/>
        </w:rPr>
        <w:t>MODIFICACIÓN DE LA LEY 2159 DE 2021 – Ley Anual de Presupuesto - parágrafo del artículo 38 de la Ley de Garantías – Nación – entidades descentralizadas</w:t>
      </w:r>
    </w:p>
    <w:p w14:paraId="3B026D33" w14:textId="77777777" w:rsidR="00766F9F" w:rsidRDefault="00766F9F">
      <w:pPr>
        <w:spacing w:after="0" w:line="240" w:lineRule="auto"/>
        <w:rPr>
          <w:rFonts w:ascii="Arial" w:eastAsia="Arial" w:hAnsi="Arial" w:cs="Arial"/>
          <w:sz w:val="20"/>
          <w:szCs w:val="20"/>
        </w:rPr>
      </w:pPr>
    </w:p>
    <w:p w14:paraId="62D04DC3" w14:textId="77777777" w:rsidR="00EC3CA7" w:rsidRDefault="00AF30F5">
      <w:pPr>
        <w:spacing w:after="0" w:line="240" w:lineRule="auto"/>
        <w:rPr>
          <w:rFonts w:ascii="Arial" w:eastAsia="Arial" w:hAnsi="Arial" w:cs="Arial"/>
          <w:sz w:val="20"/>
          <w:szCs w:val="20"/>
        </w:rPr>
      </w:pPr>
      <w:r>
        <w:rPr>
          <w:rFonts w:ascii="Arial" w:eastAsia="Arial" w:hAnsi="Arial" w:cs="Arial"/>
          <w:sz w:val="20"/>
          <w:szCs w:val="20"/>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 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6C441BA3" w14:textId="77777777" w:rsidR="00EC3CA7" w:rsidRDefault="00EC3CA7">
      <w:pPr>
        <w:spacing w:after="0" w:line="240" w:lineRule="auto"/>
        <w:rPr>
          <w:rFonts w:ascii="Arial" w:eastAsia="Arial" w:hAnsi="Arial" w:cs="Arial"/>
          <w:sz w:val="20"/>
          <w:szCs w:val="20"/>
        </w:rPr>
      </w:pPr>
    </w:p>
    <w:p w14:paraId="0BE52857" w14:textId="77777777" w:rsidR="00EC3CA7" w:rsidRDefault="00AF30F5">
      <w:pPr>
        <w:spacing w:after="0" w:line="240" w:lineRule="auto"/>
        <w:rPr>
          <w:rFonts w:ascii="Arial" w:eastAsia="Arial" w:hAnsi="Arial" w:cs="Arial"/>
          <w:b/>
          <w:sz w:val="20"/>
          <w:szCs w:val="20"/>
        </w:rPr>
      </w:pPr>
      <w:r>
        <w:rPr>
          <w:rFonts w:ascii="Arial" w:eastAsia="Arial" w:hAnsi="Arial" w:cs="Arial"/>
          <w:b/>
          <w:sz w:val="20"/>
          <w:szCs w:val="20"/>
        </w:rPr>
        <w:t>MODIFICACIÓN DE LA LEY 2159 DE 2021 – Ley Anual de Presupuesto - parágrafo del artículo 38 de la Ley de Garantías – gastos de inversión - proyectos y programas de inversión – Plan Nacional de Desarrollo</w:t>
      </w:r>
    </w:p>
    <w:p w14:paraId="71494946" w14:textId="77777777" w:rsidR="00EC3CA7" w:rsidRDefault="00EC3CA7">
      <w:pPr>
        <w:spacing w:after="0" w:line="240" w:lineRule="auto"/>
        <w:rPr>
          <w:rFonts w:ascii="Arial" w:eastAsia="Arial" w:hAnsi="Arial" w:cs="Arial"/>
          <w:b/>
          <w:sz w:val="20"/>
          <w:szCs w:val="20"/>
        </w:rPr>
      </w:pPr>
    </w:p>
    <w:p w14:paraId="238D0110" w14:textId="77777777" w:rsidR="00EC3CA7" w:rsidRDefault="00AF30F5">
      <w:pPr>
        <w:shd w:val="clear" w:color="auto" w:fill="FFFFFF"/>
        <w:spacing w:after="0" w:line="240" w:lineRule="auto"/>
        <w:rPr>
          <w:rFonts w:ascii="Arial" w:eastAsia="Arial" w:hAnsi="Arial" w:cs="Arial"/>
          <w:sz w:val="20"/>
          <w:szCs w:val="20"/>
        </w:rPr>
      </w:pPr>
      <w:r>
        <w:rPr>
          <w:rFonts w:ascii="Arial" w:eastAsia="Arial" w:hAnsi="Arial" w:cs="Arial"/>
          <w:sz w:val="20"/>
          <w:szCs w:val="20"/>
        </w:rPr>
        <w:t>En lo que respecta al elemento teleológico o material de la reforma incluida en el artículo 124 de la  2159 de 2021, consistente en que los convenios sean celebrados con el fin de ejecutar programas o proyectos que correspondan al Presupuesto General de la Nación, […] partiendo de las consideraciones contenidas en el acápite 2.5. del presente concepto y dados en relación con la estructura y contenido de la ley anual del presupuesto general de la Nación, […]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736E7563" w14:textId="77777777" w:rsidR="00EC3CA7" w:rsidRDefault="00EC3CA7">
      <w:pPr>
        <w:shd w:val="clear" w:color="auto" w:fill="FFFFFF"/>
        <w:spacing w:after="0"/>
        <w:rPr>
          <w:rFonts w:ascii="Arial" w:eastAsia="Arial" w:hAnsi="Arial" w:cs="Arial"/>
          <w:sz w:val="20"/>
          <w:szCs w:val="20"/>
        </w:rPr>
      </w:pPr>
    </w:p>
    <w:p w14:paraId="6F9A481B" w14:textId="77777777" w:rsidR="00EC3CA7" w:rsidRDefault="00EC3CA7">
      <w:pPr>
        <w:spacing w:after="0"/>
        <w:rPr>
          <w:rFonts w:ascii="Arial" w:eastAsia="Arial" w:hAnsi="Arial" w:cs="Arial"/>
          <w:b/>
          <w:sz w:val="22"/>
          <w:szCs w:val="22"/>
        </w:rPr>
      </w:pPr>
    </w:p>
    <w:p w14:paraId="0CCD1871" w14:textId="77777777" w:rsidR="00EC3CA7" w:rsidRDefault="00AF30F5">
      <w:pPr>
        <w:rPr>
          <w:rFonts w:ascii="Arial" w:eastAsia="Arial" w:hAnsi="Arial" w:cs="Arial"/>
          <w:b/>
          <w:sz w:val="22"/>
          <w:szCs w:val="22"/>
        </w:rPr>
      </w:pPr>
      <w:r>
        <w:br w:type="page"/>
      </w:r>
    </w:p>
    <w:p w14:paraId="332F586E" w14:textId="77777777" w:rsidR="00EC3CA7" w:rsidRDefault="00AF30F5">
      <w:pPr>
        <w:spacing w:after="0"/>
        <w:jc w:val="right"/>
        <w:rPr>
          <w:rFonts w:ascii="Arial" w:eastAsia="Arial" w:hAnsi="Arial" w:cs="Arial"/>
          <w:b/>
          <w:sz w:val="16"/>
          <w:szCs w:val="16"/>
        </w:rPr>
      </w:pPr>
      <w:bookmarkStart w:id="9" w:name="_2s8eyo1" w:colFirst="0" w:colLast="0"/>
      <w:bookmarkEnd w:id="9"/>
      <w:r>
        <w:rPr>
          <w:rFonts w:ascii="Arial" w:eastAsia="Arial" w:hAnsi="Arial" w:cs="Arial"/>
          <w:b/>
          <w:sz w:val="16"/>
          <w:szCs w:val="16"/>
        </w:rPr>
        <w:lastRenderedPageBreak/>
        <w:t>CCE-DES-FM-17</w:t>
      </w:r>
    </w:p>
    <w:p w14:paraId="3A604256" w14:textId="77777777" w:rsidR="00EC3CA7" w:rsidRPr="00236BEB" w:rsidRDefault="00EC3CA7" w:rsidP="00236BEB">
      <w:pPr>
        <w:tabs>
          <w:tab w:val="left" w:pos="3374"/>
        </w:tabs>
        <w:spacing w:after="0" w:line="240" w:lineRule="auto"/>
      </w:pPr>
    </w:p>
    <w:p w14:paraId="19DDB6EF" w14:textId="0A2660BE" w:rsidR="00EC3CA7" w:rsidRPr="00236BEB" w:rsidRDefault="009643D7" w:rsidP="009643D7">
      <w:pPr>
        <w:tabs>
          <w:tab w:val="left" w:pos="3374"/>
        </w:tabs>
        <w:spacing w:after="0" w:line="240" w:lineRule="auto"/>
        <w:jc w:val="right"/>
      </w:pPr>
      <w:r w:rsidRPr="009643D7">
        <w:drawing>
          <wp:inline distT="0" distB="0" distL="0" distR="0" wp14:anchorId="7D5A0EF8" wp14:editId="04123A7D">
            <wp:extent cx="3048425" cy="838317"/>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9"/>
                    <a:stretch>
                      <a:fillRect/>
                    </a:stretch>
                  </pic:blipFill>
                  <pic:spPr>
                    <a:xfrm>
                      <a:off x="0" y="0"/>
                      <a:ext cx="3048425" cy="838317"/>
                    </a:xfrm>
                    <a:prstGeom prst="rect">
                      <a:avLst/>
                    </a:prstGeom>
                  </pic:spPr>
                </pic:pic>
              </a:graphicData>
            </a:graphic>
          </wp:inline>
        </w:drawing>
      </w:r>
    </w:p>
    <w:p w14:paraId="69BFB28F" w14:textId="77777777" w:rsidR="00EC3CA7" w:rsidRPr="00236BEB" w:rsidRDefault="00AF30F5" w:rsidP="00236BEB">
      <w:pPr>
        <w:tabs>
          <w:tab w:val="left" w:pos="3374"/>
        </w:tabs>
        <w:spacing w:after="0" w:line="240" w:lineRule="auto"/>
      </w:pPr>
      <w:r>
        <w:rPr>
          <w:rFonts w:ascii="Arial" w:eastAsia="Arial" w:hAnsi="Arial" w:cs="Arial"/>
          <w:sz w:val="22"/>
          <w:szCs w:val="22"/>
        </w:rPr>
        <w:t xml:space="preserve">Bogotá D.C., </w:t>
      </w:r>
    </w:p>
    <w:p w14:paraId="7A31F994" w14:textId="77777777" w:rsidR="00EC3CA7" w:rsidRPr="00236BEB" w:rsidRDefault="00EC3CA7" w:rsidP="00236BEB">
      <w:pPr>
        <w:spacing w:after="0" w:line="240" w:lineRule="auto"/>
      </w:pPr>
    </w:p>
    <w:p w14:paraId="6A40969A" w14:textId="77777777" w:rsidR="00EC3CA7" w:rsidRPr="00236BEB" w:rsidRDefault="00EC3CA7" w:rsidP="00236BEB">
      <w:pPr>
        <w:spacing w:after="0" w:line="240" w:lineRule="auto"/>
      </w:pPr>
    </w:p>
    <w:p w14:paraId="4ADE8B41" w14:textId="77777777" w:rsidR="00EC3CA7" w:rsidRPr="00236BEB" w:rsidRDefault="00AF30F5" w:rsidP="00236BEB">
      <w:pPr>
        <w:spacing w:after="0" w:line="240" w:lineRule="auto"/>
      </w:pPr>
      <w:r>
        <w:rPr>
          <w:rFonts w:ascii="Arial" w:eastAsia="Arial" w:hAnsi="Arial" w:cs="Arial"/>
          <w:sz w:val="22"/>
          <w:szCs w:val="22"/>
        </w:rPr>
        <w:t>Señora</w:t>
      </w:r>
    </w:p>
    <w:p w14:paraId="56911960" w14:textId="77777777" w:rsidR="00EC3CA7" w:rsidRPr="00236BEB" w:rsidRDefault="00AF30F5" w:rsidP="00236BEB">
      <w:pPr>
        <w:spacing w:after="0" w:line="240" w:lineRule="auto"/>
      </w:pPr>
      <w:r>
        <w:rPr>
          <w:rFonts w:ascii="Arial" w:eastAsia="Arial" w:hAnsi="Arial" w:cs="Arial"/>
          <w:b/>
          <w:sz w:val="22"/>
          <w:szCs w:val="22"/>
        </w:rPr>
        <w:t>Esteffany Paola Wilches Plata</w:t>
      </w:r>
    </w:p>
    <w:p w14:paraId="17874CC6" w14:textId="77777777" w:rsidR="00EC3CA7" w:rsidRPr="00236BEB" w:rsidRDefault="00AF30F5" w:rsidP="00236BEB">
      <w:pPr>
        <w:spacing w:after="0" w:line="240" w:lineRule="auto"/>
      </w:pPr>
      <w:r>
        <w:rPr>
          <w:rFonts w:ascii="Arial" w:eastAsia="Arial" w:hAnsi="Arial" w:cs="Arial"/>
          <w:sz w:val="22"/>
          <w:szCs w:val="22"/>
        </w:rPr>
        <w:t>Bogotá D.C.</w:t>
      </w:r>
    </w:p>
    <w:p w14:paraId="3C98F3B0" w14:textId="77777777" w:rsidR="00EC3CA7" w:rsidRPr="00236BEB" w:rsidRDefault="00EC3CA7" w:rsidP="00236BEB">
      <w:pPr>
        <w:spacing w:after="0" w:line="240" w:lineRule="auto"/>
      </w:pPr>
    </w:p>
    <w:p w14:paraId="52C983C6" w14:textId="77777777" w:rsidR="00EC3CA7" w:rsidRPr="00236BEB" w:rsidRDefault="00EC3CA7" w:rsidP="00236BEB">
      <w:pPr>
        <w:spacing w:after="0" w:line="240" w:lineRule="auto"/>
      </w:pPr>
    </w:p>
    <w:p w14:paraId="17D11ECB" w14:textId="77777777" w:rsidR="00EC3CA7" w:rsidRPr="00236BEB" w:rsidRDefault="00AF30F5" w:rsidP="00236BEB">
      <w:pPr>
        <w:spacing w:after="0" w:line="240" w:lineRule="auto"/>
      </w:pPr>
      <w:r>
        <w:rPr>
          <w:rFonts w:ascii="Arial" w:eastAsia="Arial" w:hAnsi="Arial" w:cs="Arial"/>
          <w:sz w:val="22"/>
          <w:szCs w:val="22"/>
        </w:rPr>
        <w:t xml:space="preserve">                                            </w:t>
      </w:r>
      <w:r>
        <w:rPr>
          <w:rFonts w:ascii="Arial" w:eastAsia="Arial" w:hAnsi="Arial" w:cs="Arial"/>
          <w:b/>
          <w:sz w:val="22"/>
          <w:szCs w:val="22"/>
        </w:rPr>
        <w:t>Concepto C – 677 de 2021</w:t>
      </w:r>
      <w:r>
        <w:rPr>
          <w:rFonts w:ascii="Arial" w:eastAsia="Arial" w:hAnsi="Arial" w:cs="Arial"/>
          <w:sz w:val="22"/>
          <w:szCs w:val="22"/>
        </w:rPr>
        <w:t xml:space="preserve"> </w:t>
      </w:r>
    </w:p>
    <w:p w14:paraId="4C971FBF" w14:textId="77777777" w:rsidR="00EC3CA7" w:rsidRPr="00236BEB" w:rsidRDefault="00EC3CA7" w:rsidP="00236BEB">
      <w:pPr>
        <w:spacing w:after="0" w:line="240" w:lineRule="auto"/>
      </w:pPr>
    </w:p>
    <w:tbl>
      <w:tblPr>
        <w:tblStyle w:val="a"/>
        <w:tblW w:w="0" w:type="auto"/>
        <w:tblInd w:w="0" w:type="dxa"/>
        <w:tblBorders>
          <w:top w:val="nil"/>
          <w:left w:val="nil"/>
          <w:bottom w:val="nil"/>
          <w:right w:val="nil"/>
          <w:insideH w:val="nil"/>
          <w:insideV w:val="nil"/>
        </w:tblBorders>
        <w:tblLayout w:type="fixed"/>
        <w:tblLook w:val="0400" w:firstRow="0" w:lastRow="0" w:firstColumn="0" w:lastColumn="0" w:noHBand="0" w:noVBand="1"/>
      </w:tblPr>
      <w:tblGrid>
        <w:gridCol w:w="4111"/>
        <w:gridCol w:w="4111"/>
      </w:tblGrid>
      <w:tr w:rsidR="00EC3CA7" w14:paraId="30C35202" w14:textId="77777777" w:rsidTr="00236BEB">
        <w:trPr>
          <w:trHeight w:val="485"/>
        </w:trPr>
        <w:tc>
          <w:tcPr>
            <w:tcW w:w="4111" w:type="dxa"/>
          </w:tcPr>
          <w:p w14:paraId="5CA9BF99" w14:textId="77777777" w:rsidR="00EC3CA7" w:rsidRPr="00236BEB" w:rsidRDefault="00AF30F5" w:rsidP="00236BEB">
            <w:r>
              <w:rPr>
                <w:rFonts w:ascii="Arial" w:eastAsia="Arial" w:hAnsi="Arial" w:cs="Arial"/>
                <w:b/>
                <w:sz w:val="22"/>
                <w:szCs w:val="22"/>
              </w:rPr>
              <w:t>Temas:</w:t>
            </w:r>
            <w:r>
              <w:rPr>
                <w:rFonts w:ascii="Arial" w:eastAsia="Arial" w:hAnsi="Arial" w:cs="Arial"/>
                <w:sz w:val="22"/>
                <w:szCs w:val="22"/>
              </w:rPr>
              <w:t xml:space="preserve">        </w:t>
            </w:r>
          </w:p>
        </w:tc>
        <w:tc>
          <w:tcPr>
            <w:tcW w:w="4111" w:type="dxa"/>
          </w:tcPr>
          <w:p w14:paraId="5AB6C57E" w14:textId="5B02A38E" w:rsidR="00EC3CA7" w:rsidRPr="00236BEB" w:rsidRDefault="00AF30F5" w:rsidP="00236BEB">
            <w:pPr>
              <w:spacing w:after="120"/>
              <w:ind w:right="703"/>
              <w:jc w:val="both"/>
            </w:pPr>
            <w:r>
              <w:rPr>
                <w:rFonts w:ascii="Arial" w:eastAsia="Arial" w:hAnsi="Arial" w:cs="Arial"/>
                <w:sz w:val="22"/>
                <w:szCs w:val="22"/>
              </w:rPr>
              <w:t xml:space="preserve">LEY DE GARANTÍAS ELECTORALES – Finalidad / LEY DE GARANTÍAS ELECTORALES ‒ Tipos de restricciones ‒ Ámbito temporal / LEY DE GARANTÍAS ELECTORALES ─ Prohibición ‒ Contratación directa ‒ Alcance / LEY DE GARANTÍAS ELECTORALES ‒ Excepciones / LEY DE GARANTÍAS ELECTORALES ‒ Prohibición del artículo 33 de la Ley de garantías ‒ Destinatarios / LEY DE GARANTÍAS ELECTORALES ‒ Prohibición comicios cargos de elección popular – Convenios y contratos interadministrativos / CONTRATOS Y CONVENIOS INTERADMINISTRATIVOS – Definición – Criterio orgánico / CONTRATOS Y CONVENIOS INTERADMINISTRATIVOS – Entidades con régimen especial de contratación – Procedencia / </w:t>
            </w:r>
            <w:r>
              <w:rPr>
                <w:rFonts w:ascii="Arial" w:eastAsia="Arial" w:hAnsi="Arial" w:cs="Arial"/>
                <w:sz w:val="22"/>
                <w:szCs w:val="22"/>
              </w:rPr>
              <w:lastRenderedPageBreak/>
              <w:t xml:space="preserve">CONTRATOS Y CONVENIOS INTERADMINISTRATIVOS – Modalidad de selección / LEY DE GARANTÍAS ELECTORALES – Prohibición – Celebración convenios o contratos interadministrativos – Orden judicial –  / MODIFICACIÓN DE LA LEY 2159 DE 2021 – Ley Anual de Presupuesto - parágrafo del artículo 38 de la Ley de Garantías </w:t>
            </w:r>
          </w:p>
        </w:tc>
      </w:tr>
      <w:tr w:rsidR="00EC3CA7" w14:paraId="4CB5F144" w14:textId="77777777">
        <w:tc>
          <w:tcPr>
            <w:tcW w:w="4111" w:type="dxa"/>
          </w:tcPr>
          <w:p w14:paraId="502DEB65" w14:textId="77777777" w:rsidR="00EC3CA7" w:rsidRPr="00236BEB" w:rsidRDefault="00AF30F5" w:rsidP="00236BEB">
            <w:r>
              <w:rPr>
                <w:rFonts w:ascii="Arial" w:eastAsia="Arial" w:hAnsi="Arial" w:cs="Arial"/>
                <w:b/>
                <w:sz w:val="22"/>
                <w:szCs w:val="22"/>
              </w:rPr>
              <w:lastRenderedPageBreak/>
              <w:t>Radicación:</w:t>
            </w:r>
            <w:r>
              <w:rPr>
                <w:rFonts w:ascii="Arial" w:eastAsia="Arial" w:hAnsi="Arial" w:cs="Arial"/>
                <w:sz w:val="22"/>
                <w:szCs w:val="22"/>
              </w:rPr>
              <w:t xml:space="preserve">                              </w:t>
            </w:r>
          </w:p>
        </w:tc>
        <w:tc>
          <w:tcPr>
            <w:tcW w:w="4111" w:type="dxa"/>
          </w:tcPr>
          <w:p w14:paraId="0CAC6546" w14:textId="77777777" w:rsidR="00EC3CA7" w:rsidRPr="00236BEB" w:rsidRDefault="00AF30F5" w:rsidP="00236BEB">
            <w:pPr>
              <w:jc w:val="both"/>
            </w:pPr>
            <w:r>
              <w:rPr>
                <w:rFonts w:ascii="Arial" w:eastAsia="Arial" w:hAnsi="Arial" w:cs="Arial"/>
                <w:sz w:val="22"/>
                <w:szCs w:val="22"/>
              </w:rPr>
              <w:t>Respuesta a consulta P20211022009775</w:t>
            </w:r>
          </w:p>
        </w:tc>
      </w:tr>
    </w:tbl>
    <w:p w14:paraId="7AF59870" w14:textId="77777777" w:rsidR="00EC3CA7" w:rsidRPr="00236BEB" w:rsidRDefault="00EC3CA7" w:rsidP="00236BEB">
      <w:pPr>
        <w:spacing w:after="0" w:line="240" w:lineRule="auto"/>
      </w:pPr>
    </w:p>
    <w:p w14:paraId="3AE5FF9E" w14:textId="77777777" w:rsidR="00EC3CA7" w:rsidRPr="00236BEB" w:rsidRDefault="00EC3CA7" w:rsidP="00236BEB">
      <w:pPr>
        <w:spacing w:after="0" w:line="240" w:lineRule="auto"/>
      </w:pPr>
    </w:p>
    <w:p w14:paraId="248C1EDA" w14:textId="77777777" w:rsidR="00EC3CA7" w:rsidRDefault="00AF30F5">
      <w:pPr>
        <w:spacing w:after="0"/>
        <w:rPr>
          <w:rFonts w:ascii="Arial" w:eastAsia="Arial" w:hAnsi="Arial" w:cs="Arial"/>
          <w:sz w:val="22"/>
          <w:szCs w:val="22"/>
        </w:rPr>
      </w:pPr>
      <w:r>
        <w:rPr>
          <w:rFonts w:ascii="Arial" w:eastAsia="Arial" w:hAnsi="Arial" w:cs="Arial"/>
          <w:sz w:val="22"/>
          <w:szCs w:val="22"/>
        </w:rPr>
        <w:t>Estimada señora Wilches:</w:t>
      </w:r>
    </w:p>
    <w:p w14:paraId="2E884B7E" w14:textId="77777777" w:rsidR="00EC3CA7" w:rsidRDefault="00EC3CA7">
      <w:pPr>
        <w:spacing w:after="0"/>
        <w:ind w:firstLine="709"/>
        <w:rPr>
          <w:rFonts w:ascii="Arial" w:eastAsia="Arial" w:hAnsi="Arial" w:cs="Arial"/>
          <w:sz w:val="22"/>
          <w:szCs w:val="22"/>
        </w:rPr>
      </w:pPr>
    </w:p>
    <w:p w14:paraId="3DC4E063" w14:textId="0F49670A" w:rsidR="00EC3CA7" w:rsidRDefault="00AF30F5">
      <w:pPr>
        <w:spacing w:after="0"/>
        <w:ind w:right="51"/>
        <w:rPr>
          <w:rFonts w:ascii="Arial" w:eastAsia="Arial" w:hAnsi="Arial" w:cs="Arial"/>
          <w:sz w:val="22"/>
          <w:szCs w:val="22"/>
        </w:rPr>
      </w:pPr>
      <w:r>
        <w:rPr>
          <w:rFonts w:ascii="Arial" w:eastAsia="Arial" w:hAnsi="Arial" w:cs="Arial"/>
          <w:sz w:val="22"/>
          <w:szCs w:val="22"/>
        </w:rPr>
        <w:t xml:space="preserve">En ejercicio de la competencia otorgada por el numeral 8 del artículo 11 y el numeral 5 del artículo 3 del Decreto Ley 4170 de 2011, la Agencia Nacional de Contratación Pública – Colombia Compra Eficiente responde la consulta radicada el 21 de octubre de 2021. </w:t>
      </w:r>
    </w:p>
    <w:p w14:paraId="44E117F9" w14:textId="77777777" w:rsidR="00EC3CA7" w:rsidRDefault="00EC3CA7">
      <w:pPr>
        <w:spacing w:after="0"/>
        <w:rPr>
          <w:rFonts w:ascii="Arial" w:eastAsia="Arial" w:hAnsi="Arial" w:cs="Arial"/>
          <w:sz w:val="22"/>
          <w:szCs w:val="22"/>
        </w:rPr>
      </w:pPr>
    </w:p>
    <w:p w14:paraId="0A61756A" w14:textId="77777777" w:rsidR="00EC3CA7" w:rsidRDefault="00AF30F5">
      <w:pPr>
        <w:tabs>
          <w:tab w:val="left" w:pos="284"/>
        </w:tabs>
        <w:spacing w:after="0"/>
        <w:rPr>
          <w:rFonts w:ascii="Arial" w:eastAsia="Arial" w:hAnsi="Arial" w:cs="Arial"/>
          <w:b/>
          <w:sz w:val="22"/>
          <w:szCs w:val="22"/>
        </w:rPr>
      </w:pPr>
      <w:r>
        <w:rPr>
          <w:rFonts w:ascii="Arial" w:eastAsia="Arial" w:hAnsi="Arial" w:cs="Arial"/>
          <w:b/>
          <w:sz w:val="22"/>
          <w:szCs w:val="22"/>
        </w:rPr>
        <w:t xml:space="preserve">1. Problema planteado </w:t>
      </w:r>
    </w:p>
    <w:p w14:paraId="57E221B2" w14:textId="77777777" w:rsidR="00EC3CA7" w:rsidRDefault="00EC3CA7">
      <w:pPr>
        <w:pBdr>
          <w:top w:val="nil"/>
          <w:left w:val="nil"/>
          <w:bottom w:val="nil"/>
          <w:right w:val="nil"/>
          <w:between w:val="nil"/>
        </w:pBdr>
        <w:tabs>
          <w:tab w:val="left" w:pos="284"/>
        </w:tabs>
        <w:spacing w:after="0"/>
        <w:ind w:firstLine="709"/>
        <w:rPr>
          <w:rFonts w:ascii="Arial" w:eastAsia="Arial" w:hAnsi="Arial" w:cs="Arial"/>
          <w:b/>
          <w:color w:val="000000"/>
          <w:sz w:val="22"/>
          <w:szCs w:val="22"/>
        </w:rPr>
      </w:pPr>
    </w:p>
    <w:p w14:paraId="6CA9CB18" w14:textId="723B9D22" w:rsidR="00EC3CA7" w:rsidRDefault="00AF30F5" w:rsidP="00236BEB">
      <w:pPr>
        <w:spacing w:after="120"/>
      </w:pPr>
      <w:r>
        <w:rPr>
          <w:rFonts w:ascii="Arial" w:eastAsia="Arial" w:hAnsi="Arial" w:cs="Arial"/>
          <w:color w:val="000000"/>
          <w:sz w:val="22"/>
          <w:szCs w:val="22"/>
        </w:rPr>
        <w:t xml:space="preserve">Usted </w:t>
      </w:r>
      <w:r>
        <w:rPr>
          <w:rFonts w:ascii="Arial" w:eastAsia="Arial" w:hAnsi="Arial" w:cs="Arial"/>
          <w:color w:val="000000"/>
          <w:sz w:val="22"/>
          <w:szCs w:val="22"/>
          <w:highlight w:val="white"/>
        </w:rPr>
        <w:t xml:space="preserve">realiza la siguiente pregunta: </w:t>
      </w:r>
      <w:bookmarkStart w:id="10" w:name="_17dp8vu" w:colFirst="0" w:colLast="0"/>
      <w:bookmarkEnd w:id="10"/>
      <w:r w:rsidRPr="00236BEB">
        <w:rPr>
          <w:rFonts w:ascii="Arial" w:eastAsia="Arial" w:hAnsi="Arial" w:cs="Arial"/>
          <w:sz w:val="22"/>
          <w:szCs w:val="22"/>
          <w:highlight w:val="white"/>
        </w:rPr>
        <w:t xml:space="preserve">«¿A partir del 29 de enero de 2022 se aplica la totalidad de las restricciones del </w:t>
      </w:r>
      <w:r>
        <w:rPr>
          <w:rFonts w:ascii="Arial" w:eastAsia="Arial" w:hAnsi="Arial" w:cs="Arial"/>
          <w:sz w:val="22"/>
          <w:szCs w:val="22"/>
          <w:highlight w:val="white"/>
        </w:rPr>
        <w:t>artículo</w:t>
      </w:r>
      <w:r w:rsidRPr="00236BEB">
        <w:rPr>
          <w:rFonts w:ascii="Arial" w:eastAsia="Arial" w:hAnsi="Arial" w:cs="Arial"/>
          <w:sz w:val="22"/>
          <w:szCs w:val="22"/>
          <w:highlight w:val="white"/>
        </w:rPr>
        <w:t xml:space="preserve"> 33 de la Ley 996 de 2005 en materia de contratación directa por todos los entes del Estado (incluidos los convenios interadministrativos) </w:t>
      </w:r>
      <w:r w:rsidRPr="00236BEB">
        <w:rPr>
          <w:rFonts w:ascii="Arial" w:eastAsia="Arial" w:hAnsi="Arial" w:cs="Arial"/>
          <w:b/>
          <w:sz w:val="22"/>
          <w:szCs w:val="22"/>
          <w:highlight w:val="white"/>
        </w:rPr>
        <w:t>o, por el contrario</w:t>
      </w:r>
      <w:r w:rsidRPr="00236BEB">
        <w:rPr>
          <w:rFonts w:ascii="Arial" w:eastAsia="Arial" w:hAnsi="Arial" w:cs="Arial"/>
          <w:sz w:val="22"/>
          <w:szCs w:val="22"/>
          <w:highlight w:val="white"/>
        </w:rPr>
        <w:t xml:space="preserve">, se exceptúan de dicha restricción los convenios interadministrativos dada la aprobación por parte del Congreso del artículo 125 del “Presupuesto General de Rentas y Recursos de Capital y la Ley de Apropiaciones para la vigencia fiscal del 1 de enero al 31 de diciembre de 2021” mediante Gaceta 1496» </w:t>
      </w:r>
      <w:r>
        <w:rPr>
          <w:rFonts w:ascii="Arial" w:eastAsia="Arial" w:hAnsi="Arial" w:cs="Arial"/>
          <w:sz w:val="22"/>
          <w:szCs w:val="22"/>
          <w:highlight w:val="white"/>
        </w:rPr>
        <w:t>(Énfasis dentro del texto)</w:t>
      </w:r>
      <w:r w:rsidRPr="00236BEB">
        <w:rPr>
          <w:rFonts w:ascii="Arial" w:eastAsia="Arial" w:hAnsi="Arial" w:cs="Arial"/>
          <w:sz w:val="22"/>
          <w:szCs w:val="22"/>
          <w:highlight w:val="white"/>
        </w:rPr>
        <w:t>.</w:t>
      </w:r>
    </w:p>
    <w:p w14:paraId="0880C447" w14:textId="728CA957" w:rsidR="00EC3CA7" w:rsidRPr="00236BEB" w:rsidRDefault="00AF30F5" w:rsidP="00236BEB">
      <w:pPr>
        <w:spacing w:after="120"/>
        <w:ind w:firstLine="708"/>
      </w:pPr>
      <w:r>
        <w:rPr>
          <w:rFonts w:ascii="Arial" w:eastAsia="Arial" w:hAnsi="Arial" w:cs="Arial"/>
          <w:sz w:val="22"/>
          <w:szCs w:val="22"/>
        </w:rPr>
        <w:t xml:space="preserve">Lo anterior, teniendo en cuenta que en el Congreso de la República fue aprobado el texto de la Ley de Presupuesto para la vigencia fiscal del año 2022, según lo constatado en la Gaceta 1496 del 19 de octubre de 2021, que, en su artículo 125 habría modificado a la Ley de Garantías Electorales -Ley 996 de 2005- en lo referente a la celebración de convenios interadministrativos por parte de las entidades territoriales, particularmente lo dispuesto en el parágrafo del artículo 38 de dicha ley, sin hacer referencia a la prohibición contenida en el artículo 33 </w:t>
      </w:r>
      <w:r>
        <w:rPr>
          <w:rFonts w:ascii="Arial" w:eastAsia="Arial" w:hAnsi="Arial" w:cs="Arial"/>
          <w:i/>
          <w:sz w:val="22"/>
          <w:szCs w:val="22"/>
        </w:rPr>
        <w:t>ejusdem</w:t>
      </w:r>
      <w:r>
        <w:rPr>
          <w:rFonts w:ascii="Arial" w:eastAsia="Arial" w:hAnsi="Arial" w:cs="Arial"/>
          <w:sz w:val="22"/>
          <w:szCs w:val="22"/>
        </w:rPr>
        <w:t xml:space="preserve">. </w:t>
      </w:r>
    </w:p>
    <w:p w14:paraId="635DC6D5" w14:textId="77777777" w:rsidR="00EC3CA7" w:rsidRDefault="00EC3CA7">
      <w:pPr>
        <w:tabs>
          <w:tab w:val="left" w:pos="426"/>
        </w:tabs>
        <w:spacing w:after="0"/>
        <w:rPr>
          <w:rFonts w:ascii="Arial" w:eastAsia="Arial" w:hAnsi="Arial" w:cs="Arial"/>
          <w:sz w:val="22"/>
          <w:szCs w:val="22"/>
        </w:rPr>
      </w:pPr>
    </w:p>
    <w:p w14:paraId="1FA1BC49" w14:textId="77777777" w:rsidR="00EC3CA7" w:rsidRDefault="00AF30F5">
      <w:pPr>
        <w:tabs>
          <w:tab w:val="left" w:pos="284"/>
        </w:tabs>
        <w:spacing w:after="0"/>
        <w:rPr>
          <w:rFonts w:ascii="Arial" w:eastAsia="Arial" w:hAnsi="Arial" w:cs="Arial"/>
          <w:b/>
          <w:sz w:val="22"/>
          <w:szCs w:val="22"/>
        </w:rPr>
      </w:pPr>
      <w:r>
        <w:rPr>
          <w:rFonts w:ascii="Arial" w:eastAsia="Arial" w:hAnsi="Arial" w:cs="Arial"/>
          <w:b/>
          <w:sz w:val="22"/>
          <w:szCs w:val="22"/>
        </w:rPr>
        <w:t>2. Consideraciones</w:t>
      </w:r>
    </w:p>
    <w:p w14:paraId="1AC10D5F" w14:textId="77777777" w:rsidR="00EC3CA7" w:rsidRDefault="00EC3CA7">
      <w:pPr>
        <w:tabs>
          <w:tab w:val="left" w:pos="426"/>
        </w:tabs>
        <w:spacing w:after="0"/>
        <w:ind w:firstLine="709"/>
        <w:rPr>
          <w:rFonts w:ascii="Arial" w:eastAsia="Arial" w:hAnsi="Arial" w:cs="Arial"/>
          <w:sz w:val="22"/>
          <w:szCs w:val="22"/>
        </w:rPr>
      </w:pPr>
    </w:p>
    <w:p w14:paraId="2E93643B" w14:textId="63CD09B4" w:rsidR="00EC3CA7" w:rsidRDefault="00AF30F5">
      <w:pPr>
        <w:spacing w:after="120"/>
        <w:rPr>
          <w:rFonts w:ascii="Arial" w:eastAsia="Arial" w:hAnsi="Arial" w:cs="Arial"/>
          <w:sz w:val="22"/>
          <w:szCs w:val="22"/>
        </w:rPr>
      </w:pPr>
      <w:r>
        <w:rPr>
          <w:rFonts w:ascii="Arial" w:eastAsia="Arial" w:hAnsi="Arial" w:cs="Arial"/>
          <w:sz w:val="22"/>
          <w:szCs w:val="22"/>
        </w:rPr>
        <w:t xml:space="preserve">Se advierte que al momento de expedirse este concepto, ya ha sido sancionado el proyecto citado en el acápite anterior, correspondiendo a la Ley 2159 de 2021, por medio de la cual se decreta el presupuesto de rentas y recursos de capital y ley de apropiaciones para la vigencia fiscal del 1 de enero al 31 de diciembre de 2022. Además, el artículo 125 al que hace referencia en la consulta, corresponde al artículo 124 de la ley sancionada. </w:t>
      </w:r>
    </w:p>
    <w:p w14:paraId="26147F66" w14:textId="6B608B7F" w:rsidR="00EC3CA7" w:rsidRDefault="00AF30F5">
      <w:pPr>
        <w:tabs>
          <w:tab w:val="left" w:pos="426"/>
        </w:tabs>
        <w:spacing w:after="1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bookmarkStart w:id="11" w:name="_3rdcrjn" w:colFirst="0" w:colLast="0"/>
      <w:bookmarkEnd w:id="11"/>
      <w:r>
        <w:rPr>
          <w:rFonts w:ascii="Arial" w:eastAsia="Arial" w:hAnsi="Arial" w:cs="Arial"/>
          <w:sz w:val="22"/>
          <w:szCs w:val="22"/>
        </w:rPr>
        <w:t>Realizada la precisión del párrafo precedente, se resolverá el problema planteado previo análisis de</w:t>
      </w:r>
      <w:r>
        <w:rPr>
          <w:rFonts w:ascii="Arial" w:eastAsia="Arial" w:hAnsi="Arial" w:cs="Arial"/>
          <w:color w:val="000000"/>
          <w:sz w:val="22"/>
          <w:szCs w:val="22"/>
        </w:rPr>
        <w:t xml:space="preserve"> los siguientes temas:</w:t>
      </w:r>
      <w:r>
        <w:rPr>
          <w:rFonts w:ascii="Arial" w:eastAsia="Arial" w:hAnsi="Arial" w:cs="Arial"/>
          <w:sz w:val="22"/>
          <w:szCs w:val="22"/>
        </w:rPr>
        <w:t xml:space="preserve"> i) definición y finalidad de la Ley de Garantías Electorales, ii) restricciones para elecciones presidenciales, iii) destinatarios de la prohibición del artículo 33 de la Ley 996 de 2005, iv) restricciones en los comicios para cargos de elección popular y v)  modificaciones de la Ley de Garantías Electorales realizadas por la ley anual del presupuesto de la vigencia fiscal 2022. </w:t>
      </w:r>
    </w:p>
    <w:p w14:paraId="7B68454A" w14:textId="7F593D5E" w:rsidR="00EC3CA7" w:rsidRDefault="00AF30F5">
      <w:pPr>
        <w:tabs>
          <w:tab w:val="left" w:pos="426"/>
        </w:tabs>
        <w:spacing w:after="0"/>
        <w:ind w:firstLine="709"/>
        <w:rPr>
          <w:rFonts w:ascii="Arial" w:eastAsia="Arial" w:hAnsi="Arial" w:cs="Arial"/>
          <w:sz w:val="22"/>
          <w:szCs w:val="22"/>
        </w:rPr>
      </w:pPr>
      <w:r>
        <w:rPr>
          <w:rFonts w:ascii="Arial" w:eastAsia="Arial" w:hAnsi="Arial" w:cs="Arial"/>
          <w:sz w:val="22"/>
          <w:szCs w:val="22"/>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y C-636 del 16 de noviembre </w:t>
      </w:r>
      <w:r>
        <w:rPr>
          <w:rFonts w:ascii="Arial" w:eastAsia="Arial" w:hAnsi="Arial" w:cs="Arial"/>
          <w:sz w:val="22"/>
          <w:szCs w:val="22"/>
        </w:rPr>
        <w:lastRenderedPageBreak/>
        <w:t>de 2021. La tesis desarrollada en estos conceptos se reitera y complementa a continuación:</w:t>
      </w:r>
    </w:p>
    <w:p w14:paraId="6A3734E5" w14:textId="77777777" w:rsidR="00EC3CA7" w:rsidRDefault="00EC3CA7">
      <w:pPr>
        <w:tabs>
          <w:tab w:val="left" w:pos="426"/>
        </w:tabs>
        <w:spacing w:after="0"/>
        <w:ind w:firstLine="709"/>
        <w:rPr>
          <w:rFonts w:ascii="Arial" w:eastAsia="Arial" w:hAnsi="Arial" w:cs="Arial"/>
          <w:b/>
          <w:sz w:val="22"/>
          <w:szCs w:val="22"/>
        </w:rPr>
      </w:pPr>
    </w:p>
    <w:p w14:paraId="62F52FB3" w14:textId="77777777" w:rsidR="00EC3CA7" w:rsidRDefault="00AF30F5">
      <w:pPr>
        <w:tabs>
          <w:tab w:val="left" w:pos="426"/>
        </w:tabs>
        <w:spacing w:after="0"/>
        <w:rPr>
          <w:rFonts w:ascii="Arial" w:eastAsia="Arial" w:hAnsi="Arial" w:cs="Arial"/>
          <w:b/>
          <w:sz w:val="22"/>
          <w:szCs w:val="22"/>
        </w:rPr>
      </w:pPr>
      <w:r>
        <w:rPr>
          <w:rFonts w:ascii="Arial" w:eastAsia="Arial" w:hAnsi="Arial" w:cs="Arial"/>
          <w:b/>
          <w:sz w:val="22"/>
          <w:szCs w:val="22"/>
        </w:rPr>
        <w:t>2.1. Definición y finalidad de la Ley de Garantías Electorales: alcance de las restricciones</w:t>
      </w:r>
    </w:p>
    <w:p w14:paraId="7333BF30" w14:textId="77777777" w:rsidR="00EC3CA7" w:rsidRDefault="00EC3CA7">
      <w:pPr>
        <w:tabs>
          <w:tab w:val="left" w:pos="426"/>
        </w:tabs>
        <w:spacing w:after="0"/>
        <w:ind w:firstLine="709"/>
        <w:rPr>
          <w:rFonts w:ascii="Arial" w:eastAsia="Arial" w:hAnsi="Arial" w:cs="Arial"/>
          <w:sz w:val="22"/>
          <w:szCs w:val="22"/>
        </w:rPr>
      </w:pPr>
    </w:p>
    <w:p w14:paraId="233A9A7C" w14:textId="77777777" w:rsidR="00EC3CA7" w:rsidRDefault="00AF30F5">
      <w:pPr>
        <w:tabs>
          <w:tab w:val="left" w:pos="426"/>
        </w:tabs>
        <w:spacing w:after="120"/>
        <w:rPr>
          <w:rFonts w:ascii="Arial" w:eastAsia="Arial" w:hAnsi="Arial" w:cs="Arial"/>
          <w:sz w:val="22"/>
          <w:szCs w:val="22"/>
        </w:rPr>
      </w:pPr>
      <w:r>
        <w:rPr>
          <w:rFonts w:ascii="Arial" w:eastAsia="Arial" w:hAnsi="Arial" w:cs="Arial"/>
          <w:sz w:val="22"/>
          <w:szCs w:val="22"/>
        </w:rPr>
        <w:t>El ordenamiento jurídico colombiano contempla previsiones claras para evitar la obtención de beneficios personales en asuntos propios de la administración pública</w:t>
      </w:r>
      <w:r>
        <w:rPr>
          <w:rFonts w:ascii="Arial" w:eastAsia="Arial" w:hAnsi="Arial" w:cs="Arial"/>
          <w:i/>
          <w:sz w:val="22"/>
          <w:szCs w:val="22"/>
        </w:rPr>
        <w:t xml:space="preserve">. </w:t>
      </w:r>
      <w:r>
        <w:rPr>
          <w:rFonts w:ascii="Arial" w:eastAsia="Arial" w:hAnsi="Arial" w:cs="Arial"/>
          <w:sz w:val="22"/>
          <w:szCs w:val="22"/>
        </w:rPr>
        <w:t>Por ejemplo, el artículo 127 de la Constitución Política establece una prohibición contractual a los servidores públicos y en cuanto a aspectos políticos establece restricciones a ciertos empleados del Estado, incluso en época no electoral</w:t>
      </w:r>
      <w:r>
        <w:rPr>
          <w:rFonts w:ascii="Arial" w:eastAsia="Arial" w:hAnsi="Arial" w:cs="Arial"/>
          <w:sz w:val="22"/>
          <w:szCs w:val="22"/>
          <w:vertAlign w:val="superscript"/>
        </w:rPr>
        <w:footnoteReference w:id="1"/>
      </w:r>
      <w:r>
        <w:rPr>
          <w:rFonts w:ascii="Arial" w:eastAsia="Arial" w:hAnsi="Arial" w:cs="Arial"/>
          <w:sz w:val="22"/>
          <w:szCs w:val="22"/>
        </w:rPr>
        <w:t xml:space="preserve">. </w:t>
      </w:r>
    </w:p>
    <w:p w14:paraId="1A455F3D" w14:textId="77777777" w:rsidR="00EC3CA7" w:rsidRDefault="00AF30F5">
      <w:pPr>
        <w:tabs>
          <w:tab w:val="left" w:pos="426"/>
        </w:tabs>
        <w:spacing w:after="0"/>
        <w:ind w:firstLine="709"/>
        <w:rPr>
          <w:rFonts w:ascii="Arial" w:eastAsia="Arial" w:hAnsi="Arial" w:cs="Arial"/>
          <w:sz w:val="22"/>
          <w:szCs w:val="22"/>
        </w:rPr>
      </w:pPr>
      <w:r>
        <w:rPr>
          <w:rFonts w:ascii="Arial" w:eastAsia="Arial" w:hAnsi="Arial" w:cs="Arial"/>
          <w:sz w:val="22"/>
          <w:szCs w:val="22"/>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Pr>
          <w:rFonts w:ascii="Arial" w:eastAsia="Arial" w:hAnsi="Arial" w:cs="Arial"/>
          <w:sz w:val="22"/>
          <w:szCs w:val="22"/>
          <w:vertAlign w:val="superscript"/>
        </w:rPr>
        <w:footnoteReference w:id="2"/>
      </w:r>
      <w:r>
        <w:rPr>
          <w:rFonts w:ascii="Arial" w:eastAsia="Arial" w:hAnsi="Arial" w:cs="Arial"/>
          <w:sz w:val="22"/>
          <w:szCs w:val="22"/>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726378FB" w14:textId="77777777" w:rsidR="00EC3CA7" w:rsidRDefault="00EC3CA7">
      <w:pPr>
        <w:spacing w:after="0"/>
        <w:ind w:right="709"/>
        <w:rPr>
          <w:rFonts w:ascii="Arial" w:eastAsia="Arial" w:hAnsi="Arial" w:cs="Arial"/>
          <w:sz w:val="21"/>
          <w:szCs w:val="21"/>
        </w:rPr>
      </w:pPr>
    </w:p>
    <w:p w14:paraId="6D251C82" w14:textId="77777777" w:rsidR="00EC3CA7" w:rsidRPr="00236BEB" w:rsidRDefault="00AF30F5" w:rsidP="00236BEB">
      <w:pPr>
        <w:spacing w:after="0" w:line="240" w:lineRule="auto"/>
        <w:ind w:left="709" w:right="709"/>
      </w:pPr>
      <w:r>
        <w:rPr>
          <w:rFonts w:ascii="Arial" w:eastAsia="Arial" w:hAnsi="Arial" w:cs="Arial"/>
          <w:sz w:val="21"/>
          <w:szCs w:val="21"/>
        </w:rPr>
        <w:t>[…] la definición de reglas claras que permitan acceder a los canales de expresión democrática de manera efectiva e igualitaria. El objetivo de una ley de garantías es definir esas reglas.</w:t>
      </w:r>
    </w:p>
    <w:p w14:paraId="43C393A6" w14:textId="77777777" w:rsidR="00EC3CA7" w:rsidRPr="00236BEB" w:rsidRDefault="00AF30F5" w:rsidP="00236BEB">
      <w:pPr>
        <w:spacing w:after="120" w:line="240" w:lineRule="auto"/>
        <w:ind w:left="709" w:right="709"/>
      </w:pPr>
      <w:r>
        <w:rPr>
          <w:rFonts w:ascii="Arial" w:eastAsia="Arial" w:hAnsi="Arial" w:cs="Arial"/>
          <w:sz w:val="21"/>
          <w:szCs w:val="21"/>
        </w:rPr>
        <w:t xml:space="preserve">[…] </w:t>
      </w:r>
    </w:p>
    <w:p w14:paraId="41041ADA" w14:textId="77777777" w:rsidR="00EC3CA7" w:rsidRPr="00236BEB" w:rsidRDefault="00AF30F5" w:rsidP="00236BEB">
      <w:pPr>
        <w:spacing w:after="0" w:line="240" w:lineRule="auto"/>
        <w:ind w:left="709" w:right="709"/>
      </w:pPr>
      <w:r>
        <w:rPr>
          <w:rFonts w:ascii="Arial" w:eastAsia="Arial" w:hAnsi="Arial" w:cs="Arial"/>
          <w:sz w:val="21"/>
          <w:szCs w:val="21"/>
        </w:rPr>
        <w:lastRenderedPageBreak/>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Pr>
          <w:rFonts w:ascii="Arial" w:eastAsia="Arial" w:hAnsi="Arial" w:cs="Arial"/>
          <w:sz w:val="20"/>
          <w:szCs w:val="20"/>
          <w:vertAlign w:val="superscript"/>
        </w:rPr>
        <w:footnoteReference w:id="3"/>
      </w:r>
    </w:p>
    <w:p w14:paraId="5586E4FA" w14:textId="77777777" w:rsidR="00EC3CA7" w:rsidRDefault="00EC3CA7">
      <w:pPr>
        <w:spacing w:after="0"/>
        <w:ind w:left="709" w:right="709"/>
        <w:rPr>
          <w:rFonts w:ascii="Arial" w:eastAsia="Arial" w:hAnsi="Arial" w:cs="Arial"/>
          <w:sz w:val="21"/>
          <w:szCs w:val="21"/>
        </w:rPr>
      </w:pPr>
    </w:p>
    <w:p w14:paraId="330B251C" w14:textId="77777777" w:rsidR="00EC3CA7" w:rsidRDefault="00AF30F5">
      <w:pPr>
        <w:spacing w:after="0"/>
        <w:ind w:firstLine="709"/>
        <w:rPr>
          <w:rFonts w:ascii="Arial" w:eastAsia="Arial" w:hAnsi="Arial" w:cs="Arial"/>
          <w:sz w:val="22"/>
          <w:szCs w:val="22"/>
        </w:rPr>
      </w:pPr>
      <w:bookmarkStart w:id="12" w:name="_26in1rg" w:colFirst="0" w:colLast="0"/>
      <w:bookmarkEnd w:id="12"/>
      <w:r>
        <w:rPr>
          <w:rFonts w:ascii="Arial" w:eastAsia="Arial" w:hAnsi="Arial" w:cs="Arial"/>
          <w:sz w:val="22"/>
          <w:szCs w:val="22"/>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4D9B784A" w14:textId="77777777" w:rsidR="00EC3CA7" w:rsidRDefault="00EC3CA7">
      <w:pPr>
        <w:spacing w:after="0"/>
        <w:ind w:firstLine="709"/>
        <w:rPr>
          <w:rFonts w:ascii="Arial" w:eastAsia="Arial" w:hAnsi="Arial" w:cs="Arial"/>
          <w:sz w:val="22"/>
          <w:szCs w:val="22"/>
        </w:rPr>
      </w:pPr>
    </w:p>
    <w:p w14:paraId="606295E8" w14:textId="77777777" w:rsidR="00EC3CA7" w:rsidRPr="00236BEB" w:rsidRDefault="00AF30F5" w:rsidP="00236BEB">
      <w:pPr>
        <w:spacing w:after="120" w:line="240" w:lineRule="auto"/>
        <w:ind w:left="709" w:right="709"/>
      </w:pPr>
      <w:r>
        <w:rPr>
          <w:rFonts w:ascii="Arial" w:eastAsia="Arial" w:hAnsi="Arial" w:cs="Arial"/>
          <w:sz w:val="21"/>
          <w:szCs w:val="21"/>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11DDC1E" w14:textId="77777777" w:rsidR="00EC3CA7" w:rsidRPr="00236BEB" w:rsidRDefault="00AF30F5" w:rsidP="00236BEB">
      <w:pPr>
        <w:spacing w:after="0" w:line="240" w:lineRule="auto"/>
        <w:ind w:left="709" w:right="709"/>
      </w:pPr>
      <w:r>
        <w:rPr>
          <w:rFonts w:ascii="Arial" w:eastAsia="Arial" w:hAnsi="Arial" w:cs="Arial"/>
          <w:sz w:val="21"/>
          <w:szCs w:val="21"/>
        </w:rPr>
        <w:t>La jurisprudencia de la Corte Constitucional</w:t>
      </w:r>
      <w:r>
        <w:rPr>
          <w:rFonts w:ascii="Arial" w:eastAsia="Arial" w:hAnsi="Arial" w:cs="Arial"/>
          <w:sz w:val="21"/>
          <w:szCs w:val="21"/>
          <w:vertAlign w:val="superscript"/>
        </w:rPr>
        <w:footnoteReference w:id="4"/>
      </w:r>
      <w:r>
        <w:rPr>
          <w:rFonts w:ascii="Arial" w:eastAsia="Arial" w:hAnsi="Arial" w:cs="Arial"/>
          <w:sz w:val="21"/>
          <w:szCs w:val="21"/>
        </w:rPr>
        <w:t> y del Consejo de Estado</w:t>
      </w:r>
      <w:r>
        <w:rPr>
          <w:rFonts w:ascii="Arial" w:eastAsia="Arial" w:hAnsi="Arial" w:cs="Arial"/>
          <w:sz w:val="21"/>
          <w:szCs w:val="21"/>
          <w:vertAlign w:val="superscript"/>
        </w:rPr>
        <w:footnoteReference w:id="5"/>
      </w:r>
      <w:r>
        <w:rPr>
          <w:rFonts w:ascii="Arial" w:eastAsia="Arial" w:hAnsi="Arial" w:cs="Arial"/>
          <w:sz w:val="21"/>
          <w:szCs w:val="21"/>
        </w:rPr>
        <w:t xml:space="preserve">, coinciden en que las normas que establecen prohibiciones deben estar </w:t>
      </w:r>
      <w:r>
        <w:rPr>
          <w:rFonts w:ascii="Arial" w:eastAsia="Arial" w:hAnsi="Arial" w:cs="Arial"/>
          <w:sz w:val="21"/>
          <w:szCs w:val="21"/>
        </w:rPr>
        <w:lastRenderedPageBreak/>
        <w:t>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Arial" w:eastAsia="Arial" w:hAnsi="Arial" w:cs="Arial"/>
          <w:sz w:val="22"/>
          <w:szCs w:val="22"/>
          <w:vertAlign w:val="superscript"/>
        </w:rPr>
        <w:footnoteReference w:id="6"/>
      </w:r>
      <w:r>
        <w:rPr>
          <w:rFonts w:ascii="Arial" w:eastAsia="Arial" w:hAnsi="Arial" w:cs="Arial"/>
          <w:sz w:val="21"/>
          <w:szCs w:val="21"/>
        </w:rPr>
        <w:t>.</w:t>
      </w:r>
    </w:p>
    <w:p w14:paraId="319247E3" w14:textId="77777777" w:rsidR="00EC3CA7" w:rsidRDefault="00EC3CA7">
      <w:pPr>
        <w:spacing w:after="0"/>
        <w:ind w:right="709"/>
        <w:rPr>
          <w:rFonts w:ascii="Arial" w:eastAsia="Arial" w:hAnsi="Arial" w:cs="Arial"/>
          <w:sz w:val="21"/>
          <w:szCs w:val="21"/>
        </w:rPr>
      </w:pPr>
    </w:p>
    <w:p w14:paraId="53DC92E6" w14:textId="77777777" w:rsidR="00EC3CA7" w:rsidRDefault="00AF30F5">
      <w:pPr>
        <w:spacing w:after="120"/>
        <w:rPr>
          <w:rFonts w:ascii="Arial" w:eastAsia="Arial" w:hAnsi="Arial" w:cs="Arial"/>
          <w:sz w:val="22"/>
          <w:szCs w:val="22"/>
        </w:rPr>
      </w:pPr>
      <w:bookmarkStart w:id="13" w:name="_lnxbz9" w:colFirst="0" w:colLast="0"/>
      <w:bookmarkEnd w:id="13"/>
      <w:r>
        <w:rPr>
          <w:rFonts w:ascii="Arial" w:eastAsia="Arial" w:hAnsi="Arial" w:cs="Arial"/>
          <w:sz w:val="22"/>
          <w:szCs w:val="22"/>
        </w:rPr>
        <w:tab/>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4FFC6DAD" w14:textId="77777777" w:rsidR="00EC3CA7" w:rsidRDefault="00AF30F5">
      <w:pPr>
        <w:spacing w:after="120"/>
        <w:ind w:firstLine="708"/>
        <w:rPr>
          <w:rFonts w:ascii="Arial" w:eastAsia="Arial" w:hAnsi="Arial" w:cs="Arial"/>
          <w:sz w:val="22"/>
          <w:szCs w:val="22"/>
        </w:rPr>
      </w:pPr>
      <w:r>
        <w:rPr>
          <w:rFonts w:ascii="Arial" w:eastAsia="Arial" w:hAnsi="Arial" w:cs="Arial"/>
          <w:sz w:val="22"/>
          <w:szCs w:val="22"/>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Arial" w:hAnsi="Arial" w:cs="Arial"/>
          <w:sz w:val="22"/>
          <w:szCs w:val="22"/>
          <w:vertAlign w:val="superscript"/>
        </w:rPr>
        <w:footnoteReference w:id="7"/>
      </w:r>
      <w:r>
        <w:rPr>
          <w:rFonts w:ascii="Arial" w:eastAsia="Arial" w:hAnsi="Arial" w:cs="Arial"/>
          <w:sz w:val="22"/>
          <w:szCs w:val="22"/>
        </w:rPr>
        <w:t>.</w:t>
      </w:r>
    </w:p>
    <w:p w14:paraId="220863CF" w14:textId="77777777" w:rsidR="00EC3CA7" w:rsidRDefault="00AF30F5">
      <w:pPr>
        <w:widowControl w:val="0"/>
        <w:spacing w:after="0"/>
        <w:ind w:right="113" w:firstLine="708"/>
        <w:rPr>
          <w:rFonts w:ascii="Arial" w:eastAsia="Arial" w:hAnsi="Arial" w:cs="Arial"/>
          <w:sz w:val="22"/>
          <w:szCs w:val="22"/>
        </w:rPr>
      </w:pPr>
      <w:r>
        <w:rPr>
          <w:rFonts w:ascii="Arial" w:eastAsia="Arial" w:hAnsi="Arial" w:cs="Arial"/>
          <w:sz w:val="22"/>
          <w:szCs w:val="22"/>
        </w:rPr>
        <w:lastRenderedPageBreak/>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Arial" w:hAnsi="Arial" w:cs="Arial"/>
          <w:sz w:val="19"/>
          <w:szCs w:val="19"/>
        </w:rPr>
        <w:t>»</w:t>
      </w:r>
      <w:r>
        <w:rPr>
          <w:rFonts w:ascii="Arial" w:eastAsia="Arial" w:hAnsi="Arial" w:cs="Arial"/>
          <w:sz w:val="19"/>
          <w:szCs w:val="19"/>
          <w:vertAlign w:val="superscript"/>
        </w:rPr>
        <w:footnoteReference w:id="8"/>
      </w:r>
      <w:r>
        <w:rPr>
          <w:rFonts w:ascii="Arial" w:eastAsia="Arial" w:hAnsi="Arial" w:cs="Arial"/>
          <w:sz w:val="22"/>
          <w:szCs w:val="22"/>
        </w:rPr>
        <w:t>. La Sala de Consulta y Servicio Civil del Consejo de Estado ha aclarado la distinción en la aplicación de las prohibiciones de la Ley 996 de 2005, dependiendo del tipo de elección que se trate. Al respecto, considera que:</w:t>
      </w:r>
    </w:p>
    <w:p w14:paraId="36E9CD7F" w14:textId="77777777" w:rsidR="00EC3CA7" w:rsidRDefault="00EC3CA7">
      <w:pPr>
        <w:widowControl w:val="0"/>
        <w:spacing w:after="0"/>
        <w:ind w:left="805" w:right="812"/>
        <w:rPr>
          <w:rFonts w:ascii="Arial" w:eastAsia="Arial" w:hAnsi="Arial" w:cs="Arial"/>
          <w:sz w:val="22"/>
          <w:szCs w:val="22"/>
        </w:rPr>
      </w:pPr>
    </w:p>
    <w:p w14:paraId="427D5E0C" w14:textId="77777777" w:rsidR="00EC3CA7" w:rsidRPr="00236BEB" w:rsidRDefault="00AF30F5" w:rsidP="00236BEB">
      <w:pPr>
        <w:widowControl w:val="0"/>
        <w:spacing w:after="0" w:line="240" w:lineRule="auto"/>
        <w:ind w:left="709" w:right="709"/>
      </w:pPr>
      <w:bookmarkStart w:id="16" w:name="_35nkun2" w:colFirst="0" w:colLast="0"/>
      <w:bookmarkEnd w:id="16"/>
      <w:r>
        <w:rPr>
          <w:rFonts w:ascii="Arial" w:eastAsia="Arial" w:hAnsi="Arial" w:cs="Arial"/>
          <w:sz w:val="21"/>
          <w:szCs w:val="21"/>
        </w:rPr>
        <w:t>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Pr>
          <w:rFonts w:ascii="Arial" w:eastAsia="Arial" w:hAnsi="Arial" w:cs="Arial"/>
          <w:sz w:val="21"/>
          <w:szCs w:val="21"/>
          <w:vertAlign w:val="superscript"/>
        </w:rPr>
        <w:footnoteReference w:id="9"/>
      </w:r>
    </w:p>
    <w:p w14:paraId="5E8DD530" w14:textId="77777777" w:rsidR="00EC3CA7" w:rsidRPr="00236BEB" w:rsidRDefault="00EC3CA7">
      <w:pPr>
        <w:widowControl w:val="0"/>
        <w:spacing w:before="8" w:after="0"/>
        <w:jc w:val="left"/>
        <w:rPr>
          <w:rFonts w:ascii="Arial" w:eastAsia="Arial" w:hAnsi="Arial" w:cs="Arial"/>
          <w:sz w:val="22"/>
          <w:szCs w:val="22"/>
        </w:rPr>
      </w:pPr>
    </w:p>
    <w:p w14:paraId="023882AF" w14:textId="1D944A98" w:rsidR="00EC3CA7" w:rsidRDefault="00AF30F5">
      <w:pPr>
        <w:spacing w:after="120"/>
        <w:ind w:firstLine="709"/>
        <w:rPr>
          <w:rFonts w:ascii="Arial" w:eastAsia="Arial" w:hAnsi="Arial" w:cs="Arial"/>
          <w:sz w:val="22"/>
          <w:szCs w:val="22"/>
        </w:rPr>
      </w:pPr>
      <w:bookmarkStart w:id="17" w:name="_1ksv4uv" w:colFirst="0" w:colLast="0"/>
      <w:bookmarkEnd w:id="17"/>
      <w:r>
        <w:rPr>
          <w:rFonts w:ascii="Arial" w:eastAsia="Arial" w:hAnsi="Arial" w:cs="Arial"/>
          <w:sz w:val="22"/>
          <w:szCs w:val="22"/>
        </w:rPr>
        <w:t xml:space="preserve">De conformidad con lo anterior, la Ley 996 de 2005 establece dos (2) tipos de restricciones en materia de contratación, las cuales coinciden parcialmente. </w:t>
      </w:r>
      <w:r>
        <w:rPr>
          <w:rFonts w:ascii="Arial" w:eastAsia="Arial" w:hAnsi="Arial" w:cs="Arial"/>
          <w:i/>
          <w:sz w:val="22"/>
          <w:szCs w:val="22"/>
        </w:rPr>
        <w:t>En primer lugar</w:t>
      </w:r>
      <w:r>
        <w:rPr>
          <w:rFonts w:ascii="Arial" w:eastAsia="Arial" w:hAnsi="Arial" w:cs="Arial"/>
          <w:sz w:val="22"/>
          <w:szCs w:val="22"/>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Pr>
          <w:rFonts w:ascii="Arial" w:eastAsia="Arial" w:hAnsi="Arial" w:cs="Arial"/>
          <w:i/>
          <w:sz w:val="22"/>
          <w:szCs w:val="22"/>
        </w:rPr>
        <w:t>En segundo lugar</w:t>
      </w:r>
      <w:r>
        <w:rPr>
          <w:rFonts w:ascii="Arial" w:eastAsia="Arial" w:hAnsi="Arial" w:cs="Arial"/>
          <w:sz w:val="22"/>
          <w:szCs w:val="22"/>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CFA2ACC" w14:textId="77777777" w:rsidR="00EC3CA7" w:rsidRDefault="00AF30F5">
      <w:pPr>
        <w:spacing w:after="120"/>
        <w:ind w:firstLine="709"/>
        <w:rPr>
          <w:rFonts w:ascii="Arial" w:eastAsia="Arial" w:hAnsi="Arial" w:cs="Arial"/>
          <w:sz w:val="22"/>
          <w:szCs w:val="22"/>
        </w:rPr>
      </w:pPr>
      <w:r>
        <w:rPr>
          <w:rFonts w:ascii="Arial" w:eastAsia="Arial" w:hAnsi="Arial" w:cs="Arial"/>
          <w:sz w:val="22"/>
          <w:szCs w:val="22"/>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3448A8EE" w14:textId="77777777" w:rsidR="00EC3CA7" w:rsidRDefault="00AF30F5">
      <w:pPr>
        <w:spacing w:after="0"/>
        <w:ind w:firstLine="708"/>
        <w:rPr>
          <w:rFonts w:ascii="Arial" w:eastAsia="Arial" w:hAnsi="Arial" w:cs="Arial"/>
          <w:sz w:val="22"/>
          <w:szCs w:val="22"/>
        </w:rPr>
      </w:pPr>
      <w:r>
        <w:rPr>
          <w:rFonts w:ascii="Arial" w:eastAsia="Arial" w:hAnsi="Arial" w:cs="Arial"/>
          <w:sz w:val="22"/>
          <w:szCs w:val="22"/>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285949D" w14:textId="77777777" w:rsidR="00EC3CA7" w:rsidRDefault="00EC3CA7">
      <w:pPr>
        <w:spacing w:after="0"/>
        <w:rPr>
          <w:rFonts w:ascii="Arial" w:eastAsia="Arial" w:hAnsi="Arial" w:cs="Arial"/>
          <w:sz w:val="22"/>
          <w:szCs w:val="22"/>
        </w:rPr>
      </w:pPr>
    </w:p>
    <w:p w14:paraId="39A3494A" w14:textId="77777777" w:rsidR="00EC3CA7" w:rsidRDefault="00AF30F5">
      <w:pPr>
        <w:spacing w:after="0"/>
        <w:rPr>
          <w:rFonts w:ascii="Arial" w:eastAsia="Arial" w:hAnsi="Arial" w:cs="Arial"/>
          <w:b/>
          <w:sz w:val="22"/>
          <w:szCs w:val="22"/>
        </w:rPr>
      </w:pPr>
      <w:r>
        <w:rPr>
          <w:rFonts w:ascii="Arial" w:eastAsia="Arial" w:hAnsi="Arial" w:cs="Arial"/>
          <w:b/>
          <w:sz w:val="22"/>
          <w:szCs w:val="22"/>
        </w:rPr>
        <w:t xml:space="preserve">2.2. Restricciones en elecciones presidenciales </w:t>
      </w:r>
    </w:p>
    <w:p w14:paraId="483F7832" w14:textId="77777777" w:rsidR="00EC3CA7" w:rsidRDefault="00EC3CA7">
      <w:pPr>
        <w:spacing w:after="0"/>
        <w:rPr>
          <w:rFonts w:ascii="Arial" w:eastAsia="Arial" w:hAnsi="Arial" w:cs="Arial"/>
          <w:sz w:val="22"/>
          <w:szCs w:val="22"/>
        </w:rPr>
      </w:pPr>
    </w:p>
    <w:p w14:paraId="45F2E79C" w14:textId="77777777" w:rsidR="00EC3CA7" w:rsidRDefault="00AF30F5">
      <w:pPr>
        <w:spacing w:after="0"/>
        <w:rPr>
          <w:rFonts w:ascii="Arial" w:eastAsia="Arial" w:hAnsi="Arial" w:cs="Arial"/>
          <w:sz w:val="22"/>
          <w:szCs w:val="22"/>
        </w:rPr>
      </w:pPr>
      <w:bookmarkStart w:id="18" w:name="_44sinio" w:colFirst="0" w:colLast="0"/>
      <w:bookmarkEnd w:id="18"/>
      <w:r>
        <w:rPr>
          <w:rFonts w:ascii="Arial" w:eastAsia="Arial" w:hAnsi="Arial" w:cs="Arial"/>
          <w:sz w:val="22"/>
          <w:szCs w:val="22"/>
        </w:rPr>
        <w:t xml:space="preserve">El ámbito material de la prohibición contenida en el artículo 33 de la ley 996 de 2005 está delimitado por la expresión </w:t>
      </w:r>
      <w:r>
        <w:rPr>
          <w:rFonts w:ascii="Arial" w:eastAsia="Arial" w:hAnsi="Arial" w:cs="Arial"/>
          <w:sz w:val="20"/>
          <w:szCs w:val="20"/>
        </w:rPr>
        <w:t>«</w:t>
      </w:r>
      <w:r>
        <w:rPr>
          <w:rFonts w:ascii="Arial" w:eastAsia="Arial" w:hAnsi="Arial" w:cs="Arial"/>
          <w:sz w:val="22"/>
          <w:szCs w:val="22"/>
        </w:rPr>
        <w:t>queda prohibida la contratación directa</w:t>
      </w:r>
      <w:r>
        <w:rPr>
          <w:rFonts w:ascii="Arial" w:eastAsia="Arial" w:hAnsi="Arial" w:cs="Arial"/>
          <w:sz w:val="20"/>
          <w:szCs w:val="20"/>
        </w:rPr>
        <w:t>»</w:t>
      </w:r>
      <w:r>
        <w:rPr>
          <w:rFonts w:ascii="Arial" w:eastAsia="Arial" w:hAnsi="Arial" w:cs="Arial"/>
          <w:sz w:val="22"/>
          <w:szCs w:val="22"/>
        </w:rPr>
        <w:t>.  A propósito de esta restricción de la Ley de Garantías Electorales, la Sala de Consulta y Servicio Civil del Consejo de Estado ha considerado que:</w:t>
      </w:r>
    </w:p>
    <w:p w14:paraId="12AC3686" w14:textId="77777777" w:rsidR="00EC3CA7" w:rsidRDefault="00EC3CA7">
      <w:pPr>
        <w:spacing w:after="0"/>
        <w:ind w:left="708" w:right="709"/>
        <w:rPr>
          <w:rFonts w:ascii="Arial" w:eastAsia="Arial" w:hAnsi="Arial" w:cs="Arial"/>
          <w:sz w:val="21"/>
          <w:szCs w:val="21"/>
        </w:rPr>
      </w:pPr>
    </w:p>
    <w:p w14:paraId="73B466E7" w14:textId="77777777" w:rsidR="00EC3CA7" w:rsidRPr="00236BEB" w:rsidRDefault="00AF30F5" w:rsidP="00236BEB">
      <w:pPr>
        <w:spacing w:after="120" w:line="240" w:lineRule="auto"/>
        <w:ind w:left="709" w:right="709"/>
      </w:pPr>
      <w:r>
        <w:rPr>
          <w:rFonts w:ascii="Arial" w:eastAsia="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Pr>
          <w:rFonts w:ascii="Arial" w:eastAsia="Arial" w:hAnsi="Arial" w:cs="Arial"/>
          <w:sz w:val="22"/>
          <w:szCs w:val="22"/>
          <w:vertAlign w:val="superscript"/>
        </w:rPr>
        <w:footnoteReference w:id="10"/>
      </w:r>
      <w:r>
        <w:rPr>
          <w:rFonts w:ascii="Arial" w:eastAsia="Arial" w:hAnsi="Arial" w:cs="Arial"/>
          <w:sz w:val="21"/>
          <w:szCs w:val="21"/>
        </w:rPr>
        <w:t>.</w:t>
      </w:r>
    </w:p>
    <w:p w14:paraId="6ADC9CE8" w14:textId="77777777" w:rsidR="00EC3CA7" w:rsidRPr="00236BEB" w:rsidRDefault="00AF30F5" w:rsidP="00236BEB">
      <w:pPr>
        <w:spacing w:after="0" w:line="240" w:lineRule="auto"/>
        <w:ind w:left="708" w:right="709"/>
      </w:pPr>
      <w:bookmarkStart w:id="19" w:name="_2jxsxqh" w:colFirst="0" w:colLast="0"/>
      <w:bookmarkEnd w:id="19"/>
      <w:r>
        <w:rPr>
          <w:rFonts w:ascii="Arial" w:eastAsia="Arial" w:hAnsi="Arial" w:cs="Arial"/>
          <w:sz w:val="21"/>
          <w:szCs w:val="21"/>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Pr>
          <w:rFonts w:ascii="Arial" w:eastAsia="Arial" w:hAnsi="Arial" w:cs="Arial"/>
          <w:sz w:val="21"/>
          <w:szCs w:val="21"/>
          <w:vertAlign w:val="superscript"/>
        </w:rPr>
        <w:footnoteReference w:id="11"/>
      </w:r>
      <w:r>
        <w:rPr>
          <w:rFonts w:ascii="Arial" w:eastAsia="Arial" w:hAnsi="Arial" w:cs="Arial"/>
          <w:sz w:val="21"/>
          <w:szCs w:val="21"/>
          <w:vertAlign w:val="superscript"/>
        </w:rPr>
        <w:t>.</w:t>
      </w:r>
      <w:r>
        <w:rPr>
          <w:rFonts w:ascii="Arial" w:eastAsia="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Pr>
          <w:rFonts w:ascii="Arial" w:eastAsia="Arial" w:hAnsi="Arial" w:cs="Arial"/>
          <w:sz w:val="22"/>
          <w:szCs w:val="22"/>
          <w:vertAlign w:val="superscript"/>
        </w:rPr>
        <w:footnoteReference w:id="12"/>
      </w:r>
      <w:r>
        <w:rPr>
          <w:rFonts w:ascii="Arial" w:eastAsia="Arial" w:hAnsi="Arial" w:cs="Arial"/>
          <w:sz w:val="21"/>
          <w:szCs w:val="21"/>
        </w:rPr>
        <w:t xml:space="preserve"> .</w:t>
      </w:r>
    </w:p>
    <w:p w14:paraId="2C7C6D30" w14:textId="77777777" w:rsidR="00EC3CA7" w:rsidRDefault="00EC3CA7">
      <w:pPr>
        <w:shd w:val="clear" w:color="auto" w:fill="FFFFFF"/>
        <w:spacing w:after="0"/>
        <w:ind w:firstLine="709"/>
        <w:rPr>
          <w:rFonts w:ascii="Arial" w:eastAsia="Arial" w:hAnsi="Arial" w:cs="Arial"/>
          <w:sz w:val="22"/>
          <w:szCs w:val="22"/>
        </w:rPr>
      </w:pPr>
    </w:p>
    <w:p w14:paraId="3C759C7C" w14:textId="77777777" w:rsidR="00EC3CA7" w:rsidRDefault="00AF30F5">
      <w:pPr>
        <w:spacing w:after="120"/>
        <w:ind w:firstLine="708"/>
        <w:rPr>
          <w:rFonts w:ascii="Arial" w:eastAsia="Arial" w:hAnsi="Arial" w:cs="Arial"/>
          <w:sz w:val="22"/>
          <w:szCs w:val="22"/>
        </w:rPr>
      </w:pPr>
      <w:bookmarkStart w:id="20" w:name="_z337ya" w:colFirst="0" w:colLast="0"/>
      <w:bookmarkEnd w:id="20"/>
      <w:r>
        <w:rPr>
          <w:rFonts w:ascii="Arial" w:eastAsia="Arial" w:hAnsi="Arial" w:cs="Arial"/>
          <w:sz w:val="22"/>
          <w:szCs w:val="22"/>
        </w:rPr>
        <w:t xml:space="preserve">De conformidad con el citado concepto, la prohibición del artículo 33 de la Ley de Garantías Electorales se refiere a </w:t>
      </w:r>
      <w:r>
        <w:rPr>
          <w:rFonts w:ascii="Arial" w:eastAsia="Arial" w:hAnsi="Arial" w:cs="Arial"/>
          <w:sz w:val="19"/>
          <w:szCs w:val="19"/>
        </w:rPr>
        <w:t>«</w:t>
      </w:r>
      <w:r>
        <w:rPr>
          <w:rFonts w:ascii="Arial" w:eastAsia="Arial" w:hAnsi="Arial" w:cs="Arial"/>
          <w:sz w:val="22"/>
          <w:szCs w:val="22"/>
        </w:rPr>
        <w:t xml:space="preserve">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w:t>
      </w:r>
      <w:r>
        <w:rPr>
          <w:rFonts w:ascii="Arial" w:eastAsia="Arial" w:hAnsi="Arial" w:cs="Arial"/>
          <w:sz w:val="22"/>
          <w:szCs w:val="22"/>
        </w:rPr>
        <w:lastRenderedPageBreak/>
        <w:t>que, entre otras reformas, introdujo la selección abreviada, rediseñó el concurso de méritos</w:t>
      </w:r>
      <w:r>
        <w:rPr>
          <w:rFonts w:ascii="Arial" w:eastAsia="Arial" w:hAnsi="Arial" w:cs="Arial"/>
          <w:sz w:val="22"/>
          <w:szCs w:val="22"/>
          <w:vertAlign w:val="superscript"/>
        </w:rPr>
        <w:footnoteReference w:id="13"/>
      </w:r>
      <w:r>
        <w:rPr>
          <w:rFonts w:ascii="Arial" w:eastAsia="Arial" w:hAnsi="Arial" w:cs="Arial"/>
          <w:sz w:val="22"/>
          <w:szCs w:val="22"/>
        </w:rPr>
        <w:t xml:space="preserve"> y sistematizó las causales de contratación directa</w:t>
      </w:r>
      <w:r>
        <w:rPr>
          <w:rFonts w:ascii="Arial" w:eastAsia="Arial" w:hAnsi="Arial" w:cs="Arial"/>
          <w:sz w:val="22"/>
          <w:szCs w:val="22"/>
          <w:vertAlign w:val="superscript"/>
        </w:rPr>
        <w:footnoteReference w:id="14"/>
      </w:r>
      <w:r>
        <w:rPr>
          <w:rFonts w:ascii="Arial" w:eastAsia="Arial" w:hAnsi="Arial" w:cs="Arial"/>
          <w:sz w:val="22"/>
          <w:szCs w:val="22"/>
        </w:rPr>
        <w:t xml:space="preserve">. </w:t>
      </w:r>
    </w:p>
    <w:p w14:paraId="070116EB" w14:textId="77777777" w:rsidR="00EC3CA7" w:rsidRDefault="00AF30F5">
      <w:pPr>
        <w:spacing w:after="120"/>
        <w:ind w:firstLine="708"/>
        <w:rPr>
          <w:rFonts w:ascii="Arial" w:eastAsia="Arial" w:hAnsi="Arial" w:cs="Arial"/>
          <w:sz w:val="22"/>
          <w:szCs w:val="22"/>
        </w:rPr>
      </w:pPr>
      <w:r>
        <w:rPr>
          <w:rFonts w:ascii="Arial" w:eastAsia="Arial" w:hAnsi="Arial" w:cs="Arial"/>
          <w:sz w:val="22"/>
          <w:szCs w:val="22"/>
        </w:rPr>
        <w:t xml:space="preserve">De esta forma, con fundamento en la evolución de la normativa sobre la contratación pública, se ha depurado la noción de </w:t>
      </w:r>
      <w:r>
        <w:rPr>
          <w:rFonts w:ascii="Arial" w:eastAsia="Arial" w:hAnsi="Arial" w:cs="Arial"/>
          <w:sz w:val="19"/>
          <w:szCs w:val="19"/>
        </w:rPr>
        <w:t>«</w:t>
      </w:r>
      <w:r>
        <w:rPr>
          <w:rFonts w:ascii="Arial" w:eastAsia="Arial" w:hAnsi="Arial" w:cs="Arial"/>
          <w:sz w:val="22"/>
          <w:szCs w:val="22"/>
        </w:rPr>
        <w:t>contratación directa»,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Pr>
          <w:rFonts w:ascii="Arial" w:eastAsia="Arial" w:hAnsi="Arial" w:cs="Arial"/>
          <w:sz w:val="22"/>
          <w:szCs w:val="22"/>
          <w:vertAlign w:val="superscript"/>
        </w:rPr>
        <w:footnoteReference w:id="15"/>
      </w:r>
      <w:r>
        <w:rPr>
          <w:rFonts w:ascii="Arial" w:eastAsia="Arial" w:hAnsi="Arial" w:cs="Arial"/>
          <w:sz w:val="22"/>
          <w:szCs w:val="22"/>
        </w:rPr>
        <w:t xml:space="preserve">, han establecido sistemas de contratación que implican convocatoria pública y participación de varios oferentes». </w:t>
      </w:r>
    </w:p>
    <w:p w14:paraId="4FD8EEFE" w14:textId="77777777" w:rsidR="00EC3CA7" w:rsidRDefault="00AF30F5">
      <w:pPr>
        <w:spacing w:after="120"/>
        <w:ind w:firstLine="708"/>
        <w:rPr>
          <w:rFonts w:ascii="Arial" w:eastAsia="Arial" w:hAnsi="Arial" w:cs="Arial"/>
          <w:sz w:val="22"/>
          <w:szCs w:val="22"/>
        </w:rPr>
      </w:pPr>
      <w:bookmarkStart w:id="23" w:name="_3j2qqm3" w:colFirst="0" w:colLast="0"/>
      <w:bookmarkEnd w:id="23"/>
      <w:r>
        <w:rPr>
          <w:rFonts w:ascii="Arial" w:eastAsia="Arial" w:hAnsi="Arial" w:cs="Arial"/>
          <w:sz w:val="22"/>
          <w:szCs w:val="22"/>
        </w:rPr>
        <w:t>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Pr>
          <w:rFonts w:ascii="Arial" w:eastAsia="Arial" w:hAnsi="Arial" w:cs="Arial"/>
          <w:sz w:val="22"/>
          <w:szCs w:val="22"/>
          <w:vertAlign w:val="superscript"/>
        </w:rPr>
        <w:footnoteReference w:id="16"/>
      </w:r>
      <w:r>
        <w:rPr>
          <w:rFonts w:ascii="Arial" w:eastAsia="Arial" w:hAnsi="Arial" w:cs="Arial"/>
          <w:sz w:val="22"/>
          <w:szCs w:val="22"/>
        </w:rPr>
        <w:t xml:space="preserve">. </w:t>
      </w:r>
    </w:p>
    <w:p w14:paraId="505553E6" w14:textId="77777777" w:rsidR="00EC3CA7" w:rsidRDefault="00AF30F5">
      <w:pPr>
        <w:spacing w:after="120"/>
        <w:ind w:firstLine="708"/>
        <w:rPr>
          <w:rFonts w:ascii="Arial" w:eastAsia="Arial" w:hAnsi="Arial" w:cs="Arial"/>
          <w:sz w:val="22"/>
          <w:szCs w:val="22"/>
        </w:rPr>
      </w:pPr>
      <w:r>
        <w:rPr>
          <w:rFonts w:ascii="Arial" w:eastAsia="Arial" w:hAnsi="Arial" w:cs="Arial"/>
          <w:sz w:val="22"/>
          <w:szCs w:val="22"/>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w:t>
      </w:r>
      <w:r>
        <w:rPr>
          <w:rFonts w:ascii="Arial" w:eastAsia="Arial" w:hAnsi="Arial" w:cs="Arial"/>
          <w:sz w:val="22"/>
          <w:szCs w:val="22"/>
        </w:rPr>
        <w:lastRenderedPageBreak/>
        <w:t>contratación. No obstante, también se observa que luego de la expedición de Ley 1150 de 2007, el Consejo de Estado comenzó a delimitar con mayor precisión el término de «contratación directa».</w:t>
      </w:r>
    </w:p>
    <w:p w14:paraId="74807F49" w14:textId="77777777" w:rsidR="00EC3CA7" w:rsidRDefault="00AF30F5">
      <w:pPr>
        <w:spacing w:after="120"/>
        <w:ind w:firstLine="708"/>
        <w:rPr>
          <w:rFonts w:ascii="Arial" w:eastAsia="Arial" w:hAnsi="Arial" w:cs="Arial"/>
          <w:sz w:val="22"/>
          <w:szCs w:val="22"/>
        </w:rPr>
      </w:pPr>
      <w:bookmarkStart w:id="24" w:name="_1y810tw" w:colFirst="0" w:colLast="0"/>
      <w:bookmarkEnd w:id="24"/>
      <w:r>
        <w:rPr>
          <w:rFonts w:ascii="Arial" w:eastAsia="Arial" w:hAnsi="Arial" w:cs="Arial"/>
          <w:sz w:val="22"/>
          <w:szCs w:val="22"/>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Pr>
          <w:rFonts w:ascii="Arial" w:eastAsia="Arial" w:hAnsi="Arial" w:cs="Arial"/>
          <w:sz w:val="22"/>
          <w:szCs w:val="22"/>
          <w:vertAlign w:val="superscript"/>
        </w:rPr>
        <w:footnoteReference w:id="17"/>
      </w:r>
      <w:r>
        <w:rPr>
          <w:rFonts w:ascii="Arial" w:eastAsia="Arial" w:hAnsi="Arial" w:cs="Arial"/>
          <w:sz w:val="22"/>
          <w:szCs w:val="22"/>
        </w:rPr>
        <w:t>.</w:t>
      </w:r>
      <w:r>
        <w:rPr>
          <w:rFonts w:ascii="Arial" w:eastAsia="Arial" w:hAnsi="Arial" w:cs="Arial"/>
          <w:sz w:val="22"/>
          <w:szCs w:val="22"/>
          <w:vertAlign w:val="superscript"/>
        </w:rPr>
        <w:t xml:space="preserve"> </w:t>
      </w:r>
    </w:p>
    <w:p w14:paraId="00A00078" w14:textId="77777777" w:rsidR="00EC3CA7" w:rsidRDefault="00AF30F5">
      <w:pPr>
        <w:spacing w:after="120"/>
        <w:ind w:firstLine="708"/>
        <w:rPr>
          <w:rFonts w:ascii="Arial" w:eastAsia="Arial" w:hAnsi="Arial" w:cs="Arial"/>
          <w:sz w:val="22"/>
          <w:szCs w:val="22"/>
        </w:rPr>
      </w:pPr>
      <w:r>
        <w:rPr>
          <w:rFonts w:ascii="Arial" w:eastAsia="Arial" w:hAnsi="Arial" w:cs="Arial"/>
          <w:sz w:val="22"/>
          <w:szCs w:val="22"/>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153EB345" w14:textId="77777777" w:rsidR="00EC3CA7" w:rsidRDefault="00AF30F5">
      <w:pPr>
        <w:spacing w:after="120"/>
        <w:ind w:firstLine="708"/>
        <w:rPr>
          <w:rFonts w:ascii="Arial" w:eastAsia="Arial" w:hAnsi="Arial" w:cs="Arial"/>
          <w:sz w:val="22"/>
          <w:szCs w:val="22"/>
        </w:rPr>
      </w:pPr>
      <w:bookmarkStart w:id="25" w:name="_4i7ojhp" w:colFirst="0" w:colLast="0"/>
      <w:bookmarkEnd w:id="25"/>
      <w:r>
        <w:rPr>
          <w:rFonts w:ascii="Arial" w:eastAsia="Arial" w:hAnsi="Arial" w:cs="Arial"/>
          <w:sz w:val="22"/>
          <w:szCs w:val="22"/>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21700FF9" w14:textId="77777777" w:rsidR="00EC3CA7" w:rsidRDefault="00AF30F5">
      <w:pPr>
        <w:spacing w:after="120"/>
        <w:ind w:firstLine="708"/>
        <w:rPr>
          <w:rFonts w:ascii="Arial" w:eastAsia="Arial" w:hAnsi="Arial" w:cs="Arial"/>
          <w:sz w:val="22"/>
          <w:szCs w:val="22"/>
        </w:rPr>
      </w:pPr>
      <w:r>
        <w:rPr>
          <w:rFonts w:ascii="Arial" w:eastAsia="Arial" w:hAnsi="Arial" w:cs="Arial"/>
          <w:sz w:val="22"/>
          <w:szCs w:val="22"/>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w:t>
      </w:r>
      <w:r>
        <w:rPr>
          <w:rFonts w:ascii="Arial" w:eastAsia="Arial" w:hAnsi="Arial" w:cs="Arial"/>
          <w:sz w:val="22"/>
          <w:szCs w:val="22"/>
        </w:rPr>
        <w:lastRenderedPageBreak/>
        <w:t>Estado, examinar en cada caso la naturaleza de las actividades que adelanta y determinar si las mismas se enmarcan en alguna de las mencionadas excepciones, de manera que se le permita realizar la contratación que necesite en forma directa.</w:t>
      </w:r>
    </w:p>
    <w:p w14:paraId="63218162" w14:textId="77777777" w:rsidR="00EC3CA7" w:rsidRDefault="00AF30F5">
      <w:pPr>
        <w:spacing w:after="0"/>
        <w:ind w:firstLine="708"/>
        <w:rPr>
          <w:rFonts w:ascii="Arial" w:eastAsia="Arial" w:hAnsi="Arial" w:cs="Arial"/>
          <w:sz w:val="22"/>
          <w:szCs w:val="22"/>
        </w:rPr>
      </w:pPr>
      <w:bookmarkStart w:id="26" w:name="_2xcytpi" w:colFirst="0" w:colLast="0"/>
      <w:bookmarkEnd w:id="26"/>
      <w:r>
        <w:rPr>
          <w:rFonts w:ascii="Arial" w:eastAsia="Arial" w:hAnsi="Arial" w:cs="Arial"/>
          <w:sz w:val="22"/>
          <w:szCs w:val="22"/>
        </w:rPr>
        <w:t>En esta labor es importante tener en cuenta, como lo anotó la Corte Constitucional, en Sentencia C-1153 de noviembre 11 de 2005</w:t>
      </w:r>
      <w:r>
        <w:rPr>
          <w:vertAlign w:val="superscript"/>
        </w:rPr>
        <w:t>,</w:t>
      </w:r>
      <w:r>
        <w:rPr>
          <w:rFonts w:ascii="Arial" w:eastAsia="Arial" w:hAnsi="Arial" w:cs="Arial"/>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Pr>
          <w:rFonts w:ascii="Arial" w:eastAsia="Arial" w:hAnsi="Arial" w:cs="Arial"/>
          <w:sz w:val="22"/>
          <w:szCs w:val="22"/>
          <w:vertAlign w:val="superscript"/>
        </w:rPr>
        <w:footnoteReference w:id="18"/>
      </w:r>
      <w:r>
        <w:rPr>
          <w:rFonts w:ascii="Arial" w:eastAsia="Arial" w:hAnsi="Arial" w:cs="Arial"/>
          <w:sz w:val="22"/>
          <w:szCs w:val="22"/>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76D7E75" w14:textId="77777777" w:rsidR="00EC3CA7" w:rsidRDefault="00EC3CA7">
      <w:pPr>
        <w:spacing w:after="0"/>
        <w:ind w:firstLine="708"/>
        <w:rPr>
          <w:rFonts w:ascii="Arial" w:eastAsia="Arial" w:hAnsi="Arial" w:cs="Arial"/>
          <w:sz w:val="22"/>
          <w:szCs w:val="22"/>
        </w:rPr>
      </w:pPr>
    </w:p>
    <w:p w14:paraId="5E99153C" w14:textId="77777777" w:rsidR="00EC3CA7" w:rsidRDefault="00AF30F5">
      <w:pPr>
        <w:spacing w:after="0"/>
        <w:rPr>
          <w:rFonts w:ascii="Arial" w:eastAsia="Arial" w:hAnsi="Arial" w:cs="Arial"/>
          <w:b/>
          <w:sz w:val="22"/>
          <w:szCs w:val="22"/>
        </w:rPr>
      </w:pPr>
      <w:r>
        <w:rPr>
          <w:rFonts w:ascii="Arial" w:eastAsia="Arial" w:hAnsi="Arial" w:cs="Arial"/>
          <w:b/>
          <w:sz w:val="22"/>
          <w:szCs w:val="22"/>
        </w:rPr>
        <w:t>2.3.  Destinatarios de la restricción del artículo 33 de la Ley 996 de 2005</w:t>
      </w:r>
    </w:p>
    <w:p w14:paraId="31D08A9F" w14:textId="77777777" w:rsidR="00EC3CA7" w:rsidRDefault="00EC3CA7">
      <w:pPr>
        <w:spacing w:after="0"/>
        <w:rPr>
          <w:rFonts w:ascii="Arial" w:eastAsia="Arial" w:hAnsi="Arial" w:cs="Arial"/>
          <w:sz w:val="22"/>
          <w:szCs w:val="22"/>
        </w:rPr>
      </w:pPr>
    </w:p>
    <w:p w14:paraId="2862B7DA" w14:textId="77777777" w:rsidR="00EC3CA7" w:rsidRDefault="00AF30F5">
      <w:pPr>
        <w:spacing w:after="0"/>
        <w:rPr>
          <w:rFonts w:ascii="Arial" w:eastAsia="Arial" w:hAnsi="Arial" w:cs="Arial"/>
          <w:sz w:val="22"/>
          <w:szCs w:val="22"/>
        </w:rPr>
      </w:pPr>
      <w:bookmarkStart w:id="27" w:name="_1ci93xb" w:colFirst="0" w:colLast="0"/>
      <w:bookmarkEnd w:id="27"/>
      <w:r>
        <w:rPr>
          <w:rFonts w:ascii="Arial" w:eastAsia="Arial" w:hAnsi="Arial" w:cs="Arial"/>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t xml:space="preserve"> </w:t>
      </w:r>
      <w:r>
        <w:rPr>
          <w:rFonts w:ascii="Arial" w:eastAsia="Arial" w:hAnsi="Arial" w:cs="Arial"/>
          <w:sz w:val="22"/>
          <w:szCs w:val="22"/>
        </w:rPr>
        <w:t>En efecto, tal como lo ha sostenido el Consejo de Estado, el vocablo «todos» utilizado por el legislador comprende</w:t>
      </w:r>
      <w:r>
        <w:t xml:space="preserve"> </w:t>
      </w:r>
      <w:r>
        <w:rPr>
          <w:rFonts w:ascii="Arial" w:eastAsia="Arial" w:hAnsi="Arial" w:cs="Arial"/>
          <w:sz w:val="22"/>
          <w:szCs w:val="22"/>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6E33E19C" w14:textId="77777777" w:rsidR="00EC3CA7" w:rsidRDefault="00EC3CA7">
      <w:pPr>
        <w:spacing w:after="0"/>
        <w:ind w:firstLine="708"/>
        <w:rPr>
          <w:rFonts w:ascii="Arial" w:eastAsia="Arial" w:hAnsi="Arial" w:cs="Arial"/>
          <w:sz w:val="22"/>
          <w:szCs w:val="22"/>
        </w:rPr>
      </w:pPr>
    </w:p>
    <w:p w14:paraId="57631F72" w14:textId="77777777" w:rsidR="00EC3CA7" w:rsidRPr="00236BEB" w:rsidRDefault="00AF30F5" w:rsidP="00236BEB">
      <w:pPr>
        <w:spacing w:after="0" w:line="240" w:lineRule="auto"/>
        <w:ind w:left="708" w:right="709"/>
      </w:pPr>
      <w:bookmarkStart w:id="28" w:name="_3whwml4" w:colFirst="0" w:colLast="0"/>
      <w:bookmarkEnd w:id="28"/>
      <w:r>
        <w:rPr>
          <w:rFonts w:ascii="Arial" w:eastAsia="Arial" w:hAnsi="Arial" w:cs="Arial"/>
          <w:sz w:val="21"/>
          <w:szCs w:val="21"/>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w:t>
      </w:r>
      <w:r>
        <w:rPr>
          <w:rFonts w:ascii="Arial" w:eastAsia="Arial" w:hAnsi="Arial" w:cs="Arial"/>
          <w:sz w:val="21"/>
          <w:szCs w:val="21"/>
        </w:rPr>
        <w:lastRenderedPageBreak/>
        <w:t>públicos oficiales y empresas industriales y comerciales del Estado) y a los municipios prestadores directos, incluyendo las excepciones contenidas en el segundo inciso de esta norma</w:t>
      </w:r>
      <w:r>
        <w:rPr>
          <w:rFonts w:ascii="Arial" w:eastAsia="Arial" w:hAnsi="Arial" w:cs="Arial"/>
          <w:sz w:val="21"/>
          <w:szCs w:val="21"/>
          <w:vertAlign w:val="superscript"/>
        </w:rPr>
        <w:footnoteReference w:id="19"/>
      </w:r>
      <w:r>
        <w:rPr>
          <w:rFonts w:ascii="Arial" w:eastAsia="Arial" w:hAnsi="Arial" w:cs="Arial"/>
          <w:sz w:val="21"/>
          <w:szCs w:val="21"/>
        </w:rPr>
        <w:t xml:space="preserve">. </w:t>
      </w:r>
    </w:p>
    <w:p w14:paraId="10BA4956" w14:textId="77777777" w:rsidR="00EC3CA7" w:rsidRDefault="00EC3CA7">
      <w:pPr>
        <w:spacing w:after="0"/>
        <w:ind w:firstLine="708"/>
        <w:rPr>
          <w:rFonts w:ascii="Arial" w:eastAsia="Arial" w:hAnsi="Arial" w:cs="Arial"/>
          <w:sz w:val="22"/>
          <w:szCs w:val="22"/>
        </w:rPr>
      </w:pPr>
    </w:p>
    <w:p w14:paraId="559C1174" w14:textId="77777777" w:rsidR="00EC3CA7" w:rsidRDefault="00AF30F5">
      <w:pPr>
        <w:spacing w:after="0"/>
        <w:ind w:firstLine="708"/>
        <w:rPr>
          <w:rFonts w:ascii="Arial" w:eastAsia="Arial" w:hAnsi="Arial" w:cs="Arial"/>
          <w:sz w:val="22"/>
          <w:szCs w:val="22"/>
        </w:rPr>
      </w:pPr>
      <w:bookmarkStart w:id="29" w:name="_2bn6wsx" w:colFirst="0" w:colLast="0"/>
      <w:bookmarkEnd w:id="29"/>
      <w:r>
        <w:rPr>
          <w:rFonts w:ascii="Arial" w:eastAsia="Arial" w:hAnsi="Arial" w:cs="Arial"/>
          <w:sz w:val="22"/>
          <w:szCs w:val="22"/>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Pr>
          <w:rFonts w:ascii="Arial" w:eastAsia="Arial" w:hAnsi="Arial" w:cs="Arial"/>
          <w:vertAlign w:val="superscript"/>
        </w:rPr>
        <w:footnoteReference w:id="20"/>
      </w:r>
      <w:r>
        <w:rPr>
          <w:rFonts w:ascii="Arial" w:eastAsia="Arial" w:hAnsi="Arial" w:cs="Arial"/>
          <w:sz w:val="22"/>
          <w:szCs w:val="22"/>
        </w:rPr>
        <w:t>. Sin embargo, debe precisarse el siguiente aspecto que distinguió la Sala de Consulta y Servicio Civil:</w:t>
      </w:r>
    </w:p>
    <w:p w14:paraId="5F56653B" w14:textId="77777777" w:rsidR="00EC3CA7" w:rsidRDefault="00EC3CA7">
      <w:pPr>
        <w:spacing w:after="0"/>
        <w:rPr>
          <w:rFonts w:ascii="Arial" w:eastAsia="Arial" w:hAnsi="Arial" w:cs="Arial"/>
          <w:sz w:val="22"/>
          <w:szCs w:val="22"/>
        </w:rPr>
      </w:pPr>
    </w:p>
    <w:p w14:paraId="10767D53" w14:textId="77777777" w:rsidR="00EC3CA7" w:rsidRPr="00236BEB" w:rsidRDefault="00AF30F5" w:rsidP="00236BEB">
      <w:pPr>
        <w:spacing w:after="0" w:line="240" w:lineRule="auto"/>
        <w:ind w:left="708" w:right="709"/>
      </w:pPr>
      <w:bookmarkStart w:id="30" w:name="_qsh70q" w:colFirst="0" w:colLast="0"/>
      <w:bookmarkEnd w:id="30"/>
      <w:r>
        <w:rPr>
          <w:rFonts w:ascii="Arial" w:eastAsia="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w:t>
      </w:r>
      <w:r>
        <w:rPr>
          <w:rFonts w:ascii="Arial" w:eastAsia="Arial" w:hAnsi="Arial" w:cs="Arial"/>
          <w:sz w:val="21"/>
          <w:szCs w:val="21"/>
        </w:rPr>
        <w:lastRenderedPageBreak/>
        <w:t>administración, que incluso podría desconocer los derechos fundamentales</w:t>
      </w:r>
      <w:r>
        <w:rPr>
          <w:rFonts w:ascii="Arial" w:eastAsia="Arial" w:hAnsi="Arial" w:cs="Arial"/>
          <w:vertAlign w:val="superscript"/>
        </w:rPr>
        <w:footnoteReference w:id="21"/>
      </w:r>
      <w:r>
        <w:rPr>
          <w:rFonts w:ascii="Arial" w:eastAsia="Arial" w:hAnsi="Arial" w:cs="Arial"/>
          <w:sz w:val="22"/>
          <w:szCs w:val="22"/>
        </w:rPr>
        <w:t>.</w:t>
      </w:r>
    </w:p>
    <w:p w14:paraId="2CB29A6B" w14:textId="77777777" w:rsidR="00EC3CA7" w:rsidRDefault="00EC3CA7">
      <w:pPr>
        <w:spacing w:after="0"/>
        <w:rPr>
          <w:rFonts w:ascii="Arial" w:eastAsia="Arial" w:hAnsi="Arial" w:cs="Arial"/>
          <w:sz w:val="22"/>
          <w:szCs w:val="22"/>
        </w:rPr>
      </w:pPr>
    </w:p>
    <w:p w14:paraId="5ADAB65D" w14:textId="77777777" w:rsidR="00EC3CA7" w:rsidRDefault="00AF30F5">
      <w:pPr>
        <w:spacing w:after="120"/>
        <w:ind w:firstLine="709"/>
        <w:rPr>
          <w:rFonts w:ascii="Arial" w:eastAsia="Arial" w:hAnsi="Arial" w:cs="Arial"/>
          <w:sz w:val="22"/>
          <w:szCs w:val="22"/>
        </w:rPr>
      </w:pPr>
      <w:bookmarkStart w:id="31" w:name="_3as4poj" w:colFirst="0" w:colLast="0"/>
      <w:bookmarkEnd w:id="31"/>
      <w:r>
        <w:rPr>
          <w:rFonts w:ascii="Arial" w:eastAsia="Arial" w:hAnsi="Arial" w:cs="Arial"/>
          <w:sz w:val="22"/>
          <w:szCs w:val="22"/>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Pr>
          <w:rFonts w:ascii="Arial" w:eastAsia="Arial" w:hAnsi="Arial" w:cs="Arial"/>
          <w:vertAlign w:val="superscript"/>
        </w:rPr>
        <w:t xml:space="preserve"> </w:t>
      </w:r>
      <w:r>
        <w:rPr>
          <w:rFonts w:ascii="Arial" w:eastAsia="Arial" w:hAnsi="Arial" w:cs="Arial"/>
          <w:sz w:val="22"/>
          <w:szCs w:val="22"/>
          <w:vertAlign w:val="superscript"/>
        </w:rPr>
        <w:footnoteReference w:id="22"/>
      </w:r>
      <w:r>
        <w:rPr>
          <w:rFonts w:ascii="Arial" w:eastAsia="Arial" w:hAnsi="Arial" w:cs="Arial"/>
          <w:sz w:val="22"/>
          <w:szCs w:val="22"/>
        </w:rPr>
        <w:t>.</w:t>
      </w:r>
    </w:p>
    <w:p w14:paraId="1392F02B" w14:textId="77777777" w:rsidR="00EC3CA7" w:rsidRDefault="00AF30F5">
      <w:pPr>
        <w:spacing w:after="0"/>
        <w:ind w:firstLine="708"/>
        <w:rPr>
          <w:rFonts w:ascii="Arial" w:eastAsia="Arial" w:hAnsi="Arial" w:cs="Arial"/>
          <w:sz w:val="22"/>
          <w:szCs w:val="22"/>
        </w:rPr>
      </w:pPr>
      <w:bookmarkStart w:id="32" w:name="_1pxezwc" w:colFirst="0" w:colLast="0"/>
      <w:bookmarkEnd w:id="32"/>
      <w:r>
        <w:rPr>
          <w:rFonts w:ascii="Arial" w:eastAsia="Arial" w:hAnsi="Arial" w:cs="Arial"/>
          <w:sz w:val="22"/>
          <w:szCs w:val="22"/>
        </w:rPr>
        <w:t>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0714680F" w14:textId="77777777" w:rsidR="00EC3CA7" w:rsidRDefault="00EC3CA7">
      <w:pPr>
        <w:spacing w:after="0"/>
        <w:rPr>
          <w:rFonts w:ascii="Arial" w:eastAsia="Arial" w:hAnsi="Arial" w:cs="Arial"/>
          <w:sz w:val="22"/>
          <w:szCs w:val="22"/>
        </w:rPr>
      </w:pPr>
    </w:p>
    <w:p w14:paraId="34E8B109" w14:textId="5CFE5E0B" w:rsidR="00EC3CA7" w:rsidRPr="00236BEB" w:rsidRDefault="00AF30F5" w:rsidP="00236BEB">
      <w:pPr>
        <w:spacing w:after="0"/>
      </w:pPr>
      <w:bookmarkStart w:id="33" w:name="_49x2ik5" w:colFirst="0" w:colLast="0"/>
      <w:bookmarkEnd w:id="33"/>
      <w:r>
        <w:rPr>
          <w:rFonts w:ascii="Arial" w:eastAsia="Arial" w:hAnsi="Arial" w:cs="Arial"/>
          <w:b/>
          <w:sz w:val="22"/>
          <w:szCs w:val="22"/>
        </w:rPr>
        <w:t xml:space="preserve">2.4. Restricciones para la celebración de contratos y convenios interadministrativos en los comicios para cargos de elección popular </w:t>
      </w:r>
    </w:p>
    <w:p w14:paraId="5DDC78D7" w14:textId="77777777" w:rsidR="00EC3CA7" w:rsidRPr="00236BEB" w:rsidRDefault="00EC3CA7" w:rsidP="00236BEB">
      <w:pPr>
        <w:tabs>
          <w:tab w:val="left" w:pos="426"/>
        </w:tabs>
        <w:spacing w:after="0"/>
      </w:pPr>
      <w:bookmarkStart w:id="34" w:name="_2p2csry" w:colFirst="0" w:colLast="0"/>
      <w:bookmarkEnd w:id="34"/>
    </w:p>
    <w:p w14:paraId="6E14B063" w14:textId="77777777" w:rsidR="00EC3CA7" w:rsidRDefault="00AF30F5">
      <w:pPr>
        <w:tabs>
          <w:tab w:val="left" w:pos="426"/>
        </w:tabs>
        <w:spacing w:after="120"/>
        <w:rPr>
          <w:rFonts w:ascii="Arial" w:eastAsia="Arial" w:hAnsi="Arial" w:cs="Arial"/>
          <w:sz w:val="22"/>
          <w:szCs w:val="22"/>
        </w:rPr>
      </w:pPr>
      <w:r>
        <w:rPr>
          <w:rFonts w:ascii="Arial" w:eastAsia="Arial" w:hAnsi="Arial" w:cs="Arial"/>
          <w:sz w:val="22"/>
          <w:szCs w:val="22"/>
        </w:rPr>
        <w:t xml:space="preserve">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w:t>
      </w:r>
      <w:r>
        <w:rPr>
          <w:rFonts w:ascii="Arial" w:eastAsia="Arial" w:hAnsi="Arial" w:cs="Arial"/>
          <w:sz w:val="22"/>
          <w:szCs w:val="22"/>
        </w:rPr>
        <w:lastRenderedPageBreak/>
        <w:t>Ley 996 de 2005, son únicamente aquellos en que se dispone la ejecución de recursos públicos, para evitar que mediante la suscripción de estos se comprometa el erario con fines políticos o partidistas</w:t>
      </w:r>
      <w:r>
        <w:rPr>
          <w:rFonts w:ascii="Arial" w:eastAsia="Arial" w:hAnsi="Arial" w:cs="Arial"/>
          <w:sz w:val="22"/>
          <w:szCs w:val="22"/>
          <w:vertAlign w:val="superscript"/>
        </w:rPr>
        <w:footnoteReference w:id="23"/>
      </w:r>
      <w:r>
        <w:rPr>
          <w:rFonts w:ascii="Arial" w:eastAsia="Arial" w:hAnsi="Arial" w:cs="Arial"/>
          <w:sz w:val="22"/>
          <w:szCs w:val="22"/>
        </w:rPr>
        <w:t>.</w:t>
      </w:r>
      <w:r>
        <w:rPr>
          <w:rFonts w:ascii="Arial" w:eastAsia="Arial" w:hAnsi="Arial" w:cs="Arial"/>
        </w:rPr>
        <w:t xml:space="preserve"> </w:t>
      </w:r>
    </w:p>
    <w:p w14:paraId="2ABFAF77" w14:textId="77777777" w:rsidR="00EC3CA7" w:rsidRDefault="00AF30F5">
      <w:pPr>
        <w:widowControl w:val="0"/>
        <w:pBdr>
          <w:top w:val="nil"/>
          <w:left w:val="nil"/>
          <w:bottom w:val="nil"/>
          <w:right w:val="nil"/>
          <w:between w:val="nil"/>
        </w:pBdr>
        <w:spacing w:after="120"/>
        <w:ind w:firstLine="707"/>
        <w:rPr>
          <w:rFonts w:ascii="Arial" w:eastAsia="Arial" w:hAnsi="Arial" w:cs="Arial"/>
          <w:color w:val="000000"/>
          <w:sz w:val="22"/>
          <w:szCs w:val="22"/>
        </w:rPr>
      </w:pPr>
      <w:bookmarkStart w:id="35" w:name="_147n2zr" w:colFirst="0" w:colLast="0"/>
      <w:bookmarkEnd w:id="35"/>
      <w:r>
        <w:rPr>
          <w:rFonts w:ascii="Arial" w:eastAsia="Arial" w:hAnsi="Arial" w:cs="Arial"/>
          <w:color w:val="000000"/>
          <w:sz w:val="22"/>
          <w:szCs w:val="22"/>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Pr>
          <w:rFonts w:ascii="Arial" w:eastAsia="Arial" w:hAnsi="Arial" w:cs="Arial"/>
          <w:color w:val="000000"/>
          <w:sz w:val="22"/>
          <w:szCs w:val="22"/>
          <w:vertAlign w:val="superscript"/>
        </w:rPr>
        <w:footnoteReference w:id="24"/>
      </w:r>
      <w:r>
        <w:rPr>
          <w:rFonts w:ascii="Arial" w:eastAsia="Arial" w:hAnsi="Arial" w:cs="Arial"/>
          <w:color w:val="000000"/>
          <w:sz w:val="22"/>
          <w:szCs w:val="22"/>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16BB387B" w14:textId="77777777" w:rsidR="00EC3CA7" w:rsidRDefault="00AF30F5">
      <w:pPr>
        <w:widowControl w:val="0"/>
        <w:pBdr>
          <w:top w:val="nil"/>
          <w:left w:val="nil"/>
          <w:bottom w:val="nil"/>
          <w:right w:val="nil"/>
          <w:between w:val="nil"/>
        </w:pBdr>
        <w:spacing w:before="117" w:after="120"/>
        <w:ind w:firstLine="707"/>
        <w:rPr>
          <w:rFonts w:ascii="Arial" w:eastAsia="Arial" w:hAnsi="Arial" w:cs="Arial"/>
          <w:color w:val="000000"/>
          <w:sz w:val="22"/>
          <w:szCs w:val="22"/>
        </w:rPr>
      </w:pPr>
      <w:bookmarkStart w:id="36" w:name="_3o7alnk" w:colFirst="0" w:colLast="0"/>
      <w:bookmarkEnd w:id="36"/>
      <w:r>
        <w:rPr>
          <w:rFonts w:ascii="Arial" w:eastAsia="Arial" w:hAnsi="Arial" w:cs="Arial"/>
          <w:color w:val="000000"/>
          <w:sz w:val="22"/>
          <w:szCs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27728EC4" w14:textId="77777777" w:rsidR="00EC3CA7" w:rsidRDefault="00AF30F5">
      <w:pPr>
        <w:widowControl w:val="0"/>
        <w:pBdr>
          <w:top w:val="nil"/>
          <w:left w:val="nil"/>
          <w:bottom w:val="nil"/>
          <w:right w:val="nil"/>
          <w:between w:val="nil"/>
        </w:pBdr>
        <w:spacing w:before="121" w:after="120"/>
        <w:ind w:firstLine="707"/>
        <w:rPr>
          <w:rFonts w:ascii="Arial" w:eastAsia="Arial" w:hAnsi="Arial" w:cs="Arial"/>
          <w:color w:val="000000"/>
          <w:sz w:val="22"/>
          <w:szCs w:val="22"/>
        </w:rPr>
      </w:pPr>
      <w:r>
        <w:rPr>
          <w:rFonts w:ascii="Arial" w:eastAsia="Arial" w:hAnsi="Arial" w:cs="Arial"/>
          <w:color w:val="000000"/>
          <w:sz w:val="22"/>
          <w:szCs w:val="22"/>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w:t>
      </w:r>
      <w:r>
        <w:rPr>
          <w:rFonts w:ascii="Arial" w:eastAsia="Arial" w:hAnsi="Arial" w:cs="Arial"/>
          <w:color w:val="000000"/>
          <w:sz w:val="22"/>
          <w:szCs w:val="22"/>
        </w:rPr>
        <w:lastRenderedPageBreak/>
        <w:t>adelantarse un procedimiento con pluralidad de oferentes</w:t>
      </w:r>
      <w:r>
        <w:rPr>
          <w:rFonts w:ascii="Arial" w:eastAsia="Arial" w:hAnsi="Arial" w:cs="Arial"/>
          <w:color w:val="000000"/>
          <w:sz w:val="22"/>
          <w:szCs w:val="22"/>
          <w:vertAlign w:val="superscript"/>
        </w:rPr>
        <w:footnoteReference w:id="25"/>
      </w:r>
      <w:r>
        <w:rPr>
          <w:rFonts w:ascii="Arial" w:eastAsia="Arial" w:hAnsi="Arial" w:cs="Arial"/>
          <w:color w:val="000000"/>
          <w:sz w:val="22"/>
          <w:szCs w:val="22"/>
        </w:rPr>
        <w:t>. Nótese que, en este caso, lo que cambia es la modalidad de selección y no la naturaleza de contrato interadministrativo.</w:t>
      </w:r>
    </w:p>
    <w:p w14:paraId="70DBC500" w14:textId="77777777" w:rsidR="00EC3CA7" w:rsidRDefault="00AF30F5">
      <w:pPr>
        <w:widowControl w:val="0"/>
        <w:pBdr>
          <w:top w:val="nil"/>
          <w:left w:val="nil"/>
          <w:bottom w:val="nil"/>
          <w:right w:val="nil"/>
          <w:between w:val="nil"/>
        </w:pBdr>
        <w:spacing w:before="114" w:after="0"/>
        <w:ind w:firstLine="707"/>
        <w:rPr>
          <w:rFonts w:ascii="Arial" w:eastAsia="Arial" w:hAnsi="Arial" w:cs="Arial"/>
          <w:color w:val="000000"/>
          <w:sz w:val="22"/>
          <w:szCs w:val="22"/>
        </w:rPr>
      </w:pPr>
      <w:r>
        <w:rPr>
          <w:rFonts w:ascii="Arial" w:eastAsia="Arial" w:hAnsi="Arial" w:cs="Arial"/>
          <w:color w:val="000000"/>
          <w:sz w:val="22"/>
          <w:szCs w:val="22"/>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3A217C00" w14:textId="77777777" w:rsidR="00EC3CA7" w:rsidRDefault="00EC3CA7">
      <w:pPr>
        <w:widowControl w:val="0"/>
        <w:pBdr>
          <w:top w:val="nil"/>
          <w:left w:val="nil"/>
          <w:bottom w:val="nil"/>
          <w:right w:val="nil"/>
          <w:between w:val="nil"/>
        </w:pBdr>
        <w:spacing w:after="0"/>
        <w:ind w:firstLine="707"/>
        <w:rPr>
          <w:rFonts w:ascii="Arial" w:eastAsia="Arial" w:hAnsi="Arial" w:cs="Arial"/>
          <w:color w:val="000000"/>
          <w:sz w:val="22"/>
          <w:szCs w:val="22"/>
        </w:rPr>
      </w:pPr>
    </w:p>
    <w:p w14:paraId="319ECE2A" w14:textId="77777777" w:rsidR="00EC3CA7" w:rsidRPr="00236BEB" w:rsidRDefault="00AF30F5" w:rsidP="00236BEB">
      <w:pPr>
        <w:spacing w:after="0" w:line="240" w:lineRule="auto"/>
        <w:ind w:left="709" w:right="709"/>
      </w:pPr>
      <w:r>
        <w:rPr>
          <w:rFonts w:ascii="Arial" w:eastAsia="Arial" w:hAnsi="Arial" w:cs="Arial"/>
          <w:sz w:val="21"/>
          <w:szCs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Pr>
          <w:rFonts w:ascii="Arial" w:eastAsia="Arial" w:hAnsi="Arial" w:cs="Arial"/>
          <w:sz w:val="21"/>
          <w:szCs w:val="21"/>
          <w:vertAlign w:val="superscript"/>
        </w:rPr>
        <w:footnoteReference w:id="26"/>
      </w:r>
      <w:r>
        <w:rPr>
          <w:rFonts w:ascii="Arial" w:eastAsia="Arial" w:hAnsi="Arial" w:cs="Arial"/>
          <w:sz w:val="21"/>
          <w:szCs w:val="21"/>
        </w:rPr>
        <w:t>.</w:t>
      </w:r>
    </w:p>
    <w:p w14:paraId="3457E3A5" w14:textId="77777777" w:rsidR="00EC3CA7" w:rsidRPr="00236BEB" w:rsidRDefault="00EC3CA7">
      <w:pPr>
        <w:spacing w:after="0"/>
        <w:ind w:left="709" w:right="709"/>
        <w:rPr>
          <w:rFonts w:ascii="Arial" w:eastAsia="Arial" w:hAnsi="Arial" w:cs="Arial"/>
          <w:sz w:val="22"/>
          <w:szCs w:val="22"/>
        </w:rPr>
      </w:pPr>
    </w:p>
    <w:p w14:paraId="2AC5083C" w14:textId="77777777" w:rsidR="00EC3CA7" w:rsidRDefault="00AF30F5">
      <w:pPr>
        <w:widowControl w:val="0"/>
        <w:pBdr>
          <w:top w:val="nil"/>
          <w:left w:val="nil"/>
          <w:bottom w:val="nil"/>
          <w:right w:val="nil"/>
          <w:between w:val="nil"/>
        </w:pBdr>
        <w:spacing w:after="120"/>
        <w:ind w:firstLine="707"/>
        <w:rPr>
          <w:rFonts w:ascii="Arial" w:eastAsia="Arial" w:hAnsi="Arial" w:cs="Arial"/>
          <w:color w:val="000000"/>
          <w:sz w:val="22"/>
          <w:szCs w:val="22"/>
        </w:rPr>
      </w:pPr>
      <w:r>
        <w:rPr>
          <w:rFonts w:ascii="Arial" w:eastAsia="Arial" w:hAnsi="Arial" w:cs="Arial"/>
          <w:color w:val="000000"/>
          <w:sz w:val="22"/>
          <w:szCs w:val="22"/>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63D9B0B9" w14:textId="77777777" w:rsidR="00EC3CA7" w:rsidRDefault="00AF30F5">
      <w:pPr>
        <w:widowControl w:val="0"/>
        <w:pBdr>
          <w:top w:val="nil"/>
          <w:left w:val="nil"/>
          <w:bottom w:val="nil"/>
          <w:right w:val="nil"/>
          <w:between w:val="nil"/>
        </w:pBdr>
        <w:spacing w:before="119" w:after="120"/>
        <w:ind w:firstLine="707"/>
        <w:rPr>
          <w:rFonts w:ascii="Arial" w:eastAsia="Arial" w:hAnsi="Arial" w:cs="Arial"/>
          <w:color w:val="000000"/>
          <w:sz w:val="22"/>
          <w:szCs w:val="22"/>
        </w:rPr>
      </w:pPr>
      <w:r>
        <w:rPr>
          <w:rFonts w:ascii="Arial" w:eastAsia="Arial" w:hAnsi="Arial" w:cs="Arial"/>
          <w:color w:val="000000"/>
          <w:sz w:val="22"/>
          <w:szCs w:val="22"/>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14:paraId="315D9BA0" w14:textId="77777777" w:rsidR="00EC3CA7" w:rsidRDefault="00AF30F5">
      <w:pPr>
        <w:widowControl w:val="0"/>
        <w:pBdr>
          <w:top w:val="nil"/>
          <w:left w:val="nil"/>
          <w:bottom w:val="nil"/>
          <w:right w:val="nil"/>
          <w:between w:val="nil"/>
        </w:pBdr>
        <w:spacing w:before="120"/>
        <w:ind w:firstLine="709"/>
        <w:rPr>
          <w:rFonts w:ascii="Arial" w:eastAsia="Arial" w:hAnsi="Arial" w:cs="Arial"/>
          <w:color w:val="000000"/>
          <w:sz w:val="22"/>
          <w:szCs w:val="22"/>
        </w:rPr>
      </w:pPr>
      <w:r>
        <w:rPr>
          <w:rFonts w:ascii="Arial" w:eastAsia="Arial" w:hAnsi="Arial" w:cs="Arial"/>
          <w:color w:val="000000"/>
          <w:sz w:val="22"/>
          <w:szCs w:val="22"/>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6F280A9C" w14:textId="77777777" w:rsidR="00EC3CA7" w:rsidRDefault="00AF30F5">
      <w:pPr>
        <w:widowControl w:val="0"/>
        <w:pBdr>
          <w:top w:val="nil"/>
          <w:left w:val="nil"/>
          <w:bottom w:val="nil"/>
          <w:right w:val="nil"/>
          <w:between w:val="nil"/>
        </w:pBdr>
        <w:spacing w:before="122" w:after="120"/>
        <w:ind w:firstLine="708"/>
        <w:rPr>
          <w:rFonts w:ascii="Arial" w:eastAsia="Arial" w:hAnsi="Arial" w:cs="Arial"/>
          <w:color w:val="000000"/>
          <w:sz w:val="22"/>
          <w:szCs w:val="22"/>
        </w:rPr>
      </w:pPr>
      <w:r>
        <w:rPr>
          <w:rFonts w:ascii="Arial" w:eastAsia="Arial" w:hAnsi="Arial" w:cs="Arial"/>
          <w:color w:val="000000"/>
          <w:sz w:val="22"/>
          <w:szCs w:val="22"/>
        </w:rPr>
        <w:t xml:space="preserve">Es bueno destacar que el Decreto 1082 de 2015 dispone que los convenios o contratos interadministrativos, así denominados en su artículo 2.2.1.2.1.4.4, se </w:t>
      </w:r>
      <w:r>
        <w:rPr>
          <w:rFonts w:ascii="Arial" w:eastAsia="Arial" w:hAnsi="Arial" w:cs="Arial"/>
          <w:color w:val="000000"/>
          <w:sz w:val="22"/>
          <w:szCs w:val="22"/>
        </w:rPr>
        <w:lastRenderedPageBreak/>
        <w:t>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E2BF96E" w14:textId="77777777" w:rsidR="00EC3CA7" w:rsidRDefault="00AF30F5">
      <w:pPr>
        <w:widowControl w:val="0"/>
        <w:pBdr>
          <w:top w:val="nil"/>
          <w:left w:val="nil"/>
          <w:bottom w:val="nil"/>
          <w:right w:val="nil"/>
          <w:between w:val="nil"/>
        </w:pBdr>
        <w:spacing w:after="0"/>
        <w:ind w:firstLine="708"/>
        <w:rPr>
          <w:rFonts w:ascii="Arial" w:eastAsia="Arial" w:hAnsi="Arial" w:cs="Arial"/>
          <w:color w:val="000000"/>
          <w:sz w:val="22"/>
          <w:szCs w:val="22"/>
        </w:rPr>
      </w:pPr>
      <w:bookmarkStart w:id="37" w:name="_23ckvvd" w:colFirst="0" w:colLast="0"/>
      <w:bookmarkEnd w:id="37"/>
      <w:r>
        <w:rPr>
          <w:rFonts w:ascii="Arial" w:eastAsia="Arial" w:hAnsi="Arial" w:cs="Arial"/>
          <w:color w:val="000000"/>
          <w:sz w:val="22"/>
          <w:szCs w:val="22"/>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Pr>
          <w:rFonts w:ascii="Arial" w:eastAsia="Arial" w:hAnsi="Arial" w:cs="Arial"/>
          <w:color w:val="000000"/>
          <w:sz w:val="22"/>
          <w:szCs w:val="22"/>
          <w:vertAlign w:val="superscript"/>
        </w:rPr>
        <w:footnoteReference w:id="27"/>
      </w:r>
      <w:r>
        <w:rPr>
          <w:rFonts w:ascii="Arial" w:eastAsia="Arial" w:hAnsi="Arial" w:cs="Arial"/>
          <w:color w:val="000000"/>
          <w:sz w:val="22"/>
          <w:szCs w:val="22"/>
        </w:rPr>
        <w:t>.</w:t>
      </w:r>
    </w:p>
    <w:p w14:paraId="280CED6B" w14:textId="77777777" w:rsidR="00EC3CA7" w:rsidRDefault="00AF30F5">
      <w:pPr>
        <w:widowControl w:val="0"/>
        <w:pBdr>
          <w:top w:val="nil"/>
          <w:left w:val="nil"/>
          <w:bottom w:val="nil"/>
          <w:right w:val="nil"/>
          <w:between w:val="nil"/>
        </w:pBdr>
        <w:spacing w:before="122" w:after="0"/>
        <w:ind w:firstLine="709"/>
        <w:rPr>
          <w:rFonts w:ascii="Arial" w:eastAsia="Arial" w:hAnsi="Arial" w:cs="Arial"/>
          <w:color w:val="000000"/>
          <w:sz w:val="22"/>
          <w:szCs w:val="22"/>
        </w:rPr>
      </w:pPr>
      <w:r>
        <w:rPr>
          <w:rFonts w:ascii="Arial" w:eastAsia="Arial" w:hAnsi="Arial" w:cs="Arial"/>
          <w:color w:val="000000"/>
          <w:sz w:val="22"/>
          <w:szCs w:val="22"/>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12FCF079" w14:textId="77777777" w:rsidR="00EC3CA7" w:rsidRDefault="00EC3CA7" w:rsidP="00236BEB">
      <w:pPr>
        <w:widowControl w:val="0"/>
        <w:pBdr>
          <w:top w:val="nil"/>
          <w:left w:val="nil"/>
          <w:bottom w:val="nil"/>
          <w:right w:val="nil"/>
          <w:between w:val="nil"/>
        </w:pBdr>
        <w:spacing w:after="0"/>
        <w:ind w:firstLine="709"/>
        <w:rPr>
          <w:rFonts w:ascii="Arial" w:eastAsia="Arial" w:hAnsi="Arial" w:cs="Arial"/>
          <w:color w:val="000000"/>
          <w:sz w:val="22"/>
          <w:szCs w:val="22"/>
        </w:rPr>
      </w:pPr>
    </w:p>
    <w:p w14:paraId="41D3812C" w14:textId="256AA803" w:rsidR="00EC3CA7" w:rsidRPr="00236BEB" w:rsidRDefault="00AF30F5" w:rsidP="00236BEB">
      <w:pPr>
        <w:spacing w:after="120" w:line="240" w:lineRule="auto"/>
        <w:ind w:left="709" w:right="709"/>
      </w:pPr>
      <w:r>
        <w:rPr>
          <w:rFonts w:ascii="Arial" w:eastAsia="Arial" w:hAnsi="Arial" w:cs="Arial"/>
          <w:sz w:val="21"/>
          <w:szCs w:val="21"/>
        </w:rPr>
        <w:t>La Sala de Consulta y Servicio Civil</w:t>
      </w:r>
      <w:r>
        <w:rPr>
          <w:rFonts w:ascii="Arial" w:eastAsia="Arial" w:hAnsi="Arial" w:cs="Arial"/>
          <w:sz w:val="21"/>
          <w:szCs w:val="21"/>
          <w:vertAlign w:val="superscript"/>
        </w:rPr>
        <w:footnoteReference w:id="28"/>
      </w:r>
      <w:r>
        <w:rPr>
          <w:rFonts w:ascii="Arial" w:eastAsia="Arial" w:hAnsi="Arial" w:cs="Arial"/>
          <w:sz w:val="21"/>
          <w:szCs w:val="21"/>
        </w:rPr>
        <w:t xml:space="preserve"> de esta Corporación se ha referido a los </w:t>
      </w:r>
      <w:r>
        <w:rPr>
          <w:rFonts w:ascii="Arial" w:eastAsia="Arial" w:hAnsi="Arial" w:cs="Arial"/>
          <w:i/>
          <w:sz w:val="21"/>
          <w:szCs w:val="21"/>
        </w:rPr>
        <w:t>“convenios interadministrativos”</w:t>
      </w:r>
      <w:r>
        <w:rPr>
          <w:rFonts w:ascii="Arial" w:eastAsia="Arial" w:hAnsi="Arial" w:cs="Arial"/>
          <w:sz w:val="21"/>
          <w:szCs w:val="21"/>
        </w:rPr>
        <w:t xml:space="preserve"> a los cuales alude el artículo 95 de la Ley 489 de 1998, calificándolos de </w:t>
      </w:r>
      <w:r>
        <w:rPr>
          <w:rFonts w:ascii="Arial" w:eastAsia="Arial" w:hAnsi="Arial" w:cs="Arial"/>
          <w:i/>
          <w:sz w:val="21"/>
          <w:szCs w:val="21"/>
        </w:rPr>
        <w:t xml:space="preserve">“puros” </w:t>
      </w:r>
      <w:r>
        <w:rPr>
          <w:rFonts w:ascii="Arial" w:eastAsia="Arial" w:hAnsi="Arial" w:cs="Arial"/>
          <w:sz w:val="21"/>
          <w:szCs w:val="21"/>
        </w:rPr>
        <w:t xml:space="preserve">y entendiendo que estos, además de perseguir la finalidad de cooperación antes indicada, no implican intereses contrapuestos ni tampoco se circunscriben a un </w:t>
      </w:r>
      <w:r>
        <w:rPr>
          <w:rFonts w:ascii="Arial" w:eastAsia="Arial" w:hAnsi="Arial" w:cs="Arial"/>
          <w:i/>
          <w:sz w:val="21"/>
          <w:szCs w:val="21"/>
        </w:rPr>
        <w:t>“intercambio patrimonial”</w:t>
      </w:r>
      <w:r>
        <w:rPr>
          <w:rFonts w:ascii="Arial" w:eastAsia="Arial" w:hAnsi="Arial" w:cs="Arial"/>
          <w:sz w:val="21"/>
          <w:szCs w:val="21"/>
        </w:rPr>
        <w:t>. Sin perjuicio de lo anterior, en otra oportunidad, la misma Sala</w:t>
      </w:r>
      <w:r>
        <w:rPr>
          <w:rFonts w:ascii="Arial" w:eastAsia="Arial" w:hAnsi="Arial" w:cs="Arial"/>
          <w:sz w:val="21"/>
          <w:szCs w:val="21"/>
          <w:vertAlign w:val="superscript"/>
        </w:rPr>
        <w:footnoteReference w:id="29"/>
      </w:r>
      <w:r>
        <w:rPr>
          <w:rFonts w:ascii="Arial" w:eastAsia="Arial" w:hAnsi="Arial" w:cs="Arial"/>
          <w:sz w:val="21"/>
          <w:szCs w:val="21"/>
        </w:rPr>
        <w:t xml:space="preserve"> había indicado que, si bien en dichos convenios no se daba un </w:t>
      </w:r>
      <w:r>
        <w:rPr>
          <w:rFonts w:ascii="Arial" w:eastAsia="Arial" w:hAnsi="Arial" w:cs="Arial"/>
          <w:i/>
          <w:sz w:val="21"/>
          <w:szCs w:val="21"/>
        </w:rPr>
        <w:t xml:space="preserve">“verdadero intercambio de bienes o servicios (contrato </w:t>
      </w:r>
      <w:r>
        <w:rPr>
          <w:rFonts w:ascii="Arial" w:eastAsia="Arial" w:hAnsi="Arial" w:cs="Arial"/>
          <w:i/>
          <w:sz w:val="21"/>
          <w:szCs w:val="21"/>
        </w:rPr>
        <w:lastRenderedPageBreak/>
        <w:t>conmutativo)”</w:t>
      </w:r>
      <w:r>
        <w:rPr>
          <w:rFonts w:ascii="Arial" w:eastAsia="Arial" w:hAnsi="Arial" w:cs="Arial"/>
          <w:sz w:val="21"/>
          <w:szCs w:val="21"/>
        </w:rPr>
        <w:t>, ello no impedía que se conviniera una remuneración a cargo de alguna(s) entidad(es).</w:t>
      </w:r>
    </w:p>
    <w:p w14:paraId="6A0F57BD" w14:textId="77777777" w:rsidR="00EC3CA7" w:rsidRPr="00236BEB" w:rsidRDefault="00AF30F5" w:rsidP="00236BEB">
      <w:pPr>
        <w:widowControl w:val="0"/>
        <w:pBdr>
          <w:top w:val="nil"/>
          <w:left w:val="nil"/>
          <w:bottom w:val="nil"/>
          <w:right w:val="nil"/>
          <w:between w:val="nil"/>
        </w:pBdr>
        <w:spacing w:after="0" w:line="240" w:lineRule="auto"/>
        <w:ind w:left="709" w:right="709"/>
        <w:rPr>
          <w:sz w:val="22"/>
          <w:szCs w:val="22"/>
        </w:rPr>
      </w:pPr>
      <w:r>
        <w:rPr>
          <w:rFonts w:ascii="Arial" w:eastAsia="Arial" w:hAnsi="Arial" w:cs="Arial"/>
          <w:color w:val="000000"/>
          <w:sz w:val="21"/>
          <w:szCs w:val="21"/>
        </w:rPr>
        <w:t xml:space="preserve">Lo expuesto evidencia que, en general, las interpretaciones en torno a los </w:t>
      </w:r>
      <w:r>
        <w:rPr>
          <w:rFonts w:ascii="Arial" w:eastAsia="Arial" w:hAnsi="Arial" w:cs="Arial"/>
          <w:i/>
          <w:color w:val="000000"/>
          <w:sz w:val="21"/>
          <w:szCs w:val="21"/>
        </w:rPr>
        <w:t>“convenios interadministrativos”</w:t>
      </w:r>
      <w:r>
        <w:rPr>
          <w:rFonts w:ascii="Arial" w:eastAsia="Arial" w:hAnsi="Arial" w:cs="Arial"/>
          <w:color w:val="000000"/>
          <w:sz w:val="21"/>
          <w:szCs w:val="21"/>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Pr>
          <w:rFonts w:ascii="Arial" w:eastAsia="Arial" w:hAnsi="Arial" w:cs="Arial"/>
          <w:color w:val="000000"/>
          <w:sz w:val="21"/>
          <w:szCs w:val="21"/>
          <w:vertAlign w:val="superscript"/>
        </w:rPr>
        <w:footnoteReference w:id="30"/>
      </w:r>
      <w:r>
        <w:rPr>
          <w:rFonts w:ascii="Arial" w:eastAsia="Arial" w:hAnsi="Arial" w:cs="Arial"/>
          <w:color w:val="000000"/>
          <w:sz w:val="21"/>
          <w:szCs w:val="21"/>
          <w:vertAlign w:val="superscript"/>
        </w:rPr>
        <w:footnoteReference w:id="31"/>
      </w:r>
      <w:r>
        <w:rPr>
          <w:rFonts w:ascii="Arial" w:eastAsia="Arial" w:hAnsi="Arial" w:cs="Arial"/>
          <w:color w:val="000000"/>
          <w:sz w:val="21"/>
          <w:szCs w:val="21"/>
        </w:rPr>
        <w:t>.</w:t>
      </w:r>
    </w:p>
    <w:p w14:paraId="69A5D6EF" w14:textId="77777777" w:rsidR="00EC3CA7" w:rsidRDefault="00EC3CA7">
      <w:pPr>
        <w:widowControl w:val="0"/>
        <w:pBdr>
          <w:top w:val="nil"/>
          <w:left w:val="nil"/>
          <w:bottom w:val="nil"/>
          <w:right w:val="nil"/>
          <w:between w:val="nil"/>
        </w:pBdr>
        <w:spacing w:after="0"/>
        <w:rPr>
          <w:rFonts w:ascii="Arial" w:eastAsia="Arial" w:hAnsi="Arial" w:cs="Arial"/>
          <w:color w:val="000000"/>
          <w:sz w:val="22"/>
          <w:szCs w:val="22"/>
        </w:rPr>
      </w:pPr>
    </w:p>
    <w:p w14:paraId="1A337089" w14:textId="381FDE9F" w:rsidR="00EC3CA7" w:rsidRDefault="00AF30F5">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ab/>
        <w:t xml:space="preserve">Sin perjuicio de lo indicado, </w:t>
      </w:r>
      <w:r w:rsidR="00C715B8">
        <w:rPr>
          <w:rFonts w:ascii="Arial" w:eastAsia="Arial" w:hAnsi="Arial" w:cs="Arial"/>
          <w:color w:val="000000"/>
          <w:sz w:val="22"/>
          <w:szCs w:val="22"/>
        </w:rPr>
        <w:t>conviene</w:t>
      </w:r>
      <w:r>
        <w:rPr>
          <w:rFonts w:ascii="Arial" w:eastAsia="Arial" w:hAnsi="Arial" w:cs="Arial"/>
          <w:color w:val="000000"/>
          <w:sz w:val="22"/>
          <w:szCs w:val="22"/>
        </w:rPr>
        <w:t xml:space="preserve"> reiterar que el legislador y el ordenamiento jurídico, en general, en distintas ocasiones utiliza de forma indistinta los conceptos de contrato o convenio para referirse a la misma institución jurídica</w:t>
      </w:r>
      <w:r>
        <w:rPr>
          <w:rFonts w:ascii="Arial" w:eastAsia="Arial" w:hAnsi="Arial" w:cs="Arial"/>
          <w:color w:val="000000"/>
          <w:sz w:val="22"/>
          <w:szCs w:val="22"/>
          <w:vertAlign w:val="superscript"/>
        </w:rPr>
        <w:footnoteReference w:id="32"/>
      </w:r>
      <w:r>
        <w:rPr>
          <w:rFonts w:ascii="Arial" w:eastAsia="Arial" w:hAnsi="Arial" w:cs="Arial"/>
          <w:color w:val="000000"/>
          <w:sz w:val="22"/>
          <w:szCs w:val="22"/>
        </w:rPr>
        <w:t xml:space="preserve">. Incluso </w:t>
      </w:r>
      <w:r w:rsidRPr="00C715B8">
        <w:rPr>
          <w:rFonts w:ascii="Arial" w:eastAsia="Arial" w:hAnsi="Arial" w:cs="Arial"/>
          <w:color w:val="000000"/>
          <w:sz w:val="22"/>
          <w:szCs w:val="22"/>
        </w:rPr>
        <w:t>vale la pena</w:t>
      </w:r>
      <w:r>
        <w:rPr>
          <w:rFonts w:ascii="Arial" w:eastAsia="Arial" w:hAnsi="Arial" w:cs="Arial"/>
          <w:color w:val="000000"/>
          <w:sz w:val="22"/>
          <w:szCs w:val="22"/>
        </w:rPr>
        <w:t xml:space="preserve"> tener en cuenta como la Corte Constitucional fundamenta la posibilidad de celebrar convenios interadministrativos de forma directa, con fundamento en la causal establecida en la Ley 1150 de 2007 respecto a los contratos interadministrativos</w:t>
      </w:r>
      <w:r>
        <w:rPr>
          <w:rFonts w:ascii="Arial" w:eastAsia="Arial" w:hAnsi="Arial" w:cs="Arial"/>
          <w:color w:val="000000"/>
          <w:sz w:val="22"/>
          <w:szCs w:val="22"/>
          <w:vertAlign w:val="superscript"/>
        </w:rPr>
        <w:footnoteReference w:id="33"/>
      </w:r>
      <w:r>
        <w:rPr>
          <w:rFonts w:ascii="Arial" w:eastAsia="Arial" w:hAnsi="Arial" w:cs="Arial"/>
          <w:color w:val="000000"/>
          <w:sz w:val="22"/>
          <w:szCs w:val="22"/>
        </w:rPr>
        <w:t>.</w:t>
      </w:r>
    </w:p>
    <w:p w14:paraId="4270E5DA" w14:textId="4D27D689" w:rsidR="00EC3CA7" w:rsidRDefault="00AF30F5">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lastRenderedPageBreak/>
        <w:tab/>
        <w:t xml:space="preserve">En desarrollo de lo anterior, </w:t>
      </w:r>
      <w:r w:rsidR="00C715B8">
        <w:rPr>
          <w:rFonts w:ascii="Arial" w:eastAsia="Arial" w:hAnsi="Arial" w:cs="Arial"/>
          <w:color w:val="000000"/>
          <w:sz w:val="22"/>
          <w:szCs w:val="22"/>
        </w:rPr>
        <w:t>se destaca</w:t>
      </w:r>
      <w:r>
        <w:rPr>
          <w:rFonts w:ascii="Arial" w:eastAsia="Arial" w:hAnsi="Arial" w:cs="Arial"/>
          <w:color w:val="000000"/>
          <w:sz w:val="22"/>
          <w:szCs w:val="22"/>
        </w:rPr>
        <w:t xml:space="preserve">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002EAAE0" w14:textId="77777777" w:rsidR="00EC3CA7" w:rsidRDefault="00EC3CA7">
      <w:pPr>
        <w:widowControl w:val="0"/>
        <w:pBdr>
          <w:top w:val="nil"/>
          <w:left w:val="nil"/>
          <w:bottom w:val="nil"/>
          <w:right w:val="nil"/>
          <w:between w:val="nil"/>
        </w:pBdr>
        <w:spacing w:after="0"/>
        <w:rPr>
          <w:rFonts w:ascii="Arial" w:eastAsia="Arial" w:hAnsi="Arial" w:cs="Arial"/>
          <w:color w:val="000000"/>
          <w:sz w:val="22"/>
          <w:szCs w:val="22"/>
        </w:rPr>
      </w:pPr>
    </w:p>
    <w:p w14:paraId="45A17D3C" w14:textId="07BC30AB" w:rsidR="00EC3CA7" w:rsidRPr="00236BEB" w:rsidRDefault="00AF30F5" w:rsidP="00236BEB">
      <w:pPr>
        <w:spacing w:after="120" w:line="240" w:lineRule="auto"/>
        <w:ind w:left="709" w:right="709"/>
      </w:pPr>
      <w:r>
        <w:rPr>
          <w:rFonts w:ascii="Arial" w:eastAsia="Arial" w:hAnsi="Arial" w:cs="Arial"/>
          <w:sz w:val="21"/>
          <w:szCs w:val="21"/>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55DE6049" w14:textId="59A3BEBA" w:rsidR="00EC3CA7" w:rsidRPr="00236BEB" w:rsidRDefault="00AF30F5" w:rsidP="00236BEB">
      <w:pPr>
        <w:spacing w:after="120" w:line="240" w:lineRule="auto"/>
        <w:ind w:left="709" w:right="709"/>
      </w:pPr>
      <w:r>
        <w:rPr>
          <w:rFonts w:ascii="Arial" w:eastAsia="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4F20AEC7" w14:textId="77777777" w:rsidR="00EC3CA7" w:rsidRDefault="00AF30F5" w:rsidP="00236BEB">
      <w:pPr>
        <w:spacing w:after="0" w:line="240" w:lineRule="auto"/>
        <w:ind w:left="709" w:right="709"/>
      </w:pPr>
      <w:r>
        <w:rPr>
          <w:rFonts w:ascii="Arial" w:eastAsia="Arial" w:hAnsi="Arial" w:cs="Arial"/>
          <w:sz w:val="21"/>
          <w:szCs w:val="21"/>
        </w:rPr>
        <w:t xml:space="preserve">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w:t>
      </w:r>
      <w:r>
        <w:rPr>
          <w:rFonts w:ascii="Arial" w:eastAsia="Arial" w:hAnsi="Arial" w:cs="Arial"/>
          <w:sz w:val="21"/>
          <w:szCs w:val="21"/>
        </w:rPr>
        <w:lastRenderedPageBreak/>
        <w:t>convenios, que para efectos de la Ley de Garantías tienen la misma connotación y propósito.</w:t>
      </w:r>
    </w:p>
    <w:p w14:paraId="33DDF577" w14:textId="77777777" w:rsidR="00EC3CA7" w:rsidRPr="00236BEB" w:rsidRDefault="00EC3CA7">
      <w:pPr>
        <w:widowControl w:val="0"/>
        <w:pBdr>
          <w:top w:val="nil"/>
          <w:left w:val="nil"/>
          <w:bottom w:val="nil"/>
          <w:right w:val="nil"/>
          <w:between w:val="nil"/>
        </w:pBdr>
        <w:spacing w:before="3" w:after="0"/>
        <w:rPr>
          <w:rFonts w:ascii="Arial" w:eastAsia="Arial" w:hAnsi="Arial" w:cs="Arial"/>
          <w:color w:val="000000"/>
          <w:sz w:val="22"/>
          <w:szCs w:val="22"/>
        </w:rPr>
      </w:pPr>
    </w:p>
    <w:p w14:paraId="651EA2A8" w14:textId="77777777" w:rsidR="00EC3CA7" w:rsidRDefault="00AF30F5">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5"/>
          <w:szCs w:val="25"/>
        </w:rPr>
        <w:tab/>
      </w:r>
      <w:r>
        <w:rPr>
          <w:rFonts w:ascii="Arial" w:eastAsia="Arial" w:hAnsi="Arial" w:cs="Arial"/>
          <w:color w:val="000000"/>
          <w:sz w:val="22"/>
          <w:szCs w:val="22"/>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6352EB5C" w14:textId="77777777" w:rsidR="00EC3CA7" w:rsidRDefault="00AF30F5">
      <w:pPr>
        <w:tabs>
          <w:tab w:val="left" w:pos="426"/>
        </w:tabs>
        <w:spacing w:after="120"/>
        <w:ind w:firstLine="709"/>
        <w:rPr>
          <w:rFonts w:ascii="Arial" w:eastAsia="Arial" w:hAnsi="Arial" w:cs="Arial"/>
          <w:sz w:val="22"/>
          <w:szCs w:val="22"/>
        </w:rPr>
      </w:pPr>
      <w:r>
        <w:rPr>
          <w:rFonts w:ascii="Arial" w:eastAsia="Arial" w:hAnsi="Arial" w:cs="Arial"/>
          <w:sz w:val="22"/>
          <w:szCs w:val="22"/>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Pr>
          <w:rFonts w:ascii="Arial" w:eastAsia="Arial" w:hAnsi="Arial" w:cs="Arial"/>
          <w:i/>
          <w:sz w:val="22"/>
          <w:szCs w:val="22"/>
        </w:rPr>
        <w:t>ibidem</w:t>
      </w:r>
      <w:r>
        <w:rPr>
          <w:rFonts w:ascii="Arial" w:eastAsia="Arial" w:hAnsi="Arial" w:cs="Arial"/>
          <w:sz w:val="22"/>
          <w:szCs w:val="22"/>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Pr>
          <w:rFonts w:ascii="Arial" w:eastAsia="Arial" w:hAnsi="Arial" w:cs="Arial"/>
          <w:sz w:val="22"/>
          <w:szCs w:val="22"/>
          <w:vertAlign w:val="superscript"/>
        </w:rPr>
        <w:footnoteReference w:id="34"/>
      </w:r>
      <w:r>
        <w:rPr>
          <w:rFonts w:ascii="Arial" w:eastAsia="Arial" w:hAnsi="Arial" w:cs="Arial"/>
          <w:sz w:val="22"/>
          <w:szCs w:val="22"/>
        </w:rPr>
        <w:t xml:space="preserve">. </w:t>
      </w:r>
    </w:p>
    <w:p w14:paraId="7F1C0A93" w14:textId="77777777" w:rsidR="00EC3CA7" w:rsidRDefault="00AF30F5">
      <w:pPr>
        <w:widowControl w:val="0"/>
        <w:pBdr>
          <w:top w:val="nil"/>
          <w:left w:val="nil"/>
          <w:bottom w:val="nil"/>
          <w:right w:val="nil"/>
          <w:between w:val="nil"/>
        </w:pBdr>
        <w:spacing w:after="0"/>
        <w:ind w:firstLine="709"/>
        <w:rPr>
          <w:rFonts w:ascii="Arial" w:eastAsia="Arial" w:hAnsi="Arial" w:cs="Arial"/>
          <w:color w:val="000000"/>
          <w:sz w:val="22"/>
          <w:szCs w:val="22"/>
        </w:rPr>
      </w:pPr>
      <w:bookmarkStart w:id="38" w:name="_ihv636" w:colFirst="0" w:colLast="0"/>
      <w:bookmarkEnd w:id="38"/>
      <w:r>
        <w:rPr>
          <w:rFonts w:ascii="Arial" w:eastAsia="Arial" w:hAnsi="Arial" w:cs="Arial"/>
          <w:color w:val="000000"/>
          <w:sz w:val="22"/>
          <w:szCs w:val="22"/>
        </w:rPr>
        <w:t>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Pr>
          <w:rFonts w:ascii="Arial" w:eastAsia="Arial" w:hAnsi="Arial" w:cs="Arial"/>
          <w:color w:val="000000"/>
          <w:sz w:val="22"/>
          <w:szCs w:val="22"/>
          <w:vertAlign w:val="superscript"/>
        </w:rPr>
        <w:footnoteReference w:id="35"/>
      </w:r>
      <w:r>
        <w:rPr>
          <w:rFonts w:ascii="Arial" w:eastAsia="Arial" w:hAnsi="Arial" w:cs="Arial"/>
          <w:color w:val="000000"/>
          <w:sz w:val="22"/>
          <w:szCs w:val="22"/>
        </w:rPr>
        <w:t>.</w:t>
      </w:r>
    </w:p>
    <w:p w14:paraId="71CEA7A7" w14:textId="77777777" w:rsidR="00EC3CA7" w:rsidRDefault="00EC3CA7">
      <w:pPr>
        <w:widowControl w:val="0"/>
        <w:pBdr>
          <w:top w:val="nil"/>
          <w:left w:val="nil"/>
          <w:bottom w:val="nil"/>
          <w:right w:val="nil"/>
          <w:between w:val="nil"/>
        </w:pBdr>
        <w:spacing w:after="0"/>
        <w:ind w:firstLine="709"/>
        <w:rPr>
          <w:rFonts w:ascii="Arial" w:eastAsia="Arial" w:hAnsi="Arial" w:cs="Arial"/>
          <w:color w:val="000000"/>
          <w:sz w:val="22"/>
          <w:szCs w:val="22"/>
        </w:rPr>
      </w:pPr>
    </w:p>
    <w:p w14:paraId="2002B46C" w14:textId="0B17321D" w:rsidR="00EC3CA7" w:rsidRDefault="00AF30F5">
      <w:pPr>
        <w:shd w:val="clear" w:color="auto" w:fill="FFFFFF"/>
        <w:spacing w:after="0"/>
        <w:rPr>
          <w:rFonts w:ascii="Arial" w:eastAsia="Arial" w:hAnsi="Arial" w:cs="Arial"/>
          <w:sz w:val="22"/>
          <w:szCs w:val="22"/>
        </w:rPr>
      </w:pPr>
      <w:r>
        <w:rPr>
          <w:rFonts w:ascii="Arial" w:eastAsia="Arial" w:hAnsi="Arial" w:cs="Arial"/>
          <w:b/>
          <w:sz w:val="22"/>
          <w:szCs w:val="22"/>
        </w:rPr>
        <w:t>2.5.</w:t>
      </w:r>
      <w:r>
        <w:rPr>
          <w:rFonts w:ascii="Arial" w:eastAsia="Arial" w:hAnsi="Arial" w:cs="Arial"/>
          <w:sz w:val="22"/>
          <w:szCs w:val="22"/>
        </w:rPr>
        <w:t xml:space="preserve"> </w:t>
      </w:r>
      <w:r>
        <w:rPr>
          <w:rFonts w:ascii="Arial" w:eastAsia="Arial" w:hAnsi="Arial" w:cs="Arial"/>
          <w:b/>
          <w:sz w:val="22"/>
          <w:szCs w:val="22"/>
        </w:rPr>
        <w:t>Modificaciones realizadas por la Ley Anual del Presupuesto para la vigencia fiscal de 2022 a la Ley de Garantías Electorales</w:t>
      </w:r>
      <w:r>
        <w:rPr>
          <w:rFonts w:ascii="Arial" w:eastAsia="Arial" w:hAnsi="Arial" w:cs="Arial"/>
          <w:sz w:val="22"/>
          <w:szCs w:val="22"/>
        </w:rPr>
        <w:t xml:space="preserve"> </w:t>
      </w:r>
    </w:p>
    <w:p w14:paraId="22D0455D" w14:textId="77777777" w:rsidR="00EC3CA7" w:rsidRDefault="00EC3CA7">
      <w:pPr>
        <w:shd w:val="clear" w:color="auto" w:fill="FFFFFF"/>
        <w:spacing w:after="0"/>
        <w:rPr>
          <w:rFonts w:ascii="Arial" w:eastAsia="Arial" w:hAnsi="Arial" w:cs="Arial"/>
          <w:sz w:val="22"/>
          <w:szCs w:val="22"/>
        </w:rPr>
      </w:pPr>
    </w:p>
    <w:p w14:paraId="2B01C81E" w14:textId="77777777" w:rsidR="00EC3CA7" w:rsidRDefault="00AF30F5">
      <w:pPr>
        <w:shd w:val="clear" w:color="auto" w:fill="FFFFFF"/>
        <w:spacing w:after="0"/>
        <w:rPr>
          <w:rFonts w:ascii="Arial" w:eastAsia="Arial" w:hAnsi="Arial" w:cs="Arial"/>
          <w:sz w:val="22"/>
          <w:szCs w:val="22"/>
        </w:rPr>
      </w:pPr>
      <w:bookmarkStart w:id="39" w:name="_32hioqz" w:colFirst="0" w:colLast="0"/>
      <w:bookmarkEnd w:id="39"/>
      <w:r>
        <w:rPr>
          <w:rFonts w:ascii="Arial" w:eastAsia="Arial" w:hAnsi="Arial" w:cs="Arial"/>
          <w:sz w:val="22"/>
          <w:szCs w:val="22"/>
        </w:rPr>
        <w:t>El 12 de noviembre de 2021 el Presidente de la República sancionó la Ley 2159</w:t>
      </w:r>
      <w:r>
        <w:rPr>
          <w:rFonts w:ascii="Arial" w:eastAsia="Arial" w:hAnsi="Arial" w:cs="Arial"/>
          <w:sz w:val="22"/>
          <w:szCs w:val="22"/>
          <w:vertAlign w:val="superscript"/>
        </w:rPr>
        <w:footnoteReference w:id="36"/>
      </w:r>
      <w:r>
        <w:rPr>
          <w:rFonts w:ascii="Arial" w:eastAsia="Arial" w:hAnsi="Arial" w:cs="Arial"/>
          <w:sz w:val="22"/>
          <w:szCs w:val="22"/>
        </w:rPr>
        <w:t>,  por la cual se decreta el presupuesto de rentas y recursos de capital y ley de apropiaciones para la vigencia fiscal del 1 de enero al 31 de diciembre de 2022 -Ley Anual del Presupuesto-</w:t>
      </w:r>
      <w:r>
        <w:rPr>
          <w:rFonts w:ascii="Arial" w:eastAsia="Arial" w:hAnsi="Arial" w:cs="Arial"/>
          <w:sz w:val="22"/>
          <w:szCs w:val="22"/>
          <w:vertAlign w:val="superscript"/>
        </w:rPr>
        <w:footnoteReference w:id="37"/>
      </w:r>
      <w:r>
        <w:rPr>
          <w:rFonts w:ascii="Arial" w:eastAsia="Arial" w:hAnsi="Arial" w:cs="Arial"/>
          <w:sz w:val="22"/>
          <w:szCs w:val="22"/>
        </w:rPr>
        <w:t xml:space="preserve">. </w:t>
      </w:r>
    </w:p>
    <w:p w14:paraId="50212981" w14:textId="77777777" w:rsidR="00EC3CA7" w:rsidRPr="00236BEB" w:rsidRDefault="00AF30F5" w:rsidP="00236BEB">
      <w:pPr>
        <w:shd w:val="clear" w:color="auto" w:fill="FFFFFF"/>
        <w:spacing w:before="120" w:after="0"/>
        <w:ind w:firstLine="709"/>
      </w:pPr>
      <w:r>
        <w:rPr>
          <w:rFonts w:ascii="Arial" w:eastAsia="Arial" w:hAnsi="Arial" w:cs="Arial"/>
          <w:sz w:val="22"/>
          <w:szCs w:val="22"/>
        </w:rPr>
        <w:t xml:space="preserve">Dentro del Capítulo V sobre «disposiciones varias» contenido en la Tercera Parte, «Disposiciones Generales», se destaca la inclusión del artículo 124, a cuyo tenor: </w:t>
      </w:r>
    </w:p>
    <w:p w14:paraId="23421ECB" w14:textId="77777777" w:rsidR="00EC3CA7" w:rsidRPr="00236BEB" w:rsidRDefault="00EC3CA7" w:rsidP="00236BEB">
      <w:pPr>
        <w:shd w:val="clear" w:color="auto" w:fill="FFFFFF"/>
        <w:spacing w:after="0" w:line="240" w:lineRule="auto"/>
      </w:pPr>
    </w:p>
    <w:p w14:paraId="3AA41EEC" w14:textId="13EA3869" w:rsidR="00EC3CA7" w:rsidRPr="00236BEB" w:rsidRDefault="00AF30F5" w:rsidP="00236BEB">
      <w:pPr>
        <w:shd w:val="clear" w:color="auto" w:fill="FFFFFF"/>
        <w:spacing w:after="0" w:line="240" w:lineRule="auto"/>
        <w:ind w:left="709" w:right="709"/>
      </w:pPr>
      <w:bookmarkStart w:id="40" w:name="_1hmsyys" w:colFirst="0" w:colLast="0"/>
      <w:bookmarkEnd w:id="40"/>
      <w:r>
        <w:rPr>
          <w:rFonts w:ascii="Arial" w:eastAsia="Arial" w:hAnsi="Arial" w:cs="Arial"/>
          <w:sz w:val="21"/>
          <w:szCs w:val="21"/>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45432105" w14:textId="77777777" w:rsidR="00EC3CA7" w:rsidRPr="00236BEB" w:rsidRDefault="00EC3CA7" w:rsidP="00236BEB">
      <w:pPr>
        <w:shd w:val="clear" w:color="auto" w:fill="FFFFFF"/>
        <w:spacing w:after="0" w:line="240" w:lineRule="auto"/>
        <w:ind w:left="709" w:right="709"/>
      </w:pPr>
    </w:p>
    <w:p w14:paraId="3B569C20" w14:textId="77777777" w:rsidR="00EC3CA7" w:rsidRPr="00236BEB" w:rsidRDefault="00AF30F5" w:rsidP="00236BEB">
      <w:pPr>
        <w:shd w:val="clear" w:color="auto" w:fill="FFFFFF"/>
        <w:spacing w:after="0" w:line="240" w:lineRule="auto"/>
        <w:ind w:left="709" w:right="709"/>
      </w:pPr>
      <w:r>
        <w:rPr>
          <w:rFonts w:ascii="Arial" w:eastAsia="Arial" w:hAnsi="Arial" w:cs="Arial"/>
          <w:sz w:val="21"/>
          <w:szCs w:val="21"/>
        </w:rPr>
        <w:t xml:space="preserve">La presente disposición modifica únicamente en la parte pertinente el inciso primero del parágrafo del artículo 38 de la Ley 996 de 2005. </w:t>
      </w:r>
    </w:p>
    <w:p w14:paraId="04B05344" w14:textId="77777777" w:rsidR="00EC3CA7" w:rsidRPr="00236BEB" w:rsidRDefault="00EC3CA7" w:rsidP="00236BEB">
      <w:pPr>
        <w:shd w:val="clear" w:color="auto" w:fill="FFFFFF"/>
        <w:spacing w:after="0" w:line="240" w:lineRule="auto"/>
        <w:ind w:left="709" w:right="709"/>
      </w:pPr>
    </w:p>
    <w:p w14:paraId="7B7710CC" w14:textId="1B82DEA0" w:rsidR="00EC3CA7" w:rsidRPr="00236BEB" w:rsidRDefault="00AF30F5" w:rsidP="00236BEB">
      <w:pPr>
        <w:shd w:val="clear" w:color="auto" w:fill="FFFFFF"/>
        <w:spacing w:after="0" w:line="240" w:lineRule="auto"/>
        <w:ind w:left="709" w:right="709"/>
      </w:pPr>
      <w:r>
        <w:rPr>
          <w:rFonts w:ascii="Arial" w:eastAsia="Arial" w:hAnsi="Arial" w:cs="Arial"/>
          <w:sz w:val="21"/>
          <w:szCs w:val="21"/>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21CC4BAF" w14:textId="77777777" w:rsidR="00EC3CA7" w:rsidRDefault="00EC3CA7">
      <w:pPr>
        <w:shd w:val="clear" w:color="auto" w:fill="FFFFFF"/>
        <w:spacing w:after="0"/>
        <w:rPr>
          <w:rFonts w:ascii="Arial" w:eastAsia="Arial" w:hAnsi="Arial" w:cs="Arial"/>
          <w:sz w:val="22"/>
          <w:szCs w:val="22"/>
        </w:rPr>
      </w:pPr>
    </w:p>
    <w:p w14:paraId="35804FDE"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Al respecto, es importante señalar que los artículos 345 a 355 de la Constitución Política de 1991 desarrollan los asuntos del presupuesto general</w:t>
      </w:r>
      <w:r>
        <w:rPr>
          <w:rFonts w:ascii="Arial" w:eastAsia="Arial" w:hAnsi="Arial" w:cs="Arial"/>
          <w:sz w:val="22"/>
          <w:szCs w:val="22"/>
          <w:vertAlign w:val="superscript"/>
        </w:rPr>
        <w:footnoteReference w:id="38"/>
      </w:r>
      <w:r>
        <w:rPr>
          <w:rFonts w:ascii="Arial" w:eastAsia="Arial" w:hAnsi="Arial" w:cs="Arial"/>
          <w:sz w:val="22"/>
          <w:szCs w:val="22"/>
        </w:rPr>
        <w:t xml:space="preserve">. En </w:t>
      </w:r>
      <w:r>
        <w:rPr>
          <w:rFonts w:ascii="Arial" w:eastAsia="Arial" w:hAnsi="Arial" w:cs="Arial"/>
          <w:sz w:val="22"/>
          <w:szCs w:val="22"/>
        </w:rPr>
        <w:lastRenderedPageBreak/>
        <w:t>estas normas se regula lo concerniente a la Ley Anual de presupuesto o Presupuesto de Rentas y Ley de Apropiaciones a expedir por el Congreso de la República, la cual debe contener la estimación de las rentas nacionales y la autorización de los gastos del Estado para la respectiva vigencia fiscal anual, comprendida entre el 1° de enero y el 31 de diciembre y guardar correspondencia con el Plan Nacional de Desarrollo.</w:t>
      </w:r>
    </w:p>
    <w:p w14:paraId="1684C294" w14:textId="77777777" w:rsidR="00EC3CA7" w:rsidRDefault="00EC3CA7">
      <w:pPr>
        <w:spacing w:after="0"/>
        <w:ind w:firstLine="709"/>
        <w:rPr>
          <w:rFonts w:ascii="Arial" w:eastAsia="Arial" w:hAnsi="Arial" w:cs="Arial"/>
          <w:sz w:val="22"/>
          <w:szCs w:val="22"/>
        </w:rPr>
      </w:pPr>
    </w:p>
    <w:p w14:paraId="7E2973D0"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La Ley Anual de presupuesto o Presupuesto de Rentas y Ley de Apropiaciones, no solo responde a un análisis contable de rubros y gastos, sino también es el resultado de un debate democrático connatural a la discusión, elaboración y aprobación de las leyes por el Congreso de la República, por cuanto con ella se pretende responder a la realidad económica y a las necesidades sociales de los colombianos y materializar las acciones de política pública</w:t>
      </w:r>
      <w:r>
        <w:rPr>
          <w:vertAlign w:val="superscript"/>
        </w:rPr>
        <w:footnoteReference w:id="39"/>
      </w:r>
      <w:r>
        <w:rPr>
          <w:rFonts w:ascii="Arial" w:eastAsia="Arial" w:hAnsi="Arial" w:cs="Arial"/>
          <w:sz w:val="22"/>
          <w:szCs w:val="22"/>
        </w:rPr>
        <w:t>.</w:t>
      </w:r>
    </w:p>
    <w:p w14:paraId="174D00C7" w14:textId="77777777" w:rsidR="00EC3CA7" w:rsidRDefault="00EC3CA7">
      <w:pPr>
        <w:spacing w:after="0"/>
        <w:ind w:firstLine="709"/>
        <w:rPr>
          <w:rFonts w:ascii="Arial" w:eastAsia="Arial" w:hAnsi="Arial" w:cs="Arial"/>
          <w:sz w:val="22"/>
          <w:szCs w:val="22"/>
        </w:rPr>
      </w:pPr>
    </w:p>
    <w:p w14:paraId="0023A2D8"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lastRenderedPageBreak/>
        <w:t>En este sentido, es diferente analizar la ley desde la posición que concibe el presupuesto como un mero requisito para la ejecución de las partidas que contempla, a examinarla bajo la concepción de que, con base en las razones expuestas, al presupuesto le corresponde un contenido material propio y una indiscutible fuerza normativa ligada al logro de importantes objetivos económicos y sociales</w:t>
      </w:r>
      <w:r>
        <w:rPr>
          <w:rFonts w:ascii="Arial" w:eastAsia="Arial" w:hAnsi="Arial" w:cs="Arial"/>
          <w:sz w:val="22"/>
          <w:szCs w:val="22"/>
          <w:vertAlign w:val="superscript"/>
        </w:rPr>
        <w:footnoteReference w:id="40"/>
      </w:r>
      <w:r>
        <w:rPr>
          <w:rFonts w:ascii="Arial" w:eastAsia="Arial" w:hAnsi="Arial" w:cs="Arial"/>
          <w:sz w:val="22"/>
          <w:szCs w:val="22"/>
        </w:rPr>
        <w:t>, que exige atender su trámite en términos de participación democrática directa y representativa. Vista de esta manera, la ley de presupuesto además de su carácter de herramienta macroeconómica, tiene una vocación democrática para el manejo de los recursos, la orientación de su gasto y la ejecución de las políticas públicas</w:t>
      </w:r>
      <w:r>
        <w:rPr>
          <w:rFonts w:ascii="Arial" w:eastAsia="Arial" w:hAnsi="Arial" w:cs="Arial"/>
          <w:sz w:val="22"/>
          <w:szCs w:val="22"/>
          <w:vertAlign w:val="superscript"/>
        </w:rPr>
        <w:footnoteReference w:id="41"/>
      </w:r>
      <w:r>
        <w:rPr>
          <w:rFonts w:ascii="Arial" w:eastAsia="Arial" w:hAnsi="Arial" w:cs="Arial"/>
          <w:sz w:val="22"/>
          <w:szCs w:val="22"/>
        </w:rPr>
        <w:t>.</w:t>
      </w:r>
    </w:p>
    <w:p w14:paraId="722AF60F" w14:textId="77777777" w:rsidR="00EC3CA7" w:rsidRDefault="00EC3CA7">
      <w:pPr>
        <w:spacing w:after="0"/>
        <w:ind w:firstLine="709"/>
        <w:rPr>
          <w:rFonts w:ascii="Arial" w:eastAsia="Arial" w:hAnsi="Arial" w:cs="Arial"/>
          <w:sz w:val="22"/>
          <w:szCs w:val="22"/>
        </w:rPr>
      </w:pPr>
    </w:p>
    <w:p w14:paraId="752E8320"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 xml:space="preserve">Desde la perspectiva más amplia, el Presupuesto General de la Nación está conformado por dos grandes rubros: i) el de los ingresos o rentas y ii) el de los gastos o apropiaciones, denominados, respectivamente, como presupuesto de rentas y presupuesto de gastos o ley de apropiaciones. </w:t>
      </w:r>
    </w:p>
    <w:p w14:paraId="14695D96" w14:textId="77777777" w:rsidR="00EC3CA7" w:rsidRDefault="00EC3CA7">
      <w:pPr>
        <w:spacing w:after="0"/>
        <w:ind w:firstLine="709"/>
        <w:rPr>
          <w:rFonts w:ascii="Arial" w:eastAsia="Arial" w:hAnsi="Arial" w:cs="Arial"/>
          <w:sz w:val="22"/>
          <w:szCs w:val="22"/>
        </w:rPr>
      </w:pPr>
    </w:p>
    <w:p w14:paraId="2937F9D1"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En lo que refiere al presupuesto de rentas, de conformidad con el artículo 11 del Decreto 111 de 1996</w:t>
      </w:r>
      <w:r>
        <w:rPr>
          <w:rFonts w:ascii="Arial" w:eastAsia="Arial" w:hAnsi="Arial" w:cs="Arial"/>
          <w:sz w:val="22"/>
          <w:szCs w:val="22"/>
          <w:vertAlign w:val="superscript"/>
        </w:rPr>
        <w:footnoteReference w:id="42"/>
      </w:r>
      <w:r>
        <w:rPr>
          <w:rFonts w:ascii="Arial" w:eastAsia="Arial" w:hAnsi="Arial" w:cs="Arial"/>
          <w:sz w:val="22"/>
          <w:szCs w:val="22"/>
        </w:rPr>
        <w:t xml:space="preserve"> -estatuto orgánico del presupuesto-, aquel está instituido por:</w:t>
      </w:r>
    </w:p>
    <w:p w14:paraId="637794D9" w14:textId="77777777" w:rsidR="00EC3CA7" w:rsidRDefault="00EC3CA7">
      <w:pPr>
        <w:spacing w:after="0"/>
        <w:ind w:firstLine="709"/>
        <w:rPr>
          <w:rFonts w:ascii="Arial" w:eastAsia="Arial" w:hAnsi="Arial" w:cs="Arial"/>
          <w:sz w:val="22"/>
          <w:szCs w:val="22"/>
        </w:rPr>
      </w:pPr>
    </w:p>
    <w:p w14:paraId="7D96456F"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 xml:space="preserve">i) Los ingresos corrientes que, a su turno, se clasifican en tributarios, directos o indirectos, y no tributarios, estos últimos, subclasificados en tasas y multas (art.27); </w:t>
      </w:r>
    </w:p>
    <w:p w14:paraId="08F2B627" w14:textId="77777777" w:rsidR="00EC3CA7" w:rsidRDefault="00EC3CA7">
      <w:pPr>
        <w:spacing w:after="0"/>
        <w:ind w:firstLine="709"/>
        <w:rPr>
          <w:rFonts w:ascii="Arial" w:eastAsia="Arial" w:hAnsi="Arial" w:cs="Arial"/>
          <w:sz w:val="22"/>
          <w:szCs w:val="22"/>
        </w:rPr>
      </w:pPr>
    </w:p>
    <w:p w14:paraId="6242AF56"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ii) Las contribuciones parafiscales cuando sean administradas por un órgano que haga parte del presupuesto;</w:t>
      </w:r>
    </w:p>
    <w:p w14:paraId="334D66C9" w14:textId="77777777" w:rsidR="00EC3CA7" w:rsidRDefault="00EC3CA7">
      <w:pPr>
        <w:spacing w:after="0"/>
        <w:ind w:firstLine="709"/>
        <w:rPr>
          <w:rFonts w:ascii="Arial" w:eastAsia="Arial" w:hAnsi="Arial" w:cs="Arial"/>
          <w:sz w:val="22"/>
          <w:szCs w:val="22"/>
        </w:rPr>
      </w:pPr>
    </w:p>
    <w:p w14:paraId="3B6D001E"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iii) Los fondos especiales;</w:t>
      </w:r>
    </w:p>
    <w:p w14:paraId="5FAA433B" w14:textId="77777777" w:rsidR="00EC3CA7" w:rsidRDefault="00EC3CA7">
      <w:pPr>
        <w:spacing w:after="0"/>
        <w:ind w:firstLine="709"/>
        <w:rPr>
          <w:rFonts w:ascii="Arial" w:eastAsia="Arial" w:hAnsi="Arial" w:cs="Arial"/>
          <w:sz w:val="22"/>
          <w:szCs w:val="22"/>
        </w:rPr>
      </w:pPr>
    </w:p>
    <w:p w14:paraId="21E22173"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 xml:space="preserve">iv) Los recursos de capital, tales como  los recursos del «balance del tesoro nacional, los recursos del crédito externo e interno con vencimiento mayor a un año </w:t>
      </w:r>
      <w:r>
        <w:rPr>
          <w:rFonts w:ascii="Arial" w:eastAsia="Arial" w:hAnsi="Arial" w:cs="Arial"/>
          <w:sz w:val="22"/>
          <w:szCs w:val="22"/>
        </w:rPr>
        <w:lastRenderedPageBreak/>
        <w:t>de acuerdo con los cupos autorizados por el Congreso de la República, los rendimientos financieros, el diferencial cambiario, las donaciones (art. 33), el excedente financiero de los establecimientos públicos del orden nacional y de las empresas industriales y comerciales del Estado del mismo orden, las utilidades del Banco de la República, entre otros (art. 31), y;</w:t>
      </w:r>
    </w:p>
    <w:p w14:paraId="7B2A0BA5" w14:textId="77777777" w:rsidR="00EC3CA7" w:rsidRDefault="00EC3CA7">
      <w:pPr>
        <w:spacing w:after="0"/>
        <w:ind w:firstLine="709"/>
        <w:rPr>
          <w:rFonts w:ascii="Arial" w:eastAsia="Arial" w:hAnsi="Arial" w:cs="Arial"/>
          <w:sz w:val="22"/>
          <w:szCs w:val="22"/>
        </w:rPr>
      </w:pPr>
    </w:p>
    <w:p w14:paraId="170DB51A"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 xml:space="preserve">v) Los ingresos de los establecimientos públicos de origen nacional. </w:t>
      </w:r>
    </w:p>
    <w:p w14:paraId="03E9592D" w14:textId="77777777" w:rsidR="00EC3CA7" w:rsidRDefault="00EC3CA7">
      <w:pPr>
        <w:spacing w:after="0"/>
        <w:rPr>
          <w:rFonts w:ascii="Arial" w:eastAsia="Arial" w:hAnsi="Arial" w:cs="Arial"/>
          <w:sz w:val="22"/>
          <w:szCs w:val="22"/>
        </w:rPr>
      </w:pPr>
    </w:p>
    <w:p w14:paraId="2A0EC5B3"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 xml:space="preserve">En lo que respecta al presupuesto de gastos o ley de apropiaciones, el mismo Decreto 111 de 1996, en el artículo 23, determina que aquel está configurado por tres grandes rubros: </w:t>
      </w:r>
    </w:p>
    <w:p w14:paraId="13C34044" w14:textId="77777777" w:rsidR="00EC3CA7" w:rsidRDefault="00EC3CA7">
      <w:pPr>
        <w:spacing w:after="0"/>
        <w:ind w:firstLine="709"/>
        <w:rPr>
          <w:rFonts w:ascii="Arial" w:eastAsia="Arial" w:hAnsi="Arial" w:cs="Arial"/>
          <w:sz w:val="22"/>
          <w:szCs w:val="22"/>
        </w:rPr>
      </w:pPr>
    </w:p>
    <w:p w14:paraId="44853B2F"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i) Los gastos de funcionamiento que, a su vez, estarán subdivididos en servicios personales, gastos generales y transferencias y gastos de operación;</w:t>
      </w:r>
    </w:p>
    <w:p w14:paraId="463C42AE" w14:textId="77777777" w:rsidR="00EC3CA7" w:rsidRDefault="00EC3CA7">
      <w:pPr>
        <w:spacing w:after="0"/>
        <w:ind w:firstLine="709"/>
        <w:rPr>
          <w:rFonts w:ascii="Arial" w:eastAsia="Arial" w:hAnsi="Arial" w:cs="Arial"/>
          <w:sz w:val="22"/>
          <w:szCs w:val="22"/>
        </w:rPr>
      </w:pPr>
    </w:p>
    <w:p w14:paraId="10D6E76E"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 xml:space="preserve"> ii) El servicio a la deuda, conformado por la deuda interna y externa y; </w:t>
      </w:r>
    </w:p>
    <w:p w14:paraId="1F790EC0" w14:textId="77777777" w:rsidR="00EC3CA7" w:rsidRDefault="00EC3CA7">
      <w:pPr>
        <w:spacing w:after="0"/>
        <w:ind w:firstLine="709"/>
        <w:rPr>
          <w:rFonts w:ascii="Arial" w:eastAsia="Arial" w:hAnsi="Arial" w:cs="Arial"/>
          <w:sz w:val="22"/>
          <w:szCs w:val="22"/>
        </w:rPr>
      </w:pPr>
    </w:p>
    <w:p w14:paraId="0237A08A"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iii) Los gastos de inversión, dentro de los cuales se incluirá, según el artículo 36 del Estatuto Orgánico, los proyectos establecidos en el «Plan Operativo Anual de Inversión». Este «Plan Operativo Anual de Inversión» al que hace referencia el artículo 36 mencionado, es, junto al presupuesto anual de la Nación, y al Plan Financiero, uno de los componentes del «Sistema Presupuestal» (art. 6)</w:t>
      </w:r>
      <w:r>
        <w:rPr>
          <w:rFonts w:ascii="Arial" w:eastAsia="Arial" w:hAnsi="Arial" w:cs="Arial"/>
          <w:sz w:val="22"/>
          <w:szCs w:val="22"/>
          <w:vertAlign w:val="superscript"/>
        </w:rPr>
        <w:footnoteReference w:id="43"/>
      </w:r>
      <w:r>
        <w:rPr>
          <w:rFonts w:ascii="Arial" w:eastAsia="Arial" w:hAnsi="Arial" w:cs="Arial"/>
          <w:sz w:val="22"/>
          <w:szCs w:val="22"/>
        </w:rPr>
        <w:t>, y dentro de él se señalarán los proyectos de inversión clasificados por sectores, órganos y programas, siempre en concordancia con el Plan Nacional de Inversiones contenido en el Plan Nacional de Desarrollo</w:t>
      </w:r>
      <w:r>
        <w:rPr>
          <w:rFonts w:ascii="Arial" w:eastAsia="Arial" w:hAnsi="Arial" w:cs="Arial"/>
          <w:sz w:val="22"/>
          <w:szCs w:val="22"/>
          <w:vertAlign w:val="superscript"/>
        </w:rPr>
        <w:footnoteReference w:id="44"/>
      </w:r>
      <w:r>
        <w:rPr>
          <w:rFonts w:ascii="Arial" w:eastAsia="Arial" w:hAnsi="Arial" w:cs="Arial"/>
          <w:sz w:val="22"/>
          <w:szCs w:val="22"/>
        </w:rPr>
        <w:t xml:space="preserve">. </w:t>
      </w:r>
    </w:p>
    <w:p w14:paraId="2B1677DF" w14:textId="77777777" w:rsidR="00EC3CA7" w:rsidRDefault="00EC3CA7">
      <w:pPr>
        <w:spacing w:after="0"/>
        <w:rPr>
          <w:rFonts w:ascii="Arial" w:eastAsia="Arial" w:hAnsi="Arial" w:cs="Arial"/>
          <w:sz w:val="22"/>
          <w:szCs w:val="22"/>
        </w:rPr>
      </w:pPr>
    </w:p>
    <w:p w14:paraId="18016029" w14:textId="77777777" w:rsidR="00EC3CA7" w:rsidRDefault="00AF30F5">
      <w:pPr>
        <w:spacing w:after="0"/>
        <w:ind w:firstLine="709"/>
        <w:rPr>
          <w:rFonts w:ascii="Open Sans" w:eastAsia="Open Sans" w:hAnsi="Open Sans" w:cs="Open Sans"/>
          <w:color w:val="4B4949"/>
          <w:sz w:val="18"/>
          <w:szCs w:val="18"/>
        </w:rPr>
      </w:pPr>
      <w:r>
        <w:rPr>
          <w:rFonts w:ascii="Open Sans" w:eastAsia="Open Sans" w:hAnsi="Open Sans" w:cs="Open Sans"/>
          <w:color w:val="4B4949"/>
          <w:sz w:val="18"/>
          <w:szCs w:val="18"/>
        </w:rPr>
        <w:lastRenderedPageBreak/>
        <w:t xml:space="preserve"> </w:t>
      </w:r>
      <w:r>
        <w:rPr>
          <w:rFonts w:ascii="Arial" w:eastAsia="Arial" w:hAnsi="Arial" w:cs="Arial"/>
          <w:color w:val="000000"/>
          <w:sz w:val="22"/>
          <w:szCs w:val="22"/>
        </w:rPr>
        <w:t>De acuerdo al</w:t>
      </w:r>
      <w:r>
        <w:rPr>
          <w:rFonts w:ascii="Arial" w:eastAsia="Arial" w:hAnsi="Arial" w:cs="Arial"/>
          <w:color w:val="4B4949"/>
          <w:sz w:val="22"/>
          <w:szCs w:val="22"/>
        </w:rPr>
        <w:t xml:space="preserve"> </w:t>
      </w:r>
      <w:r>
        <w:rPr>
          <w:rFonts w:ascii="Arial" w:eastAsia="Arial" w:hAnsi="Arial" w:cs="Arial"/>
          <w:sz w:val="22"/>
          <w:szCs w:val="22"/>
        </w:rPr>
        <w:t>artículo 38 del Estatuto Orgánico del Presupuesto, la ley de gastos o apropiaciones «solo» estará conformada por las apropiaciones que correspondan a los siguientes aspectos:</w:t>
      </w:r>
    </w:p>
    <w:p w14:paraId="07D2CD94" w14:textId="77777777" w:rsidR="00EC3CA7" w:rsidRDefault="00EC3CA7">
      <w:pPr>
        <w:spacing w:after="0"/>
        <w:ind w:firstLine="709"/>
        <w:rPr>
          <w:rFonts w:ascii="Arial" w:eastAsia="Arial" w:hAnsi="Arial" w:cs="Arial"/>
          <w:sz w:val="22"/>
          <w:szCs w:val="22"/>
        </w:rPr>
      </w:pPr>
    </w:p>
    <w:p w14:paraId="3D256196"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1. Los créditos judicialmente reconocidos;</w:t>
      </w:r>
    </w:p>
    <w:p w14:paraId="5E1D8185" w14:textId="77777777" w:rsidR="00EC3CA7" w:rsidRDefault="00EC3CA7">
      <w:pPr>
        <w:spacing w:after="0"/>
        <w:ind w:firstLine="709"/>
        <w:rPr>
          <w:rFonts w:ascii="Arial" w:eastAsia="Arial" w:hAnsi="Arial" w:cs="Arial"/>
          <w:sz w:val="22"/>
          <w:szCs w:val="22"/>
        </w:rPr>
      </w:pPr>
    </w:p>
    <w:p w14:paraId="2CFEB6D7"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2. Los gastos decretados conforme a la ley;</w:t>
      </w:r>
    </w:p>
    <w:p w14:paraId="42B922AF" w14:textId="77777777" w:rsidR="00EC3CA7" w:rsidRDefault="00EC3CA7">
      <w:pPr>
        <w:spacing w:after="0"/>
        <w:ind w:firstLine="709"/>
        <w:rPr>
          <w:rFonts w:ascii="Arial" w:eastAsia="Arial" w:hAnsi="Arial" w:cs="Arial"/>
          <w:sz w:val="22"/>
          <w:szCs w:val="22"/>
        </w:rPr>
      </w:pPr>
    </w:p>
    <w:p w14:paraId="53745F7A" w14:textId="77777777" w:rsidR="00EC3CA7" w:rsidRDefault="00AF30F5">
      <w:pPr>
        <w:spacing w:after="0"/>
        <w:ind w:firstLine="709"/>
        <w:rPr>
          <w:rFonts w:ascii="Arial" w:eastAsia="Arial" w:hAnsi="Arial" w:cs="Arial"/>
          <w:sz w:val="22"/>
          <w:szCs w:val="22"/>
        </w:rPr>
      </w:pPr>
      <w:r w:rsidRPr="00236BEB">
        <w:rPr>
          <w:rFonts w:ascii="Arial" w:eastAsia="Arial" w:hAnsi="Arial" w:cs="Arial"/>
          <w:i/>
          <w:sz w:val="22"/>
          <w:szCs w:val="22"/>
        </w:rPr>
        <w:t>3. Las destinadas a dar cumplimiento a los planes y programas de desarrollo económico y social y a las obras públicas tratados en los artículos 339 y 341 de la Constitución Política, siempre que hayan sido aprobadas por el Congreso Nacional,</w:t>
      </w:r>
      <w:r>
        <w:rPr>
          <w:rFonts w:ascii="Arial" w:eastAsia="Arial" w:hAnsi="Arial" w:cs="Arial"/>
          <w:sz w:val="22"/>
          <w:szCs w:val="22"/>
        </w:rPr>
        <w:t xml:space="preserve"> y;</w:t>
      </w:r>
    </w:p>
    <w:p w14:paraId="327FA53C" w14:textId="77777777" w:rsidR="00EC3CA7" w:rsidRDefault="00EC3CA7">
      <w:pPr>
        <w:spacing w:after="0"/>
        <w:ind w:firstLine="709"/>
        <w:rPr>
          <w:rFonts w:ascii="Arial" w:eastAsia="Arial" w:hAnsi="Arial" w:cs="Arial"/>
          <w:sz w:val="22"/>
          <w:szCs w:val="22"/>
        </w:rPr>
      </w:pPr>
    </w:p>
    <w:p w14:paraId="65F2C76F"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 xml:space="preserve">4. </w:t>
      </w:r>
      <w:r>
        <w:rPr>
          <w:rFonts w:ascii="Arial" w:eastAsia="Arial" w:hAnsi="Arial" w:cs="Arial"/>
          <w:color w:val="333333"/>
          <w:sz w:val="22"/>
          <w:szCs w:val="22"/>
          <w:highlight w:val="white"/>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2DD9E8F5" w14:textId="77777777" w:rsidR="00EC3CA7" w:rsidRDefault="00EC3CA7">
      <w:pPr>
        <w:spacing w:after="0"/>
        <w:rPr>
          <w:rFonts w:ascii="Arial" w:eastAsia="Arial" w:hAnsi="Arial" w:cs="Arial"/>
          <w:sz w:val="22"/>
          <w:szCs w:val="22"/>
        </w:rPr>
      </w:pPr>
    </w:p>
    <w:p w14:paraId="1BCACD9B" w14:textId="77777777" w:rsidR="00EC3CA7" w:rsidRDefault="00AF30F5">
      <w:pPr>
        <w:spacing w:after="0"/>
        <w:ind w:firstLine="709"/>
        <w:rPr>
          <w:rFonts w:ascii="Arial" w:eastAsia="Arial" w:hAnsi="Arial" w:cs="Arial"/>
          <w:sz w:val="22"/>
          <w:szCs w:val="22"/>
        </w:rPr>
      </w:pPr>
      <w:r>
        <w:rPr>
          <w:rFonts w:ascii="Arial" w:eastAsia="Arial" w:hAnsi="Arial" w:cs="Arial"/>
          <w:sz w:val="22"/>
          <w:szCs w:val="22"/>
        </w:rPr>
        <w:t xml:space="preserve">Como se nota,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 de acuerdo al artículo 339 de la Constitución Política, cuenta con dos grandes apartados: </w:t>
      </w:r>
      <w:r>
        <w:rPr>
          <w:rFonts w:ascii="Arial" w:eastAsia="Arial" w:hAnsi="Arial" w:cs="Arial"/>
          <w:i/>
          <w:sz w:val="22"/>
          <w:szCs w:val="22"/>
        </w:rPr>
        <w:t>i)</w:t>
      </w:r>
      <w:r>
        <w:rPr>
          <w:rFonts w:ascii="Arial" w:eastAsia="Arial" w:hAnsi="Arial" w:cs="Arial"/>
          <w:sz w:val="22"/>
          <w:szCs w:val="22"/>
        </w:rPr>
        <w:t xml:space="preserve"> una parte general o estratégica y </w:t>
      </w:r>
      <w:r>
        <w:rPr>
          <w:rFonts w:ascii="Arial" w:eastAsia="Arial" w:hAnsi="Arial" w:cs="Arial"/>
          <w:i/>
          <w:sz w:val="22"/>
          <w:szCs w:val="22"/>
        </w:rPr>
        <w:t>ii)</w:t>
      </w:r>
      <w:r>
        <w:rPr>
          <w:rFonts w:ascii="Arial" w:eastAsia="Arial" w:hAnsi="Arial" w:cs="Arial"/>
          <w:sz w:val="22"/>
          <w:szCs w:val="22"/>
        </w:rPr>
        <w:t xml:space="preserve"> un Plan Nacional de Inversiones de las entidades públicas de orden nacional. </w:t>
      </w:r>
    </w:p>
    <w:p w14:paraId="4E3E7B8A" w14:textId="77777777" w:rsidR="00EC3CA7" w:rsidRDefault="00EC3CA7">
      <w:pPr>
        <w:spacing w:after="0"/>
        <w:ind w:firstLine="709"/>
        <w:rPr>
          <w:rFonts w:ascii="Arial" w:eastAsia="Arial" w:hAnsi="Arial" w:cs="Arial"/>
          <w:sz w:val="22"/>
          <w:szCs w:val="22"/>
        </w:rPr>
      </w:pPr>
    </w:p>
    <w:p w14:paraId="4E163ADE" w14:textId="52AC86CA" w:rsidR="00EC3CA7" w:rsidRDefault="00AF30F5">
      <w:pPr>
        <w:spacing w:after="0"/>
        <w:ind w:firstLine="709"/>
        <w:rPr>
          <w:rFonts w:ascii="Open Sans" w:eastAsia="Open Sans" w:hAnsi="Open Sans" w:cs="Open Sans"/>
          <w:color w:val="4B4949"/>
          <w:sz w:val="18"/>
          <w:szCs w:val="18"/>
        </w:rPr>
      </w:pPr>
      <w:r>
        <w:rPr>
          <w:rFonts w:ascii="Arial" w:eastAsia="Arial" w:hAnsi="Arial" w:cs="Arial"/>
          <w:sz w:val="22"/>
          <w:szCs w:val="22"/>
        </w:rPr>
        <w:t xml:space="preserve">En la primera parte, se señalarán los propósitos y objetivos nacionales de largo plazo, así como las metas y prioridades estatales a mediano plazo y las estrategias generales de la política social, económica y ambiental que adoptará el Gobierno Nacional. Por su parte, el Plan de Inversiones Públicas, contendrá «los presupuestos plurianuales de </w:t>
      </w:r>
      <w:r w:rsidRPr="00236BEB">
        <w:rPr>
          <w:rFonts w:ascii="Arial" w:eastAsia="Arial" w:hAnsi="Arial" w:cs="Arial"/>
          <w:i/>
          <w:sz w:val="22"/>
          <w:szCs w:val="22"/>
        </w:rPr>
        <w:t>los principales programas y proyectos de inversión pública nacional</w:t>
      </w:r>
      <w:r>
        <w:rPr>
          <w:rFonts w:ascii="Arial" w:eastAsia="Arial" w:hAnsi="Arial" w:cs="Arial"/>
          <w:sz w:val="22"/>
          <w:szCs w:val="22"/>
        </w:rPr>
        <w:t xml:space="preserve"> y la especificación de los recursos financieros requeridos para su ejecución» (énfasis añadido)</w:t>
      </w:r>
      <w:r>
        <w:rPr>
          <w:rFonts w:ascii="Open Sans" w:eastAsia="Open Sans" w:hAnsi="Open Sans" w:cs="Open Sans"/>
          <w:color w:val="4B4949"/>
          <w:sz w:val="18"/>
          <w:szCs w:val="18"/>
        </w:rPr>
        <w:t>.</w:t>
      </w:r>
    </w:p>
    <w:p w14:paraId="45DD3967" w14:textId="77777777" w:rsidR="00EC3CA7" w:rsidRDefault="00EC3CA7">
      <w:pPr>
        <w:spacing w:after="0"/>
        <w:rPr>
          <w:rFonts w:ascii="Arial" w:eastAsia="Arial" w:hAnsi="Arial" w:cs="Arial"/>
          <w:sz w:val="22"/>
          <w:szCs w:val="22"/>
        </w:rPr>
      </w:pPr>
    </w:p>
    <w:p w14:paraId="52F00DB1" w14:textId="77777777" w:rsidR="00EC3CA7" w:rsidRDefault="00AF30F5">
      <w:pPr>
        <w:spacing w:after="0"/>
        <w:rPr>
          <w:rFonts w:ascii="Arial" w:eastAsia="Arial" w:hAnsi="Arial" w:cs="Arial"/>
          <w:sz w:val="22"/>
          <w:szCs w:val="22"/>
        </w:rPr>
      </w:pPr>
      <w:r>
        <w:rPr>
          <w:rFonts w:ascii="Arial" w:eastAsia="Arial" w:hAnsi="Arial" w:cs="Arial"/>
          <w:sz w:val="22"/>
          <w:szCs w:val="22"/>
        </w:rPr>
        <w:lastRenderedPageBreak/>
        <w:tab/>
        <w:t>Por otra parte, como producto natural de la descentralización territorial y la autonomía de las entidades territoriales que rigen la estructura del Estado colombiano, el inciso 2 del artículo 339 de la Constitución Política, autoriza a las autoridades territoriales para que elaboren y adopten, de manera concertada entre ellas y el Gobierno Nacional, sus propios planes de desarrollo. Al igual que el Plan Nacional de Desarrollo, los planes de desarrollo territoriales estarán constituidos por una primera parte estratégica y una segunda contentiva del plan de inversiones a mediano y corto plazo, en los términos y condiciones que, de manera general, establezcan las respectivas asambleas departamentales y concejos municipales o distritales, según el caso</w:t>
      </w:r>
      <w:r>
        <w:rPr>
          <w:rFonts w:ascii="Arial" w:eastAsia="Arial" w:hAnsi="Arial" w:cs="Arial"/>
          <w:sz w:val="22"/>
          <w:szCs w:val="22"/>
          <w:vertAlign w:val="superscript"/>
        </w:rPr>
        <w:footnoteReference w:id="45"/>
      </w:r>
      <w:r>
        <w:rPr>
          <w:rFonts w:ascii="Arial" w:eastAsia="Arial" w:hAnsi="Arial" w:cs="Arial"/>
          <w:sz w:val="22"/>
          <w:szCs w:val="22"/>
        </w:rPr>
        <w:t xml:space="preserve">. </w:t>
      </w:r>
    </w:p>
    <w:p w14:paraId="5CE11E2B" w14:textId="77777777" w:rsidR="00EC3CA7" w:rsidRDefault="00EC3CA7">
      <w:pPr>
        <w:spacing w:after="0"/>
        <w:rPr>
          <w:rFonts w:ascii="Arial" w:eastAsia="Arial" w:hAnsi="Arial" w:cs="Arial"/>
          <w:sz w:val="22"/>
          <w:szCs w:val="22"/>
        </w:rPr>
      </w:pPr>
    </w:p>
    <w:p w14:paraId="434F4CA9" w14:textId="3FBBC3A2" w:rsidR="00EC3CA7" w:rsidRDefault="00AF30F5">
      <w:pPr>
        <w:spacing w:after="0"/>
        <w:rPr>
          <w:rFonts w:ascii="Arial" w:eastAsia="Arial" w:hAnsi="Arial" w:cs="Arial"/>
          <w:b/>
          <w:sz w:val="22"/>
          <w:szCs w:val="22"/>
        </w:rPr>
      </w:pPr>
      <w:r>
        <w:rPr>
          <w:rFonts w:ascii="Arial" w:eastAsia="Arial" w:hAnsi="Arial" w:cs="Arial"/>
          <w:b/>
          <w:sz w:val="22"/>
          <w:szCs w:val="22"/>
        </w:rPr>
        <w:t>2.5.1.</w:t>
      </w:r>
      <w:r>
        <w:rPr>
          <w:rFonts w:ascii="Arial" w:eastAsia="Arial" w:hAnsi="Arial" w:cs="Arial"/>
          <w:sz w:val="22"/>
          <w:szCs w:val="22"/>
        </w:rPr>
        <w:t xml:space="preserve"> </w:t>
      </w:r>
      <w:r>
        <w:rPr>
          <w:rFonts w:ascii="Arial" w:eastAsia="Arial" w:hAnsi="Arial" w:cs="Arial"/>
          <w:b/>
          <w:sz w:val="22"/>
          <w:szCs w:val="22"/>
        </w:rPr>
        <w:t>Alcances y elementos de la reforma a la Ley de Garantías Electorales</w:t>
      </w:r>
    </w:p>
    <w:p w14:paraId="3968A6D5" w14:textId="77777777" w:rsidR="00EC3CA7" w:rsidRDefault="00EC3CA7">
      <w:pPr>
        <w:shd w:val="clear" w:color="auto" w:fill="FFFFFF"/>
        <w:spacing w:after="0"/>
        <w:rPr>
          <w:rFonts w:ascii="Arial" w:eastAsia="Arial" w:hAnsi="Arial" w:cs="Arial"/>
          <w:sz w:val="22"/>
          <w:szCs w:val="22"/>
        </w:rPr>
      </w:pPr>
    </w:p>
    <w:p w14:paraId="7ED51C81" w14:textId="77777777" w:rsidR="00EC3CA7" w:rsidRPr="00236BEB" w:rsidRDefault="00AF30F5" w:rsidP="00236BEB">
      <w:pPr>
        <w:shd w:val="clear" w:color="auto" w:fill="FFFFFF"/>
        <w:spacing w:after="0"/>
      </w:pPr>
      <w:r>
        <w:rPr>
          <w:rFonts w:ascii="Arial" w:eastAsia="Arial" w:hAnsi="Arial" w:cs="Arial"/>
          <w:sz w:val="22"/>
          <w:szCs w:val="22"/>
        </w:rPr>
        <w:t>En este contexto, como se puede apreciar, el artículo 124 de la Ley del Presupuesto para la vigencia fiscal del 2022 que arriba se citó,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50B38CFA" w14:textId="77777777" w:rsidR="00EC3CA7" w:rsidRDefault="00EC3CA7">
      <w:pPr>
        <w:shd w:val="clear" w:color="auto" w:fill="FFFFFF"/>
        <w:spacing w:after="0"/>
        <w:rPr>
          <w:rFonts w:ascii="Arial" w:eastAsia="Arial" w:hAnsi="Arial" w:cs="Arial"/>
          <w:sz w:val="22"/>
          <w:szCs w:val="22"/>
        </w:rPr>
      </w:pPr>
    </w:p>
    <w:p w14:paraId="577EF494" w14:textId="214CE5EF"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p>
    <w:p w14:paraId="22ECE8A8" w14:textId="77777777" w:rsidR="00EC3CA7" w:rsidRDefault="00EC3CA7">
      <w:pPr>
        <w:shd w:val="clear" w:color="auto" w:fill="FFFFFF"/>
        <w:spacing w:after="0"/>
        <w:rPr>
          <w:rFonts w:ascii="Arial" w:eastAsia="Arial" w:hAnsi="Arial" w:cs="Arial"/>
          <w:sz w:val="22"/>
          <w:szCs w:val="22"/>
        </w:rPr>
      </w:pPr>
    </w:p>
    <w:p w14:paraId="75A62A9A" w14:textId="77777777" w:rsidR="00EC3CA7" w:rsidRPr="00236BEB" w:rsidRDefault="00AF30F5" w:rsidP="00236BEB">
      <w:pPr>
        <w:shd w:val="clear" w:color="auto" w:fill="FFFFFF"/>
        <w:spacing w:after="0"/>
        <w:ind w:firstLine="708"/>
      </w:pPr>
      <w:r>
        <w:rPr>
          <w:rFonts w:ascii="Arial" w:eastAsia="Arial" w:hAnsi="Arial" w:cs="Arial"/>
          <w:sz w:val="22"/>
          <w:szCs w:val="22"/>
        </w:rPr>
        <w:t xml:space="preserve">A continuación, la Agencia se referirá a cada uno de los aspectos o elementos insertos en la mencionada disposición. </w:t>
      </w:r>
    </w:p>
    <w:p w14:paraId="02BD5148" w14:textId="77777777" w:rsidR="00EC3CA7" w:rsidRDefault="00EC3CA7">
      <w:pPr>
        <w:shd w:val="clear" w:color="auto" w:fill="FFFFFF"/>
        <w:spacing w:after="0"/>
        <w:rPr>
          <w:rFonts w:ascii="Arial" w:eastAsia="Arial" w:hAnsi="Arial" w:cs="Arial"/>
          <w:sz w:val="22"/>
          <w:szCs w:val="22"/>
        </w:rPr>
      </w:pPr>
    </w:p>
    <w:p w14:paraId="33E3EA09" w14:textId="77777777" w:rsidR="00EC3CA7" w:rsidRDefault="00AF30F5">
      <w:pPr>
        <w:shd w:val="clear" w:color="auto" w:fill="FFFFFF"/>
        <w:spacing w:after="0"/>
        <w:rPr>
          <w:rFonts w:ascii="Arial" w:eastAsia="Arial" w:hAnsi="Arial" w:cs="Arial"/>
          <w:b/>
          <w:sz w:val="22"/>
          <w:szCs w:val="22"/>
        </w:rPr>
      </w:pPr>
      <w:r>
        <w:rPr>
          <w:rFonts w:ascii="Arial" w:eastAsia="Arial" w:hAnsi="Arial" w:cs="Arial"/>
          <w:b/>
          <w:sz w:val="22"/>
          <w:szCs w:val="22"/>
        </w:rPr>
        <w:t>2.5.1.1. Aspecto temporal</w:t>
      </w:r>
    </w:p>
    <w:p w14:paraId="49961B8F" w14:textId="77777777" w:rsidR="00EC3CA7" w:rsidRDefault="00EC3CA7">
      <w:pPr>
        <w:shd w:val="clear" w:color="auto" w:fill="FFFFFF"/>
        <w:spacing w:after="0"/>
        <w:rPr>
          <w:rFonts w:ascii="Arial" w:eastAsia="Arial" w:hAnsi="Arial" w:cs="Arial"/>
          <w:sz w:val="22"/>
          <w:szCs w:val="22"/>
        </w:rPr>
      </w:pPr>
    </w:p>
    <w:p w14:paraId="1EAC27F3" w14:textId="77777777" w:rsidR="00EC3CA7" w:rsidRPr="00236BEB" w:rsidRDefault="00AF30F5" w:rsidP="00236BEB">
      <w:pPr>
        <w:shd w:val="clear" w:color="auto" w:fill="FFFFFF"/>
        <w:spacing w:after="0"/>
      </w:pPr>
      <w:r>
        <w:rPr>
          <w:rFonts w:ascii="Arial" w:eastAsia="Arial" w:hAnsi="Arial" w:cs="Arial"/>
          <w:sz w:val="22"/>
          <w:szCs w:val="22"/>
        </w:rPr>
        <w:t xml:space="preserve">En su inciso segundo, el artículo 124 dispone la modificación del parágrafo del artículo 38 de la Ley 996 de 2005 sin establecer un nuevo texto sino simplemente </w:t>
      </w:r>
      <w:r>
        <w:rPr>
          <w:rFonts w:ascii="Arial" w:eastAsia="Arial" w:hAnsi="Arial" w:cs="Arial"/>
          <w:sz w:val="22"/>
          <w:szCs w:val="22"/>
        </w:rPr>
        <w:lastRenderedPageBreak/>
        <w:t xml:space="preserve">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4D855770" w14:textId="77777777" w:rsidR="00EC3CA7" w:rsidRDefault="00EC3CA7">
      <w:pPr>
        <w:shd w:val="clear" w:color="auto" w:fill="FFFFFF"/>
        <w:spacing w:after="0"/>
        <w:ind w:firstLine="709"/>
        <w:rPr>
          <w:rFonts w:ascii="Arial" w:eastAsia="Arial" w:hAnsi="Arial" w:cs="Arial"/>
          <w:sz w:val="22"/>
          <w:szCs w:val="22"/>
        </w:rPr>
      </w:pPr>
    </w:p>
    <w:p w14:paraId="0F784C71" w14:textId="77777777" w:rsidR="00EC3CA7" w:rsidRDefault="00AF30F5">
      <w:pPr>
        <w:shd w:val="clear" w:color="auto" w:fill="FFFFFF"/>
        <w:spacing w:after="0"/>
        <w:ind w:firstLine="709"/>
        <w:rPr>
          <w:rFonts w:ascii="Arial" w:eastAsia="Arial" w:hAnsi="Arial" w:cs="Arial"/>
          <w:sz w:val="22"/>
          <w:szCs w:val="22"/>
        </w:rPr>
      </w:pPr>
      <w:r>
        <w:rPr>
          <w:rFonts w:ascii="Arial" w:eastAsia="Arial" w:hAnsi="Arial" w:cs="Arial"/>
          <w:sz w:val="22"/>
          <w:szCs w:val="22"/>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t xml:space="preserve"> </w:t>
      </w:r>
      <w:r>
        <w:rPr>
          <w:rFonts w:ascii="Arial" w:eastAsia="Arial" w:hAnsi="Arial" w:cs="Arial"/>
          <w:sz w:val="22"/>
          <w:szCs w:val="22"/>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15193BFB" w14:textId="77777777" w:rsidR="00EC3CA7" w:rsidRDefault="00EC3CA7">
      <w:pPr>
        <w:shd w:val="clear" w:color="auto" w:fill="FFFFFF"/>
        <w:spacing w:after="0"/>
        <w:rPr>
          <w:rFonts w:ascii="Arial" w:eastAsia="Arial" w:hAnsi="Arial" w:cs="Arial"/>
          <w:sz w:val="22"/>
          <w:szCs w:val="22"/>
        </w:rPr>
      </w:pPr>
    </w:p>
    <w:p w14:paraId="041ED71E" w14:textId="77777777" w:rsidR="00EC3CA7" w:rsidRDefault="00AF30F5">
      <w:pPr>
        <w:shd w:val="clear" w:color="auto" w:fill="FFFFFF"/>
        <w:spacing w:after="0"/>
        <w:rPr>
          <w:rFonts w:ascii="Arial" w:eastAsia="Arial" w:hAnsi="Arial" w:cs="Arial"/>
          <w:b/>
          <w:sz w:val="22"/>
          <w:szCs w:val="22"/>
        </w:rPr>
      </w:pPr>
      <w:r>
        <w:rPr>
          <w:rFonts w:ascii="Arial" w:eastAsia="Arial" w:hAnsi="Arial" w:cs="Arial"/>
          <w:b/>
          <w:sz w:val="22"/>
          <w:szCs w:val="22"/>
        </w:rPr>
        <w:t>2.5.1.2. Aspecto subjetivo</w:t>
      </w:r>
    </w:p>
    <w:p w14:paraId="2E2F3F97" w14:textId="77777777" w:rsidR="00EC3CA7" w:rsidRDefault="00EC3CA7">
      <w:pPr>
        <w:shd w:val="clear" w:color="auto" w:fill="FFFFFF"/>
        <w:spacing w:after="0"/>
        <w:rPr>
          <w:rFonts w:ascii="Arial" w:eastAsia="Arial" w:hAnsi="Arial" w:cs="Arial"/>
          <w:sz w:val="22"/>
          <w:szCs w:val="22"/>
        </w:rPr>
      </w:pPr>
    </w:p>
    <w:p w14:paraId="65A74557" w14:textId="419DD992" w:rsidR="00EC3CA7" w:rsidRPr="00236BEB" w:rsidRDefault="00AF30F5" w:rsidP="00236BEB">
      <w:pPr>
        <w:shd w:val="clear" w:color="auto" w:fill="FFFFFF"/>
        <w:spacing w:after="0"/>
      </w:pPr>
      <w:r>
        <w:rPr>
          <w:rFonts w:ascii="Arial" w:eastAsia="Arial" w:hAnsi="Arial" w:cs="Arial"/>
          <w:sz w:val="22"/>
          <w:szCs w:val="22"/>
        </w:rPr>
        <w:t xml:space="preserve">Ahora bien, según se señaló atrás, el parágrafo del artículo 38 de la Ley 996 de 2005, en su texto original, establece una prohibición dirigida a los alcaldes, gobernadores, secretarios, gerentes y directores de las entidades del orden municipal, departamental o distrital, quienes no podrán celebrar convenios y contratos interadministrativos para la ejecución de recursos públicos durante el periodo establecido en ese mismo parágrafo, sin hacer diferencia alguna con respecto a la modalidad de selección que se utilice, ante lo cual, </w:t>
      </w:r>
      <w:r w:rsidR="00C715B8">
        <w:rPr>
          <w:rFonts w:ascii="Arial" w:eastAsia="Arial" w:hAnsi="Arial" w:cs="Arial"/>
          <w:sz w:val="22"/>
          <w:szCs w:val="22"/>
        </w:rPr>
        <w:t>es factible</w:t>
      </w:r>
      <w:r>
        <w:rPr>
          <w:rFonts w:ascii="Arial" w:eastAsia="Arial" w:hAnsi="Arial" w:cs="Arial"/>
          <w:sz w:val="22"/>
          <w:szCs w:val="22"/>
        </w:rPr>
        <w:t xml:space="preserve"> que los contratos o convenios interadministrativos sean celebrados entre entidades territoriales</w:t>
      </w:r>
      <w:r w:rsidR="00C715B8">
        <w:rPr>
          <w:rFonts w:ascii="Arial" w:eastAsia="Arial" w:hAnsi="Arial" w:cs="Arial"/>
          <w:sz w:val="22"/>
          <w:szCs w:val="22"/>
        </w:rPr>
        <w:t>, exclusivamente,</w:t>
      </w:r>
      <w:r>
        <w:rPr>
          <w:rFonts w:ascii="Arial" w:eastAsia="Arial" w:hAnsi="Arial" w:cs="Arial"/>
          <w:sz w:val="22"/>
          <w:szCs w:val="22"/>
        </w:rPr>
        <w:t xml:space="preserve"> o entre </w:t>
      </w:r>
      <w:r w:rsidR="00C715B8">
        <w:rPr>
          <w:rFonts w:ascii="Arial" w:eastAsia="Arial" w:hAnsi="Arial" w:cs="Arial"/>
          <w:sz w:val="22"/>
          <w:szCs w:val="22"/>
        </w:rPr>
        <w:t>ellas</w:t>
      </w:r>
      <w:r>
        <w:rPr>
          <w:rFonts w:ascii="Arial" w:eastAsia="Arial" w:hAnsi="Arial" w:cs="Arial"/>
          <w:sz w:val="22"/>
          <w:szCs w:val="22"/>
        </w:rPr>
        <w:t xml:space="preserve"> y </w:t>
      </w:r>
      <w:r w:rsidR="00C715B8">
        <w:rPr>
          <w:rFonts w:ascii="Arial" w:eastAsia="Arial" w:hAnsi="Arial" w:cs="Arial"/>
          <w:sz w:val="22"/>
          <w:szCs w:val="22"/>
        </w:rPr>
        <w:t>en</w:t>
      </w:r>
      <w:r w:rsidR="00766F9F">
        <w:rPr>
          <w:rFonts w:ascii="Arial" w:eastAsia="Arial" w:hAnsi="Arial" w:cs="Arial"/>
          <w:sz w:val="22"/>
          <w:szCs w:val="22"/>
        </w:rPr>
        <w:t xml:space="preserve">tes </w:t>
      </w:r>
      <w:r>
        <w:rPr>
          <w:rFonts w:ascii="Arial" w:eastAsia="Arial" w:hAnsi="Arial" w:cs="Arial"/>
          <w:sz w:val="22"/>
          <w:szCs w:val="22"/>
        </w:rPr>
        <w:t xml:space="preserve">nacionales. </w:t>
      </w:r>
    </w:p>
    <w:p w14:paraId="5D1C115E" w14:textId="77777777" w:rsidR="00EC3CA7" w:rsidRDefault="00EC3CA7">
      <w:pPr>
        <w:shd w:val="clear" w:color="auto" w:fill="FFFFFF"/>
        <w:spacing w:after="0"/>
        <w:ind w:firstLine="708"/>
        <w:rPr>
          <w:rFonts w:ascii="Arial" w:eastAsia="Arial" w:hAnsi="Arial" w:cs="Arial"/>
          <w:sz w:val="22"/>
          <w:szCs w:val="22"/>
        </w:rPr>
      </w:pPr>
    </w:p>
    <w:p w14:paraId="18D3192B" w14:textId="77777777" w:rsidR="00EC3CA7" w:rsidRDefault="00AF30F5">
      <w:pPr>
        <w:shd w:val="clear" w:color="auto" w:fill="FFFFFF"/>
        <w:spacing w:after="0"/>
        <w:ind w:firstLine="708"/>
        <w:rPr>
          <w:rFonts w:ascii="Arial" w:eastAsia="Arial" w:hAnsi="Arial" w:cs="Arial"/>
          <w:sz w:val="22"/>
          <w:szCs w:val="22"/>
        </w:rPr>
      </w:pPr>
      <w:bookmarkStart w:id="41" w:name="_41mghml" w:colFirst="0" w:colLast="0"/>
      <w:bookmarkEnd w:id="41"/>
      <w:r>
        <w:rPr>
          <w:rFonts w:ascii="Arial" w:eastAsia="Arial" w:hAnsi="Arial" w:cs="Arial"/>
          <w:sz w:val="22"/>
          <w:szCs w:val="22"/>
        </w:rPr>
        <w:t>Como se observa, el artículo 124 de la Ley 2159 de 2021 hace referencia a que la «Nación» podrá celebrar convenios interadministrativos con «las entidades territoriales», razón por la cual en su aplicación resulta relevante el concepto que se tenga de los dos sujetos de derecho autorizados para celebrarlos.</w:t>
      </w:r>
    </w:p>
    <w:p w14:paraId="75794E2D" w14:textId="77777777" w:rsidR="00EC3CA7" w:rsidRDefault="00EC3CA7">
      <w:pPr>
        <w:shd w:val="clear" w:color="auto" w:fill="FFFFFF"/>
        <w:spacing w:after="0"/>
        <w:ind w:firstLine="708"/>
        <w:rPr>
          <w:rFonts w:ascii="Arial" w:eastAsia="Arial" w:hAnsi="Arial" w:cs="Arial"/>
          <w:sz w:val="22"/>
          <w:szCs w:val="22"/>
        </w:rPr>
      </w:pPr>
    </w:p>
    <w:p w14:paraId="49B90018"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En cuanto a las entidades territoriales el artículo 286 de la Constitución Política establece claramente que son «los departamentos, los distritos, los municipios y los territorios indígenas» y la «ley podrá darles el carácter de entidades </w:t>
      </w:r>
      <w:r>
        <w:rPr>
          <w:rFonts w:ascii="Arial" w:eastAsia="Arial" w:hAnsi="Arial" w:cs="Arial"/>
          <w:sz w:val="22"/>
          <w:szCs w:val="22"/>
        </w:rPr>
        <w:lastRenderedPageBreak/>
        <w:t>territoriales a las regiones y provincias que se constituyan en los términos de la Constitución y de la ley.»</w:t>
      </w:r>
    </w:p>
    <w:p w14:paraId="59457A59" w14:textId="77777777" w:rsidR="00EC3CA7" w:rsidRDefault="00EC3CA7">
      <w:pPr>
        <w:shd w:val="clear" w:color="auto" w:fill="FFFFFF"/>
        <w:spacing w:after="0"/>
        <w:ind w:firstLine="708"/>
        <w:rPr>
          <w:rFonts w:ascii="Arial" w:eastAsia="Arial" w:hAnsi="Arial" w:cs="Arial"/>
          <w:sz w:val="22"/>
          <w:szCs w:val="22"/>
        </w:rPr>
      </w:pPr>
    </w:p>
    <w:p w14:paraId="59739C2C"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Pr>
          <w:rFonts w:ascii="Arial" w:eastAsia="Arial" w:hAnsi="Arial" w:cs="Arial"/>
          <w:sz w:val="22"/>
          <w:szCs w:val="22"/>
          <w:vertAlign w:val="superscript"/>
        </w:rPr>
        <w:footnoteReference w:id="46"/>
      </w:r>
      <w:r>
        <w:rPr>
          <w:rFonts w:ascii="Arial" w:eastAsia="Arial" w:hAnsi="Arial" w:cs="Arial"/>
          <w:sz w:val="22"/>
          <w:szCs w:val="22"/>
        </w:rPr>
        <w:t xml:space="preserve">. </w:t>
      </w:r>
    </w:p>
    <w:p w14:paraId="433B16C8" w14:textId="77777777" w:rsidR="00EC3CA7" w:rsidRDefault="00EC3CA7">
      <w:pPr>
        <w:shd w:val="clear" w:color="auto" w:fill="FFFFFF"/>
        <w:spacing w:after="0"/>
        <w:ind w:firstLine="708"/>
        <w:rPr>
          <w:rFonts w:ascii="Arial" w:eastAsia="Arial" w:hAnsi="Arial" w:cs="Arial"/>
          <w:sz w:val="22"/>
          <w:szCs w:val="22"/>
        </w:rPr>
      </w:pPr>
    </w:p>
    <w:p w14:paraId="4CE5C57B"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Bajo esta óptica, es menester recordar que, conforme al artículo 1 de la Constitución Política, Colombia es un Estado social derecho, organizado en forma de República unitaria pero descentralizada y con autonomía de sus entidades territoriales</w:t>
      </w:r>
      <w:r>
        <w:rPr>
          <w:rFonts w:ascii="Arial" w:eastAsia="Arial" w:hAnsi="Arial" w:cs="Arial"/>
          <w:sz w:val="22"/>
          <w:szCs w:val="22"/>
          <w:vertAlign w:val="superscript"/>
        </w:rPr>
        <w:footnoteReference w:id="47"/>
      </w:r>
      <w:r>
        <w:rPr>
          <w:rFonts w:ascii="Arial" w:eastAsia="Arial" w:hAnsi="Arial" w:cs="Arial"/>
          <w:sz w:val="22"/>
          <w:szCs w:val="22"/>
        </w:rPr>
        <w:t>; y que, precisamente, en nuestro ordenamiento jurídico se utiliza la expresión «Nación», en vez de la expresión «Estado», para hacer alusión a las autoridades centrales y diferenciarlas de las autoridades descentralizadas territorialmente y por servicios.</w:t>
      </w:r>
      <w:r>
        <w:rPr>
          <w:rFonts w:ascii="Arial" w:eastAsia="Arial" w:hAnsi="Arial" w:cs="Arial"/>
          <w:sz w:val="22"/>
          <w:szCs w:val="22"/>
          <w:vertAlign w:val="superscript"/>
        </w:rPr>
        <w:footnoteReference w:id="48"/>
      </w:r>
      <w:r>
        <w:rPr>
          <w:rFonts w:ascii="Arial" w:eastAsia="Arial" w:hAnsi="Arial" w:cs="Arial"/>
          <w:sz w:val="22"/>
          <w:szCs w:val="22"/>
        </w:rPr>
        <w:t xml:space="preserve"> Así lo ha manifestado la Corte Constitucional:</w:t>
      </w:r>
    </w:p>
    <w:p w14:paraId="25D5DCD2" w14:textId="77777777" w:rsidR="00EC3CA7" w:rsidRDefault="00EC3CA7">
      <w:pPr>
        <w:shd w:val="clear" w:color="auto" w:fill="FFFFFF"/>
        <w:spacing w:after="0"/>
        <w:ind w:firstLine="708"/>
        <w:rPr>
          <w:rFonts w:ascii="Arial" w:eastAsia="Arial" w:hAnsi="Arial" w:cs="Arial"/>
          <w:sz w:val="22"/>
          <w:szCs w:val="22"/>
        </w:rPr>
      </w:pPr>
    </w:p>
    <w:p w14:paraId="188535AA" w14:textId="78FFABC2" w:rsidR="00EC3CA7" w:rsidRDefault="00AF30F5">
      <w:pPr>
        <w:shd w:val="clear" w:color="auto" w:fill="FFFFFF"/>
        <w:spacing w:after="0"/>
        <w:ind w:left="709" w:right="567"/>
        <w:rPr>
          <w:rFonts w:ascii="Arial" w:eastAsia="Arial" w:hAnsi="Arial" w:cs="Arial"/>
          <w:sz w:val="21"/>
          <w:szCs w:val="21"/>
        </w:rPr>
      </w:pPr>
      <w:r>
        <w:rPr>
          <w:rFonts w:ascii="Arial" w:eastAsia="Arial" w:hAnsi="Arial" w:cs="Arial"/>
          <w:sz w:val="21"/>
          <w:szCs w:val="21"/>
        </w:rPr>
        <w:t xml:space="preserve">[E]n general nuestra normatividad </w:t>
      </w:r>
      <w:r w:rsidRPr="00236BEB">
        <w:rPr>
          <w:rFonts w:ascii="Arial" w:eastAsia="Arial" w:hAnsi="Arial" w:cs="Arial"/>
          <w:i/>
          <w:sz w:val="21"/>
          <w:szCs w:val="21"/>
        </w:rPr>
        <w:t>ha reservado la palabra “Nación”</w:t>
      </w:r>
      <w:r>
        <w:rPr>
          <w:rFonts w:ascii="Arial" w:eastAsia="Arial" w:hAnsi="Arial" w:cs="Arial"/>
          <w:sz w:val="21"/>
          <w:szCs w:val="21"/>
        </w:rPr>
        <w:t xml:space="preserve">, en vez de la palabra “Estado”, </w:t>
      </w:r>
      <w:r w:rsidRPr="00236BEB">
        <w:rPr>
          <w:rFonts w:ascii="Arial" w:eastAsia="Arial" w:hAnsi="Arial" w:cs="Arial"/>
          <w:i/>
          <w:sz w:val="21"/>
          <w:szCs w:val="21"/>
        </w:rPr>
        <w:t>para hacer referencia a las autoridades centrales y distinguirlas de las autoridades descentralizadas</w:t>
      </w:r>
      <w:r>
        <w:rPr>
          <w:rFonts w:ascii="Arial" w:eastAsia="Arial" w:hAnsi="Arial" w:cs="Arial"/>
          <w:sz w:val="21"/>
          <w:szCs w:val="21"/>
        </w:rPr>
        <w:t xml:space="preserve">. Así, el artículo 182 de la Constitución derogada ordenaba a la ley determinar “los servicios a cargo de la Nación y de las entidades descentralizadas”. Ese lenguaje se ha mantenido en la Constitución de 1991, pues </w:t>
      </w:r>
      <w:r w:rsidRPr="00236BEB">
        <w:rPr>
          <w:rFonts w:ascii="Arial" w:eastAsia="Arial" w:hAnsi="Arial" w:cs="Arial"/>
          <w:i/>
          <w:sz w:val="21"/>
          <w:szCs w:val="21"/>
        </w:rPr>
        <w:t>la Carta utiliza la palabra Nación cuando se refiere a las competencias propias de las autoridades centrales, mientras que la palabra Estado denota en general el conjunto de todas las autoridades públicas</w:t>
      </w:r>
      <w:r>
        <w:rPr>
          <w:rFonts w:ascii="Arial" w:eastAsia="Arial" w:hAnsi="Arial" w:cs="Arial"/>
          <w:sz w:val="21"/>
          <w:szCs w:val="21"/>
        </w:rPr>
        <w:t>. (Cursiva fuera del texto).</w:t>
      </w:r>
    </w:p>
    <w:p w14:paraId="49687846" w14:textId="77777777" w:rsidR="00EC3CA7" w:rsidRDefault="00EC3CA7">
      <w:pPr>
        <w:shd w:val="clear" w:color="auto" w:fill="FFFFFF"/>
        <w:spacing w:after="0"/>
        <w:ind w:firstLine="708"/>
        <w:rPr>
          <w:rFonts w:ascii="Arial" w:eastAsia="Arial" w:hAnsi="Arial" w:cs="Arial"/>
          <w:sz w:val="22"/>
          <w:szCs w:val="22"/>
        </w:rPr>
      </w:pPr>
    </w:p>
    <w:p w14:paraId="47DAF424"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De otro lado, el Estado en su conjunto, esto es, la Nación y otros órganos que realizan las diversas funciones y servicios, actúa en el mundo del Derecho dotado de personalidad jurídica como</w:t>
      </w:r>
      <w:r>
        <w:t xml:space="preserve"> </w:t>
      </w:r>
      <w:r>
        <w:rPr>
          <w:rFonts w:ascii="Arial" w:eastAsia="Arial" w:hAnsi="Arial" w:cs="Arial"/>
          <w:sz w:val="22"/>
          <w:szCs w:val="22"/>
        </w:rPr>
        <w:t xml:space="preserve">sujeto de derechos y obligaciones. En efecto, el artículo 80 de la Ley 153 de 1887 establece que </w:t>
      </w:r>
      <w:r>
        <w:rPr>
          <w:rFonts w:ascii="Arial" w:eastAsia="Arial" w:hAnsi="Arial" w:cs="Arial"/>
          <w:sz w:val="21"/>
          <w:szCs w:val="21"/>
        </w:rPr>
        <w:t>«</w:t>
      </w:r>
      <w:r>
        <w:rPr>
          <w:rFonts w:ascii="Arial" w:eastAsia="Arial" w:hAnsi="Arial" w:cs="Arial"/>
          <w:sz w:val="22"/>
          <w:szCs w:val="22"/>
        </w:rPr>
        <w:t>[l]a Nación, los Departamentos, los Municipios, los establecimientos de beneficencia y los de instrucción pública, y las corporaciones creadas o reconocidas por la ley, son personas jurídicas</w:t>
      </w:r>
      <w:r>
        <w:rPr>
          <w:rFonts w:ascii="Arial" w:eastAsia="Arial" w:hAnsi="Arial" w:cs="Arial"/>
          <w:sz w:val="21"/>
          <w:szCs w:val="21"/>
        </w:rPr>
        <w:t>»</w:t>
      </w:r>
      <w:r>
        <w:rPr>
          <w:rFonts w:ascii="Arial" w:eastAsia="Arial" w:hAnsi="Arial" w:cs="Arial"/>
          <w:sz w:val="22"/>
          <w:szCs w:val="22"/>
        </w:rPr>
        <w:t xml:space="preserve">. </w:t>
      </w:r>
    </w:p>
    <w:p w14:paraId="35D4D355" w14:textId="77777777" w:rsidR="00EC3CA7" w:rsidRDefault="00EC3CA7">
      <w:pPr>
        <w:shd w:val="clear" w:color="auto" w:fill="FFFFFF"/>
        <w:spacing w:after="0"/>
        <w:ind w:firstLine="708"/>
        <w:rPr>
          <w:rFonts w:ascii="Arial" w:eastAsia="Arial" w:hAnsi="Arial" w:cs="Arial"/>
          <w:sz w:val="22"/>
          <w:szCs w:val="22"/>
        </w:rPr>
      </w:pPr>
    </w:p>
    <w:p w14:paraId="40BC3DF1"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Pr>
          <w:rFonts w:ascii="Arial" w:eastAsia="Arial" w:hAnsi="Arial" w:cs="Arial"/>
          <w:sz w:val="21"/>
          <w:szCs w:val="21"/>
        </w:rPr>
        <w:t>»</w:t>
      </w:r>
      <w:r>
        <w:rPr>
          <w:rFonts w:ascii="Arial" w:eastAsia="Arial" w:hAnsi="Arial" w:cs="Arial"/>
          <w:sz w:val="21"/>
          <w:szCs w:val="21"/>
          <w:vertAlign w:val="superscript"/>
        </w:rPr>
        <w:footnoteReference w:id="49"/>
      </w:r>
      <w:r>
        <w:rPr>
          <w:rFonts w:ascii="Arial" w:eastAsia="Arial" w:hAnsi="Arial" w:cs="Arial"/>
          <w:sz w:val="22"/>
          <w:szCs w:val="22"/>
        </w:rPr>
        <w:t xml:space="preserve">  </w:t>
      </w:r>
    </w:p>
    <w:p w14:paraId="10A12D21" w14:textId="77777777" w:rsidR="00EC3CA7" w:rsidRDefault="00EC3CA7">
      <w:pPr>
        <w:shd w:val="clear" w:color="auto" w:fill="FFFFFF"/>
        <w:spacing w:after="0"/>
        <w:ind w:firstLine="708"/>
        <w:rPr>
          <w:rFonts w:ascii="Arial" w:eastAsia="Arial" w:hAnsi="Arial" w:cs="Arial"/>
          <w:sz w:val="22"/>
          <w:szCs w:val="22"/>
        </w:rPr>
      </w:pPr>
    </w:p>
    <w:p w14:paraId="124D1805"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En particular, la Rama Ejecutiva del Poder público se manifiesta en dos órdenes o niveles, por un lado, el nivel nacional, o «administración nacional» que a su turno puede contar con entidades descentralizadas por servicios, y por el otro, el nivel descentralizado por virtud del territorio, o «administración territorial». En efecto, el artículo 38 de la Ley 489 de 1998, por medio de la cual se dictan normas sobre la organización y funcionamiento de las entidades del orden nacional, se expiden las disposiciones, principios y reglas para el ejercicio de las atribuciones previstas en los numerales 15 y 16 del artículo 189 de la Constitución, al respecto dispone: </w:t>
      </w:r>
    </w:p>
    <w:p w14:paraId="329F20CE" w14:textId="77777777" w:rsidR="00EC3CA7" w:rsidRDefault="00EC3CA7">
      <w:pPr>
        <w:shd w:val="clear" w:color="auto" w:fill="FFFFFF"/>
        <w:spacing w:after="0"/>
        <w:ind w:firstLine="708"/>
        <w:rPr>
          <w:rFonts w:ascii="Arial" w:eastAsia="Arial" w:hAnsi="Arial" w:cs="Arial"/>
          <w:sz w:val="22"/>
          <w:szCs w:val="22"/>
        </w:rPr>
      </w:pPr>
    </w:p>
    <w:p w14:paraId="1DBA4007" w14:textId="77777777" w:rsidR="00EC3CA7" w:rsidRPr="00236BEB" w:rsidRDefault="00AF30F5" w:rsidP="00236BEB">
      <w:pPr>
        <w:shd w:val="clear" w:color="auto" w:fill="FFFFFF"/>
        <w:spacing w:after="0"/>
        <w:ind w:left="709" w:right="709"/>
      </w:pPr>
      <w:r>
        <w:rPr>
          <w:rFonts w:ascii="Arial" w:eastAsia="Arial" w:hAnsi="Arial" w:cs="Arial"/>
          <w:sz w:val="21"/>
          <w:szCs w:val="21"/>
        </w:rPr>
        <w:t>La Rama Ejecutiva del Poder Público del orden nacional, está integrada por los siguientes organismos y entidades:</w:t>
      </w:r>
    </w:p>
    <w:p w14:paraId="0D370112" w14:textId="77777777" w:rsidR="00EC3CA7" w:rsidRPr="00236BEB" w:rsidRDefault="00EC3CA7" w:rsidP="00236BEB">
      <w:pPr>
        <w:shd w:val="clear" w:color="auto" w:fill="FFFFFF"/>
        <w:spacing w:after="0"/>
        <w:ind w:left="709" w:right="709"/>
      </w:pPr>
    </w:p>
    <w:p w14:paraId="1230CFAE" w14:textId="77777777" w:rsidR="00EC3CA7" w:rsidRPr="00236BEB" w:rsidRDefault="00AF30F5" w:rsidP="00236BEB">
      <w:pPr>
        <w:shd w:val="clear" w:color="auto" w:fill="FFFFFF"/>
        <w:spacing w:after="0"/>
        <w:ind w:left="709" w:right="709"/>
      </w:pPr>
      <w:r>
        <w:rPr>
          <w:rFonts w:ascii="Arial" w:eastAsia="Arial" w:hAnsi="Arial" w:cs="Arial"/>
          <w:sz w:val="21"/>
          <w:szCs w:val="21"/>
        </w:rPr>
        <w:t>1. Del Sector Central:</w:t>
      </w:r>
    </w:p>
    <w:p w14:paraId="759C0C44" w14:textId="77777777" w:rsidR="00EC3CA7" w:rsidRPr="00236BEB" w:rsidRDefault="00EC3CA7" w:rsidP="00236BEB">
      <w:pPr>
        <w:shd w:val="clear" w:color="auto" w:fill="FFFFFF"/>
        <w:spacing w:after="0"/>
        <w:ind w:left="709" w:right="709"/>
      </w:pPr>
    </w:p>
    <w:p w14:paraId="7E8F8688" w14:textId="77777777" w:rsidR="00EC3CA7" w:rsidRPr="00236BEB" w:rsidRDefault="00AF30F5" w:rsidP="00236BEB">
      <w:pPr>
        <w:shd w:val="clear" w:color="auto" w:fill="FFFFFF"/>
        <w:spacing w:after="0"/>
        <w:ind w:left="709" w:right="709"/>
      </w:pPr>
      <w:r>
        <w:rPr>
          <w:rFonts w:ascii="Arial" w:eastAsia="Arial" w:hAnsi="Arial" w:cs="Arial"/>
          <w:sz w:val="21"/>
          <w:szCs w:val="21"/>
        </w:rPr>
        <w:t>a) La Presidencia de la República;</w:t>
      </w:r>
    </w:p>
    <w:p w14:paraId="63291D18" w14:textId="77777777" w:rsidR="00EC3CA7" w:rsidRPr="00236BEB" w:rsidRDefault="00AF30F5" w:rsidP="00236BEB">
      <w:pPr>
        <w:shd w:val="clear" w:color="auto" w:fill="FFFFFF"/>
        <w:spacing w:after="0"/>
        <w:ind w:left="709" w:right="709"/>
      </w:pPr>
      <w:r>
        <w:rPr>
          <w:rFonts w:ascii="Arial" w:eastAsia="Arial" w:hAnsi="Arial" w:cs="Arial"/>
          <w:sz w:val="21"/>
          <w:szCs w:val="21"/>
        </w:rPr>
        <w:t>b) La Vicepresidencia de la República;</w:t>
      </w:r>
    </w:p>
    <w:p w14:paraId="3B4E0E24" w14:textId="77777777" w:rsidR="00EC3CA7" w:rsidRPr="00236BEB" w:rsidRDefault="00AF30F5" w:rsidP="00236BEB">
      <w:pPr>
        <w:shd w:val="clear" w:color="auto" w:fill="FFFFFF"/>
        <w:spacing w:after="0"/>
        <w:ind w:left="709" w:right="709"/>
      </w:pPr>
      <w:r>
        <w:rPr>
          <w:rFonts w:ascii="Arial" w:eastAsia="Arial" w:hAnsi="Arial" w:cs="Arial"/>
          <w:sz w:val="21"/>
          <w:szCs w:val="21"/>
        </w:rPr>
        <w:t xml:space="preserve">  </w:t>
      </w:r>
      <w:r>
        <w:rPr>
          <w:rFonts w:ascii="Arial" w:eastAsia="Arial" w:hAnsi="Arial" w:cs="Arial"/>
          <w:sz w:val="21"/>
          <w:szCs w:val="21"/>
        </w:rPr>
        <w:tab/>
        <w:t>c) Los Consejos Superiores de la administración;</w:t>
      </w:r>
    </w:p>
    <w:p w14:paraId="3C814E8C" w14:textId="77777777" w:rsidR="00EC3CA7" w:rsidRPr="00236BEB" w:rsidRDefault="00AF30F5" w:rsidP="00236BEB">
      <w:pPr>
        <w:shd w:val="clear" w:color="auto" w:fill="FFFFFF"/>
        <w:spacing w:after="0"/>
        <w:ind w:left="709" w:right="709"/>
      </w:pPr>
      <w:r>
        <w:rPr>
          <w:rFonts w:ascii="Arial" w:eastAsia="Arial" w:hAnsi="Arial" w:cs="Arial"/>
          <w:sz w:val="21"/>
          <w:szCs w:val="21"/>
        </w:rPr>
        <w:t>d) Los ministerios y departamentos administrativos;</w:t>
      </w:r>
    </w:p>
    <w:p w14:paraId="47AF3809" w14:textId="77777777" w:rsidR="00EC3CA7" w:rsidRPr="00236BEB" w:rsidRDefault="00AF30F5" w:rsidP="00236BEB">
      <w:pPr>
        <w:shd w:val="clear" w:color="auto" w:fill="FFFFFF"/>
        <w:spacing w:after="0"/>
        <w:ind w:left="709" w:right="709"/>
      </w:pPr>
      <w:r>
        <w:rPr>
          <w:rFonts w:ascii="Arial" w:eastAsia="Arial" w:hAnsi="Arial" w:cs="Arial"/>
          <w:sz w:val="21"/>
          <w:szCs w:val="21"/>
        </w:rPr>
        <w:t>e) Las superintendencias y unidades administrativas especiales sin personería jurídica;</w:t>
      </w:r>
    </w:p>
    <w:p w14:paraId="28058FAE" w14:textId="77777777" w:rsidR="00EC3CA7" w:rsidRPr="00236BEB" w:rsidRDefault="00EC3CA7" w:rsidP="00236BEB">
      <w:pPr>
        <w:shd w:val="clear" w:color="auto" w:fill="FFFFFF"/>
        <w:spacing w:after="0"/>
        <w:ind w:left="709" w:right="709"/>
      </w:pPr>
    </w:p>
    <w:p w14:paraId="7865DAF4" w14:textId="77777777" w:rsidR="00EC3CA7" w:rsidRPr="00236BEB" w:rsidRDefault="00AF30F5" w:rsidP="00236BEB">
      <w:pPr>
        <w:shd w:val="clear" w:color="auto" w:fill="FFFFFF"/>
        <w:spacing w:after="0"/>
        <w:ind w:left="709" w:right="709"/>
      </w:pPr>
      <w:r>
        <w:rPr>
          <w:rFonts w:ascii="Arial" w:eastAsia="Arial" w:hAnsi="Arial" w:cs="Arial"/>
          <w:sz w:val="21"/>
          <w:szCs w:val="21"/>
        </w:rPr>
        <w:t>2. Del Sector Descentralizado por Servicios:</w:t>
      </w:r>
    </w:p>
    <w:p w14:paraId="768DAD30" w14:textId="77777777" w:rsidR="00EC3CA7" w:rsidRPr="00236BEB" w:rsidRDefault="00EC3CA7" w:rsidP="00236BEB">
      <w:pPr>
        <w:shd w:val="clear" w:color="auto" w:fill="FFFFFF"/>
        <w:spacing w:after="0"/>
        <w:ind w:left="709" w:right="709"/>
      </w:pPr>
    </w:p>
    <w:p w14:paraId="3439EFAB" w14:textId="77777777" w:rsidR="00EC3CA7" w:rsidRPr="00236BEB" w:rsidRDefault="00AF30F5" w:rsidP="00236BEB">
      <w:pPr>
        <w:shd w:val="clear" w:color="auto" w:fill="FFFFFF"/>
        <w:spacing w:after="0"/>
        <w:ind w:left="709" w:right="709"/>
      </w:pPr>
      <w:r>
        <w:rPr>
          <w:rFonts w:ascii="Arial" w:eastAsia="Arial" w:hAnsi="Arial" w:cs="Arial"/>
          <w:sz w:val="21"/>
          <w:szCs w:val="21"/>
        </w:rPr>
        <w:t>a) Los establecimientos públicos;</w:t>
      </w:r>
    </w:p>
    <w:p w14:paraId="2DAC35E2" w14:textId="77777777" w:rsidR="00EC3CA7" w:rsidRPr="00236BEB" w:rsidRDefault="00AF30F5" w:rsidP="00236BEB">
      <w:pPr>
        <w:shd w:val="clear" w:color="auto" w:fill="FFFFFF"/>
        <w:spacing w:after="0"/>
        <w:ind w:left="709" w:right="709"/>
      </w:pPr>
      <w:r>
        <w:rPr>
          <w:rFonts w:ascii="Arial" w:eastAsia="Arial" w:hAnsi="Arial" w:cs="Arial"/>
          <w:sz w:val="21"/>
          <w:szCs w:val="21"/>
        </w:rPr>
        <w:t>b) Las empresas industriales y comerciales del Estado;</w:t>
      </w:r>
    </w:p>
    <w:p w14:paraId="429BF2DF" w14:textId="77777777" w:rsidR="00EC3CA7" w:rsidRPr="00236BEB" w:rsidRDefault="00AF30F5" w:rsidP="00236BEB">
      <w:pPr>
        <w:shd w:val="clear" w:color="auto" w:fill="FFFFFF"/>
        <w:spacing w:after="0"/>
        <w:ind w:left="709" w:right="709"/>
      </w:pPr>
      <w:r>
        <w:rPr>
          <w:rFonts w:ascii="Arial" w:eastAsia="Arial" w:hAnsi="Arial" w:cs="Arial"/>
          <w:sz w:val="21"/>
          <w:szCs w:val="21"/>
        </w:rPr>
        <w:t>c) Las superintendencias y unidades administrativas especiales con personería jurídica;</w:t>
      </w:r>
    </w:p>
    <w:p w14:paraId="73C131B2" w14:textId="77777777" w:rsidR="00EC3CA7" w:rsidRPr="00236BEB" w:rsidRDefault="00AF30F5" w:rsidP="00236BEB">
      <w:pPr>
        <w:shd w:val="clear" w:color="auto" w:fill="FFFFFF"/>
        <w:spacing w:after="0"/>
        <w:ind w:left="709" w:right="709"/>
      </w:pPr>
      <w:r>
        <w:rPr>
          <w:rFonts w:ascii="Arial" w:eastAsia="Arial" w:hAnsi="Arial" w:cs="Arial"/>
          <w:sz w:val="21"/>
          <w:szCs w:val="21"/>
        </w:rPr>
        <w:t>d) Las empresas sociales del Estado y las empresas oficiales de servicios públicos domiciliarios;</w:t>
      </w:r>
    </w:p>
    <w:p w14:paraId="559C6DF4" w14:textId="77777777" w:rsidR="00EC3CA7" w:rsidRPr="00236BEB" w:rsidRDefault="00AF30F5" w:rsidP="00236BEB">
      <w:pPr>
        <w:shd w:val="clear" w:color="auto" w:fill="FFFFFF"/>
        <w:spacing w:after="0"/>
        <w:ind w:left="709" w:right="709"/>
      </w:pPr>
      <w:r>
        <w:rPr>
          <w:rFonts w:ascii="Arial" w:eastAsia="Arial" w:hAnsi="Arial" w:cs="Arial"/>
          <w:sz w:val="21"/>
          <w:szCs w:val="21"/>
        </w:rPr>
        <w:t>e) Los institutos científicos y tecnológicos;</w:t>
      </w:r>
    </w:p>
    <w:p w14:paraId="6D32FFE1" w14:textId="77777777" w:rsidR="00EC3CA7" w:rsidRPr="00236BEB" w:rsidRDefault="00AF30F5" w:rsidP="00236BEB">
      <w:pPr>
        <w:shd w:val="clear" w:color="auto" w:fill="FFFFFF"/>
        <w:spacing w:after="0"/>
        <w:ind w:left="709" w:right="709"/>
      </w:pPr>
      <w:r>
        <w:rPr>
          <w:rFonts w:ascii="Arial" w:eastAsia="Arial" w:hAnsi="Arial" w:cs="Arial"/>
          <w:sz w:val="21"/>
          <w:szCs w:val="21"/>
        </w:rPr>
        <w:t>f) Las sociedades públicas y las sociedades de economía mixta;</w:t>
      </w:r>
    </w:p>
    <w:p w14:paraId="588F5D90" w14:textId="77777777" w:rsidR="00EC3CA7" w:rsidRPr="00236BEB" w:rsidRDefault="00AF30F5" w:rsidP="00236BEB">
      <w:pPr>
        <w:shd w:val="clear" w:color="auto" w:fill="FFFFFF"/>
        <w:spacing w:after="0"/>
        <w:ind w:left="709" w:right="709"/>
      </w:pPr>
      <w:r>
        <w:rPr>
          <w:rFonts w:ascii="Arial" w:eastAsia="Arial" w:hAnsi="Arial" w:cs="Arial"/>
          <w:sz w:val="21"/>
          <w:szCs w:val="21"/>
        </w:rPr>
        <w:t xml:space="preserve">g) Las demás entidades administrativas nacionales con personería jurídica que cree, organice o autorice la ley para que formen parte de la Rama Ejecutiva del Poder Público. </w:t>
      </w:r>
    </w:p>
    <w:p w14:paraId="0F053CD9" w14:textId="77777777" w:rsidR="00EC3CA7" w:rsidRDefault="00EC3CA7">
      <w:pPr>
        <w:shd w:val="clear" w:color="auto" w:fill="FFFFFF"/>
        <w:spacing w:after="0"/>
        <w:ind w:right="567"/>
        <w:rPr>
          <w:rFonts w:ascii="Arial" w:eastAsia="Arial" w:hAnsi="Arial" w:cs="Arial"/>
          <w:sz w:val="21"/>
          <w:szCs w:val="21"/>
        </w:rPr>
      </w:pPr>
    </w:p>
    <w:p w14:paraId="56FC1B03"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Según la norma transcrita, la organización de la Rama Ejecutiva del Poder Público, en su nivel nacional, cuenta con dos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Pr>
          <w:rFonts w:ascii="Arial" w:eastAsia="Arial" w:hAnsi="Arial" w:cs="Arial"/>
          <w:sz w:val="22"/>
          <w:szCs w:val="22"/>
          <w:vertAlign w:val="superscript"/>
        </w:rPr>
        <w:footnoteReference w:id="50"/>
      </w:r>
      <w:r>
        <w:rPr>
          <w:rFonts w:ascii="Arial" w:eastAsia="Arial" w:hAnsi="Arial" w:cs="Arial"/>
          <w:sz w:val="22"/>
          <w:szCs w:val="22"/>
        </w:rPr>
        <w:t>.</w:t>
      </w:r>
    </w:p>
    <w:p w14:paraId="20A51530" w14:textId="77777777" w:rsidR="00EC3CA7" w:rsidRDefault="00EC3CA7">
      <w:pPr>
        <w:shd w:val="clear" w:color="auto" w:fill="FFFFFF"/>
        <w:spacing w:after="0"/>
        <w:rPr>
          <w:rFonts w:ascii="Arial" w:eastAsia="Arial" w:hAnsi="Arial" w:cs="Arial"/>
          <w:sz w:val="22"/>
          <w:szCs w:val="22"/>
        </w:rPr>
      </w:pPr>
    </w:p>
    <w:p w14:paraId="782A96C5"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A este respecto debe recordarse que la descentralización, como forma de organización administrativa que implica el traslado de competencias a favor de autoridades o personas distintas a la Nación, y a la que hace referencia, entre otros, el artículo 1 de la Constitución arriba aludido, se manifiesta en tres formas o </w:t>
      </w:r>
      <w:r>
        <w:rPr>
          <w:rFonts w:ascii="Arial" w:eastAsia="Arial" w:hAnsi="Arial" w:cs="Arial"/>
          <w:sz w:val="22"/>
          <w:szCs w:val="22"/>
        </w:rPr>
        <w:lastRenderedPageBreak/>
        <w:t xml:space="preserve">modalidades, a saber: descentralización por territorio, por servicios y por colaboración. </w:t>
      </w:r>
    </w:p>
    <w:p w14:paraId="14E6F696" w14:textId="77777777" w:rsidR="00EC3CA7" w:rsidRDefault="00EC3CA7">
      <w:pPr>
        <w:shd w:val="clear" w:color="auto" w:fill="FFFFFF"/>
        <w:spacing w:after="0"/>
        <w:ind w:firstLine="708"/>
        <w:rPr>
          <w:rFonts w:ascii="Arial" w:eastAsia="Arial" w:hAnsi="Arial" w:cs="Arial"/>
          <w:sz w:val="22"/>
          <w:szCs w:val="22"/>
        </w:rPr>
      </w:pPr>
    </w:p>
    <w:p w14:paraId="7B8E8512"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259406AA" w14:textId="77777777" w:rsidR="00EC3CA7" w:rsidRDefault="00EC3CA7">
      <w:pPr>
        <w:shd w:val="clear" w:color="auto" w:fill="FFFFFF"/>
        <w:spacing w:after="0"/>
        <w:ind w:firstLine="708"/>
        <w:rPr>
          <w:rFonts w:ascii="Arial" w:eastAsia="Arial" w:hAnsi="Arial" w:cs="Arial"/>
          <w:sz w:val="22"/>
          <w:szCs w:val="22"/>
        </w:rPr>
      </w:pPr>
    </w:p>
    <w:p w14:paraId="3AD07CCD"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En ese sentido, y de acuerdo a lo ya dicho, en el nivel nacional de la Rama Ejecutiva existe la posibilidad de que existan entidades que pertenezcan o bien al sector central, precisamente, por no encontrarse descentralizadas y hacer parte, por ende, a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6B50A487" w14:textId="77777777" w:rsidR="00EC3CA7" w:rsidRDefault="00EC3CA7">
      <w:pPr>
        <w:shd w:val="clear" w:color="auto" w:fill="FFFFFF"/>
        <w:spacing w:after="0"/>
        <w:ind w:firstLine="708"/>
        <w:rPr>
          <w:rFonts w:ascii="Arial" w:eastAsia="Arial" w:hAnsi="Arial" w:cs="Arial"/>
          <w:sz w:val="22"/>
          <w:szCs w:val="22"/>
        </w:rPr>
      </w:pPr>
    </w:p>
    <w:p w14:paraId="0FC4CA01"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Se destaca, por ser pertinente de acuerdo a la consulta que ahora conoce la Agencia, que las empresas industriales y comerciales del Estado, así como las sociedades de economía mixta, hacen parte del sector descentralizado por servicios del orden nacional, tal y como claramente lo señalan los artículos 38 y 68 de la Ley 489 de 1998, arriba mencionados. </w:t>
      </w:r>
    </w:p>
    <w:p w14:paraId="0B863EB1" w14:textId="77777777" w:rsidR="00EC3CA7" w:rsidRDefault="00EC3CA7">
      <w:pPr>
        <w:shd w:val="clear" w:color="auto" w:fill="FFFFFF"/>
        <w:spacing w:after="0"/>
        <w:ind w:firstLine="708"/>
        <w:rPr>
          <w:rFonts w:ascii="Arial" w:eastAsia="Arial" w:hAnsi="Arial" w:cs="Arial"/>
          <w:sz w:val="22"/>
          <w:szCs w:val="22"/>
        </w:rPr>
      </w:pPr>
    </w:p>
    <w:p w14:paraId="381FB3DD" w14:textId="036D1A01"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Además, las normas reguladoras de su régimen se refieren expresamente a su personería jurídica como atributo que les es propio. Así, el artículo 85 de la Ley 489 define a las empresas industriales y comerciales del Estado como organismos creados por la ley o autorizados por esta, que desarrollen actividades de naturaleza industrial y de gestión económica conforme a las reglas de Derecho privado […]» y que cuenten con personería jurídica. </w:t>
      </w:r>
    </w:p>
    <w:p w14:paraId="3343FB87" w14:textId="77777777" w:rsidR="00EC3CA7" w:rsidRDefault="00EC3CA7">
      <w:pPr>
        <w:shd w:val="clear" w:color="auto" w:fill="FFFFFF"/>
        <w:spacing w:after="0"/>
        <w:ind w:firstLine="708"/>
        <w:rPr>
          <w:rFonts w:ascii="Arial" w:eastAsia="Arial" w:hAnsi="Arial" w:cs="Arial"/>
          <w:sz w:val="22"/>
          <w:szCs w:val="22"/>
        </w:rPr>
      </w:pPr>
    </w:p>
    <w:p w14:paraId="52154681"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Con respecto a las sociedades de economía mixta, como auténticas entidades descentralizadas, también cuentan con personería jurídica, así como, además, por virtud de la aplicación que sobre su actividad se hace del Derecho Privado</w:t>
      </w:r>
      <w:r>
        <w:rPr>
          <w:rFonts w:ascii="Arial" w:eastAsia="Arial" w:hAnsi="Arial" w:cs="Arial"/>
          <w:sz w:val="22"/>
          <w:szCs w:val="22"/>
          <w:vertAlign w:val="superscript"/>
        </w:rPr>
        <w:footnoteReference w:id="51"/>
      </w:r>
      <w:r>
        <w:rPr>
          <w:rFonts w:ascii="Arial" w:eastAsia="Arial" w:hAnsi="Arial" w:cs="Arial"/>
          <w:sz w:val="22"/>
          <w:szCs w:val="22"/>
        </w:rPr>
        <w:t xml:space="preserve">, es pertinente lo dispuesto por el inciso segundo del artículo 98 del Código </w:t>
      </w:r>
      <w:r>
        <w:rPr>
          <w:rFonts w:ascii="Arial" w:eastAsia="Arial" w:hAnsi="Arial" w:cs="Arial"/>
          <w:sz w:val="22"/>
          <w:szCs w:val="22"/>
        </w:rPr>
        <w:lastRenderedPageBreak/>
        <w:t xml:space="preserve">de Comercio al dictar que «la sociedad, una vez constituida legalmente, forma una persona jurídica distinta de los socios individualmente considerados». </w:t>
      </w:r>
    </w:p>
    <w:p w14:paraId="153EA240" w14:textId="77777777" w:rsidR="00EC3CA7" w:rsidRDefault="00EC3CA7">
      <w:pPr>
        <w:shd w:val="clear" w:color="auto" w:fill="FFFFFF"/>
        <w:spacing w:after="0"/>
        <w:rPr>
          <w:rFonts w:ascii="Arial" w:eastAsia="Arial" w:hAnsi="Arial" w:cs="Arial"/>
          <w:sz w:val="22"/>
          <w:szCs w:val="22"/>
        </w:rPr>
      </w:pPr>
    </w:p>
    <w:p w14:paraId="1EE32D7F"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0C55161D" w14:textId="77777777" w:rsidR="00EC3CA7" w:rsidRDefault="00EC3CA7">
      <w:pPr>
        <w:shd w:val="clear" w:color="auto" w:fill="FFFFFF"/>
        <w:spacing w:after="0"/>
        <w:ind w:firstLine="708"/>
        <w:rPr>
          <w:rFonts w:ascii="Arial" w:eastAsia="Arial" w:hAnsi="Arial" w:cs="Arial"/>
          <w:sz w:val="22"/>
          <w:szCs w:val="22"/>
        </w:rPr>
      </w:pPr>
    </w:p>
    <w:p w14:paraId="373E1A1F"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Sin embargo, dichas entidades descentralizadas directamente, por ser personas jurídicas, pueden, a su turno, participar con otras personas en la creación de nuevas entidades, correspondiendo estas, entonces, a las denominadas entidades descentralizadas indirectamente o de segundo grado</w:t>
      </w:r>
      <w:r>
        <w:rPr>
          <w:rFonts w:ascii="Arial" w:eastAsia="Arial" w:hAnsi="Arial" w:cs="Arial"/>
          <w:sz w:val="22"/>
          <w:szCs w:val="22"/>
          <w:vertAlign w:val="superscript"/>
        </w:rPr>
        <w:footnoteReference w:id="52"/>
      </w:r>
      <w:r>
        <w:rPr>
          <w:rFonts w:ascii="Arial" w:eastAsia="Arial" w:hAnsi="Arial" w:cs="Arial"/>
          <w:sz w:val="22"/>
          <w:szCs w:val="22"/>
        </w:rPr>
        <w:t>. En otras palabras, los entes descentralizados indirectamente son aquellos creados, no por la ley, sino a partir de «la voluntad asociativa de los entes públicos, en unión entre sí o con particulares»</w:t>
      </w:r>
      <w:r>
        <w:rPr>
          <w:rFonts w:ascii="Arial" w:eastAsia="Arial" w:hAnsi="Arial" w:cs="Arial"/>
          <w:sz w:val="22"/>
          <w:szCs w:val="22"/>
          <w:vertAlign w:val="superscript"/>
        </w:rPr>
        <w:footnoteReference w:id="53"/>
      </w:r>
      <w:r>
        <w:rPr>
          <w:rFonts w:ascii="Arial" w:eastAsia="Arial" w:hAnsi="Arial" w:cs="Arial"/>
          <w:sz w:val="22"/>
          <w:szCs w:val="22"/>
        </w:rPr>
        <w:t xml:space="preserve">. </w:t>
      </w:r>
    </w:p>
    <w:p w14:paraId="647CEAF4" w14:textId="77777777" w:rsidR="00EC3CA7" w:rsidRDefault="00EC3CA7">
      <w:pPr>
        <w:shd w:val="clear" w:color="auto" w:fill="FFFFFF"/>
        <w:spacing w:after="0"/>
        <w:ind w:firstLine="708"/>
        <w:rPr>
          <w:rFonts w:ascii="Arial" w:eastAsia="Arial" w:hAnsi="Arial" w:cs="Arial"/>
          <w:sz w:val="22"/>
          <w:szCs w:val="22"/>
        </w:rPr>
      </w:pPr>
    </w:p>
    <w:p w14:paraId="274E8EB9"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En ese orden de ideas, la descentralización indirecta puede tornar en distintas modalidades, según cal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Pr>
          <w:rFonts w:ascii="Arial" w:eastAsia="Arial" w:hAnsi="Arial" w:cs="Arial"/>
          <w:sz w:val="22"/>
          <w:szCs w:val="22"/>
          <w:vertAlign w:val="superscript"/>
        </w:rPr>
        <w:footnoteReference w:id="54"/>
      </w:r>
      <w:r>
        <w:rPr>
          <w:rFonts w:ascii="Arial" w:eastAsia="Arial" w:hAnsi="Arial" w:cs="Arial"/>
          <w:sz w:val="22"/>
          <w:szCs w:val="22"/>
        </w:rPr>
        <w:t xml:space="preserve"> </w:t>
      </w:r>
    </w:p>
    <w:p w14:paraId="0BC62142" w14:textId="77777777" w:rsidR="00EC3CA7" w:rsidRDefault="00EC3CA7">
      <w:pPr>
        <w:shd w:val="clear" w:color="auto" w:fill="FFFFFF"/>
        <w:spacing w:after="0"/>
        <w:ind w:firstLine="708"/>
        <w:rPr>
          <w:rFonts w:ascii="Arial" w:eastAsia="Arial" w:hAnsi="Arial" w:cs="Arial"/>
          <w:sz w:val="22"/>
          <w:szCs w:val="22"/>
        </w:rPr>
      </w:pPr>
    </w:p>
    <w:p w14:paraId="4AF6907B"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lastRenderedPageBreak/>
        <w:t xml:space="preserve">De conformidad con lo anterior, la Ley 489 de 1998 regula lo concerniente a tres tipos de entidades descentralizadas indirectamente en sus artículos 94, 95 y 96, referidos, respectivamente, a las asociaciones entre empresas industriales y comerciales del Estado, o entre estas y entidades territoriales o descentralizadas, a la conformación de personas jurídicas sin ánimo de lucro entre entidades estatales y a la constitución de asociaciones y fundaciones a través de los convenios de asociación suscritos entre entidades estatales y personas jurídicas particulares. </w:t>
      </w:r>
    </w:p>
    <w:p w14:paraId="70119EAA" w14:textId="77777777" w:rsidR="00EC3CA7" w:rsidRDefault="00EC3CA7">
      <w:pPr>
        <w:shd w:val="clear" w:color="auto" w:fill="FFFFFF"/>
        <w:spacing w:after="0"/>
        <w:ind w:firstLine="708"/>
        <w:rPr>
          <w:rFonts w:ascii="Arial" w:eastAsia="Arial" w:hAnsi="Arial" w:cs="Arial"/>
          <w:sz w:val="22"/>
          <w:szCs w:val="22"/>
        </w:rPr>
      </w:pPr>
    </w:p>
    <w:p w14:paraId="6F00D3BF" w14:textId="732423A4" w:rsidR="00EC3CA7" w:rsidRDefault="00AF30F5">
      <w:pPr>
        <w:spacing w:after="0"/>
        <w:ind w:firstLine="708"/>
        <w:rPr>
          <w:rFonts w:ascii="Arial" w:eastAsia="Arial" w:hAnsi="Arial" w:cs="Arial"/>
          <w:sz w:val="22"/>
          <w:szCs w:val="22"/>
        </w:rPr>
      </w:pPr>
      <w:r w:rsidRPr="00766F9F">
        <w:rPr>
          <w:rFonts w:ascii="Arial" w:eastAsia="Arial" w:hAnsi="Arial" w:cs="Arial"/>
          <w:sz w:val="22"/>
          <w:szCs w:val="22"/>
        </w:rPr>
        <w:t xml:space="preserve">Dicho lo anterior, es importante destacar, tal y como lo ha </w:t>
      </w:r>
      <w:r w:rsidR="00766F9F" w:rsidRPr="00766F9F">
        <w:rPr>
          <w:rFonts w:ascii="Arial" w:eastAsia="Arial" w:hAnsi="Arial" w:cs="Arial"/>
          <w:sz w:val="22"/>
          <w:szCs w:val="22"/>
        </w:rPr>
        <w:t>expresado</w:t>
      </w:r>
      <w:r w:rsidR="00766F9F">
        <w:rPr>
          <w:rFonts w:ascii="Arial" w:eastAsia="Arial" w:hAnsi="Arial" w:cs="Arial"/>
          <w:sz w:val="22"/>
          <w:szCs w:val="22"/>
        </w:rPr>
        <w:t xml:space="preserve"> </w:t>
      </w:r>
      <w:r>
        <w:rPr>
          <w:rFonts w:ascii="Arial" w:eastAsia="Arial" w:hAnsi="Arial" w:cs="Arial"/>
          <w:sz w:val="22"/>
          <w:szCs w:val="22"/>
        </w:rPr>
        <w:t xml:space="preserve">el Consejo de Estado, que las entidades descentralizadas indirectamente, son una especie del género que corresponde a las entidades descentralizadas, y </w:t>
      </w:r>
      <w:r>
        <w:rPr>
          <w:rFonts w:ascii="Arial" w:eastAsia="Arial" w:hAnsi="Arial" w:cs="Arial"/>
          <w:color w:val="333333"/>
          <w:sz w:val="22"/>
          <w:szCs w:val="22"/>
        </w:rPr>
        <w:t>«[…]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Pr>
          <w:rFonts w:ascii="Arial" w:eastAsia="Arial" w:hAnsi="Arial" w:cs="Arial"/>
          <w:color w:val="333333"/>
          <w:sz w:val="22"/>
          <w:szCs w:val="22"/>
          <w:vertAlign w:val="superscript"/>
        </w:rPr>
        <w:footnoteReference w:id="55"/>
      </w:r>
      <w:r>
        <w:rPr>
          <w:rFonts w:ascii="Arial" w:eastAsia="Arial" w:hAnsi="Arial" w:cs="Arial"/>
          <w:color w:val="333333"/>
          <w:sz w:val="22"/>
          <w:szCs w:val="22"/>
        </w:rPr>
        <w:t xml:space="preserve">. </w:t>
      </w:r>
    </w:p>
    <w:p w14:paraId="0DC8271F" w14:textId="77777777" w:rsidR="00EC3CA7" w:rsidRDefault="00EC3CA7">
      <w:pPr>
        <w:shd w:val="clear" w:color="auto" w:fill="FFFFFF"/>
        <w:spacing w:after="0"/>
        <w:rPr>
          <w:rFonts w:ascii="Arial" w:eastAsia="Arial" w:hAnsi="Arial" w:cs="Arial"/>
          <w:sz w:val="22"/>
          <w:szCs w:val="22"/>
        </w:rPr>
      </w:pPr>
    </w:p>
    <w:p w14:paraId="529196EB"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Ahora bien, la Ley 80 de 1993, Estatuto General de Contratación de Administración Pública -EGPC-,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EGCP se separan tales nociones y se admite la posibilidad de que entidades que no cuenten con personería jurídica, puedan, sin embargo, ostentar capacidad jurídica para celebrar contratos. </w:t>
      </w:r>
    </w:p>
    <w:p w14:paraId="36579A3A" w14:textId="77777777" w:rsidR="00EC3CA7" w:rsidRDefault="00EC3CA7">
      <w:pPr>
        <w:shd w:val="clear" w:color="auto" w:fill="FFFFFF"/>
        <w:spacing w:after="0"/>
        <w:rPr>
          <w:rFonts w:ascii="Arial" w:eastAsia="Arial" w:hAnsi="Arial" w:cs="Arial"/>
          <w:sz w:val="22"/>
          <w:szCs w:val="22"/>
        </w:rPr>
      </w:pPr>
    </w:p>
    <w:p w14:paraId="59C46947"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Así, el artículo 2 de la Ley 80 determinó que ciertas entidades que no tienen personalidad jurídica diferente a la Nación, como por ejemplo, los ministerios, departamentos administrativos, las superintendencias y las unidades administrativas especiales sin personería jurídica pueden celebrar contratos y, en su artículo 11, señaló que los funcionarios con competencia para hacerlo en la entidad respectiva son: los ministros, los directores de los departamentos administrativos, los superintendentes y los presidentes de las unidades administrativas especiales, respectivamente. </w:t>
      </w:r>
    </w:p>
    <w:p w14:paraId="5F07AA33" w14:textId="77777777" w:rsidR="00EC3CA7" w:rsidRDefault="00EC3CA7">
      <w:pPr>
        <w:shd w:val="clear" w:color="auto" w:fill="FFFFFF"/>
        <w:spacing w:after="0"/>
        <w:ind w:firstLine="708"/>
        <w:rPr>
          <w:rFonts w:ascii="Arial" w:eastAsia="Arial" w:hAnsi="Arial" w:cs="Arial"/>
          <w:sz w:val="22"/>
          <w:szCs w:val="22"/>
        </w:rPr>
      </w:pPr>
    </w:p>
    <w:p w14:paraId="44194576" w14:textId="77777777" w:rsidR="00EC3CA7" w:rsidRDefault="00AF30F5">
      <w:pPr>
        <w:shd w:val="clear" w:color="auto" w:fill="FFFFFF"/>
        <w:spacing w:after="0"/>
        <w:ind w:firstLine="708"/>
      </w:pPr>
      <w:bookmarkStart w:id="43" w:name="_2grqrue" w:colFirst="0" w:colLast="0"/>
      <w:bookmarkEnd w:id="43"/>
      <w:r>
        <w:rPr>
          <w:rFonts w:ascii="Arial" w:eastAsia="Arial" w:hAnsi="Arial" w:cs="Arial"/>
          <w:sz w:val="22"/>
          <w:szCs w:val="22"/>
        </w:rPr>
        <w:lastRenderedPageBreak/>
        <w:t>En este punto, como lo ha dicho la Corte Constitucional, «[e]s claro que si la Nación, los departamentos, municipios y distritos, son personas jurídicas, y las entidades estatales a que se refiere la ley 80, no lo son, por fuerza los contratos que estas últimas celebren corresponden a la Nación, a los departamentos o a los municipios»</w:t>
      </w:r>
      <w:r>
        <w:rPr>
          <w:rFonts w:ascii="Arial" w:eastAsia="Arial" w:hAnsi="Arial" w:cs="Arial"/>
          <w:sz w:val="22"/>
          <w:szCs w:val="22"/>
          <w:vertAlign w:val="superscript"/>
        </w:rPr>
        <w:footnoteReference w:id="56"/>
      </w:r>
      <w:r>
        <w:rPr>
          <w:rFonts w:ascii="Arial" w:eastAsia="Arial" w:hAnsi="Arial" w:cs="Arial"/>
          <w:sz w:val="22"/>
          <w:szCs w:val="22"/>
        </w:rPr>
        <w:t>, lo que implica que la «actuación del funcionario competente, a nombre de la correspondiente entidad estatal, vincula a la Nación, al departamento o al municipio como persona jurídica»</w:t>
      </w:r>
      <w:r>
        <w:rPr>
          <w:rFonts w:ascii="Arial" w:eastAsia="Arial" w:hAnsi="Arial" w:cs="Arial"/>
          <w:sz w:val="22"/>
          <w:szCs w:val="22"/>
          <w:vertAlign w:val="superscript"/>
        </w:rPr>
        <w:footnoteReference w:id="57"/>
      </w:r>
      <w:r>
        <w:rPr>
          <w:rFonts w:ascii="Arial" w:eastAsia="Arial" w:hAnsi="Arial" w:cs="Arial"/>
          <w:sz w:val="22"/>
          <w:szCs w:val="22"/>
        </w:rPr>
        <w:t xml:space="preserve">, respectivamente.  </w:t>
      </w:r>
    </w:p>
    <w:p w14:paraId="188A9F07" w14:textId="77777777" w:rsidR="00EC3CA7" w:rsidRDefault="00EC3CA7">
      <w:pPr>
        <w:shd w:val="clear" w:color="auto" w:fill="FFFFFF"/>
        <w:spacing w:after="0"/>
        <w:ind w:firstLine="708"/>
        <w:rPr>
          <w:rFonts w:ascii="Arial" w:eastAsia="Arial" w:hAnsi="Arial" w:cs="Arial"/>
          <w:sz w:val="22"/>
          <w:szCs w:val="22"/>
        </w:rPr>
      </w:pPr>
    </w:p>
    <w:p w14:paraId="19039D3F"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3AB43B3A" w14:textId="77777777" w:rsidR="00EC3CA7" w:rsidRDefault="00EC3CA7">
      <w:pPr>
        <w:shd w:val="clear" w:color="auto" w:fill="FFFFFF"/>
        <w:spacing w:after="0"/>
        <w:ind w:firstLine="708"/>
        <w:rPr>
          <w:rFonts w:ascii="Arial" w:eastAsia="Arial" w:hAnsi="Arial" w:cs="Arial"/>
          <w:sz w:val="22"/>
          <w:szCs w:val="22"/>
        </w:rPr>
      </w:pPr>
    </w:p>
    <w:p w14:paraId="2F50E288"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Pr>
          <w:rFonts w:ascii="Arial" w:eastAsia="Arial" w:hAnsi="Arial" w:cs="Arial"/>
          <w:sz w:val="22"/>
          <w:szCs w:val="22"/>
          <w:vertAlign w:val="superscript"/>
        </w:rPr>
        <w:footnoteReference w:id="58"/>
      </w:r>
      <w:r>
        <w:rPr>
          <w:rFonts w:ascii="Arial" w:eastAsia="Arial" w:hAnsi="Arial" w:cs="Arial"/>
          <w:sz w:val="22"/>
          <w:szCs w:val="22"/>
        </w:rPr>
        <w:t>, los cuales también hacen parte de la Nación y cuentan con capacidad jurídica para contratar, según las normas del EGCP,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4D0F59AA" w14:textId="77777777" w:rsidR="00EC3CA7" w:rsidRDefault="00EC3CA7">
      <w:pPr>
        <w:shd w:val="clear" w:color="auto" w:fill="FFFFFF"/>
        <w:spacing w:after="0"/>
        <w:ind w:firstLine="708"/>
        <w:rPr>
          <w:rFonts w:ascii="Arial" w:eastAsia="Arial" w:hAnsi="Arial" w:cs="Arial"/>
          <w:sz w:val="22"/>
          <w:szCs w:val="22"/>
        </w:rPr>
      </w:pPr>
    </w:p>
    <w:p w14:paraId="60EFBBED" w14:textId="0B8B5AD4"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Con fundamento en todo lo dicho, la Agencia considera que la expresión «Nación», utilizada por la Ley 2159 de 2021, hace referencia a las entidades públicas del sector central de la rama ejecutiva y de las demás ramas del poder público, así </w:t>
      </w:r>
      <w:r>
        <w:rPr>
          <w:rFonts w:ascii="Arial" w:eastAsia="Arial" w:hAnsi="Arial" w:cs="Arial"/>
          <w:sz w:val="22"/>
          <w:szCs w:val="22"/>
        </w:rPr>
        <w:lastRenderedPageBreak/>
        <w:t>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680965E3" w14:textId="77777777" w:rsidR="00EC3CA7" w:rsidRDefault="00EC3CA7">
      <w:pPr>
        <w:shd w:val="clear" w:color="auto" w:fill="FFFFFF"/>
        <w:spacing w:after="0"/>
        <w:rPr>
          <w:rFonts w:ascii="Arial" w:eastAsia="Arial" w:hAnsi="Arial" w:cs="Arial"/>
          <w:sz w:val="22"/>
          <w:szCs w:val="22"/>
        </w:rPr>
      </w:pPr>
    </w:p>
    <w:p w14:paraId="4B9699CB" w14:textId="7C282EE9" w:rsidR="00EC3CA7" w:rsidRDefault="00AF30F5">
      <w:pPr>
        <w:shd w:val="clear" w:color="auto" w:fill="FFFFFF"/>
        <w:spacing w:after="0"/>
        <w:rPr>
          <w:rFonts w:ascii="Arial" w:eastAsia="Arial" w:hAnsi="Arial" w:cs="Arial"/>
          <w:b/>
          <w:sz w:val="22"/>
          <w:szCs w:val="22"/>
        </w:rPr>
      </w:pPr>
      <w:r>
        <w:rPr>
          <w:rFonts w:ascii="Arial" w:eastAsia="Arial" w:hAnsi="Arial" w:cs="Arial"/>
          <w:b/>
          <w:sz w:val="22"/>
          <w:szCs w:val="22"/>
        </w:rPr>
        <w:t>2.5.1.3. Aspecto teleológico</w:t>
      </w:r>
    </w:p>
    <w:p w14:paraId="6B96E2E6" w14:textId="77777777" w:rsidR="00EC3CA7" w:rsidRDefault="00EC3CA7">
      <w:pPr>
        <w:shd w:val="clear" w:color="auto" w:fill="FFFFFF"/>
        <w:spacing w:after="0"/>
        <w:rPr>
          <w:rFonts w:ascii="Arial" w:eastAsia="Arial" w:hAnsi="Arial" w:cs="Arial"/>
          <w:sz w:val="22"/>
          <w:szCs w:val="22"/>
        </w:rPr>
      </w:pPr>
    </w:p>
    <w:p w14:paraId="168B8FD0" w14:textId="77777777" w:rsidR="00EC3CA7" w:rsidRDefault="00AF30F5">
      <w:pPr>
        <w:shd w:val="clear" w:color="auto" w:fill="FFFFFF"/>
        <w:spacing w:after="0"/>
        <w:rPr>
          <w:rFonts w:ascii="Arial" w:eastAsia="Arial" w:hAnsi="Arial" w:cs="Arial"/>
          <w:sz w:val="22"/>
          <w:szCs w:val="22"/>
        </w:rPr>
      </w:pPr>
      <w:r>
        <w:rPr>
          <w:rFonts w:ascii="Arial" w:eastAsia="Arial" w:hAnsi="Arial" w:cs="Arial"/>
          <w:sz w:val="22"/>
          <w:szCs w:val="22"/>
        </w:rPr>
        <w:t>En lo que respecta al elemento teleológico o material de la reforma incluida en el artículo 124 de la Ley 2159 de 2021, consistente en que los convenios sean celebrados con el fin de ejecutar programas o proyectos que correspondan al Presupuesto General de la Nación, esta Agencia estima, partiendo de las consideraciones contenidas en el acápite 2.5. del presente concepto y dados en relación con la estructura y contenido de la ley anual del presupuesto general de la Nación,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0318D497" w14:textId="77777777" w:rsidR="00EC3CA7" w:rsidRDefault="00EC3CA7">
      <w:pPr>
        <w:shd w:val="clear" w:color="auto" w:fill="FFFFFF"/>
        <w:spacing w:after="0"/>
        <w:rPr>
          <w:rFonts w:ascii="Arial" w:eastAsia="Arial" w:hAnsi="Arial" w:cs="Arial"/>
          <w:b/>
          <w:sz w:val="22"/>
          <w:szCs w:val="22"/>
        </w:rPr>
      </w:pPr>
    </w:p>
    <w:p w14:paraId="6AA056E8" w14:textId="77777777" w:rsidR="00EC3CA7" w:rsidRDefault="00AF30F5">
      <w:pPr>
        <w:shd w:val="clear" w:color="auto" w:fill="FFFFFF"/>
        <w:spacing w:after="0"/>
        <w:ind w:firstLine="708"/>
        <w:rPr>
          <w:rFonts w:ascii="Arial" w:eastAsia="Arial" w:hAnsi="Arial" w:cs="Arial"/>
          <w:sz w:val="22"/>
          <w:szCs w:val="22"/>
        </w:rPr>
      </w:pPr>
      <w:bookmarkStart w:id="44" w:name="_vx1227" w:colFirst="0" w:colLast="0"/>
      <w:bookmarkEnd w:id="44"/>
      <w:r>
        <w:rPr>
          <w:rFonts w:ascii="Arial" w:eastAsia="Arial" w:hAnsi="Arial" w:cs="Arial"/>
          <w:sz w:val="22"/>
          <w:szCs w:val="22"/>
        </w:rPr>
        <w:t xml:space="preserve">Como corolario de todo lo anterior, se concluye que la Ley 2159 de 2021 -Ley del Presupuesto- modificó parcial y transitoriamente el parágrafo del artículo 38 de la Ley 996 de 2005, en aspectos temporales, subjetivos, materiales o teleológicos y procedimentales o de control; en particular, suspende la prohibición de celebración de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2432E903" w14:textId="77777777" w:rsidR="00EC3CA7" w:rsidRDefault="00EC3CA7">
      <w:pPr>
        <w:shd w:val="clear" w:color="auto" w:fill="FFFFFF"/>
        <w:spacing w:after="0"/>
        <w:ind w:firstLine="708"/>
        <w:rPr>
          <w:rFonts w:ascii="Arial" w:eastAsia="Arial" w:hAnsi="Arial" w:cs="Arial"/>
          <w:sz w:val="22"/>
          <w:szCs w:val="22"/>
        </w:rPr>
      </w:pPr>
    </w:p>
    <w:p w14:paraId="5021E3B1" w14:textId="0CF9576E"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Es de anotar, por ser relevante para la consulta que se resuelve, que la modificación de la ley del Presupuesto opera, únicamente, frente al parágrafo del artículo 38, y no en relación con las prohibiciones del artículo 33 que, como se dijo, resultan ser distintas, aunque concurrentes, a las del parágrafo, por lo cual, las restricciones a la contratación directa dentro del período preelectoral presidencial y </w:t>
      </w:r>
      <w:r>
        <w:rPr>
          <w:rFonts w:ascii="Arial" w:eastAsia="Arial" w:hAnsi="Arial" w:cs="Arial"/>
          <w:sz w:val="22"/>
          <w:szCs w:val="22"/>
        </w:rPr>
        <w:lastRenderedPageBreak/>
        <w:t>vicepresidencial se mantienen invariables a partir de la publicación de la Ley del Presupuesto.</w:t>
      </w:r>
    </w:p>
    <w:p w14:paraId="3F28E1B4" w14:textId="77777777" w:rsidR="00EC3CA7" w:rsidRDefault="00EC3CA7">
      <w:pPr>
        <w:shd w:val="clear" w:color="auto" w:fill="FFFFFF"/>
        <w:spacing w:after="0"/>
        <w:rPr>
          <w:rFonts w:ascii="Arial" w:eastAsia="Arial" w:hAnsi="Arial" w:cs="Arial"/>
          <w:sz w:val="22"/>
          <w:szCs w:val="22"/>
        </w:rPr>
      </w:pPr>
    </w:p>
    <w:p w14:paraId="1E679F84"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En efecto, la Agencia advierte que para el año 2022 están programadas las elecciones para elegir miembros del Congreso de la República, así como las jornadas para la elección del Presidente y Vicepresidente de la República. Las primeras para el domingo 13 de marzo de 2022</w:t>
      </w:r>
      <w:r>
        <w:rPr>
          <w:rFonts w:ascii="Arial" w:eastAsia="Arial" w:hAnsi="Arial" w:cs="Arial"/>
          <w:sz w:val="22"/>
          <w:szCs w:val="22"/>
          <w:vertAlign w:val="superscript"/>
        </w:rPr>
        <w:footnoteReference w:id="59"/>
      </w:r>
      <w:r>
        <w:rPr>
          <w:rFonts w:ascii="Arial" w:eastAsia="Arial" w:hAnsi="Arial" w:cs="Arial"/>
          <w:sz w:val="22"/>
          <w:szCs w:val="22"/>
        </w:rPr>
        <w:t xml:space="preserve"> y las segundas para el 29 de mayo del mismo año</w:t>
      </w:r>
      <w:r>
        <w:rPr>
          <w:rFonts w:ascii="Arial" w:eastAsia="Arial" w:hAnsi="Arial" w:cs="Arial"/>
          <w:sz w:val="22"/>
          <w:szCs w:val="22"/>
          <w:vertAlign w:val="superscript"/>
        </w:rPr>
        <w:footnoteReference w:id="60"/>
      </w:r>
      <w:r>
        <w:rPr>
          <w:rFonts w:ascii="Arial" w:eastAsia="Arial" w:hAnsi="Arial" w:cs="Arial"/>
          <w:sz w:val="22"/>
          <w:szCs w:val="22"/>
        </w:rPr>
        <w:t xml:space="preserve">, respectivamente, de manera que resulta palmario que el periodo preelectoral de restricción de cuatro meses anteriores a la correspondiente elección de que tratan los artículos 33 y 38 de la Ley 996, coincidirán parcialmente. En este sentido, las prohibiciones para la contratación directa y para la celebración de convenios y contratos interadministrativos concurren durante la coincidencia de periodos preelectorales. </w:t>
      </w:r>
    </w:p>
    <w:p w14:paraId="085F5EBA" w14:textId="77777777" w:rsidR="00EC3CA7" w:rsidRDefault="00EC3CA7">
      <w:pPr>
        <w:shd w:val="clear" w:color="auto" w:fill="FFFFFF"/>
        <w:spacing w:after="0"/>
        <w:ind w:firstLine="708"/>
        <w:rPr>
          <w:rFonts w:ascii="Arial" w:eastAsia="Arial" w:hAnsi="Arial" w:cs="Arial"/>
          <w:sz w:val="22"/>
          <w:szCs w:val="22"/>
        </w:rPr>
      </w:pPr>
    </w:p>
    <w:p w14:paraId="4DC1BBE5" w14:textId="77777777"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Así, durante el periodo preelectoral de elección al Congreso de la República aplicará, únicamente, la prohibición del parágrafo 38, sin embargo, una vez inicie el periodo preelectoral para la elección de Presidente y Vicepresidente, deberán ser aplicadas ambas restricciones, es decir, la del parágrafo del artículo 38 y la del artículo 33 de la Ley de Garantías. En este punto, atendiendo a la modificación parcial del parágrafo del artículo 38 realizada por la Ley del Presupuesto, cabría preguntarse como se aplicarían las mentadas prohibiciones. </w:t>
      </w:r>
    </w:p>
    <w:p w14:paraId="1C520E1F" w14:textId="77777777" w:rsidR="00EC3CA7" w:rsidRDefault="00EC3CA7">
      <w:pPr>
        <w:shd w:val="clear" w:color="auto" w:fill="FFFFFF"/>
        <w:spacing w:after="0"/>
        <w:ind w:firstLine="708"/>
        <w:rPr>
          <w:rFonts w:ascii="Arial" w:eastAsia="Arial" w:hAnsi="Arial" w:cs="Arial"/>
          <w:sz w:val="22"/>
          <w:szCs w:val="22"/>
        </w:rPr>
      </w:pPr>
    </w:p>
    <w:p w14:paraId="12F46B25" w14:textId="7A4FBE39"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En opinión de esta Agencia, con el fin de armonizar los textos de los artículos comentados, luego de la modificación realizada por la Ley del Presupuesto, en el evento mencionado en el párrafo anterior se podrán celebrar convenios y contratos interadministrativos, de acuerdo con el parágrafo del artículo 38, siempre y cuando estos se lleven a cabo a través de modalidades de selección que impliquen convocatoria pública y, además, por virtud del artículo 124 de la Ley del Presupuesto cuando dichos contratos y convenios sean suscritos entre entidades del orden nacional y territorial. No sucederá lo mismo cuando sean celebrados entre entidades </w:t>
      </w:r>
      <w:r>
        <w:rPr>
          <w:rFonts w:ascii="Arial" w:eastAsia="Arial" w:hAnsi="Arial" w:cs="Arial"/>
          <w:sz w:val="22"/>
          <w:szCs w:val="22"/>
        </w:rPr>
        <w:lastRenderedPageBreak/>
        <w:t xml:space="preserve">del orden territorial, en cuyo caso aplicará la prohibición plena sin la modificación en mención. Esto por cuanto, se insiste, la prohibición del artículo 33 de la Ley de Garantías permanece incólume ante la expedición de la Ley del Presupuesto. </w:t>
      </w:r>
    </w:p>
    <w:p w14:paraId="45BF208A" w14:textId="77777777" w:rsidR="00EC3CA7" w:rsidRDefault="00EC3CA7">
      <w:pPr>
        <w:shd w:val="clear" w:color="auto" w:fill="FFFFFF"/>
        <w:spacing w:after="0"/>
        <w:ind w:firstLine="708"/>
        <w:rPr>
          <w:rFonts w:ascii="Arial" w:eastAsia="Arial" w:hAnsi="Arial" w:cs="Arial"/>
          <w:sz w:val="22"/>
          <w:szCs w:val="22"/>
        </w:rPr>
      </w:pPr>
    </w:p>
    <w:p w14:paraId="50502D84" w14:textId="60418F56"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Por ende, cuando empiece el periodo preelectoral de las elecciones presidenciales, se deberá dar aplicación a la prohibición para la contratación directa contenida en el artículo 33 de la Ley de Garantías, así como a la prohibición del parágrafo del artículo 38 que, como se dijo, resulta aplicable a todo tipo de elección popular. </w:t>
      </w:r>
    </w:p>
    <w:p w14:paraId="2EEF038F" w14:textId="77777777" w:rsidR="00EC3CA7" w:rsidRDefault="00EC3CA7">
      <w:pPr>
        <w:shd w:val="clear" w:color="auto" w:fill="FFFFFF"/>
        <w:spacing w:after="0"/>
        <w:ind w:firstLine="708"/>
        <w:rPr>
          <w:rFonts w:ascii="Arial" w:eastAsia="Arial" w:hAnsi="Arial" w:cs="Arial"/>
          <w:sz w:val="22"/>
          <w:szCs w:val="22"/>
        </w:rPr>
      </w:pPr>
    </w:p>
    <w:p w14:paraId="2268604A" w14:textId="4E24AF2E" w:rsidR="00EC3CA7" w:rsidRDefault="00AF30F5">
      <w:pPr>
        <w:shd w:val="clear" w:color="auto" w:fill="FFFFFF"/>
        <w:spacing w:after="0"/>
        <w:ind w:firstLine="708"/>
        <w:rPr>
          <w:rFonts w:ascii="Arial" w:eastAsia="Arial" w:hAnsi="Arial" w:cs="Arial"/>
          <w:sz w:val="22"/>
          <w:szCs w:val="22"/>
        </w:rPr>
      </w:pPr>
      <w:r>
        <w:rPr>
          <w:rFonts w:ascii="Arial" w:eastAsia="Arial" w:hAnsi="Arial" w:cs="Arial"/>
          <w:sz w:val="22"/>
          <w:szCs w:val="22"/>
        </w:rPr>
        <w:t xml:space="preserve">En tal sentido, dentro de los cuatro meses anteriores a las elecciones de presidente y vicepresidente de la república no se podrán celebrar convenios y contratos interadministrativos a través de contratación directa, y solo podrán ser suscritos a través de mecanismos de selección que impliquen convocatoria pública y, además, siempre que se cumplan con los requisitos establecidos en el artículo 124 de la Ley 2159 de 2021. </w:t>
      </w:r>
    </w:p>
    <w:p w14:paraId="1942BA79" w14:textId="77777777" w:rsidR="00EC3CA7" w:rsidRDefault="00EC3CA7">
      <w:pPr>
        <w:shd w:val="clear" w:color="auto" w:fill="FFFFFF"/>
        <w:spacing w:after="0"/>
        <w:rPr>
          <w:rFonts w:ascii="Arial" w:eastAsia="Arial" w:hAnsi="Arial" w:cs="Arial"/>
          <w:sz w:val="22"/>
          <w:szCs w:val="22"/>
        </w:rPr>
      </w:pPr>
    </w:p>
    <w:p w14:paraId="2FF8614A" w14:textId="706168DA" w:rsidR="00EC3CA7" w:rsidRPr="00236BEB" w:rsidRDefault="00AF30F5" w:rsidP="00236BEB">
      <w:pPr>
        <w:shd w:val="clear" w:color="auto" w:fill="FFFFFF"/>
        <w:spacing w:after="0"/>
      </w:pPr>
      <w:r>
        <w:rPr>
          <w:rFonts w:ascii="Arial" w:eastAsia="Arial" w:hAnsi="Arial" w:cs="Arial"/>
          <w:b/>
          <w:sz w:val="22"/>
          <w:szCs w:val="22"/>
        </w:rPr>
        <w:t>3. Consideración transitoria</w:t>
      </w:r>
    </w:p>
    <w:p w14:paraId="66B92999" w14:textId="77777777" w:rsidR="00EC3CA7" w:rsidRDefault="00AF30F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Sin perjuicio de todo lo dicho, debe tenerse en cuenta que en el fallo de tutela proferido dentro del proceso nro. 2021-000324 por parte del Juzgado Tercero Administrativo de Bogotá, se decidió, entre otras cosas:</w:t>
      </w:r>
    </w:p>
    <w:p w14:paraId="687DCAFD" w14:textId="77777777" w:rsidR="00EC3CA7" w:rsidRDefault="00AF30F5">
      <w:pPr>
        <w:pBdr>
          <w:top w:val="nil"/>
          <w:left w:val="nil"/>
          <w:bottom w:val="nil"/>
          <w:right w:val="nil"/>
          <w:between w:val="nil"/>
        </w:pBdr>
        <w:spacing w:after="0"/>
        <w:ind w:left="709" w:right="567"/>
        <w:rPr>
          <w:rFonts w:ascii="Arial" w:eastAsia="Arial" w:hAnsi="Arial" w:cs="Arial"/>
          <w:color w:val="000000"/>
          <w:sz w:val="21"/>
          <w:szCs w:val="21"/>
        </w:rPr>
      </w:pPr>
      <w:r>
        <w:rPr>
          <w:rFonts w:ascii="Arial" w:eastAsia="Arial" w:hAnsi="Arial" w:cs="Arial"/>
          <w:color w:val="000000"/>
          <w:sz w:val="21"/>
          <w:szCs w:val="21"/>
        </w:rPr>
        <w:t xml:space="preserve">«ORDENAR al presidente de la república y a los representantes legales de las entidades del orden nacional y del sector descentralizado territorialmente, </w:t>
      </w:r>
    </w:p>
    <w:p w14:paraId="3CE14824" w14:textId="77777777" w:rsidR="00EC3CA7" w:rsidRDefault="00AF30F5">
      <w:pPr>
        <w:spacing w:after="0"/>
        <w:ind w:left="709" w:right="567"/>
        <w:rPr>
          <w:rFonts w:ascii="Arial" w:eastAsia="Arial" w:hAnsi="Arial" w:cs="Arial"/>
          <w:sz w:val="21"/>
          <w:szCs w:val="21"/>
        </w:rPr>
      </w:pPr>
      <w:r>
        <w:rPr>
          <w:rFonts w:ascii="Arial" w:eastAsia="Arial" w:hAnsi="Arial" w:cs="Arial"/>
          <w:sz w:val="21"/>
          <w:szCs w:val="21"/>
        </w:rPr>
        <w:t xml:space="preserve">abstenerse de dar aplicación a la modificación realizada al parágrafo 38 de la Ley 996 de 2005. </w:t>
      </w:r>
    </w:p>
    <w:p w14:paraId="29996D10" w14:textId="77777777" w:rsidR="00EC3CA7" w:rsidRDefault="00EC3CA7">
      <w:pPr>
        <w:spacing w:after="0"/>
        <w:ind w:left="709" w:right="567"/>
        <w:rPr>
          <w:rFonts w:ascii="Arial" w:eastAsia="Arial" w:hAnsi="Arial" w:cs="Arial"/>
          <w:sz w:val="21"/>
          <w:szCs w:val="21"/>
        </w:rPr>
      </w:pPr>
    </w:p>
    <w:p w14:paraId="7DF9CC6F" w14:textId="77777777" w:rsidR="00EC3CA7" w:rsidRDefault="00AF30F5">
      <w:pPr>
        <w:spacing w:after="0"/>
        <w:ind w:left="709" w:right="567"/>
        <w:rPr>
          <w:rFonts w:ascii="Arial" w:eastAsia="Arial" w:hAnsi="Arial" w:cs="Arial"/>
          <w:sz w:val="21"/>
          <w:szCs w:val="21"/>
        </w:rPr>
      </w:pPr>
      <w:r>
        <w:rPr>
          <w:rFonts w:ascii="Arial" w:eastAsia="Arial" w:hAnsi="Arial" w:cs="Arial"/>
          <w:sz w:val="21"/>
          <w:szCs w:val="21"/>
        </w:rPr>
        <w:t xml:space="preserve">La restricción enunciada tiene como efectos garantizar los derechos al debido proceso, igualdad e imparcialidad en el proceso electoral. </w:t>
      </w:r>
    </w:p>
    <w:p w14:paraId="7324C56B" w14:textId="77777777" w:rsidR="00EC3CA7" w:rsidRDefault="00EC3CA7">
      <w:pPr>
        <w:spacing w:after="0"/>
        <w:ind w:left="709" w:right="567"/>
        <w:rPr>
          <w:rFonts w:ascii="Arial" w:eastAsia="Arial" w:hAnsi="Arial" w:cs="Arial"/>
          <w:sz w:val="21"/>
          <w:szCs w:val="21"/>
        </w:rPr>
      </w:pPr>
    </w:p>
    <w:p w14:paraId="64B686E4" w14:textId="77777777" w:rsidR="00EC3CA7" w:rsidRDefault="00AF30F5">
      <w:pPr>
        <w:spacing w:after="0"/>
        <w:ind w:left="709" w:right="567"/>
        <w:rPr>
          <w:rFonts w:ascii="Arial" w:eastAsia="Arial" w:hAnsi="Arial" w:cs="Arial"/>
          <w:sz w:val="21"/>
          <w:szCs w:val="21"/>
        </w:rPr>
      </w:pPr>
      <w:r>
        <w:rPr>
          <w:rFonts w:ascii="Arial" w:eastAsia="Arial" w:hAnsi="Arial" w:cs="Arial"/>
          <w:sz w:val="21"/>
          <w:szCs w:val="21"/>
        </w:rPr>
        <w:t xml:space="preserve">La presente restricción solo estará́ vigente hasta que la Corte Constitucional conozca de la demanda de acción pública de inconstitucionalidad que adelantará el señor Miguel Ángel Bravo Gutiérrez o, que, en el ejercicio de ese derecho, radique cualquier ciudadano en los términos que establece el artículo 241 de la Constitución. </w:t>
      </w:r>
    </w:p>
    <w:p w14:paraId="4961BDC2" w14:textId="77777777" w:rsidR="00EC3CA7" w:rsidRDefault="00EC3CA7">
      <w:pPr>
        <w:spacing w:after="0"/>
        <w:ind w:left="709" w:right="567"/>
        <w:rPr>
          <w:rFonts w:ascii="Arial" w:eastAsia="Arial" w:hAnsi="Arial" w:cs="Arial"/>
          <w:sz w:val="21"/>
          <w:szCs w:val="21"/>
        </w:rPr>
      </w:pPr>
    </w:p>
    <w:p w14:paraId="45B988A7" w14:textId="77777777" w:rsidR="00EC3CA7" w:rsidRDefault="00AF30F5">
      <w:pPr>
        <w:spacing w:after="0"/>
        <w:ind w:left="709" w:right="567"/>
        <w:rPr>
          <w:rFonts w:ascii="Arial" w:eastAsia="Arial" w:hAnsi="Arial" w:cs="Arial"/>
          <w:sz w:val="21"/>
          <w:szCs w:val="21"/>
        </w:rPr>
      </w:pPr>
      <w:r>
        <w:rPr>
          <w:rFonts w:ascii="Arial" w:eastAsia="Arial" w:hAnsi="Arial" w:cs="Arial"/>
          <w:sz w:val="21"/>
          <w:szCs w:val="21"/>
        </w:rPr>
        <w:lastRenderedPageBreak/>
        <w:t xml:space="preserve">En esa medida el amparo transitorio objeto de esta providencia y la restricción enunciada para la celebración de los convenios interadministrativos, la ejecución de recursos públicos, la no participación, promoción y destinación de recursos públicos de las entidades a su cargo, en la forma que lo establece el parágrafo 38 de la Ley 996 de 2005, estará́ vigente por el término improrrogable de treinta (30) días hábiles siguientes a la publicación de la ley, dentro de los cuales no se computará el periodo que comprende la vacancia judicial45. </w:t>
      </w:r>
    </w:p>
    <w:p w14:paraId="79BC4BF3" w14:textId="77777777" w:rsidR="00EC3CA7" w:rsidRDefault="00EC3CA7">
      <w:pPr>
        <w:spacing w:after="0"/>
        <w:ind w:left="709" w:right="567"/>
        <w:rPr>
          <w:rFonts w:ascii="Arial" w:eastAsia="Arial" w:hAnsi="Arial" w:cs="Arial"/>
          <w:sz w:val="21"/>
          <w:szCs w:val="21"/>
        </w:rPr>
      </w:pPr>
    </w:p>
    <w:p w14:paraId="47BAAEF3" w14:textId="77777777" w:rsidR="00EC3CA7" w:rsidRDefault="00AF30F5">
      <w:pPr>
        <w:spacing w:after="0"/>
        <w:ind w:left="709" w:right="567"/>
        <w:rPr>
          <w:rFonts w:ascii="Arial" w:eastAsia="Arial" w:hAnsi="Arial" w:cs="Arial"/>
          <w:sz w:val="21"/>
          <w:szCs w:val="21"/>
        </w:rPr>
      </w:pPr>
      <w:r>
        <w:rPr>
          <w:rFonts w:ascii="Arial" w:eastAsia="Arial" w:hAnsi="Arial" w:cs="Arial"/>
          <w:sz w:val="21"/>
          <w:szCs w:val="21"/>
        </w:rPr>
        <w:t xml:space="preserve">El término referido tiene como única finalidad que la Corte Constitucional conozca y se pronuncie conforme a sus competencias y facultades relativas a la guarda de la integridad y supremacía de la Constitución, conforme a lo precisado en la parte motiva de esta providencia. </w:t>
      </w:r>
    </w:p>
    <w:p w14:paraId="5FD67BEA" w14:textId="77777777" w:rsidR="00EC3CA7" w:rsidRDefault="00EC3CA7">
      <w:pPr>
        <w:spacing w:after="0"/>
        <w:ind w:left="709" w:right="567"/>
        <w:rPr>
          <w:rFonts w:ascii="Arial" w:eastAsia="Arial" w:hAnsi="Arial" w:cs="Arial"/>
          <w:sz w:val="21"/>
          <w:szCs w:val="21"/>
        </w:rPr>
      </w:pPr>
    </w:p>
    <w:p w14:paraId="425C9F77" w14:textId="77777777" w:rsidR="00EC3CA7" w:rsidRDefault="00AF30F5">
      <w:pPr>
        <w:spacing w:after="0"/>
        <w:ind w:left="709" w:right="567"/>
        <w:rPr>
          <w:rFonts w:ascii="Arial" w:eastAsia="Arial" w:hAnsi="Arial" w:cs="Arial"/>
          <w:sz w:val="21"/>
          <w:szCs w:val="21"/>
        </w:rPr>
      </w:pPr>
      <w:r>
        <w:rPr>
          <w:rFonts w:ascii="Arial" w:eastAsia="Arial" w:hAnsi="Arial" w:cs="Arial"/>
          <w:sz w:val="21"/>
          <w:szCs w:val="21"/>
        </w:rPr>
        <w:t xml:space="preserve">Superado el término de los treinta (30) días hábiles, que se computarán en la forma anunciada, si no se acude a la acción pública de inconstitucionalidad por el accionante o por otros ciudadanos, o si la Corte Constitucional no asume conocimiento del estudio del proyecto de ley, en las hipótesis referidas el amparo transitorio perderá́ efectos de manera inmediata. </w:t>
      </w:r>
    </w:p>
    <w:p w14:paraId="765E81CD" w14:textId="77777777" w:rsidR="00EC3CA7" w:rsidRDefault="00EC3CA7">
      <w:pPr>
        <w:spacing w:after="0"/>
        <w:ind w:left="709" w:right="567"/>
        <w:rPr>
          <w:rFonts w:ascii="Arial" w:eastAsia="Arial" w:hAnsi="Arial" w:cs="Arial"/>
          <w:sz w:val="21"/>
          <w:szCs w:val="21"/>
        </w:rPr>
      </w:pPr>
    </w:p>
    <w:p w14:paraId="22A6930E" w14:textId="77777777" w:rsidR="00EC3CA7" w:rsidRDefault="00AF30F5">
      <w:pPr>
        <w:spacing w:after="0"/>
        <w:ind w:left="709" w:right="567"/>
        <w:rPr>
          <w:rFonts w:ascii="Arial" w:eastAsia="Arial" w:hAnsi="Arial" w:cs="Arial"/>
          <w:sz w:val="21"/>
          <w:szCs w:val="21"/>
        </w:rPr>
      </w:pPr>
      <w:r>
        <w:rPr>
          <w:rFonts w:ascii="Arial" w:eastAsia="Arial" w:hAnsi="Arial" w:cs="Arial"/>
          <w:sz w:val="21"/>
          <w:szCs w:val="21"/>
        </w:rPr>
        <w:t>La medida de amparo comprende única y exclusivamente al artículo 125 del trámite legislativo del proyecto de la ley 096 de 2021 Senado y 158 de 2021 Cámara, relativo a la modificación del parágrafo del artículo 38 de la Ley Estatutaria 996 de 2005»</w:t>
      </w:r>
      <w:r>
        <w:rPr>
          <w:rFonts w:ascii="Arial" w:eastAsia="Arial" w:hAnsi="Arial" w:cs="Arial"/>
          <w:sz w:val="21"/>
          <w:szCs w:val="21"/>
          <w:vertAlign w:val="superscript"/>
        </w:rPr>
        <w:footnoteReference w:id="61"/>
      </w:r>
      <w:r>
        <w:rPr>
          <w:rFonts w:ascii="Arial" w:eastAsia="Arial" w:hAnsi="Arial" w:cs="Arial"/>
          <w:sz w:val="21"/>
          <w:szCs w:val="21"/>
        </w:rPr>
        <w:t xml:space="preserve">. </w:t>
      </w:r>
    </w:p>
    <w:p w14:paraId="6B64440B" w14:textId="77777777" w:rsidR="00EC3CA7" w:rsidRDefault="00EC3CA7">
      <w:pPr>
        <w:shd w:val="clear" w:color="auto" w:fill="FFFFFF"/>
        <w:spacing w:after="0"/>
        <w:rPr>
          <w:rFonts w:ascii="Arial" w:eastAsia="Arial" w:hAnsi="Arial" w:cs="Arial"/>
          <w:sz w:val="22"/>
          <w:szCs w:val="22"/>
        </w:rPr>
      </w:pPr>
    </w:p>
    <w:p w14:paraId="00935089" w14:textId="77777777" w:rsidR="00EC3CA7" w:rsidRDefault="00AF30F5">
      <w:pPr>
        <w:pBdr>
          <w:top w:val="nil"/>
          <w:left w:val="nil"/>
          <w:bottom w:val="nil"/>
          <w:right w:val="nil"/>
          <w:between w:val="nil"/>
        </w:pBdr>
        <w:spacing w:after="0"/>
        <w:ind w:firstLine="709"/>
        <w:rPr>
          <w:rFonts w:ascii="Arial" w:eastAsia="Arial" w:hAnsi="Arial" w:cs="Arial"/>
          <w:color w:val="000000"/>
          <w:sz w:val="22"/>
          <w:szCs w:val="22"/>
        </w:rPr>
      </w:pPr>
      <w:r>
        <w:rPr>
          <w:rFonts w:ascii="Arial" w:eastAsia="Arial" w:hAnsi="Arial" w:cs="Arial"/>
          <w:color w:val="000000"/>
          <w:sz w:val="22"/>
          <w:szCs w:val="22"/>
        </w:rPr>
        <w:t>Sin embargo</w:t>
      </w:r>
      <w:r w:rsidRPr="00236BEB">
        <w:rPr>
          <w:rFonts w:ascii="Arial" w:eastAsia="Arial" w:hAnsi="Arial" w:cs="Arial"/>
          <w:color w:val="000000"/>
          <w:sz w:val="22"/>
          <w:szCs w:val="22"/>
        </w:rPr>
        <w:t>, posteriormente, el Tribunal Administrativo de Cundinamarca, mediante providencia del 29 de noviembre de 2021, decretó la nulidad de todo lo actuado en el trámite de la acción de tutela mencionada. En consecuencia, ordenó la vinculación del señor Presidente de la República y dio traslado del expediente al Consejo de Estado, por ser el órgano judicial competente, conforme al artículo 1 del Decreto 333 de 2021.</w:t>
      </w:r>
      <w:r>
        <w:rPr>
          <w:rFonts w:ascii="Arial" w:eastAsia="Arial" w:hAnsi="Arial" w:cs="Arial"/>
          <w:color w:val="000000"/>
          <w:sz w:val="22"/>
          <w:szCs w:val="22"/>
        </w:rPr>
        <w:t xml:space="preserve"> </w:t>
      </w:r>
    </w:p>
    <w:p w14:paraId="2E855909" w14:textId="77777777" w:rsidR="00EC3CA7" w:rsidRPr="00236BEB" w:rsidRDefault="00EC3CA7" w:rsidP="00236BEB">
      <w:pPr>
        <w:spacing w:after="0"/>
        <w:ind w:firstLine="709"/>
      </w:pPr>
    </w:p>
    <w:p w14:paraId="328BA097" w14:textId="72FF75B6" w:rsidR="00EC3CA7" w:rsidRDefault="00AF30F5">
      <w:pPr>
        <w:spacing w:after="0"/>
        <w:rPr>
          <w:rFonts w:ascii="Arial" w:eastAsia="Arial" w:hAnsi="Arial" w:cs="Arial"/>
          <w:b/>
          <w:sz w:val="22"/>
          <w:szCs w:val="22"/>
        </w:rPr>
      </w:pPr>
      <w:bookmarkStart w:id="45" w:name="_3fwokq0" w:colFirst="0" w:colLast="0"/>
      <w:bookmarkEnd w:id="45"/>
      <w:r>
        <w:rPr>
          <w:rFonts w:ascii="Arial" w:eastAsia="Arial" w:hAnsi="Arial" w:cs="Arial"/>
          <w:b/>
          <w:sz w:val="22"/>
          <w:szCs w:val="22"/>
        </w:rPr>
        <w:t>3. Respuesta</w:t>
      </w:r>
    </w:p>
    <w:p w14:paraId="319C9ED1" w14:textId="77777777" w:rsidR="00EC3CA7" w:rsidRPr="00236BEB" w:rsidRDefault="00EC3CA7" w:rsidP="00236BEB">
      <w:pPr>
        <w:spacing w:after="0"/>
      </w:pPr>
    </w:p>
    <w:p w14:paraId="60858939" w14:textId="6B25AEA1" w:rsidR="00EC3CA7" w:rsidRPr="00236BEB" w:rsidRDefault="00AF30F5" w:rsidP="00236BEB">
      <w:pPr>
        <w:spacing w:after="0" w:line="240" w:lineRule="auto"/>
        <w:ind w:left="709" w:right="709"/>
        <w:rPr>
          <w:sz w:val="21"/>
          <w:szCs w:val="21"/>
        </w:rPr>
      </w:pPr>
      <w:r w:rsidRPr="00236BEB">
        <w:rPr>
          <w:rFonts w:ascii="Arial" w:eastAsia="Arial" w:hAnsi="Arial" w:cs="Arial"/>
          <w:sz w:val="21"/>
          <w:szCs w:val="21"/>
          <w:highlight w:val="white"/>
        </w:rPr>
        <w:lastRenderedPageBreak/>
        <w:t xml:space="preserve">«¿A partir del 29 de enero de 2022 se aplica la totalidad de las restricciones del </w:t>
      </w:r>
      <w:r>
        <w:rPr>
          <w:rFonts w:ascii="Arial" w:eastAsia="Arial" w:hAnsi="Arial" w:cs="Arial"/>
          <w:sz w:val="21"/>
          <w:szCs w:val="21"/>
          <w:highlight w:val="white"/>
        </w:rPr>
        <w:t>artículo</w:t>
      </w:r>
      <w:r w:rsidRPr="00236BEB">
        <w:rPr>
          <w:rFonts w:ascii="Arial" w:eastAsia="Arial" w:hAnsi="Arial" w:cs="Arial"/>
          <w:sz w:val="21"/>
          <w:szCs w:val="21"/>
          <w:highlight w:val="white"/>
        </w:rPr>
        <w:t xml:space="preserve"> 33 de la Ley 996 de 2005 en materia de contratación directa por todos los entes del Estado (incluidos los convenios interadministrativos) </w:t>
      </w:r>
      <w:r w:rsidRPr="00236BEB">
        <w:rPr>
          <w:rFonts w:ascii="Arial" w:eastAsia="Arial" w:hAnsi="Arial" w:cs="Arial"/>
          <w:b/>
          <w:sz w:val="21"/>
          <w:szCs w:val="21"/>
          <w:highlight w:val="white"/>
        </w:rPr>
        <w:t>o, por el contrario</w:t>
      </w:r>
      <w:r w:rsidRPr="00236BEB">
        <w:rPr>
          <w:rFonts w:ascii="Arial" w:eastAsia="Arial" w:hAnsi="Arial" w:cs="Arial"/>
          <w:sz w:val="21"/>
          <w:szCs w:val="21"/>
          <w:highlight w:val="white"/>
        </w:rPr>
        <w:t>, se exceptúan de dicha restricción los convenios interadministrativos dada la aprobación por parte del Congreso del artículo 125 del “Presupuesto General de Rentas y Recursos de Capital y la Ley de Apropiaciones para la vigencia fiscal del 1 de enero al 31 de diciembre de 2021” mediante Gaceta 1496» (Énfasis dentro del texto).</w:t>
      </w:r>
      <w:bookmarkStart w:id="46" w:name="_1v1yuxt" w:colFirst="0" w:colLast="0"/>
      <w:bookmarkEnd w:id="46"/>
    </w:p>
    <w:p w14:paraId="7DEE2C9D" w14:textId="77777777" w:rsidR="00EC3CA7" w:rsidRPr="00236BEB" w:rsidRDefault="00EC3CA7" w:rsidP="00236BEB">
      <w:pPr>
        <w:spacing w:after="0"/>
        <w:ind w:left="709" w:right="709"/>
        <w:rPr>
          <w:rFonts w:ascii="Arial" w:eastAsia="Arial" w:hAnsi="Arial" w:cs="Arial"/>
          <w:sz w:val="22"/>
          <w:szCs w:val="22"/>
        </w:rPr>
      </w:pPr>
    </w:p>
    <w:p w14:paraId="35328C3B" w14:textId="77777777" w:rsidR="00EC3CA7" w:rsidRDefault="00AF30F5">
      <w:pPr>
        <w:spacing w:after="120"/>
        <w:rPr>
          <w:rFonts w:ascii="Arial" w:eastAsia="Arial" w:hAnsi="Arial" w:cs="Arial"/>
          <w:sz w:val="22"/>
          <w:szCs w:val="22"/>
        </w:rPr>
      </w:pPr>
      <w:r>
        <w:rPr>
          <w:rFonts w:ascii="Arial" w:eastAsia="Arial" w:hAnsi="Arial" w:cs="Arial"/>
          <w:sz w:val="22"/>
          <w:szCs w:val="22"/>
        </w:rPr>
        <w:t xml:space="preserve">De acuerdo con la explicación precedente, cuando empiece el periodo preelectoral de las elecciones para Presidente y Vicepresidente de la República, aplicará la prohibición de contratación directa contenida en el artículo 33 de la Ley de Garantías, así como a la prohibición del parágrafo del artículo 38 </w:t>
      </w:r>
      <w:r>
        <w:rPr>
          <w:rFonts w:ascii="Arial" w:eastAsia="Arial" w:hAnsi="Arial" w:cs="Arial"/>
          <w:i/>
          <w:sz w:val="22"/>
          <w:szCs w:val="22"/>
        </w:rPr>
        <w:t>ibidem</w:t>
      </w:r>
      <w:r>
        <w:rPr>
          <w:rFonts w:ascii="Arial" w:eastAsia="Arial" w:hAnsi="Arial" w:cs="Arial"/>
          <w:sz w:val="22"/>
          <w:szCs w:val="22"/>
        </w:rPr>
        <w:t xml:space="preserve"> que, como se explicó, rige en todo tipo de elección popular. </w:t>
      </w:r>
    </w:p>
    <w:p w14:paraId="6F3A7D63" w14:textId="77777777" w:rsidR="00EC3CA7" w:rsidRDefault="00AF30F5">
      <w:pPr>
        <w:spacing w:after="120"/>
        <w:ind w:firstLine="709"/>
        <w:rPr>
          <w:rFonts w:ascii="Times New Roman" w:eastAsia="Times New Roman" w:hAnsi="Times New Roman" w:cs="Times New Roman"/>
        </w:rPr>
      </w:pPr>
      <w:r>
        <w:rPr>
          <w:rFonts w:ascii="Arial" w:eastAsia="Arial" w:hAnsi="Arial" w:cs="Arial"/>
          <w:sz w:val="22"/>
          <w:szCs w:val="22"/>
        </w:rPr>
        <w:t xml:space="preserve">En consecuencia, dentro de los cuatro meses anteriores a tales elecciones, las entidades destinatarias de las normas mencionadas, no podrán celebrar convenios y contratos interadministrativos a través de contratación directa, por lo que solo podrán suscribirse a través de mecanismos de selección que impliquen convocatoria pública y pluralidad de oferentes, siempre que se cumplan con los requisitos del artículo 124 de la Ley 2159 de 2021. </w:t>
      </w:r>
    </w:p>
    <w:p w14:paraId="31E92385" w14:textId="77777777" w:rsidR="00EC3CA7" w:rsidRDefault="00EC3CA7">
      <w:pPr>
        <w:spacing w:after="0"/>
        <w:ind w:firstLine="708"/>
        <w:rPr>
          <w:rFonts w:ascii="Times New Roman" w:eastAsia="Times New Roman" w:hAnsi="Times New Roman" w:cs="Times New Roman"/>
        </w:rPr>
      </w:pPr>
    </w:p>
    <w:p w14:paraId="5804762A" w14:textId="77777777" w:rsidR="00EC3CA7" w:rsidRPr="00236BEB" w:rsidRDefault="00AF30F5" w:rsidP="00236BEB">
      <w:pPr>
        <w:spacing w:after="0"/>
      </w:pPr>
      <w:r>
        <w:rPr>
          <w:rFonts w:ascii="Arial" w:eastAsia="Arial" w:hAnsi="Arial" w:cs="Arial"/>
          <w:sz w:val="22"/>
          <w:szCs w:val="22"/>
        </w:rPr>
        <w:t>Este concepto tiene el alcance previsto en el artículo 28 del Código de Procedimiento Administrativo y de lo Contencioso Administrativo.</w:t>
      </w:r>
    </w:p>
    <w:p w14:paraId="3E3602B9" w14:textId="5D617E3D" w:rsidR="00EC3CA7" w:rsidRDefault="00AF30F5">
      <w:pPr>
        <w:spacing w:after="120"/>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039BE313" wp14:editId="0E630C13">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434340</wp:posOffset>
                </wp:positionH>
                <wp:positionV relativeFrom="paragraph">
                  <wp:posOffset>10160</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686300" cy="9526"/>
                        </a:xfrm>
                        <a:prstGeom prst="rect"/>
                        <a:ln/>
                      </pic:spPr>
                    </pic:pic>
                  </a:graphicData>
                </a:graphic>
              </wp:anchor>
            </w:drawing>
          </mc:Fallback>
        </mc:AlternateContent>
      </w:r>
    </w:p>
    <w:p w14:paraId="39134867" w14:textId="77777777" w:rsidR="00EC3CA7" w:rsidRDefault="00AF30F5">
      <w:pPr>
        <w:rPr>
          <w:rFonts w:ascii="Arial" w:eastAsia="Arial" w:hAnsi="Arial" w:cs="Arial"/>
          <w:sz w:val="22"/>
          <w:szCs w:val="22"/>
        </w:rPr>
      </w:pPr>
      <w:r>
        <w:rPr>
          <w:rFonts w:ascii="Arial" w:eastAsia="Arial" w:hAnsi="Arial" w:cs="Arial"/>
          <w:sz w:val="22"/>
          <w:szCs w:val="22"/>
        </w:rPr>
        <w:t>Atentamente,</w:t>
      </w:r>
    </w:p>
    <w:p w14:paraId="33CD5F0D" w14:textId="1DC90FAE" w:rsidR="00EC3CA7" w:rsidRDefault="008D45C8">
      <w:pPr>
        <w:jc w:val="center"/>
        <w:rPr>
          <w:rFonts w:ascii="Arial" w:eastAsia="Arial" w:hAnsi="Arial" w:cs="Arial"/>
          <w:color w:val="000000"/>
          <w:sz w:val="18"/>
          <w:szCs w:val="18"/>
        </w:rPr>
      </w:pPr>
      <w:r>
        <w:rPr>
          <w:rFonts w:ascii="Arial" w:hAnsi="Arial" w:cs="Arial"/>
          <w:noProof/>
          <w:lang w:val="en-US"/>
        </w:rPr>
        <w:drawing>
          <wp:inline distT="0" distB="0" distL="0" distR="0" wp14:anchorId="456B3797" wp14:editId="3D406A3B">
            <wp:extent cx="2273831" cy="1024890"/>
            <wp:effectExtent l="0" t="0" r="0" b="381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EC3CA7" w14:paraId="4232E4EA" w14:textId="77777777">
        <w:trPr>
          <w:trHeight w:val="315"/>
        </w:trPr>
        <w:tc>
          <w:tcPr>
            <w:tcW w:w="812" w:type="dxa"/>
            <w:vAlign w:val="center"/>
          </w:tcPr>
          <w:p w14:paraId="68C44213" w14:textId="77777777" w:rsidR="00EC3CA7" w:rsidRPr="008D45C8" w:rsidRDefault="00AF30F5" w:rsidP="008D45C8">
            <w:pPr>
              <w:pStyle w:val="Sinespaciado"/>
              <w:rPr>
                <w:rFonts w:ascii="Arial" w:hAnsi="Arial" w:cs="Arial"/>
                <w:sz w:val="16"/>
                <w:szCs w:val="16"/>
              </w:rPr>
            </w:pPr>
            <w:r w:rsidRPr="008D45C8">
              <w:rPr>
                <w:rFonts w:ascii="Arial" w:hAnsi="Arial" w:cs="Arial"/>
                <w:sz w:val="16"/>
                <w:szCs w:val="16"/>
              </w:rPr>
              <w:t>Elaboró:</w:t>
            </w:r>
          </w:p>
        </w:tc>
        <w:tc>
          <w:tcPr>
            <w:tcW w:w="4413" w:type="dxa"/>
            <w:tcBorders>
              <w:top w:val="nil"/>
              <w:left w:val="nil"/>
              <w:bottom w:val="dotted" w:sz="4" w:space="0" w:color="7F7F7F"/>
              <w:right w:val="nil"/>
            </w:tcBorders>
            <w:vAlign w:val="center"/>
          </w:tcPr>
          <w:p w14:paraId="4C27B043" w14:textId="77777777" w:rsidR="00EC3CA7" w:rsidRPr="008D45C8" w:rsidRDefault="00AF30F5" w:rsidP="008D45C8">
            <w:pPr>
              <w:pStyle w:val="Sinespaciado"/>
              <w:rPr>
                <w:rFonts w:ascii="Arial" w:hAnsi="Arial" w:cs="Arial"/>
                <w:sz w:val="16"/>
                <w:szCs w:val="16"/>
              </w:rPr>
            </w:pPr>
            <w:r w:rsidRPr="008D45C8">
              <w:rPr>
                <w:rFonts w:ascii="Arial" w:hAnsi="Arial" w:cs="Arial"/>
                <w:sz w:val="16"/>
                <w:szCs w:val="16"/>
              </w:rPr>
              <w:t>Álvaro Namén Vargas</w:t>
            </w:r>
          </w:p>
          <w:p w14:paraId="29A1E09E" w14:textId="77777777" w:rsidR="00EC3CA7" w:rsidRPr="008D45C8" w:rsidRDefault="00AF30F5" w:rsidP="008D45C8">
            <w:pPr>
              <w:pStyle w:val="Sinespaciado"/>
              <w:rPr>
                <w:rFonts w:ascii="Arial" w:hAnsi="Arial" w:cs="Arial"/>
                <w:sz w:val="16"/>
                <w:szCs w:val="16"/>
              </w:rPr>
            </w:pPr>
            <w:r w:rsidRPr="008D45C8">
              <w:rPr>
                <w:rFonts w:ascii="Arial" w:hAnsi="Arial" w:cs="Arial"/>
                <w:sz w:val="16"/>
                <w:szCs w:val="16"/>
              </w:rPr>
              <w:t>Contratista de la Subdirección de Gestión Contractual</w:t>
            </w:r>
          </w:p>
        </w:tc>
      </w:tr>
      <w:tr w:rsidR="00EC3CA7" w14:paraId="17928E10" w14:textId="77777777">
        <w:trPr>
          <w:trHeight w:val="330"/>
        </w:trPr>
        <w:tc>
          <w:tcPr>
            <w:tcW w:w="812" w:type="dxa"/>
            <w:vAlign w:val="center"/>
          </w:tcPr>
          <w:p w14:paraId="3584C4D8" w14:textId="77777777" w:rsidR="00EC3CA7" w:rsidRPr="008D45C8" w:rsidRDefault="00AF30F5" w:rsidP="008D45C8">
            <w:pPr>
              <w:pStyle w:val="Sinespaciado"/>
              <w:rPr>
                <w:rFonts w:ascii="Arial" w:hAnsi="Arial" w:cs="Arial"/>
                <w:sz w:val="16"/>
                <w:szCs w:val="16"/>
              </w:rPr>
            </w:pPr>
            <w:r w:rsidRPr="008D45C8">
              <w:rPr>
                <w:rFonts w:ascii="Arial" w:hAnsi="Arial" w:cs="Arial"/>
                <w:sz w:val="16"/>
                <w:szCs w:val="16"/>
              </w:rPr>
              <w:t>Revisó:</w:t>
            </w:r>
          </w:p>
        </w:tc>
        <w:tc>
          <w:tcPr>
            <w:tcW w:w="4413" w:type="dxa"/>
            <w:tcBorders>
              <w:top w:val="dotted" w:sz="4" w:space="0" w:color="7F7F7F"/>
              <w:left w:val="nil"/>
              <w:bottom w:val="dotted" w:sz="4" w:space="0" w:color="7F7F7F"/>
              <w:right w:val="nil"/>
            </w:tcBorders>
            <w:vAlign w:val="center"/>
          </w:tcPr>
          <w:p w14:paraId="41805228" w14:textId="77777777" w:rsidR="00EC3CA7" w:rsidRPr="008D45C8" w:rsidRDefault="00AF30F5" w:rsidP="008D45C8">
            <w:pPr>
              <w:pStyle w:val="Sinespaciado"/>
              <w:rPr>
                <w:rFonts w:ascii="Arial" w:hAnsi="Arial" w:cs="Arial"/>
                <w:sz w:val="16"/>
                <w:szCs w:val="16"/>
              </w:rPr>
            </w:pPr>
            <w:r w:rsidRPr="008D45C8">
              <w:rPr>
                <w:rFonts w:ascii="Arial" w:hAnsi="Arial" w:cs="Arial"/>
                <w:sz w:val="16"/>
                <w:szCs w:val="16"/>
              </w:rPr>
              <w:t>Juan David Montoya Penagos</w:t>
            </w:r>
          </w:p>
          <w:p w14:paraId="72DCB181" w14:textId="77777777" w:rsidR="00EC3CA7" w:rsidRPr="008D45C8" w:rsidRDefault="00AF30F5" w:rsidP="008D45C8">
            <w:pPr>
              <w:pStyle w:val="Sinespaciado"/>
              <w:rPr>
                <w:rFonts w:ascii="Arial" w:hAnsi="Arial" w:cs="Arial"/>
                <w:sz w:val="16"/>
                <w:szCs w:val="16"/>
              </w:rPr>
            </w:pPr>
            <w:r w:rsidRPr="008D45C8">
              <w:rPr>
                <w:rFonts w:ascii="Arial" w:hAnsi="Arial" w:cs="Arial"/>
                <w:sz w:val="16"/>
                <w:szCs w:val="16"/>
              </w:rPr>
              <w:t>Gestor T1-15 de la Subdirección de Gestión Contractual</w:t>
            </w:r>
          </w:p>
        </w:tc>
      </w:tr>
      <w:tr w:rsidR="00EC3CA7" w14:paraId="572495CC" w14:textId="77777777">
        <w:trPr>
          <w:trHeight w:val="300"/>
        </w:trPr>
        <w:tc>
          <w:tcPr>
            <w:tcW w:w="812" w:type="dxa"/>
            <w:vAlign w:val="center"/>
          </w:tcPr>
          <w:p w14:paraId="6C60BA60" w14:textId="77777777" w:rsidR="00EC3CA7" w:rsidRPr="008D45C8" w:rsidRDefault="00AF30F5" w:rsidP="008D45C8">
            <w:pPr>
              <w:pStyle w:val="Sinespaciado"/>
              <w:rPr>
                <w:rFonts w:ascii="Arial" w:hAnsi="Arial" w:cs="Arial"/>
                <w:sz w:val="16"/>
                <w:szCs w:val="16"/>
              </w:rPr>
            </w:pPr>
            <w:r w:rsidRPr="008D45C8">
              <w:rPr>
                <w:rFonts w:ascii="Arial" w:hAnsi="Arial" w:cs="Arial"/>
                <w:sz w:val="16"/>
                <w:szCs w:val="16"/>
              </w:rPr>
              <w:lastRenderedPageBreak/>
              <w:t>Aprobó:</w:t>
            </w:r>
          </w:p>
        </w:tc>
        <w:tc>
          <w:tcPr>
            <w:tcW w:w="4413" w:type="dxa"/>
            <w:tcBorders>
              <w:top w:val="dotted" w:sz="4" w:space="0" w:color="7F7F7F"/>
              <w:left w:val="nil"/>
              <w:bottom w:val="dotted" w:sz="4" w:space="0" w:color="7F7F7F"/>
              <w:right w:val="nil"/>
            </w:tcBorders>
            <w:vAlign w:val="center"/>
          </w:tcPr>
          <w:p w14:paraId="55DAE86A" w14:textId="77777777" w:rsidR="00EC3CA7" w:rsidRPr="008D45C8" w:rsidRDefault="00AF30F5" w:rsidP="008D45C8">
            <w:pPr>
              <w:pStyle w:val="Sinespaciado"/>
              <w:rPr>
                <w:rFonts w:ascii="Arial" w:hAnsi="Arial" w:cs="Arial"/>
                <w:sz w:val="16"/>
                <w:szCs w:val="16"/>
              </w:rPr>
            </w:pPr>
            <w:r w:rsidRPr="008D45C8">
              <w:rPr>
                <w:rFonts w:ascii="Arial" w:hAnsi="Arial" w:cs="Arial"/>
                <w:sz w:val="16"/>
                <w:szCs w:val="16"/>
              </w:rPr>
              <w:t>Jorge Augusto Tirado Navarro</w:t>
            </w:r>
          </w:p>
          <w:p w14:paraId="4A1307F1" w14:textId="77777777" w:rsidR="00EC3CA7" w:rsidRPr="008D45C8" w:rsidRDefault="00AF30F5" w:rsidP="008D45C8">
            <w:pPr>
              <w:pStyle w:val="Sinespaciado"/>
              <w:rPr>
                <w:rFonts w:ascii="Arial" w:hAnsi="Arial" w:cs="Arial"/>
                <w:sz w:val="16"/>
                <w:szCs w:val="16"/>
              </w:rPr>
            </w:pPr>
            <w:r w:rsidRPr="008D45C8">
              <w:rPr>
                <w:rFonts w:ascii="Arial" w:hAnsi="Arial" w:cs="Arial"/>
                <w:sz w:val="16"/>
                <w:szCs w:val="16"/>
              </w:rPr>
              <w:t>Subdirector de Gestión Contractual ANCP – CCE</w:t>
            </w:r>
          </w:p>
        </w:tc>
      </w:tr>
    </w:tbl>
    <w:p w14:paraId="31938681" w14:textId="77777777" w:rsidR="00EC3CA7" w:rsidRDefault="00EC3CA7">
      <w:pPr>
        <w:spacing w:after="120"/>
        <w:rPr>
          <w:rFonts w:ascii="Arial" w:eastAsia="Arial" w:hAnsi="Arial" w:cs="Arial"/>
          <w:b/>
          <w:sz w:val="20"/>
          <w:szCs w:val="20"/>
        </w:rPr>
      </w:pPr>
    </w:p>
    <w:sectPr w:rsidR="00EC3CA7">
      <w:headerReference w:type="default" r:id="rId12"/>
      <w:footerReference w:type="default" r:id="rId13"/>
      <w:pgSz w:w="12240" w:h="15840"/>
      <w:pgMar w:top="411" w:right="2317"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8778" w14:textId="77777777" w:rsidR="00E13784" w:rsidRDefault="00E13784">
      <w:pPr>
        <w:spacing w:after="0" w:line="240" w:lineRule="auto"/>
      </w:pPr>
      <w:r>
        <w:separator/>
      </w:r>
    </w:p>
  </w:endnote>
  <w:endnote w:type="continuationSeparator" w:id="0">
    <w:p w14:paraId="4FAD59E4" w14:textId="77777777" w:rsidR="00E13784" w:rsidRDefault="00E1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8FC4" w14:textId="77777777" w:rsidR="00EC3CA7" w:rsidRDefault="00EC3CA7">
    <w:pPr>
      <w:pBdr>
        <w:top w:val="nil"/>
        <w:left w:val="nil"/>
        <w:bottom w:val="nil"/>
        <w:right w:val="nil"/>
        <w:between w:val="nil"/>
      </w:pBdr>
      <w:spacing w:after="0" w:line="240" w:lineRule="auto"/>
      <w:rPr>
        <w:rFonts w:ascii="Arial" w:eastAsia="Arial" w:hAnsi="Arial" w:cs="Arial"/>
        <w:color w:val="000000"/>
        <w:sz w:val="18"/>
        <w:szCs w:val="18"/>
      </w:rPr>
    </w:pPr>
  </w:p>
  <w:p w14:paraId="0280FA12" w14:textId="77777777" w:rsidR="00EC3CA7" w:rsidRDefault="00EC3CA7">
    <w:pPr>
      <w:pBdr>
        <w:top w:val="nil"/>
        <w:left w:val="nil"/>
        <w:bottom w:val="nil"/>
        <w:right w:val="nil"/>
        <w:between w:val="nil"/>
      </w:pBdr>
      <w:spacing w:after="0" w:line="240" w:lineRule="auto"/>
      <w:rPr>
        <w:rFonts w:ascii="Arial" w:eastAsia="Arial" w:hAnsi="Arial" w:cs="Arial"/>
        <w:color w:val="000000"/>
        <w:sz w:val="18"/>
        <w:szCs w:val="18"/>
      </w:rPr>
    </w:pPr>
  </w:p>
  <w:p w14:paraId="290629EE" w14:textId="77777777" w:rsidR="00EC3CA7" w:rsidRDefault="00AF30F5">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C715B8">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C715B8">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6C835B70" w14:textId="77777777" w:rsidR="00EC3CA7" w:rsidRDefault="00AF30F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BDDACC6" wp14:editId="7239F361">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0657CF94" w14:textId="77777777" w:rsidR="00EC3CA7" w:rsidRDefault="00EC3CA7">
    <w:pPr>
      <w:pBdr>
        <w:top w:val="nil"/>
        <w:left w:val="nil"/>
        <w:bottom w:val="nil"/>
        <w:right w:val="nil"/>
        <w:between w:val="nil"/>
      </w:pBdr>
      <w:tabs>
        <w:tab w:val="center" w:pos="4419"/>
        <w:tab w:val="right" w:pos="8838"/>
      </w:tabs>
      <w:jc w:val="center"/>
      <w:rPr>
        <w:color w:val="000000"/>
      </w:rPr>
    </w:pPr>
  </w:p>
  <w:p w14:paraId="71C305DA" w14:textId="77777777" w:rsidR="00EC3CA7" w:rsidRDefault="00EC3CA7">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C54C" w14:textId="77777777" w:rsidR="00E13784" w:rsidRDefault="00E13784">
      <w:pPr>
        <w:spacing w:after="0" w:line="240" w:lineRule="auto"/>
      </w:pPr>
      <w:r>
        <w:separator/>
      </w:r>
    </w:p>
  </w:footnote>
  <w:footnote w:type="continuationSeparator" w:id="0">
    <w:p w14:paraId="3C376531" w14:textId="77777777" w:rsidR="00E13784" w:rsidRDefault="00E13784">
      <w:pPr>
        <w:spacing w:after="0" w:line="240" w:lineRule="auto"/>
      </w:pPr>
      <w:r>
        <w:continuationSeparator/>
      </w:r>
    </w:p>
  </w:footnote>
  <w:footnote w:id="1">
    <w:p w14:paraId="4ED9F6B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AD9C543"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rFonts w:ascii="Arial" w:eastAsia="Arial" w:hAnsi="Arial" w:cs="Arial"/>
          <w:color w:val="000000"/>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2F715077"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2">
    <w:p w14:paraId="2928B6C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Gaceta del Congreso de la República No. 71 del 2005.</w:t>
      </w:r>
    </w:p>
    <w:p w14:paraId="19F7D592"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3">
    <w:p w14:paraId="53C8F224"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Sentencia C- 1153 de 2005, M.P. Marco Gerardo Monroy Cabra.</w:t>
      </w:r>
    </w:p>
  </w:footnote>
  <w:footnote w:id="4">
    <w:p w14:paraId="5EFE407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5AFB286F"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5">
    <w:p w14:paraId="0A66FFDD" w14:textId="5DE9E030"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C726D92"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6">
    <w:p w14:paraId="3CE23AED"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de fecha 24 de julio de 2013, radicado 2166, Consejero Ponente: Álvaro Namén Vargas.  </w:t>
      </w:r>
    </w:p>
  </w:footnote>
  <w:footnote w:id="7">
    <w:p w14:paraId="4DFB7B7A" w14:textId="77777777" w:rsidR="00EC3CA7" w:rsidRDefault="00AF30F5">
      <w:pPr>
        <w:spacing w:after="0" w:line="240" w:lineRule="auto"/>
        <w:ind w:firstLine="709"/>
        <w:rPr>
          <w:rFonts w:ascii="Arial" w:eastAsia="Arial" w:hAnsi="Arial" w:cs="Arial"/>
          <w:sz w:val="18"/>
          <w:szCs w:val="18"/>
        </w:rPr>
      </w:pPr>
      <w:r>
        <w:rPr>
          <w:vertAlign w:val="superscript"/>
        </w:rPr>
        <w:footnoteRef/>
      </w:r>
      <w:r>
        <w:rPr>
          <w:rFonts w:ascii="Arial" w:eastAsia="Arial" w:hAnsi="Arial" w:cs="Arial"/>
          <w:sz w:val="18"/>
          <w:szCs w:val="18"/>
        </w:rPr>
        <w:t xml:space="preserve"> </w:t>
      </w:r>
      <w:bookmarkStart w:id="14" w:name="4f1mdlm" w:colFirst="0" w:colLast="0"/>
      <w:bookmarkEnd w:id="14"/>
      <w:r>
        <w:rPr>
          <w:rFonts w:ascii="Arial" w:eastAsia="Arial" w:hAnsi="Arial" w:cs="Arial"/>
          <w:color w:val="000000"/>
          <w:sz w:val="18"/>
          <w:szCs w:val="18"/>
        </w:rPr>
        <w:t>«</w:t>
      </w:r>
      <w:r>
        <w:rPr>
          <w:rFonts w:ascii="Arial" w:eastAsia="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43BCC7F1" w14:textId="77777777" w:rsidR="00EC3CA7" w:rsidRDefault="00AF30F5">
      <w:pPr>
        <w:spacing w:after="0" w:line="240" w:lineRule="auto"/>
        <w:ind w:firstLine="709"/>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Arial" w:hAnsi="Arial" w:cs="Arial"/>
          <w:color w:val="000000"/>
          <w:sz w:val="18"/>
          <w:szCs w:val="18"/>
        </w:rPr>
        <w:t>»</w:t>
      </w:r>
      <w:r>
        <w:rPr>
          <w:rFonts w:ascii="Arial" w:eastAsia="Arial" w:hAnsi="Arial" w:cs="Arial"/>
          <w:sz w:val="18"/>
          <w:szCs w:val="18"/>
        </w:rPr>
        <w:t>.</w:t>
      </w:r>
    </w:p>
  </w:footnote>
  <w:footnote w:id="8">
    <w:p w14:paraId="3C4F5379"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bookmarkStart w:id="15" w:name="2u6wntf" w:colFirst="0" w:colLast="0"/>
      <w:bookmarkEnd w:id="15"/>
      <w:r>
        <w:rPr>
          <w:rFonts w:ascii="Arial" w:eastAsia="Arial" w:hAnsi="Arial" w:cs="Arial"/>
          <w:color w:val="000000"/>
          <w:sz w:val="18"/>
          <w:szCs w:val="18"/>
        </w:rPr>
        <w:t>«Artículo 38. Prohibiciones para los servidores públicos. A los empleados del Estado les está prohibido:</w:t>
      </w:r>
    </w:p>
    <w:p w14:paraId="4A422A83"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rFonts w:ascii="Arial" w:eastAsia="Arial" w:hAnsi="Arial" w:cs="Arial"/>
          <w:color w:val="000000"/>
          <w:sz w:val="18"/>
          <w:szCs w:val="18"/>
        </w:rPr>
        <w:t>» […]</w:t>
      </w:r>
    </w:p>
    <w:p w14:paraId="6765D075"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rFonts w:ascii="Arial" w:eastAsia="Arial" w:hAnsi="Arial" w:cs="Arial"/>
          <w:color w:val="000000"/>
          <w:sz w:val="18"/>
          <w:szCs w:val="18"/>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47FB15C9"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9">
    <w:p w14:paraId="067F8E79" w14:textId="77777777" w:rsidR="00EC3CA7" w:rsidRDefault="00AF30F5">
      <w:pPr>
        <w:spacing w:after="0" w:line="240" w:lineRule="auto"/>
        <w:ind w:left="100" w:right="244" w:firstLine="709"/>
        <w:rPr>
          <w:rFonts w:ascii="Arial" w:eastAsia="Arial" w:hAnsi="Arial" w:cs="Arial"/>
          <w:sz w:val="18"/>
          <w:szCs w:val="18"/>
        </w:rPr>
      </w:pPr>
      <w:r>
        <w:rPr>
          <w:vertAlign w:val="superscript"/>
        </w:rPr>
        <w:footnoteRef/>
      </w:r>
      <w:r>
        <w:rPr>
          <w:rFonts w:ascii="Arial" w:eastAsia="Arial" w:hAnsi="Arial" w:cs="Arial"/>
          <w:sz w:val="18"/>
          <w:szCs w:val="18"/>
        </w:rPr>
        <w:t xml:space="preserve"> Consejo de Estado. Sala de Consulta y Servicio Civil. Concepto del 17 de febrero de 2015. C.P. William Zambrano Cetina. Radicación No. 11001-03-06-000-2015-00164-00(2269).</w:t>
      </w:r>
    </w:p>
    <w:p w14:paraId="66897240"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10">
    <w:p w14:paraId="41F0E73A" w14:textId="77777777" w:rsidR="00EC3CA7" w:rsidRDefault="00AF30F5">
      <w:pPr>
        <w:pBdr>
          <w:top w:val="nil"/>
          <w:left w:val="nil"/>
          <w:bottom w:val="nil"/>
          <w:right w:val="nil"/>
          <w:between w:val="nil"/>
        </w:pBdr>
        <w:spacing w:after="0" w:line="240" w:lineRule="auto"/>
        <w:ind w:right="51"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«[25] Cfr. Consejo de Estado. Sección Tercera. Sentencia de 3 de diciembre de 2007. Radicados: 24.715, 25.206, 25.409, 24.524, 27.834, 25.410, 26.105, 28.244, 31.447 -acumulados-».</w:t>
      </w:r>
    </w:p>
    <w:p w14:paraId="51E37E13" w14:textId="77777777" w:rsidR="00EC3CA7" w:rsidRDefault="00EC3CA7">
      <w:pPr>
        <w:pBdr>
          <w:top w:val="nil"/>
          <w:left w:val="nil"/>
          <w:bottom w:val="nil"/>
          <w:right w:val="nil"/>
          <w:between w:val="nil"/>
        </w:pBdr>
        <w:spacing w:after="0" w:line="240" w:lineRule="auto"/>
        <w:ind w:right="51" w:firstLine="709"/>
        <w:rPr>
          <w:rFonts w:ascii="Arial" w:eastAsia="Arial" w:hAnsi="Arial" w:cs="Arial"/>
          <w:color w:val="000000"/>
          <w:sz w:val="18"/>
          <w:szCs w:val="18"/>
        </w:rPr>
      </w:pPr>
    </w:p>
  </w:footnote>
  <w:footnote w:id="11">
    <w:p w14:paraId="1F688F39" w14:textId="77777777" w:rsidR="00EC3CA7" w:rsidRDefault="00AF30F5">
      <w:pPr>
        <w:pBdr>
          <w:top w:val="nil"/>
          <w:left w:val="nil"/>
          <w:bottom w:val="nil"/>
          <w:right w:val="nil"/>
          <w:between w:val="nil"/>
        </w:pBdr>
        <w:spacing w:after="0" w:line="240" w:lineRule="auto"/>
        <w:ind w:right="51"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«[26] Al respecto ver el concepto 1712 de 2 de febrero de 2006. Consejo de Estado Sala de Consulta y Servicio Civil».</w:t>
      </w:r>
    </w:p>
    <w:p w14:paraId="094B3BE7" w14:textId="77777777" w:rsidR="00EC3CA7" w:rsidRDefault="00EC3CA7">
      <w:pPr>
        <w:pBdr>
          <w:top w:val="nil"/>
          <w:left w:val="nil"/>
          <w:bottom w:val="nil"/>
          <w:right w:val="nil"/>
          <w:between w:val="nil"/>
        </w:pBdr>
        <w:spacing w:after="0" w:line="240" w:lineRule="auto"/>
        <w:ind w:right="51" w:firstLine="709"/>
        <w:rPr>
          <w:rFonts w:ascii="Arial" w:eastAsia="Arial" w:hAnsi="Arial" w:cs="Arial"/>
          <w:color w:val="000000"/>
          <w:sz w:val="18"/>
          <w:szCs w:val="18"/>
        </w:rPr>
      </w:pPr>
    </w:p>
  </w:footnote>
  <w:footnote w:id="12">
    <w:p w14:paraId="2645B74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Concepto del 2 de septiembre de 2013. Radicación número: 11001-03-06-000-2013-00412-00 (2168). Consejero Ponente: Álvaro Namén Vargas.</w:t>
      </w:r>
    </w:p>
  </w:footnote>
  <w:footnote w:id="13">
    <w:p w14:paraId="5B940424"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Artículo 2. </w:t>
      </w:r>
    </w:p>
    <w:p w14:paraId="586FB683"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14">
    <w:p w14:paraId="50B9ACD6"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Ídem</w:t>
      </w:r>
      <w:r>
        <w:rPr>
          <w:rFonts w:ascii="Arial" w:eastAsia="Arial" w:hAnsi="Arial" w:cs="Arial"/>
          <w:color w:val="000000"/>
          <w:sz w:val="18"/>
          <w:szCs w:val="18"/>
        </w:rPr>
        <w:t>.</w:t>
      </w:r>
    </w:p>
    <w:p w14:paraId="7E286122"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bookmarkStart w:id="21" w:name="_28h4qwu" w:colFirst="0" w:colLast="0"/>
    <w:bookmarkEnd w:id="21"/>
  </w:footnote>
  <w:footnote w:id="15">
    <w:p w14:paraId="6E235BEC"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bookmarkStart w:id="22" w:name="_28h4qwu" w:colFirst="0" w:colLast="0"/>
      <w:bookmarkEnd w:id="22"/>
      <w:r>
        <w:rPr>
          <w:vertAlign w:val="superscript"/>
        </w:rPr>
        <w:footnoteRef/>
      </w:r>
      <w:r>
        <w:rPr>
          <w:rFonts w:ascii="Arial" w:eastAsia="Arial" w:hAnsi="Arial" w:cs="Arial"/>
          <w:color w:val="000000"/>
          <w:sz w:val="18"/>
          <w:szCs w:val="18"/>
          <w:vertAlign w:val="superscript"/>
        </w:rPr>
        <w:t xml:space="preserve"> </w:t>
      </w:r>
      <w:r>
        <w:rPr>
          <w:rFonts w:ascii="Arial" w:eastAsia="Arial" w:hAnsi="Arial" w:cs="Arial"/>
          <w:color w:val="000000"/>
          <w:sz w:val="18"/>
          <w:szCs w:val="18"/>
        </w:rPr>
        <w:t xml:space="preserve">«[…] A este respecto, cabe recordar que el artículo 860 del Código de Comercio regula la licitación en el derecho privado». </w:t>
      </w:r>
    </w:p>
    <w:p w14:paraId="5D8A4F43"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16">
    <w:p w14:paraId="1E0FB826" w14:textId="77777777" w:rsidR="00EC3CA7" w:rsidRDefault="00AF30F5">
      <w:pPr>
        <w:shd w:val="clear" w:color="auto" w:fill="FFFFFF"/>
        <w:spacing w:after="0" w:line="240" w:lineRule="auto"/>
        <w:ind w:firstLine="709"/>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Consejo de Estado. Sala de Consulta y Servicio Civil, Concepto de 8 de mayo de 2018. Radicación Número: 11001-03-06-000-2018-00095-00(2382). Consejero Ponente: Álvaro Namén Vargas.</w:t>
      </w:r>
    </w:p>
    <w:p w14:paraId="5C18587A" w14:textId="77777777" w:rsidR="00EC3CA7" w:rsidRDefault="00EC3CA7">
      <w:pPr>
        <w:shd w:val="clear" w:color="auto" w:fill="FFFFFF"/>
        <w:spacing w:after="0" w:line="240" w:lineRule="auto"/>
        <w:ind w:firstLine="709"/>
        <w:rPr>
          <w:rFonts w:ascii="Arial" w:eastAsia="Arial" w:hAnsi="Arial" w:cs="Arial"/>
          <w:sz w:val="18"/>
          <w:szCs w:val="18"/>
        </w:rPr>
      </w:pPr>
    </w:p>
  </w:footnote>
  <w:footnote w:id="17">
    <w:p w14:paraId="2D0735E2"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Concepto del 08 de mayo de 2018. Exp. 2.382. C.P. Álvaro Namén Vargas.</w:t>
      </w:r>
    </w:p>
  </w:footnote>
  <w:footnote w:id="18">
    <w:p w14:paraId="08AAF8B8"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2214679D" w14:textId="77777777" w:rsidR="00EC3CA7" w:rsidRDefault="00AF30F5">
      <w:pPr>
        <w:spacing w:after="0" w:line="240" w:lineRule="auto"/>
        <w:ind w:firstLine="709"/>
        <w:rPr>
          <w:rFonts w:ascii="Arial" w:eastAsia="Arial" w:hAnsi="Arial" w:cs="Arial"/>
          <w:sz w:val="18"/>
          <w:szCs w:val="18"/>
        </w:rPr>
      </w:pPr>
      <w:r>
        <w:rPr>
          <w:vertAlign w:val="superscript"/>
        </w:rPr>
        <w:footnoteRef/>
      </w:r>
      <w:r>
        <w:rPr>
          <w:rFonts w:ascii="Arial" w:eastAsia="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03D7B16E" w14:textId="77777777" w:rsidR="00EC3CA7" w:rsidRDefault="00EC3CA7">
      <w:pPr>
        <w:spacing w:after="0" w:line="240" w:lineRule="auto"/>
        <w:ind w:firstLine="709"/>
        <w:rPr>
          <w:rFonts w:ascii="Arial" w:eastAsia="Arial" w:hAnsi="Arial" w:cs="Arial"/>
          <w:sz w:val="18"/>
          <w:szCs w:val="18"/>
        </w:rPr>
      </w:pPr>
    </w:p>
  </w:footnote>
  <w:footnote w:id="20">
    <w:p w14:paraId="04BE6FB4" w14:textId="77777777" w:rsidR="00EC3CA7" w:rsidRDefault="00AF30F5">
      <w:pPr>
        <w:pBdr>
          <w:top w:val="nil"/>
          <w:left w:val="nil"/>
          <w:bottom w:val="nil"/>
          <w:right w:val="nil"/>
          <w:between w:val="nil"/>
        </w:pBdr>
        <w:spacing w:after="0" w:line="240" w:lineRule="auto"/>
        <w:ind w:right="51"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Concepto de 6 de abril de 2006. Radicación Número: 11001-03-06-000-2006-00038-00(1738). Consejero Ponente: Enrique José Arboleda Perdomo: «Si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p>
  </w:footnote>
  <w:footnote w:id="21">
    <w:p w14:paraId="18CFFC59" w14:textId="77777777" w:rsidR="00EC3CA7" w:rsidRDefault="00AF30F5">
      <w:pPr>
        <w:pBdr>
          <w:top w:val="nil"/>
          <w:left w:val="nil"/>
          <w:bottom w:val="nil"/>
          <w:right w:val="nil"/>
          <w:between w:val="nil"/>
        </w:pBdr>
        <w:spacing w:after="0" w:line="240" w:lineRule="auto"/>
        <w:ind w:right="51"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Concepto de 6 de abril de 2006. Radicación Número: 11001-03-06-000-2006-00038-00(1738). Consejero Ponente: Enrique José Arboleda Perdomo.</w:t>
      </w:r>
    </w:p>
    <w:p w14:paraId="7E109F65" w14:textId="77777777" w:rsidR="00EC3CA7" w:rsidRDefault="00EC3CA7">
      <w:pPr>
        <w:pBdr>
          <w:top w:val="nil"/>
          <w:left w:val="nil"/>
          <w:bottom w:val="nil"/>
          <w:right w:val="nil"/>
          <w:between w:val="nil"/>
        </w:pBdr>
        <w:spacing w:after="0" w:line="240" w:lineRule="auto"/>
        <w:ind w:right="51" w:firstLine="709"/>
        <w:rPr>
          <w:rFonts w:ascii="Arial" w:eastAsia="Arial" w:hAnsi="Arial" w:cs="Arial"/>
          <w:color w:val="000000"/>
          <w:sz w:val="18"/>
          <w:szCs w:val="18"/>
        </w:rPr>
      </w:pPr>
    </w:p>
  </w:footnote>
  <w:footnote w:id="22">
    <w:p w14:paraId="5EBFE751" w14:textId="77777777" w:rsidR="00EC3CA7" w:rsidRDefault="00AF30F5">
      <w:pPr>
        <w:pBdr>
          <w:top w:val="nil"/>
          <w:left w:val="nil"/>
          <w:bottom w:val="nil"/>
          <w:right w:val="nil"/>
          <w:between w:val="nil"/>
        </w:pBdr>
        <w:spacing w:after="0" w:line="240" w:lineRule="auto"/>
        <w:ind w:right="51"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ídem.</w:t>
      </w:r>
    </w:p>
  </w:footnote>
  <w:footnote w:id="23">
    <w:p w14:paraId="0319F18F"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Concepto de 20 de febrero de2006. Radicación 11001-03-06-000-2006-00023-00(1724). Consejero Ponente: Flavio Augusto Rodríguez Arce.</w:t>
      </w:r>
    </w:p>
    <w:p w14:paraId="1554BA57"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24">
    <w:p w14:paraId="6E7D68B5" w14:textId="77777777" w:rsidR="00EC3CA7" w:rsidRDefault="00AF30F5">
      <w:pPr>
        <w:spacing w:after="0" w:line="240" w:lineRule="auto"/>
        <w:ind w:firstLine="709"/>
        <w:rPr>
          <w:rFonts w:ascii="Arial" w:eastAsia="Arial" w:hAnsi="Arial" w:cs="Arial"/>
          <w:sz w:val="18"/>
          <w:szCs w:val="18"/>
        </w:rPr>
      </w:pPr>
      <w:r>
        <w:rPr>
          <w:vertAlign w:val="superscript"/>
        </w:rPr>
        <w:footnoteRef/>
      </w:r>
      <w:r>
        <w:rPr>
          <w:rFonts w:ascii="Arial" w:eastAsia="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C26D513" w14:textId="77777777" w:rsidR="00EC3CA7" w:rsidRDefault="00AF30F5">
      <w:pPr>
        <w:spacing w:after="0" w:line="240" w:lineRule="auto"/>
        <w:ind w:firstLine="709"/>
        <w:rPr>
          <w:rFonts w:ascii="Arial" w:eastAsia="Arial" w:hAnsi="Arial" w:cs="Arial"/>
          <w:sz w:val="18"/>
          <w:szCs w:val="18"/>
        </w:rPr>
      </w:pPr>
      <w:r>
        <w:rPr>
          <w:rFonts w:ascii="Arial" w:eastAsia="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25">
    <w:p w14:paraId="58C91457" w14:textId="77777777" w:rsidR="00EC3CA7" w:rsidRDefault="00AF30F5">
      <w:pPr>
        <w:spacing w:after="0" w:line="240" w:lineRule="auto"/>
        <w:ind w:firstLine="709"/>
        <w:rPr>
          <w:rFonts w:ascii="Arial" w:eastAsia="Arial" w:hAnsi="Arial" w:cs="Arial"/>
          <w:sz w:val="18"/>
          <w:szCs w:val="18"/>
        </w:rPr>
      </w:pPr>
      <w:r>
        <w:rPr>
          <w:vertAlign w:val="superscript"/>
        </w:rPr>
        <w:footnoteRef/>
      </w:r>
      <w:r>
        <w:rPr>
          <w:rFonts w:ascii="Arial" w:eastAsia="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351E30A9" w14:textId="77777777" w:rsidR="00EC3CA7" w:rsidRDefault="00EC3CA7">
      <w:pPr>
        <w:spacing w:after="0" w:line="240" w:lineRule="auto"/>
        <w:ind w:firstLine="709"/>
        <w:rPr>
          <w:rFonts w:ascii="Arial" w:eastAsia="Arial" w:hAnsi="Arial" w:cs="Arial"/>
          <w:sz w:val="18"/>
          <w:szCs w:val="18"/>
        </w:rPr>
      </w:pPr>
    </w:p>
  </w:footnote>
  <w:footnote w:id="26">
    <w:p w14:paraId="623DA22D" w14:textId="77777777" w:rsidR="00EC3CA7" w:rsidRDefault="00AF30F5">
      <w:pPr>
        <w:spacing w:after="0" w:line="240" w:lineRule="auto"/>
        <w:ind w:right="454" w:firstLine="709"/>
        <w:rPr>
          <w:rFonts w:ascii="Arial" w:eastAsia="Arial" w:hAnsi="Arial" w:cs="Arial"/>
          <w:sz w:val="18"/>
          <w:szCs w:val="18"/>
        </w:rPr>
      </w:pPr>
      <w:r>
        <w:rPr>
          <w:vertAlign w:val="superscript"/>
        </w:rPr>
        <w:footnoteRef/>
      </w:r>
      <w:r>
        <w:rPr>
          <w:rFonts w:ascii="Arial" w:eastAsia="Arial" w:hAnsi="Arial" w:cs="Arial"/>
          <w:sz w:val="30"/>
          <w:szCs w:val="30"/>
          <w:vertAlign w:val="superscript"/>
        </w:rPr>
        <w:t xml:space="preserve"> </w:t>
      </w:r>
      <w:r>
        <w:rPr>
          <w:rFonts w:ascii="Arial" w:eastAsia="Arial" w:hAnsi="Arial" w:cs="Arial"/>
          <w:sz w:val="18"/>
          <w:szCs w:val="18"/>
        </w:rPr>
        <w:t>Consejo de Estado. Sección Tercera. Sentencia del 23 de junio de 2010. Radicación No. 66001-23-31-000-1998-00261-01(17.860). Consejero Ponente: Mauricio Fajardo Gómez.</w:t>
      </w:r>
    </w:p>
    <w:p w14:paraId="71838FEE" w14:textId="77777777" w:rsidR="00EC3CA7" w:rsidRDefault="00EC3CA7">
      <w:pPr>
        <w:pBdr>
          <w:top w:val="nil"/>
          <w:left w:val="nil"/>
          <w:bottom w:val="nil"/>
          <w:right w:val="nil"/>
          <w:between w:val="nil"/>
        </w:pBdr>
        <w:spacing w:after="0" w:line="240" w:lineRule="auto"/>
        <w:rPr>
          <w:rFonts w:ascii="Arial" w:eastAsia="Arial" w:hAnsi="Arial" w:cs="Arial"/>
          <w:color w:val="000000"/>
          <w:sz w:val="18"/>
          <w:szCs w:val="18"/>
        </w:rPr>
      </w:pPr>
    </w:p>
  </w:footnote>
  <w:footnote w:id="27">
    <w:p w14:paraId="5F3599C4" w14:textId="77777777" w:rsidR="00EC3CA7" w:rsidRDefault="00AF30F5">
      <w:pPr>
        <w:spacing w:after="0" w:line="240" w:lineRule="auto"/>
        <w:ind w:firstLine="709"/>
        <w:rPr>
          <w:rFonts w:ascii="Arial" w:eastAsia="Arial" w:hAnsi="Arial" w:cs="Arial"/>
          <w:sz w:val="18"/>
          <w:szCs w:val="18"/>
        </w:rPr>
      </w:pPr>
      <w:r>
        <w:rPr>
          <w:vertAlign w:val="superscript"/>
        </w:rPr>
        <w:footnoteRef/>
      </w:r>
      <w:r>
        <w:rPr>
          <w:rFonts w:ascii="Arial" w:eastAsia="Arial" w:hAnsi="Arial" w:cs="Arial"/>
          <w:sz w:val="18"/>
          <w:szCs w:val="18"/>
        </w:rPr>
        <w:t xml:space="preserve"> Consejo de Estado. Sección Tercera. Subsección C. Sentencia del 11 de diciembre de 2019. Exp. 46.986. C.P. Jaime Enrique Rodríguez Navas.</w:t>
      </w:r>
    </w:p>
  </w:footnote>
  <w:footnote w:id="28">
    <w:p w14:paraId="2658DB3B" w14:textId="77777777" w:rsidR="00EC3CA7" w:rsidRDefault="00AF30F5">
      <w:pPr>
        <w:pBdr>
          <w:top w:val="nil"/>
          <w:left w:val="nil"/>
          <w:bottom w:val="nil"/>
          <w:right w:val="nil"/>
          <w:between w:val="nil"/>
        </w:pBdr>
        <w:spacing w:after="0" w:line="240" w:lineRule="auto"/>
        <w:ind w:firstLine="708"/>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[Referencia propia de la cita] «CE. SCSC. Concepto de 1 de noviembre de 2016 [Rad. 11001-03-06-000-2016-00125-00(2305)]. MP. Germán Alberto Bula Escobar».</w:t>
      </w:r>
    </w:p>
  </w:footnote>
  <w:footnote w:id="29">
    <w:p w14:paraId="39DF36E8" w14:textId="77777777" w:rsidR="00EC3CA7" w:rsidRDefault="00AF30F5">
      <w:pPr>
        <w:pBdr>
          <w:top w:val="nil"/>
          <w:left w:val="nil"/>
          <w:bottom w:val="nil"/>
          <w:right w:val="nil"/>
          <w:between w:val="nil"/>
        </w:pBdr>
        <w:spacing w:after="0" w:line="240" w:lineRule="auto"/>
        <w:ind w:firstLine="708"/>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[Referencia propia de la cita] «CE. SCSC. Concepto de 30 de abril de 2008 [Rad. 11001-03-06-000-2008-00013-00(1881)]. MP. Enrique José Arboleda Perdomo. En esta oportunidad, la Sala indicó que el contenido </w:t>
      </w:r>
      <w:r>
        <w:rPr>
          <w:rFonts w:ascii="Arial" w:eastAsia="Arial" w:hAnsi="Arial" w:cs="Arial"/>
          <w:i/>
          <w:color w:val="000000"/>
          <w:sz w:val="18"/>
          <w:szCs w:val="18"/>
        </w:rPr>
        <w:t>“obligacional”</w:t>
      </w:r>
      <w:r>
        <w:rPr>
          <w:rFonts w:ascii="Arial" w:eastAsia="Arial" w:hAnsi="Arial" w:cs="Arial"/>
          <w:color w:val="000000"/>
          <w:sz w:val="18"/>
          <w:szCs w:val="18"/>
        </w:rPr>
        <w:t xml:space="preserve"> de los convenios se estructura definiendo el resultado querido por las partes y los medios que cada entidad despliega para la obtención del respectivo objeto».</w:t>
      </w:r>
    </w:p>
  </w:footnote>
  <w:footnote w:id="30">
    <w:p w14:paraId="434A3F44" w14:textId="77777777" w:rsidR="00EC3CA7" w:rsidRDefault="00AF30F5">
      <w:pPr>
        <w:pBdr>
          <w:top w:val="nil"/>
          <w:left w:val="nil"/>
          <w:bottom w:val="nil"/>
          <w:right w:val="nil"/>
          <w:between w:val="nil"/>
        </w:pBdr>
        <w:spacing w:after="0" w:line="240" w:lineRule="auto"/>
        <w:ind w:firstLine="708"/>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[Referencia propia de la cita] «La normativa vigente del EGCAP </w:t>
      </w:r>
      <w:r>
        <w:rPr>
          <w:rFonts w:ascii="Arial" w:eastAsia="Arial" w:hAnsi="Arial" w:cs="Arial"/>
          <w:i/>
          <w:color w:val="000000"/>
          <w:sz w:val="18"/>
          <w:szCs w:val="18"/>
        </w:rPr>
        <w:t>[literal c) del numeral 4. del artículo 2 de la Ley 1150/07]</w:t>
      </w:r>
      <w:r>
        <w:rPr>
          <w:rFonts w:ascii="Arial" w:eastAsia="Arial" w:hAnsi="Arial" w:cs="Arial"/>
          <w:color w:val="000000"/>
          <w:sz w:val="18"/>
          <w:szCs w:val="18"/>
        </w:rPr>
        <w:t xml:space="preserve"> se refiere a </w:t>
      </w:r>
      <w:r>
        <w:rPr>
          <w:rFonts w:ascii="Arial" w:eastAsia="Arial" w:hAnsi="Arial" w:cs="Arial"/>
          <w:i/>
          <w:color w:val="000000"/>
          <w:sz w:val="18"/>
          <w:szCs w:val="18"/>
        </w:rPr>
        <w:t>“contratos interadministrativos”</w:t>
      </w:r>
      <w:r>
        <w:rPr>
          <w:rFonts w:ascii="Arial" w:eastAsia="Arial" w:hAnsi="Arial" w:cs="Arial"/>
          <w:color w:val="000000"/>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1">
    <w:p w14:paraId="1269FD81" w14:textId="77777777" w:rsidR="00EC3CA7" w:rsidRDefault="00AF30F5">
      <w:pPr>
        <w:pBdr>
          <w:top w:val="nil"/>
          <w:left w:val="nil"/>
          <w:bottom w:val="nil"/>
          <w:right w:val="nil"/>
          <w:between w:val="nil"/>
        </w:pBdr>
        <w:spacing w:after="0" w:line="240" w:lineRule="auto"/>
        <w:ind w:firstLine="708"/>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2">
    <w:p w14:paraId="072F03A0" w14:textId="77777777" w:rsidR="00EC3CA7" w:rsidRDefault="00AF30F5">
      <w:pPr>
        <w:pBdr>
          <w:top w:val="nil"/>
          <w:left w:val="nil"/>
          <w:bottom w:val="nil"/>
          <w:right w:val="nil"/>
          <w:between w:val="nil"/>
        </w:pBdr>
        <w:spacing w:after="0" w:line="240" w:lineRule="auto"/>
        <w:ind w:firstLine="708"/>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Es lo que sucede, por ejemplo, con el Decreto 092 de 2017, que en su desarrollo hace referencia tanto a los «contratos» como a los «convenios». </w:t>
      </w:r>
    </w:p>
    <w:p w14:paraId="31AAC8B9" w14:textId="77777777" w:rsidR="00EC3CA7" w:rsidRDefault="00EC3CA7">
      <w:pPr>
        <w:pBdr>
          <w:top w:val="nil"/>
          <w:left w:val="nil"/>
          <w:bottom w:val="nil"/>
          <w:right w:val="nil"/>
          <w:between w:val="nil"/>
        </w:pBdr>
        <w:spacing w:after="0" w:line="240" w:lineRule="auto"/>
        <w:ind w:firstLine="708"/>
        <w:rPr>
          <w:rFonts w:ascii="Arial" w:eastAsia="Arial" w:hAnsi="Arial" w:cs="Arial"/>
          <w:color w:val="000000"/>
          <w:sz w:val="18"/>
          <w:szCs w:val="18"/>
        </w:rPr>
      </w:pPr>
    </w:p>
  </w:footnote>
  <w:footnote w:id="33">
    <w:p w14:paraId="7FE33280" w14:textId="77777777" w:rsidR="00EC3CA7" w:rsidRDefault="00AF30F5">
      <w:pPr>
        <w:pBdr>
          <w:top w:val="nil"/>
          <w:left w:val="nil"/>
          <w:bottom w:val="nil"/>
          <w:right w:val="nil"/>
          <w:between w:val="nil"/>
        </w:pBdr>
        <w:spacing w:after="0" w:line="240" w:lineRule="auto"/>
        <w:ind w:firstLine="708"/>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4A155BC6" w14:textId="77777777" w:rsidR="00EC3CA7" w:rsidRDefault="00AF30F5">
      <w:pPr>
        <w:pBdr>
          <w:top w:val="nil"/>
          <w:left w:val="nil"/>
          <w:bottom w:val="nil"/>
          <w:right w:val="nil"/>
          <w:between w:val="nil"/>
        </w:pBdr>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5">
    <w:p w14:paraId="306E9DC3"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Concepto del 15 de noviembre de 2007. Expediente número 1863. Consejero Ponente: Luis Fernando Álvarez Jaramillo.</w:t>
      </w:r>
    </w:p>
    <w:p w14:paraId="1EA70BB9"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36">
    <w:p w14:paraId="09796F6F"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Que en su artículo 141 establece: «La presente Ley rige a partir de la feecha de su publicación y surte efectos fiscales a partir del 1 de enero de 2022».</w:t>
      </w:r>
    </w:p>
  </w:footnote>
  <w:footnote w:id="37">
    <w:p w14:paraId="12B4A3C8"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Correspondiente al Proyecto de Ley 158/21 Cámara y 096/2021 Senado, cuyo texto definitivo fue aprobado en plenaria del Senado de la República el día 19 de octubre de 2021, según la Gaceta  del Congreso de la República nro. 1496. </w:t>
      </w:r>
    </w:p>
  </w:footnote>
  <w:footnote w:id="38">
    <w:p w14:paraId="36FBFACF"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En su contenido y trámite el proyecto de ley se sujeta a las siguientes reglas: i) no es posible incluir partida alguna que no corresponda a un crédito judicialmente reconocido, a un gasto decretado conforme a ley anterior, a uno propuesto por el gobierno para atender el funcionamiento de las ramas del poder público, al servicio de la deuda, o a dar cumplimiento al plan nacional de desarrollo (artículo 346 C.P.); ii) el proyecto de ley de apropiaciones deberá contener la totalidad de los gastos que el Estado pretenda realizar durante la vigencia fiscal respectiva (artículo 347 C.P.; iii) si los ingresos legalmente autorizados no fueren suficientes para atender los gastos proyectados, el Gobierno deberá proponer, en forma separada, ante las comisiones encargadas de estudiar el proyecto de presupuesto, la creación de nuevas rentas o la modificación de las existentes para financiar el monto de gastos contemplados (artículo 347 Ibídem); iv) debe contener un componente denominado gasto público social que agrupará las partidas de esa naturaleza (artículo 350 C.P.), iv) el Congreso no puede “aumentar ninguna de las partidas del presupuesto de gastos propuestas por el gobierno, ni incluir una nueva, sino con la aceptación escrita del ministro del ramo” (artículo 351, inciso 1, C.P.). En cambio, el Congreso “podrá eliminar y reducir partidas de gastos propuestas por el gobierno”, con las excepciones que señala el artículo 351 en su inciso segundo; v) recibido el proyecto respectivo en el Congreso, corresponde a las Comisiones de Asuntos Económicos tanto del Senado como de la Cámara discutirlo y aprobarlo en primer debate, para lo cual la Constitución las autoriza sesionar conjuntamente (artículo 346 inciso 2 C.P.); iv) si el Congreso no expide el presupuesto, regirá el presentado por el gobierno en los términos señalados por el artículo 347 Superior, y si el gobierno no lo presenta dentro del plazo constitucional, regirá el del año anterior. Pero el Gobierno podrá reducir gastos, y, en consecuencia, suprimir o refundir empleos, cuando así lo aconsejen los cálculos de rentas del nuevo ejercicio (artículo 348 C.P.).</w:t>
      </w:r>
    </w:p>
  </w:footnote>
  <w:footnote w:id="39">
    <w:p w14:paraId="7BD1B827"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La Corte Constitucional ha precisado que es una especie de «contrato democrático anual sobre la asignación de recursos escasos y la fijación de prioridades, mediante el cual el Estado concreta no sólo un instrumento medular en la dirección de la economía y la política macroeconómica, sino la herramienta jurídica que expresa cuantitativamente el cumplimiento de fines esenciales del Estado y la política social para alcanzarlos. De este modo, el servicio a la comunidad, la promoción de la prosperidad general, la garantía y efectividad de los principios, derechos y deberes consagrados en la Constitución, y el aseguramiento en condiciones de igualdad y equidad de un orden justo, tienen un correlato real y específico en la ley de presupuesto que explican la necesidad de un proceso de creación y reforma calificado que permita la discusión amplia y la mayor participación posible a través de los representantes legítimos del pueblo reunidos en el Congreso.»  (Corte Constitucional. Sentencia C - 1064 de 2001. MPs. Manuel José Cepeda Espinosa y Jaime Córdoba Triviño).</w:t>
      </w:r>
    </w:p>
  </w:footnote>
  <w:footnote w:id="40">
    <w:p w14:paraId="3792B205"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C-1124 de 2008 que analizó la constitucionalidad del artículo 61 de la Ley 1169 de 2007.</w:t>
      </w:r>
    </w:p>
  </w:footnote>
  <w:footnote w:id="41">
    <w:p w14:paraId="11C43B6B"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Existe una relación inescindible entre la función democrática, administrativa y política del presupuesto y su carácter de instrumento o herramienta de dirección de la economía y la política macroeconómica. Corte Constitucional, Sentencia C - 438 de 2019, MP: Cristina Pardo Schlesinger.</w:t>
      </w:r>
    </w:p>
  </w:footnote>
  <w:footnote w:id="42">
    <w:p w14:paraId="302823EE" w14:textId="77777777" w:rsidR="00EC3CA7" w:rsidRDefault="00AF30F5">
      <w:pPr>
        <w:pBdr>
          <w:top w:val="nil"/>
          <w:left w:val="nil"/>
          <w:bottom w:val="nil"/>
          <w:right w:val="nil"/>
          <w:between w:val="nil"/>
        </w:pBd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«Por medio del cual se compilan las leyes 38 de 1989, 179 de 1994 y 225 de 1995 que conforman el estatuto orgánico del presupuesto».</w:t>
      </w:r>
    </w:p>
  </w:footnote>
  <w:footnote w:id="43">
    <w:p w14:paraId="0EF733CF" w14:textId="77777777" w:rsidR="00EC3CA7" w:rsidRDefault="00AF30F5">
      <w:pPr>
        <w:spacing w:after="0" w:line="240" w:lineRule="auto"/>
        <w:rPr>
          <w:rFonts w:ascii="Arial" w:eastAsia="Arial" w:hAnsi="Arial" w:cs="Arial"/>
          <w:sz w:val="19"/>
          <w:szCs w:val="19"/>
        </w:rPr>
      </w:pPr>
      <w:r>
        <w:rPr>
          <w:vertAlign w:val="superscript"/>
        </w:rPr>
        <w:footnoteRef/>
      </w:r>
      <w:r>
        <w:rPr>
          <w:rFonts w:ascii="Arial" w:eastAsia="Arial" w:hAnsi="Arial" w:cs="Arial"/>
          <w:sz w:val="19"/>
          <w:szCs w:val="19"/>
        </w:rPr>
        <w:t xml:space="preserve"> </w:t>
      </w:r>
      <w:r>
        <w:rPr>
          <w:rFonts w:ascii="Arial" w:eastAsia="Arial" w:hAnsi="Arial" w:cs="Arial"/>
          <w:color w:val="333333"/>
          <w:sz w:val="19"/>
          <w:szCs w:val="19"/>
        </w:rPr>
        <w:t>ARTÍCULO 6º: «</w:t>
      </w:r>
      <w:r>
        <w:rPr>
          <w:rFonts w:ascii="Arial" w:eastAsia="Arial" w:hAnsi="Arial" w:cs="Arial"/>
          <w:color w:val="333333"/>
          <w:sz w:val="19"/>
          <w:szCs w:val="19"/>
          <w:highlight w:val="white"/>
        </w:rPr>
        <w:t>Sistema presupuestal. Está constituido por un plan financiero, por un plan operativo anual de inversiones y por el presupuesto anual de la Nación».</w:t>
      </w:r>
    </w:p>
  </w:footnote>
  <w:footnote w:id="44">
    <w:p w14:paraId="3C8B5794" w14:textId="77777777" w:rsidR="00EC3CA7" w:rsidRDefault="00AF30F5">
      <w:pPr>
        <w:spacing w:after="0" w:line="240" w:lineRule="auto"/>
        <w:rPr>
          <w:rFonts w:ascii="Arial" w:eastAsia="Arial" w:hAnsi="Arial" w:cs="Arial"/>
          <w:sz w:val="19"/>
          <w:szCs w:val="19"/>
        </w:rPr>
      </w:pPr>
      <w:r>
        <w:rPr>
          <w:vertAlign w:val="superscript"/>
        </w:rPr>
        <w:footnoteRef/>
      </w:r>
      <w:r>
        <w:rPr>
          <w:rFonts w:ascii="Arial" w:eastAsia="Arial" w:hAnsi="Arial" w:cs="Arial"/>
          <w:sz w:val="19"/>
          <w:szCs w:val="19"/>
        </w:rPr>
        <w:t xml:space="preserve"> </w:t>
      </w:r>
      <w:r>
        <w:rPr>
          <w:rFonts w:ascii="Arial" w:eastAsia="Arial" w:hAnsi="Arial" w:cs="Arial"/>
          <w:color w:val="333333"/>
          <w:sz w:val="19"/>
          <w:szCs w:val="19"/>
        </w:rPr>
        <w:t>ARTÍCULO 8º: «</w:t>
      </w:r>
      <w:r>
        <w:rPr>
          <w:rFonts w:ascii="Arial" w:eastAsia="Arial" w:hAnsi="Arial" w:cs="Arial"/>
          <w:color w:val="333333"/>
          <w:sz w:val="19"/>
          <w:szCs w:val="19"/>
          <w:highlight w:val="white"/>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48AB9844" w14:textId="77777777" w:rsidR="00EC3CA7" w:rsidRDefault="00EC3CA7">
      <w:pPr>
        <w:spacing w:after="0" w:line="240" w:lineRule="auto"/>
        <w:jc w:val="left"/>
        <w:rPr>
          <w:rFonts w:ascii="Arial" w:eastAsia="Arial" w:hAnsi="Arial" w:cs="Arial"/>
          <w:sz w:val="19"/>
          <w:szCs w:val="19"/>
        </w:rPr>
      </w:pPr>
    </w:p>
    <w:p w14:paraId="79FD37D3" w14:textId="77777777" w:rsidR="00EC3CA7" w:rsidRDefault="00EC3CA7">
      <w:pPr>
        <w:pBdr>
          <w:top w:val="nil"/>
          <w:left w:val="nil"/>
          <w:bottom w:val="nil"/>
          <w:right w:val="nil"/>
          <w:between w:val="nil"/>
        </w:pBdr>
        <w:spacing w:after="0" w:line="240" w:lineRule="auto"/>
        <w:rPr>
          <w:rFonts w:ascii="Arial" w:eastAsia="Arial" w:hAnsi="Arial" w:cs="Arial"/>
          <w:color w:val="000000"/>
          <w:sz w:val="19"/>
          <w:szCs w:val="19"/>
        </w:rPr>
      </w:pPr>
    </w:p>
  </w:footnote>
  <w:footnote w:id="45">
    <w:p w14:paraId="025392AA" w14:textId="77777777" w:rsidR="00EC3CA7" w:rsidRDefault="00AF30F5">
      <w:pPr>
        <w:pBdr>
          <w:top w:val="nil"/>
          <w:left w:val="nil"/>
          <w:bottom w:val="nil"/>
          <w:right w:val="nil"/>
          <w:between w:val="nil"/>
        </w:pBd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31 de la Ley 152 de 1994 -por la cual se establece la Ley Orgánica del Presupuesto-. </w:t>
      </w:r>
    </w:p>
  </w:footnote>
  <w:footnote w:id="46">
    <w:p w14:paraId="5B2E44B8"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Aunque el Estado sea un concepto más amplio que comprende al conjunto de órganos que realizan las diversas funciones y servicios estatales, ya sea en el orden nacional, o ya sea en los otros niveles territoriales.</w:t>
      </w:r>
    </w:p>
    <w:p w14:paraId="190F3332"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47">
    <w:p w14:paraId="772BC24D"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287. Las entidades territoriales gozan de autonomía para la gestión de sus intereses, y dentro de los límites de la Constitución y la ley. En tal virtud tendrán los siguientes derechos: </w:t>
      </w:r>
    </w:p>
    <w:p w14:paraId="64CA0C9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xml:space="preserve">» 1. Gobernarse por autoridades propias. </w:t>
      </w:r>
    </w:p>
    <w:p w14:paraId="3650F59C"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xml:space="preserve">» 2. Ejercer las competencias que les correspondan. </w:t>
      </w:r>
    </w:p>
    <w:p w14:paraId="5AEB40D4" w14:textId="77777777" w:rsidR="00EC3CA7" w:rsidRDefault="00AF30F5">
      <w:pPr>
        <w:pBdr>
          <w:top w:val="nil"/>
          <w:left w:val="nil"/>
          <w:bottom w:val="nil"/>
          <w:right w:val="nil"/>
          <w:between w:val="nil"/>
        </w:pBdr>
        <w:spacing w:after="0" w:line="240" w:lineRule="auto"/>
        <w:ind w:left="708" w:firstLine="708"/>
        <w:rPr>
          <w:rFonts w:ascii="Arial" w:eastAsia="Arial" w:hAnsi="Arial" w:cs="Arial"/>
          <w:color w:val="000000"/>
          <w:sz w:val="19"/>
          <w:szCs w:val="19"/>
        </w:rPr>
      </w:pPr>
      <w:r>
        <w:rPr>
          <w:rFonts w:ascii="Arial" w:eastAsia="Arial" w:hAnsi="Arial" w:cs="Arial"/>
          <w:color w:val="000000"/>
          <w:sz w:val="19"/>
          <w:szCs w:val="19"/>
        </w:rPr>
        <w:t xml:space="preserve">» 3. Administrar los recursos y establecer los tributos necesarios para el cumplimiento de sus funciones. </w:t>
      </w:r>
    </w:p>
    <w:p w14:paraId="0E22F915"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4. Participar en las rentas nacionales,»</w:t>
      </w:r>
    </w:p>
  </w:footnote>
  <w:footnote w:id="48">
    <w:p w14:paraId="6EBA5BF7"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C-221 del 29 de abril de 1997. M.P. Alejandro Martínez Caballero.</w:t>
      </w:r>
    </w:p>
  </w:footnote>
  <w:footnote w:id="49">
    <w:p w14:paraId="7E66FB8D" w14:textId="77777777" w:rsidR="00EC3CA7" w:rsidRDefault="00AF30F5">
      <w:pPr>
        <w:shd w:val="clear" w:color="auto" w:fill="FFFFFF"/>
        <w:spacing w:after="0" w:line="240" w:lineRule="auto"/>
        <w:ind w:firstLine="709"/>
        <w:rPr>
          <w:rFonts w:ascii="Arial" w:eastAsia="Arial" w:hAnsi="Arial" w:cs="Arial"/>
          <w:sz w:val="19"/>
          <w:szCs w:val="19"/>
        </w:rPr>
      </w:pPr>
      <w:r>
        <w:rPr>
          <w:vertAlign w:val="superscript"/>
        </w:rPr>
        <w:footnoteRef/>
      </w:r>
      <w:r>
        <w:rPr>
          <w:rFonts w:ascii="Arial" w:eastAsia="Arial" w:hAnsi="Arial" w:cs="Arial"/>
          <w:sz w:val="19"/>
          <w:szCs w:val="19"/>
        </w:rPr>
        <w:t xml:space="preserve"> Corte Constitucional, Sentencia T-247 del 10 de abril de 2007. M.P. Rodrigo Escobar Gil.</w:t>
      </w:r>
    </w:p>
  </w:footnote>
  <w:footnote w:id="50">
    <w:p w14:paraId="4FCD54EC"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El artículo 68 de la Ley 489 de 1998 sobre este sector preceptúa: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footnote>
  <w:footnote w:id="51">
    <w:p w14:paraId="133FAF97" w14:textId="77777777" w:rsidR="00EC3CA7" w:rsidRDefault="00AF30F5">
      <w:pPr>
        <w:spacing w:after="0" w:line="240" w:lineRule="auto"/>
        <w:ind w:firstLine="708"/>
        <w:rPr>
          <w:rFonts w:ascii="Arial" w:eastAsia="Arial" w:hAnsi="Arial" w:cs="Arial"/>
          <w:sz w:val="19"/>
          <w:szCs w:val="19"/>
        </w:rPr>
      </w:pPr>
      <w:r>
        <w:rPr>
          <w:vertAlign w:val="superscript"/>
        </w:rPr>
        <w:footnoteRef/>
      </w:r>
      <w:r>
        <w:rPr>
          <w:rFonts w:ascii="Arial" w:eastAsia="Arial" w:hAnsi="Arial" w:cs="Arial"/>
          <w:sz w:val="19"/>
          <w:szCs w:val="19"/>
        </w:rPr>
        <w:t xml:space="preserve"> </w:t>
      </w:r>
      <w:r>
        <w:rPr>
          <w:rFonts w:ascii="Arial" w:eastAsia="Arial" w:hAnsi="Arial" w:cs="Arial"/>
          <w:color w:val="333333"/>
          <w:sz w:val="19"/>
          <w:szCs w:val="19"/>
        </w:rPr>
        <w:t>ARTÍCULO</w:t>
      </w:r>
      <w:bookmarkStart w:id="42" w:name="37m2jsg" w:colFirst="0" w:colLast="0"/>
      <w:bookmarkEnd w:id="42"/>
      <w:r>
        <w:rPr>
          <w:rFonts w:ascii="Arial" w:eastAsia="Arial" w:hAnsi="Arial" w:cs="Arial"/>
          <w:color w:val="333333"/>
          <w:sz w:val="19"/>
          <w:szCs w:val="19"/>
        </w:rPr>
        <w:t>  97.-</w:t>
      </w:r>
      <w:r>
        <w:rPr>
          <w:rFonts w:ascii="Arial" w:eastAsia="Arial" w:hAnsi="Arial" w:cs="Arial"/>
          <w:i/>
          <w:color w:val="333333"/>
          <w:sz w:val="19"/>
          <w:szCs w:val="19"/>
        </w:rPr>
        <w:t> Sociedades de economía mixta</w:t>
      </w:r>
      <w:r>
        <w:rPr>
          <w:rFonts w:ascii="Arial" w:eastAsia="Arial" w:hAnsi="Arial" w:cs="Arial"/>
          <w:b/>
          <w:i/>
          <w:color w:val="333333"/>
          <w:sz w:val="19"/>
          <w:szCs w:val="19"/>
        </w:rPr>
        <w:t>.</w:t>
      </w:r>
      <w:r>
        <w:rPr>
          <w:rFonts w:ascii="Arial" w:eastAsia="Arial" w:hAnsi="Arial" w:cs="Arial"/>
          <w:color w:val="333333"/>
          <w:sz w:val="19"/>
          <w:szCs w:val="19"/>
          <w:highlight w:val="white"/>
        </w:rPr>
        <w:t>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w:t>
      </w:r>
    </w:p>
    <w:p w14:paraId="0D3FDCC5" w14:textId="77777777" w:rsidR="00EC3CA7" w:rsidRDefault="00EC3CA7">
      <w:pPr>
        <w:pBdr>
          <w:top w:val="nil"/>
          <w:left w:val="nil"/>
          <w:bottom w:val="nil"/>
          <w:right w:val="nil"/>
          <w:between w:val="nil"/>
        </w:pBdr>
        <w:spacing w:after="0" w:line="240" w:lineRule="auto"/>
        <w:rPr>
          <w:rFonts w:ascii="Arial" w:eastAsia="Arial" w:hAnsi="Arial" w:cs="Arial"/>
          <w:color w:val="000000"/>
          <w:sz w:val="19"/>
          <w:szCs w:val="19"/>
        </w:rPr>
      </w:pPr>
    </w:p>
  </w:footnote>
  <w:footnote w:id="52">
    <w:p w14:paraId="66052BC9" w14:textId="77777777" w:rsidR="00EC3CA7" w:rsidRDefault="00AF30F5">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Rodríguez Libardo, Derecho Administrativo, general y colombiano, Editorial Temis, (2015), Bogotá, Colombia, p. 160.</w:t>
      </w:r>
    </w:p>
  </w:footnote>
  <w:footnote w:id="53">
    <w:p w14:paraId="6F6D9D07" w14:textId="77777777" w:rsidR="00EC3CA7" w:rsidRDefault="00AF30F5">
      <w:pPr>
        <w:spacing w:after="0" w:line="240" w:lineRule="auto"/>
        <w:ind w:firstLine="708"/>
        <w:rPr>
          <w:rFonts w:ascii="Arial" w:eastAsia="Arial" w:hAnsi="Arial" w:cs="Arial"/>
          <w:sz w:val="19"/>
          <w:szCs w:val="19"/>
        </w:rPr>
      </w:pPr>
      <w:r>
        <w:rPr>
          <w:vertAlign w:val="superscript"/>
        </w:rPr>
        <w:footnoteRef/>
      </w:r>
      <w:r>
        <w:rPr>
          <w:rFonts w:ascii="Arial" w:eastAsia="Arial" w:hAnsi="Arial" w:cs="Arial"/>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Pr>
          <w:rFonts w:ascii="Arial" w:eastAsia="Arial" w:hAnsi="Arial" w:cs="Arial"/>
          <w:color w:val="333333"/>
          <w:sz w:val="19"/>
          <w:szCs w:val="19"/>
          <w:highlight w:val="white"/>
        </w:rPr>
        <w:t>las que surgen por la voluntad asociativa de los entes públicos entre sí o con la intervención de particulares, previa autorización legal» (Concepto del 26 de octubre de 2000, Rad. 1291, M.P. Augusto Trejos Jaramillo).</w:t>
      </w:r>
    </w:p>
  </w:footnote>
  <w:footnote w:id="54">
    <w:p w14:paraId="5B2DFBAB" w14:textId="77777777" w:rsidR="00EC3CA7" w:rsidRDefault="00AF30F5">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Ver, Tafur Galvis Álvaro, las entidades descentralizadas, Bogotá, Editorial, Montoya y Araujo, (1984), p. 205. </w:t>
      </w:r>
    </w:p>
  </w:footnote>
  <w:footnote w:id="55">
    <w:p w14:paraId="0E1CBF24" w14:textId="77777777" w:rsidR="00EC3CA7" w:rsidRDefault="00AF30F5">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Sala de Consulta y Servicio Civil, Concepto Rad 1291, Ob. Cit. </w:t>
      </w:r>
    </w:p>
  </w:footnote>
  <w:footnote w:id="56">
    <w:p w14:paraId="7FDD90C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C-374 del 25 de agosto de 1994, M.P. Jorge Arango Mejía. </w:t>
      </w:r>
    </w:p>
  </w:footnote>
  <w:footnote w:id="57">
    <w:p w14:paraId="720743A8" w14:textId="77777777" w:rsidR="00EC3CA7" w:rsidRDefault="00AF30F5">
      <w:pPr>
        <w:pBdr>
          <w:top w:val="nil"/>
          <w:left w:val="nil"/>
          <w:bottom w:val="nil"/>
          <w:right w:val="nil"/>
          <w:between w:val="nil"/>
        </w:pBdr>
        <w:spacing w:after="0" w:line="240" w:lineRule="auto"/>
        <w:ind w:firstLine="709"/>
        <w:rPr>
          <w:rFonts w:ascii="Arial" w:eastAsia="Arial" w:hAnsi="Arial" w:cs="Arial"/>
          <w:i/>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i/>
          <w:color w:val="000000"/>
          <w:sz w:val="19"/>
          <w:szCs w:val="19"/>
        </w:rPr>
        <w:t>Ibid</w:t>
      </w:r>
    </w:p>
    <w:p w14:paraId="1BBB7480"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i/>
          <w:color w:val="000000"/>
          <w:sz w:val="19"/>
          <w:szCs w:val="19"/>
        </w:rPr>
        <w:t>.</w:t>
      </w:r>
    </w:p>
  </w:footnote>
  <w:footnote w:id="58">
    <w:p w14:paraId="01711EB5"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p>
  </w:footnote>
  <w:footnote w:id="59">
    <w:p w14:paraId="6BB3AED0"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Registraduría Nacional del Estado Civil, Resolución 2098 del 12 de marzo de 2021, mediante la cual «se fija el calendario electoral del Congreso de la República que se realizarán el 13 de marzo». </w:t>
      </w:r>
    </w:p>
  </w:footnote>
  <w:footnote w:id="60">
    <w:p w14:paraId="67465015"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p>
    <w:p w14:paraId="0F7B1803"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61">
    <w:p w14:paraId="0054F187"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Cuyo texto completo puede ser consultado en el link https:/Iidm.presidencia.gov.co/Documents/2021-354-Fallo-tutela-primera instancia.pdf </w:t>
      </w:r>
    </w:p>
    <w:p w14:paraId="55C271A1"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B5D2" w14:textId="77777777" w:rsidR="00EC3CA7" w:rsidRDefault="00AF30F5">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14B0A9A0" wp14:editId="5868143F">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075E0605" w14:textId="77777777" w:rsidR="00EC3CA7" w:rsidRDefault="00EC3CA7">
    <w:pPr>
      <w:pBdr>
        <w:top w:val="nil"/>
        <w:left w:val="nil"/>
        <w:bottom w:val="nil"/>
        <w:right w:val="nil"/>
        <w:between w:val="nil"/>
      </w:pBdr>
      <w:tabs>
        <w:tab w:val="center" w:pos="4252"/>
        <w:tab w:val="right" w:pos="8504"/>
      </w:tabs>
      <w:spacing w:after="0"/>
      <w:rPr>
        <w:color w:val="000000"/>
      </w:rPr>
    </w:pPr>
  </w:p>
  <w:p w14:paraId="3D19A14B" w14:textId="77777777" w:rsidR="00EC3CA7" w:rsidRDefault="00EC3CA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A7"/>
    <w:rsid w:val="00236BEB"/>
    <w:rsid w:val="002F0EC1"/>
    <w:rsid w:val="00766F9F"/>
    <w:rsid w:val="008D45C8"/>
    <w:rsid w:val="009643D7"/>
    <w:rsid w:val="009C099A"/>
    <w:rsid w:val="00AF30F5"/>
    <w:rsid w:val="00C715B8"/>
    <w:rsid w:val="00E13784"/>
    <w:rsid w:val="00EC3C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9AB2"/>
  <w15:docId w15:val="{89CC81D4-983B-8A4A-95C5-A0EC463A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236BEB"/>
    <w:pPr>
      <w:spacing w:after="0" w:line="240" w:lineRule="auto"/>
      <w:jc w:val="left"/>
    </w:pPr>
  </w:style>
  <w:style w:type="paragraph" w:styleId="Sinespaciado">
    <w:name w:val="No Spacing"/>
    <w:uiPriority w:val="1"/>
    <w:qFormat/>
    <w:rsid w:val="008D45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41D0970-8F00-4FB7-8E33-F6FAD862C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498D5-6946-4EBA-A892-3F9D18C11C34}">
  <ds:schemaRefs>
    <ds:schemaRef ds:uri="http://schemas.microsoft.com/sharepoint/v3/contenttype/forms"/>
  </ds:schemaRefs>
</ds:datastoreItem>
</file>

<file path=customXml/itemProps3.xml><?xml version="1.0" encoding="utf-8"?>
<ds:datastoreItem xmlns:ds="http://schemas.openxmlformats.org/officeDocument/2006/customXml" ds:itemID="{DA74A8F0-AE06-405F-ADC8-430AF2350F4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14036</Words>
  <Characters>77198</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Rojas Mejia</cp:lastModifiedBy>
  <cp:revision>4</cp:revision>
  <dcterms:created xsi:type="dcterms:W3CDTF">2022-04-27T14:17:00Z</dcterms:created>
  <dcterms:modified xsi:type="dcterms:W3CDTF">2022-05-05T19:36:00Z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