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95E" w14:textId="670BF771" w:rsidR="003661DD" w:rsidRPr="003661DD" w:rsidRDefault="002411DE" w:rsidP="008A7B6B">
      <w:pPr>
        <w:tabs>
          <w:tab w:val="left" w:pos="6551"/>
        </w:tabs>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Default="000C0444" w:rsidP="008A7B6B">
      <w:pPr>
        <w:tabs>
          <w:tab w:val="left" w:pos="6551"/>
        </w:tabs>
        <w:jc w:val="both"/>
        <w:rPr>
          <w:rFonts w:ascii="Arial" w:eastAsia="Calibri" w:hAnsi="Arial" w:cs="Arial"/>
          <w:bCs/>
          <w:sz w:val="20"/>
          <w:szCs w:val="20"/>
        </w:rPr>
      </w:pPr>
    </w:p>
    <w:p w14:paraId="03B09A17" w14:textId="77777777" w:rsidR="00AE01CA" w:rsidRPr="00A7133F" w:rsidRDefault="00AE01CA" w:rsidP="008A7B6B">
      <w:pPr>
        <w:tabs>
          <w:tab w:val="left" w:pos="6551"/>
        </w:tabs>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EMPATE – Procedimiento de selección – Concepto</w:t>
      </w:r>
    </w:p>
    <w:p w14:paraId="19B32098" w14:textId="77777777" w:rsidR="00AE01CA" w:rsidRDefault="00AE01CA" w:rsidP="008A7B6B">
      <w:pPr>
        <w:tabs>
          <w:tab w:val="left" w:pos="6551"/>
        </w:tabs>
        <w:jc w:val="both"/>
        <w:rPr>
          <w:rFonts w:ascii="Arial" w:eastAsia="Calibri" w:hAnsi="Arial" w:cs="Arial"/>
          <w:color w:val="000000" w:themeColor="text1"/>
          <w:sz w:val="20"/>
          <w:szCs w:val="20"/>
          <w:lang w:val="es-ES_tradnl"/>
        </w:rPr>
      </w:pPr>
    </w:p>
    <w:p w14:paraId="05D42447" w14:textId="77777777" w:rsidR="00314F99" w:rsidRPr="00314F99" w:rsidRDefault="00AE01CA" w:rsidP="00314F99">
      <w:pPr>
        <w:tabs>
          <w:tab w:val="left" w:pos="6551"/>
        </w:tabs>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00314F99" w:rsidRPr="00314F99">
        <w:rPr>
          <w:rFonts w:ascii="Arial" w:eastAsia="Calibri" w:hAnsi="Arial" w:cs="Arial"/>
          <w:color w:val="000000" w:themeColor="text1"/>
          <w:sz w:val="20"/>
          <w:szCs w:val="20"/>
          <w:lang w:val="es-ES_tradnl"/>
        </w:rPr>
        <w:t xml:space="preserve">los requisitos habilitantes o de participación, así como los criterios de evaluación o de calificación con puntos, son instrumentos por medio de los cuales se pretende materializar el principio de selección objetiva en la contratación pública. Sin embargo, en algunas ocasiones, así se establezcan requisitos habilitantes y factores de calificación idóneos,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equivalente, al ponderarse los criterios de calificación que, en principio, aplican al procedimiento de selección. </w:t>
      </w:r>
    </w:p>
    <w:p w14:paraId="62D3304D" w14:textId="77777777" w:rsidR="00AE01CA" w:rsidRPr="00A7133F" w:rsidRDefault="00AE01CA" w:rsidP="008A7B6B">
      <w:pPr>
        <w:tabs>
          <w:tab w:val="left" w:pos="6551"/>
        </w:tabs>
        <w:jc w:val="both"/>
        <w:rPr>
          <w:rFonts w:ascii="Arial" w:eastAsia="Calibri" w:hAnsi="Arial" w:cs="Arial"/>
          <w:b/>
          <w:color w:val="000000" w:themeColor="text1"/>
          <w:sz w:val="22"/>
          <w:lang w:val="es-ES_tradnl"/>
        </w:rPr>
      </w:pPr>
    </w:p>
    <w:p w14:paraId="5AF0F0A8" w14:textId="77777777" w:rsidR="00AE01CA" w:rsidRPr="00A7133F" w:rsidRDefault="00AE01CA" w:rsidP="008A7B6B">
      <w:pPr>
        <w:tabs>
          <w:tab w:val="left" w:pos="6551"/>
        </w:tabs>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FACTORES DE DESEMPATE – Características – Límites</w:t>
      </w:r>
    </w:p>
    <w:p w14:paraId="684D5271" w14:textId="77777777" w:rsidR="00AE01CA" w:rsidRPr="00A7133F" w:rsidRDefault="00AE01CA" w:rsidP="008A7B6B">
      <w:pPr>
        <w:tabs>
          <w:tab w:val="left" w:pos="6551"/>
        </w:tabs>
        <w:spacing w:line="276" w:lineRule="auto"/>
        <w:jc w:val="both"/>
        <w:rPr>
          <w:rFonts w:ascii="Arial" w:hAnsi="Arial" w:cs="Arial"/>
          <w:noProof/>
          <w:color w:val="000000" w:themeColor="text1"/>
          <w:sz w:val="22"/>
          <w:lang w:val="es-ES_tradnl"/>
        </w:rPr>
      </w:pPr>
    </w:p>
    <w:p w14:paraId="013C473E" w14:textId="75715846" w:rsidR="00314F99" w:rsidRDefault="00314F99" w:rsidP="00314F99">
      <w:pPr>
        <w:tabs>
          <w:tab w:val="left" w:pos="6551"/>
        </w:tabs>
        <w:jc w:val="both"/>
        <w:rPr>
          <w:rFonts w:ascii="Arial" w:eastAsia="Calibri" w:hAnsi="Arial" w:cs="Arial"/>
          <w:color w:val="000000" w:themeColor="text1"/>
          <w:sz w:val="20"/>
          <w:szCs w:val="20"/>
          <w:lang w:val="es-ES_tradnl"/>
        </w:rPr>
      </w:pPr>
      <w:r w:rsidRPr="00314F99">
        <w:rPr>
          <w:rFonts w:ascii="Arial" w:eastAsia="Calibri" w:hAnsi="Arial" w:cs="Arial"/>
          <w:color w:val="000000" w:themeColor="text1"/>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debe aplicarse acudiendo a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3ECA6429" w14:textId="77777777" w:rsidR="00314F99" w:rsidRPr="00314F99" w:rsidRDefault="00314F99" w:rsidP="00314F99">
      <w:pPr>
        <w:tabs>
          <w:tab w:val="left" w:pos="6551"/>
        </w:tabs>
        <w:jc w:val="both"/>
        <w:rPr>
          <w:rFonts w:ascii="Arial" w:eastAsia="Calibri" w:hAnsi="Arial" w:cs="Arial"/>
          <w:color w:val="000000" w:themeColor="text1"/>
          <w:sz w:val="20"/>
          <w:szCs w:val="20"/>
          <w:lang w:val="es-ES_tradnl"/>
        </w:rPr>
      </w:pPr>
    </w:p>
    <w:p w14:paraId="435AFC9D" w14:textId="7C81EA64" w:rsidR="00314F99" w:rsidRDefault="00314F99" w:rsidP="00314F99">
      <w:pPr>
        <w:tabs>
          <w:tab w:val="left" w:pos="6551"/>
        </w:tabs>
        <w:jc w:val="both"/>
        <w:rPr>
          <w:rFonts w:ascii="Arial" w:eastAsia="Calibri" w:hAnsi="Arial" w:cs="Arial"/>
          <w:color w:val="000000" w:themeColor="text1"/>
          <w:sz w:val="20"/>
          <w:szCs w:val="20"/>
          <w:lang w:val="es-ES_tradnl"/>
        </w:rPr>
      </w:pPr>
      <w:r w:rsidRPr="00314F99">
        <w:rPr>
          <w:rFonts w:ascii="Arial" w:eastAsia="Calibri" w:hAnsi="Arial" w:cs="Arial"/>
          <w:color w:val="000000" w:themeColor="text1"/>
          <w:sz w:val="20"/>
          <w:szCs w:val="20"/>
          <w:lang w:val="es-ES_tradnl"/>
        </w:rPr>
        <w:t xml:space="preserve">En tal sentido, la Corte Constitucional explica que cuando la ley establece factores de desempate obligatorios, las entidades estatales no pueden </w:t>
      </w:r>
      <w:proofErr w:type="spellStart"/>
      <w:r w:rsidRPr="00314F99">
        <w:rPr>
          <w:rFonts w:ascii="Arial" w:eastAsia="Calibri" w:hAnsi="Arial" w:cs="Arial"/>
          <w:color w:val="000000" w:themeColor="text1"/>
          <w:sz w:val="20"/>
          <w:szCs w:val="20"/>
          <w:lang w:val="es-ES_tradnl"/>
        </w:rPr>
        <w:t>inaplicarlos</w:t>
      </w:r>
      <w:proofErr w:type="spellEnd"/>
      <w:r w:rsidRPr="00314F99">
        <w:rPr>
          <w:rFonts w:ascii="Arial" w:eastAsia="Calibri" w:hAnsi="Arial" w:cs="Arial"/>
          <w:color w:val="000000" w:themeColor="text1"/>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r>
        <w:rPr>
          <w:rFonts w:ascii="Arial" w:eastAsia="Calibri" w:hAnsi="Arial" w:cs="Arial"/>
          <w:color w:val="000000" w:themeColor="text1"/>
          <w:sz w:val="20"/>
          <w:szCs w:val="20"/>
          <w:lang w:val="es-ES_tradnl"/>
        </w:rPr>
        <w:t>.</w:t>
      </w:r>
    </w:p>
    <w:p w14:paraId="4FDDE9C5" w14:textId="77777777" w:rsidR="00AE01CA" w:rsidRPr="00A7133F" w:rsidRDefault="00AE01CA" w:rsidP="008A7B6B">
      <w:pPr>
        <w:tabs>
          <w:tab w:val="left" w:pos="6551"/>
        </w:tabs>
        <w:jc w:val="both"/>
        <w:rPr>
          <w:rFonts w:ascii="Arial" w:eastAsia="Calibri" w:hAnsi="Arial" w:cs="Arial"/>
          <w:b/>
          <w:color w:val="000000" w:themeColor="text1"/>
          <w:sz w:val="22"/>
          <w:lang w:val="es-ES_tradnl"/>
        </w:rPr>
      </w:pPr>
    </w:p>
    <w:p w14:paraId="0F5E072E" w14:textId="77777777" w:rsidR="00AE01CA" w:rsidRPr="00A7133F" w:rsidRDefault="00AE01CA" w:rsidP="008A7B6B">
      <w:pPr>
        <w:tabs>
          <w:tab w:val="left" w:pos="6551"/>
        </w:tabs>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 xml:space="preserve">LEY DE EMPRENDIMIENTO – Ley 2069 de 2020 – Vigencia </w:t>
      </w:r>
    </w:p>
    <w:p w14:paraId="254636AC" w14:textId="77777777" w:rsidR="00AE01CA" w:rsidRPr="00A7133F" w:rsidRDefault="00AE01CA" w:rsidP="008A7B6B">
      <w:pPr>
        <w:tabs>
          <w:tab w:val="left" w:pos="6551"/>
        </w:tabs>
        <w:jc w:val="both"/>
        <w:rPr>
          <w:rFonts w:ascii="Arial" w:eastAsia="Calibri" w:hAnsi="Arial" w:cs="Arial"/>
          <w:b/>
          <w:color w:val="000000" w:themeColor="text1"/>
          <w:sz w:val="22"/>
          <w:lang w:val="es-ES_tradnl"/>
        </w:rPr>
      </w:pPr>
    </w:p>
    <w:p w14:paraId="12342923" w14:textId="59F4A020" w:rsidR="00AE01CA" w:rsidRDefault="00314F99" w:rsidP="008A7B6B">
      <w:pPr>
        <w:tabs>
          <w:tab w:val="left" w:pos="6551"/>
        </w:tabs>
        <w:jc w:val="both"/>
        <w:rPr>
          <w:rFonts w:ascii="Arial" w:eastAsia="Calibri" w:hAnsi="Arial" w:cs="Arial"/>
          <w:color w:val="000000" w:themeColor="text1"/>
          <w:sz w:val="20"/>
          <w:szCs w:val="20"/>
          <w:lang w:val="es-ES_tradnl"/>
        </w:rPr>
      </w:pPr>
      <w:r w:rsidRPr="00314F99">
        <w:rPr>
          <w:rFonts w:ascii="Arial" w:eastAsia="Calibri" w:hAnsi="Arial" w:cs="Arial"/>
          <w:color w:val="000000" w:themeColor="text1"/>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tal como aconteció con el Decreto 1860 de 2021, al cual se hará referencia más adelante.</w:t>
      </w:r>
    </w:p>
    <w:p w14:paraId="18AFC1B8" w14:textId="77777777" w:rsidR="00314F99" w:rsidRPr="00A7133F" w:rsidRDefault="00314F99" w:rsidP="008A7B6B">
      <w:pPr>
        <w:tabs>
          <w:tab w:val="left" w:pos="6551"/>
        </w:tabs>
        <w:jc w:val="both"/>
        <w:rPr>
          <w:rFonts w:ascii="Arial" w:eastAsia="Calibri" w:hAnsi="Arial" w:cs="Arial"/>
          <w:color w:val="000000" w:themeColor="text1"/>
          <w:sz w:val="20"/>
          <w:szCs w:val="20"/>
          <w:lang w:val="es-ES_tradnl"/>
        </w:rPr>
      </w:pPr>
    </w:p>
    <w:p w14:paraId="0F21BE36" w14:textId="11CFEE01" w:rsidR="00314F99" w:rsidRDefault="00314F99" w:rsidP="008A7B6B">
      <w:pPr>
        <w:tabs>
          <w:tab w:val="left" w:pos="6551"/>
        </w:tabs>
        <w:jc w:val="both"/>
        <w:rPr>
          <w:rFonts w:ascii="Arial" w:eastAsia="Calibri" w:hAnsi="Arial" w:cs="Arial"/>
          <w:color w:val="000000" w:themeColor="text1"/>
          <w:sz w:val="20"/>
          <w:szCs w:val="20"/>
          <w:lang w:val="es-ES_tradnl"/>
        </w:rPr>
      </w:pPr>
      <w:r w:rsidRPr="00314F99">
        <w:rPr>
          <w:rFonts w:ascii="Arial" w:eastAsia="Calibri" w:hAnsi="Arial" w:cs="Arial"/>
          <w:color w:val="000000" w:themeColor="text1"/>
          <w:sz w:val="20"/>
          <w:szCs w:val="20"/>
          <w:lang w:val="es-ES_tradnl"/>
        </w:rPr>
        <w:t xml:space="preserve">En cuanto al contenido de la Ley 2069 de 2020,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314F99">
        <w:rPr>
          <w:rFonts w:ascii="Arial" w:eastAsia="Calibri" w:hAnsi="Arial" w:cs="Arial"/>
          <w:color w:val="000000" w:themeColor="text1"/>
          <w:sz w:val="20"/>
          <w:szCs w:val="20"/>
          <w:lang w:val="es-ES_tradnl"/>
        </w:rPr>
        <w:t>de acuerdo a</w:t>
      </w:r>
      <w:proofErr w:type="gramEnd"/>
      <w:r w:rsidRPr="00314F99">
        <w:rPr>
          <w:rFonts w:ascii="Arial" w:eastAsia="Calibri" w:hAnsi="Arial" w:cs="Arial"/>
          <w:color w:val="000000" w:themeColor="text1"/>
          <w:sz w:val="20"/>
          <w:szCs w:val="20"/>
          <w:lang w:val="es-ES_tradnl"/>
        </w:rPr>
        <w:t xml:space="preserve"> las realidades socioeconómicas de cada región». En desarrollo de esta finalidad, se establecen medidas de apoyo para las micro, pequeñas y medianas empresas –</w:t>
      </w:r>
      <w:proofErr w:type="spellStart"/>
      <w:r w:rsidRPr="00314F99">
        <w:rPr>
          <w:rFonts w:ascii="Arial" w:eastAsia="Calibri" w:hAnsi="Arial" w:cs="Arial"/>
          <w:color w:val="000000" w:themeColor="text1"/>
          <w:sz w:val="20"/>
          <w:szCs w:val="20"/>
          <w:lang w:val="es-ES_tradnl"/>
        </w:rPr>
        <w:t>mipymes</w:t>
      </w:r>
      <w:proofErr w:type="spellEnd"/>
      <w:r w:rsidRPr="00314F99">
        <w:rPr>
          <w:rFonts w:ascii="Arial" w:eastAsia="Calibri" w:hAnsi="Arial" w:cs="Arial"/>
          <w:color w:val="000000" w:themeColor="text1"/>
          <w:sz w:val="20"/>
          <w:szCs w:val="20"/>
          <w:lang w:val="es-ES_tradnl"/>
        </w:rPr>
        <w:t xml:space="preserve">–, mediante la racionalización y simplificación de los trámites y tarifas, así como incentivos a favor de aquellas dentro del sistema </w:t>
      </w:r>
      <w:r w:rsidRPr="00314F99">
        <w:rPr>
          <w:rFonts w:ascii="Arial" w:eastAsia="Calibri" w:hAnsi="Arial" w:cs="Arial"/>
          <w:color w:val="000000" w:themeColor="text1"/>
          <w:sz w:val="20"/>
          <w:szCs w:val="20"/>
          <w:lang w:val="es-ES_tradnl"/>
        </w:rPr>
        <w:lastRenderedPageBreak/>
        <w:t>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Pr>
          <w:rFonts w:ascii="Arial" w:eastAsia="Calibri" w:hAnsi="Arial" w:cs="Arial"/>
          <w:color w:val="000000" w:themeColor="text1"/>
          <w:sz w:val="20"/>
          <w:szCs w:val="20"/>
          <w:lang w:val="es-ES_tradnl"/>
        </w:rPr>
        <w:t>.</w:t>
      </w:r>
    </w:p>
    <w:p w14:paraId="532F270E" w14:textId="77777777" w:rsidR="00A01634" w:rsidRDefault="00A01634" w:rsidP="008A7B6B">
      <w:pPr>
        <w:tabs>
          <w:tab w:val="left" w:pos="6551"/>
        </w:tabs>
        <w:jc w:val="both"/>
        <w:rPr>
          <w:rFonts w:ascii="Arial" w:eastAsia="Calibri" w:hAnsi="Arial" w:cs="Arial"/>
          <w:color w:val="000000" w:themeColor="text1"/>
          <w:sz w:val="20"/>
          <w:szCs w:val="20"/>
          <w:lang w:val="es-ES_tradnl"/>
        </w:rPr>
      </w:pPr>
    </w:p>
    <w:p w14:paraId="52FA1A7A" w14:textId="33DB7D9C" w:rsidR="00A01634" w:rsidRPr="001B0268" w:rsidRDefault="00A01634" w:rsidP="008A7B6B">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PERSONAS MAYORES</w:t>
      </w:r>
      <w:r w:rsidRPr="001B0268">
        <w:rPr>
          <w:rFonts w:ascii="Arial" w:eastAsia="Calibri" w:hAnsi="Arial" w:cs="Arial"/>
          <w:b/>
          <w:color w:val="000000" w:themeColor="text1"/>
          <w:sz w:val="22"/>
          <w:lang w:val="es-ES_tradnl"/>
        </w:rPr>
        <w:t xml:space="preserve"> – Ley 20</w:t>
      </w:r>
      <w:r>
        <w:rPr>
          <w:rFonts w:ascii="Arial" w:eastAsia="Calibri" w:hAnsi="Arial" w:cs="Arial"/>
          <w:b/>
          <w:color w:val="000000" w:themeColor="text1"/>
          <w:sz w:val="22"/>
          <w:lang w:val="es-ES_tradnl"/>
        </w:rPr>
        <w:t>40 de 2020</w:t>
      </w:r>
      <w:r w:rsidRPr="001B0268">
        <w:rPr>
          <w:rFonts w:ascii="Arial" w:eastAsia="Calibri" w:hAnsi="Arial" w:cs="Arial"/>
          <w:b/>
          <w:color w:val="000000" w:themeColor="text1"/>
          <w:sz w:val="22"/>
          <w:lang w:val="es-ES_tradnl"/>
        </w:rPr>
        <w:t xml:space="preserve"> – Artículo </w:t>
      </w:r>
      <w:r>
        <w:rPr>
          <w:rFonts w:ascii="Arial" w:eastAsia="Calibri" w:hAnsi="Arial" w:cs="Arial"/>
          <w:b/>
          <w:color w:val="000000" w:themeColor="text1"/>
          <w:sz w:val="22"/>
          <w:lang w:val="es-ES_tradnl"/>
        </w:rPr>
        <w:t>3</w:t>
      </w:r>
      <w:r w:rsidRPr="001B0268">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 Subrogación </w:t>
      </w:r>
      <w:r w:rsidRPr="001B0268">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Vigencia</w:t>
      </w:r>
    </w:p>
    <w:p w14:paraId="5FD6A4B8" w14:textId="77777777" w:rsidR="00A01634" w:rsidRDefault="00A01634" w:rsidP="008A7B6B">
      <w:pPr>
        <w:tabs>
          <w:tab w:val="left" w:pos="6551"/>
        </w:tabs>
        <w:jc w:val="both"/>
        <w:rPr>
          <w:rFonts w:ascii="Arial" w:hAnsi="Arial" w:cs="Arial"/>
          <w:noProof/>
          <w:color w:val="000000" w:themeColor="text1"/>
          <w:sz w:val="20"/>
          <w:szCs w:val="20"/>
          <w:lang w:val="es-ES_tradnl"/>
        </w:rPr>
      </w:pPr>
    </w:p>
    <w:p w14:paraId="65589978" w14:textId="5797255E" w:rsidR="00A01634" w:rsidRPr="00A01634" w:rsidRDefault="00314F99" w:rsidP="008A7B6B">
      <w:pPr>
        <w:tabs>
          <w:tab w:val="left" w:pos="6551"/>
        </w:tabs>
        <w:jc w:val="both"/>
        <w:rPr>
          <w:rFonts w:ascii="Arial" w:eastAsia="Calibri" w:hAnsi="Arial" w:cs="Arial"/>
          <w:color w:val="000000" w:themeColor="text1"/>
          <w:sz w:val="20"/>
          <w:szCs w:val="20"/>
          <w:lang w:val="es-ES_tradnl"/>
        </w:rPr>
      </w:pPr>
      <w:r w:rsidRPr="00314F99">
        <w:rPr>
          <w:rFonts w:ascii="Arial" w:eastAsia="Calibri" w:hAnsi="Arial" w:cs="Arial"/>
          <w:color w:val="000000" w:themeColor="text1"/>
          <w:sz w:val="20"/>
          <w:szCs w:val="20"/>
          <w:lang w:val="es-ES_tradnl"/>
        </w:rPr>
        <w:t xml:space="preserve">El parágrafo cuarto, que se había adicionado al artículo 12 de la Ley 1150 de 2007 en virtud de la Ley 2040 de 2020, se vio afectado por el efecto de la </w:t>
      </w:r>
      <w:r w:rsidRPr="00314F99">
        <w:rPr>
          <w:rFonts w:ascii="Arial" w:eastAsia="Calibri" w:hAnsi="Arial" w:cs="Arial"/>
          <w:i/>
          <w:iCs/>
          <w:color w:val="000000" w:themeColor="text1"/>
          <w:sz w:val="20"/>
          <w:szCs w:val="20"/>
          <w:lang w:val="es-ES_tradnl"/>
        </w:rPr>
        <w:t>subrogación</w:t>
      </w:r>
      <w:r w:rsidRPr="00314F99">
        <w:rPr>
          <w:rFonts w:ascii="Arial" w:eastAsia="Calibri" w:hAnsi="Arial" w:cs="Arial"/>
          <w:color w:val="000000" w:themeColor="text1"/>
          <w:sz w:val="20"/>
          <w:szCs w:val="20"/>
          <w:lang w:val="es-ES_tradnl"/>
        </w:rPr>
        <w:t xml:space="preserve"> producida por el artículo 34 de la Ley 2069 de 2020, porque en este artículo no se dice que se mantiene vigente el parágrafo citado. En otras palabras,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ya que no está vigente</w:t>
      </w:r>
      <w:r>
        <w:rPr>
          <w:rFonts w:ascii="Arial" w:eastAsia="Calibri" w:hAnsi="Arial" w:cs="Arial"/>
          <w:color w:val="000000" w:themeColor="text1"/>
          <w:sz w:val="20"/>
          <w:szCs w:val="20"/>
          <w:lang w:val="es-ES_tradnl"/>
        </w:rPr>
        <w:t xml:space="preserve">. </w:t>
      </w:r>
    </w:p>
    <w:p w14:paraId="2F25AB73" w14:textId="77777777" w:rsidR="00A01634" w:rsidRDefault="00A01634" w:rsidP="008A7B6B">
      <w:pPr>
        <w:tabs>
          <w:tab w:val="left" w:pos="6551"/>
        </w:tabs>
        <w:jc w:val="both"/>
        <w:rPr>
          <w:rFonts w:ascii="Arial" w:eastAsia="Calibri" w:hAnsi="Arial" w:cs="Arial"/>
          <w:b/>
          <w:color w:val="000000" w:themeColor="text1"/>
          <w:sz w:val="22"/>
          <w:lang w:val="es-ES_tradnl"/>
        </w:rPr>
      </w:pPr>
    </w:p>
    <w:p w14:paraId="039DBC32" w14:textId="12E35D55" w:rsidR="00AE01CA" w:rsidRPr="00A7133F" w:rsidRDefault="00AE01CA" w:rsidP="008A7B6B">
      <w:pPr>
        <w:tabs>
          <w:tab w:val="left" w:pos="6551"/>
        </w:tabs>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FACTORES DE DESEMPATE – Ley 2069 – Artículo 35 –</w:t>
      </w:r>
      <w:r w:rsidR="00A01634">
        <w:rPr>
          <w:rFonts w:ascii="Arial" w:eastAsia="Calibri" w:hAnsi="Arial" w:cs="Arial"/>
          <w:b/>
          <w:color w:val="000000" w:themeColor="text1"/>
          <w:sz w:val="22"/>
          <w:lang w:val="es-ES_tradnl"/>
        </w:rPr>
        <w:t xml:space="preserve"> Numeral 4 </w:t>
      </w:r>
      <w:r w:rsidR="00A01634" w:rsidRPr="00A7133F">
        <w:rPr>
          <w:rFonts w:ascii="Arial" w:eastAsia="Calibri" w:hAnsi="Arial" w:cs="Arial"/>
          <w:b/>
          <w:color w:val="000000" w:themeColor="text1"/>
          <w:sz w:val="22"/>
          <w:lang w:val="es-ES_tradnl"/>
        </w:rPr>
        <w:t>–</w:t>
      </w:r>
      <w:r w:rsidR="00A01634">
        <w:rPr>
          <w:rFonts w:ascii="Arial" w:eastAsia="Calibri" w:hAnsi="Arial" w:cs="Arial"/>
          <w:b/>
          <w:color w:val="000000" w:themeColor="text1"/>
          <w:sz w:val="22"/>
          <w:lang w:val="es-ES_tradnl"/>
        </w:rPr>
        <w:t xml:space="preserve"> </w:t>
      </w:r>
      <w:r w:rsidR="003C0060">
        <w:rPr>
          <w:rFonts w:ascii="Arial" w:eastAsia="Calibri" w:hAnsi="Arial" w:cs="Arial"/>
          <w:b/>
          <w:color w:val="000000" w:themeColor="text1"/>
          <w:sz w:val="22"/>
          <w:lang w:val="es-ES_tradnl"/>
        </w:rPr>
        <w:t xml:space="preserve">Vinculación </w:t>
      </w:r>
      <w:r w:rsidR="00A01634">
        <w:rPr>
          <w:rFonts w:ascii="Arial" w:eastAsia="Calibri" w:hAnsi="Arial" w:cs="Arial"/>
          <w:b/>
          <w:color w:val="000000" w:themeColor="text1"/>
          <w:sz w:val="22"/>
          <w:lang w:val="es-ES_tradnl"/>
        </w:rPr>
        <w:t xml:space="preserve"> </w:t>
      </w:r>
    </w:p>
    <w:p w14:paraId="55497FF7" w14:textId="77777777" w:rsidR="00AE01CA" w:rsidRPr="00A7133F" w:rsidRDefault="00AE01CA" w:rsidP="008A7B6B">
      <w:pPr>
        <w:tabs>
          <w:tab w:val="left" w:pos="6551"/>
        </w:tabs>
        <w:spacing w:line="276" w:lineRule="auto"/>
        <w:jc w:val="both"/>
        <w:rPr>
          <w:rFonts w:ascii="Arial" w:hAnsi="Arial" w:cs="Arial"/>
          <w:noProof/>
          <w:color w:val="000000" w:themeColor="text1"/>
          <w:sz w:val="22"/>
          <w:lang w:val="es-ES_tradnl"/>
        </w:rPr>
      </w:pPr>
    </w:p>
    <w:p w14:paraId="207466A4" w14:textId="77777777" w:rsidR="00314F99" w:rsidRPr="00314F99" w:rsidRDefault="004C2DD8" w:rsidP="00314F99">
      <w:pPr>
        <w:tabs>
          <w:tab w:val="left" w:pos="6551"/>
        </w:tabs>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Pr="004C2DD8">
        <w:rPr>
          <w:rFonts w:ascii="Arial" w:eastAsia="Calibri" w:hAnsi="Arial" w:cs="Arial"/>
          <w:color w:val="000000" w:themeColor="text1"/>
          <w:sz w:val="20"/>
          <w:szCs w:val="20"/>
          <w:lang w:val="es-ES_tradnl"/>
        </w:rPr>
        <w:t xml:space="preserve"> </w:t>
      </w:r>
      <w:r w:rsidR="00314F99" w:rsidRPr="00314F99">
        <w:rPr>
          <w:rFonts w:ascii="Arial" w:eastAsia="Calibri" w:hAnsi="Arial" w:cs="Arial"/>
          <w:color w:val="000000" w:themeColor="text1"/>
          <w:sz w:val="20"/>
          <w:szCs w:val="20"/>
          <w:lang w:val="es-ES_tradnl"/>
        </w:rPr>
        <w:t xml:space="preserve">el requisito de vinculación laboral de personas con un año mínimo de antigüedad al que alude el parágrafo 2 del artículo 35 de la Ley 2069 de 2020, es una condición intrínseca del numeral 4 sin la cual el proponente no podrá ser favorecido de esta regla de desempate. Por ello, el proponente además de acreditar la vinculación de personas mayores que no sean beneficiarios de la pensión de vejez, familiar o de sobrevivencia y que hayan cumplido el requisito de edad de pensión establecido en la Ley, deberá acreditar que dicha vinculación es, como mínimo, de un año antigüedad. La única excepción a este término está relacionada con el proponente que se haya constituido con una anterioridad menor al año, pues en este caso, como se expuso, deberá acreditar que el capital humano está vinculado al menos desde el momento de la constitución. </w:t>
      </w:r>
    </w:p>
    <w:p w14:paraId="3D6342DA" w14:textId="24086EB4" w:rsidR="004C2DD8" w:rsidRDefault="004C2DD8" w:rsidP="008A7B6B">
      <w:pPr>
        <w:tabs>
          <w:tab w:val="left" w:pos="6551"/>
        </w:tabs>
        <w:jc w:val="both"/>
        <w:rPr>
          <w:rFonts w:ascii="Arial" w:eastAsia="Calibri" w:hAnsi="Arial" w:cs="Arial"/>
          <w:color w:val="000000" w:themeColor="text1"/>
          <w:sz w:val="20"/>
          <w:szCs w:val="20"/>
          <w:lang w:val="es-ES_tradnl"/>
        </w:rPr>
      </w:pPr>
    </w:p>
    <w:p w14:paraId="26F6C446" w14:textId="77777777" w:rsidR="00314F99" w:rsidRPr="00314F99" w:rsidRDefault="00314F99" w:rsidP="00314F99">
      <w:pPr>
        <w:tabs>
          <w:tab w:val="left" w:pos="6551"/>
        </w:tabs>
        <w:jc w:val="both"/>
        <w:rPr>
          <w:rFonts w:ascii="Arial" w:eastAsia="Calibri" w:hAnsi="Arial" w:cs="Arial"/>
          <w:bCs/>
          <w:color w:val="000000" w:themeColor="text1"/>
          <w:sz w:val="20"/>
          <w:szCs w:val="20"/>
          <w:lang w:val="es-ES_tradnl"/>
        </w:rPr>
      </w:pPr>
      <w:r w:rsidRPr="00314F99">
        <w:rPr>
          <w:rFonts w:ascii="Arial" w:eastAsia="Calibri" w:hAnsi="Arial" w:cs="Arial"/>
          <w:bCs/>
          <w:color w:val="000000" w:themeColor="text1"/>
          <w:sz w:val="20"/>
          <w:szCs w:val="20"/>
          <w:lang w:val="es-ES_tradnl"/>
        </w:rPr>
        <w:t>Sin embargo, esta salvedad no puede extenderse a otros eventos o situaciones particulares diferentes a la descrita en la norma en favor de un proponente. En efecto, como se explicó, los factores de desempate son de obligatoria observancia y su aplicación es estricta de manera que no pueden aplicarse incluyendo eventos o excepciones que no estén amparadas en el ordenamiento jurídico. De este modo, aceptar criterios diferentes a los señalados en la norma bajo interpretaciones subjetivas no solo permitiría que la entidad discrecionalmente determine múltiples formas de aplicación de los factores de desempate para cada caso concreto, sino que también contraviene los principios de selección objetiva y de igualdad.</w:t>
      </w:r>
    </w:p>
    <w:p w14:paraId="0A11B349" w14:textId="77777777" w:rsidR="00AE01CA" w:rsidRDefault="00AE01CA" w:rsidP="008A7B6B">
      <w:pPr>
        <w:tabs>
          <w:tab w:val="left" w:pos="6551"/>
        </w:tabs>
        <w:jc w:val="both"/>
        <w:rPr>
          <w:rFonts w:ascii="Arial" w:eastAsia="Calibri" w:hAnsi="Arial" w:cs="Arial"/>
          <w:b/>
          <w:color w:val="000000" w:themeColor="text1"/>
          <w:sz w:val="22"/>
          <w:szCs w:val="22"/>
          <w:lang w:val="es-MX" w:eastAsia="en-US"/>
        </w:rPr>
      </w:pPr>
    </w:p>
    <w:bookmarkEnd w:id="2"/>
    <w:p w14:paraId="00103EFA" w14:textId="30B79A5A" w:rsidR="0085059A" w:rsidRDefault="003C0060" w:rsidP="008A7B6B">
      <w:pPr>
        <w:tabs>
          <w:tab w:val="left" w:pos="6551"/>
        </w:tabs>
        <w:spacing w:line="276" w:lineRule="auto"/>
        <w:jc w:val="both"/>
        <w:rPr>
          <w:rFonts w:ascii="Arial" w:hAnsi="Arial" w:cs="Arial"/>
          <w:noProof/>
          <w:color w:val="000000" w:themeColor="text1"/>
          <w:sz w:val="22"/>
          <w:lang w:val="pt-BR"/>
        </w:rPr>
      </w:pPr>
      <w:r w:rsidRPr="00A7133F">
        <w:rPr>
          <w:rFonts w:ascii="Arial" w:eastAsia="Calibri" w:hAnsi="Arial" w:cs="Arial"/>
          <w:b/>
          <w:color w:val="000000" w:themeColor="text1"/>
          <w:sz w:val="22"/>
          <w:lang w:val="es-ES_tradnl"/>
        </w:rPr>
        <w:t>FACTORES DE DESEMPATE</w:t>
      </w:r>
      <w:r>
        <w:rPr>
          <w:rFonts w:ascii="Arial" w:eastAsia="Calibri" w:hAnsi="Arial" w:cs="Arial"/>
          <w:b/>
          <w:color w:val="000000" w:themeColor="text1"/>
          <w:sz w:val="22"/>
          <w:lang w:val="es-ES_tradnl"/>
        </w:rPr>
        <w:t xml:space="preserve"> </w:t>
      </w:r>
      <w:r w:rsidRPr="00A7133F">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Decreto 1860 de 2021 – Vigencia </w:t>
      </w:r>
    </w:p>
    <w:p w14:paraId="0CB837FB" w14:textId="755B6C38" w:rsidR="00A01634" w:rsidRDefault="00A01634" w:rsidP="008A7B6B">
      <w:pPr>
        <w:tabs>
          <w:tab w:val="left" w:pos="6551"/>
        </w:tabs>
        <w:spacing w:line="276" w:lineRule="auto"/>
        <w:jc w:val="both"/>
        <w:rPr>
          <w:rFonts w:ascii="Arial" w:hAnsi="Arial" w:cs="Arial"/>
          <w:noProof/>
          <w:color w:val="000000" w:themeColor="text1"/>
          <w:sz w:val="22"/>
          <w:lang w:val="pt-BR"/>
        </w:rPr>
      </w:pPr>
    </w:p>
    <w:p w14:paraId="12504228" w14:textId="77777777" w:rsidR="00F05CB7" w:rsidRDefault="00F05CB7" w:rsidP="008A7B6B">
      <w:pPr>
        <w:tabs>
          <w:tab w:val="left" w:pos="6551"/>
        </w:tabs>
        <w:jc w:val="both"/>
        <w:rPr>
          <w:rFonts w:ascii="Arial" w:eastAsia="Calibri" w:hAnsi="Arial" w:cs="Arial"/>
          <w:bCs/>
          <w:color w:val="000000" w:themeColor="text1"/>
          <w:sz w:val="20"/>
          <w:szCs w:val="20"/>
          <w:lang w:val="es-ES_tradnl"/>
        </w:rPr>
      </w:pPr>
      <w:r w:rsidRPr="00F05CB7">
        <w:rPr>
          <w:rFonts w:ascii="Arial" w:eastAsia="Calibri" w:hAnsi="Arial" w:cs="Arial"/>
          <w:bCs/>
          <w:color w:val="000000" w:themeColor="text1"/>
          <w:sz w:val="20"/>
          <w:szCs w:val="20"/>
          <w:lang w:val="es-ES_tradnl"/>
        </w:rPr>
        <w:t xml:space="preserve">de acuerdo con el Decreto 1860 de 2021 las disposiciones contenidas en dicho reglamento aplicarán a los procedimientos de selección cuya invitación, aviso de convocatoria o documento equivalente se publique a los tres (3) meses contados a partir de su expedición. En tal sentido, tratándose de la acreditación de los factores de desempate dichas modificaciones tendrán efectos en los procesos cuya invitación o aviso de convocatoria se publique a partir del 24 de marzo de 2022, </w:t>
      </w:r>
      <w:r w:rsidRPr="00F05CB7">
        <w:rPr>
          <w:rFonts w:ascii="Arial" w:eastAsia="Calibri" w:hAnsi="Arial" w:cs="Arial"/>
          <w:color w:val="000000" w:themeColor="text1"/>
          <w:sz w:val="20"/>
          <w:szCs w:val="20"/>
        </w:rPr>
        <w:t xml:space="preserve">sin perjuicio de que la entidad lo aplique de forma potestativa, incluyendo dichos contenidos en el pliego de condiciones o documento equivalente, para </w:t>
      </w:r>
      <w:r w:rsidRPr="00F05CB7">
        <w:rPr>
          <w:rFonts w:ascii="Arial" w:eastAsia="Calibri" w:hAnsi="Arial" w:cs="Arial"/>
          <w:bCs/>
          <w:color w:val="000000" w:themeColor="text1"/>
          <w:sz w:val="20"/>
          <w:szCs w:val="20"/>
          <w:lang w:val="es-ES_tradnl"/>
        </w:rPr>
        <w:t xml:space="preserve">procesos publicados el 23 de marzo de 2022 o en una fecha anterior. </w:t>
      </w:r>
    </w:p>
    <w:p w14:paraId="2B7DEFDF" w14:textId="7AB35F90" w:rsidR="00DF38F0" w:rsidRDefault="00DF38F0" w:rsidP="008A7B6B">
      <w:pPr>
        <w:tabs>
          <w:tab w:val="left" w:pos="6551"/>
        </w:tabs>
        <w:spacing w:line="276" w:lineRule="auto"/>
        <w:jc w:val="both"/>
        <w:rPr>
          <w:rFonts w:ascii="Arial" w:hAnsi="Arial" w:cs="Arial"/>
          <w:noProof/>
          <w:color w:val="000000" w:themeColor="text1"/>
          <w:sz w:val="22"/>
          <w:lang w:val="pt-BR"/>
        </w:rPr>
      </w:pPr>
    </w:p>
    <w:p w14:paraId="4E66029C" w14:textId="17965B60" w:rsidR="003C0060" w:rsidRDefault="003C0060" w:rsidP="008A7B6B">
      <w:pPr>
        <w:tabs>
          <w:tab w:val="left" w:pos="6551"/>
        </w:tabs>
        <w:spacing w:line="276" w:lineRule="auto"/>
        <w:jc w:val="both"/>
        <w:rPr>
          <w:rFonts w:ascii="Arial" w:hAnsi="Arial" w:cs="Arial"/>
          <w:noProof/>
          <w:color w:val="000000" w:themeColor="text1"/>
          <w:sz w:val="22"/>
          <w:lang w:val="pt-BR"/>
        </w:rPr>
      </w:pPr>
    </w:p>
    <w:p w14:paraId="7E3C426B" w14:textId="77777777" w:rsidR="00F05CB7" w:rsidRDefault="00F05CB7" w:rsidP="008A7B6B">
      <w:pPr>
        <w:tabs>
          <w:tab w:val="left" w:pos="6551"/>
        </w:tabs>
        <w:spacing w:line="276" w:lineRule="auto"/>
        <w:jc w:val="both"/>
        <w:rPr>
          <w:rFonts w:ascii="Arial" w:hAnsi="Arial" w:cs="Arial"/>
          <w:noProof/>
          <w:color w:val="000000" w:themeColor="text1"/>
          <w:sz w:val="22"/>
          <w:lang w:val="pt-BR"/>
        </w:rPr>
      </w:pPr>
    </w:p>
    <w:p w14:paraId="7DD48F49" w14:textId="13DC0A2F" w:rsidR="00B95C30" w:rsidRPr="002D7EDD" w:rsidRDefault="00B95C30" w:rsidP="008A7B6B">
      <w:pPr>
        <w:tabs>
          <w:tab w:val="left" w:pos="6551"/>
        </w:tabs>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FD77A2">
        <w:rPr>
          <w:rFonts w:ascii="Arial" w:hAnsi="Arial" w:cs="Arial"/>
          <w:b/>
          <w:color w:val="000000" w:themeColor="text1"/>
          <w:sz w:val="22"/>
          <w:lang w:val="pt-BR"/>
        </w:rPr>
        <w:t>01/02/2022 17:25:11</w:t>
      </w:r>
    </w:p>
    <w:p w14:paraId="36AE699A" w14:textId="77777777" w:rsidR="00631A31" w:rsidRPr="002D7EDD" w:rsidRDefault="00631A31" w:rsidP="008A7B6B">
      <w:pPr>
        <w:tabs>
          <w:tab w:val="left" w:pos="6551"/>
        </w:tabs>
        <w:jc w:val="both"/>
        <w:rPr>
          <w:rFonts w:ascii="Arial" w:hAnsi="Arial" w:cs="Arial"/>
          <w:b/>
          <w:color w:val="000000" w:themeColor="text1"/>
          <w:sz w:val="22"/>
          <w:lang w:val="pt-BR"/>
        </w:rPr>
      </w:pPr>
    </w:p>
    <w:p w14:paraId="5C1617A7" w14:textId="77777777" w:rsidR="00631A31" w:rsidRPr="00C118DB" w:rsidRDefault="00631A31" w:rsidP="008A7B6B">
      <w:pPr>
        <w:tabs>
          <w:tab w:val="left" w:pos="6551"/>
        </w:tabs>
        <w:jc w:val="both"/>
        <w:rPr>
          <w:rFonts w:ascii="Arial" w:eastAsia="Calibri" w:hAnsi="Arial" w:cs="Arial"/>
          <w:noProof/>
          <w:color w:val="000000" w:themeColor="text1"/>
          <w:sz w:val="20"/>
          <w:lang w:val="pt-BR"/>
        </w:rPr>
      </w:pPr>
    </w:p>
    <w:p w14:paraId="5E89E106" w14:textId="133C5987" w:rsidR="00B95C30" w:rsidRPr="00F21A51" w:rsidRDefault="00FD77A2" w:rsidP="008A7B6B">
      <w:pPr>
        <w:tabs>
          <w:tab w:val="left" w:pos="6551"/>
        </w:tabs>
        <w:spacing w:line="276" w:lineRule="auto"/>
        <w:jc w:val="right"/>
        <w:rPr>
          <w:rFonts w:ascii="Arial" w:hAnsi="Arial" w:cs="Arial"/>
          <w:b/>
          <w:noProof/>
          <w:color w:val="000000" w:themeColor="text1"/>
          <w:sz w:val="22"/>
          <w:szCs w:val="22"/>
          <w:lang w:val="pt-BR"/>
        </w:rPr>
      </w:pPr>
      <w:r w:rsidRPr="00FD77A2">
        <w:rPr>
          <w:rFonts w:ascii="Arial" w:hAnsi="Arial" w:cs="Arial"/>
          <w:b/>
          <w:noProof/>
          <w:color w:val="000000" w:themeColor="text1"/>
          <w:sz w:val="22"/>
          <w:szCs w:val="22"/>
          <w:lang w:val="pt-BR"/>
        </w:rPr>
        <w:drawing>
          <wp:inline distT="0" distB="0" distL="0" distR="0" wp14:anchorId="10929270" wp14:editId="68634015">
            <wp:extent cx="2552700" cy="828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828675"/>
                    </a:xfrm>
                    <a:prstGeom prst="rect">
                      <a:avLst/>
                    </a:prstGeom>
                    <a:noFill/>
                    <a:ln>
                      <a:noFill/>
                    </a:ln>
                  </pic:spPr>
                </pic:pic>
              </a:graphicData>
            </a:graphic>
          </wp:inline>
        </w:drawing>
      </w:r>
    </w:p>
    <w:p w14:paraId="6A8A869B" w14:textId="77777777" w:rsidR="00B95C30" w:rsidRDefault="00B95C30" w:rsidP="008A7B6B">
      <w:pPr>
        <w:tabs>
          <w:tab w:val="left" w:pos="6551"/>
        </w:tabs>
        <w:jc w:val="both"/>
        <w:rPr>
          <w:rFonts w:ascii="Arial" w:hAnsi="Arial" w:cs="Arial"/>
          <w:b/>
          <w:color w:val="000000" w:themeColor="text1"/>
          <w:sz w:val="22"/>
          <w:lang w:val="pt-BR"/>
        </w:rPr>
      </w:pPr>
    </w:p>
    <w:p w14:paraId="5FDF9495" w14:textId="77777777" w:rsidR="00631A31" w:rsidRPr="00C118DB" w:rsidRDefault="00631A31" w:rsidP="008A7B6B">
      <w:pPr>
        <w:tabs>
          <w:tab w:val="left" w:pos="6551"/>
        </w:tabs>
        <w:jc w:val="both"/>
        <w:rPr>
          <w:rFonts w:ascii="Arial" w:hAnsi="Arial" w:cs="Arial"/>
          <w:b/>
          <w:color w:val="000000" w:themeColor="text1"/>
          <w:sz w:val="22"/>
          <w:lang w:val="pt-BR"/>
        </w:rPr>
      </w:pPr>
    </w:p>
    <w:p w14:paraId="29B7F2C5" w14:textId="5241B4CF" w:rsidR="005C1179" w:rsidRPr="00E23980" w:rsidRDefault="00B95C30" w:rsidP="008A7B6B">
      <w:pPr>
        <w:tabs>
          <w:tab w:val="left" w:pos="6551"/>
        </w:tabs>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08A0FA34" w14:textId="71273B7F" w:rsidR="007D409B" w:rsidRPr="000B4716" w:rsidRDefault="005C1179" w:rsidP="008A7B6B">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Guido Eduardo González Valencia</w:t>
      </w:r>
    </w:p>
    <w:p w14:paraId="66AEB59E" w14:textId="5667EFC0" w:rsidR="000B4716" w:rsidRDefault="00E17282" w:rsidP="008A7B6B">
      <w:pPr>
        <w:tabs>
          <w:tab w:val="left" w:pos="6551"/>
        </w:tabs>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r w:rsidR="00F96D27">
        <w:rPr>
          <w:rFonts w:ascii="Arial" w:eastAsia="Calibri" w:hAnsi="Arial" w:cs="Arial"/>
          <w:color w:val="000000" w:themeColor="text1"/>
          <w:sz w:val="22"/>
          <w:lang w:val="es-ES_tradnl"/>
        </w:rPr>
        <w:t xml:space="preserve"> </w:t>
      </w:r>
    </w:p>
    <w:p w14:paraId="1F53FEB5" w14:textId="7891094E" w:rsidR="00631A31" w:rsidRDefault="00631A31" w:rsidP="008A7B6B">
      <w:pPr>
        <w:tabs>
          <w:tab w:val="left" w:pos="6551"/>
        </w:tabs>
        <w:jc w:val="both"/>
        <w:rPr>
          <w:rFonts w:ascii="Arial" w:eastAsia="Calibri" w:hAnsi="Arial" w:cs="Arial"/>
          <w:color w:val="000000" w:themeColor="text1"/>
          <w:sz w:val="22"/>
          <w:lang w:val="es-ES_tradnl"/>
        </w:rPr>
      </w:pPr>
    </w:p>
    <w:p w14:paraId="6F1EED12" w14:textId="77777777" w:rsidR="00F96D27" w:rsidRPr="00E23980" w:rsidRDefault="00F96D27" w:rsidP="008A7B6B">
      <w:pPr>
        <w:tabs>
          <w:tab w:val="left" w:pos="6551"/>
        </w:tabs>
        <w:jc w:val="both"/>
        <w:rPr>
          <w:rFonts w:ascii="Arial" w:eastAsia="Calibri" w:hAnsi="Arial" w:cs="Arial"/>
          <w:color w:val="000000" w:themeColor="text1"/>
          <w:sz w:val="22"/>
          <w:lang w:val="es-ES_tradnl"/>
        </w:rPr>
      </w:pPr>
    </w:p>
    <w:p w14:paraId="1BD594F9" w14:textId="277FF40A" w:rsidR="00B95C30" w:rsidRDefault="007F1C42" w:rsidP="008A7B6B">
      <w:pPr>
        <w:tabs>
          <w:tab w:val="left" w:pos="6551"/>
        </w:tabs>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023FA5">
        <w:rPr>
          <w:rFonts w:ascii="Arial" w:eastAsia="Calibri" w:hAnsi="Arial" w:cs="Arial"/>
          <w:b/>
          <w:bCs/>
          <w:color w:val="000000" w:themeColor="text1"/>
          <w:sz w:val="22"/>
          <w:lang w:val="es-ES_tradnl"/>
        </w:rPr>
        <w:t xml:space="preserve">Concepto C ‒ </w:t>
      </w:r>
      <w:r w:rsidR="005C1179">
        <w:rPr>
          <w:rFonts w:ascii="Arial" w:eastAsia="Calibri" w:hAnsi="Arial" w:cs="Arial"/>
          <w:b/>
          <w:bCs/>
          <w:color w:val="000000" w:themeColor="text1"/>
          <w:sz w:val="22"/>
          <w:lang w:val="es-ES_tradnl"/>
        </w:rPr>
        <w:t xml:space="preserve">741 </w:t>
      </w:r>
      <w:r w:rsidR="00275FBF">
        <w:rPr>
          <w:rFonts w:ascii="Arial" w:eastAsia="Calibri" w:hAnsi="Arial" w:cs="Arial"/>
          <w:b/>
          <w:bCs/>
          <w:color w:val="000000" w:themeColor="text1"/>
          <w:sz w:val="22"/>
          <w:lang w:val="es-ES_tradnl"/>
        </w:rPr>
        <w:t>de 202</w:t>
      </w:r>
      <w:r w:rsidR="00424A7E">
        <w:rPr>
          <w:rFonts w:ascii="Arial" w:eastAsia="Calibri" w:hAnsi="Arial" w:cs="Arial"/>
          <w:b/>
          <w:bCs/>
          <w:color w:val="000000" w:themeColor="text1"/>
          <w:sz w:val="22"/>
          <w:lang w:val="es-ES_tradnl"/>
        </w:rPr>
        <w:t>1</w:t>
      </w:r>
    </w:p>
    <w:p w14:paraId="1E43C8B9" w14:textId="77777777" w:rsidR="009A52E4" w:rsidRPr="003C0791" w:rsidRDefault="009A52E4" w:rsidP="008A7B6B">
      <w:pPr>
        <w:tabs>
          <w:tab w:val="left" w:pos="6551"/>
        </w:tabs>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C1179" w14:paraId="19DFC051" w14:textId="77777777" w:rsidTr="00D15356">
        <w:tc>
          <w:tcPr>
            <w:tcW w:w="2689" w:type="dxa"/>
          </w:tcPr>
          <w:p w14:paraId="6BC0D1AC" w14:textId="77777777" w:rsidR="00B95C30" w:rsidRPr="001A54FD" w:rsidRDefault="00B95C30" w:rsidP="008A7B6B">
            <w:pPr>
              <w:tabs>
                <w:tab w:val="left" w:pos="6551"/>
              </w:tabs>
              <w:jc w:val="both"/>
              <w:rPr>
                <w:rFonts w:ascii="Arial" w:eastAsia="Calibri" w:hAnsi="Arial" w:cs="Arial"/>
                <w:color w:val="000000" w:themeColor="text1"/>
                <w:sz w:val="22"/>
                <w:szCs w:val="22"/>
                <w:lang w:val="es-ES_tradnl"/>
              </w:rPr>
            </w:pPr>
            <w:r w:rsidRPr="001A54FD">
              <w:rPr>
                <w:rFonts w:ascii="Arial" w:eastAsia="Calibri" w:hAnsi="Arial" w:cs="Arial"/>
                <w:b/>
                <w:color w:val="000000" w:themeColor="text1"/>
                <w:sz w:val="22"/>
                <w:szCs w:val="22"/>
                <w:lang w:val="es-ES_tradnl"/>
              </w:rPr>
              <w:t>Temas:</w:t>
            </w:r>
            <w:r w:rsidRPr="001A54FD">
              <w:rPr>
                <w:rFonts w:ascii="Arial" w:eastAsia="Calibri" w:hAnsi="Arial" w:cs="Arial"/>
                <w:color w:val="000000" w:themeColor="text1"/>
                <w:sz w:val="22"/>
                <w:szCs w:val="22"/>
                <w:lang w:val="es-ES_tradnl"/>
              </w:rPr>
              <w:t xml:space="preserve">                                      </w:t>
            </w:r>
          </w:p>
        </w:tc>
        <w:tc>
          <w:tcPr>
            <w:tcW w:w="6237" w:type="dxa"/>
          </w:tcPr>
          <w:p w14:paraId="3A76DB34" w14:textId="059DDB65" w:rsidR="003877DE" w:rsidRPr="003877DE" w:rsidRDefault="004F4A49" w:rsidP="003877DE">
            <w:pPr>
              <w:tabs>
                <w:tab w:val="left" w:pos="6551"/>
              </w:tabs>
              <w:jc w:val="both"/>
              <w:rPr>
                <w:rFonts w:ascii="Arial" w:eastAsia="Calibri" w:hAnsi="Arial" w:cs="Arial"/>
                <w:color w:val="000000" w:themeColor="text1"/>
                <w:sz w:val="22"/>
                <w:lang w:val="pt-BR"/>
              </w:rPr>
            </w:pPr>
            <w:r w:rsidRPr="00A7133F">
              <w:rPr>
                <w:rFonts w:ascii="Arial" w:eastAsia="Calibri" w:hAnsi="Arial" w:cs="Arial"/>
                <w:color w:val="000000" w:themeColor="text1"/>
                <w:sz w:val="22"/>
                <w:lang w:val="es-ES_tradnl"/>
              </w:rPr>
              <w:t>EMPATE – Procedimiento de selección – Concepto / FACTORES DE DESEMPATE – Características – Límites / LEY DE EMPRENDIMIENTO – Ley 2069 de 2020 – Vigencia / FACTORES DE DESEMPATE – Ley 2069 – Artículo 35 – Acreditación</w:t>
            </w:r>
            <w:r>
              <w:rPr>
                <w:rFonts w:ascii="Arial" w:eastAsia="Calibri" w:hAnsi="Arial" w:cs="Arial"/>
                <w:color w:val="000000" w:themeColor="text1"/>
                <w:sz w:val="22"/>
                <w:lang w:val="es-ES_tradnl"/>
              </w:rPr>
              <w:t xml:space="preserve"> / </w:t>
            </w:r>
            <w:r w:rsidRPr="00DC4A78">
              <w:rPr>
                <w:rFonts w:ascii="Arial" w:eastAsia="Calibri" w:hAnsi="Arial" w:cs="Arial"/>
                <w:color w:val="000000" w:themeColor="text1"/>
                <w:sz w:val="22"/>
                <w:lang w:val="es-ES_tradnl"/>
              </w:rPr>
              <w:t>PERSONAS MAYORES – Ley 2</w:t>
            </w:r>
            <w:r>
              <w:rPr>
                <w:rFonts w:ascii="Arial" w:eastAsia="Calibri" w:hAnsi="Arial" w:cs="Arial"/>
                <w:color w:val="000000" w:themeColor="text1"/>
                <w:sz w:val="22"/>
                <w:lang w:val="es-ES_tradnl"/>
              </w:rPr>
              <w:t>040 de 2020</w:t>
            </w:r>
            <w:r w:rsidRPr="00DC4A78">
              <w:rPr>
                <w:rFonts w:ascii="Arial" w:eastAsia="Calibri" w:hAnsi="Arial" w:cs="Arial"/>
                <w:color w:val="000000" w:themeColor="text1"/>
                <w:sz w:val="22"/>
                <w:lang w:val="es-ES_tradnl"/>
              </w:rPr>
              <w:t xml:space="preserve"> – Artículo 3 –</w:t>
            </w:r>
            <w:r>
              <w:rPr>
                <w:rFonts w:ascii="Arial" w:eastAsia="Calibri" w:hAnsi="Arial" w:cs="Arial"/>
                <w:color w:val="000000" w:themeColor="text1"/>
                <w:sz w:val="22"/>
                <w:lang w:val="es-ES_tradnl"/>
              </w:rPr>
              <w:t xml:space="preserve"> </w:t>
            </w:r>
            <w:r w:rsidRPr="00DC4A78">
              <w:rPr>
                <w:rFonts w:ascii="Arial" w:eastAsia="Calibri" w:hAnsi="Arial" w:cs="Arial"/>
                <w:color w:val="000000" w:themeColor="text1"/>
                <w:sz w:val="22"/>
                <w:lang w:val="es-ES_tradnl"/>
              </w:rPr>
              <w:t xml:space="preserve">Subrogación – </w:t>
            </w:r>
            <w:proofErr w:type="gramStart"/>
            <w:r>
              <w:rPr>
                <w:rFonts w:ascii="Arial" w:eastAsia="Calibri" w:hAnsi="Arial" w:cs="Arial"/>
                <w:color w:val="000000" w:themeColor="text1"/>
                <w:sz w:val="22"/>
                <w:lang w:val="es-ES_tradnl"/>
              </w:rPr>
              <w:t>V</w:t>
            </w:r>
            <w:r w:rsidR="003516CF">
              <w:rPr>
                <w:rFonts w:ascii="Arial" w:eastAsia="Calibri" w:hAnsi="Arial" w:cs="Arial"/>
                <w:color w:val="000000" w:themeColor="text1"/>
                <w:sz w:val="22"/>
                <w:lang w:val="es-ES_tradnl"/>
              </w:rPr>
              <w:t>igencia</w:t>
            </w:r>
            <w:r w:rsidRPr="00DC4A78">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 /</w:t>
            </w:r>
            <w:proofErr w:type="gramEnd"/>
            <w:r>
              <w:rPr>
                <w:rFonts w:ascii="Arial" w:eastAsia="Calibri" w:hAnsi="Arial" w:cs="Arial"/>
                <w:color w:val="000000" w:themeColor="text1"/>
                <w:sz w:val="22"/>
                <w:lang w:val="es-ES_tradnl"/>
              </w:rPr>
              <w:t xml:space="preserve"> </w:t>
            </w:r>
            <w:r w:rsidRPr="004F4A49">
              <w:rPr>
                <w:rFonts w:ascii="Arial" w:eastAsia="Calibri" w:hAnsi="Arial" w:cs="Arial"/>
                <w:color w:val="000000" w:themeColor="text1"/>
                <w:sz w:val="22"/>
                <w:lang w:val="es-ES_tradnl"/>
              </w:rPr>
              <w:t xml:space="preserve">FACTORES DE DESEMPATE – Ley 2069 – Artículo 35 – Numeral 4 – </w:t>
            </w:r>
            <w:r w:rsidR="003C0060">
              <w:rPr>
                <w:rFonts w:ascii="Arial" w:eastAsia="Calibri" w:hAnsi="Arial" w:cs="Arial"/>
                <w:color w:val="000000" w:themeColor="text1"/>
                <w:sz w:val="22"/>
                <w:lang w:val="es-ES_tradnl"/>
              </w:rPr>
              <w:t>Vinculación</w:t>
            </w:r>
            <w:r w:rsidR="003877DE" w:rsidRPr="003877DE">
              <w:rPr>
                <w:rFonts w:ascii="Arial" w:eastAsia="Calibri" w:hAnsi="Arial" w:cs="Arial"/>
                <w:b/>
                <w:color w:val="000000" w:themeColor="text1"/>
                <w:sz w:val="22"/>
                <w:lang w:val="es-ES_tradnl"/>
              </w:rPr>
              <w:t xml:space="preserve"> </w:t>
            </w:r>
            <w:r w:rsidR="003877DE" w:rsidRPr="003877DE">
              <w:rPr>
                <w:rFonts w:ascii="Arial" w:eastAsia="Calibri" w:hAnsi="Arial" w:cs="Arial"/>
                <w:bCs/>
                <w:color w:val="000000" w:themeColor="text1"/>
                <w:sz w:val="22"/>
                <w:lang w:val="es-ES_tradnl"/>
              </w:rPr>
              <w:t xml:space="preserve">/ FACTORES DE DESEMPATE – Decreto 1860 de 2021 – Vigencia </w:t>
            </w:r>
          </w:p>
          <w:p w14:paraId="5F389CAF" w14:textId="7CC427AA" w:rsidR="00B95C30" w:rsidRPr="005C1179" w:rsidRDefault="00B95C30" w:rsidP="008A7B6B">
            <w:pPr>
              <w:tabs>
                <w:tab w:val="left" w:pos="6551"/>
              </w:tabs>
              <w:jc w:val="both"/>
              <w:rPr>
                <w:rFonts w:ascii="Arial" w:eastAsia="Calibri" w:hAnsi="Arial" w:cs="Arial"/>
                <w:bCs/>
                <w:color w:val="000000" w:themeColor="text1"/>
                <w:sz w:val="22"/>
                <w:szCs w:val="22"/>
                <w:highlight w:val="yellow"/>
                <w:lang w:val="es-MX" w:eastAsia="en-US"/>
              </w:rPr>
            </w:pPr>
          </w:p>
        </w:tc>
      </w:tr>
      <w:tr w:rsidR="00B95C30" w:rsidRPr="00E8414B" w14:paraId="27CD52AB" w14:textId="77777777" w:rsidTr="00D15356">
        <w:tc>
          <w:tcPr>
            <w:tcW w:w="2689" w:type="dxa"/>
          </w:tcPr>
          <w:p w14:paraId="37E195A1" w14:textId="65D3E02B" w:rsidR="00B95C30" w:rsidRPr="001A54FD" w:rsidRDefault="00B95C30" w:rsidP="008A7B6B">
            <w:pPr>
              <w:tabs>
                <w:tab w:val="left" w:pos="6551"/>
              </w:tabs>
              <w:spacing w:before="120"/>
              <w:jc w:val="both"/>
              <w:rPr>
                <w:rFonts w:ascii="Arial" w:eastAsia="Calibri" w:hAnsi="Arial" w:cs="Arial"/>
                <w:b/>
                <w:color w:val="000000" w:themeColor="text1"/>
                <w:sz w:val="22"/>
                <w:szCs w:val="22"/>
                <w:lang w:val="es-ES_tradnl"/>
              </w:rPr>
            </w:pPr>
            <w:r w:rsidRPr="001A54FD">
              <w:rPr>
                <w:rFonts w:ascii="Arial" w:eastAsia="Calibri" w:hAnsi="Arial" w:cs="Arial"/>
                <w:b/>
                <w:color w:val="000000" w:themeColor="text1"/>
                <w:sz w:val="22"/>
                <w:szCs w:val="22"/>
                <w:lang w:val="es-ES_tradnl"/>
              </w:rPr>
              <w:t>Radicación:</w:t>
            </w:r>
            <w:r w:rsidRPr="001A54FD">
              <w:rPr>
                <w:rFonts w:ascii="Arial" w:eastAsia="Calibri" w:hAnsi="Arial" w:cs="Arial"/>
                <w:color w:val="000000" w:themeColor="text1"/>
                <w:sz w:val="22"/>
                <w:szCs w:val="22"/>
                <w:lang w:val="es-ES_tradnl"/>
              </w:rPr>
              <w:t xml:space="preserve">                              </w:t>
            </w:r>
          </w:p>
        </w:tc>
        <w:tc>
          <w:tcPr>
            <w:tcW w:w="6237" w:type="dxa"/>
          </w:tcPr>
          <w:p w14:paraId="09088B1B" w14:textId="5EF25EB3" w:rsidR="00B95C30" w:rsidRPr="001A54FD" w:rsidRDefault="00B95C30" w:rsidP="008A7B6B">
            <w:pPr>
              <w:tabs>
                <w:tab w:val="left" w:pos="6551"/>
              </w:tabs>
              <w:spacing w:before="120"/>
              <w:jc w:val="both"/>
              <w:rPr>
                <w:rFonts w:ascii="Arial" w:eastAsia="Calibri" w:hAnsi="Arial" w:cs="Arial"/>
                <w:color w:val="000000" w:themeColor="text1"/>
                <w:sz w:val="22"/>
                <w:szCs w:val="22"/>
                <w:lang w:val="es-ES_tradnl"/>
              </w:rPr>
            </w:pPr>
            <w:r w:rsidRPr="001A54FD">
              <w:rPr>
                <w:rFonts w:ascii="Arial" w:eastAsia="Calibri" w:hAnsi="Arial" w:cs="Arial"/>
                <w:color w:val="000000" w:themeColor="text1"/>
                <w:sz w:val="22"/>
                <w:szCs w:val="22"/>
                <w:lang w:val="es-ES_tradnl"/>
              </w:rPr>
              <w:t>Respuesta a consulta</w:t>
            </w:r>
            <w:r w:rsidR="00F21D6D" w:rsidRPr="001A54FD">
              <w:rPr>
                <w:rFonts w:ascii="Arial" w:eastAsia="Calibri" w:hAnsi="Arial" w:cs="Arial"/>
                <w:color w:val="000000" w:themeColor="text1"/>
                <w:sz w:val="22"/>
                <w:szCs w:val="22"/>
                <w:lang w:val="es-ES_tradnl"/>
              </w:rPr>
              <w:t xml:space="preserve"> </w:t>
            </w:r>
            <w:r w:rsidR="005C1179" w:rsidRPr="005C1179">
              <w:rPr>
                <w:rFonts w:ascii="Arial" w:eastAsia="Calibri" w:hAnsi="Arial" w:cs="Arial"/>
                <w:color w:val="000000" w:themeColor="text1"/>
                <w:sz w:val="22"/>
                <w:szCs w:val="22"/>
              </w:rPr>
              <w:t>P20211221011658</w:t>
            </w:r>
          </w:p>
        </w:tc>
      </w:tr>
    </w:tbl>
    <w:p w14:paraId="635FAA34" w14:textId="2978198E" w:rsidR="006D69FA" w:rsidRDefault="006D69FA" w:rsidP="008A7B6B">
      <w:pPr>
        <w:tabs>
          <w:tab w:val="left" w:pos="6551"/>
        </w:tabs>
        <w:jc w:val="both"/>
        <w:rPr>
          <w:rFonts w:ascii="Arial" w:eastAsia="Calibri" w:hAnsi="Arial" w:cs="Arial"/>
          <w:color w:val="000000" w:themeColor="text1"/>
          <w:sz w:val="22"/>
          <w:lang w:val="es-ES_tradnl"/>
        </w:rPr>
      </w:pPr>
    </w:p>
    <w:p w14:paraId="7F7926D6" w14:textId="77777777" w:rsidR="009A52E4" w:rsidRDefault="009A52E4" w:rsidP="008A7B6B">
      <w:pPr>
        <w:tabs>
          <w:tab w:val="left" w:pos="6551"/>
        </w:tabs>
        <w:jc w:val="both"/>
        <w:rPr>
          <w:rFonts w:ascii="Arial" w:eastAsia="Calibri" w:hAnsi="Arial" w:cs="Arial"/>
          <w:color w:val="000000" w:themeColor="text1"/>
          <w:sz w:val="22"/>
          <w:lang w:val="es-ES_tradnl"/>
        </w:rPr>
      </w:pPr>
    </w:p>
    <w:p w14:paraId="1CF4AEA0" w14:textId="0841F271" w:rsidR="003C3339" w:rsidRPr="00E23980" w:rsidRDefault="003C3339" w:rsidP="008A7B6B">
      <w:pPr>
        <w:tabs>
          <w:tab w:val="left" w:pos="6551"/>
        </w:tabs>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8414B">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r w:rsidR="00E17282">
        <w:rPr>
          <w:rFonts w:ascii="Arial" w:eastAsia="Calibri" w:hAnsi="Arial" w:cs="Arial"/>
          <w:color w:val="000000" w:themeColor="text1"/>
          <w:sz w:val="22"/>
          <w:lang w:val="es-ES_tradnl"/>
        </w:rPr>
        <w:t>Gonzále</w:t>
      </w:r>
      <w:r w:rsidR="005C1179">
        <w:rPr>
          <w:rFonts w:ascii="Arial" w:eastAsia="Calibri" w:hAnsi="Arial" w:cs="Arial"/>
          <w:color w:val="000000" w:themeColor="text1"/>
          <w:sz w:val="22"/>
          <w:lang w:val="es-ES_tradnl"/>
        </w:rPr>
        <w:t>z</w:t>
      </w:r>
      <w:r w:rsidRPr="00E23980">
        <w:rPr>
          <w:rFonts w:ascii="Arial" w:eastAsia="Calibri" w:hAnsi="Arial" w:cs="Arial"/>
          <w:color w:val="000000" w:themeColor="text1"/>
          <w:sz w:val="22"/>
          <w:lang w:val="es-ES_tradnl"/>
        </w:rPr>
        <w:t>:</w:t>
      </w:r>
    </w:p>
    <w:p w14:paraId="1EAE5543" w14:textId="37990AD8" w:rsidR="00DD5B04" w:rsidRPr="00E23980" w:rsidRDefault="00DD5B04" w:rsidP="008A7B6B">
      <w:pPr>
        <w:tabs>
          <w:tab w:val="left" w:pos="6551"/>
        </w:tabs>
        <w:jc w:val="both"/>
        <w:rPr>
          <w:rFonts w:ascii="Arial" w:eastAsia="Calibri" w:hAnsi="Arial" w:cs="Arial"/>
          <w:color w:val="000000" w:themeColor="text1"/>
          <w:sz w:val="22"/>
          <w:lang w:val="es-ES_tradnl"/>
        </w:rPr>
      </w:pPr>
    </w:p>
    <w:p w14:paraId="2109B2D3" w14:textId="1A05E32A" w:rsidR="00DD5B04" w:rsidRPr="00E23980" w:rsidRDefault="00DD5B04" w:rsidP="008A7B6B">
      <w:pPr>
        <w:tabs>
          <w:tab w:val="left" w:pos="6551"/>
        </w:tabs>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w:t>
      </w:r>
      <w:r w:rsidR="00E8414B">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del </w:t>
      </w:r>
      <w:r w:rsidR="005C1179">
        <w:rPr>
          <w:rFonts w:ascii="Arial" w:eastAsia="Calibri" w:hAnsi="Arial" w:cs="Arial"/>
          <w:color w:val="000000" w:themeColor="text1"/>
          <w:sz w:val="22"/>
          <w:lang w:val="es-ES_tradnl"/>
        </w:rPr>
        <w:t xml:space="preserve">21 </w:t>
      </w:r>
      <w:r w:rsidR="00F21D6D">
        <w:rPr>
          <w:rFonts w:ascii="Arial" w:eastAsia="Calibri" w:hAnsi="Arial" w:cs="Arial"/>
          <w:color w:val="000000" w:themeColor="text1"/>
          <w:sz w:val="22"/>
          <w:lang w:val="es-ES_tradnl"/>
        </w:rPr>
        <w:t xml:space="preserve">de </w:t>
      </w:r>
      <w:r w:rsidR="005C1179">
        <w:rPr>
          <w:rFonts w:ascii="Arial" w:eastAsia="Calibri" w:hAnsi="Arial" w:cs="Arial"/>
          <w:color w:val="000000" w:themeColor="text1"/>
          <w:sz w:val="22"/>
          <w:lang w:val="es-ES_tradnl"/>
        </w:rPr>
        <w:t>diciembre</w:t>
      </w:r>
      <w:r w:rsidR="00F21D6D">
        <w:rPr>
          <w:rFonts w:ascii="Arial" w:eastAsia="Calibri" w:hAnsi="Arial" w:cs="Arial"/>
          <w:color w:val="000000" w:themeColor="text1"/>
          <w:sz w:val="22"/>
          <w:lang w:val="es-ES_tradnl"/>
        </w:rPr>
        <w:t xml:space="preserve"> </w:t>
      </w:r>
      <w:r w:rsidR="001A54FD">
        <w:rPr>
          <w:rFonts w:ascii="Arial" w:eastAsia="Calibri" w:hAnsi="Arial" w:cs="Arial"/>
          <w:color w:val="000000" w:themeColor="text1"/>
          <w:sz w:val="22"/>
          <w:lang w:val="es-ES_tradnl"/>
        </w:rPr>
        <w:t xml:space="preserve">de </w:t>
      </w:r>
      <w:r w:rsidR="00F21D6D">
        <w:rPr>
          <w:rFonts w:ascii="Arial" w:eastAsia="Calibri" w:hAnsi="Arial" w:cs="Arial"/>
          <w:color w:val="000000" w:themeColor="text1"/>
          <w:sz w:val="22"/>
          <w:lang w:val="es-ES_tradnl"/>
        </w:rPr>
        <w:t>2021.</w:t>
      </w:r>
    </w:p>
    <w:p w14:paraId="0C1E0712" w14:textId="77777777" w:rsidR="00DD5B04" w:rsidRPr="00E23980" w:rsidRDefault="00DD5B04" w:rsidP="008A7B6B">
      <w:pPr>
        <w:tabs>
          <w:tab w:val="left" w:pos="6551"/>
        </w:tabs>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8A7B6B">
      <w:pPr>
        <w:pStyle w:val="Prrafodelista"/>
        <w:numPr>
          <w:ilvl w:val="0"/>
          <w:numId w:val="8"/>
        </w:numPr>
        <w:tabs>
          <w:tab w:val="left" w:pos="0"/>
          <w:tab w:val="left" w:pos="142"/>
          <w:tab w:val="left" w:pos="284"/>
          <w:tab w:val="left" w:pos="6551"/>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8A7B6B">
      <w:pPr>
        <w:tabs>
          <w:tab w:val="left" w:pos="426"/>
          <w:tab w:val="left" w:pos="6551"/>
        </w:tabs>
        <w:spacing w:line="276" w:lineRule="auto"/>
        <w:jc w:val="both"/>
        <w:rPr>
          <w:rFonts w:ascii="Arial" w:eastAsia="Calibri" w:hAnsi="Arial" w:cs="Arial"/>
          <w:b/>
          <w:color w:val="000000" w:themeColor="text1"/>
          <w:sz w:val="22"/>
          <w:lang w:val="es-ES_tradnl"/>
        </w:rPr>
      </w:pPr>
    </w:p>
    <w:p w14:paraId="5FBC109C" w14:textId="59AE47A3" w:rsidR="00F96D27" w:rsidRDefault="00C83429" w:rsidP="008A7B6B">
      <w:pPr>
        <w:tabs>
          <w:tab w:val="left" w:pos="6551"/>
        </w:tabs>
        <w:spacing w:line="276" w:lineRule="auto"/>
        <w:jc w:val="both"/>
        <w:rPr>
          <w:rFonts w:ascii="Arial" w:hAnsi="Arial" w:cs="Arial"/>
          <w:color w:val="000000" w:themeColor="text1"/>
          <w:sz w:val="22"/>
          <w:lang w:val="es-ES_tradnl"/>
        </w:rPr>
      </w:pPr>
      <w:r w:rsidRPr="00A7133F">
        <w:rPr>
          <w:rFonts w:ascii="Arial" w:hAnsi="Arial" w:cs="Arial"/>
          <w:color w:val="000000" w:themeColor="text1"/>
          <w:sz w:val="22"/>
          <w:lang w:val="es-ES_tradnl"/>
        </w:rPr>
        <w:t>Usted formula la siguiente consulta, relacionada con el alcance del artículo 3, parágrafo 4, de la Ley 2040 de 2020</w:t>
      </w:r>
      <w:r>
        <w:rPr>
          <w:rFonts w:ascii="Arial" w:hAnsi="Arial" w:cs="Arial"/>
          <w:color w:val="000000" w:themeColor="text1"/>
          <w:sz w:val="22"/>
          <w:lang w:val="es-ES_tradnl"/>
        </w:rPr>
        <w:t xml:space="preserve">: </w:t>
      </w:r>
    </w:p>
    <w:p w14:paraId="4BAB5F82" w14:textId="77777777" w:rsidR="001A16A5" w:rsidRPr="001A16A5" w:rsidRDefault="001A16A5" w:rsidP="008A7B6B">
      <w:pPr>
        <w:tabs>
          <w:tab w:val="left" w:pos="6551"/>
        </w:tabs>
        <w:spacing w:line="276" w:lineRule="auto"/>
        <w:ind w:right="476"/>
        <w:jc w:val="both"/>
        <w:rPr>
          <w:rFonts w:ascii="Arial" w:eastAsia="Calibri" w:hAnsi="Arial" w:cs="Arial"/>
          <w:sz w:val="21"/>
          <w:szCs w:val="21"/>
          <w:lang w:eastAsia="en-US"/>
        </w:rPr>
      </w:pPr>
    </w:p>
    <w:p w14:paraId="66CDEAB3" w14:textId="3AAD8605" w:rsidR="001A16A5" w:rsidRPr="00C83429" w:rsidRDefault="00942BB9" w:rsidP="008A7B6B">
      <w:pPr>
        <w:tabs>
          <w:tab w:val="left" w:pos="6551"/>
        </w:tabs>
        <w:ind w:left="709" w:right="476"/>
        <w:jc w:val="both"/>
        <w:rPr>
          <w:rFonts w:ascii="Arial" w:hAnsi="Arial" w:cs="Arial"/>
          <w:sz w:val="21"/>
          <w:szCs w:val="21"/>
        </w:rPr>
      </w:pPr>
      <w:r w:rsidRPr="00C83429">
        <w:rPr>
          <w:rFonts w:ascii="Arial" w:eastAsia="Calibri" w:hAnsi="Arial" w:cs="Arial"/>
          <w:color w:val="000000" w:themeColor="text1"/>
          <w:sz w:val="21"/>
          <w:szCs w:val="21"/>
        </w:rPr>
        <w:t>«</w:t>
      </w:r>
      <w:r w:rsidR="00C83429" w:rsidRPr="00C83429">
        <w:rPr>
          <w:rFonts w:ascii="Arial" w:hAnsi="Arial" w:cs="Arial"/>
          <w:sz w:val="21"/>
          <w:szCs w:val="21"/>
        </w:rPr>
        <w:t xml:space="preserve">En relación a la vinculación de los adultos mayores que cumplan con los requisitos indicados en el artículo 3° de la Ley 2040 de 2020 y dado el caso el empleador sea </w:t>
      </w:r>
      <w:r w:rsidR="00C83429" w:rsidRPr="00C83429">
        <w:rPr>
          <w:rFonts w:ascii="Arial" w:hAnsi="Arial" w:cs="Arial"/>
          <w:sz w:val="21"/>
          <w:szCs w:val="21"/>
        </w:rPr>
        <w:lastRenderedPageBreak/>
        <w:t xml:space="preserve">parte de un proceso de desempate dentro de un proceso de contratación pública, en el cual un adulto mayor empleado, falleciera, se le consulta a </w:t>
      </w:r>
      <w:r w:rsidR="00C83429" w:rsidRPr="00C83429">
        <w:rPr>
          <w:rFonts w:ascii="Arial" w:hAnsi="Arial" w:cs="Arial"/>
          <w:b/>
          <w:bCs/>
          <w:sz w:val="21"/>
          <w:szCs w:val="21"/>
        </w:rPr>
        <w:t xml:space="preserve">COLOMBIA COMPRA EFICIENTE, </w:t>
      </w:r>
      <w:r w:rsidR="00C83429" w:rsidRPr="00C83429">
        <w:rPr>
          <w:rFonts w:ascii="Arial" w:hAnsi="Arial" w:cs="Arial"/>
          <w:sz w:val="21"/>
          <w:szCs w:val="21"/>
        </w:rPr>
        <w:t xml:space="preserve">si dentro del proceso de desempate, existe posibilidad de sustituir al empleado fallecido con un adulto mayor que no tenga el mismo periodo de antigüedad y así suplir dicha falencia en razón a un hecho fortuito como antes se mencionó, el fallecimiento. Lo anterior, debido a que la norma para los procesos de </w:t>
      </w:r>
      <w:proofErr w:type="gramStart"/>
      <w:r w:rsidR="00C83429" w:rsidRPr="00C83429">
        <w:rPr>
          <w:rFonts w:ascii="Arial" w:hAnsi="Arial" w:cs="Arial"/>
          <w:sz w:val="21"/>
          <w:szCs w:val="21"/>
        </w:rPr>
        <w:t>desempate,</w:t>
      </w:r>
      <w:proofErr w:type="gramEnd"/>
      <w:r w:rsidR="00C83429" w:rsidRPr="00C83429">
        <w:rPr>
          <w:rFonts w:ascii="Arial" w:hAnsi="Arial" w:cs="Arial"/>
          <w:sz w:val="21"/>
          <w:szCs w:val="21"/>
        </w:rPr>
        <w:t xml:space="preserve"> no contempla pautas frente a este tipo de acontecimientos</w:t>
      </w:r>
      <w:r w:rsidRPr="00C83429">
        <w:rPr>
          <w:rFonts w:ascii="Arial" w:eastAsia="Calibri" w:hAnsi="Arial" w:cs="Arial"/>
          <w:color w:val="000000" w:themeColor="text1"/>
          <w:sz w:val="21"/>
          <w:szCs w:val="21"/>
        </w:rPr>
        <w:t>»</w:t>
      </w:r>
      <w:r w:rsidR="001A16A5" w:rsidRPr="00C83429">
        <w:rPr>
          <w:rFonts w:ascii="Arial" w:eastAsia="Calibri" w:hAnsi="Arial" w:cs="Arial"/>
          <w:sz w:val="21"/>
          <w:szCs w:val="21"/>
          <w:lang w:eastAsia="en-US"/>
        </w:rPr>
        <w:t>.</w:t>
      </w:r>
    </w:p>
    <w:p w14:paraId="37FA83A6" w14:textId="77777777" w:rsidR="001A16A5" w:rsidRPr="001A16A5" w:rsidRDefault="001A16A5" w:rsidP="008A7B6B">
      <w:pPr>
        <w:tabs>
          <w:tab w:val="left" w:pos="6551"/>
        </w:tabs>
        <w:spacing w:line="276" w:lineRule="auto"/>
        <w:ind w:right="476"/>
        <w:jc w:val="both"/>
        <w:rPr>
          <w:rFonts w:ascii="Arial" w:eastAsia="Calibri" w:hAnsi="Arial" w:cs="Arial"/>
          <w:sz w:val="21"/>
          <w:szCs w:val="21"/>
          <w:lang w:eastAsia="en-US"/>
        </w:rPr>
      </w:pPr>
    </w:p>
    <w:p w14:paraId="124D2DCA" w14:textId="77777777" w:rsidR="00DD5B04" w:rsidRPr="00E23980" w:rsidRDefault="00DD5B04" w:rsidP="008A7B6B">
      <w:pPr>
        <w:pStyle w:val="Prrafodelista"/>
        <w:numPr>
          <w:ilvl w:val="0"/>
          <w:numId w:val="8"/>
        </w:numPr>
        <w:tabs>
          <w:tab w:val="left" w:pos="0"/>
          <w:tab w:val="left" w:pos="284"/>
          <w:tab w:val="left" w:pos="6551"/>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389E0ABA" w14:textId="77777777" w:rsidR="00B660CB" w:rsidRDefault="00B660CB" w:rsidP="008A7B6B">
      <w:pPr>
        <w:tabs>
          <w:tab w:val="left" w:pos="0"/>
          <w:tab w:val="left" w:pos="284"/>
          <w:tab w:val="left" w:pos="6551"/>
        </w:tabs>
        <w:spacing w:line="276" w:lineRule="auto"/>
        <w:jc w:val="both"/>
        <w:rPr>
          <w:rFonts w:ascii="Arial" w:hAnsi="Arial" w:cs="Arial"/>
          <w:color w:val="000000" w:themeColor="text1"/>
          <w:sz w:val="22"/>
          <w:lang w:val="es-ES_tradnl"/>
        </w:rPr>
      </w:pPr>
    </w:p>
    <w:p w14:paraId="134B1C39" w14:textId="0AC1B28C" w:rsidR="00C83429" w:rsidRPr="00A7133F" w:rsidRDefault="00C83429" w:rsidP="008A7B6B">
      <w:pPr>
        <w:tabs>
          <w:tab w:val="left" w:pos="6551"/>
        </w:tabs>
        <w:spacing w:line="276" w:lineRule="auto"/>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La Subdirección de Gestión Contractual responderá</w:t>
      </w:r>
      <w:r>
        <w:rPr>
          <w:rFonts w:ascii="Arial" w:eastAsia="Calibri" w:hAnsi="Arial" w:cs="Arial"/>
          <w:color w:val="000000" w:themeColor="text1"/>
          <w:sz w:val="22"/>
          <w:szCs w:val="22"/>
          <w:lang w:val="es-ES_tradnl"/>
        </w:rPr>
        <w:t xml:space="preserve"> </w:t>
      </w:r>
      <w:r w:rsidRPr="00A7133F">
        <w:rPr>
          <w:rFonts w:ascii="Arial" w:eastAsia="Calibri" w:hAnsi="Arial" w:cs="Arial"/>
          <w:color w:val="000000" w:themeColor="text1"/>
          <w:sz w:val="22"/>
          <w:szCs w:val="22"/>
          <w:lang w:val="es-ES_tradnl"/>
        </w:rPr>
        <w:t xml:space="preserve">la consulta, luego de analizar los siguientes temas: i) definición de los criterios de desempate en la contratación estatal, </w:t>
      </w:r>
      <w:proofErr w:type="spellStart"/>
      <w:r w:rsidRPr="00A7133F">
        <w:rPr>
          <w:rFonts w:ascii="Arial" w:eastAsia="Calibri" w:hAnsi="Arial" w:cs="Arial"/>
          <w:color w:val="000000" w:themeColor="text1"/>
          <w:sz w:val="22"/>
          <w:szCs w:val="22"/>
          <w:lang w:val="es-ES_tradnl"/>
        </w:rPr>
        <w:t>ii</w:t>
      </w:r>
      <w:proofErr w:type="spellEnd"/>
      <w:r w:rsidRPr="00A7133F">
        <w:rPr>
          <w:rFonts w:ascii="Arial" w:eastAsia="Calibri" w:hAnsi="Arial" w:cs="Arial"/>
          <w:color w:val="000000" w:themeColor="text1"/>
          <w:sz w:val="22"/>
          <w:szCs w:val="22"/>
          <w:lang w:val="es-ES_tradnl"/>
        </w:rPr>
        <w:t xml:space="preserve">) ámbito de aplicación de la Ley 2069 de 2020, </w:t>
      </w:r>
      <w:proofErr w:type="spellStart"/>
      <w:r w:rsidRPr="00A7133F">
        <w:rPr>
          <w:rFonts w:ascii="Arial" w:eastAsia="Calibri" w:hAnsi="Arial" w:cs="Arial"/>
          <w:color w:val="000000" w:themeColor="text1"/>
          <w:sz w:val="22"/>
          <w:szCs w:val="22"/>
          <w:lang w:val="es-ES_tradnl"/>
        </w:rPr>
        <w:t>iii</w:t>
      </w:r>
      <w:proofErr w:type="spellEnd"/>
      <w:r w:rsidRPr="00A7133F">
        <w:rPr>
          <w:rFonts w:ascii="Arial" w:eastAsia="Calibri" w:hAnsi="Arial" w:cs="Arial"/>
          <w:color w:val="000000" w:themeColor="text1"/>
          <w:sz w:val="22"/>
          <w:szCs w:val="22"/>
          <w:lang w:val="es-ES_tradnl"/>
        </w:rPr>
        <w:t xml:space="preserve">) </w:t>
      </w:r>
      <w:r w:rsidR="003932A1">
        <w:rPr>
          <w:rFonts w:ascii="Arial" w:eastAsia="Calibri" w:hAnsi="Arial" w:cs="Arial"/>
          <w:color w:val="000000" w:themeColor="text1"/>
          <w:sz w:val="22"/>
          <w:szCs w:val="22"/>
          <w:lang w:val="es-ES_tradnl"/>
        </w:rPr>
        <w:t>p</w:t>
      </w:r>
      <w:r w:rsidR="003932A1" w:rsidRPr="00070E05">
        <w:rPr>
          <w:rFonts w:ascii="Arial" w:eastAsia="Calibri" w:hAnsi="Arial" w:cs="Arial"/>
          <w:color w:val="000000" w:themeColor="text1"/>
          <w:sz w:val="22"/>
          <w:szCs w:val="22"/>
          <w:lang w:val="es-ES_tradnl"/>
        </w:rPr>
        <w:t>érdida de vigencia del parágrafo 4 del artículo 12 de la Ley 1150 de 2007, adicionado por el artículo 3 de la Ley 2040 de 2020</w:t>
      </w:r>
      <w:r w:rsidR="00F60D04">
        <w:rPr>
          <w:rFonts w:ascii="Arial" w:eastAsia="Calibri" w:hAnsi="Arial" w:cs="Arial"/>
          <w:color w:val="000000" w:themeColor="text1"/>
          <w:sz w:val="22"/>
          <w:szCs w:val="22"/>
          <w:lang w:val="es-ES_tradnl"/>
        </w:rPr>
        <w:t xml:space="preserve"> y </w:t>
      </w:r>
      <w:proofErr w:type="spellStart"/>
      <w:r w:rsidR="00F60D04">
        <w:rPr>
          <w:rFonts w:ascii="Arial" w:eastAsia="Calibri" w:hAnsi="Arial" w:cs="Arial"/>
          <w:color w:val="000000" w:themeColor="text1"/>
          <w:sz w:val="22"/>
          <w:szCs w:val="22"/>
          <w:lang w:val="es-ES_tradnl"/>
        </w:rPr>
        <w:t>iv</w:t>
      </w:r>
      <w:proofErr w:type="spellEnd"/>
      <w:r w:rsidR="00F60D04">
        <w:rPr>
          <w:rFonts w:ascii="Arial" w:eastAsia="Calibri" w:hAnsi="Arial" w:cs="Arial"/>
          <w:color w:val="000000" w:themeColor="text1"/>
          <w:sz w:val="22"/>
          <w:szCs w:val="22"/>
          <w:lang w:val="es-ES_tradnl"/>
        </w:rPr>
        <w:t xml:space="preserve">) </w:t>
      </w:r>
      <w:r w:rsidRPr="00A7133F">
        <w:rPr>
          <w:rFonts w:ascii="Arial" w:eastAsia="Calibri" w:hAnsi="Arial" w:cs="Arial"/>
          <w:color w:val="000000" w:themeColor="text1"/>
          <w:sz w:val="22"/>
          <w:szCs w:val="22"/>
          <w:lang w:val="es-ES_tradnl"/>
        </w:rPr>
        <w:t>vigencia de los factores de desempate consagrados en el artículo 35 de la</w:t>
      </w:r>
      <w:r w:rsidR="003C0060">
        <w:rPr>
          <w:rFonts w:ascii="Arial" w:eastAsia="Calibri" w:hAnsi="Arial" w:cs="Arial"/>
          <w:color w:val="000000" w:themeColor="text1"/>
          <w:sz w:val="22"/>
          <w:szCs w:val="22"/>
          <w:lang w:val="es-ES_tradnl"/>
        </w:rPr>
        <w:t xml:space="preserve"> L</w:t>
      </w:r>
      <w:r w:rsidR="008A5E3F">
        <w:rPr>
          <w:rFonts w:ascii="Arial" w:eastAsia="Calibri" w:hAnsi="Arial" w:cs="Arial"/>
          <w:color w:val="000000" w:themeColor="text1"/>
          <w:sz w:val="22"/>
          <w:szCs w:val="22"/>
          <w:lang w:val="es-ES_tradnl"/>
        </w:rPr>
        <w:t>ey 2069 de 2020,</w:t>
      </w:r>
      <w:r w:rsidR="00F60D04">
        <w:rPr>
          <w:rFonts w:ascii="Arial" w:eastAsia="Calibri" w:hAnsi="Arial" w:cs="Arial"/>
          <w:color w:val="000000" w:themeColor="text1"/>
          <w:sz w:val="22"/>
          <w:szCs w:val="22"/>
          <w:lang w:val="es-ES_tradnl"/>
        </w:rPr>
        <w:t xml:space="preserve"> </w:t>
      </w:r>
      <w:bookmarkStart w:id="3" w:name="_Hlk93042090"/>
      <w:r w:rsidR="00F60D04">
        <w:rPr>
          <w:rFonts w:ascii="Arial" w:eastAsia="Calibri" w:hAnsi="Arial" w:cs="Arial"/>
          <w:color w:val="000000" w:themeColor="text1"/>
          <w:sz w:val="22"/>
          <w:szCs w:val="22"/>
          <w:lang w:val="es-ES_tradnl"/>
        </w:rPr>
        <w:t>y</w:t>
      </w:r>
      <w:r w:rsidRPr="00A7133F">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alcance</w:t>
      </w:r>
      <w:r w:rsidRPr="00A7133F">
        <w:rPr>
          <w:rFonts w:ascii="Arial" w:eastAsia="Calibri" w:hAnsi="Arial" w:cs="Arial"/>
          <w:color w:val="000000" w:themeColor="text1"/>
          <w:sz w:val="22"/>
          <w:szCs w:val="22"/>
          <w:lang w:val="es-ES_tradnl"/>
        </w:rPr>
        <w:t xml:space="preserve"> del factor de desempate previsto en el numeral 4 </w:t>
      </w:r>
      <w:r w:rsidR="00F60D04">
        <w:rPr>
          <w:rFonts w:ascii="Arial" w:eastAsia="Calibri" w:hAnsi="Arial" w:cs="Arial"/>
          <w:color w:val="000000" w:themeColor="text1"/>
          <w:sz w:val="22"/>
          <w:szCs w:val="22"/>
          <w:lang w:val="es-ES_tradnl"/>
        </w:rPr>
        <w:t>regulado por el Decreto 1860 de 2021</w:t>
      </w:r>
      <w:bookmarkEnd w:id="3"/>
      <w:r w:rsidR="008A5E3F">
        <w:rPr>
          <w:rFonts w:ascii="Arial" w:eastAsia="Calibri" w:hAnsi="Arial" w:cs="Arial"/>
          <w:color w:val="000000" w:themeColor="text1"/>
          <w:sz w:val="22"/>
          <w:szCs w:val="22"/>
          <w:lang w:val="es-ES_tradnl"/>
        </w:rPr>
        <w:t>.</w:t>
      </w:r>
    </w:p>
    <w:p w14:paraId="74F49A12" w14:textId="6956FE41" w:rsidR="00C83429"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w:t>
      </w:r>
      <w:r w:rsidR="00191787">
        <w:rPr>
          <w:rFonts w:ascii="Arial" w:eastAsia="Calibri" w:hAnsi="Arial" w:cs="Arial"/>
          <w:color w:val="000000" w:themeColor="text1"/>
          <w:sz w:val="22"/>
          <w:szCs w:val="22"/>
          <w:lang w:val="es-ES_tradnl"/>
        </w:rPr>
        <w:t>, C-338 del 12 de julio de 2021</w:t>
      </w:r>
      <w:r w:rsidR="00A14C85">
        <w:rPr>
          <w:rFonts w:ascii="Arial" w:eastAsia="Calibri" w:hAnsi="Arial" w:cs="Arial"/>
          <w:color w:val="000000" w:themeColor="text1"/>
          <w:sz w:val="22"/>
          <w:szCs w:val="22"/>
          <w:lang w:val="es-ES_tradnl"/>
        </w:rPr>
        <w:t xml:space="preserve"> y C-584 del 13 de diciembre de 2021,</w:t>
      </w:r>
      <w:r w:rsidRPr="00A7133F">
        <w:rPr>
          <w:rFonts w:ascii="Arial" w:eastAsia="Calibri" w:hAnsi="Arial" w:cs="Arial"/>
          <w:color w:val="000000" w:themeColor="text1"/>
          <w:sz w:val="22"/>
          <w:szCs w:val="22"/>
          <w:lang w:val="es-ES_tradnl"/>
        </w:rPr>
        <w:t xml:space="preserve"> entre otros</w:t>
      </w:r>
      <w:r w:rsidRPr="00A7133F">
        <w:rPr>
          <w:rStyle w:val="Refdenotaalpie"/>
          <w:rFonts w:ascii="Arial" w:eastAsia="Calibri" w:hAnsi="Arial" w:cs="Arial"/>
          <w:color w:val="000000" w:themeColor="text1"/>
          <w:sz w:val="22"/>
          <w:szCs w:val="22"/>
          <w:lang w:val="es-ES_tradnl"/>
        </w:rPr>
        <w:footnoteReference w:id="2"/>
      </w:r>
      <w:r w:rsidR="003C0060">
        <w:rPr>
          <w:rFonts w:ascii="Arial" w:eastAsia="Calibri" w:hAnsi="Arial" w:cs="Arial"/>
          <w:color w:val="000000" w:themeColor="text1"/>
          <w:sz w:val="22"/>
          <w:szCs w:val="22"/>
          <w:lang w:val="es-ES_tradnl"/>
        </w:rPr>
        <w:t xml:space="preserve">, </w:t>
      </w:r>
      <w:r w:rsidR="003C0060">
        <w:rPr>
          <w:rFonts w:ascii="Arial" w:eastAsia="Calibri" w:hAnsi="Arial" w:cs="Arial"/>
          <w:bCs/>
          <w:color w:val="000000" w:themeColor="text1"/>
          <w:sz w:val="22"/>
          <w:lang w:val="es-ES_tradnl"/>
        </w:rPr>
        <w:t>concluyendo que goza</w:t>
      </w:r>
      <w:r w:rsidR="008A5E3F">
        <w:rPr>
          <w:rFonts w:ascii="Arial" w:eastAsia="Calibri" w:hAnsi="Arial" w:cs="Arial"/>
          <w:bCs/>
          <w:color w:val="000000" w:themeColor="text1"/>
          <w:sz w:val="22"/>
          <w:lang w:val="es-ES_tradnl"/>
        </w:rPr>
        <w:t>n</w:t>
      </w:r>
      <w:r w:rsidR="003C0060">
        <w:rPr>
          <w:rFonts w:ascii="Arial" w:eastAsia="Calibri" w:hAnsi="Arial" w:cs="Arial"/>
          <w:bCs/>
          <w:color w:val="000000" w:themeColor="text1"/>
          <w:sz w:val="22"/>
          <w:lang w:val="es-ES_tradnl"/>
        </w:rPr>
        <w:t xml:space="preserve"> de eficacia directa. En lo pertinente, la tesis desarrollada en estos conceptos se reitera a continuación y se complementa con algunas </w:t>
      </w:r>
      <w:r w:rsidR="00FB46CF">
        <w:rPr>
          <w:rFonts w:ascii="Arial" w:eastAsia="Calibri" w:hAnsi="Arial" w:cs="Arial"/>
          <w:bCs/>
          <w:color w:val="000000" w:themeColor="text1"/>
          <w:sz w:val="22"/>
          <w:lang w:val="es-ES_tradnl"/>
        </w:rPr>
        <w:t>consideraciones</w:t>
      </w:r>
      <w:r w:rsidR="003C0060">
        <w:rPr>
          <w:rFonts w:ascii="Arial" w:eastAsia="Calibri" w:hAnsi="Arial" w:cs="Arial"/>
          <w:bCs/>
          <w:color w:val="000000" w:themeColor="text1"/>
          <w:sz w:val="22"/>
          <w:lang w:val="es-ES_tradnl"/>
        </w:rPr>
        <w:t xml:space="preserve"> </w:t>
      </w:r>
      <w:r w:rsidR="003C0060">
        <w:rPr>
          <w:rFonts w:ascii="Arial" w:eastAsia="Calibri" w:hAnsi="Arial" w:cs="Arial"/>
          <w:bCs/>
          <w:color w:val="000000" w:themeColor="text1"/>
          <w:sz w:val="22"/>
          <w:lang w:val="es-ES_tradnl"/>
        </w:rPr>
        <w:lastRenderedPageBreak/>
        <w:t>relativas a la consulta realizada. Finalmente, en el desarrollo del concepto se hará referencia al Decreto 1860 del 24 de diciembre de 2021</w:t>
      </w:r>
      <w:r w:rsidR="00BB3FB5">
        <w:rPr>
          <w:rFonts w:ascii="Arial" w:eastAsia="Calibri" w:hAnsi="Arial" w:cs="Arial"/>
          <w:color w:val="000000" w:themeColor="text1"/>
          <w:sz w:val="22"/>
          <w:szCs w:val="22"/>
          <w:lang w:val="es-ES_tradnl"/>
        </w:rPr>
        <w:t>.</w:t>
      </w:r>
    </w:p>
    <w:p w14:paraId="0575D4C6" w14:textId="77777777" w:rsidR="00C83429" w:rsidRDefault="00C83429" w:rsidP="008A7B6B">
      <w:pPr>
        <w:tabs>
          <w:tab w:val="left" w:pos="6551"/>
        </w:tabs>
        <w:spacing w:line="276" w:lineRule="auto"/>
        <w:ind w:firstLine="709"/>
        <w:jc w:val="both"/>
        <w:rPr>
          <w:rFonts w:ascii="Arial" w:eastAsia="Calibri" w:hAnsi="Arial" w:cs="Arial"/>
          <w:color w:val="000000" w:themeColor="text1"/>
          <w:sz w:val="22"/>
          <w:szCs w:val="22"/>
          <w:lang w:val="es-ES_tradnl"/>
        </w:rPr>
      </w:pPr>
    </w:p>
    <w:p w14:paraId="04195C59" w14:textId="77777777" w:rsidR="00C83429" w:rsidRPr="00A7133F" w:rsidRDefault="00C83429" w:rsidP="008A7B6B">
      <w:pPr>
        <w:tabs>
          <w:tab w:val="left" w:pos="6551"/>
        </w:tabs>
        <w:spacing w:line="276" w:lineRule="auto"/>
        <w:jc w:val="both"/>
        <w:rPr>
          <w:rFonts w:ascii="Arial" w:eastAsia="Calibri" w:hAnsi="Arial" w:cs="Arial"/>
          <w:b/>
          <w:bCs/>
          <w:color w:val="000000" w:themeColor="text1"/>
          <w:sz w:val="22"/>
          <w:szCs w:val="22"/>
          <w:lang w:val="es-ES_tradnl"/>
        </w:rPr>
      </w:pPr>
      <w:r w:rsidRPr="00A7133F">
        <w:rPr>
          <w:rFonts w:ascii="Arial" w:eastAsia="Calibri" w:hAnsi="Arial" w:cs="Arial"/>
          <w:b/>
          <w:bCs/>
          <w:color w:val="000000" w:themeColor="text1"/>
          <w:sz w:val="22"/>
          <w:szCs w:val="22"/>
          <w:lang w:val="es-ES_tradnl"/>
        </w:rPr>
        <w:t>2.1. Factores de desempate en la contratación estatal: concepto y características</w:t>
      </w:r>
    </w:p>
    <w:p w14:paraId="5BF8664C" w14:textId="77777777" w:rsidR="00C83429" w:rsidRPr="00A7133F" w:rsidRDefault="00C83429" w:rsidP="008A7B6B">
      <w:pPr>
        <w:tabs>
          <w:tab w:val="left" w:pos="6551"/>
        </w:tabs>
        <w:spacing w:line="276" w:lineRule="auto"/>
        <w:jc w:val="both"/>
        <w:rPr>
          <w:rFonts w:ascii="Arial" w:eastAsia="Calibri" w:hAnsi="Arial" w:cs="Arial"/>
          <w:color w:val="000000" w:themeColor="text1"/>
          <w:sz w:val="22"/>
          <w:szCs w:val="22"/>
          <w:lang w:val="es-ES_tradnl"/>
        </w:rPr>
      </w:pPr>
    </w:p>
    <w:p w14:paraId="637952A4" w14:textId="77777777" w:rsidR="00C83429" w:rsidRPr="00A7133F" w:rsidRDefault="00C83429" w:rsidP="008A7B6B">
      <w:pPr>
        <w:tabs>
          <w:tab w:val="left" w:pos="6551"/>
        </w:tabs>
        <w:spacing w:line="276" w:lineRule="auto"/>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A7133F">
        <w:rPr>
          <w:rFonts w:ascii="Arial" w:eastAsia="Calibri" w:hAnsi="Arial" w:cs="Arial"/>
          <w:color w:val="000000" w:themeColor="text1"/>
          <w:sz w:val="22"/>
          <w:szCs w:val="22"/>
          <w:lang w:val="es-ES_tradnl"/>
        </w:rPr>
        <w:t>equivalentes,</w:t>
      </w:r>
      <w:proofErr w:type="gramEnd"/>
      <w:r w:rsidRPr="00A7133F">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40644009" w14:textId="77777777" w:rsidR="00C83429" w:rsidRPr="00A7133F"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materializar el principio de selección objetiva en la contratación pública. Sin embargo, en algunas ocasiones, así se establezcan requisitos habilitantes y factores de calificación idóneos,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equivalente, al ponderarse los criterios de calificación que, en principio, aplican al procedimiento de selección. </w:t>
      </w:r>
    </w:p>
    <w:p w14:paraId="60F966AB" w14:textId="726DDFFF" w:rsidR="00C83429" w:rsidRPr="00A7133F"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Sin embargo, ni siquiera los casos de empate limitan el alcance de la selección </w:t>
      </w:r>
      <w:r w:rsidRPr="00050552">
        <w:rPr>
          <w:rFonts w:ascii="Arial" w:eastAsia="Calibri" w:hAnsi="Arial" w:cs="Arial"/>
          <w:color w:val="000000" w:themeColor="text1"/>
          <w:sz w:val="22"/>
          <w:szCs w:val="22"/>
          <w:lang w:val="es-ES_tradnl"/>
        </w:rPr>
        <w:t>objetiva en la contratación estatal. Por el contrario, en estos supuestos también debe mantenerse indemne tal postulado. En consecuencia, el desempate debe aplicarse</w:t>
      </w:r>
      <w:r w:rsidR="00050552">
        <w:rPr>
          <w:rFonts w:ascii="Arial" w:eastAsia="Calibri" w:hAnsi="Arial" w:cs="Arial"/>
          <w:color w:val="000000" w:themeColor="text1"/>
          <w:sz w:val="22"/>
          <w:szCs w:val="22"/>
          <w:lang w:val="es-ES_tradnl"/>
        </w:rPr>
        <w:t xml:space="preserve"> acudiendo</w:t>
      </w:r>
      <w:r w:rsidRPr="00050552">
        <w:rPr>
          <w:rFonts w:ascii="Arial" w:eastAsia="Calibri" w:hAnsi="Arial" w:cs="Arial"/>
          <w:color w:val="000000" w:themeColor="text1"/>
          <w:sz w:val="22"/>
          <w:szCs w:val="22"/>
          <w:lang w:val="es-ES_tradnl"/>
        </w:rPr>
        <w:t xml:space="preserve"> </w:t>
      </w:r>
      <w:r w:rsidR="00050552">
        <w:rPr>
          <w:rFonts w:ascii="Arial" w:eastAsia="Calibri" w:hAnsi="Arial" w:cs="Arial"/>
          <w:color w:val="000000" w:themeColor="text1"/>
          <w:sz w:val="22"/>
          <w:szCs w:val="22"/>
          <w:lang w:val="es-ES_tradnl"/>
        </w:rPr>
        <w:t xml:space="preserve">a </w:t>
      </w:r>
      <w:r w:rsidRPr="00050552">
        <w:rPr>
          <w:rFonts w:ascii="Arial" w:eastAsia="Calibri" w:hAnsi="Arial" w:cs="Arial"/>
          <w:color w:val="000000" w:themeColor="text1"/>
          <w:sz w:val="22"/>
          <w:szCs w:val="22"/>
          <w:lang w:val="es-ES_tradnl"/>
        </w:rPr>
        <w:t>los factores permitidos por las disposiciones normativas que regulan esta materia, entre las que se cuenta, el</w:t>
      </w:r>
      <w:r w:rsidRPr="00A7133F">
        <w:rPr>
          <w:rFonts w:ascii="Arial" w:eastAsia="Calibri" w:hAnsi="Arial" w:cs="Arial"/>
          <w:color w:val="000000" w:themeColor="text1"/>
          <w:sz w:val="22"/>
          <w:szCs w:val="22"/>
          <w:lang w:val="es-ES_tradnl"/>
        </w:rPr>
        <w:t xml:space="preserve"> artículo 35 de la Ley 2069 de 2020. La jurisprudencia comparte la idea de que los criterios de desempate deben estar establecidos de antemano y constituyen un límite a la discrecionalidad administrativa en los procedimientos de selección</w:t>
      </w:r>
      <w:r w:rsidRPr="00A7133F">
        <w:rPr>
          <w:rStyle w:val="Refdenotaalpie"/>
          <w:rFonts w:ascii="Arial" w:hAnsi="Arial" w:cs="Arial"/>
          <w:color w:val="000000" w:themeColor="text1"/>
          <w:sz w:val="21"/>
          <w:szCs w:val="21"/>
          <w:lang w:val="es-ES_tradnl"/>
        </w:rPr>
        <w:footnoteReference w:id="3"/>
      </w:r>
      <w:r w:rsidRPr="00A7133F">
        <w:rPr>
          <w:rFonts w:ascii="Arial" w:eastAsia="Calibri" w:hAnsi="Arial" w:cs="Arial"/>
          <w:color w:val="000000" w:themeColor="text1"/>
          <w:sz w:val="22"/>
          <w:szCs w:val="22"/>
          <w:lang w:val="es-ES_tradnl"/>
        </w:rPr>
        <w:t xml:space="preserve">. </w:t>
      </w:r>
    </w:p>
    <w:p w14:paraId="5AE4A04F" w14:textId="77777777" w:rsidR="00C83429" w:rsidRPr="00A7133F"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lastRenderedPageBreak/>
        <w:t xml:space="preserve">En tal sentido, la Corte Constitucional explica que cuando la ley establece factores de desempate obligatorios, las entidades estatales no pueden </w:t>
      </w:r>
      <w:proofErr w:type="spellStart"/>
      <w:r w:rsidRPr="00A7133F">
        <w:rPr>
          <w:rFonts w:ascii="Arial" w:eastAsia="Calibri" w:hAnsi="Arial" w:cs="Arial"/>
          <w:color w:val="000000" w:themeColor="text1"/>
          <w:sz w:val="22"/>
          <w:szCs w:val="22"/>
          <w:lang w:val="es-ES_tradnl"/>
        </w:rPr>
        <w:t>inaplicarlos</w:t>
      </w:r>
      <w:proofErr w:type="spellEnd"/>
      <w:r w:rsidRPr="00A7133F">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A7133F">
        <w:rPr>
          <w:rStyle w:val="Refdenotaalpie"/>
          <w:rFonts w:ascii="Arial" w:eastAsia="Calibri" w:hAnsi="Arial" w:cs="Arial"/>
          <w:color w:val="000000" w:themeColor="text1"/>
          <w:sz w:val="22"/>
          <w:szCs w:val="22"/>
          <w:lang w:val="es-ES_tradnl"/>
        </w:rPr>
        <w:footnoteReference w:id="4"/>
      </w:r>
      <w:r w:rsidRPr="00A7133F">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A7133F">
        <w:rPr>
          <w:rStyle w:val="Refdenotaalpie"/>
          <w:rFonts w:ascii="Arial" w:eastAsia="Calibri" w:hAnsi="Arial" w:cs="Arial"/>
          <w:color w:val="000000" w:themeColor="text1"/>
          <w:sz w:val="22"/>
          <w:szCs w:val="22"/>
          <w:lang w:val="es-ES_tradnl"/>
        </w:rPr>
        <w:footnoteReference w:id="5"/>
      </w:r>
      <w:r w:rsidRPr="00A7133F">
        <w:rPr>
          <w:rFonts w:ascii="Arial" w:eastAsia="Calibri" w:hAnsi="Arial" w:cs="Arial"/>
          <w:color w:val="000000" w:themeColor="text1"/>
          <w:sz w:val="22"/>
          <w:szCs w:val="22"/>
          <w:lang w:val="es-ES_tradnl"/>
        </w:rPr>
        <w:t>.</w:t>
      </w:r>
    </w:p>
    <w:p w14:paraId="0FE6F003" w14:textId="77777777" w:rsidR="00C83429" w:rsidRPr="00A7133F"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Ahora bien, en cumplimiento de los principios de reciprocidad y de </w:t>
      </w:r>
      <w:r w:rsidRPr="00A7133F">
        <w:rPr>
          <w:rFonts w:ascii="Arial" w:eastAsia="Calibri" w:hAnsi="Arial" w:cs="Arial"/>
          <w:i/>
          <w:iCs/>
          <w:color w:val="000000" w:themeColor="text1"/>
          <w:sz w:val="22"/>
          <w:szCs w:val="22"/>
          <w:lang w:val="es-ES_tradnl"/>
        </w:rPr>
        <w:t xml:space="preserve">pacta sunt </w:t>
      </w:r>
      <w:proofErr w:type="spellStart"/>
      <w:r w:rsidRPr="00A7133F">
        <w:rPr>
          <w:rFonts w:ascii="Arial" w:eastAsia="Calibri" w:hAnsi="Arial" w:cs="Arial"/>
          <w:i/>
          <w:iCs/>
          <w:color w:val="000000" w:themeColor="text1"/>
          <w:sz w:val="22"/>
          <w:szCs w:val="22"/>
          <w:lang w:val="es-ES_tradnl"/>
        </w:rPr>
        <w:t>servanda</w:t>
      </w:r>
      <w:proofErr w:type="spellEnd"/>
      <w:r w:rsidRPr="00A7133F">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2992597D" w14:textId="77777777" w:rsidR="00C83429" w:rsidRPr="00A7133F" w:rsidRDefault="00C83429" w:rsidP="008A7B6B">
      <w:pPr>
        <w:tabs>
          <w:tab w:val="left" w:pos="6551"/>
        </w:tabs>
        <w:spacing w:line="276" w:lineRule="auto"/>
        <w:rPr>
          <w:rFonts w:ascii="Arial" w:eastAsia="Calibri" w:hAnsi="Arial" w:cs="Arial"/>
          <w:color w:val="000000" w:themeColor="text1"/>
          <w:sz w:val="22"/>
          <w:szCs w:val="22"/>
          <w:lang w:val="es-ES_tradnl"/>
        </w:rPr>
      </w:pPr>
    </w:p>
    <w:p w14:paraId="6E7FE54D" w14:textId="77777777" w:rsidR="00C83429" w:rsidRPr="00A7133F" w:rsidRDefault="00C83429" w:rsidP="008A7B6B">
      <w:pPr>
        <w:tabs>
          <w:tab w:val="left" w:pos="6551"/>
        </w:tabs>
        <w:spacing w:line="276" w:lineRule="auto"/>
        <w:jc w:val="both"/>
        <w:rPr>
          <w:rFonts w:ascii="Arial" w:eastAsia="Calibri" w:hAnsi="Arial" w:cs="Arial"/>
          <w:b/>
          <w:bCs/>
          <w:color w:val="000000" w:themeColor="text1"/>
          <w:sz w:val="22"/>
          <w:szCs w:val="22"/>
          <w:lang w:val="es-ES_tradnl"/>
        </w:rPr>
      </w:pPr>
      <w:r w:rsidRPr="00A7133F">
        <w:rPr>
          <w:rFonts w:ascii="Arial" w:eastAsia="Calibri" w:hAnsi="Arial" w:cs="Arial"/>
          <w:b/>
          <w:bCs/>
          <w:color w:val="000000" w:themeColor="text1"/>
          <w:sz w:val="22"/>
          <w:szCs w:val="22"/>
          <w:lang w:val="es-ES_tradnl"/>
        </w:rPr>
        <w:t>2.2. Ámbito de aplicación de la Ley 2069 de 2020</w:t>
      </w:r>
    </w:p>
    <w:p w14:paraId="3B8CB375" w14:textId="77777777" w:rsidR="00C83429" w:rsidRPr="00A7133F" w:rsidRDefault="00C83429" w:rsidP="008A7B6B">
      <w:pPr>
        <w:tabs>
          <w:tab w:val="left" w:pos="6551"/>
        </w:tabs>
        <w:spacing w:line="276" w:lineRule="auto"/>
        <w:jc w:val="both"/>
        <w:rPr>
          <w:rFonts w:ascii="Arial" w:eastAsia="Calibri" w:hAnsi="Arial" w:cs="Arial"/>
          <w:color w:val="000000" w:themeColor="text1"/>
          <w:sz w:val="22"/>
          <w:szCs w:val="22"/>
          <w:lang w:val="es-ES_tradnl"/>
        </w:rPr>
      </w:pPr>
    </w:p>
    <w:p w14:paraId="1FCD6C58" w14:textId="34ADBA8E" w:rsidR="00C83429" w:rsidRPr="00A7133F" w:rsidRDefault="00C83429" w:rsidP="008A7B6B">
      <w:pPr>
        <w:tabs>
          <w:tab w:val="left" w:pos="6551"/>
        </w:tabs>
        <w:spacing w:line="276" w:lineRule="auto"/>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r w:rsidR="00C47049">
        <w:rPr>
          <w:rFonts w:ascii="Arial" w:eastAsia="Calibri" w:hAnsi="Arial" w:cs="Arial"/>
          <w:color w:val="000000" w:themeColor="text1"/>
          <w:sz w:val="22"/>
          <w:szCs w:val="22"/>
          <w:lang w:val="es-ES_tradnl"/>
        </w:rPr>
        <w:t>, tal como aconteció con el Decreto 1860 de 2021, al cual se hará referencia más adelante.</w:t>
      </w:r>
    </w:p>
    <w:p w14:paraId="26C22178" w14:textId="77777777" w:rsidR="00C83429" w:rsidRPr="00A7133F"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En cuanto al contenido de la Ley 2069 de 2020,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A7133F">
        <w:rPr>
          <w:rFonts w:ascii="Arial" w:eastAsia="Calibri" w:hAnsi="Arial" w:cs="Arial"/>
          <w:color w:val="000000" w:themeColor="text1"/>
          <w:sz w:val="22"/>
          <w:szCs w:val="22"/>
          <w:lang w:val="es-ES_tradnl"/>
        </w:rPr>
        <w:t>de acuerdo a</w:t>
      </w:r>
      <w:proofErr w:type="gramEnd"/>
      <w:r w:rsidRPr="00A7133F">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A7133F">
        <w:rPr>
          <w:rFonts w:ascii="Arial" w:eastAsia="Calibri" w:hAnsi="Arial" w:cs="Arial"/>
          <w:color w:val="000000" w:themeColor="text1"/>
          <w:sz w:val="22"/>
          <w:szCs w:val="22"/>
          <w:lang w:val="es-ES_tradnl"/>
        </w:rPr>
        <w:t>mipymes</w:t>
      </w:r>
      <w:proofErr w:type="spellEnd"/>
      <w:r w:rsidRPr="00A7133F">
        <w:rPr>
          <w:rFonts w:ascii="Arial" w:eastAsia="Calibri" w:hAnsi="Arial" w:cs="Arial"/>
          <w:color w:val="000000" w:themeColor="text1"/>
          <w:sz w:val="22"/>
          <w:szCs w:val="22"/>
          <w:lang w:val="es-ES_tradnl"/>
        </w:rPr>
        <w:t>–, mediante la racionalización y simplificación de los trámites y tarifas</w:t>
      </w:r>
      <w:r w:rsidRPr="00A7133F">
        <w:rPr>
          <w:rStyle w:val="Refdenotaalpie"/>
          <w:rFonts w:ascii="Arial" w:eastAsia="Calibri" w:hAnsi="Arial" w:cs="Arial"/>
          <w:color w:val="000000" w:themeColor="text1"/>
          <w:sz w:val="22"/>
          <w:szCs w:val="22"/>
          <w:lang w:val="es-ES_tradnl"/>
        </w:rPr>
        <w:footnoteReference w:id="6"/>
      </w:r>
      <w:r w:rsidRPr="00A7133F">
        <w:rPr>
          <w:rFonts w:ascii="Arial" w:eastAsia="Calibri" w:hAnsi="Arial" w:cs="Arial"/>
          <w:color w:val="000000" w:themeColor="text1"/>
          <w:sz w:val="22"/>
          <w:szCs w:val="22"/>
          <w:lang w:val="es-ES_tradnl"/>
        </w:rPr>
        <w:t xml:space="preserve">, </w:t>
      </w:r>
      <w:r w:rsidRPr="00A7133F">
        <w:rPr>
          <w:rFonts w:ascii="Arial" w:eastAsia="Calibri" w:hAnsi="Arial" w:cs="Arial"/>
          <w:color w:val="000000" w:themeColor="text1"/>
          <w:sz w:val="22"/>
          <w:szCs w:val="22"/>
          <w:lang w:val="es-ES_tradnl"/>
        </w:rPr>
        <w:lastRenderedPageBreak/>
        <w:t>así como incentivos a favor de aquellas dentro del sistema de compras y contratación pública</w:t>
      </w:r>
      <w:r w:rsidRPr="00A7133F">
        <w:rPr>
          <w:rStyle w:val="Refdenotaalpie"/>
          <w:rFonts w:ascii="Arial" w:eastAsia="Calibri" w:hAnsi="Arial" w:cs="Arial"/>
          <w:color w:val="000000" w:themeColor="text1"/>
          <w:sz w:val="22"/>
          <w:szCs w:val="22"/>
          <w:lang w:val="es-ES_tradnl"/>
        </w:rPr>
        <w:footnoteReference w:id="7"/>
      </w:r>
      <w:r w:rsidRPr="00A7133F">
        <w:rPr>
          <w:rFonts w:ascii="Arial" w:eastAsia="Calibri" w:hAnsi="Arial" w:cs="Arial"/>
          <w:color w:val="000000" w:themeColor="text1"/>
          <w:sz w:val="22"/>
          <w:szCs w:val="22"/>
          <w:lang w:val="es-ES_tradnl"/>
        </w:rPr>
        <w:t>. También se consagran mecanismos de acceso al financiamiento</w:t>
      </w:r>
      <w:r w:rsidRPr="00A7133F">
        <w:rPr>
          <w:rStyle w:val="Refdenotaalpie"/>
          <w:rFonts w:ascii="Arial" w:eastAsia="Calibri" w:hAnsi="Arial" w:cs="Arial"/>
          <w:color w:val="000000" w:themeColor="text1"/>
          <w:sz w:val="22"/>
          <w:szCs w:val="22"/>
          <w:lang w:val="es-ES_tradnl"/>
        </w:rPr>
        <w:footnoteReference w:id="8"/>
      </w:r>
      <w:r w:rsidRPr="00A7133F">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A7133F">
        <w:rPr>
          <w:rStyle w:val="Refdenotaalpie"/>
          <w:rFonts w:ascii="Arial" w:eastAsia="Calibri" w:hAnsi="Arial" w:cs="Arial"/>
          <w:color w:val="000000" w:themeColor="text1"/>
          <w:sz w:val="22"/>
          <w:szCs w:val="22"/>
          <w:lang w:val="es-ES_tradnl"/>
        </w:rPr>
        <w:footnoteReference w:id="9"/>
      </w:r>
      <w:r w:rsidRPr="00A7133F">
        <w:rPr>
          <w:rFonts w:ascii="Arial" w:eastAsia="Calibri" w:hAnsi="Arial" w:cs="Arial"/>
          <w:color w:val="000000" w:themeColor="text1"/>
          <w:sz w:val="22"/>
          <w:szCs w:val="22"/>
          <w:lang w:val="es-ES_tradnl"/>
        </w:rPr>
        <w:t xml:space="preserve"> y se prevén medidas de educación para el emprendimiento y la innovación</w:t>
      </w:r>
      <w:r w:rsidRPr="00A7133F">
        <w:rPr>
          <w:rStyle w:val="Refdenotaalpie"/>
          <w:rFonts w:ascii="Arial" w:eastAsia="Calibri" w:hAnsi="Arial" w:cs="Arial"/>
          <w:color w:val="000000" w:themeColor="text1"/>
          <w:sz w:val="22"/>
          <w:szCs w:val="22"/>
          <w:lang w:val="es-ES_tradnl"/>
        </w:rPr>
        <w:footnoteReference w:id="10"/>
      </w:r>
      <w:r w:rsidRPr="00A7133F">
        <w:rPr>
          <w:rFonts w:ascii="Arial" w:eastAsia="Calibri" w:hAnsi="Arial" w:cs="Arial"/>
          <w:color w:val="000000" w:themeColor="text1"/>
          <w:sz w:val="22"/>
          <w:szCs w:val="22"/>
          <w:lang w:val="es-ES_tradnl"/>
        </w:rPr>
        <w:t>.</w:t>
      </w:r>
    </w:p>
    <w:p w14:paraId="008AC699" w14:textId="30E3330E"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A7133F">
        <w:rPr>
          <w:rFonts w:ascii="Arial" w:eastAsia="Calibri" w:hAnsi="Arial" w:cs="Arial"/>
          <w:color w:val="000000" w:themeColor="text1"/>
          <w:sz w:val="22"/>
          <w:szCs w:val="22"/>
          <w:lang w:val="es-ES_tradnl"/>
        </w:rPr>
        <w:t>mipymes</w:t>
      </w:r>
      <w:proofErr w:type="spellEnd"/>
      <w:r w:rsidRPr="00A7133F">
        <w:rPr>
          <w:rFonts w:ascii="Arial" w:eastAsia="Calibri" w:hAnsi="Arial" w:cs="Arial"/>
          <w:color w:val="000000" w:themeColor="text1"/>
          <w:sz w:val="22"/>
          <w:szCs w:val="22"/>
          <w:lang w:val="es-ES_tradnl"/>
        </w:rPr>
        <w:t xml:space="preserve"> en el procedimiento de mínima cuantía, </w:t>
      </w:r>
      <w:proofErr w:type="spellStart"/>
      <w:r w:rsidRPr="00A7133F">
        <w:rPr>
          <w:rFonts w:ascii="Arial" w:eastAsia="Calibri" w:hAnsi="Arial" w:cs="Arial"/>
          <w:color w:val="000000" w:themeColor="text1"/>
          <w:sz w:val="22"/>
          <w:szCs w:val="22"/>
          <w:lang w:val="es-ES_tradnl"/>
        </w:rPr>
        <w:t>ii</w:t>
      </w:r>
      <w:proofErr w:type="spellEnd"/>
      <w:r w:rsidRPr="00A7133F">
        <w:rPr>
          <w:rFonts w:ascii="Arial" w:eastAsia="Calibri" w:hAnsi="Arial" w:cs="Arial"/>
          <w:color w:val="000000" w:themeColor="text1"/>
          <w:sz w:val="22"/>
          <w:szCs w:val="22"/>
          <w:lang w:val="es-ES_tradnl"/>
        </w:rPr>
        <w:t xml:space="preserve">) criterios diferenciales para </w:t>
      </w:r>
      <w:proofErr w:type="spellStart"/>
      <w:r w:rsidRPr="00A7133F">
        <w:rPr>
          <w:rFonts w:ascii="Arial" w:eastAsia="Calibri" w:hAnsi="Arial" w:cs="Arial"/>
          <w:color w:val="000000" w:themeColor="text1"/>
          <w:sz w:val="22"/>
          <w:szCs w:val="22"/>
          <w:lang w:val="es-ES_tradnl"/>
        </w:rPr>
        <w:t>mipymes</w:t>
      </w:r>
      <w:proofErr w:type="spellEnd"/>
      <w:r w:rsidRPr="00A7133F">
        <w:rPr>
          <w:rFonts w:ascii="Arial" w:eastAsia="Calibri" w:hAnsi="Arial" w:cs="Arial"/>
          <w:color w:val="000000" w:themeColor="text1"/>
          <w:sz w:val="22"/>
          <w:szCs w:val="22"/>
          <w:lang w:val="es-ES_tradnl"/>
        </w:rPr>
        <w:t xml:space="preserve"> en el sistema de compras públicas, </w:t>
      </w:r>
      <w:proofErr w:type="spellStart"/>
      <w:r w:rsidRPr="00A7133F">
        <w:rPr>
          <w:rFonts w:ascii="Arial" w:eastAsia="Calibri" w:hAnsi="Arial" w:cs="Arial"/>
          <w:color w:val="000000" w:themeColor="text1"/>
          <w:sz w:val="22"/>
          <w:szCs w:val="22"/>
          <w:lang w:val="es-ES_tradnl"/>
        </w:rPr>
        <w:t>iii</w:t>
      </w:r>
      <w:proofErr w:type="spellEnd"/>
      <w:r w:rsidRPr="00A7133F">
        <w:rPr>
          <w:rFonts w:ascii="Arial" w:eastAsia="Calibri" w:hAnsi="Arial" w:cs="Arial"/>
          <w:color w:val="000000" w:themeColor="text1"/>
          <w:sz w:val="22"/>
          <w:szCs w:val="22"/>
          <w:lang w:val="es-ES_tradnl"/>
        </w:rPr>
        <w:t xml:space="preserve">) criterios diferenciales para emprendimientos y empresas de mujeres en el sistema de compras públicas, </w:t>
      </w:r>
      <w:proofErr w:type="spellStart"/>
      <w:r w:rsidRPr="00A7133F">
        <w:rPr>
          <w:rFonts w:ascii="Arial" w:eastAsia="Calibri" w:hAnsi="Arial" w:cs="Arial"/>
          <w:color w:val="000000" w:themeColor="text1"/>
          <w:sz w:val="22"/>
          <w:szCs w:val="22"/>
          <w:lang w:val="es-ES_tradnl"/>
        </w:rPr>
        <w:t>iv</w:t>
      </w:r>
      <w:proofErr w:type="spellEnd"/>
      <w:r w:rsidRPr="00A7133F">
        <w:rPr>
          <w:rFonts w:ascii="Arial" w:eastAsia="Calibri" w:hAnsi="Arial" w:cs="Arial"/>
          <w:color w:val="000000" w:themeColor="text1"/>
          <w:sz w:val="22"/>
          <w:szCs w:val="22"/>
          <w:lang w:val="es-ES_tradnl"/>
        </w:rPr>
        <w:t xml:space="preserve">) promoción del acceso de las </w:t>
      </w:r>
      <w:proofErr w:type="spellStart"/>
      <w:r w:rsidRPr="00A7133F">
        <w:rPr>
          <w:rFonts w:ascii="Arial" w:eastAsia="Calibri" w:hAnsi="Arial" w:cs="Arial"/>
          <w:color w:val="000000" w:themeColor="text1"/>
          <w:sz w:val="22"/>
          <w:szCs w:val="22"/>
          <w:lang w:val="es-ES_tradnl"/>
        </w:rPr>
        <w:t>mipymes</w:t>
      </w:r>
      <w:proofErr w:type="spellEnd"/>
      <w:r w:rsidRPr="00A7133F">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w:t>
      </w:r>
      <w:r w:rsidRPr="006431A7">
        <w:rPr>
          <w:rFonts w:ascii="Arial" w:eastAsia="Calibri" w:hAnsi="Arial" w:cs="Arial"/>
          <w:color w:val="000000" w:themeColor="text1"/>
          <w:sz w:val="22"/>
          <w:szCs w:val="22"/>
          <w:lang w:val="es-ES_tradnl"/>
        </w:rPr>
        <w:t xml:space="preserve">compras públicas en el marco de la tecnología y la innovación. </w:t>
      </w:r>
    </w:p>
    <w:p w14:paraId="7817BD08" w14:textId="77777777" w:rsidR="00A41976" w:rsidRPr="006431A7" w:rsidRDefault="00A41976" w:rsidP="008A7B6B">
      <w:pPr>
        <w:tabs>
          <w:tab w:val="left" w:pos="6551"/>
        </w:tabs>
        <w:spacing w:line="276" w:lineRule="auto"/>
        <w:jc w:val="both"/>
        <w:rPr>
          <w:rFonts w:ascii="Arial" w:hAnsi="Arial" w:cs="Arial"/>
          <w:b/>
          <w:bCs/>
          <w:color w:val="000000" w:themeColor="text1"/>
          <w:sz w:val="22"/>
          <w:szCs w:val="22"/>
          <w:lang w:val="es-ES_tradnl"/>
        </w:rPr>
      </w:pPr>
    </w:p>
    <w:p w14:paraId="0A2ECBCD" w14:textId="115896DC" w:rsidR="00C83429" w:rsidRPr="006431A7" w:rsidRDefault="00C83429" w:rsidP="008A7B6B">
      <w:pPr>
        <w:tabs>
          <w:tab w:val="left" w:pos="6551"/>
        </w:tabs>
        <w:spacing w:line="276" w:lineRule="auto"/>
        <w:jc w:val="both"/>
        <w:rPr>
          <w:rFonts w:ascii="Arial" w:hAnsi="Arial" w:cs="Arial"/>
          <w:b/>
          <w:bCs/>
          <w:color w:val="000000" w:themeColor="text1"/>
          <w:sz w:val="22"/>
          <w:szCs w:val="22"/>
          <w:lang w:val="es-ES_tradnl"/>
        </w:rPr>
      </w:pPr>
      <w:r w:rsidRPr="006431A7">
        <w:rPr>
          <w:rFonts w:ascii="Arial" w:eastAsia="Calibri" w:hAnsi="Arial" w:cs="Arial"/>
          <w:b/>
          <w:bCs/>
          <w:color w:val="000000" w:themeColor="text1"/>
          <w:sz w:val="22"/>
          <w:szCs w:val="22"/>
          <w:lang w:val="es-ES_tradnl"/>
        </w:rPr>
        <w:t>2.</w:t>
      </w:r>
      <w:r w:rsidR="003128AD" w:rsidRPr="006431A7">
        <w:rPr>
          <w:rFonts w:ascii="Arial" w:eastAsia="Calibri" w:hAnsi="Arial" w:cs="Arial"/>
          <w:b/>
          <w:bCs/>
          <w:color w:val="000000" w:themeColor="text1"/>
          <w:sz w:val="22"/>
          <w:szCs w:val="22"/>
          <w:lang w:val="es-ES_tradnl"/>
        </w:rPr>
        <w:t>3</w:t>
      </w:r>
      <w:r w:rsidRPr="006431A7">
        <w:rPr>
          <w:rFonts w:ascii="Arial" w:eastAsia="Calibri" w:hAnsi="Arial" w:cs="Arial"/>
          <w:b/>
          <w:bCs/>
          <w:color w:val="000000" w:themeColor="text1"/>
          <w:sz w:val="22"/>
          <w:szCs w:val="22"/>
          <w:lang w:val="es-ES_tradnl"/>
        </w:rPr>
        <w:t>. Pérdida de vigencia del parágrafo 4 del artículo 12 de la Ley 1150 de 2007, adicionado por el artículo 3 de la Ley 2040 de 2020</w:t>
      </w:r>
      <w:r w:rsidR="00F60D04" w:rsidRPr="006431A7">
        <w:rPr>
          <w:rFonts w:ascii="Arial" w:eastAsia="Calibri" w:hAnsi="Arial" w:cs="Arial"/>
          <w:b/>
          <w:bCs/>
          <w:color w:val="000000" w:themeColor="text1"/>
          <w:sz w:val="22"/>
          <w:szCs w:val="22"/>
          <w:lang w:val="es-ES_tradnl"/>
        </w:rPr>
        <w:t xml:space="preserve"> </w:t>
      </w:r>
    </w:p>
    <w:p w14:paraId="404D38F6" w14:textId="77777777" w:rsidR="00C83429" w:rsidRPr="006431A7" w:rsidRDefault="00C83429" w:rsidP="008A7B6B">
      <w:pPr>
        <w:tabs>
          <w:tab w:val="left" w:pos="6551"/>
        </w:tabs>
        <w:spacing w:line="276" w:lineRule="auto"/>
        <w:jc w:val="both"/>
        <w:rPr>
          <w:rFonts w:ascii="Arial" w:hAnsi="Arial" w:cs="Arial"/>
          <w:color w:val="000000" w:themeColor="text1"/>
          <w:sz w:val="22"/>
          <w:szCs w:val="22"/>
          <w:lang w:val="es-ES_tradnl"/>
        </w:rPr>
      </w:pPr>
    </w:p>
    <w:p w14:paraId="6D8F05C3" w14:textId="0C2AC617" w:rsidR="00C83429" w:rsidRPr="006431A7" w:rsidRDefault="003128AD" w:rsidP="008A7B6B">
      <w:pPr>
        <w:tabs>
          <w:tab w:val="left" w:pos="6551"/>
        </w:tabs>
        <w:spacing w:line="276" w:lineRule="auto"/>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C</w:t>
      </w:r>
      <w:r w:rsidR="00C83429" w:rsidRPr="006431A7">
        <w:rPr>
          <w:rFonts w:ascii="Arial" w:eastAsia="Calibri" w:hAnsi="Arial" w:cs="Arial"/>
          <w:color w:val="000000" w:themeColor="text1"/>
          <w:sz w:val="22"/>
          <w:szCs w:val="22"/>
          <w:lang w:val="es-ES_tradnl"/>
        </w:rPr>
        <w:t>onviene señalar que el artículo 34 de la Ley 2069 de 2020 dispone nuevas reglas sobre la promoción al desarrollo en la contratación estatal. Concretamente, modifica el contenido del artículo 12 de la Ley 1150 de 2007</w:t>
      </w:r>
      <w:r w:rsidR="00C83429" w:rsidRPr="006431A7">
        <w:rPr>
          <w:rStyle w:val="Refdenotaalpie"/>
          <w:rFonts w:ascii="Arial" w:eastAsia="Calibri" w:hAnsi="Arial" w:cs="Arial"/>
          <w:color w:val="000000" w:themeColor="text1"/>
          <w:sz w:val="22"/>
          <w:szCs w:val="22"/>
          <w:lang w:val="es-ES_tradnl"/>
        </w:rPr>
        <w:footnoteReference w:id="11"/>
      </w:r>
      <w:r w:rsidR="00C83429" w:rsidRPr="006431A7">
        <w:rPr>
          <w:rFonts w:ascii="Arial" w:eastAsia="Calibri" w:hAnsi="Arial" w:cs="Arial"/>
          <w:color w:val="000000" w:themeColor="text1"/>
          <w:sz w:val="22"/>
          <w:szCs w:val="22"/>
          <w:lang w:val="es-ES_tradnl"/>
        </w:rPr>
        <w:t>, regulación que se resume en los siguientes aspectos:</w:t>
      </w:r>
    </w:p>
    <w:p w14:paraId="22DD0639" w14:textId="34688DAF"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lastRenderedPageBreak/>
        <w:t>i) Encomienda</w:t>
      </w:r>
      <w:r w:rsidR="00610771" w:rsidRPr="006431A7">
        <w:rPr>
          <w:rFonts w:ascii="Arial" w:eastAsia="Calibri" w:hAnsi="Arial" w:cs="Arial"/>
          <w:color w:val="000000" w:themeColor="text1"/>
          <w:sz w:val="22"/>
          <w:szCs w:val="22"/>
          <w:lang w:val="es-ES_tradnl"/>
        </w:rPr>
        <w:t xml:space="preserve"> al gobierno nacional</w:t>
      </w:r>
      <w:r w:rsidRPr="006431A7">
        <w:rPr>
          <w:rFonts w:ascii="Arial" w:eastAsia="Calibri" w:hAnsi="Arial" w:cs="Arial"/>
          <w:color w:val="000000" w:themeColor="text1"/>
          <w:sz w:val="22"/>
          <w:szCs w:val="22"/>
          <w:lang w:val="es-ES_tradnl"/>
        </w:rPr>
        <w:t xml:space="preserve">, con carácter imperativo, </w:t>
      </w:r>
      <w:r w:rsidR="009B0900" w:rsidRPr="006431A7">
        <w:rPr>
          <w:rFonts w:ascii="Arial" w:eastAsia="Calibri" w:hAnsi="Arial" w:cs="Arial"/>
          <w:color w:val="000000" w:themeColor="text1"/>
          <w:sz w:val="22"/>
          <w:szCs w:val="22"/>
          <w:lang w:val="es-ES_tradnl"/>
        </w:rPr>
        <w:t>el deber de</w:t>
      </w:r>
      <w:r w:rsidRPr="006431A7">
        <w:rPr>
          <w:rFonts w:ascii="Arial" w:eastAsia="Calibri" w:hAnsi="Arial" w:cs="Arial"/>
          <w:color w:val="000000" w:themeColor="text1"/>
          <w:sz w:val="22"/>
          <w:szCs w:val="22"/>
          <w:lang w:val="es-ES_tradnl"/>
        </w:rPr>
        <w:t xml:space="preserve"> definir las condiciones y los montos para que las entidades estatales –cualquiera sea su régimen contractual–, los patrimonios autónomos constituidos por aquellas y los particulares que administren recursos </w:t>
      </w:r>
      <w:proofErr w:type="gramStart"/>
      <w:r w:rsidRPr="006431A7">
        <w:rPr>
          <w:rFonts w:ascii="Arial" w:eastAsia="Calibri" w:hAnsi="Arial" w:cs="Arial"/>
          <w:color w:val="000000" w:themeColor="text1"/>
          <w:sz w:val="22"/>
          <w:szCs w:val="22"/>
          <w:lang w:val="es-ES_tradnl"/>
        </w:rPr>
        <w:t>públicos,</w:t>
      </w:r>
      <w:proofErr w:type="gramEnd"/>
      <w:r w:rsidRPr="006431A7">
        <w:rPr>
          <w:rFonts w:ascii="Arial" w:eastAsia="Calibri" w:hAnsi="Arial" w:cs="Arial"/>
          <w:color w:val="000000" w:themeColor="text1"/>
          <w:sz w:val="22"/>
          <w:szCs w:val="22"/>
          <w:lang w:val="es-ES_tradnl"/>
        </w:rPr>
        <w:t xml:space="preserve"> efectúen convocatorias limitadas a </w:t>
      </w:r>
      <w:proofErr w:type="spellStart"/>
      <w:r w:rsidRPr="006431A7">
        <w:rPr>
          <w:rFonts w:ascii="Arial" w:eastAsia="Calibri" w:hAnsi="Arial" w:cs="Arial"/>
          <w:color w:val="000000" w:themeColor="text1"/>
          <w:sz w:val="22"/>
          <w:szCs w:val="22"/>
          <w:lang w:val="es-ES_tradnl"/>
        </w:rPr>
        <w:t>mipymes</w:t>
      </w:r>
      <w:proofErr w:type="spellEnd"/>
      <w:r w:rsidRPr="006431A7">
        <w:rPr>
          <w:rFonts w:ascii="Arial" w:eastAsia="Calibri" w:hAnsi="Arial" w:cs="Arial"/>
          <w:color w:val="000000" w:themeColor="text1"/>
          <w:sz w:val="22"/>
          <w:szCs w:val="22"/>
          <w:lang w:val="es-ES_tradnl"/>
        </w:rPr>
        <w:t xml:space="preserve"> en los procesos de contratación. Además, agrega que estas convocatorias se pueden realizar también en el ámbito municipal o departamental en el que se ejecute el contrato. </w:t>
      </w:r>
    </w:p>
    <w:p w14:paraId="14448044" w14:textId="77777777"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proofErr w:type="spellStart"/>
      <w:r w:rsidRPr="006431A7">
        <w:rPr>
          <w:rFonts w:ascii="Arial" w:eastAsia="Calibri" w:hAnsi="Arial" w:cs="Arial"/>
          <w:color w:val="000000" w:themeColor="text1"/>
          <w:sz w:val="22"/>
          <w:szCs w:val="22"/>
          <w:lang w:val="es-ES_tradnl"/>
        </w:rPr>
        <w:t>ii</w:t>
      </w:r>
      <w:proofErr w:type="spellEnd"/>
      <w:r w:rsidRPr="006431A7">
        <w:rPr>
          <w:rFonts w:ascii="Arial" w:eastAsia="Calibri" w:hAnsi="Arial" w:cs="Arial"/>
          <w:color w:val="000000" w:themeColor="text1"/>
          <w:sz w:val="22"/>
          <w:szCs w:val="22"/>
          <w:lang w:val="es-ES_tradnl"/>
        </w:rPr>
        <w:t xml:space="preserve">) Indica que dichas convocatorias se deben efectuar –y así lo deberá reglamentar el gobierno nacional– siempre y cuando, antes del acto administrativo de apertura del proceso de selección, por lo menos dos (2) </w:t>
      </w:r>
      <w:proofErr w:type="spellStart"/>
      <w:r w:rsidRPr="006431A7">
        <w:rPr>
          <w:rFonts w:ascii="Arial" w:eastAsia="Calibri" w:hAnsi="Arial" w:cs="Arial"/>
          <w:color w:val="000000" w:themeColor="text1"/>
          <w:sz w:val="22"/>
          <w:szCs w:val="22"/>
          <w:lang w:val="es-ES_tradnl"/>
        </w:rPr>
        <w:t>mipymes</w:t>
      </w:r>
      <w:proofErr w:type="spellEnd"/>
      <w:r w:rsidRPr="006431A7">
        <w:rPr>
          <w:rFonts w:ascii="Arial" w:eastAsia="Calibri" w:hAnsi="Arial" w:cs="Arial"/>
          <w:color w:val="000000" w:themeColor="text1"/>
          <w:sz w:val="22"/>
          <w:szCs w:val="22"/>
          <w:lang w:val="es-ES_tradnl"/>
        </w:rPr>
        <w:t xml:space="preserve"> hayan manifestado su interés.</w:t>
      </w:r>
    </w:p>
    <w:p w14:paraId="22F97617" w14:textId="77777777"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proofErr w:type="spellStart"/>
      <w:r w:rsidRPr="006431A7">
        <w:rPr>
          <w:rFonts w:ascii="Arial" w:eastAsia="Calibri" w:hAnsi="Arial" w:cs="Arial"/>
          <w:color w:val="000000" w:themeColor="text1"/>
          <w:sz w:val="22"/>
          <w:szCs w:val="22"/>
          <w:lang w:val="es-ES_tradnl"/>
        </w:rPr>
        <w:t>iii</w:t>
      </w:r>
      <w:proofErr w:type="spellEnd"/>
      <w:r w:rsidRPr="006431A7">
        <w:rPr>
          <w:rFonts w:ascii="Arial" w:eastAsia="Calibri" w:hAnsi="Arial" w:cs="Arial"/>
          <w:color w:val="000000" w:themeColor="text1"/>
          <w:sz w:val="22"/>
          <w:szCs w:val="22"/>
          <w:lang w:val="es-ES_tradnl"/>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57340B79" w14:textId="77777777"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proofErr w:type="spellStart"/>
      <w:r w:rsidRPr="006431A7">
        <w:rPr>
          <w:rFonts w:ascii="Arial" w:eastAsia="Calibri" w:hAnsi="Arial" w:cs="Arial"/>
          <w:color w:val="000000" w:themeColor="text1"/>
          <w:sz w:val="22"/>
          <w:szCs w:val="22"/>
          <w:lang w:val="es-ES_tradnl"/>
        </w:rPr>
        <w:t>iv</w:t>
      </w:r>
      <w:proofErr w:type="spellEnd"/>
      <w:r w:rsidRPr="006431A7">
        <w:rPr>
          <w:rFonts w:ascii="Arial" w:eastAsia="Calibri" w:hAnsi="Arial" w:cs="Arial"/>
          <w:color w:val="000000" w:themeColor="text1"/>
          <w:sz w:val="22"/>
          <w:szCs w:val="22"/>
          <w:lang w:val="es-ES_tradnl"/>
        </w:rPr>
        <w:t xml:space="preserve">) Establece que, en el reglamento, el gobierno nacional podría establecer condiciones preferenciales para los bienes y servicios producidos por las </w:t>
      </w:r>
      <w:proofErr w:type="spellStart"/>
      <w:r w:rsidRPr="006431A7">
        <w:rPr>
          <w:rFonts w:ascii="Arial" w:eastAsia="Calibri" w:hAnsi="Arial" w:cs="Arial"/>
          <w:color w:val="000000" w:themeColor="text1"/>
          <w:sz w:val="22"/>
          <w:szCs w:val="22"/>
          <w:lang w:val="es-ES_tradnl"/>
        </w:rPr>
        <w:t>mipymes</w:t>
      </w:r>
      <w:proofErr w:type="spellEnd"/>
      <w:r w:rsidRPr="006431A7">
        <w:rPr>
          <w:rFonts w:ascii="Arial" w:eastAsia="Calibri" w:hAnsi="Arial" w:cs="Arial"/>
          <w:color w:val="000000" w:themeColor="text1"/>
          <w:sz w:val="22"/>
          <w:szCs w:val="22"/>
          <w:lang w:val="es-ES_tradnl"/>
        </w:rPr>
        <w:t>, sin perjuicio de los compromisos internacionales vigentes.</w:t>
      </w:r>
    </w:p>
    <w:p w14:paraId="02A906DD" w14:textId="77777777"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 xml:space="preserve">v)  Aclara que tanto las convocatorias limitadas a </w:t>
      </w:r>
      <w:proofErr w:type="spellStart"/>
      <w:r w:rsidRPr="006431A7">
        <w:rPr>
          <w:rFonts w:ascii="Arial" w:eastAsia="Calibri" w:hAnsi="Arial" w:cs="Arial"/>
          <w:color w:val="000000" w:themeColor="text1"/>
          <w:sz w:val="22"/>
          <w:szCs w:val="22"/>
          <w:lang w:val="es-ES_tradnl"/>
        </w:rPr>
        <w:t>mipymes</w:t>
      </w:r>
      <w:proofErr w:type="spellEnd"/>
      <w:r w:rsidRPr="006431A7">
        <w:rPr>
          <w:rFonts w:ascii="Arial" w:eastAsia="Calibri" w:hAnsi="Arial" w:cs="Arial"/>
          <w:color w:val="000000" w:themeColor="text1"/>
          <w:sz w:val="22"/>
          <w:szCs w:val="22"/>
          <w:lang w:val="es-ES_tradnl"/>
        </w:rPr>
        <w:t>, como las condiciones preferenciales a favor de los bienes y servicios producidos por estas, no es óbice para que deban cumplir las exigencias técnicas y económicas del proceso de selección.</w:t>
      </w:r>
    </w:p>
    <w:p w14:paraId="297900F6" w14:textId="631745C5"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 xml:space="preserve">vi) Señala que el reglamento que expida el gobierno nacional, además de las convocatorias limitadas a </w:t>
      </w:r>
      <w:proofErr w:type="spellStart"/>
      <w:r w:rsidRPr="006431A7">
        <w:rPr>
          <w:rFonts w:ascii="Arial" w:eastAsia="Calibri" w:hAnsi="Arial" w:cs="Arial"/>
          <w:color w:val="000000" w:themeColor="text1"/>
          <w:sz w:val="22"/>
          <w:szCs w:val="22"/>
          <w:lang w:val="es-ES_tradnl"/>
        </w:rPr>
        <w:t>mipymes</w:t>
      </w:r>
      <w:proofErr w:type="spellEnd"/>
      <w:r w:rsidRPr="006431A7">
        <w:rPr>
          <w:rFonts w:ascii="Arial" w:eastAsia="Calibri" w:hAnsi="Arial" w:cs="Arial"/>
          <w:color w:val="000000" w:themeColor="text1"/>
          <w:sz w:val="22"/>
          <w:szCs w:val="22"/>
          <w:lang w:val="es-ES_tradnl"/>
        </w:rPr>
        <w:t>, deberá contener disposiciones</w:t>
      </w:r>
      <w:r w:rsidR="001F2C3C" w:rsidRPr="006431A7">
        <w:t xml:space="preserve"> </w:t>
      </w:r>
      <w:r w:rsidR="001F2C3C" w:rsidRPr="006431A7">
        <w:rPr>
          <w:rFonts w:ascii="Arial" w:eastAsia="Calibri" w:hAnsi="Arial" w:cs="Arial"/>
          <w:color w:val="000000" w:themeColor="text1"/>
          <w:sz w:val="22"/>
          <w:szCs w:val="22"/>
          <w:lang w:val="es-ES_tradnl"/>
        </w:rPr>
        <w:t xml:space="preserve">que fomenten en la </w:t>
      </w:r>
      <w:r w:rsidR="001F2C3C" w:rsidRPr="006431A7">
        <w:rPr>
          <w:rFonts w:ascii="Arial" w:eastAsia="Calibri" w:hAnsi="Arial" w:cs="Arial"/>
          <w:color w:val="000000" w:themeColor="text1"/>
          <w:sz w:val="22"/>
          <w:szCs w:val="22"/>
          <w:lang w:val="es-ES_tradnl"/>
        </w:rPr>
        <w:lastRenderedPageBreak/>
        <w:t>ejecución de los contratos estatales la provisión de bienes y servicios</w:t>
      </w:r>
      <w:r w:rsidRPr="006431A7">
        <w:rPr>
          <w:rFonts w:ascii="Arial" w:eastAsia="Calibri" w:hAnsi="Arial" w:cs="Arial"/>
          <w:color w:val="000000" w:themeColor="text1"/>
          <w:sz w:val="22"/>
          <w:szCs w:val="22"/>
          <w:lang w:val="es-ES_tradnl"/>
        </w:rPr>
        <w:t xml:space="preserve"> </w:t>
      </w:r>
      <w:r w:rsidR="001F2C3C" w:rsidRPr="006431A7">
        <w:rPr>
          <w:rFonts w:ascii="Arial" w:eastAsia="Calibri" w:hAnsi="Arial" w:cs="Arial"/>
          <w:color w:val="000000" w:themeColor="text1"/>
          <w:sz w:val="22"/>
          <w:szCs w:val="22"/>
          <w:lang w:val="es-ES_tradnl"/>
        </w:rPr>
        <w:t xml:space="preserve">por parte de </w:t>
      </w:r>
      <w:r w:rsidRPr="006431A7">
        <w:rPr>
          <w:rFonts w:ascii="Arial" w:eastAsia="Calibri" w:hAnsi="Arial" w:cs="Arial"/>
          <w:color w:val="000000" w:themeColor="text1"/>
          <w:sz w:val="22"/>
          <w:szCs w:val="22"/>
          <w:lang w:val="es-ES_tradnl"/>
        </w:rPr>
        <w:t>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2226AB72" w14:textId="77777777"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proofErr w:type="spellStart"/>
      <w:r w:rsidRPr="006431A7">
        <w:rPr>
          <w:rFonts w:ascii="Arial" w:eastAsia="Calibri" w:hAnsi="Arial" w:cs="Arial"/>
          <w:color w:val="000000" w:themeColor="text1"/>
          <w:sz w:val="22"/>
          <w:szCs w:val="22"/>
          <w:lang w:val="es-ES_tradnl"/>
        </w:rPr>
        <w:t>vii</w:t>
      </w:r>
      <w:proofErr w:type="spellEnd"/>
      <w:r w:rsidRPr="006431A7">
        <w:rPr>
          <w:rFonts w:ascii="Arial" w:eastAsia="Calibri" w:hAnsi="Arial" w:cs="Arial"/>
          <w:color w:val="000000" w:themeColor="text1"/>
          <w:sz w:val="22"/>
          <w:szCs w:val="22"/>
          <w:lang w:val="es-ES_tradnl"/>
        </w:rPr>
        <w:t xml:space="preserve">) Precisa que la posibilidad de participar en convocatorias limitadas a </w:t>
      </w:r>
      <w:proofErr w:type="spellStart"/>
      <w:r w:rsidRPr="006431A7">
        <w:rPr>
          <w:rFonts w:ascii="Arial" w:eastAsia="Calibri" w:hAnsi="Arial" w:cs="Arial"/>
          <w:color w:val="000000" w:themeColor="text1"/>
          <w:sz w:val="22"/>
          <w:szCs w:val="22"/>
          <w:lang w:val="es-ES_tradnl"/>
        </w:rPr>
        <w:t>mipymes</w:t>
      </w:r>
      <w:proofErr w:type="spellEnd"/>
      <w:r w:rsidRPr="006431A7">
        <w:rPr>
          <w:rFonts w:ascii="Arial" w:eastAsia="Calibri" w:hAnsi="Arial" w:cs="Arial"/>
          <w:color w:val="000000" w:themeColor="text1"/>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408C093C" w14:textId="77777777"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proofErr w:type="spellStart"/>
      <w:r w:rsidRPr="006431A7">
        <w:rPr>
          <w:rFonts w:ascii="Arial" w:eastAsia="Calibri" w:hAnsi="Arial" w:cs="Arial"/>
          <w:color w:val="000000" w:themeColor="text1"/>
          <w:sz w:val="22"/>
          <w:szCs w:val="22"/>
          <w:lang w:val="es-ES_tradnl"/>
        </w:rPr>
        <w:t>viii</w:t>
      </w:r>
      <w:proofErr w:type="spellEnd"/>
      <w:r w:rsidRPr="006431A7">
        <w:rPr>
          <w:rFonts w:ascii="Arial" w:eastAsia="Calibri" w:hAnsi="Arial" w:cs="Arial"/>
          <w:color w:val="000000" w:themeColor="text1"/>
          <w:sz w:val="22"/>
          <w:szCs w:val="22"/>
          <w:lang w:val="es-ES_tradnl"/>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574B0DF3" w14:textId="77777777"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7563043B" w14:textId="77777777" w:rsidR="00C83429" w:rsidRPr="006431A7" w:rsidRDefault="00C83429" w:rsidP="008A7B6B">
      <w:pPr>
        <w:tabs>
          <w:tab w:val="left" w:pos="6551"/>
        </w:tabs>
        <w:spacing w:line="276" w:lineRule="auto"/>
        <w:ind w:left="709" w:right="709"/>
        <w:jc w:val="both"/>
        <w:rPr>
          <w:rFonts w:ascii="Arial" w:eastAsia="Calibri" w:hAnsi="Arial" w:cs="Arial"/>
          <w:color w:val="000000" w:themeColor="text1"/>
          <w:sz w:val="21"/>
          <w:szCs w:val="21"/>
          <w:lang w:val="es-ES_tradnl"/>
        </w:rPr>
      </w:pPr>
    </w:p>
    <w:p w14:paraId="72A64D48" w14:textId="77777777" w:rsidR="00C83429" w:rsidRPr="006431A7" w:rsidRDefault="00C83429" w:rsidP="008A7B6B">
      <w:pPr>
        <w:tabs>
          <w:tab w:val="left" w:pos="6551"/>
        </w:tabs>
        <w:ind w:left="709" w:right="709"/>
        <w:jc w:val="both"/>
        <w:rPr>
          <w:rFonts w:ascii="Arial" w:eastAsia="Calibri" w:hAnsi="Arial" w:cs="Arial"/>
          <w:color w:val="000000" w:themeColor="text1"/>
          <w:sz w:val="21"/>
          <w:szCs w:val="21"/>
          <w:lang w:val="es-ES_tradnl"/>
        </w:rPr>
      </w:pPr>
      <w:r w:rsidRPr="006431A7">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6431A7">
        <w:rPr>
          <w:rStyle w:val="Refdenotaalpie"/>
          <w:rFonts w:ascii="Arial" w:eastAsia="Calibri" w:hAnsi="Arial" w:cs="Arial"/>
          <w:color w:val="000000" w:themeColor="text1"/>
          <w:sz w:val="21"/>
          <w:szCs w:val="21"/>
          <w:lang w:val="es-ES_tradnl"/>
        </w:rPr>
        <w:footnoteReference w:id="12"/>
      </w:r>
      <w:r w:rsidRPr="006431A7">
        <w:rPr>
          <w:rFonts w:ascii="Arial" w:eastAsia="Calibri" w:hAnsi="Arial" w:cs="Arial"/>
          <w:color w:val="000000" w:themeColor="text1"/>
          <w:sz w:val="21"/>
          <w:szCs w:val="21"/>
          <w:lang w:val="es-ES_tradnl"/>
        </w:rPr>
        <w:t>.</w:t>
      </w:r>
    </w:p>
    <w:p w14:paraId="70EFBB1D" w14:textId="77777777" w:rsidR="00C83429" w:rsidRPr="006431A7" w:rsidRDefault="00C83429" w:rsidP="008A7B6B">
      <w:pPr>
        <w:tabs>
          <w:tab w:val="left" w:pos="6551"/>
        </w:tabs>
        <w:spacing w:line="276" w:lineRule="auto"/>
        <w:ind w:firstLine="709"/>
        <w:jc w:val="both"/>
        <w:rPr>
          <w:rFonts w:ascii="Arial" w:eastAsia="Calibri" w:hAnsi="Arial" w:cs="Arial"/>
          <w:color w:val="000000" w:themeColor="text1"/>
          <w:sz w:val="22"/>
          <w:szCs w:val="22"/>
          <w:lang w:val="es-ES_tradnl"/>
        </w:rPr>
      </w:pPr>
    </w:p>
    <w:p w14:paraId="37EA4065" w14:textId="5F497F64" w:rsidR="00C83429" w:rsidRPr="006431A7" w:rsidRDefault="00C83429" w:rsidP="008A7B6B">
      <w:pPr>
        <w:tabs>
          <w:tab w:val="left" w:pos="6551"/>
        </w:tabs>
        <w:spacing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La subrogación es, entonces, una forma de derogación de l</w:t>
      </w:r>
      <w:r w:rsidR="001C0E44" w:rsidRPr="006431A7">
        <w:rPr>
          <w:rFonts w:ascii="Arial" w:eastAsia="Calibri" w:hAnsi="Arial" w:cs="Arial"/>
          <w:color w:val="000000" w:themeColor="text1"/>
          <w:sz w:val="22"/>
          <w:szCs w:val="22"/>
          <w:lang w:val="es-ES_tradnl"/>
        </w:rPr>
        <w:t>a</w:t>
      </w:r>
      <w:r w:rsidRPr="006431A7">
        <w:rPr>
          <w:rFonts w:ascii="Arial" w:eastAsia="Calibri" w:hAnsi="Arial" w:cs="Arial"/>
          <w:color w:val="000000" w:themeColor="text1"/>
          <w:sz w:val="22"/>
          <w:szCs w:val="22"/>
          <w:lang w:val="es-ES_tradnl"/>
        </w:rPr>
        <w:t>s</w:t>
      </w:r>
      <w:r w:rsidR="001C0E44" w:rsidRPr="006431A7">
        <w:rPr>
          <w:rFonts w:ascii="Arial" w:eastAsia="Calibri" w:hAnsi="Arial" w:cs="Arial"/>
          <w:color w:val="000000" w:themeColor="text1"/>
          <w:sz w:val="22"/>
          <w:szCs w:val="22"/>
          <w:lang w:val="es-ES_tradnl"/>
        </w:rPr>
        <w:t xml:space="preserve"> normas jurídicas</w:t>
      </w:r>
      <w:r w:rsidRPr="006431A7">
        <w:rPr>
          <w:rFonts w:ascii="Arial" w:eastAsia="Calibri" w:hAnsi="Arial" w:cs="Arial"/>
          <w:color w:val="000000" w:themeColor="text1"/>
          <w:sz w:val="22"/>
          <w:szCs w:val="22"/>
          <w:lang w:val="es-ES_tradnl"/>
        </w:rPr>
        <w:t>,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5D085E3D" w14:textId="78FD57E7" w:rsidR="00CC7A40"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lastRenderedPageBreak/>
        <w:t>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33CEBFDB" w14:textId="77777777"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 xml:space="preserve">Así las cosas,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1DA30050" w14:textId="77777777" w:rsidR="00C83429" w:rsidRPr="006431A7" w:rsidRDefault="00C83429" w:rsidP="008A7B6B">
      <w:pPr>
        <w:tabs>
          <w:tab w:val="left" w:pos="6551"/>
        </w:tabs>
        <w:ind w:left="709" w:right="709"/>
        <w:jc w:val="both"/>
        <w:rPr>
          <w:rFonts w:ascii="Arial" w:eastAsia="Calibri" w:hAnsi="Arial" w:cs="Arial"/>
          <w:color w:val="000000" w:themeColor="text1"/>
          <w:sz w:val="21"/>
          <w:szCs w:val="21"/>
          <w:lang w:val="es-ES_tradnl"/>
        </w:rPr>
      </w:pPr>
    </w:p>
    <w:p w14:paraId="114FC90B" w14:textId="77777777" w:rsidR="00C83429" w:rsidRPr="006431A7" w:rsidRDefault="00C83429" w:rsidP="008A7B6B">
      <w:pPr>
        <w:tabs>
          <w:tab w:val="left" w:pos="6551"/>
        </w:tabs>
        <w:ind w:left="709" w:right="709"/>
        <w:jc w:val="both"/>
        <w:rPr>
          <w:rFonts w:ascii="Arial" w:eastAsia="Calibri" w:hAnsi="Arial" w:cs="Arial"/>
          <w:color w:val="000000" w:themeColor="text1"/>
          <w:sz w:val="21"/>
          <w:szCs w:val="21"/>
          <w:lang w:val="es-ES_tradnl"/>
        </w:rPr>
      </w:pPr>
      <w:r w:rsidRPr="006431A7">
        <w:rPr>
          <w:rFonts w:ascii="Arial" w:eastAsia="Calibri" w:hAnsi="Arial" w:cs="Arial"/>
          <w:color w:val="000000" w:themeColor="text1"/>
          <w:sz w:val="21"/>
          <w:szCs w:val="21"/>
          <w:lang w:val="es-ES_tradnl"/>
        </w:rPr>
        <w:t>Adiciónese un parágrafo al artículo 12 de la Ley 1150 de 2007:</w:t>
      </w:r>
    </w:p>
    <w:p w14:paraId="3CE06584" w14:textId="77777777" w:rsidR="00C83429" w:rsidRPr="006431A7" w:rsidRDefault="00C83429" w:rsidP="008A7B6B">
      <w:pPr>
        <w:tabs>
          <w:tab w:val="left" w:pos="6551"/>
        </w:tabs>
        <w:ind w:right="709"/>
        <w:jc w:val="both"/>
        <w:rPr>
          <w:rFonts w:ascii="Arial" w:eastAsia="Calibri" w:hAnsi="Arial" w:cs="Arial"/>
          <w:color w:val="000000" w:themeColor="text1"/>
          <w:sz w:val="21"/>
          <w:szCs w:val="21"/>
          <w:lang w:val="es-ES_tradnl"/>
        </w:rPr>
      </w:pPr>
    </w:p>
    <w:p w14:paraId="07A34D7A" w14:textId="77777777" w:rsidR="00C83429" w:rsidRPr="006431A7" w:rsidRDefault="00C83429" w:rsidP="008A7B6B">
      <w:pPr>
        <w:tabs>
          <w:tab w:val="left" w:pos="6551"/>
        </w:tabs>
        <w:spacing w:after="120"/>
        <w:ind w:left="709" w:right="709"/>
        <w:jc w:val="both"/>
        <w:rPr>
          <w:rFonts w:ascii="Arial" w:eastAsia="Calibri" w:hAnsi="Arial" w:cs="Arial"/>
          <w:color w:val="000000" w:themeColor="text1"/>
          <w:sz w:val="21"/>
          <w:szCs w:val="21"/>
          <w:lang w:val="es-ES_tradnl"/>
        </w:rPr>
      </w:pPr>
      <w:r w:rsidRPr="006431A7">
        <w:rPr>
          <w:rFonts w:ascii="Arial" w:eastAsia="Calibri" w:hAnsi="Arial" w:cs="Arial"/>
          <w:color w:val="000000" w:themeColor="text1"/>
          <w:sz w:val="21"/>
          <w:szCs w:val="21"/>
          <w:lang w:val="es-ES_tradnl"/>
        </w:rPr>
        <w:t>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1EDFF09A" w14:textId="77777777" w:rsidR="00C83429" w:rsidRPr="006431A7" w:rsidRDefault="00C83429" w:rsidP="008A7B6B">
      <w:pPr>
        <w:tabs>
          <w:tab w:val="left" w:pos="6551"/>
        </w:tabs>
        <w:spacing w:after="120"/>
        <w:ind w:left="709" w:right="709"/>
        <w:jc w:val="both"/>
        <w:rPr>
          <w:rFonts w:ascii="Arial" w:eastAsia="Calibri" w:hAnsi="Arial" w:cs="Arial"/>
          <w:color w:val="000000" w:themeColor="text1"/>
          <w:sz w:val="21"/>
          <w:szCs w:val="21"/>
          <w:lang w:val="es-ES_tradnl"/>
        </w:rPr>
      </w:pPr>
      <w:r w:rsidRPr="006431A7">
        <w:rPr>
          <w:rFonts w:ascii="Arial" w:eastAsia="Calibri" w:hAnsi="Arial" w:cs="Arial"/>
          <w:color w:val="000000" w:themeColor="text1"/>
          <w:sz w:val="21"/>
          <w:szCs w:val="21"/>
          <w:lang w:val="es-ES_tradnl"/>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sidRPr="006431A7">
        <w:rPr>
          <w:rFonts w:ascii="Arial" w:eastAsia="Calibri" w:hAnsi="Arial" w:cs="Arial"/>
          <w:color w:val="000000" w:themeColor="text1"/>
          <w:sz w:val="21"/>
          <w:szCs w:val="21"/>
          <w:lang w:val="es-ES_tradnl"/>
        </w:rPr>
        <w:t>la misma</w:t>
      </w:r>
      <w:proofErr w:type="gramEnd"/>
      <w:r w:rsidRPr="006431A7">
        <w:rPr>
          <w:rFonts w:ascii="Arial" w:eastAsia="Calibri" w:hAnsi="Arial" w:cs="Arial"/>
          <w:color w:val="000000" w:themeColor="text1"/>
          <w:sz w:val="21"/>
          <w:szCs w:val="21"/>
          <w:lang w:val="es-ES_tradnl"/>
        </w:rPr>
        <w:t>.</w:t>
      </w:r>
    </w:p>
    <w:p w14:paraId="101E0F07" w14:textId="77777777" w:rsidR="00C83429" w:rsidRPr="006431A7" w:rsidRDefault="00C83429" w:rsidP="008A7B6B">
      <w:pPr>
        <w:tabs>
          <w:tab w:val="left" w:pos="6551"/>
        </w:tabs>
        <w:spacing w:after="120"/>
        <w:ind w:left="709" w:right="709"/>
        <w:jc w:val="both"/>
        <w:rPr>
          <w:rFonts w:ascii="Arial" w:eastAsia="Calibri" w:hAnsi="Arial" w:cs="Arial"/>
          <w:color w:val="000000" w:themeColor="text1"/>
          <w:sz w:val="21"/>
          <w:szCs w:val="21"/>
          <w:lang w:val="es-ES_tradnl"/>
        </w:rPr>
      </w:pPr>
      <w:r w:rsidRPr="006431A7">
        <w:rPr>
          <w:rFonts w:ascii="Arial" w:eastAsia="Calibri" w:hAnsi="Arial" w:cs="Arial"/>
          <w:color w:val="000000" w:themeColor="text1"/>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6C33332B" w14:textId="77777777" w:rsidR="00C83429" w:rsidRPr="006431A7" w:rsidRDefault="00C83429" w:rsidP="008A7B6B">
      <w:pPr>
        <w:tabs>
          <w:tab w:val="left" w:pos="6551"/>
        </w:tabs>
        <w:ind w:left="709" w:right="709"/>
        <w:jc w:val="both"/>
        <w:rPr>
          <w:rFonts w:ascii="Arial" w:eastAsia="Calibri" w:hAnsi="Arial" w:cs="Arial"/>
          <w:color w:val="000000" w:themeColor="text1"/>
          <w:sz w:val="21"/>
          <w:szCs w:val="21"/>
          <w:lang w:val="es-ES_tradnl"/>
        </w:rPr>
      </w:pPr>
      <w:r w:rsidRPr="006431A7">
        <w:rPr>
          <w:rFonts w:ascii="Arial" w:eastAsia="Calibri" w:hAnsi="Arial" w:cs="Arial"/>
          <w:color w:val="000000" w:themeColor="text1"/>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033ED83C" w14:textId="77777777" w:rsidR="00C83429" w:rsidRPr="006431A7" w:rsidRDefault="00C83429" w:rsidP="008A7B6B">
      <w:pPr>
        <w:tabs>
          <w:tab w:val="left" w:pos="6551"/>
        </w:tabs>
        <w:spacing w:line="276" w:lineRule="auto"/>
        <w:ind w:firstLine="709"/>
        <w:jc w:val="both"/>
        <w:rPr>
          <w:rFonts w:ascii="Arial" w:eastAsia="Calibri" w:hAnsi="Arial" w:cs="Arial"/>
          <w:color w:val="000000" w:themeColor="text1"/>
          <w:sz w:val="22"/>
          <w:szCs w:val="22"/>
          <w:lang w:val="es-ES_tradnl"/>
        </w:rPr>
      </w:pPr>
    </w:p>
    <w:p w14:paraId="0E9044F9" w14:textId="6691371B" w:rsidR="0063742F" w:rsidRPr="006431A7" w:rsidRDefault="00C83429">
      <w:pPr>
        <w:tabs>
          <w:tab w:val="left" w:pos="6551"/>
        </w:tabs>
        <w:spacing w:line="276" w:lineRule="auto"/>
        <w:ind w:firstLine="709"/>
        <w:jc w:val="both"/>
        <w:rPr>
          <w:rFonts w:ascii="Arial" w:eastAsia="Calibri" w:hAnsi="Arial" w:cs="Arial"/>
          <w:color w:val="000000" w:themeColor="text1"/>
          <w:sz w:val="22"/>
          <w:szCs w:val="22"/>
        </w:rPr>
      </w:pPr>
      <w:r w:rsidRPr="006431A7">
        <w:rPr>
          <w:rFonts w:ascii="Arial" w:eastAsia="Calibri" w:hAnsi="Arial" w:cs="Arial"/>
          <w:color w:val="000000" w:themeColor="text1"/>
          <w:sz w:val="22"/>
          <w:szCs w:val="22"/>
          <w:lang w:val="es-ES_tradnl"/>
        </w:rPr>
        <w:t>El anterior texto, que según se indicó, había quedado agregado al artículo 12 de la Ley 1150 de 2007</w:t>
      </w:r>
      <w:r w:rsidR="001F2C3C" w:rsidRPr="006431A7">
        <w:rPr>
          <w:rFonts w:ascii="Arial" w:eastAsia="Calibri" w:hAnsi="Arial" w:cs="Arial"/>
          <w:color w:val="000000" w:themeColor="text1"/>
          <w:sz w:val="22"/>
          <w:szCs w:val="22"/>
          <w:lang w:val="es-ES_tradnl"/>
        </w:rPr>
        <w:t>,</w:t>
      </w:r>
      <w:r w:rsidRPr="006431A7">
        <w:rPr>
          <w:rFonts w:ascii="Arial" w:eastAsia="Calibri" w:hAnsi="Arial" w:cs="Arial"/>
          <w:color w:val="000000" w:themeColor="text1"/>
          <w:sz w:val="22"/>
          <w:szCs w:val="22"/>
          <w:lang w:val="es-ES_tradnl"/>
        </w:rPr>
        <w:t xml:space="preserve"> como parágrafo 4, también se ve afectado por el efecto de la subrogación producida por el artículo 34 de la Ley 2069 de 2020, porque en este artículo no se dice que se mantiene vigente el parágrafo citado. En otras palabras, si el artículo 3 de la Ley 2040 de 2020 había adicionado un parágrafo 4 al artículo 12 de la Ley 1150 de 2007 y posteriormente el artículo 34 de la Ley 2069 de 2020 modificó integralmente el referido </w:t>
      </w:r>
      <w:r w:rsidRPr="006431A7">
        <w:rPr>
          <w:rFonts w:ascii="Arial" w:eastAsia="Calibri" w:hAnsi="Arial" w:cs="Arial"/>
          <w:color w:val="000000" w:themeColor="text1"/>
          <w:sz w:val="22"/>
          <w:szCs w:val="22"/>
          <w:lang w:val="es-ES_tradnl"/>
        </w:rPr>
        <w:lastRenderedPageBreak/>
        <w:t>artículo 12, sustituyéndolo por un texto nuevo, se concluye que el parágrafo 4 quedó derogado. Por lo tanto, no puede aplicarse en la actualidad y mucho menos puede entenderse como obligatorio en los procesos de selección, ya que no está vigente.</w:t>
      </w:r>
      <w:r w:rsidR="001F2C3C" w:rsidRPr="006431A7">
        <w:rPr>
          <w:rFonts w:ascii="Arial" w:eastAsia="Calibri" w:hAnsi="Arial" w:cs="Arial"/>
          <w:color w:val="000000" w:themeColor="text1"/>
          <w:sz w:val="22"/>
          <w:szCs w:val="22"/>
          <w:lang w:val="es-ES_tradnl"/>
        </w:rPr>
        <w:t xml:space="preserve"> </w:t>
      </w:r>
    </w:p>
    <w:p w14:paraId="2A223B26" w14:textId="2F814DBE" w:rsidR="00F2402D" w:rsidRPr="006431A7" w:rsidRDefault="00F2402D" w:rsidP="006431A7">
      <w:pPr>
        <w:tabs>
          <w:tab w:val="left" w:pos="6551"/>
        </w:tabs>
        <w:spacing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rPr>
        <w:t xml:space="preserve">A este respecto la Corte Constitucional al analizar la vigencia </w:t>
      </w:r>
      <w:r w:rsidR="00DF7C38" w:rsidRPr="006431A7">
        <w:rPr>
          <w:rFonts w:ascii="Arial" w:eastAsia="Calibri" w:hAnsi="Arial" w:cs="Arial"/>
          <w:color w:val="000000" w:themeColor="text1"/>
          <w:sz w:val="22"/>
          <w:szCs w:val="22"/>
        </w:rPr>
        <w:t xml:space="preserve">y producción de efectos jurídicos </w:t>
      </w:r>
      <w:r w:rsidRPr="006431A7">
        <w:rPr>
          <w:rFonts w:ascii="Arial" w:eastAsia="Calibri" w:hAnsi="Arial" w:cs="Arial"/>
          <w:color w:val="000000" w:themeColor="text1"/>
          <w:sz w:val="22"/>
          <w:szCs w:val="22"/>
        </w:rPr>
        <w:t xml:space="preserve">del artículo 3 de la Ley </w:t>
      </w:r>
      <w:r w:rsidRPr="006431A7">
        <w:rPr>
          <w:rFonts w:ascii="Arial" w:eastAsia="Calibri" w:hAnsi="Arial" w:cs="Arial"/>
          <w:color w:val="000000" w:themeColor="text1"/>
          <w:sz w:val="22"/>
          <w:szCs w:val="22"/>
          <w:lang w:val="es-ES_tradnl"/>
        </w:rPr>
        <w:t xml:space="preserve">2040 de 2020, señaló lo siguiente: </w:t>
      </w:r>
    </w:p>
    <w:p w14:paraId="3A3111E8" w14:textId="77777777" w:rsidR="00F2402D" w:rsidRPr="006431A7" w:rsidRDefault="00F2402D" w:rsidP="008A7B6B">
      <w:pPr>
        <w:tabs>
          <w:tab w:val="left" w:pos="6551"/>
        </w:tabs>
        <w:spacing w:line="276" w:lineRule="auto"/>
        <w:ind w:firstLine="709"/>
        <w:jc w:val="both"/>
        <w:rPr>
          <w:rFonts w:ascii="Arial" w:eastAsia="Calibri" w:hAnsi="Arial" w:cs="Arial"/>
          <w:color w:val="000000" w:themeColor="text1"/>
          <w:sz w:val="22"/>
          <w:szCs w:val="22"/>
          <w:lang w:val="es-ES_tradnl"/>
        </w:rPr>
      </w:pPr>
    </w:p>
    <w:p w14:paraId="0CE2CC6F" w14:textId="2A07C5B2" w:rsidR="00F2402D" w:rsidRPr="006431A7" w:rsidRDefault="00F2402D" w:rsidP="008A7B6B">
      <w:pPr>
        <w:tabs>
          <w:tab w:val="left" w:pos="6551"/>
        </w:tabs>
        <w:ind w:left="709" w:right="709"/>
        <w:jc w:val="both"/>
        <w:rPr>
          <w:rFonts w:ascii="Arial" w:eastAsia="Calibri" w:hAnsi="Arial" w:cs="Arial"/>
          <w:color w:val="000000" w:themeColor="text1"/>
          <w:sz w:val="21"/>
          <w:szCs w:val="21"/>
          <w:lang w:val="es-ES_tradnl"/>
        </w:rPr>
      </w:pPr>
      <w:r w:rsidRPr="006431A7">
        <w:rPr>
          <w:rFonts w:ascii="Arial" w:eastAsia="Calibri" w:hAnsi="Arial" w:cs="Arial"/>
          <w:color w:val="000000" w:themeColor="text1"/>
          <w:sz w:val="21"/>
          <w:szCs w:val="21"/>
          <w:lang w:val="es-ES_tradnl"/>
        </w:rPr>
        <w:t>Lo que ocurrió es que la Ley 2069 de 2020, al modificar el artículo 12 de la Ley 1150 de 2007, que había sido adicionado por el parágrafo 4° del artículo 3° de la Ley 2040 de 2020, introdujo en el artículo 35, criterios de desempate que deben aplicarse de manera sucesiva y excluyente en procesos de contratación que la misma disposición estipula, dentro de los cuales se encuentra la preferencia del oferente que cuente en su planta de personal con el mayor porcentaje de adultos mayores sin acceso a la pensión, y lo ubicó en el nivel 4° de prelación.</w:t>
      </w:r>
    </w:p>
    <w:p w14:paraId="073819E8" w14:textId="77777777" w:rsidR="006C1456" w:rsidRPr="006431A7" w:rsidRDefault="006C1456" w:rsidP="008A7B6B">
      <w:pPr>
        <w:tabs>
          <w:tab w:val="left" w:pos="6551"/>
        </w:tabs>
        <w:ind w:left="709" w:right="709"/>
        <w:jc w:val="both"/>
        <w:rPr>
          <w:rFonts w:ascii="Arial" w:eastAsia="Calibri" w:hAnsi="Arial" w:cs="Arial"/>
          <w:color w:val="000000" w:themeColor="text1"/>
          <w:sz w:val="21"/>
          <w:szCs w:val="21"/>
          <w:lang w:val="es-ES_tradnl"/>
        </w:rPr>
      </w:pPr>
    </w:p>
    <w:p w14:paraId="6BC98B06" w14:textId="464494E5" w:rsidR="00F2402D" w:rsidRPr="006431A7" w:rsidRDefault="00F2402D" w:rsidP="008A7B6B">
      <w:pPr>
        <w:tabs>
          <w:tab w:val="left" w:pos="6551"/>
        </w:tabs>
        <w:ind w:left="709" w:right="709"/>
        <w:jc w:val="both"/>
        <w:rPr>
          <w:rFonts w:ascii="Arial" w:eastAsia="Calibri" w:hAnsi="Arial" w:cs="Arial"/>
          <w:color w:val="000000" w:themeColor="text1"/>
          <w:sz w:val="21"/>
          <w:szCs w:val="21"/>
          <w:lang w:val="es-ES_tradnl"/>
        </w:rPr>
      </w:pPr>
      <w:r w:rsidRPr="006431A7">
        <w:rPr>
          <w:rFonts w:ascii="Arial" w:eastAsia="Calibri" w:hAnsi="Arial" w:cs="Arial"/>
          <w:color w:val="000000" w:themeColor="text1"/>
          <w:sz w:val="21"/>
          <w:szCs w:val="21"/>
          <w:lang w:val="es-ES_tradnl"/>
        </w:rPr>
        <w:t xml:space="preserve">Así pues, lo que se observa en el caso puesto a consideración de la Sala es que ha operado la subrogación parcial respecto a la norma acusada. Como lo advierte el Ministerio Público, el criterio de desempate que antes estaba contenido en el parágrafo 4° del artículo 12 de la Ley 1150 de 2007, que ahora fue modificado y ya no lo incluye, se encuentra en el artículo 35 de la nueva regulación. Pero </w:t>
      </w:r>
      <w:proofErr w:type="spellStart"/>
      <w:r w:rsidRPr="006431A7">
        <w:rPr>
          <w:rFonts w:ascii="Arial" w:eastAsia="Calibri" w:hAnsi="Arial" w:cs="Arial"/>
          <w:color w:val="000000" w:themeColor="text1"/>
          <w:sz w:val="21"/>
          <w:szCs w:val="21"/>
          <w:lang w:val="es-ES_tradnl"/>
        </w:rPr>
        <w:t>aún</w:t>
      </w:r>
      <w:proofErr w:type="spellEnd"/>
      <w:r w:rsidRPr="006431A7">
        <w:rPr>
          <w:rFonts w:ascii="Arial" w:eastAsia="Calibri" w:hAnsi="Arial" w:cs="Arial"/>
          <w:color w:val="000000" w:themeColor="text1"/>
          <w:sz w:val="21"/>
          <w:szCs w:val="21"/>
          <w:lang w:val="es-ES_tradnl"/>
        </w:rPr>
        <w:t xml:space="preserve"> así, es importante enfatizar que su contenido fue reproducido de manera parcial</w:t>
      </w:r>
      <w:r w:rsidR="006C1456" w:rsidRPr="006431A7">
        <w:rPr>
          <w:rStyle w:val="Refdenotaalpie"/>
          <w:rFonts w:ascii="Arial" w:eastAsia="Calibri" w:hAnsi="Arial" w:cs="Arial"/>
          <w:color w:val="000000" w:themeColor="text1"/>
          <w:sz w:val="21"/>
          <w:szCs w:val="21"/>
          <w:lang w:val="es-ES_tradnl"/>
        </w:rPr>
        <w:footnoteReference w:id="13"/>
      </w:r>
      <w:r w:rsidRPr="006431A7">
        <w:rPr>
          <w:rFonts w:ascii="Arial" w:eastAsia="Calibri" w:hAnsi="Arial" w:cs="Arial"/>
          <w:color w:val="000000" w:themeColor="text1"/>
          <w:sz w:val="21"/>
          <w:szCs w:val="21"/>
          <w:lang w:val="es-ES_tradnl"/>
        </w:rPr>
        <w:t>.</w:t>
      </w:r>
    </w:p>
    <w:p w14:paraId="3911A7F1" w14:textId="77777777" w:rsidR="006C1456" w:rsidRPr="006431A7" w:rsidRDefault="006C1456" w:rsidP="008A7B6B">
      <w:pPr>
        <w:tabs>
          <w:tab w:val="left" w:pos="6551"/>
        </w:tabs>
        <w:spacing w:line="276" w:lineRule="auto"/>
        <w:ind w:left="709" w:right="709"/>
        <w:jc w:val="both"/>
        <w:rPr>
          <w:rFonts w:ascii="Arial" w:eastAsia="Calibri" w:hAnsi="Arial" w:cs="Arial"/>
          <w:color w:val="000000" w:themeColor="text1"/>
          <w:sz w:val="21"/>
          <w:szCs w:val="21"/>
          <w:lang w:val="es-ES_tradnl"/>
        </w:rPr>
      </w:pPr>
    </w:p>
    <w:p w14:paraId="42C0C31B" w14:textId="3A0BBB70" w:rsidR="00C83429" w:rsidRPr="006431A7" w:rsidRDefault="00F2402D" w:rsidP="008A7B6B">
      <w:pPr>
        <w:tabs>
          <w:tab w:val="left" w:pos="6551"/>
        </w:tabs>
        <w:spacing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 xml:space="preserve">De esta manera, </w:t>
      </w:r>
      <w:r w:rsidR="00C83429" w:rsidRPr="006431A7">
        <w:rPr>
          <w:rFonts w:ascii="Arial" w:eastAsia="Calibri" w:hAnsi="Arial" w:cs="Arial"/>
          <w:color w:val="000000" w:themeColor="text1"/>
          <w:sz w:val="22"/>
          <w:szCs w:val="22"/>
          <w:lang w:val="es-ES_tradnl"/>
        </w:rPr>
        <w:t>una razón adicional</w:t>
      </w:r>
      <w:r w:rsidRPr="006431A7">
        <w:rPr>
          <w:rFonts w:ascii="Arial" w:eastAsia="Calibri" w:hAnsi="Arial" w:cs="Arial"/>
          <w:color w:val="000000" w:themeColor="text1"/>
          <w:sz w:val="22"/>
          <w:szCs w:val="22"/>
          <w:lang w:val="es-ES_tradnl"/>
        </w:rPr>
        <w:t xml:space="preserve"> </w:t>
      </w:r>
      <w:r w:rsidR="00C83429" w:rsidRPr="006431A7">
        <w:rPr>
          <w:rFonts w:ascii="Arial" w:eastAsia="Calibri" w:hAnsi="Arial" w:cs="Arial"/>
          <w:color w:val="000000" w:themeColor="text1"/>
          <w:sz w:val="22"/>
          <w:szCs w:val="22"/>
          <w:lang w:val="es-ES_tradnl"/>
        </w:rPr>
        <w:t>para concluir que el artículo 34 de la Ley 2069 de 2020 dejó sin vigencia el parágrafo 4 del artículo 12 de la Ley 1150 de 2007 –</w:t>
      </w:r>
      <w:proofErr w:type="gramStart"/>
      <w:r w:rsidR="00C83429" w:rsidRPr="006431A7">
        <w:rPr>
          <w:rFonts w:ascii="Arial" w:eastAsia="Calibri" w:hAnsi="Arial" w:cs="Arial"/>
          <w:color w:val="000000" w:themeColor="text1"/>
          <w:sz w:val="22"/>
          <w:szCs w:val="22"/>
          <w:lang w:val="es-ES_tradnl"/>
        </w:rPr>
        <w:t>y</w:t>
      </w:r>
      <w:proofErr w:type="gramEnd"/>
      <w:r w:rsidR="00C83429" w:rsidRPr="006431A7">
        <w:rPr>
          <w:rFonts w:ascii="Arial" w:eastAsia="Calibri" w:hAnsi="Arial" w:cs="Arial"/>
          <w:color w:val="000000" w:themeColor="text1"/>
          <w:sz w:val="22"/>
          <w:szCs w:val="22"/>
          <w:lang w:val="es-ES_tradnl"/>
        </w:rPr>
        <w:t xml:space="preserve"> por lo tanto, el artículo 3 de la Ley 2040 de 2020–, es que el artículo 35 de la Ley 2069 de 2020 contiene una regulación nueva de los factores de desempate en la contratación estatal. Concretamente,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vigencia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r w:rsidR="007413E7" w:rsidRPr="006431A7">
        <w:rPr>
          <w:rFonts w:ascii="Arial" w:eastAsia="Calibri" w:hAnsi="Arial" w:cs="Arial"/>
          <w:color w:val="000000" w:themeColor="text1"/>
          <w:sz w:val="22"/>
          <w:szCs w:val="22"/>
          <w:lang w:val="es-ES_tradnl"/>
        </w:rPr>
        <w:t>, como aconteció con el Decreto 1860 de 2021.</w:t>
      </w:r>
    </w:p>
    <w:p w14:paraId="145E1AE5" w14:textId="0F4CDE3B" w:rsidR="00C83429" w:rsidRPr="006431A7" w:rsidRDefault="00C83429"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 xml:space="preserve">En conclusión, las entidades estatales, independientemente del régimen contractual que las rige, deben aplicar el factor de desempate basado en la vinculación de personas mayores. Sin embargo, el fundamento </w:t>
      </w:r>
      <w:r w:rsidR="007413E7" w:rsidRPr="006431A7">
        <w:rPr>
          <w:rFonts w:ascii="Arial" w:eastAsia="Calibri" w:hAnsi="Arial" w:cs="Arial"/>
          <w:color w:val="000000" w:themeColor="text1"/>
          <w:sz w:val="22"/>
          <w:szCs w:val="22"/>
          <w:lang w:val="es-ES_tradnl"/>
        </w:rPr>
        <w:t xml:space="preserve">y alcance de este factor de desempate </w:t>
      </w:r>
      <w:r w:rsidRPr="006431A7">
        <w:rPr>
          <w:rFonts w:ascii="Arial" w:eastAsia="Calibri" w:hAnsi="Arial" w:cs="Arial"/>
          <w:color w:val="000000" w:themeColor="text1"/>
          <w:sz w:val="22"/>
          <w:szCs w:val="22"/>
          <w:lang w:val="es-ES_tradnl"/>
        </w:rPr>
        <w:t xml:space="preserve">ya no es el </w:t>
      </w:r>
      <w:r w:rsidRPr="006431A7">
        <w:rPr>
          <w:rFonts w:ascii="Arial" w:eastAsia="Calibri" w:hAnsi="Arial" w:cs="Arial"/>
          <w:color w:val="000000" w:themeColor="text1"/>
          <w:sz w:val="22"/>
          <w:szCs w:val="22"/>
          <w:lang w:val="es-ES_tradnl"/>
        </w:rPr>
        <w:lastRenderedPageBreak/>
        <w:t>artículo 3 de la Ley 2040 de 2020 –pues no está vigente–, sino el artículo 35, numeral 4, de la Ley 2069 de 2020</w:t>
      </w:r>
      <w:r w:rsidR="004B525E" w:rsidRPr="006431A7">
        <w:rPr>
          <w:rFonts w:ascii="Arial" w:eastAsia="Calibri" w:hAnsi="Arial" w:cs="Arial"/>
          <w:color w:val="000000" w:themeColor="text1"/>
          <w:sz w:val="22"/>
          <w:szCs w:val="22"/>
          <w:lang w:val="es-ES_tradnl"/>
        </w:rPr>
        <w:t>,</w:t>
      </w:r>
      <w:r w:rsidR="004B525E" w:rsidRPr="006431A7">
        <w:t xml:space="preserve"> </w:t>
      </w:r>
      <w:r w:rsidR="004B525E" w:rsidRPr="006431A7">
        <w:rPr>
          <w:rFonts w:ascii="Arial" w:eastAsia="Calibri" w:hAnsi="Arial" w:cs="Arial"/>
          <w:color w:val="000000" w:themeColor="text1"/>
          <w:sz w:val="22"/>
          <w:szCs w:val="22"/>
          <w:lang w:val="es-ES_tradnl"/>
        </w:rPr>
        <w:t xml:space="preserve">aclarando que este artículo </w:t>
      </w:r>
      <w:r w:rsidR="00FD5236" w:rsidRPr="006431A7">
        <w:rPr>
          <w:rFonts w:ascii="Arial" w:eastAsia="Calibri" w:hAnsi="Arial" w:cs="Arial"/>
          <w:color w:val="000000" w:themeColor="text1"/>
          <w:sz w:val="22"/>
          <w:szCs w:val="22"/>
          <w:lang w:val="es-ES_tradnl"/>
        </w:rPr>
        <w:t xml:space="preserve">fue reglamentado </w:t>
      </w:r>
      <w:r w:rsidR="004B525E" w:rsidRPr="006431A7">
        <w:rPr>
          <w:rFonts w:ascii="Arial" w:eastAsia="Calibri" w:hAnsi="Arial" w:cs="Arial"/>
          <w:color w:val="000000" w:themeColor="text1"/>
          <w:sz w:val="22"/>
          <w:szCs w:val="22"/>
          <w:lang w:val="es-ES_tradnl"/>
        </w:rPr>
        <w:t xml:space="preserve">mediante el Decreto 1860 del 24 de diciembre de 2021, pero cuyas </w:t>
      </w:r>
      <w:r w:rsidR="00FD5236" w:rsidRPr="006431A7">
        <w:rPr>
          <w:rFonts w:ascii="Arial" w:eastAsia="Calibri" w:hAnsi="Arial" w:cs="Arial"/>
          <w:color w:val="000000" w:themeColor="text1"/>
          <w:sz w:val="22"/>
          <w:szCs w:val="22"/>
          <w:lang w:val="es-ES_tradnl"/>
        </w:rPr>
        <w:t>disposiciones</w:t>
      </w:r>
      <w:r w:rsidR="004B525E" w:rsidRPr="006431A7">
        <w:rPr>
          <w:rFonts w:ascii="Arial" w:eastAsia="Calibri" w:hAnsi="Arial" w:cs="Arial"/>
          <w:color w:val="000000" w:themeColor="text1"/>
          <w:sz w:val="22"/>
          <w:szCs w:val="22"/>
          <w:lang w:val="es-ES_tradnl"/>
        </w:rPr>
        <w:t>, de acuerdo con su artículo 8, solo «aplicarán a los procedimientos de selección cuya invitación, aviso de convocatoria o documento equivalente se publique a los tres (3) meses contados a partir de su expedición», esto es, a partir del 24 de marzo de 2022, aspecto que se analizará en el desarrollo del concepto.</w:t>
      </w:r>
    </w:p>
    <w:p w14:paraId="45E6903A" w14:textId="77777777" w:rsidR="003128AD" w:rsidRPr="006431A7" w:rsidRDefault="003128AD" w:rsidP="008A7B6B">
      <w:pPr>
        <w:tabs>
          <w:tab w:val="left" w:pos="6551"/>
        </w:tabs>
        <w:spacing w:line="276" w:lineRule="auto"/>
        <w:jc w:val="both"/>
        <w:rPr>
          <w:rFonts w:ascii="Arial" w:eastAsia="Calibri" w:hAnsi="Arial" w:cs="Arial"/>
          <w:color w:val="000000" w:themeColor="text1"/>
          <w:sz w:val="22"/>
          <w:szCs w:val="22"/>
          <w:lang w:val="es-ES_tradnl"/>
        </w:rPr>
      </w:pPr>
    </w:p>
    <w:p w14:paraId="7060213F" w14:textId="0BFCB521" w:rsidR="00C9116B" w:rsidRPr="006431A7" w:rsidRDefault="003128AD" w:rsidP="008A7B6B">
      <w:pPr>
        <w:tabs>
          <w:tab w:val="left" w:pos="6551"/>
        </w:tabs>
        <w:spacing w:line="276" w:lineRule="auto"/>
        <w:jc w:val="both"/>
        <w:rPr>
          <w:rFonts w:ascii="Arial" w:eastAsia="Calibri" w:hAnsi="Arial" w:cs="Arial"/>
          <w:b/>
          <w:bCs/>
          <w:color w:val="000000" w:themeColor="text1"/>
          <w:sz w:val="22"/>
          <w:szCs w:val="22"/>
          <w:lang w:val="es-ES_tradnl"/>
        </w:rPr>
      </w:pPr>
      <w:r w:rsidRPr="006431A7">
        <w:rPr>
          <w:rFonts w:ascii="Arial" w:eastAsia="Calibri" w:hAnsi="Arial" w:cs="Arial"/>
          <w:b/>
          <w:bCs/>
          <w:color w:val="000000" w:themeColor="text1"/>
          <w:sz w:val="22"/>
          <w:szCs w:val="22"/>
          <w:lang w:val="es-ES_tradnl"/>
        </w:rPr>
        <w:t>2.</w:t>
      </w:r>
      <w:r w:rsidR="000A4B8F" w:rsidRPr="006431A7">
        <w:rPr>
          <w:rFonts w:ascii="Arial" w:eastAsia="Calibri" w:hAnsi="Arial" w:cs="Arial"/>
          <w:b/>
          <w:bCs/>
          <w:color w:val="000000" w:themeColor="text1"/>
          <w:sz w:val="22"/>
          <w:szCs w:val="22"/>
          <w:lang w:val="es-ES_tradnl"/>
        </w:rPr>
        <w:t>4</w:t>
      </w:r>
      <w:r w:rsidRPr="006431A7">
        <w:rPr>
          <w:rFonts w:ascii="Arial" w:eastAsia="Calibri" w:hAnsi="Arial" w:cs="Arial"/>
          <w:b/>
          <w:bCs/>
          <w:color w:val="000000" w:themeColor="text1"/>
          <w:sz w:val="22"/>
          <w:szCs w:val="22"/>
          <w:lang w:val="es-ES_tradnl"/>
        </w:rPr>
        <w:t>. Vigencia de los factores de desempate consagrados en el artículo 35 de la Ley 2069 de 2020 y</w:t>
      </w:r>
      <w:r w:rsidR="00F60D04" w:rsidRPr="006431A7">
        <w:rPr>
          <w:rFonts w:ascii="Arial" w:eastAsia="Calibri" w:hAnsi="Arial" w:cs="Arial"/>
          <w:b/>
          <w:bCs/>
          <w:color w:val="000000" w:themeColor="text1"/>
          <w:sz w:val="22"/>
          <w:szCs w:val="22"/>
          <w:lang w:val="es-ES_tradnl"/>
        </w:rPr>
        <w:t xml:space="preserve"> alcance del factor de desempate previsto en el numeral 4 regulado por el Decreto 1860 de 2021</w:t>
      </w:r>
    </w:p>
    <w:p w14:paraId="78BD6E07" w14:textId="163307D8" w:rsidR="0022646A" w:rsidRPr="006431A7" w:rsidRDefault="0022646A" w:rsidP="008A7B6B">
      <w:pPr>
        <w:tabs>
          <w:tab w:val="left" w:pos="6551"/>
        </w:tabs>
        <w:spacing w:line="276" w:lineRule="auto"/>
        <w:jc w:val="both"/>
        <w:rPr>
          <w:rFonts w:ascii="Arial" w:eastAsia="Calibri" w:hAnsi="Arial" w:cs="Arial"/>
          <w:b/>
          <w:bCs/>
          <w:color w:val="000000" w:themeColor="text1"/>
          <w:sz w:val="22"/>
          <w:szCs w:val="22"/>
          <w:lang w:val="es-ES_tradnl"/>
        </w:rPr>
      </w:pPr>
    </w:p>
    <w:p w14:paraId="5B357598" w14:textId="61C830FD" w:rsidR="00751D4F" w:rsidRPr="006431A7" w:rsidRDefault="0022646A" w:rsidP="008A7B6B">
      <w:pPr>
        <w:tabs>
          <w:tab w:val="left" w:pos="6551"/>
        </w:tabs>
        <w:spacing w:line="276" w:lineRule="auto"/>
        <w:jc w:val="both"/>
        <w:rPr>
          <w:rFonts w:ascii="Arial" w:eastAsia="Calibri" w:hAnsi="Arial" w:cs="Arial"/>
          <w:bCs/>
          <w:color w:val="000000" w:themeColor="text1"/>
          <w:sz w:val="22"/>
          <w:lang w:val="es-ES_tradnl"/>
        </w:rPr>
      </w:pPr>
      <w:r w:rsidRPr="006431A7">
        <w:rPr>
          <w:rFonts w:ascii="Arial" w:eastAsia="Calibri" w:hAnsi="Arial" w:cs="Arial"/>
          <w:bCs/>
          <w:color w:val="000000" w:themeColor="text1"/>
          <w:sz w:val="22"/>
          <w:lang w:val="es-ES_tradnl"/>
        </w:rPr>
        <w:t>Con la finalidad de explicar el régimen jurídico vigente aplicable a los factores de desempate, en este numeral se hará referencia a la forma de acreditación de los criterios de desempate</w:t>
      </w:r>
      <w:r w:rsidR="007413E7" w:rsidRPr="006431A7">
        <w:rPr>
          <w:rFonts w:ascii="Arial" w:eastAsia="Calibri" w:hAnsi="Arial" w:cs="Arial"/>
          <w:bCs/>
          <w:color w:val="000000" w:themeColor="text1"/>
          <w:sz w:val="22"/>
          <w:lang w:val="es-ES_tradnl"/>
        </w:rPr>
        <w:t>,</w:t>
      </w:r>
      <w:r w:rsidRPr="006431A7">
        <w:rPr>
          <w:rFonts w:ascii="Arial" w:eastAsia="Calibri" w:hAnsi="Arial" w:cs="Arial"/>
          <w:bCs/>
          <w:color w:val="000000" w:themeColor="text1"/>
          <w:sz w:val="22"/>
          <w:lang w:val="es-ES_tradnl"/>
        </w:rPr>
        <w:t xml:space="preserve"> antes de la reciente expedición del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Este esquema de análisis resulta procedente, toda vez, que de acuerdo con el Decreto 1860 de 2021 las disposiciones contenidas en dicho reglamento aplicarán a los procedimientos de selección cuya invitación, aviso de convocatoria o documento equivalente se publique a los tres (3) meses contados a partir de su expedición. En tal sentido, tratándose de </w:t>
      </w:r>
      <w:r w:rsidR="00751D4F" w:rsidRPr="006431A7">
        <w:rPr>
          <w:rFonts w:ascii="Arial" w:eastAsia="Calibri" w:hAnsi="Arial" w:cs="Arial"/>
          <w:bCs/>
          <w:color w:val="000000" w:themeColor="text1"/>
          <w:sz w:val="22"/>
          <w:lang w:val="es-ES_tradnl"/>
        </w:rPr>
        <w:t xml:space="preserve">la acreditación de los factores de desempate </w:t>
      </w:r>
      <w:r w:rsidRPr="006431A7">
        <w:rPr>
          <w:rFonts w:ascii="Arial" w:eastAsia="Calibri" w:hAnsi="Arial" w:cs="Arial"/>
          <w:bCs/>
          <w:color w:val="000000" w:themeColor="text1"/>
          <w:sz w:val="22"/>
          <w:lang w:val="es-ES_tradnl"/>
        </w:rPr>
        <w:t xml:space="preserve">dichas modificaciones tendrán efectos en los procesos </w:t>
      </w:r>
      <w:r w:rsidR="008A421A" w:rsidRPr="006431A7">
        <w:rPr>
          <w:rFonts w:ascii="Arial" w:eastAsia="Arial" w:hAnsi="Arial" w:cs="Arial"/>
          <w:bCs/>
          <w:sz w:val="22"/>
          <w:szCs w:val="22"/>
          <w:lang w:val="es-ES_tradnl" w:eastAsia="es-ES" w:bidi="es-ES"/>
        </w:rPr>
        <w:t xml:space="preserve">cuya invitación o aviso de convocatoria </w:t>
      </w:r>
      <w:r w:rsidRPr="006431A7">
        <w:rPr>
          <w:rFonts w:ascii="Arial" w:eastAsia="Calibri" w:hAnsi="Arial" w:cs="Arial"/>
          <w:bCs/>
          <w:color w:val="000000" w:themeColor="text1"/>
          <w:sz w:val="22"/>
          <w:lang w:val="es-ES_tradnl"/>
        </w:rPr>
        <w:t>se publique a partir del 24 de marzo de 2022</w:t>
      </w:r>
      <w:r w:rsidR="00751D4F" w:rsidRPr="006431A7">
        <w:rPr>
          <w:rFonts w:ascii="Arial" w:eastAsia="Calibri" w:hAnsi="Arial" w:cs="Arial"/>
          <w:bCs/>
          <w:color w:val="000000" w:themeColor="text1"/>
          <w:sz w:val="22"/>
          <w:lang w:val="es-ES_tradnl"/>
        </w:rPr>
        <w:t>,</w:t>
      </w:r>
      <w:r w:rsidRPr="006431A7">
        <w:rPr>
          <w:rFonts w:ascii="Arial" w:eastAsia="Calibri" w:hAnsi="Arial" w:cs="Arial"/>
          <w:bCs/>
          <w:color w:val="000000" w:themeColor="text1"/>
          <w:sz w:val="22"/>
          <w:lang w:val="es-ES_tradnl"/>
        </w:rPr>
        <w:t xml:space="preserve"> </w:t>
      </w:r>
      <w:r w:rsidR="00751D4F" w:rsidRPr="006431A7">
        <w:rPr>
          <w:rFonts w:ascii="Arial" w:hAnsi="Arial" w:cs="Arial"/>
          <w:color w:val="000000" w:themeColor="text1"/>
          <w:sz w:val="22"/>
          <w:szCs w:val="22"/>
        </w:rPr>
        <w:t>sin perjuicio de que la entidad lo aplique de forma potestativa</w:t>
      </w:r>
      <w:r w:rsidR="007413E7" w:rsidRPr="006431A7">
        <w:rPr>
          <w:rFonts w:ascii="Arial" w:hAnsi="Arial" w:cs="Arial"/>
          <w:color w:val="000000" w:themeColor="text1"/>
          <w:sz w:val="22"/>
          <w:szCs w:val="22"/>
        </w:rPr>
        <w:t>, incluyendo dichos contenidos en el pliego de condiciones o documento equivalente,</w:t>
      </w:r>
      <w:r w:rsidR="00751D4F" w:rsidRPr="006431A7">
        <w:rPr>
          <w:rFonts w:ascii="Arial" w:hAnsi="Arial" w:cs="Arial"/>
          <w:color w:val="000000" w:themeColor="text1"/>
          <w:sz w:val="22"/>
          <w:szCs w:val="22"/>
        </w:rPr>
        <w:t xml:space="preserve"> para </w:t>
      </w:r>
      <w:r w:rsidR="00751D4F" w:rsidRPr="006431A7">
        <w:rPr>
          <w:rFonts w:ascii="Arial" w:eastAsia="Arial" w:hAnsi="Arial" w:cs="Arial"/>
          <w:bCs/>
          <w:sz w:val="22"/>
          <w:szCs w:val="22"/>
          <w:lang w:val="es-ES_tradnl" w:eastAsia="es-ES" w:bidi="es-ES"/>
        </w:rPr>
        <w:t>procesos publicados el 23 de marzo de 2022 o en una fecha anterior.</w:t>
      </w:r>
      <w:r w:rsidR="00751D4F" w:rsidRPr="006431A7">
        <w:rPr>
          <w:rFonts w:ascii="Arial" w:eastAsia="Calibri" w:hAnsi="Arial" w:cs="Arial"/>
          <w:bCs/>
          <w:color w:val="000000" w:themeColor="text1"/>
          <w:sz w:val="22"/>
          <w:lang w:val="es-ES_tradnl"/>
        </w:rPr>
        <w:t xml:space="preserve"> </w:t>
      </w:r>
      <w:r w:rsidRPr="006431A7">
        <w:rPr>
          <w:rFonts w:ascii="Arial" w:eastAsia="Calibri" w:hAnsi="Arial" w:cs="Arial"/>
          <w:bCs/>
          <w:color w:val="000000" w:themeColor="text1"/>
          <w:sz w:val="22"/>
          <w:lang w:val="es-ES_tradnl"/>
        </w:rPr>
        <w:t xml:space="preserve">Hecha la anterior precisión, a </w:t>
      </w:r>
      <w:proofErr w:type="gramStart"/>
      <w:r w:rsidRPr="006431A7">
        <w:rPr>
          <w:rFonts w:ascii="Arial" w:eastAsia="Calibri" w:hAnsi="Arial" w:cs="Arial"/>
          <w:bCs/>
          <w:color w:val="000000" w:themeColor="text1"/>
          <w:sz w:val="22"/>
          <w:lang w:val="es-ES_tradnl"/>
        </w:rPr>
        <w:t>continuación</w:t>
      </w:r>
      <w:proofErr w:type="gramEnd"/>
      <w:r w:rsidRPr="006431A7">
        <w:rPr>
          <w:rFonts w:ascii="Arial" w:eastAsia="Calibri" w:hAnsi="Arial" w:cs="Arial"/>
          <w:bCs/>
          <w:color w:val="000000" w:themeColor="text1"/>
          <w:sz w:val="22"/>
          <w:lang w:val="es-ES_tradnl"/>
        </w:rPr>
        <w:t xml:space="preserve"> se explicará cuál es el régimen vigente en la actualidad, reiterando la interpretación realizada por la Agencia en conceptos anteriores</w:t>
      </w:r>
      <w:r w:rsidR="00751D4F" w:rsidRPr="006431A7">
        <w:rPr>
          <w:rFonts w:ascii="Arial" w:eastAsia="Calibri" w:hAnsi="Arial" w:cs="Arial"/>
          <w:bCs/>
          <w:color w:val="000000" w:themeColor="text1"/>
          <w:sz w:val="22"/>
          <w:lang w:val="es-ES_tradnl"/>
        </w:rPr>
        <w:t xml:space="preserve">. </w:t>
      </w:r>
    </w:p>
    <w:p w14:paraId="4E69EC78" w14:textId="37B2672D" w:rsidR="00C61626" w:rsidRPr="006431A7" w:rsidRDefault="00C61626" w:rsidP="008A7B6B">
      <w:pPr>
        <w:tabs>
          <w:tab w:val="left" w:pos="6551"/>
        </w:tabs>
        <w:spacing w:before="120" w:line="276" w:lineRule="auto"/>
        <w:ind w:firstLine="709"/>
        <w:jc w:val="both"/>
        <w:rPr>
          <w:rFonts w:ascii="Arial" w:eastAsia="Calibri" w:hAnsi="Arial" w:cs="Arial"/>
          <w:bCs/>
          <w:color w:val="000000" w:themeColor="text1"/>
          <w:sz w:val="22"/>
          <w:lang w:val="es-ES_tradnl"/>
        </w:rPr>
      </w:pPr>
      <w:r w:rsidRPr="006431A7">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w:t>
      </w:r>
      <w:r w:rsidR="00BE06A9" w:rsidRPr="006431A7">
        <w:rPr>
          <w:rFonts w:ascii="Arial" w:eastAsia="Calibri" w:hAnsi="Arial" w:cs="Arial"/>
          <w:color w:val="000000" w:themeColor="text1"/>
          <w:sz w:val="22"/>
          <w:szCs w:val="22"/>
          <w:lang w:val="es-ES_tradnl"/>
        </w:rPr>
        <w:t>P</w:t>
      </w:r>
      <w:r w:rsidRPr="006431A7">
        <w:rPr>
          <w:rFonts w:ascii="Arial" w:eastAsia="Calibri" w:hAnsi="Arial" w:cs="Arial"/>
          <w:color w:val="000000" w:themeColor="text1"/>
          <w:sz w:val="22"/>
          <w:szCs w:val="22"/>
          <w:lang w:val="es-ES_tradnl"/>
        </w:rPr>
        <w:t xml:space="preserve">ese a que el parágrafo 3 dispone que el Gobierno Nacional podrá regular los supuestos en que concurran dos o más factores de desempate, se considera que el artículo 35 de la Ley 2069 de 2020 goza de aplicación directa desde la fecha de su promulgación, es decir, no </w:t>
      </w:r>
      <w:r w:rsidR="004D39F3" w:rsidRPr="006431A7">
        <w:rPr>
          <w:rFonts w:ascii="Arial" w:eastAsia="Calibri" w:hAnsi="Arial" w:cs="Arial"/>
          <w:color w:val="000000" w:themeColor="text1"/>
          <w:sz w:val="22"/>
          <w:szCs w:val="22"/>
          <w:lang w:val="es-ES_tradnl"/>
        </w:rPr>
        <w:t xml:space="preserve">requería </w:t>
      </w:r>
      <w:r w:rsidRPr="006431A7">
        <w:rPr>
          <w:rFonts w:ascii="Arial" w:eastAsia="Calibri" w:hAnsi="Arial" w:cs="Arial"/>
          <w:color w:val="000000" w:themeColor="text1"/>
          <w:sz w:val="22"/>
          <w:szCs w:val="22"/>
          <w:lang w:val="es-ES_tradnl"/>
        </w:rPr>
        <w:t xml:space="preserve">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50A1A523" w14:textId="77777777" w:rsidR="00C61626" w:rsidRPr="006431A7" w:rsidRDefault="00C61626"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6431A7">
        <w:rPr>
          <w:rFonts w:ascii="Arial" w:eastAsia="Calibri" w:hAnsi="Arial" w:cs="Arial"/>
          <w:color w:val="000000" w:themeColor="text1"/>
          <w:sz w:val="22"/>
          <w:szCs w:val="22"/>
          <w:lang w:val="es-ES_tradnl"/>
        </w:rPr>
        <w:t>mipymes</w:t>
      </w:r>
      <w:proofErr w:type="spellEnd"/>
      <w:r w:rsidRPr="006431A7">
        <w:rPr>
          <w:rFonts w:ascii="Arial" w:eastAsia="Calibri" w:hAnsi="Arial" w:cs="Arial"/>
          <w:color w:val="000000" w:themeColor="text1"/>
          <w:sz w:val="22"/>
          <w:szCs w:val="22"/>
          <w:lang w:val="es-ES_tradnl"/>
        </w:rPr>
        <w:t xml:space="preserve"> en procedimientos de mínima cuantía, </w:t>
      </w:r>
      <w:r w:rsidRPr="006431A7">
        <w:rPr>
          <w:rFonts w:ascii="Arial" w:eastAsia="Calibri" w:hAnsi="Arial" w:cs="Arial"/>
          <w:color w:val="000000" w:themeColor="text1"/>
          <w:sz w:val="22"/>
          <w:szCs w:val="22"/>
          <w:lang w:val="es-ES_tradnl"/>
        </w:rPr>
        <w:lastRenderedPageBreak/>
        <w:t xml:space="preserve">establece que «Las particularidades del procedimiento aquí previsto, así como la posibilidad que tengan las entidades de realizar estas adquisiciones a </w:t>
      </w:r>
      <w:proofErr w:type="spellStart"/>
      <w:r w:rsidRPr="006431A7">
        <w:rPr>
          <w:rFonts w:ascii="Arial" w:eastAsia="Calibri" w:hAnsi="Arial" w:cs="Arial"/>
          <w:color w:val="000000" w:themeColor="text1"/>
          <w:sz w:val="22"/>
          <w:szCs w:val="22"/>
          <w:lang w:val="es-ES_tradnl"/>
        </w:rPr>
        <w:t>Mipymes</w:t>
      </w:r>
      <w:proofErr w:type="spellEnd"/>
      <w:r w:rsidRPr="006431A7">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64491EFB" w14:textId="77777777" w:rsidR="00C61626" w:rsidRPr="006431A7" w:rsidRDefault="00C61626"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 igual forma,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4367945" w14:textId="77777777" w:rsidR="00C61626" w:rsidRPr="006431A7" w:rsidRDefault="00C61626"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 xml:space="preserve">Lo mismo no sucede con el artículo 35. En efecto, </w:t>
      </w:r>
      <w:r w:rsidRPr="006431A7">
        <w:rPr>
          <w:rFonts w:ascii="Arial" w:hAnsi="Arial" w:cs="Arial"/>
          <w:color w:val="000000" w:themeColor="text1"/>
          <w:sz w:val="22"/>
          <w:szCs w:val="22"/>
          <w:lang w:val="es-ES_tradnl"/>
        </w:rPr>
        <w:t>si bien los factores de desempate regulados en el artículo 35 deben aplicarse «</w:t>
      </w:r>
      <w:r w:rsidRPr="006431A7">
        <w:rPr>
          <w:rFonts w:ascii="Arial" w:hAnsi="Arial" w:cs="Arial"/>
          <w:color w:val="000000" w:themeColor="text1"/>
          <w:lang w:val="es-ES_tradnl"/>
        </w:rPr>
        <w:t xml:space="preserve">[…] </w:t>
      </w:r>
      <w:r w:rsidRPr="006431A7">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6431A7">
        <w:rPr>
          <w:rFonts w:ascii="Arial" w:eastAsia="Calibri" w:hAnsi="Arial" w:cs="Arial"/>
          <w:color w:val="000000" w:themeColor="text1"/>
          <w:sz w:val="22"/>
          <w:szCs w:val="22"/>
          <w:lang w:val="es-ES_tradnl"/>
        </w:rPr>
        <w:t xml:space="preserve">  </w:t>
      </w:r>
    </w:p>
    <w:p w14:paraId="18D73019" w14:textId="77777777" w:rsidR="00C61626" w:rsidRPr="006431A7" w:rsidRDefault="00C61626"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6431A7">
        <w:rPr>
          <w:rFonts w:ascii="Arial" w:eastAsia="Calibri" w:hAnsi="Arial" w:cs="Arial"/>
          <w:i/>
          <w:iCs/>
          <w:color w:val="000000" w:themeColor="text1"/>
          <w:sz w:val="22"/>
          <w:szCs w:val="22"/>
          <w:lang w:val="es-ES_tradnl"/>
        </w:rPr>
        <w:t>podrá reglamentar</w:t>
      </w:r>
      <w:r w:rsidRPr="006431A7">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125CF55E" w14:textId="6BDD845C" w:rsidR="00C61626" w:rsidRPr="006431A7" w:rsidRDefault="00C61626"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se concluye que los factores de desempate del artículo </w:t>
      </w:r>
      <w:r w:rsidR="00C34E0E" w:rsidRPr="006431A7">
        <w:rPr>
          <w:rFonts w:ascii="Arial" w:eastAsia="Calibri" w:hAnsi="Arial" w:cs="Arial"/>
          <w:color w:val="000000" w:themeColor="text1"/>
          <w:sz w:val="22"/>
          <w:szCs w:val="22"/>
          <w:lang w:val="es-ES_tradnl"/>
        </w:rPr>
        <w:t>35</w:t>
      </w:r>
      <w:r w:rsidRPr="006431A7">
        <w:rPr>
          <w:rFonts w:ascii="Arial" w:eastAsia="Calibri" w:hAnsi="Arial" w:cs="Arial"/>
          <w:color w:val="000000" w:themeColor="text1"/>
          <w:sz w:val="22"/>
          <w:szCs w:val="22"/>
          <w:lang w:val="es-ES_tradnl"/>
        </w:rPr>
        <w:t xml:space="preserve"> son exigibles desde la fecha de su promulgación, es decir, deben tenerse en cuenta en los procesos de selección </w:t>
      </w:r>
      <w:r w:rsidR="004D39F3" w:rsidRPr="006431A7">
        <w:rPr>
          <w:rFonts w:ascii="Arial" w:eastAsia="Calibri" w:hAnsi="Arial" w:cs="Arial"/>
          <w:color w:val="000000" w:themeColor="text1"/>
          <w:sz w:val="22"/>
          <w:szCs w:val="22"/>
          <w:lang w:val="es-ES_tradnl"/>
        </w:rPr>
        <w:t>iniciados</w:t>
      </w:r>
      <w:r w:rsidRPr="006431A7">
        <w:rPr>
          <w:rFonts w:ascii="Arial" w:eastAsia="Calibri" w:hAnsi="Arial" w:cs="Arial"/>
          <w:color w:val="000000" w:themeColor="text1"/>
          <w:sz w:val="22"/>
          <w:szCs w:val="22"/>
          <w:lang w:val="es-ES_tradnl"/>
        </w:rPr>
        <w:t xml:space="preserve"> después del 31 de diciembre de 2020</w:t>
      </w:r>
      <w:r w:rsidR="003638C9" w:rsidRPr="006431A7">
        <w:rPr>
          <w:rFonts w:ascii="Arial" w:eastAsia="Calibri" w:hAnsi="Arial" w:cs="Arial"/>
          <w:color w:val="000000" w:themeColor="text1"/>
          <w:sz w:val="22"/>
          <w:szCs w:val="22"/>
          <w:lang w:val="es-ES_tradnl"/>
        </w:rPr>
        <w:t xml:space="preserve">. </w:t>
      </w:r>
    </w:p>
    <w:p w14:paraId="25C23D85" w14:textId="77777777" w:rsidR="00BE06A9" w:rsidRPr="006431A7" w:rsidRDefault="00BE06A9" w:rsidP="008A7B6B">
      <w:pPr>
        <w:tabs>
          <w:tab w:val="left" w:pos="6551"/>
        </w:tabs>
        <w:spacing w:before="120" w:line="276" w:lineRule="auto"/>
        <w:ind w:firstLine="709"/>
        <w:jc w:val="both"/>
        <w:rPr>
          <w:rFonts w:ascii="Arial" w:hAnsi="Arial" w:cs="Arial"/>
          <w:color w:val="000000" w:themeColor="text1"/>
          <w:sz w:val="22"/>
          <w:szCs w:val="22"/>
          <w:lang w:val="es-ES_tradnl"/>
        </w:rPr>
      </w:pPr>
      <w:r w:rsidRPr="006431A7">
        <w:rPr>
          <w:rFonts w:ascii="Arial" w:hAnsi="Arial" w:cs="Arial"/>
          <w:color w:val="000000" w:themeColor="text1"/>
          <w:sz w:val="22"/>
          <w:szCs w:val="22"/>
          <w:lang w:val="es-ES_tradnl"/>
        </w:rPr>
        <w:lastRenderedPageBreak/>
        <w:t>Ahora bien, hasta la promulgación de la Ley 2069 de 2020, el artículo 2.2.1.1.2.2.9. del Decreto 1082 de 2015 regulaba los factores de desempate que debían aplicarse en los procesos de selección</w:t>
      </w:r>
      <w:r w:rsidRPr="006431A7">
        <w:rPr>
          <w:rStyle w:val="Refdenotaalpie"/>
          <w:rFonts w:ascii="Arial" w:hAnsi="Arial" w:cs="Arial"/>
          <w:color w:val="000000" w:themeColor="text1"/>
          <w:sz w:val="22"/>
          <w:szCs w:val="22"/>
          <w:lang w:val="es-ES_tradnl"/>
        </w:rPr>
        <w:footnoteReference w:id="14"/>
      </w:r>
      <w:r w:rsidRPr="006431A7">
        <w:rPr>
          <w:rFonts w:ascii="Arial" w:hAnsi="Arial" w:cs="Arial"/>
          <w:color w:val="000000" w:themeColor="text1"/>
          <w:sz w:val="22"/>
          <w:szCs w:val="22"/>
          <w:lang w:val="es-ES_tradnl"/>
        </w:rPr>
        <w:t xml:space="preserve">.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5D7BAA05" w14:textId="7D3BC421" w:rsidR="009D1444" w:rsidRPr="006431A7" w:rsidRDefault="00BE06A9" w:rsidP="008A7B6B">
      <w:pPr>
        <w:tabs>
          <w:tab w:val="left" w:pos="6551"/>
        </w:tabs>
        <w:spacing w:before="120" w:line="276" w:lineRule="auto"/>
        <w:ind w:firstLine="709"/>
        <w:jc w:val="both"/>
        <w:rPr>
          <w:rFonts w:ascii="Arial" w:hAnsi="Arial" w:cs="Arial"/>
          <w:color w:val="000000" w:themeColor="text1"/>
          <w:sz w:val="22"/>
          <w:szCs w:val="22"/>
          <w:lang w:val="es-ES_tradnl"/>
        </w:rPr>
      </w:pPr>
      <w:r w:rsidRPr="006431A7">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4" w:name="_Hlk62546732"/>
      <w:r w:rsidRPr="006431A7">
        <w:rPr>
          <w:rFonts w:ascii="Arial" w:hAnsi="Arial" w:cs="Arial"/>
          <w:color w:val="000000" w:themeColor="text1"/>
          <w:sz w:val="22"/>
          <w:szCs w:val="22"/>
          <w:lang w:val="es-ES_tradnl"/>
        </w:rPr>
        <w:t xml:space="preserve">Dado que el Decreto 1082 de 2015 es un reglamento </w:t>
      </w:r>
      <w:proofErr w:type="spellStart"/>
      <w:r w:rsidRPr="006431A7">
        <w:rPr>
          <w:rFonts w:ascii="Arial" w:hAnsi="Arial" w:cs="Arial"/>
          <w:i/>
          <w:iCs/>
          <w:color w:val="000000" w:themeColor="text1"/>
          <w:sz w:val="22"/>
          <w:szCs w:val="22"/>
          <w:lang w:val="es-ES_tradnl"/>
        </w:rPr>
        <w:t>secundum</w:t>
      </w:r>
      <w:proofErr w:type="spellEnd"/>
      <w:r w:rsidRPr="006431A7">
        <w:rPr>
          <w:rFonts w:ascii="Arial" w:hAnsi="Arial" w:cs="Arial"/>
          <w:i/>
          <w:iCs/>
          <w:color w:val="000000" w:themeColor="text1"/>
          <w:sz w:val="22"/>
          <w:szCs w:val="22"/>
          <w:lang w:val="es-ES_tradnl"/>
        </w:rPr>
        <w:t xml:space="preserve"> </w:t>
      </w:r>
      <w:proofErr w:type="spellStart"/>
      <w:r w:rsidRPr="006431A7">
        <w:rPr>
          <w:rFonts w:ascii="Arial" w:hAnsi="Arial" w:cs="Arial"/>
          <w:i/>
          <w:iCs/>
          <w:color w:val="000000" w:themeColor="text1"/>
          <w:sz w:val="22"/>
          <w:szCs w:val="22"/>
          <w:lang w:val="es-ES_tradnl"/>
        </w:rPr>
        <w:t>legem</w:t>
      </w:r>
      <w:proofErr w:type="spellEnd"/>
      <w:r w:rsidRPr="006431A7">
        <w:rPr>
          <w:rFonts w:ascii="Arial" w:hAnsi="Arial" w:cs="Arial"/>
          <w:color w:val="000000" w:themeColor="text1"/>
          <w:sz w:val="22"/>
          <w:szCs w:val="22"/>
          <w:lang w:val="es-ES_tradnl"/>
        </w:rPr>
        <w:t xml:space="preserve"> –es decir, que desarrolla una norma de mayor jerarquía–, la expedición de una ley </w:t>
      </w:r>
      <w:r w:rsidRPr="006431A7">
        <w:rPr>
          <w:rFonts w:ascii="Arial" w:hAnsi="Arial" w:cs="Arial"/>
          <w:color w:val="000000" w:themeColor="text1"/>
          <w:sz w:val="22"/>
          <w:szCs w:val="22"/>
          <w:lang w:val="es-ES_tradnl"/>
        </w:rPr>
        <w:lastRenderedPageBreak/>
        <w:t>en sentido formal –es decir, una fuente que condiciona el contenido de este último–, hace que la disposición reglamentaria decaiga</w:t>
      </w:r>
      <w:bookmarkEnd w:id="4"/>
      <w:r w:rsidR="009D1444" w:rsidRPr="006431A7">
        <w:rPr>
          <w:rStyle w:val="Refdenotaalpie"/>
          <w:rFonts w:ascii="Arial" w:hAnsi="Arial" w:cs="Arial"/>
          <w:color w:val="000000" w:themeColor="text1"/>
          <w:sz w:val="22"/>
          <w:szCs w:val="22"/>
          <w:lang w:val="es-ES_tradnl"/>
        </w:rPr>
        <w:footnoteReference w:id="15"/>
      </w:r>
      <w:r w:rsidRPr="006431A7">
        <w:rPr>
          <w:rFonts w:ascii="Arial" w:hAnsi="Arial" w:cs="Arial"/>
          <w:color w:val="000000" w:themeColor="text1"/>
          <w:sz w:val="22"/>
          <w:szCs w:val="22"/>
          <w:lang w:val="es-ES_tradnl"/>
        </w:rPr>
        <w:t>.</w:t>
      </w:r>
    </w:p>
    <w:p w14:paraId="7106FD5F" w14:textId="4EFC860A" w:rsidR="004F2EE3" w:rsidRPr="006431A7" w:rsidRDefault="009459D8"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6431A7">
        <w:rPr>
          <w:rFonts w:ascii="Arial" w:eastAsia="Calibri" w:hAnsi="Arial" w:cs="Arial"/>
          <w:sz w:val="22"/>
          <w:szCs w:val="22"/>
          <w:lang w:val="es-ES_tradnl"/>
        </w:rPr>
        <w:t xml:space="preserve">De esta manera, </w:t>
      </w:r>
      <w:r w:rsidR="00C34E0E" w:rsidRPr="006431A7">
        <w:rPr>
          <w:rFonts w:ascii="Arial" w:eastAsia="Calibri" w:hAnsi="Arial" w:cs="Arial"/>
          <w:sz w:val="22"/>
          <w:szCs w:val="22"/>
          <w:lang w:val="es-ES_tradnl"/>
        </w:rPr>
        <w:t xml:space="preserve">actualmente la norma </w:t>
      </w:r>
      <w:r w:rsidR="009D1444" w:rsidRPr="006431A7">
        <w:rPr>
          <w:rFonts w:ascii="Arial" w:eastAsia="Calibri" w:hAnsi="Arial" w:cs="Arial"/>
          <w:sz w:val="22"/>
          <w:szCs w:val="22"/>
          <w:lang w:val="es-ES_tradnl"/>
        </w:rPr>
        <w:t>vigente que determina</w:t>
      </w:r>
      <w:r w:rsidR="00C34E0E" w:rsidRPr="006431A7">
        <w:rPr>
          <w:rFonts w:ascii="Arial" w:eastAsia="Calibri" w:hAnsi="Arial" w:cs="Arial"/>
          <w:sz w:val="22"/>
          <w:szCs w:val="22"/>
          <w:lang w:val="es-ES_tradnl"/>
        </w:rPr>
        <w:t xml:space="preserve"> los factores de desempate aplicables a los procesos de contratación es e</w:t>
      </w:r>
      <w:r w:rsidR="00BE06A9" w:rsidRPr="006431A7">
        <w:rPr>
          <w:rFonts w:ascii="Arial" w:eastAsia="Calibri" w:hAnsi="Arial" w:cs="Arial"/>
          <w:sz w:val="22"/>
          <w:szCs w:val="22"/>
          <w:lang w:val="es-ES_tradnl"/>
        </w:rPr>
        <w:t>l artículo 35 de la Ley 2069 de 2020.</w:t>
      </w:r>
      <w:r w:rsidRPr="006431A7">
        <w:rPr>
          <w:rFonts w:ascii="Arial" w:eastAsia="Calibri" w:hAnsi="Arial" w:cs="Arial"/>
          <w:sz w:val="22"/>
          <w:szCs w:val="22"/>
          <w:lang w:val="es-ES_tradnl"/>
        </w:rPr>
        <w:t xml:space="preserve"> No obstante, </w:t>
      </w:r>
      <w:r w:rsidR="002F1302" w:rsidRPr="006431A7">
        <w:rPr>
          <w:rFonts w:ascii="Arial" w:hAnsi="Arial" w:cs="Arial"/>
          <w:color w:val="000000" w:themeColor="text1"/>
          <w:sz w:val="22"/>
          <w:szCs w:val="22"/>
          <w:lang w:val="es-ES_tradnl"/>
        </w:rPr>
        <w:t xml:space="preserve">es necesario </w:t>
      </w:r>
      <w:r w:rsidR="00CC6E08" w:rsidRPr="006431A7">
        <w:rPr>
          <w:rFonts w:ascii="Arial" w:hAnsi="Arial" w:cs="Arial"/>
          <w:color w:val="000000" w:themeColor="text1"/>
          <w:sz w:val="22"/>
          <w:szCs w:val="22"/>
          <w:lang w:val="es-ES_tradnl"/>
        </w:rPr>
        <w:t>indicar</w:t>
      </w:r>
      <w:r w:rsidR="006260AD" w:rsidRPr="006431A7">
        <w:rPr>
          <w:rFonts w:ascii="Arial" w:hAnsi="Arial" w:cs="Arial"/>
          <w:color w:val="000000" w:themeColor="text1"/>
          <w:sz w:val="22"/>
          <w:szCs w:val="22"/>
          <w:lang w:val="es-ES_tradnl"/>
        </w:rPr>
        <w:t xml:space="preserve"> que</w:t>
      </w:r>
      <w:r w:rsidR="00C34E0E" w:rsidRPr="006431A7">
        <w:rPr>
          <w:rFonts w:ascii="Arial" w:hAnsi="Arial" w:cs="Arial"/>
          <w:color w:val="000000" w:themeColor="text1"/>
          <w:sz w:val="22"/>
          <w:szCs w:val="22"/>
          <w:lang w:val="es-ES_tradnl"/>
        </w:rPr>
        <w:t xml:space="preserve"> </w:t>
      </w:r>
      <w:r w:rsidR="00836FFF" w:rsidRPr="006431A7">
        <w:rPr>
          <w:rFonts w:ascii="Arial" w:hAnsi="Arial" w:cs="Arial"/>
          <w:color w:val="000000" w:themeColor="text1"/>
          <w:sz w:val="22"/>
          <w:szCs w:val="22"/>
          <w:lang w:val="es-ES_tradnl"/>
        </w:rPr>
        <w:t xml:space="preserve">mediante </w:t>
      </w:r>
      <w:r w:rsidR="004F2EE3" w:rsidRPr="006431A7">
        <w:rPr>
          <w:rFonts w:ascii="Arial" w:hAnsi="Arial" w:cs="Arial"/>
          <w:color w:val="000000" w:themeColor="text1"/>
          <w:sz w:val="22"/>
          <w:szCs w:val="22"/>
          <w:lang w:val="es-ES_tradnl"/>
        </w:rPr>
        <w:t xml:space="preserve">el Decreto </w:t>
      </w:r>
      <w:r w:rsidR="004F2EE3" w:rsidRPr="006431A7">
        <w:rPr>
          <w:rFonts w:ascii="Arial" w:hAnsi="Arial" w:cs="Arial"/>
          <w:color w:val="000000" w:themeColor="text1"/>
          <w:sz w:val="22"/>
          <w:szCs w:val="22"/>
          <w:lang w:val="es-MX"/>
        </w:rPr>
        <w:t>1860 del 24 de diciembre de 2021</w:t>
      </w:r>
      <w:r w:rsidR="004F2EE3" w:rsidRPr="006431A7">
        <w:rPr>
          <w:rFonts w:ascii="Arial" w:hAnsi="Arial" w:cs="Arial"/>
          <w:color w:val="000000" w:themeColor="text1"/>
          <w:sz w:val="22"/>
          <w:szCs w:val="22"/>
          <w:lang w:val="es-ES_tradnl"/>
        </w:rPr>
        <w:t xml:space="preserve"> </w:t>
      </w:r>
      <w:r w:rsidR="00836FFF" w:rsidRPr="006431A7">
        <w:rPr>
          <w:rFonts w:ascii="Arial" w:hAnsi="Arial" w:cs="Arial"/>
          <w:color w:val="000000" w:themeColor="text1"/>
          <w:sz w:val="22"/>
          <w:szCs w:val="22"/>
          <w:lang w:val="es-ES_tradnl"/>
        </w:rPr>
        <w:t xml:space="preserve">se </w:t>
      </w:r>
      <w:r w:rsidR="004F2EE3" w:rsidRPr="006431A7">
        <w:rPr>
          <w:rFonts w:ascii="Arial" w:hAnsi="Arial" w:cs="Arial"/>
          <w:color w:val="000000" w:themeColor="text1"/>
          <w:sz w:val="22"/>
          <w:szCs w:val="22"/>
        </w:rPr>
        <w:t>reglament</w:t>
      </w:r>
      <w:r w:rsidR="006260AD" w:rsidRPr="006431A7">
        <w:rPr>
          <w:rFonts w:ascii="Arial" w:hAnsi="Arial" w:cs="Arial"/>
          <w:color w:val="000000" w:themeColor="text1"/>
          <w:sz w:val="22"/>
          <w:szCs w:val="22"/>
        </w:rPr>
        <w:t>ó</w:t>
      </w:r>
      <w:r w:rsidR="004F2EE3" w:rsidRPr="006431A7">
        <w:rPr>
          <w:rFonts w:ascii="Arial" w:hAnsi="Arial" w:cs="Arial"/>
          <w:color w:val="000000" w:themeColor="text1"/>
          <w:sz w:val="22"/>
          <w:szCs w:val="22"/>
        </w:rPr>
        <w:t xml:space="preserve"> la forma de acreditar las circunstancias a las que se refiere cada uno de los numerales del citado artículo, permitiendo la debida aplicación de los factores de desempate previstos para garantizar la selección objetiva de los contratistas.</w:t>
      </w:r>
      <w:r w:rsidR="0013160C" w:rsidRPr="006431A7">
        <w:rPr>
          <w:rFonts w:ascii="Arial" w:hAnsi="Arial" w:cs="Arial"/>
          <w:color w:val="000000" w:themeColor="text1"/>
          <w:sz w:val="22"/>
          <w:szCs w:val="22"/>
          <w:lang w:val="es-MX"/>
        </w:rPr>
        <w:t xml:space="preserve"> Por ello, mediante el artículo 3 </w:t>
      </w:r>
      <w:r w:rsidR="00836FFF" w:rsidRPr="006431A7">
        <w:rPr>
          <w:rFonts w:ascii="Arial" w:hAnsi="Arial" w:cs="Arial"/>
          <w:color w:val="000000" w:themeColor="text1"/>
          <w:sz w:val="22"/>
          <w:szCs w:val="22"/>
          <w:lang w:val="es-MX"/>
        </w:rPr>
        <w:t xml:space="preserve">se </w:t>
      </w:r>
      <w:r w:rsidR="0013160C" w:rsidRPr="006431A7">
        <w:rPr>
          <w:rFonts w:ascii="Arial" w:hAnsi="Arial" w:cs="Arial"/>
          <w:color w:val="000000" w:themeColor="text1"/>
          <w:sz w:val="22"/>
          <w:szCs w:val="22"/>
          <w:lang w:val="es-MX"/>
        </w:rPr>
        <w:t xml:space="preserve">adicionó el artículo </w:t>
      </w:r>
      <w:r w:rsidR="0013160C" w:rsidRPr="006431A7">
        <w:rPr>
          <w:rFonts w:ascii="Arial" w:eastAsia="Calibri" w:hAnsi="Arial" w:cs="Arial"/>
          <w:color w:val="000000" w:themeColor="text1"/>
          <w:sz w:val="22"/>
          <w:szCs w:val="22"/>
          <w:lang w:val="es-ES_tradnl"/>
        </w:rPr>
        <w:t>2.2.1.2.4.2.17 al Decreto 1082 de 2015</w:t>
      </w:r>
      <w:r w:rsidRPr="006431A7">
        <w:rPr>
          <w:rFonts w:ascii="Arial" w:eastAsia="Calibri" w:hAnsi="Arial" w:cs="Arial"/>
          <w:color w:val="000000" w:themeColor="text1"/>
          <w:sz w:val="22"/>
          <w:szCs w:val="22"/>
          <w:lang w:val="es-ES_tradnl"/>
        </w:rPr>
        <w:t xml:space="preserve">, </w:t>
      </w:r>
      <w:r w:rsidR="00CC6E08" w:rsidRPr="006431A7">
        <w:rPr>
          <w:rFonts w:ascii="Arial" w:eastAsia="Calibri" w:hAnsi="Arial" w:cs="Arial"/>
          <w:bCs/>
          <w:color w:val="000000" w:themeColor="text1"/>
          <w:sz w:val="22"/>
          <w:lang w:val="es-ES_tradnl"/>
        </w:rPr>
        <w:t xml:space="preserve">el cual </w:t>
      </w:r>
      <w:r w:rsidRPr="006431A7">
        <w:rPr>
          <w:rFonts w:ascii="Arial" w:eastAsia="Calibri" w:hAnsi="Arial" w:cs="Arial"/>
          <w:bCs/>
          <w:color w:val="000000" w:themeColor="text1"/>
          <w:sz w:val="22"/>
          <w:lang w:val="es-ES_tradnl"/>
        </w:rPr>
        <w:t>solo resulta aplicable para los procesos</w:t>
      </w:r>
      <w:r w:rsidR="00CC6E08" w:rsidRPr="006431A7">
        <w:rPr>
          <w:rFonts w:ascii="Arial" w:eastAsia="Calibri" w:hAnsi="Arial" w:cs="Arial"/>
          <w:bCs/>
          <w:color w:val="000000" w:themeColor="text1"/>
          <w:sz w:val="22"/>
          <w:lang w:val="es-ES_tradnl"/>
        </w:rPr>
        <w:t xml:space="preserve"> </w:t>
      </w:r>
      <w:r w:rsidR="00CC6E08" w:rsidRPr="006431A7">
        <w:rPr>
          <w:rFonts w:ascii="Arial" w:hAnsi="Arial" w:cs="Arial"/>
          <w:color w:val="000000" w:themeColor="text1"/>
          <w:sz w:val="22"/>
          <w:szCs w:val="22"/>
        </w:rPr>
        <w:t>de selección cuya invitación, aviso de convocatoria o documento equivalente que se publiquen a partir del 24 de marzo de 2022</w:t>
      </w:r>
      <w:r w:rsidR="00CC6E08" w:rsidRPr="006431A7">
        <w:rPr>
          <w:rFonts w:ascii="Arial" w:eastAsia="Calibri" w:hAnsi="Arial" w:cs="Arial"/>
          <w:bCs/>
          <w:color w:val="000000" w:themeColor="text1"/>
          <w:sz w:val="22"/>
          <w:lang w:val="es-ES_tradnl"/>
        </w:rPr>
        <w:t xml:space="preserve">. </w:t>
      </w:r>
    </w:p>
    <w:p w14:paraId="07B86697" w14:textId="77777777" w:rsidR="008A1E82" w:rsidRPr="006431A7" w:rsidRDefault="00D24C57" w:rsidP="008A7B6B">
      <w:pPr>
        <w:tabs>
          <w:tab w:val="left" w:pos="6551"/>
        </w:tabs>
        <w:spacing w:before="120" w:line="276" w:lineRule="auto"/>
        <w:ind w:firstLine="709"/>
        <w:jc w:val="both"/>
        <w:rPr>
          <w:rFonts w:ascii="Arial" w:eastAsia="Calibri" w:hAnsi="Arial" w:cs="Arial"/>
          <w:color w:val="000000" w:themeColor="text1"/>
          <w:sz w:val="22"/>
          <w:lang w:val="es-ES_tradnl"/>
        </w:rPr>
      </w:pPr>
      <w:bookmarkStart w:id="5" w:name="_Hlk93049002"/>
      <w:r w:rsidRPr="006431A7">
        <w:rPr>
          <w:rFonts w:ascii="Arial" w:eastAsia="Calibri" w:hAnsi="Arial" w:cs="Arial"/>
          <w:color w:val="000000" w:themeColor="text1"/>
          <w:sz w:val="22"/>
          <w:lang w:val="es-ES_tradnl"/>
        </w:rPr>
        <w:t>P</w:t>
      </w:r>
      <w:r w:rsidR="00CC6E08" w:rsidRPr="006431A7">
        <w:rPr>
          <w:rFonts w:ascii="Arial" w:eastAsia="Calibri" w:hAnsi="Arial" w:cs="Arial"/>
          <w:color w:val="000000" w:themeColor="text1"/>
          <w:sz w:val="22"/>
          <w:lang w:val="es-ES_tradnl"/>
        </w:rPr>
        <w:t xml:space="preserve">recisado lo anterior resulta pertinente analizar la forma en la cual se </w:t>
      </w:r>
      <w:r w:rsidRPr="006431A7">
        <w:rPr>
          <w:rFonts w:ascii="Arial" w:eastAsia="Calibri" w:hAnsi="Arial" w:cs="Arial"/>
          <w:color w:val="000000" w:themeColor="text1"/>
          <w:sz w:val="22"/>
          <w:lang w:val="es-ES_tradnl"/>
        </w:rPr>
        <w:t xml:space="preserve">aplica el </w:t>
      </w:r>
      <w:r w:rsidR="00CC6E08" w:rsidRPr="006431A7">
        <w:rPr>
          <w:rFonts w:ascii="Arial" w:eastAsia="Calibri" w:hAnsi="Arial" w:cs="Arial"/>
          <w:color w:val="000000" w:themeColor="text1"/>
          <w:sz w:val="22"/>
          <w:lang w:val="es-ES_tradnl"/>
        </w:rPr>
        <w:t xml:space="preserve">factor de desempate referente a la vinculación de personas mayores </w:t>
      </w:r>
      <w:r w:rsidR="00BC2740" w:rsidRPr="006431A7">
        <w:rPr>
          <w:rFonts w:ascii="Arial" w:eastAsia="Calibri" w:hAnsi="Arial" w:cs="Arial"/>
          <w:color w:val="000000" w:themeColor="text1"/>
          <w:sz w:val="22"/>
          <w:lang w:val="es-ES_tradnl"/>
        </w:rPr>
        <w:t xml:space="preserve">de acuerdo con </w:t>
      </w:r>
      <w:r w:rsidR="00CC6E08" w:rsidRPr="006431A7">
        <w:rPr>
          <w:rFonts w:ascii="Arial" w:eastAsia="Calibri" w:hAnsi="Arial" w:cs="Arial"/>
          <w:color w:val="000000" w:themeColor="text1"/>
          <w:sz w:val="22"/>
          <w:lang w:val="es-ES_tradnl"/>
        </w:rPr>
        <w:t>Ley 2069 de 2020</w:t>
      </w:r>
      <w:r w:rsidR="00BC2740" w:rsidRPr="006431A7">
        <w:rPr>
          <w:rFonts w:ascii="Arial" w:eastAsia="Calibri" w:hAnsi="Arial" w:cs="Arial"/>
          <w:color w:val="000000" w:themeColor="text1"/>
          <w:sz w:val="22"/>
          <w:lang w:val="es-ES_tradnl"/>
        </w:rPr>
        <w:t>.</w:t>
      </w:r>
      <w:r w:rsidR="00CC6E08" w:rsidRPr="006431A7">
        <w:rPr>
          <w:rFonts w:ascii="Arial" w:eastAsia="Calibri" w:hAnsi="Arial" w:cs="Arial"/>
          <w:color w:val="000000" w:themeColor="text1"/>
          <w:sz w:val="22"/>
          <w:lang w:val="es-ES_tradnl"/>
        </w:rPr>
        <w:t xml:space="preserve"> Así, en relación con </w:t>
      </w:r>
      <w:r w:rsidR="001A5E92" w:rsidRPr="006431A7">
        <w:rPr>
          <w:rFonts w:ascii="Arial" w:eastAsia="Calibri" w:hAnsi="Arial" w:cs="Arial"/>
          <w:color w:val="000000" w:themeColor="text1"/>
          <w:sz w:val="22"/>
          <w:lang w:val="es-ES_tradnl"/>
        </w:rPr>
        <w:t xml:space="preserve">el numeral 4 del artículo 35 de </w:t>
      </w:r>
      <w:r w:rsidR="00CC6E08" w:rsidRPr="006431A7">
        <w:rPr>
          <w:rFonts w:ascii="Arial" w:eastAsia="Calibri" w:hAnsi="Arial" w:cs="Arial"/>
          <w:color w:val="000000" w:themeColor="text1"/>
          <w:sz w:val="22"/>
          <w:lang w:val="es-ES_tradnl"/>
        </w:rPr>
        <w:t>dicha</w:t>
      </w:r>
      <w:r w:rsidR="00C136F2" w:rsidRPr="006431A7">
        <w:rPr>
          <w:rFonts w:ascii="Arial" w:eastAsia="Calibri" w:hAnsi="Arial" w:cs="Arial"/>
          <w:color w:val="000000" w:themeColor="text1"/>
          <w:sz w:val="22"/>
          <w:lang w:val="es-ES_tradnl"/>
        </w:rPr>
        <w:t xml:space="preserve"> Ley, esta</w:t>
      </w:r>
      <w:r w:rsidR="00CC6E08" w:rsidRPr="006431A7">
        <w:rPr>
          <w:rFonts w:ascii="Arial" w:eastAsia="Calibri" w:hAnsi="Arial" w:cs="Arial"/>
          <w:color w:val="000000" w:themeColor="text1"/>
          <w:sz w:val="22"/>
          <w:lang w:val="es-ES_tradnl"/>
        </w:rPr>
        <w:t xml:space="preserve"> </w:t>
      </w:r>
      <w:r w:rsidR="001A5E92" w:rsidRPr="006431A7">
        <w:rPr>
          <w:rFonts w:ascii="Arial" w:eastAsia="Calibri" w:hAnsi="Arial" w:cs="Arial"/>
          <w:color w:val="000000" w:themeColor="text1"/>
          <w:sz w:val="22"/>
          <w:lang w:val="es-ES_tradnl"/>
        </w:rPr>
        <w:t>Agencia, en los conceptos a los que se hizo referencia al inicio, ha indicado que dicho numeral no establece un medio específico para acreditar las circunstancias a las que se refiere</w:t>
      </w:r>
      <w:bookmarkStart w:id="6" w:name="_Hlk62459524"/>
      <w:r w:rsidR="00C45F1F" w:rsidRPr="006431A7">
        <w:rPr>
          <w:rFonts w:ascii="Arial" w:eastAsia="Calibri" w:hAnsi="Arial" w:cs="Arial"/>
          <w:color w:val="000000" w:themeColor="text1"/>
          <w:sz w:val="22"/>
          <w:lang w:val="es-ES_tradnl"/>
        </w:rPr>
        <w:t xml:space="preserve">. Por lo tanto, al igual que sucede con los demás numerales,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B1877C3" w14:textId="7BD650E3" w:rsidR="00C45F1F" w:rsidRPr="006431A7" w:rsidRDefault="00C45F1F" w:rsidP="008A7B6B">
      <w:pPr>
        <w:tabs>
          <w:tab w:val="left" w:pos="6551"/>
        </w:tabs>
        <w:spacing w:before="120" w:line="276" w:lineRule="auto"/>
        <w:ind w:firstLine="709"/>
        <w:jc w:val="both"/>
        <w:rPr>
          <w:rFonts w:ascii="Arial" w:eastAsia="Calibri" w:hAnsi="Arial" w:cs="Arial"/>
          <w:color w:val="000000" w:themeColor="text1"/>
          <w:sz w:val="22"/>
          <w:lang w:val="es-ES_tradnl"/>
        </w:rPr>
      </w:pPr>
      <w:r w:rsidRPr="006431A7">
        <w:rPr>
          <w:rFonts w:ascii="Arial" w:eastAsia="Calibri" w:hAnsi="Arial" w:cs="Arial"/>
          <w:color w:val="000000" w:themeColor="text1"/>
          <w:sz w:val="22"/>
          <w:lang w:val="es-ES_tradnl"/>
        </w:rPr>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w:t>
      </w:r>
      <w:r w:rsidR="00B3695A" w:rsidRPr="006431A7">
        <w:rPr>
          <w:rFonts w:ascii="Arial" w:eastAsia="Calibri" w:hAnsi="Arial" w:cs="Arial"/>
          <w:color w:val="000000" w:themeColor="text1"/>
          <w:sz w:val="22"/>
          <w:lang w:val="es-ES_tradnl"/>
        </w:rPr>
        <w:t xml:space="preserve">El </w:t>
      </w:r>
      <w:r w:rsidR="00EF27D4" w:rsidRPr="006431A7">
        <w:rPr>
          <w:rFonts w:ascii="Arial" w:eastAsia="Calibri" w:hAnsi="Arial" w:cs="Arial"/>
          <w:color w:val="000000" w:themeColor="text1"/>
          <w:sz w:val="22"/>
          <w:lang w:val="es-ES_tradnl"/>
        </w:rPr>
        <w:t>D</w:t>
      </w:r>
      <w:r w:rsidRPr="006431A7">
        <w:rPr>
          <w:rFonts w:ascii="Arial" w:eastAsia="Calibri" w:hAnsi="Arial" w:cs="Arial"/>
          <w:color w:val="000000" w:themeColor="text1"/>
          <w:sz w:val="22"/>
          <w:lang w:val="es-ES_tradnl"/>
        </w:rPr>
        <w:t xml:space="preserve">ecreto </w:t>
      </w:r>
      <w:r w:rsidR="00D24C57" w:rsidRPr="006431A7">
        <w:rPr>
          <w:rFonts w:ascii="Arial" w:eastAsia="Calibri" w:hAnsi="Arial" w:cs="Arial"/>
          <w:color w:val="000000" w:themeColor="text1"/>
          <w:sz w:val="22"/>
          <w:lang w:val="es-ES_tradnl"/>
        </w:rPr>
        <w:t xml:space="preserve">1860 de 2021 </w:t>
      </w:r>
      <w:r w:rsidR="00F8471C" w:rsidRPr="006431A7">
        <w:rPr>
          <w:rFonts w:ascii="Arial" w:eastAsia="Calibri" w:hAnsi="Arial" w:cs="Arial"/>
          <w:color w:val="000000" w:themeColor="text1"/>
          <w:sz w:val="22"/>
          <w:lang w:val="es-ES_tradnl"/>
        </w:rPr>
        <w:t>establece</w:t>
      </w:r>
      <w:r w:rsidRPr="006431A7">
        <w:rPr>
          <w:rFonts w:ascii="Arial" w:eastAsia="Calibri" w:hAnsi="Arial" w:cs="Arial"/>
          <w:color w:val="000000" w:themeColor="text1"/>
          <w:sz w:val="22"/>
          <w:lang w:val="es-ES_tradnl"/>
        </w:rPr>
        <w:t xml:space="preserve"> los medios de prueba, así como las autoridades encargadas de certificar las circunstancias del artículo 35. Sin embargo,</w:t>
      </w:r>
      <w:r w:rsidR="004820C3" w:rsidRPr="006431A7">
        <w:rPr>
          <w:rFonts w:ascii="Arial" w:eastAsia="Calibri" w:hAnsi="Arial" w:cs="Arial"/>
          <w:color w:val="000000" w:themeColor="text1"/>
          <w:sz w:val="22"/>
          <w:lang w:val="es-ES_tradnl"/>
        </w:rPr>
        <w:t xml:space="preserve"> como se explicó</w:t>
      </w:r>
      <w:r w:rsidR="00FF2DEE" w:rsidRPr="006431A7">
        <w:rPr>
          <w:rFonts w:ascii="Arial" w:eastAsia="Calibri" w:hAnsi="Arial" w:cs="Arial"/>
          <w:color w:val="000000" w:themeColor="text1"/>
          <w:sz w:val="22"/>
          <w:lang w:val="es-ES_tradnl"/>
        </w:rPr>
        <w:t>,</w:t>
      </w:r>
      <w:r w:rsidRPr="006431A7">
        <w:rPr>
          <w:rFonts w:ascii="Arial" w:eastAsia="Calibri" w:hAnsi="Arial" w:cs="Arial"/>
          <w:color w:val="000000" w:themeColor="text1"/>
          <w:sz w:val="22"/>
          <w:lang w:val="es-ES_tradnl"/>
        </w:rPr>
        <w:t xml:space="preserve"> </w:t>
      </w:r>
      <w:r w:rsidR="00C769CB" w:rsidRPr="006431A7">
        <w:rPr>
          <w:rFonts w:ascii="Arial" w:eastAsia="Calibri" w:hAnsi="Arial" w:cs="Arial"/>
          <w:color w:val="000000" w:themeColor="text1"/>
          <w:sz w:val="22"/>
          <w:lang w:val="es-ES_tradnl"/>
        </w:rPr>
        <w:t xml:space="preserve">estas </w:t>
      </w:r>
      <w:r w:rsidR="000D7D51" w:rsidRPr="006431A7">
        <w:rPr>
          <w:rFonts w:ascii="Arial" w:eastAsia="Calibri" w:hAnsi="Arial" w:cs="Arial"/>
          <w:color w:val="000000" w:themeColor="text1"/>
          <w:sz w:val="22"/>
          <w:lang w:val="es-ES_tradnl"/>
        </w:rPr>
        <w:t>disposiciones d</w:t>
      </w:r>
      <w:r w:rsidR="00F8471C" w:rsidRPr="006431A7">
        <w:rPr>
          <w:rFonts w:ascii="Arial" w:eastAsia="Calibri" w:hAnsi="Arial" w:cs="Arial"/>
          <w:color w:val="000000" w:themeColor="text1"/>
          <w:sz w:val="22"/>
          <w:lang w:val="es-ES_tradnl"/>
        </w:rPr>
        <w:t>el</w:t>
      </w:r>
      <w:r w:rsidR="003F2AB8" w:rsidRPr="006431A7">
        <w:rPr>
          <w:rFonts w:ascii="Arial" w:eastAsia="Calibri" w:hAnsi="Arial" w:cs="Arial"/>
          <w:color w:val="000000" w:themeColor="text1"/>
          <w:sz w:val="22"/>
          <w:lang w:val="es-ES_tradnl"/>
        </w:rPr>
        <w:t xml:space="preserve"> </w:t>
      </w:r>
      <w:r w:rsidR="00F8471C" w:rsidRPr="006431A7">
        <w:rPr>
          <w:rFonts w:ascii="Arial" w:eastAsia="Calibri" w:hAnsi="Arial" w:cs="Arial"/>
          <w:color w:val="000000" w:themeColor="text1"/>
          <w:sz w:val="22"/>
          <w:lang w:val="es-ES_tradnl"/>
        </w:rPr>
        <w:t>D</w:t>
      </w:r>
      <w:r w:rsidR="003F2AB8" w:rsidRPr="006431A7">
        <w:rPr>
          <w:rFonts w:ascii="Arial" w:eastAsia="Calibri" w:hAnsi="Arial" w:cs="Arial"/>
          <w:color w:val="000000" w:themeColor="text1"/>
          <w:sz w:val="22"/>
          <w:lang w:val="es-ES_tradnl"/>
        </w:rPr>
        <w:t>ecreto</w:t>
      </w:r>
      <w:r w:rsidR="00F8471C" w:rsidRPr="006431A7">
        <w:rPr>
          <w:rFonts w:ascii="Arial" w:eastAsia="Calibri" w:hAnsi="Arial" w:cs="Arial"/>
          <w:color w:val="000000" w:themeColor="text1"/>
          <w:sz w:val="22"/>
          <w:lang w:val="es-ES_tradnl"/>
        </w:rPr>
        <w:t xml:space="preserve"> 1860 de 2021 </w:t>
      </w:r>
      <w:r w:rsidR="00C769CB" w:rsidRPr="006431A7">
        <w:rPr>
          <w:rFonts w:ascii="Arial" w:eastAsia="Calibri" w:hAnsi="Arial" w:cs="Arial"/>
          <w:color w:val="000000" w:themeColor="text1"/>
          <w:sz w:val="22"/>
          <w:lang w:val="es-ES_tradnl"/>
        </w:rPr>
        <w:t>son obligatorias a partir del 24 de marzo de 2022</w:t>
      </w:r>
      <w:bookmarkEnd w:id="5"/>
      <w:r w:rsidR="00B3695A" w:rsidRPr="006431A7">
        <w:rPr>
          <w:rFonts w:ascii="Arial" w:eastAsia="Calibri" w:hAnsi="Arial" w:cs="Arial"/>
          <w:color w:val="000000" w:themeColor="text1"/>
          <w:sz w:val="22"/>
          <w:lang w:val="es-ES_tradnl"/>
        </w:rPr>
        <w:t xml:space="preserve">, por lo que antes de esta fecha la entidad </w:t>
      </w:r>
      <w:r w:rsidR="00DD0C25" w:rsidRPr="006431A7">
        <w:rPr>
          <w:rFonts w:ascii="Arial" w:eastAsia="Calibri" w:hAnsi="Arial" w:cs="Arial"/>
          <w:color w:val="000000" w:themeColor="text1"/>
          <w:sz w:val="22"/>
          <w:lang w:val="es-ES_tradnl"/>
        </w:rPr>
        <w:t xml:space="preserve">podrá </w:t>
      </w:r>
      <w:r w:rsidR="00B3695A" w:rsidRPr="006431A7">
        <w:rPr>
          <w:rFonts w:ascii="Arial" w:eastAsia="Calibri" w:hAnsi="Arial" w:cs="Arial"/>
          <w:color w:val="000000" w:themeColor="text1"/>
          <w:sz w:val="22"/>
          <w:lang w:val="es-ES_tradnl"/>
        </w:rPr>
        <w:t>emplear los criterios señalados</w:t>
      </w:r>
      <w:r w:rsidR="00C136F2" w:rsidRPr="006431A7">
        <w:rPr>
          <w:rFonts w:ascii="Arial" w:eastAsia="Calibri" w:hAnsi="Arial" w:cs="Arial"/>
          <w:color w:val="000000" w:themeColor="text1"/>
          <w:sz w:val="22"/>
          <w:lang w:val="es-ES_tradnl"/>
        </w:rPr>
        <w:t xml:space="preserve"> o en su defecto</w:t>
      </w:r>
      <w:r w:rsidR="00C9028A" w:rsidRPr="006431A7">
        <w:rPr>
          <w:rFonts w:ascii="Arial" w:eastAsia="Calibri" w:hAnsi="Arial" w:cs="Arial"/>
          <w:color w:val="000000" w:themeColor="text1"/>
          <w:sz w:val="22"/>
          <w:lang w:val="es-ES_tradnl"/>
        </w:rPr>
        <w:t xml:space="preserve"> </w:t>
      </w:r>
      <w:r w:rsidR="00C136F2" w:rsidRPr="006431A7">
        <w:rPr>
          <w:rFonts w:ascii="Arial" w:eastAsia="Calibri" w:hAnsi="Arial" w:cs="Arial"/>
          <w:color w:val="000000" w:themeColor="text1"/>
          <w:sz w:val="22"/>
          <w:lang w:val="es-ES_tradnl"/>
        </w:rPr>
        <w:t>aplicar de manera potestativa lo</w:t>
      </w:r>
      <w:r w:rsidR="00C9028A" w:rsidRPr="006431A7">
        <w:rPr>
          <w:rFonts w:ascii="Arial" w:eastAsia="Calibri" w:hAnsi="Arial" w:cs="Arial"/>
          <w:color w:val="000000" w:themeColor="text1"/>
          <w:sz w:val="22"/>
          <w:lang w:val="es-ES_tradnl"/>
        </w:rPr>
        <w:t xml:space="preserve"> establecido en dicho decreto</w:t>
      </w:r>
      <w:r w:rsidR="007D3DF4" w:rsidRPr="006431A7">
        <w:rPr>
          <w:rFonts w:ascii="Arial" w:eastAsia="Calibri" w:hAnsi="Arial" w:cs="Arial"/>
          <w:color w:val="000000" w:themeColor="text1"/>
          <w:sz w:val="22"/>
          <w:lang w:val="es-ES_tradnl"/>
        </w:rPr>
        <w:t>, adoptando la regulación correspondiente en el pliego de condiciones o documento equivalente.</w:t>
      </w:r>
    </w:p>
    <w:p w14:paraId="04B748BD" w14:textId="2DA9C653" w:rsidR="00C45F1F" w:rsidRPr="006431A7" w:rsidRDefault="00C45F1F" w:rsidP="008A7B6B">
      <w:pPr>
        <w:tabs>
          <w:tab w:val="left" w:pos="6551"/>
        </w:tabs>
        <w:spacing w:before="120" w:line="276" w:lineRule="auto"/>
        <w:ind w:firstLine="709"/>
        <w:jc w:val="both"/>
        <w:rPr>
          <w:rFonts w:ascii="Arial" w:eastAsia="Calibri" w:hAnsi="Arial" w:cs="Arial"/>
          <w:color w:val="000000" w:themeColor="text1"/>
          <w:sz w:val="22"/>
          <w:lang w:val="es-ES_tradnl"/>
        </w:rPr>
      </w:pPr>
      <w:bookmarkStart w:id="7" w:name="_Hlk93049677"/>
      <w:bookmarkEnd w:id="6"/>
      <w:r w:rsidRPr="006431A7">
        <w:rPr>
          <w:rFonts w:ascii="Arial" w:eastAsia="Calibri" w:hAnsi="Arial" w:cs="Arial"/>
          <w:color w:val="000000" w:themeColor="text1"/>
          <w:sz w:val="22"/>
          <w:lang w:val="es-ES_tradnl"/>
        </w:rPr>
        <w:lastRenderedPageBreak/>
        <w:t>En relación con lo previsto en el numeral 4 del artículo</w:t>
      </w:r>
      <w:r w:rsidR="000D7D51" w:rsidRPr="006431A7">
        <w:rPr>
          <w:rFonts w:ascii="Arial" w:eastAsia="Calibri" w:hAnsi="Arial" w:cs="Arial"/>
          <w:color w:val="000000" w:themeColor="text1"/>
          <w:sz w:val="22"/>
          <w:lang w:val="es-ES_tradnl"/>
        </w:rPr>
        <w:t xml:space="preserve"> 35 de la Ley 2069 de 2020</w:t>
      </w:r>
      <w:r w:rsidRPr="006431A7">
        <w:rPr>
          <w:rFonts w:ascii="Arial" w:eastAsia="Calibri" w:hAnsi="Arial" w:cs="Arial"/>
          <w:color w:val="000000" w:themeColor="text1"/>
          <w:sz w:val="22"/>
          <w:lang w:val="es-ES_tradnl"/>
        </w:rPr>
        <w:t xml:space="preserve">,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w:t>
      </w:r>
      <w:proofErr w:type="gramStart"/>
      <w:r w:rsidRPr="006431A7">
        <w:rPr>
          <w:rFonts w:ascii="Arial" w:eastAsia="Calibri" w:hAnsi="Arial" w:cs="Arial"/>
          <w:color w:val="000000" w:themeColor="text1"/>
          <w:sz w:val="22"/>
          <w:lang w:val="es-ES_tradnl"/>
        </w:rPr>
        <w:t>años de edad</w:t>
      </w:r>
      <w:proofErr w:type="gramEnd"/>
      <w:r w:rsidRPr="006431A7">
        <w:rPr>
          <w:rFonts w:ascii="Arial" w:eastAsia="Calibri" w:hAnsi="Arial" w:cs="Arial"/>
          <w:color w:val="000000" w:themeColor="text1"/>
          <w:sz w:val="22"/>
          <w:lang w:val="es-ES_tradnl"/>
        </w:rPr>
        <w:t xml:space="preserve"> o más», lo cual se puede acreditar con el documento de identidad correspondiente. En todo caso, también existe la posibilidad de entender que esta causal aplica a todas las personas que –en el rango de edad correspondiente a cada género– no han alcanzado la pensión, interpretación que está </w:t>
      </w:r>
      <w:r w:rsidR="003F2AB8" w:rsidRPr="006431A7">
        <w:rPr>
          <w:rFonts w:ascii="Arial" w:eastAsia="Calibri" w:hAnsi="Arial" w:cs="Arial"/>
          <w:color w:val="000000" w:themeColor="text1"/>
          <w:sz w:val="22"/>
          <w:lang w:val="es-ES_tradnl"/>
        </w:rPr>
        <w:t>más</w:t>
      </w:r>
      <w:r w:rsidRPr="006431A7">
        <w:rPr>
          <w:rFonts w:ascii="Arial" w:eastAsia="Calibri" w:hAnsi="Arial" w:cs="Arial"/>
          <w:color w:val="000000" w:themeColor="text1"/>
          <w:sz w:val="22"/>
          <w:lang w:val="es-ES_tradnl"/>
        </w:rPr>
        <w:t xml:space="preserve"> ajustada al principio de </w:t>
      </w:r>
      <w:r w:rsidR="005E52A0" w:rsidRPr="006431A7">
        <w:rPr>
          <w:rFonts w:ascii="Arial" w:eastAsia="Calibri" w:hAnsi="Arial" w:cs="Arial"/>
          <w:color w:val="000000" w:themeColor="text1"/>
          <w:sz w:val="22"/>
          <w:lang w:val="es-ES_tradnl"/>
        </w:rPr>
        <w:t xml:space="preserve">favorabilidad.  </w:t>
      </w:r>
    </w:p>
    <w:p w14:paraId="066E266C" w14:textId="1133D84E" w:rsidR="00C45F1F" w:rsidRPr="006431A7" w:rsidRDefault="00C45F1F" w:rsidP="008A7B6B">
      <w:pPr>
        <w:tabs>
          <w:tab w:val="left" w:pos="6551"/>
        </w:tabs>
        <w:spacing w:before="120" w:line="276" w:lineRule="auto"/>
        <w:ind w:firstLine="709"/>
        <w:jc w:val="both"/>
        <w:rPr>
          <w:rFonts w:ascii="Arial" w:hAnsi="Arial" w:cs="Arial"/>
          <w:color w:val="000000" w:themeColor="text1"/>
          <w:sz w:val="22"/>
          <w:lang w:val="es-ES_tradnl"/>
        </w:rPr>
      </w:pPr>
      <w:r w:rsidRPr="006431A7">
        <w:rPr>
          <w:rFonts w:ascii="Arial" w:hAnsi="Arial" w:cs="Arial"/>
          <w:color w:val="000000" w:themeColor="text1"/>
          <w:sz w:val="22"/>
          <w:lang w:val="es-ES_tradnl"/>
        </w:rPr>
        <w:t>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bookmarkEnd w:id="7"/>
      <w:r w:rsidRPr="006431A7">
        <w:rPr>
          <w:rFonts w:ascii="Arial" w:hAnsi="Arial" w:cs="Arial"/>
          <w:color w:val="000000" w:themeColor="text1"/>
          <w:sz w:val="22"/>
          <w:lang w:val="es-ES_tradnl"/>
        </w:rPr>
        <w:t xml:space="preserve">». </w:t>
      </w:r>
    </w:p>
    <w:p w14:paraId="4AC4B3B5" w14:textId="650A7800" w:rsidR="00C45F1F" w:rsidRPr="00315977" w:rsidRDefault="00C45F1F" w:rsidP="008A7B6B">
      <w:pPr>
        <w:tabs>
          <w:tab w:val="left" w:pos="6551"/>
        </w:tabs>
        <w:spacing w:before="120" w:line="276" w:lineRule="auto"/>
        <w:ind w:firstLine="709"/>
        <w:jc w:val="both"/>
        <w:rPr>
          <w:rFonts w:ascii="Arial" w:hAnsi="Arial" w:cs="Arial"/>
          <w:color w:val="000000" w:themeColor="text1"/>
          <w:sz w:val="22"/>
          <w:lang w:val="es-ES_tradnl"/>
        </w:rPr>
      </w:pPr>
      <w:r w:rsidRPr="006431A7">
        <w:rPr>
          <w:rFonts w:ascii="Arial" w:hAnsi="Arial" w:cs="Arial"/>
          <w:color w:val="000000" w:themeColor="text1"/>
          <w:sz w:val="22"/>
          <w:lang w:val="es-ES_tradnl"/>
        </w:rPr>
        <w:t>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beneficiarse del factor de desempate. La norma guarda silencio sobre la acreditación de la condición que da lugar al factor de desempate. Por tanto, esta Agencia considera que,</w:t>
      </w:r>
      <w:r w:rsidR="0095323B" w:rsidRPr="006431A7">
        <w:rPr>
          <w:rFonts w:ascii="Arial" w:hAnsi="Arial" w:cs="Arial"/>
          <w:color w:val="000000" w:themeColor="text1"/>
          <w:sz w:val="22"/>
          <w:lang w:val="es-ES_tradnl"/>
        </w:rPr>
        <w:t xml:space="preserve"> mientras el Decreto 1860 de 2021 no </w:t>
      </w:r>
      <w:proofErr w:type="gramStart"/>
      <w:r w:rsidR="0095323B" w:rsidRPr="006431A7">
        <w:rPr>
          <w:rFonts w:ascii="Arial" w:hAnsi="Arial" w:cs="Arial"/>
          <w:color w:val="000000" w:themeColor="text1"/>
          <w:sz w:val="22"/>
          <w:lang w:val="es-ES_tradnl"/>
        </w:rPr>
        <w:t>entre en vigencia</w:t>
      </w:r>
      <w:proofErr w:type="gramEnd"/>
      <w:r w:rsidRPr="006431A7">
        <w:rPr>
          <w:rFonts w:ascii="Arial" w:hAnsi="Arial" w:cs="Arial"/>
          <w:color w:val="000000" w:themeColor="text1"/>
          <w:sz w:val="22"/>
          <w:lang w:val="es-ES_tradnl"/>
        </w:rPr>
        <w:t xml:space="preserve">, existe libertad probatoria sobre el tema. En consecuencia, la </w:t>
      </w:r>
      <w:r w:rsidRPr="00315977">
        <w:rPr>
          <w:rFonts w:ascii="Arial" w:hAnsi="Arial" w:cs="Arial"/>
          <w:color w:val="000000" w:themeColor="text1"/>
          <w:sz w:val="22"/>
          <w:lang w:val="es-ES_tradnl"/>
        </w:rPr>
        <w:t>entidad contratante puede determinar en el pliego de condiciones o documento equivalente cuál será el medio para evidenciar la vinculación de las personas mayores por parte del oferente.</w:t>
      </w:r>
    </w:p>
    <w:p w14:paraId="772F029D" w14:textId="40F16EBB" w:rsidR="00C45F1F" w:rsidRPr="00315977" w:rsidRDefault="00C45F1F" w:rsidP="008A7B6B">
      <w:pPr>
        <w:tabs>
          <w:tab w:val="left" w:pos="6551"/>
        </w:tabs>
        <w:spacing w:before="120" w:line="276" w:lineRule="auto"/>
        <w:ind w:firstLine="709"/>
        <w:jc w:val="both"/>
        <w:rPr>
          <w:rFonts w:ascii="Arial" w:hAnsi="Arial" w:cs="Arial"/>
          <w:color w:val="000000" w:themeColor="text1"/>
          <w:sz w:val="22"/>
          <w:lang w:val="es-ES_tradnl"/>
        </w:rPr>
      </w:pPr>
      <w:r w:rsidRPr="00315977">
        <w:rPr>
          <w:rFonts w:ascii="Arial" w:hAnsi="Arial" w:cs="Arial"/>
          <w:color w:val="000000" w:themeColor="text1"/>
          <w:sz w:val="22"/>
          <w:lang w:val="es-ES_tradnl"/>
        </w:rPr>
        <w:t xml:space="preserve">Como lo indicó la Agencia en los conceptos </w:t>
      </w:r>
      <w:r w:rsidRPr="00315977">
        <w:rPr>
          <w:rFonts w:ascii="Arial" w:eastAsia="Calibri" w:hAnsi="Arial" w:cs="Arial"/>
          <w:color w:val="000000" w:themeColor="text1"/>
          <w:sz w:val="22"/>
          <w:lang w:val="es-ES_tradnl"/>
        </w:rPr>
        <w:t xml:space="preserve">C-206 del 3 de mayo de 2021 y C-487 del 3 de agosto de 2021, </w:t>
      </w:r>
      <w:r w:rsidRPr="00315977">
        <w:rPr>
          <w:rFonts w:ascii="Arial" w:hAnsi="Arial" w:cs="Arial"/>
          <w:color w:val="000000" w:themeColor="text1"/>
          <w:sz w:val="22"/>
          <w:lang w:val="es-ES_tradnl"/>
        </w:rPr>
        <w:t>el numeral 4 del artículo 35 de la Ley 2069 de 2020 exige que la vinculación de personas mayores sea de carácter laboral –es decir, a través de un contrato de trabajo–, por lo cual Colombia Compra Eficiente considera que</w:t>
      </w:r>
      <w:r w:rsidR="001C6621" w:rsidRPr="00315977">
        <w:rPr>
          <w:rFonts w:ascii="Arial" w:hAnsi="Arial" w:cs="Arial"/>
          <w:color w:val="000000" w:themeColor="text1"/>
          <w:sz w:val="22"/>
          <w:lang w:val="es-ES_tradnl"/>
        </w:rPr>
        <w:t xml:space="preserve"> no resultaría procedente, para efectos de acreditar el factor de desempate, </w:t>
      </w:r>
      <w:r w:rsidRPr="00315977">
        <w:rPr>
          <w:rFonts w:ascii="Arial" w:hAnsi="Arial" w:cs="Arial"/>
          <w:color w:val="000000" w:themeColor="text1"/>
          <w:sz w:val="22"/>
          <w:lang w:val="es-ES_tradnl"/>
        </w:rPr>
        <w:t xml:space="preserve">la vinculación de dichas personas a través de otros tipos contractuales, como, por ejemplo, el contrato de prestación de servicios. Para estos efectos, la palabra «vinculación» debe entenderse en concordancia con el parágrafo 2 de la norma en comento, el cual dispone que «Para los criterios enunciados que involucren la </w:t>
      </w:r>
      <w:r w:rsidRPr="00315977">
        <w:rPr>
          <w:rFonts w:ascii="Arial" w:hAnsi="Arial" w:cs="Arial"/>
          <w:i/>
          <w:iCs/>
          <w:color w:val="000000" w:themeColor="text1"/>
          <w:sz w:val="22"/>
          <w:lang w:val="es-ES_tradnl"/>
        </w:rPr>
        <w:t>vinculación de capital humano</w:t>
      </w:r>
      <w:r w:rsidRPr="00315977">
        <w:rPr>
          <w:rFonts w:ascii="Arial" w:hAnsi="Arial" w:cs="Arial"/>
          <w:color w:val="000000" w:themeColor="text1"/>
          <w:sz w:val="22"/>
          <w:lang w:val="es-ES_tradnl"/>
        </w:rPr>
        <w:t xml:space="preserve">, el oferente deberá acreditar una antigüedad </w:t>
      </w:r>
      <w:r w:rsidRPr="00315977">
        <w:rPr>
          <w:rFonts w:ascii="Arial" w:hAnsi="Arial" w:cs="Arial"/>
          <w:color w:val="000000" w:themeColor="text1"/>
          <w:sz w:val="22"/>
          <w:lang w:val="es-ES_tradnl"/>
        </w:rPr>
        <w:lastRenderedPageBreak/>
        <w:t xml:space="preserve">igual o mayor a un año. Para los casos de constitución inferior a un año </w:t>
      </w:r>
      <w:r w:rsidRPr="00315977">
        <w:rPr>
          <w:rFonts w:ascii="Arial" w:hAnsi="Arial" w:cs="Arial"/>
          <w:i/>
          <w:iCs/>
          <w:color w:val="000000" w:themeColor="text1"/>
          <w:sz w:val="22"/>
          <w:lang w:val="es-ES_tradnl"/>
        </w:rPr>
        <w:t>se tendrá en cuenta a aquellos trabajadores</w:t>
      </w:r>
      <w:r w:rsidRPr="00315977">
        <w:rPr>
          <w:rFonts w:ascii="Arial" w:hAnsi="Arial" w:cs="Arial"/>
          <w:color w:val="000000" w:themeColor="text1"/>
          <w:sz w:val="22"/>
          <w:lang w:val="es-ES_tradnl"/>
        </w:rPr>
        <w:t xml:space="preserve"> que hayan estado vinculados desde el momento de constitución de </w:t>
      </w:r>
      <w:proofErr w:type="gramStart"/>
      <w:r w:rsidRPr="00315977">
        <w:rPr>
          <w:rFonts w:ascii="Arial" w:hAnsi="Arial" w:cs="Arial"/>
          <w:color w:val="000000" w:themeColor="text1"/>
          <w:sz w:val="22"/>
          <w:lang w:val="es-ES_tradnl"/>
        </w:rPr>
        <w:t>la misma</w:t>
      </w:r>
      <w:proofErr w:type="gramEnd"/>
      <w:r w:rsidRPr="00315977">
        <w:rPr>
          <w:rFonts w:ascii="Arial" w:hAnsi="Arial" w:cs="Arial"/>
          <w:color w:val="000000" w:themeColor="text1"/>
          <w:sz w:val="22"/>
          <w:lang w:val="es-ES_tradnl"/>
        </w:rPr>
        <w:t xml:space="preserve">» (Énfasis fuera de texto). Como se observa, la norma se refiere a la vinculación de trabajadores, lo cual excluye la posibilidad de acreditar el factor de desempate con prestadores de servicios.  </w:t>
      </w:r>
    </w:p>
    <w:p w14:paraId="61843566" w14:textId="5825EE07" w:rsidR="00C45F1F" w:rsidRPr="00315977" w:rsidRDefault="00C45F1F" w:rsidP="00315977">
      <w:pPr>
        <w:tabs>
          <w:tab w:val="left" w:pos="6551"/>
        </w:tabs>
        <w:spacing w:before="120" w:line="276" w:lineRule="auto"/>
        <w:ind w:firstLine="709"/>
        <w:jc w:val="both"/>
        <w:rPr>
          <w:rFonts w:ascii="Arial" w:hAnsi="Arial" w:cs="Arial"/>
          <w:color w:val="000000" w:themeColor="text1"/>
          <w:sz w:val="22"/>
          <w:lang w:val="es-ES_tradnl"/>
        </w:rPr>
      </w:pPr>
      <w:r w:rsidRPr="00315977">
        <w:rPr>
          <w:rFonts w:ascii="Arial" w:hAnsi="Arial" w:cs="Arial"/>
          <w:color w:val="000000" w:themeColor="text1"/>
          <w:sz w:val="22"/>
          <w:lang w:val="es-ES_tradnl"/>
        </w:rPr>
        <w:t xml:space="preserve">Por otra parte, el parágrafo segundo del artículo 35 de la Ley 2069 de 2020 no efectúa distinción alguna acerca de la modalidad de vinculación laboral. Solo exige que el capital humano esté vinculado laboralmente al oferente con una antigüedad igual o mayor a un año, salvo que la constitución del oferente sea inferior a un año, pues en este caso los trabajadores deben estar vinculados desde dicha constitución. </w:t>
      </w:r>
    </w:p>
    <w:p w14:paraId="5394D900" w14:textId="77777777" w:rsidR="001645D2" w:rsidRPr="00315977" w:rsidRDefault="001645D2" w:rsidP="008A7B6B">
      <w:pPr>
        <w:tabs>
          <w:tab w:val="left" w:pos="6551"/>
        </w:tabs>
        <w:spacing w:before="120" w:line="276" w:lineRule="auto"/>
        <w:ind w:firstLine="709"/>
        <w:jc w:val="both"/>
        <w:rPr>
          <w:rFonts w:ascii="Arial" w:eastAsia="Calibri" w:hAnsi="Arial" w:cs="Arial"/>
          <w:color w:val="000000" w:themeColor="text1"/>
          <w:sz w:val="22"/>
          <w:lang w:val="es-ES_tradnl"/>
        </w:rPr>
      </w:pPr>
      <w:r w:rsidRPr="00315977">
        <w:rPr>
          <w:rFonts w:ascii="Arial" w:hAnsi="Arial" w:cs="Arial"/>
          <w:color w:val="000000" w:themeColor="text1"/>
          <w:sz w:val="22"/>
          <w:lang w:val="es-ES_tradnl"/>
        </w:rPr>
        <w:t xml:space="preserve">Ahora bien, </w:t>
      </w:r>
      <w:r w:rsidRPr="00315977">
        <w:rPr>
          <w:rFonts w:ascii="Arial" w:eastAsia="Calibri" w:hAnsi="Arial" w:cs="Arial"/>
          <w:color w:val="000000" w:themeColor="text1"/>
          <w:sz w:val="22"/>
          <w:lang w:val="es-ES_tradnl"/>
        </w:rPr>
        <w:t xml:space="preserve">el hecho de que el artículo 84 de la Ley 2069 de 2020 establezca que esta rige a partir de su promulgación –o sea, desde el 31 de diciembre de 2020–, no se opone a que el Congreso de la República haya previsto dentro de la misma Ley condiciones temporales para la eficacia de algunas de sus disposiciones. Así, por ejemplo, el parágrafo segundo del artículo 35 señala: «Para los criterios enunciados que involucren la vinculación de capital humano, el oferente deberá acreditar una antigüedad </w:t>
      </w:r>
      <w:r w:rsidRPr="00315977">
        <w:rPr>
          <w:rFonts w:ascii="Arial" w:eastAsia="Calibri" w:hAnsi="Arial" w:cs="Arial"/>
          <w:i/>
          <w:iCs/>
          <w:color w:val="000000" w:themeColor="text1"/>
          <w:sz w:val="22"/>
          <w:lang w:val="es-ES_tradnl"/>
        </w:rPr>
        <w:t>igual o mayor a un año</w:t>
      </w:r>
      <w:r w:rsidRPr="00315977">
        <w:rPr>
          <w:rFonts w:ascii="Arial" w:eastAsia="Calibri" w:hAnsi="Arial" w:cs="Arial"/>
          <w:color w:val="000000" w:themeColor="text1"/>
          <w:sz w:val="22"/>
          <w:lang w:val="es-ES_tradnl"/>
        </w:rPr>
        <w:t xml:space="preserve">. Para los casos de constitución inferior a un año se tendrá en cuenta a aquellos trabajadores que hayan estado vinculados </w:t>
      </w:r>
      <w:r w:rsidRPr="00315977">
        <w:rPr>
          <w:rFonts w:ascii="Arial" w:eastAsia="Calibri" w:hAnsi="Arial" w:cs="Arial"/>
          <w:i/>
          <w:iCs/>
          <w:color w:val="000000" w:themeColor="text1"/>
          <w:sz w:val="22"/>
          <w:lang w:val="es-ES_tradnl"/>
        </w:rPr>
        <w:t xml:space="preserve">desde el momento de constitución de </w:t>
      </w:r>
      <w:proofErr w:type="gramStart"/>
      <w:r w:rsidRPr="00315977">
        <w:rPr>
          <w:rFonts w:ascii="Arial" w:eastAsia="Calibri" w:hAnsi="Arial" w:cs="Arial"/>
          <w:i/>
          <w:iCs/>
          <w:color w:val="000000" w:themeColor="text1"/>
          <w:sz w:val="22"/>
          <w:lang w:val="es-ES_tradnl"/>
        </w:rPr>
        <w:t>la misma</w:t>
      </w:r>
      <w:proofErr w:type="gramEnd"/>
      <w:r w:rsidRPr="00315977">
        <w:rPr>
          <w:rFonts w:ascii="Arial" w:eastAsia="Calibri" w:hAnsi="Arial" w:cs="Arial"/>
          <w:color w:val="000000" w:themeColor="text1"/>
          <w:sz w:val="22"/>
          <w:lang w:val="es-ES_tradnl"/>
        </w:rPr>
        <w:t xml:space="preserve">» (énfasis fuera de texto). </w:t>
      </w:r>
    </w:p>
    <w:p w14:paraId="1055BD87" w14:textId="27E70A6C" w:rsidR="001645D2" w:rsidRPr="00315977" w:rsidRDefault="001645D2" w:rsidP="008A7B6B">
      <w:pPr>
        <w:tabs>
          <w:tab w:val="left" w:pos="6551"/>
        </w:tabs>
        <w:spacing w:before="120" w:line="276" w:lineRule="auto"/>
        <w:ind w:firstLine="709"/>
        <w:jc w:val="both"/>
        <w:rPr>
          <w:rFonts w:ascii="Arial" w:eastAsia="Calibri" w:hAnsi="Arial" w:cs="Arial"/>
          <w:color w:val="000000" w:themeColor="text1"/>
          <w:sz w:val="22"/>
          <w:lang w:val="es-ES_tradnl"/>
        </w:rPr>
      </w:pPr>
      <w:r w:rsidRPr="00315977">
        <w:rPr>
          <w:rFonts w:ascii="Arial" w:eastAsia="Calibri" w:hAnsi="Arial" w:cs="Arial"/>
          <w:color w:val="000000" w:themeColor="text1"/>
          <w:sz w:val="22"/>
          <w:lang w:val="es-ES_tradnl"/>
        </w:rPr>
        <w:t>Es decir, si bien es cierto que los factores de desempate previstos en el artículo 35 de la Ley 2069 de 2020 deben aplicarse en los procedimientos de selección iniciados a partir de la promulgación de esta, también lo es que –al tenor del parágrafo segundo del mismo artículo–, cuando en dichos factores se exija la vinculación laboral de personas, el oferente debe acreditar que lo están, como mínimo, con un año de antigüedad, salvo que el proponente se haya constituido con una anterioridad menor al año, pues en este caso deberá acreditar que el capital humano está vinculado al menos desde el momento de la constitución. O sea que el período contenido en el parágrafo segundo, en sentido estricto, no se comienza a computar desde la promulgación de la Ley 2069 de 2020, sino que para el momento en el que la entidad estatal evalúe la viabilidad de aplicar los factores de desempate vigentes del artículo 35 de dicha Ley –que exijan la vinculación de capital humano–, debe analizar si se cumple con dicho término de vinculación.</w:t>
      </w:r>
    </w:p>
    <w:p w14:paraId="18C0673B" w14:textId="5C27A821" w:rsidR="00F4689B" w:rsidRPr="00315977" w:rsidRDefault="00304C29" w:rsidP="008A7B6B">
      <w:pPr>
        <w:tabs>
          <w:tab w:val="left" w:pos="6551"/>
        </w:tabs>
        <w:spacing w:before="120" w:line="276" w:lineRule="auto"/>
        <w:ind w:firstLine="709"/>
        <w:jc w:val="both"/>
        <w:rPr>
          <w:rFonts w:ascii="Arial" w:eastAsia="Calibri" w:hAnsi="Arial" w:cs="Arial"/>
          <w:color w:val="000000" w:themeColor="text1"/>
          <w:sz w:val="22"/>
          <w:lang w:val="es-ES_tradnl"/>
        </w:rPr>
      </w:pPr>
      <w:r w:rsidRPr="00315977">
        <w:rPr>
          <w:rFonts w:ascii="Arial" w:eastAsia="Calibri" w:hAnsi="Arial" w:cs="Arial"/>
          <w:color w:val="000000" w:themeColor="text1"/>
          <w:sz w:val="22"/>
          <w:lang w:val="es-ES_tradnl"/>
        </w:rPr>
        <w:t>Como se evidencia</w:t>
      </w:r>
      <w:bookmarkStart w:id="8" w:name="_Hlk93140650"/>
      <w:r w:rsidRPr="00315977">
        <w:rPr>
          <w:rFonts w:ascii="Arial" w:eastAsia="Calibri" w:hAnsi="Arial" w:cs="Arial"/>
          <w:color w:val="000000" w:themeColor="text1"/>
          <w:sz w:val="22"/>
          <w:lang w:val="es-ES_tradnl"/>
        </w:rPr>
        <w:t xml:space="preserve">, el </w:t>
      </w:r>
      <w:r w:rsidR="00DD736F" w:rsidRPr="00315977">
        <w:rPr>
          <w:rFonts w:ascii="Arial" w:eastAsia="Calibri" w:hAnsi="Arial" w:cs="Arial"/>
          <w:color w:val="000000" w:themeColor="text1"/>
          <w:sz w:val="22"/>
          <w:lang w:val="es-ES_tradnl"/>
        </w:rPr>
        <w:t xml:space="preserve">requisito de </w:t>
      </w:r>
      <w:r w:rsidR="003D6C69" w:rsidRPr="00315977">
        <w:rPr>
          <w:rFonts w:ascii="Arial" w:eastAsia="Calibri" w:hAnsi="Arial" w:cs="Arial"/>
          <w:color w:val="000000" w:themeColor="text1"/>
          <w:sz w:val="22"/>
          <w:lang w:val="es-ES_tradnl"/>
        </w:rPr>
        <w:t xml:space="preserve">vinculación laboral de personas con un año </w:t>
      </w:r>
      <w:r w:rsidR="00F4689B" w:rsidRPr="00315977">
        <w:rPr>
          <w:rFonts w:ascii="Arial" w:eastAsia="Calibri" w:hAnsi="Arial" w:cs="Arial"/>
          <w:color w:val="000000" w:themeColor="text1"/>
          <w:sz w:val="22"/>
          <w:lang w:val="es-ES_tradnl"/>
        </w:rPr>
        <w:t xml:space="preserve">mínimo </w:t>
      </w:r>
      <w:r w:rsidR="003D6C69" w:rsidRPr="00315977">
        <w:rPr>
          <w:rFonts w:ascii="Arial" w:eastAsia="Calibri" w:hAnsi="Arial" w:cs="Arial"/>
          <w:color w:val="000000" w:themeColor="text1"/>
          <w:sz w:val="22"/>
          <w:lang w:val="es-ES_tradnl"/>
        </w:rPr>
        <w:t xml:space="preserve">de </w:t>
      </w:r>
      <w:r w:rsidR="00DD736F" w:rsidRPr="00315977">
        <w:rPr>
          <w:rFonts w:ascii="Arial" w:eastAsia="Calibri" w:hAnsi="Arial" w:cs="Arial"/>
          <w:color w:val="000000" w:themeColor="text1"/>
          <w:sz w:val="22"/>
          <w:lang w:val="es-ES_tradnl"/>
        </w:rPr>
        <w:t xml:space="preserve">antigüedad al que alude el parágrafo 2 </w:t>
      </w:r>
      <w:r w:rsidR="00376692" w:rsidRPr="00315977">
        <w:rPr>
          <w:rFonts w:ascii="Arial" w:eastAsia="Calibri" w:hAnsi="Arial" w:cs="Arial"/>
          <w:color w:val="000000" w:themeColor="text1"/>
          <w:sz w:val="22"/>
          <w:lang w:val="es-ES_tradnl"/>
        </w:rPr>
        <w:t>del artículo 35 de la Ley 2069 de 2020</w:t>
      </w:r>
      <w:r w:rsidR="00F4689B" w:rsidRPr="00315977">
        <w:rPr>
          <w:rFonts w:ascii="Arial" w:eastAsia="Calibri" w:hAnsi="Arial" w:cs="Arial"/>
          <w:color w:val="000000" w:themeColor="text1"/>
          <w:sz w:val="22"/>
          <w:lang w:val="es-ES_tradnl"/>
        </w:rPr>
        <w:t xml:space="preserve">, </w:t>
      </w:r>
      <w:r w:rsidR="00376692" w:rsidRPr="00315977">
        <w:rPr>
          <w:rFonts w:ascii="Arial" w:eastAsia="Calibri" w:hAnsi="Arial" w:cs="Arial"/>
          <w:color w:val="000000" w:themeColor="text1"/>
          <w:sz w:val="22"/>
          <w:lang w:val="es-ES_tradnl"/>
        </w:rPr>
        <w:t xml:space="preserve">es una condición </w:t>
      </w:r>
      <w:r w:rsidR="003D6C69" w:rsidRPr="00315977">
        <w:rPr>
          <w:rFonts w:ascii="Arial" w:eastAsia="Calibri" w:hAnsi="Arial" w:cs="Arial"/>
          <w:color w:val="000000" w:themeColor="text1"/>
          <w:sz w:val="22"/>
          <w:lang w:val="es-ES_tradnl"/>
        </w:rPr>
        <w:t>intrínseca del numeral 4 sin la cual el proponente</w:t>
      </w:r>
      <w:r w:rsidR="00F4689B" w:rsidRPr="00315977">
        <w:rPr>
          <w:rFonts w:ascii="Arial" w:eastAsia="Calibri" w:hAnsi="Arial" w:cs="Arial"/>
          <w:color w:val="000000" w:themeColor="text1"/>
          <w:sz w:val="22"/>
          <w:lang w:val="es-ES_tradnl"/>
        </w:rPr>
        <w:t xml:space="preserve"> no podrá ser favorecido de esta regla de desempate. Por ello, el proponente además de acreditar </w:t>
      </w:r>
      <w:r w:rsidR="008F4AAD" w:rsidRPr="00315977">
        <w:rPr>
          <w:rFonts w:ascii="Arial" w:hAnsi="Arial" w:cs="Arial"/>
          <w:color w:val="000000" w:themeColor="text1"/>
          <w:sz w:val="22"/>
          <w:lang w:val="es-ES_tradnl"/>
        </w:rPr>
        <w:t>la vinculación de personas mayores que no sean beneficiarios de la pensión de vejez, familiar o de sobrevivencia y que hayan cumplido el requisito de edad de pensión establecido en la Ley, deberá acreditar que</w:t>
      </w:r>
      <w:r w:rsidR="00073018" w:rsidRPr="00315977">
        <w:rPr>
          <w:rFonts w:ascii="Arial" w:hAnsi="Arial" w:cs="Arial"/>
          <w:color w:val="000000" w:themeColor="text1"/>
          <w:sz w:val="22"/>
          <w:lang w:val="es-ES_tradnl"/>
        </w:rPr>
        <w:t xml:space="preserve"> dicha vinculación</w:t>
      </w:r>
      <w:r w:rsidR="008F4AAD" w:rsidRPr="00315977">
        <w:rPr>
          <w:rFonts w:ascii="Arial" w:hAnsi="Arial" w:cs="Arial"/>
          <w:color w:val="000000" w:themeColor="text1"/>
          <w:sz w:val="22"/>
          <w:lang w:val="es-ES_tradnl"/>
        </w:rPr>
        <w:t xml:space="preserve"> </w:t>
      </w:r>
      <w:r w:rsidR="00E229D7" w:rsidRPr="00315977">
        <w:rPr>
          <w:rFonts w:ascii="Arial" w:hAnsi="Arial" w:cs="Arial"/>
          <w:color w:val="000000" w:themeColor="text1"/>
          <w:sz w:val="22"/>
          <w:lang w:val="es-ES_tradnl"/>
        </w:rPr>
        <w:t>es, como mínimo, de un año</w:t>
      </w:r>
      <w:r w:rsidR="00073018" w:rsidRPr="00315977">
        <w:rPr>
          <w:rFonts w:ascii="Arial" w:hAnsi="Arial" w:cs="Arial"/>
          <w:color w:val="000000" w:themeColor="text1"/>
          <w:sz w:val="22"/>
          <w:lang w:val="es-ES_tradnl"/>
        </w:rPr>
        <w:t xml:space="preserve"> antigüedad</w:t>
      </w:r>
      <w:r w:rsidR="00E229D7" w:rsidRPr="00315977">
        <w:rPr>
          <w:rFonts w:ascii="Arial" w:hAnsi="Arial" w:cs="Arial"/>
          <w:color w:val="000000" w:themeColor="text1"/>
          <w:sz w:val="22"/>
          <w:lang w:val="es-ES_tradnl"/>
        </w:rPr>
        <w:t xml:space="preserve">. La única </w:t>
      </w:r>
      <w:r w:rsidR="00E229D7" w:rsidRPr="00315977">
        <w:rPr>
          <w:rFonts w:ascii="Arial" w:hAnsi="Arial" w:cs="Arial"/>
          <w:color w:val="000000" w:themeColor="text1"/>
          <w:sz w:val="22"/>
          <w:lang w:val="es-ES_tradnl"/>
        </w:rPr>
        <w:lastRenderedPageBreak/>
        <w:t xml:space="preserve">excepción a este término está relacionada con el </w:t>
      </w:r>
      <w:r w:rsidR="00E229D7" w:rsidRPr="00315977">
        <w:rPr>
          <w:rFonts w:ascii="Arial" w:eastAsia="Calibri" w:hAnsi="Arial" w:cs="Arial"/>
          <w:color w:val="000000" w:themeColor="text1"/>
          <w:sz w:val="22"/>
          <w:lang w:val="es-ES_tradnl"/>
        </w:rPr>
        <w:t>proponente que se haya constituido con una anterioridad menor al año, pues en este caso</w:t>
      </w:r>
      <w:r w:rsidR="00B8273C" w:rsidRPr="00315977">
        <w:rPr>
          <w:rFonts w:ascii="Arial" w:eastAsia="Calibri" w:hAnsi="Arial" w:cs="Arial"/>
          <w:color w:val="000000" w:themeColor="text1"/>
          <w:sz w:val="22"/>
          <w:lang w:val="es-ES_tradnl"/>
        </w:rPr>
        <w:t>, como se expuso,</w:t>
      </w:r>
      <w:r w:rsidR="00E229D7" w:rsidRPr="00315977">
        <w:rPr>
          <w:rFonts w:ascii="Arial" w:eastAsia="Calibri" w:hAnsi="Arial" w:cs="Arial"/>
          <w:color w:val="000000" w:themeColor="text1"/>
          <w:sz w:val="22"/>
          <w:lang w:val="es-ES_tradnl"/>
        </w:rPr>
        <w:t xml:space="preserve"> deberá acreditar que el capital humano está vinculado al menos desde el momento de la constitución. </w:t>
      </w:r>
    </w:p>
    <w:bookmarkEnd w:id="8"/>
    <w:p w14:paraId="6E8A9E7C" w14:textId="50CE39ED" w:rsidR="00A53BCF" w:rsidRPr="00315977" w:rsidRDefault="0060754E" w:rsidP="008A7B6B">
      <w:pPr>
        <w:tabs>
          <w:tab w:val="left" w:pos="6551"/>
        </w:tabs>
        <w:spacing w:before="120" w:line="276" w:lineRule="auto"/>
        <w:ind w:firstLine="709"/>
        <w:jc w:val="both"/>
        <w:rPr>
          <w:rFonts w:ascii="Arial" w:eastAsia="Calibri" w:hAnsi="Arial" w:cs="Arial"/>
          <w:bCs/>
          <w:color w:val="000000" w:themeColor="text1"/>
          <w:sz w:val="22"/>
          <w:szCs w:val="22"/>
          <w:lang w:val="es-ES_tradnl"/>
        </w:rPr>
      </w:pPr>
      <w:r w:rsidRPr="00315977">
        <w:rPr>
          <w:rFonts w:ascii="Arial" w:eastAsia="Calibri" w:hAnsi="Arial" w:cs="Arial"/>
          <w:bCs/>
          <w:color w:val="000000" w:themeColor="text1"/>
          <w:sz w:val="22"/>
          <w:szCs w:val="22"/>
          <w:lang w:val="es-ES_tradnl"/>
        </w:rPr>
        <w:t>Sin embargo, e</w:t>
      </w:r>
      <w:r w:rsidR="00E574D2" w:rsidRPr="00315977">
        <w:rPr>
          <w:rFonts w:ascii="Arial" w:eastAsia="Calibri" w:hAnsi="Arial" w:cs="Arial"/>
          <w:bCs/>
          <w:color w:val="000000" w:themeColor="text1"/>
          <w:sz w:val="22"/>
          <w:szCs w:val="22"/>
          <w:lang w:val="es-ES_tradnl"/>
        </w:rPr>
        <w:t>sta salvedad no puede extenderse a otros eventos o situaciones</w:t>
      </w:r>
      <w:r w:rsidR="00C31B34" w:rsidRPr="00315977">
        <w:rPr>
          <w:rFonts w:ascii="Arial" w:eastAsia="Calibri" w:hAnsi="Arial" w:cs="Arial"/>
          <w:bCs/>
          <w:color w:val="000000" w:themeColor="text1"/>
          <w:sz w:val="22"/>
          <w:szCs w:val="22"/>
          <w:lang w:val="es-ES_tradnl"/>
        </w:rPr>
        <w:t xml:space="preserve"> particulares</w:t>
      </w:r>
      <w:r w:rsidR="00E574D2" w:rsidRPr="00315977">
        <w:rPr>
          <w:rFonts w:ascii="Arial" w:eastAsia="Calibri" w:hAnsi="Arial" w:cs="Arial"/>
          <w:bCs/>
          <w:color w:val="000000" w:themeColor="text1"/>
          <w:sz w:val="22"/>
          <w:szCs w:val="22"/>
          <w:lang w:val="es-ES_tradnl"/>
        </w:rPr>
        <w:t xml:space="preserve"> diferentes a la descrita en la norma en favor de un proponente.</w:t>
      </w:r>
      <w:r w:rsidR="00C31B34" w:rsidRPr="00315977">
        <w:rPr>
          <w:rFonts w:ascii="Arial" w:eastAsia="Calibri" w:hAnsi="Arial" w:cs="Arial"/>
          <w:bCs/>
          <w:color w:val="000000" w:themeColor="text1"/>
          <w:sz w:val="22"/>
          <w:szCs w:val="22"/>
          <w:lang w:val="es-ES_tradnl"/>
        </w:rPr>
        <w:t xml:space="preserve"> En efecto</w:t>
      </w:r>
      <w:r w:rsidR="00026A07" w:rsidRPr="00315977">
        <w:rPr>
          <w:rFonts w:ascii="Arial" w:eastAsia="Calibri" w:hAnsi="Arial" w:cs="Arial"/>
          <w:bCs/>
          <w:color w:val="000000" w:themeColor="text1"/>
          <w:sz w:val="22"/>
          <w:szCs w:val="22"/>
          <w:lang w:val="es-ES_tradnl"/>
        </w:rPr>
        <w:t>,</w:t>
      </w:r>
      <w:r w:rsidR="00E574D2" w:rsidRPr="00315977">
        <w:rPr>
          <w:rFonts w:ascii="Arial" w:eastAsia="Calibri" w:hAnsi="Arial" w:cs="Arial"/>
          <w:bCs/>
          <w:color w:val="000000" w:themeColor="text1"/>
          <w:sz w:val="22"/>
          <w:szCs w:val="22"/>
          <w:lang w:val="es-ES_tradnl"/>
        </w:rPr>
        <w:t xml:space="preserve"> </w:t>
      </w:r>
      <w:r w:rsidR="009E0E63" w:rsidRPr="00315977">
        <w:rPr>
          <w:rFonts w:ascii="Arial" w:eastAsia="Calibri" w:hAnsi="Arial" w:cs="Arial"/>
          <w:bCs/>
          <w:color w:val="000000" w:themeColor="text1"/>
          <w:sz w:val="22"/>
          <w:szCs w:val="22"/>
          <w:lang w:val="es-ES_tradnl"/>
        </w:rPr>
        <w:t xml:space="preserve">como se explicó, </w:t>
      </w:r>
      <w:r w:rsidR="00E574D2" w:rsidRPr="00315977">
        <w:rPr>
          <w:rFonts w:ascii="Arial" w:eastAsia="Calibri" w:hAnsi="Arial" w:cs="Arial"/>
          <w:bCs/>
          <w:color w:val="000000" w:themeColor="text1"/>
          <w:sz w:val="22"/>
          <w:szCs w:val="22"/>
          <w:lang w:val="es-ES_tradnl"/>
        </w:rPr>
        <w:t xml:space="preserve">los factores de desempate son de obligatoria observancia y su aplicación </w:t>
      </w:r>
      <w:r w:rsidR="00C31B34" w:rsidRPr="00315977">
        <w:rPr>
          <w:rFonts w:ascii="Arial" w:eastAsia="Calibri" w:hAnsi="Arial" w:cs="Arial"/>
          <w:bCs/>
          <w:color w:val="000000" w:themeColor="text1"/>
          <w:sz w:val="22"/>
          <w:szCs w:val="22"/>
          <w:lang w:val="es-ES_tradnl"/>
        </w:rPr>
        <w:t xml:space="preserve">es </w:t>
      </w:r>
      <w:r w:rsidR="00005003" w:rsidRPr="00315977">
        <w:rPr>
          <w:rFonts w:ascii="Arial" w:eastAsia="Calibri" w:hAnsi="Arial" w:cs="Arial"/>
          <w:bCs/>
          <w:color w:val="000000" w:themeColor="text1"/>
          <w:sz w:val="22"/>
          <w:szCs w:val="22"/>
          <w:lang w:val="es-ES_tradnl"/>
        </w:rPr>
        <w:t xml:space="preserve">estricta </w:t>
      </w:r>
      <w:r w:rsidR="00C31B34" w:rsidRPr="00315977">
        <w:rPr>
          <w:rFonts w:ascii="Arial" w:eastAsia="Calibri" w:hAnsi="Arial" w:cs="Arial"/>
          <w:bCs/>
          <w:color w:val="000000" w:themeColor="text1"/>
          <w:sz w:val="22"/>
          <w:szCs w:val="22"/>
          <w:lang w:val="es-ES_tradnl"/>
        </w:rPr>
        <w:t xml:space="preserve">de manera que </w:t>
      </w:r>
      <w:r w:rsidR="00E574D2" w:rsidRPr="00315977">
        <w:rPr>
          <w:rFonts w:ascii="Arial" w:eastAsia="Calibri" w:hAnsi="Arial" w:cs="Arial"/>
          <w:bCs/>
          <w:color w:val="000000" w:themeColor="text1"/>
          <w:sz w:val="22"/>
          <w:szCs w:val="22"/>
          <w:lang w:val="es-ES_tradnl"/>
        </w:rPr>
        <w:t>no puede</w:t>
      </w:r>
      <w:r w:rsidR="00005003" w:rsidRPr="00315977">
        <w:rPr>
          <w:rFonts w:ascii="Arial" w:eastAsia="Calibri" w:hAnsi="Arial" w:cs="Arial"/>
          <w:bCs/>
          <w:color w:val="000000" w:themeColor="text1"/>
          <w:sz w:val="22"/>
          <w:szCs w:val="22"/>
          <w:lang w:val="es-ES_tradnl"/>
        </w:rPr>
        <w:t>n aplicarse</w:t>
      </w:r>
      <w:r w:rsidR="00E574D2" w:rsidRPr="00315977">
        <w:rPr>
          <w:rFonts w:ascii="Arial" w:eastAsia="Calibri" w:hAnsi="Arial" w:cs="Arial"/>
          <w:bCs/>
          <w:color w:val="000000" w:themeColor="text1"/>
          <w:sz w:val="22"/>
          <w:szCs w:val="22"/>
          <w:lang w:val="es-ES_tradnl"/>
        </w:rPr>
        <w:t xml:space="preserve"> </w:t>
      </w:r>
      <w:r w:rsidR="00005003" w:rsidRPr="00315977">
        <w:rPr>
          <w:rFonts w:ascii="Arial" w:eastAsia="Calibri" w:hAnsi="Arial" w:cs="Arial"/>
          <w:bCs/>
          <w:color w:val="000000" w:themeColor="text1"/>
          <w:sz w:val="22"/>
          <w:szCs w:val="22"/>
          <w:lang w:val="es-ES_tradnl"/>
        </w:rPr>
        <w:t>incluyendo eventos o excepciones</w:t>
      </w:r>
      <w:r w:rsidR="00E574D2" w:rsidRPr="00315977">
        <w:rPr>
          <w:rFonts w:ascii="Arial" w:eastAsia="Calibri" w:hAnsi="Arial" w:cs="Arial"/>
          <w:bCs/>
          <w:color w:val="000000" w:themeColor="text1"/>
          <w:sz w:val="22"/>
          <w:szCs w:val="22"/>
          <w:lang w:val="es-ES_tradnl"/>
        </w:rPr>
        <w:t xml:space="preserve"> que no estén amparadas en el ordenamiento jurídico. De es</w:t>
      </w:r>
      <w:r w:rsidR="00E139DB" w:rsidRPr="00315977">
        <w:rPr>
          <w:rFonts w:ascii="Arial" w:eastAsia="Calibri" w:hAnsi="Arial" w:cs="Arial"/>
          <w:bCs/>
          <w:color w:val="000000" w:themeColor="text1"/>
          <w:sz w:val="22"/>
          <w:szCs w:val="22"/>
          <w:lang w:val="es-ES_tradnl"/>
        </w:rPr>
        <w:t xml:space="preserve">te modo, </w:t>
      </w:r>
      <w:r w:rsidR="00E574D2" w:rsidRPr="00315977">
        <w:rPr>
          <w:rFonts w:ascii="Arial" w:eastAsia="Calibri" w:hAnsi="Arial" w:cs="Arial"/>
          <w:bCs/>
          <w:color w:val="000000" w:themeColor="text1"/>
          <w:sz w:val="22"/>
          <w:szCs w:val="22"/>
          <w:lang w:val="es-ES_tradnl"/>
        </w:rPr>
        <w:t>aceptar criterios diferentes a los señalados en la norma bajo interpretaciones subjetivas no solo permitiría que la entidad discrecionalmente determine múltiples formas de aplicación de los factores de desempate para cada caso concreto, sino que también contraviene los principios de selección objetiva y de igualdad</w:t>
      </w:r>
      <w:r w:rsidR="003C4121" w:rsidRPr="00315977">
        <w:rPr>
          <w:rFonts w:ascii="Arial" w:eastAsia="Calibri" w:hAnsi="Arial" w:cs="Arial"/>
          <w:bCs/>
          <w:color w:val="000000" w:themeColor="text1"/>
          <w:sz w:val="22"/>
          <w:szCs w:val="22"/>
          <w:lang w:val="es-ES_tradnl"/>
        </w:rPr>
        <w:t>.</w:t>
      </w:r>
    </w:p>
    <w:p w14:paraId="75CD91B7" w14:textId="485425E3" w:rsidR="00992F51" w:rsidRPr="00315977" w:rsidRDefault="00A45844" w:rsidP="008A7B6B">
      <w:pPr>
        <w:tabs>
          <w:tab w:val="left" w:pos="6551"/>
        </w:tabs>
        <w:spacing w:before="120" w:line="276" w:lineRule="auto"/>
        <w:ind w:firstLine="709"/>
        <w:jc w:val="both"/>
        <w:rPr>
          <w:rFonts w:ascii="Arial" w:eastAsia="Calibri" w:hAnsi="Arial" w:cs="Arial"/>
          <w:bCs/>
          <w:color w:val="000000" w:themeColor="text1"/>
          <w:sz w:val="22"/>
          <w:szCs w:val="22"/>
          <w:lang w:val="es-ES_tradnl"/>
        </w:rPr>
      </w:pPr>
      <w:r w:rsidRPr="00315977">
        <w:rPr>
          <w:rFonts w:ascii="Arial" w:eastAsia="Calibri" w:hAnsi="Arial" w:cs="Arial"/>
          <w:bCs/>
          <w:color w:val="000000" w:themeColor="text1"/>
          <w:sz w:val="22"/>
          <w:szCs w:val="22"/>
          <w:lang w:val="es-ES_tradnl"/>
        </w:rPr>
        <w:t>En consecuencia</w:t>
      </w:r>
      <w:r w:rsidR="0060754E" w:rsidRPr="00315977">
        <w:rPr>
          <w:rFonts w:ascii="Arial" w:eastAsia="Calibri" w:hAnsi="Arial" w:cs="Arial"/>
          <w:bCs/>
          <w:color w:val="000000" w:themeColor="text1"/>
          <w:sz w:val="22"/>
          <w:szCs w:val="22"/>
          <w:lang w:val="es-ES_tradnl"/>
        </w:rPr>
        <w:t xml:space="preserve">, </w:t>
      </w:r>
      <w:r w:rsidRPr="00315977">
        <w:rPr>
          <w:rFonts w:ascii="Arial" w:eastAsia="Calibri" w:hAnsi="Arial" w:cs="Arial"/>
          <w:bCs/>
          <w:color w:val="000000" w:themeColor="text1"/>
          <w:sz w:val="22"/>
          <w:szCs w:val="22"/>
          <w:lang w:val="es-ES_tradnl"/>
        </w:rPr>
        <w:t xml:space="preserve">para efectos del numeral 4 citado </w:t>
      </w:r>
      <w:r w:rsidR="0060754E" w:rsidRPr="00315977">
        <w:rPr>
          <w:rFonts w:ascii="Arial" w:eastAsia="Calibri" w:hAnsi="Arial" w:cs="Arial"/>
          <w:bCs/>
          <w:color w:val="000000" w:themeColor="text1"/>
          <w:sz w:val="22"/>
          <w:szCs w:val="22"/>
          <w:lang w:val="es-ES_tradnl"/>
        </w:rPr>
        <w:t xml:space="preserve">no </w:t>
      </w:r>
      <w:r w:rsidRPr="00315977">
        <w:rPr>
          <w:rFonts w:ascii="Arial" w:eastAsia="Calibri" w:hAnsi="Arial" w:cs="Arial"/>
          <w:bCs/>
          <w:color w:val="000000" w:themeColor="text1"/>
          <w:sz w:val="22"/>
          <w:szCs w:val="22"/>
          <w:lang w:val="es-ES_tradnl"/>
        </w:rPr>
        <w:t xml:space="preserve">se considera viable </w:t>
      </w:r>
      <w:r w:rsidR="0060754E" w:rsidRPr="00315977">
        <w:rPr>
          <w:rFonts w:ascii="Arial" w:eastAsia="Calibri" w:hAnsi="Arial" w:cs="Arial"/>
          <w:bCs/>
          <w:color w:val="000000" w:themeColor="text1"/>
          <w:sz w:val="22"/>
          <w:szCs w:val="22"/>
          <w:lang w:val="es-ES_tradnl"/>
        </w:rPr>
        <w:t xml:space="preserve">la sustitución de un </w:t>
      </w:r>
      <w:r w:rsidR="00C31B34" w:rsidRPr="00315977">
        <w:rPr>
          <w:rFonts w:ascii="Arial" w:eastAsia="Calibri" w:hAnsi="Arial" w:cs="Arial"/>
          <w:bCs/>
          <w:color w:val="000000" w:themeColor="text1"/>
          <w:sz w:val="22"/>
          <w:szCs w:val="22"/>
          <w:lang w:val="es-ES_tradnl"/>
        </w:rPr>
        <w:t xml:space="preserve">trabajador </w:t>
      </w:r>
      <w:r w:rsidR="0060754E" w:rsidRPr="00315977">
        <w:rPr>
          <w:rFonts w:ascii="Arial" w:eastAsia="Calibri" w:hAnsi="Arial" w:cs="Arial"/>
          <w:bCs/>
          <w:color w:val="000000" w:themeColor="text1"/>
          <w:sz w:val="22"/>
          <w:szCs w:val="22"/>
          <w:lang w:val="es-ES_tradnl"/>
        </w:rPr>
        <w:t xml:space="preserve">adulto mayor con otro de igual condición que no cumpla con el periodo de antigüedad exigido </w:t>
      </w:r>
      <w:r w:rsidR="002C6E93" w:rsidRPr="00315977">
        <w:rPr>
          <w:rFonts w:ascii="Arial" w:eastAsia="Calibri" w:hAnsi="Arial" w:cs="Arial"/>
          <w:bCs/>
          <w:color w:val="000000" w:themeColor="text1"/>
          <w:sz w:val="22"/>
          <w:szCs w:val="22"/>
          <w:lang w:val="es-ES_tradnl"/>
        </w:rPr>
        <w:t>bajo el supuesto que el primero falleció</w:t>
      </w:r>
      <w:r w:rsidR="00B93E99" w:rsidRPr="00315977">
        <w:rPr>
          <w:rFonts w:ascii="Arial" w:eastAsia="Calibri" w:hAnsi="Arial" w:cs="Arial"/>
          <w:bCs/>
          <w:color w:val="000000" w:themeColor="text1"/>
          <w:sz w:val="22"/>
          <w:szCs w:val="22"/>
          <w:lang w:val="es-ES_tradnl"/>
        </w:rPr>
        <w:t>, pues la norma no c</w:t>
      </w:r>
      <w:r w:rsidRPr="00315977">
        <w:rPr>
          <w:rFonts w:ascii="Arial" w:eastAsia="Calibri" w:hAnsi="Arial" w:cs="Arial"/>
          <w:bCs/>
          <w:color w:val="000000" w:themeColor="text1"/>
          <w:sz w:val="22"/>
          <w:szCs w:val="22"/>
          <w:lang w:val="es-ES_tradnl"/>
        </w:rPr>
        <w:t>ontempló</w:t>
      </w:r>
      <w:r w:rsidR="00B93E99" w:rsidRPr="00315977">
        <w:rPr>
          <w:rFonts w:ascii="Arial" w:eastAsia="Calibri" w:hAnsi="Arial" w:cs="Arial"/>
          <w:bCs/>
          <w:color w:val="000000" w:themeColor="text1"/>
          <w:sz w:val="22"/>
          <w:szCs w:val="22"/>
          <w:lang w:val="es-ES_tradnl"/>
        </w:rPr>
        <w:t xml:space="preserve"> tal </w:t>
      </w:r>
      <w:r w:rsidR="0077387E" w:rsidRPr="00315977">
        <w:rPr>
          <w:rFonts w:ascii="Arial" w:eastAsia="Calibri" w:hAnsi="Arial" w:cs="Arial"/>
          <w:bCs/>
          <w:color w:val="000000" w:themeColor="text1"/>
          <w:sz w:val="22"/>
          <w:szCs w:val="22"/>
          <w:lang w:val="es-ES_tradnl"/>
        </w:rPr>
        <w:t>excepción</w:t>
      </w:r>
      <w:r w:rsidR="00B93E99" w:rsidRPr="00315977">
        <w:rPr>
          <w:rFonts w:ascii="Arial" w:eastAsia="Calibri" w:hAnsi="Arial" w:cs="Arial"/>
          <w:bCs/>
          <w:color w:val="000000" w:themeColor="text1"/>
          <w:sz w:val="22"/>
          <w:szCs w:val="22"/>
          <w:lang w:val="es-ES_tradnl"/>
        </w:rPr>
        <w:t>.</w:t>
      </w:r>
      <w:r w:rsidR="0048791D" w:rsidRPr="00315977">
        <w:rPr>
          <w:rFonts w:ascii="Arial" w:eastAsia="Calibri" w:hAnsi="Arial" w:cs="Arial"/>
          <w:bCs/>
          <w:color w:val="000000" w:themeColor="text1"/>
          <w:sz w:val="22"/>
          <w:szCs w:val="22"/>
          <w:lang w:val="es-ES_tradnl"/>
        </w:rPr>
        <w:t xml:space="preserve"> A</w:t>
      </w:r>
      <w:r w:rsidR="00BE733F" w:rsidRPr="00315977">
        <w:rPr>
          <w:rFonts w:ascii="Arial" w:eastAsia="Calibri" w:hAnsi="Arial" w:cs="Arial"/>
          <w:bCs/>
          <w:color w:val="000000" w:themeColor="text1"/>
          <w:sz w:val="22"/>
          <w:szCs w:val="22"/>
          <w:lang w:val="es-ES_tradnl"/>
        </w:rPr>
        <w:t>unado a lo anterior</w:t>
      </w:r>
      <w:r w:rsidR="0048791D" w:rsidRPr="00315977">
        <w:rPr>
          <w:rFonts w:ascii="Arial" w:eastAsia="Calibri" w:hAnsi="Arial" w:cs="Arial"/>
          <w:bCs/>
          <w:color w:val="000000" w:themeColor="text1"/>
          <w:sz w:val="22"/>
          <w:szCs w:val="22"/>
          <w:lang w:val="es-ES_tradnl"/>
        </w:rPr>
        <w:t xml:space="preserve">, </w:t>
      </w:r>
      <w:r w:rsidR="00C575DB" w:rsidRPr="00315977">
        <w:rPr>
          <w:rFonts w:ascii="Arial" w:eastAsia="Calibri" w:hAnsi="Arial" w:cs="Arial"/>
          <w:bCs/>
          <w:color w:val="000000" w:themeColor="text1"/>
          <w:sz w:val="22"/>
          <w:szCs w:val="22"/>
          <w:lang w:val="es-ES_tradnl"/>
        </w:rPr>
        <w:t xml:space="preserve">es preciso indicar </w:t>
      </w:r>
      <w:r w:rsidR="0048791D" w:rsidRPr="00315977">
        <w:rPr>
          <w:rFonts w:ascii="Arial" w:eastAsia="Calibri" w:hAnsi="Arial" w:cs="Arial"/>
          <w:bCs/>
          <w:color w:val="000000" w:themeColor="text1"/>
          <w:sz w:val="22"/>
          <w:szCs w:val="22"/>
          <w:lang w:val="es-ES_tradnl"/>
        </w:rPr>
        <w:t>que</w:t>
      </w:r>
      <w:r w:rsidR="003F47D7" w:rsidRPr="00315977">
        <w:rPr>
          <w:rFonts w:ascii="Arial" w:eastAsia="Calibri" w:hAnsi="Arial" w:cs="Arial"/>
          <w:bCs/>
          <w:color w:val="000000" w:themeColor="text1"/>
          <w:sz w:val="22"/>
          <w:szCs w:val="22"/>
          <w:lang w:val="es-ES_tradnl"/>
        </w:rPr>
        <w:t xml:space="preserve"> </w:t>
      </w:r>
      <w:r w:rsidR="00C575DB" w:rsidRPr="00315977">
        <w:rPr>
          <w:rFonts w:ascii="Arial" w:eastAsia="Calibri" w:hAnsi="Arial" w:cs="Arial"/>
          <w:bCs/>
          <w:color w:val="000000" w:themeColor="text1"/>
          <w:sz w:val="22"/>
          <w:szCs w:val="22"/>
          <w:lang w:val="es-ES_tradnl"/>
        </w:rPr>
        <w:t xml:space="preserve">todos </w:t>
      </w:r>
      <w:r w:rsidR="003F47D7" w:rsidRPr="00315977">
        <w:rPr>
          <w:rFonts w:ascii="Arial" w:eastAsia="Calibri" w:hAnsi="Arial" w:cs="Arial"/>
          <w:bCs/>
          <w:color w:val="000000" w:themeColor="text1"/>
          <w:sz w:val="22"/>
          <w:szCs w:val="22"/>
          <w:lang w:val="es-ES_tradnl"/>
        </w:rPr>
        <w:t>los requisitos exigidos en esta norma</w:t>
      </w:r>
      <w:r w:rsidR="00C575DB" w:rsidRPr="00315977">
        <w:rPr>
          <w:rFonts w:ascii="Arial" w:eastAsia="Calibri" w:hAnsi="Arial" w:cs="Arial"/>
          <w:bCs/>
          <w:color w:val="000000" w:themeColor="text1"/>
          <w:sz w:val="22"/>
          <w:szCs w:val="22"/>
          <w:lang w:val="es-ES_tradnl"/>
        </w:rPr>
        <w:t xml:space="preserve"> deberán cumplirse </w:t>
      </w:r>
      <w:r w:rsidR="00992F51" w:rsidRPr="00315977">
        <w:rPr>
          <w:rFonts w:ascii="Arial" w:eastAsia="Calibri" w:hAnsi="Arial" w:cs="Arial"/>
          <w:bCs/>
          <w:color w:val="000000" w:themeColor="text1"/>
          <w:sz w:val="22"/>
          <w:szCs w:val="22"/>
          <w:lang w:val="es-ES_tradnl"/>
        </w:rPr>
        <w:t>de forma individual por</w:t>
      </w:r>
      <w:r w:rsidR="00C575DB" w:rsidRPr="00315977">
        <w:rPr>
          <w:rFonts w:ascii="Arial" w:eastAsia="Calibri" w:hAnsi="Arial" w:cs="Arial"/>
          <w:bCs/>
          <w:color w:val="000000" w:themeColor="text1"/>
          <w:sz w:val="22"/>
          <w:szCs w:val="22"/>
          <w:lang w:val="es-ES_tradnl"/>
        </w:rPr>
        <w:t xml:space="preserve"> cada trabajador vinculado, es decir, </w:t>
      </w:r>
      <w:r w:rsidR="008378F4" w:rsidRPr="00315977">
        <w:rPr>
          <w:rFonts w:ascii="Arial" w:eastAsia="Calibri" w:hAnsi="Arial" w:cs="Arial"/>
          <w:bCs/>
          <w:color w:val="000000" w:themeColor="text1"/>
          <w:sz w:val="22"/>
          <w:szCs w:val="22"/>
          <w:lang w:val="es-ES_tradnl"/>
        </w:rPr>
        <w:t>q</w:t>
      </w:r>
      <w:r w:rsidR="00992F51" w:rsidRPr="00315977">
        <w:rPr>
          <w:rFonts w:ascii="Arial" w:eastAsia="Calibri" w:hAnsi="Arial" w:cs="Arial"/>
          <w:bCs/>
          <w:color w:val="000000" w:themeColor="text1"/>
          <w:sz w:val="22"/>
          <w:szCs w:val="22"/>
          <w:lang w:val="es-ES_tradnl"/>
        </w:rPr>
        <w:t>u</w:t>
      </w:r>
      <w:r w:rsidR="008378F4" w:rsidRPr="00315977">
        <w:rPr>
          <w:rFonts w:ascii="Arial" w:eastAsia="Calibri" w:hAnsi="Arial" w:cs="Arial"/>
          <w:bCs/>
          <w:color w:val="000000" w:themeColor="text1"/>
          <w:sz w:val="22"/>
          <w:szCs w:val="22"/>
          <w:lang w:val="es-ES_tradnl"/>
        </w:rPr>
        <w:t xml:space="preserve">e </w:t>
      </w:r>
      <w:r w:rsidR="00AC4D64" w:rsidRPr="00315977">
        <w:rPr>
          <w:rFonts w:ascii="Arial" w:eastAsia="Calibri" w:hAnsi="Arial" w:cs="Arial"/>
          <w:bCs/>
          <w:color w:val="000000" w:themeColor="text1"/>
          <w:sz w:val="22"/>
          <w:szCs w:val="22"/>
          <w:lang w:val="es-ES_tradnl"/>
        </w:rPr>
        <w:t>el proponente</w:t>
      </w:r>
      <w:r w:rsidR="0077387E" w:rsidRPr="00315977">
        <w:rPr>
          <w:rFonts w:ascii="Arial" w:eastAsia="Calibri" w:hAnsi="Arial" w:cs="Arial"/>
          <w:bCs/>
          <w:color w:val="000000" w:themeColor="text1"/>
          <w:sz w:val="22"/>
          <w:szCs w:val="22"/>
          <w:lang w:val="es-ES_tradnl"/>
        </w:rPr>
        <w:t xml:space="preserve"> deberá acreditar </w:t>
      </w:r>
      <w:r w:rsidR="00A64B7F" w:rsidRPr="00315977">
        <w:rPr>
          <w:rFonts w:ascii="Arial" w:eastAsia="Calibri" w:hAnsi="Arial" w:cs="Arial"/>
          <w:bCs/>
          <w:color w:val="000000" w:themeColor="text1"/>
          <w:sz w:val="22"/>
          <w:szCs w:val="22"/>
          <w:lang w:val="es-ES_tradnl"/>
        </w:rPr>
        <w:t xml:space="preserve">por persona </w:t>
      </w:r>
      <w:r w:rsidR="00AC4D64" w:rsidRPr="00315977">
        <w:rPr>
          <w:rFonts w:ascii="Arial" w:eastAsia="Calibri" w:hAnsi="Arial" w:cs="Arial"/>
          <w:bCs/>
          <w:color w:val="000000" w:themeColor="text1"/>
          <w:sz w:val="22"/>
          <w:szCs w:val="22"/>
          <w:lang w:val="es-ES_tradnl"/>
        </w:rPr>
        <w:t>que</w:t>
      </w:r>
      <w:r w:rsidR="007F4D54" w:rsidRPr="00315977">
        <w:rPr>
          <w:rFonts w:ascii="Arial" w:eastAsia="Calibri" w:hAnsi="Arial" w:cs="Arial"/>
          <w:bCs/>
          <w:color w:val="000000" w:themeColor="text1"/>
          <w:sz w:val="22"/>
          <w:szCs w:val="22"/>
          <w:lang w:val="es-ES_tradnl"/>
        </w:rPr>
        <w:t>:</w:t>
      </w:r>
      <w:r w:rsidR="00AC4D64" w:rsidRPr="00315977">
        <w:rPr>
          <w:rFonts w:ascii="Arial" w:eastAsia="Calibri" w:hAnsi="Arial" w:cs="Arial"/>
          <w:bCs/>
          <w:color w:val="000000" w:themeColor="text1"/>
          <w:sz w:val="22"/>
          <w:szCs w:val="22"/>
          <w:lang w:val="es-ES_tradnl"/>
        </w:rPr>
        <w:t xml:space="preserve"> i) </w:t>
      </w:r>
      <w:r w:rsidR="00992F51" w:rsidRPr="00315977">
        <w:rPr>
          <w:rFonts w:ascii="Arial" w:eastAsia="Calibri" w:hAnsi="Arial" w:cs="Arial"/>
          <w:bCs/>
          <w:color w:val="000000" w:themeColor="text1"/>
          <w:sz w:val="22"/>
          <w:szCs w:val="22"/>
          <w:lang w:val="es-ES_tradnl"/>
        </w:rPr>
        <w:t xml:space="preserve">no </w:t>
      </w:r>
      <w:r w:rsidR="00AC4D64" w:rsidRPr="00315977">
        <w:rPr>
          <w:rFonts w:ascii="Arial" w:eastAsia="Calibri" w:hAnsi="Arial" w:cs="Arial"/>
          <w:bCs/>
          <w:color w:val="000000" w:themeColor="text1"/>
          <w:sz w:val="22"/>
          <w:szCs w:val="22"/>
          <w:lang w:val="es-ES_tradnl"/>
        </w:rPr>
        <w:t xml:space="preserve">sea </w:t>
      </w:r>
      <w:r w:rsidR="00992F51" w:rsidRPr="00315977">
        <w:rPr>
          <w:rFonts w:ascii="Arial" w:hAnsi="Arial" w:cs="Arial"/>
          <w:color w:val="000000" w:themeColor="text1"/>
          <w:sz w:val="22"/>
          <w:lang w:val="es-ES_tradnl"/>
        </w:rPr>
        <w:t xml:space="preserve">beneficiaria de la pensión de vejez, familiar o de sobrevivencia, </w:t>
      </w:r>
      <w:proofErr w:type="spellStart"/>
      <w:r w:rsidR="00AC4D64" w:rsidRPr="00315977">
        <w:rPr>
          <w:rFonts w:ascii="Arial" w:hAnsi="Arial" w:cs="Arial"/>
          <w:color w:val="000000" w:themeColor="text1"/>
          <w:sz w:val="22"/>
          <w:lang w:val="es-ES_tradnl"/>
        </w:rPr>
        <w:t>ii</w:t>
      </w:r>
      <w:proofErr w:type="spellEnd"/>
      <w:r w:rsidR="00AC4D64" w:rsidRPr="00315977">
        <w:rPr>
          <w:rFonts w:ascii="Arial" w:hAnsi="Arial" w:cs="Arial"/>
          <w:color w:val="000000" w:themeColor="text1"/>
          <w:sz w:val="22"/>
          <w:lang w:val="es-ES_tradnl"/>
        </w:rPr>
        <w:t xml:space="preserve">) </w:t>
      </w:r>
      <w:r w:rsidR="00992F51" w:rsidRPr="00315977">
        <w:rPr>
          <w:rFonts w:ascii="Arial" w:hAnsi="Arial" w:cs="Arial"/>
          <w:color w:val="000000" w:themeColor="text1"/>
          <w:sz w:val="22"/>
          <w:lang w:val="es-ES_tradnl"/>
        </w:rPr>
        <w:t>que haya cumplido el requisito de edad de pensión establecido en la Ley, y</w:t>
      </w:r>
      <w:r w:rsidR="00AC4D64" w:rsidRPr="00315977">
        <w:rPr>
          <w:rFonts w:ascii="Arial" w:hAnsi="Arial" w:cs="Arial"/>
          <w:color w:val="000000" w:themeColor="text1"/>
          <w:sz w:val="22"/>
          <w:lang w:val="es-ES_tradnl"/>
        </w:rPr>
        <w:t xml:space="preserve"> </w:t>
      </w:r>
      <w:proofErr w:type="spellStart"/>
      <w:r w:rsidR="00AC4D64" w:rsidRPr="00315977">
        <w:rPr>
          <w:rFonts w:ascii="Arial" w:hAnsi="Arial" w:cs="Arial"/>
          <w:color w:val="000000" w:themeColor="text1"/>
          <w:sz w:val="22"/>
          <w:lang w:val="es-ES_tradnl"/>
        </w:rPr>
        <w:t>iii</w:t>
      </w:r>
      <w:proofErr w:type="spellEnd"/>
      <w:r w:rsidR="00AC4D64" w:rsidRPr="00315977">
        <w:rPr>
          <w:rFonts w:ascii="Arial" w:hAnsi="Arial" w:cs="Arial"/>
          <w:color w:val="000000" w:themeColor="text1"/>
          <w:sz w:val="22"/>
          <w:lang w:val="es-ES_tradnl"/>
        </w:rPr>
        <w:t>)</w:t>
      </w:r>
      <w:r w:rsidR="00992F51" w:rsidRPr="00315977">
        <w:rPr>
          <w:rFonts w:ascii="Arial" w:hAnsi="Arial" w:cs="Arial"/>
          <w:color w:val="000000" w:themeColor="text1"/>
          <w:sz w:val="22"/>
          <w:lang w:val="es-ES_tradnl"/>
        </w:rPr>
        <w:t xml:space="preserve"> </w:t>
      </w:r>
      <w:r w:rsidR="0077387E" w:rsidRPr="00315977">
        <w:rPr>
          <w:rFonts w:ascii="Arial" w:hAnsi="Arial" w:cs="Arial"/>
          <w:color w:val="000000" w:themeColor="text1"/>
          <w:sz w:val="22"/>
          <w:lang w:val="es-ES_tradnl"/>
        </w:rPr>
        <w:t>que cuente</w:t>
      </w:r>
      <w:r w:rsidR="00992F51" w:rsidRPr="00315977">
        <w:rPr>
          <w:rFonts w:ascii="Arial" w:hAnsi="Arial" w:cs="Arial"/>
          <w:color w:val="000000" w:themeColor="text1"/>
          <w:sz w:val="22"/>
          <w:lang w:val="es-ES_tradnl"/>
        </w:rPr>
        <w:t xml:space="preserve"> una vinculación igual o mayor a un año</w:t>
      </w:r>
      <w:r w:rsidR="0077387E" w:rsidRPr="00315977">
        <w:rPr>
          <w:rFonts w:ascii="Arial" w:hAnsi="Arial" w:cs="Arial"/>
          <w:color w:val="000000" w:themeColor="text1"/>
          <w:sz w:val="22"/>
          <w:lang w:val="es-ES_tradnl"/>
        </w:rPr>
        <w:t>. Estas condiciones no son transferibles</w:t>
      </w:r>
      <w:r w:rsidR="002A1490" w:rsidRPr="00315977">
        <w:rPr>
          <w:rFonts w:ascii="Arial" w:hAnsi="Arial" w:cs="Arial"/>
          <w:color w:val="000000" w:themeColor="text1"/>
          <w:sz w:val="22"/>
          <w:lang w:val="es-ES_tradnl"/>
        </w:rPr>
        <w:t xml:space="preserve"> </w:t>
      </w:r>
      <w:r w:rsidR="0077387E" w:rsidRPr="00315977">
        <w:rPr>
          <w:rFonts w:ascii="Arial" w:hAnsi="Arial" w:cs="Arial"/>
          <w:color w:val="000000" w:themeColor="text1"/>
          <w:sz w:val="22"/>
          <w:lang w:val="es-ES_tradnl"/>
        </w:rPr>
        <w:t xml:space="preserve">en la medida en que son inherentes a la persona misma. </w:t>
      </w:r>
    </w:p>
    <w:p w14:paraId="1EDBF676" w14:textId="14D21C3B" w:rsidR="00A53BCF" w:rsidRPr="00315977" w:rsidRDefault="00AC4D64" w:rsidP="008A7B6B">
      <w:pPr>
        <w:tabs>
          <w:tab w:val="left" w:pos="6551"/>
        </w:tabs>
        <w:spacing w:before="120" w:line="276" w:lineRule="auto"/>
        <w:ind w:firstLine="709"/>
        <w:jc w:val="both"/>
        <w:rPr>
          <w:rFonts w:ascii="Arial" w:eastAsia="Calibri" w:hAnsi="Arial" w:cs="Arial"/>
          <w:bCs/>
          <w:color w:val="000000" w:themeColor="text1"/>
          <w:sz w:val="22"/>
          <w:szCs w:val="22"/>
          <w:lang w:val="es-ES_tradnl"/>
        </w:rPr>
      </w:pPr>
      <w:r w:rsidRPr="00315977">
        <w:rPr>
          <w:rFonts w:ascii="Arial" w:eastAsia="Calibri" w:hAnsi="Arial" w:cs="Arial"/>
          <w:bCs/>
          <w:color w:val="000000" w:themeColor="text1"/>
          <w:sz w:val="22"/>
          <w:szCs w:val="22"/>
          <w:lang w:val="es-ES_tradnl"/>
        </w:rPr>
        <w:t xml:space="preserve">En </w:t>
      </w:r>
      <w:r w:rsidR="002A1490" w:rsidRPr="00315977">
        <w:rPr>
          <w:rFonts w:ascii="Arial" w:eastAsia="Calibri" w:hAnsi="Arial" w:cs="Arial"/>
          <w:bCs/>
          <w:color w:val="000000" w:themeColor="text1"/>
          <w:sz w:val="22"/>
          <w:szCs w:val="22"/>
          <w:lang w:val="es-ES_tradnl"/>
        </w:rPr>
        <w:t xml:space="preserve">este contexto, el </w:t>
      </w:r>
      <w:r w:rsidR="0048791D" w:rsidRPr="00315977">
        <w:rPr>
          <w:rFonts w:ascii="Arial" w:eastAsia="Calibri" w:hAnsi="Arial" w:cs="Arial"/>
          <w:bCs/>
          <w:color w:val="000000" w:themeColor="text1"/>
          <w:sz w:val="22"/>
          <w:szCs w:val="22"/>
          <w:lang w:val="es-ES_tradnl"/>
        </w:rPr>
        <w:t xml:space="preserve">tiempo </w:t>
      </w:r>
      <w:r w:rsidR="00A45844" w:rsidRPr="00315977">
        <w:rPr>
          <w:rFonts w:ascii="Arial" w:eastAsia="Calibri" w:hAnsi="Arial" w:cs="Arial"/>
          <w:bCs/>
          <w:color w:val="000000" w:themeColor="text1"/>
          <w:sz w:val="22"/>
          <w:szCs w:val="22"/>
          <w:lang w:val="es-ES_tradnl"/>
        </w:rPr>
        <w:t>de</w:t>
      </w:r>
      <w:r w:rsidR="00B631AF" w:rsidRPr="00315977">
        <w:rPr>
          <w:rFonts w:ascii="Arial" w:eastAsia="Calibri" w:hAnsi="Arial" w:cs="Arial"/>
          <w:bCs/>
          <w:color w:val="000000" w:themeColor="text1"/>
          <w:sz w:val="22"/>
          <w:szCs w:val="22"/>
          <w:lang w:val="es-ES_tradnl"/>
        </w:rPr>
        <w:t xml:space="preserve"> vinculación de un</w:t>
      </w:r>
      <w:r w:rsidR="00A45844" w:rsidRPr="00315977">
        <w:rPr>
          <w:rFonts w:ascii="Arial" w:eastAsia="Calibri" w:hAnsi="Arial" w:cs="Arial"/>
          <w:bCs/>
          <w:color w:val="000000" w:themeColor="text1"/>
          <w:sz w:val="22"/>
          <w:szCs w:val="22"/>
          <w:lang w:val="es-ES_tradnl"/>
        </w:rPr>
        <w:t xml:space="preserve"> trabajador </w:t>
      </w:r>
      <w:r w:rsidR="002A1490" w:rsidRPr="00315977">
        <w:rPr>
          <w:rFonts w:ascii="Arial" w:eastAsia="Calibri" w:hAnsi="Arial" w:cs="Arial"/>
          <w:bCs/>
          <w:color w:val="000000" w:themeColor="text1"/>
          <w:sz w:val="22"/>
          <w:szCs w:val="22"/>
          <w:lang w:val="es-ES_tradnl"/>
        </w:rPr>
        <w:t xml:space="preserve">no puede ser </w:t>
      </w:r>
      <w:r w:rsidR="00A64B7F" w:rsidRPr="00315977">
        <w:rPr>
          <w:rFonts w:ascii="Arial" w:eastAsia="Calibri" w:hAnsi="Arial" w:cs="Arial"/>
          <w:bCs/>
          <w:color w:val="000000" w:themeColor="text1"/>
          <w:sz w:val="22"/>
          <w:szCs w:val="22"/>
          <w:lang w:val="es-ES_tradnl"/>
        </w:rPr>
        <w:t>utilizado para otro trabajador que no cumpla con la antigüedad requerida</w:t>
      </w:r>
      <w:r w:rsidR="002A1490" w:rsidRPr="00315977">
        <w:rPr>
          <w:rFonts w:ascii="Arial" w:eastAsia="Calibri" w:hAnsi="Arial" w:cs="Arial"/>
          <w:bCs/>
          <w:color w:val="000000" w:themeColor="text1"/>
          <w:sz w:val="22"/>
          <w:szCs w:val="22"/>
          <w:lang w:val="es-ES_tradnl"/>
        </w:rPr>
        <w:t xml:space="preserve">. </w:t>
      </w:r>
      <w:r w:rsidR="001A665D" w:rsidRPr="00315977">
        <w:rPr>
          <w:rFonts w:ascii="Arial" w:eastAsia="Calibri" w:hAnsi="Arial" w:cs="Arial"/>
          <w:bCs/>
          <w:color w:val="000000" w:themeColor="text1"/>
          <w:sz w:val="22"/>
          <w:szCs w:val="22"/>
          <w:lang w:val="es-ES_tradnl"/>
        </w:rPr>
        <w:t>E</w:t>
      </w:r>
      <w:r w:rsidR="0076304F" w:rsidRPr="00315977">
        <w:rPr>
          <w:rFonts w:ascii="Arial" w:eastAsia="Calibri" w:hAnsi="Arial" w:cs="Arial"/>
          <w:bCs/>
          <w:color w:val="000000" w:themeColor="text1"/>
          <w:sz w:val="22"/>
          <w:szCs w:val="22"/>
          <w:lang w:val="es-ES_tradnl"/>
        </w:rPr>
        <w:t xml:space="preserve">llo por cuanto </w:t>
      </w:r>
      <w:r w:rsidR="0048791D" w:rsidRPr="00315977">
        <w:rPr>
          <w:rFonts w:ascii="Arial" w:eastAsia="Calibri" w:hAnsi="Arial" w:cs="Arial"/>
          <w:bCs/>
          <w:color w:val="000000" w:themeColor="text1"/>
          <w:sz w:val="22"/>
          <w:szCs w:val="22"/>
          <w:lang w:val="es-ES_tradnl"/>
        </w:rPr>
        <w:t xml:space="preserve">un elemento esencial del contrato de trabajo es la actividad personal del trabajador, es decir, </w:t>
      </w:r>
      <w:r w:rsidR="0076304F" w:rsidRPr="00315977">
        <w:rPr>
          <w:rFonts w:ascii="Arial" w:eastAsia="Calibri" w:hAnsi="Arial" w:cs="Arial"/>
          <w:bCs/>
          <w:color w:val="000000" w:themeColor="text1"/>
          <w:sz w:val="22"/>
          <w:szCs w:val="22"/>
          <w:lang w:val="es-ES_tradnl"/>
        </w:rPr>
        <w:t xml:space="preserve">que sea </w:t>
      </w:r>
      <w:r w:rsidR="0048791D" w:rsidRPr="00315977">
        <w:rPr>
          <w:rFonts w:ascii="Arial" w:eastAsia="Calibri" w:hAnsi="Arial" w:cs="Arial"/>
          <w:bCs/>
          <w:color w:val="000000" w:themeColor="text1"/>
          <w:sz w:val="22"/>
          <w:szCs w:val="22"/>
          <w:lang w:val="es-ES_tradnl"/>
        </w:rPr>
        <w:t>realizad</w:t>
      </w:r>
      <w:r w:rsidR="0076304F" w:rsidRPr="00315977">
        <w:rPr>
          <w:rFonts w:ascii="Arial" w:eastAsia="Calibri" w:hAnsi="Arial" w:cs="Arial"/>
          <w:bCs/>
          <w:color w:val="000000" w:themeColor="text1"/>
          <w:sz w:val="22"/>
          <w:szCs w:val="22"/>
          <w:lang w:val="es-ES_tradnl"/>
        </w:rPr>
        <w:t>o</w:t>
      </w:r>
      <w:r w:rsidR="0048791D" w:rsidRPr="00315977">
        <w:rPr>
          <w:rFonts w:ascii="Arial" w:eastAsia="Calibri" w:hAnsi="Arial" w:cs="Arial"/>
          <w:bCs/>
          <w:color w:val="000000" w:themeColor="text1"/>
          <w:sz w:val="22"/>
          <w:szCs w:val="22"/>
          <w:lang w:val="es-ES_tradnl"/>
        </w:rPr>
        <w:t xml:space="preserve"> por sí mismo</w:t>
      </w:r>
      <w:r w:rsidR="00877A6B" w:rsidRPr="00315977">
        <w:rPr>
          <w:rStyle w:val="Refdenotaalpie"/>
          <w:rFonts w:ascii="Arial" w:eastAsia="Calibri" w:hAnsi="Arial" w:cs="Arial"/>
          <w:bCs/>
          <w:color w:val="000000" w:themeColor="text1"/>
          <w:sz w:val="22"/>
          <w:szCs w:val="22"/>
          <w:lang w:val="es-ES_tradnl"/>
        </w:rPr>
        <w:footnoteReference w:id="16"/>
      </w:r>
      <w:r w:rsidR="00A45844" w:rsidRPr="00315977">
        <w:rPr>
          <w:rFonts w:ascii="Arial" w:eastAsia="Calibri" w:hAnsi="Arial" w:cs="Arial"/>
          <w:bCs/>
          <w:color w:val="000000" w:themeColor="text1"/>
          <w:sz w:val="22"/>
          <w:szCs w:val="22"/>
          <w:lang w:val="es-ES_tradnl"/>
        </w:rPr>
        <w:t>. Esto</w:t>
      </w:r>
      <w:r w:rsidR="0048791D" w:rsidRPr="00315977">
        <w:rPr>
          <w:rFonts w:ascii="Arial" w:eastAsia="Calibri" w:hAnsi="Arial" w:cs="Arial"/>
          <w:bCs/>
          <w:color w:val="000000" w:themeColor="text1"/>
          <w:sz w:val="22"/>
          <w:szCs w:val="22"/>
          <w:lang w:val="es-ES_tradnl"/>
        </w:rPr>
        <w:t xml:space="preserve"> significa que las condiciones en las cuales se realiza el contrato de trabajo son inherentes a la actividad personal del trabajador</w:t>
      </w:r>
      <w:r w:rsidR="00B631AF" w:rsidRPr="00315977">
        <w:rPr>
          <w:rFonts w:ascii="Arial" w:eastAsia="Calibri" w:hAnsi="Arial" w:cs="Arial"/>
          <w:bCs/>
          <w:color w:val="000000" w:themeColor="text1"/>
          <w:sz w:val="22"/>
          <w:szCs w:val="22"/>
          <w:lang w:val="es-ES_tradnl"/>
        </w:rPr>
        <w:t xml:space="preserve">, lo que por </w:t>
      </w:r>
      <w:r w:rsidR="00B631AF" w:rsidRPr="00315977">
        <w:rPr>
          <w:rFonts w:ascii="Arial" w:eastAsia="Calibri" w:hAnsi="Arial" w:cs="Arial"/>
          <w:bCs/>
          <w:color w:val="000000" w:themeColor="text1"/>
          <w:sz w:val="22"/>
          <w:szCs w:val="22"/>
          <w:lang w:val="es-ES_tradnl"/>
        </w:rPr>
        <w:lastRenderedPageBreak/>
        <w:t>supuesto incluye el tiempo de duración del contrato de trabajo</w:t>
      </w:r>
      <w:r w:rsidR="0048791D" w:rsidRPr="00315977">
        <w:rPr>
          <w:rFonts w:ascii="Arial" w:eastAsia="Calibri" w:hAnsi="Arial" w:cs="Arial"/>
          <w:bCs/>
          <w:color w:val="000000" w:themeColor="text1"/>
          <w:sz w:val="22"/>
          <w:szCs w:val="22"/>
          <w:lang w:val="es-ES_tradnl"/>
        </w:rPr>
        <w:t xml:space="preserve">. </w:t>
      </w:r>
      <w:r w:rsidR="0076304F" w:rsidRPr="00315977">
        <w:rPr>
          <w:rFonts w:ascii="Arial" w:eastAsia="Calibri" w:hAnsi="Arial" w:cs="Arial"/>
          <w:bCs/>
          <w:color w:val="000000" w:themeColor="text1"/>
          <w:sz w:val="22"/>
          <w:szCs w:val="22"/>
          <w:lang w:val="es-ES_tradnl"/>
        </w:rPr>
        <w:t>Por tanto</w:t>
      </w:r>
      <w:r w:rsidR="0048791D" w:rsidRPr="00315977">
        <w:rPr>
          <w:rFonts w:ascii="Arial" w:eastAsia="Calibri" w:hAnsi="Arial" w:cs="Arial"/>
          <w:bCs/>
          <w:color w:val="000000" w:themeColor="text1"/>
          <w:sz w:val="22"/>
          <w:szCs w:val="22"/>
          <w:lang w:val="es-ES_tradnl"/>
        </w:rPr>
        <w:t xml:space="preserve">, tampoco podría considerarse el tiempo de vinculación de un trabajador </w:t>
      </w:r>
      <w:r w:rsidR="00B043D6" w:rsidRPr="00315977">
        <w:rPr>
          <w:rFonts w:ascii="Arial" w:eastAsia="Calibri" w:hAnsi="Arial" w:cs="Arial"/>
          <w:bCs/>
          <w:color w:val="000000" w:themeColor="text1"/>
          <w:sz w:val="22"/>
          <w:szCs w:val="22"/>
          <w:lang w:val="es-ES_tradnl"/>
        </w:rPr>
        <w:t xml:space="preserve">para </w:t>
      </w:r>
      <w:r w:rsidR="0048791D" w:rsidRPr="00315977">
        <w:rPr>
          <w:rFonts w:ascii="Arial" w:eastAsia="Calibri" w:hAnsi="Arial" w:cs="Arial"/>
          <w:bCs/>
          <w:color w:val="000000" w:themeColor="text1"/>
          <w:sz w:val="22"/>
          <w:szCs w:val="22"/>
          <w:lang w:val="es-ES_tradnl"/>
        </w:rPr>
        <w:t>otro</w:t>
      </w:r>
      <w:r w:rsidR="00175884" w:rsidRPr="00315977">
        <w:rPr>
          <w:rFonts w:ascii="Arial" w:eastAsia="Calibri" w:hAnsi="Arial" w:cs="Arial"/>
          <w:bCs/>
          <w:color w:val="000000" w:themeColor="text1"/>
          <w:sz w:val="22"/>
          <w:szCs w:val="22"/>
          <w:lang w:val="es-ES_tradnl"/>
        </w:rPr>
        <w:t xml:space="preserve"> trabajador</w:t>
      </w:r>
      <w:r w:rsidR="0076304F" w:rsidRPr="00315977">
        <w:rPr>
          <w:rFonts w:ascii="Arial" w:eastAsia="Calibri" w:hAnsi="Arial" w:cs="Arial"/>
          <w:bCs/>
          <w:color w:val="000000" w:themeColor="text1"/>
          <w:sz w:val="22"/>
          <w:szCs w:val="22"/>
          <w:lang w:val="es-ES_tradnl"/>
        </w:rPr>
        <w:t xml:space="preserve"> </w:t>
      </w:r>
      <w:r w:rsidR="00175884" w:rsidRPr="00315977">
        <w:rPr>
          <w:rFonts w:ascii="Arial" w:eastAsia="Calibri" w:hAnsi="Arial" w:cs="Arial"/>
          <w:bCs/>
          <w:color w:val="000000" w:themeColor="text1"/>
          <w:sz w:val="22"/>
          <w:szCs w:val="22"/>
          <w:lang w:val="es-ES_tradnl"/>
        </w:rPr>
        <w:t xml:space="preserve">con el fin de </w:t>
      </w:r>
      <w:r w:rsidR="0076304F" w:rsidRPr="00315977">
        <w:rPr>
          <w:rFonts w:ascii="Arial" w:eastAsia="Calibri" w:hAnsi="Arial" w:cs="Arial"/>
          <w:bCs/>
          <w:color w:val="000000" w:themeColor="text1"/>
          <w:sz w:val="22"/>
          <w:szCs w:val="22"/>
          <w:lang w:val="es-ES_tradnl"/>
        </w:rPr>
        <w:t xml:space="preserve">determinar el </w:t>
      </w:r>
      <w:r w:rsidR="001A665D" w:rsidRPr="00315977">
        <w:rPr>
          <w:rFonts w:ascii="Arial" w:eastAsia="Calibri" w:hAnsi="Arial" w:cs="Arial"/>
          <w:bCs/>
          <w:color w:val="000000" w:themeColor="text1"/>
          <w:sz w:val="22"/>
          <w:szCs w:val="22"/>
          <w:lang w:val="es-ES_tradnl"/>
        </w:rPr>
        <w:t>cumplimiento de</w:t>
      </w:r>
      <w:r w:rsidR="00A81154" w:rsidRPr="00315977">
        <w:rPr>
          <w:rFonts w:ascii="Arial" w:eastAsia="Calibri" w:hAnsi="Arial" w:cs="Arial"/>
          <w:bCs/>
          <w:color w:val="000000" w:themeColor="text1"/>
          <w:sz w:val="22"/>
          <w:szCs w:val="22"/>
          <w:lang w:val="es-ES_tradnl"/>
        </w:rPr>
        <w:t xml:space="preserve">l periodo de antigüedad exigido en el </w:t>
      </w:r>
      <w:r w:rsidR="00264F98" w:rsidRPr="00315977">
        <w:rPr>
          <w:rFonts w:ascii="Arial" w:eastAsia="Calibri" w:hAnsi="Arial" w:cs="Arial"/>
          <w:bCs/>
          <w:color w:val="000000" w:themeColor="text1"/>
          <w:sz w:val="22"/>
          <w:szCs w:val="22"/>
          <w:lang w:val="es-ES_tradnl"/>
        </w:rPr>
        <w:t xml:space="preserve">parágrafo </w:t>
      </w:r>
      <w:r w:rsidR="00A81154" w:rsidRPr="00315977">
        <w:rPr>
          <w:rFonts w:ascii="Arial" w:eastAsia="Calibri" w:hAnsi="Arial" w:cs="Arial"/>
          <w:bCs/>
          <w:color w:val="000000" w:themeColor="text1"/>
          <w:sz w:val="22"/>
          <w:szCs w:val="22"/>
          <w:lang w:val="es-ES_tradnl"/>
        </w:rPr>
        <w:t xml:space="preserve">2 </w:t>
      </w:r>
      <w:r w:rsidR="001A665D" w:rsidRPr="00315977">
        <w:rPr>
          <w:rFonts w:ascii="Arial" w:eastAsia="Calibri" w:hAnsi="Arial" w:cs="Arial"/>
          <w:bCs/>
          <w:color w:val="000000" w:themeColor="text1"/>
          <w:sz w:val="22"/>
          <w:szCs w:val="22"/>
          <w:lang w:val="es-ES_tradnl"/>
        </w:rPr>
        <w:t>del artículo 35 de la Ley 206</w:t>
      </w:r>
      <w:r w:rsidR="00C95105" w:rsidRPr="00315977">
        <w:rPr>
          <w:rFonts w:ascii="Arial" w:eastAsia="Calibri" w:hAnsi="Arial" w:cs="Arial"/>
          <w:bCs/>
          <w:color w:val="000000" w:themeColor="text1"/>
          <w:sz w:val="22"/>
          <w:szCs w:val="22"/>
          <w:lang w:val="es-ES_tradnl"/>
        </w:rPr>
        <w:t>9</w:t>
      </w:r>
      <w:r w:rsidR="001A665D" w:rsidRPr="00315977">
        <w:rPr>
          <w:rFonts w:ascii="Arial" w:eastAsia="Calibri" w:hAnsi="Arial" w:cs="Arial"/>
          <w:bCs/>
          <w:color w:val="000000" w:themeColor="text1"/>
          <w:sz w:val="22"/>
          <w:szCs w:val="22"/>
          <w:lang w:val="es-ES_tradnl"/>
        </w:rPr>
        <w:t xml:space="preserve"> de 2020. </w:t>
      </w:r>
    </w:p>
    <w:p w14:paraId="638F8B31" w14:textId="7EABCB49" w:rsidR="008378F4" w:rsidRPr="00315977" w:rsidRDefault="00B043D6" w:rsidP="008A7B6B">
      <w:pPr>
        <w:tabs>
          <w:tab w:val="left" w:pos="6551"/>
        </w:tabs>
        <w:spacing w:before="120" w:line="276" w:lineRule="auto"/>
        <w:ind w:firstLine="709"/>
        <w:jc w:val="both"/>
        <w:rPr>
          <w:rFonts w:ascii="Arial" w:eastAsia="Calibri" w:hAnsi="Arial" w:cs="Arial"/>
          <w:bCs/>
          <w:color w:val="000000" w:themeColor="text1"/>
          <w:sz w:val="22"/>
          <w:szCs w:val="22"/>
          <w:lang w:val="es-ES_tradnl"/>
        </w:rPr>
      </w:pPr>
      <w:r w:rsidRPr="00315977">
        <w:rPr>
          <w:rFonts w:ascii="Arial" w:eastAsia="Calibri" w:hAnsi="Arial" w:cs="Arial"/>
          <w:bCs/>
          <w:color w:val="000000" w:themeColor="text1"/>
          <w:sz w:val="22"/>
          <w:szCs w:val="22"/>
          <w:lang w:val="es-ES_tradnl"/>
        </w:rPr>
        <w:t>Así las cosas</w:t>
      </w:r>
      <w:r w:rsidR="008378F4" w:rsidRPr="00315977">
        <w:rPr>
          <w:rFonts w:ascii="Arial" w:eastAsia="Calibri" w:hAnsi="Arial" w:cs="Arial"/>
          <w:bCs/>
          <w:color w:val="000000" w:themeColor="text1"/>
          <w:sz w:val="22"/>
          <w:szCs w:val="22"/>
          <w:lang w:val="es-ES_tradnl"/>
        </w:rPr>
        <w:t>, todos los requisitos señalados en</w:t>
      </w:r>
      <w:r w:rsidR="001C3BF6" w:rsidRPr="00315977">
        <w:rPr>
          <w:rFonts w:ascii="Arial" w:eastAsia="Calibri" w:hAnsi="Arial" w:cs="Arial"/>
          <w:bCs/>
          <w:color w:val="000000" w:themeColor="text1"/>
          <w:sz w:val="22"/>
          <w:szCs w:val="22"/>
          <w:lang w:val="es-ES_tradnl"/>
        </w:rPr>
        <w:t xml:space="preserve"> el</w:t>
      </w:r>
      <w:r w:rsidR="008378F4" w:rsidRPr="00315977">
        <w:rPr>
          <w:rFonts w:ascii="Arial" w:eastAsia="Calibri" w:hAnsi="Arial" w:cs="Arial"/>
          <w:bCs/>
          <w:color w:val="000000" w:themeColor="text1"/>
          <w:sz w:val="22"/>
          <w:szCs w:val="22"/>
          <w:lang w:val="es-ES_tradnl"/>
        </w:rPr>
        <w:t xml:space="preserve"> </w:t>
      </w:r>
      <w:r w:rsidR="001C3BF6" w:rsidRPr="00315977">
        <w:rPr>
          <w:rFonts w:ascii="Arial" w:eastAsia="Calibri" w:hAnsi="Arial" w:cs="Arial"/>
          <w:bCs/>
          <w:color w:val="000000" w:themeColor="text1"/>
          <w:sz w:val="22"/>
          <w:szCs w:val="22"/>
          <w:lang w:val="es-ES_tradnl"/>
        </w:rPr>
        <w:t xml:space="preserve">numeral 4 del artículo 35 de la Ley 2069 de 2020 </w:t>
      </w:r>
      <w:r w:rsidR="00264F98" w:rsidRPr="00315977">
        <w:rPr>
          <w:rFonts w:ascii="Arial" w:eastAsia="Calibri" w:hAnsi="Arial" w:cs="Arial"/>
          <w:bCs/>
          <w:color w:val="000000" w:themeColor="text1"/>
          <w:sz w:val="22"/>
          <w:szCs w:val="22"/>
          <w:lang w:val="es-ES_tradnl"/>
        </w:rPr>
        <w:t xml:space="preserve">y en el parágrafo segundo del mismo artículo </w:t>
      </w:r>
      <w:r w:rsidR="008378F4" w:rsidRPr="00315977">
        <w:rPr>
          <w:rFonts w:ascii="Arial" w:eastAsia="Calibri" w:hAnsi="Arial" w:cs="Arial"/>
          <w:bCs/>
          <w:color w:val="000000" w:themeColor="text1"/>
          <w:sz w:val="22"/>
          <w:szCs w:val="22"/>
          <w:lang w:val="es-ES_tradnl"/>
        </w:rPr>
        <w:t xml:space="preserve">son indispensables para </w:t>
      </w:r>
      <w:r w:rsidR="001C3BF6" w:rsidRPr="00315977">
        <w:rPr>
          <w:rFonts w:ascii="Arial" w:eastAsia="Calibri" w:hAnsi="Arial" w:cs="Arial"/>
          <w:bCs/>
          <w:color w:val="000000" w:themeColor="text1"/>
          <w:sz w:val="22"/>
          <w:szCs w:val="22"/>
          <w:lang w:val="es-ES_tradnl"/>
        </w:rPr>
        <w:t xml:space="preserve">la aplicación de este factor de desempate. </w:t>
      </w:r>
      <w:r w:rsidR="007026B9" w:rsidRPr="00315977">
        <w:rPr>
          <w:rFonts w:ascii="Arial" w:eastAsia="Calibri" w:hAnsi="Arial" w:cs="Arial"/>
          <w:bCs/>
          <w:color w:val="000000" w:themeColor="text1"/>
          <w:sz w:val="22"/>
          <w:szCs w:val="22"/>
          <w:lang w:val="es-ES_tradnl"/>
        </w:rPr>
        <w:t xml:space="preserve">De este modo, </w:t>
      </w:r>
      <w:r w:rsidR="008378F4" w:rsidRPr="00315977">
        <w:rPr>
          <w:rFonts w:ascii="Arial" w:eastAsia="Calibri" w:hAnsi="Arial" w:cs="Arial"/>
          <w:bCs/>
          <w:color w:val="000000" w:themeColor="text1"/>
          <w:sz w:val="22"/>
          <w:szCs w:val="22"/>
          <w:lang w:val="es-ES_tradnl"/>
        </w:rPr>
        <w:t>como la única excepción al plazo de vinculación exigido está determinada para</w:t>
      </w:r>
      <w:r w:rsidR="008378F4" w:rsidRPr="00315977">
        <w:rPr>
          <w:rFonts w:ascii="Arial" w:hAnsi="Arial" w:cs="Arial"/>
          <w:color w:val="000000" w:themeColor="text1"/>
          <w:sz w:val="22"/>
          <w:lang w:val="es-ES_tradnl"/>
        </w:rPr>
        <w:t xml:space="preserve"> los casos en que la constitución del oferente sea inferior a un año, </w:t>
      </w:r>
      <w:r w:rsidR="008378F4" w:rsidRPr="00315977">
        <w:rPr>
          <w:rFonts w:ascii="Arial" w:eastAsia="Calibri" w:hAnsi="Arial" w:cs="Arial"/>
          <w:bCs/>
          <w:color w:val="000000" w:themeColor="text1"/>
          <w:sz w:val="22"/>
          <w:szCs w:val="22"/>
          <w:lang w:val="es-ES_tradnl"/>
        </w:rPr>
        <w:t xml:space="preserve">no podrá ser favorecido con esta regla de desempate el proponente que acredite la vinculación del adulto mayor en condiciones diferentes a las establecidas en el numeral 4 del artículo 35 de la Ley 2069 de 2020, en concordancia con lo dispuesto en su parágrafo 2.  </w:t>
      </w:r>
    </w:p>
    <w:p w14:paraId="7BEC1F2F" w14:textId="146FE1F3" w:rsidR="0060754E" w:rsidRPr="00315977" w:rsidRDefault="002A3D40"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315977">
        <w:rPr>
          <w:rFonts w:ascii="Arial" w:eastAsia="Calibri" w:hAnsi="Arial" w:cs="Arial"/>
          <w:bCs/>
          <w:color w:val="000000" w:themeColor="text1"/>
          <w:sz w:val="22"/>
          <w:szCs w:val="22"/>
          <w:lang w:val="es-ES_tradnl"/>
        </w:rPr>
        <w:t xml:space="preserve">Lo expuesto se ratifica en el artículo 3 del Decreto reglamentario 1860 de 2021 que adicionó el artículo </w:t>
      </w:r>
      <w:r w:rsidR="0041450D" w:rsidRPr="00315977">
        <w:rPr>
          <w:rFonts w:ascii="Arial" w:eastAsia="Calibri" w:hAnsi="Arial" w:cs="Arial"/>
          <w:color w:val="000000" w:themeColor="text1"/>
          <w:sz w:val="22"/>
          <w:szCs w:val="22"/>
          <w:lang w:val="es-ES_tradnl"/>
        </w:rPr>
        <w:t>2.2.1.2.4.2.17 al Decreto 1082 de 2015</w:t>
      </w:r>
      <w:r w:rsidR="00B631AF" w:rsidRPr="00315977">
        <w:rPr>
          <w:rFonts w:ascii="Arial" w:eastAsia="Calibri" w:hAnsi="Arial" w:cs="Arial"/>
          <w:color w:val="000000" w:themeColor="text1"/>
          <w:sz w:val="22"/>
          <w:szCs w:val="22"/>
          <w:lang w:val="es-ES_tradnl"/>
        </w:rPr>
        <w:t>, cuyo</w:t>
      </w:r>
      <w:r w:rsidR="0041450D" w:rsidRPr="00315977">
        <w:rPr>
          <w:rFonts w:ascii="Arial" w:eastAsia="Calibri" w:hAnsi="Arial" w:cs="Arial"/>
          <w:color w:val="000000" w:themeColor="text1"/>
          <w:sz w:val="22"/>
          <w:szCs w:val="22"/>
          <w:lang w:val="es-ES_tradnl"/>
        </w:rPr>
        <w:t xml:space="preserve"> numeral 4 se refiere a la vinculación de las personas mayores: </w:t>
      </w:r>
    </w:p>
    <w:p w14:paraId="1174E0FF" w14:textId="77777777" w:rsidR="0041450D" w:rsidRPr="00315977" w:rsidRDefault="0041450D" w:rsidP="008A7B6B">
      <w:pPr>
        <w:tabs>
          <w:tab w:val="left" w:pos="6551"/>
        </w:tabs>
        <w:spacing w:line="276" w:lineRule="auto"/>
        <w:ind w:firstLine="709"/>
        <w:jc w:val="both"/>
        <w:rPr>
          <w:rFonts w:ascii="Arial" w:eastAsia="Calibri" w:hAnsi="Arial" w:cs="Arial"/>
          <w:bCs/>
          <w:color w:val="000000" w:themeColor="text1"/>
          <w:sz w:val="22"/>
          <w:szCs w:val="22"/>
          <w:lang w:val="es-ES_tradnl"/>
        </w:rPr>
      </w:pPr>
    </w:p>
    <w:p w14:paraId="25580725" w14:textId="2F9D7929" w:rsidR="00ED2C36" w:rsidRPr="00315977" w:rsidRDefault="0041450D" w:rsidP="008A7B6B">
      <w:pPr>
        <w:tabs>
          <w:tab w:val="left" w:pos="6551"/>
        </w:tabs>
        <w:ind w:left="709" w:right="709"/>
        <w:jc w:val="both"/>
        <w:rPr>
          <w:rFonts w:ascii="Arial" w:hAnsi="Arial" w:cs="Arial"/>
          <w:i/>
          <w:iCs/>
          <w:color w:val="000000" w:themeColor="text1"/>
          <w:sz w:val="21"/>
          <w:szCs w:val="21"/>
          <w:lang w:val="es-ES_tradnl"/>
        </w:rPr>
      </w:pPr>
      <w:r w:rsidRPr="00315977">
        <w:rPr>
          <w:rFonts w:ascii="Arial" w:hAnsi="Arial" w:cs="Arial"/>
          <w:color w:val="000000" w:themeColor="text1"/>
          <w:sz w:val="21"/>
          <w:szCs w:val="21"/>
          <w:lang w:val="es-ES_tradnl"/>
        </w:rPr>
        <w:t>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w:t>
      </w:r>
      <w:r w:rsidRPr="00315977">
        <w:rPr>
          <w:rFonts w:ascii="Arial" w:hAnsi="Arial" w:cs="Arial"/>
          <w:i/>
          <w:iCs/>
          <w:color w:val="000000" w:themeColor="text1"/>
          <w:sz w:val="21"/>
          <w:szCs w:val="21"/>
          <w:lang w:val="es-ES_tradnl"/>
        </w:rPr>
        <w:t xml:space="preserve"> Solo se tendrá en cuenta la vinculación de aquellas personas que se encuentren en las condiciones descritas y que hayan estado vinculadas con una anterioridad igual</w:t>
      </w:r>
      <w:r w:rsidR="00900E85" w:rsidRPr="00315977">
        <w:rPr>
          <w:rFonts w:ascii="Arial" w:hAnsi="Arial" w:cs="Arial"/>
          <w:i/>
          <w:iCs/>
          <w:color w:val="000000" w:themeColor="text1"/>
          <w:sz w:val="21"/>
          <w:szCs w:val="21"/>
          <w:lang w:val="es-ES_tradnl"/>
        </w:rPr>
        <w:t xml:space="preserve"> </w:t>
      </w:r>
      <w:r w:rsidRPr="00315977">
        <w:rPr>
          <w:rFonts w:ascii="Arial" w:hAnsi="Arial" w:cs="Arial"/>
          <w:i/>
          <w:iCs/>
          <w:color w:val="000000" w:themeColor="text1"/>
          <w:sz w:val="21"/>
          <w:szCs w:val="21"/>
          <w:lang w:val="es-ES_tradnl"/>
        </w:rPr>
        <w:t xml:space="preserve">o mayor a un (1) año contado a partir de la fecha del cierre del proceso. Para los casos de constitución inferior a un (1) año, se tendrá en cuenta a aquellos que hayan estado vinculados desde el momento de la constitución de la persona jurídica. </w:t>
      </w:r>
    </w:p>
    <w:p w14:paraId="3104AEBF" w14:textId="77777777" w:rsidR="00ED2C36" w:rsidRPr="00315977" w:rsidRDefault="00ED2C36" w:rsidP="008A7B6B">
      <w:pPr>
        <w:tabs>
          <w:tab w:val="left" w:pos="6551"/>
        </w:tabs>
        <w:ind w:left="709" w:right="709"/>
        <w:jc w:val="both"/>
        <w:rPr>
          <w:rFonts w:ascii="Arial" w:hAnsi="Arial" w:cs="Arial"/>
          <w:color w:val="000000" w:themeColor="text1"/>
          <w:sz w:val="21"/>
          <w:szCs w:val="21"/>
          <w:lang w:val="es-ES_tradnl"/>
        </w:rPr>
      </w:pPr>
    </w:p>
    <w:p w14:paraId="0B5E12E0" w14:textId="77777777" w:rsidR="00ED2C36" w:rsidRPr="00315977" w:rsidRDefault="0041450D" w:rsidP="008A7B6B">
      <w:pPr>
        <w:tabs>
          <w:tab w:val="left" w:pos="6551"/>
        </w:tabs>
        <w:ind w:left="709" w:right="709"/>
        <w:jc w:val="both"/>
        <w:rPr>
          <w:rFonts w:ascii="Arial" w:hAnsi="Arial" w:cs="Arial"/>
          <w:color w:val="000000" w:themeColor="text1"/>
          <w:sz w:val="21"/>
          <w:szCs w:val="21"/>
          <w:lang w:val="es-ES_tradnl"/>
        </w:rPr>
      </w:pPr>
      <w:r w:rsidRPr="00315977">
        <w:rPr>
          <w:rFonts w:ascii="Arial" w:hAnsi="Arial" w:cs="Arial"/>
          <w:color w:val="000000" w:themeColor="text1"/>
          <w:sz w:val="21"/>
          <w:szCs w:val="21"/>
          <w:lang w:val="es-ES_tradnl"/>
        </w:rPr>
        <w:t xml:space="preserve">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 </w:t>
      </w:r>
    </w:p>
    <w:p w14:paraId="2A3CB036" w14:textId="77777777" w:rsidR="00ED2C36" w:rsidRPr="00315977" w:rsidRDefault="00ED2C36" w:rsidP="008A7B6B">
      <w:pPr>
        <w:tabs>
          <w:tab w:val="left" w:pos="6551"/>
        </w:tabs>
        <w:ind w:left="709" w:right="709"/>
        <w:jc w:val="both"/>
        <w:rPr>
          <w:rFonts w:ascii="Arial" w:hAnsi="Arial" w:cs="Arial"/>
          <w:color w:val="000000" w:themeColor="text1"/>
          <w:sz w:val="21"/>
          <w:szCs w:val="21"/>
          <w:lang w:val="es-ES_tradnl"/>
        </w:rPr>
      </w:pPr>
    </w:p>
    <w:p w14:paraId="507B8C33" w14:textId="77777777" w:rsidR="00ED2C36" w:rsidRPr="00315977" w:rsidRDefault="0041450D" w:rsidP="008A7B6B">
      <w:pPr>
        <w:tabs>
          <w:tab w:val="left" w:pos="6551"/>
        </w:tabs>
        <w:ind w:left="709" w:right="709"/>
        <w:jc w:val="both"/>
        <w:rPr>
          <w:rFonts w:ascii="Arial" w:hAnsi="Arial" w:cs="Arial"/>
          <w:color w:val="000000" w:themeColor="text1"/>
          <w:sz w:val="21"/>
          <w:szCs w:val="21"/>
          <w:lang w:val="es-ES_tradnl"/>
        </w:rPr>
      </w:pPr>
      <w:r w:rsidRPr="00315977">
        <w:rPr>
          <w:rFonts w:ascii="Arial" w:hAnsi="Arial" w:cs="Arial"/>
          <w:color w:val="000000" w:themeColor="text1"/>
          <w:sz w:val="21"/>
          <w:szCs w:val="21"/>
          <w:lang w:val="es-ES_tradnl"/>
        </w:rPr>
        <w:t xml:space="preserve">En el caso de los proponentes plurales, su representante legal acreditará el número de trabajadores vinculados que son personas mayores no beneficiarias de la pensión de vejez, familiar o de sobre vivencia, y que cumplieron el requisito de edad de pensión establecido en la ley, de todos los integrantes del proponente. Las personas enunciadas anteriormente podrán estar vinculadas a cualquiera de sus integrantes. </w:t>
      </w:r>
    </w:p>
    <w:p w14:paraId="57CB97C0" w14:textId="77777777" w:rsidR="00ED2C36" w:rsidRPr="00315977" w:rsidRDefault="00ED2C36" w:rsidP="008A7B6B">
      <w:pPr>
        <w:tabs>
          <w:tab w:val="left" w:pos="6551"/>
        </w:tabs>
        <w:ind w:left="709" w:right="709"/>
        <w:jc w:val="both"/>
        <w:rPr>
          <w:rFonts w:ascii="Arial" w:hAnsi="Arial" w:cs="Arial"/>
          <w:color w:val="000000" w:themeColor="text1"/>
          <w:sz w:val="21"/>
          <w:szCs w:val="21"/>
          <w:lang w:val="es-ES_tradnl"/>
        </w:rPr>
      </w:pPr>
    </w:p>
    <w:p w14:paraId="0EBD72AF" w14:textId="77777777" w:rsidR="00ED2C36" w:rsidRPr="00315977" w:rsidRDefault="0041450D" w:rsidP="008A7B6B">
      <w:pPr>
        <w:tabs>
          <w:tab w:val="left" w:pos="6551"/>
        </w:tabs>
        <w:ind w:left="709" w:right="709"/>
        <w:jc w:val="both"/>
        <w:rPr>
          <w:rFonts w:ascii="Arial" w:hAnsi="Arial" w:cs="Arial"/>
          <w:color w:val="000000" w:themeColor="text1"/>
          <w:sz w:val="21"/>
          <w:szCs w:val="21"/>
          <w:lang w:val="es-ES_tradnl"/>
        </w:rPr>
      </w:pPr>
      <w:r w:rsidRPr="00315977">
        <w:rPr>
          <w:rFonts w:ascii="Arial" w:hAnsi="Arial" w:cs="Arial"/>
          <w:color w:val="000000" w:themeColor="text1"/>
          <w:sz w:val="21"/>
          <w:szCs w:val="21"/>
          <w:lang w:val="es-ES_tradnl"/>
        </w:rPr>
        <w:lastRenderedPageBreak/>
        <w:t xml:space="preserve">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 vivencia, y cumple la edad de pensión; además, se deberá allegar el documento de identificación del trabajador que lo firma. </w:t>
      </w:r>
    </w:p>
    <w:p w14:paraId="3E3AD488" w14:textId="77777777" w:rsidR="00ED2C36" w:rsidRPr="00315977" w:rsidRDefault="00ED2C36" w:rsidP="008A7B6B">
      <w:pPr>
        <w:tabs>
          <w:tab w:val="left" w:pos="6551"/>
        </w:tabs>
        <w:ind w:left="709" w:right="709"/>
        <w:jc w:val="both"/>
        <w:rPr>
          <w:rFonts w:ascii="Arial" w:hAnsi="Arial" w:cs="Arial"/>
          <w:color w:val="000000" w:themeColor="text1"/>
          <w:sz w:val="21"/>
          <w:szCs w:val="21"/>
          <w:lang w:val="es-ES_tradnl"/>
        </w:rPr>
      </w:pPr>
    </w:p>
    <w:p w14:paraId="65879A83" w14:textId="14E55D59" w:rsidR="00304C29" w:rsidRPr="00315977" w:rsidRDefault="0041450D" w:rsidP="008A7B6B">
      <w:pPr>
        <w:tabs>
          <w:tab w:val="left" w:pos="6551"/>
        </w:tabs>
        <w:ind w:left="709" w:right="709"/>
        <w:jc w:val="both"/>
        <w:rPr>
          <w:rFonts w:ascii="Arial" w:hAnsi="Arial" w:cs="Arial"/>
          <w:color w:val="000000" w:themeColor="text1"/>
          <w:sz w:val="21"/>
          <w:szCs w:val="21"/>
          <w:lang w:val="es-ES_tradnl"/>
        </w:rPr>
      </w:pPr>
      <w:r w:rsidRPr="00315977">
        <w:rPr>
          <w:rFonts w:ascii="Arial" w:hAnsi="Arial" w:cs="Arial"/>
          <w:color w:val="000000" w:themeColor="text1"/>
          <w:sz w:val="21"/>
          <w:szCs w:val="21"/>
          <w:lang w:val="es-ES_tradnl"/>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r w:rsidR="00ED2C36" w:rsidRPr="00315977">
        <w:rPr>
          <w:rFonts w:ascii="Arial" w:hAnsi="Arial" w:cs="Arial"/>
          <w:color w:val="000000" w:themeColor="text1"/>
          <w:sz w:val="21"/>
          <w:szCs w:val="21"/>
          <w:lang w:val="es-ES_tradnl"/>
        </w:rPr>
        <w:t xml:space="preserve"> [énfasis por fuera de texto]</w:t>
      </w:r>
    </w:p>
    <w:p w14:paraId="060A7BF6" w14:textId="0583257E" w:rsidR="00304C29" w:rsidRPr="00315977" w:rsidRDefault="00304C29" w:rsidP="008A7B6B">
      <w:pPr>
        <w:tabs>
          <w:tab w:val="left" w:pos="6551"/>
        </w:tabs>
        <w:spacing w:line="276" w:lineRule="auto"/>
        <w:ind w:firstLine="709"/>
        <w:jc w:val="both"/>
        <w:rPr>
          <w:rFonts w:ascii="Arial" w:eastAsia="Calibri" w:hAnsi="Arial" w:cs="Arial"/>
          <w:color w:val="000000" w:themeColor="text1"/>
          <w:sz w:val="22"/>
          <w:lang w:val="es-ES_tradnl"/>
        </w:rPr>
      </w:pPr>
    </w:p>
    <w:p w14:paraId="5B6B67E3" w14:textId="0D9585F6" w:rsidR="00ED2C36" w:rsidRPr="00315977" w:rsidRDefault="00ED2C36" w:rsidP="008A7B6B">
      <w:pPr>
        <w:tabs>
          <w:tab w:val="left" w:pos="6551"/>
        </w:tabs>
        <w:spacing w:line="276" w:lineRule="auto"/>
        <w:ind w:firstLine="709"/>
        <w:jc w:val="both"/>
        <w:rPr>
          <w:rFonts w:ascii="Arial" w:eastAsia="Calibri" w:hAnsi="Arial" w:cs="Arial"/>
          <w:bCs/>
          <w:color w:val="000000" w:themeColor="text1"/>
          <w:sz w:val="22"/>
          <w:lang w:val="es-ES_tradnl"/>
        </w:rPr>
      </w:pPr>
      <w:r w:rsidRPr="00315977">
        <w:rPr>
          <w:rFonts w:ascii="Arial" w:eastAsia="Calibri" w:hAnsi="Arial" w:cs="Arial"/>
          <w:color w:val="000000" w:themeColor="text1"/>
          <w:sz w:val="22"/>
          <w:lang w:val="es-ES_tradnl"/>
        </w:rPr>
        <w:t xml:space="preserve">Como se observa, </w:t>
      </w:r>
      <w:r w:rsidRPr="00315977">
        <w:rPr>
          <w:rFonts w:ascii="Arial" w:eastAsia="Calibri" w:hAnsi="Arial" w:cs="Arial"/>
          <w:bCs/>
          <w:color w:val="000000" w:themeColor="text1"/>
          <w:sz w:val="22"/>
          <w:lang w:val="es-ES_tradnl"/>
        </w:rPr>
        <w:t xml:space="preserve">la norma expresamente señala que </w:t>
      </w:r>
      <w:r w:rsidR="00900E85" w:rsidRPr="00315977">
        <w:rPr>
          <w:rFonts w:ascii="Arial" w:eastAsia="Calibri" w:hAnsi="Arial" w:cs="Arial"/>
          <w:color w:val="000000" w:themeColor="text1"/>
          <w:sz w:val="22"/>
          <w:lang w:val="es-ES_tradnl"/>
        </w:rPr>
        <w:t>«</w:t>
      </w:r>
      <w:r w:rsidRPr="00315977">
        <w:rPr>
          <w:rFonts w:ascii="Arial" w:eastAsia="Calibri" w:hAnsi="Arial" w:cs="Arial"/>
          <w:bCs/>
          <w:color w:val="000000" w:themeColor="text1"/>
          <w:sz w:val="22"/>
          <w:lang w:val="es-ES_tradnl"/>
        </w:rPr>
        <w:t>solo tendrá en cuenta la vinculación de aquellas personas que se encuentren en las condiciones descritas</w:t>
      </w:r>
      <w:r w:rsidR="00900E85" w:rsidRPr="00315977">
        <w:rPr>
          <w:rFonts w:ascii="Arial" w:eastAsia="Calibri" w:hAnsi="Arial" w:cs="Arial"/>
          <w:color w:val="000000" w:themeColor="text1"/>
          <w:sz w:val="22"/>
          <w:lang w:val="es-ES_tradnl"/>
        </w:rPr>
        <w:t>»</w:t>
      </w:r>
      <w:r w:rsidRPr="00315977">
        <w:rPr>
          <w:rFonts w:ascii="Arial" w:eastAsia="Calibri" w:hAnsi="Arial" w:cs="Arial"/>
          <w:bCs/>
          <w:color w:val="000000" w:themeColor="text1"/>
          <w:sz w:val="22"/>
          <w:lang w:val="es-ES_tradnl"/>
        </w:rPr>
        <w:t xml:space="preserve">, esto es, que el proponente acredite la vinculación en su nómina de personas que no son beneficiarios de la pensión de vejez, familiar o de sobrevivencia, con un periodo de vinculación igual o mayor a 1 año y que cumplieron el requisito de edad de pensión. </w:t>
      </w:r>
      <w:r w:rsidR="00900E85" w:rsidRPr="00315977">
        <w:rPr>
          <w:rFonts w:ascii="Arial" w:eastAsia="Calibri" w:hAnsi="Arial" w:cs="Arial"/>
          <w:bCs/>
          <w:color w:val="000000" w:themeColor="text1"/>
          <w:sz w:val="22"/>
          <w:lang w:val="es-ES_tradnl"/>
        </w:rPr>
        <w:t>Además, como excepción al t</w:t>
      </w:r>
      <w:r w:rsidR="007F487D" w:rsidRPr="00315977">
        <w:rPr>
          <w:rFonts w:ascii="Arial" w:eastAsia="Calibri" w:hAnsi="Arial" w:cs="Arial"/>
          <w:bCs/>
          <w:color w:val="000000" w:themeColor="text1"/>
          <w:sz w:val="22"/>
          <w:lang w:val="es-ES_tradnl"/>
        </w:rPr>
        <w:t>é</w:t>
      </w:r>
      <w:r w:rsidR="00900E85" w:rsidRPr="00315977">
        <w:rPr>
          <w:rFonts w:ascii="Arial" w:eastAsia="Calibri" w:hAnsi="Arial" w:cs="Arial"/>
          <w:bCs/>
          <w:color w:val="000000" w:themeColor="text1"/>
          <w:sz w:val="22"/>
          <w:lang w:val="es-ES_tradnl"/>
        </w:rPr>
        <w:t xml:space="preserve">rmino </w:t>
      </w:r>
      <w:r w:rsidR="007F487D" w:rsidRPr="00315977">
        <w:rPr>
          <w:rFonts w:ascii="Arial" w:eastAsia="Calibri" w:hAnsi="Arial" w:cs="Arial"/>
          <w:bCs/>
          <w:color w:val="000000" w:themeColor="text1"/>
          <w:sz w:val="22"/>
          <w:lang w:val="es-ES_tradnl"/>
        </w:rPr>
        <w:t xml:space="preserve">indicado, la norma reitera lo señalado en el parágrafo 2 del artículo 35 de la Ley 2069 de 2020. </w:t>
      </w:r>
      <w:r w:rsidRPr="00315977">
        <w:rPr>
          <w:rFonts w:ascii="Arial" w:eastAsia="Calibri" w:hAnsi="Arial" w:cs="Arial"/>
          <w:bCs/>
          <w:color w:val="000000" w:themeColor="text1"/>
          <w:sz w:val="22"/>
          <w:lang w:val="es-ES_tradnl"/>
        </w:rPr>
        <w:t>Lo anterior, excluye cualquier otra condición diferente a las contempladas, como lo es la sustitución de</w:t>
      </w:r>
      <w:r w:rsidR="005A172C" w:rsidRPr="00315977">
        <w:rPr>
          <w:rFonts w:ascii="Arial" w:eastAsia="Calibri" w:hAnsi="Arial" w:cs="Arial"/>
          <w:bCs/>
          <w:color w:val="000000" w:themeColor="text1"/>
          <w:sz w:val="22"/>
          <w:lang w:val="es-ES_tradnl"/>
        </w:rPr>
        <w:t xml:space="preserve"> la persona </w:t>
      </w:r>
      <w:r w:rsidRPr="00315977">
        <w:rPr>
          <w:rFonts w:ascii="Arial" w:eastAsia="Calibri" w:hAnsi="Arial" w:cs="Arial"/>
          <w:bCs/>
          <w:color w:val="000000" w:themeColor="text1"/>
          <w:sz w:val="22"/>
          <w:lang w:val="es-ES_tradnl"/>
        </w:rPr>
        <w:t xml:space="preserve">mayor </w:t>
      </w:r>
      <w:r w:rsidR="005A172C" w:rsidRPr="00315977">
        <w:rPr>
          <w:rFonts w:ascii="Arial" w:eastAsia="Calibri" w:hAnsi="Arial" w:cs="Arial"/>
          <w:bCs/>
          <w:color w:val="000000" w:themeColor="text1"/>
          <w:sz w:val="22"/>
          <w:lang w:val="es-ES_tradnl"/>
        </w:rPr>
        <w:t xml:space="preserve">fallecida </w:t>
      </w:r>
      <w:r w:rsidRPr="00315977">
        <w:rPr>
          <w:rFonts w:ascii="Arial" w:eastAsia="Calibri" w:hAnsi="Arial" w:cs="Arial"/>
          <w:bCs/>
          <w:color w:val="000000" w:themeColor="text1"/>
          <w:sz w:val="22"/>
          <w:lang w:val="es-ES_tradnl"/>
        </w:rPr>
        <w:t>por otr</w:t>
      </w:r>
      <w:r w:rsidR="007F4D54" w:rsidRPr="00315977">
        <w:rPr>
          <w:rFonts w:ascii="Arial" w:eastAsia="Calibri" w:hAnsi="Arial" w:cs="Arial"/>
          <w:bCs/>
          <w:color w:val="000000" w:themeColor="text1"/>
          <w:sz w:val="22"/>
          <w:lang w:val="es-ES_tradnl"/>
        </w:rPr>
        <w:t>a</w:t>
      </w:r>
      <w:r w:rsidRPr="00315977">
        <w:rPr>
          <w:rFonts w:ascii="Arial" w:eastAsia="Calibri" w:hAnsi="Arial" w:cs="Arial"/>
          <w:bCs/>
          <w:color w:val="000000" w:themeColor="text1"/>
          <w:sz w:val="22"/>
          <w:lang w:val="es-ES_tradnl"/>
        </w:rPr>
        <w:t xml:space="preserve"> </w:t>
      </w:r>
      <w:r w:rsidR="00167FBA" w:rsidRPr="00315977">
        <w:rPr>
          <w:rFonts w:ascii="Arial" w:eastAsia="Calibri" w:hAnsi="Arial" w:cs="Arial"/>
          <w:bCs/>
          <w:color w:val="000000" w:themeColor="text1"/>
          <w:sz w:val="22"/>
          <w:lang w:val="es-ES_tradnl"/>
        </w:rPr>
        <w:t xml:space="preserve">que no cuente con el mismo periodo de antigüedad. </w:t>
      </w:r>
    </w:p>
    <w:p w14:paraId="40533CBA" w14:textId="77777777" w:rsidR="00C45F1F" w:rsidRPr="00315977" w:rsidRDefault="00C45F1F" w:rsidP="008A7B6B">
      <w:pPr>
        <w:tabs>
          <w:tab w:val="left" w:pos="6551"/>
        </w:tabs>
        <w:spacing w:line="276" w:lineRule="auto"/>
        <w:ind w:firstLine="709"/>
        <w:jc w:val="both"/>
        <w:rPr>
          <w:rFonts w:ascii="Arial" w:eastAsia="Calibri" w:hAnsi="Arial" w:cs="Arial"/>
          <w:color w:val="000000" w:themeColor="text1"/>
          <w:sz w:val="22"/>
          <w:szCs w:val="22"/>
          <w:lang w:val="es-ES_tradnl"/>
        </w:rPr>
      </w:pPr>
    </w:p>
    <w:p w14:paraId="37CA9805" w14:textId="7D32B119" w:rsidR="00DD5B04" w:rsidRPr="00315977" w:rsidRDefault="004177A6" w:rsidP="008A7B6B">
      <w:pPr>
        <w:tabs>
          <w:tab w:val="left" w:pos="0"/>
          <w:tab w:val="left" w:pos="6551"/>
        </w:tabs>
        <w:jc w:val="both"/>
        <w:rPr>
          <w:rFonts w:ascii="Arial" w:eastAsia="Calibri" w:hAnsi="Arial" w:cs="Arial"/>
          <w:b/>
          <w:color w:val="000000" w:themeColor="text1"/>
          <w:sz w:val="22"/>
          <w:lang w:val="es-ES_tradnl"/>
        </w:rPr>
      </w:pPr>
      <w:r w:rsidRPr="00315977">
        <w:rPr>
          <w:rFonts w:ascii="Arial" w:eastAsia="Calibri" w:hAnsi="Arial" w:cs="Arial"/>
          <w:b/>
          <w:color w:val="000000" w:themeColor="text1"/>
          <w:sz w:val="22"/>
          <w:lang w:val="es-ES_tradnl"/>
        </w:rPr>
        <w:t>3</w:t>
      </w:r>
      <w:r w:rsidR="00B011A9" w:rsidRPr="00315977">
        <w:rPr>
          <w:rFonts w:ascii="Arial" w:eastAsia="Calibri" w:hAnsi="Arial" w:cs="Arial"/>
          <w:b/>
          <w:color w:val="000000" w:themeColor="text1"/>
          <w:sz w:val="22"/>
          <w:lang w:val="es-ES_tradnl"/>
        </w:rPr>
        <w:t xml:space="preserve">. </w:t>
      </w:r>
      <w:r w:rsidR="00DD5B04" w:rsidRPr="00315977">
        <w:rPr>
          <w:rFonts w:ascii="Arial" w:eastAsia="Calibri" w:hAnsi="Arial" w:cs="Arial"/>
          <w:b/>
          <w:color w:val="000000" w:themeColor="text1"/>
          <w:sz w:val="22"/>
          <w:lang w:val="es-ES_tradnl"/>
        </w:rPr>
        <w:t>Respuesta</w:t>
      </w:r>
    </w:p>
    <w:p w14:paraId="49375CFA" w14:textId="77777777" w:rsidR="00D633AC" w:rsidRPr="00315977" w:rsidRDefault="00D633AC" w:rsidP="008A7B6B">
      <w:pPr>
        <w:tabs>
          <w:tab w:val="left" w:pos="6551"/>
        </w:tabs>
        <w:spacing w:line="276" w:lineRule="auto"/>
        <w:jc w:val="both"/>
        <w:rPr>
          <w:rFonts w:ascii="Arial" w:hAnsi="Arial" w:cs="Arial"/>
          <w:color w:val="000000" w:themeColor="text1"/>
          <w:sz w:val="22"/>
          <w:lang w:val="es-ES_tradnl"/>
        </w:rPr>
      </w:pPr>
    </w:p>
    <w:p w14:paraId="7DAE734C" w14:textId="77777777" w:rsidR="003932A1" w:rsidRPr="00315977" w:rsidRDefault="003932A1" w:rsidP="008A7B6B">
      <w:pPr>
        <w:tabs>
          <w:tab w:val="left" w:pos="6551"/>
        </w:tabs>
        <w:ind w:left="709" w:right="476"/>
        <w:jc w:val="both"/>
        <w:rPr>
          <w:rFonts w:ascii="Arial" w:hAnsi="Arial" w:cs="Arial"/>
          <w:sz w:val="21"/>
          <w:szCs w:val="21"/>
        </w:rPr>
      </w:pPr>
      <w:r w:rsidRPr="00315977">
        <w:rPr>
          <w:rFonts w:ascii="Arial" w:eastAsia="Calibri" w:hAnsi="Arial" w:cs="Arial"/>
          <w:color w:val="000000" w:themeColor="text1"/>
          <w:sz w:val="21"/>
          <w:szCs w:val="21"/>
        </w:rPr>
        <w:t>«</w:t>
      </w:r>
      <w:r w:rsidRPr="00315977">
        <w:rPr>
          <w:rFonts w:ascii="Arial" w:hAnsi="Arial" w:cs="Arial"/>
          <w:sz w:val="21"/>
          <w:szCs w:val="21"/>
        </w:rPr>
        <w:t xml:space="preserve">En relación a la vinculación de los adultos mayores que cumplan con los requisitos indicados en el artículo 3° de la Ley 2040 de 2020 y dado el caso el empleador sea parte de un proceso de desempate dentro de un proceso de contratación pública, en el cual un adulto mayor empleado, falleciera, se le consulta a </w:t>
      </w:r>
      <w:r w:rsidRPr="00315977">
        <w:rPr>
          <w:rFonts w:ascii="Arial" w:hAnsi="Arial" w:cs="Arial"/>
          <w:b/>
          <w:bCs/>
          <w:sz w:val="21"/>
          <w:szCs w:val="21"/>
        </w:rPr>
        <w:t xml:space="preserve">COLOMBIA COMPRA EFICIENTE, </w:t>
      </w:r>
      <w:r w:rsidRPr="00315977">
        <w:rPr>
          <w:rFonts w:ascii="Arial" w:hAnsi="Arial" w:cs="Arial"/>
          <w:sz w:val="21"/>
          <w:szCs w:val="21"/>
        </w:rPr>
        <w:t xml:space="preserve">si dentro del proceso de desempate, existe posibilidad de sustituir al empleado fallecido con un adulto mayor que no tenga el mismo periodo de antigüedad y así suplir dicha falencia en razón a un hecho fortuito como antes se mencionó, el fallecimiento. Lo anterior, debido a que la norma para los procesos de </w:t>
      </w:r>
      <w:proofErr w:type="gramStart"/>
      <w:r w:rsidRPr="00315977">
        <w:rPr>
          <w:rFonts w:ascii="Arial" w:hAnsi="Arial" w:cs="Arial"/>
          <w:sz w:val="21"/>
          <w:szCs w:val="21"/>
        </w:rPr>
        <w:t>desempate,</w:t>
      </w:r>
      <w:proofErr w:type="gramEnd"/>
      <w:r w:rsidRPr="00315977">
        <w:rPr>
          <w:rFonts w:ascii="Arial" w:hAnsi="Arial" w:cs="Arial"/>
          <w:sz w:val="21"/>
          <w:szCs w:val="21"/>
        </w:rPr>
        <w:t xml:space="preserve"> no contempla pautas frente a este tipo de acontecimientos</w:t>
      </w:r>
      <w:r w:rsidRPr="00315977">
        <w:rPr>
          <w:rFonts w:ascii="Arial" w:eastAsia="Calibri" w:hAnsi="Arial" w:cs="Arial"/>
          <w:color w:val="000000" w:themeColor="text1"/>
          <w:sz w:val="21"/>
          <w:szCs w:val="21"/>
        </w:rPr>
        <w:t>»</w:t>
      </w:r>
      <w:r w:rsidRPr="00315977">
        <w:rPr>
          <w:rFonts w:ascii="Arial" w:eastAsia="Calibri" w:hAnsi="Arial" w:cs="Arial"/>
          <w:sz w:val="21"/>
          <w:szCs w:val="21"/>
          <w:lang w:eastAsia="en-US"/>
        </w:rPr>
        <w:t>.</w:t>
      </w:r>
    </w:p>
    <w:p w14:paraId="70747DD1" w14:textId="77777777" w:rsidR="001E4587" w:rsidRPr="00315977" w:rsidRDefault="001E4587" w:rsidP="008A7B6B">
      <w:pPr>
        <w:tabs>
          <w:tab w:val="left" w:pos="6551"/>
        </w:tabs>
        <w:spacing w:line="276" w:lineRule="auto"/>
        <w:jc w:val="both"/>
        <w:textAlignment w:val="baseline"/>
        <w:rPr>
          <w:rFonts w:ascii="Arial" w:hAnsi="Arial" w:cs="Arial"/>
          <w:sz w:val="22"/>
          <w:szCs w:val="22"/>
          <w:lang w:eastAsia="es-ES"/>
        </w:rPr>
      </w:pPr>
    </w:p>
    <w:p w14:paraId="0D334EBB" w14:textId="28A9B3FA" w:rsidR="001711FC" w:rsidRPr="00315977" w:rsidRDefault="001711FC" w:rsidP="008A7B6B">
      <w:pPr>
        <w:tabs>
          <w:tab w:val="left" w:pos="6551"/>
        </w:tabs>
        <w:spacing w:line="276" w:lineRule="auto"/>
        <w:jc w:val="both"/>
        <w:rPr>
          <w:rFonts w:ascii="Arial" w:eastAsia="Calibri" w:hAnsi="Arial" w:cs="Arial"/>
          <w:color w:val="000000" w:themeColor="text1"/>
          <w:sz w:val="22"/>
          <w:szCs w:val="22"/>
          <w:lang w:val="es-ES_tradnl"/>
        </w:rPr>
      </w:pPr>
      <w:r w:rsidRPr="00315977">
        <w:rPr>
          <w:rFonts w:ascii="Arial" w:eastAsia="Calibri" w:hAnsi="Arial" w:cs="Arial"/>
          <w:color w:val="000000" w:themeColor="text1"/>
          <w:sz w:val="22"/>
          <w:szCs w:val="22"/>
          <w:lang w:val="es-ES_tradnl"/>
        </w:rPr>
        <w:t xml:space="preserve">El parágrafo cuarto, </w:t>
      </w:r>
      <w:r w:rsidR="007F4D54" w:rsidRPr="00315977">
        <w:rPr>
          <w:rFonts w:ascii="Arial" w:eastAsia="Calibri" w:hAnsi="Arial" w:cs="Arial"/>
          <w:color w:val="000000" w:themeColor="text1"/>
          <w:sz w:val="22"/>
          <w:szCs w:val="22"/>
          <w:lang w:val="es-ES_tradnl"/>
        </w:rPr>
        <w:t>que se había adicionado</w:t>
      </w:r>
      <w:r w:rsidRPr="00315977">
        <w:rPr>
          <w:rFonts w:ascii="Arial" w:eastAsia="Calibri" w:hAnsi="Arial" w:cs="Arial"/>
          <w:color w:val="000000" w:themeColor="text1"/>
          <w:sz w:val="22"/>
          <w:szCs w:val="22"/>
          <w:lang w:val="es-ES_tradnl"/>
        </w:rPr>
        <w:t xml:space="preserve"> al artículo 12 de la Ley 1150 de 2007 en virtud de la Ley 2040 de 2020, se vio afectado por el efecto de la </w:t>
      </w:r>
      <w:r w:rsidRPr="00315977">
        <w:rPr>
          <w:rFonts w:ascii="Arial" w:eastAsia="Calibri" w:hAnsi="Arial" w:cs="Arial"/>
          <w:i/>
          <w:iCs/>
          <w:color w:val="000000" w:themeColor="text1"/>
          <w:sz w:val="22"/>
          <w:szCs w:val="22"/>
          <w:lang w:val="es-ES_tradnl"/>
        </w:rPr>
        <w:t>subrogación</w:t>
      </w:r>
      <w:r w:rsidRPr="00315977">
        <w:rPr>
          <w:rFonts w:ascii="Arial" w:eastAsia="Calibri" w:hAnsi="Arial" w:cs="Arial"/>
          <w:color w:val="000000" w:themeColor="text1"/>
          <w:sz w:val="22"/>
          <w:szCs w:val="22"/>
          <w:lang w:val="es-ES_tradnl"/>
        </w:rPr>
        <w:t xml:space="preserve"> producida por el artículo 34 de la Ley 2069 de 2020, porque en este artículo no se dice que se mantiene vigente el parágrafo citado. En otras palabras,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ya que no está vigente.</w:t>
      </w:r>
    </w:p>
    <w:p w14:paraId="7C310E80" w14:textId="5EC1A1CF" w:rsidR="00D20546" w:rsidRPr="00315977" w:rsidRDefault="00BF0A0A"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315977">
        <w:rPr>
          <w:rFonts w:ascii="Arial" w:eastAsia="Calibri" w:hAnsi="Arial" w:cs="Arial"/>
          <w:color w:val="000000" w:themeColor="text1"/>
          <w:sz w:val="22"/>
          <w:szCs w:val="22"/>
          <w:lang w:val="es-ES_tradnl"/>
        </w:rPr>
        <w:lastRenderedPageBreak/>
        <w:t>A</w:t>
      </w:r>
      <w:r w:rsidR="00073015" w:rsidRPr="00315977">
        <w:rPr>
          <w:rFonts w:ascii="Arial" w:eastAsia="Calibri" w:hAnsi="Arial" w:cs="Arial"/>
          <w:color w:val="000000" w:themeColor="text1"/>
          <w:sz w:val="22"/>
          <w:szCs w:val="22"/>
          <w:lang w:val="es-ES_tradnl"/>
        </w:rPr>
        <w:t xml:space="preserve">ctualmente la norma vigente que </w:t>
      </w:r>
      <w:r w:rsidR="00D20546" w:rsidRPr="00315977">
        <w:rPr>
          <w:rFonts w:ascii="Arial" w:eastAsia="Calibri" w:hAnsi="Arial" w:cs="Arial"/>
          <w:color w:val="000000" w:themeColor="text1"/>
          <w:sz w:val="22"/>
          <w:szCs w:val="22"/>
          <w:lang w:val="es-ES_tradnl"/>
        </w:rPr>
        <w:t>regul</w:t>
      </w:r>
      <w:r w:rsidR="00073015" w:rsidRPr="00315977">
        <w:rPr>
          <w:rFonts w:ascii="Arial" w:eastAsia="Calibri" w:hAnsi="Arial" w:cs="Arial"/>
          <w:color w:val="000000" w:themeColor="text1"/>
          <w:sz w:val="22"/>
          <w:szCs w:val="22"/>
          <w:lang w:val="es-ES_tradnl"/>
        </w:rPr>
        <w:t xml:space="preserve">a </w:t>
      </w:r>
      <w:r w:rsidR="00D20546" w:rsidRPr="00315977">
        <w:rPr>
          <w:rFonts w:ascii="Arial" w:eastAsia="Calibri" w:hAnsi="Arial" w:cs="Arial"/>
          <w:color w:val="000000" w:themeColor="text1"/>
          <w:sz w:val="22"/>
          <w:szCs w:val="22"/>
          <w:lang w:val="es-ES_tradnl"/>
        </w:rPr>
        <w:t>los factores de desempate en la contratación estatal</w:t>
      </w:r>
      <w:r w:rsidR="00073015" w:rsidRPr="00315977">
        <w:rPr>
          <w:rFonts w:ascii="Arial" w:eastAsia="Calibri" w:hAnsi="Arial" w:cs="Arial"/>
          <w:color w:val="000000" w:themeColor="text1"/>
          <w:sz w:val="22"/>
          <w:szCs w:val="22"/>
          <w:lang w:val="es-ES_tradnl"/>
        </w:rPr>
        <w:t xml:space="preserve"> es el artículo 35 de la Ley 2069 de 2020, cuyo numeral </w:t>
      </w:r>
      <w:r w:rsidR="00D20546" w:rsidRPr="00315977">
        <w:rPr>
          <w:rFonts w:ascii="Arial" w:eastAsia="Calibri" w:hAnsi="Arial" w:cs="Arial"/>
          <w:color w:val="000000" w:themeColor="text1"/>
          <w:sz w:val="22"/>
          <w:szCs w:val="22"/>
          <w:lang w:val="es-ES_tradnl"/>
        </w:rPr>
        <w:t xml:space="preserve">4 </w:t>
      </w:r>
      <w:r w:rsidR="00073015" w:rsidRPr="00315977">
        <w:rPr>
          <w:rFonts w:ascii="Arial" w:eastAsia="Calibri" w:hAnsi="Arial" w:cs="Arial"/>
          <w:color w:val="000000" w:themeColor="text1"/>
          <w:sz w:val="22"/>
          <w:szCs w:val="22"/>
          <w:lang w:val="es-ES_tradnl"/>
        </w:rPr>
        <w:t>se refiere a</w:t>
      </w:r>
      <w:r w:rsidR="007617A6" w:rsidRPr="00315977">
        <w:rPr>
          <w:rFonts w:ascii="Arial" w:eastAsia="Calibri" w:hAnsi="Arial" w:cs="Arial"/>
          <w:color w:val="000000" w:themeColor="text1"/>
          <w:sz w:val="22"/>
          <w:szCs w:val="22"/>
          <w:lang w:val="es-ES_tradnl"/>
        </w:rPr>
        <w:t xml:space="preserve"> la vinculación en mayor proporción de personas mayores</w:t>
      </w:r>
      <w:r w:rsidR="007F4D54" w:rsidRPr="00315977">
        <w:rPr>
          <w:rFonts w:ascii="Arial" w:eastAsia="Calibri" w:hAnsi="Arial" w:cs="Arial"/>
          <w:color w:val="000000" w:themeColor="text1"/>
          <w:sz w:val="22"/>
          <w:szCs w:val="22"/>
          <w:lang w:val="es-ES_tradnl"/>
        </w:rPr>
        <w:t>, que no sean beneficiarios de la pensión de vejez, familiar o de sobrevivencia y que hayan cumplido el requisito de edad de pensión establecido en la Ley</w:t>
      </w:r>
      <w:r w:rsidR="007617A6" w:rsidRPr="00315977">
        <w:rPr>
          <w:rFonts w:ascii="Arial" w:eastAsia="Calibri" w:hAnsi="Arial" w:cs="Arial"/>
          <w:color w:val="000000" w:themeColor="text1"/>
          <w:sz w:val="22"/>
          <w:szCs w:val="22"/>
          <w:lang w:val="es-ES_tradnl"/>
        </w:rPr>
        <w:t>.</w:t>
      </w:r>
      <w:r w:rsidR="003948AA" w:rsidRPr="00315977">
        <w:rPr>
          <w:rFonts w:ascii="Arial" w:eastAsia="Calibri" w:hAnsi="Arial" w:cs="Arial"/>
          <w:color w:val="000000" w:themeColor="text1"/>
          <w:sz w:val="22"/>
          <w:szCs w:val="22"/>
          <w:lang w:val="es-ES_tradnl"/>
        </w:rPr>
        <w:t xml:space="preserve"> Para estos efectos, la palabra «vinculación»</w:t>
      </w:r>
      <w:r w:rsidR="003948AA" w:rsidRPr="00315977">
        <w:rPr>
          <w:rFonts w:ascii="Arial" w:hAnsi="Arial" w:cs="Arial"/>
          <w:color w:val="000000" w:themeColor="text1"/>
          <w:sz w:val="22"/>
          <w:lang w:val="es-ES_tradnl"/>
        </w:rPr>
        <w:t xml:space="preserve"> debe entenderse en concordancia con el parágrafo 2 de la norma en comento, el cual dispone que «Para los criterios enunciados que involucren la vinculación de capital humano, el oferente deberá acreditar una antigüedad igual o mayor a un año. Para los casos de constitución inferior a un año </w:t>
      </w:r>
      <w:r w:rsidR="003948AA" w:rsidRPr="00315977">
        <w:rPr>
          <w:rFonts w:ascii="Arial" w:hAnsi="Arial" w:cs="Arial"/>
          <w:i/>
          <w:iCs/>
          <w:color w:val="000000" w:themeColor="text1"/>
          <w:sz w:val="22"/>
          <w:lang w:val="es-ES_tradnl"/>
        </w:rPr>
        <w:t xml:space="preserve">se </w:t>
      </w:r>
      <w:r w:rsidR="003948AA" w:rsidRPr="00315977">
        <w:rPr>
          <w:rFonts w:ascii="Arial" w:hAnsi="Arial" w:cs="Arial"/>
          <w:color w:val="000000" w:themeColor="text1"/>
          <w:sz w:val="22"/>
          <w:lang w:val="es-ES_tradnl"/>
        </w:rPr>
        <w:t xml:space="preserve">tendrá en cuenta a aquellos trabajadores que hayan estado vinculados desde el momento de constitución de </w:t>
      </w:r>
      <w:proofErr w:type="gramStart"/>
      <w:r w:rsidR="003948AA" w:rsidRPr="00315977">
        <w:rPr>
          <w:rFonts w:ascii="Arial" w:hAnsi="Arial" w:cs="Arial"/>
          <w:color w:val="000000" w:themeColor="text1"/>
          <w:sz w:val="22"/>
          <w:lang w:val="es-ES_tradnl"/>
        </w:rPr>
        <w:t>la misma</w:t>
      </w:r>
      <w:proofErr w:type="gramEnd"/>
      <w:r w:rsidR="003948AA" w:rsidRPr="00315977">
        <w:rPr>
          <w:rFonts w:ascii="Arial" w:hAnsi="Arial" w:cs="Arial"/>
          <w:color w:val="000000" w:themeColor="text1"/>
          <w:sz w:val="22"/>
          <w:lang w:val="es-ES_tradnl"/>
        </w:rPr>
        <w:t xml:space="preserve">». </w:t>
      </w:r>
    </w:p>
    <w:p w14:paraId="7E242EEF" w14:textId="1DE4DC1A" w:rsidR="003C080D" w:rsidRPr="00315977" w:rsidRDefault="001711FC" w:rsidP="008A7B6B">
      <w:pPr>
        <w:tabs>
          <w:tab w:val="left" w:pos="6551"/>
        </w:tabs>
        <w:spacing w:before="120" w:line="276" w:lineRule="auto"/>
        <w:ind w:firstLine="709"/>
        <w:jc w:val="both"/>
        <w:rPr>
          <w:rFonts w:ascii="Arial" w:eastAsia="Calibri" w:hAnsi="Arial" w:cs="Arial"/>
          <w:bCs/>
          <w:color w:val="000000" w:themeColor="text1"/>
          <w:sz w:val="22"/>
          <w:szCs w:val="22"/>
          <w:lang w:val="es-ES_tradnl"/>
        </w:rPr>
      </w:pPr>
      <w:r w:rsidRPr="00315977">
        <w:rPr>
          <w:rFonts w:ascii="Arial" w:eastAsia="Calibri" w:hAnsi="Arial" w:cs="Arial"/>
          <w:color w:val="000000" w:themeColor="text1"/>
          <w:sz w:val="22"/>
          <w:lang w:val="es-ES_tradnl"/>
        </w:rPr>
        <w:t xml:space="preserve">Así las cosas, </w:t>
      </w:r>
      <w:r w:rsidR="003948AA" w:rsidRPr="00315977">
        <w:rPr>
          <w:rFonts w:ascii="Arial" w:eastAsia="Calibri" w:hAnsi="Arial" w:cs="Arial"/>
          <w:color w:val="000000" w:themeColor="text1"/>
          <w:sz w:val="22"/>
          <w:lang w:val="es-ES_tradnl"/>
        </w:rPr>
        <w:t>el requisito de vinculación laboral de personas con un año mínimo de antigüedad</w:t>
      </w:r>
      <w:r w:rsidR="007F4D54" w:rsidRPr="00315977">
        <w:rPr>
          <w:rFonts w:ascii="Arial" w:eastAsia="Calibri" w:hAnsi="Arial" w:cs="Arial"/>
          <w:color w:val="000000" w:themeColor="text1"/>
          <w:sz w:val="22"/>
          <w:lang w:val="es-ES_tradnl"/>
        </w:rPr>
        <w:t>,</w:t>
      </w:r>
      <w:r w:rsidR="003948AA" w:rsidRPr="00315977">
        <w:rPr>
          <w:rFonts w:ascii="Arial" w:eastAsia="Calibri" w:hAnsi="Arial" w:cs="Arial"/>
          <w:color w:val="000000" w:themeColor="text1"/>
          <w:sz w:val="22"/>
          <w:lang w:val="es-ES_tradnl"/>
        </w:rPr>
        <w:t xml:space="preserve"> al que alude el parágrafo 2 del artículo 35 de la Ley 2069 de 2020, es una condición intrínseca del numeral 4 sin la cual el proponente no podrá ser favorecido de esta regla de desempate. Por ello, el proponente además de acreditar </w:t>
      </w:r>
      <w:r w:rsidR="003948AA" w:rsidRPr="00315977">
        <w:rPr>
          <w:rFonts w:ascii="Arial" w:hAnsi="Arial" w:cs="Arial"/>
          <w:color w:val="000000" w:themeColor="text1"/>
          <w:sz w:val="22"/>
          <w:lang w:val="es-ES_tradnl"/>
        </w:rPr>
        <w:t xml:space="preserve">la vinculación de personas mayores que no sean beneficiarios de la pensión de vejez, familiar o de sobrevivencia y que hayan cumplido el requisito de edad de pensión establecido en la Ley, deberá acreditar que dicha vinculación es, como mínimo, de un año </w:t>
      </w:r>
      <w:r w:rsidR="0055102E" w:rsidRPr="00315977">
        <w:rPr>
          <w:rFonts w:ascii="Arial" w:hAnsi="Arial" w:cs="Arial"/>
          <w:color w:val="000000" w:themeColor="text1"/>
          <w:sz w:val="22"/>
          <w:lang w:val="es-ES_tradnl"/>
        </w:rPr>
        <w:t xml:space="preserve">de </w:t>
      </w:r>
      <w:r w:rsidR="003948AA" w:rsidRPr="00315977">
        <w:rPr>
          <w:rFonts w:ascii="Arial" w:hAnsi="Arial" w:cs="Arial"/>
          <w:color w:val="000000" w:themeColor="text1"/>
          <w:sz w:val="22"/>
          <w:lang w:val="es-ES_tradnl"/>
        </w:rPr>
        <w:t>antigüedad.</w:t>
      </w:r>
      <w:r w:rsidR="003948AA" w:rsidRPr="00315977">
        <w:rPr>
          <w:rFonts w:ascii="Arial" w:eastAsia="Calibri" w:hAnsi="Arial" w:cs="Arial"/>
          <w:bCs/>
          <w:color w:val="000000" w:themeColor="text1"/>
          <w:sz w:val="22"/>
          <w:szCs w:val="22"/>
          <w:lang w:val="es-ES_tradnl"/>
        </w:rPr>
        <w:t xml:space="preserve"> </w:t>
      </w:r>
      <w:r w:rsidR="00C537DD" w:rsidRPr="00315977">
        <w:rPr>
          <w:rFonts w:ascii="Arial" w:hAnsi="Arial" w:cs="Arial"/>
          <w:color w:val="000000" w:themeColor="text1"/>
          <w:sz w:val="22"/>
          <w:lang w:val="es-ES_tradnl"/>
        </w:rPr>
        <w:t xml:space="preserve">La única excepción a este término está relacionada con el </w:t>
      </w:r>
      <w:r w:rsidR="00C537DD" w:rsidRPr="00315977">
        <w:rPr>
          <w:rFonts w:ascii="Arial" w:eastAsia="Calibri" w:hAnsi="Arial" w:cs="Arial"/>
          <w:color w:val="000000" w:themeColor="text1"/>
          <w:sz w:val="22"/>
          <w:lang w:val="es-ES_tradnl"/>
        </w:rPr>
        <w:t>proponente que se haya constituido con una anterioridad menor al año, pues en este caso, como se expuso, deberá acreditar que el capital humano está vinculado al menos desde el momento de la constitución.</w:t>
      </w:r>
      <w:r w:rsidR="00AC0E2A" w:rsidRPr="00315977">
        <w:rPr>
          <w:rFonts w:ascii="Arial" w:eastAsia="Calibri" w:hAnsi="Arial" w:cs="Arial"/>
          <w:bCs/>
          <w:color w:val="000000" w:themeColor="text1"/>
          <w:sz w:val="22"/>
          <w:szCs w:val="22"/>
          <w:lang w:val="es-ES_tradnl"/>
        </w:rPr>
        <w:t xml:space="preserve"> </w:t>
      </w:r>
    </w:p>
    <w:p w14:paraId="76E28DBA" w14:textId="2B62EF57" w:rsidR="00866C33" w:rsidRPr="00315977" w:rsidRDefault="00866C33" w:rsidP="00866C33">
      <w:pPr>
        <w:tabs>
          <w:tab w:val="left" w:pos="6551"/>
        </w:tabs>
        <w:spacing w:before="120" w:line="276" w:lineRule="auto"/>
        <w:ind w:firstLine="709"/>
        <w:jc w:val="both"/>
        <w:rPr>
          <w:rFonts w:ascii="Arial" w:eastAsia="Calibri" w:hAnsi="Arial" w:cs="Arial"/>
          <w:bCs/>
          <w:color w:val="000000" w:themeColor="text1"/>
          <w:sz w:val="22"/>
          <w:szCs w:val="22"/>
          <w:lang w:val="es-ES_tradnl"/>
        </w:rPr>
      </w:pPr>
      <w:r w:rsidRPr="00315977">
        <w:rPr>
          <w:rFonts w:ascii="Arial" w:eastAsia="Calibri" w:hAnsi="Arial" w:cs="Arial"/>
          <w:bCs/>
          <w:color w:val="000000" w:themeColor="text1"/>
          <w:sz w:val="22"/>
          <w:szCs w:val="22"/>
          <w:lang w:val="es-ES_tradnl"/>
        </w:rPr>
        <w:t xml:space="preserve">En este contexto, el tiempo de vinculación de un trabajador no puede ser utilizado para otro trabajador que no cumpla con la antigüedad requerida. Ello por cuanto un elemento esencial del contrato de trabajo es la actividad personal del trabajador, es decir, que </w:t>
      </w:r>
      <w:r w:rsidR="005A47C4" w:rsidRPr="00315977">
        <w:rPr>
          <w:rFonts w:ascii="Arial" w:eastAsia="Calibri" w:hAnsi="Arial" w:cs="Arial"/>
          <w:bCs/>
          <w:color w:val="000000" w:themeColor="text1"/>
          <w:sz w:val="22"/>
          <w:szCs w:val="22"/>
          <w:lang w:val="es-ES_tradnl"/>
        </w:rPr>
        <w:t>las labores sean efectivamente realizadas por él</w:t>
      </w:r>
      <w:r w:rsidRPr="00315977">
        <w:rPr>
          <w:rFonts w:ascii="Arial" w:eastAsia="Calibri" w:hAnsi="Arial" w:cs="Arial"/>
          <w:bCs/>
          <w:color w:val="000000" w:themeColor="text1"/>
          <w:sz w:val="22"/>
          <w:szCs w:val="22"/>
          <w:lang w:val="es-ES_tradnl"/>
        </w:rPr>
        <w:t xml:space="preserve">. Esto significa que las condiciones en las cuales se realiza el contrato de trabajo son inherentes a la actividad personal del trabajador, lo que por supuesto incluye el tiempo de duración del contrato de trabajo. Por tanto, tampoco podría considerarse el tiempo de vinculación de un trabajador para otro trabajador con el fin de determinar el cumplimiento del periodo de antigüedad exigido en el </w:t>
      </w:r>
      <w:r w:rsidR="00264F98" w:rsidRPr="00315977">
        <w:rPr>
          <w:rFonts w:ascii="Arial" w:eastAsia="Calibri" w:hAnsi="Arial" w:cs="Arial"/>
          <w:bCs/>
          <w:color w:val="000000" w:themeColor="text1"/>
          <w:sz w:val="22"/>
          <w:szCs w:val="22"/>
          <w:lang w:val="es-ES_tradnl"/>
        </w:rPr>
        <w:t>parágrafo</w:t>
      </w:r>
      <w:r w:rsidRPr="00315977">
        <w:rPr>
          <w:rFonts w:ascii="Arial" w:eastAsia="Calibri" w:hAnsi="Arial" w:cs="Arial"/>
          <w:bCs/>
          <w:color w:val="000000" w:themeColor="text1"/>
          <w:sz w:val="22"/>
          <w:szCs w:val="22"/>
          <w:lang w:val="es-ES_tradnl"/>
        </w:rPr>
        <w:t xml:space="preserve"> 2 del artículo 35 de la Ley 206</w:t>
      </w:r>
      <w:r w:rsidR="00BC4266" w:rsidRPr="00315977">
        <w:rPr>
          <w:rFonts w:ascii="Arial" w:eastAsia="Calibri" w:hAnsi="Arial" w:cs="Arial"/>
          <w:bCs/>
          <w:color w:val="000000" w:themeColor="text1"/>
          <w:sz w:val="22"/>
          <w:szCs w:val="22"/>
          <w:lang w:val="es-ES_tradnl"/>
        </w:rPr>
        <w:t>9</w:t>
      </w:r>
      <w:r w:rsidRPr="00315977">
        <w:rPr>
          <w:rFonts w:ascii="Arial" w:eastAsia="Calibri" w:hAnsi="Arial" w:cs="Arial"/>
          <w:bCs/>
          <w:color w:val="000000" w:themeColor="text1"/>
          <w:sz w:val="22"/>
          <w:szCs w:val="22"/>
          <w:lang w:val="es-ES_tradnl"/>
        </w:rPr>
        <w:t xml:space="preserve"> de 2020. </w:t>
      </w:r>
    </w:p>
    <w:p w14:paraId="6C64104E" w14:textId="20F15C2E" w:rsidR="00866C33" w:rsidRPr="00315977" w:rsidRDefault="00866C33" w:rsidP="00866C33">
      <w:pPr>
        <w:tabs>
          <w:tab w:val="left" w:pos="6551"/>
        </w:tabs>
        <w:spacing w:before="120" w:line="276" w:lineRule="auto"/>
        <w:ind w:firstLine="709"/>
        <w:jc w:val="both"/>
        <w:rPr>
          <w:rFonts w:ascii="Arial" w:eastAsia="Calibri" w:hAnsi="Arial" w:cs="Arial"/>
          <w:bCs/>
          <w:color w:val="000000" w:themeColor="text1"/>
          <w:sz w:val="22"/>
          <w:szCs w:val="22"/>
          <w:lang w:val="es-ES_tradnl"/>
        </w:rPr>
      </w:pPr>
      <w:r w:rsidRPr="00315977">
        <w:rPr>
          <w:rFonts w:ascii="Arial" w:eastAsia="Calibri" w:hAnsi="Arial" w:cs="Arial"/>
          <w:bCs/>
          <w:color w:val="000000" w:themeColor="text1"/>
          <w:sz w:val="22"/>
          <w:szCs w:val="22"/>
          <w:lang w:val="es-ES_tradnl"/>
        </w:rPr>
        <w:t>Así las cosas, todos los requisitos señalados en el numeral 4 del artículo 35 de la Ley 2069 de 2020</w:t>
      </w:r>
      <w:r w:rsidR="00264F98" w:rsidRPr="00315977">
        <w:rPr>
          <w:rFonts w:ascii="Arial" w:eastAsia="Calibri" w:hAnsi="Arial" w:cs="Arial"/>
          <w:bCs/>
          <w:color w:val="000000" w:themeColor="text1"/>
          <w:sz w:val="22"/>
          <w:szCs w:val="22"/>
          <w:lang w:val="es-ES_tradnl"/>
        </w:rPr>
        <w:t xml:space="preserve"> y en el parágrafo segundo</w:t>
      </w:r>
      <w:r w:rsidRPr="00315977">
        <w:rPr>
          <w:rFonts w:ascii="Arial" w:eastAsia="Calibri" w:hAnsi="Arial" w:cs="Arial"/>
          <w:bCs/>
          <w:color w:val="000000" w:themeColor="text1"/>
          <w:sz w:val="22"/>
          <w:szCs w:val="22"/>
          <w:lang w:val="es-ES_tradnl"/>
        </w:rPr>
        <w:t xml:space="preserve"> son indispensables para la aplicación de este factor de desempate. De este modo, como la única excepción al plazo de vinculación exigido está determinada para</w:t>
      </w:r>
      <w:r w:rsidRPr="00315977">
        <w:rPr>
          <w:rFonts w:ascii="Arial" w:hAnsi="Arial" w:cs="Arial"/>
          <w:color w:val="000000" w:themeColor="text1"/>
          <w:sz w:val="22"/>
          <w:lang w:val="es-ES_tradnl"/>
        </w:rPr>
        <w:t xml:space="preserve"> los casos en que la constitución del oferente sea inferior a un año, </w:t>
      </w:r>
      <w:r w:rsidRPr="00315977">
        <w:rPr>
          <w:rFonts w:ascii="Arial" w:eastAsia="Calibri" w:hAnsi="Arial" w:cs="Arial"/>
          <w:bCs/>
          <w:color w:val="000000" w:themeColor="text1"/>
          <w:sz w:val="22"/>
          <w:szCs w:val="22"/>
          <w:lang w:val="es-ES_tradnl"/>
        </w:rPr>
        <w:t xml:space="preserve">no podrá ser favorecido con esta regla de desempate el proponente que acredite la vinculación del adulto mayor en condiciones diferentes a las establecidas en el numeral 4 del artículo 35 de la Ley 2069 de 2020, en concordancia con lo dispuesto en su parágrafo 2.  </w:t>
      </w:r>
    </w:p>
    <w:p w14:paraId="7247F2EE" w14:textId="7295317B" w:rsidR="007617A6" w:rsidRDefault="001711FC"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315977">
        <w:rPr>
          <w:rFonts w:ascii="Arial" w:eastAsia="Calibri" w:hAnsi="Arial" w:cs="Arial"/>
          <w:bCs/>
          <w:color w:val="000000" w:themeColor="text1"/>
          <w:sz w:val="22"/>
          <w:szCs w:val="22"/>
          <w:lang w:val="es-ES_tradnl"/>
        </w:rPr>
        <w:lastRenderedPageBreak/>
        <w:t>En todo caso</w:t>
      </w:r>
      <w:r w:rsidR="00335236" w:rsidRPr="00315977">
        <w:rPr>
          <w:rFonts w:ascii="Arial" w:eastAsia="Calibri" w:hAnsi="Arial" w:cs="Arial"/>
          <w:bCs/>
          <w:color w:val="000000" w:themeColor="text1"/>
          <w:sz w:val="22"/>
          <w:szCs w:val="22"/>
          <w:lang w:val="es-ES_tradnl"/>
        </w:rPr>
        <w:t xml:space="preserve">, </w:t>
      </w:r>
      <w:r w:rsidR="008A421A" w:rsidRPr="00315977">
        <w:rPr>
          <w:rFonts w:ascii="Arial" w:eastAsia="Calibri" w:hAnsi="Arial" w:cs="Arial"/>
          <w:bCs/>
          <w:color w:val="000000" w:themeColor="text1"/>
          <w:sz w:val="22"/>
          <w:szCs w:val="22"/>
          <w:lang w:val="es-ES_tradnl"/>
        </w:rPr>
        <w:t xml:space="preserve">debe tenerse en cuenta </w:t>
      </w:r>
      <w:r w:rsidR="0019691B" w:rsidRPr="00315977">
        <w:rPr>
          <w:rFonts w:ascii="Arial" w:eastAsia="Calibri" w:hAnsi="Arial" w:cs="Arial"/>
          <w:bCs/>
          <w:color w:val="000000" w:themeColor="text1"/>
          <w:sz w:val="22"/>
          <w:szCs w:val="22"/>
          <w:lang w:val="es-ES_tradnl"/>
        </w:rPr>
        <w:t xml:space="preserve">que </w:t>
      </w:r>
      <w:r w:rsidR="008A421A" w:rsidRPr="00315977">
        <w:rPr>
          <w:rFonts w:ascii="Arial" w:hAnsi="Arial" w:cs="Arial"/>
          <w:color w:val="000000" w:themeColor="text1"/>
          <w:sz w:val="22"/>
          <w:szCs w:val="22"/>
          <w:lang w:val="es-ES_tradnl"/>
        </w:rPr>
        <w:t xml:space="preserve">mediante el Decreto </w:t>
      </w:r>
      <w:r w:rsidR="008A421A" w:rsidRPr="00315977">
        <w:rPr>
          <w:rFonts w:ascii="Arial" w:hAnsi="Arial" w:cs="Arial"/>
          <w:color w:val="000000" w:themeColor="text1"/>
          <w:sz w:val="22"/>
          <w:szCs w:val="22"/>
          <w:lang w:val="es-MX"/>
        </w:rPr>
        <w:t>1860 del 24 de diciembre de 2021</w:t>
      </w:r>
      <w:r w:rsidR="008A421A" w:rsidRPr="00315977">
        <w:rPr>
          <w:rFonts w:ascii="Arial" w:hAnsi="Arial" w:cs="Arial"/>
          <w:color w:val="000000" w:themeColor="text1"/>
          <w:sz w:val="22"/>
          <w:szCs w:val="22"/>
          <w:lang w:val="es-ES_tradnl"/>
        </w:rPr>
        <w:t xml:space="preserve"> se </w:t>
      </w:r>
      <w:r w:rsidR="008A421A" w:rsidRPr="00315977">
        <w:rPr>
          <w:rFonts w:ascii="Arial" w:hAnsi="Arial" w:cs="Arial"/>
          <w:color w:val="000000" w:themeColor="text1"/>
          <w:sz w:val="22"/>
          <w:szCs w:val="22"/>
        </w:rPr>
        <w:t xml:space="preserve">reglamentó la forma de acreditar los factores de desempate previstos </w:t>
      </w:r>
      <w:r w:rsidR="0019691B" w:rsidRPr="00315977">
        <w:rPr>
          <w:rFonts w:ascii="Arial" w:hAnsi="Arial" w:cs="Arial"/>
          <w:color w:val="000000" w:themeColor="text1"/>
          <w:sz w:val="22"/>
          <w:szCs w:val="22"/>
        </w:rPr>
        <w:t>en el artículo 35 de la Ley 2069 de 202</w:t>
      </w:r>
      <w:r w:rsidR="00B73B82">
        <w:rPr>
          <w:rFonts w:ascii="Arial" w:hAnsi="Arial" w:cs="Arial"/>
          <w:color w:val="000000" w:themeColor="text1"/>
          <w:sz w:val="22"/>
          <w:szCs w:val="22"/>
        </w:rPr>
        <w:t>0</w:t>
      </w:r>
      <w:r w:rsidR="0019691B" w:rsidRPr="00315977">
        <w:rPr>
          <w:rFonts w:ascii="Arial" w:hAnsi="Arial" w:cs="Arial"/>
          <w:color w:val="000000" w:themeColor="text1"/>
          <w:sz w:val="22"/>
          <w:szCs w:val="22"/>
        </w:rPr>
        <w:t>, cuyas condiciones mantienen lo dispuesto en el artículo 35 sobre el plazo mínimo de vinculación laboral</w:t>
      </w:r>
      <w:r w:rsidR="00AF51B4" w:rsidRPr="00315977">
        <w:rPr>
          <w:rFonts w:ascii="Arial" w:hAnsi="Arial" w:cs="Arial"/>
          <w:color w:val="000000" w:themeColor="text1"/>
          <w:sz w:val="22"/>
          <w:szCs w:val="22"/>
        </w:rPr>
        <w:t xml:space="preserve"> y la excepción señalada</w:t>
      </w:r>
      <w:r w:rsidR="00872889" w:rsidRPr="00315977">
        <w:rPr>
          <w:rFonts w:ascii="Arial" w:hAnsi="Arial" w:cs="Arial"/>
          <w:color w:val="000000" w:themeColor="text1"/>
          <w:sz w:val="22"/>
          <w:szCs w:val="22"/>
        </w:rPr>
        <w:t xml:space="preserve"> en el numeral 4</w:t>
      </w:r>
      <w:r w:rsidR="0019691B" w:rsidRPr="00315977">
        <w:rPr>
          <w:rFonts w:ascii="Arial" w:hAnsi="Arial" w:cs="Arial"/>
          <w:color w:val="000000" w:themeColor="text1"/>
          <w:sz w:val="22"/>
          <w:szCs w:val="22"/>
        </w:rPr>
        <w:t>.</w:t>
      </w:r>
      <w:r w:rsidR="008A421A" w:rsidRPr="00315977">
        <w:rPr>
          <w:rFonts w:ascii="Arial" w:hAnsi="Arial" w:cs="Arial"/>
          <w:color w:val="000000" w:themeColor="text1"/>
          <w:sz w:val="22"/>
          <w:szCs w:val="22"/>
          <w:lang w:val="es-MX"/>
        </w:rPr>
        <w:t xml:space="preserve"> </w:t>
      </w:r>
      <w:r w:rsidR="00872889" w:rsidRPr="00315977">
        <w:rPr>
          <w:rFonts w:ascii="Arial" w:hAnsi="Arial" w:cs="Arial"/>
          <w:color w:val="000000" w:themeColor="text1"/>
          <w:sz w:val="22"/>
          <w:szCs w:val="22"/>
          <w:lang w:val="es-MX"/>
        </w:rPr>
        <w:t>C</w:t>
      </w:r>
      <w:r w:rsidR="0019691B" w:rsidRPr="00315977">
        <w:rPr>
          <w:rFonts w:ascii="Arial" w:hAnsi="Arial" w:cs="Arial"/>
          <w:color w:val="000000" w:themeColor="text1"/>
          <w:sz w:val="22"/>
          <w:szCs w:val="22"/>
          <w:lang w:val="es-MX"/>
        </w:rPr>
        <w:t>onforme al artículo 8</w:t>
      </w:r>
      <w:r w:rsidR="00584138" w:rsidRPr="00315977">
        <w:rPr>
          <w:rFonts w:ascii="Arial" w:hAnsi="Arial" w:cs="Arial"/>
          <w:color w:val="000000" w:themeColor="text1"/>
          <w:sz w:val="22"/>
          <w:szCs w:val="22"/>
          <w:lang w:val="es-MX"/>
        </w:rPr>
        <w:t xml:space="preserve">, las </w:t>
      </w:r>
      <w:r w:rsidR="00872889" w:rsidRPr="00315977">
        <w:rPr>
          <w:rFonts w:ascii="Arial" w:eastAsia="Calibri" w:hAnsi="Arial" w:cs="Arial"/>
          <w:bCs/>
          <w:color w:val="000000" w:themeColor="text1"/>
          <w:sz w:val="22"/>
          <w:lang w:val="es-ES_tradnl"/>
        </w:rPr>
        <w:t xml:space="preserve">disposiciones </w:t>
      </w:r>
      <w:r w:rsidR="00584138" w:rsidRPr="00315977">
        <w:rPr>
          <w:rFonts w:ascii="Arial" w:eastAsia="Calibri" w:hAnsi="Arial" w:cs="Arial"/>
          <w:bCs/>
          <w:color w:val="000000" w:themeColor="text1"/>
          <w:sz w:val="22"/>
          <w:lang w:val="es-ES_tradnl"/>
        </w:rPr>
        <w:t xml:space="preserve">de dicho decreto son </w:t>
      </w:r>
      <w:r w:rsidR="008A421A" w:rsidRPr="00315977">
        <w:rPr>
          <w:rFonts w:ascii="Arial" w:eastAsia="Calibri" w:hAnsi="Arial" w:cs="Arial"/>
          <w:bCs/>
          <w:color w:val="000000" w:themeColor="text1"/>
          <w:sz w:val="22"/>
          <w:lang w:val="es-ES_tradnl"/>
        </w:rPr>
        <w:t>aplicable</w:t>
      </w:r>
      <w:r w:rsidR="00584138" w:rsidRPr="00315977">
        <w:rPr>
          <w:rFonts w:ascii="Arial" w:eastAsia="Calibri" w:hAnsi="Arial" w:cs="Arial"/>
          <w:bCs/>
          <w:color w:val="000000" w:themeColor="text1"/>
          <w:sz w:val="22"/>
          <w:lang w:val="es-ES_tradnl"/>
        </w:rPr>
        <w:t>s</w:t>
      </w:r>
      <w:r w:rsidR="008A421A" w:rsidRPr="00315977">
        <w:rPr>
          <w:rFonts w:ascii="Arial" w:eastAsia="Calibri" w:hAnsi="Arial" w:cs="Arial"/>
          <w:bCs/>
          <w:color w:val="000000" w:themeColor="text1"/>
          <w:sz w:val="22"/>
          <w:lang w:val="es-ES_tradnl"/>
        </w:rPr>
        <w:t xml:space="preserve"> para los procesos </w:t>
      </w:r>
      <w:r w:rsidR="008A421A" w:rsidRPr="00315977">
        <w:rPr>
          <w:rFonts w:ascii="Arial" w:hAnsi="Arial" w:cs="Arial"/>
          <w:color w:val="000000" w:themeColor="text1"/>
          <w:sz w:val="22"/>
          <w:szCs w:val="22"/>
        </w:rPr>
        <w:t>de selección cuya invitación, aviso de convocatoria o documento equivalente que se publiquen a partir del 24 de marzo de 2022</w:t>
      </w:r>
      <w:r w:rsidR="0019691B" w:rsidRPr="00315977">
        <w:rPr>
          <w:rFonts w:ascii="Arial" w:eastAsia="Calibri" w:hAnsi="Arial" w:cs="Arial"/>
          <w:bCs/>
          <w:color w:val="000000" w:themeColor="text1"/>
          <w:sz w:val="22"/>
          <w:lang w:val="es-ES_tradnl"/>
        </w:rPr>
        <w:t xml:space="preserve">, </w:t>
      </w:r>
      <w:r w:rsidR="0019691B" w:rsidRPr="00315977">
        <w:rPr>
          <w:rFonts w:ascii="Arial" w:hAnsi="Arial" w:cs="Arial"/>
          <w:color w:val="000000" w:themeColor="text1"/>
          <w:sz w:val="22"/>
          <w:szCs w:val="22"/>
        </w:rPr>
        <w:t xml:space="preserve">sin perjuicio de que la entidad lo aplique de forma potestativa para </w:t>
      </w:r>
      <w:r w:rsidR="0019691B" w:rsidRPr="00315977">
        <w:rPr>
          <w:rFonts w:ascii="Arial" w:eastAsia="Arial" w:hAnsi="Arial" w:cs="Arial"/>
          <w:bCs/>
          <w:sz w:val="22"/>
          <w:szCs w:val="22"/>
          <w:lang w:val="es-ES_tradnl" w:eastAsia="es-ES" w:bidi="es-ES"/>
        </w:rPr>
        <w:t>procesos publicados el 23 de marzo de 2022 o en una fecha anterior</w:t>
      </w:r>
      <w:r w:rsidR="00866C33" w:rsidRPr="00315977">
        <w:rPr>
          <w:rFonts w:ascii="Arial" w:eastAsia="Arial" w:hAnsi="Arial" w:cs="Arial"/>
          <w:bCs/>
          <w:sz w:val="22"/>
          <w:szCs w:val="22"/>
          <w:lang w:val="es-ES_tradnl" w:eastAsia="es-ES" w:bidi="es-ES"/>
        </w:rPr>
        <w:t xml:space="preserve">, </w:t>
      </w:r>
      <w:r w:rsidR="00866C33" w:rsidRPr="00315977">
        <w:rPr>
          <w:rFonts w:ascii="Arial" w:eastAsia="Calibri" w:hAnsi="Arial" w:cs="Arial"/>
          <w:color w:val="000000" w:themeColor="text1"/>
          <w:sz w:val="22"/>
          <w:lang w:val="es-ES_tradnl"/>
        </w:rPr>
        <w:t>adoptando la regulación correspondiente en el pliego de condiciones o documento equivalente.</w:t>
      </w:r>
      <w:r w:rsidR="0019691B">
        <w:rPr>
          <w:rFonts w:ascii="Arial" w:eastAsia="Calibri" w:hAnsi="Arial" w:cs="Arial"/>
          <w:bCs/>
          <w:color w:val="000000" w:themeColor="text1"/>
          <w:sz w:val="22"/>
          <w:lang w:val="es-ES_tradnl"/>
        </w:rPr>
        <w:t xml:space="preserve"> </w:t>
      </w:r>
      <w:r w:rsidR="008A421A">
        <w:rPr>
          <w:rFonts w:ascii="Arial" w:eastAsia="Calibri" w:hAnsi="Arial" w:cs="Arial"/>
          <w:bCs/>
          <w:color w:val="000000" w:themeColor="text1"/>
          <w:sz w:val="22"/>
          <w:lang w:val="es-ES_tradnl"/>
        </w:rPr>
        <w:t xml:space="preserve"> </w:t>
      </w:r>
    </w:p>
    <w:p w14:paraId="1E4A8C99" w14:textId="77777777" w:rsidR="008A421A" w:rsidRPr="008A421A" w:rsidRDefault="008A421A" w:rsidP="008A7B6B">
      <w:pPr>
        <w:tabs>
          <w:tab w:val="left" w:pos="6551"/>
        </w:tabs>
        <w:spacing w:before="120" w:line="276" w:lineRule="auto"/>
        <w:ind w:firstLine="709"/>
        <w:jc w:val="both"/>
        <w:rPr>
          <w:rFonts w:ascii="Arial" w:eastAsia="Calibri" w:hAnsi="Arial" w:cs="Arial"/>
          <w:color w:val="000000" w:themeColor="text1"/>
          <w:sz w:val="22"/>
          <w:szCs w:val="22"/>
          <w:lang w:val="es-ES_tradnl"/>
        </w:rPr>
      </w:pPr>
    </w:p>
    <w:p w14:paraId="056816F7" w14:textId="29413176" w:rsidR="00D40F8B" w:rsidRDefault="00DD5B04" w:rsidP="008A7B6B">
      <w:pPr>
        <w:tabs>
          <w:tab w:val="left" w:pos="6551"/>
        </w:tabs>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8A7B6B">
      <w:pPr>
        <w:tabs>
          <w:tab w:val="left" w:pos="6551"/>
        </w:tabs>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8A7B6B">
      <w:pPr>
        <w:pStyle w:val="NormalWeb"/>
        <w:tabs>
          <w:tab w:val="left" w:pos="6551"/>
        </w:tabs>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ED13883" w14:textId="21E00B36" w:rsidR="00003233" w:rsidRDefault="00FD77A2" w:rsidP="008A7B6B">
      <w:pPr>
        <w:pStyle w:val="NormalWeb"/>
        <w:tabs>
          <w:tab w:val="left" w:pos="6551"/>
        </w:tabs>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2B1ADD47" wp14:editId="40A7AB49">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25D6AE67" w14:textId="77777777" w:rsidR="003B5586" w:rsidRPr="00D40F8B" w:rsidRDefault="003B5586" w:rsidP="008A7B6B">
      <w:pPr>
        <w:pStyle w:val="NormalWeb"/>
        <w:tabs>
          <w:tab w:val="left" w:pos="6551"/>
        </w:tabs>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DD5B04" w:rsidRPr="00D40F8B" w14:paraId="0C7DC5F7" w14:textId="77777777" w:rsidTr="003B5586">
        <w:trPr>
          <w:trHeight w:val="124"/>
        </w:trPr>
        <w:tc>
          <w:tcPr>
            <w:tcW w:w="828" w:type="dxa"/>
            <w:vAlign w:val="center"/>
            <w:hideMark/>
          </w:tcPr>
          <w:p w14:paraId="5BDB1AC9" w14:textId="77777777" w:rsidR="00DD5B04" w:rsidRPr="00D40F8B" w:rsidRDefault="00DD5B04" w:rsidP="008A7B6B">
            <w:pPr>
              <w:tabs>
                <w:tab w:val="left" w:pos="6551"/>
              </w:tabs>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8A7B6B">
            <w:pPr>
              <w:tabs>
                <w:tab w:val="left" w:pos="6551"/>
              </w:tabs>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8A7B6B">
            <w:pPr>
              <w:tabs>
                <w:tab w:val="left" w:pos="6551"/>
              </w:tabs>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3B5586">
        <w:trPr>
          <w:trHeight w:val="256"/>
        </w:trPr>
        <w:tc>
          <w:tcPr>
            <w:tcW w:w="828" w:type="dxa"/>
            <w:vAlign w:val="center"/>
            <w:hideMark/>
          </w:tcPr>
          <w:p w14:paraId="50203A0B" w14:textId="77777777" w:rsidR="00DD5B04" w:rsidRPr="00D40F8B" w:rsidRDefault="00DD5B04" w:rsidP="008A7B6B">
            <w:pPr>
              <w:tabs>
                <w:tab w:val="left" w:pos="6551"/>
              </w:tabs>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0A446A" w:rsidRDefault="00B17563" w:rsidP="008A7B6B">
            <w:pPr>
              <w:tabs>
                <w:tab w:val="left" w:pos="6551"/>
              </w:tabs>
              <w:jc w:val="both"/>
              <w:rPr>
                <w:rFonts w:ascii="Arial" w:hAnsi="Arial" w:cs="Arial"/>
                <w:color w:val="000000" w:themeColor="text1"/>
                <w:sz w:val="16"/>
                <w:szCs w:val="16"/>
                <w:lang w:val="es-ES_tradnl" w:eastAsia="es-ES"/>
              </w:rPr>
            </w:pPr>
            <w:r w:rsidRPr="000A446A">
              <w:rPr>
                <w:rFonts w:ascii="Arial" w:hAnsi="Arial" w:cs="Arial"/>
                <w:color w:val="000000" w:themeColor="text1"/>
                <w:sz w:val="16"/>
                <w:szCs w:val="16"/>
                <w:lang w:val="es-ES_tradnl" w:eastAsia="es-ES"/>
              </w:rPr>
              <w:t>Sebastián Ramírez Grisales</w:t>
            </w:r>
          </w:p>
          <w:p w14:paraId="130B3228" w14:textId="20B95499" w:rsidR="0070439B" w:rsidRPr="003932A1" w:rsidRDefault="009412D1" w:rsidP="008A7B6B">
            <w:pPr>
              <w:tabs>
                <w:tab w:val="left" w:pos="6551"/>
              </w:tabs>
              <w:jc w:val="both"/>
              <w:rPr>
                <w:rFonts w:ascii="Arial" w:hAnsi="Arial" w:cs="Arial"/>
                <w:color w:val="000000" w:themeColor="text1"/>
                <w:sz w:val="16"/>
                <w:szCs w:val="16"/>
                <w:lang w:val="es-ES" w:eastAsia="es-ES"/>
              </w:rPr>
            </w:pPr>
            <w:r>
              <w:rPr>
                <w:rFonts w:ascii="Arial" w:hAnsi="Arial" w:cs="Arial"/>
                <w:sz w:val="14"/>
                <w:szCs w:val="14"/>
                <w:lang w:eastAsia="es-ES"/>
              </w:rPr>
              <w:t xml:space="preserve">Contratista </w:t>
            </w:r>
            <w:r w:rsidR="00F412DF" w:rsidRPr="000A446A">
              <w:rPr>
                <w:rFonts w:ascii="Arial" w:hAnsi="Arial" w:cs="Arial"/>
                <w:color w:val="000000"/>
                <w:sz w:val="16"/>
                <w:szCs w:val="16"/>
                <w:shd w:val="clear" w:color="auto" w:fill="FFFFFF"/>
              </w:rPr>
              <w:t>de la </w:t>
            </w:r>
            <w:r w:rsidR="00F412DF" w:rsidRPr="000A446A">
              <w:rPr>
                <w:rFonts w:ascii="Arial" w:hAnsi="Arial" w:cs="Arial"/>
                <w:color w:val="000000" w:themeColor="text1"/>
                <w:sz w:val="16"/>
                <w:szCs w:val="16"/>
                <w:lang w:val="es-ES" w:eastAsia="es-ES"/>
              </w:rPr>
              <w:t>Subdirección de Gestión Contractual</w:t>
            </w:r>
          </w:p>
        </w:tc>
      </w:tr>
      <w:tr w:rsidR="00DD5B04" w:rsidRPr="00D40F8B" w14:paraId="0FCBCA4A" w14:textId="77777777" w:rsidTr="003B5586">
        <w:trPr>
          <w:trHeight w:val="233"/>
        </w:trPr>
        <w:tc>
          <w:tcPr>
            <w:tcW w:w="828" w:type="dxa"/>
            <w:vAlign w:val="center"/>
            <w:hideMark/>
          </w:tcPr>
          <w:p w14:paraId="3C1D943A" w14:textId="77777777" w:rsidR="00DD5B04" w:rsidRPr="00D40F8B" w:rsidRDefault="00DD5B04" w:rsidP="008A7B6B">
            <w:pPr>
              <w:tabs>
                <w:tab w:val="left" w:pos="6551"/>
              </w:tabs>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8A7B6B">
            <w:pPr>
              <w:tabs>
                <w:tab w:val="left" w:pos="6551"/>
              </w:tabs>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8A7B6B">
            <w:pPr>
              <w:tabs>
                <w:tab w:val="left" w:pos="6551"/>
              </w:tabs>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407E8F17" w14:textId="77777777" w:rsidR="00DD118B" w:rsidRPr="00E23980" w:rsidRDefault="00DD118B" w:rsidP="008A7B6B">
      <w:pPr>
        <w:tabs>
          <w:tab w:val="left" w:pos="6551"/>
        </w:tabs>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F88E" w14:textId="77777777" w:rsidR="0090219C" w:rsidRDefault="0090219C">
      <w:r>
        <w:separator/>
      </w:r>
    </w:p>
  </w:endnote>
  <w:endnote w:type="continuationSeparator" w:id="0">
    <w:p w14:paraId="2210C29D" w14:textId="77777777" w:rsidR="0090219C" w:rsidRDefault="0090219C">
      <w:r>
        <w:continuationSeparator/>
      </w:r>
    </w:p>
  </w:endnote>
  <w:endnote w:type="continuationNotice" w:id="1">
    <w:p w14:paraId="36336CA6" w14:textId="77777777" w:rsidR="0090219C" w:rsidRDefault="00902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3FF5" w14:textId="77777777" w:rsidR="0090219C" w:rsidRDefault="0090219C">
      <w:r>
        <w:separator/>
      </w:r>
    </w:p>
  </w:footnote>
  <w:footnote w:type="continuationSeparator" w:id="0">
    <w:p w14:paraId="46B5C541" w14:textId="77777777" w:rsidR="0090219C" w:rsidRDefault="0090219C">
      <w:r>
        <w:continuationSeparator/>
      </w:r>
    </w:p>
  </w:footnote>
  <w:footnote w:type="continuationNotice" w:id="1">
    <w:p w14:paraId="7E280458" w14:textId="77777777" w:rsidR="0090219C" w:rsidRDefault="0090219C"/>
  </w:footnote>
  <w:footnote w:id="2">
    <w:p w14:paraId="19C65AAB" w14:textId="77777777" w:rsidR="00C83429" w:rsidRPr="00892E76" w:rsidRDefault="00C83429" w:rsidP="00C83429">
      <w:pPr>
        <w:pStyle w:val="Textonotapie"/>
        <w:ind w:firstLine="709"/>
        <w:jc w:val="both"/>
        <w:rPr>
          <w:rFonts w:ascii="Arial" w:hAnsi="Arial" w:cs="Arial"/>
          <w:sz w:val="19"/>
          <w:szCs w:val="19"/>
          <w:lang w:val="es-CO"/>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footnote>
  <w:footnote w:id="3">
    <w:p w14:paraId="28DEDABF" w14:textId="77777777" w:rsidR="00C83429" w:rsidRPr="00892E76" w:rsidRDefault="00C83429" w:rsidP="00C83429">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Consejo de Estado. Sección Tercera. Sentencia del 29 de octubre de 2.015. Consejera Ponente: Stella Conto Díaz Del Castillo. Expediente: 31.918.</w:t>
      </w:r>
    </w:p>
    <w:p w14:paraId="087A908E" w14:textId="77777777" w:rsidR="00C83429" w:rsidRPr="00892E76" w:rsidRDefault="00C83429" w:rsidP="00C83429">
      <w:pPr>
        <w:pStyle w:val="Textonotapie"/>
        <w:ind w:firstLine="709"/>
        <w:jc w:val="both"/>
        <w:rPr>
          <w:rFonts w:ascii="Arial" w:hAnsi="Arial" w:cs="Arial"/>
          <w:sz w:val="19"/>
          <w:szCs w:val="19"/>
          <w:lang w:val="es-ES"/>
        </w:rPr>
      </w:pPr>
    </w:p>
  </w:footnote>
  <w:footnote w:id="4">
    <w:p w14:paraId="61084FC8" w14:textId="77777777" w:rsidR="00C83429" w:rsidRPr="00892E76" w:rsidRDefault="00C83429" w:rsidP="00C83429">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Corte Constitucional. Sentencia T-684A del 14 de septiembre de 2011. Magistrado Ponente: Mauricio González Cuervo.</w:t>
      </w:r>
    </w:p>
    <w:p w14:paraId="16E98E57" w14:textId="77777777" w:rsidR="00C83429" w:rsidRPr="00892E76" w:rsidRDefault="00C83429" w:rsidP="00C83429">
      <w:pPr>
        <w:pStyle w:val="Textonotapie"/>
        <w:ind w:firstLine="709"/>
        <w:jc w:val="both"/>
        <w:rPr>
          <w:rFonts w:ascii="Arial" w:hAnsi="Arial" w:cs="Arial"/>
          <w:sz w:val="19"/>
          <w:szCs w:val="19"/>
          <w:lang w:val="es-ES"/>
        </w:rPr>
      </w:pPr>
    </w:p>
  </w:footnote>
  <w:footnote w:id="5">
    <w:p w14:paraId="19065B8D" w14:textId="77777777" w:rsidR="00C83429" w:rsidRPr="00892E76" w:rsidRDefault="00C83429" w:rsidP="00C83429">
      <w:pPr>
        <w:pStyle w:val="Textonotapie"/>
        <w:ind w:firstLine="709"/>
        <w:jc w:val="both"/>
        <w:rPr>
          <w:rFonts w:ascii="Arial" w:hAnsi="Arial" w:cs="Arial"/>
          <w:sz w:val="19"/>
          <w:szCs w:val="19"/>
          <w:lang w:val="es-CO"/>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 xml:space="preserve">Consejo de Estado. Sección Tercera. Sentencia del 6 de diciembre de 2.013. Consejera </w:t>
      </w:r>
      <w:proofErr w:type="spellStart"/>
      <w:r w:rsidRPr="00892E76">
        <w:rPr>
          <w:rFonts w:ascii="Arial" w:hAnsi="Arial" w:cs="Arial"/>
          <w:sz w:val="19"/>
          <w:szCs w:val="19"/>
          <w:lang w:val="es-ES"/>
        </w:rPr>
        <w:t>Ponentge</w:t>
      </w:r>
      <w:proofErr w:type="spellEnd"/>
      <w:r w:rsidRPr="00892E76">
        <w:rPr>
          <w:rFonts w:ascii="Arial" w:hAnsi="Arial" w:cs="Arial"/>
          <w:sz w:val="19"/>
          <w:szCs w:val="19"/>
          <w:lang w:val="es-ES"/>
        </w:rPr>
        <w:t xml:space="preserv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6">
    <w:p w14:paraId="39E20702" w14:textId="60981F1D" w:rsidR="00C83429" w:rsidRPr="00892E76" w:rsidRDefault="00C83429" w:rsidP="00B73B82">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2 al 29.</w:t>
      </w:r>
    </w:p>
  </w:footnote>
  <w:footnote w:id="7">
    <w:p w14:paraId="2F33A9ED" w14:textId="77777777" w:rsidR="00C83429" w:rsidRPr="00892E76" w:rsidRDefault="00C83429" w:rsidP="00C83429">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30 al 36.</w:t>
      </w:r>
    </w:p>
    <w:p w14:paraId="6C0AA689" w14:textId="77777777" w:rsidR="00C83429" w:rsidRPr="00892E76" w:rsidRDefault="00C83429" w:rsidP="00C83429">
      <w:pPr>
        <w:pStyle w:val="Textonotapie"/>
        <w:ind w:firstLine="709"/>
        <w:jc w:val="both"/>
        <w:rPr>
          <w:rFonts w:ascii="Arial" w:hAnsi="Arial" w:cs="Arial"/>
          <w:sz w:val="19"/>
          <w:szCs w:val="19"/>
          <w:lang w:val="es-ES"/>
        </w:rPr>
      </w:pPr>
    </w:p>
  </w:footnote>
  <w:footnote w:id="8">
    <w:p w14:paraId="6FA3D3DF" w14:textId="77777777" w:rsidR="00C83429" w:rsidRPr="00892E76" w:rsidRDefault="00C83429" w:rsidP="00C83429">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37 al 45.</w:t>
      </w:r>
    </w:p>
    <w:p w14:paraId="7B0406D2" w14:textId="77777777" w:rsidR="00C83429" w:rsidRPr="00892E76" w:rsidRDefault="00C83429" w:rsidP="00C83429">
      <w:pPr>
        <w:pStyle w:val="Textonotapie"/>
        <w:ind w:firstLine="709"/>
        <w:jc w:val="both"/>
        <w:rPr>
          <w:rFonts w:ascii="Arial" w:hAnsi="Arial" w:cs="Arial"/>
          <w:sz w:val="19"/>
          <w:szCs w:val="19"/>
          <w:lang w:val="es-ES"/>
        </w:rPr>
      </w:pPr>
    </w:p>
  </w:footnote>
  <w:footnote w:id="9">
    <w:p w14:paraId="6486AD62" w14:textId="77777777" w:rsidR="00C83429" w:rsidRPr="00892E76" w:rsidRDefault="00C83429" w:rsidP="00C83429">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46 al 73.</w:t>
      </w:r>
    </w:p>
    <w:p w14:paraId="1DB675A0" w14:textId="77777777" w:rsidR="00C83429" w:rsidRPr="00892E76" w:rsidRDefault="00C83429" w:rsidP="00C83429">
      <w:pPr>
        <w:pStyle w:val="Textonotapie"/>
        <w:ind w:firstLine="709"/>
        <w:jc w:val="both"/>
        <w:rPr>
          <w:rFonts w:ascii="Arial" w:hAnsi="Arial" w:cs="Arial"/>
          <w:sz w:val="19"/>
          <w:szCs w:val="19"/>
          <w:lang w:val="es-ES"/>
        </w:rPr>
      </w:pPr>
    </w:p>
  </w:footnote>
  <w:footnote w:id="10">
    <w:p w14:paraId="7BCB399D" w14:textId="77777777" w:rsidR="00C83429" w:rsidRPr="00892E76" w:rsidRDefault="00C83429" w:rsidP="00C83429">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74 al 83.</w:t>
      </w:r>
    </w:p>
    <w:p w14:paraId="3E6E289B" w14:textId="77777777" w:rsidR="00C83429" w:rsidRPr="00892E76" w:rsidRDefault="00C83429" w:rsidP="00C83429">
      <w:pPr>
        <w:pStyle w:val="Textonotapie"/>
        <w:ind w:firstLine="709"/>
        <w:jc w:val="both"/>
        <w:rPr>
          <w:rFonts w:ascii="Arial" w:hAnsi="Arial" w:cs="Arial"/>
          <w:sz w:val="19"/>
          <w:szCs w:val="19"/>
          <w:lang w:val="es-ES"/>
        </w:rPr>
      </w:pPr>
    </w:p>
  </w:footnote>
  <w:footnote w:id="11">
    <w:p w14:paraId="63C6AA6B" w14:textId="77777777" w:rsidR="00C83429" w:rsidRPr="00534503" w:rsidRDefault="00C83429" w:rsidP="00C83429">
      <w:pPr>
        <w:ind w:firstLine="709"/>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En efecto, el artículo 34 de la Ley 2069 de 2020 establece: «</w:t>
      </w:r>
      <w:r w:rsidRPr="00534503">
        <w:rPr>
          <w:rFonts w:ascii="Arial" w:hAnsi="Arial" w:cs="Arial"/>
          <w:sz w:val="19"/>
          <w:szCs w:val="19"/>
        </w:rPr>
        <w:t xml:space="preserve">Modifíquese el artículo 12 de la Ley 1150 de 2007, el cual quedará así: </w:t>
      </w:r>
    </w:p>
    <w:p w14:paraId="5784A6CF" w14:textId="77777777" w:rsidR="00C83429" w:rsidRPr="00534503" w:rsidRDefault="00C83429" w:rsidP="00C8342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rPr>
        <w:t>»</w:t>
      </w:r>
      <w:r w:rsidRPr="00534503">
        <w:rPr>
          <w:rFonts w:ascii="Arial" w:eastAsia="Calibri" w:hAnsi="Arial" w:cs="Arial"/>
          <w:color w:val="000000" w:themeColor="text1"/>
          <w:sz w:val="19"/>
          <w:szCs w:val="19"/>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w:t>
      </w:r>
    </w:p>
    <w:p w14:paraId="1700282C" w14:textId="77777777" w:rsidR="00C83429" w:rsidRPr="00534503" w:rsidRDefault="00C83429" w:rsidP="00C83429">
      <w:pPr>
        <w:ind w:firstLine="709"/>
        <w:jc w:val="both"/>
        <w:rPr>
          <w:rFonts w:ascii="Arial" w:eastAsia="Calibri" w:hAnsi="Arial" w:cs="Arial"/>
          <w:color w:val="000000" w:themeColor="text1"/>
          <w:sz w:val="19"/>
          <w:szCs w:val="19"/>
          <w:lang w:val="es-ES_tradnl"/>
        </w:rPr>
      </w:pPr>
      <w:proofErr w:type="gramStart"/>
      <w:r w:rsidRPr="00534503">
        <w:rPr>
          <w:rFonts w:ascii="Arial" w:eastAsia="Calibri" w:hAnsi="Arial" w:cs="Arial"/>
          <w:color w:val="000000" w:themeColor="text1"/>
          <w:sz w:val="19"/>
          <w:szCs w:val="19"/>
          <w:lang w:val="es-ES_tradnl"/>
        </w:rPr>
        <w:t>»Asimismo</w:t>
      </w:r>
      <w:proofErr w:type="gramEnd"/>
      <w:r w:rsidRPr="00534503">
        <w:rPr>
          <w:rFonts w:ascii="Arial" w:eastAsia="Calibri" w:hAnsi="Arial" w:cs="Arial"/>
          <w:color w:val="000000" w:themeColor="text1"/>
          <w:sz w:val="19"/>
          <w:szCs w:val="19"/>
          <w:lang w:val="es-ES_tradnl"/>
        </w:rPr>
        <w:t xml:space="preserve">, el reglamento podrá establecer condiciones preferenciales a favor de la oferta de bienes y servicios producidos por las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7C11D2B5" w14:textId="77777777" w:rsidR="00C83429" w:rsidRPr="00534503" w:rsidRDefault="00C83429" w:rsidP="00C83429">
      <w:pPr>
        <w:ind w:firstLine="709"/>
        <w:jc w:val="both"/>
        <w:rPr>
          <w:rFonts w:ascii="Arial" w:eastAsia="Calibri" w:hAnsi="Arial" w:cs="Arial"/>
          <w:color w:val="000000" w:themeColor="text1"/>
          <w:sz w:val="19"/>
          <w:szCs w:val="19"/>
          <w:lang w:val="es-ES_tradnl"/>
        </w:rPr>
      </w:pPr>
      <w:proofErr w:type="gramStart"/>
      <w:r w:rsidRPr="00534503">
        <w:rPr>
          <w:rFonts w:ascii="Arial" w:eastAsia="Calibri" w:hAnsi="Arial" w:cs="Arial"/>
          <w:color w:val="000000" w:themeColor="text1"/>
          <w:sz w:val="19"/>
          <w:szCs w:val="19"/>
          <w:lang w:val="es-ES_tradnl"/>
        </w:rPr>
        <w:t>»En</w:t>
      </w:r>
      <w:proofErr w:type="gramEnd"/>
      <w:r w:rsidRPr="00534503">
        <w:rPr>
          <w:rFonts w:ascii="Arial" w:eastAsia="Calibri" w:hAnsi="Arial" w:cs="Arial"/>
          <w:color w:val="000000" w:themeColor="text1"/>
          <w:sz w:val="19"/>
          <w:szCs w:val="19"/>
          <w:lang w:val="es-ES_tradnl"/>
        </w:rPr>
        <w:t xml:space="preserve"> todo caso, se deberá garantizar la satisfacción de las condiciones técnicas y económicas requeridas en el Proceso de Contratación.</w:t>
      </w:r>
    </w:p>
    <w:p w14:paraId="52CD68D5" w14:textId="77777777" w:rsidR="00C83429" w:rsidRPr="00534503" w:rsidRDefault="00C83429" w:rsidP="00C83429">
      <w:pPr>
        <w:ind w:firstLine="709"/>
        <w:jc w:val="both"/>
        <w:rPr>
          <w:rFonts w:ascii="Arial" w:eastAsia="Calibri" w:hAnsi="Arial" w:cs="Arial"/>
          <w:color w:val="000000" w:themeColor="text1"/>
          <w:sz w:val="19"/>
          <w:szCs w:val="19"/>
          <w:lang w:val="es-ES_tradnl"/>
        </w:rPr>
      </w:pPr>
      <w:proofErr w:type="gramStart"/>
      <w:r w:rsidRPr="00534503">
        <w:rPr>
          <w:rFonts w:ascii="Arial" w:eastAsia="Calibri" w:hAnsi="Arial" w:cs="Arial"/>
          <w:color w:val="000000" w:themeColor="text1"/>
          <w:sz w:val="19"/>
          <w:szCs w:val="19"/>
          <w:lang w:val="es-ES_tradnl"/>
        </w:rPr>
        <w:t>»De</w:t>
      </w:r>
      <w:proofErr w:type="gramEnd"/>
      <w:r w:rsidRPr="00534503">
        <w:rPr>
          <w:rFonts w:ascii="Arial" w:eastAsia="Calibri" w:hAnsi="Arial" w:cs="Arial"/>
          <w:color w:val="000000" w:themeColor="text1"/>
          <w:sz w:val="19"/>
          <w:szCs w:val="19"/>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2D3B8F9E" w14:textId="77777777" w:rsidR="00C83429" w:rsidRPr="00534503" w:rsidRDefault="00C83429" w:rsidP="00C83429">
      <w:pPr>
        <w:ind w:firstLine="709"/>
        <w:jc w:val="both"/>
        <w:rPr>
          <w:rFonts w:ascii="Arial" w:eastAsia="Calibri" w:hAnsi="Arial" w:cs="Arial"/>
          <w:color w:val="000000" w:themeColor="text1"/>
          <w:sz w:val="19"/>
          <w:szCs w:val="19"/>
          <w:lang w:val="es-ES_tradnl"/>
        </w:rPr>
      </w:pPr>
      <w:proofErr w:type="gramStart"/>
      <w:r w:rsidRPr="00534503">
        <w:rPr>
          <w:rFonts w:ascii="Arial" w:eastAsia="Calibri" w:hAnsi="Arial" w:cs="Arial"/>
          <w:color w:val="000000" w:themeColor="text1"/>
          <w:sz w:val="19"/>
          <w:szCs w:val="19"/>
          <w:lang w:val="es-ES_tradnl"/>
        </w:rPr>
        <w:t>»Parágrafo</w:t>
      </w:r>
      <w:proofErr w:type="gramEnd"/>
      <w:r w:rsidRPr="00534503">
        <w:rPr>
          <w:rFonts w:ascii="Arial" w:eastAsia="Calibri" w:hAnsi="Arial" w:cs="Arial"/>
          <w:color w:val="000000" w:themeColor="text1"/>
          <w:sz w:val="19"/>
          <w:szCs w:val="19"/>
          <w:lang w:val="es-ES_tradnl"/>
        </w:rPr>
        <w:t xml:space="preserve"> Primero. En los Procesos de Contratación que se desarrollen con base en el primer inciso, las entidades podrán realizar las convocatorias limitadas que beneficien a las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 xml:space="preserve"> del ámbito municipal o departamental correspondiente al de la ejecución del contrato.</w:t>
      </w:r>
    </w:p>
    <w:p w14:paraId="61016AE0" w14:textId="77777777" w:rsidR="00C83429" w:rsidRPr="00534503" w:rsidRDefault="00C83429" w:rsidP="00C83429">
      <w:pPr>
        <w:ind w:firstLine="709"/>
        <w:jc w:val="both"/>
        <w:rPr>
          <w:rFonts w:ascii="Arial" w:eastAsia="Calibri" w:hAnsi="Arial" w:cs="Arial"/>
          <w:color w:val="000000" w:themeColor="text1"/>
          <w:sz w:val="19"/>
          <w:szCs w:val="19"/>
          <w:lang w:val="es-ES_tradnl"/>
        </w:rPr>
      </w:pPr>
      <w:proofErr w:type="gramStart"/>
      <w:r w:rsidRPr="00534503">
        <w:rPr>
          <w:rFonts w:ascii="Arial" w:eastAsia="Calibri" w:hAnsi="Arial" w:cs="Arial"/>
          <w:color w:val="000000" w:themeColor="text1"/>
          <w:sz w:val="19"/>
          <w:szCs w:val="19"/>
          <w:lang w:val="es-ES_tradnl"/>
        </w:rPr>
        <w:t>»Parágrafo</w:t>
      </w:r>
      <w:proofErr w:type="gramEnd"/>
      <w:r w:rsidRPr="00534503">
        <w:rPr>
          <w:rFonts w:ascii="Arial" w:eastAsia="Calibri" w:hAnsi="Arial" w:cs="Arial"/>
          <w:color w:val="000000" w:themeColor="text1"/>
          <w:sz w:val="19"/>
          <w:szCs w:val="19"/>
          <w:lang w:val="es-ES_tradnl"/>
        </w:rPr>
        <w:t xml:space="preserve"> Segundo. Sin perjuicio de lo dispuesto en los artículos 5 y 6 de la Ley 1150 de 2007, para que las </w:t>
      </w:r>
      <w:proofErr w:type="spellStart"/>
      <w:r w:rsidRPr="00534503">
        <w:rPr>
          <w:rFonts w:ascii="Arial" w:eastAsia="Calibri" w:hAnsi="Arial" w:cs="Arial"/>
          <w:color w:val="000000" w:themeColor="text1"/>
          <w:sz w:val="19"/>
          <w:szCs w:val="19"/>
          <w:lang w:val="es-ES_tradnl"/>
        </w:rPr>
        <w:t>Mipymes</w:t>
      </w:r>
      <w:proofErr w:type="spellEnd"/>
      <w:r w:rsidRPr="00534503">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0E6E0259" w14:textId="77777777" w:rsidR="00C83429" w:rsidRPr="00534503" w:rsidRDefault="00C83429" w:rsidP="00C83429">
      <w:pPr>
        <w:ind w:firstLine="709"/>
        <w:jc w:val="both"/>
        <w:rPr>
          <w:rFonts w:ascii="Arial" w:eastAsia="Calibri" w:hAnsi="Arial" w:cs="Arial"/>
          <w:color w:val="000000" w:themeColor="text1"/>
          <w:sz w:val="19"/>
          <w:szCs w:val="19"/>
          <w:lang w:val="es-ES_tradnl"/>
        </w:rPr>
      </w:pPr>
      <w:proofErr w:type="gramStart"/>
      <w:r w:rsidRPr="00534503">
        <w:rPr>
          <w:rFonts w:ascii="Arial" w:eastAsia="Calibri" w:hAnsi="Arial" w:cs="Arial"/>
          <w:color w:val="000000" w:themeColor="text1"/>
          <w:sz w:val="19"/>
          <w:szCs w:val="19"/>
          <w:lang w:val="es-ES_tradnl"/>
        </w:rPr>
        <w:t>»Parágrafo</w:t>
      </w:r>
      <w:proofErr w:type="gramEnd"/>
      <w:r w:rsidRPr="00534503">
        <w:rPr>
          <w:rFonts w:ascii="Arial" w:eastAsia="Calibri" w:hAnsi="Arial" w:cs="Arial"/>
          <w:color w:val="000000" w:themeColor="text1"/>
          <w:sz w:val="19"/>
          <w:szCs w:val="19"/>
          <w:lang w:val="es-ES_tradnl"/>
        </w:rPr>
        <w:t xml:space="preserve"> Tercero. En la ejecución de los contratos a que se refiere el presente artículo, las entidades y los contratistas, deberán observar lo dispuesto en los artículos 90 a 95 de la Ley 418 de 1997 y las normas que la modifiquen, adicionen o subroguen."»  </w:t>
      </w:r>
    </w:p>
    <w:p w14:paraId="2D5CC42F" w14:textId="77777777" w:rsidR="00C83429" w:rsidRPr="00534503" w:rsidRDefault="00C83429" w:rsidP="00C83429">
      <w:pPr>
        <w:pStyle w:val="Textonotapie"/>
        <w:ind w:firstLine="709"/>
        <w:jc w:val="both"/>
        <w:rPr>
          <w:rFonts w:ascii="Arial" w:hAnsi="Arial" w:cs="Arial"/>
          <w:sz w:val="19"/>
          <w:szCs w:val="19"/>
          <w:lang w:val="es-ES_tradnl"/>
        </w:rPr>
      </w:pPr>
    </w:p>
  </w:footnote>
  <w:footnote w:id="12">
    <w:p w14:paraId="5ADF0D39" w14:textId="77777777" w:rsidR="00C83429" w:rsidRPr="00534503" w:rsidRDefault="00C83429" w:rsidP="00C83429">
      <w:pPr>
        <w:ind w:firstLine="709"/>
        <w:jc w:val="both"/>
        <w:rPr>
          <w:rFonts w:ascii="Arial" w:eastAsiaTheme="minorHAnsi" w:hAnsi="Arial" w:cs="Arial"/>
          <w:sz w:val="19"/>
          <w:szCs w:val="19"/>
          <w:lang w:val="es-ES" w:eastAsia="en-U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 xml:space="preserve">Corte Constitucional. Sentencia C-502 de 2012. Magistrada Ponente: </w:t>
      </w:r>
      <w:r w:rsidRPr="00534503">
        <w:rPr>
          <w:rFonts w:ascii="Arial" w:eastAsiaTheme="minorHAnsi" w:hAnsi="Arial" w:cs="Arial"/>
          <w:sz w:val="19"/>
          <w:szCs w:val="19"/>
          <w:lang w:val="es-ES" w:eastAsia="en-US"/>
        </w:rPr>
        <w:t>Adriana María Guillén Arango.</w:t>
      </w:r>
    </w:p>
    <w:p w14:paraId="3A0B2EDB" w14:textId="77777777" w:rsidR="00C83429" w:rsidRPr="00534503" w:rsidRDefault="00C83429" w:rsidP="00C83429">
      <w:pPr>
        <w:pStyle w:val="Textonotapie"/>
        <w:ind w:firstLine="709"/>
        <w:jc w:val="both"/>
        <w:rPr>
          <w:rFonts w:ascii="Arial" w:hAnsi="Arial" w:cs="Arial"/>
          <w:sz w:val="19"/>
          <w:szCs w:val="19"/>
          <w:lang w:val="es-ES"/>
        </w:rPr>
      </w:pPr>
      <w:r w:rsidRPr="00534503">
        <w:rPr>
          <w:rFonts w:ascii="Arial" w:hAnsi="Arial" w:cs="Arial"/>
          <w:sz w:val="19"/>
          <w:szCs w:val="19"/>
          <w:lang w:val="es-ES"/>
        </w:rPr>
        <w:t xml:space="preserve"> </w:t>
      </w:r>
    </w:p>
  </w:footnote>
  <w:footnote w:id="13">
    <w:p w14:paraId="5010FE51" w14:textId="4C1EC255" w:rsidR="006C1456" w:rsidRPr="006C1456" w:rsidRDefault="006C1456" w:rsidP="006C1456">
      <w:pPr>
        <w:pStyle w:val="Textonotapie"/>
        <w:ind w:firstLine="709"/>
        <w:jc w:val="both"/>
        <w:rPr>
          <w:lang w:val="es-CO"/>
        </w:rPr>
      </w:pPr>
      <w:r>
        <w:rPr>
          <w:rStyle w:val="Refdenotaalpie"/>
        </w:rPr>
        <w:footnoteRef/>
      </w:r>
      <w:r>
        <w:t xml:space="preserve"> </w:t>
      </w:r>
      <w:r w:rsidRPr="00534503">
        <w:rPr>
          <w:rFonts w:ascii="Arial" w:hAnsi="Arial" w:cs="Arial"/>
          <w:sz w:val="19"/>
          <w:szCs w:val="19"/>
          <w:lang w:val="es-ES"/>
        </w:rPr>
        <w:t>Corte Constitucional. Sentencia C-</w:t>
      </w:r>
      <w:r>
        <w:rPr>
          <w:rFonts w:ascii="Arial" w:hAnsi="Arial" w:cs="Arial"/>
          <w:sz w:val="19"/>
          <w:szCs w:val="19"/>
          <w:lang w:val="es-ES"/>
        </w:rPr>
        <w:t>270</w:t>
      </w:r>
      <w:r w:rsidRPr="00534503">
        <w:rPr>
          <w:rFonts w:ascii="Arial" w:hAnsi="Arial" w:cs="Arial"/>
          <w:sz w:val="19"/>
          <w:szCs w:val="19"/>
          <w:lang w:val="es-ES"/>
        </w:rPr>
        <w:t xml:space="preserve"> de 20</w:t>
      </w:r>
      <w:r>
        <w:rPr>
          <w:rFonts w:ascii="Arial" w:hAnsi="Arial" w:cs="Arial"/>
          <w:sz w:val="19"/>
          <w:szCs w:val="19"/>
          <w:lang w:val="es-ES"/>
        </w:rPr>
        <w:t>21</w:t>
      </w:r>
      <w:r w:rsidRPr="00534503">
        <w:rPr>
          <w:rFonts w:ascii="Arial" w:hAnsi="Arial" w:cs="Arial"/>
          <w:sz w:val="19"/>
          <w:szCs w:val="19"/>
          <w:lang w:val="es-ES"/>
        </w:rPr>
        <w:t xml:space="preserve">. Magistrada Ponente: </w:t>
      </w:r>
      <w:r w:rsidRPr="006C1456">
        <w:rPr>
          <w:rFonts w:ascii="Arial" w:hAnsi="Arial" w:cs="Arial"/>
          <w:sz w:val="19"/>
          <w:szCs w:val="19"/>
          <w:lang w:val="es-ES"/>
        </w:rPr>
        <w:t>Cristina Pardo Schlesinger</w:t>
      </w:r>
      <w:r w:rsidR="007413E7">
        <w:rPr>
          <w:rFonts w:ascii="Arial" w:hAnsi="Arial" w:cs="Arial"/>
          <w:sz w:val="19"/>
          <w:szCs w:val="19"/>
          <w:lang w:val="es-ES"/>
        </w:rPr>
        <w:t>.</w:t>
      </w:r>
    </w:p>
  </w:footnote>
  <w:footnote w:id="14">
    <w:p w14:paraId="4A16B208" w14:textId="77777777" w:rsidR="00BE06A9" w:rsidRDefault="00BE06A9" w:rsidP="00BE06A9">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63B8B219" w14:textId="77777777" w:rsidR="00BE06A9" w:rsidRDefault="00BE06A9" w:rsidP="00BE06A9">
      <w:pPr>
        <w:pStyle w:val="Textonotapie"/>
        <w:ind w:firstLine="709"/>
        <w:jc w:val="both"/>
        <w:rPr>
          <w:rFonts w:ascii="Arial" w:hAnsi="Arial" w:cs="Arial"/>
          <w:sz w:val="19"/>
          <w:szCs w:val="19"/>
          <w:lang w:val="es-ES"/>
        </w:rPr>
      </w:pPr>
      <w:proofErr w:type="gramStart"/>
      <w:r>
        <w:rPr>
          <w:rFonts w:ascii="Arial" w:hAnsi="Arial" w:cs="Arial"/>
          <w:sz w:val="19"/>
          <w:szCs w:val="19"/>
          <w:lang w:val="es-ES"/>
        </w:rPr>
        <w:t>»Si</w:t>
      </w:r>
      <w:proofErr w:type="gramEnd"/>
      <w:r>
        <w:rPr>
          <w:rFonts w:ascii="Arial" w:hAnsi="Arial" w:cs="Arial"/>
          <w:sz w:val="19"/>
          <w:szCs w:val="19"/>
          <w:lang w:val="es-ES"/>
        </w:rPr>
        <w:t xml:space="preserve"> persiste el empate, la Entidad Estatal debe utilizar las siguientes reglas de forma sucesiva y excluyente para seleccionar el oferente favorecido, respetando los compromisos adquiridos por Acuerdos Comerciales:</w:t>
      </w:r>
    </w:p>
    <w:p w14:paraId="3F955714" w14:textId="77777777" w:rsidR="00BE06A9" w:rsidRDefault="00BE06A9" w:rsidP="00BE06A9">
      <w:pPr>
        <w:pStyle w:val="Textonotapie"/>
        <w:ind w:firstLine="709"/>
        <w:jc w:val="both"/>
        <w:rPr>
          <w:rFonts w:ascii="Arial" w:hAnsi="Arial" w:cs="Arial"/>
          <w:sz w:val="19"/>
          <w:szCs w:val="19"/>
          <w:lang w:val="es-ES"/>
        </w:rPr>
      </w:pPr>
      <w:r>
        <w:rPr>
          <w:rFonts w:ascii="Arial" w:hAnsi="Arial" w:cs="Arial"/>
          <w:sz w:val="19"/>
          <w:szCs w:val="19"/>
          <w:lang w:val="es-ES"/>
        </w:rPr>
        <w:t>»1. Preferir la oferta de bienes o servicios nacionales frente a la oferta de bienes o servicios extranjeros.</w:t>
      </w:r>
    </w:p>
    <w:p w14:paraId="5F3A669E" w14:textId="77777777" w:rsidR="00BE06A9" w:rsidRDefault="00BE06A9" w:rsidP="00BE06A9">
      <w:pPr>
        <w:pStyle w:val="Textonotapie"/>
        <w:ind w:firstLine="709"/>
        <w:jc w:val="both"/>
        <w:rPr>
          <w:rFonts w:ascii="Arial" w:hAnsi="Arial" w:cs="Arial"/>
          <w:sz w:val="19"/>
          <w:szCs w:val="19"/>
          <w:lang w:val="es-ES"/>
        </w:rPr>
      </w:pPr>
      <w:r>
        <w:rPr>
          <w:rFonts w:ascii="Arial" w:hAnsi="Arial" w:cs="Arial"/>
          <w:sz w:val="19"/>
          <w:szCs w:val="19"/>
          <w:lang w:val="es-ES"/>
        </w:rPr>
        <w:t xml:space="preserve">»2. Preferir las ofertas presentada por una </w:t>
      </w:r>
      <w:proofErr w:type="spellStart"/>
      <w:r>
        <w:rPr>
          <w:rFonts w:ascii="Arial" w:hAnsi="Arial" w:cs="Arial"/>
          <w:sz w:val="19"/>
          <w:szCs w:val="19"/>
          <w:lang w:val="es-ES"/>
        </w:rPr>
        <w:t>Mipyme</w:t>
      </w:r>
      <w:proofErr w:type="spellEnd"/>
      <w:r>
        <w:rPr>
          <w:rFonts w:ascii="Arial" w:hAnsi="Arial" w:cs="Arial"/>
          <w:sz w:val="19"/>
          <w:szCs w:val="19"/>
          <w:lang w:val="es-ES"/>
        </w:rPr>
        <w:t xml:space="preserve"> nacional.</w:t>
      </w:r>
    </w:p>
    <w:p w14:paraId="5E7F98C2" w14:textId="77777777" w:rsidR="00BE06A9" w:rsidRDefault="00BE06A9" w:rsidP="00BE06A9">
      <w:pPr>
        <w:pStyle w:val="Textonotapie"/>
        <w:ind w:firstLine="709"/>
        <w:jc w:val="both"/>
        <w:rPr>
          <w:rFonts w:ascii="Arial" w:hAnsi="Arial" w:cs="Arial"/>
          <w:sz w:val="19"/>
          <w:szCs w:val="19"/>
          <w:lang w:val="es-ES"/>
        </w:rPr>
      </w:pPr>
      <w:r>
        <w:rPr>
          <w:rFonts w:ascii="Arial" w:hAnsi="Arial" w:cs="Arial"/>
          <w:sz w:val="19"/>
          <w:szCs w:val="19"/>
          <w:lang w:val="es-ES"/>
        </w:rPr>
        <w:t xml:space="preserve">»3. Preferir la oferta presentada por un consorcio, unión temporal o promesa de sociedad futura siempre que: (a) esté conformado por al menos una </w:t>
      </w:r>
      <w:proofErr w:type="spellStart"/>
      <w:r>
        <w:rPr>
          <w:rFonts w:ascii="Arial" w:hAnsi="Arial" w:cs="Arial"/>
          <w:sz w:val="19"/>
          <w:szCs w:val="19"/>
          <w:lang w:val="es-ES"/>
        </w:rPr>
        <w:t>Mipyme</w:t>
      </w:r>
      <w:proofErr w:type="spellEnd"/>
      <w:r>
        <w:rPr>
          <w:rFonts w:ascii="Arial" w:hAnsi="Arial" w:cs="Arial"/>
          <w:sz w:val="19"/>
          <w:szCs w:val="19"/>
          <w:lang w:val="es-ES"/>
        </w:rPr>
        <w:t xml:space="preserve"> nacional que tenga una participación de por lo menos el veinticinco por ciento (25%); (b) la </w:t>
      </w:r>
      <w:proofErr w:type="spellStart"/>
      <w:r>
        <w:rPr>
          <w:rFonts w:ascii="Arial" w:hAnsi="Arial" w:cs="Arial"/>
          <w:sz w:val="19"/>
          <w:szCs w:val="19"/>
          <w:lang w:val="es-ES"/>
        </w:rPr>
        <w:t>Mipyme</w:t>
      </w:r>
      <w:proofErr w:type="spellEnd"/>
      <w:r>
        <w:rPr>
          <w:rFonts w:ascii="Arial" w:hAnsi="Arial" w:cs="Arial"/>
          <w:sz w:val="19"/>
          <w:szCs w:val="19"/>
          <w:lang w:val="es-ES"/>
        </w:rPr>
        <w:t xml:space="preserve"> aporte mínimo el veinticinco por ciento (25%) de la experiencia acreditada en la oferta; y (c) ni la </w:t>
      </w:r>
      <w:proofErr w:type="spellStart"/>
      <w:r>
        <w:rPr>
          <w:rFonts w:ascii="Arial" w:hAnsi="Arial" w:cs="Arial"/>
          <w:sz w:val="19"/>
          <w:szCs w:val="19"/>
          <w:lang w:val="es-ES"/>
        </w:rPr>
        <w:t>Mipyme</w:t>
      </w:r>
      <w:proofErr w:type="spellEnd"/>
      <w:r>
        <w:rPr>
          <w:rFonts w:ascii="Arial" w:hAnsi="Arial" w:cs="Arial"/>
          <w:sz w:val="19"/>
          <w:szCs w:val="19"/>
          <w:lang w:val="es-ES"/>
        </w:rPr>
        <w:t>, ni sus accionistas, socios o representantes legales sean empleados, socios o accionistas de los miembros del consorcio, unión temporal o promesa de sociedad futura.</w:t>
      </w:r>
    </w:p>
    <w:p w14:paraId="601430C1" w14:textId="77777777" w:rsidR="00BE06A9" w:rsidRDefault="00BE06A9" w:rsidP="00BE06A9">
      <w:pPr>
        <w:pStyle w:val="Textonotapie"/>
        <w:ind w:firstLine="709"/>
        <w:jc w:val="both"/>
        <w:rPr>
          <w:rFonts w:ascii="Arial" w:hAnsi="Arial" w:cs="Arial"/>
          <w:sz w:val="19"/>
          <w:szCs w:val="19"/>
          <w:lang w:val="es-ES"/>
        </w:rPr>
      </w:pPr>
      <w:r>
        <w:rPr>
          <w:rFonts w:ascii="Arial" w:hAnsi="Arial" w:cs="Arial"/>
          <w:sz w:val="19"/>
          <w:szCs w:val="19"/>
          <w:lang w:val="es-ES"/>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19F33A2" w14:textId="77777777" w:rsidR="00BE06A9" w:rsidRDefault="00BE06A9" w:rsidP="00BE06A9">
      <w:pPr>
        <w:pStyle w:val="Textonotapie"/>
        <w:ind w:firstLine="709"/>
        <w:jc w:val="both"/>
        <w:rPr>
          <w:rFonts w:ascii="Arial" w:hAnsi="Arial" w:cs="Arial"/>
          <w:sz w:val="19"/>
          <w:szCs w:val="19"/>
          <w:lang w:val="es-CO"/>
        </w:rPr>
      </w:pPr>
      <w:r>
        <w:rPr>
          <w:rFonts w:ascii="Arial" w:hAnsi="Arial" w:cs="Arial"/>
          <w:sz w:val="19"/>
          <w:szCs w:val="19"/>
          <w:lang w:val="es-ES"/>
        </w:rPr>
        <w:t>»5. Utilizar un método aleatorio para seleccionar el oferente, método que deberá haber sido previsto en los pliegos de condiciones del Proceso de Contratación».</w:t>
      </w:r>
    </w:p>
  </w:footnote>
  <w:footnote w:id="15">
    <w:p w14:paraId="76AE6224" w14:textId="77777777" w:rsidR="009D1444" w:rsidRPr="009D1444" w:rsidRDefault="009D1444" w:rsidP="009D1444">
      <w:pPr>
        <w:pStyle w:val="Textonotapie"/>
        <w:ind w:firstLine="709"/>
        <w:jc w:val="both"/>
        <w:rPr>
          <w:rFonts w:ascii="Arial" w:hAnsi="Arial" w:cs="Arial"/>
          <w:sz w:val="19"/>
          <w:szCs w:val="19"/>
          <w:lang w:val="es-ES_tradnl"/>
        </w:rPr>
      </w:pPr>
      <w:r w:rsidRPr="009D1444">
        <w:rPr>
          <w:rStyle w:val="Refdenotaalpie"/>
          <w:rFonts w:ascii="Arial" w:hAnsi="Arial" w:cs="Arial"/>
          <w:sz w:val="19"/>
          <w:szCs w:val="19"/>
        </w:rPr>
        <w:footnoteRef/>
      </w:r>
      <w:r w:rsidRPr="009D1444">
        <w:rPr>
          <w:rFonts w:ascii="Arial" w:hAnsi="Arial" w:cs="Arial"/>
          <w:sz w:val="19"/>
          <w:szCs w:val="19"/>
        </w:rPr>
        <w:t xml:space="preserve"> </w:t>
      </w:r>
      <w:r w:rsidRPr="009D1444">
        <w:rPr>
          <w:rFonts w:ascii="Arial" w:hAnsi="Arial" w:cs="Arial"/>
          <w:sz w:val="19"/>
          <w:szCs w:val="19"/>
          <w:lang w:val="es-ES_tradnl"/>
        </w:rPr>
        <w:t>Esto se ratifica expresamente en el artículo 8 del Decreto 1860 del 24 de diciembre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el cual dispone que «Las disposiciones contenidas en el presente Decreto se aplicarán a los procedimientos de selección cuya invitación, aviso de convocatoria o documento equivalente se publique a los tres (3) meses contados a partir de su expedición. Este Decreto […] deroga el artículo 2.2.1.1.2.2.9. del Decreto 1082 de 2015, Único Reglamentario del Sector Administrativo de Planeación Nacional» (Énfasis fuera de texto).</w:t>
      </w:r>
    </w:p>
    <w:p w14:paraId="78E027B0" w14:textId="1AF808BA" w:rsidR="009D1444" w:rsidRPr="009D1444" w:rsidRDefault="009D1444">
      <w:pPr>
        <w:pStyle w:val="Textonotapie"/>
        <w:rPr>
          <w:lang w:val="es-CO"/>
        </w:rPr>
      </w:pPr>
    </w:p>
  </w:footnote>
  <w:footnote w:id="16">
    <w:p w14:paraId="5B53FCF8" w14:textId="1C840688" w:rsidR="00877A6B" w:rsidRPr="00877A6B" w:rsidRDefault="00877A6B" w:rsidP="009434E1">
      <w:pPr>
        <w:pStyle w:val="Textonotapie"/>
        <w:ind w:firstLine="709"/>
        <w:jc w:val="both"/>
        <w:rPr>
          <w:rFonts w:ascii="Arial" w:hAnsi="Arial" w:cs="Arial"/>
          <w:sz w:val="19"/>
          <w:szCs w:val="19"/>
        </w:rPr>
      </w:pPr>
      <w:r w:rsidRPr="00877A6B">
        <w:rPr>
          <w:rStyle w:val="Refdenotaalpie"/>
          <w:rFonts w:ascii="Arial" w:hAnsi="Arial" w:cs="Arial"/>
          <w:sz w:val="19"/>
          <w:szCs w:val="19"/>
        </w:rPr>
        <w:footnoteRef/>
      </w:r>
      <w:r w:rsidRPr="00877A6B">
        <w:rPr>
          <w:rFonts w:ascii="Arial" w:hAnsi="Arial" w:cs="Arial"/>
          <w:sz w:val="19"/>
          <w:szCs w:val="19"/>
        </w:rPr>
        <w:t xml:space="preserve"> </w:t>
      </w:r>
      <w:r w:rsidR="009434E1">
        <w:rPr>
          <w:rFonts w:ascii="Arial" w:hAnsi="Arial" w:cs="Arial"/>
          <w:sz w:val="19"/>
          <w:szCs w:val="19"/>
        </w:rPr>
        <w:t xml:space="preserve">Código Sustantivo del Trabajo </w:t>
      </w:r>
      <w:r w:rsidR="009434E1" w:rsidRPr="00A7133F">
        <w:rPr>
          <w:rFonts w:ascii="Arial" w:eastAsia="Calibri" w:hAnsi="Arial" w:cs="Arial"/>
          <w:color w:val="000000" w:themeColor="text1"/>
          <w:sz w:val="22"/>
          <w:lang w:val="es-ES_tradnl"/>
        </w:rPr>
        <w:t>«</w:t>
      </w:r>
      <w:r w:rsidR="0076304F" w:rsidRPr="00877A6B">
        <w:rPr>
          <w:rFonts w:ascii="Arial" w:hAnsi="Arial" w:cs="Arial"/>
          <w:sz w:val="19"/>
          <w:szCs w:val="19"/>
        </w:rPr>
        <w:t>Art</w:t>
      </w:r>
      <w:r w:rsidR="0076304F">
        <w:rPr>
          <w:rFonts w:ascii="Arial" w:hAnsi="Arial" w:cs="Arial"/>
          <w:sz w:val="19"/>
          <w:szCs w:val="19"/>
        </w:rPr>
        <w:t>í</w:t>
      </w:r>
      <w:r w:rsidR="0076304F" w:rsidRPr="00877A6B">
        <w:rPr>
          <w:rFonts w:ascii="Arial" w:hAnsi="Arial" w:cs="Arial"/>
          <w:sz w:val="19"/>
          <w:szCs w:val="19"/>
        </w:rPr>
        <w:t xml:space="preserve">culo 23. Elementos Esenciales. </w:t>
      </w:r>
      <w:r w:rsidRPr="00877A6B">
        <w:rPr>
          <w:rFonts w:ascii="Arial" w:hAnsi="Arial" w:cs="Arial"/>
          <w:sz w:val="19"/>
          <w:szCs w:val="19"/>
        </w:rPr>
        <w:t>&lt;Artículo subrogado por el artículo 1o. de la Ley 50 de 1990. El nuevo texto es el siguiente:&gt;</w:t>
      </w:r>
    </w:p>
    <w:p w14:paraId="1786574B" w14:textId="1861E166" w:rsidR="009434E1" w:rsidRDefault="009434E1" w:rsidP="009434E1">
      <w:pPr>
        <w:pStyle w:val="Textonotapie"/>
        <w:ind w:firstLine="709"/>
        <w:jc w:val="both"/>
        <w:rPr>
          <w:rFonts w:ascii="Arial" w:hAnsi="Arial" w:cs="Arial"/>
          <w:sz w:val="19"/>
          <w:szCs w:val="19"/>
        </w:rPr>
      </w:pPr>
      <w:r>
        <w:rPr>
          <w:rFonts w:ascii="Arial" w:hAnsi="Arial" w:cs="Arial"/>
          <w:sz w:val="19"/>
          <w:szCs w:val="19"/>
          <w:lang w:val="es-ES"/>
        </w:rPr>
        <w:t>»</w:t>
      </w:r>
      <w:r w:rsidR="00877A6B" w:rsidRPr="00877A6B">
        <w:rPr>
          <w:rFonts w:ascii="Arial" w:hAnsi="Arial" w:cs="Arial"/>
          <w:sz w:val="19"/>
          <w:szCs w:val="19"/>
        </w:rPr>
        <w:t>1. Para que haya contrato de trabajo se requiere que concurran estos tres elementos esenciales:</w:t>
      </w:r>
    </w:p>
    <w:p w14:paraId="1107A02F" w14:textId="6C98DBED" w:rsidR="009434E1" w:rsidRPr="00877A6B" w:rsidRDefault="00877A6B" w:rsidP="00877A6B">
      <w:pPr>
        <w:pStyle w:val="Textonotapie"/>
        <w:jc w:val="both"/>
        <w:rPr>
          <w:rFonts w:ascii="Arial" w:hAnsi="Arial" w:cs="Arial"/>
          <w:sz w:val="19"/>
          <w:szCs w:val="19"/>
        </w:rPr>
      </w:pPr>
      <w:r w:rsidRPr="00877A6B">
        <w:rPr>
          <w:rFonts w:ascii="Arial" w:hAnsi="Arial" w:cs="Arial"/>
          <w:sz w:val="19"/>
          <w:szCs w:val="19"/>
        </w:rPr>
        <w:t>a. La actividad personal del trabajador, es decir, realizada por sí mismo;</w:t>
      </w:r>
    </w:p>
    <w:p w14:paraId="56D38737" w14:textId="77777777" w:rsidR="00877A6B" w:rsidRPr="00877A6B" w:rsidRDefault="00877A6B" w:rsidP="00877A6B">
      <w:pPr>
        <w:pStyle w:val="Textonotapie"/>
        <w:jc w:val="both"/>
        <w:rPr>
          <w:rFonts w:ascii="Arial" w:hAnsi="Arial" w:cs="Arial"/>
          <w:sz w:val="19"/>
          <w:szCs w:val="19"/>
        </w:rPr>
      </w:pPr>
      <w:r w:rsidRPr="00877A6B">
        <w:rPr>
          <w:rFonts w:ascii="Arial" w:hAnsi="Arial" w:cs="Arial"/>
          <w:sz w:val="19"/>
          <w:szCs w:val="19"/>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4F3A3B57" w14:textId="41C6D8F0" w:rsidR="00877A6B" w:rsidRPr="00877A6B" w:rsidRDefault="00877A6B" w:rsidP="00877A6B">
      <w:pPr>
        <w:pStyle w:val="Textonotapie"/>
        <w:jc w:val="both"/>
        <w:rPr>
          <w:rFonts w:ascii="Arial" w:hAnsi="Arial" w:cs="Arial"/>
          <w:sz w:val="19"/>
          <w:szCs w:val="19"/>
        </w:rPr>
      </w:pPr>
      <w:r w:rsidRPr="00877A6B">
        <w:rPr>
          <w:rFonts w:ascii="Arial" w:hAnsi="Arial" w:cs="Arial"/>
          <w:sz w:val="19"/>
          <w:szCs w:val="19"/>
        </w:rPr>
        <w:t>c. Un salario como retribución del servicio.</w:t>
      </w:r>
    </w:p>
    <w:p w14:paraId="52A79D3A" w14:textId="72085B2D" w:rsidR="00877A6B" w:rsidRDefault="009434E1" w:rsidP="009434E1">
      <w:pPr>
        <w:pStyle w:val="Textonotapie"/>
        <w:ind w:firstLine="709"/>
        <w:jc w:val="both"/>
      </w:pPr>
      <w:r>
        <w:rPr>
          <w:rFonts w:ascii="Arial" w:hAnsi="Arial" w:cs="Arial"/>
          <w:sz w:val="19"/>
          <w:szCs w:val="19"/>
          <w:lang w:val="es-ES"/>
        </w:rPr>
        <w:t>»</w:t>
      </w:r>
      <w:r w:rsidR="00877A6B" w:rsidRPr="00877A6B">
        <w:rPr>
          <w:rFonts w:ascii="Arial" w:hAnsi="Arial" w:cs="Arial"/>
          <w:sz w:val="19"/>
          <w:szCs w:val="19"/>
        </w:rPr>
        <w:t>2. Una vez reunidos los tres elementos de que trata este artículo, se entiende que existe contrato de trabajo y no deja de serlo por razón del nombre que se le dé ni de otras condiciones o modalidades que se le agreguen</w:t>
      </w:r>
      <w:r>
        <w:rPr>
          <w:rFonts w:ascii="Arial" w:hAnsi="Arial" w:cs="Arial"/>
          <w:sz w:val="19"/>
          <w:szCs w:val="19"/>
          <w:lang w:val="es-ES"/>
        </w:rPr>
        <w:t>»</w:t>
      </w:r>
      <w:r w:rsidR="0076304F">
        <w:rPr>
          <w:rFonts w:ascii="Arial" w:hAnsi="Arial" w:cs="Arial"/>
          <w:sz w:val="19"/>
          <w:szCs w:val="19"/>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09937937">
    <w:abstractNumId w:val="15"/>
  </w:num>
  <w:num w:numId="2" w16cid:durableId="344596727">
    <w:abstractNumId w:val="13"/>
  </w:num>
  <w:num w:numId="3" w16cid:durableId="1645305663">
    <w:abstractNumId w:val="23"/>
  </w:num>
  <w:num w:numId="4" w16cid:durableId="774327430">
    <w:abstractNumId w:val="28"/>
  </w:num>
  <w:num w:numId="5" w16cid:durableId="1121339276">
    <w:abstractNumId w:val="32"/>
  </w:num>
  <w:num w:numId="6" w16cid:durableId="113668458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7538536">
    <w:abstractNumId w:val="29"/>
  </w:num>
  <w:num w:numId="8" w16cid:durableId="185367885">
    <w:abstractNumId w:val="3"/>
  </w:num>
  <w:num w:numId="9" w16cid:durableId="937561231">
    <w:abstractNumId w:val="8"/>
  </w:num>
  <w:num w:numId="10" w16cid:durableId="1108889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2507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2346647">
    <w:abstractNumId w:val="14"/>
  </w:num>
  <w:num w:numId="13" w16cid:durableId="466630445">
    <w:abstractNumId w:val="21"/>
  </w:num>
  <w:num w:numId="14" w16cid:durableId="562570330">
    <w:abstractNumId w:val="11"/>
  </w:num>
  <w:num w:numId="15" w16cid:durableId="51098907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09119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3102863">
    <w:abstractNumId w:val="34"/>
  </w:num>
  <w:num w:numId="18" w16cid:durableId="2112510469">
    <w:abstractNumId w:val="24"/>
  </w:num>
  <w:num w:numId="19" w16cid:durableId="1363093754">
    <w:abstractNumId w:val="7"/>
  </w:num>
  <w:num w:numId="20" w16cid:durableId="2047439269">
    <w:abstractNumId w:val="35"/>
  </w:num>
  <w:num w:numId="21" w16cid:durableId="1875463780">
    <w:abstractNumId w:val="26"/>
  </w:num>
  <w:num w:numId="22" w16cid:durableId="760293513">
    <w:abstractNumId w:val="10"/>
  </w:num>
  <w:num w:numId="23" w16cid:durableId="214968933">
    <w:abstractNumId w:val="9"/>
  </w:num>
  <w:num w:numId="24" w16cid:durableId="888498460">
    <w:abstractNumId w:val="30"/>
  </w:num>
  <w:num w:numId="25" w16cid:durableId="594215274">
    <w:abstractNumId w:val="17"/>
  </w:num>
  <w:num w:numId="26" w16cid:durableId="2092657406">
    <w:abstractNumId w:val="33"/>
  </w:num>
  <w:num w:numId="27" w16cid:durableId="425998908">
    <w:abstractNumId w:val="37"/>
  </w:num>
  <w:num w:numId="28" w16cid:durableId="213858356">
    <w:abstractNumId w:val="22"/>
  </w:num>
  <w:num w:numId="29" w16cid:durableId="1829007013">
    <w:abstractNumId w:val="2"/>
  </w:num>
  <w:num w:numId="30" w16cid:durableId="1489247377">
    <w:abstractNumId w:val="25"/>
  </w:num>
  <w:num w:numId="31" w16cid:durableId="1419014922">
    <w:abstractNumId w:val="18"/>
  </w:num>
  <w:num w:numId="32" w16cid:durableId="1857815107">
    <w:abstractNumId w:val="27"/>
  </w:num>
  <w:num w:numId="33" w16cid:durableId="1212620340">
    <w:abstractNumId w:val="36"/>
  </w:num>
  <w:num w:numId="34" w16cid:durableId="562565422">
    <w:abstractNumId w:val="16"/>
  </w:num>
  <w:num w:numId="35" w16cid:durableId="407651366">
    <w:abstractNumId w:val="1"/>
  </w:num>
  <w:num w:numId="36" w16cid:durableId="1355114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4475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0852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9740467">
    <w:abstractNumId w:val="5"/>
  </w:num>
  <w:num w:numId="40" w16cid:durableId="21269243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31A8"/>
    <w:rsid w:val="00003233"/>
    <w:rsid w:val="00003C5C"/>
    <w:rsid w:val="000040D7"/>
    <w:rsid w:val="00004556"/>
    <w:rsid w:val="00005003"/>
    <w:rsid w:val="000051AF"/>
    <w:rsid w:val="00005958"/>
    <w:rsid w:val="000059D3"/>
    <w:rsid w:val="0000600A"/>
    <w:rsid w:val="00006081"/>
    <w:rsid w:val="000060D0"/>
    <w:rsid w:val="00006FBE"/>
    <w:rsid w:val="00007011"/>
    <w:rsid w:val="000075EA"/>
    <w:rsid w:val="00007750"/>
    <w:rsid w:val="000077FD"/>
    <w:rsid w:val="00007E37"/>
    <w:rsid w:val="00010408"/>
    <w:rsid w:val="00010C33"/>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1C0A"/>
    <w:rsid w:val="0002256F"/>
    <w:rsid w:val="00023DAE"/>
    <w:rsid w:val="00023FA5"/>
    <w:rsid w:val="00024592"/>
    <w:rsid w:val="00024896"/>
    <w:rsid w:val="000258A6"/>
    <w:rsid w:val="00026092"/>
    <w:rsid w:val="000263F0"/>
    <w:rsid w:val="00026407"/>
    <w:rsid w:val="000264F6"/>
    <w:rsid w:val="00026608"/>
    <w:rsid w:val="00026A07"/>
    <w:rsid w:val="0002738B"/>
    <w:rsid w:val="00027545"/>
    <w:rsid w:val="00027787"/>
    <w:rsid w:val="000278D2"/>
    <w:rsid w:val="000278DF"/>
    <w:rsid w:val="000301F6"/>
    <w:rsid w:val="00031136"/>
    <w:rsid w:val="00031384"/>
    <w:rsid w:val="000315E1"/>
    <w:rsid w:val="0003236E"/>
    <w:rsid w:val="000331FB"/>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478A8"/>
    <w:rsid w:val="000504DE"/>
    <w:rsid w:val="00050552"/>
    <w:rsid w:val="00051074"/>
    <w:rsid w:val="00052B79"/>
    <w:rsid w:val="00052EA0"/>
    <w:rsid w:val="000536E3"/>
    <w:rsid w:val="00054252"/>
    <w:rsid w:val="0005474D"/>
    <w:rsid w:val="00055CB9"/>
    <w:rsid w:val="00056130"/>
    <w:rsid w:val="00056F66"/>
    <w:rsid w:val="0005702F"/>
    <w:rsid w:val="00057661"/>
    <w:rsid w:val="0005779C"/>
    <w:rsid w:val="000579D5"/>
    <w:rsid w:val="00061D06"/>
    <w:rsid w:val="000621CB"/>
    <w:rsid w:val="0006294B"/>
    <w:rsid w:val="00062CDD"/>
    <w:rsid w:val="00063FA5"/>
    <w:rsid w:val="000640AF"/>
    <w:rsid w:val="00064940"/>
    <w:rsid w:val="00064CAE"/>
    <w:rsid w:val="00064DB7"/>
    <w:rsid w:val="00064FA7"/>
    <w:rsid w:val="00065195"/>
    <w:rsid w:val="00065A8B"/>
    <w:rsid w:val="00070AF1"/>
    <w:rsid w:val="0007147D"/>
    <w:rsid w:val="000714DE"/>
    <w:rsid w:val="0007254F"/>
    <w:rsid w:val="00073015"/>
    <w:rsid w:val="00073018"/>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4C21"/>
    <w:rsid w:val="0008510E"/>
    <w:rsid w:val="000856DE"/>
    <w:rsid w:val="00085F17"/>
    <w:rsid w:val="00085FB3"/>
    <w:rsid w:val="0008686B"/>
    <w:rsid w:val="000868FC"/>
    <w:rsid w:val="00086B2A"/>
    <w:rsid w:val="00086ED2"/>
    <w:rsid w:val="000875FD"/>
    <w:rsid w:val="00087A95"/>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4B8F"/>
    <w:rsid w:val="000A5AAF"/>
    <w:rsid w:val="000A5F97"/>
    <w:rsid w:val="000A648E"/>
    <w:rsid w:val="000A6CC4"/>
    <w:rsid w:val="000A73BB"/>
    <w:rsid w:val="000A7EF4"/>
    <w:rsid w:val="000B0A15"/>
    <w:rsid w:val="000B0DF3"/>
    <w:rsid w:val="000B103F"/>
    <w:rsid w:val="000B1437"/>
    <w:rsid w:val="000B1470"/>
    <w:rsid w:val="000B2B86"/>
    <w:rsid w:val="000B3051"/>
    <w:rsid w:val="000B419B"/>
    <w:rsid w:val="000B4716"/>
    <w:rsid w:val="000B56E7"/>
    <w:rsid w:val="000B5781"/>
    <w:rsid w:val="000B5891"/>
    <w:rsid w:val="000C0185"/>
    <w:rsid w:val="000C0444"/>
    <w:rsid w:val="000C0960"/>
    <w:rsid w:val="000C0F81"/>
    <w:rsid w:val="000C128D"/>
    <w:rsid w:val="000C17A3"/>
    <w:rsid w:val="000C1D4B"/>
    <w:rsid w:val="000C3260"/>
    <w:rsid w:val="000C3616"/>
    <w:rsid w:val="000C3803"/>
    <w:rsid w:val="000C3B77"/>
    <w:rsid w:val="000C45E8"/>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D7D51"/>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63D"/>
    <w:rsid w:val="000F2739"/>
    <w:rsid w:val="000F3138"/>
    <w:rsid w:val="000F3D39"/>
    <w:rsid w:val="000F4403"/>
    <w:rsid w:val="000F4C3F"/>
    <w:rsid w:val="000F4E17"/>
    <w:rsid w:val="000F6578"/>
    <w:rsid w:val="000F70CD"/>
    <w:rsid w:val="000F70EF"/>
    <w:rsid w:val="000F79F9"/>
    <w:rsid w:val="000F7ABD"/>
    <w:rsid w:val="000F7E8F"/>
    <w:rsid w:val="000F7FBB"/>
    <w:rsid w:val="001000FB"/>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59"/>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5E9"/>
    <w:rsid w:val="00127AF2"/>
    <w:rsid w:val="00127EDC"/>
    <w:rsid w:val="00127F6D"/>
    <w:rsid w:val="00130355"/>
    <w:rsid w:val="0013160C"/>
    <w:rsid w:val="00131A8C"/>
    <w:rsid w:val="00131B5A"/>
    <w:rsid w:val="00132C30"/>
    <w:rsid w:val="00132EFD"/>
    <w:rsid w:val="00133AED"/>
    <w:rsid w:val="00134FF9"/>
    <w:rsid w:val="001352AA"/>
    <w:rsid w:val="00135E88"/>
    <w:rsid w:val="0013695C"/>
    <w:rsid w:val="00136BF7"/>
    <w:rsid w:val="001378B9"/>
    <w:rsid w:val="00137FD1"/>
    <w:rsid w:val="00137FFA"/>
    <w:rsid w:val="00140109"/>
    <w:rsid w:val="0014029B"/>
    <w:rsid w:val="00140A4F"/>
    <w:rsid w:val="001413AB"/>
    <w:rsid w:val="00141DBC"/>
    <w:rsid w:val="001425E4"/>
    <w:rsid w:val="001432AF"/>
    <w:rsid w:val="00144335"/>
    <w:rsid w:val="0014502F"/>
    <w:rsid w:val="00145282"/>
    <w:rsid w:val="001453B0"/>
    <w:rsid w:val="001454D9"/>
    <w:rsid w:val="00145D8E"/>
    <w:rsid w:val="00146083"/>
    <w:rsid w:val="001462F7"/>
    <w:rsid w:val="001466F0"/>
    <w:rsid w:val="00147798"/>
    <w:rsid w:val="00150005"/>
    <w:rsid w:val="001512CC"/>
    <w:rsid w:val="00151B99"/>
    <w:rsid w:val="001521B2"/>
    <w:rsid w:val="00152288"/>
    <w:rsid w:val="00152EDD"/>
    <w:rsid w:val="00153491"/>
    <w:rsid w:val="0015361C"/>
    <w:rsid w:val="0015372F"/>
    <w:rsid w:val="00153A18"/>
    <w:rsid w:val="00153BFB"/>
    <w:rsid w:val="0015407E"/>
    <w:rsid w:val="0015448E"/>
    <w:rsid w:val="00154A6F"/>
    <w:rsid w:val="0015591B"/>
    <w:rsid w:val="00155D08"/>
    <w:rsid w:val="00156BE5"/>
    <w:rsid w:val="00157232"/>
    <w:rsid w:val="00160401"/>
    <w:rsid w:val="00160D4E"/>
    <w:rsid w:val="00161E62"/>
    <w:rsid w:val="00161F1C"/>
    <w:rsid w:val="0016200B"/>
    <w:rsid w:val="00163CD0"/>
    <w:rsid w:val="00163D7A"/>
    <w:rsid w:val="00164281"/>
    <w:rsid w:val="001645D2"/>
    <w:rsid w:val="00164AF1"/>
    <w:rsid w:val="001654DF"/>
    <w:rsid w:val="00165ED5"/>
    <w:rsid w:val="00167503"/>
    <w:rsid w:val="001676A9"/>
    <w:rsid w:val="00167A15"/>
    <w:rsid w:val="00167A50"/>
    <w:rsid w:val="00167D12"/>
    <w:rsid w:val="00167DF5"/>
    <w:rsid w:val="00167FBA"/>
    <w:rsid w:val="00170001"/>
    <w:rsid w:val="0017043A"/>
    <w:rsid w:val="001711FC"/>
    <w:rsid w:val="0017145A"/>
    <w:rsid w:val="00172198"/>
    <w:rsid w:val="001723DA"/>
    <w:rsid w:val="00172612"/>
    <w:rsid w:val="00172817"/>
    <w:rsid w:val="001734E3"/>
    <w:rsid w:val="0017350E"/>
    <w:rsid w:val="0017391B"/>
    <w:rsid w:val="001742BF"/>
    <w:rsid w:val="001749DF"/>
    <w:rsid w:val="00175884"/>
    <w:rsid w:val="00175E49"/>
    <w:rsid w:val="00176470"/>
    <w:rsid w:val="0017659F"/>
    <w:rsid w:val="00177076"/>
    <w:rsid w:val="001805C1"/>
    <w:rsid w:val="00180A2E"/>
    <w:rsid w:val="001813AF"/>
    <w:rsid w:val="001829CD"/>
    <w:rsid w:val="00182F01"/>
    <w:rsid w:val="00184F27"/>
    <w:rsid w:val="0018519B"/>
    <w:rsid w:val="00185AFE"/>
    <w:rsid w:val="00185E78"/>
    <w:rsid w:val="00187177"/>
    <w:rsid w:val="00187443"/>
    <w:rsid w:val="00187ABD"/>
    <w:rsid w:val="00187AC0"/>
    <w:rsid w:val="00187D24"/>
    <w:rsid w:val="001904E3"/>
    <w:rsid w:val="0019087A"/>
    <w:rsid w:val="00191395"/>
    <w:rsid w:val="00191787"/>
    <w:rsid w:val="00191C5A"/>
    <w:rsid w:val="00191CEB"/>
    <w:rsid w:val="00191E63"/>
    <w:rsid w:val="00192D68"/>
    <w:rsid w:val="0019388B"/>
    <w:rsid w:val="00193B52"/>
    <w:rsid w:val="00193B9A"/>
    <w:rsid w:val="001943E5"/>
    <w:rsid w:val="001946AE"/>
    <w:rsid w:val="001946D5"/>
    <w:rsid w:val="00194E8C"/>
    <w:rsid w:val="001962EC"/>
    <w:rsid w:val="001963DD"/>
    <w:rsid w:val="001965DB"/>
    <w:rsid w:val="0019691B"/>
    <w:rsid w:val="00196DC9"/>
    <w:rsid w:val="001A0236"/>
    <w:rsid w:val="001A08E1"/>
    <w:rsid w:val="001A0AF8"/>
    <w:rsid w:val="001A16A5"/>
    <w:rsid w:val="001A18D5"/>
    <w:rsid w:val="001A1D4A"/>
    <w:rsid w:val="001A2D40"/>
    <w:rsid w:val="001A3011"/>
    <w:rsid w:val="001A325B"/>
    <w:rsid w:val="001A4A08"/>
    <w:rsid w:val="001A4DAF"/>
    <w:rsid w:val="001A54FD"/>
    <w:rsid w:val="001A59FB"/>
    <w:rsid w:val="001A5E92"/>
    <w:rsid w:val="001A665D"/>
    <w:rsid w:val="001A66DF"/>
    <w:rsid w:val="001A67D0"/>
    <w:rsid w:val="001A6BF1"/>
    <w:rsid w:val="001A6C2B"/>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B6973"/>
    <w:rsid w:val="001C07C6"/>
    <w:rsid w:val="001C08B2"/>
    <w:rsid w:val="001C0E44"/>
    <w:rsid w:val="001C19CD"/>
    <w:rsid w:val="001C22D5"/>
    <w:rsid w:val="001C2515"/>
    <w:rsid w:val="001C2550"/>
    <w:rsid w:val="001C26FB"/>
    <w:rsid w:val="001C33C1"/>
    <w:rsid w:val="001C3BF6"/>
    <w:rsid w:val="001C3E30"/>
    <w:rsid w:val="001C3E5C"/>
    <w:rsid w:val="001C41BE"/>
    <w:rsid w:val="001C5072"/>
    <w:rsid w:val="001C5B2A"/>
    <w:rsid w:val="001C600B"/>
    <w:rsid w:val="001C6407"/>
    <w:rsid w:val="001C6621"/>
    <w:rsid w:val="001C6898"/>
    <w:rsid w:val="001C6DD8"/>
    <w:rsid w:val="001C7C7B"/>
    <w:rsid w:val="001D068D"/>
    <w:rsid w:val="001D0A71"/>
    <w:rsid w:val="001D12D1"/>
    <w:rsid w:val="001D15DF"/>
    <w:rsid w:val="001D19A6"/>
    <w:rsid w:val="001D2970"/>
    <w:rsid w:val="001D30F3"/>
    <w:rsid w:val="001D31A0"/>
    <w:rsid w:val="001D338E"/>
    <w:rsid w:val="001D3D3F"/>
    <w:rsid w:val="001D4141"/>
    <w:rsid w:val="001D4E70"/>
    <w:rsid w:val="001D56E9"/>
    <w:rsid w:val="001D57F0"/>
    <w:rsid w:val="001D790F"/>
    <w:rsid w:val="001D7923"/>
    <w:rsid w:val="001D796A"/>
    <w:rsid w:val="001D7A84"/>
    <w:rsid w:val="001D7C79"/>
    <w:rsid w:val="001E0E15"/>
    <w:rsid w:val="001E0EFD"/>
    <w:rsid w:val="001E15F0"/>
    <w:rsid w:val="001E1CC4"/>
    <w:rsid w:val="001E1D38"/>
    <w:rsid w:val="001E1DEE"/>
    <w:rsid w:val="001E250D"/>
    <w:rsid w:val="001E4258"/>
    <w:rsid w:val="001E4587"/>
    <w:rsid w:val="001E56FF"/>
    <w:rsid w:val="001E5A69"/>
    <w:rsid w:val="001E5B84"/>
    <w:rsid w:val="001E5D6A"/>
    <w:rsid w:val="001E70FB"/>
    <w:rsid w:val="001E780A"/>
    <w:rsid w:val="001F07D6"/>
    <w:rsid w:val="001F0FA0"/>
    <w:rsid w:val="001F1349"/>
    <w:rsid w:val="001F1863"/>
    <w:rsid w:val="001F1F02"/>
    <w:rsid w:val="001F232D"/>
    <w:rsid w:val="001F2356"/>
    <w:rsid w:val="001F2A68"/>
    <w:rsid w:val="001F2C3C"/>
    <w:rsid w:val="001F3380"/>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82"/>
    <w:rsid w:val="00204D91"/>
    <w:rsid w:val="00204E6B"/>
    <w:rsid w:val="002058D4"/>
    <w:rsid w:val="00205BAA"/>
    <w:rsid w:val="0020632A"/>
    <w:rsid w:val="0020697F"/>
    <w:rsid w:val="002110EB"/>
    <w:rsid w:val="00211338"/>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46A"/>
    <w:rsid w:val="00226DF9"/>
    <w:rsid w:val="002270C9"/>
    <w:rsid w:val="00227A8B"/>
    <w:rsid w:val="0023146B"/>
    <w:rsid w:val="00231540"/>
    <w:rsid w:val="002315A0"/>
    <w:rsid w:val="00231CE0"/>
    <w:rsid w:val="00231EC7"/>
    <w:rsid w:val="00232A6C"/>
    <w:rsid w:val="00232E15"/>
    <w:rsid w:val="00233079"/>
    <w:rsid w:val="0023382C"/>
    <w:rsid w:val="00233977"/>
    <w:rsid w:val="00233C58"/>
    <w:rsid w:val="00233C71"/>
    <w:rsid w:val="002345B6"/>
    <w:rsid w:val="00234B84"/>
    <w:rsid w:val="00236016"/>
    <w:rsid w:val="00236E24"/>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E90"/>
    <w:rsid w:val="00244F9A"/>
    <w:rsid w:val="00245718"/>
    <w:rsid w:val="00245E07"/>
    <w:rsid w:val="00246CD4"/>
    <w:rsid w:val="002471A2"/>
    <w:rsid w:val="0024729C"/>
    <w:rsid w:val="00247712"/>
    <w:rsid w:val="00247780"/>
    <w:rsid w:val="00250EC6"/>
    <w:rsid w:val="00251866"/>
    <w:rsid w:val="00251A9F"/>
    <w:rsid w:val="00252492"/>
    <w:rsid w:val="00252B35"/>
    <w:rsid w:val="0025316D"/>
    <w:rsid w:val="002532F4"/>
    <w:rsid w:val="00253A02"/>
    <w:rsid w:val="00253B81"/>
    <w:rsid w:val="0025431A"/>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2422"/>
    <w:rsid w:val="00263101"/>
    <w:rsid w:val="00263201"/>
    <w:rsid w:val="00263A37"/>
    <w:rsid w:val="00264F98"/>
    <w:rsid w:val="002653A6"/>
    <w:rsid w:val="0026608D"/>
    <w:rsid w:val="002661F1"/>
    <w:rsid w:val="002663BA"/>
    <w:rsid w:val="002664B7"/>
    <w:rsid w:val="00266CB5"/>
    <w:rsid w:val="002711A4"/>
    <w:rsid w:val="00271201"/>
    <w:rsid w:val="00271F13"/>
    <w:rsid w:val="002721E2"/>
    <w:rsid w:val="00274787"/>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53"/>
    <w:rsid w:val="00292E64"/>
    <w:rsid w:val="002932BA"/>
    <w:rsid w:val="00293669"/>
    <w:rsid w:val="00294368"/>
    <w:rsid w:val="00294B78"/>
    <w:rsid w:val="00295949"/>
    <w:rsid w:val="00296150"/>
    <w:rsid w:val="0029624A"/>
    <w:rsid w:val="00296922"/>
    <w:rsid w:val="00297098"/>
    <w:rsid w:val="002A05D4"/>
    <w:rsid w:val="002A09FF"/>
    <w:rsid w:val="002A0E60"/>
    <w:rsid w:val="002A1490"/>
    <w:rsid w:val="002A1A58"/>
    <w:rsid w:val="002A1B02"/>
    <w:rsid w:val="002A1C53"/>
    <w:rsid w:val="002A28FC"/>
    <w:rsid w:val="002A2B44"/>
    <w:rsid w:val="002A2EA5"/>
    <w:rsid w:val="002A3D40"/>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0BA"/>
    <w:rsid w:val="002C441A"/>
    <w:rsid w:val="002C4A73"/>
    <w:rsid w:val="002C4B84"/>
    <w:rsid w:val="002C4C0C"/>
    <w:rsid w:val="002C5016"/>
    <w:rsid w:val="002C5C2F"/>
    <w:rsid w:val="002C5D0F"/>
    <w:rsid w:val="002C5E87"/>
    <w:rsid w:val="002C60B9"/>
    <w:rsid w:val="002C6E93"/>
    <w:rsid w:val="002C6F77"/>
    <w:rsid w:val="002C704D"/>
    <w:rsid w:val="002C711C"/>
    <w:rsid w:val="002D0845"/>
    <w:rsid w:val="002D0933"/>
    <w:rsid w:val="002D0AF0"/>
    <w:rsid w:val="002D19BB"/>
    <w:rsid w:val="002D1A9B"/>
    <w:rsid w:val="002D22C5"/>
    <w:rsid w:val="002D301F"/>
    <w:rsid w:val="002D302A"/>
    <w:rsid w:val="002D36C6"/>
    <w:rsid w:val="002D37C1"/>
    <w:rsid w:val="002D444B"/>
    <w:rsid w:val="002D4A45"/>
    <w:rsid w:val="002D4A73"/>
    <w:rsid w:val="002D4AB1"/>
    <w:rsid w:val="002D4B42"/>
    <w:rsid w:val="002D4DBA"/>
    <w:rsid w:val="002D4F5F"/>
    <w:rsid w:val="002D5A1B"/>
    <w:rsid w:val="002D65BC"/>
    <w:rsid w:val="002D6D7E"/>
    <w:rsid w:val="002D7EDD"/>
    <w:rsid w:val="002E055C"/>
    <w:rsid w:val="002E1050"/>
    <w:rsid w:val="002E18E5"/>
    <w:rsid w:val="002E1953"/>
    <w:rsid w:val="002E29A0"/>
    <w:rsid w:val="002E2D7D"/>
    <w:rsid w:val="002E3AB5"/>
    <w:rsid w:val="002E3D76"/>
    <w:rsid w:val="002E40A1"/>
    <w:rsid w:val="002E48EC"/>
    <w:rsid w:val="002E4B44"/>
    <w:rsid w:val="002E4ECB"/>
    <w:rsid w:val="002E4F23"/>
    <w:rsid w:val="002E5B53"/>
    <w:rsid w:val="002E7257"/>
    <w:rsid w:val="002E7847"/>
    <w:rsid w:val="002E7A65"/>
    <w:rsid w:val="002E7FCF"/>
    <w:rsid w:val="002F0073"/>
    <w:rsid w:val="002F0544"/>
    <w:rsid w:val="002F0618"/>
    <w:rsid w:val="002F1302"/>
    <w:rsid w:val="002F170E"/>
    <w:rsid w:val="002F1D41"/>
    <w:rsid w:val="002F240B"/>
    <w:rsid w:val="002F2F50"/>
    <w:rsid w:val="002F3601"/>
    <w:rsid w:val="002F45F6"/>
    <w:rsid w:val="002F692F"/>
    <w:rsid w:val="002F69BE"/>
    <w:rsid w:val="002F7B66"/>
    <w:rsid w:val="00300CB4"/>
    <w:rsid w:val="00300E24"/>
    <w:rsid w:val="0030101C"/>
    <w:rsid w:val="003033BA"/>
    <w:rsid w:val="003043A3"/>
    <w:rsid w:val="00304BD4"/>
    <w:rsid w:val="00304C29"/>
    <w:rsid w:val="0030500A"/>
    <w:rsid w:val="0030517B"/>
    <w:rsid w:val="003052EB"/>
    <w:rsid w:val="00305FCB"/>
    <w:rsid w:val="0030600C"/>
    <w:rsid w:val="003063C3"/>
    <w:rsid w:val="003068A3"/>
    <w:rsid w:val="00306B44"/>
    <w:rsid w:val="00307C44"/>
    <w:rsid w:val="00307CC0"/>
    <w:rsid w:val="0031088E"/>
    <w:rsid w:val="00310A35"/>
    <w:rsid w:val="00310CAF"/>
    <w:rsid w:val="00310D01"/>
    <w:rsid w:val="00311376"/>
    <w:rsid w:val="00311551"/>
    <w:rsid w:val="00311A1F"/>
    <w:rsid w:val="00311B47"/>
    <w:rsid w:val="00311D52"/>
    <w:rsid w:val="00312190"/>
    <w:rsid w:val="003125E0"/>
    <w:rsid w:val="00312606"/>
    <w:rsid w:val="0031271D"/>
    <w:rsid w:val="003128AD"/>
    <w:rsid w:val="00313447"/>
    <w:rsid w:val="00313748"/>
    <w:rsid w:val="00313EA3"/>
    <w:rsid w:val="00314F99"/>
    <w:rsid w:val="00315457"/>
    <w:rsid w:val="00315977"/>
    <w:rsid w:val="003161A4"/>
    <w:rsid w:val="00316955"/>
    <w:rsid w:val="0031720A"/>
    <w:rsid w:val="003173CF"/>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1D0"/>
    <w:rsid w:val="00323881"/>
    <w:rsid w:val="00323B73"/>
    <w:rsid w:val="00325D98"/>
    <w:rsid w:val="0032682A"/>
    <w:rsid w:val="0032785A"/>
    <w:rsid w:val="00327A5C"/>
    <w:rsid w:val="0033092C"/>
    <w:rsid w:val="0033122A"/>
    <w:rsid w:val="003315AC"/>
    <w:rsid w:val="00331932"/>
    <w:rsid w:val="00333A88"/>
    <w:rsid w:val="00333FFB"/>
    <w:rsid w:val="00334104"/>
    <w:rsid w:val="00335236"/>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6CF"/>
    <w:rsid w:val="00351E10"/>
    <w:rsid w:val="0035273A"/>
    <w:rsid w:val="00352D59"/>
    <w:rsid w:val="003533F4"/>
    <w:rsid w:val="003536F6"/>
    <w:rsid w:val="00353DD5"/>
    <w:rsid w:val="0035496B"/>
    <w:rsid w:val="00355131"/>
    <w:rsid w:val="00356438"/>
    <w:rsid w:val="00361A59"/>
    <w:rsid w:val="003631CC"/>
    <w:rsid w:val="00363348"/>
    <w:rsid w:val="00363857"/>
    <w:rsid w:val="003638C9"/>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C7C"/>
    <w:rsid w:val="003762F6"/>
    <w:rsid w:val="00376692"/>
    <w:rsid w:val="00377027"/>
    <w:rsid w:val="00377135"/>
    <w:rsid w:val="00380272"/>
    <w:rsid w:val="00380576"/>
    <w:rsid w:val="003805DB"/>
    <w:rsid w:val="003813F4"/>
    <w:rsid w:val="0038152A"/>
    <w:rsid w:val="00382AEF"/>
    <w:rsid w:val="00382BAD"/>
    <w:rsid w:val="00383A8D"/>
    <w:rsid w:val="00384DF1"/>
    <w:rsid w:val="00384FF3"/>
    <w:rsid w:val="00384FF6"/>
    <w:rsid w:val="00386456"/>
    <w:rsid w:val="003865A9"/>
    <w:rsid w:val="00387642"/>
    <w:rsid w:val="003877DE"/>
    <w:rsid w:val="00390BD6"/>
    <w:rsid w:val="00390F32"/>
    <w:rsid w:val="0039135E"/>
    <w:rsid w:val="0039200F"/>
    <w:rsid w:val="00392236"/>
    <w:rsid w:val="0039319C"/>
    <w:rsid w:val="003932A1"/>
    <w:rsid w:val="00393CAE"/>
    <w:rsid w:val="003945DC"/>
    <w:rsid w:val="003945F4"/>
    <w:rsid w:val="003948AA"/>
    <w:rsid w:val="00394EB5"/>
    <w:rsid w:val="003952C5"/>
    <w:rsid w:val="003953B4"/>
    <w:rsid w:val="0039615F"/>
    <w:rsid w:val="0039655C"/>
    <w:rsid w:val="00396A29"/>
    <w:rsid w:val="00397E1D"/>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586"/>
    <w:rsid w:val="003B5952"/>
    <w:rsid w:val="003B65D7"/>
    <w:rsid w:val="003B65E0"/>
    <w:rsid w:val="003B6A8A"/>
    <w:rsid w:val="003B6BD4"/>
    <w:rsid w:val="003B6F4D"/>
    <w:rsid w:val="003B6FE7"/>
    <w:rsid w:val="003B74E4"/>
    <w:rsid w:val="003B7D64"/>
    <w:rsid w:val="003C0060"/>
    <w:rsid w:val="003C0271"/>
    <w:rsid w:val="003C0791"/>
    <w:rsid w:val="003C080D"/>
    <w:rsid w:val="003C0D1F"/>
    <w:rsid w:val="003C116A"/>
    <w:rsid w:val="003C1AF4"/>
    <w:rsid w:val="003C1B63"/>
    <w:rsid w:val="003C1CB8"/>
    <w:rsid w:val="003C2550"/>
    <w:rsid w:val="003C287F"/>
    <w:rsid w:val="003C3339"/>
    <w:rsid w:val="003C375A"/>
    <w:rsid w:val="003C4121"/>
    <w:rsid w:val="003C43F6"/>
    <w:rsid w:val="003C4D9F"/>
    <w:rsid w:val="003C5C83"/>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5218"/>
    <w:rsid w:val="003D6B8F"/>
    <w:rsid w:val="003D6C69"/>
    <w:rsid w:val="003D7566"/>
    <w:rsid w:val="003D7C3A"/>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BFA"/>
    <w:rsid w:val="003F0F14"/>
    <w:rsid w:val="003F0F7F"/>
    <w:rsid w:val="003F2AB8"/>
    <w:rsid w:val="003F300D"/>
    <w:rsid w:val="003F391F"/>
    <w:rsid w:val="003F4599"/>
    <w:rsid w:val="003F45E1"/>
    <w:rsid w:val="003F47D7"/>
    <w:rsid w:val="003F4F6C"/>
    <w:rsid w:val="003F516A"/>
    <w:rsid w:val="003F52D4"/>
    <w:rsid w:val="003F559E"/>
    <w:rsid w:val="003F5DB7"/>
    <w:rsid w:val="003F6181"/>
    <w:rsid w:val="003F7343"/>
    <w:rsid w:val="00400002"/>
    <w:rsid w:val="00400054"/>
    <w:rsid w:val="0040047E"/>
    <w:rsid w:val="004006E8"/>
    <w:rsid w:val="004012EE"/>
    <w:rsid w:val="004016A3"/>
    <w:rsid w:val="00401B31"/>
    <w:rsid w:val="0040202B"/>
    <w:rsid w:val="00402DE1"/>
    <w:rsid w:val="00402EEB"/>
    <w:rsid w:val="004037C2"/>
    <w:rsid w:val="00403D55"/>
    <w:rsid w:val="00404041"/>
    <w:rsid w:val="00404B43"/>
    <w:rsid w:val="00404C61"/>
    <w:rsid w:val="00405328"/>
    <w:rsid w:val="00405487"/>
    <w:rsid w:val="0040602B"/>
    <w:rsid w:val="004078E7"/>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50D"/>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BD2"/>
    <w:rsid w:val="00421E00"/>
    <w:rsid w:val="00421FCB"/>
    <w:rsid w:val="00421FF6"/>
    <w:rsid w:val="004222E3"/>
    <w:rsid w:val="00422DCA"/>
    <w:rsid w:val="00423F9F"/>
    <w:rsid w:val="00424A7E"/>
    <w:rsid w:val="00424DAF"/>
    <w:rsid w:val="00425C43"/>
    <w:rsid w:val="00426C69"/>
    <w:rsid w:val="004273FA"/>
    <w:rsid w:val="00430186"/>
    <w:rsid w:val="00430740"/>
    <w:rsid w:val="0043269A"/>
    <w:rsid w:val="00432E14"/>
    <w:rsid w:val="0043318B"/>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1A"/>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602D6"/>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1E33"/>
    <w:rsid w:val="004820C3"/>
    <w:rsid w:val="00482507"/>
    <w:rsid w:val="0048268A"/>
    <w:rsid w:val="00483020"/>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8791D"/>
    <w:rsid w:val="0049029D"/>
    <w:rsid w:val="0049030C"/>
    <w:rsid w:val="004903C0"/>
    <w:rsid w:val="0049114B"/>
    <w:rsid w:val="004912A8"/>
    <w:rsid w:val="00491577"/>
    <w:rsid w:val="0049196E"/>
    <w:rsid w:val="00491ECA"/>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25E"/>
    <w:rsid w:val="004B578D"/>
    <w:rsid w:val="004B5BE7"/>
    <w:rsid w:val="004B5E2D"/>
    <w:rsid w:val="004B6793"/>
    <w:rsid w:val="004B6C07"/>
    <w:rsid w:val="004B74D3"/>
    <w:rsid w:val="004B76D3"/>
    <w:rsid w:val="004B788E"/>
    <w:rsid w:val="004B7E5D"/>
    <w:rsid w:val="004C0DD8"/>
    <w:rsid w:val="004C22F7"/>
    <w:rsid w:val="004C256A"/>
    <w:rsid w:val="004C2B27"/>
    <w:rsid w:val="004C2DD8"/>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9F3"/>
    <w:rsid w:val="004D3BD1"/>
    <w:rsid w:val="004D41A2"/>
    <w:rsid w:val="004D4BA1"/>
    <w:rsid w:val="004D5451"/>
    <w:rsid w:val="004D584D"/>
    <w:rsid w:val="004D6826"/>
    <w:rsid w:val="004E023F"/>
    <w:rsid w:val="004E0742"/>
    <w:rsid w:val="004E0C64"/>
    <w:rsid w:val="004E0F6B"/>
    <w:rsid w:val="004E1545"/>
    <w:rsid w:val="004E1F1C"/>
    <w:rsid w:val="004E2A35"/>
    <w:rsid w:val="004E2E67"/>
    <w:rsid w:val="004E38A2"/>
    <w:rsid w:val="004E40CE"/>
    <w:rsid w:val="004E4465"/>
    <w:rsid w:val="004E518D"/>
    <w:rsid w:val="004E5736"/>
    <w:rsid w:val="004E5B36"/>
    <w:rsid w:val="004E6045"/>
    <w:rsid w:val="004E6F43"/>
    <w:rsid w:val="004E7200"/>
    <w:rsid w:val="004E7815"/>
    <w:rsid w:val="004F034D"/>
    <w:rsid w:val="004F091D"/>
    <w:rsid w:val="004F0960"/>
    <w:rsid w:val="004F0A5C"/>
    <w:rsid w:val="004F163F"/>
    <w:rsid w:val="004F18A0"/>
    <w:rsid w:val="004F1A08"/>
    <w:rsid w:val="004F2B64"/>
    <w:rsid w:val="004F2EE3"/>
    <w:rsid w:val="004F3613"/>
    <w:rsid w:val="004F3764"/>
    <w:rsid w:val="004F3EEF"/>
    <w:rsid w:val="004F4A49"/>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1C4F"/>
    <w:rsid w:val="005024C8"/>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1D70"/>
    <w:rsid w:val="005224E5"/>
    <w:rsid w:val="005226BE"/>
    <w:rsid w:val="00523903"/>
    <w:rsid w:val="005239B6"/>
    <w:rsid w:val="00523C45"/>
    <w:rsid w:val="00524165"/>
    <w:rsid w:val="005242BA"/>
    <w:rsid w:val="005246E7"/>
    <w:rsid w:val="00524FD2"/>
    <w:rsid w:val="00525621"/>
    <w:rsid w:val="00526431"/>
    <w:rsid w:val="005265D8"/>
    <w:rsid w:val="005279FC"/>
    <w:rsid w:val="00527C6B"/>
    <w:rsid w:val="00527E57"/>
    <w:rsid w:val="00530405"/>
    <w:rsid w:val="00530522"/>
    <w:rsid w:val="005305E5"/>
    <w:rsid w:val="00530F38"/>
    <w:rsid w:val="00531F26"/>
    <w:rsid w:val="005326A1"/>
    <w:rsid w:val="0053277C"/>
    <w:rsid w:val="005327C0"/>
    <w:rsid w:val="00533101"/>
    <w:rsid w:val="00533CA9"/>
    <w:rsid w:val="00533DA7"/>
    <w:rsid w:val="005346AD"/>
    <w:rsid w:val="00534EFB"/>
    <w:rsid w:val="00534F60"/>
    <w:rsid w:val="00535083"/>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CA5"/>
    <w:rsid w:val="0054413A"/>
    <w:rsid w:val="00544288"/>
    <w:rsid w:val="005446BB"/>
    <w:rsid w:val="00545E30"/>
    <w:rsid w:val="00545EA3"/>
    <w:rsid w:val="00546293"/>
    <w:rsid w:val="00546C9B"/>
    <w:rsid w:val="00547BF6"/>
    <w:rsid w:val="005502F9"/>
    <w:rsid w:val="0055102E"/>
    <w:rsid w:val="00551098"/>
    <w:rsid w:val="00551581"/>
    <w:rsid w:val="00551598"/>
    <w:rsid w:val="0055162B"/>
    <w:rsid w:val="00551BFF"/>
    <w:rsid w:val="00551D68"/>
    <w:rsid w:val="00552B3E"/>
    <w:rsid w:val="005551AA"/>
    <w:rsid w:val="005564CA"/>
    <w:rsid w:val="005568EA"/>
    <w:rsid w:val="00557140"/>
    <w:rsid w:val="00557368"/>
    <w:rsid w:val="0056058C"/>
    <w:rsid w:val="00560C87"/>
    <w:rsid w:val="00560EF9"/>
    <w:rsid w:val="00560F51"/>
    <w:rsid w:val="00561249"/>
    <w:rsid w:val="0056182B"/>
    <w:rsid w:val="00561AF3"/>
    <w:rsid w:val="00561E0B"/>
    <w:rsid w:val="00562141"/>
    <w:rsid w:val="00562712"/>
    <w:rsid w:val="00562CCD"/>
    <w:rsid w:val="00562D86"/>
    <w:rsid w:val="005642EC"/>
    <w:rsid w:val="00564704"/>
    <w:rsid w:val="00564712"/>
    <w:rsid w:val="005657A8"/>
    <w:rsid w:val="00565952"/>
    <w:rsid w:val="00566866"/>
    <w:rsid w:val="005670A5"/>
    <w:rsid w:val="00567106"/>
    <w:rsid w:val="00567723"/>
    <w:rsid w:val="00567AB8"/>
    <w:rsid w:val="005707F7"/>
    <w:rsid w:val="00570A26"/>
    <w:rsid w:val="0057221F"/>
    <w:rsid w:val="00572539"/>
    <w:rsid w:val="0057293F"/>
    <w:rsid w:val="00573137"/>
    <w:rsid w:val="0057337D"/>
    <w:rsid w:val="00573504"/>
    <w:rsid w:val="00574708"/>
    <w:rsid w:val="00574932"/>
    <w:rsid w:val="00574D81"/>
    <w:rsid w:val="005756AA"/>
    <w:rsid w:val="00576233"/>
    <w:rsid w:val="0057696F"/>
    <w:rsid w:val="005774FE"/>
    <w:rsid w:val="0058040C"/>
    <w:rsid w:val="00580D6D"/>
    <w:rsid w:val="00580FB3"/>
    <w:rsid w:val="005813DE"/>
    <w:rsid w:val="00581796"/>
    <w:rsid w:val="00581B45"/>
    <w:rsid w:val="00582480"/>
    <w:rsid w:val="0058290E"/>
    <w:rsid w:val="00582CAB"/>
    <w:rsid w:val="0058375E"/>
    <w:rsid w:val="00584138"/>
    <w:rsid w:val="00584233"/>
    <w:rsid w:val="005842D0"/>
    <w:rsid w:val="005855AE"/>
    <w:rsid w:val="00585829"/>
    <w:rsid w:val="00585CA8"/>
    <w:rsid w:val="00586412"/>
    <w:rsid w:val="005864B9"/>
    <w:rsid w:val="005866C4"/>
    <w:rsid w:val="00586BDB"/>
    <w:rsid w:val="00590A6C"/>
    <w:rsid w:val="00590F1A"/>
    <w:rsid w:val="00591C03"/>
    <w:rsid w:val="00591E2A"/>
    <w:rsid w:val="005923C4"/>
    <w:rsid w:val="00593F75"/>
    <w:rsid w:val="005940A0"/>
    <w:rsid w:val="0059429A"/>
    <w:rsid w:val="0059546C"/>
    <w:rsid w:val="00595FDD"/>
    <w:rsid w:val="00596AF7"/>
    <w:rsid w:val="00596CCE"/>
    <w:rsid w:val="00597E38"/>
    <w:rsid w:val="005A1100"/>
    <w:rsid w:val="005A172C"/>
    <w:rsid w:val="005A1976"/>
    <w:rsid w:val="005A2120"/>
    <w:rsid w:val="005A2501"/>
    <w:rsid w:val="005A2C80"/>
    <w:rsid w:val="005A3066"/>
    <w:rsid w:val="005A3457"/>
    <w:rsid w:val="005A3B35"/>
    <w:rsid w:val="005A3C4B"/>
    <w:rsid w:val="005A3E5A"/>
    <w:rsid w:val="005A43F3"/>
    <w:rsid w:val="005A47C4"/>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179"/>
    <w:rsid w:val="005C1716"/>
    <w:rsid w:val="005C1954"/>
    <w:rsid w:val="005C1C0B"/>
    <w:rsid w:val="005C1D53"/>
    <w:rsid w:val="005C2011"/>
    <w:rsid w:val="005C36CF"/>
    <w:rsid w:val="005C3EA3"/>
    <w:rsid w:val="005C5011"/>
    <w:rsid w:val="005C529E"/>
    <w:rsid w:val="005C57BA"/>
    <w:rsid w:val="005C5C52"/>
    <w:rsid w:val="005C5D3D"/>
    <w:rsid w:val="005C5F05"/>
    <w:rsid w:val="005C7F3E"/>
    <w:rsid w:val="005D0E1C"/>
    <w:rsid w:val="005D1051"/>
    <w:rsid w:val="005D2044"/>
    <w:rsid w:val="005D24C7"/>
    <w:rsid w:val="005D27DC"/>
    <w:rsid w:val="005D2917"/>
    <w:rsid w:val="005D2EB2"/>
    <w:rsid w:val="005D2F48"/>
    <w:rsid w:val="005D3811"/>
    <w:rsid w:val="005D464B"/>
    <w:rsid w:val="005D466F"/>
    <w:rsid w:val="005D49F0"/>
    <w:rsid w:val="005D51FA"/>
    <w:rsid w:val="005D53E8"/>
    <w:rsid w:val="005D5A26"/>
    <w:rsid w:val="005D5A9D"/>
    <w:rsid w:val="005D64C2"/>
    <w:rsid w:val="005D6651"/>
    <w:rsid w:val="005D691D"/>
    <w:rsid w:val="005D6A72"/>
    <w:rsid w:val="005D749F"/>
    <w:rsid w:val="005D791B"/>
    <w:rsid w:val="005D7CF2"/>
    <w:rsid w:val="005D7F92"/>
    <w:rsid w:val="005E0D7B"/>
    <w:rsid w:val="005E1595"/>
    <w:rsid w:val="005E1F1D"/>
    <w:rsid w:val="005E273D"/>
    <w:rsid w:val="005E2C4E"/>
    <w:rsid w:val="005E3278"/>
    <w:rsid w:val="005E363B"/>
    <w:rsid w:val="005E3B0D"/>
    <w:rsid w:val="005E3FB1"/>
    <w:rsid w:val="005E52A0"/>
    <w:rsid w:val="005E6EA5"/>
    <w:rsid w:val="005F041F"/>
    <w:rsid w:val="005F0AF6"/>
    <w:rsid w:val="005F0F06"/>
    <w:rsid w:val="005F1216"/>
    <w:rsid w:val="005F1819"/>
    <w:rsid w:val="005F1D7D"/>
    <w:rsid w:val="005F1D89"/>
    <w:rsid w:val="005F305B"/>
    <w:rsid w:val="005F3361"/>
    <w:rsid w:val="005F3B47"/>
    <w:rsid w:val="005F4481"/>
    <w:rsid w:val="005F4803"/>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54E"/>
    <w:rsid w:val="00607996"/>
    <w:rsid w:val="00607A37"/>
    <w:rsid w:val="00607E9F"/>
    <w:rsid w:val="00610771"/>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572"/>
    <w:rsid w:val="006178D1"/>
    <w:rsid w:val="00620719"/>
    <w:rsid w:val="006212C9"/>
    <w:rsid w:val="00621D0C"/>
    <w:rsid w:val="00622470"/>
    <w:rsid w:val="00622725"/>
    <w:rsid w:val="006231AA"/>
    <w:rsid w:val="00623482"/>
    <w:rsid w:val="0062390C"/>
    <w:rsid w:val="00623AC2"/>
    <w:rsid w:val="00623FF7"/>
    <w:rsid w:val="00625A26"/>
    <w:rsid w:val="00625F38"/>
    <w:rsid w:val="006260AD"/>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3367"/>
    <w:rsid w:val="00633DBF"/>
    <w:rsid w:val="00634122"/>
    <w:rsid w:val="006355B6"/>
    <w:rsid w:val="00635E32"/>
    <w:rsid w:val="006365DE"/>
    <w:rsid w:val="00636BE4"/>
    <w:rsid w:val="0063742F"/>
    <w:rsid w:val="0063746C"/>
    <w:rsid w:val="00637802"/>
    <w:rsid w:val="00637836"/>
    <w:rsid w:val="00637C26"/>
    <w:rsid w:val="00637F44"/>
    <w:rsid w:val="00640659"/>
    <w:rsid w:val="00641078"/>
    <w:rsid w:val="00641242"/>
    <w:rsid w:val="00642A32"/>
    <w:rsid w:val="006431A7"/>
    <w:rsid w:val="006433D5"/>
    <w:rsid w:val="0064369C"/>
    <w:rsid w:val="00645D41"/>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5FB1"/>
    <w:rsid w:val="00656C4B"/>
    <w:rsid w:val="006573EA"/>
    <w:rsid w:val="00661029"/>
    <w:rsid w:val="00661042"/>
    <w:rsid w:val="0066135A"/>
    <w:rsid w:val="00661639"/>
    <w:rsid w:val="0066272D"/>
    <w:rsid w:val="00662E58"/>
    <w:rsid w:val="00662F39"/>
    <w:rsid w:val="006635A0"/>
    <w:rsid w:val="00664351"/>
    <w:rsid w:val="0066553F"/>
    <w:rsid w:val="00665968"/>
    <w:rsid w:val="00665BF7"/>
    <w:rsid w:val="00666178"/>
    <w:rsid w:val="0066639E"/>
    <w:rsid w:val="00666473"/>
    <w:rsid w:val="00666C72"/>
    <w:rsid w:val="00666E5A"/>
    <w:rsid w:val="00666E6C"/>
    <w:rsid w:val="0066707F"/>
    <w:rsid w:val="0066731F"/>
    <w:rsid w:val="00667ED8"/>
    <w:rsid w:val="0067064C"/>
    <w:rsid w:val="00670B20"/>
    <w:rsid w:val="00670E12"/>
    <w:rsid w:val="00671E7D"/>
    <w:rsid w:val="00672E80"/>
    <w:rsid w:val="006739E4"/>
    <w:rsid w:val="00673ECF"/>
    <w:rsid w:val="0067419A"/>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2A3"/>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C9B"/>
    <w:rsid w:val="00695EBF"/>
    <w:rsid w:val="0069632D"/>
    <w:rsid w:val="00696A05"/>
    <w:rsid w:val="00697665"/>
    <w:rsid w:val="00697C9A"/>
    <w:rsid w:val="00697E68"/>
    <w:rsid w:val="006A0274"/>
    <w:rsid w:val="006A2A43"/>
    <w:rsid w:val="006A2BF1"/>
    <w:rsid w:val="006A2F9A"/>
    <w:rsid w:val="006A34E4"/>
    <w:rsid w:val="006A3A5A"/>
    <w:rsid w:val="006A44CF"/>
    <w:rsid w:val="006A457D"/>
    <w:rsid w:val="006A544E"/>
    <w:rsid w:val="006A55EE"/>
    <w:rsid w:val="006A575B"/>
    <w:rsid w:val="006A59DE"/>
    <w:rsid w:val="006A6655"/>
    <w:rsid w:val="006A6B0B"/>
    <w:rsid w:val="006A6BF9"/>
    <w:rsid w:val="006A7CB5"/>
    <w:rsid w:val="006A7FD0"/>
    <w:rsid w:val="006B025C"/>
    <w:rsid w:val="006B0ECC"/>
    <w:rsid w:val="006B2534"/>
    <w:rsid w:val="006B2CB2"/>
    <w:rsid w:val="006B347D"/>
    <w:rsid w:val="006B3E19"/>
    <w:rsid w:val="006B4488"/>
    <w:rsid w:val="006B671C"/>
    <w:rsid w:val="006B67AC"/>
    <w:rsid w:val="006B6A25"/>
    <w:rsid w:val="006B786A"/>
    <w:rsid w:val="006B78B9"/>
    <w:rsid w:val="006B7BA0"/>
    <w:rsid w:val="006B7E4E"/>
    <w:rsid w:val="006C003A"/>
    <w:rsid w:val="006C1456"/>
    <w:rsid w:val="006C2454"/>
    <w:rsid w:val="006C2551"/>
    <w:rsid w:val="006C37CA"/>
    <w:rsid w:val="006C40B7"/>
    <w:rsid w:val="006C40D2"/>
    <w:rsid w:val="006C5B15"/>
    <w:rsid w:val="006C5D32"/>
    <w:rsid w:val="006C5DCB"/>
    <w:rsid w:val="006C70C4"/>
    <w:rsid w:val="006C775C"/>
    <w:rsid w:val="006C789C"/>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3E7B"/>
    <w:rsid w:val="006F4147"/>
    <w:rsid w:val="006F4315"/>
    <w:rsid w:val="006F4478"/>
    <w:rsid w:val="006F458D"/>
    <w:rsid w:val="006F4A6D"/>
    <w:rsid w:val="006F4CB0"/>
    <w:rsid w:val="006F4F78"/>
    <w:rsid w:val="006F547E"/>
    <w:rsid w:val="006F5656"/>
    <w:rsid w:val="006F5CA8"/>
    <w:rsid w:val="006F5CCF"/>
    <w:rsid w:val="006F688D"/>
    <w:rsid w:val="006F772B"/>
    <w:rsid w:val="006F78DC"/>
    <w:rsid w:val="00700D5F"/>
    <w:rsid w:val="007012DC"/>
    <w:rsid w:val="0070138A"/>
    <w:rsid w:val="0070157E"/>
    <w:rsid w:val="0070175D"/>
    <w:rsid w:val="007026B9"/>
    <w:rsid w:val="007030D4"/>
    <w:rsid w:val="0070317C"/>
    <w:rsid w:val="00703279"/>
    <w:rsid w:val="00703B61"/>
    <w:rsid w:val="00703E11"/>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944"/>
    <w:rsid w:val="00715BBF"/>
    <w:rsid w:val="00715C29"/>
    <w:rsid w:val="00715CBD"/>
    <w:rsid w:val="00715E86"/>
    <w:rsid w:val="00715EAA"/>
    <w:rsid w:val="00716CAD"/>
    <w:rsid w:val="00716F18"/>
    <w:rsid w:val="00717363"/>
    <w:rsid w:val="00717786"/>
    <w:rsid w:val="007177C6"/>
    <w:rsid w:val="00717ACB"/>
    <w:rsid w:val="00721BFF"/>
    <w:rsid w:val="007223E8"/>
    <w:rsid w:val="00722FD8"/>
    <w:rsid w:val="007236C4"/>
    <w:rsid w:val="00723B59"/>
    <w:rsid w:val="00724635"/>
    <w:rsid w:val="0072554B"/>
    <w:rsid w:val="00725AFD"/>
    <w:rsid w:val="00726603"/>
    <w:rsid w:val="00727DDC"/>
    <w:rsid w:val="00730CD6"/>
    <w:rsid w:val="00730F74"/>
    <w:rsid w:val="0073114B"/>
    <w:rsid w:val="007320B7"/>
    <w:rsid w:val="00734414"/>
    <w:rsid w:val="00734952"/>
    <w:rsid w:val="00734990"/>
    <w:rsid w:val="00734FF5"/>
    <w:rsid w:val="00735B78"/>
    <w:rsid w:val="00735DA7"/>
    <w:rsid w:val="007368B4"/>
    <w:rsid w:val="007378E0"/>
    <w:rsid w:val="00737C5C"/>
    <w:rsid w:val="00740529"/>
    <w:rsid w:val="00740A6C"/>
    <w:rsid w:val="00741358"/>
    <w:rsid w:val="007413E7"/>
    <w:rsid w:val="00741626"/>
    <w:rsid w:val="00742332"/>
    <w:rsid w:val="00742886"/>
    <w:rsid w:val="00742DD2"/>
    <w:rsid w:val="007437C6"/>
    <w:rsid w:val="007439EE"/>
    <w:rsid w:val="007441A2"/>
    <w:rsid w:val="00744E80"/>
    <w:rsid w:val="00745035"/>
    <w:rsid w:val="0074531C"/>
    <w:rsid w:val="00745452"/>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1D4F"/>
    <w:rsid w:val="007522E8"/>
    <w:rsid w:val="007524D4"/>
    <w:rsid w:val="0075264C"/>
    <w:rsid w:val="007533E7"/>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6DB"/>
    <w:rsid w:val="007617A6"/>
    <w:rsid w:val="0076228A"/>
    <w:rsid w:val="00762440"/>
    <w:rsid w:val="007629B7"/>
    <w:rsid w:val="00762E60"/>
    <w:rsid w:val="0076304F"/>
    <w:rsid w:val="007634AD"/>
    <w:rsid w:val="00766ECC"/>
    <w:rsid w:val="007672F3"/>
    <w:rsid w:val="007677B5"/>
    <w:rsid w:val="007678B1"/>
    <w:rsid w:val="00770317"/>
    <w:rsid w:val="007708A8"/>
    <w:rsid w:val="00772275"/>
    <w:rsid w:val="007734E4"/>
    <w:rsid w:val="0077380D"/>
    <w:rsid w:val="0077387E"/>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1948"/>
    <w:rsid w:val="007A1C21"/>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79C"/>
    <w:rsid w:val="007D3C6D"/>
    <w:rsid w:val="007D3DF4"/>
    <w:rsid w:val="007D409B"/>
    <w:rsid w:val="007D481A"/>
    <w:rsid w:val="007D55AC"/>
    <w:rsid w:val="007D5648"/>
    <w:rsid w:val="007D58C5"/>
    <w:rsid w:val="007D5DE8"/>
    <w:rsid w:val="007D7503"/>
    <w:rsid w:val="007D7CFC"/>
    <w:rsid w:val="007D7FFC"/>
    <w:rsid w:val="007E0812"/>
    <w:rsid w:val="007E16A4"/>
    <w:rsid w:val="007E18DF"/>
    <w:rsid w:val="007E1C35"/>
    <w:rsid w:val="007E2A04"/>
    <w:rsid w:val="007E2C36"/>
    <w:rsid w:val="007E350D"/>
    <w:rsid w:val="007E5659"/>
    <w:rsid w:val="007E5C4A"/>
    <w:rsid w:val="007E635C"/>
    <w:rsid w:val="007E64D4"/>
    <w:rsid w:val="007E66E9"/>
    <w:rsid w:val="007E66FF"/>
    <w:rsid w:val="007E69F2"/>
    <w:rsid w:val="007E7432"/>
    <w:rsid w:val="007E74BF"/>
    <w:rsid w:val="007F14D3"/>
    <w:rsid w:val="007F1C42"/>
    <w:rsid w:val="007F1D9D"/>
    <w:rsid w:val="007F1E28"/>
    <w:rsid w:val="007F1F63"/>
    <w:rsid w:val="007F21D8"/>
    <w:rsid w:val="007F22A0"/>
    <w:rsid w:val="007F2F90"/>
    <w:rsid w:val="007F3320"/>
    <w:rsid w:val="007F392A"/>
    <w:rsid w:val="007F3A85"/>
    <w:rsid w:val="007F3AC1"/>
    <w:rsid w:val="007F487D"/>
    <w:rsid w:val="007F48FA"/>
    <w:rsid w:val="007F4976"/>
    <w:rsid w:val="007F4D54"/>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1898"/>
    <w:rsid w:val="00811C0F"/>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BCD"/>
    <w:rsid w:val="00836E74"/>
    <w:rsid w:val="00836EAB"/>
    <w:rsid w:val="00836FFF"/>
    <w:rsid w:val="00837673"/>
    <w:rsid w:val="008378F4"/>
    <w:rsid w:val="00837937"/>
    <w:rsid w:val="00837D82"/>
    <w:rsid w:val="00840893"/>
    <w:rsid w:val="00840E88"/>
    <w:rsid w:val="00841054"/>
    <w:rsid w:val="0084195A"/>
    <w:rsid w:val="008423EC"/>
    <w:rsid w:val="0084332E"/>
    <w:rsid w:val="00843615"/>
    <w:rsid w:val="00843698"/>
    <w:rsid w:val="00843A4B"/>
    <w:rsid w:val="00843B57"/>
    <w:rsid w:val="00843B60"/>
    <w:rsid w:val="00843D33"/>
    <w:rsid w:val="00844D4F"/>
    <w:rsid w:val="0084532A"/>
    <w:rsid w:val="00845AE3"/>
    <w:rsid w:val="008466A0"/>
    <w:rsid w:val="00846D1D"/>
    <w:rsid w:val="00847535"/>
    <w:rsid w:val="00847B6D"/>
    <w:rsid w:val="00847FFA"/>
    <w:rsid w:val="0085059A"/>
    <w:rsid w:val="0085092D"/>
    <w:rsid w:val="00850D82"/>
    <w:rsid w:val="00850F79"/>
    <w:rsid w:val="0085100B"/>
    <w:rsid w:val="0085304C"/>
    <w:rsid w:val="008548CA"/>
    <w:rsid w:val="008562E4"/>
    <w:rsid w:val="00856C06"/>
    <w:rsid w:val="0085790B"/>
    <w:rsid w:val="00857C95"/>
    <w:rsid w:val="00857E78"/>
    <w:rsid w:val="00860AEF"/>
    <w:rsid w:val="0086122C"/>
    <w:rsid w:val="00861310"/>
    <w:rsid w:val="00861B7B"/>
    <w:rsid w:val="00861F0F"/>
    <w:rsid w:val="00861F53"/>
    <w:rsid w:val="0086289E"/>
    <w:rsid w:val="008633D1"/>
    <w:rsid w:val="00863413"/>
    <w:rsid w:val="0086394E"/>
    <w:rsid w:val="008639B6"/>
    <w:rsid w:val="00863F8A"/>
    <w:rsid w:val="00863FE3"/>
    <w:rsid w:val="00864241"/>
    <w:rsid w:val="0086468A"/>
    <w:rsid w:val="00864CD5"/>
    <w:rsid w:val="008650BE"/>
    <w:rsid w:val="0086633B"/>
    <w:rsid w:val="00866495"/>
    <w:rsid w:val="00866931"/>
    <w:rsid w:val="00866C33"/>
    <w:rsid w:val="00866FEF"/>
    <w:rsid w:val="00867512"/>
    <w:rsid w:val="0087033C"/>
    <w:rsid w:val="00870B44"/>
    <w:rsid w:val="008715ED"/>
    <w:rsid w:val="008717D8"/>
    <w:rsid w:val="00871E3C"/>
    <w:rsid w:val="0087213A"/>
    <w:rsid w:val="008721C0"/>
    <w:rsid w:val="00872889"/>
    <w:rsid w:val="00872F97"/>
    <w:rsid w:val="00873863"/>
    <w:rsid w:val="00874607"/>
    <w:rsid w:val="00874915"/>
    <w:rsid w:val="00874B89"/>
    <w:rsid w:val="00875403"/>
    <w:rsid w:val="00875434"/>
    <w:rsid w:val="00876158"/>
    <w:rsid w:val="00876215"/>
    <w:rsid w:val="0087646C"/>
    <w:rsid w:val="008765B1"/>
    <w:rsid w:val="00876815"/>
    <w:rsid w:val="00877932"/>
    <w:rsid w:val="00877A6B"/>
    <w:rsid w:val="008808C7"/>
    <w:rsid w:val="00880DB3"/>
    <w:rsid w:val="0088106B"/>
    <w:rsid w:val="0088107D"/>
    <w:rsid w:val="008812E2"/>
    <w:rsid w:val="0088168A"/>
    <w:rsid w:val="00881E64"/>
    <w:rsid w:val="0088230E"/>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11C"/>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1E82"/>
    <w:rsid w:val="008A2527"/>
    <w:rsid w:val="008A25E2"/>
    <w:rsid w:val="008A295B"/>
    <w:rsid w:val="008A2A23"/>
    <w:rsid w:val="008A2AF5"/>
    <w:rsid w:val="008A2B5A"/>
    <w:rsid w:val="008A2DD1"/>
    <w:rsid w:val="008A3F9D"/>
    <w:rsid w:val="008A421A"/>
    <w:rsid w:val="008A5474"/>
    <w:rsid w:val="008A590B"/>
    <w:rsid w:val="008A5C9A"/>
    <w:rsid w:val="008A5DD8"/>
    <w:rsid w:val="008A5E3F"/>
    <w:rsid w:val="008A6A55"/>
    <w:rsid w:val="008A6DF0"/>
    <w:rsid w:val="008A6F6E"/>
    <w:rsid w:val="008A7888"/>
    <w:rsid w:val="008A796E"/>
    <w:rsid w:val="008A7B6B"/>
    <w:rsid w:val="008B0862"/>
    <w:rsid w:val="008B088C"/>
    <w:rsid w:val="008B1BF5"/>
    <w:rsid w:val="008B2268"/>
    <w:rsid w:val="008B263F"/>
    <w:rsid w:val="008B3EBB"/>
    <w:rsid w:val="008B47A6"/>
    <w:rsid w:val="008B672C"/>
    <w:rsid w:val="008C036D"/>
    <w:rsid w:val="008C0743"/>
    <w:rsid w:val="008C0B4C"/>
    <w:rsid w:val="008C11F0"/>
    <w:rsid w:val="008C1DBA"/>
    <w:rsid w:val="008C24E7"/>
    <w:rsid w:val="008C2500"/>
    <w:rsid w:val="008C2CAC"/>
    <w:rsid w:val="008C3E2A"/>
    <w:rsid w:val="008C42F5"/>
    <w:rsid w:val="008C45BD"/>
    <w:rsid w:val="008C4B19"/>
    <w:rsid w:val="008C568F"/>
    <w:rsid w:val="008C62D4"/>
    <w:rsid w:val="008C6B89"/>
    <w:rsid w:val="008D077E"/>
    <w:rsid w:val="008D18AA"/>
    <w:rsid w:val="008D1A16"/>
    <w:rsid w:val="008D1A2A"/>
    <w:rsid w:val="008D29B1"/>
    <w:rsid w:val="008D35D9"/>
    <w:rsid w:val="008D3B85"/>
    <w:rsid w:val="008D4527"/>
    <w:rsid w:val="008D462D"/>
    <w:rsid w:val="008D4869"/>
    <w:rsid w:val="008D51F2"/>
    <w:rsid w:val="008D66CA"/>
    <w:rsid w:val="008D69B1"/>
    <w:rsid w:val="008D70AD"/>
    <w:rsid w:val="008D7150"/>
    <w:rsid w:val="008D7338"/>
    <w:rsid w:val="008E0012"/>
    <w:rsid w:val="008E0DF7"/>
    <w:rsid w:val="008E0FAD"/>
    <w:rsid w:val="008E1347"/>
    <w:rsid w:val="008E16E0"/>
    <w:rsid w:val="008E1C15"/>
    <w:rsid w:val="008E1C9A"/>
    <w:rsid w:val="008E28BD"/>
    <w:rsid w:val="008E38B4"/>
    <w:rsid w:val="008E3BA4"/>
    <w:rsid w:val="008E3E8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AAD"/>
    <w:rsid w:val="008F4DA6"/>
    <w:rsid w:val="008F538E"/>
    <w:rsid w:val="008F5A20"/>
    <w:rsid w:val="008F5ABA"/>
    <w:rsid w:val="008F6CF9"/>
    <w:rsid w:val="008F7905"/>
    <w:rsid w:val="008F7989"/>
    <w:rsid w:val="00900E85"/>
    <w:rsid w:val="0090219C"/>
    <w:rsid w:val="009026AF"/>
    <w:rsid w:val="009028E8"/>
    <w:rsid w:val="00902E5C"/>
    <w:rsid w:val="0090350D"/>
    <w:rsid w:val="009039EB"/>
    <w:rsid w:val="00903CD2"/>
    <w:rsid w:val="009046E5"/>
    <w:rsid w:val="009047C5"/>
    <w:rsid w:val="00906C7F"/>
    <w:rsid w:val="00910683"/>
    <w:rsid w:val="00910E00"/>
    <w:rsid w:val="009116CE"/>
    <w:rsid w:val="00911714"/>
    <w:rsid w:val="0091194A"/>
    <w:rsid w:val="00911A5B"/>
    <w:rsid w:val="009128D1"/>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41B"/>
    <w:rsid w:val="00925434"/>
    <w:rsid w:val="00925743"/>
    <w:rsid w:val="0092579F"/>
    <w:rsid w:val="00927E8D"/>
    <w:rsid w:val="00927F23"/>
    <w:rsid w:val="00930698"/>
    <w:rsid w:val="009307CD"/>
    <w:rsid w:val="00930E7C"/>
    <w:rsid w:val="00931451"/>
    <w:rsid w:val="009314FA"/>
    <w:rsid w:val="0093194F"/>
    <w:rsid w:val="00931BF3"/>
    <w:rsid w:val="00931C55"/>
    <w:rsid w:val="00933333"/>
    <w:rsid w:val="0093349A"/>
    <w:rsid w:val="009337B2"/>
    <w:rsid w:val="00933AF1"/>
    <w:rsid w:val="00933FCB"/>
    <w:rsid w:val="00934E69"/>
    <w:rsid w:val="009367D5"/>
    <w:rsid w:val="00937401"/>
    <w:rsid w:val="00937561"/>
    <w:rsid w:val="009376FB"/>
    <w:rsid w:val="00937D6B"/>
    <w:rsid w:val="00940477"/>
    <w:rsid w:val="00940876"/>
    <w:rsid w:val="00940A53"/>
    <w:rsid w:val="00940F3C"/>
    <w:rsid w:val="00940FC1"/>
    <w:rsid w:val="009410E0"/>
    <w:rsid w:val="009412D1"/>
    <w:rsid w:val="00942BB9"/>
    <w:rsid w:val="009434E1"/>
    <w:rsid w:val="00944392"/>
    <w:rsid w:val="009444B4"/>
    <w:rsid w:val="00944644"/>
    <w:rsid w:val="00945242"/>
    <w:rsid w:val="009459D8"/>
    <w:rsid w:val="009460F9"/>
    <w:rsid w:val="00946A24"/>
    <w:rsid w:val="009470D4"/>
    <w:rsid w:val="00947337"/>
    <w:rsid w:val="009512FA"/>
    <w:rsid w:val="00951E57"/>
    <w:rsid w:val="0095251C"/>
    <w:rsid w:val="00953018"/>
    <w:rsid w:val="0095323B"/>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3955"/>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08B5"/>
    <w:rsid w:val="009810DE"/>
    <w:rsid w:val="009816A2"/>
    <w:rsid w:val="009822D7"/>
    <w:rsid w:val="009827E6"/>
    <w:rsid w:val="00982E70"/>
    <w:rsid w:val="00982F84"/>
    <w:rsid w:val="0098427D"/>
    <w:rsid w:val="00984567"/>
    <w:rsid w:val="00985102"/>
    <w:rsid w:val="009865D5"/>
    <w:rsid w:val="009876F2"/>
    <w:rsid w:val="00987A68"/>
    <w:rsid w:val="00987C77"/>
    <w:rsid w:val="00990345"/>
    <w:rsid w:val="00990701"/>
    <w:rsid w:val="0099075C"/>
    <w:rsid w:val="0099090B"/>
    <w:rsid w:val="0099119C"/>
    <w:rsid w:val="0099137A"/>
    <w:rsid w:val="00991805"/>
    <w:rsid w:val="0099211C"/>
    <w:rsid w:val="00992F51"/>
    <w:rsid w:val="00993B78"/>
    <w:rsid w:val="0099483A"/>
    <w:rsid w:val="00995119"/>
    <w:rsid w:val="009953AD"/>
    <w:rsid w:val="009955BC"/>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2E4"/>
    <w:rsid w:val="009A5356"/>
    <w:rsid w:val="009A5468"/>
    <w:rsid w:val="009A59FD"/>
    <w:rsid w:val="009A5D99"/>
    <w:rsid w:val="009A608C"/>
    <w:rsid w:val="009A63B7"/>
    <w:rsid w:val="009A6CA7"/>
    <w:rsid w:val="009A6FDF"/>
    <w:rsid w:val="009A76D6"/>
    <w:rsid w:val="009B0900"/>
    <w:rsid w:val="009B199E"/>
    <w:rsid w:val="009B2E29"/>
    <w:rsid w:val="009B3163"/>
    <w:rsid w:val="009B39C2"/>
    <w:rsid w:val="009B422F"/>
    <w:rsid w:val="009B46BC"/>
    <w:rsid w:val="009B4D1A"/>
    <w:rsid w:val="009B558B"/>
    <w:rsid w:val="009B6801"/>
    <w:rsid w:val="009B68DD"/>
    <w:rsid w:val="009B6D21"/>
    <w:rsid w:val="009B7779"/>
    <w:rsid w:val="009B78ED"/>
    <w:rsid w:val="009C181C"/>
    <w:rsid w:val="009C1C7F"/>
    <w:rsid w:val="009C28A2"/>
    <w:rsid w:val="009C2B9B"/>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444"/>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D7C08"/>
    <w:rsid w:val="009E0703"/>
    <w:rsid w:val="009E0E63"/>
    <w:rsid w:val="009E16DA"/>
    <w:rsid w:val="009E1CD4"/>
    <w:rsid w:val="009E20DC"/>
    <w:rsid w:val="009E2391"/>
    <w:rsid w:val="009E476A"/>
    <w:rsid w:val="009E4E05"/>
    <w:rsid w:val="009E56FF"/>
    <w:rsid w:val="009E5CB1"/>
    <w:rsid w:val="009E5E56"/>
    <w:rsid w:val="009E61EA"/>
    <w:rsid w:val="009E6990"/>
    <w:rsid w:val="009E6FCA"/>
    <w:rsid w:val="009E6FEE"/>
    <w:rsid w:val="009F060F"/>
    <w:rsid w:val="009F0781"/>
    <w:rsid w:val="009F0850"/>
    <w:rsid w:val="009F11B2"/>
    <w:rsid w:val="009F1BDF"/>
    <w:rsid w:val="009F1EAE"/>
    <w:rsid w:val="009F369D"/>
    <w:rsid w:val="009F36FE"/>
    <w:rsid w:val="009F3ADB"/>
    <w:rsid w:val="009F4386"/>
    <w:rsid w:val="009F46A9"/>
    <w:rsid w:val="009F4F25"/>
    <w:rsid w:val="009F59C2"/>
    <w:rsid w:val="009F7263"/>
    <w:rsid w:val="009F76EA"/>
    <w:rsid w:val="009F78EB"/>
    <w:rsid w:val="009F7F32"/>
    <w:rsid w:val="009F7FEB"/>
    <w:rsid w:val="00A01634"/>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4C0"/>
    <w:rsid w:val="00A066C3"/>
    <w:rsid w:val="00A06754"/>
    <w:rsid w:val="00A06942"/>
    <w:rsid w:val="00A069E0"/>
    <w:rsid w:val="00A06E4A"/>
    <w:rsid w:val="00A078FB"/>
    <w:rsid w:val="00A1036D"/>
    <w:rsid w:val="00A1069F"/>
    <w:rsid w:val="00A10919"/>
    <w:rsid w:val="00A10ACA"/>
    <w:rsid w:val="00A10C4C"/>
    <w:rsid w:val="00A10D04"/>
    <w:rsid w:val="00A10D08"/>
    <w:rsid w:val="00A10EB0"/>
    <w:rsid w:val="00A12355"/>
    <w:rsid w:val="00A12384"/>
    <w:rsid w:val="00A127B7"/>
    <w:rsid w:val="00A127D2"/>
    <w:rsid w:val="00A12ADA"/>
    <w:rsid w:val="00A143EC"/>
    <w:rsid w:val="00A14A60"/>
    <w:rsid w:val="00A14C85"/>
    <w:rsid w:val="00A1500F"/>
    <w:rsid w:val="00A15621"/>
    <w:rsid w:val="00A15670"/>
    <w:rsid w:val="00A157A0"/>
    <w:rsid w:val="00A1585B"/>
    <w:rsid w:val="00A15C19"/>
    <w:rsid w:val="00A16809"/>
    <w:rsid w:val="00A176FA"/>
    <w:rsid w:val="00A17769"/>
    <w:rsid w:val="00A17EA2"/>
    <w:rsid w:val="00A20264"/>
    <w:rsid w:val="00A20997"/>
    <w:rsid w:val="00A21454"/>
    <w:rsid w:val="00A22025"/>
    <w:rsid w:val="00A22498"/>
    <w:rsid w:val="00A22571"/>
    <w:rsid w:val="00A23023"/>
    <w:rsid w:val="00A23A08"/>
    <w:rsid w:val="00A24560"/>
    <w:rsid w:val="00A25B0F"/>
    <w:rsid w:val="00A25BBB"/>
    <w:rsid w:val="00A25D87"/>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1976"/>
    <w:rsid w:val="00A42096"/>
    <w:rsid w:val="00A421E7"/>
    <w:rsid w:val="00A426F3"/>
    <w:rsid w:val="00A42A44"/>
    <w:rsid w:val="00A42BBA"/>
    <w:rsid w:val="00A42FDF"/>
    <w:rsid w:val="00A430A9"/>
    <w:rsid w:val="00A431FE"/>
    <w:rsid w:val="00A434E9"/>
    <w:rsid w:val="00A439E5"/>
    <w:rsid w:val="00A43D1B"/>
    <w:rsid w:val="00A4497A"/>
    <w:rsid w:val="00A44BE8"/>
    <w:rsid w:val="00A44C96"/>
    <w:rsid w:val="00A44F54"/>
    <w:rsid w:val="00A45844"/>
    <w:rsid w:val="00A45F9B"/>
    <w:rsid w:val="00A461BF"/>
    <w:rsid w:val="00A46574"/>
    <w:rsid w:val="00A4657A"/>
    <w:rsid w:val="00A467C4"/>
    <w:rsid w:val="00A46EE4"/>
    <w:rsid w:val="00A500B1"/>
    <w:rsid w:val="00A52D3F"/>
    <w:rsid w:val="00A52EE5"/>
    <w:rsid w:val="00A53037"/>
    <w:rsid w:val="00A532B9"/>
    <w:rsid w:val="00A5351D"/>
    <w:rsid w:val="00A53BCF"/>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4B7F"/>
    <w:rsid w:val="00A668BA"/>
    <w:rsid w:val="00A66FA7"/>
    <w:rsid w:val="00A677F6"/>
    <w:rsid w:val="00A67E16"/>
    <w:rsid w:val="00A703CC"/>
    <w:rsid w:val="00A70C5C"/>
    <w:rsid w:val="00A71AE8"/>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154"/>
    <w:rsid w:val="00A81323"/>
    <w:rsid w:val="00A81AC0"/>
    <w:rsid w:val="00A820CB"/>
    <w:rsid w:val="00A82342"/>
    <w:rsid w:val="00A83BEF"/>
    <w:rsid w:val="00A84443"/>
    <w:rsid w:val="00A8487F"/>
    <w:rsid w:val="00A848FC"/>
    <w:rsid w:val="00A849A3"/>
    <w:rsid w:val="00A84A0E"/>
    <w:rsid w:val="00A851FD"/>
    <w:rsid w:val="00A86461"/>
    <w:rsid w:val="00A86E0B"/>
    <w:rsid w:val="00A90F12"/>
    <w:rsid w:val="00A9110D"/>
    <w:rsid w:val="00A93101"/>
    <w:rsid w:val="00A94293"/>
    <w:rsid w:val="00A94760"/>
    <w:rsid w:val="00A9496E"/>
    <w:rsid w:val="00A949F0"/>
    <w:rsid w:val="00A94BDE"/>
    <w:rsid w:val="00A94FCA"/>
    <w:rsid w:val="00A95E4C"/>
    <w:rsid w:val="00A964A2"/>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A7DBF"/>
    <w:rsid w:val="00AB041C"/>
    <w:rsid w:val="00AB0483"/>
    <w:rsid w:val="00AB14E8"/>
    <w:rsid w:val="00AB17EC"/>
    <w:rsid w:val="00AB1B1D"/>
    <w:rsid w:val="00AB2216"/>
    <w:rsid w:val="00AB2C0A"/>
    <w:rsid w:val="00AB358D"/>
    <w:rsid w:val="00AB37A1"/>
    <w:rsid w:val="00AB3BAD"/>
    <w:rsid w:val="00AB3CFD"/>
    <w:rsid w:val="00AB40C6"/>
    <w:rsid w:val="00AB49BC"/>
    <w:rsid w:val="00AB4DEE"/>
    <w:rsid w:val="00AB4E32"/>
    <w:rsid w:val="00AB4F86"/>
    <w:rsid w:val="00AB579A"/>
    <w:rsid w:val="00AB724B"/>
    <w:rsid w:val="00AB726C"/>
    <w:rsid w:val="00AB72B4"/>
    <w:rsid w:val="00AC02AA"/>
    <w:rsid w:val="00AC0537"/>
    <w:rsid w:val="00AC0A84"/>
    <w:rsid w:val="00AC0E2A"/>
    <w:rsid w:val="00AC2A0B"/>
    <w:rsid w:val="00AC2BEC"/>
    <w:rsid w:val="00AC2BEE"/>
    <w:rsid w:val="00AC2E53"/>
    <w:rsid w:val="00AC30DB"/>
    <w:rsid w:val="00AC484F"/>
    <w:rsid w:val="00AC4B20"/>
    <w:rsid w:val="00AC4D64"/>
    <w:rsid w:val="00AC4D8F"/>
    <w:rsid w:val="00AC56F2"/>
    <w:rsid w:val="00AC5B83"/>
    <w:rsid w:val="00AC5D30"/>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5ED8"/>
    <w:rsid w:val="00AD6236"/>
    <w:rsid w:val="00AD7619"/>
    <w:rsid w:val="00AD7770"/>
    <w:rsid w:val="00AE01CA"/>
    <w:rsid w:val="00AE0588"/>
    <w:rsid w:val="00AE1772"/>
    <w:rsid w:val="00AE1990"/>
    <w:rsid w:val="00AE2523"/>
    <w:rsid w:val="00AE25E8"/>
    <w:rsid w:val="00AE2AD4"/>
    <w:rsid w:val="00AE2CA7"/>
    <w:rsid w:val="00AE2F1D"/>
    <w:rsid w:val="00AE4B2B"/>
    <w:rsid w:val="00AE586F"/>
    <w:rsid w:val="00AE6582"/>
    <w:rsid w:val="00AE6DC5"/>
    <w:rsid w:val="00AE7686"/>
    <w:rsid w:val="00AE799A"/>
    <w:rsid w:val="00AF00B6"/>
    <w:rsid w:val="00AF0E81"/>
    <w:rsid w:val="00AF117A"/>
    <w:rsid w:val="00AF186E"/>
    <w:rsid w:val="00AF19DF"/>
    <w:rsid w:val="00AF1F4F"/>
    <w:rsid w:val="00AF26CF"/>
    <w:rsid w:val="00AF3802"/>
    <w:rsid w:val="00AF4E92"/>
    <w:rsid w:val="00AF51B4"/>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3D6"/>
    <w:rsid w:val="00B04400"/>
    <w:rsid w:val="00B04835"/>
    <w:rsid w:val="00B05A55"/>
    <w:rsid w:val="00B05DE1"/>
    <w:rsid w:val="00B06595"/>
    <w:rsid w:val="00B10109"/>
    <w:rsid w:val="00B1085E"/>
    <w:rsid w:val="00B10FD0"/>
    <w:rsid w:val="00B10FD1"/>
    <w:rsid w:val="00B11896"/>
    <w:rsid w:val="00B11B55"/>
    <w:rsid w:val="00B12735"/>
    <w:rsid w:val="00B129C6"/>
    <w:rsid w:val="00B131C4"/>
    <w:rsid w:val="00B13386"/>
    <w:rsid w:val="00B13533"/>
    <w:rsid w:val="00B13C48"/>
    <w:rsid w:val="00B13E35"/>
    <w:rsid w:val="00B13EC0"/>
    <w:rsid w:val="00B13FA5"/>
    <w:rsid w:val="00B14102"/>
    <w:rsid w:val="00B14D32"/>
    <w:rsid w:val="00B1557C"/>
    <w:rsid w:val="00B155DC"/>
    <w:rsid w:val="00B15766"/>
    <w:rsid w:val="00B159AA"/>
    <w:rsid w:val="00B1666A"/>
    <w:rsid w:val="00B1686D"/>
    <w:rsid w:val="00B17037"/>
    <w:rsid w:val="00B1741D"/>
    <w:rsid w:val="00B17447"/>
    <w:rsid w:val="00B17563"/>
    <w:rsid w:val="00B1771D"/>
    <w:rsid w:val="00B1792E"/>
    <w:rsid w:val="00B17B91"/>
    <w:rsid w:val="00B20209"/>
    <w:rsid w:val="00B203AF"/>
    <w:rsid w:val="00B203C9"/>
    <w:rsid w:val="00B2088D"/>
    <w:rsid w:val="00B208FF"/>
    <w:rsid w:val="00B228D1"/>
    <w:rsid w:val="00B22C58"/>
    <w:rsid w:val="00B22E22"/>
    <w:rsid w:val="00B22F5F"/>
    <w:rsid w:val="00B23813"/>
    <w:rsid w:val="00B23FD9"/>
    <w:rsid w:val="00B2410A"/>
    <w:rsid w:val="00B24591"/>
    <w:rsid w:val="00B245D5"/>
    <w:rsid w:val="00B24C36"/>
    <w:rsid w:val="00B24F94"/>
    <w:rsid w:val="00B25126"/>
    <w:rsid w:val="00B25A52"/>
    <w:rsid w:val="00B25B0A"/>
    <w:rsid w:val="00B25FC3"/>
    <w:rsid w:val="00B26852"/>
    <w:rsid w:val="00B26C61"/>
    <w:rsid w:val="00B26CC4"/>
    <w:rsid w:val="00B27026"/>
    <w:rsid w:val="00B27875"/>
    <w:rsid w:val="00B27C18"/>
    <w:rsid w:val="00B27E51"/>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695A"/>
    <w:rsid w:val="00B37657"/>
    <w:rsid w:val="00B37AFD"/>
    <w:rsid w:val="00B37B07"/>
    <w:rsid w:val="00B4046F"/>
    <w:rsid w:val="00B40B47"/>
    <w:rsid w:val="00B41D39"/>
    <w:rsid w:val="00B422C0"/>
    <w:rsid w:val="00B426CA"/>
    <w:rsid w:val="00B426E1"/>
    <w:rsid w:val="00B437F8"/>
    <w:rsid w:val="00B4387A"/>
    <w:rsid w:val="00B43F4E"/>
    <w:rsid w:val="00B44260"/>
    <w:rsid w:val="00B44746"/>
    <w:rsid w:val="00B44854"/>
    <w:rsid w:val="00B44A23"/>
    <w:rsid w:val="00B45419"/>
    <w:rsid w:val="00B458C1"/>
    <w:rsid w:val="00B458D0"/>
    <w:rsid w:val="00B4792C"/>
    <w:rsid w:val="00B47A25"/>
    <w:rsid w:val="00B50CAE"/>
    <w:rsid w:val="00B512AD"/>
    <w:rsid w:val="00B5196C"/>
    <w:rsid w:val="00B523B9"/>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1AF"/>
    <w:rsid w:val="00B63872"/>
    <w:rsid w:val="00B63CB2"/>
    <w:rsid w:val="00B63F51"/>
    <w:rsid w:val="00B6416D"/>
    <w:rsid w:val="00B64246"/>
    <w:rsid w:val="00B64EDB"/>
    <w:rsid w:val="00B6501B"/>
    <w:rsid w:val="00B65379"/>
    <w:rsid w:val="00B654D3"/>
    <w:rsid w:val="00B65938"/>
    <w:rsid w:val="00B6596B"/>
    <w:rsid w:val="00B65C8A"/>
    <w:rsid w:val="00B65CE2"/>
    <w:rsid w:val="00B65CED"/>
    <w:rsid w:val="00B660AD"/>
    <w:rsid w:val="00B660CB"/>
    <w:rsid w:val="00B66109"/>
    <w:rsid w:val="00B66349"/>
    <w:rsid w:val="00B67630"/>
    <w:rsid w:val="00B67FBF"/>
    <w:rsid w:val="00B7024E"/>
    <w:rsid w:val="00B71F5F"/>
    <w:rsid w:val="00B71FA7"/>
    <w:rsid w:val="00B72110"/>
    <w:rsid w:val="00B72B91"/>
    <w:rsid w:val="00B73019"/>
    <w:rsid w:val="00B7315F"/>
    <w:rsid w:val="00B7323A"/>
    <w:rsid w:val="00B73356"/>
    <w:rsid w:val="00B7353B"/>
    <w:rsid w:val="00B7358A"/>
    <w:rsid w:val="00B737FB"/>
    <w:rsid w:val="00B73B82"/>
    <w:rsid w:val="00B73EDA"/>
    <w:rsid w:val="00B7423D"/>
    <w:rsid w:val="00B74605"/>
    <w:rsid w:val="00B74D05"/>
    <w:rsid w:val="00B777FA"/>
    <w:rsid w:val="00B77850"/>
    <w:rsid w:val="00B7796B"/>
    <w:rsid w:val="00B80C72"/>
    <w:rsid w:val="00B81964"/>
    <w:rsid w:val="00B81E6F"/>
    <w:rsid w:val="00B82123"/>
    <w:rsid w:val="00B8225B"/>
    <w:rsid w:val="00B8273C"/>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3E99"/>
    <w:rsid w:val="00B94033"/>
    <w:rsid w:val="00B95018"/>
    <w:rsid w:val="00B95464"/>
    <w:rsid w:val="00B95C30"/>
    <w:rsid w:val="00B95CB7"/>
    <w:rsid w:val="00B95E3D"/>
    <w:rsid w:val="00B9691F"/>
    <w:rsid w:val="00B969E0"/>
    <w:rsid w:val="00B96EEC"/>
    <w:rsid w:val="00B97392"/>
    <w:rsid w:val="00B97691"/>
    <w:rsid w:val="00B976C7"/>
    <w:rsid w:val="00BA0C54"/>
    <w:rsid w:val="00BA1382"/>
    <w:rsid w:val="00BA20D8"/>
    <w:rsid w:val="00BA22FC"/>
    <w:rsid w:val="00BA2F30"/>
    <w:rsid w:val="00BA4771"/>
    <w:rsid w:val="00BA4DBB"/>
    <w:rsid w:val="00BA5027"/>
    <w:rsid w:val="00BA665B"/>
    <w:rsid w:val="00BA7370"/>
    <w:rsid w:val="00BA778B"/>
    <w:rsid w:val="00BB0888"/>
    <w:rsid w:val="00BB0DF1"/>
    <w:rsid w:val="00BB0E9B"/>
    <w:rsid w:val="00BB10EB"/>
    <w:rsid w:val="00BB139D"/>
    <w:rsid w:val="00BB2729"/>
    <w:rsid w:val="00BB2841"/>
    <w:rsid w:val="00BB300F"/>
    <w:rsid w:val="00BB32C9"/>
    <w:rsid w:val="00BB35C5"/>
    <w:rsid w:val="00BB3FB5"/>
    <w:rsid w:val="00BB43A7"/>
    <w:rsid w:val="00BB4C8E"/>
    <w:rsid w:val="00BB57ED"/>
    <w:rsid w:val="00BB65C3"/>
    <w:rsid w:val="00BB662E"/>
    <w:rsid w:val="00BB67A9"/>
    <w:rsid w:val="00BB6C01"/>
    <w:rsid w:val="00BB75CB"/>
    <w:rsid w:val="00BB7942"/>
    <w:rsid w:val="00BB7CD1"/>
    <w:rsid w:val="00BC0436"/>
    <w:rsid w:val="00BC0F33"/>
    <w:rsid w:val="00BC14A7"/>
    <w:rsid w:val="00BC1611"/>
    <w:rsid w:val="00BC17CC"/>
    <w:rsid w:val="00BC229E"/>
    <w:rsid w:val="00BC2740"/>
    <w:rsid w:val="00BC2898"/>
    <w:rsid w:val="00BC2928"/>
    <w:rsid w:val="00BC2AA9"/>
    <w:rsid w:val="00BC2BB1"/>
    <w:rsid w:val="00BC34A3"/>
    <w:rsid w:val="00BC3FF9"/>
    <w:rsid w:val="00BC4266"/>
    <w:rsid w:val="00BC4834"/>
    <w:rsid w:val="00BC4A97"/>
    <w:rsid w:val="00BC5A25"/>
    <w:rsid w:val="00BC5FDD"/>
    <w:rsid w:val="00BC68B4"/>
    <w:rsid w:val="00BC6C2D"/>
    <w:rsid w:val="00BC7B9A"/>
    <w:rsid w:val="00BD0140"/>
    <w:rsid w:val="00BD02CC"/>
    <w:rsid w:val="00BD1675"/>
    <w:rsid w:val="00BD2063"/>
    <w:rsid w:val="00BD23F8"/>
    <w:rsid w:val="00BD33D9"/>
    <w:rsid w:val="00BD38C5"/>
    <w:rsid w:val="00BD3CF1"/>
    <w:rsid w:val="00BD3DEA"/>
    <w:rsid w:val="00BD3E97"/>
    <w:rsid w:val="00BD40E4"/>
    <w:rsid w:val="00BD52FE"/>
    <w:rsid w:val="00BD583B"/>
    <w:rsid w:val="00BD62CF"/>
    <w:rsid w:val="00BD67B2"/>
    <w:rsid w:val="00BD6A07"/>
    <w:rsid w:val="00BD78AB"/>
    <w:rsid w:val="00BD78FE"/>
    <w:rsid w:val="00BE0149"/>
    <w:rsid w:val="00BE06A9"/>
    <w:rsid w:val="00BE0767"/>
    <w:rsid w:val="00BE12B8"/>
    <w:rsid w:val="00BE12D7"/>
    <w:rsid w:val="00BE1372"/>
    <w:rsid w:val="00BE1775"/>
    <w:rsid w:val="00BE17A2"/>
    <w:rsid w:val="00BE18DA"/>
    <w:rsid w:val="00BE26C0"/>
    <w:rsid w:val="00BE3442"/>
    <w:rsid w:val="00BE45DF"/>
    <w:rsid w:val="00BE47B2"/>
    <w:rsid w:val="00BE48C7"/>
    <w:rsid w:val="00BE4F66"/>
    <w:rsid w:val="00BE5238"/>
    <w:rsid w:val="00BE5D35"/>
    <w:rsid w:val="00BE6074"/>
    <w:rsid w:val="00BE67A2"/>
    <w:rsid w:val="00BE7257"/>
    <w:rsid w:val="00BE733F"/>
    <w:rsid w:val="00BF020D"/>
    <w:rsid w:val="00BF0A0A"/>
    <w:rsid w:val="00BF1DD2"/>
    <w:rsid w:val="00BF23A3"/>
    <w:rsid w:val="00BF28DB"/>
    <w:rsid w:val="00BF2A7E"/>
    <w:rsid w:val="00BF3331"/>
    <w:rsid w:val="00BF3A45"/>
    <w:rsid w:val="00BF436F"/>
    <w:rsid w:val="00BF4F8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6F2"/>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5A04"/>
    <w:rsid w:val="00C27143"/>
    <w:rsid w:val="00C27490"/>
    <w:rsid w:val="00C27A55"/>
    <w:rsid w:val="00C27D37"/>
    <w:rsid w:val="00C27FB2"/>
    <w:rsid w:val="00C302E5"/>
    <w:rsid w:val="00C309E8"/>
    <w:rsid w:val="00C31B34"/>
    <w:rsid w:val="00C32017"/>
    <w:rsid w:val="00C325CD"/>
    <w:rsid w:val="00C3322E"/>
    <w:rsid w:val="00C337F5"/>
    <w:rsid w:val="00C33B90"/>
    <w:rsid w:val="00C34B5F"/>
    <w:rsid w:val="00C34E0E"/>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5F1F"/>
    <w:rsid w:val="00C47049"/>
    <w:rsid w:val="00C47472"/>
    <w:rsid w:val="00C47EA5"/>
    <w:rsid w:val="00C500F0"/>
    <w:rsid w:val="00C502BB"/>
    <w:rsid w:val="00C504A7"/>
    <w:rsid w:val="00C506C9"/>
    <w:rsid w:val="00C50A16"/>
    <w:rsid w:val="00C5122B"/>
    <w:rsid w:val="00C51C9A"/>
    <w:rsid w:val="00C52428"/>
    <w:rsid w:val="00C52C68"/>
    <w:rsid w:val="00C52D98"/>
    <w:rsid w:val="00C5325C"/>
    <w:rsid w:val="00C537DD"/>
    <w:rsid w:val="00C53D24"/>
    <w:rsid w:val="00C54640"/>
    <w:rsid w:val="00C547A6"/>
    <w:rsid w:val="00C54A3A"/>
    <w:rsid w:val="00C5503F"/>
    <w:rsid w:val="00C55C32"/>
    <w:rsid w:val="00C56A67"/>
    <w:rsid w:val="00C56CC2"/>
    <w:rsid w:val="00C56FC3"/>
    <w:rsid w:val="00C57498"/>
    <w:rsid w:val="00C575DB"/>
    <w:rsid w:val="00C5763C"/>
    <w:rsid w:val="00C57761"/>
    <w:rsid w:val="00C577CA"/>
    <w:rsid w:val="00C5780C"/>
    <w:rsid w:val="00C5796B"/>
    <w:rsid w:val="00C61626"/>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33BA"/>
    <w:rsid w:val="00C755EF"/>
    <w:rsid w:val="00C760DC"/>
    <w:rsid w:val="00C769CB"/>
    <w:rsid w:val="00C80504"/>
    <w:rsid w:val="00C8082B"/>
    <w:rsid w:val="00C81A88"/>
    <w:rsid w:val="00C81AEC"/>
    <w:rsid w:val="00C81D46"/>
    <w:rsid w:val="00C820AD"/>
    <w:rsid w:val="00C82298"/>
    <w:rsid w:val="00C831D4"/>
    <w:rsid w:val="00C833B4"/>
    <w:rsid w:val="00C83429"/>
    <w:rsid w:val="00C83449"/>
    <w:rsid w:val="00C84284"/>
    <w:rsid w:val="00C84DD3"/>
    <w:rsid w:val="00C84E33"/>
    <w:rsid w:val="00C85FFC"/>
    <w:rsid w:val="00C86123"/>
    <w:rsid w:val="00C861FC"/>
    <w:rsid w:val="00C86C87"/>
    <w:rsid w:val="00C8705B"/>
    <w:rsid w:val="00C87090"/>
    <w:rsid w:val="00C9005E"/>
    <w:rsid w:val="00C90111"/>
    <w:rsid w:val="00C9028A"/>
    <w:rsid w:val="00C90CA9"/>
    <w:rsid w:val="00C9116B"/>
    <w:rsid w:val="00C915F2"/>
    <w:rsid w:val="00C917B1"/>
    <w:rsid w:val="00C9193C"/>
    <w:rsid w:val="00C91B77"/>
    <w:rsid w:val="00C920E2"/>
    <w:rsid w:val="00C923AA"/>
    <w:rsid w:val="00C93154"/>
    <w:rsid w:val="00C93765"/>
    <w:rsid w:val="00C93877"/>
    <w:rsid w:val="00C93D8C"/>
    <w:rsid w:val="00C946CC"/>
    <w:rsid w:val="00C95105"/>
    <w:rsid w:val="00C959BD"/>
    <w:rsid w:val="00C95F44"/>
    <w:rsid w:val="00C96908"/>
    <w:rsid w:val="00C96D1B"/>
    <w:rsid w:val="00C97106"/>
    <w:rsid w:val="00C97684"/>
    <w:rsid w:val="00CA0031"/>
    <w:rsid w:val="00CA0413"/>
    <w:rsid w:val="00CA043A"/>
    <w:rsid w:val="00CA04F8"/>
    <w:rsid w:val="00CA1691"/>
    <w:rsid w:val="00CA2E65"/>
    <w:rsid w:val="00CA2EA1"/>
    <w:rsid w:val="00CA3665"/>
    <w:rsid w:val="00CA41E7"/>
    <w:rsid w:val="00CA4B2B"/>
    <w:rsid w:val="00CA5520"/>
    <w:rsid w:val="00CA5812"/>
    <w:rsid w:val="00CA5BD4"/>
    <w:rsid w:val="00CA5C14"/>
    <w:rsid w:val="00CA76FC"/>
    <w:rsid w:val="00CA7DB5"/>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61B7"/>
    <w:rsid w:val="00CC61CA"/>
    <w:rsid w:val="00CC6668"/>
    <w:rsid w:val="00CC69EC"/>
    <w:rsid w:val="00CC6E08"/>
    <w:rsid w:val="00CC71D3"/>
    <w:rsid w:val="00CC743D"/>
    <w:rsid w:val="00CC7A40"/>
    <w:rsid w:val="00CC7E86"/>
    <w:rsid w:val="00CD050A"/>
    <w:rsid w:val="00CD0A2C"/>
    <w:rsid w:val="00CD1675"/>
    <w:rsid w:val="00CD205D"/>
    <w:rsid w:val="00CD2A22"/>
    <w:rsid w:val="00CD2B50"/>
    <w:rsid w:val="00CD2BAF"/>
    <w:rsid w:val="00CD4506"/>
    <w:rsid w:val="00CD4C90"/>
    <w:rsid w:val="00CD520B"/>
    <w:rsid w:val="00CD592E"/>
    <w:rsid w:val="00CD5982"/>
    <w:rsid w:val="00CD5A1A"/>
    <w:rsid w:val="00CD77E1"/>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0CEA"/>
    <w:rsid w:val="00CF108D"/>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4CB"/>
    <w:rsid w:val="00D047E0"/>
    <w:rsid w:val="00D04B9F"/>
    <w:rsid w:val="00D04C7E"/>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0546"/>
    <w:rsid w:val="00D205AF"/>
    <w:rsid w:val="00D2104A"/>
    <w:rsid w:val="00D213F1"/>
    <w:rsid w:val="00D21BB5"/>
    <w:rsid w:val="00D21FFC"/>
    <w:rsid w:val="00D223A3"/>
    <w:rsid w:val="00D223B6"/>
    <w:rsid w:val="00D223E8"/>
    <w:rsid w:val="00D22DC8"/>
    <w:rsid w:val="00D243D3"/>
    <w:rsid w:val="00D24C57"/>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3397"/>
    <w:rsid w:val="00D34B25"/>
    <w:rsid w:val="00D34F4E"/>
    <w:rsid w:val="00D357F3"/>
    <w:rsid w:val="00D35C0E"/>
    <w:rsid w:val="00D373A8"/>
    <w:rsid w:val="00D375FF"/>
    <w:rsid w:val="00D379A5"/>
    <w:rsid w:val="00D401BE"/>
    <w:rsid w:val="00D4043A"/>
    <w:rsid w:val="00D40A8E"/>
    <w:rsid w:val="00D40DB0"/>
    <w:rsid w:val="00D40F8B"/>
    <w:rsid w:val="00D4106A"/>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F81"/>
    <w:rsid w:val="00D623A9"/>
    <w:rsid w:val="00D62BE6"/>
    <w:rsid w:val="00D633AC"/>
    <w:rsid w:val="00D63766"/>
    <w:rsid w:val="00D63912"/>
    <w:rsid w:val="00D63923"/>
    <w:rsid w:val="00D6417A"/>
    <w:rsid w:val="00D6451B"/>
    <w:rsid w:val="00D64B57"/>
    <w:rsid w:val="00D65DEA"/>
    <w:rsid w:val="00D65DFE"/>
    <w:rsid w:val="00D67843"/>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D4C"/>
    <w:rsid w:val="00D810DB"/>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1C0A"/>
    <w:rsid w:val="00D9261C"/>
    <w:rsid w:val="00D9310B"/>
    <w:rsid w:val="00D93726"/>
    <w:rsid w:val="00D93DD3"/>
    <w:rsid w:val="00D93F3E"/>
    <w:rsid w:val="00D9405B"/>
    <w:rsid w:val="00D94942"/>
    <w:rsid w:val="00D95145"/>
    <w:rsid w:val="00D95381"/>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0D5E"/>
    <w:rsid w:val="00DB12D4"/>
    <w:rsid w:val="00DB14F0"/>
    <w:rsid w:val="00DB1745"/>
    <w:rsid w:val="00DB1AFF"/>
    <w:rsid w:val="00DB219A"/>
    <w:rsid w:val="00DB3165"/>
    <w:rsid w:val="00DB4292"/>
    <w:rsid w:val="00DB5196"/>
    <w:rsid w:val="00DB5C03"/>
    <w:rsid w:val="00DB68BB"/>
    <w:rsid w:val="00DB6E46"/>
    <w:rsid w:val="00DB7117"/>
    <w:rsid w:val="00DB75D9"/>
    <w:rsid w:val="00DB7760"/>
    <w:rsid w:val="00DB7DD4"/>
    <w:rsid w:val="00DB7E44"/>
    <w:rsid w:val="00DC00B4"/>
    <w:rsid w:val="00DC037A"/>
    <w:rsid w:val="00DC0954"/>
    <w:rsid w:val="00DC15BA"/>
    <w:rsid w:val="00DC18CD"/>
    <w:rsid w:val="00DC1A68"/>
    <w:rsid w:val="00DC30B8"/>
    <w:rsid w:val="00DC32C6"/>
    <w:rsid w:val="00DC3720"/>
    <w:rsid w:val="00DC478F"/>
    <w:rsid w:val="00DC52AB"/>
    <w:rsid w:val="00DC62E5"/>
    <w:rsid w:val="00DC67EB"/>
    <w:rsid w:val="00DC6AB9"/>
    <w:rsid w:val="00DC6F33"/>
    <w:rsid w:val="00DC7349"/>
    <w:rsid w:val="00DD0C25"/>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D736F"/>
    <w:rsid w:val="00DE0159"/>
    <w:rsid w:val="00DE064A"/>
    <w:rsid w:val="00DE082D"/>
    <w:rsid w:val="00DE1410"/>
    <w:rsid w:val="00DE30DD"/>
    <w:rsid w:val="00DE3119"/>
    <w:rsid w:val="00DE3FF0"/>
    <w:rsid w:val="00DE4105"/>
    <w:rsid w:val="00DE5189"/>
    <w:rsid w:val="00DE5680"/>
    <w:rsid w:val="00DE5BAF"/>
    <w:rsid w:val="00DE6230"/>
    <w:rsid w:val="00DE6CF3"/>
    <w:rsid w:val="00DE6EA5"/>
    <w:rsid w:val="00DE7108"/>
    <w:rsid w:val="00DE78D1"/>
    <w:rsid w:val="00DF0263"/>
    <w:rsid w:val="00DF0EB4"/>
    <w:rsid w:val="00DF1E36"/>
    <w:rsid w:val="00DF1FDB"/>
    <w:rsid w:val="00DF236B"/>
    <w:rsid w:val="00DF2A91"/>
    <w:rsid w:val="00DF2F82"/>
    <w:rsid w:val="00DF3889"/>
    <w:rsid w:val="00DF38F0"/>
    <w:rsid w:val="00DF3CC9"/>
    <w:rsid w:val="00DF4451"/>
    <w:rsid w:val="00DF49FF"/>
    <w:rsid w:val="00DF4FFB"/>
    <w:rsid w:val="00DF5236"/>
    <w:rsid w:val="00DF651F"/>
    <w:rsid w:val="00DF6E10"/>
    <w:rsid w:val="00DF6F43"/>
    <w:rsid w:val="00DF752F"/>
    <w:rsid w:val="00DF76A2"/>
    <w:rsid w:val="00DF7B33"/>
    <w:rsid w:val="00DF7C38"/>
    <w:rsid w:val="00E00B7A"/>
    <w:rsid w:val="00E02186"/>
    <w:rsid w:val="00E0264A"/>
    <w:rsid w:val="00E026BB"/>
    <w:rsid w:val="00E027C5"/>
    <w:rsid w:val="00E03124"/>
    <w:rsid w:val="00E031EB"/>
    <w:rsid w:val="00E03951"/>
    <w:rsid w:val="00E03DB8"/>
    <w:rsid w:val="00E05E70"/>
    <w:rsid w:val="00E064BC"/>
    <w:rsid w:val="00E07225"/>
    <w:rsid w:val="00E07AAA"/>
    <w:rsid w:val="00E109DD"/>
    <w:rsid w:val="00E11229"/>
    <w:rsid w:val="00E114CA"/>
    <w:rsid w:val="00E1185C"/>
    <w:rsid w:val="00E11CF0"/>
    <w:rsid w:val="00E120F9"/>
    <w:rsid w:val="00E132D5"/>
    <w:rsid w:val="00E1397F"/>
    <w:rsid w:val="00E139DB"/>
    <w:rsid w:val="00E13AB8"/>
    <w:rsid w:val="00E1482E"/>
    <w:rsid w:val="00E16382"/>
    <w:rsid w:val="00E16572"/>
    <w:rsid w:val="00E1699C"/>
    <w:rsid w:val="00E16E75"/>
    <w:rsid w:val="00E17282"/>
    <w:rsid w:val="00E1746D"/>
    <w:rsid w:val="00E2012A"/>
    <w:rsid w:val="00E205A2"/>
    <w:rsid w:val="00E20BA4"/>
    <w:rsid w:val="00E226F9"/>
    <w:rsid w:val="00E229D7"/>
    <w:rsid w:val="00E23137"/>
    <w:rsid w:val="00E2324A"/>
    <w:rsid w:val="00E23980"/>
    <w:rsid w:val="00E241E9"/>
    <w:rsid w:val="00E2520A"/>
    <w:rsid w:val="00E257C3"/>
    <w:rsid w:val="00E25CB3"/>
    <w:rsid w:val="00E25DA4"/>
    <w:rsid w:val="00E26439"/>
    <w:rsid w:val="00E26CB8"/>
    <w:rsid w:val="00E26FCF"/>
    <w:rsid w:val="00E27165"/>
    <w:rsid w:val="00E27226"/>
    <w:rsid w:val="00E27C3F"/>
    <w:rsid w:val="00E3039F"/>
    <w:rsid w:val="00E3044A"/>
    <w:rsid w:val="00E31A4A"/>
    <w:rsid w:val="00E31C43"/>
    <w:rsid w:val="00E32DD5"/>
    <w:rsid w:val="00E32FA8"/>
    <w:rsid w:val="00E3344A"/>
    <w:rsid w:val="00E33B29"/>
    <w:rsid w:val="00E33B62"/>
    <w:rsid w:val="00E3403D"/>
    <w:rsid w:val="00E34551"/>
    <w:rsid w:val="00E34E6C"/>
    <w:rsid w:val="00E350D8"/>
    <w:rsid w:val="00E353E2"/>
    <w:rsid w:val="00E35B65"/>
    <w:rsid w:val="00E36345"/>
    <w:rsid w:val="00E36C86"/>
    <w:rsid w:val="00E36CEB"/>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50A7B"/>
    <w:rsid w:val="00E50B0B"/>
    <w:rsid w:val="00E510FE"/>
    <w:rsid w:val="00E511D6"/>
    <w:rsid w:val="00E51E25"/>
    <w:rsid w:val="00E5205B"/>
    <w:rsid w:val="00E521AE"/>
    <w:rsid w:val="00E52C99"/>
    <w:rsid w:val="00E53BCA"/>
    <w:rsid w:val="00E53F02"/>
    <w:rsid w:val="00E54534"/>
    <w:rsid w:val="00E548C3"/>
    <w:rsid w:val="00E54F27"/>
    <w:rsid w:val="00E55552"/>
    <w:rsid w:val="00E556F5"/>
    <w:rsid w:val="00E55FF1"/>
    <w:rsid w:val="00E56090"/>
    <w:rsid w:val="00E565B9"/>
    <w:rsid w:val="00E56BD1"/>
    <w:rsid w:val="00E5733B"/>
    <w:rsid w:val="00E57403"/>
    <w:rsid w:val="00E574D2"/>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856"/>
    <w:rsid w:val="00E679C8"/>
    <w:rsid w:val="00E67E59"/>
    <w:rsid w:val="00E70314"/>
    <w:rsid w:val="00E724E7"/>
    <w:rsid w:val="00E72B41"/>
    <w:rsid w:val="00E7301D"/>
    <w:rsid w:val="00E7347B"/>
    <w:rsid w:val="00E73D03"/>
    <w:rsid w:val="00E7471C"/>
    <w:rsid w:val="00E7498A"/>
    <w:rsid w:val="00E7514E"/>
    <w:rsid w:val="00E75B34"/>
    <w:rsid w:val="00E77AF5"/>
    <w:rsid w:val="00E8029A"/>
    <w:rsid w:val="00E81653"/>
    <w:rsid w:val="00E823F9"/>
    <w:rsid w:val="00E82C1F"/>
    <w:rsid w:val="00E83581"/>
    <w:rsid w:val="00E83671"/>
    <w:rsid w:val="00E8414B"/>
    <w:rsid w:val="00E84A71"/>
    <w:rsid w:val="00E8544B"/>
    <w:rsid w:val="00E86556"/>
    <w:rsid w:val="00E86798"/>
    <w:rsid w:val="00E86D35"/>
    <w:rsid w:val="00E86DC2"/>
    <w:rsid w:val="00E86E32"/>
    <w:rsid w:val="00E8732E"/>
    <w:rsid w:val="00E9011F"/>
    <w:rsid w:val="00E90370"/>
    <w:rsid w:val="00E906EB"/>
    <w:rsid w:val="00E913F9"/>
    <w:rsid w:val="00E91EEC"/>
    <w:rsid w:val="00E9241E"/>
    <w:rsid w:val="00E92460"/>
    <w:rsid w:val="00E92E62"/>
    <w:rsid w:val="00E937BB"/>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626"/>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4A3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6A5"/>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C36"/>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351"/>
    <w:rsid w:val="00EF0EA4"/>
    <w:rsid w:val="00EF1E97"/>
    <w:rsid w:val="00EF2436"/>
    <w:rsid w:val="00EF2547"/>
    <w:rsid w:val="00EF27D4"/>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0694"/>
    <w:rsid w:val="00F01657"/>
    <w:rsid w:val="00F01A38"/>
    <w:rsid w:val="00F01E67"/>
    <w:rsid w:val="00F02744"/>
    <w:rsid w:val="00F02BFD"/>
    <w:rsid w:val="00F02D25"/>
    <w:rsid w:val="00F03AD0"/>
    <w:rsid w:val="00F0435D"/>
    <w:rsid w:val="00F04580"/>
    <w:rsid w:val="00F04ECA"/>
    <w:rsid w:val="00F05CB7"/>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02D"/>
    <w:rsid w:val="00F24644"/>
    <w:rsid w:val="00F250F6"/>
    <w:rsid w:val="00F256FD"/>
    <w:rsid w:val="00F259F1"/>
    <w:rsid w:val="00F26F33"/>
    <w:rsid w:val="00F26F88"/>
    <w:rsid w:val="00F27E74"/>
    <w:rsid w:val="00F300A8"/>
    <w:rsid w:val="00F30265"/>
    <w:rsid w:val="00F30400"/>
    <w:rsid w:val="00F3079E"/>
    <w:rsid w:val="00F326BD"/>
    <w:rsid w:val="00F32C50"/>
    <w:rsid w:val="00F32EBA"/>
    <w:rsid w:val="00F32EE9"/>
    <w:rsid w:val="00F33980"/>
    <w:rsid w:val="00F3399B"/>
    <w:rsid w:val="00F33C1A"/>
    <w:rsid w:val="00F34224"/>
    <w:rsid w:val="00F3461B"/>
    <w:rsid w:val="00F346ED"/>
    <w:rsid w:val="00F34945"/>
    <w:rsid w:val="00F34E1E"/>
    <w:rsid w:val="00F3570C"/>
    <w:rsid w:val="00F368FF"/>
    <w:rsid w:val="00F37068"/>
    <w:rsid w:val="00F37F3F"/>
    <w:rsid w:val="00F407DF"/>
    <w:rsid w:val="00F40992"/>
    <w:rsid w:val="00F40AEC"/>
    <w:rsid w:val="00F40EA1"/>
    <w:rsid w:val="00F412DF"/>
    <w:rsid w:val="00F41596"/>
    <w:rsid w:val="00F41883"/>
    <w:rsid w:val="00F41D8B"/>
    <w:rsid w:val="00F42121"/>
    <w:rsid w:val="00F424B3"/>
    <w:rsid w:val="00F428B1"/>
    <w:rsid w:val="00F428B4"/>
    <w:rsid w:val="00F4345D"/>
    <w:rsid w:val="00F4387B"/>
    <w:rsid w:val="00F449DA"/>
    <w:rsid w:val="00F4518D"/>
    <w:rsid w:val="00F45B91"/>
    <w:rsid w:val="00F46639"/>
    <w:rsid w:val="00F46692"/>
    <w:rsid w:val="00F4689B"/>
    <w:rsid w:val="00F46BD5"/>
    <w:rsid w:val="00F46CF9"/>
    <w:rsid w:val="00F47AAA"/>
    <w:rsid w:val="00F50183"/>
    <w:rsid w:val="00F50D92"/>
    <w:rsid w:val="00F51765"/>
    <w:rsid w:val="00F51A51"/>
    <w:rsid w:val="00F51CB4"/>
    <w:rsid w:val="00F52324"/>
    <w:rsid w:val="00F52950"/>
    <w:rsid w:val="00F52C9D"/>
    <w:rsid w:val="00F52E39"/>
    <w:rsid w:val="00F533F1"/>
    <w:rsid w:val="00F55679"/>
    <w:rsid w:val="00F55F45"/>
    <w:rsid w:val="00F561E3"/>
    <w:rsid w:val="00F565E6"/>
    <w:rsid w:val="00F56AFA"/>
    <w:rsid w:val="00F575E2"/>
    <w:rsid w:val="00F579FF"/>
    <w:rsid w:val="00F600E0"/>
    <w:rsid w:val="00F600FD"/>
    <w:rsid w:val="00F605EC"/>
    <w:rsid w:val="00F60D04"/>
    <w:rsid w:val="00F60F60"/>
    <w:rsid w:val="00F612CE"/>
    <w:rsid w:val="00F624A7"/>
    <w:rsid w:val="00F62AB6"/>
    <w:rsid w:val="00F63984"/>
    <w:rsid w:val="00F643C7"/>
    <w:rsid w:val="00F65A3C"/>
    <w:rsid w:val="00F66135"/>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4F57"/>
    <w:rsid w:val="00F76C11"/>
    <w:rsid w:val="00F77021"/>
    <w:rsid w:val="00F77E61"/>
    <w:rsid w:val="00F814B2"/>
    <w:rsid w:val="00F815AC"/>
    <w:rsid w:val="00F83200"/>
    <w:rsid w:val="00F83621"/>
    <w:rsid w:val="00F83B33"/>
    <w:rsid w:val="00F83CAE"/>
    <w:rsid w:val="00F840BF"/>
    <w:rsid w:val="00F8415D"/>
    <w:rsid w:val="00F8427A"/>
    <w:rsid w:val="00F843DF"/>
    <w:rsid w:val="00F8471C"/>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0CB"/>
    <w:rsid w:val="00F9537B"/>
    <w:rsid w:val="00F95567"/>
    <w:rsid w:val="00F963FC"/>
    <w:rsid w:val="00F96D27"/>
    <w:rsid w:val="00FA015F"/>
    <w:rsid w:val="00FA0687"/>
    <w:rsid w:val="00FA0FAC"/>
    <w:rsid w:val="00FA1DA2"/>
    <w:rsid w:val="00FA3414"/>
    <w:rsid w:val="00FA347A"/>
    <w:rsid w:val="00FA39D7"/>
    <w:rsid w:val="00FA3CDE"/>
    <w:rsid w:val="00FA457D"/>
    <w:rsid w:val="00FA4691"/>
    <w:rsid w:val="00FA49B7"/>
    <w:rsid w:val="00FA5043"/>
    <w:rsid w:val="00FA6F8B"/>
    <w:rsid w:val="00FA7A30"/>
    <w:rsid w:val="00FB033F"/>
    <w:rsid w:val="00FB12E3"/>
    <w:rsid w:val="00FB1570"/>
    <w:rsid w:val="00FB193B"/>
    <w:rsid w:val="00FB1FBC"/>
    <w:rsid w:val="00FB27B7"/>
    <w:rsid w:val="00FB2C36"/>
    <w:rsid w:val="00FB3483"/>
    <w:rsid w:val="00FB35E3"/>
    <w:rsid w:val="00FB46CF"/>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236"/>
    <w:rsid w:val="00FD556A"/>
    <w:rsid w:val="00FD77A2"/>
    <w:rsid w:val="00FD798D"/>
    <w:rsid w:val="00FD7FB9"/>
    <w:rsid w:val="00FE10F6"/>
    <w:rsid w:val="00FE141E"/>
    <w:rsid w:val="00FE144E"/>
    <w:rsid w:val="00FE1768"/>
    <w:rsid w:val="00FE24F4"/>
    <w:rsid w:val="00FE2560"/>
    <w:rsid w:val="00FE35D0"/>
    <w:rsid w:val="00FE39DD"/>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2C63"/>
    <w:rsid w:val="00FF2DEE"/>
    <w:rsid w:val="00FF3B37"/>
    <w:rsid w:val="00FF3D6F"/>
    <w:rsid w:val="00FF3FE5"/>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877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4589818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2544041">
      <w:bodyDiv w:val="1"/>
      <w:marLeft w:val="0"/>
      <w:marRight w:val="0"/>
      <w:marTop w:val="0"/>
      <w:marBottom w:val="0"/>
      <w:divBdr>
        <w:top w:val="none" w:sz="0" w:space="0" w:color="auto"/>
        <w:left w:val="none" w:sz="0" w:space="0" w:color="auto"/>
        <w:bottom w:val="none" w:sz="0" w:space="0" w:color="auto"/>
        <w:right w:val="none" w:sz="0" w:space="0" w:color="auto"/>
      </w:divBdr>
    </w:div>
    <w:div w:id="227955712">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1565426">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27967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9987209">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6843">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9397429">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2036685">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149101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3A01-A0FE-4634-95D5-BF0A9302B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22</Pages>
  <Words>8797</Words>
  <Characters>48387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Martin Rojas Mejia</cp:lastModifiedBy>
  <cp:revision>2</cp:revision>
  <cp:lastPrinted>2020-01-30T15:05:00Z</cp:lastPrinted>
  <dcterms:created xsi:type="dcterms:W3CDTF">2022-04-27T14:41:00Z</dcterms:created>
  <dcterms:modified xsi:type="dcterms:W3CDTF">2022-04-27T14:41:00Z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