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BF0E64"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BF0E64">
        <w:rPr>
          <w:rFonts w:ascii="Arial" w:hAnsi="Arial" w:cs="Arial"/>
          <w:bCs/>
          <w:color w:val="000000" w:themeColor="text1"/>
          <w:sz w:val="16"/>
          <w:szCs w:val="16"/>
          <w:lang w:val="es-ES_tradnl" w:eastAsia="es-ES"/>
        </w:rPr>
        <w:t>CCE-DES-FM-17</w:t>
      </w:r>
      <w:bookmarkEnd w:id="0"/>
      <w:bookmarkEnd w:id="1"/>
    </w:p>
    <w:p w14:paraId="55FBD910" w14:textId="77777777" w:rsidR="008536BB" w:rsidRPr="00BF0E64" w:rsidRDefault="008536BB" w:rsidP="00B95C30">
      <w:pPr>
        <w:spacing w:line="276" w:lineRule="auto"/>
        <w:jc w:val="both"/>
        <w:rPr>
          <w:rFonts w:ascii="Arial" w:hAnsi="Arial" w:cs="Arial"/>
          <w:noProof/>
          <w:color w:val="000000" w:themeColor="text1"/>
          <w:sz w:val="22"/>
          <w:lang w:val="es-ES_tradnl"/>
        </w:rPr>
      </w:pPr>
    </w:p>
    <w:p w14:paraId="4F483C51" w14:textId="77777777" w:rsidR="007B53DA" w:rsidRPr="00DC5CAD" w:rsidRDefault="007B53DA" w:rsidP="007B53DA">
      <w:pPr>
        <w:jc w:val="both"/>
        <w:rPr>
          <w:rFonts w:ascii="Arial" w:hAnsi="Arial" w:cs="Arial"/>
          <w:b/>
          <w:bCs/>
          <w:sz w:val="22"/>
        </w:rPr>
      </w:pPr>
      <w:r w:rsidRPr="00DC5CAD">
        <w:rPr>
          <w:rFonts w:ascii="Arial" w:hAnsi="Arial" w:cs="Arial"/>
          <w:b/>
          <w:bCs/>
          <w:sz w:val="22"/>
        </w:rPr>
        <w:t xml:space="preserve">EXPERIENCIA </w:t>
      </w:r>
      <w:bookmarkStart w:id="2" w:name="_Hlk39676694"/>
      <w:r w:rsidRPr="00DC5CAD">
        <w:rPr>
          <w:rFonts w:ascii="Arial" w:eastAsia="Calibri" w:hAnsi="Arial" w:cs="Arial"/>
          <w:b/>
          <w:sz w:val="22"/>
        </w:rPr>
        <w:t>–</w:t>
      </w:r>
      <w:bookmarkEnd w:id="2"/>
      <w:r w:rsidRPr="00DC5CAD">
        <w:rPr>
          <w:rFonts w:ascii="Arial" w:eastAsia="Calibri" w:hAnsi="Arial" w:cs="Arial"/>
          <w:b/>
          <w:sz w:val="22"/>
        </w:rPr>
        <w:t xml:space="preserve"> Concepto – </w:t>
      </w:r>
      <w:r w:rsidRPr="00DC5CAD">
        <w:rPr>
          <w:rFonts w:ascii="Arial" w:hAnsi="Arial" w:cs="Arial"/>
          <w:b/>
          <w:bCs/>
          <w:sz w:val="22"/>
        </w:rPr>
        <w:t>Colombia Compra Eficiente</w:t>
      </w:r>
    </w:p>
    <w:p w14:paraId="213ECBAA" w14:textId="77777777" w:rsidR="007B53DA" w:rsidRPr="00DC5CAD" w:rsidRDefault="007B53DA" w:rsidP="007B53DA">
      <w:pPr>
        <w:jc w:val="both"/>
        <w:rPr>
          <w:rFonts w:ascii="Arial" w:hAnsi="Arial" w:cs="Arial"/>
          <w:b/>
          <w:bCs/>
          <w:sz w:val="20"/>
          <w:szCs w:val="20"/>
          <w:highlight w:val="yellow"/>
        </w:rPr>
      </w:pPr>
    </w:p>
    <w:p w14:paraId="0118033E" w14:textId="465B4812" w:rsidR="007B53DA" w:rsidRPr="00DC5CAD" w:rsidRDefault="00001004" w:rsidP="007B53DA">
      <w:pPr>
        <w:spacing w:after="120"/>
        <w:jc w:val="both"/>
        <w:rPr>
          <w:rFonts w:ascii="Arial" w:hAnsi="Arial" w:cs="Arial"/>
          <w:sz w:val="20"/>
          <w:szCs w:val="20"/>
        </w:rPr>
      </w:pPr>
      <w:r>
        <w:rPr>
          <w:rFonts w:ascii="Arial" w:hAnsi="Arial" w:cs="Arial"/>
          <w:sz w:val="20"/>
          <w:szCs w:val="20"/>
        </w:rPr>
        <w:t>[…]</w:t>
      </w:r>
      <w:r w:rsidR="007B53DA" w:rsidRPr="00DC5CAD">
        <w:rPr>
          <w:rFonts w:ascii="Arial" w:hAnsi="Arial" w:cs="Arial"/>
          <w:sz w:val="20"/>
          <w:szCs w:val="20"/>
        </w:rPr>
        <w:t xml:space="preserve">, se pueden extraer cuatro conclusiones relevantes para evaluar las figuras y reformas estatutarias de las sociedades comerciales, respecto de la experiencia: </w:t>
      </w:r>
    </w:p>
    <w:p w14:paraId="114103C5" w14:textId="77777777" w:rsidR="007B53DA" w:rsidRPr="00DC5CAD" w:rsidRDefault="007B53DA" w:rsidP="007B53DA">
      <w:pPr>
        <w:spacing w:after="120"/>
        <w:jc w:val="both"/>
        <w:rPr>
          <w:rFonts w:ascii="Arial" w:hAnsi="Arial" w:cs="Arial"/>
          <w:sz w:val="20"/>
          <w:szCs w:val="20"/>
        </w:rPr>
      </w:pPr>
      <w:r w:rsidRPr="00DC5CAD">
        <w:rPr>
          <w:rFonts w:ascii="Arial" w:hAnsi="Arial" w:cs="Arial"/>
          <w:sz w:val="20"/>
          <w:szCs w:val="20"/>
        </w:rPr>
        <w:t>i) La experiencia es personal, esto es, se adquiere participando, directa o indirectamente, sin que sea posible no hacerlo y tener experiencia.</w:t>
      </w:r>
    </w:p>
    <w:p w14:paraId="063A506C" w14:textId="4EBE5087" w:rsidR="007B53DA" w:rsidRPr="00DC5CAD" w:rsidRDefault="007B53DA" w:rsidP="007B53DA">
      <w:pPr>
        <w:spacing w:after="120"/>
        <w:jc w:val="both"/>
        <w:rPr>
          <w:rFonts w:ascii="Arial" w:hAnsi="Arial" w:cs="Arial"/>
          <w:sz w:val="20"/>
          <w:szCs w:val="20"/>
        </w:rPr>
      </w:pPr>
      <w:r w:rsidRPr="00DC5CAD">
        <w:rPr>
          <w:rFonts w:ascii="Arial" w:hAnsi="Arial" w:cs="Arial"/>
          <w:sz w:val="20"/>
          <w:szCs w:val="20"/>
        </w:rPr>
        <w:t>ii) La experiencia se puede compartir,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p>
    <w:p w14:paraId="062BF287" w14:textId="7857BA5D" w:rsidR="007B53DA" w:rsidRPr="00DC5CAD" w:rsidRDefault="007B53DA" w:rsidP="007B53DA">
      <w:pPr>
        <w:spacing w:after="120"/>
        <w:jc w:val="both"/>
        <w:rPr>
          <w:rFonts w:ascii="Arial" w:hAnsi="Arial" w:cs="Arial"/>
          <w:sz w:val="20"/>
          <w:szCs w:val="20"/>
        </w:rPr>
      </w:pPr>
      <w:r w:rsidRPr="00DC5CAD">
        <w:rPr>
          <w:rFonts w:ascii="Arial" w:hAnsi="Arial" w:cs="Arial"/>
          <w:sz w:val="20"/>
          <w:szCs w:val="20"/>
        </w:rPr>
        <w:t>iii) La experiencia se puede transferir,</w:t>
      </w:r>
      <w:r w:rsidR="001F51A9">
        <w:rPr>
          <w:rFonts w:ascii="Arial" w:hAnsi="Arial" w:cs="Arial"/>
          <w:sz w:val="20"/>
          <w:szCs w:val="20"/>
        </w:rPr>
        <w:t xml:space="preserve"> </w:t>
      </w:r>
      <w:r w:rsidRPr="00DC5CAD">
        <w:rPr>
          <w:rFonts w:ascii="Arial" w:hAnsi="Arial" w:cs="Arial"/>
          <w:sz w:val="20"/>
          <w:szCs w:val="20"/>
        </w:rPr>
        <w:t>y esto es diferente a compartir, lo que implica que la experiencia de una persona se traslada a otra, y esta última acredita la experiencia como propia, como sucede con algunas figuras y reformas estatutarias, que se explicarán con más detalle en el numeral 2.</w:t>
      </w:r>
      <w:r w:rsidR="00D42303">
        <w:rPr>
          <w:rFonts w:ascii="Arial" w:hAnsi="Arial" w:cs="Arial"/>
          <w:sz w:val="20"/>
          <w:szCs w:val="20"/>
        </w:rPr>
        <w:t>2</w:t>
      </w:r>
      <w:r w:rsidRPr="00DC5CAD">
        <w:rPr>
          <w:rFonts w:ascii="Arial" w:hAnsi="Arial" w:cs="Arial"/>
          <w:sz w:val="20"/>
          <w:szCs w:val="20"/>
        </w:rPr>
        <w:t xml:space="preserve"> de este concepto.</w:t>
      </w:r>
    </w:p>
    <w:p w14:paraId="5F03D21C" w14:textId="77777777" w:rsidR="007B53DA" w:rsidRPr="00DC5CAD" w:rsidRDefault="007B53DA" w:rsidP="007B53DA">
      <w:pPr>
        <w:jc w:val="both"/>
        <w:rPr>
          <w:rFonts w:ascii="Arial" w:hAnsi="Arial" w:cs="Arial"/>
          <w:sz w:val="20"/>
          <w:szCs w:val="20"/>
        </w:rPr>
      </w:pPr>
      <w:r w:rsidRPr="00DC5CAD">
        <w:rPr>
          <w:rFonts w:ascii="Arial" w:hAnsi="Arial" w:cs="Arial"/>
          <w:sz w:val="20"/>
          <w:szCs w:val="20"/>
        </w:rPr>
        <w:t>iv) Cuando la persona que adquirió la experiencia desaparece o se liquida no es posible que comparta o transfiera su experiencia, porque al ser personal sigue la suerte de quien la adquirió.</w:t>
      </w:r>
    </w:p>
    <w:p w14:paraId="30A0730C" w14:textId="77777777" w:rsidR="007B53DA" w:rsidRPr="00DC5CAD" w:rsidRDefault="007B53DA" w:rsidP="007B53DA">
      <w:pPr>
        <w:jc w:val="both"/>
        <w:rPr>
          <w:rFonts w:ascii="Arial" w:hAnsi="Arial" w:cs="Arial"/>
          <w:b/>
          <w:bCs/>
          <w:sz w:val="20"/>
          <w:szCs w:val="20"/>
          <w:highlight w:val="yellow"/>
        </w:rPr>
      </w:pPr>
    </w:p>
    <w:p w14:paraId="166A60B0" w14:textId="77777777" w:rsidR="007B53DA" w:rsidRPr="00DC5CAD" w:rsidRDefault="007B53DA" w:rsidP="007B53DA">
      <w:pPr>
        <w:jc w:val="both"/>
        <w:rPr>
          <w:rFonts w:ascii="Arial" w:hAnsi="Arial" w:cs="Arial"/>
          <w:b/>
          <w:bCs/>
          <w:sz w:val="22"/>
        </w:rPr>
      </w:pPr>
      <w:r w:rsidRPr="00DC5CAD">
        <w:rPr>
          <w:rFonts w:ascii="Arial" w:hAnsi="Arial" w:cs="Arial"/>
          <w:b/>
          <w:bCs/>
          <w:sz w:val="22"/>
        </w:rPr>
        <w:t xml:space="preserve">EXPERIENCIA </w:t>
      </w:r>
      <w:r w:rsidRPr="00DC5CAD">
        <w:rPr>
          <w:rFonts w:ascii="Arial" w:eastAsia="Calibri" w:hAnsi="Arial" w:cs="Arial"/>
          <w:b/>
          <w:sz w:val="22"/>
        </w:rPr>
        <w:t>– Transformación</w:t>
      </w:r>
    </w:p>
    <w:p w14:paraId="0A0C04CD" w14:textId="77777777" w:rsidR="007B53DA" w:rsidRPr="00DC5CAD" w:rsidRDefault="007B53DA" w:rsidP="007B53DA">
      <w:pPr>
        <w:pStyle w:val="Sinespaciado"/>
        <w:widowControl w:val="0"/>
        <w:autoSpaceDE w:val="0"/>
        <w:autoSpaceDN w:val="0"/>
        <w:jc w:val="both"/>
        <w:rPr>
          <w:rFonts w:ascii="Arial" w:hAnsi="Arial" w:cs="Arial"/>
          <w:b/>
          <w:sz w:val="20"/>
          <w:szCs w:val="20"/>
          <w:highlight w:val="yellow"/>
        </w:rPr>
      </w:pPr>
    </w:p>
    <w:p w14:paraId="0A20DD2E" w14:textId="204269BA" w:rsidR="007B53DA" w:rsidRPr="00DC5CAD" w:rsidRDefault="007B53DA" w:rsidP="007B53DA">
      <w:pPr>
        <w:autoSpaceDE w:val="0"/>
        <w:autoSpaceDN w:val="0"/>
        <w:adjustRightInd w:val="0"/>
        <w:jc w:val="both"/>
        <w:rPr>
          <w:rFonts w:ascii="Arial" w:hAnsi="Arial" w:cs="Arial"/>
          <w:sz w:val="20"/>
          <w:szCs w:val="20"/>
        </w:rPr>
      </w:pPr>
      <w:r w:rsidRPr="00DC5CAD">
        <w:rPr>
          <w:rFonts w:ascii="Arial" w:hAnsi="Arial" w:cs="Arial"/>
          <w:sz w:val="20"/>
          <w:szCs w:val="20"/>
        </w:rPr>
        <w:t>Respecto de la experiencia, teniendo en cuenta que la sociedad solo cambia su forma, lo cual, de acuerdo con el Código de Comercio, no afecta sus actividades, la sociedad continuará con la experiencia adquirida, ya que la misma es personal</w:t>
      </w:r>
      <w:r w:rsidR="0011627A">
        <w:rPr>
          <w:rFonts w:ascii="Arial" w:hAnsi="Arial" w:cs="Arial"/>
          <w:sz w:val="20"/>
          <w:szCs w:val="20"/>
        </w:rPr>
        <w:t>,</w:t>
      </w:r>
      <w:r w:rsidRPr="00DC5CAD">
        <w:rPr>
          <w:rFonts w:ascii="Arial" w:hAnsi="Arial" w:cs="Arial"/>
          <w:sz w:val="20"/>
          <w:szCs w:val="20"/>
        </w:rPr>
        <w:t xml:space="preserve">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«disuelve», y por ende tampoco se «liquida», porque</w:t>
      </w:r>
      <w:r w:rsidR="00B56BA8">
        <w:rPr>
          <w:rFonts w:ascii="Arial" w:hAnsi="Arial" w:cs="Arial"/>
          <w:sz w:val="20"/>
          <w:szCs w:val="20"/>
        </w:rPr>
        <w:t>,</w:t>
      </w:r>
      <w:r w:rsidRPr="00DC5CAD">
        <w:rPr>
          <w:rFonts w:ascii="Arial" w:hAnsi="Arial" w:cs="Arial"/>
          <w:sz w:val="20"/>
          <w:szCs w:val="20"/>
        </w:rPr>
        <w:t xml:space="preserve"> de acuerdo con el artículo 222 del Código de Comercio</w:t>
      </w:r>
      <w:r w:rsidR="00B56BA8">
        <w:rPr>
          <w:rFonts w:ascii="Arial" w:hAnsi="Arial" w:cs="Arial"/>
          <w:sz w:val="20"/>
          <w:szCs w:val="20"/>
        </w:rPr>
        <w:t>,</w:t>
      </w:r>
      <w:r w:rsidRPr="00DC5CAD">
        <w:rPr>
          <w:rFonts w:ascii="Arial" w:hAnsi="Arial" w:cs="Arial"/>
          <w:sz w:val="20"/>
          <w:szCs w:val="20"/>
        </w:rPr>
        <w:t xml:space="preserve"> para «liquidarse» necesita estar «disuelta»</w:t>
      </w:r>
      <w:r w:rsidR="00B56BA8">
        <w:rPr>
          <w:rFonts w:ascii="Arial" w:hAnsi="Arial" w:cs="Arial"/>
          <w:sz w:val="20"/>
          <w:szCs w:val="20"/>
        </w:rPr>
        <w:t>.</w:t>
      </w:r>
      <w:r w:rsidRPr="00DC5CAD">
        <w:rPr>
          <w:rFonts w:ascii="Arial" w:hAnsi="Arial" w:cs="Arial"/>
          <w:sz w:val="20"/>
          <w:szCs w:val="20"/>
        </w:rPr>
        <w:t xml:space="preserve"> </w:t>
      </w:r>
      <w:r w:rsidR="00B56BA8">
        <w:rPr>
          <w:rFonts w:ascii="Arial" w:hAnsi="Arial" w:cs="Arial"/>
          <w:sz w:val="20"/>
          <w:szCs w:val="20"/>
        </w:rPr>
        <w:t>S</w:t>
      </w:r>
      <w:r w:rsidRPr="00DC5CAD">
        <w:rPr>
          <w:rFonts w:ascii="Arial" w:hAnsi="Arial" w:cs="Arial"/>
          <w:sz w:val="20"/>
          <w:szCs w:val="20"/>
        </w:rPr>
        <w:t>olo cambia el tipo societario que había adoptado en su constitución, es decir, no sufre modificaciones o alteraciones</w:t>
      </w:r>
      <w:r w:rsidR="00612DF1">
        <w:rPr>
          <w:rFonts w:ascii="Arial" w:hAnsi="Arial" w:cs="Arial"/>
          <w:sz w:val="20"/>
          <w:szCs w:val="20"/>
        </w:rPr>
        <w:t>,</w:t>
      </w:r>
      <w:r w:rsidRPr="00DC5CAD">
        <w:rPr>
          <w:rFonts w:ascii="Arial" w:hAnsi="Arial" w:cs="Arial"/>
          <w:sz w:val="20"/>
          <w:szCs w:val="20"/>
        </w:rPr>
        <w:t xml:space="preserve"> y por eso puede continuar adquiriendo experiencia y compartirla, pero no puede trasladarla</w:t>
      </w:r>
      <w:r w:rsidR="00612DF1">
        <w:rPr>
          <w:rFonts w:ascii="Arial" w:hAnsi="Arial" w:cs="Arial"/>
          <w:sz w:val="20"/>
          <w:szCs w:val="20"/>
        </w:rPr>
        <w:t>,</w:t>
      </w:r>
      <w:r w:rsidRPr="00DC5CAD">
        <w:rPr>
          <w:rFonts w:ascii="Arial" w:hAnsi="Arial" w:cs="Arial"/>
          <w:sz w:val="20"/>
          <w:szCs w:val="20"/>
        </w:rPr>
        <w:t xml:space="preserve"> porque para ello tendría que «disolverse» o conformar un consorcio, como se verá en la fusión y en una de las modalidades de escisión.  </w:t>
      </w:r>
    </w:p>
    <w:p w14:paraId="29D1E3BC" w14:textId="77777777" w:rsidR="007B53DA" w:rsidRPr="00DC5CAD" w:rsidRDefault="007B53DA" w:rsidP="007B53DA">
      <w:pPr>
        <w:autoSpaceDE w:val="0"/>
        <w:autoSpaceDN w:val="0"/>
        <w:adjustRightInd w:val="0"/>
        <w:rPr>
          <w:rFonts w:ascii="Arial" w:hAnsi="Arial" w:cs="Arial"/>
          <w:sz w:val="20"/>
          <w:szCs w:val="20"/>
        </w:rPr>
      </w:pPr>
    </w:p>
    <w:p w14:paraId="741A7BB6" w14:textId="77777777" w:rsidR="007B53DA" w:rsidRPr="00DC5CAD" w:rsidRDefault="007B53DA" w:rsidP="007B53DA">
      <w:pPr>
        <w:jc w:val="both"/>
        <w:rPr>
          <w:rFonts w:ascii="Arial" w:hAnsi="Arial" w:cs="Arial"/>
          <w:b/>
          <w:bCs/>
          <w:sz w:val="22"/>
        </w:rPr>
      </w:pPr>
      <w:r w:rsidRPr="00DC5CAD">
        <w:rPr>
          <w:rFonts w:ascii="Arial" w:hAnsi="Arial" w:cs="Arial"/>
          <w:b/>
          <w:bCs/>
          <w:sz w:val="22"/>
        </w:rPr>
        <w:t xml:space="preserve">EXPERIENCIA </w:t>
      </w:r>
      <w:r w:rsidRPr="00DC5CAD">
        <w:rPr>
          <w:rFonts w:ascii="Arial" w:eastAsia="Calibri" w:hAnsi="Arial" w:cs="Arial"/>
          <w:b/>
          <w:sz w:val="22"/>
        </w:rPr>
        <w:t>– Escisión</w:t>
      </w:r>
    </w:p>
    <w:p w14:paraId="3708DBD8" w14:textId="77777777" w:rsidR="007B53DA" w:rsidRPr="00DC5CAD" w:rsidRDefault="007B53DA" w:rsidP="007B53DA">
      <w:pPr>
        <w:pStyle w:val="Sinespaciado"/>
        <w:widowControl w:val="0"/>
        <w:autoSpaceDE w:val="0"/>
        <w:autoSpaceDN w:val="0"/>
        <w:jc w:val="both"/>
        <w:rPr>
          <w:rFonts w:ascii="Arial" w:hAnsi="Arial" w:cs="Arial"/>
          <w:b/>
          <w:sz w:val="20"/>
          <w:szCs w:val="20"/>
          <w:highlight w:val="yellow"/>
        </w:rPr>
      </w:pPr>
    </w:p>
    <w:p w14:paraId="69E6C881" w14:textId="309B3869" w:rsidR="007B53DA" w:rsidRPr="00DC5CAD" w:rsidRDefault="007B53DA" w:rsidP="007B53DA">
      <w:pPr>
        <w:jc w:val="both"/>
        <w:rPr>
          <w:rFonts w:ascii="Arial" w:hAnsi="Arial" w:cs="Arial"/>
          <w:sz w:val="20"/>
          <w:szCs w:val="20"/>
        </w:rPr>
      </w:pPr>
      <w:r w:rsidRPr="00DC5CAD">
        <w:rPr>
          <w:rFonts w:ascii="Arial" w:hAnsi="Arial" w:cs="Arial"/>
          <w:sz w:val="20"/>
          <w:szCs w:val="20"/>
        </w:rPr>
        <w:t>Para la primera modalidad de escisión, teniendo en cuenta que la sociedad continúa sin alteraciones, puede compartir la experiencia a través de esquemas asociativos, pero no la transfiere porque para ello tendría que «disolverse» pero no «liquidarse», puesto que la «liquidación» implicaría que desaparece la persona y así su experiencia. Para explicarlo hay que volver a la definición de «disolución», donde la persona jurídica no desaparece y solo puede hacer trámites para «liquidarse»</w:t>
      </w:r>
      <w:r w:rsidR="00ED7C60">
        <w:rPr>
          <w:rFonts w:ascii="Arial" w:hAnsi="Arial" w:cs="Arial"/>
          <w:sz w:val="20"/>
          <w:szCs w:val="20"/>
        </w:rPr>
        <w:t>.</w:t>
      </w:r>
      <w:r w:rsidRPr="00DC5CAD">
        <w:rPr>
          <w:rFonts w:ascii="Arial" w:hAnsi="Arial" w:cs="Arial"/>
          <w:sz w:val="20"/>
          <w:szCs w:val="20"/>
        </w:rPr>
        <w:t xml:space="preserve"> </w:t>
      </w:r>
      <w:r w:rsidR="00ED7C60">
        <w:rPr>
          <w:rFonts w:ascii="Arial" w:hAnsi="Arial" w:cs="Arial"/>
          <w:sz w:val="20"/>
          <w:szCs w:val="20"/>
        </w:rPr>
        <w:t>S</w:t>
      </w:r>
      <w:r w:rsidRPr="00DC5CAD">
        <w:rPr>
          <w:rFonts w:ascii="Arial" w:hAnsi="Arial" w:cs="Arial"/>
          <w:sz w:val="20"/>
          <w:szCs w:val="20"/>
        </w:rPr>
        <w:t>in embargo</w:t>
      </w:r>
      <w:r w:rsidR="00ED7C60">
        <w:rPr>
          <w:rFonts w:ascii="Arial" w:hAnsi="Arial" w:cs="Arial"/>
          <w:sz w:val="20"/>
          <w:szCs w:val="20"/>
        </w:rPr>
        <w:t>,</w:t>
      </w:r>
      <w:r w:rsidRPr="00DC5CAD">
        <w:rPr>
          <w:rFonts w:ascii="Arial" w:hAnsi="Arial" w:cs="Arial"/>
          <w:sz w:val="20"/>
          <w:szCs w:val="20"/>
        </w:rPr>
        <w:t xml:space="preserve"> hay una excepción a esa regla y es, precisamente, </w:t>
      </w:r>
      <w:r w:rsidR="00ED7C60">
        <w:rPr>
          <w:rFonts w:ascii="Arial" w:hAnsi="Arial" w:cs="Arial"/>
          <w:sz w:val="20"/>
          <w:szCs w:val="20"/>
        </w:rPr>
        <w:t xml:space="preserve">la de </w:t>
      </w:r>
      <w:r w:rsidRPr="00DC5CAD">
        <w:rPr>
          <w:rFonts w:ascii="Arial" w:hAnsi="Arial" w:cs="Arial"/>
          <w:sz w:val="20"/>
          <w:szCs w:val="20"/>
        </w:rPr>
        <w:t>las figuras y reformas estatutarias que aquí se explican, particularmente la fusión, ya que por esa excepción la persona tiene continuidad en otra persona, y sigue siendo quien era, lo cual no es el caso de la escisión, ya que en la primera modalidad no existe «disolución», lo que significa que la persona continúa por sí misma y puede adquirir experiencia</w:t>
      </w:r>
      <w:r w:rsidR="004F3DB4">
        <w:rPr>
          <w:rFonts w:ascii="Arial" w:hAnsi="Arial" w:cs="Arial"/>
          <w:sz w:val="20"/>
          <w:szCs w:val="20"/>
        </w:rPr>
        <w:t>,</w:t>
      </w:r>
      <w:r w:rsidRPr="00DC5CAD">
        <w:rPr>
          <w:rFonts w:ascii="Arial" w:hAnsi="Arial" w:cs="Arial"/>
          <w:sz w:val="20"/>
          <w:szCs w:val="20"/>
        </w:rPr>
        <w:t xml:space="preserve"> pero no puede transferirla</w:t>
      </w:r>
      <w:r w:rsidR="004F3DB4">
        <w:rPr>
          <w:rFonts w:ascii="Arial" w:hAnsi="Arial" w:cs="Arial"/>
          <w:sz w:val="20"/>
          <w:szCs w:val="20"/>
        </w:rPr>
        <w:t>,</w:t>
      </w:r>
      <w:r w:rsidRPr="00DC5CAD">
        <w:rPr>
          <w:rFonts w:ascii="Arial" w:hAnsi="Arial" w:cs="Arial"/>
          <w:sz w:val="20"/>
          <w:szCs w:val="20"/>
        </w:rPr>
        <w:t xml:space="preserve"> porque le pertenece</w:t>
      </w:r>
      <w:r w:rsidR="004F3DB4">
        <w:rPr>
          <w:rFonts w:ascii="Arial" w:hAnsi="Arial" w:cs="Arial"/>
          <w:sz w:val="20"/>
          <w:szCs w:val="20"/>
        </w:rPr>
        <w:t>,</w:t>
      </w:r>
      <w:r w:rsidRPr="00DC5CAD">
        <w:rPr>
          <w:rFonts w:ascii="Arial" w:hAnsi="Arial" w:cs="Arial"/>
          <w:sz w:val="20"/>
          <w:szCs w:val="20"/>
        </w:rPr>
        <w:t xml:space="preserve"> al ser quien la adquirió. </w:t>
      </w:r>
    </w:p>
    <w:p w14:paraId="6BB233CF" w14:textId="77777777" w:rsidR="004F3DB4" w:rsidRDefault="004F3DB4" w:rsidP="007B53DA">
      <w:pPr>
        <w:jc w:val="both"/>
        <w:rPr>
          <w:rFonts w:ascii="Arial" w:hAnsi="Arial" w:cs="Arial"/>
          <w:sz w:val="20"/>
          <w:szCs w:val="20"/>
        </w:rPr>
      </w:pPr>
    </w:p>
    <w:p w14:paraId="55A6F14D" w14:textId="4C35D16B" w:rsidR="007B53DA" w:rsidRPr="00DC5CAD" w:rsidRDefault="007B53DA" w:rsidP="007B53DA">
      <w:pPr>
        <w:jc w:val="both"/>
        <w:rPr>
          <w:rFonts w:ascii="Arial" w:hAnsi="Arial" w:cs="Arial"/>
          <w:sz w:val="20"/>
          <w:szCs w:val="20"/>
        </w:rPr>
      </w:pPr>
      <w:r w:rsidRPr="00DC5CAD">
        <w:rPr>
          <w:rFonts w:ascii="Arial" w:hAnsi="Arial" w:cs="Arial"/>
          <w:sz w:val="20"/>
          <w:szCs w:val="20"/>
        </w:rPr>
        <w:lastRenderedPageBreak/>
        <w:t>Por otro lado, a pesar de que en la segunda modalidad existe «disolución», no hay transferencia de la experiencia</w:t>
      </w:r>
      <w:r w:rsidR="000842BE">
        <w:rPr>
          <w:rFonts w:ascii="Arial" w:hAnsi="Arial" w:cs="Arial"/>
          <w:sz w:val="20"/>
          <w:szCs w:val="20"/>
        </w:rPr>
        <w:t>,</w:t>
      </w:r>
      <w:r w:rsidRPr="00DC5CAD">
        <w:rPr>
          <w:rFonts w:ascii="Arial" w:hAnsi="Arial" w:cs="Arial"/>
          <w:sz w:val="20"/>
          <w:szCs w:val="20"/>
        </w:rPr>
        <w:t xml:space="preserve"> porque la persona jurídica fraccionada deja de ser qui</w:t>
      </w:r>
      <w:r w:rsidR="000842BE">
        <w:rPr>
          <w:rFonts w:ascii="Arial" w:hAnsi="Arial" w:cs="Arial"/>
          <w:sz w:val="20"/>
          <w:szCs w:val="20"/>
        </w:rPr>
        <w:t>e</w:t>
      </w:r>
      <w:r w:rsidRPr="00DC5CAD">
        <w:rPr>
          <w:rFonts w:ascii="Arial" w:hAnsi="Arial" w:cs="Arial"/>
          <w:sz w:val="20"/>
          <w:szCs w:val="20"/>
        </w:rPr>
        <w:t>n es y desaparece, quedando dividida en varias sociedades nuevas o existentes que reciben su patrimonio, sin que sea posible determinar cuál de todas las sociedades que recibieron parte del patrimonio de la sociedad escindida tiene la experiencia</w:t>
      </w:r>
      <w:r w:rsidR="00430682">
        <w:rPr>
          <w:rFonts w:ascii="Arial" w:hAnsi="Arial" w:cs="Arial"/>
          <w:sz w:val="20"/>
          <w:szCs w:val="20"/>
        </w:rPr>
        <w:t>.</w:t>
      </w:r>
      <w:r w:rsidRPr="00DC5CAD">
        <w:rPr>
          <w:rFonts w:ascii="Arial" w:hAnsi="Arial" w:cs="Arial"/>
          <w:sz w:val="20"/>
          <w:szCs w:val="20"/>
        </w:rPr>
        <w:t xml:space="preserve"> </w:t>
      </w:r>
      <w:r w:rsidR="00430682">
        <w:rPr>
          <w:rFonts w:ascii="Arial" w:hAnsi="Arial" w:cs="Arial"/>
          <w:sz w:val="20"/>
          <w:szCs w:val="20"/>
        </w:rPr>
        <w:t>T</w:t>
      </w:r>
      <w:r w:rsidRPr="00DC5CAD">
        <w:rPr>
          <w:rFonts w:ascii="Arial" w:hAnsi="Arial" w:cs="Arial"/>
          <w:sz w:val="20"/>
          <w:szCs w:val="20"/>
        </w:rPr>
        <w:t>ampoco es posible que todas las sociedades que recibieron el patrimonio acrediten la misma experiencia multiplicándola tantas veces sea necesario, porque la experiencia es de quien la adquirió y como esa persona jurídica no puede continuar en otra persona porque desapareció quedando fraccionada en 2 o más partes, esto no corresponde con la definición de experiencia personal ni de transferencia de experiencia, donde la persona jurídica sigue siendo quien es a través de otra, sin cambios como fraccionamientos que implican que la persona ya no sea quien era y desaparezca.</w:t>
      </w:r>
    </w:p>
    <w:p w14:paraId="0083FB28" w14:textId="77777777" w:rsidR="007B53DA" w:rsidRPr="00DC5CAD" w:rsidRDefault="007B53DA" w:rsidP="007B53DA">
      <w:pPr>
        <w:jc w:val="both"/>
        <w:rPr>
          <w:rFonts w:ascii="Arial" w:hAnsi="Arial" w:cs="Arial"/>
          <w:sz w:val="20"/>
          <w:szCs w:val="20"/>
        </w:rPr>
      </w:pPr>
    </w:p>
    <w:p w14:paraId="6246DB63" w14:textId="77777777" w:rsidR="007B53DA" w:rsidRPr="00DC5CAD" w:rsidRDefault="007B53DA" w:rsidP="007B53DA">
      <w:pPr>
        <w:jc w:val="both"/>
        <w:rPr>
          <w:rFonts w:ascii="Arial" w:hAnsi="Arial" w:cs="Arial"/>
          <w:b/>
          <w:bCs/>
          <w:sz w:val="22"/>
        </w:rPr>
      </w:pPr>
      <w:r w:rsidRPr="00DC5CAD">
        <w:rPr>
          <w:rFonts w:ascii="Arial" w:hAnsi="Arial" w:cs="Arial"/>
          <w:b/>
          <w:bCs/>
          <w:sz w:val="22"/>
        </w:rPr>
        <w:t xml:space="preserve">EXPERIENCIA </w:t>
      </w:r>
      <w:r w:rsidRPr="00DC5CAD">
        <w:rPr>
          <w:rFonts w:ascii="Arial" w:eastAsia="Calibri" w:hAnsi="Arial" w:cs="Arial"/>
          <w:b/>
          <w:sz w:val="22"/>
        </w:rPr>
        <w:t>– Fusión</w:t>
      </w:r>
    </w:p>
    <w:p w14:paraId="535B4519" w14:textId="77777777" w:rsidR="007B53DA" w:rsidRPr="00DC5CAD" w:rsidRDefault="007B53DA" w:rsidP="007B53DA">
      <w:pPr>
        <w:pStyle w:val="Sinespaciado"/>
        <w:widowControl w:val="0"/>
        <w:autoSpaceDE w:val="0"/>
        <w:autoSpaceDN w:val="0"/>
        <w:jc w:val="both"/>
        <w:rPr>
          <w:rFonts w:ascii="Arial" w:hAnsi="Arial" w:cs="Arial"/>
          <w:b/>
          <w:sz w:val="20"/>
          <w:szCs w:val="20"/>
          <w:highlight w:val="yellow"/>
        </w:rPr>
      </w:pPr>
    </w:p>
    <w:p w14:paraId="6F76B71B" w14:textId="4F339D0B" w:rsidR="007B53DA" w:rsidRPr="00DC5CAD" w:rsidRDefault="007B53DA" w:rsidP="007B53DA">
      <w:pPr>
        <w:autoSpaceDE w:val="0"/>
        <w:autoSpaceDN w:val="0"/>
        <w:adjustRightInd w:val="0"/>
        <w:jc w:val="both"/>
        <w:rPr>
          <w:rFonts w:ascii="Arial" w:hAnsi="Arial" w:cs="Arial"/>
          <w:sz w:val="20"/>
          <w:szCs w:val="20"/>
        </w:rPr>
      </w:pPr>
      <w:r w:rsidRPr="00DC5CAD">
        <w:rPr>
          <w:rFonts w:ascii="Arial" w:hAnsi="Arial" w:cs="Arial"/>
          <w:sz w:val="20"/>
          <w:szCs w:val="20"/>
        </w:rPr>
        <w:t>Para analizar la fusión y sus efectos respecto de la experiencia de la sociedad que se «disuelve» pero no se «liquida», es necesario reiterar la explicación dada respecto de la segunda modalidad de escisión, y es que siempre que la sociedad no se liquide, es decir, que no desaparezca o muera, la experiencia puede ser trasladada y no compartida</w:t>
      </w:r>
      <w:r w:rsidR="00872CC1">
        <w:rPr>
          <w:rFonts w:ascii="Arial" w:hAnsi="Arial" w:cs="Arial"/>
          <w:sz w:val="20"/>
          <w:szCs w:val="20"/>
        </w:rPr>
        <w:t>.</w:t>
      </w:r>
      <w:r w:rsidRPr="00DC5CAD">
        <w:rPr>
          <w:rFonts w:ascii="Arial" w:hAnsi="Arial" w:cs="Arial"/>
          <w:sz w:val="20"/>
          <w:szCs w:val="20"/>
        </w:rPr>
        <w:t xml:space="preserve"> </w:t>
      </w:r>
      <w:r w:rsidR="00872CC1">
        <w:rPr>
          <w:rFonts w:ascii="Arial" w:hAnsi="Arial" w:cs="Arial"/>
          <w:sz w:val="20"/>
          <w:szCs w:val="20"/>
        </w:rPr>
        <w:t>Ello por cuanto</w:t>
      </w:r>
      <w:r w:rsidRPr="00DC5CAD">
        <w:rPr>
          <w:rFonts w:ascii="Arial" w:hAnsi="Arial" w:cs="Arial"/>
          <w:sz w:val="20"/>
          <w:szCs w:val="20"/>
        </w:rPr>
        <w:t xml:space="preserve"> la trasferencia ocurre porque la persona jurídica continúa a través de otra, esto es, deja de ser quien es pero no desaparece porque otra sociedad se convierte en ella, ya sea una sociedad nueva cuando es fusión por creación, o una sociedad existente en la fusión por absorción. La experiencia no se comparte</w:t>
      </w:r>
      <w:r w:rsidR="00FD128D">
        <w:rPr>
          <w:rFonts w:ascii="Arial" w:hAnsi="Arial" w:cs="Arial"/>
          <w:sz w:val="20"/>
          <w:szCs w:val="20"/>
        </w:rPr>
        <w:t>,</w:t>
      </w:r>
      <w:r w:rsidRPr="00DC5CAD">
        <w:rPr>
          <w:rFonts w:ascii="Arial" w:hAnsi="Arial" w:cs="Arial"/>
          <w:sz w:val="20"/>
          <w:szCs w:val="20"/>
        </w:rPr>
        <w:t xml:space="preserve"> porque para esto la sociedad debería continuar individualmente considerada, pero en este caso continúa a través de otra, a quien le transfiere su experiencia y todos sus derechos y obligaciones, de conformidad con el artículo 172 y siguientes del Código de Comercio.</w:t>
      </w:r>
    </w:p>
    <w:p w14:paraId="29DD8E0A" w14:textId="77777777" w:rsidR="006F71F5" w:rsidRPr="00BF0E64" w:rsidRDefault="006F71F5" w:rsidP="00B95C30">
      <w:pPr>
        <w:spacing w:line="276" w:lineRule="auto"/>
        <w:jc w:val="both"/>
        <w:rPr>
          <w:rFonts w:ascii="Arial" w:hAnsi="Arial" w:cs="Arial"/>
          <w:noProof/>
          <w:color w:val="000000" w:themeColor="text1"/>
          <w:sz w:val="22"/>
          <w:lang w:val="es-ES_tradnl"/>
        </w:rPr>
      </w:pPr>
    </w:p>
    <w:p w14:paraId="49BFB92B" w14:textId="77777777" w:rsidR="00DE41C4" w:rsidRDefault="00DE41C4" w:rsidP="00B95C30">
      <w:pPr>
        <w:spacing w:line="276" w:lineRule="auto"/>
        <w:jc w:val="both"/>
        <w:rPr>
          <w:rFonts w:ascii="Arial" w:hAnsi="Arial" w:cs="Arial"/>
          <w:noProof/>
          <w:color w:val="000000" w:themeColor="text1"/>
          <w:sz w:val="22"/>
          <w:lang w:val="es-ES_tradnl"/>
        </w:rPr>
      </w:pPr>
    </w:p>
    <w:p w14:paraId="4A8227F7" w14:textId="77777777" w:rsidR="00DE41C4" w:rsidRDefault="00DE41C4" w:rsidP="00B95C30">
      <w:pPr>
        <w:spacing w:line="276" w:lineRule="auto"/>
        <w:jc w:val="both"/>
        <w:rPr>
          <w:rFonts w:ascii="Arial" w:hAnsi="Arial" w:cs="Arial"/>
          <w:noProof/>
          <w:color w:val="000000" w:themeColor="text1"/>
          <w:sz w:val="22"/>
          <w:lang w:val="es-ES_tradnl"/>
        </w:rPr>
      </w:pPr>
    </w:p>
    <w:p w14:paraId="165C746F" w14:textId="77777777" w:rsidR="00DE41C4" w:rsidRDefault="00DE41C4" w:rsidP="00B95C30">
      <w:pPr>
        <w:spacing w:line="276" w:lineRule="auto"/>
        <w:jc w:val="both"/>
        <w:rPr>
          <w:rFonts w:ascii="Arial" w:hAnsi="Arial" w:cs="Arial"/>
          <w:noProof/>
          <w:color w:val="000000" w:themeColor="text1"/>
          <w:sz w:val="22"/>
          <w:lang w:val="es-ES_tradnl"/>
        </w:rPr>
      </w:pPr>
    </w:p>
    <w:p w14:paraId="2CCBF237" w14:textId="77777777" w:rsidR="00DE41C4" w:rsidRDefault="00DE41C4" w:rsidP="00B95C30">
      <w:pPr>
        <w:spacing w:line="276" w:lineRule="auto"/>
        <w:jc w:val="both"/>
        <w:rPr>
          <w:rFonts w:ascii="Arial" w:hAnsi="Arial" w:cs="Arial"/>
          <w:noProof/>
          <w:color w:val="000000" w:themeColor="text1"/>
          <w:sz w:val="22"/>
          <w:lang w:val="es-ES_tradnl"/>
        </w:rPr>
      </w:pPr>
    </w:p>
    <w:p w14:paraId="5ABAD89F" w14:textId="77777777" w:rsidR="00DE41C4" w:rsidRDefault="00DE41C4" w:rsidP="00B95C30">
      <w:pPr>
        <w:spacing w:line="276" w:lineRule="auto"/>
        <w:jc w:val="both"/>
        <w:rPr>
          <w:rFonts w:ascii="Arial" w:hAnsi="Arial" w:cs="Arial"/>
          <w:noProof/>
          <w:color w:val="000000" w:themeColor="text1"/>
          <w:sz w:val="22"/>
          <w:lang w:val="es-ES_tradnl"/>
        </w:rPr>
      </w:pPr>
    </w:p>
    <w:p w14:paraId="40AF06D7" w14:textId="77777777" w:rsidR="00DE41C4" w:rsidRDefault="00DE41C4" w:rsidP="00B95C30">
      <w:pPr>
        <w:spacing w:line="276" w:lineRule="auto"/>
        <w:jc w:val="both"/>
        <w:rPr>
          <w:rFonts w:ascii="Arial" w:hAnsi="Arial" w:cs="Arial"/>
          <w:noProof/>
          <w:color w:val="000000" w:themeColor="text1"/>
          <w:sz w:val="22"/>
          <w:lang w:val="es-ES_tradnl"/>
        </w:rPr>
      </w:pPr>
    </w:p>
    <w:p w14:paraId="25438059" w14:textId="77777777" w:rsidR="00DE41C4" w:rsidRDefault="00DE41C4" w:rsidP="00B95C30">
      <w:pPr>
        <w:spacing w:line="276" w:lineRule="auto"/>
        <w:jc w:val="both"/>
        <w:rPr>
          <w:rFonts w:ascii="Arial" w:hAnsi="Arial" w:cs="Arial"/>
          <w:noProof/>
          <w:color w:val="000000" w:themeColor="text1"/>
          <w:sz w:val="22"/>
          <w:lang w:val="es-ES_tradnl"/>
        </w:rPr>
      </w:pPr>
    </w:p>
    <w:p w14:paraId="6AF4BF29" w14:textId="77777777" w:rsidR="00DE41C4" w:rsidRDefault="00DE41C4" w:rsidP="00B95C30">
      <w:pPr>
        <w:spacing w:line="276" w:lineRule="auto"/>
        <w:jc w:val="both"/>
        <w:rPr>
          <w:rFonts w:ascii="Arial" w:hAnsi="Arial" w:cs="Arial"/>
          <w:noProof/>
          <w:color w:val="000000" w:themeColor="text1"/>
          <w:sz w:val="22"/>
          <w:lang w:val="es-ES_tradnl"/>
        </w:rPr>
      </w:pPr>
    </w:p>
    <w:p w14:paraId="6FBF31BB" w14:textId="77777777" w:rsidR="00DE41C4" w:rsidRDefault="00DE41C4" w:rsidP="00B95C30">
      <w:pPr>
        <w:spacing w:line="276" w:lineRule="auto"/>
        <w:jc w:val="both"/>
        <w:rPr>
          <w:rFonts w:ascii="Arial" w:hAnsi="Arial" w:cs="Arial"/>
          <w:noProof/>
          <w:color w:val="000000" w:themeColor="text1"/>
          <w:sz w:val="22"/>
          <w:lang w:val="es-ES_tradnl"/>
        </w:rPr>
      </w:pPr>
    </w:p>
    <w:p w14:paraId="7FE8FCE8" w14:textId="77777777" w:rsidR="00DE41C4" w:rsidRDefault="00DE41C4" w:rsidP="00B95C30">
      <w:pPr>
        <w:spacing w:line="276" w:lineRule="auto"/>
        <w:jc w:val="both"/>
        <w:rPr>
          <w:rFonts w:ascii="Arial" w:hAnsi="Arial" w:cs="Arial"/>
          <w:noProof/>
          <w:color w:val="000000" w:themeColor="text1"/>
          <w:sz w:val="22"/>
          <w:lang w:val="es-ES_tradnl"/>
        </w:rPr>
      </w:pPr>
    </w:p>
    <w:p w14:paraId="08D2FC9E" w14:textId="77777777" w:rsidR="00DE41C4" w:rsidRDefault="00DE41C4" w:rsidP="00B95C30">
      <w:pPr>
        <w:spacing w:line="276" w:lineRule="auto"/>
        <w:jc w:val="both"/>
        <w:rPr>
          <w:rFonts w:ascii="Arial" w:hAnsi="Arial" w:cs="Arial"/>
          <w:noProof/>
          <w:color w:val="000000" w:themeColor="text1"/>
          <w:sz w:val="22"/>
          <w:lang w:val="es-ES_tradnl"/>
        </w:rPr>
      </w:pPr>
    </w:p>
    <w:p w14:paraId="167B1AF8" w14:textId="77777777" w:rsidR="00DE41C4" w:rsidRDefault="00DE41C4" w:rsidP="00B95C30">
      <w:pPr>
        <w:spacing w:line="276" w:lineRule="auto"/>
        <w:jc w:val="both"/>
        <w:rPr>
          <w:rFonts w:ascii="Arial" w:hAnsi="Arial" w:cs="Arial"/>
          <w:noProof/>
          <w:color w:val="000000" w:themeColor="text1"/>
          <w:sz w:val="22"/>
          <w:lang w:val="es-ES_tradnl"/>
        </w:rPr>
      </w:pPr>
    </w:p>
    <w:p w14:paraId="5201448C" w14:textId="77777777" w:rsidR="00DE41C4" w:rsidRDefault="00DE41C4" w:rsidP="00B95C30">
      <w:pPr>
        <w:spacing w:line="276" w:lineRule="auto"/>
        <w:jc w:val="both"/>
        <w:rPr>
          <w:rFonts w:ascii="Arial" w:hAnsi="Arial" w:cs="Arial"/>
          <w:noProof/>
          <w:color w:val="000000" w:themeColor="text1"/>
          <w:sz w:val="22"/>
          <w:lang w:val="es-ES_tradnl"/>
        </w:rPr>
      </w:pPr>
    </w:p>
    <w:p w14:paraId="0A3BAB48" w14:textId="77777777" w:rsidR="00DE41C4" w:rsidRDefault="00DE41C4" w:rsidP="00B95C30">
      <w:pPr>
        <w:spacing w:line="276" w:lineRule="auto"/>
        <w:jc w:val="both"/>
        <w:rPr>
          <w:rFonts w:ascii="Arial" w:hAnsi="Arial" w:cs="Arial"/>
          <w:noProof/>
          <w:color w:val="000000" w:themeColor="text1"/>
          <w:sz w:val="22"/>
          <w:lang w:val="es-ES_tradnl"/>
        </w:rPr>
      </w:pPr>
    </w:p>
    <w:p w14:paraId="19373154" w14:textId="77777777" w:rsidR="00DE41C4" w:rsidRDefault="00DE41C4" w:rsidP="00B95C30">
      <w:pPr>
        <w:spacing w:line="276" w:lineRule="auto"/>
        <w:jc w:val="both"/>
        <w:rPr>
          <w:rFonts w:ascii="Arial" w:hAnsi="Arial" w:cs="Arial"/>
          <w:noProof/>
          <w:color w:val="000000" w:themeColor="text1"/>
          <w:sz w:val="22"/>
          <w:lang w:val="es-ES_tradnl"/>
        </w:rPr>
      </w:pPr>
    </w:p>
    <w:p w14:paraId="524FD6B1" w14:textId="77777777" w:rsidR="00DE41C4" w:rsidRDefault="00DE41C4" w:rsidP="00B95C30">
      <w:pPr>
        <w:spacing w:line="276" w:lineRule="auto"/>
        <w:jc w:val="both"/>
        <w:rPr>
          <w:rFonts w:ascii="Arial" w:hAnsi="Arial" w:cs="Arial"/>
          <w:noProof/>
          <w:color w:val="000000" w:themeColor="text1"/>
          <w:sz w:val="22"/>
          <w:lang w:val="es-ES_tradnl"/>
        </w:rPr>
      </w:pPr>
    </w:p>
    <w:p w14:paraId="0AB4EF1E" w14:textId="77777777" w:rsidR="00DE41C4" w:rsidRDefault="00DE41C4" w:rsidP="00B95C30">
      <w:pPr>
        <w:spacing w:line="276" w:lineRule="auto"/>
        <w:jc w:val="both"/>
        <w:rPr>
          <w:rFonts w:ascii="Arial" w:hAnsi="Arial" w:cs="Arial"/>
          <w:noProof/>
          <w:color w:val="000000" w:themeColor="text1"/>
          <w:sz w:val="22"/>
          <w:lang w:val="es-ES_tradnl"/>
        </w:rPr>
      </w:pPr>
    </w:p>
    <w:p w14:paraId="4CAD7583" w14:textId="77777777" w:rsidR="00DE41C4" w:rsidRDefault="00DE41C4" w:rsidP="00B95C30">
      <w:pPr>
        <w:spacing w:line="276" w:lineRule="auto"/>
        <w:jc w:val="both"/>
        <w:rPr>
          <w:rFonts w:ascii="Arial" w:hAnsi="Arial" w:cs="Arial"/>
          <w:noProof/>
          <w:color w:val="000000" w:themeColor="text1"/>
          <w:sz w:val="22"/>
          <w:lang w:val="es-ES_tradnl"/>
        </w:rPr>
      </w:pPr>
    </w:p>
    <w:p w14:paraId="54D52F9E" w14:textId="77777777" w:rsidR="00DE41C4" w:rsidRDefault="00DE41C4" w:rsidP="00B95C30">
      <w:pPr>
        <w:spacing w:line="276" w:lineRule="auto"/>
        <w:jc w:val="both"/>
        <w:rPr>
          <w:rFonts w:ascii="Arial" w:hAnsi="Arial" w:cs="Arial"/>
          <w:noProof/>
          <w:color w:val="000000" w:themeColor="text1"/>
          <w:sz w:val="22"/>
          <w:lang w:val="es-ES_tradnl"/>
        </w:rPr>
      </w:pPr>
    </w:p>
    <w:p w14:paraId="536FF38B" w14:textId="77777777" w:rsidR="007078BD" w:rsidRDefault="007078BD" w:rsidP="00B95C30">
      <w:pPr>
        <w:spacing w:line="276" w:lineRule="auto"/>
        <w:jc w:val="both"/>
        <w:rPr>
          <w:rFonts w:ascii="Arial" w:hAnsi="Arial" w:cs="Arial"/>
          <w:noProof/>
          <w:color w:val="000000" w:themeColor="text1"/>
          <w:sz w:val="22"/>
          <w:lang w:val="es-ES_tradnl"/>
        </w:rPr>
      </w:pPr>
    </w:p>
    <w:p w14:paraId="7DD48F49" w14:textId="4FFE9B19" w:rsidR="00B95C30" w:rsidRPr="00BF0E64" w:rsidRDefault="00B95C30" w:rsidP="00B95C30">
      <w:pPr>
        <w:spacing w:line="276" w:lineRule="auto"/>
        <w:jc w:val="both"/>
        <w:rPr>
          <w:rFonts w:ascii="Arial" w:eastAsia="Calibri" w:hAnsi="Arial" w:cs="Arial"/>
          <w:noProof/>
          <w:color w:val="000000" w:themeColor="text1"/>
          <w:sz w:val="20"/>
          <w:lang w:val="es-ES_tradnl"/>
        </w:rPr>
      </w:pPr>
      <w:r w:rsidRPr="00BF0E64">
        <w:rPr>
          <w:rFonts w:ascii="Arial" w:hAnsi="Arial" w:cs="Arial"/>
          <w:noProof/>
          <w:color w:val="000000" w:themeColor="text1"/>
          <w:sz w:val="22"/>
          <w:lang w:val="es-ES_tradnl"/>
        </w:rPr>
        <w:lastRenderedPageBreak/>
        <w:t xml:space="preserve">Bogotá D.C., </w:t>
      </w:r>
      <w:r w:rsidR="00C05016">
        <w:rPr>
          <w:rFonts w:ascii="Arial" w:hAnsi="Arial" w:cs="Arial"/>
          <w:b/>
          <w:bCs/>
          <w:noProof/>
          <w:color w:val="000000" w:themeColor="text1"/>
          <w:sz w:val="22"/>
          <w:lang w:val="es-ES_tradnl"/>
        </w:rPr>
        <w:t>29/03/2021 07:20:49</w:t>
      </w:r>
    </w:p>
    <w:p w14:paraId="1D979C8C" w14:textId="02647C35" w:rsidR="00DA708E" w:rsidRPr="00DA708E" w:rsidRDefault="00DA708E" w:rsidP="00DA708E">
      <w:pPr>
        <w:jc w:val="right"/>
      </w:pPr>
      <w:r w:rsidRPr="00DA708E">
        <w:fldChar w:fldCharType="begin"/>
      </w:r>
      <w:r w:rsidR="00C84C42">
        <w:instrText xml:space="preserve"> INCLUDEPICTURE "C:\\var\\folders\\5l\\v1rdjm0x1x9416lmbj7_vjt40000gn\\T\\com.microsoft.Word\\WebArchiveCopyPasteTempFiles\\page1image1776064" \* MERGEFORMAT </w:instrText>
      </w:r>
      <w:r w:rsidRPr="00DA708E">
        <w:fldChar w:fldCharType="separate"/>
      </w:r>
      <w:r w:rsidRPr="00DA708E">
        <w:rPr>
          <w:noProof/>
        </w:rPr>
        <w:drawing>
          <wp:inline distT="0" distB="0" distL="0" distR="0" wp14:anchorId="0EEFB8F7" wp14:editId="6AF1AFEA">
            <wp:extent cx="2399030" cy="611505"/>
            <wp:effectExtent l="0" t="0" r="1270" b="0"/>
            <wp:docPr id="4" name="Imagen 4" descr="page1image177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760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9030" cy="611505"/>
                    </a:xfrm>
                    <a:prstGeom prst="rect">
                      <a:avLst/>
                    </a:prstGeom>
                    <a:noFill/>
                    <a:ln>
                      <a:noFill/>
                    </a:ln>
                  </pic:spPr>
                </pic:pic>
              </a:graphicData>
            </a:graphic>
          </wp:inline>
        </w:drawing>
      </w:r>
      <w:r w:rsidRPr="00DA708E">
        <w:fldChar w:fldCharType="end"/>
      </w:r>
    </w:p>
    <w:p w14:paraId="6A8A869B" w14:textId="77777777" w:rsidR="00B95C30" w:rsidRPr="00BF0E64" w:rsidRDefault="00B95C30" w:rsidP="00B95C30">
      <w:pPr>
        <w:jc w:val="both"/>
        <w:rPr>
          <w:rFonts w:ascii="Arial" w:hAnsi="Arial" w:cs="Arial"/>
          <w:b/>
          <w:color w:val="000000" w:themeColor="text1"/>
          <w:sz w:val="22"/>
          <w:lang w:val="es-ES_tradnl"/>
        </w:rPr>
      </w:pPr>
    </w:p>
    <w:p w14:paraId="5F5AE9EF" w14:textId="2047ACFC" w:rsidR="00B95C30" w:rsidRPr="00BF0E64" w:rsidRDefault="00B95C30" w:rsidP="00B95C30">
      <w:pPr>
        <w:jc w:val="both"/>
        <w:rPr>
          <w:rFonts w:ascii="Arial" w:eastAsia="Calibri" w:hAnsi="Arial" w:cs="Arial"/>
          <w:color w:val="000000" w:themeColor="text1"/>
          <w:sz w:val="22"/>
          <w:lang w:val="es-ES_tradnl"/>
        </w:rPr>
      </w:pPr>
      <w:r w:rsidRPr="00BF0E64">
        <w:rPr>
          <w:rFonts w:ascii="Arial" w:eastAsia="Calibri" w:hAnsi="Arial" w:cs="Arial"/>
          <w:color w:val="000000" w:themeColor="text1"/>
          <w:sz w:val="22"/>
          <w:lang w:val="es-ES_tradnl"/>
        </w:rPr>
        <w:t>Señor</w:t>
      </w:r>
    </w:p>
    <w:p w14:paraId="3DCD58CE" w14:textId="099081D4" w:rsidR="00B95C30" w:rsidRPr="00BF0E64" w:rsidRDefault="001518D7"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Luis Fernando Reyes Ramírez</w:t>
      </w:r>
    </w:p>
    <w:p w14:paraId="09D4AEA8" w14:textId="4861C044" w:rsidR="00B95C30" w:rsidRPr="00BF0E64" w:rsidRDefault="0066073F"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 D.C.</w:t>
      </w:r>
    </w:p>
    <w:p w14:paraId="3F3D1203" w14:textId="77777777" w:rsidR="00B95C30" w:rsidRPr="00BF0E64" w:rsidRDefault="00B95C30" w:rsidP="00B95C30">
      <w:pPr>
        <w:jc w:val="both"/>
        <w:rPr>
          <w:rFonts w:ascii="Arial" w:eastAsia="Calibri" w:hAnsi="Arial" w:cs="Arial"/>
          <w:color w:val="000000" w:themeColor="text1"/>
          <w:sz w:val="22"/>
          <w:lang w:val="es-ES_tradnl"/>
        </w:rPr>
      </w:pPr>
    </w:p>
    <w:p w14:paraId="24E8D2A9" w14:textId="77777777" w:rsidR="00B95C30" w:rsidRPr="00BF0E64" w:rsidRDefault="00B95C30" w:rsidP="00B95C30">
      <w:pPr>
        <w:jc w:val="both"/>
        <w:rPr>
          <w:rFonts w:ascii="Arial" w:eastAsia="Calibri" w:hAnsi="Arial" w:cs="Arial"/>
          <w:color w:val="000000" w:themeColor="text1"/>
          <w:sz w:val="22"/>
          <w:lang w:val="es-ES_tradnl"/>
        </w:rPr>
      </w:pPr>
    </w:p>
    <w:p w14:paraId="12E66182" w14:textId="35FCE3B0" w:rsidR="00B95C30" w:rsidRPr="00BF0E64" w:rsidRDefault="00B95C30" w:rsidP="00B95C30">
      <w:pPr>
        <w:jc w:val="center"/>
        <w:rPr>
          <w:rFonts w:ascii="Arial" w:eastAsia="Calibri" w:hAnsi="Arial" w:cs="Arial"/>
          <w:b/>
          <w:bCs/>
          <w:color w:val="000000" w:themeColor="text1"/>
          <w:sz w:val="22"/>
          <w:lang w:val="es-ES_tradnl"/>
        </w:rPr>
      </w:pPr>
      <w:r w:rsidRPr="005A611F">
        <w:rPr>
          <w:rFonts w:ascii="Arial" w:eastAsia="Calibri" w:hAnsi="Arial" w:cs="Arial"/>
          <w:b/>
          <w:bCs/>
          <w:color w:val="000000" w:themeColor="text1"/>
          <w:sz w:val="22"/>
          <w:lang w:val="es-ES_tradnl"/>
        </w:rPr>
        <w:t xml:space="preserve">Concepto C ‒ </w:t>
      </w:r>
      <w:r w:rsidR="00DF40AB" w:rsidRPr="005A611F">
        <w:rPr>
          <w:rFonts w:ascii="Arial" w:eastAsia="Calibri" w:hAnsi="Arial" w:cs="Arial"/>
          <w:b/>
          <w:bCs/>
          <w:color w:val="000000" w:themeColor="text1"/>
          <w:sz w:val="22"/>
          <w:lang w:val="es-ES_tradnl"/>
        </w:rPr>
        <w:t>115</w:t>
      </w:r>
      <w:r w:rsidRPr="005A611F">
        <w:rPr>
          <w:rFonts w:ascii="Arial" w:eastAsia="Calibri" w:hAnsi="Arial" w:cs="Arial"/>
          <w:b/>
          <w:bCs/>
          <w:color w:val="000000" w:themeColor="text1"/>
          <w:sz w:val="22"/>
          <w:lang w:val="es-ES_tradnl"/>
        </w:rPr>
        <w:t xml:space="preserve"> de 202</w:t>
      </w:r>
      <w:r w:rsidR="00C56976" w:rsidRPr="005A611F">
        <w:rPr>
          <w:rFonts w:ascii="Arial" w:eastAsia="Calibri" w:hAnsi="Arial" w:cs="Arial"/>
          <w:b/>
          <w:bCs/>
          <w:color w:val="000000" w:themeColor="text1"/>
          <w:sz w:val="22"/>
          <w:lang w:val="es-ES_tradnl"/>
        </w:rPr>
        <w:t>1</w:t>
      </w:r>
    </w:p>
    <w:p w14:paraId="2B376FFA" w14:textId="77777777" w:rsidR="00B95C30" w:rsidRPr="00BF0E64" w:rsidRDefault="00B95C30" w:rsidP="00B95C30">
      <w:pPr>
        <w:jc w:val="both"/>
        <w:rPr>
          <w:rFonts w:ascii="Arial" w:eastAsia="Calibri" w:hAnsi="Arial" w:cs="Arial"/>
          <w:color w:val="000000" w:themeColor="text1"/>
          <w:sz w:val="22"/>
          <w:lang w:val="es-ES_tradnl"/>
        </w:rPr>
      </w:pPr>
    </w:p>
    <w:p w14:paraId="08CF82B2" w14:textId="77777777" w:rsidR="00B95C30" w:rsidRPr="00BF0E64" w:rsidRDefault="00B95C30" w:rsidP="00B95C30">
      <w:pPr>
        <w:jc w:val="both"/>
        <w:rPr>
          <w:rFonts w:ascii="Arial" w:eastAsia="Calibri" w:hAnsi="Arial" w:cs="Arial"/>
          <w:color w:val="000000" w:themeColor="text1"/>
          <w:sz w:val="22"/>
          <w:lang w:val="es-ES_tradnl"/>
        </w:rPr>
      </w:pPr>
    </w:p>
    <w:p w14:paraId="1BD594F9" w14:textId="77777777" w:rsidR="00B95C30" w:rsidRPr="00BF0E64"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BF0E64" w14:paraId="19DFC051" w14:textId="77777777" w:rsidTr="002442D4">
        <w:tc>
          <w:tcPr>
            <w:tcW w:w="2689" w:type="dxa"/>
          </w:tcPr>
          <w:p w14:paraId="6BC0D1AC" w14:textId="77777777" w:rsidR="00B95C30" w:rsidRPr="00BF0E64" w:rsidRDefault="00B95C30" w:rsidP="002442D4">
            <w:pPr>
              <w:jc w:val="both"/>
              <w:rPr>
                <w:rFonts w:ascii="Arial" w:eastAsia="Calibri" w:hAnsi="Arial" w:cs="Arial"/>
                <w:color w:val="000000" w:themeColor="text1"/>
                <w:sz w:val="22"/>
                <w:lang w:val="es-ES_tradnl"/>
              </w:rPr>
            </w:pPr>
            <w:r w:rsidRPr="00BF0E64">
              <w:rPr>
                <w:rFonts w:ascii="Arial" w:eastAsia="Calibri" w:hAnsi="Arial" w:cs="Arial"/>
                <w:b/>
                <w:color w:val="000000" w:themeColor="text1"/>
                <w:sz w:val="22"/>
                <w:lang w:val="es-ES_tradnl"/>
              </w:rPr>
              <w:t>Temas:</w:t>
            </w:r>
            <w:r w:rsidRPr="00BF0E64">
              <w:rPr>
                <w:rFonts w:ascii="Arial" w:eastAsia="Calibri" w:hAnsi="Arial" w:cs="Arial"/>
                <w:color w:val="000000" w:themeColor="text1"/>
                <w:sz w:val="22"/>
                <w:lang w:val="es-ES_tradnl"/>
              </w:rPr>
              <w:t xml:space="preserve">                                      </w:t>
            </w:r>
          </w:p>
        </w:tc>
        <w:tc>
          <w:tcPr>
            <w:tcW w:w="6237" w:type="dxa"/>
          </w:tcPr>
          <w:p w14:paraId="5F389CAF" w14:textId="090E54A9" w:rsidR="00B95C30" w:rsidRPr="0038512F" w:rsidRDefault="0038512F" w:rsidP="0038512F">
            <w:pPr>
              <w:pStyle w:val="Sinespaciado"/>
              <w:jc w:val="both"/>
              <w:rPr>
                <w:rFonts w:ascii="Arial" w:hAnsi="Arial" w:cs="Arial"/>
                <w:bCs/>
                <w:sz w:val="22"/>
              </w:rPr>
            </w:pPr>
            <w:r w:rsidRPr="00DC5CAD">
              <w:rPr>
                <w:rFonts w:ascii="Arial" w:hAnsi="Arial" w:cs="Arial"/>
                <w:bCs/>
                <w:sz w:val="22"/>
              </w:rPr>
              <w:t>EXPERIENCIA – Concepto – Colombia Compra Eficiente / EXPERIENCIA – Transformación / EXPERIENCIA – Escisión / EXPERIENCIA – Fusión</w:t>
            </w:r>
            <w:r w:rsidR="00B95C30" w:rsidRPr="00BF0E64">
              <w:rPr>
                <w:rFonts w:ascii="Arial" w:eastAsia="Arial" w:hAnsi="Arial" w:cs="Arial"/>
                <w:sz w:val="22"/>
                <w:lang w:val="es-ES_tradnl"/>
              </w:rPr>
              <w:t>.</w:t>
            </w:r>
          </w:p>
        </w:tc>
      </w:tr>
      <w:tr w:rsidR="00B95C30" w:rsidRPr="00BF0E64" w14:paraId="27CD52AB" w14:textId="77777777" w:rsidTr="002442D4">
        <w:tc>
          <w:tcPr>
            <w:tcW w:w="2689" w:type="dxa"/>
          </w:tcPr>
          <w:p w14:paraId="37E195A1" w14:textId="4C368209" w:rsidR="00B95C30" w:rsidRPr="00BF0E64" w:rsidRDefault="00B95C30" w:rsidP="002442D4">
            <w:pPr>
              <w:spacing w:before="120"/>
              <w:jc w:val="both"/>
              <w:rPr>
                <w:rFonts w:ascii="Arial" w:eastAsia="Calibri" w:hAnsi="Arial" w:cs="Arial"/>
                <w:b/>
                <w:color w:val="000000" w:themeColor="text1"/>
                <w:sz w:val="22"/>
                <w:lang w:val="es-ES_tradnl"/>
              </w:rPr>
            </w:pPr>
            <w:r w:rsidRPr="00BF0E64">
              <w:rPr>
                <w:rFonts w:ascii="Arial" w:eastAsia="Calibri" w:hAnsi="Arial" w:cs="Arial"/>
                <w:b/>
                <w:color w:val="000000" w:themeColor="text1"/>
                <w:sz w:val="22"/>
                <w:lang w:val="es-ES_tradnl"/>
              </w:rPr>
              <w:t>Radicación:</w:t>
            </w:r>
            <w:r w:rsidRPr="00BF0E64">
              <w:rPr>
                <w:rFonts w:ascii="Arial" w:eastAsia="Calibri" w:hAnsi="Arial" w:cs="Arial"/>
                <w:color w:val="000000" w:themeColor="text1"/>
                <w:sz w:val="22"/>
                <w:lang w:val="es-ES_tradnl"/>
              </w:rPr>
              <w:t xml:space="preserve">                              </w:t>
            </w:r>
          </w:p>
        </w:tc>
        <w:tc>
          <w:tcPr>
            <w:tcW w:w="6237" w:type="dxa"/>
          </w:tcPr>
          <w:p w14:paraId="64360FC9" w14:textId="00296802" w:rsidR="00B95C30" w:rsidRPr="00BF0E64" w:rsidRDefault="00B95C30" w:rsidP="002442D4">
            <w:pPr>
              <w:spacing w:before="120"/>
              <w:jc w:val="both"/>
              <w:rPr>
                <w:rFonts w:ascii="Arial" w:eastAsia="Calibri" w:hAnsi="Arial" w:cs="Arial"/>
                <w:color w:val="000000" w:themeColor="text1"/>
                <w:sz w:val="22"/>
                <w:lang w:val="es-ES_tradnl"/>
              </w:rPr>
            </w:pPr>
            <w:r w:rsidRPr="00BF0E64">
              <w:rPr>
                <w:rFonts w:ascii="Arial" w:eastAsia="Calibri" w:hAnsi="Arial" w:cs="Arial"/>
                <w:color w:val="000000" w:themeColor="text1"/>
                <w:sz w:val="22"/>
                <w:lang w:val="es-ES_tradnl"/>
              </w:rPr>
              <w:t xml:space="preserve">Respuesta a consulta # </w:t>
            </w:r>
            <w:r w:rsidR="008440DF" w:rsidRPr="008440DF">
              <w:rPr>
                <w:rFonts w:ascii="Arial" w:eastAsia="Calibri" w:hAnsi="Arial" w:cs="Arial"/>
                <w:color w:val="000000" w:themeColor="text1"/>
                <w:sz w:val="22"/>
                <w:lang w:val="es-ES_tradnl"/>
              </w:rPr>
              <w:t>P20210215001244</w:t>
            </w:r>
          </w:p>
          <w:p w14:paraId="09088B1B" w14:textId="77777777" w:rsidR="00B95C30" w:rsidRPr="00BF0E64" w:rsidRDefault="00B95C30" w:rsidP="002442D4">
            <w:pPr>
              <w:spacing w:before="120"/>
              <w:jc w:val="both"/>
              <w:rPr>
                <w:rFonts w:ascii="Arial" w:eastAsia="Calibri" w:hAnsi="Arial" w:cs="Arial"/>
                <w:color w:val="000000" w:themeColor="text1"/>
                <w:sz w:val="22"/>
                <w:lang w:val="es-ES_tradnl"/>
              </w:rPr>
            </w:pPr>
            <w:r w:rsidRPr="00BF0E64">
              <w:rPr>
                <w:rFonts w:ascii="Arial" w:eastAsia="Calibri" w:hAnsi="Arial" w:cs="Arial"/>
                <w:color w:val="000000" w:themeColor="text1"/>
                <w:sz w:val="22"/>
                <w:lang w:val="es-ES_tradnl"/>
              </w:rPr>
              <w:t xml:space="preserve"> </w:t>
            </w:r>
          </w:p>
        </w:tc>
      </w:tr>
    </w:tbl>
    <w:p w14:paraId="1CF4AEA0" w14:textId="6DE52F2B" w:rsidR="003C3339" w:rsidRPr="00BF0E64" w:rsidRDefault="003C3339" w:rsidP="003C3339">
      <w:pPr>
        <w:jc w:val="both"/>
        <w:rPr>
          <w:rFonts w:ascii="Arial" w:eastAsia="Calibri" w:hAnsi="Arial" w:cs="Arial"/>
          <w:color w:val="000000" w:themeColor="text1"/>
          <w:sz w:val="22"/>
          <w:lang w:val="es-ES_tradnl"/>
        </w:rPr>
      </w:pPr>
      <w:r w:rsidRPr="00BF0E64">
        <w:rPr>
          <w:rFonts w:ascii="Arial" w:eastAsia="Calibri" w:hAnsi="Arial" w:cs="Arial"/>
          <w:color w:val="000000" w:themeColor="text1"/>
          <w:sz w:val="22"/>
          <w:lang w:val="es-ES_tradnl"/>
        </w:rPr>
        <w:t>Estimad</w:t>
      </w:r>
      <w:r w:rsidR="004C580A">
        <w:rPr>
          <w:rFonts w:ascii="Arial" w:eastAsia="Calibri" w:hAnsi="Arial" w:cs="Arial"/>
          <w:color w:val="000000" w:themeColor="text1"/>
          <w:sz w:val="22"/>
          <w:lang w:val="es-ES_tradnl"/>
        </w:rPr>
        <w:t>o</w:t>
      </w:r>
      <w:r w:rsidRPr="00BF0E64">
        <w:rPr>
          <w:rFonts w:ascii="Arial" w:eastAsia="Calibri" w:hAnsi="Arial" w:cs="Arial"/>
          <w:color w:val="000000" w:themeColor="text1"/>
          <w:sz w:val="22"/>
          <w:lang w:val="es-ES_tradnl"/>
        </w:rPr>
        <w:t xml:space="preserve"> </w:t>
      </w:r>
      <w:r w:rsidR="00677E9C" w:rsidRPr="00BF0E64">
        <w:rPr>
          <w:rFonts w:ascii="Arial" w:eastAsia="Calibri" w:hAnsi="Arial" w:cs="Arial"/>
          <w:color w:val="000000" w:themeColor="text1"/>
          <w:sz w:val="22"/>
          <w:lang w:val="es-ES_tradnl"/>
        </w:rPr>
        <w:t xml:space="preserve">señor </w:t>
      </w:r>
      <w:r w:rsidR="004C580A">
        <w:rPr>
          <w:rFonts w:ascii="Arial" w:eastAsia="Calibri" w:hAnsi="Arial" w:cs="Arial"/>
          <w:color w:val="000000" w:themeColor="text1"/>
          <w:sz w:val="22"/>
          <w:lang w:val="es-ES_tradnl"/>
        </w:rPr>
        <w:t>Reyes</w:t>
      </w:r>
      <w:r w:rsidRPr="00BF0E64">
        <w:rPr>
          <w:rFonts w:ascii="Arial" w:eastAsia="Calibri" w:hAnsi="Arial" w:cs="Arial"/>
          <w:color w:val="000000" w:themeColor="text1"/>
          <w:sz w:val="22"/>
          <w:lang w:val="es-ES_tradnl"/>
        </w:rPr>
        <w:t>:</w:t>
      </w:r>
    </w:p>
    <w:p w14:paraId="1EAE5543" w14:textId="77777777" w:rsidR="00DD5B04" w:rsidRPr="00BF0E64" w:rsidRDefault="00DD5B04" w:rsidP="00DF76A2">
      <w:pPr>
        <w:jc w:val="both"/>
        <w:rPr>
          <w:rFonts w:ascii="Arial" w:eastAsia="Calibri" w:hAnsi="Arial" w:cs="Arial"/>
          <w:color w:val="000000" w:themeColor="text1"/>
          <w:sz w:val="22"/>
          <w:lang w:val="es-ES_tradnl"/>
        </w:rPr>
      </w:pPr>
    </w:p>
    <w:p w14:paraId="2109B2D3" w14:textId="5B41775D" w:rsidR="00DD5B04" w:rsidRPr="00BF0E64" w:rsidRDefault="00DD5B04" w:rsidP="00DF76A2">
      <w:pPr>
        <w:spacing w:line="276" w:lineRule="auto"/>
        <w:jc w:val="both"/>
        <w:rPr>
          <w:rFonts w:ascii="Arial" w:eastAsia="Calibri" w:hAnsi="Arial" w:cs="Arial"/>
          <w:color w:val="000000" w:themeColor="text1"/>
          <w:sz w:val="22"/>
          <w:lang w:val="es-ES_tradnl"/>
        </w:rPr>
      </w:pPr>
      <w:r w:rsidRPr="00BF0E64">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BF0E64">
        <w:rPr>
          <w:rFonts w:ascii="Arial" w:eastAsia="Calibri" w:hAnsi="Arial" w:cs="Arial"/>
          <w:color w:val="000000" w:themeColor="text1"/>
          <w:sz w:val="22"/>
          <w:lang w:val="es-ES_tradnl"/>
        </w:rPr>
        <w:t xml:space="preserve"> </w:t>
      </w:r>
      <w:r w:rsidRPr="00BF0E64">
        <w:rPr>
          <w:rFonts w:ascii="Arial" w:eastAsia="Calibri" w:hAnsi="Arial" w:cs="Arial"/>
          <w:color w:val="000000" w:themeColor="text1"/>
          <w:sz w:val="22"/>
          <w:lang w:val="es-ES_tradnl"/>
        </w:rPr>
        <w:t xml:space="preserve">responde su consulta del </w:t>
      </w:r>
      <w:r w:rsidR="004673A8">
        <w:rPr>
          <w:rFonts w:ascii="Arial" w:eastAsia="Calibri" w:hAnsi="Arial" w:cs="Arial"/>
          <w:color w:val="000000" w:themeColor="text1"/>
          <w:sz w:val="22"/>
          <w:lang w:val="es-ES_tradnl"/>
        </w:rPr>
        <w:t>15</w:t>
      </w:r>
      <w:r w:rsidR="00FD4AF3" w:rsidRPr="00BF0E64">
        <w:rPr>
          <w:rFonts w:ascii="Arial" w:eastAsia="Calibri" w:hAnsi="Arial" w:cs="Arial"/>
          <w:color w:val="000000" w:themeColor="text1"/>
          <w:sz w:val="22"/>
          <w:lang w:val="es-ES_tradnl"/>
        </w:rPr>
        <w:t xml:space="preserve"> de </w:t>
      </w:r>
      <w:r w:rsidR="004673A8">
        <w:rPr>
          <w:rFonts w:ascii="Arial" w:eastAsia="Calibri" w:hAnsi="Arial" w:cs="Arial"/>
          <w:color w:val="000000" w:themeColor="text1"/>
          <w:sz w:val="22"/>
          <w:lang w:val="es-ES_tradnl"/>
        </w:rPr>
        <w:t>febrero</w:t>
      </w:r>
      <w:r w:rsidRPr="00BF0E64">
        <w:rPr>
          <w:rFonts w:ascii="Arial" w:eastAsia="Calibri" w:hAnsi="Arial" w:cs="Arial"/>
          <w:color w:val="000000" w:themeColor="text1"/>
          <w:sz w:val="22"/>
          <w:lang w:val="es-ES_tradnl"/>
        </w:rPr>
        <w:t xml:space="preserve"> del</w:t>
      </w:r>
      <w:r w:rsidR="007E74BF" w:rsidRPr="00BF0E64">
        <w:rPr>
          <w:rFonts w:ascii="Arial" w:eastAsia="Calibri" w:hAnsi="Arial" w:cs="Arial"/>
          <w:color w:val="000000" w:themeColor="text1"/>
          <w:sz w:val="22"/>
          <w:lang w:val="es-ES_tradnl"/>
        </w:rPr>
        <w:t xml:space="preserve"> </w:t>
      </w:r>
      <w:r w:rsidRPr="00BF0E64">
        <w:rPr>
          <w:rFonts w:ascii="Arial" w:eastAsia="Calibri" w:hAnsi="Arial" w:cs="Arial"/>
          <w:color w:val="000000" w:themeColor="text1"/>
          <w:sz w:val="22"/>
          <w:lang w:val="es-ES_tradnl"/>
        </w:rPr>
        <w:t>202</w:t>
      </w:r>
      <w:r w:rsidR="004673A8">
        <w:rPr>
          <w:rFonts w:ascii="Arial" w:eastAsia="Calibri" w:hAnsi="Arial" w:cs="Arial"/>
          <w:color w:val="000000" w:themeColor="text1"/>
          <w:sz w:val="22"/>
          <w:lang w:val="es-ES_tradnl"/>
        </w:rPr>
        <w:t>1</w:t>
      </w:r>
      <w:r w:rsidR="008C3C57" w:rsidRPr="00BF0E64">
        <w:rPr>
          <w:rFonts w:ascii="Arial" w:eastAsia="Calibri" w:hAnsi="Arial" w:cs="Arial"/>
          <w:color w:val="000000" w:themeColor="text1"/>
          <w:sz w:val="22"/>
          <w:lang w:val="es-ES_tradnl"/>
        </w:rPr>
        <w:t>.</w:t>
      </w:r>
    </w:p>
    <w:p w14:paraId="0C1E0712" w14:textId="77777777" w:rsidR="00DD5B04" w:rsidRPr="00BF0E64"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BF0E64"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BF0E64">
        <w:rPr>
          <w:rFonts w:ascii="Arial" w:eastAsia="Calibri" w:hAnsi="Arial" w:cs="Arial"/>
          <w:b/>
          <w:color w:val="000000" w:themeColor="text1"/>
          <w:sz w:val="22"/>
          <w:lang w:val="es-ES_tradnl"/>
        </w:rPr>
        <w:t xml:space="preserve">Problema planteado </w:t>
      </w:r>
    </w:p>
    <w:p w14:paraId="224B43D3" w14:textId="77777777" w:rsidR="00DD5B04" w:rsidRPr="00BF0E64"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51221E00" w:rsidR="00443B55" w:rsidRPr="00BF0E64" w:rsidRDefault="00DD5B04" w:rsidP="0099583D">
      <w:pPr>
        <w:spacing w:line="276" w:lineRule="auto"/>
        <w:jc w:val="both"/>
        <w:rPr>
          <w:rFonts w:ascii="Arial" w:hAnsi="Arial" w:cs="Arial"/>
          <w:color w:val="000000" w:themeColor="text1"/>
          <w:sz w:val="22"/>
          <w:lang w:val="es-ES_tradnl"/>
        </w:rPr>
      </w:pPr>
      <w:r w:rsidRPr="00BF0E64">
        <w:rPr>
          <w:rFonts w:ascii="Arial" w:hAnsi="Arial" w:cs="Arial"/>
          <w:color w:val="000000" w:themeColor="text1"/>
          <w:sz w:val="22"/>
          <w:lang w:val="es-ES_tradnl"/>
        </w:rPr>
        <w:t xml:space="preserve">Usted </w:t>
      </w:r>
      <w:r w:rsidR="00B422C0" w:rsidRPr="00BF0E64">
        <w:rPr>
          <w:rFonts w:ascii="Arial" w:hAnsi="Arial" w:cs="Arial"/>
          <w:color w:val="000000" w:themeColor="text1"/>
          <w:sz w:val="22"/>
          <w:lang w:val="es-ES_tradnl"/>
        </w:rPr>
        <w:t>formula</w:t>
      </w:r>
      <w:r w:rsidR="006D46A3" w:rsidRPr="00BF0E64">
        <w:rPr>
          <w:rFonts w:ascii="Arial" w:hAnsi="Arial" w:cs="Arial"/>
          <w:color w:val="000000" w:themeColor="text1"/>
          <w:sz w:val="22"/>
          <w:lang w:val="es-ES_tradnl"/>
        </w:rPr>
        <w:t xml:space="preserve"> la siguiente </w:t>
      </w:r>
      <w:r w:rsidR="00582D08" w:rsidRPr="00BF0E64">
        <w:rPr>
          <w:rFonts w:ascii="Arial" w:hAnsi="Arial" w:cs="Arial"/>
          <w:color w:val="000000" w:themeColor="text1"/>
          <w:sz w:val="22"/>
          <w:lang w:val="es-ES_tradnl"/>
        </w:rPr>
        <w:t>solicitud</w:t>
      </w:r>
      <w:r w:rsidR="00B422C0" w:rsidRPr="00BF0E64">
        <w:rPr>
          <w:rFonts w:ascii="Arial" w:hAnsi="Arial" w:cs="Arial"/>
          <w:color w:val="000000" w:themeColor="text1"/>
          <w:sz w:val="22"/>
          <w:lang w:val="es-ES_tradnl"/>
        </w:rPr>
        <w:t>:</w:t>
      </w:r>
      <w:r w:rsidR="007E18DF" w:rsidRPr="00BF0E64">
        <w:rPr>
          <w:rFonts w:ascii="Arial" w:hAnsi="Arial" w:cs="Arial"/>
          <w:color w:val="000000" w:themeColor="text1"/>
          <w:sz w:val="22"/>
          <w:lang w:val="es-ES_tradnl"/>
        </w:rPr>
        <w:t xml:space="preserve"> </w:t>
      </w:r>
    </w:p>
    <w:p w14:paraId="559EE20C" w14:textId="77777777" w:rsidR="00443B55" w:rsidRPr="00BF0E64" w:rsidRDefault="00443B55" w:rsidP="0099583D">
      <w:pPr>
        <w:spacing w:line="276" w:lineRule="auto"/>
        <w:jc w:val="both"/>
        <w:rPr>
          <w:rFonts w:ascii="Arial" w:hAnsi="Arial" w:cs="Arial"/>
          <w:color w:val="000000" w:themeColor="text1"/>
          <w:sz w:val="22"/>
          <w:lang w:val="es-ES_tradnl"/>
        </w:rPr>
      </w:pPr>
    </w:p>
    <w:p w14:paraId="215B04C5" w14:textId="6665D4B9" w:rsidR="00E2302A" w:rsidRDefault="00F40FD8" w:rsidP="00E2302A">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«1. […]</w:t>
      </w:r>
      <w:r w:rsidR="00E2302A" w:rsidRPr="00E2302A">
        <w:rPr>
          <w:rFonts w:ascii="Arial" w:hAnsi="Arial" w:cs="Arial"/>
          <w:color w:val="000000" w:themeColor="text1"/>
          <w:sz w:val="21"/>
          <w:szCs w:val="21"/>
          <w:lang w:val="es-ES_tradnl"/>
        </w:rPr>
        <w:t xml:space="preserve">, de la manera </w:t>
      </w:r>
      <w:r w:rsidRPr="00E2302A">
        <w:rPr>
          <w:rFonts w:ascii="Arial" w:hAnsi="Arial" w:cs="Arial"/>
          <w:color w:val="000000" w:themeColor="text1"/>
          <w:sz w:val="21"/>
          <w:szCs w:val="21"/>
          <w:lang w:val="es-ES_tradnl"/>
        </w:rPr>
        <w:t>más</w:t>
      </w:r>
      <w:r w:rsidR="00E2302A" w:rsidRPr="00E2302A">
        <w:rPr>
          <w:rFonts w:ascii="Arial" w:hAnsi="Arial" w:cs="Arial"/>
          <w:color w:val="000000" w:themeColor="text1"/>
          <w:sz w:val="21"/>
          <w:szCs w:val="21"/>
          <w:lang w:val="es-ES_tradnl"/>
        </w:rPr>
        <w:t xml:space="preserve"> respetuosa, solicito a esa Agencia Nacional para la </w:t>
      </w:r>
      <w:r w:rsidRPr="00E2302A">
        <w:rPr>
          <w:rFonts w:ascii="Arial" w:hAnsi="Arial" w:cs="Arial"/>
          <w:color w:val="000000" w:themeColor="text1"/>
          <w:sz w:val="21"/>
          <w:szCs w:val="21"/>
          <w:lang w:val="es-ES_tradnl"/>
        </w:rPr>
        <w:t>Contratación</w:t>
      </w:r>
      <w:r w:rsidR="00E2302A" w:rsidRPr="00E2302A">
        <w:rPr>
          <w:rFonts w:ascii="Arial" w:hAnsi="Arial" w:cs="Arial"/>
          <w:color w:val="000000" w:themeColor="text1"/>
          <w:sz w:val="21"/>
          <w:szCs w:val="21"/>
          <w:lang w:val="es-ES_tradnl"/>
        </w:rPr>
        <w:t xml:space="preserve">, emitir un concepto que aborde integralmente la </w:t>
      </w:r>
      <w:r w:rsidRPr="00E2302A">
        <w:rPr>
          <w:rFonts w:ascii="Arial" w:hAnsi="Arial" w:cs="Arial"/>
          <w:color w:val="000000" w:themeColor="text1"/>
          <w:sz w:val="21"/>
          <w:szCs w:val="21"/>
          <w:lang w:val="es-ES_tradnl"/>
        </w:rPr>
        <w:t>acreditación</w:t>
      </w:r>
      <w:r w:rsidR="00E2302A" w:rsidRPr="00E2302A">
        <w:rPr>
          <w:rFonts w:ascii="Arial" w:hAnsi="Arial" w:cs="Arial"/>
          <w:color w:val="000000" w:themeColor="text1"/>
          <w:sz w:val="21"/>
          <w:szCs w:val="21"/>
          <w:lang w:val="es-ES_tradnl"/>
        </w:rPr>
        <w:t xml:space="preserve"> de la experiencia en procesos de </w:t>
      </w:r>
      <w:r w:rsidRPr="00E2302A">
        <w:rPr>
          <w:rFonts w:ascii="Arial" w:hAnsi="Arial" w:cs="Arial"/>
          <w:color w:val="000000" w:themeColor="text1"/>
          <w:sz w:val="21"/>
          <w:szCs w:val="21"/>
          <w:lang w:val="es-ES_tradnl"/>
        </w:rPr>
        <w:t>fusión</w:t>
      </w:r>
      <w:r w:rsidR="00E2302A" w:rsidRPr="00E2302A">
        <w:rPr>
          <w:rFonts w:ascii="Arial" w:hAnsi="Arial" w:cs="Arial"/>
          <w:color w:val="000000" w:themeColor="text1"/>
          <w:sz w:val="21"/>
          <w:szCs w:val="21"/>
          <w:lang w:val="es-ES_tradnl"/>
        </w:rPr>
        <w:t xml:space="preserve"> y </w:t>
      </w:r>
      <w:r w:rsidRPr="00E2302A">
        <w:rPr>
          <w:rFonts w:ascii="Arial" w:hAnsi="Arial" w:cs="Arial"/>
          <w:color w:val="000000" w:themeColor="text1"/>
          <w:sz w:val="21"/>
          <w:szCs w:val="21"/>
          <w:lang w:val="es-ES_tradnl"/>
        </w:rPr>
        <w:t>escisión</w:t>
      </w:r>
      <w:r w:rsidR="00E2302A" w:rsidRPr="00E2302A">
        <w:rPr>
          <w:rFonts w:ascii="Arial" w:hAnsi="Arial" w:cs="Arial"/>
          <w:color w:val="000000" w:themeColor="text1"/>
          <w:sz w:val="21"/>
          <w:szCs w:val="21"/>
          <w:lang w:val="es-ES_tradnl"/>
        </w:rPr>
        <w:t xml:space="preserve">, considerando que la experiencia de las sociedades es una </w:t>
      </w:r>
      <w:r w:rsidRPr="00E2302A">
        <w:rPr>
          <w:rFonts w:ascii="Arial" w:hAnsi="Arial" w:cs="Arial"/>
          <w:color w:val="000000" w:themeColor="text1"/>
          <w:sz w:val="21"/>
          <w:szCs w:val="21"/>
          <w:lang w:val="es-ES_tradnl"/>
        </w:rPr>
        <w:t>característica</w:t>
      </w:r>
      <w:r w:rsidR="00E2302A" w:rsidRPr="00E2302A">
        <w:rPr>
          <w:rFonts w:ascii="Arial" w:hAnsi="Arial" w:cs="Arial"/>
          <w:color w:val="000000" w:themeColor="text1"/>
          <w:sz w:val="21"/>
          <w:szCs w:val="21"/>
          <w:lang w:val="es-ES_tradnl"/>
        </w:rPr>
        <w:t xml:space="preserve"> fundamental que hace parte del patrimonio de una empresa absolutamente relevante en el desarrollo </w:t>
      </w:r>
      <w:r w:rsidRPr="00E2302A">
        <w:rPr>
          <w:rFonts w:ascii="Arial" w:hAnsi="Arial" w:cs="Arial"/>
          <w:color w:val="000000" w:themeColor="text1"/>
          <w:sz w:val="21"/>
          <w:szCs w:val="21"/>
          <w:lang w:val="es-ES_tradnl"/>
        </w:rPr>
        <w:t>económico</w:t>
      </w:r>
      <w:r w:rsidR="00E2302A" w:rsidRPr="00E2302A">
        <w:rPr>
          <w:rFonts w:ascii="Arial" w:hAnsi="Arial" w:cs="Arial"/>
          <w:color w:val="000000" w:themeColor="text1"/>
          <w:sz w:val="21"/>
          <w:szCs w:val="21"/>
          <w:lang w:val="es-ES_tradnl"/>
        </w:rPr>
        <w:t xml:space="preserve"> y de vital importancia en los procesos de </w:t>
      </w:r>
      <w:r w:rsidRPr="00E2302A">
        <w:rPr>
          <w:rFonts w:ascii="Arial" w:hAnsi="Arial" w:cs="Arial"/>
          <w:color w:val="000000" w:themeColor="text1"/>
          <w:sz w:val="21"/>
          <w:szCs w:val="21"/>
          <w:lang w:val="es-ES_tradnl"/>
        </w:rPr>
        <w:t>integración</w:t>
      </w:r>
      <w:r w:rsidR="00E2302A" w:rsidRPr="00E2302A">
        <w:rPr>
          <w:rFonts w:ascii="Arial" w:hAnsi="Arial" w:cs="Arial"/>
          <w:color w:val="000000" w:themeColor="text1"/>
          <w:sz w:val="21"/>
          <w:szCs w:val="21"/>
          <w:lang w:val="es-ES_tradnl"/>
        </w:rPr>
        <w:t xml:space="preserve"> empresarial, bajo la actual </w:t>
      </w:r>
      <w:r w:rsidRPr="00E2302A">
        <w:rPr>
          <w:rFonts w:ascii="Arial" w:hAnsi="Arial" w:cs="Arial"/>
          <w:color w:val="000000" w:themeColor="text1"/>
          <w:sz w:val="21"/>
          <w:szCs w:val="21"/>
          <w:lang w:val="es-ES_tradnl"/>
        </w:rPr>
        <w:t>dinámica</w:t>
      </w:r>
      <w:r w:rsidR="00E2302A" w:rsidRPr="00E2302A">
        <w:rPr>
          <w:rFonts w:ascii="Arial" w:hAnsi="Arial" w:cs="Arial"/>
          <w:color w:val="000000" w:themeColor="text1"/>
          <w:sz w:val="21"/>
          <w:szCs w:val="21"/>
          <w:lang w:val="es-ES_tradnl"/>
        </w:rPr>
        <w:t xml:space="preserve"> de las sociedades.</w:t>
      </w:r>
    </w:p>
    <w:p w14:paraId="3FF73DA2" w14:textId="77777777" w:rsidR="00F40FD8" w:rsidRPr="00E2302A" w:rsidRDefault="00F40FD8" w:rsidP="00E2302A">
      <w:pPr>
        <w:ind w:left="709" w:right="709"/>
        <w:jc w:val="both"/>
        <w:rPr>
          <w:rFonts w:ascii="Arial" w:hAnsi="Arial" w:cs="Arial"/>
          <w:color w:val="000000" w:themeColor="text1"/>
          <w:sz w:val="21"/>
          <w:szCs w:val="21"/>
          <w:lang w:val="es-ES_tradnl"/>
        </w:rPr>
      </w:pPr>
    </w:p>
    <w:p w14:paraId="24A7EF75" w14:textId="262E0987" w:rsidR="00582D08" w:rsidRPr="00E2302A" w:rsidRDefault="00F40FD8" w:rsidP="00E2302A">
      <w:pPr>
        <w:ind w:left="709" w:right="709"/>
        <w:jc w:val="both"/>
        <w:rPr>
          <w:rFonts w:ascii="Arial" w:hAnsi="Arial" w:cs="Arial"/>
          <w:color w:val="000000" w:themeColor="text1"/>
          <w:sz w:val="21"/>
          <w:szCs w:val="21"/>
        </w:rPr>
      </w:pPr>
      <w:r>
        <w:rPr>
          <w:rFonts w:ascii="Arial" w:hAnsi="Arial" w:cs="Arial"/>
          <w:color w:val="000000" w:themeColor="text1"/>
          <w:sz w:val="21"/>
          <w:szCs w:val="21"/>
          <w:lang w:val="es-ES_tradnl"/>
        </w:rPr>
        <w:t>»</w:t>
      </w:r>
      <w:r w:rsidR="00E2302A" w:rsidRPr="00E2302A">
        <w:rPr>
          <w:rFonts w:ascii="Arial" w:hAnsi="Arial" w:cs="Arial"/>
          <w:color w:val="000000" w:themeColor="text1"/>
          <w:sz w:val="21"/>
          <w:szCs w:val="21"/>
          <w:lang w:val="es-ES_tradnl"/>
        </w:rPr>
        <w:t xml:space="preserve">2. En caso de que la ANC - Colombia Compra Eficiente considere como </w:t>
      </w:r>
      <w:r w:rsidRPr="00E2302A">
        <w:rPr>
          <w:rFonts w:ascii="Arial" w:hAnsi="Arial" w:cs="Arial"/>
          <w:color w:val="000000" w:themeColor="text1"/>
          <w:sz w:val="21"/>
          <w:szCs w:val="21"/>
          <w:lang w:val="es-ES_tradnl"/>
        </w:rPr>
        <w:t>válida</w:t>
      </w:r>
      <w:r w:rsidR="00E2302A" w:rsidRPr="00E2302A">
        <w:rPr>
          <w:rFonts w:ascii="Arial" w:hAnsi="Arial" w:cs="Arial"/>
          <w:color w:val="000000" w:themeColor="text1"/>
          <w:sz w:val="21"/>
          <w:szCs w:val="21"/>
          <w:lang w:val="es-ES_tradnl"/>
        </w:rPr>
        <w:t xml:space="preserve"> la experiencia derivada de los procesos de </w:t>
      </w:r>
      <w:r w:rsidRPr="00E2302A">
        <w:rPr>
          <w:rFonts w:ascii="Arial" w:hAnsi="Arial" w:cs="Arial"/>
          <w:color w:val="000000" w:themeColor="text1"/>
          <w:sz w:val="21"/>
          <w:szCs w:val="21"/>
          <w:lang w:val="es-ES_tradnl"/>
        </w:rPr>
        <w:t>Fusión</w:t>
      </w:r>
      <w:r w:rsidR="00E2302A" w:rsidRPr="00E2302A">
        <w:rPr>
          <w:rFonts w:ascii="Arial" w:hAnsi="Arial" w:cs="Arial"/>
          <w:color w:val="000000" w:themeColor="text1"/>
          <w:sz w:val="21"/>
          <w:szCs w:val="21"/>
          <w:lang w:val="es-ES_tradnl"/>
        </w:rPr>
        <w:t xml:space="preserve"> y </w:t>
      </w:r>
      <w:r w:rsidRPr="00E2302A">
        <w:rPr>
          <w:rFonts w:ascii="Arial" w:hAnsi="Arial" w:cs="Arial"/>
          <w:color w:val="000000" w:themeColor="text1"/>
          <w:sz w:val="21"/>
          <w:szCs w:val="21"/>
          <w:lang w:val="es-ES_tradnl"/>
        </w:rPr>
        <w:t>Escisión</w:t>
      </w:r>
      <w:r w:rsidR="00E2302A" w:rsidRPr="00E2302A">
        <w:rPr>
          <w:rFonts w:ascii="Arial" w:hAnsi="Arial" w:cs="Arial"/>
          <w:color w:val="000000" w:themeColor="text1"/>
          <w:sz w:val="21"/>
          <w:szCs w:val="21"/>
          <w:lang w:val="es-ES_tradnl"/>
        </w:rPr>
        <w:t xml:space="preserve">, solicito comedidamente que instruya a </w:t>
      </w:r>
      <w:r w:rsidRPr="00E2302A">
        <w:rPr>
          <w:rFonts w:ascii="Arial" w:hAnsi="Arial" w:cs="Arial"/>
          <w:color w:val="000000" w:themeColor="text1"/>
          <w:sz w:val="21"/>
          <w:szCs w:val="21"/>
          <w:lang w:val="es-ES_tradnl"/>
        </w:rPr>
        <w:t>través</w:t>
      </w:r>
      <w:r w:rsidR="00E2302A" w:rsidRPr="00E2302A">
        <w:rPr>
          <w:rFonts w:ascii="Arial" w:hAnsi="Arial" w:cs="Arial"/>
          <w:color w:val="000000" w:themeColor="text1"/>
          <w:sz w:val="21"/>
          <w:szCs w:val="21"/>
          <w:lang w:val="es-ES_tradnl"/>
        </w:rPr>
        <w:t xml:space="preserve"> de la respuesta a este derecho de </w:t>
      </w:r>
      <w:r w:rsidRPr="00E2302A">
        <w:rPr>
          <w:rFonts w:ascii="Arial" w:hAnsi="Arial" w:cs="Arial"/>
          <w:color w:val="000000" w:themeColor="text1"/>
          <w:sz w:val="21"/>
          <w:szCs w:val="21"/>
          <w:lang w:val="es-ES_tradnl"/>
        </w:rPr>
        <w:t>petición</w:t>
      </w:r>
      <w:r w:rsidR="00E2302A" w:rsidRPr="00E2302A">
        <w:rPr>
          <w:rFonts w:ascii="Arial" w:hAnsi="Arial" w:cs="Arial"/>
          <w:color w:val="000000" w:themeColor="text1"/>
          <w:sz w:val="21"/>
          <w:szCs w:val="21"/>
          <w:lang w:val="es-ES_tradnl"/>
        </w:rPr>
        <w:t xml:space="preserve"> o mediante </w:t>
      </w:r>
      <w:r w:rsidRPr="00E2302A">
        <w:rPr>
          <w:rFonts w:ascii="Arial" w:hAnsi="Arial" w:cs="Arial"/>
          <w:color w:val="000000" w:themeColor="text1"/>
          <w:sz w:val="21"/>
          <w:szCs w:val="21"/>
          <w:lang w:val="es-ES_tradnl"/>
        </w:rPr>
        <w:t>guía</w:t>
      </w:r>
      <w:r w:rsidR="00E2302A" w:rsidRPr="00E2302A">
        <w:rPr>
          <w:rFonts w:ascii="Arial" w:hAnsi="Arial" w:cs="Arial"/>
          <w:color w:val="000000" w:themeColor="text1"/>
          <w:sz w:val="21"/>
          <w:szCs w:val="21"/>
          <w:lang w:val="es-ES_tradnl"/>
        </w:rPr>
        <w:t xml:space="preserve"> al </w:t>
      </w:r>
      <w:r w:rsidRPr="00E2302A">
        <w:rPr>
          <w:rFonts w:ascii="Arial" w:hAnsi="Arial" w:cs="Arial"/>
          <w:color w:val="000000" w:themeColor="text1"/>
          <w:sz w:val="21"/>
          <w:szCs w:val="21"/>
          <w:lang w:val="es-ES_tradnl"/>
        </w:rPr>
        <w:t>público</w:t>
      </w:r>
      <w:r w:rsidR="00E2302A" w:rsidRPr="00E2302A">
        <w:rPr>
          <w:rFonts w:ascii="Arial" w:hAnsi="Arial" w:cs="Arial"/>
          <w:color w:val="000000" w:themeColor="text1"/>
          <w:sz w:val="21"/>
          <w:szCs w:val="21"/>
          <w:lang w:val="es-ES_tradnl"/>
        </w:rPr>
        <w:t xml:space="preserve"> en general, los procesos, procedimientos o requisitos necesarios para inscribir en el Registro </w:t>
      </w:r>
      <w:r w:rsidRPr="00E2302A">
        <w:rPr>
          <w:rFonts w:ascii="Arial" w:hAnsi="Arial" w:cs="Arial"/>
          <w:color w:val="000000" w:themeColor="text1"/>
          <w:sz w:val="21"/>
          <w:szCs w:val="21"/>
          <w:lang w:val="es-ES_tradnl"/>
        </w:rPr>
        <w:t>Único</w:t>
      </w:r>
      <w:r w:rsidR="00E2302A" w:rsidRPr="00E2302A">
        <w:rPr>
          <w:rFonts w:ascii="Arial" w:hAnsi="Arial" w:cs="Arial"/>
          <w:color w:val="000000" w:themeColor="text1"/>
          <w:sz w:val="21"/>
          <w:szCs w:val="21"/>
          <w:lang w:val="es-ES_tradnl"/>
        </w:rPr>
        <w:t xml:space="preserve"> de Proponentes la experiencia derivada de un proceso de </w:t>
      </w:r>
      <w:r w:rsidRPr="00E2302A">
        <w:rPr>
          <w:rFonts w:ascii="Arial" w:hAnsi="Arial" w:cs="Arial"/>
          <w:color w:val="000000" w:themeColor="text1"/>
          <w:sz w:val="21"/>
          <w:szCs w:val="21"/>
          <w:lang w:val="es-ES_tradnl"/>
        </w:rPr>
        <w:t>Fusión</w:t>
      </w:r>
      <w:r w:rsidR="00E2302A" w:rsidRPr="00E2302A">
        <w:rPr>
          <w:rFonts w:ascii="Arial" w:hAnsi="Arial" w:cs="Arial"/>
          <w:color w:val="000000" w:themeColor="text1"/>
          <w:sz w:val="21"/>
          <w:szCs w:val="21"/>
          <w:lang w:val="es-ES_tradnl"/>
        </w:rPr>
        <w:t xml:space="preserve"> o </w:t>
      </w:r>
      <w:r w:rsidRPr="00E2302A">
        <w:rPr>
          <w:rFonts w:ascii="Arial" w:hAnsi="Arial" w:cs="Arial"/>
          <w:color w:val="000000" w:themeColor="text1"/>
          <w:sz w:val="21"/>
          <w:szCs w:val="21"/>
          <w:lang w:val="es-ES_tradnl"/>
        </w:rPr>
        <w:t>Escisión</w:t>
      </w:r>
      <w:r>
        <w:rPr>
          <w:rFonts w:ascii="Arial" w:hAnsi="Arial" w:cs="Arial"/>
          <w:color w:val="000000" w:themeColor="text1"/>
          <w:sz w:val="21"/>
          <w:szCs w:val="21"/>
          <w:lang w:val="es-ES_tradnl"/>
        </w:rPr>
        <w:t>»</w:t>
      </w:r>
      <w:r w:rsidR="00E2302A" w:rsidRPr="00E2302A">
        <w:rPr>
          <w:rFonts w:ascii="Arial" w:hAnsi="Arial" w:cs="Arial"/>
          <w:color w:val="000000" w:themeColor="text1"/>
          <w:sz w:val="21"/>
          <w:szCs w:val="21"/>
          <w:lang w:val="es-ES_tradnl"/>
        </w:rPr>
        <w:t>.</w:t>
      </w:r>
    </w:p>
    <w:p w14:paraId="07C9657E" w14:textId="44D1E42A" w:rsidR="00FC2CAC" w:rsidRDefault="00FC2CAC" w:rsidP="00FC2CAC">
      <w:pPr>
        <w:ind w:right="709"/>
        <w:jc w:val="both"/>
        <w:rPr>
          <w:rFonts w:ascii="Arial" w:hAnsi="Arial" w:cs="Arial"/>
          <w:color w:val="000000" w:themeColor="text1"/>
          <w:sz w:val="21"/>
          <w:szCs w:val="21"/>
          <w:lang w:val="es-ES_tradnl"/>
        </w:rPr>
      </w:pPr>
    </w:p>
    <w:p w14:paraId="432B034A" w14:textId="6429F42A" w:rsidR="00CF0A8D" w:rsidRDefault="00CF0A8D" w:rsidP="00FC2CAC">
      <w:pPr>
        <w:ind w:right="709"/>
        <w:jc w:val="both"/>
        <w:rPr>
          <w:rFonts w:ascii="Arial" w:hAnsi="Arial" w:cs="Arial"/>
          <w:color w:val="000000" w:themeColor="text1"/>
          <w:sz w:val="21"/>
          <w:szCs w:val="21"/>
          <w:lang w:val="es-ES_tradnl"/>
        </w:rPr>
      </w:pPr>
    </w:p>
    <w:p w14:paraId="3888D7A2" w14:textId="77777777" w:rsidR="00CF0A8D" w:rsidRPr="00BF0E64" w:rsidRDefault="00CF0A8D" w:rsidP="00FC2CAC">
      <w:pPr>
        <w:ind w:right="709"/>
        <w:jc w:val="both"/>
        <w:rPr>
          <w:rFonts w:ascii="Arial" w:hAnsi="Arial" w:cs="Arial"/>
          <w:color w:val="000000" w:themeColor="text1"/>
          <w:sz w:val="21"/>
          <w:szCs w:val="21"/>
          <w:lang w:val="es-ES_tradnl"/>
        </w:rPr>
      </w:pPr>
    </w:p>
    <w:p w14:paraId="124D2DCA" w14:textId="77777777" w:rsidR="00DD5B04" w:rsidRPr="00BF0E64"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BF0E64">
        <w:rPr>
          <w:rFonts w:ascii="Arial" w:eastAsia="Calibri" w:hAnsi="Arial" w:cs="Arial"/>
          <w:b/>
          <w:color w:val="000000" w:themeColor="text1"/>
          <w:sz w:val="22"/>
          <w:lang w:val="es-ES_tradnl"/>
        </w:rPr>
        <w:t>Consideraciones</w:t>
      </w:r>
    </w:p>
    <w:p w14:paraId="7D050D2E" w14:textId="77777777" w:rsidR="00435703" w:rsidRPr="00BF0E64" w:rsidRDefault="00435703" w:rsidP="00DF76A2">
      <w:pPr>
        <w:spacing w:line="276" w:lineRule="auto"/>
        <w:jc w:val="both"/>
        <w:rPr>
          <w:rFonts w:ascii="Arial" w:eastAsia="Calibri" w:hAnsi="Arial" w:cs="Arial"/>
          <w:color w:val="000000" w:themeColor="text1"/>
          <w:sz w:val="22"/>
          <w:szCs w:val="22"/>
          <w:lang w:val="es-ES_tradnl"/>
        </w:rPr>
      </w:pPr>
    </w:p>
    <w:p w14:paraId="16A6677D" w14:textId="28B0F3E0" w:rsidR="004047DF" w:rsidRDefault="004047DF" w:rsidP="001C2BE4">
      <w:pPr>
        <w:spacing w:line="276" w:lineRule="auto"/>
        <w:jc w:val="both"/>
        <w:rPr>
          <w:rFonts w:ascii="Arial" w:eastAsia="Calibri" w:hAnsi="Arial" w:cs="Arial"/>
          <w:sz w:val="22"/>
        </w:rPr>
      </w:pPr>
      <w:r>
        <w:rPr>
          <w:rFonts w:ascii="Arial" w:eastAsia="Calibri" w:hAnsi="Arial" w:cs="Arial"/>
          <w:sz w:val="22"/>
        </w:rPr>
        <w:t xml:space="preserve">Para emitir una respuesta, esta Subdirección analizará previamente los siguientes temas: i) </w:t>
      </w:r>
      <w:r w:rsidR="00A94281">
        <w:rPr>
          <w:rFonts w:ascii="Arial" w:eastAsia="Calibri" w:hAnsi="Arial" w:cs="Arial"/>
          <w:sz w:val="22"/>
        </w:rPr>
        <w:t xml:space="preserve">el </w:t>
      </w:r>
      <w:r>
        <w:rPr>
          <w:rFonts w:ascii="Arial" w:eastAsia="Calibri" w:hAnsi="Arial" w:cs="Arial"/>
          <w:sz w:val="22"/>
        </w:rPr>
        <w:t xml:space="preserve">concepto de experiencia en la contratación pública y </w:t>
      </w:r>
      <w:r w:rsidR="00A94281">
        <w:rPr>
          <w:rFonts w:ascii="Arial" w:eastAsia="Calibri" w:hAnsi="Arial" w:cs="Arial"/>
          <w:sz w:val="22"/>
        </w:rPr>
        <w:t>ii) los efectos de las figuras y reformas estatutarias</w:t>
      </w:r>
      <w:r w:rsidR="007842D6">
        <w:rPr>
          <w:rFonts w:ascii="Arial" w:eastAsia="Calibri" w:hAnsi="Arial" w:cs="Arial"/>
          <w:sz w:val="22"/>
        </w:rPr>
        <w:t xml:space="preserve"> sobre la experiencia de las sociedades comerciales en la contratación estatal.</w:t>
      </w:r>
    </w:p>
    <w:p w14:paraId="10945199" w14:textId="2EC1B063" w:rsidR="00374D49" w:rsidRPr="00DC5CAD" w:rsidRDefault="00374D49" w:rsidP="007842D6">
      <w:pPr>
        <w:spacing w:before="120" w:line="276" w:lineRule="auto"/>
        <w:ind w:firstLine="709"/>
        <w:jc w:val="both"/>
        <w:rPr>
          <w:rFonts w:ascii="Arial" w:eastAsia="Calibri" w:hAnsi="Arial" w:cs="Arial"/>
          <w:sz w:val="22"/>
        </w:rPr>
      </w:pPr>
      <w:r w:rsidRPr="00DC5CAD">
        <w:rPr>
          <w:rFonts w:ascii="Arial" w:eastAsia="Calibri" w:hAnsi="Arial" w:cs="Arial"/>
          <w:sz w:val="22"/>
        </w:rPr>
        <w:t xml:space="preserve">La Agencia Nacional de Contratación Pública </w:t>
      </w:r>
      <w:r>
        <w:rPr>
          <w:rFonts w:ascii="Arial" w:eastAsia="Calibri" w:hAnsi="Arial" w:cs="Arial"/>
          <w:sz w:val="22"/>
        </w:rPr>
        <w:t>–</w:t>
      </w:r>
      <w:r w:rsidRPr="00DC5CAD">
        <w:rPr>
          <w:rFonts w:ascii="Arial" w:eastAsia="Calibri" w:hAnsi="Arial" w:cs="Arial"/>
          <w:sz w:val="22"/>
        </w:rPr>
        <w:t xml:space="preserve"> Colombia Compra Eficiente,</w:t>
      </w:r>
      <w:r w:rsidR="00527703">
        <w:rPr>
          <w:rFonts w:ascii="Arial" w:eastAsia="Calibri" w:hAnsi="Arial" w:cs="Arial"/>
          <w:sz w:val="22"/>
        </w:rPr>
        <w:t xml:space="preserve"> </w:t>
      </w:r>
      <w:r w:rsidRPr="00DC5CAD">
        <w:rPr>
          <w:rFonts w:ascii="Arial" w:eastAsia="Calibri" w:hAnsi="Arial" w:cs="Arial"/>
          <w:sz w:val="22"/>
        </w:rPr>
        <w:t>e</w:t>
      </w:r>
      <w:r w:rsidR="00D030BD">
        <w:rPr>
          <w:rFonts w:ascii="Arial" w:eastAsia="Calibri" w:hAnsi="Arial" w:cs="Arial"/>
          <w:sz w:val="22"/>
        </w:rPr>
        <w:t xml:space="preserve">n el concepto </w:t>
      </w:r>
      <w:r w:rsidRPr="00DC5CAD">
        <w:rPr>
          <w:rFonts w:ascii="Arial" w:eastAsia="Calibri" w:hAnsi="Arial" w:cs="Arial"/>
          <w:sz w:val="22"/>
        </w:rPr>
        <w:t>C - 002 del 20 de febrero de 2020</w:t>
      </w:r>
      <w:r w:rsidR="00A06EE8">
        <w:rPr>
          <w:rFonts w:ascii="Arial" w:eastAsia="Calibri" w:hAnsi="Arial" w:cs="Arial"/>
          <w:sz w:val="22"/>
        </w:rPr>
        <w:t xml:space="preserve">, </w:t>
      </w:r>
      <w:r w:rsidR="00A06EE8" w:rsidRPr="00DC5CAD">
        <w:rPr>
          <w:rFonts w:ascii="Arial" w:eastAsia="Calibri" w:hAnsi="Arial" w:cs="Arial"/>
          <w:sz w:val="22"/>
        </w:rPr>
        <w:t>reiterad</w:t>
      </w:r>
      <w:r w:rsidR="00A06EE8">
        <w:rPr>
          <w:rFonts w:ascii="Arial" w:eastAsia="Calibri" w:hAnsi="Arial" w:cs="Arial"/>
          <w:sz w:val="22"/>
        </w:rPr>
        <w:t>o</w:t>
      </w:r>
      <w:r w:rsidR="00A06EE8" w:rsidRPr="00DC5CAD">
        <w:rPr>
          <w:rFonts w:ascii="Arial" w:eastAsia="Calibri" w:hAnsi="Arial" w:cs="Arial"/>
          <w:sz w:val="22"/>
        </w:rPr>
        <w:t xml:space="preserve"> en </w:t>
      </w:r>
      <w:r w:rsidR="00A06EE8">
        <w:rPr>
          <w:rFonts w:ascii="Arial" w:eastAsia="Calibri" w:hAnsi="Arial" w:cs="Arial"/>
          <w:sz w:val="22"/>
        </w:rPr>
        <w:t>los</w:t>
      </w:r>
      <w:r w:rsidR="00A06EE8" w:rsidRPr="00DC5CAD">
        <w:rPr>
          <w:rFonts w:ascii="Arial" w:eastAsia="Calibri" w:hAnsi="Arial" w:cs="Arial"/>
          <w:sz w:val="22"/>
        </w:rPr>
        <w:t xml:space="preserve"> concepto</w:t>
      </w:r>
      <w:r w:rsidR="00A06EE8">
        <w:rPr>
          <w:rFonts w:ascii="Arial" w:eastAsia="Calibri" w:hAnsi="Arial" w:cs="Arial"/>
          <w:sz w:val="22"/>
        </w:rPr>
        <w:t>s</w:t>
      </w:r>
      <w:r w:rsidR="00A06EE8" w:rsidRPr="00DC5CAD">
        <w:rPr>
          <w:rFonts w:ascii="Arial" w:eastAsia="Calibri" w:hAnsi="Arial" w:cs="Arial"/>
          <w:sz w:val="22"/>
        </w:rPr>
        <w:t xml:space="preserve"> C-491 del 27 de julio de 2020</w:t>
      </w:r>
      <w:r w:rsidR="00645E6E">
        <w:rPr>
          <w:rFonts w:ascii="Arial" w:eastAsia="Calibri" w:hAnsi="Arial" w:cs="Arial"/>
          <w:sz w:val="22"/>
        </w:rPr>
        <w:t xml:space="preserve">, </w:t>
      </w:r>
      <w:r w:rsidR="00A06EE8">
        <w:rPr>
          <w:rFonts w:ascii="Arial" w:eastAsia="Calibri" w:hAnsi="Arial" w:cs="Arial"/>
          <w:sz w:val="22"/>
        </w:rPr>
        <w:t>C</w:t>
      </w:r>
      <w:r w:rsidR="001C2BE4">
        <w:rPr>
          <w:rFonts w:ascii="Arial" w:eastAsia="Calibri" w:hAnsi="Arial" w:cs="Arial"/>
          <w:sz w:val="22"/>
        </w:rPr>
        <w:t>-584 del 31 de agosto de 2020</w:t>
      </w:r>
      <w:r w:rsidR="00645E6E">
        <w:rPr>
          <w:rFonts w:ascii="Arial" w:eastAsia="Calibri" w:hAnsi="Arial" w:cs="Arial"/>
          <w:sz w:val="22"/>
        </w:rPr>
        <w:t xml:space="preserve"> y C-</w:t>
      </w:r>
      <w:r w:rsidR="00573C8C">
        <w:rPr>
          <w:rFonts w:ascii="Arial" w:eastAsia="Calibri" w:hAnsi="Arial" w:cs="Arial"/>
          <w:sz w:val="22"/>
        </w:rPr>
        <w:t>002 del 9 de febrero de 2021</w:t>
      </w:r>
      <w:r w:rsidR="001C2BE4">
        <w:rPr>
          <w:rFonts w:ascii="Arial" w:eastAsia="Calibri" w:hAnsi="Arial" w:cs="Arial"/>
          <w:sz w:val="22"/>
        </w:rPr>
        <w:t>, se pronunció sobre el tema objeto de esta consulta, señalando</w:t>
      </w:r>
      <w:r w:rsidRPr="00DC5CAD">
        <w:rPr>
          <w:rFonts w:ascii="Arial" w:eastAsia="Calibri" w:hAnsi="Arial" w:cs="Arial"/>
          <w:sz w:val="22"/>
        </w:rPr>
        <w:t xml:space="preserve"> que es viable la transferencia de experiencia en la transformación y en la fusión, pero no en la escisión</w:t>
      </w:r>
      <w:r w:rsidR="001C2BE4">
        <w:rPr>
          <w:rFonts w:ascii="Arial" w:eastAsia="Calibri" w:hAnsi="Arial" w:cs="Arial"/>
          <w:sz w:val="22"/>
        </w:rPr>
        <w:t>. Dicha tesis se reitera a continuación.</w:t>
      </w:r>
    </w:p>
    <w:p w14:paraId="4D59744E" w14:textId="77777777" w:rsidR="001C2BE4" w:rsidRDefault="001C2BE4" w:rsidP="00374D49">
      <w:pPr>
        <w:spacing w:line="276" w:lineRule="auto"/>
        <w:jc w:val="both"/>
        <w:rPr>
          <w:rFonts w:ascii="Arial" w:hAnsi="Arial" w:cs="Arial"/>
          <w:b/>
          <w:bCs/>
          <w:sz w:val="22"/>
        </w:rPr>
      </w:pPr>
    </w:p>
    <w:p w14:paraId="002BB40C" w14:textId="4AD01219" w:rsidR="00374D49" w:rsidRPr="00DC5CAD" w:rsidRDefault="00374D49" w:rsidP="00374D49">
      <w:pPr>
        <w:spacing w:line="276" w:lineRule="auto"/>
        <w:jc w:val="both"/>
        <w:rPr>
          <w:rFonts w:ascii="Arial" w:eastAsia="Calibri" w:hAnsi="Arial" w:cs="Arial"/>
          <w:b/>
          <w:sz w:val="22"/>
        </w:rPr>
      </w:pPr>
      <w:r w:rsidRPr="00DC5CAD">
        <w:rPr>
          <w:rFonts w:ascii="Arial" w:eastAsia="Calibri" w:hAnsi="Arial" w:cs="Arial"/>
          <w:b/>
          <w:sz w:val="22"/>
        </w:rPr>
        <w:t>2.</w:t>
      </w:r>
      <w:r w:rsidR="00D046C1">
        <w:rPr>
          <w:rFonts w:ascii="Arial" w:eastAsia="Calibri" w:hAnsi="Arial" w:cs="Arial"/>
          <w:b/>
          <w:sz w:val="22"/>
        </w:rPr>
        <w:t>1</w:t>
      </w:r>
      <w:r>
        <w:rPr>
          <w:rFonts w:ascii="Arial" w:eastAsia="Calibri" w:hAnsi="Arial" w:cs="Arial"/>
          <w:b/>
          <w:sz w:val="22"/>
        </w:rPr>
        <w:t>.</w:t>
      </w:r>
      <w:r w:rsidRPr="00DC5CAD">
        <w:rPr>
          <w:rFonts w:ascii="Arial" w:eastAsia="Calibri" w:hAnsi="Arial" w:cs="Arial"/>
          <w:b/>
          <w:sz w:val="22"/>
        </w:rPr>
        <w:t xml:space="preserve"> </w:t>
      </w:r>
      <w:r>
        <w:rPr>
          <w:rFonts w:ascii="Arial" w:eastAsia="Calibri" w:hAnsi="Arial" w:cs="Arial"/>
          <w:b/>
          <w:sz w:val="22"/>
        </w:rPr>
        <w:t>A</w:t>
      </w:r>
      <w:r w:rsidRPr="00DC5CAD">
        <w:rPr>
          <w:rFonts w:ascii="Arial" w:eastAsia="Calibri" w:hAnsi="Arial" w:cs="Arial"/>
          <w:b/>
          <w:sz w:val="22"/>
        </w:rPr>
        <w:t xml:space="preserve">proximación general al concepto </w:t>
      </w:r>
      <w:r>
        <w:rPr>
          <w:rFonts w:ascii="Arial" w:eastAsia="Calibri" w:hAnsi="Arial" w:cs="Arial"/>
          <w:b/>
          <w:sz w:val="22"/>
        </w:rPr>
        <w:t>de e</w:t>
      </w:r>
      <w:r w:rsidRPr="00DC5CAD">
        <w:rPr>
          <w:rFonts w:ascii="Arial" w:eastAsia="Calibri" w:hAnsi="Arial" w:cs="Arial"/>
          <w:b/>
          <w:sz w:val="22"/>
        </w:rPr>
        <w:t>xperiencia en la contratación pública</w:t>
      </w:r>
    </w:p>
    <w:p w14:paraId="27A6EFC0" w14:textId="77777777" w:rsidR="00374D49" w:rsidRPr="00DC5CAD" w:rsidRDefault="00374D49" w:rsidP="00374D49">
      <w:pPr>
        <w:spacing w:line="276" w:lineRule="auto"/>
        <w:jc w:val="both"/>
        <w:rPr>
          <w:rFonts w:ascii="Arial" w:eastAsia="Calibri" w:hAnsi="Arial" w:cs="Arial"/>
          <w:b/>
          <w:sz w:val="22"/>
        </w:rPr>
      </w:pPr>
    </w:p>
    <w:p w14:paraId="4A4865DA" w14:textId="5CEC49C3" w:rsidR="00374D49" w:rsidRPr="00DC5CAD" w:rsidRDefault="00374D49" w:rsidP="00374D49">
      <w:pPr>
        <w:spacing w:line="276" w:lineRule="auto"/>
        <w:jc w:val="both"/>
        <w:rPr>
          <w:rFonts w:ascii="Arial" w:eastAsia="Calibri" w:hAnsi="Arial" w:cs="Arial"/>
          <w:sz w:val="22"/>
          <w:highlight w:val="yellow"/>
        </w:rPr>
      </w:pPr>
      <w:r w:rsidRPr="00DC5CAD">
        <w:rPr>
          <w:rFonts w:ascii="Arial" w:eastAsia="Calibri" w:hAnsi="Arial" w:cs="Arial"/>
          <w:sz w:val="22"/>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DC5CAD">
        <w:rPr>
          <w:rStyle w:val="Refdenotaalpie"/>
          <w:rFonts w:ascii="Arial" w:eastAsia="Calibri" w:hAnsi="Arial" w:cs="Arial"/>
          <w:sz w:val="22"/>
        </w:rPr>
        <w:footnoteReference w:id="2"/>
      </w:r>
      <w:r w:rsidRPr="00DC5CAD">
        <w:rPr>
          <w:rFonts w:ascii="Arial" w:eastAsia="Calibri" w:hAnsi="Arial" w:cs="Arial"/>
          <w:sz w:val="22"/>
        </w:rPr>
        <w:t xml:space="preserve">. En ese 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w:t>
      </w:r>
      <w:r w:rsidRPr="00DC5CAD">
        <w:rPr>
          <w:rFonts w:ascii="Arial" w:eastAsia="Calibri" w:hAnsi="Arial" w:cs="Arial"/>
          <w:sz w:val="22"/>
        </w:rPr>
        <w:lastRenderedPageBreak/>
        <w:t>componentes</w:t>
      </w:r>
      <w:r w:rsidR="004D4EC1">
        <w:rPr>
          <w:rFonts w:ascii="Arial" w:eastAsia="Calibri" w:hAnsi="Arial" w:cs="Arial"/>
          <w:sz w:val="22"/>
        </w:rPr>
        <w:t>,</w:t>
      </w:r>
      <w:r w:rsidRPr="00DC5CAD">
        <w:rPr>
          <w:rFonts w:ascii="Arial" w:eastAsia="Calibri" w:hAnsi="Arial" w:cs="Arial"/>
          <w:sz w:val="22"/>
        </w:rPr>
        <w:t xml:space="preserve"> como la identificación de riesgos, </w:t>
      </w:r>
      <w:r w:rsidR="004D4EC1">
        <w:rPr>
          <w:rFonts w:ascii="Arial" w:eastAsia="Calibri" w:hAnsi="Arial" w:cs="Arial"/>
          <w:sz w:val="22"/>
        </w:rPr>
        <w:t xml:space="preserve">así como </w:t>
      </w:r>
      <w:r w:rsidRPr="00DC5CAD">
        <w:rPr>
          <w:rFonts w:ascii="Arial" w:eastAsia="Calibri" w:hAnsi="Arial" w:cs="Arial"/>
          <w:sz w:val="22"/>
        </w:rPr>
        <w:t>el mercado y precio del bien, obra o servicio a contratar</w:t>
      </w:r>
      <w:r w:rsidRPr="00DC5CAD">
        <w:rPr>
          <w:rStyle w:val="Refdenotaalpie"/>
          <w:rFonts w:ascii="Arial" w:eastAsia="Calibri" w:hAnsi="Arial" w:cs="Arial"/>
          <w:sz w:val="22"/>
        </w:rPr>
        <w:footnoteReference w:id="3"/>
      </w:r>
      <w:r w:rsidRPr="00DC5CAD">
        <w:rPr>
          <w:rFonts w:ascii="Arial" w:eastAsia="Calibri" w:hAnsi="Arial" w:cs="Arial"/>
          <w:sz w:val="22"/>
        </w:rPr>
        <w:t>.</w:t>
      </w:r>
    </w:p>
    <w:p w14:paraId="567840E6" w14:textId="6DF08280" w:rsidR="00374D49" w:rsidRPr="00DC5CAD" w:rsidRDefault="00374D49" w:rsidP="00374D49">
      <w:pPr>
        <w:spacing w:before="120" w:after="120" w:line="276" w:lineRule="auto"/>
        <w:ind w:firstLine="708"/>
        <w:jc w:val="both"/>
        <w:rPr>
          <w:rFonts w:ascii="Arial" w:eastAsia="Calibri" w:hAnsi="Arial" w:cs="Arial"/>
          <w:sz w:val="22"/>
        </w:rPr>
      </w:pPr>
      <w:r w:rsidRPr="00DC5CAD">
        <w:rPr>
          <w:rFonts w:ascii="Arial" w:eastAsia="Calibri" w:hAnsi="Arial" w:cs="Arial"/>
          <w:sz w:val="22"/>
        </w:rPr>
        <w:t xml:space="preserve">La experiencia que se deriva de los contratos que el proponente ha celebrado y ejecutado con diferentes contratantes, sin importar la naturaleza de estos, se verifica con el Registro Único de Proponentes </w:t>
      </w:r>
      <w:r>
        <w:rPr>
          <w:rFonts w:ascii="Arial" w:eastAsia="Calibri" w:hAnsi="Arial" w:cs="Arial"/>
          <w:sz w:val="22"/>
        </w:rPr>
        <w:t xml:space="preserve">– </w:t>
      </w:r>
      <w:r w:rsidRPr="00DC5CAD">
        <w:rPr>
          <w:rFonts w:ascii="Arial" w:eastAsia="Calibri" w:hAnsi="Arial" w:cs="Arial"/>
          <w:sz w:val="22"/>
        </w:rPr>
        <w:t>RUP</w:t>
      </w:r>
      <w:r w:rsidRPr="00DC5CAD">
        <w:rPr>
          <w:rStyle w:val="Refdenotaalpie"/>
          <w:rFonts w:ascii="Arial" w:eastAsia="Calibri" w:hAnsi="Arial" w:cs="Arial"/>
          <w:sz w:val="22"/>
        </w:rPr>
        <w:footnoteReference w:id="4"/>
      </w:r>
      <w:r w:rsidRPr="00DC5CAD">
        <w:rPr>
          <w:rFonts w:ascii="Arial" w:eastAsia="Calibri" w:hAnsi="Arial" w:cs="Arial"/>
          <w:sz w:val="22"/>
        </w:rPr>
        <w:t>, cuando este certificado sea exigible de acuerdo con la ley</w:t>
      </w:r>
      <w:r w:rsidR="00F77E9A">
        <w:rPr>
          <w:rFonts w:ascii="Arial" w:eastAsia="Calibri" w:hAnsi="Arial" w:cs="Arial"/>
          <w:sz w:val="22"/>
        </w:rPr>
        <w:t>.</w:t>
      </w:r>
      <w:r w:rsidRPr="00DC5CAD">
        <w:rPr>
          <w:rFonts w:ascii="Arial" w:eastAsia="Calibri" w:hAnsi="Arial" w:cs="Arial"/>
          <w:sz w:val="22"/>
        </w:rPr>
        <w:t xml:space="preserve"> </w:t>
      </w:r>
      <w:r w:rsidR="00F77E9A">
        <w:rPr>
          <w:rFonts w:ascii="Arial" w:eastAsia="Calibri" w:hAnsi="Arial" w:cs="Arial"/>
          <w:sz w:val="22"/>
        </w:rPr>
        <w:t>En el RUP</w:t>
      </w:r>
      <w:r w:rsidRPr="00DC5CAD">
        <w:rPr>
          <w:rFonts w:ascii="Arial" w:eastAsia="Calibri" w:hAnsi="Arial" w:cs="Arial"/>
          <w:sz w:val="22"/>
        </w:rPr>
        <w:t xml:space="preserve"> constan los requisitos habilitantes que se evalúan exclusivamente con este documento, que es su plena prueba, sin que la entidad o el proponente puedan solicitar o aportar otra documentación</w:t>
      </w:r>
      <w:r w:rsidRPr="00DC5CAD">
        <w:rPr>
          <w:rStyle w:val="Refdenotaalpie"/>
          <w:rFonts w:ascii="Arial" w:eastAsia="Calibri" w:hAnsi="Arial" w:cs="Arial"/>
          <w:sz w:val="22"/>
        </w:rPr>
        <w:footnoteReference w:id="5"/>
      </w:r>
      <w:r w:rsidRPr="00DC5CAD">
        <w:rPr>
          <w:rFonts w:ascii="Arial" w:eastAsia="Calibri" w:hAnsi="Arial" w:cs="Arial"/>
          <w:sz w:val="22"/>
        </w:rPr>
        <w:t>.</w:t>
      </w:r>
    </w:p>
    <w:p w14:paraId="65A11A7E" w14:textId="57728399" w:rsidR="006B49FC" w:rsidRDefault="00374D49" w:rsidP="006B49FC">
      <w:pPr>
        <w:spacing w:line="276" w:lineRule="auto"/>
        <w:ind w:firstLine="708"/>
        <w:jc w:val="both"/>
        <w:rPr>
          <w:rFonts w:ascii="Arial" w:eastAsia="Calibri" w:hAnsi="Arial" w:cs="Arial"/>
          <w:sz w:val="22"/>
        </w:rPr>
      </w:pPr>
      <w:r w:rsidRPr="00DC5CAD">
        <w:rPr>
          <w:rFonts w:ascii="Arial" w:eastAsia="Calibri" w:hAnsi="Arial" w:cs="Arial"/>
          <w:sz w:val="22"/>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sidR="00981DFC">
        <w:rPr>
          <w:rFonts w:ascii="Arial" w:eastAsia="Calibri" w:hAnsi="Arial" w:cs="Arial"/>
          <w:sz w:val="22"/>
        </w:rPr>
        <w:t>.</w:t>
      </w:r>
      <w:r w:rsidR="00BA0B40">
        <w:rPr>
          <w:rFonts w:ascii="Arial" w:eastAsia="Calibri" w:hAnsi="Arial" w:cs="Arial"/>
          <w:sz w:val="22"/>
        </w:rPr>
        <w:t xml:space="preserve"> </w:t>
      </w:r>
      <w:r w:rsidR="00981DFC">
        <w:rPr>
          <w:rFonts w:ascii="Arial" w:eastAsia="Calibri" w:hAnsi="Arial" w:cs="Arial"/>
          <w:sz w:val="22"/>
        </w:rPr>
        <w:t xml:space="preserve">Tales </w:t>
      </w:r>
      <w:r w:rsidRPr="00DC5CAD">
        <w:rPr>
          <w:rFonts w:ascii="Arial" w:eastAsia="Calibri" w:hAnsi="Arial" w:cs="Arial"/>
          <w:sz w:val="22"/>
        </w:rPr>
        <w:t xml:space="preserve">documentos deben codificarse con el clasificador de bienes y servicios en el tercer </w:t>
      </w:r>
      <w:r w:rsidRPr="00DC5CAD">
        <w:rPr>
          <w:rFonts w:ascii="Arial" w:eastAsia="Calibri" w:hAnsi="Arial" w:cs="Arial"/>
          <w:sz w:val="22"/>
        </w:rPr>
        <w:lastRenderedPageBreak/>
        <w:t>nivel</w:t>
      </w:r>
      <w:r w:rsidRPr="00DC5CAD">
        <w:rPr>
          <w:rStyle w:val="Refdenotaalpie"/>
          <w:rFonts w:ascii="Arial" w:eastAsia="Calibri" w:hAnsi="Arial" w:cs="Arial"/>
          <w:sz w:val="22"/>
        </w:rPr>
        <w:footnoteReference w:id="6"/>
      </w:r>
      <w:r w:rsidRPr="00DC5CAD">
        <w:rPr>
          <w:rFonts w:ascii="Arial" w:eastAsia="Calibri" w:hAnsi="Arial" w:cs="Arial"/>
          <w:sz w:val="22"/>
        </w:rPr>
        <w:t xml:space="preserve">. De esta manera, </w:t>
      </w:r>
      <w:r>
        <w:rPr>
          <w:rFonts w:ascii="Arial" w:eastAsia="Calibri" w:hAnsi="Arial" w:cs="Arial"/>
          <w:sz w:val="22"/>
        </w:rPr>
        <w:t>con el RUP se verifica</w:t>
      </w:r>
      <w:r w:rsidRPr="00DC5CAD">
        <w:rPr>
          <w:rFonts w:ascii="Arial" w:eastAsia="Calibri" w:hAnsi="Arial" w:cs="Arial"/>
          <w:sz w:val="22"/>
        </w:rPr>
        <w:t xml:space="preserve">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Por lo anterior, es pertinente aclarar que los códigos del clasificador de bienes y servicios ayudan a que exista un lenguaje común en la denominación de los bienes, obras o servicios que los proveedores ofrecen y que las entidades solicitan, sin que la entidad los evalúe, ya que lo que es objeto de evaluación es la experiencia clasificada de esta forma.</w:t>
      </w:r>
    </w:p>
    <w:p w14:paraId="37615CA4" w14:textId="4087CFB3" w:rsidR="00374D49" w:rsidRPr="00DC5CAD" w:rsidRDefault="00374D49" w:rsidP="006B49FC">
      <w:pPr>
        <w:spacing w:before="120" w:line="276" w:lineRule="auto"/>
        <w:ind w:firstLine="709"/>
        <w:jc w:val="both"/>
        <w:rPr>
          <w:rFonts w:ascii="Arial" w:eastAsia="Calibri" w:hAnsi="Arial" w:cs="Arial"/>
          <w:sz w:val="22"/>
        </w:rPr>
      </w:pPr>
      <w:r w:rsidRPr="00DC5CAD">
        <w:rPr>
          <w:rFonts w:ascii="Arial" w:eastAsia="Calibri" w:hAnsi="Arial" w:cs="Arial"/>
          <w:sz w:val="22"/>
        </w:rPr>
        <w:t>La Agencia Nacional de Contratación Pública - Colombia Compra Eficiente puso a disposición de los interesados del Sistema de Compra Pública el Manual para determinar y verificar requisitos habilitantes en los procesos de contratación</w:t>
      </w:r>
      <w:r w:rsidR="001116C6">
        <w:rPr>
          <w:rFonts w:ascii="Arial" w:eastAsia="Calibri" w:hAnsi="Arial" w:cs="Arial"/>
          <w:sz w:val="22"/>
        </w:rPr>
        <w:t>.</w:t>
      </w:r>
      <w:r w:rsidRPr="00DC5CAD">
        <w:rPr>
          <w:rFonts w:ascii="Arial" w:eastAsia="Calibri" w:hAnsi="Arial" w:cs="Arial"/>
          <w:sz w:val="22"/>
        </w:rPr>
        <w:t xml:space="preserve"> </w:t>
      </w:r>
      <w:r w:rsidR="001116C6">
        <w:rPr>
          <w:rFonts w:ascii="Arial" w:eastAsia="Calibri" w:hAnsi="Arial" w:cs="Arial"/>
          <w:sz w:val="22"/>
        </w:rPr>
        <w:t>En</w:t>
      </w:r>
      <w:r w:rsidR="00BA0B40">
        <w:rPr>
          <w:rFonts w:ascii="Arial" w:eastAsia="Calibri" w:hAnsi="Arial" w:cs="Arial"/>
          <w:sz w:val="22"/>
        </w:rPr>
        <w:t xml:space="preserve"> dicho Manual</w:t>
      </w:r>
      <w:r w:rsidR="001116C6">
        <w:rPr>
          <w:rFonts w:ascii="Arial" w:eastAsia="Calibri" w:hAnsi="Arial" w:cs="Arial"/>
          <w:sz w:val="22"/>
        </w:rPr>
        <w:t xml:space="preserve"> se </w:t>
      </w:r>
      <w:r w:rsidRPr="00DC5CAD">
        <w:rPr>
          <w:rFonts w:ascii="Arial" w:eastAsia="Calibri" w:hAnsi="Arial" w:cs="Arial"/>
          <w:sz w:val="22"/>
        </w:rPr>
        <w:t xml:space="preserve">establecen las definiciones de cada requisito habilitante y se dan lineamientos orientadores sobre lo que las entidades pueden hacer para </w:t>
      </w:r>
      <w:r w:rsidR="001116C6">
        <w:rPr>
          <w:rFonts w:ascii="Arial" w:eastAsia="Calibri" w:hAnsi="Arial" w:cs="Arial"/>
          <w:sz w:val="22"/>
        </w:rPr>
        <w:t>configurarlos</w:t>
      </w:r>
      <w:r w:rsidRPr="00DC5CAD">
        <w:rPr>
          <w:rFonts w:ascii="Arial" w:eastAsia="Calibri" w:hAnsi="Arial" w:cs="Arial"/>
          <w:sz w:val="22"/>
        </w:rPr>
        <w:t xml:space="preserve">. Sobre el particular, para la experiencia, como requisito habilitante señalado en su consulta, el Manual se centra en una de sus cualidades y es que es personal, lo cual significa que quien tiene la experiencia </w:t>
      </w:r>
      <w:r>
        <w:rPr>
          <w:rFonts w:ascii="Arial" w:eastAsia="Calibri" w:hAnsi="Arial" w:cs="Arial"/>
          <w:sz w:val="22"/>
        </w:rPr>
        <w:t>lo hace en razón de</w:t>
      </w:r>
      <w:r w:rsidRPr="00DC5CAD">
        <w:rPr>
          <w:rFonts w:ascii="Arial" w:eastAsia="Calibri" w:hAnsi="Arial" w:cs="Arial"/>
          <w:sz w:val="22"/>
        </w:rPr>
        <w:t xml:space="preserve"> su participación, con anterioridad, en actividades que le permitieron conocer cómo ejecutar el objeto contractual</w:t>
      </w:r>
      <w:r w:rsidR="007F52AF">
        <w:rPr>
          <w:rFonts w:ascii="Arial" w:eastAsia="Calibri" w:hAnsi="Arial" w:cs="Arial"/>
          <w:sz w:val="22"/>
        </w:rPr>
        <w:t xml:space="preserve"> </w:t>
      </w:r>
      <w:r w:rsidRPr="00DC5CAD">
        <w:rPr>
          <w:rFonts w:ascii="Arial" w:eastAsia="Calibri" w:hAnsi="Arial" w:cs="Arial"/>
          <w:sz w:val="22"/>
        </w:rPr>
        <w:t>que la entidad pretende satisfacer ahora</w:t>
      </w:r>
      <w:r w:rsidRPr="00DC5CAD">
        <w:rPr>
          <w:rStyle w:val="Refdenotaalpie"/>
          <w:rFonts w:ascii="Arial" w:eastAsia="Calibri" w:hAnsi="Arial" w:cs="Arial"/>
          <w:sz w:val="22"/>
        </w:rPr>
        <w:footnoteReference w:id="7"/>
      </w:r>
      <w:r w:rsidRPr="00DC5CAD">
        <w:rPr>
          <w:rFonts w:ascii="Arial" w:eastAsia="Calibri" w:hAnsi="Arial" w:cs="Arial"/>
          <w:sz w:val="22"/>
        </w:rPr>
        <w:t>.</w:t>
      </w:r>
    </w:p>
    <w:p w14:paraId="2D2BDF6A" w14:textId="38F0259B" w:rsidR="00374D49" w:rsidRPr="00DC5CAD" w:rsidRDefault="00374D49" w:rsidP="00374D49">
      <w:pPr>
        <w:spacing w:before="120" w:after="120" w:line="276" w:lineRule="auto"/>
        <w:ind w:firstLine="708"/>
        <w:jc w:val="both"/>
        <w:rPr>
          <w:rFonts w:ascii="Arial" w:eastAsia="Calibri" w:hAnsi="Arial" w:cs="Arial"/>
          <w:sz w:val="22"/>
        </w:rPr>
      </w:pPr>
      <w:r w:rsidRPr="00DC5CAD">
        <w:rPr>
          <w:rFonts w:ascii="Arial" w:eastAsia="Calibri" w:hAnsi="Arial" w:cs="Arial"/>
          <w:sz w:val="22"/>
        </w:rPr>
        <w:lastRenderedPageBreak/>
        <w:t>Lo anterior es determinante, porque no es posible tener experiencia si en la práctica no se ha</w:t>
      </w:r>
      <w:r>
        <w:rPr>
          <w:rFonts w:ascii="Arial" w:eastAsia="Calibri" w:hAnsi="Arial" w:cs="Arial"/>
          <w:sz w:val="22"/>
        </w:rPr>
        <w:t>n ejecutado actividades similares previas</w:t>
      </w:r>
      <w:r w:rsidR="00D51064">
        <w:rPr>
          <w:rFonts w:ascii="Arial" w:eastAsia="Calibri" w:hAnsi="Arial" w:cs="Arial"/>
          <w:sz w:val="22"/>
        </w:rPr>
        <w:t>.</w:t>
      </w:r>
      <w:r w:rsidRPr="00DC5CAD">
        <w:rPr>
          <w:rFonts w:ascii="Arial" w:eastAsia="Calibri" w:hAnsi="Arial" w:cs="Arial"/>
          <w:sz w:val="22"/>
        </w:rPr>
        <w:t xml:space="preserve"> </w:t>
      </w:r>
      <w:r w:rsidR="00D51064">
        <w:rPr>
          <w:rFonts w:ascii="Arial" w:eastAsia="Calibri" w:hAnsi="Arial" w:cs="Arial"/>
          <w:sz w:val="22"/>
        </w:rPr>
        <w:t>P</w:t>
      </w:r>
      <w:r w:rsidRPr="00DC5CAD">
        <w:rPr>
          <w:rFonts w:ascii="Arial" w:eastAsia="Calibri" w:hAnsi="Arial" w:cs="Arial"/>
          <w:sz w:val="22"/>
        </w:rPr>
        <w:t>recisamente</w:t>
      </w:r>
      <w:r w:rsidR="00D51064">
        <w:rPr>
          <w:rFonts w:ascii="Arial" w:eastAsia="Calibri" w:hAnsi="Arial" w:cs="Arial"/>
          <w:sz w:val="22"/>
        </w:rPr>
        <w:t xml:space="preserve">, </w:t>
      </w:r>
      <w:r w:rsidRPr="00DC5CAD">
        <w:rPr>
          <w:rFonts w:ascii="Arial" w:eastAsia="Calibri" w:hAnsi="Arial" w:cs="Arial"/>
          <w:sz w:val="22"/>
        </w:rPr>
        <w:t xml:space="preserve">de la experiencia se deriva el conocimiento del proponente, y para la contratación pública es importante, ya que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w:t>
      </w:r>
      <w:r w:rsidR="00455B70">
        <w:rPr>
          <w:rFonts w:ascii="Arial" w:eastAsia="Calibri" w:hAnsi="Arial" w:cs="Arial"/>
          <w:sz w:val="22"/>
        </w:rPr>
        <w:t>evento en el cual,</w:t>
      </w:r>
      <w:r w:rsidRPr="00DC5CAD">
        <w:rPr>
          <w:rFonts w:ascii="Arial" w:eastAsia="Calibri" w:hAnsi="Arial" w:cs="Arial"/>
          <w:sz w:val="22"/>
        </w:rPr>
        <w:t xml:space="preserve"> por tratarse de esquemas asociativos</w:t>
      </w:r>
      <w:r w:rsidR="00455B70">
        <w:rPr>
          <w:rFonts w:ascii="Arial" w:eastAsia="Calibri" w:hAnsi="Arial" w:cs="Arial"/>
          <w:sz w:val="22"/>
        </w:rPr>
        <w:t>,</w:t>
      </w:r>
      <w:r w:rsidRPr="00DC5CAD">
        <w:rPr>
          <w:rFonts w:ascii="Arial" w:eastAsia="Calibri" w:hAnsi="Arial" w:cs="Arial"/>
          <w:sz w:val="22"/>
        </w:rPr>
        <w:t xml:space="preserve"> la experiencia es compartida. Por otra parte, la Agencia recomienda que la experiencia que se solicite sea proporcional y no igual al objeto que se va a contratar, ya que esto puede limitar la participación de los proveedores</w:t>
      </w:r>
      <w:r w:rsidR="00455B70">
        <w:rPr>
          <w:rFonts w:ascii="Arial" w:eastAsia="Calibri" w:hAnsi="Arial" w:cs="Arial"/>
          <w:sz w:val="22"/>
        </w:rPr>
        <w:t>,</w:t>
      </w:r>
      <w:r w:rsidRPr="00DC5CAD">
        <w:rPr>
          <w:rFonts w:ascii="Arial" w:eastAsia="Calibri" w:hAnsi="Arial" w:cs="Arial"/>
          <w:sz w:val="22"/>
        </w:rPr>
        <w:t xml:space="preserve"> por no haber ejecutado un objeto igual pero sí similar, que puede funcionar para las exigencias de la entidad ayudando a que exista pluralidad de oferentes. </w:t>
      </w:r>
    </w:p>
    <w:p w14:paraId="0726A533" w14:textId="504DC9C9" w:rsidR="00374D49" w:rsidRPr="00DC5CAD" w:rsidRDefault="00374D49" w:rsidP="00374D49">
      <w:pPr>
        <w:spacing w:before="120" w:after="120" w:line="276" w:lineRule="auto"/>
        <w:ind w:firstLine="708"/>
        <w:jc w:val="both"/>
        <w:rPr>
          <w:rFonts w:ascii="Arial" w:eastAsia="Calibri" w:hAnsi="Arial" w:cs="Arial"/>
          <w:sz w:val="22"/>
        </w:rPr>
      </w:pPr>
      <w:r w:rsidRPr="00DC5CAD">
        <w:rPr>
          <w:rFonts w:ascii="Arial" w:eastAsia="Calibri" w:hAnsi="Arial" w:cs="Arial"/>
          <w:sz w:val="22"/>
        </w:rPr>
        <w:t>Finalmente, se pueden extraer cuatro conclusiones relevantes para evaluar</w:t>
      </w:r>
      <w:r w:rsidR="00E11FE2">
        <w:rPr>
          <w:rFonts w:ascii="Arial" w:eastAsia="Calibri" w:hAnsi="Arial" w:cs="Arial"/>
          <w:sz w:val="22"/>
        </w:rPr>
        <w:t xml:space="preserve"> a continuación</w:t>
      </w:r>
      <w:r w:rsidRPr="00DC5CAD">
        <w:rPr>
          <w:rFonts w:ascii="Arial" w:eastAsia="Calibri" w:hAnsi="Arial" w:cs="Arial"/>
          <w:sz w:val="22"/>
        </w:rPr>
        <w:t xml:space="preserve"> las figuras y reformas estatutarias de las sociedades comerciales, respecto de la experiencia: </w:t>
      </w:r>
    </w:p>
    <w:p w14:paraId="709C5823" w14:textId="77777777" w:rsidR="00374D49" w:rsidRPr="00DC5CAD" w:rsidRDefault="00374D49" w:rsidP="00374D49">
      <w:pPr>
        <w:spacing w:before="120" w:after="120" w:line="276" w:lineRule="auto"/>
        <w:ind w:firstLine="708"/>
        <w:jc w:val="both"/>
        <w:rPr>
          <w:rFonts w:ascii="Arial" w:eastAsia="Calibri" w:hAnsi="Arial" w:cs="Arial"/>
          <w:sz w:val="22"/>
        </w:rPr>
      </w:pPr>
      <w:r w:rsidRPr="00DC5CAD">
        <w:rPr>
          <w:rFonts w:ascii="Arial" w:eastAsia="Calibri" w:hAnsi="Arial" w:cs="Arial"/>
          <w:sz w:val="22"/>
        </w:rPr>
        <w:t>i) La experiencia es personal, esto es, se adquiere participando, directa o indirectamente, sin que sea posible no hacerlo y tener experiencia.</w:t>
      </w:r>
    </w:p>
    <w:p w14:paraId="38EE22E9" w14:textId="77777777" w:rsidR="00374D49" w:rsidRPr="00DC5CAD" w:rsidRDefault="00374D49" w:rsidP="00374D49">
      <w:pPr>
        <w:spacing w:before="120" w:after="120" w:line="276" w:lineRule="auto"/>
        <w:ind w:firstLine="708"/>
        <w:jc w:val="both"/>
        <w:rPr>
          <w:rFonts w:ascii="Arial" w:eastAsia="Calibri" w:hAnsi="Arial" w:cs="Arial"/>
          <w:sz w:val="22"/>
        </w:rPr>
      </w:pPr>
      <w:r w:rsidRPr="00DC5CAD">
        <w:rPr>
          <w:rFonts w:ascii="Arial" w:eastAsia="Calibri" w:hAnsi="Arial" w:cs="Arial"/>
          <w:sz w:val="22"/>
        </w:rPr>
        <w:t>ii) La experiencia se puede compartir,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r w:rsidRPr="00DC5CAD">
        <w:rPr>
          <w:rStyle w:val="Refdenotaalpie"/>
          <w:rFonts w:ascii="Arial" w:eastAsia="Calibri" w:hAnsi="Arial" w:cs="Arial"/>
          <w:sz w:val="22"/>
        </w:rPr>
        <w:footnoteReference w:id="8"/>
      </w:r>
      <w:r w:rsidRPr="00DC5CAD">
        <w:rPr>
          <w:rFonts w:ascii="Arial" w:eastAsia="Calibri" w:hAnsi="Arial" w:cs="Arial"/>
          <w:sz w:val="22"/>
        </w:rPr>
        <w:t>.</w:t>
      </w:r>
    </w:p>
    <w:p w14:paraId="22BE2993" w14:textId="4C13C62E" w:rsidR="00374D49" w:rsidRPr="00DC5CAD" w:rsidRDefault="00374D49" w:rsidP="00374D49">
      <w:pPr>
        <w:spacing w:before="120" w:after="120" w:line="276" w:lineRule="auto"/>
        <w:ind w:firstLine="708"/>
        <w:jc w:val="both"/>
        <w:rPr>
          <w:rFonts w:ascii="Arial" w:eastAsia="Calibri" w:hAnsi="Arial" w:cs="Arial"/>
          <w:sz w:val="22"/>
        </w:rPr>
      </w:pPr>
      <w:r w:rsidRPr="00DC5CAD">
        <w:rPr>
          <w:rFonts w:ascii="Arial" w:eastAsia="Calibri" w:hAnsi="Arial" w:cs="Arial"/>
          <w:sz w:val="22"/>
        </w:rPr>
        <w:t>iii) La experiencia se puede transferir, y esto es diferente a compartir, lo que implica que la experiencia de una persona se traslada a otra, y esta última acredita la experiencia como propia, como sucede con algunas figuras y reformas estatutarias, que se explicarán con más detalle en el numeral 2.</w:t>
      </w:r>
      <w:r w:rsidR="00C123F6">
        <w:rPr>
          <w:rFonts w:ascii="Arial" w:eastAsia="Calibri" w:hAnsi="Arial" w:cs="Arial"/>
          <w:sz w:val="22"/>
        </w:rPr>
        <w:t>2.</w:t>
      </w:r>
      <w:r w:rsidRPr="00DC5CAD">
        <w:rPr>
          <w:rFonts w:ascii="Arial" w:eastAsia="Calibri" w:hAnsi="Arial" w:cs="Arial"/>
          <w:sz w:val="22"/>
        </w:rPr>
        <w:t xml:space="preserve"> de este concepto.</w:t>
      </w:r>
    </w:p>
    <w:p w14:paraId="744DB993" w14:textId="6C50A4C0" w:rsidR="00374D49" w:rsidRPr="00DC5CAD" w:rsidRDefault="00374D49" w:rsidP="00374D49">
      <w:pPr>
        <w:spacing w:line="276" w:lineRule="auto"/>
        <w:ind w:firstLine="708"/>
        <w:jc w:val="both"/>
        <w:rPr>
          <w:rFonts w:ascii="Arial" w:eastAsia="Calibri" w:hAnsi="Arial" w:cs="Arial"/>
          <w:sz w:val="22"/>
        </w:rPr>
      </w:pPr>
      <w:r w:rsidRPr="00DC5CAD">
        <w:rPr>
          <w:rFonts w:ascii="Arial" w:eastAsia="Calibri" w:hAnsi="Arial" w:cs="Arial"/>
          <w:sz w:val="22"/>
        </w:rPr>
        <w:lastRenderedPageBreak/>
        <w:t>iv) Cuando la persona que adquirió la experiencia desaparece o se liquida no es posible que comparta o transfiera su experiencia, porque</w:t>
      </w:r>
      <w:r w:rsidR="00C123F6">
        <w:rPr>
          <w:rFonts w:ascii="Arial" w:eastAsia="Calibri" w:hAnsi="Arial" w:cs="Arial"/>
          <w:sz w:val="22"/>
        </w:rPr>
        <w:t>,</w:t>
      </w:r>
      <w:r w:rsidRPr="00DC5CAD">
        <w:rPr>
          <w:rFonts w:ascii="Arial" w:eastAsia="Calibri" w:hAnsi="Arial" w:cs="Arial"/>
          <w:sz w:val="22"/>
        </w:rPr>
        <w:t xml:space="preserve"> al ser personal</w:t>
      </w:r>
      <w:r w:rsidR="00C123F6">
        <w:rPr>
          <w:rFonts w:ascii="Arial" w:eastAsia="Calibri" w:hAnsi="Arial" w:cs="Arial"/>
          <w:sz w:val="22"/>
        </w:rPr>
        <w:t>,</w:t>
      </w:r>
      <w:r w:rsidRPr="00DC5CAD">
        <w:rPr>
          <w:rFonts w:ascii="Arial" w:eastAsia="Calibri" w:hAnsi="Arial" w:cs="Arial"/>
          <w:sz w:val="22"/>
        </w:rPr>
        <w:t xml:space="preserve"> sigue la suerte de quien la adquirió.</w:t>
      </w:r>
    </w:p>
    <w:p w14:paraId="26CD9D1C" w14:textId="547F49BB" w:rsidR="00C123F6" w:rsidRDefault="00C123F6" w:rsidP="00374D49">
      <w:pPr>
        <w:spacing w:line="276" w:lineRule="auto"/>
        <w:jc w:val="both"/>
        <w:rPr>
          <w:rFonts w:ascii="Arial" w:eastAsia="Calibri" w:hAnsi="Arial" w:cs="Arial"/>
          <w:sz w:val="22"/>
        </w:rPr>
      </w:pPr>
    </w:p>
    <w:p w14:paraId="0C264346" w14:textId="77777777" w:rsidR="002634CA" w:rsidRDefault="002634CA" w:rsidP="002634CA">
      <w:pPr>
        <w:spacing w:before="120" w:after="120" w:line="276" w:lineRule="auto"/>
        <w:ind w:firstLine="708"/>
        <w:jc w:val="both"/>
        <w:rPr>
          <w:rFonts w:ascii="Arial" w:eastAsia="Calibri" w:hAnsi="Arial" w:cs="Arial"/>
          <w:sz w:val="22"/>
        </w:rPr>
      </w:pPr>
      <w:r w:rsidRPr="002634CA">
        <w:rPr>
          <w:rFonts w:ascii="Arial" w:eastAsia="Calibri" w:hAnsi="Arial" w:cs="Arial"/>
          <w:sz w:val="22"/>
        </w:rPr>
        <w:t>De lo anterior se sigue que, por regla general, en la actividad contractual regulada por el Estatuto General de Contratación de la Administración Pública la experiencia es personal e intransferible, salvo algunas excepciones.</w:t>
      </w:r>
      <w:r>
        <w:rPr>
          <w:rFonts w:ascii="Arial" w:eastAsia="Calibri" w:hAnsi="Arial" w:cs="Arial"/>
          <w:sz w:val="22"/>
        </w:rPr>
        <w:t xml:space="preserve"> </w:t>
      </w:r>
      <w:r w:rsidRPr="002634CA">
        <w:rPr>
          <w:rFonts w:ascii="Arial" w:eastAsia="Calibri" w:hAnsi="Arial" w:cs="Arial"/>
          <w:sz w:val="22"/>
        </w:rPr>
        <w:t xml:space="preserve">Una primera excepción a la regla anteriormente descrita se encuentra consagrada en el numeral 2.5. del artículo 2.2.1.1.1.5.2. del Decreto 1082 de 2015, con arreglo al cual si bien para la inscripción, renovación o actualización del Registro Único de Proponentes (RUP) la persona jurídica interesada debe presentar ante la cámara de comercio respectiva los certificados de los bienes, obras o servicios cuya experiencia requiere acreditar, </w:t>
      </w:r>
      <w:r>
        <w:rPr>
          <w:rFonts w:ascii="Arial" w:eastAsia="Calibri" w:hAnsi="Arial" w:cs="Arial"/>
          <w:sz w:val="22"/>
        </w:rPr>
        <w:t>«</w:t>
      </w:r>
      <w:r w:rsidRPr="002634CA">
        <w:rPr>
          <w:rFonts w:ascii="Arial" w:eastAsia="Calibri" w:hAnsi="Arial" w:cs="Arial"/>
          <w:sz w:val="22"/>
        </w:rPr>
        <w:t>Si la constitución del interesado es menor a tres (3) años, puede acreditar la experiencia de sus accionistas, socios o constituyentes</w:t>
      </w:r>
      <w:r>
        <w:rPr>
          <w:rFonts w:ascii="Arial" w:eastAsia="Calibri" w:hAnsi="Arial" w:cs="Arial"/>
          <w:sz w:val="22"/>
        </w:rPr>
        <w:t>»</w:t>
      </w:r>
      <w:r w:rsidRPr="002634CA">
        <w:rPr>
          <w:rFonts w:ascii="Arial" w:eastAsia="Calibri" w:hAnsi="Arial" w:cs="Arial"/>
          <w:sz w:val="22"/>
        </w:rPr>
        <w:t>.</w:t>
      </w:r>
    </w:p>
    <w:p w14:paraId="46E51549" w14:textId="3C93EDD0" w:rsidR="00C123F6" w:rsidRDefault="002634CA" w:rsidP="009C37CE">
      <w:pPr>
        <w:spacing w:before="120" w:line="276" w:lineRule="auto"/>
        <w:ind w:firstLine="709"/>
        <w:jc w:val="both"/>
        <w:rPr>
          <w:rFonts w:ascii="Arial" w:eastAsia="Calibri" w:hAnsi="Arial" w:cs="Arial"/>
          <w:sz w:val="22"/>
        </w:rPr>
      </w:pPr>
      <w:r w:rsidRPr="002634CA">
        <w:rPr>
          <w:rFonts w:ascii="Arial" w:eastAsia="Calibri" w:hAnsi="Arial" w:cs="Arial"/>
          <w:sz w:val="22"/>
        </w:rPr>
        <w:t xml:space="preserve">Como segunda excepción al carácter intransferible de la experiencia puede mencionarse el caso de algunas reformas estatutarias de las personas jurídicas o de reorganización empresarial, en las que la persona jurídica no se liquida y por lo tanto puede transferir su experiencia a la persona jurídica resultante. En efecto, la Subdirección de Gestión Contractual, en el concepto C-002 del 20 de febrero de 2020, reiterado en los conceptos C-491 del 27 de julio de 2020 y C-584 del 31 de agosto de 2020, modificó la tesis que hasta ese momento había sostenido la Subdirección, en virtud de la cual se afirmaba que en las reformas estatutarias que implicaban una escisión o una fusión de las personas jurídicas no era posible la transferencia de la experiencia, ya que esta era personal e intransferible, según una interpretación del artículo 2.2.1.1.1.5.3. del Decreto 1082 de 2015, que establece que </w:t>
      </w:r>
      <w:r w:rsidR="009C37CE">
        <w:rPr>
          <w:rFonts w:ascii="Arial" w:eastAsia="Calibri" w:hAnsi="Arial" w:cs="Arial"/>
          <w:sz w:val="22"/>
        </w:rPr>
        <w:t>«</w:t>
      </w:r>
      <w:r w:rsidRPr="002634CA">
        <w:rPr>
          <w:rFonts w:ascii="Arial" w:eastAsia="Calibri" w:hAnsi="Arial" w:cs="Arial"/>
          <w:sz w:val="22"/>
        </w:rPr>
        <w:t>Los contratos celebrados por el interesado para cada uno de los bienes, obras y servicios que ofrecerá a las Entidades Estatales, identificados con el Clasificador de Bienes y Servicios en el tercer nivel y su valor expresado en SMMLV […]</w:t>
      </w:r>
      <w:r w:rsidR="009C37CE">
        <w:rPr>
          <w:rFonts w:ascii="Arial" w:eastAsia="Calibri" w:hAnsi="Arial" w:cs="Arial"/>
          <w:sz w:val="22"/>
        </w:rPr>
        <w:t>»</w:t>
      </w:r>
      <w:r w:rsidRPr="002634CA">
        <w:rPr>
          <w:rFonts w:ascii="Arial" w:eastAsia="Calibri" w:hAnsi="Arial" w:cs="Arial"/>
          <w:sz w:val="22"/>
        </w:rPr>
        <w:t xml:space="preserve">. En el concepto C-002, como se dijo, la Subdirección de Gestión Contractual modificó razonablemente dicho argumento, por considerar que de conformidad con la regulación aplicable y teniendo en cuenta los conceptos de </w:t>
      </w:r>
      <w:r w:rsidR="009C37CE">
        <w:rPr>
          <w:rFonts w:ascii="Arial" w:eastAsia="Calibri" w:hAnsi="Arial" w:cs="Arial"/>
          <w:sz w:val="22"/>
        </w:rPr>
        <w:t>«</w:t>
      </w:r>
      <w:r w:rsidRPr="002634CA">
        <w:rPr>
          <w:rFonts w:ascii="Arial" w:eastAsia="Calibri" w:hAnsi="Arial" w:cs="Arial"/>
          <w:sz w:val="22"/>
        </w:rPr>
        <w:t>disolución</w:t>
      </w:r>
      <w:r w:rsidR="009C37CE">
        <w:rPr>
          <w:rFonts w:ascii="Arial" w:eastAsia="Calibri" w:hAnsi="Arial" w:cs="Arial"/>
          <w:sz w:val="22"/>
        </w:rPr>
        <w:t>»</w:t>
      </w:r>
      <w:r w:rsidRPr="002634CA">
        <w:rPr>
          <w:rFonts w:ascii="Arial" w:eastAsia="Calibri" w:hAnsi="Arial" w:cs="Arial"/>
          <w:sz w:val="22"/>
        </w:rPr>
        <w:t xml:space="preserve"> y </w:t>
      </w:r>
      <w:r w:rsidR="009C37CE">
        <w:rPr>
          <w:rFonts w:ascii="Arial" w:eastAsia="Calibri" w:hAnsi="Arial" w:cs="Arial"/>
          <w:sz w:val="22"/>
        </w:rPr>
        <w:t>«</w:t>
      </w:r>
      <w:r w:rsidRPr="002634CA">
        <w:rPr>
          <w:rFonts w:ascii="Arial" w:eastAsia="Calibri" w:hAnsi="Arial" w:cs="Arial"/>
          <w:sz w:val="22"/>
        </w:rPr>
        <w:t>liquidación</w:t>
      </w:r>
      <w:r w:rsidR="009C37CE">
        <w:rPr>
          <w:rFonts w:ascii="Arial" w:eastAsia="Calibri" w:hAnsi="Arial" w:cs="Arial"/>
          <w:sz w:val="22"/>
        </w:rPr>
        <w:t>»</w:t>
      </w:r>
      <w:r w:rsidRPr="002634CA">
        <w:rPr>
          <w:rFonts w:ascii="Arial" w:eastAsia="Calibri" w:hAnsi="Arial" w:cs="Arial"/>
          <w:sz w:val="22"/>
        </w:rPr>
        <w:t xml:space="preserve"> del Código de Comercio, es viable la transferencia de experiencia en la transformación y en la fusión, pero no en la escisión, lo cual se ratifica ahora.</w:t>
      </w:r>
    </w:p>
    <w:p w14:paraId="795473B9" w14:textId="77777777" w:rsidR="009C37CE" w:rsidRDefault="009C37CE" w:rsidP="00374D49">
      <w:pPr>
        <w:spacing w:line="276" w:lineRule="auto"/>
        <w:jc w:val="both"/>
        <w:rPr>
          <w:rFonts w:ascii="Arial" w:eastAsia="Calibri" w:hAnsi="Arial" w:cs="Arial"/>
          <w:b/>
          <w:sz w:val="22"/>
        </w:rPr>
      </w:pPr>
    </w:p>
    <w:p w14:paraId="6407121B" w14:textId="11154DC0" w:rsidR="00374D49" w:rsidRPr="00DC5CAD" w:rsidRDefault="00374D49" w:rsidP="00374D49">
      <w:pPr>
        <w:spacing w:line="276" w:lineRule="auto"/>
        <w:jc w:val="both"/>
        <w:rPr>
          <w:rFonts w:ascii="Arial" w:eastAsia="Calibri" w:hAnsi="Arial" w:cs="Arial"/>
          <w:b/>
          <w:sz w:val="22"/>
        </w:rPr>
      </w:pPr>
      <w:r w:rsidRPr="00DC5CAD">
        <w:rPr>
          <w:rFonts w:ascii="Arial" w:eastAsia="Calibri" w:hAnsi="Arial" w:cs="Arial"/>
          <w:b/>
          <w:sz w:val="22"/>
        </w:rPr>
        <w:t>2.</w:t>
      </w:r>
      <w:r w:rsidR="00467D4E">
        <w:rPr>
          <w:rFonts w:ascii="Arial" w:eastAsia="Calibri" w:hAnsi="Arial" w:cs="Arial"/>
          <w:b/>
          <w:sz w:val="22"/>
        </w:rPr>
        <w:t xml:space="preserve">2. </w:t>
      </w:r>
      <w:r w:rsidRPr="00DC5CAD">
        <w:rPr>
          <w:rFonts w:ascii="Arial" w:eastAsia="Calibri" w:hAnsi="Arial" w:cs="Arial"/>
          <w:b/>
          <w:sz w:val="22"/>
        </w:rPr>
        <w:t>Figuras y reformas estatutarias, y efectos sobre la experiencia de las sociedades comerciales</w:t>
      </w:r>
    </w:p>
    <w:p w14:paraId="7E4E7869" w14:textId="77777777" w:rsidR="00374D49" w:rsidRPr="00DC5CAD" w:rsidRDefault="00374D49" w:rsidP="00374D49">
      <w:pPr>
        <w:spacing w:line="276" w:lineRule="auto"/>
        <w:jc w:val="both"/>
        <w:rPr>
          <w:rFonts w:ascii="Arial" w:eastAsia="Calibri" w:hAnsi="Arial" w:cs="Arial"/>
          <w:b/>
          <w:sz w:val="22"/>
        </w:rPr>
      </w:pPr>
    </w:p>
    <w:p w14:paraId="236E55D9" w14:textId="77777777" w:rsidR="00374D49" w:rsidRPr="00DC5CAD" w:rsidRDefault="00374D49" w:rsidP="00374D49">
      <w:pPr>
        <w:spacing w:after="120" w:line="276" w:lineRule="auto"/>
        <w:jc w:val="both"/>
        <w:rPr>
          <w:rFonts w:ascii="Arial" w:eastAsia="Calibri" w:hAnsi="Arial" w:cs="Arial"/>
          <w:bCs/>
          <w:sz w:val="22"/>
        </w:rPr>
      </w:pPr>
      <w:r w:rsidRPr="00DC5CAD">
        <w:rPr>
          <w:rFonts w:ascii="Arial" w:eastAsia="Calibri" w:hAnsi="Arial" w:cs="Arial"/>
          <w:bCs/>
          <w:sz w:val="22"/>
        </w:rPr>
        <w:t xml:space="preserve">Antes de analizar las figuras y reformas estatutarias, es necesario aclarar dos conceptos respecto de las sociedades comerciales: i) «disolución» y ii) «liquidación», ya que se aplican </w:t>
      </w:r>
      <w:r w:rsidRPr="00DC5CAD">
        <w:rPr>
          <w:rFonts w:ascii="Arial" w:eastAsia="Calibri" w:hAnsi="Arial" w:cs="Arial"/>
          <w:bCs/>
          <w:sz w:val="22"/>
        </w:rPr>
        <w:lastRenderedPageBreak/>
        <w:t xml:space="preserve">a las figuras y reformas estatutarias, y tienen incidencia en la posibilidad de transferir o no la experiencia de una sociedad. </w:t>
      </w:r>
    </w:p>
    <w:p w14:paraId="5AE0297E" w14:textId="1961A74A" w:rsidR="00374D49" w:rsidRPr="00DC5CAD" w:rsidRDefault="00374D49" w:rsidP="00374D49">
      <w:pPr>
        <w:spacing w:line="276" w:lineRule="auto"/>
        <w:ind w:firstLine="708"/>
        <w:jc w:val="both"/>
        <w:rPr>
          <w:rFonts w:ascii="Arial" w:eastAsia="Calibri" w:hAnsi="Arial" w:cs="Arial"/>
          <w:bCs/>
          <w:sz w:val="22"/>
        </w:rPr>
      </w:pPr>
      <w:r w:rsidRPr="00DC5CAD">
        <w:rPr>
          <w:rFonts w:ascii="Arial" w:eastAsia="Calibri" w:hAnsi="Arial" w:cs="Arial"/>
          <w:bCs/>
          <w:sz w:val="22"/>
        </w:rPr>
        <w:t>En primer lugar, el Código de Comercio señala, como efecto de la «disolución», que la persona jurídica no desaparece</w:t>
      </w:r>
      <w:r w:rsidR="0017655D">
        <w:rPr>
          <w:rFonts w:ascii="Arial" w:eastAsia="Calibri" w:hAnsi="Arial" w:cs="Arial"/>
          <w:bCs/>
          <w:sz w:val="22"/>
        </w:rPr>
        <w:t xml:space="preserve">, </w:t>
      </w:r>
      <w:r w:rsidRPr="00DC5CAD">
        <w:rPr>
          <w:rFonts w:ascii="Arial" w:eastAsia="Calibri" w:hAnsi="Arial" w:cs="Arial"/>
          <w:bCs/>
          <w:sz w:val="22"/>
        </w:rPr>
        <w:t>sino que conserva su capacidad jurídica, únicamente para «liquidarse» y para las operaciones o actos autorizados por la ley</w:t>
      </w:r>
      <w:r w:rsidRPr="00DC5CAD">
        <w:rPr>
          <w:rStyle w:val="Refdenotaalpie"/>
          <w:rFonts w:ascii="Arial" w:eastAsia="Calibri" w:hAnsi="Arial" w:cs="Arial"/>
          <w:bCs/>
          <w:sz w:val="22"/>
        </w:rPr>
        <w:footnoteReference w:id="9"/>
      </w:r>
      <w:r w:rsidRPr="00DC5CAD">
        <w:rPr>
          <w:rFonts w:ascii="Arial" w:eastAsia="Calibri" w:hAnsi="Arial" w:cs="Arial"/>
          <w:bCs/>
          <w:sz w:val="22"/>
        </w:rPr>
        <w:t>, como las figuras y reformas estatutarias que se verán a continuación. Con esto se anticipa que si la persona jurídica no desaparece, su experiencia se conserva y puede transferirse. Por el contrario, respecto de la «liquidación» de las sociedades comerciales, el Código de Comercio señala el procedimiento para realizar el inventario y distribución del patrimonio social, de lo cual se infiere que termina la persona jurídica</w:t>
      </w:r>
      <w:r w:rsidRPr="00DC5CAD">
        <w:rPr>
          <w:rStyle w:val="Refdenotaalpie"/>
          <w:rFonts w:ascii="Arial" w:eastAsia="Calibri" w:hAnsi="Arial" w:cs="Arial"/>
          <w:bCs/>
          <w:sz w:val="22"/>
        </w:rPr>
        <w:footnoteReference w:id="10"/>
      </w:r>
      <w:r w:rsidRPr="00DC5CAD">
        <w:rPr>
          <w:rFonts w:ascii="Arial" w:eastAsia="Calibri" w:hAnsi="Arial" w:cs="Arial"/>
          <w:bCs/>
          <w:sz w:val="22"/>
        </w:rPr>
        <w:t xml:space="preserve"> y la experiencia desaparece junto con la sociedad que la adquirió.</w:t>
      </w:r>
    </w:p>
    <w:p w14:paraId="64A4A16F" w14:textId="77777777" w:rsidR="00374D49" w:rsidRPr="00DC5CAD" w:rsidRDefault="00374D49" w:rsidP="00374D49">
      <w:pPr>
        <w:spacing w:line="276" w:lineRule="auto"/>
        <w:jc w:val="both"/>
        <w:rPr>
          <w:rFonts w:ascii="Arial" w:eastAsia="Calibri" w:hAnsi="Arial" w:cs="Arial"/>
          <w:sz w:val="22"/>
        </w:rPr>
      </w:pPr>
    </w:p>
    <w:p w14:paraId="1AD21749" w14:textId="77777777" w:rsidR="00374D49" w:rsidRPr="00DC5CAD" w:rsidRDefault="00374D49" w:rsidP="00374D49">
      <w:pPr>
        <w:spacing w:line="276" w:lineRule="auto"/>
        <w:jc w:val="both"/>
        <w:rPr>
          <w:rFonts w:ascii="Arial" w:eastAsia="Calibri" w:hAnsi="Arial" w:cs="Arial"/>
          <w:b/>
          <w:bCs/>
          <w:sz w:val="22"/>
        </w:rPr>
      </w:pPr>
      <w:r w:rsidRPr="00DC5CAD">
        <w:rPr>
          <w:rFonts w:ascii="Arial" w:eastAsia="Calibri" w:hAnsi="Arial" w:cs="Arial"/>
          <w:b/>
          <w:bCs/>
          <w:sz w:val="22"/>
        </w:rPr>
        <w:t>a) Transformación</w:t>
      </w:r>
    </w:p>
    <w:p w14:paraId="08D41DF2" w14:textId="77777777" w:rsidR="00374D49" w:rsidRPr="00DC5CAD" w:rsidRDefault="00374D49" w:rsidP="00374D49">
      <w:pPr>
        <w:spacing w:line="276" w:lineRule="auto"/>
        <w:jc w:val="both"/>
        <w:rPr>
          <w:rFonts w:ascii="Arial" w:eastAsia="Calibri" w:hAnsi="Arial" w:cs="Arial"/>
          <w:b/>
          <w:bCs/>
          <w:sz w:val="22"/>
        </w:rPr>
      </w:pPr>
    </w:p>
    <w:p w14:paraId="4C8D78E6" w14:textId="0094F82C" w:rsidR="00374D49" w:rsidRPr="00DC5CAD" w:rsidRDefault="00374D49" w:rsidP="00374D49">
      <w:pPr>
        <w:spacing w:after="120" w:line="276" w:lineRule="auto"/>
        <w:jc w:val="both"/>
        <w:rPr>
          <w:rFonts w:ascii="Arial" w:eastAsia="Calibri" w:hAnsi="Arial" w:cs="Arial"/>
          <w:sz w:val="22"/>
        </w:rPr>
      </w:pPr>
      <w:r w:rsidRPr="00DC5CAD">
        <w:rPr>
          <w:rFonts w:ascii="Arial" w:eastAsia="Calibri" w:hAnsi="Arial" w:cs="Arial"/>
          <w:sz w:val="22"/>
        </w:rPr>
        <w:t xml:space="preserve">Es una reforma a los estatutos de una sociedad comercial, en la cual se detalla la naturaleza jurídica, composición, estructura, capital, entre otros, con el propósito de transformar o cambiar la forma o tipo societario que adoptó, como sociedad anónima, limitada, en comandita, </w:t>
      </w:r>
      <w:r w:rsidR="00FD48CD">
        <w:rPr>
          <w:rFonts w:ascii="Arial" w:eastAsia="Calibri" w:hAnsi="Arial" w:cs="Arial"/>
          <w:sz w:val="22"/>
        </w:rPr>
        <w:t>etc</w:t>
      </w:r>
      <w:r w:rsidRPr="00DC5CAD">
        <w:rPr>
          <w:rFonts w:ascii="Arial" w:eastAsia="Calibri" w:hAnsi="Arial" w:cs="Arial"/>
          <w:sz w:val="22"/>
        </w:rPr>
        <w:t xml:space="preserve">. Es decir, si una sociedad se crea como sociedad </w:t>
      </w:r>
      <w:r w:rsidR="00FD48CD">
        <w:rPr>
          <w:rFonts w:ascii="Arial" w:eastAsia="Calibri" w:hAnsi="Arial" w:cs="Arial"/>
          <w:sz w:val="22"/>
        </w:rPr>
        <w:t xml:space="preserve">de responsabilidad </w:t>
      </w:r>
      <w:r w:rsidRPr="00DC5CAD">
        <w:rPr>
          <w:rFonts w:ascii="Arial" w:eastAsia="Calibri" w:hAnsi="Arial" w:cs="Arial"/>
          <w:sz w:val="22"/>
        </w:rPr>
        <w:t>limitada, y</w:t>
      </w:r>
      <w:r w:rsidR="00FD48CD">
        <w:rPr>
          <w:rFonts w:ascii="Arial" w:eastAsia="Calibri" w:hAnsi="Arial" w:cs="Arial"/>
          <w:sz w:val="22"/>
        </w:rPr>
        <w:t>,</w:t>
      </w:r>
      <w:r w:rsidRPr="00DC5CAD">
        <w:rPr>
          <w:rFonts w:ascii="Arial" w:eastAsia="Calibri" w:hAnsi="Arial" w:cs="Arial"/>
          <w:sz w:val="22"/>
        </w:rPr>
        <w:t xml:space="preserve"> sin «disolverse»</w:t>
      </w:r>
      <w:r w:rsidR="00FD48CD">
        <w:rPr>
          <w:rFonts w:ascii="Arial" w:eastAsia="Calibri" w:hAnsi="Arial" w:cs="Arial"/>
          <w:sz w:val="22"/>
        </w:rPr>
        <w:t>,</w:t>
      </w:r>
      <w:r w:rsidRPr="00DC5CAD">
        <w:rPr>
          <w:rFonts w:ascii="Arial" w:eastAsia="Calibri" w:hAnsi="Arial" w:cs="Arial"/>
          <w:sz w:val="22"/>
        </w:rPr>
        <w:t xml:space="preserve"> decide adoptar la figura de sociedad anónima, lo podrá hacer mediante una reforma estatutaria, sin que se interrumpa la continuidad de la sociedad comercial o persona jurídica</w:t>
      </w:r>
      <w:r w:rsidRPr="00DC5CAD">
        <w:rPr>
          <w:rStyle w:val="Refdenotaalpie"/>
          <w:rFonts w:ascii="Arial" w:eastAsia="Calibri" w:hAnsi="Arial" w:cs="Arial"/>
          <w:sz w:val="22"/>
        </w:rPr>
        <w:footnoteReference w:id="11"/>
      </w:r>
      <w:r w:rsidRPr="00DC5CAD">
        <w:rPr>
          <w:rFonts w:ascii="Arial" w:eastAsia="Calibri" w:hAnsi="Arial" w:cs="Arial"/>
          <w:sz w:val="22"/>
        </w:rPr>
        <w:t>. Es importante destacar que en esta reforma estatutaria solo participa la sociedad involucrada, y no existen otras sociedades que se relacionen o intervengan, lo cual diferencia la transformación de otras reformas o figuras.</w:t>
      </w:r>
    </w:p>
    <w:p w14:paraId="6A63DAEE" w14:textId="08A375BC" w:rsidR="00374D49" w:rsidRPr="00DC5CAD" w:rsidRDefault="00374D49" w:rsidP="00374D49">
      <w:pPr>
        <w:spacing w:line="276" w:lineRule="auto"/>
        <w:ind w:firstLine="708"/>
        <w:jc w:val="both"/>
        <w:rPr>
          <w:rFonts w:ascii="Arial" w:eastAsia="Calibri" w:hAnsi="Arial" w:cs="Arial"/>
          <w:sz w:val="22"/>
        </w:rPr>
      </w:pPr>
      <w:r w:rsidRPr="00DC5CAD">
        <w:rPr>
          <w:rFonts w:ascii="Arial" w:eastAsia="Calibri" w:hAnsi="Arial" w:cs="Arial"/>
          <w:sz w:val="22"/>
        </w:rPr>
        <w:t xml:space="preserve">Respecto de la experiencia, teniendo en cuenta que la sociedad solo cambia su forma, lo cual, de acuerdo con el Código de Comercio, no afecta sus actividades, la </w:t>
      </w:r>
      <w:r w:rsidRPr="00DC5CAD">
        <w:rPr>
          <w:rFonts w:ascii="Arial" w:eastAsia="Calibri" w:hAnsi="Arial" w:cs="Arial"/>
          <w:sz w:val="22"/>
        </w:rPr>
        <w:lastRenderedPageBreak/>
        <w:t>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«disuelve», y por ende tampoco se «liquida», porque</w:t>
      </w:r>
      <w:r w:rsidR="00413920">
        <w:rPr>
          <w:rFonts w:ascii="Arial" w:eastAsia="Calibri" w:hAnsi="Arial" w:cs="Arial"/>
          <w:sz w:val="22"/>
        </w:rPr>
        <w:t>,</w:t>
      </w:r>
      <w:r w:rsidRPr="00DC5CAD">
        <w:rPr>
          <w:rFonts w:ascii="Arial" w:eastAsia="Calibri" w:hAnsi="Arial" w:cs="Arial"/>
          <w:sz w:val="22"/>
        </w:rPr>
        <w:t xml:space="preserve"> de acuerdo con el artículo 222 del Código de Comercio</w:t>
      </w:r>
      <w:r w:rsidR="00413920">
        <w:rPr>
          <w:rFonts w:ascii="Arial" w:eastAsia="Calibri" w:hAnsi="Arial" w:cs="Arial"/>
          <w:sz w:val="22"/>
        </w:rPr>
        <w:t>,</w:t>
      </w:r>
      <w:r w:rsidRPr="00DC5CAD">
        <w:rPr>
          <w:rFonts w:ascii="Arial" w:eastAsia="Calibri" w:hAnsi="Arial" w:cs="Arial"/>
          <w:sz w:val="22"/>
        </w:rPr>
        <w:t xml:space="preserve"> para «liquidarse» necesita estar «disuelta»; solo cambia el tipo societario que había adoptado en su constitución, es decir, no sufre modificaciones o alteraciones y por eso puede continuar adquiriendo experiencia y compartirla, pero no puede trasladarla</w:t>
      </w:r>
      <w:r w:rsidR="00A45EC5">
        <w:rPr>
          <w:rFonts w:ascii="Arial" w:eastAsia="Calibri" w:hAnsi="Arial" w:cs="Arial"/>
          <w:sz w:val="22"/>
        </w:rPr>
        <w:t>,</w:t>
      </w:r>
      <w:r w:rsidRPr="00DC5CAD">
        <w:rPr>
          <w:rFonts w:ascii="Arial" w:eastAsia="Calibri" w:hAnsi="Arial" w:cs="Arial"/>
          <w:sz w:val="22"/>
        </w:rPr>
        <w:t xml:space="preserve"> porque para ello tendría que «disolverse» o conformar un consorcio, como se verá en la fusión y en una de las modalidades de escisión.  </w:t>
      </w:r>
    </w:p>
    <w:p w14:paraId="13D2D253" w14:textId="77777777" w:rsidR="00374D49" w:rsidRPr="00DC5CAD" w:rsidRDefault="00374D49" w:rsidP="00374D49">
      <w:pPr>
        <w:spacing w:line="276" w:lineRule="auto"/>
        <w:jc w:val="both"/>
        <w:rPr>
          <w:rFonts w:ascii="Arial" w:eastAsia="Calibri" w:hAnsi="Arial" w:cs="Arial"/>
          <w:b/>
          <w:bCs/>
          <w:sz w:val="22"/>
        </w:rPr>
      </w:pPr>
    </w:p>
    <w:p w14:paraId="19DB8947" w14:textId="77777777" w:rsidR="00374D49" w:rsidRPr="00DC5CAD" w:rsidRDefault="00374D49" w:rsidP="00374D49">
      <w:pPr>
        <w:spacing w:line="276" w:lineRule="auto"/>
        <w:jc w:val="both"/>
        <w:rPr>
          <w:rFonts w:ascii="Arial" w:eastAsia="Calibri" w:hAnsi="Arial" w:cs="Arial"/>
          <w:b/>
          <w:bCs/>
          <w:sz w:val="22"/>
        </w:rPr>
      </w:pPr>
      <w:r w:rsidRPr="00DC5CAD">
        <w:rPr>
          <w:rFonts w:ascii="Arial" w:eastAsia="Calibri" w:hAnsi="Arial" w:cs="Arial"/>
          <w:b/>
          <w:bCs/>
          <w:sz w:val="22"/>
        </w:rPr>
        <w:t>b) Escisión</w:t>
      </w:r>
    </w:p>
    <w:p w14:paraId="162E3B71" w14:textId="77777777" w:rsidR="00374D49" w:rsidRPr="00DC5CAD" w:rsidRDefault="00374D49" w:rsidP="00374D49">
      <w:pPr>
        <w:spacing w:line="276" w:lineRule="auto"/>
        <w:jc w:val="both"/>
        <w:rPr>
          <w:rFonts w:ascii="Arial" w:eastAsia="Calibri" w:hAnsi="Arial" w:cs="Arial"/>
          <w:b/>
          <w:bCs/>
          <w:sz w:val="22"/>
        </w:rPr>
      </w:pPr>
    </w:p>
    <w:p w14:paraId="06AB1EF1" w14:textId="52D4AF74" w:rsidR="00374D49" w:rsidRPr="00DC5CAD" w:rsidRDefault="00374D49" w:rsidP="00374D49">
      <w:pPr>
        <w:spacing w:after="120" w:line="276" w:lineRule="auto"/>
        <w:jc w:val="both"/>
        <w:rPr>
          <w:rFonts w:ascii="Arial" w:eastAsia="Calibri" w:hAnsi="Arial" w:cs="Arial"/>
          <w:sz w:val="22"/>
        </w:rPr>
      </w:pPr>
      <w:r w:rsidRPr="00DC5CAD">
        <w:rPr>
          <w:rFonts w:ascii="Arial" w:eastAsia="Calibri" w:hAnsi="Arial" w:cs="Arial"/>
          <w:sz w:val="22"/>
        </w:rPr>
        <w:t>Es una figura con dos modalidades reguladas por la Ley 222 de 1995. La primera se refiere a una sociedad que no se «disuelve» ni se «liquida», es decir, permanece sin modificaciones ni reformas, pero fracciona su patrimonio para transferir una o varias partes, a una o varias sociedades existentes o por crearse. En este caso, la escisión se refiere al patrimonio de la sociedad sin incluir ningún otro aspecto, lo cual significa que la sociedad continúa con un patrimonio reducido debido al fraccionamiento, pero no existe ninguna otra implicación para la persona jurídica</w:t>
      </w:r>
      <w:r w:rsidR="009B502F">
        <w:rPr>
          <w:rFonts w:ascii="Arial" w:eastAsia="Calibri" w:hAnsi="Arial" w:cs="Arial"/>
          <w:sz w:val="22"/>
        </w:rPr>
        <w:t>,</w:t>
      </w:r>
      <w:r w:rsidRPr="00DC5CAD">
        <w:rPr>
          <w:rFonts w:ascii="Arial" w:eastAsia="Calibri" w:hAnsi="Arial" w:cs="Arial"/>
          <w:sz w:val="22"/>
        </w:rPr>
        <w:t xml:space="preserve"> como su desaparición por «disolverse» o «liquidarse», de acuerdo con lo mencionado sobre estos conceptos. En ese sentido, Colombia Compra Eficiente considera que las sociedades que reciben una parte del patrimonio de una sociedad que continúa existiendo, no reciben su experiencia, ya que no es posible que varias sociedades tengan la misma experiencia, duplicándola tantas veces se haya fraccionado el patrimonio</w:t>
      </w:r>
      <w:r w:rsidR="00785353">
        <w:rPr>
          <w:rFonts w:ascii="Arial" w:eastAsia="Calibri" w:hAnsi="Arial" w:cs="Arial"/>
          <w:sz w:val="22"/>
        </w:rPr>
        <w:t>,</w:t>
      </w:r>
      <w:r w:rsidRPr="00DC5CAD">
        <w:rPr>
          <w:rFonts w:ascii="Arial" w:eastAsia="Calibri" w:hAnsi="Arial" w:cs="Arial"/>
          <w:sz w:val="22"/>
        </w:rPr>
        <w:t xml:space="preserve"> porque la experiencia pertenece a quien la adquirió ejecutando los contratos a su cargo. </w:t>
      </w:r>
    </w:p>
    <w:p w14:paraId="6DCEC290" w14:textId="107F4C1A" w:rsidR="00374D49" w:rsidRPr="00DC5CAD" w:rsidRDefault="00374D49" w:rsidP="00374D49">
      <w:pPr>
        <w:spacing w:line="276" w:lineRule="auto"/>
        <w:ind w:firstLine="708"/>
        <w:jc w:val="both"/>
        <w:rPr>
          <w:rFonts w:ascii="Arial" w:eastAsia="Calibri" w:hAnsi="Arial" w:cs="Arial"/>
          <w:sz w:val="22"/>
        </w:rPr>
      </w:pPr>
      <w:r w:rsidRPr="00DC5CAD">
        <w:rPr>
          <w:rFonts w:ascii="Arial" w:eastAsia="Calibri" w:hAnsi="Arial" w:cs="Arial"/>
          <w:sz w:val="22"/>
        </w:rPr>
        <w:t>La segunda modalidad se trata de una sociedad que se «disuelve» sin «liquidarse», esto es, que implica una reforma social, lo cual no ocurre con la primera modalidad, y también existe fraccionamiento del patrimonio con el mismo fin</w:t>
      </w:r>
      <w:r w:rsidRPr="00DC5CAD">
        <w:rPr>
          <w:rStyle w:val="Refdenotaalpie"/>
          <w:rFonts w:ascii="Arial" w:eastAsia="Calibri" w:hAnsi="Arial" w:cs="Arial"/>
          <w:sz w:val="22"/>
        </w:rPr>
        <w:footnoteReference w:id="12"/>
      </w:r>
      <w:r w:rsidRPr="00DC5CAD">
        <w:rPr>
          <w:rFonts w:ascii="Arial" w:eastAsia="Calibri" w:hAnsi="Arial" w:cs="Arial"/>
          <w:sz w:val="22"/>
        </w:rPr>
        <w:t>. Como se observa, participa una sociedad y otra, u otras, que recib</w:t>
      </w:r>
      <w:r w:rsidR="00785353">
        <w:rPr>
          <w:rFonts w:ascii="Arial" w:eastAsia="Calibri" w:hAnsi="Arial" w:cs="Arial"/>
          <w:sz w:val="22"/>
        </w:rPr>
        <w:t>e</w:t>
      </w:r>
      <w:r w:rsidRPr="00DC5CAD">
        <w:rPr>
          <w:rFonts w:ascii="Arial" w:eastAsia="Calibri" w:hAnsi="Arial" w:cs="Arial"/>
          <w:sz w:val="22"/>
        </w:rPr>
        <w:t xml:space="preserve">n la transferencia del patrimonio en bloque. </w:t>
      </w:r>
    </w:p>
    <w:p w14:paraId="300B054D" w14:textId="3510193F" w:rsidR="00374D49" w:rsidRPr="00DC5CAD" w:rsidRDefault="00374D49" w:rsidP="00374D49">
      <w:pPr>
        <w:spacing w:before="120" w:after="120" w:line="276" w:lineRule="auto"/>
        <w:ind w:firstLine="708"/>
        <w:jc w:val="both"/>
        <w:rPr>
          <w:rFonts w:ascii="Arial" w:eastAsia="Calibri" w:hAnsi="Arial" w:cs="Arial"/>
          <w:sz w:val="22"/>
        </w:rPr>
      </w:pPr>
      <w:r w:rsidRPr="00DC5CAD">
        <w:rPr>
          <w:rFonts w:ascii="Arial" w:eastAsia="Calibri" w:hAnsi="Arial" w:cs="Arial"/>
          <w:sz w:val="22"/>
        </w:rPr>
        <w:lastRenderedPageBreak/>
        <w:t xml:space="preserve">Para la primera modalidad de escisión, teniendo en cuenta que la sociedad continúa sin alteraciones, </w:t>
      </w:r>
      <w:r w:rsidR="00B20943">
        <w:rPr>
          <w:rFonts w:ascii="Arial" w:eastAsia="Calibri" w:hAnsi="Arial" w:cs="Arial"/>
          <w:sz w:val="22"/>
        </w:rPr>
        <w:t xml:space="preserve">esta </w:t>
      </w:r>
      <w:r w:rsidRPr="00DC5CAD">
        <w:rPr>
          <w:rFonts w:ascii="Arial" w:eastAsia="Calibri" w:hAnsi="Arial" w:cs="Arial"/>
          <w:sz w:val="22"/>
        </w:rPr>
        <w:t>puede compartir la experiencia a través de esquemas asociativos, pero no la transfiere</w:t>
      </w:r>
      <w:r w:rsidR="00B20943">
        <w:rPr>
          <w:rFonts w:ascii="Arial" w:eastAsia="Calibri" w:hAnsi="Arial" w:cs="Arial"/>
          <w:sz w:val="22"/>
        </w:rPr>
        <w:t>,</w:t>
      </w:r>
      <w:r w:rsidRPr="00DC5CAD">
        <w:rPr>
          <w:rFonts w:ascii="Arial" w:eastAsia="Calibri" w:hAnsi="Arial" w:cs="Arial"/>
          <w:sz w:val="22"/>
        </w:rPr>
        <w:t xml:space="preserve"> porque para ello tendría que «disolverse» </w:t>
      </w:r>
      <w:r w:rsidR="00B20943">
        <w:rPr>
          <w:rFonts w:ascii="Arial" w:eastAsia="Calibri" w:hAnsi="Arial" w:cs="Arial"/>
          <w:sz w:val="22"/>
        </w:rPr>
        <w:t>sin</w:t>
      </w:r>
      <w:r w:rsidRPr="00DC5CAD">
        <w:rPr>
          <w:rFonts w:ascii="Arial" w:eastAsia="Calibri" w:hAnsi="Arial" w:cs="Arial"/>
          <w:sz w:val="22"/>
        </w:rPr>
        <w:t xml:space="preserve"> «liquidarse», puesto que la «liquidación» implicaría que desaparece la persona y así su experiencia. Para explicarlo</w:t>
      </w:r>
      <w:r w:rsidR="00B20943">
        <w:rPr>
          <w:rFonts w:ascii="Arial" w:eastAsia="Calibri" w:hAnsi="Arial" w:cs="Arial"/>
          <w:sz w:val="22"/>
        </w:rPr>
        <w:t>,</w:t>
      </w:r>
      <w:r w:rsidRPr="00DC5CAD">
        <w:rPr>
          <w:rFonts w:ascii="Arial" w:eastAsia="Calibri" w:hAnsi="Arial" w:cs="Arial"/>
          <w:sz w:val="22"/>
        </w:rPr>
        <w:t xml:space="preserve"> hay que volver a la definición de «disolución», donde la persona jurídica no desaparece y solo puede hacer trámites para «liquidarse»</w:t>
      </w:r>
      <w:r w:rsidR="003E3239">
        <w:rPr>
          <w:rFonts w:ascii="Arial" w:eastAsia="Calibri" w:hAnsi="Arial" w:cs="Arial"/>
          <w:sz w:val="22"/>
        </w:rPr>
        <w:t>.</w:t>
      </w:r>
      <w:r w:rsidRPr="00DC5CAD">
        <w:rPr>
          <w:rFonts w:ascii="Arial" w:eastAsia="Calibri" w:hAnsi="Arial" w:cs="Arial"/>
          <w:sz w:val="22"/>
        </w:rPr>
        <w:t xml:space="preserve"> </w:t>
      </w:r>
      <w:r w:rsidR="003E3239">
        <w:rPr>
          <w:rFonts w:ascii="Arial" w:eastAsia="Calibri" w:hAnsi="Arial" w:cs="Arial"/>
          <w:sz w:val="22"/>
        </w:rPr>
        <w:t>S</w:t>
      </w:r>
      <w:r w:rsidRPr="00DC5CAD">
        <w:rPr>
          <w:rFonts w:ascii="Arial" w:eastAsia="Calibri" w:hAnsi="Arial" w:cs="Arial"/>
          <w:sz w:val="22"/>
        </w:rPr>
        <w:t>in embargo</w:t>
      </w:r>
      <w:r w:rsidR="003E3239">
        <w:rPr>
          <w:rFonts w:ascii="Arial" w:eastAsia="Calibri" w:hAnsi="Arial" w:cs="Arial"/>
          <w:sz w:val="22"/>
        </w:rPr>
        <w:t>,</w:t>
      </w:r>
      <w:r w:rsidRPr="00DC5CAD">
        <w:rPr>
          <w:rFonts w:ascii="Arial" w:eastAsia="Calibri" w:hAnsi="Arial" w:cs="Arial"/>
          <w:sz w:val="22"/>
        </w:rPr>
        <w:t xml:space="preserve"> hay una excepción a esa regla y es, precisamente, </w:t>
      </w:r>
      <w:r w:rsidR="003E3239">
        <w:rPr>
          <w:rFonts w:ascii="Arial" w:eastAsia="Calibri" w:hAnsi="Arial" w:cs="Arial"/>
          <w:sz w:val="22"/>
        </w:rPr>
        <w:t xml:space="preserve">la de </w:t>
      </w:r>
      <w:r w:rsidRPr="00DC5CAD">
        <w:rPr>
          <w:rFonts w:ascii="Arial" w:eastAsia="Calibri" w:hAnsi="Arial" w:cs="Arial"/>
          <w:sz w:val="22"/>
        </w:rPr>
        <w:t>las figuras y reformas estatutarias que aquí se explican, particularmente la fusión, ya que por esa excepción la persona tiene continuidad en otra persona, y sigue siendo quien era, lo cual no es el caso de la escisión, ya que en la primera modalidad no existe «disolución»</w:t>
      </w:r>
      <w:r w:rsidR="003E3239">
        <w:rPr>
          <w:rFonts w:ascii="Arial" w:eastAsia="Calibri" w:hAnsi="Arial" w:cs="Arial"/>
          <w:sz w:val="22"/>
        </w:rPr>
        <w:t xml:space="preserve">. Esto </w:t>
      </w:r>
      <w:r w:rsidRPr="00DC5CAD">
        <w:rPr>
          <w:rFonts w:ascii="Arial" w:eastAsia="Calibri" w:hAnsi="Arial" w:cs="Arial"/>
          <w:sz w:val="22"/>
        </w:rPr>
        <w:t>significa que la persona continúa por sí misma y puede adquirir experiencia</w:t>
      </w:r>
      <w:r w:rsidR="003E3239">
        <w:rPr>
          <w:rFonts w:ascii="Arial" w:eastAsia="Calibri" w:hAnsi="Arial" w:cs="Arial"/>
          <w:sz w:val="22"/>
        </w:rPr>
        <w:t>,</w:t>
      </w:r>
      <w:r w:rsidRPr="00DC5CAD">
        <w:rPr>
          <w:rFonts w:ascii="Arial" w:eastAsia="Calibri" w:hAnsi="Arial" w:cs="Arial"/>
          <w:sz w:val="22"/>
        </w:rPr>
        <w:t xml:space="preserve"> pero no puede transferirla porque le pertenece</w:t>
      </w:r>
      <w:r w:rsidR="003E3239">
        <w:rPr>
          <w:rFonts w:ascii="Arial" w:eastAsia="Calibri" w:hAnsi="Arial" w:cs="Arial"/>
          <w:sz w:val="22"/>
        </w:rPr>
        <w:t>,</w:t>
      </w:r>
      <w:r w:rsidRPr="00DC5CAD">
        <w:rPr>
          <w:rFonts w:ascii="Arial" w:eastAsia="Calibri" w:hAnsi="Arial" w:cs="Arial"/>
          <w:sz w:val="22"/>
        </w:rPr>
        <w:t xml:space="preserve"> al ser quien la adquirió. </w:t>
      </w:r>
    </w:p>
    <w:p w14:paraId="31D71F89" w14:textId="745D5E6B" w:rsidR="00374D49" w:rsidRPr="00DC5CAD" w:rsidRDefault="00374D49" w:rsidP="00374D49">
      <w:pPr>
        <w:spacing w:before="120" w:after="120" w:line="276" w:lineRule="auto"/>
        <w:ind w:firstLine="708"/>
        <w:jc w:val="both"/>
        <w:rPr>
          <w:rFonts w:ascii="Arial" w:eastAsia="Calibri" w:hAnsi="Arial" w:cs="Arial"/>
          <w:sz w:val="22"/>
        </w:rPr>
      </w:pPr>
      <w:r w:rsidRPr="00DC5CAD">
        <w:rPr>
          <w:rFonts w:ascii="Arial" w:eastAsia="Calibri" w:hAnsi="Arial" w:cs="Arial"/>
          <w:sz w:val="22"/>
        </w:rPr>
        <w:t>Por otro lado, a pesar de que en la segunda modalidad existe «disolución», no hay transferencia de la experiencia porque la persona jurídica fraccionada deja de ser qui</w:t>
      </w:r>
      <w:r w:rsidR="00125DDE">
        <w:rPr>
          <w:rFonts w:ascii="Arial" w:eastAsia="Calibri" w:hAnsi="Arial" w:cs="Arial"/>
          <w:sz w:val="22"/>
        </w:rPr>
        <w:t>e</w:t>
      </w:r>
      <w:r w:rsidRPr="00DC5CAD">
        <w:rPr>
          <w:rFonts w:ascii="Arial" w:eastAsia="Calibri" w:hAnsi="Arial" w:cs="Arial"/>
          <w:sz w:val="22"/>
        </w:rPr>
        <w:t>n es y desaparece, quedando dividida en varias sociedades nuevas o existentes que reciben su patrimonio, sin que sea posible determinar cuál de todas las sociedades que recibieron parte del patrimonio de la sociedad escindida tiene la experiencia</w:t>
      </w:r>
      <w:r w:rsidR="00125DDE">
        <w:rPr>
          <w:rFonts w:ascii="Arial" w:eastAsia="Calibri" w:hAnsi="Arial" w:cs="Arial"/>
          <w:sz w:val="22"/>
        </w:rPr>
        <w:t>.</w:t>
      </w:r>
      <w:r w:rsidRPr="00DC5CAD">
        <w:rPr>
          <w:rFonts w:ascii="Arial" w:eastAsia="Calibri" w:hAnsi="Arial" w:cs="Arial"/>
          <w:sz w:val="22"/>
        </w:rPr>
        <w:t xml:space="preserve"> </w:t>
      </w:r>
      <w:r w:rsidR="00125DDE">
        <w:rPr>
          <w:rFonts w:ascii="Arial" w:eastAsia="Calibri" w:hAnsi="Arial" w:cs="Arial"/>
          <w:sz w:val="22"/>
        </w:rPr>
        <w:t>T</w:t>
      </w:r>
      <w:r w:rsidRPr="00DC5CAD">
        <w:rPr>
          <w:rFonts w:ascii="Arial" w:eastAsia="Calibri" w:hAnsi="Arial" w:cs="Arial"/>
          <w:sz w:val="22"/>
        </w:rPr>
        <w:t>ampoco es posible que todas las sociedades que recibieron el patrimonio acrediten la misma experiencia multiplicándola tantas veces sea necesario, porque la experiencia es de quien la adquirió y como esa persona jurídica no puede continuar en otra persona</w:t>
      </w:r>
      <w:r w:rsidR="00125DDE">
        <w:rPr>
          <w:rFonts w:ascii="Arial" w:eastAsia="Calibri" w:hAnsi="Arial" w:cs="Arial"/>
          <w:sz w:val="22"/>
        </w:rPr>
        <w:t xml:space="preserve">, </w:t>
      </w:r>
      <w:r w:rsidRPr="00DC5CAD">
        <w:rPr>
          <w:rFonts w:ascii="Arial" w:eastAsia="Calibri" w:hAnsi="Arial" w:cs="Arial"/>
          <w:sz w:val="22"/>
        </w:rPr>
        <w:t>porque desapareció</w:t>
      </w:r>
      <w:r w:rsidR="00125DDE">
        <w:rPr>
          <w:rFonts w:ascii="Arial" w:eastAsia="Calibri" w:hAnsi="Arial" w:cs="Arial"/>
          <w:sz w:val="22"/>
        </w:rPr>
        <w:t>,</w:t>
      </w:r>
      <w:r w:rsidRPr="00DC5CAD">
        <w:rPr>
          <w:rFonts w:ascii="Arial" w:eastAsia="Calibri" w:hAnsi="Arial" w:cs="Arial"/>
          <w:sz w:val="22"/>
        </w:rPr>
        <w:t xml:space="preserve"> quedando fraccionada en 2 o más partes, esto no corresponde con la definición de experiencia personal ni de transferencia de experiencia, donde la persona jurídica sigue siendo quien es a través de otra, sin cambios como fraccionamientos que implican que la persona ya no sea quien era y desaparezca. </w:t>
      </w:r>
    </w:p>
    <w:p w14:paraId="0F6ACA15" w14:textId="3D7675A1" w:rsidR="00374D49" w:rsidRDefault="00374D49" w:rsidP="0023161C">
      <w:pPr>
        <w:spacing w:before="120" w:line="276" w:lineRule="auto"/>
        <w:ind w:firstLine="709"/>
        <w:jc w:val="both"/>
        <w:rPr>
          <w:rFonts w:ascii="Arial" w:eastAsia="Calibri" w:hAnsi="Arial" w:cs="Arial"/>
          <w:sz w:val="22"/>
        </w:rPr>
      </w:pPr>
      <w:r w:rsidRPr="00DC5CAD">
        <w:rPr>
          <w:rFonts w:ascii="Arial" w:eastAsia="Calibri" w:hAnsi="Arial" w:cs="Arial"/>
          <w:sz w:val="22"/>
        </w:rPr>
        <w:t>Pero en la fusión, como se verá, a pesar de que la sociedad est</w:t>
      </w:r>
      <w:r w:rsidR="00F70E36">
        <w:rPr>
          <w:rFonts w:ascii="Arial" w:eastAsia="Calibri" w:hAnsi="Arial" w:cs="Arial"/>
          <w:sz w:val="22"/>
        </w:rPr>
        <w:t>á</w:t>
      </w:r>
      <w:r w:rsidRPr="00DC5CAD">
        <w:rPr>
          <w:rFonts w:ascii="Arial" w:eastAsia="Calibri" w:hAnsi="Arial" w:cs="Arial"/>
          <w:sz w:val="22"/>
        </w:rPr>
        <w:t xml:space="preserve"> «disuelta» y debería «liquidarse», para desaparecer, la ley permite que no desaparezca y tenga continuidad convertida en otra sociedad, por lo que, por expresa disposición legal, la sociedad puede no «liquidarse»</w:t>
      </w:r>
      <w:r w:rsidR="00F70E36">
        <w:rPr>
          <w:rFonts w:ascii="Arial" w:eastAsia="Calibri" w:hAnsi="Arial" w:cs="Arial"/>
          <w:sz w:val="22"/>
        </w:rPr>
        <w:t>,</w:t>
      </w:r>
      <w:r w:rsidRPr="00DC5CAD">
        <w:rPr>
          <w:rFonts w:ascii="Arial" w:eastAsia="Calibri" w:hAnsi="Arial" w:cs="Arial"/>
          <w:sz w:val="22"/>
        </w:rPr>
        <w:t xml:space="preserve"> sino continuar a través de otra sociedad, porque así lo dispuso el legislador</w:t>
      </w:r>
      <w:r w:rsidR="0074740B">
        <w:rPr>
          <w:rFonts w:ascii="Arial" w:eastAsia="Calibri" w:hAnsi="Arial" w:cs="Arial"/>
          <w:sz w:val="22"/>
        </w:rPr>
        <w:t>.</w:t>
      </w:r>
      <w:r w:rsidRPr="00DC5CAD">
        <w:rPr>
          <w:rFonts w:ascii="Arial" w:eastAsia="Calibri" w:hAnsi="Arial" w:cs="Arial"/>
          <w:sz w:val="22"/>
        </w:rPr>
        <w:t xml:space="preserve"> </w:t>
      </w:r>
      <w:r w:rsidR="0074740B">
        <w:rPr>
          <w:rFonts w:ascii="Arial" w:eastAsia="Calibri" w:hAnsi="Arial" w:cs="Arial"/>
          <w:sz w:val="22"/>
        </w:rPr>
        <w:t>E</w:t>
      </w:r>
      <w:r w:rsidRPr="00DC5CAD">
        <w:rPr>
          <w:rFonts w:ascii="Arial" w:eastAsia="Calibri" w:hAnsi="Arial" w:cs="Arial"/>
          <w:sz w:val="22"/>
        </w:rPr>
        <w:t>sto implica que se traslada la experiencia y no se comparte, porque compartir implica que siga existiendo como una persona individualmente considerada, pero como continúa a través de otra</w:t>
      </w:r>
      <w:r w:rsidR="0074740B">
        <w:rPr>
          <w:rFonts w:ascii="Arial" w:eastAsia="Calibri" w:hAnsi="Arial" w:cs="Arial"/>
          <w:sz w:val="22"/>
        </w:rPr>
        <w:t>,</w:t>
      </w:r>
      <w:r w:rsidRPr="00DC5CAD">
        <w:rPr>
          <w:rFonts w:ascii="Arial" w:eastAsia="Calibri" w:hAnsi="Arial" w:cs="Arial"/>
          <w:sz w:val="22"/>
        </w:rPr>
        <w:t xml:space="preserve"> lo que sucede es la transferencia de la experiencia.</w:t>
      </w:r>
    </w:p>
    <w:p w14:paraId="42467FA4" w14:textId="77777777" w:rsidR="0023161C" w:rsidRDefault="0023161C" w:rsidP="00374D49">
      <w:pPr>
        <w:spacing w:line="276" w:lineRule="auto"/>
        <w:jc w:val="both"/>
        <w:rPr>
          <w:rFonts w:ascii="Arial" w:eastAsia="Calibri" w:hAnsi="Arial" w:cs="Arial"/>
          <w:sz w:val="22"/>
        </w:rPr>
      </w:pPr>
    </w:p>
    <w:p w14:paraId="0ED72FB8" w14:textId="2B7F0098" w:rsidR="00374D49" w:rsidRPr="00DC5CAD" w:rsidRDefault="00374D49" w:rsidP="00374D49">
      <w:pPr>
        <w:spacing w:line="276" w:lineRule="auto"/>
        <w:jc w:val="both"/>
        <w:rPr>
          <w:rFonts w:ascii="Arial" w:eastAsia="Calibri" w:hAnsi="Arial" w:cs="Arial"/>
          <w:b/>
          <w:bCs/>
          <w:sz w:val="22"/>
        </w:rPr>
      </w:pPr>
      <w:r w:rsidRPr="00DC5CAD">
        <w:rPr>
          <w:rFonts w:ascii="Arial" w:eastAsia="Calibri" w:hAnsi="Arial" w:cs="Arial"/>
          <w:b/>
          <w:bCs/>
          <w:sz w:val="22"/>
        </w:rPr>
        <w:t>c) Fusión</w:t>
      </w:r>
    </w:p>
    <w:p w14:paraId="704E6023" w14:textId="77777777" w:rsidR="00374D49" w:rsidRPr="00DC5CAD" w:rsidRDefault="00374D49" w:rsidP="00374D49">
      <w:pPr>
        <w:spacing w:line="276" w:lineRule="auto"/>
        <w:jc w:val="both"/>
        <w:rPr>
          <w:rFonts w:ascii="Arial" w:eastAsia="Calibri" w:hAnsi="Arial" w:cs="Arial"/>
          <w:b/>
          <w:bCs/>
          <w:sz w:val="22"/>
        </w:rPr>
      </w:pPr>
    </w:p>
    <w:p w14:paraId="09CB04B2" w14:textId="5915A9D6" w:rsidR="00374D49" w:rsidRPr="00DC5CAD" w:rsidRDefault="00374D49" w:rsidP="00374D49">
      <w:pPr>
        <w:spacing w:line="276" w:lineRule="auto"/>
        <w:jc w:val="both"/>
        <w:rPr>
          <w:rFonts w:ascii="Arial" w:eastAsia="Calibri" w:hAnsi="Arial" w:cs="Arial"/>
          <w:sz w:val="22"/>
        </w:rPr>
      </w:pPr>
      <w:r w:rsidRPr="00DC5CAD">
        <w:rPr>
          <w:rFonts w:ascii="Arial" w:eastAsia="Calibri" w:hAnsi="Arial" w:cs="Arial"/>
          <w:sz w:val="22"/>
        </w:rPr>
        <w:t xml:space="preserve">Es una figura con 4 tipologías: i) por absorción: una o más sociedades se «disuelven» sin «liquidarse» para ser absorbidas por otra existente; ii) por creación: una o más sociedades </w:t>
      </w:r>
      <w:r w:rsidRPr="00DC5CAD">
        <w:rPr>
          <w:rFonts w:ascii="Arial" w:eastAsia="Calibri" w:hAnsi="Arial" w:cs="Arial"/>
          <w:sz w:val="22"/>
        </w:rPr>
        <w:lastRenderedPageBreak/>
        <w:t>se «disuelven» sin «liquidarse» para ser absorbidas por otra nueva</w:t>
      </w:r>
      <w:r w:rsidRPr="00DC5CAD">
        <w:rPr>
          <w:rStyle w:val="Refdenotaalpie"/>
          <w:rFonts w:ascii="Arial" w:eastAsia="Calibri" w:hAnsi="Arial" w:cs="Arial"/>
          <w:sz w:val="22"/>
        </w:rPr>
        <w:footnoteReference w:id="13"/>
      </w:r>
      <w:r w:rsidRPr="00DC5CAD">
        <w:rPr>
          <w:rFonts w:ascii="Arial" w:eastAsia="Calibri" w:hAnsi="Arial" w:cs="Arial"/>
          <w:sz w:val="22"/>
        </w:rPr>
        <w:t>; iii) impropia: una sociedad se «disuelve» sin el propósito de realizar una fusión sino de «liquidarse», y antes de la liquidación se toma la decisión de crear una sociedad</w:t>
      </w:r>
      <w:r w:rsidRPr="00DC5CAD">
        <w:rPr>
          <w:rStyle w:val="Refdenotaalpie"/>
          <w:rFonts w:ascii="Arial" w:eastAsia="Calibri" w:hAnsi="Arial" w:cs="Arial"/>
          <w:sz w:val="22"/>
        </w:rPr>
        <w:footnoteReference w:id="14"/>
      </w:r>
      <w:r w:rsidRPr="00DC5CAD">
        <w:rPr>
          <w:rFonts w:ascii="Arial" w:eastAsia="Calibri" w:hAnsi="Arial" w:cs="Arial"/>
          <w:sz w:val="22"/>
        </w:rPr>
        <w:t xml:space="preserve">; iv) abreviada: </w:t>
      </w:r>
      <w:r w:rsidR="0029273C">
        <w:rPr>
          <w:rFonts w:ascii="Arial" w:eastAsia="Calibri" w:hAnsi="Arial" w:cs="Arial"/>
          <w:sz w:val="22"/>
        </w:rPr>
        <w:t>s</w:t>
      </w:r>
      <w:r w:rsidRPr="00DC5CAD">
        <w:rPr>
          <w:rFonts w:ascii="Arial" w:eastAsia="Calibri" w:hAnsi="Arial" w:cs="Arial"/>
          <w:sz w:val="22"/>
        </w:rPr>
        <w:t>olo aplica cuando una Sociedad por Acciones Simplificada (S.A.S</w:t>
      </w:r>
      <w:r w:rsidR="0029273C">
        <w:rPr>
          <w:rFonts w:ascii="Arial" w:eastAsia="Calibri" w:hAnsi="Arial" w:cs="Arial"/>
          <w:sz w:val="22"/>
        </w:rPr>
        <w:t>.</w:t>
      </w:r>
      <w:r w:rsidRPr="00DC5CAD">
        <w:rPr>
          <w:rFonts w:ascii="Arial" w:eastAsia="Calibri" w:hAnsi="Arial" w:cs="Arial"/>
          <w:sz w:val="22"/>
        </w:rPr>
        <w:t>) pertenece a otra sociedad en más del 90% de sus acciones, y es posible que esa sociedad controlante absorba a la S.A.S, es decir, que ocurra una fusión por absorción</w:t>
      </w:r>
      <w:r w:rsidRPr="00DC5CAD">
        <w:rPr>
          <w:rStyle w:val="Refdenotaalpie"/>
          <w:rFonts w:ascii="Arial" w:eastAsia="Calibri" w:hAnsi="Arial" w:cs="Arial"/>
          <w:sz w:val="22"/>
        </w:rPr>
        <w:footnoteReference w:id="15"/>
      </w:r>
      <w:r w:rsidRPr="00DC5CAD">
        <w:rPr>
          <w:rFonts w:ascii="Arial" w:eastAsia="Calibri" w:hAnsi="Arial" w:cs="Arial"/>
          <w:sz w:val="22"/>
        </w:rPr>
        <w:t>. La norma no se refi</w:t>
      </w:r>
      <w:r>
        <w:rPr>
          <w:rFonts w:ascii="Arial" w:eastAsia="Calibri" w:hAnsi="Arial" w:cs="Arial"/>
          <w:sz w:val="22"/>
        </w:rPr>
        <w:t>e</w:t>
      </w:r>
      <w:r w:rsidRPr="00DC5CAD">
        <w:rPr>
          <w:rFonts w:ascii="Arial" w:eastAsia="Calibri" w:hAnsi="Arial" w:cs="Arial"/>
          <w:sz w:val="22"/>
        </w:rPr>
        <w:t>re a la «disolución de la S.A.S», lo cual no implica que no exista fusión, sino que es abreviada porque no se requiere configurar el estado de «disolución» de la sociedad.</w:t>
      </w:r>
    </w:p>
    <w:p w14:paraId="670DFD4E" w14:textId="77777777" w:rsidR="00B10776" w:rsidRDefault="00374D49" w:rsidP="00374D49">
      <w:pPr>
        <w:spacing w:before="120" w:line="276" w:lineRule="auto"/>
        <w:ind w:firstLine="708"/>
        <w:jc w:val="both"/>
        <w:rPr>
          <w:rFonts w:ascii="Arial" w:eastAsia="Calibri" w:hAnsi="Arial" w:cs="Arial"/>
          <w:bCs/>
          <w:sz w:val="22"/>
        </w:rPr>
      </w:pPr>
      <w:r w:rsidRPr="00DC5CAD">
        <w:rPr>
          <w:rFonts w:ascii="Arial" w:eastAsia="Calibri" w:hAnsi="Arial" w:cs="Arial"/>
          <w:bCs/>
          <w:sz w:val="22"/>
        </w:rPr>
        <w:t xml:space="preserve">Para analizar la fusión y sus efectos respecto de la experiencia de la sociedad que se </w:t>
      </w:r>
      <w:r w:rsidRPr="00DC5CAD">
        <w:rPr>
          <w:rFonts w:ascii="Arial" w:eastAsia="Calibri" w:hAnsi="Arial" w:cs="Arial"/>
          <w:sz w:val="22"/>
        </w:rPr>
        <w:t>«</w:t>
      </w:r>
      <w:r w:rsidRPr="00DC5CAD">
        <w:rPr>
          <w:rFonts w:ascii="Arial" w:eastAsia="Calibri" w:hAnsi="Arial" w:cs="Arial"/>
          <w:bCs/>
          <w:sz w:val="22"/>
        </w:rPr>
        <w:t xml:space="preserve">disuelve» pero no se </w:t>
      </w:r>
      <w:r w:rsidRPr="00DC5CAD">
        <w:rPr>
          <w:rFonts w:ascii="Arial" w:eastAsia="Calibri" w:hAnsi="Arial" w:cs="Arial"/>
          <w:sz w:val="22"/>
        </w:rPr>
        <w:t>«</w:t>
      </w:r>
      <w:r w:rsidRPr="00DC5CAD">
        <w:rPr>
          <w:rFonts w:ascii="Arial" w:eastAsia="Calibri" w:hAnsi="Arial" w:cs="Arial"/>
          <w:bCs/>
          <w:sz w:val="22"/>
        </w:rPr>
        <w:t>liquida», es necesario reiterar la explicación dada respecto de la segunda modalidad de escisión, y es que siempre que la sociedad no se liquide, es decir, que no desaparezca, la experiencia puede ser trasladada y no compartida</w:t>
      </w:r>
      <w:r w:rsidR="002D6A45">
        <w:rPr>
          <w:rFonts w:ascii="Arial" w:eastAsia="Calibri" w:hAnsi="Arial" w:cs="Arial"/>
          <w:bCs/>
          <w:sz w:val="22"/>
        </w:rPr>
        <w:t>.</w:t>
      </w:r>
      <w:r w:rsidRPr="00DC5CAD">
        <w:rPr>
          <w:rFonts w:ascii="Arial" w:eastAsia="Calibri" w:hAnsi="Arial" w:cs="Arial"/>
          <w:bCs/>
          <w:sz w:val="22"/>
        </w:rPr>
        <w:t xml:space="preserve"> </w:t>
      </w:r>
      <w:r w:rsidR="002D6A45">
        <w:rPr>
          <w:rFonts w:ascii="Arial" w:eastAsia="Calibri" w:hAnsi="Arial" w:cs="Arial"/>
          <w:bCs/>
          <w:sz w:val="22"/>
        </w:rPr>
        <w:t>Lo anterior, toda vez que</w:t>
      </w:r>
      <w:r w:rsidRPr="00DC5CAD">
        <w:rPr>
          <w:rFonts w:ascii="Arial" w:eastAsia="Calibri" w:hAnsi="Arial" w:cs="Arial"/>
          <w:bCs/>
          <w:sz w:val="22"/>
        </w:rPr>
        <w:t xml:space="preserve"> la trasferencia ocurre porque la persona jurídica continúa a través de otra, esto es, deja de ser quien es pero no desaparece porque otra sociedad se convierte en ella, ya sea una sociedad nueva cuando es fusión por creación, o una sociedad existente en la fusión por absorción. </w:t>
      </w:r>
      <w:r w:rsidR="00E90A66">
        <w:rPr>
          <w:rFonts w:ascii="Arial" w:eastAsia="Calibri" w:hAnsi="Arial" w:cs="Arial"/>
          <w:bCs/>
          <w:sz w:val="22"/>
        </w:rPr>
        <w:t>L</w:t>
      </w:r>
      <w:r w:rsidRPr="00DC5CAD">
        <w:rPr>
          <w:rFonts w:ascii="Arial" w:eastAsia="Calibri" w:hAnsi="Arial" w:cs="Arial"/>
          <w:bCs/>
          <w:sz w:val="22"/>
        </w:rPr>
        <w:t>a experiencia no se comparte, porque para esto la sociedad debería continuar individualmente considerada, pero en este evento continúa a través de otra, a quien le transfiere su experiencia y todos sus derechos y obligaciones, de conformidad con el artículo 172 y siguientes del Código de Comercio.</w:t>
      </w:r>
    </w:p>
    <w:p w14:paraId="4C7FDC62" w14:textId="578109CA" w:rsidR="00374D49" w:rsidRPr="00DC5CAD" w:rsidRDefault="00B10776" w:rsidP="00374D49">
      <w:pPr>
        <w:spacing w:before="120" w:line="276" w:lineRule="auto"/>
        <w:ind w:firstLine="708"/>
        <w:jc w:val="both"/>
        <w:rPr>
          <w:rFonts w:ascii="Arial" w:eastAsia="Calibri" w:hAnsi="Arial" w:cs="Arial"/>
          <w:bCs/>
          <w:sz w:val="22"/>
        </w:rPr>
      </w:pPr>
      <w:r w:rsidRPr="00B10776">
        <w:rPr>
          <w:rFonts w:ascii="Arial" w:eastAsia="Calibri" w:hAnsi="Arial" w:cs="Arial"/>
          <w:bCs/>
          <w:sz w:val="22"/>
        </w:rPr>
        <w:lastRenderedPageBreak/>
        <w:t xml:space="preserve">La anterior conclusión es coherente con lo establecido en la Guía de Asuntos Corporativos en los Procesos de Contratación, expedida por la Agencia Nacional de Contratación Pública - Colombia Compra Eficiente, pues en ella se dice que </w:t>
      </w:r>
      <w:r>
        <w:rPr>
          <w:rFonts w:ascii="Arial" w:eastAsia="Calibri" w:hAnsi="Arial" w:cs="Arial"/>
          <w:bCs/>
          <w:sz w:val="22"/>
        </w:rPr>
        <w:t>«</w:t>
      </w:r>
      <w:r w:rsidRPr="00B10776">
        <w:rPr>
          <w:rFonts w:ascii="Arial" w:eastAsia="Calibri" w:hAnsi="Arial" w:cs="Arial"/>
          <w:bCs/>
          <w:sz w:val="22"/>
        </w:rPr>
        <w:t>La experiencia de las personas jurídicas es de carácter personal y en principio es intransferible. Por lo tanto, no es posible trasladar la experiencia de un proponente a otro en eventos de escisión o liquidación de una persona jurídica, ni que la experiencia sea enajenada por una persona jurídica en favor de otra persona jurídica o natural</w:t>
      </w:r>
      <w:r>
        <w:rPr>
          <w:rFonts w:ascii="Arial" w:eastAsia="Calibri" w:hAnsi="Arial" w:cs="Arial"/>
          <w:bCs/>
          <w:sz w:val="22"/>
        </w:rPr>
        <w:t>»</w:t>
      </w:r>
      <w:r w:rsidRPr="00B10776">
        <w:rPr>
          <w:rFonts w:ascii="Arial" w:eastAsia="Calibri" w:hAnsi="Arial" w:cs="Arial"/>
          <w:bCs/>
          <w:sz w:val="22"/>
        </w:rPr>
        <w:t xml:space="preserve">. Obsérvese que la Guía no establece que la experiencia es </w:t>
      </w:r>
      <w:r>
        <w:rPr>
          <w:rFonts w:ascii="Arial" w:eastAsia="Calibri" w:hAnsi="Arial" w:cs="Arial"/>
          <w:bCs/>
          <w:sz w:val="22"/>
        </w:rPr>
        <w:t>«</w:t>
      </w:r>
      <w:r w:rsidRPr="00B10776">
        <w:rPr>
          <w:rFonts w:ascii="Arial" w:eastAsia="Calibri" w:hAnsi="Arial" w:cs="Arial"/>
          <w:bCs/>
          <w:sz w:val="22"/>
        </w:rPr>
        <w:t>siempre</w:t>
      </w:r>
      <w:r>
        <w:rPr>
          <w:rFonts w:ascii="Arial" w:eastAsia="Calibri" w:hAnsi="Arial" w:cs="Arial"/>
          <w:bCs/>
          <w:sz w:val="22"/>
        </w:rPr>
        <w:t>»</w:t>
      </w:r>
      <w:r w:rsidRPr="00B10776">
        <w:rPr>
          <w:rFonts w:ascii="Arial" w:eastAsia="Calibri" w:hAnsi="Arial" w:cs="Arial"/>
          <w:bCs/>
          <w:sz w:val="22"/>
        </w:rPr>
        <w:t xml:space="preserve"> intransferible, sino que sostiene que ello es así </w:t>
      </w:r>
      <w:r>
        <w:rPr>
          <w:rFonts w:ascii="Arial" w:eastAsia="Calibri" w:hAnsi="Arial" w:cs="Arial"/>
          <w:bCs/>
          <w:sz w:val="22"/>
        </w:rPr>
        <w:t>«</w:t>
      </w:r>
      <w:r w:rsidRPr="00B10776">
        <w:rPr>
          <w:rFonts w:ascii="Arial" w:eastAsia="Calibri" w:hAnsi="Arial" w:cs="Arial"/>
          <w:bCs/>
          <w:sz w:val="22"/>
        </w:rPr>
        <w:t>en principio</w:t>
      </w:r>
      <w:r>
        <w:rPr>
          <w:rFonts w:ascii="Arial" w:eastAsia="Calibri" w:hAnsi="Arial" w:cs="Arial"/>
          <w:bCs/>
          <w:sz w:val="22"/>
        </w:rPr>
        <w:t>»</w:t>
      </w:r>
      <w:r w:rsidRPr="00B10776">
        <w:rPr>
          <w:rFonts w:ascii="Arial" w:eastAsia="Calibri" w:hAnsi="Arial" w:cs="Arial"/>
          <w:bCs/>
          <w:sz w:val="22"/>
        </w:rPr>
        <w:t>. Además, precisa que no es posible transferir la experiencia en la escisión y en la liquidación, justamente porque esos casos la persona jurídica desaparece, lo que no sucede en la fusión. Es decir que en este supuesto sí es posible la transferencia de la experiencia de la sociedad fusionada a la resultante.</w:t>
      </w:r>
      <w:r w:rsidR="00374D49" w:rsidRPr="00DC5CAD">
        <w:rPr>
          <w:rFonts w:ascii="Arial" w:eastAsia="Calibri" w:hAnsi="Arial" w:cs="Arial"/>
          <w:bCs/>
          <w:sz w:val="22"/>
        </w:rPr>
        <w:t xml:space="preserve"> </w:t>
      </w:r>
    </w:p>
    <w:p w14:paraId="2B82B782" w14:textId="77777777" w:rsidR="00457031" w:rsidRPr="00BF0E64" w:rsidRDefault="00457031" w:rsidP="00510DE9">
      <w:pPr>
        <w:tabs>
          <w:tab w:val="left" w:pos="0"/>
        </w:tabs>
        <w:jc w:val="both"/>
        <w:rPr>
          <w:rFonts w:ascii="Arial" w:eastAsia="Calibri" w:hAnsi="Arial" w:cs="Arial"/>
          <w:b/>
          <w:color w:val="000000" w:themeColor="text1"/>
          <w:sz w:val="22"/>
          <w:lang w:val="es-ES_tradnl"/>
        </w:rPr>
      </w:pPr>
    </w:p>
    <w:p w14:paraId="37CA9805" w14:textId="7E6B1FAB" w:rsidR="00DD5B04" w:rsidRPr="00BF0E64" w:rsidRDefault="004177A6" w:rsidP="00510DE9">
      <w:pPr>
        <w:tabs>
          <w:tab w:val="left" w:pos="0"/>
        </w:tabs>
        <w:jc w:val="both"/>
        <w:rPr>
          <w:rFonts w:ascii="Arial" w:eastAsia="Calibri" w:hAnsi="Arial" w:cs="Arial"/>
          <w:b/>
          <w:color w:val="000000" w:themeColor="text1"/>
          <w:sz w:val="22"/>
          <w:lang w:val="es-ES_tradnl"/>
        </w:rPr>
      </w:pPr>
      <w:r w:rsidRPr="00BF0E64">
        <w:rPr>
          <w:rFonts w:ascii="Arial" w:eastAsia="Calibri" w:hAnsi="Arial" w:cs="Arial"/>
          <w:b/>
          <w:color w:val="000000" w:themeColor="text1"/>
          <w:sz w:val="22"/>
          <w:lang w:val="es-ES_tradnl"/>
        </w:rPr>
        <w:t>3</w:t>
      </w:r>
      <w:r w:rsidR="00B011A9" w:rsidRPr="00BF0E64">
        <w:rPr>
          <w:rFonts w:ascii="Arial" w:eastAsia="Calibri" w:hAnsi="Arial" w:cs="Arial"/>
          <w:b/>
          <w:color w:val="000000" w:themeColor="text1"/>
          <w:sz w:val="22"/>
          <w:lang w:val="es-ES_tradnl"/>
        </w:rPr>
        <w:t xml:space="preserve">. </w:t>
      </w:r>
      <w:r w:rsidR="00DD5B04" w:rsidRPr="00BF0E64">
        <w:rPr>
          <w:rFonts w:ascii="Arial" w:eastAsia="Calibri" w:hAnsi="Arial" w:cs="Arial"/>
          <w:b/>
          <w:color w:val="000000" w:themeColor="text1"/>
          <w:sz w:val="22"/>
          <w:lang w:val="es-ES_tradnl"/>
        </w:rPr>
        <w:t>Respuest</w:t>
      </w:r>
      <w:r w:rsidR="00BF0E64" w:rsidRPr="00BF0E64">
        <w:rPr>
          <w:rFonts w:ascii="Arial" w:eastAsia="Calibri" w:hAnsi="Arial" w:cs="Arial"/>
          <w:b/>
          <w:color w:val="000000" w:themeColor="text1"/>
          <w:sz w:val="22"/>
          <w:lang w:val="es-ES_tradnl"/>
        </w:rPr>
        <w:t>a</w:t>
      </w:r>
    </w:p>
    <w:p w14:paraId="0B74D5B8" w14:textId="7F0A7F13" w:rsidR="00C4581D" w:rsidRPr="00BF0E64" w:rsidRDefault="00C4581D" w:rsidP="00510DE9">
      <w:pPr>
        <w:tabs>
          <w:tab w:val="left" w:pos="0"/>
        </w:tabs>
        <w:jc w:val="both"/>
        <w:rPr>
          <w:rFonts w:ascii="Arial" w:eastAsia="Calibri" w:hAnsi="Arial" w:cs="Arial"/>
          <w:color w:val="000000" w:themeColor="text1"/>
          <w:sz w:val="22"/>
          <w:lang w:val="es-ES_tradnl"/>
        </w:rPr>
      </w:pPr>
    </w:p>
    <w:p w14:paraId="72D2D80D" w14:textId="69F3E60A" w:rsidR="00634261" w:rsidRDefault="00634261" w:rsidP="00634261">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«1. […]</w:t>
      </w:r>
      <w:r w:rsidRPr="00E2302A">
        <w:rPr>
          <w:rFonts w:ascii="Arial" w:hAnsi="Arial" w:cs="Arial"/>
          <w:color w:val="000000" w:themeColor="text1"/>
          <w:sz w:val="21"/>
          <w:szCs w:val="21"/>
          <w:lang w:val="es-ES_tradnl"/>
        </w:rPr>
        <w:t>, de la manera más respetuosa, solicito a esa Agencia Nacional para la Contratación, emitir un concepto que aborde integralmente la acreditación de la experiencia en procesos de fusión y escisión, considerando que la experiencia de las sociedades es una característica fundamental que hace parte del patrimonio de una empresa absolutamente relevante en el desarrollo económico y de vital importancia en los procesos de integración empresarial, bajo la actual dinámica de las sociedades</w:t>
      </w:r>
      <w:r w:rsidR="00D46185">
        <w:rPr>
          <w:rFonts w:ascii="Arial" w:hAnsi="Arial" w:cs="Arial"/>
          <w:color w:val="000000" w:themeColor="text1"/>
          <w:sz w:val="21"/>
          <w:szCs w:val="21"/>
          <w:lang w:val="es-ES_tradnl"/>
        </w:rPr>
        <w:t>»</w:t>
      </w:r>
      <w:r w:rsidRPr="00E2302A">
        <w:rPr>
          <w:rFonts w:ascii="Arial" w:hAnsi="Arial" w:cs="Arial"/>
          <w:color w:val="000000" w:themeColor="text1"/>
          <w:sz w:val="21"/>
          <w:szCs w:val="21"/>
          <w:lang w:val="es-ES_tradnl"/>
        </w:rPr>
        <w:t>.</w:t>
      </w:r>
    </w:p>
    <w:p w14:paraId="1FE15F9B" w14:textId="18B93A66" w:rsidR="00634261" w:rsidRDefault="00634261" w:rsidP="00634261">
      <w:pPr>
        <w:ind w:left="709" w:right="709"/>
        <w:jc w:val="both"/>
        <w:rPr>
          <w:rFonts w:ascii="Arial" w:hAnsi="Arial" w:cs="Arial"/>
          <w:color w:val="000000" w:themeColor="text1"/>
          <w:sz w:val="21"/>
          <w:szCs w:val="21"/>
          <w:lang w:val="es-ES_tradnl"/>
        </w:rPr>
      </w:pPr>
    </w:p>
    <w:p w14:paraId="0ACEEAC3" w14:textId="65FA869F" w:rsidR="004632E2" w:rsidRDefault="004632E2" w:rsidP="004632E2">
      <w:pPr>
        <w:spacing w:line="276" w:lineRule="auto"/>
        <w:jc w:val="both"/>
        <w:rPr>
          <w:rFonts w:ascii="Arial" w:hAnsi="Arial" w:cs="Arial"/>
          <w:color w:val="000000" w:themeColor="text1"/>
          <w:sz w:val="22"/>
          <w:szCs w:val="22"/>
          <w:lang w:val="es-ES_tradnl"/>
        </w:rPr>
      </w:pPr>
      <w:r w:rsidRPr="00BF0E64">
        <w:rPr>
          <w:rFonts w:ascii="Arial" w:hAnsi="Arial" w:cs="Arial"/>
          <w:color w:val="000000" w:themeColor="text1"/>
          <w:sz w:val="22"/>
          <w:szCs w:val="22"/>
          <w:lang w:val="es-ES_tradnl"/>
        </w:rPr>
        <w:t>Con fundamento en las consideraciones efectuadas, la Subdirección de Gestión Contractual responde su petición, reiterando los argumentos expuestos en los conceptos C-002 del 20 de febrero de 2020, C-491 del 27 de julio de 2020</w:t>
      </w:r>
      <w:r>
        <w:rPr>
          <w:rFonts w:ascii="Arial" w:hAnsi="Arial" w:cs="Arial"/>
          <w:color w:val="000000" w:themeColor="text1"/>
          <w:sz w:val="22"/>
          <w:szCs w:val="22"/>
          <w:lang w:val="es-ES_tradnl"/>
        </w:rPr>
        <w:t xml:space="preserve">, </w:t>
      </w:r>
      <w:r w:rsidRPr="00BF0E64">
        <w:rPr>
          <w:rFonts w:ascii="Arial" w:hAnsi="Arial" w:cs="Arial"/>
          <w:color w:val="000000" w:themeColor="text1"/>
          <w:sz w:val="22"/>
          <w:szCs w:val="22"/>
          <w:lang w:val="es-ES_tradnl"/>
        </w:rPr>
        <w:t>C-584 del 31 de agosto de 2020</w:t>
      </w:r>
      <w:r>
        <w:rPr>
          <w:rFonts w:ascii="Arial" w:hAnsi="Arial" w:cs="Arial"/>
          <w:color w:val="000000" w:themeColor="text1"/>
          <w:sz w:val="22"/>
          <w:szCs w:val="22"/>
          <w:lang w:val="es-ES_tradnl"/>
        </w:rPr>
        <w:t xml:space="preserve"> y C-002</w:t>
      </w:r>
      <w:r w:rsidR="003B4A4D">
        <w:rPr>
          <w:rFonts w:ascii="Arial" w:hAnsi="Arial" w:cs="Arial"/>
          <w:color w:val="000000" w:themeColor="text1"/>
          <w:sz w:val="22"/>
          <w:szCs w:val="22"/>
          <w:lang w:val="es-ES_tradnl"/>
        </w:rPr>
        <w:t xml:space="preserve"> del 9 de febrero de 2021</w:t>
      </w:r>
      <w:r w:rsidRPr="00BF0E64">
        <w:rPr>
          <w:rFonts w:ascii="Arial" w:hAnsi="Arial" w:cs="Arial"/>
          <w:color w:val="000000" w:themeColor="text1"/>
          <w:sz w:val="22"/>
          <w:szCs w:val="22"/>
          <w:lang w:val="es-ES_tradnl"/>
        </w:rPr>
        <w:t>, en los cuales se admite que si bien en principio la experiencia de las personas jurídicas es intransferible en la contratación estatal regulada por el Estatuto General de Contratación de la Administración Pública, dicha regla general tiene excepciones. Una de ellas se presenta en la fusión, pues</w:t>
      </w:r>
      <w:r w:rsidR="003B4A4D">
        <w:rPr>
          <w:rFonts w:ascii="Arial" w:hAnsi="Arial" w:cs="Arial"/>
          <w:color w:val="000000" w:themeColor="text1"/>
          <w:sz w:val="22"/>
          <w:szCs w:val="22"/>
          <w:lang w:val="es-ES_tradnl"/>
        </w:rPr>
        <w:t>,</w:t>
      </w:r>
      <w:r w:rsidRPr="00BF0E64">
        <w:rPr>
          <w:rFonts w:ascii="Arial" w:hAnsi="Arial" w:cs="Arial"/>
          <w:color w:val="000000" w:themeColor="text1"/>
          <w:sz w:val="22"/>
          <w:szCs w:val="22"/>
          <w:lang w:val="es-ES_tradnl"/>
        </w:rPr>
        <w:t xml:space="preserve"> al disolverse la persona jurídica, sin liquidarse, puede transferirle la experiencia a la sociedad resultante. Esta conclusión es coherente con lo indicado en la Guía de Asuntos Corporativos en los Procesos de Contratación, expedida por la Agencia Nacional de Contratación Pública - Colombia Compra Eficiente</w:t>
      </w:r>
      <w:r w:rsidR="003B4A4D">
        <w:rPr>
          <w:rFonts w:ascii="Arial" w:hAnsi="Arial" w:cs="Arial"/>
          <w:color w:val="000000" w:themeColor="text1"/>
          <w:sz w:val="22"/>
          <w:szCs w:val="22"/>
          <w:lang w:val="es-ES_tradnl"/>
        </w:rPr>
        <w:t>.</w:t>
      </w:r>
      <w:r w:rsidR="000635D9">
        <w:rPr>
          <w:rFonts w:ascii="Arial" w:hAnsi="Arial" w:cs="Arial"/>
          <w:color w:val="000000" w:themeColor="text1"/>
          <w:sz w:val="22"/>
          <w:szCs w:val="22"/>
          <w:lang w:val="es-ES_tradnl"/>
        </w:rPr>
        <w:t xml:space="preserve"> De otro lado, en ninguna de las dos modalidades de escisión</w:t>
      </w:r>
      <w:r w:rsidR="000D79F4">
        <w:rPr>
          <w:rFonts w:ascii="Arial" w:hAnsi="Arial" w:cs="Arial"/>
          <w:color w:val="000000" w:themeColor="text1"/>
          <w:sz w:val="22"/>
          <w:szCs w:val="22"/>
          <w:lang w:val="es-ES_tradnl"/>
        </w:rPr>
        <w:t>, explicadas en las consideraciones de este concepto, se transfiere la experiencia</w:t>
      </w:r>
      <w:r w:rsidR="000F4702">
        <w:rPr>
          <w:rFonts w:ascii="Arial" w:hAnsi="Arial" w:cs="Arial"/>
          <w:color w:val="000000" w:themeColor="text1"/>
          <w:sz w:val="22"/>
          <w:szCs w:val="22"/>
          <w:lang w:val="es-ES_tradnl"/>
        </w:rPr>
        <w:t xml:space="preserve">: en la primera, </w:t>
      </w:r>
      <w:r w:rsidR="00A64F18">
        <w:rPr>
          <w:rFonts w:ascii="Arial" w:hAnsi="Arial" w:cs="Arial"/>
          <w:color w:val="000000" w:themeColor="text1"/>
          <w:sz w:val="22"/>
          <w:szCs w:val="22"/>
          <w:lang w:val="es-ES_tradnl"/>
        </w:rPr>
        <w:t>ya que no es posible que varias sociedades tengan la misma experiencia</w:t>
      </w:r>
      <w:r w:rsidR="000F4702">
        <w:rPr>
          <w:rFonts w:ascii="Arial" w:hAnsi="Arial" w:cs="Arial"/>
          <w:color w:val="000000" w:themeColor="text1"/>
          <w:sz w:val="22"/>
          <w:szCs w:val="22"/>
          <w:lang w:val="es-ES_tradnl"/>
        </w:rPr>
        <w:t xml:space="preserve">, y en la segunda, </w:t>
      </w:r>
      <w:r w:rsidR="00AB4244">
        <w:rPr>
          <w:rFonts w:ascii="Arial" w:hAnsi="Arial" w:cs="Arial"/>
          <w:color w:val="000000" w:themeColor="text1"/>
          <w:sz w:val="22"/>
          <w:szCs w:val="22"/>
          <w:lang w:val="es-ES_tradnl"/>
        </w:rPr>
        <w:t>tampoco, toda vez que</w:t>
      </w:r>
      <w:r w:rsidR="00AB4244">
        <w:rPr>
          <w:rFonts w:ascii="Arial" w:eastAsia="Calibri" w:hAnsi="Arial" w:cs="Arial"/>
          <w:sz w:val="22"/>
        </w:rPr>
        <w:t xml:space="preserve"> </w:t>
      </w:r>
      <w:r w:rsidR="00AB4244" w:rsidRPr="00DC5CAD">
        <w:rPr>
          <w:rFonts w:ascii="Arial" w:eastAsia="Calibri" w:hAnsi="Arial" w:cs="Arial"/>
          <w:sz w:val="22"/>
        </w:rPr>
        <w:t>la persona jurídica fraccionada deja de ser qui</w:t>
      </w:r>
      <w:r w:rsidR="00AB4244">
        <w:rPr>
          <w:rFonts w:ascii="Arial" w:eastAsia="Calibri" w:hAnsi="Arial" w:cs="Arial"/>
          <w:sz w:val="22"/>
        </w:rPr>
        <w:t>e</w:t>
      </w:r>
      <w:r w:rsidR="00AB4244" w:rsidRPr="00DC5CAD">
        <w:rPr>
          <w:rFonts w:ascii="Arial" w:eastAsia="Calibri" w:hAnsi="Arial" w:cs="Arial"/>
          <w:sz w:val="22"/>
        </w:rPr>
        <w:t>n es y desaparece, quedando dividida en varias sociedades nuevas o existentes que reciben su patrimonio, sin que sea posible determinar cuál de todas las sociedades que recibieron parte del patrimonio de la sociedad escindida tiene la experiencia</w:t>
      </w:r>
      <w:r w:rsidR="00DA5FFB">
        <w:rPr>
          <w:rFonts w:ascii="Arial" w:eastAsia="Calibri" w:hAnsi="Arial" w:cs="Arial"/>
          <w:sz w:val="22"/>
        </w:rPr>
        <w:t>.</w:t>
      </w:r>
    </w:p>
    <w:p w14:paraId="15020D8F" w14:textId="77777777" w:rsidR="004632E2" w:rsidRDefault="004632E2" w:rsidP="00634261">
      <w:pPr>
        <w:ind w:left="709" w:right="709"/>
        <w:jc w:val="both"/>
        <w:rPr>
          <w:rFonts w:ascii="Arial" w:hAnsi="Arial" w:cs="Arial"/>
          <w:color w:val="000000" w:themeColor="text1"/>
          <w:sz w:val="21"/>
          <w:szCs w:val="21"/>
          <w:lang w:val="es-ES_tradnl"/>
        </w:rPr>
      </w:pPr>
    </w:p>
    <w:p w14:paraId="1B7053EE" w14:textId="71D7D991" w:rsidR="001A1A38" w:rsidRPr="00BF0E64" w:rsidRDefault="00D46185" w:rsidP="00634261">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lastRenderedPageBreak/>
        <w:t>«</w:t>
      </w:r>
      <w:r w:rsidR="00634261" w:rsidRPr="00E2302A">
        <w:rPr>
          <w:rFonts w:ascii="Arial" w:hAnsi="Arial" w:cs="Arial"/>
          <w:color w:val="000000" w:themeColor="text1"/>
          <w:sz w:val="21"/>
          <w:szCs w:val="21"/>
          <w:lang w:val="es-ES_tradnl"/>
        </w:rPr>
        <w:t>2. En caso de que la ANC - Colombia Compra Eficiente considere como válida la experiencia derivada de los procesos de Fusión y Escisión, solicito comedidamente que instruya a través de la respuesta a este derecho de petición o mediante guía al público en general, los procesos, procedimientos o requisitos necesarios para inscribir en el Registro Único de Proponentes la experiencia derivada de un proceso de Fusión o Escisión</w:t>
      </w:r>
      <w:r w:rsidR="00634261">
        <w:rPr>
          <w:rFonts w:ascii="Arial" w:hAnsi="Arial" w:cs="Arial"/>
          <w:color w:val="000000" w:themeColor="text1"/>
          <w:sz w:val="21"/>
          <w:szCs w:val="21"/>
          <w:lang w:val="es-ES_tradnl"/>
        </w:rPr>
        <w:t>»</w:t>
      </w:r>
      <w:r w:rsidR="00634261" w:rsidRPr="00E2302A">
        <w:rPr>
          <w:rFonts w:ascii="Arial" w:hAnsi="Arial" w:cs="Arial"/>
          <w:color w:val="000000" w:themeColor="text1"/>
          <w:sz w:val="21"/>
          <w:szCs w:val="21"/>
          <w:lang w:val="es-ES_tradnl"/>
        </w:rPr>
        <w:t>.</w:t>
      </w:r>
    </w:p>
    <w:p w14:paraId="1C0617F5" w14:textId="40252901" w:rsidR="00634261" w:rsidRDefault="00634261" w:rsidP="00BF0E64">
      <w:pPr>
        <w:spacing w:line="276" w:lineRule="auto"/>
        <w:jc w:val="both"/>
        <w:rPr>
          <w:rFonts w:ascii="Arial" w:hAnsi="Arial" w:cs="Arial"/>
          <w:color w:val="000000" w:themeColor="text1"/>
          <w:sz w:val="22"/>
          <w:szCs w:val="22"/>
          <w:lang w:val="es-ES_tradnl"/>
        </w:rPr>
      </w:pPr>
    </w:p>
    <w:p w14:paraId="1BCB6CE8" w14:textId="77777777" w:rsidR="004F5F46" w:rsidRDefault="000B6D08" w:rsidP="000B6D08">
      <w:pPr>
        <w:spacing w:line="276" w:lineRule="auto"/>
        <w:jc w:val="both"/>
        <w:rPr>
          <w:rFonts w:ascii="Arial" w:eastAsia="Calibri" w:hAnsi="Arial" w:cs="Arial"/>
          <w:sz w:val="22"/>
        </w:rPr>
      </w:pPr>
      <w:r>
        <w:rPr>
          <w:rFonts w:ascii="Arial" w:eastAsia="Calibri" w:hAnsi="Arial" w:cs="Arial"/>
          <w:sz w:val="22"/>
        </w:rPr>
        <w:t>L</w:t>
      </w:r>
      <w:r w:rsidRPr="00DC5CAD">
        <w:rPr>
          <w:rFonts w:ascii="Arial" w:eastAsia="Calibri" w:hAnsi="Arial" w:cs="Arial"/>
          <w:sz w:val="22"/>
        </w:rPr>
        <w:t>a experiencia</w:t>
      </w:r>
      <w:r>
        <w:rPr>
          <w:rFonts w:ascii="Arial" w:eastAsia="Calibri" w:hAnsi="Arial" w:cs="Arial"/>
          <w:sz w:val="22"/>
        </w:rPr>
        <w:t xml:space="preserve"> </w:t>
      </w:r>
      <w:r w:rsidRPr="00DC5CAD">
        <w:rPr>
          <w:rFonts w:ascii="Arial" w:eastAsia="Calibri" w:hAnsi="Arial" w:cs="Arial"/>
          <w:sz w:val="22"/>
        </w:rPr>
        <w:t>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Pr>
          <w:rFonts w:ascii="Arial" w:eastAsia="Calibri" w:hAnsi="Arial" w:cs="Arial"/>
          <w:sz w:val="22"/>
        </w:rPr>
        <w:t xml:space="preserve">. Tales </w:t>
      </w:r>
      <w:r w:rsidRPr="00DC5CAD">
        <w:rPr>
          <w:rFonts w:ascii="Arial" w:eastAsia="Calibri" w:hAnsi="Arial" w:cs="Arial"/>
          <w:sz w:val="22"/>
        </w:rPr>
        <w:t xml:space="preserve">documentos deben codificarse con el clasificador de bienes y servicios en el tercer nivel. De esta manera, </w:t>
      </w:r>
      <w:r>
        <w:rPr>
          <w:rFonts w:ascii="Arial" w:eastAsia="Calibri" w:hAnsi="Arial" w:cs="Arial"/>
          <w:sz w:val="22"/>
        </w:rPr>
        <w:t>con el RUP se verifica</w:t>
      </w:r>
      <w:r w:rsidRPr="00DC5CAD">
        <w:rPr>
          <w:rFonts w:ascii="Arial" w:eastAsia="Calibri" w:hAnsi="Arial" w:cs="Arial"/>
          <w:sz w:val="22"/>
        </w:rPr>
        <w:t xml:space="preserve">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Por lo anterior, es pertinente aclarar que los códigos del clasificador de bienes y servicios ayudan a que exista un lenguaje común en la denominación de los bienes, obras o servicios que los proveedores ofrecen y que las entidades solicitan, sin que la entidad los evalúe, ya que lo que es objeto de evaluación es la experiencia clasificada de esta forma.</w:t>
      </w:r>
    </w:p>
    <w:p w14:paraId="6CA2E38D" w14:textId="1941B04A" w:rsidR="000B6D08" w:rsidRPr="004F5F46" w:rsidRDefault="000B6D08" w:rsidP="004F5F46">
      <w:pPr>
        <w:spacing w:before="120" w:line="276" w:lineRule="auto"/>
        <w:ind w:firstLine="709"/>
        <w:jc w:val="both"/>
        <w:rPr>
          <w:rFonts w:ascii="Arial" w:eastAsia="Calibri" w:hAnsi="Arial" w:cs="Arial"/>
          <w:sz w:val="22"/>
        </w:rPr>
      </w:pPr>
      <w:r w:rsidRPr="00DC5CAD">
        <w:rPr>
          <w:rFonts w:ascii="Arial" w:eastAsia="Calibri" w:hAnsi="Arial" w:cs="Arial"/>
          <w:sz w:val="22"/>
        </w:rPr>
        <w:t>La Agencia Nacional de Contratación Pública - Colombia Compra Eficiente puso a disposición de los interesados del Sistema de Compra Pública el Manual para determinar y verificar requisitos habilitantes en los procesos de contratación</w:t>
      </w:r>
      <w:r>
        <w:rPr>
          <w:rFonts w:ascii="Arial" w:eastAsia="Calibri" w:hAnsi="Arial" w:cs="Arial"/>
          <w:sz w:val="22"/>
        </w:rPr>
        <w:t>.</w:t>
      </w:r>
      <w:r w:rsidRPr="00DC5CAD">
        <w:rPr>
          <w:rFonts w:ascii="Arial" w:eastAsia="Calibri" w:hAnsi="Arial" w:cs="Arial"/>
          <w:sz w:val="22"/>
        </w:rPr>
        <w:t xml:space="preserve"> </w:t>
      </w:r>
      <w:r>
        <w:rPr>
          <w:rFonts w:ascii="Arial" w:eastAsia="Calibri" w:hAnsi="Arial" w:cs="Arial"/>
          <w:sz w:val="22"/>
        </w:rPr>
        <w:t xml:space="preserve">En dicho Manual se </w:t>
      </w:r>
      <w:r w:rsidRPr="00DC5CAD">
        <w:rPr>
          <w:rFonts w:ascii="Arial" w:eastAsia="Calibri" w:hAnsi="Arial" w:cs="Arial"/>
          <w:sz w:val="22"/>
        </w:rPr>
        <w:t xml:space="preserve">establecen las definiciones de cada requisito habilitante y se dan lineamientos orientadores sobre lo que las entidades pueden hacer para </w:t>
      </w:r>
      <w:r>
        <w:rPr>
          <w:rFonts w:ascii="Arial" w:eastAsia="Calibri" w:hAnsi="Arial" w:cs="Arial"/>
          <w:sz w:val="22"/>
        </w:rPr>
        <w:t>configurarlos</w:t>
      </w:r>
      <w:r w:rsidRPr="00DC5CAD">
        <w:rPr>
          <w:rFonts w:ascii="Arial" w:eastAsia="Calibri" w:hAnsi="Arial" w:cs="Arial"/>
          <w:sz w:val="22"/>
        </w:rPr>
        <w:t xml:space="preserve">. Sobre el particular, para la experiencia, como requisito habilitante señalado en su consulta, el Manual se centra en una de sus cualidades y es que es personal, lo cual significa que quien tiene la experiencia </w:t>
      </w:r>
      <w:r>
        <w:rPr>
          <w:rFonts w:ascii="Arial" w:eastAsia="Calibri" w:hAnsi="Arial" w:cs="Arial"/>
          <w:sz w:val="22"/>
        </w:rPr>
        <w:t>lo hace en razón</w:t>
      </w:r>
      <w:r w:rsidR="009A41AD">
        <w:rPr>
          <w:rFonts w:ascii="Arial" w:eastAsia="Calibri" w:hAnsi="Arial" w:cs="Arial"/>
          <w:sz w:val="22"/>
        </w:rPr>
        <w:t xml:space="preserve"> </w:t>
      </w:r>
      <w:r>
        <w:rPr>
          <w:rFonts w:ascii="Arial" w:eastAsia="Calibri" w:hAnsi="Arial" w:cs="Arial"/>
          <w:sz w:val="22"/>
        </w:rPr>
        <w:t>de</w:t>
      </w:r>
      <w:r w:rsidRPr="00DC5CAD">
        <w:rPr>
          <w:rFonts w:ascii="Arial" w:eastAsia="Calibri" w:hAnsi="Arial" w:cs="Arial"/>
          <w:sz w:val="22"/>
        </w:rPr>
        <w:t xml:space="preserve"> su participación, con anterioridad, en actividades que le permitieron conocer cómo ejecutar el objeto contractual</w:t>
      </w:r>
      <w:r>
        <w:rPr>
          <w:rFonts w:ascii="Arial" w:eastAsia="Calibri" w:hAnsi="Arial" w:cs="Arial"/>
          <w:sz w:val="22"/>
        </w:rPr>
        <w:t xml:space="preserve"> </w:t>
      </w:r>
      <w:r w:rsidRPr="00DC5CAD">
        <w:rPr>
          <w:rFonts w:ascii="Arial" w:eastAsia="Calibri" w:hAnsi="Arial" w:cs="Arial"/>
          <w:sz w:val="22"/>
        </w:rPr>
        <w:t>que la entidad pretende satisfacer ahora.</w:t>
      </w:r>
    </w:p>
    <w:p w14:paraId="5DC4F1AA" w14:textId="77777777" w:rsidR="00BF0E64" w:rsidRPr="00BF0E64" w:rsidRDefault="00BF0E64" w:rsidP="00853A3C">
      <w:pPr>
        <w:ind w:right="709"/>
        <w:jc w:val="both"/>
        <w:rPr>
          <w:rFonts w:ascii="Arial" w:hAnsi="Arial" w:cs="Arial"/>
          <w:color w:val="000000" w:themeColor="text1"/>
          <w:sz w:val="21"/>
          <w:szCs w:val="21"/>
        </w:rPr>
      </w:pPr>
    </w:p>
    <w:p w14:paraId="7B2C921D" w14:textId="0383AF9A" w:rsidR="00DD5B04" w:rsidRPr="00BF0E64" w:rsidRDefault="00DD5B04" w:rsidP="00DF76A2">
      <w:pPr>
        <w:spacing w:line="276" w:lineRule="auto"/>
        <w:jc w:val="both"/>
        <w:rPr>
          <w:rFonts w:ascii="Arial" w:hAnsi="Arial" w:cs="Arial"/>
          <w:color w:val="000000" w:themeColor="text1"/>
          <w:sz w:val="22"/>
          <w:lang w:val="es-ES_tradnl"/>
        </w:rPr>
      </w:pPr>
      <w:r w:rsidRPr="00BF0E64">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BF0E64"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BF0E64"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BF0E64">
        <w:rPr>
          <w:rFonts w:ascii="Arial" w:hAnsi="Arial" w:cs="Arial"/>
          <w:color w:val="000000" w:themeColor="text1"/>
          <w:sz w:val="22"/>
          <w:szCs w:val="22"/>
          <w:lang w:val="es-ES_tradnl"/>
        </w:rPr>
        <w:t>Atentamente,</w:t>
      </w:r>
    </w:p>
    <w:p w14:paraId="692FC307" w14:textId="210AA6B5" w:rsidR="00921304" w:rsidRPr="00BF0E64"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705E9E45" w:rsidR="00921304" w:rsidRPr="00BF0E64" w:rsidRDefault="00745691"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78EABCAB" wp14:editId="6054D2D9">
            <wp:extent cx="2514600" cy="1114425"/>
            <wp:effectExtent l="0" t="0" r="0" b="0"/>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CBAE239" w14:textId="77777777" w:rsidR="00425C43" w:rsidRPr="00BF0E64" w:rsidRDefault="00425C43" w:rsidP="00B37657">
      <w:pPr>
        <w:jc w:val="center"/>
        <w:rPr>
          <w:rFonts w:ascii="Arial" w:hAnsi="Arial" w:cs="Arial"/>
          <w:color w:val="000000" w:themeColor="text1"/>
          <w:sz w:val="18"/>
          <w:szCs w:val="20"/>
          <w:lang w:val="es-ES_tradnl" w:eastAsia="es-CO"/>
        </w:rPr>
      </w:pPr>
    </w:p>
    <w:p w14:paraId="49730030" w14:textId="217D35F3" w:rsidR="00DD5B04" w:rsidRPr="00BF0E64"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BF0E64" w14:paraId="0C7DC5F7" w14:textId="77777777" w:rsidTr="00083F1B">
        <w:trPr>
          <w:trHeight w:val="315"/>
        </w:trPr>
        <w:tc>
          <w:tcPr>
            <w:tcW w:w="812" w:type="dxa"/>
            <w:vAlign w:val="center"/>
            <w:hideMark/>
          </w:tcPr>
          <w:p w14:paraId="5BDB1AC9" w14:textId="77777777" w:rsidR="00DD5B04" w:rsidRPr="00BF0E64" w:rsidRDefault="00DD5B04" w:rsidP="00DF76A2">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BF0E64" w:rsidRDefault="00DD5B04" w:rsidP="00DF76A2">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Cristian Andrés Díaz Díez</w:t>
            </w:r>
          </w:p>
          <w:p w14:paraId="240C71FD" w14:textId="31312C95" w:rsidR="00DD5B04" w:rsidRPr="00BF0E64" w:rsidRDefault="00DD5B04" w:rsidP="00DF76A2">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Contratista</w:t>
            </w:r>
            <w:r w:rsidR="00FF0050" w:rsidRPr="00BF0E64">
              <w:rPr>
                <w:rFonts w:ascii="Arial" w:hAnsi="Arial" w:cs="Arial"/>
                <w:color w:val="000000" w:themeColor="text1"/>
                <w:sz w:val="16"/>
                <w:szCs w:val="16"/>
                <w:lang w:val="es-ES_tradnl" w:eastAsia="es-ES"/>
              </w:rPr>
              <w:t xml:space="preserve"> de la </w:t>
            </w:r>
            <w:r w:rsidRPr="00BF0E64">
              <w:rPr>
                <w:rFonts w:ascii="Arial" w:hAnsi="Arial" w:cs="Arial"/>
                <w:color w:val="000000" w:themeColor="text1"/>
                <w:sz w:val="16"/>
                <w:szCs w:val="16"/>
                <w:lang w:val="es-ES_tradnl" w:eastAsia="es-ES"/>
              </w:rPr>
              <w:t>Subdirección de Gestión Contractual</w:t>
            </w:r>
          </w:p>
        </w:tc>
      </w:tr>
      <w:tr w:rsidR="00DD5B04" w:rsidRPr="00BF0E64" w14:paraId="2F8FD650" w14:textId="77777777" w:rsidTr="00083F1B">
        <w:trPr>
          <w:trHeight w:val="330"/>
        </w:trPr>
        <w:tc>
          <w:tcPr>
            <w:tcW w:w="812" w:type="dxa"/>
            <w:vAlign w:val="center"/>
            <w:hideMark/>
          </w:tcPr>
          <w:p w14:paraId="50203A0B" w14:textId="77777777" w:rsidR="00DD5B04" w:rsidRPr="00BF0E64" w:rsidRDefault="00DD5B04" w:rsidP="00DF76A2">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F77323" w14:textId="0CB2F562" w:rsidR="00C05A61" w:rsidRPr="00BF0E64" w:rsidRDefault="00C05A61" w:rsidP="00C05A61">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 xml:space="preserve">Jorge </w:t>
            </w:r>
            <w:r w:rsidR="00647A36" w:rsidRPr="00BF0E64">
              <w:rPr>
                <w:rFonts w:ascii="Arial" w:hAnsi="Arial" w:cs="Arial"/>
                <w:color w:val="000000" w:themeColor="text1"/>
                <w:sz w:val="16"/>
                <w:szCs w:val="16"/>
                <w:lang w:val="es-ES_tradnl" w:eastAsia="es-ES"/>
              </w:rPr>
              <w:t xml:space="preserve">Augusto </w:t>
            </w:r>
            <w:r w:rsidRPr="00BF0E64">
              <w:rPr>
                <w:rFonts w:ascii="Arial" w:hAnsi="Arial" w:cs="Arial"/>
                <w:color w:val="000000" w:themeColor="text1"/>
                <w:sz w:val="16"/>
                <w:szCs w:val="16"/>
                <w:lang w:val="es-ES_tradnl" w:eastAsia="es-ES"/>
              </w:rPr>
              <w:t>Tirado Navarro</w:t>
            </w:r>
          </w:p>
          <w:p w14:paraId="130B3228" w14:textId="7D08C1BB" w:rsidR="00DD5B04" w:rsidRPr="00BF0E64" w:rsidRDefault="00C05A61" w:rsidP="00C05A61">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Subdirector de Gestión Contractual</w:t>
            </w:r>
          </w:p>
        </w:tc>
      </w:tr>
      <w:tr w:rsidR="00DD5B04" w:rsidRPr="00BF0E64" w14:paraId="0FCBCA4A" w14:textId="77777777" w:rsidTr="00083F1B">
        <w:trPr>
          <w:trHeight w:val="300"/>
        </w:trPr>
        <w:tc>
          <w:tcPr>
            <w:tcW w:w="812" w:type="dxa"/>
            <w:vAlign w:val="center"/>
            <w:hideMark/>
          </w:tcPr>
          <w:p w14:paraId="3C1D943A" w14:textId="77777777" w:rsidR="00DD5B04" w:rsidRPr="00BF0E64" w:rsidRDefault="00DD5B04" w:rsidP="00DF76A2">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BF0E64" w:rsidRDefault="00C05A61" w:rsidP="00DF76A2">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 xml:space="preserve">Jorge </w:t>
            </w:r>
            <w:r w:rsidR="00647A36" w:rsidRPr="00BF0E64">
              <w:rPr>
                <w:rFonts w:ascii="Arial" w:hAnsi="Arial" w:cs="Arial"/>
                <w:color w:val="000000" w:themeColor="text1"/>
                <w:sz w:val="16"/>
                <w:szCs w:val="16"/>
                <w:lang w:val="es-ES_tradnl" w:eastAsia="es-ES"/>
              </w:rPr>
              <w:t xml:space="preserve">Augusto </w:t>
            </w:r>
            <w:r w:rsidRPr="00BF0E64">
              <w:rPr>
                <w:rFonts w:ascii="Arial" w:hAnsi="Arial" w:cs="Arial"/>
                <w:color w:val="000000" w:themeColor="text1"/>
                <w:sz w:val="16"/>
                <w:szCs w:val="16"/>
                <w:lang w:val="es-ES_tradnl" w:eastAsia="es-ES"/>
              </w:rPr>
              <w:t>Tirado Navarro</w:t>
            </w:r>
          </w:p>
          <w:p w14:paraId="1ADC483B" w14:textId="77CBA2AF" w:rsidR="00DD5B04" w:rsidRPr="00BF0E64" w:rsidRDefault="00DD5B04" w:rsidP="00DF76A2">
            <w:pPr>
              <w:jc w:val="both"/>
              <w:rPr>
                <w:rFonts w:ascii="Arial" w:hAnsi="Arial" w:cs="Arial"/>
                <w:color w:val="000000" w:themeColor="text1"/>
                <w:sz w:val="16"/>
                <w:szCs w:val="16"/>
                <w:lang w:val="es-ES_tradnl" w:eastAsia="es-ES"/>
              </w:rPr>
            </w:pPr>
            <w:r w:rsidRPr="00BF0E64">
              <w:rPr>
                <w:rFonts w:ascii="Arial" w:hAnsi="Arial" w:cs="Arial"/>
                <w:color w:val="000000" w:themeColor="text1"/>
                <w:sz w:val="16"/>
                <w:szCs w:val="16"/>
                <w:lang w:val="es-ES_tradnl" w:eastAsia="es-ES"/>
              </w:rPr>
              <w:t>Subdirector de Gestión Contractual</w:t>
            </w:r>
          </w:p>
        </w:tc>
      </w:tr>
    </w:tbl>
    <w:p w14:paraId="35B56F46" w14:textId="77777777" w:rsidR="00746E08" w:rsidRPr="00BF0E64" w:rsidRDefault="00746E08" w:rsidP="00215B8E">
      <w:pPr>
        <w:jc w:val="both"/>
        <w:rPr>
          <w:rFonts w:ascii="Arial" w:hAnsi="Arial" w:cs="Arial"/>
          <w:lang w:val="es-ES_tradnl"/>
        </w:rPr>
      </w:pPr>
    </w:p>
    <w:sectPr w:rsidR="00746E08" w:rsidRPr="00BF0E64"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ABE4" w14:textId="77777777" w:rsidR="00EB0A4A" w:rsidRDefault="00EB0A4A">
      <w:r>
        <w:separator/>
      </w:r>
    </w:p>
  </w:endnote>
  <w:endnote w:type="continuationSeparator" w:id="0">
    <w:p w14:paraId="284A46BE" w14:textId="77777777" w:rsidR="00EB0A4A" w:rsidRDefault="00EB0A4A">
      <w:r>
        <w:continuationSeparator/>
      </w:r>
    </w:p>
  </w:endnote>
  <w:endnote w:type="continuationNotice" w:id="1">
    <w:p w14:paraId="4A2874D1" w14:textId="77777777" w:rsidR="00EB0A4A" w:rsidRDefault="00EB0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177F" w14:textId="77777777" w:rsidR="00EB0A4A" w:rsidRDefault="00EB0A4A">
      <w:r>
        <w:separator/>
      </w:r>
    </w:p>
  </w:footnote>
  <w:footnote w:type="continuationSeparator" w:id="0">
    <w:p w14:paraId="6B2F8DE3" w14:textId="77777777" w:rsidR="00EB0A4A" w:rsidRDefault="00EB0A4A">
      <w:r>
        <w:continuationSeparator/>
      </w:r>
    </w:p>
  </w:footnote>
  <w:footnote w:type="continuationNotice" w:id="1">
    <w:p w14:paraId="6A7E4F3F" w14:textId="77777777" w:rsidR="00EB0A4A" w:rsidRDefault="00EB0A4A"/>
  </w:footnote>
  <w:footnote w:id="2">
    <w:p w14:paraId="52DE0425" w14:textId="77777777" w:rsidR="00374D49" w:rsidRPr="009C5188" w:rsidRDefault="00374D49" w:rsidP="00374D49">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2A51F2D5" w14:textId="77777777" w:rsidR="00374D49" w:rsidRPr="009C5188" w:rsidRDefault="00374D49" w:rsidP="00374D49">
      <w:pPr>
        <w:pStyle w:val="Textonotapie"/>
        <w:ind w:firstLine="708"/>
        <w:jc w:val="both"/>
        <w:rPr>
          <w:rFonts w:ascii="Arial" w:hAnsi="Arial" w:cs="Arial"/>
          <w:sz w:val="19"/>
          <w:szCs w:val="19"/>
        </w:rPr>
      </w:pPr>
      <w:r w:rsidRPr="009C5188">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24DDA4BB" w14:textId="77777777" w:rsidR="00374D49" w:rsidRPr="009C5188" w:rsidRDefault="00374D49" w:rsidP="00374D49">
      <w:pPr>
        <w:pStyle w:val="Textonotapie"/>
        <w:jc w:val="both"/>
        <w:rPr>
          <w:rFonts w:ascii="Arial" w:hAnsi="Arial" w:cs="Arial"/>
          <w:sz w:val="19"/>
          <w:szCs w:val="19"/>
          <w:lang w:val="es-ES"/>
        </w:rPr>
      </w:pPr>
    </w:p>
  </w:footnote>
  <w:footnote w:id="3">
    <w:p w14:paraId="66055B1F" w14:textId="77777777" w:rsidR="00374D49" w:rsidRPr="009C5188" w:rsidRDefault="00374D49" w:rsidP="00374D49">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76858F26" w14:textId="77777777" w:rsidR="00374D49" w:rsidRPr="009C5188" w:rsidRDefault="00374D49" w:rsidP="00374D49">
      <w:pPr>
        <w:pStyle w:val="Textonotapie"/>
        <w:ind w:firstLine="708"/>
        <w:jc w:val="both"/>
        <w:rPr>
          <w:rFonts w:ascii="Arial" w:hAnsi="Arial" w:cs="Arial"/>
          <w:sz w:val="19"/>
          <w:szCs w:val="19"/>
          <w:lang w:val="es-ES"/>
        </w:rPr>
      </w:pPr>
    </w:p>
  </w:footnote>
  <w:footnote w:id="4">
    <w:p w14:paraId="7CD18B4E" w14:textId="77777777" w:rsidR="00374D49" w:rsidRPr="009C5188" w:rsidRDefault="00374D49" w:rsidP="00374D49">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0DDA1BC3" w14:textId="77777777" w:rsidR="00374D49" w:rsidRPr="009C5188" w:rsidRDefault="00374D49" w:rsidP="00374D49">
      <w:pPr>
        <w:pStyle w:val="Textonotapie"/>
        <w:ind w:firstLine="708"/>
        <w:jc w:val="both"/>
        <w:rPr>
          <w:rFonts w:ascii="Arial" w:hAnsi="Arial" w:cs="Arial"/>
          <w:sz w:val="19"/>
          <w:szCs w:val="19"/>
        </w:rPr>
      </w:pPr>
      <w:r w:rsidRPr="009C5188">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0367B507" w14:textId="77777777" w:rsidR="00374D49" w:rsidRPr="009C5188" w:rsidRDefault="00374D49" w:rsidP="00374D49">
      <w:pPr>
        <w:pStyle w:val="Textonotapie"/>
        <w:ind w:firstLine="708"/>
        <w:jc w:val="both"/>
        <w:rPr>
          <w:rFonts w:ascii="Arial" w:hAnsi="Arial" w:cs="Arial"/>
          <w:sz w:val="19"/>
          <w:szCs w:val="19"/>
        </w:rPr>
      </w:pPr>
      <w:r w:rsidRPr="009C5188">
        <w:rPr>
          <w:rFonts w:ascii="Arial" w:hAnsi="Arial" w:cs="Arial"/>
          <w:sz w:val="19"/>
          <w:szCs w:val="19"/>
        </w:rPr>
        <w:t>[...]».</w:t>
      </w:r>
    </w:p>
    <w:p w14:paraId="3C986EF6" w14:textId="77777777" w:rsidR="00374D49" w:rsidRPr="009C5188" w:rsidRDefault="00374D49" w:rsidP="00374D49">
      <w:pPr>
        <w:pStyle w:val="Textonotapie"/>
        <w:ind w:firstLine="708"/>
        <w:jc w:val="both"/>
        <w:rPr>
          <w:rFonts w:ascii="Arial" w:hAnsi="Arial" w:cs="Arial"/>
          <w:sz w:val="19"/>
          <w:szCs w:val="19"/>
          <w:lang w:val="es-ES"/>
        </w:rPr>
      </w:pPr>
    </w:p>
  </w:footnote>
  <w:footnote w:id="5">
    <w:p w14:paraId="3EE5ADA8" w14:textId="77777777" w:rsidR="00374D49" w:rsidRPr="009C5188" w:rsidRDefault="00374D49" w:rsidP="00374D49">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C43DB27" w14:textId="77777777" w:rsidR="00374D49" w:rsidRPr="009C5188" w:rsidRDefault="00374D49" w:rsidP="00374D49">
      <w:pPr>
        <w:pStyle w:val="Textonotapie"/>
        <w:ind w:firstLine="708"/>
        <w:jc w:val="both"/>
        <w:rPr>
          <w:rFonts w:ascii="Arial" w:hAnsi="Arial" w:cs="Arial"/>
          <w:sz w:val="19"/>
          <w:szCs w:val="19"/>
        </w:rPr>
      </w:pPr>
      <w:r w:rsidRPr="009C5188">
        <w:rPr>
          <w:rFonts w:ascii="Arial" w:hAnsi="Arial" w:cs="Arial"/>
          <w:sz w:val="19"/>
          <w:szCs w:val="19"/>
        </w:rPr>
        <w:t>[...]</w:t>
      </w:r>
    </w:p>
    <w:p w14:paraId="223B27D5" w14:textId="77777777" w:rsidR="00374D49" w:rsidRPr="009C5188" w:rsidRDefault="00374D49" w:rsidP="00374D49">
      <w:pPr>
        <w:pStyle w:val="Textonotapie"/>
        <w:ind w:firstLine="708"/>
        <w:jc w:val="both"/>
        <w:rPr>
          <w:rFonts w:ascii="Arial" w:hAnsi="Arial" w:cs="Arial"/>
          <w:sz w:val="19"/>
          <w:szCs w:val="19"/>
        </w:rPr>
      </w:pPr>
      <w:r w:rsidRPr="009C5188">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5273E6DA" w14:textId="77777777" w:rsidR="00374D49" w:rsidRPr="009C5188" w:rsidRDefault="00374D49" w:rsidP="00374D49">
      <w:pPr>
        <w:pStyle w:val="Textonotapie"/>
        <w:ind w:firstLine="708"/>
        <w:jc w:val="both"/>
        <w:rPr>
          <w:rFonts w:ascii="Arial" w:hAnsi="Arial" w:cs="Arial"/>
          <w:sz w:val="19"/>
          <w:szCs w:val="19"/>
        </w:rPr>
      </w:pPr>
      <w:r w:rsidRPr="009C5188">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436C162E" w14:textId="77777777" w:rsidR="00374D49" w:rsidRPr="009C5188" w:rsidRDefault="00374D49" w:rsidP="00374D49">
      <w:pPr>
        <w:pStyle w:val="Textonotapie"/>
        <w:jc w:val="both"/>
        <w:rPr>
          <w:rFonts w:ascii="Arial" w:hAnsi="Arial" w:cs="Arial"/>
          <w:sz w:val="19"/>
          <w:szCs w:val="19"/>
          <w:lang w:val="es-ES"/>
        </w:rPr>
      </w:pPr>
    </w:p>
  </w:footnote>
  <w:footnote w:id="6">
    <w:p w14:paraId="249BCC83" w14:textId="77777777" w:rsidR="00374D49" w:rsidRPr="009C5188" w:rsidRDefault="00374D49" w:rsidP="00374D49">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801835A" w14:textId="77777777" w:rsidR="00374D49" w:rsidRPr="009C5188" w:rsidRDefault="00374D49" w:rsidP="00374D49">
      <w:pPr>
        <w:pStyle w:val="Textonotapie"/>
        <w:ind w:firstLine="708"/>
        <w:jc w:val="both"/>
        <w:rPr>
          <w:rFonts w:ascii="Arial" w:hAnsi="Arial" w:cs="Arial"/>
          <w:sz w:val="19"/>
          <w:szCs w:val="19"/>
        </w:rPr>
      </w:pPr>
      <w:r w:rsidRPr="009C5188">
        <w:rPr>
          <w:rFonts w:ascii="Arial" w:hAnsi="Arial" w:cs="Arial"/>
          <w:sz w:val="19"/>
          <w:szCs w:val="19"/>
        </w:rPr>
        <w:t>»1.    Si es una persona natural:</w:t>
      </w:r>
    </w:p>
    <w:p w14:paraId="3D18CB4B" w14:textId="77777777" w:rsidR="00374D49" w:rsidRPr="009C5188" w:rsidRDefault="00374D49" w:rsidP="00374D49">
      <w:pPr>
        <w:pStyle w:val="Textonotapie"/>
        <w:ind w:firstLine="708"/>
        <w:jc w:val="both"/>
        <w:rPr>
          <w:rFonts w:ascii="Arial" w:hAnsi="Arial" w:cs="Arial"/>
          <w:sz w:val="19"/>
          <w:szCs w:val="19"/>
        </w:rPr>
      </w:pPr>
      <w:r w:rsidRPr="009C5188">
        <w:rPr>
          <w:rFonts w:ascii="Arial" w:hAnsi="Arial" w:cs="Arial"/>
          <w:sz w:val="19"/>
          <w:szCs w:val="19"/>
        </w:rPr>
        <w:t>»1.1. Bienes, obras y servicios que ofrecerá a las Entidades Estatales, identificados con el Clasificador de Bienes y Servicios en el tercer nivel.</w:t>
      </w:r>
    </w:p>
    <w:p w14:paraId="7B3BCD8A" w14:textId="77777777" w:rsidR="00374D49" w:rsidRPr="009C5188" w:rsidRDefault="00374D49" w:rsidP="00374D49">
      <w:pPr>
        <w:pStyle w:val="Textonotapie"/>
        <w:ind w:firstLine="708"/>
        <w:jc w:val="both"/>
        <w:rPr>
          <w:rFonts w:ascii="Arial" w:hAnsi="Arial" w:cs="Arial"/>
          <w:sz w:val="19"/>
          <w:szCs w:val="19"/>
        </w:rPr>
      </w:pPr>
      <w:r w:rsidRPr="009C5188">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40492A68" w14:textId="77777777" w:rsidR="00374D49" w:rsidRPr="009C5188" w:rsidRDefault="00374D49" w:rsidP="00374D49">
      <w:pPr>
        <w:pStyle w:val="Textonotapie"/>
        <w:ind w:firstLine="708"/>
        <w:jc w:val="both"/>
        <w:rPr>
          <w:rFonts w:ascii="Arial" w:hAnsi="Arial" w:cs="Arial"/>
          <w:sz w:val="19"/>
          <w:szCs w:val="19"/>
          <w:lang w:val="es-ES"/>
        </w:rPr>
      </w:pPr>
    </w:p>
  </w:footnote>
  <w:footnote w:id="7">
    <w:p w14:paraId="51ECBA9C" w14:textId="77777777" w:rsidR="00374D49" w:rsidRPr="009C5188" w:rsidRDefault="00374D49" w:rsidP="00374D49">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01BFE2EB" w14:textId="77777777" w:rsidR="00374D49" w:rsidRPr="009C5188" w:rsidRDefault="00374D49" w:rsidP="00374D49">
      <w:pPr>
        <w:pStyle w:val="Textonotapie"/>
        <w:ind w:firstLine="708"/>
        <w:jc w:val="both"/>
        <w:rPr>
          <w:rFonts w:ascii="Arial" w:hAnsi="Arial" w:cs="Arial"/>
          <w:sz w:val="19"/>
          <w:szCs w:val="19"/>
        </w:rPr>
      </w:pPr>
      <w:r w:rsidRPr="009C5188">
        <w:rPr>
          <w:rFonts w:ascii="Arial" w:hAnsi="Arial" w:cs="Arial"/>
          <w:sz w:val="19"/>
          <w:szCs w:val="19"/>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39710898" w14:textId="77777777" w:rsidR="00374D49" w:rsidRPr="009C5188" w:rsidRDefault="00374D49" w:rsidP="00374D49">
      <w:pPr>
        <w:pStyle w:val="Textonotapie"/>
        <w:ind w:firstLine="708"/>
        <w:jc w:val="both"/>
        <w:rPr>
          <w:rFonts w:ascii="Arial" w:hAnsi="Arial" w:cs="Arial"/>
          <w:sz w:val="19"/>
          <w:szCs w:val="19"/>
        </w:rPr>
      </w:pPr>
      <w:r w:rsidRPr="009C5188">
        <w:rPr>
          <w:rFonts w:ascii="Arial" w:hAnsi="Arial" w:cs="Arial"/>
          <w:sz w:val="19"/>
          <w:szCs w:val="19"/>
        </w:rPr>
        <w:t>[...]</w:t>
      </w:r>
    </w:p>
    <w:p w14:paraId="4063840A" w14:textId="77777777" w:rsidR="00374D49" w:rsidRPr="009C5188" w:rsidRDefault="00374D49" w:rsidP="00374D49">
      <w:pPr>
        <w:pStyle w:val="Textonotapie"/>
        <w:ind w:firstLine="708"/>
        <w:jc w:val="both"/>
        <w:rPr>
          <w:rFonts w:ascii="Arial" w:hAnsi="Arial" w:cs="Arial"/>
          <w:sz w:val="19"/>
          <w:szCs w:val="19"/>
        </w:rPr>
      </w:pPr>
      <w:r w:rsidRPr="009C5188">
        <w:rPr>
          <w:rFonts w:ascii="Arial" w:hAnsi="Arial" w:cs="Arial"/>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44CD55CA" w14:textId="77777777" w:rsidR="00374D49" w:rsidRPr="009C5188" w:rsidRDefault="00374D49" w:rsidP="00374D49">
      <w:pPr>
        <w:pStyle w:val="Textonotapie"/>
        <w:ind w:firstLine="708"/>
        <w:jc w:val="both"/>
        <w:rPr>
          <w:rFonts w:ascii="Arial" w:hAnsi="Arial" w:cs="Arial"/>
          <w:sz w:val="19"/>
          <w:szCs w:val="19"/>
        </w:rPr>
      </w:pPr>
      <w:r w:rsidRPr="009C5188">
        <w:rPr>
          <w:rFonts w:ascii="Arial" w:hAnsi="Arial" w:cs="Arial"/>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1460FE47" w14:textId="77777777" w:rsidR="00374D49" w:rsidRPr="00694D8E" w:rsidRDefault="00374D49" w:rsidP="00374D49">
      <w:pPr>
        <w:pStyle w:val="Textonotapie"/>
        <w:ind w:firstLine="708"/>
        <w:jc w:val="both"/>
        <w:rPr>
          <w:rFonts w:ascii="Arial" w:hAnsi="Arial" w:cs="Arial"/>
          <w:sz w:val="19"/>
          <w:szCs w:val="19"/>
        </w:rPr>
      </w:pPr>
      <w:r w:rsidRPr="009C5188">
        <w:rPr>
          <w:rFonts w:ascii="Arial" w:hAnsi="Arial" w:cs="Arial"/>
          <w:sz w:val="19"/>
          <w:szCs w:val="19"/>
        </w:rPr>
        <w:t>[...]».</w:t>
      </w:r>
    </w:p>
  </w:footnote>
  <w:footnote w:id="8">
    <w:p w14:paraId="68079FBD" w14:textId="77777777" w:rsidR="00374D49" w:rsidRPr="003513C4" w:rsidRDefault="00374D49" w:rsidP="00374D49">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Esta conclusión cambió respecto del concepto C – 002 del 20 de febrero de 2020, para adecuarla a un mejor entendimiento de las normas sobre la experiencia.</w:t>
      </w:r>
    </w:p>
    <w:p w14:paraId="07880D79" w14:textId="77777777" w:rsidR="00374D49" w:rsidRPr="00384698" w:rsidRDefault="00374D49" w:rsidP="00374D49">
      <w:pPr>
        <w:pStyle w:val="Textonotapie"/>
        <w:ind w:firstLine="708"/>
        <w:jc w:val="both"/>
        <w:rPr>
          <w:lang w:val="es-CO"/>
        </w:rPr>
      </w:pPr>
    </w:p>
  </w:footnote>
  <w:footnote w:id="9">
    <w:p w14:paraId="09799F72" w14:textId="77777777" w:rsidR="00374D49" w:rsidRPr="009C5188" w:rsidRDefault="00374D49" w:rsidP="00374D49">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222. Efectos posteriores a la liquidación de la sociedad. Disuelta la sociedad se procederá de inmediato a su liquidación. En consecuencia, no podrá iniciar nuevas operaciones en desarrollo de su objeto y conservará su capacidad jurídica únicamente para los actos necesarios a la inmediata liquidación. Cualquier operación o acto ajeno a este fin, salvo los autorizados expresamente por la Ley, hará responsables frente a la sociedad, a los asociados y a terceros, en forma ilimitada y solidaria, al liquidador, y al revisor fiscal que no se hubiere opuesto.</w:t>
      </w:r>
    </w:p>
    <w:p w14:paraId="19E68CA4" w14:textId="77777777" w:rsidR="00374D49" w:rsidRPr="009C5188" w:rsidRDefault="00374D49" w:rsidP="00374D49">
      <w:pPr>
        <w:pStyle w:val="Textonotapie"/>
        <w:ind w:firstLine="708"/>
        <w:jc w:val="both"/>
        <w:rPr>
          <w:rFonts w:ascii="Arial" w:hAnsi="Arial" w:cs="Arial"/>
          <w:sz w:val="19"/>
          <w:szCs w:val="19"/>
        </w:rPr>
      </w:pPr>
      <w:r w:rsidRPr="009C5188">
        <w:rPr>
          <w:rFonts w:ascii="Arial" w:hAnsi="Arial" w:cs="Arial"/>
          <w:sz w:val="19"/>
          <w:szCs w:val="19"/>
        </w:rPr>
        <w:t>»El nombre de la sociedad disuelta deberá adicionarse siempre con la expresión ‘en liquidación’. Los encargados de realizarla responderán de los daños y perjuicios que se deriven por dicha omisión».</w:t>
      </w:r>
    </w:p>
    <w:p w14:paraId="3CAE3A35" w14:textId="77777777" w:rsidR="00374D49" w:rsidRPr="009C5188" w:rsidRDefault="00374D49" w:rsidP="00374D49">
      <w:pPr>
        <w:pStyle w:val="Textonotapie"/>
        <w:jc w:val="both"/>
        <w:rPr>
          <w:rFonts w:ascii="Arial" w:hAnsi="Arial" w:cs="Arial"/>
          <w:sz w:val="19"/>
          <w:szCs w:val="19"/>
          <w:lang w:val="es-CO"/>
        </w:rPr>
      </w:pPr>
    </w:p>
  </w:footnote>
  <w:footnote w:id="10">
    <w:p w14:paraId="02FBD9CD" w14:textId="77777777" w:rsidR="00374D49" w:rsidRPr="009C5188" w:rsidRDefault="00374D49" w:rsidP="00374D49">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Ver artículos 225 y ss. del Código de Comercio.</w:t>
      </w:r>
    </w:p>
    <w:p w14:paraId="12DF3916" w14:textId="77777777" w:rsidR="00374D49" w:rsidRPr="009C5188" w:rsidRDefault="00374D49" w:rsidP="00374D49">
      <w:pPr>
        <w:pStyle w:val="Textonotapie"/>
        <w:ind w:firstLine="708"/>
        <w:jc w:val="both"/>
        <w:rPr>
          <w:rFonts w:ascii="Arial" w:hAnsi="Arial" w:cs="Arial"/>
          <w:sz w:val="19"/>
          <w:szCs w:val="19"/>
          <w:lang w:val="es-CO"/>
        </w:rPr>
      </w:pPr>
      <w:r w:rsidRPr="009C5188">
        <w:rPr>
          <w:rFonts w:ascii="Arial" w:hAnsi="Arial" w:cs="Arial"/>
          <w:sz w:val="19"/>
          <w:szCs w:val="19"/>
        </w:rPr>
        <w:t xml:space="preserve"> </w:t>
      </w:r>
    </w:p>
  </w:footnote>
  <w:footnote w:id="11">
    <w:p w14:paraId="189DA989" w14:textId="77777777" w:rsidR="00374D49" w:rsidRPr="009C5188" w:rsidRDefault="00374D49" w:rsidP="00374D49">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167. Reforma de contrato social por transformación de sociedad. Una sociedad podrá, antes de su disolución, adoptar cualquiera otra de las formas de la sociedad comercial reguladas en este Código, mediante una reforma del contrato social.</w:t>
      </w:r>
    </w:p>
    <w:p w14:paraId="737D9B26" w14:textId="77777777" w:rsidR="00374D49" w:rsidRPr="009C5188" w:rsidRDefault="00374D49" w:rsidP="00374D49">
      <w:pPr>
        <w:pStyle w:val="Textonotapie"/>
        <w:ind w:firstLine="708"/>
        <w:jc w:val="both"/>
        <w:rPr>
          <w:rFonts w:ascii="Arial" w:hAnsi="Arial" w:cs="Arial"/>
          <w:sz w:val="19"/>
          <w:szCs w:val="19"/>
        </w:rPr>
      </w:pPr>
      <w:r w:rsidRPr="009C5188">
        <w:rPr>
          <w:rFonts w:ascii="Arial" w:hAnsi="Arial" w:cs="Arial"/>
          <w:sz w:val="19"/>
          <w:szCs w:val="19"/>
        </w:rPr>
        <w:t>»La transformación no producirá solución de continuidad en la existencia de la sociedad como persona jurídica, ni en sus actividades ni en su patrimonio».</w:t>
      </w:r>
    </w:p>
    <w:p w14:paraId="34B5EB5B" w14:textId="77777777" w:rsidR="00374D49" w:rsidRPr="009C5188" w:rsidRDefault="00374D49" w:rsidP="00374D49">
      <w:pPr>
        <w:pStyle w:val="Textonotapie"/>
        <w:ind w:firstLine="708"/>
        <w:jc w:val="both"/>
        <w:rPr>
          <w:rFonts w:ascii="Arial" w:hAnsi="Arial" w:cs="Arial"/>
          <w:sz w:val="19"/>
          <w:szCs w:val="19"/>
        </w:rPr>
      </w:pPr>
    </w:p>
  </w:footnote>
  <w:footnote w:id="12">
    <w:p w14:paraId="4212C0EC" w14:textId="77777777" w:rsidR="00374D49" w:rsidRPr="009C5188" w:rsidRDefault="00374D49" w:rsidP="00374D49">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222 de 1995: «Artículo 3. Modalidades. Habrá escisión cuando:</w:t>
      </w:r>
    </w:p>
    <w:p w14:paraId="648006C8" w14:textId="77777777" w:rsidR="00374D49" w:rsidRPr="009C5188" w:rsidRDefault="00374D49" w:rsidP="00374D49">
      <w:pPr>
        <w:pStyle w:val="Textonotapie"/>
        <w:ind w:firstLine="708"/>
        <w:jc w:val="both"/>
        <w:rPr>
          <w:rFonts w:ascii="Arial" w:hAnsi="Arial" w:cs="Arial"/>
          <w:sz w:val="19"/>
          <w:szCs w:val="19"/>
        </w:rPr>
      </w:pPr>
      <w:r w:rsidRPr="009C5188">
        <w:rPr>
          <w:rFonts w:ascii="Arial" w:hAnsi="Arial" w:cs="Arial"/>
          <w:sz w:val="19"/>
          <w:szCs w:val="19"/>
        </w:rPr>
        <w:t>»1. Una sociedad sin disolverse, transfiere en bloque una o varias partes de su patrimonio a una o más sociedades existentes o las destina a la creación de una o varias sociedades.</w:t>
      </w:r>
    </w:p>
    <w:p w14:paraId="1E9119D3" w14:textId="77777777" w:rsidR="00374D49" w:rsidRPr="009C5188" w:rsidRDefault="00374D49" w:rsidP="00374D49">
      <w:pPr>
        <w:pStyle w:val="Textonotapie"/>
        <w:ind w:firstLine="708"/>
        <w:jc w:val="both"/>
        <w:rPr>
          <w:rFonts w:ascii="Arial" w:hAnsi="Arial" w:cs="Arial"/>
          <w:sz w:val="19"/>
          <w:szCs w:val="19"/>
        </w:rPr>
      </w:pPr>
      <w:r w:rsidRPr="009C5188">
        <w:rPr>
          <w:rFonts w:ascii="Arial" w:hAnsi="Arial" w:cs="Arial"/>
          <w:sz w:val="19"/>
          <w:szCs w:val="19"/>
        </w:rPr>
        <w:t>»2. Una sociedad se disuelve sin liquidarse, dividiendo su patrimonio en dos o más partes, que se transfieren a varias sociedades existentes o se destinan a la creación de nuevas sociedades.</w:t>
      </w:r>
    </w:p>
    <w:p w14:paraId="3F986E19" w14:textId="77777777" w:rsidR="00374D49" w:rsidRPr="009C5188" w:rsidRDefault="00374D49" w:rsidP="00374D49">
      <w:pPr>
        <w:pStyle w:val="Textonotapie"/>
        <w:ind w:firstLine="708"/>
        <w:jc w:val="both"/>
        <w:rPr>
          <w:rFonts w:ascii="Arial" w:hAnsi="Arial" w:cs="Arial"/>
          <w:sz w:val="19"/>
          <w:szCs w:val="19"/>
        </w:rPr>
      </w:pPr>
      <w:r w:rsidRPr="009C5188">
        <w:rPr>
          <w:rFonts w:ascii="Arial" w:hAnsi="Arial" w:cs="Arial"/>
          <w:sz w:val="19"/>
          <w:szCs w:val="19"/>
        </w:rPr>
        <w:t>»La sociedad o sociedades destinatarias de las transferencias resultantes de la escisión, se denominarán sociedades beneficiarias.</w:t>
      </w:r>
    </w:p>
    <w:p w14:paraId="55C482A2" w14:textId="77777777" w:rsidR="00374D49" w:rsidRPr="009C5188" w:rsidRDefault="00374D49" w:rsidP="00374D49">
      <w:pPr>
        <w:pStyle w:val="Textonotapie"/>
        <w:ind w:firstLine="708"/>
        <w:jc w:val="both"/>
        <w:rPr>
          <w:rFonts w:ascii="Arial" w:hAnsi="Arial" w:cs="Arial"/>
          <w:sz w:val="19"/>
          <w:szCs w:val="19"/>
          <w:lang w:val="es-CO"/>
        </w:rPr>
      </w:pPr>
      <w:r w:rsidRPr="009C5188">
        <w:rPr>
          <w:rFonts w:ascii="Arial" w:hAnsi="Arial" w:cs="Arial"/>
          <w:sz w:val="19"/>
          <w:szCs w:val="19"/>
        </w:rPr>
        <w:t>»Los socios de la sociedad escindida participarán en el capital de las Sociedades beneficiarias en la misma proporción que tengan en aquélla, salvo que por unanimidad de las acciones, cuotas sociales o partes de interés representadas en la asamblea o junta de socios de la escindente, se apruebe una participación diferente».</w:t>
      </w:r>
    </w:p>
  </w:footnote>
  <w:footnote w:id="13">
    <w:p w14:paraId="6ED45A9D" w14:textId="77777777" w:rsidR="00374D49" w:rsidRPr="009C5188" w:rsidRDefault="00374D49" w:rsidP="00374D49">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172. Fusión de la sociedad-concepto. Habrá fusión cuando una o más sociedades se disuelvan, sin liquidarse, para ser absorbidas por otra o para crear una nueva.</w:t>
      </w:r>
    </w:p>
    <w:p w14:paraId="63A52A1A" w14:textId="77777777" w:rsidR="00374D49" w:rsidRPr="009C5188" w:rsidRDefault="00374D49" w:rsidP="00374D49">
      <w:pPr>
        <w:pStyle w:val="Textonotapie"/>
        <w:ind w:firstLine="708"/>
        <w:jc w:val="both"/>
        <w:rPr>
          <w:rFonts w:ascii="Arial" w:hAnsi="Arial" w:cs="Arial"/>
          <w:sz w:val="19"/>
          <w:szCs w:val="19"/>
        </w:rPr>
      </w:pPr>
      <w:r w:rsidRPr="009C5188">
        <w:rPr>
          <w:rFonts w:ascii="Arial" w:hAnsi="Arial" w:cs="Arial"/>
          <w:sz w:val="19"/>
          <w:szCs w:val="19"/>
        </w:rPr>
        <w:t>»La absorbente o la nueva compañía adquirirá los derechos y obligaciones de la sociedad o sociedades disueltas al formalizarse el acuerdo de fusión».</w:t>
      </w:r>
    </w:p>
    <w:p w14:paraId="524D0508" w14:textId="77777777" w:rsidR="00374D49" w:rsidRPr="009C5188" w:rsidRDefault="00374D49" w:rsidP="00374D49">
      <w:pPr>
        <w:pStyle w:val="Textonotapie"/>
        <w:jc w:val="both"/>
        <w:rPr>
          <w:rFonts w:ascii="Arial" w:hAnsi="Arial" w:cs="Arial"/>
          <w:sz w:val="19"/>
          <w:szCs w:val="19"/>
          <w:lang w:val="es-CO"/>
        </w:rPr>
      </w:pPr>
    </w:p>
  </w:footnote>
  <w:footnote w:id="14">
    <w:p w14:paraId="6FC6D8B9" w14:textId="77777777" w:rsidR="00374D49" w:rsidRPr="009C5188" w:rsidRDefault="00374D49" w:rsidP="00374D49">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Código de Comercio: «Artículo 180. Formación de nueva sociedad que continua negocios de la disuelta. Lo dispuesto en esta Sección podrá aplicarse también al caso de la formación de una nueva sociedad para continuar los negocios de una sociedad disuelta, siempre que no haya variaciones en el giro de sus actividades o negocios y que la operación se celebre dentro de los seis meses siguientes a la fecha de disolución».</w:t>
      </w:r>
    </w:p>
    <w:p w14:paraId="3A7522B9" w14:textId="77777777" w:rsidR="00374D49" w:rsidRPr="009C5188" w:rsidRDefault="00374D49" w:rsidP="00374D49">
      <w:pPr>
        <w:pStyle w:val="Textonotapie"/>
        <w:ind w:firstLine="708"/>
        <w:jc w:val="both"/>
        <w:rPr>
          <w:rFonts w:ascii="Arial" w:hAnsi="Arial" w:cs="Arial"/>
          <w:sz w:val="19"/>
          <w:szCs w:val="19"/>
          <w:lang w:val="es-CO"/>
        </w:rPr>
      </w:pPr>
    </w:p>
  </w:footnote>
  <w:footnote w:id="15">
    <w:p w14:paraId="3AC1F43D" w14:textId="77777777" w:rsidR="00374D49" w:rsidRPr="009C5188" w:rsidRDefault="00374D49" w:rsidP="00374D49">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1258 de 2008: «Artículo 33. Fusión abreviada. En aquellos casos en que una sociedad detente más del noventa (90%) de las acciones de una sociedad por acciones simplificada, aquella podrá absorber a esta, mediante determinación adoptada por los representantes legales o por las juntas directivas de las sociedades participantes en el proceso de fusión.</w:t>
      </w:r>
    </w:p>
    <w:p w14:paraId="3DC3AA9E" w14:textId="77777777" w:rsidR="00374D49" w:rsidRPr="009C5188" w:rsidRDefault="00374D49" w:rsidP="00374D49">
      <w:pPr>
        <w:pStyle w:val="Textonotapie"/>
        <w:ind w:firstLine="708"/>
        <w:jc w:val="both"/>
        <w:rPr>
          <w:rFonts w:ascii="Arial" w:hAnsi="Arial" w:cs="Arial"/>
          <w:sz w:val="19"/>
          <w:szCs w:val="19"/>
        </w:rPr>
      </w:pPr>
      <w:r w:rsidRPr="009C5188">
        <w:rPr>
          <w:rFonts w:ascii="Arial" w:hAnsi="Arial" w:cs="Arial"/>
          <w:sz w:val="19"/>
          <w:szCs w:val="19"/>
        </w:rPr>
        <w:t>»El acuerdo de fusión podrá realizarse por documento privado inscrito en el Registro Mercantil, salvo que dentro de los activos transferidos se encuentren bienes cuya enajenación requiera escritura pública. La fusión podrá dar lugar al derecho de retiro a favor de los accionistas ausentes y disidentes en los términos de la Ley 222 de 1995, así como a la acción de oposición judicial prevista en el artículo 175 del Código de Comercio.</w:t>
      </w:r>
    </w:p>
    <w:p w14:paraId="16753CCD" w14:textId="77777777" w:rsidR="00374D49" w:rsidRPr="009C5188" w:rsidRDefault="00374D49" w:rsidP="00374D49">
      <w:pPr>
        <w:pStyle w:val="Textonotapie"/>
        <w:ind w:firstLine="708"/>
        <w:jc w:val="both"/>
        <w:rPr>
          <w:rFonts w:ascii="Arial" w:hAnsi="Arial" w:cs="Arial"/>
          <w:sz w:val="19"/>
          <w:szCs w:val="19"/>
        </w:rPr>
      </w:pPr>
      <w:r w:rsidRPr="009C5188">
        <w:rPr>
          <w:rFonts w:ascii="Arial" w:hAnsi="Arial" w:cs="Arial"/>
          <w:sz w:val="19"/>
          <w:szCs w:val="19"/>
        </w:rPr>
        <w:t>»El texto del acuerdo de fusión abreviada tendrá que ser publicado en un diario de amplia circulación según lo establece la Ley 222 de 1995, dentro de ese mismo término habrá lugar a la oposición por parte de terceros interesados quienes podrán exigir garantías necesarias y/o suficientes».</w:t>
      </w:r>
    </w:p>
    <w:p w14:paraId="2AAA504D" w14:textId="77777777" w:rsidR="00374D49" w:rsidRPr="009C5188" w:rsidRDefault="00374D49" w:rsidP="00374D49">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68211595">
    <w:abstractNumId w:val="9"/>
  </w:num>
  <w:num w:numId="2" w16cid:durableId="1978147739">
    <w:abstractNumId w:val="7"/>
  </w:num>
  <w:num w:numId="3" w16cid:durableId="1567063018">
    <w:abstractNumId w:val="12"/>
  </w:num>
  <w:num w:numId="4" w16cid:durableId="2074428164">
    <w:abstractNumId w:val="15"/>
  </w:num>
  <w:num w:numId="5" w16cid:durableId="383717021">
    <w:abstractNumId w:val="19"/>
  </w:num>
  <w:num w:numId="6" w16cid:durableId="46762392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5077997">
    <w:abstractNumId w:val="17"/>
  </w:num>
  <w:num w:numId="8" w16cid:durableId="912542085">
    <w:abstractNumId w:val="0"/>
  </w:num>
  <w:num w:numId="9" w16cid:durableId="1507787382">
    <w:abstractNumId w:val="3"/>
  </w:num>
  <w:num w:numId="10" w16cid:durableId="18642487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5259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4300200">
    <w:abstractNumId w:val="8"/>
  </w:num>
  <w:num w:numId="13" w16cid:durableId="1422411060">
    <w:abstractNumId w:val="11"/>
  </w:num>
  <w:num w:numId="14" w16cid:durableId="152723963">
    <w:abstractNumId w:val="6"/>
  </w:num>
  <w:num w:numId="15" w16cid:durableId="128773513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47005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8555675">
    <w:abstractNumId w:val="21"/>
  </w:num>
  <w:num w:numId="18" w16cid:durableId="848980999">
    <w:abstractNumId w:val="13"/>
  </w:num>
  <w:num w:numId="19" w16cid:durableId="161748281">
    <w:abstractNumId w:val="2"/>
  </w:num>
  <w:num w:numId="20" w16cid:durableId="930549247">
    <w:abstractNumId w:val="22"/>
  </w:num>
  <w:num w:numId="21" w16cid:durableId="765078453">
    <w:abstractNumId w:val="14"/>
  </w:num>
  <w:num w:numId="22" w16cid:durableId="1827891642">
    <w:abstractNumId w:val="5"/>
  </w:num>
  <w:num w:numId="23" w16cid:durableId="1420327253">
    <w:abstractNumId w:val="4"/>
  </w:num>
  <w:num w:numId="24" w16cid:durableId="216205179">
    <w:abstractNumId w:val="20"/>
  </w:num>
  <w:num w:numId="25" w16cid:durableId="8666033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31A8"/>
    <w:rsid w:val="00003C5C"/>
    <w:rsid w:val="000040D7"/>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D0A"/>
    <w:rsid w:val="000263F0"/>
    <w:rsid w:val="00026407"/>
    <w:rsid w:val="00026608"/>
    <w:rsid w:val="00027787"/>
    <w:rsid w:val="000278D2"/>
    <w:rsid w:val="00031158"/>
    <w:rsid w:val="00031364"/>
    <w:rsid w:val="000315E1"/>
    <w:rsid w:val="0003236E"/>
    <w:rsid w:val="0003339A"/>
    <w:rsid w:val="0003370C"/>
    <w:rsid w:val="000341F2"/>
    <w:rsid w:val="00035046"/>
    <w:rsid w:val="000351F2"/>
    <w:rsid w:val="00036E03"/>
    <w:rsid w:val="000406DB"/>
    <w:rsid w:val="0004094D"/>
    <w:rsid w:val="00041029"/>
    <w:rsid w:val="0004149B"/>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26F0"/>
    <w:rsid w:val="0005273D"/>
    <w:rsid w:val="00052B79"/>
    <w:rsid w:val="00052EA0"/>
    <w:rsid w:val="000536A7"/>
    <w:rsid w:val="000536E3"/>
    <w:rsid w:val="00053896"/>
    <w:rsid w:val="0005474D"/>
    <w:rsid w:val="00055CB9"/>
    <w:rsid w:val="00056F66"/>
    <w:rsid w:val="0005702F"/>
    <w:rsid w:val="00061010"/>
    <w:rsid w:val="00061D06"/>
    <w:rsid w:val="00062CDD"/>
    <w:rsid w:val="000635D9"/>
    <w:rsid w:val="000640AF"/>
    <w:rsid w:val="00064940"/>
    <w:rsid w:val="00064CAE"/>
    <w:rsid w:val="00064DB7"/>
    <w:rsid w:val="00064FA7"/>
    <w:rsid w:val="00065195"/>
    <w:rsid w:val="0006536C"/>
    <w:rsid w:val="00070AF1"/>
    <w:rsid w:val="000714DE"/>
    <w:rsid w:val="0007254F"/>
    <w:rsid w:val="00073C30"/>
    <w:rsid w:val="00074305"/>
    <w:rsid w:val="000744D0"/>
    <w:rsid w:val="00074B2A"/>
    <w:rsid w:val="00074EEE"/>
    <w:rsid w:val="000753D5"/>
    <w:rsid w:val="00075B3E"/>
    <w:rsid w:val="00076456"/>
    <w:rsid w:val="0007779B"/>
    <w:rsid w:val="000777E7"/>
    <w:rsid w:val="0007790A"/>
    <w:rsid w:val="0008017B"/>
    <w:rsid w:val="000808C5"/>
    <w:rsid w:val="00080ACD"/>
    <w:rsid w:val="000811ED"/>
    <w:rsid w:val="00081D62"/>
    <w:rsid w:val="00082B74"/>
    <w:rsid w:val="00083099"/>
    <w:rsid w:val="00083EDC"/>
    <w:rsid w:val="000842BE"/>
    <w:rsid w:val="00084B97"/>
    <w:rsid w:val="0008510E"/>
    <w:rsid w:val="000856DE"/>
    <w:rsid w:val="00085F17"/>
    <w:rsid w:val="00085FB0"/>
    <w:rsid w:val="00085FB3"/>
    <w:rsid w:val="0008686B"/>
    <w:rsid w:val="00086B2A"/>
    <w:rsid w:val="00086ED2"/>
    <w:rsid w:val="000914D6"/>
    <w:rsid w:val="00091569"/>
    <w:rsid w:val="00092CDB"/>
    <w:rsid w:val="00092DCA"/>
    <w:rsid w:val="000942EB"/>
    <w:rsid w:val="00095B70"/>
    <w:rsid w:val="0009617E"/>
    <w:rsid w:val="0009628D"/>
    <w:rsid w:val="0009670F"/>
    <w:rsid w:val="000979CF"/>
    <w:rsid w:val="000A03C8"/>
    <w:rsid w:val="000A05F2"/>
    <w:rsid w:val="000A06C4"/>
    <w:rsid w:val="000A0861"/>
    <w:rsid w:val="000A0ED1"/>
    <w:rsid w:val="000A12DB"/>
    <w:rsid w:val="000A17C8"/>
    <w:rsid w:val="000A1B74"/>
    <w:rsid w:val="000A20D7"/>
    <w:rsid w:val="000A2128"/>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B86"/>
    <w:rsid w:val="000B3051"/>
    <w:rsid w:val="000B419B"/>
    <w:rsid w:val="000B5781"/>
    <w:rsid w:val="000B5CB1"/>
    <w:rsid w:val="000B6D08"/>
    <w:rsid w:val="000C0185"/>
    <w:rsid w:val="000C0F81"/>
    <w:rsid w:val="000C128D"/>
    <w:rsid w:val="000C17A3"/>
    <w:rsid w:val="000C1D4B"/>
    <w:rsid w:val="000C2DC4"/>
    <w:rsid w:val="000C3260"/>
    <w:rsid w:val="000C3B77"/>
    <w:rsid w:val="000C3F6D"/>
    <w:rsid w:val="000C4F49"/>
    <w:rsid w:val="000C5861"/>
    <w:rsid w:val="000C5BDE"/>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3282"/>
    <w:rsid w:val="000D3FDC"/>
    <w:rsid w:val="000D490B"/>
    <w:rsid w:val="000D4E38"/>
    <w:rsid w:val="000D50DB"/>
    <w:rsid w:val="000D6288"/>
    <w:rsid w:val="000D7541"/>
    <w:rsid w:val="000D75E1"/>
    <w:rsid w:val="000D79F4"/>
    <w:rsid w:val="000E22CF"/>
    <w:rsid w:val="000E2977"/>
    <w:rsid w:val="000E2CC0"/>
    <w:rsid w:val="000E30AC"/>
    <w:rsid w:val="000E3B46"/>
    <w:rsid w:val="000E3E11"/>
    <w:rsid w:val="000E4596"/>
    <w:rsid w:val="000E5768"/>
    <w:rsid w:val="000E5843"/>
    <w:rsid w:val="000E6139"/>
    <w:rsid w:val="000E6BE1"/>
    <w:rsid w:val="000E7E0B"/>
    <w:rsid w:val="000F0136"/>
    <w:rsid w:val="000F078A"/>
    <w:rsid w:val="000F122D"/>
    <w:rsid w:val="000F1450"/>
    <w:rsid w:val="000F14E8"/>
    <w:rsid w:val="000F1BBD"/>
    <w:rsid w:val="000F290F"/>
    <w:rsid w:val="000F4403"/>
    <w:rsid w:val="000F4702"/>
    <w:rsid w:val="000F480B"/>
    <w:rsid w:val="000F4E17"/>
    <w:rsid w:val="000F6578"/>
    <w:rsid w:val="000F7E8F"/>
    <w:rsid w:val="000F7FBB"/>
    <w:rsid w:val="001000FB"/>
    <w:rsid w:val="00100A9E"/>
    <w:rsid w:val="00100F6A"/>
    <w:rsid w:val="00102605"/>
    <w:rsid w:val="00102686"/>
    <w:rsid w:val="00102745"/>
    <w:rsid w:val="00103795"/>
    <w:rsid w:val="00103915"/>
    <w:rsid w:val="00103EA0"/>
    <w:rsid w:val="00104F1C"/>
    <w:rsid w:val="001051E5"/>
    <w:rsid w:val="00105A74"/>
    <w:rsid w:val="00105ACB"/>
    <w:rsid w:val="00105AEF"/>
    <w:rsid w:val="00106259"/>
    <w:rsid w:val="001068EB"/>
    <w:rsid w:val="001078CE"/>
    <w:rsid w:val="00110F61"/>
    <w:rsid w:val="001111BD"/>
    <w:rsid w:val="0011165A"/>
    <w:rsid w:val="001116C6"/>
    <w:rsid w:val="00111B2B"/>
    <w:rsid w:val="00112774"/>
    <w:rsid w:val="00112B2E"/>
    <w:rsid w:val="00113003"/>
    <w:rsid w:val="00113062"/>
    <w:rsid w:val="00113705"/>
    <w:rsid w:val="00113975"/>
    <w:rsid w:val="00113CFC"/>
    <w:rsid w:val="00113FEA"/>
    <w:rsid w:val="00114A22"/>
    <w:rsid w:val="00114E9D"/>
    <w:rsid w:val="0011507B"/>
    <w:rsid w:val="0011627A"/>
    <w:rsid w:val="00116328"/>
    <w:rsid w:val="001163CF"/>
    <w:rsid w:val="001174C9"/>
    <w:rsid w:val="00117E69"/>
    <w:rsid w:val="00121103"/>
    <w:rsid w:val="00121BAB"/>
    <w:rsid w:val="00121E3C"/>
    <w:rsid w:val="00122B23"/>
    <w:rsid w:val="00122B7E"/>
    <w:rsid w:val="00123FB5"/>
    <w:rsid w:val="0012400F"/>
    <w:rsid w:val="001249DC"/>
    <w:rsid w:val="0012572D"/>
    <w:rsid w:val="00125BED"/>
    <w:rsid w:val="00125C59"/>
    <w:rsid w:val="00125D4F"/>
    <w:rsid w:val="00125DDE"/>
    <w:rsid w:val="00127004"/>
    <w:rsid w:val="00127AF2"/>
    <w:rsid w:val="00127EDC"/>
    <w:rsid w:val="00127F6D"/>
    <w:rsid w:val="00130355"/>
    <w:rsid w:val="00130365"/>
    <w:rsid w:val="00131B5A"/>
    <w:rsid w:val="00132C30"/>
    <w:rsid w:val="00132EFD"/>
    <w:rsid w:val="00133AED"/>
    <w:rsid w:val="00134E09"/>
    <w:rsid w:val="00135DB9"/>
    <w:rsid w:val="0013695C"/>
    <w:rsid w:val="00136BF7"/>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F35"/>
    <w:rsid w:val="00150005"/>
    <w:rsid w:val="001518D7"/>
    <w:rsid w:val="00151AEB"/>
    <w:rsid w:val="00151B99"/>
    <w:rsid w:val="001521B2"/>
    <w:rsid w:val="00152EDD"/>
    <w:rsid w:val="00153491"/>
    <w:rsid w:val="0015361C"/>
    <w:rsid w:val="0015372F"/>
    <w:rsid w:val="00153BFB"/>
    <w:rsid w:val="0015407E"/>
    <w:rsid w:val="0015448E"/>
    <w:rsid w:val="00154A6F"/>
    <w:rsid w:val="00155D08"/>
    <w:rsid w:val="00156BE5"/>
    <w:rsid w:val="00157232"/>
    <w:rsid w:val="00160401"/>
    <w:rsid w:val="00160D4E"/>
    <w:rsid w:val="00160DF9"/>
    <w:rsid w:val="00161DDA"/>
    <w:rsid w:val="00161E62"/>
    <w:rsid w:val="00161F1C"/>
    <w:rsid w:val="0016200B"/>
    <w:rsid w:val="00163D7A"/>
    <w:rsid w:val="00164281"/>
    <w:rsid w:val="00165703"/>
    <w:rsid w:val="0016685F"/>
    <w:rsid w:val="0016712F"/>
    <w:rsid w:val="00167503"/>
    <w:rsid w:val="001676A9"/>
    <w:rsid w:val="00167A15"/>
    <w:rsid w:val="00167A50"/>
    <w:rsid w:val="00167DF5"/>
    <w:rsid w:val="00170001"/>
    <w:rsid w:val="00172198"/>
    <w:rsid w:val="00172612"/>
    <w:rsid w:val="00172817"/>
    <w:rsid w:val="001734E3"/>
    <w:rsid w:val="001742BF"/>
    <w:rsid w:val="00175E49"/>
    <w:rsid w:val="0017649F"/>
    <w:rsid w:val="0017655D"/>
    <w:rsid w:val="001805C1"/>
    <w:rsid w:val="00180A2E"/>
    <w:rsid w:val="001813AF"/>
    <w:rsid w:val="001829CD"/>
    <w:rsid w:val="00182F01"/>
    <w:rsid w:val="00184F27"/>
    <w:rsid w:val="0018519B"/>
    <w:rsid w:val="00185966"/>
    <w:rsid w:val="00185A2D"/>
    <w:rsid w:val="00185AFE"/>
    <w:rsid w:val="00185E78"/>
    <w:rsid w:val="00187177"/>
    <w:rsid w:val="00187ABD"/>
    <w:rsid w:val="001904E3"/>
    <w:rsid w:val="0019087A"/>
    <w:rsid w:val="00191C5A"/>
    <w:rsid w:val="00191CEB"/>
    <w:rsid w:val="00191E63"/>
    <w:rsid w:val="00192D68"/>
    <w:rsid w:val="0019388B"/>
    <w:rsid w:val="00193B9A"/>
    <w:rsid w:val="001940ED"/>
    <w:rsid w:val="001946AE"/>
    <w:rsid w:val="001946D5"/>
    <w:rsid w:val="00194E8C"/>
    <w:rsid w:val="001962EC"/>
    <w:rsid w:val="001963DD"/>
    <w:rsid w:val="001965DB"/>
    <w:rsid w:val="00196D01"/>
    <w:rsid w:val="00196DC9"/>
    <w:rsid w:val="00196E95"/>
    <w:rsid w:val="001A0236"/>
    <w:rsid w:val="001A0AF8"/>
    <w:rsid w:val="001A18D5"/>
    <w:rsid w:val="001A1A38"/>
    <w:rsid w:val="001A1BE0"/>
    <w:rsid w:val="001A1D4A"/>
    <w:rsid w:val="001A3011"/>
    <w:rsid w:val="001A4A9B"/>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456"/>
    <w:rsid w:val="001B246B"/>
    <w:rsid w:val="001B449C"/>
    <w:rsid w:val="001B4AA2"/>
    <w:rsid w:val="001B4ADE"/>
    <w:rsid w:val="001B5EF8"/>
    <w:rsid w:val="001B615D"/>
    <w:rsid w:val="001C07C6"/>
    <w:rsid w:val="001C19CD"/>
    <w:rsid w:val="001C22D5"/>
    <w:rsid w:val="001C2515"/>
    <w:rsid w:val="001C26FB"/>
    <w:rsid w:val="001C2BE4"/>
    <w:rsid w:val="001C33C1"/>
    <w:rsid w:val="001C3E30"/>
    <w:rsid w:val="001C3E5C"/>
    <w:rsid w:val="001C5072"/>
    <w:rsid w:val="001C5B2A"/>
    <w:rsid w:val="001C600B"/>
    <w:rsid w:val="001C6898"/>
    <w:rsid w:val="001C6DD8"/>
    <w:rsid w:val="001C7C7B"/>
    <w:rsid w:val="001D068D"/>
    <w:rsid w:val="001D12D1"/>
    <w:rsid w:val="001D15DF"/>
    <w:rsid w:val="001D30F3"/>
    <w:rsid w:val="001D31A0"/>
    <w:rsid w:val="001D338E"/>
    <w:rsid w:val="001D56E9"/>
    <w:rsid w:val="001D796A"/>
    <w:rsid w:val="001D7A84"/>
    <w:rsid w:val="001D7C79"/>
    <w:rsid w:val="001E003B"/>
    <w:rsid w:val="001E1CC4"/>
    <w:rsid w:val="001E1D38"/>
    <w:rsid w:val="001E28A0"/>
    <w:rsid w:val="001E4258"/>
    <w:rsid w:val="001E5AEF"/>
    <w:rsid w:val="001E5D6A"/>
    <w:rsid w:val="001E6A94"/>
    <w:rsid w:val="001E70FB"/>
    <w:rsid w:val="001E780A"/>
    <w:rsid w:val="001F0FA0"/>
    <w:rsid w:val="001F1349"/>
    <w:rsid w:val="001F1863"/>
    <w:rsid w:val="001F2356"/>
    <w:rsid w:val="001F2A68"/>
    <w:rsid w:val="001F4773"/>
    <w:rsid w:val="001F5008"/>
    <w:rsid w:val="001F51A9"/>
    <w:rsid w:val="001F56AA"/>
    <w:rsid w:val="001F58AA"/>
    <w:rsid w:val="001F5A4E"/>
    <w:rsid w:val="001F5EF6"/>
    <w:rsid w:val="001F657F"/>
    <w:rsid w:val="001F6FB6"/>
    <w:rsid w:val="001F72BB"/>
    <w:rsid w:val="001F7978"/>
    <w:rsid w:val="001F7A0E"/>
    <w:rsid w:val="0020022E"/>
    <w:rsid w:val="0020054E"/>
    <w:rsid w:val="00201AC4"/>
    <w:rsid w:val="00201F1E"/>
    <w:rsid w:val="0020299B"/>
    <w:rsid w:val="00202E44"/>
    <w:rsid w:val="002037AA"/>
    <w:rsid w:val="00203FE3"/>
    <w:rsid w:val="002042D8"/>
    <w:rsid w:val="00204515"/>
    <w:rsid w:val="00204BF5"/>
    <w:rsid w:val="00204E6B"/>
    <w:rsid w:val="002053EF"/>
    <w:rsid w:val="002058D4"/>
    <w:rsid w:val="0020632A"/>
    <w:rsid w:val="0020697F"/>
    <w:rsid w:val="002110EB"/>
    <w:rsid w:val="00211338"/>
    <w:rsid w:val="00211388"/>
    <w:rsid w:val="0021148C"/>
    <w:rsid w:val="00211694"/>
    <w:rsid w:val="0021201A"/>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6055"/>
    <w:rsid w:val="0022613F"/>
    <w:rsid w:val="00226236"/>
    <w:rsid w:val="002270C9"/>
    <w:rsid w:val="00227A8B"/>
    <w:rsid w:val="0023146B"/>
    <w:rsid w:val="002315A0"/>
    <w:rsid w:val="0023161C"/>
    <w:rsid w:val="00231748"/>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2D62"/>
    <w:rsid w:val="002430D0"/>
    <w:rsid w:val="002431D7"/>
    <w:rsid w:val="00244058"/>
    <w:rsid w:val="00245718"/>
    <w:rsid w:val="00245E07"/>
    <w:rsid w:val="00247712"/>
    <w:rsid w:val="00250EC6"/>
    <w:rsid w:val="002515C7"/>
    <w:rsid w:val="00251866"/>
    <w:rsid w:val="00251A9F"/>
    <w:rsid w:val="00252492"/>
    <w:rsid w:val="00252B35"/>
    <w:rsid w:val="0025316D"/>
    <w:rsid w:val="00253A02"/>
    <w:rsid w:val="00253B81"/>
    <w:rsid w:val="002554DE"/>
    <w:rsid w:val="00255575"/>
    <w:rsid w:val="00255E11"/>
    <w:rsid w:val="00256835"/>
    <w:rsid w:val="002569F0"/>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4CA"/>
    <w:rsid w:val="00263A37"/>
    <w:rsid w:val="0026478A"/>
    <w:rsid w:val="0026480D"/>
    <w:rsid w:val="002653A6"/>
    <w:rsid w:val="002661F1"/>
    <w:rsid w:val="00266DB6"/>
    <w:rsid w:val="002711A4"/>
    <w:rsid w:val="00271F13"/>
    <w:rsid w:val="0027278E"/>
    <w:rsid w:val="0027482E"/>
    <w:rsid w:val="00274DB5"/>
    <w:rsid w:val="00275BB1"/>
    <w:rsid w:val="00277933"/>
    <w:rsid w:val="00277F8D"/>
    <w:rsid w:val="00277FA7"/>
    <w:rsid w:val="00280046"/>
    <w:rsid w:val="00280B4F"/>
    <w:rsid w:val="00280F3D"/>
    <w:rsid w:val="0028106A"/>
    <w:rsid w:val="00281EB4"/>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90781"/>
    <w:rsid w:val="00291784"/>
    <w:rsid w:val="002920DF"/>
    <w:rsid w:val="0029273C"/>
    <w:rsid w:val="002929BB"/>
    <w:rsid w:val="00294368"/>
    <w:rsid w:val="00294B78"/>
    <w:rsid w:val="00295416"/>
    <w:rsid w:val="00295949"/>
    <w:rsid w:val="0029624A"/>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E5C"/>
    <w:rsid w:val="002A7F6D"/>
    <w:rsid w:val="002B1342"/>
    <w:rsid w:val="002B1F83"/>
    <w:rsid w:val="002B27C8"/>
    <w:rsid w:val="002B2A7F"/>
    <w:rsid w:val="002B330B"/>
    <w:rsid w:val="002B39BE"/>
    <w:rsid w:val="002B438C"/>
    <w:rsid w:val="002B48DB"/>
    <w:rsid w:val="002B4B34"/>
    <w:rsid w:val="002B541A"/>
    <w:rsid w:val="002B5EAB"/>
    <w:rsid w:val="002B6407"/>
    <w:rsid w:val="002B6416"/>
    <w:rsid w:val="002B6459"/>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9BB"/>
    <w:rsid w:val="002D1A9B"/>
    <w:rsid w:val="002D20F8"/>
    <w:rsid w:val="002D22BD"/>
    <w:rsid w:val="002D22C5"/>
    <w:rsid w:val="002D302A"/>
    <w:rsid w:val="002D36C6"/>
    <w:rsid w:val="002D37C1"/>
    <w:rsid w:val="002D444B"/>
    <w:rsid w:val="002D4A45"/>
    <w:rsid w:val="002D4B42"/>
    <w:rsid w:val="002D4B43"/>
    <w:rsid w:val="002D5A1B"/>
    <w:rsid w:val="002D65BC"/>
    <w:rsid w:val="002D6A45"/>
    <w:rsid w:val="002E055C"/>
    <w:rsid w:val="002E1050"/>
    <w:rsid w:val="002E107E"/>
    <w:rsid w:val="002E18E5"/>
    <w:rsid w:val="002E1953"/>
    <w:rsid w:val="002E2CB5"/>
    <w:rsid w:val="002E2D7D"/>
    <w:rsid w:val="002E32D0"/>
    <w:rsid w:val="002E3D76"/>
    <w:rsid w:val="002E40A1"/>
    <w:rsid w:val="002E48EC"/>
    <w:rsid w:val="002E4B44"/>
    <w:rsid w:val="002E4ECB"/>
    <w:rsid w:val="002E4F23"/>
    <w:rsid w:val="002E635A"/>
    <w:rsid w:val="002E6D68"/>
    <w:rsid w:val="002E7847"/>
    <w:rsid w:val="002F0073"/>
    <w:rsid w:val="002F1C67"/>
    <w:rsid w:val="002F240B"/>
    <w:rsid w:val="002F2F50"/>
    <w:rsid w:val="002F33EC"/>
    <w:rsid w:val="002F34E3"/>
    <w:rsid w:val="002F3601"/>
    <w:rsid w:val="002F45F6"/>
    <w:rsid w:val="002F5A6F"/>
    <w:rsid w:val="002F692F"/>
    <w:rsid w:val="002F7B66"/>
    <w:rsid w:val="00300CB4"/>
    <w:rsid w:val="00300E24"/>
    <w:rsid w:val="003033BA"/>
    <w:rsid w:val="00303C19"/>
    <w:rsid w:val="003043A3"/>
    <w:rsid w:val="00304BD4"/>
    <w:rsid w:val="0030500A"/>
    <w:rsid w:val="003052EB"/>
    <w:rsid w:val="00305FCB"/>
    <w:rsid w:val="003063C3"/>
    <w:rsid w:val="003069DC"/>
    <w:rsid w:val="00306B44"/>
    <w:rsid w:val="00307C44"/>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3A88"/>
    <w:rsid w:val="00335B15"/>
    <w:rsid w:val="00335B21"/>
    <w:rsid w:val="00335D3F"/>
    <w:rsid w:val="00336104"/>
    <w:rsid w:val="0033672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F74"/>
    <w:rsid w:val="003560DB"/>
    <w:rsid w:val="003564DB"/>
    <w:rsid w:val="00356F87"/>
    <w:rsid w:val="00360CF3"/>
    <w:rsid w:val="00361A59"/>
    <w:rsid w:val="00363348"/>
    <w:rsid w:val="00363857"/>
    <w:rsid w:val="00363D59"/>
    <w:rsid w:val="003640F7"/>
    <w:rsid w:val="00365D3A"/>
    <w:rsid w:val="003664FF"/>
    <w:rsid w:val="00366BD2"/>
    <w:rsid w:val="003670B8"/>
    <w:rsid w:val="00367519"/>
    <w:rsid w:val="003704A3"/>
    <w:rsid w:val="003706F2"/>
    <w:rsid w:val="0037124F"/>
    <w:rsid w:val="003722B3"/>
    <w:rsid w:val="00373827"/>
    <w:rsid w:val="0037401C"/>
    <w:rsid w:val="00374D49"/>
    <w:rsid w:val="0037507B"/>
    <w:rsid w:val="00375C7C"/>
    <w:rsid w:val="00377027"/>
    <w:rsid w:val="00377135"/>
    <w:rsid w:val="00380272"/>
    <w:rsid w:val="003805DB"/>
    <w:rsid w:val="0038152A"/>
    <w:rsid w:val="00382BAD"/>
    <w:rsid w:val="003835FD"/>
    <w:rsid w:val="00384DF1"/>
    <w:rsid w:val="00384FF3"/>
    <w:rsid w:val="0038512F"/>
    <w:rsid w:val="00386456"/>
    <w:rsid w:val="003865A9"/>
    <w:rsid w:val="0039092B"/>
    <w:rsid w:val="00390F32"/>
    <w:rsid w:val="0039135E"/>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199"/>
    <w:rsid w:val="003A4A8E"/>
    <w:rsid w:val="003A563C"/>
    <w:rsid w:val="003A581E"/>
    <w:rsid w:val="003A6160"/>
    <w:rsid w:val="003A65A5"/>
    <w:rsid w:val="003A72F5"/>
    <w:rsid w:val="003A78E5"/>
    <w:rsid w:val="003B0341"/>
    <w:rsid w:val="003B1E57"/>
    <w:rsid w:val="003B2EF3"/>
    <w:rsid w:val="003B4A4D"/>
    <w:rsid w:val="003B534F"/>
    <w:rsid w:val="003B5391"/>
    <w:rsid w:val="003B58CE"/>
    <w:rsid w:val="003B65D7"/>
    <w:rsid w:val="003B65E0"/>
    <w:rsid w:val="003B6BD4"/>
    <w:rsid w:val="003B6F4D"/>
    <w:rsid w:val="003B6FE7"/>
    <w:rsid w:val="003C0D1F"/>
    <w:rsid w:val="003C116A"/>
    <w:rsid w:val="003C1AF4"/>
    <w:rsid w:val="003C1CB8"/>
    <w:rsid w:val="003C22DA"/>
    <w:rsid w:val="003C2550"/>
    <w:rsid w:val="003C287F"/>
    <w:rsid w:val="003C3339"/>
    <w:rsid w:val="003C375A"/>
    <w:rsid w:val="003C4D9F"/>
    <w:rsid w:val="003C5247"/>
    <w:rsid w:val="003C622C"/>
    <w:rsid w:val="003C6505"/>
    <w:rsid w:val="003C73C7"/>
    <w:rsid w:val="003C7CFB"/>
    <w:rsid w:val="003D050B"/>
    <w:rsid w:val="003D0B98"/>
    <w:rsid w:val="003D0C3C"/>
    <w:rsid w:val="003D0DE5"/>
    <w:rsid w:val="003D1351"/>
    <w:rsid w:val="003D21C1"/>
    <w:rsid w:val="003D3B15"/>
    <w:rsid w:val="003D3B2E"/>
    <w:rsid w:val="003D4101"/>
    <w:rsid w:val="003D484D"/>
    <w:rsid w:val="003D49CB"/>
    <w:rsid w:val="003D6B8F"/>
    <w:rsid w:val="003D7566"/>
    <w:rsid w:val="003D7FB3"/>
    <w:rsid w:val="003E0224"/>
    <w:rsid w:val="003E09BB"/>
    <w:rsid w:val="003E159D"/>
    <w:rsid w:val="003E20EA"/>
    <w:rsid w:val="003E210C"/>
    <w:rsid w:val="003E2F55"/>
    <w:rsid w:val="003E3239"/>
    <w:rsid w:val="003E34DB"/>
    <w:rsid w:val="003E3833"/>
    <w:rsid w:val="003E3AF9"/>
    <w:rsid w:val="003E4A70"/>
    <w:rsid w:val="003E4C48"/>
    <w:rsid w:val="003E4CD9"/>
    <w:rsid w:val="003E52C2"/>
    <w:rsid w:val="003E54B3"/>
    <w:rsid w:val="003E5780"/>
    <w:rsid w:val="003E5B9F"/>
    <w:rsid w:val="003E6072"/>
    <w:rsid w:val="003E6AB6"/>
    <w:rsid w:val="003E6E0B"/>
    <w:rsid w:val="003E71CD"/>
    <w:rsid w:val="003E72F0"/>
    <w:rsid w:val="003E78DA"/>
    <w:rsid w:val="003E7A8B"/>
    <w:rsid w:val="003F060E"/>
    <w:rsid w:val="003F0F7F"/>
    <w:rsid w:val="003F115C"/>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DE1"/>
    <w:rsid w:val="00402EEB"/>
    <w:rsid w:val="004037C2"/>
    <w:rsid w:val="00404041"/>
    <w:rsid w:val="004047DF"/>
    <w:rsid w:val="00404B43"/>
    <w:rsid w:val="00404C61"/>
    <w:rsid w:val="00405487"/>
    <w:rsid w:val="00405B8A"/>
    <w:rsid w:val="0040602B"/>
    <w:rsid w:val="00406DF5"/>
    <w:rsid w:val="00406F35"/>
    <w:rsid w:val="00407A7A"/>
    <w:rsid w:val="00407ABC"/>
    <w:rsid w:val="00407F1E"/>
    <w:rsid w:val="00410A88"/>
    <w:rsid w:val="00411317"/>
    <w:rsid w:val="00411692"/>
    <w:rsid w:val="00411A9E"/>
    <w:rsid w:val="0041259F"/>
    <w:rsid w:val="00412B4D"/>
    <w:rsid w:val="00412C51"/>
    <w:rsid w:val="00413262"/>
    <w:rsid w:val="0041329C"/>
    <w:rsid w:val="00413920"/>
    <w:rsid w:val="004139F4"/>
    <w:rsid w:val="00413FFA"/>
    <w:rsid w:val="00414246"/>
    <w:rsid w:val="00414D9A"/>
    <w:rsid w:val="00415194"/>
    <w:rsid w:val="00415816"/>
    <w:rsid w:val="00415B88"/>
    <w:rsid w:val="00415D32"/>
    <w:rsid w:val="004160A2"/>
    <w:rsid w:val="004170D7"/>
    <w:rsid w:val="004177A6"/>
    <w:rsid w:val="00417C23"/>
    <w:rsid w:val="00417EFD"/>
    <w:rsid w:val="004200EE"/>
    <w:rsid w:val="004209D2"/>
    <w:rsid w:val="00420D6E"/>
    <w:rsid w:val="0042158C"/>
    <w:rsid w:val="00421BD2"/>
    <w:rsid w:val="00421E00"/>
    <w:rsid w:val="00421FCB"/>
    <w:rsid w:val="00422DCA"/>
    <w:rsid w:val="00423F9F"/>
    <w:rsid w:val="00425C43"/>
    <w:rsid w:val="004273FA"/>
    <w:rsid w:val="004275A7"/>
    <w:rsid w:val="00430186"/>
    <w:rsid w:val="00430682"/>
    <w:rsid w:val="00431017"/>
    <w:rsid w:val="00431C0B"/>
    <w:rsid w:val="0043269A"/>
    <w:rsid w:val="004333C2"/>
    <w:rsid w:val="00434787"/>
    <w:rsid w:val="00434C13"/>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42F"/>
    <w:rsid w:val="0044772C"/>
    <w:rsid w:val="00450846"/>
    <w:rsid w:val="00451A52"/>
    <w:rsid w:val="0045271D"/>
    <w:rsid w:val="00452755"/>
    <w:rsid w:val="00452803"/>
    <w:rsid w:val="004529C6"/>
    <w:rsid w:val="00452EAD"/>
    <w:rsid w:val="004533D1"/>
    <w:rsid w:val="004534D1"/>
    <w:rsid w:val="00454548"/>
    <w:rsid w:val="00454717"/>
    <w:rsid w:val="00455004"/>
    <w:rsid w:val="00455047"/>
    <w:rsid w:val="00455354"/>
    <w:rsid w:val="0045558D"/>
    <w:rsid w:val="00455B70"/>
    <w:rsid w:val="00455BD3"/>
    <w:rsid w:val="00456970"/>
    <w:rsid w:val="00456BB1"/>
    <w:rsid w:val="00456CD4"/>
    <w:rsid w:val="00456DDB"/>
    <w:rsid w:val="00457031"/>
    <w:rsid w:val="00460915"/>
    <w:rsid w:val="00460946"/>
    <w:rsid w:val="004614A9"/>
    <w:rsid w:val="00461E97"/>
    <w:rsid w:val="0046268F"/>
    <w:rsid w:val="0046284F"/>
    <w:rsid w:val="00462B10"/>
    <w:rsid w:val="00462C04"/>
    <w:rsid w:val="0046320A"/>
    <w:rsid w:val="004632E2"/>
    <w:rsid w:val="004638E2"/>
    <w:rsid w:val="00464030"/>
    <w:rsid w:val="004647F8"/>
    <w:rsid w:val="004647FB"/>
    <w:rsid w:val="00465347"/>
    <w:rsid w:val="00465677"/>
    <w:rsid w:val="00466616"/>
    <w:rsid w:val="00466A0C"/>
    <w:rsid w:val="00466A53"/>
    <w:rsid w:val="004673A8"/>
    <w:rsid w:val="00467D4E"/>
    <w:rsid w:val="00470A6A"/>
    <w:rsid w:val="00470D73"/>
    <w:rsid w:val="00470D92"/>
    <w:rsid w:val="00471DF7"/>
    <w:rsid w:val="004734CF"/>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F0F"/>
    <w:rsid w:val="00484F40"/>
    <w:rsid w:val="0048540C"/>
    <w:rsid w:val="004861B4"/>
    <w:rsid w:val="00486BD0"/>
    <w:rsid w:val="00486D00"/>
    <w:rsid w:val="00487263"/>
    <w:rsid w:val="0048734F"/>
    <w:rsid w:val="0049029D"/>
    <w:rsid w:val="0049030C"/>
    <w:rsid w:val="004903C0"/>
    <w:rsid w:val="0049114B"/>
    <w:rsid w:val="004912A8"/>
    <w:rsid w:val="00491577"/>
    <w:rsid w:val="0049196A"/>
    <w:rsid w:val="0049196E"/>
    <w:rsid w:val="0049241A"/>
    <w:rsid w:val="00492C1F"/>
    <w:rsid w:val="00492E4C"/>
    <w:rsid w:val="00493664"/>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8EE"/>
    <w:rsid w:val="004A59B7"/>
    <w:rsid w:val="004A6051"/>
    <w:rsid w:val="004A623B"/>
    <w:rsid w:val="004A6A04"/>
    <w:rsid w:val="004A6A52"/>
    <w:rsid w:val="004B0A44"/>
    <w:rsid w:val="004B0F0B"/>
    <w:rsid w:val="004B2197"/>
    <w:rsid w:val="004B298A"/>
    <w:rsid w:val="004B50CB"/>
    <w:rsid w:val="004B578D"/>
    <w:rsid w:val="004B5BE7"/>
    <w:rsid w:val="004B5E2D"/>
    <w:rsid w:val="004B6C07"/>
    <w:rsid w:val="004B74D3"/>
    <w:rsid w:val="004B788E"/>
    <w:rsid w:val="004B7E5D"/>
    <w:rsid w:val="004C22F7"/>
    <w:rsid w:val="004C2B27"/>
    <w:rsid w:val="004C3929"/>
    <w:rsid w:val="004C5212"/>
    <w:rsid w:val="004C580A"/>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4EC1"/>
    <w:rsid w:val="004D584D"/>
    <w:rsid w:val="004D5A7E"/>
    <w:rsid w:val="004D6120"/>
    <w:rsid w:val="004D6826"/>
    <w:rsid w:val="004E023F"/>
    <w:rsid w:val="004E0546"/>
    <w:rsid w:val="004E0742"/>
    <w:rsid w:val="004E0C64"/>
    <w:rsid w:val="004E0F6B"/>
    <w:rsid w:val="004E1545"/>
    <w:rsid w:val="004E1F1C"/>
    <w:rsid w:val="004E2A35"/>
    <w:rsid w:val="004E40CE"/>
    <w:rsid w:val="004E5736"/>
    <w:rsid w:val="004E5A3C"/>
    <w:rsid w:val="004E5B36"/>
    <w:rsid w:val="004E5D5D"/>
    <w:rsid w:val="004E6045"/>
    <w:rsid w:val="004E6F43"/>
    <w:rsid w:val="004E7200"/>
    <w:rsid w:val="004E787E"/>
    <w:rsid w:val="004F0960"/>
    <w:rsid w:val="004F0A5C"/>
    <w:rsid w:val="004F163F"/>
    <w:rsid w:val="004F18A0"/>
    <w:rsid w:val="004F1A08"/>
    <w:rsid w:val="004F2B64"/>
    <w:rsid w:val="004F31B8"/>
    <w:rsid w:val="004F375E"/>
    <w:rsid w:val="004F3764"/>
    <w:rsid w:val="004F3DB4"/>
    <w:rsid w:val="004F3EEF"/>
    <w:rsid w:val="004F5180"/>
    <w:rsid w:val="004F57C9"/>
    <w:rsid w:val="004F5930"/>
    <w:rsid w:val="004F5970"/>
    <w:rsid w:val="004F5F0C"/>
    <w:rsid w:val="004F5F46"/>
    <w:rsid w:val="004F6121"/>
    <w:rsid w:val="004F6161"/>
    <w:rsid w:val="004F66BC"/>
    <w:rsid w:val="004F6B63"/>
    <w:rsid w:val="004F6C26"/>
    <w:rsid w:val="004F7AC9"/>
    <w:rsid w:val="0050062F"/>
    <w:rsid w:val="00500E74"/>
    <w:rsid w:val="0050160F"/>
    <w:rsid w:val="0050284E"/>
    <w:rsid w:val="0050306F"/>
    <w:rsid w:val="00505DCB"/>
    <w:rsid w:val="005075CA"/>
    <w:rsid w:val="00507B06"/>
    <w:rsid w:val="00507BF1"/>
    <w:rsid w:val="0051047A"/>
    <w:rsid w:val="0051074C"/>
    <w:rsid w:val="00510DE9"/>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1A30"/>
    <w:rsid w:val="005224E5"/>
    <w:rsid w:val="00523903"/>
    <w:rsid w:val="005239B6"/>
    <w:rsid w:val="00523C45"/>
    <w:rsid w:val="00524165"/>
    <w:rsid w:val="005246E7"/>
    <w:rsid w:val="00524B08"/>
    <w:rsid w:val="00524C38"/>
    <w:rsid w:val="00524FD2"/>
    <w:rsid w:val="00525621"/>
    <w:rsid w:val="00526431"/>
    <w:rsid w:val="00527532"/>
    <w:rsid w:val="00527703"/>
    <w:rsid w:val="00527DEB"/>
    <w:rsid w:val="00527E57"/>
    <w:rsid w:val="00527F2C"/>
    <w:rsid w:val="00530405"/>
    <w:rsid w:val="00530522"/>
    <w:rsid w:val="005305E5"/>
    <w:rsid w:val="00530CBA"/>
    <w:rsid w:val="00530F38"/>
    <w:rsid w:val="00531F26"/>
    <w:rsid w:val="0053277C"/>
    <w:rsid w:val="005327C0"/>
    <w:rsid w:val="00533101"/>
    <w:rsid w:val="00533CA9"/>
    <w:rsid w:val="005346AD"/>
    <w:rsid w:val="00534EFB"/>
    <w:rsid w:val="00534F60"/>
    <w:rsid w:val="005357F1"/>
    <w:rsid w:val="00536053"/>
    <w:rsid w:val="005369E6"/>
    <w:rsid w:val="005371AC"/>
    <w:rsid w:val="00537672"/>
    <w:rsid w:val="0053772F"/>
    <w:rsid w:val="00537B77"/>
    <w:rsid w:val="00540C4C"/>
    <w:rsid w:val="00541469"/>
    <w:rsid w:val="00541571"/>
    <w:rsid w:val="00541B1F"/>
    <w:rsid w:val="0054275A"/>
    <w:rsid w:val="005428B8"/>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BFF"/>
    <w:rsid w:val="00551D68"/>
    <w:rsid w:val="00551DFF"/>
    <w:rsid w:val="005525C9"/>
    <w:rsid w:val="00552B3E"/>
    <w:rsid w:val="00554D57"/>
    <w:rsid w:val="005551AA"/>
    <w:rsid w:val="005564CA"/>
    <w:rsid w:val="005568EA"/>
    <w:rsid w:val="00557140"/>
    <w:rsid w:val="00557984"/>
    <w:rsid w:val="00560C87"/>
    <w:rsid w:val="00560F51"/>
    <w:rsid w:val="00561249"/>
    <w:rsid w:val="0056182B"/>
    <w:rsid w:val="00561AF3"/>
    <w:rsid w:val="00561E0B"/>
    <w:rsid w:val="00562141"/>
    <w:rsid w:val="00562D86"/>
    <w:rsid w:val="00564704"/>
    <w:rsid w:val="00564712"/>
    <w:rsid w:val="005657A8"/>
    <w:rsid w:val="00565952"/>
    <w:rsid w:val="00566866"/>
    <w:rsid w:val="005670A5"/>
    <w:rsid w:val="00567285"/>
    <w:rsid w:val="00567723"/>
    <w:rsid w:val="0056772D"/>
    <w:rsid w:val="00567AB8"/>
    <w:rsid w:val="00570A26"/>
    <w:rsid w:val="00570CFD"/>
    <w:rsid w:val="00571872"/>
    <w:rsid w:val="0057221F"/>
    <w:rsid w:val="00572539"/>
    <w:rsid w:val="00573355"/>
    <w:rsid w:val="0057337D"/>
    <w:rsid w:val="00573504"/>
    <w:rsid w:val="00573BA3"/>
    <w:rsid w:val="00573C8C"/>
    <w:rsid w:val="005745F3"/>
    <w:rsid w:val="00574708"/>
    <w:rsid w:val="00574D81"/>
    <w:rsid w:val="005756AA"/>
    <w:rsid w:val="0057696F"/>
    <w:rsid w:val="005774FE"/>
    <w:rsid w:val="0058040C"/>
    <w:rsid w:val="00580D6D"/>
    <w:rsid w:val="005813DE"/>
    <w:rsid w:val="00581796"/>
    <w:rsid w:val="00581B45"/>
    <w:rsid w:val="00582480"/>
    <w:rsid w:val="00582805"/>
    <w:rsid w:val="0058290E"/>
    <w:rsid w:val="00582CAB"/>
    <w:rsid w:val="00582D08"/>
    <w:rsid w:val="00582FA6"/>
    <w:rsid w:val="0058375E"/>
    <w:rsid w:val="00584233"/>
    <w:rsid w:val="005842D0"/>
    <w:rsid w:val="005845FB"/>
    <w:rsid w:val="005855AE"/>
    <w:rsid w:val="00585829"/>
    <w:rsid w:val="00585CA8"/>
    <w:rsid w:val="00586412"/>
    <w:rsid w:val="005864B9"/>
    <w:rsid w:val="005866C4"/>
    <w:rsid w:val="00590F1A"/>
    <w:rsid w:val="00591C03"/>
    <w:rsid w:val="00591E2A"/>
    <w:rsid w:val="005923C4"/>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11F"/>
    <w:rsid w:val="005A6B75"/>
    <w:rsid w:val="005A6E00"/>
    <w:rsid w:val="005A718A"/>
    <w:rsid w:val="005A7752"/>
    <w:rsid w:val="005A7885"/>
    <w:rsid w:val="005B12B2"/>
    <w:rsid w:val="005B143B"/>
    <w:rsid w:val="005B19BD"/>
    <w:rsid w:val="005B1E45"/>
    <w:rsid w:val="005B21C4"/>
    <w:rsid w:val="005B2A28"/>
    <w:rsid w:val="005B3621"/>
    <w:rsid w:val="005B4948"/>
    <w:rsid w:val="005B501D"/>
    <w:rsid w:val="005B54CC"/>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7E45"/>
    <w:rsid w:val="005C7F3E"/>
    <w:rsid w:val="005D06D3"/>
    <w:rsid w:val="005D0C3B"/>
    <w:rsid w:val="005D1051"/>
    <w:rsid w:val="005D1606"/>
    <w:rsid w:val="005D2044"/>
    <w:rsid w:val="005D2917"/>
    <w:rsid w:val="005D2EB2"/>
    <w:rsid w:val="005D2F48"/>
    <w:rsid w:val="005D3B32"/>
    <w:rsid w:val="005D464B"/>
    <w:rsid w:val="005D466F"/>
    <w:rsid w:val="005D49F0"/>
    <w:rsid w:val="005D51F7"/>
    <w:rsid w:val="005D51FA"/>
    <w:rsid w:val="005D53E8"/>
    <w:rsid w:val="005D5A9D"/>
    <w:rsid w:val="005D6651"/>
    <w:rsid w:val="005D691D"/>
    <w:rsid w:val="005D6A72"/>
    <w:rsid w:val="005D6F38"/>
    <w:rsid w:val="005D791B"/>
    <w:rsid w:val="005D7CF2"/>
    <w:rsid w:val="005D7F92"/>
    <w:rsid w:val="005E0D7B"/>
    <w:rsid w:val="005E1595"/>
    <w:rsid w:val="005E1F1D"/>
    <w:rsid w:val="005E273D"/>
    <w:rsid w:val="005E3278"/>
    <w:rsid w:val="005E363B"/>
    <w:rsid w:val="005E3736"/>
    <w:rsid w:val="005F305B"/>
    <w:rsid w:val="005F3361"/>
    <w:rsid w:val="005F3B47"/>
    <w:rsid w:val="005F4481"/>
    <w:rsid w:val="005F47AC"/>
    <w:rsid w:val="005F49AF"/>
    <w:rsid w:val="005F4A58"/>
    <w:rsid w:val="005F54DF"/>
    <w:rsid w:val="005F5888"/>
    <w:rsid w:val="005F5984"/>
    <w:rsid w:val="005F5EAB"/>
    <w:rsid w:val="005F6CE2"/>
    <w:rsid w:val="005F6F24"/>
    <w:rsid w:val="005F72E9"/>
    <w:rsid w:val="005F780B"/>
    <w:rsid w:val="00600473"/>
    <w:rsid w:val="0060139A"/>
    <w:rsid w:val="006013C9"/>
    <w:rsid w:val="00602B45"/>
    <w:rsid w:val="00603499"/>
    <w:rsid w:val="006035F5"/>
    <w:rsid w:val="00603CC2"/>
    <w:rsid w:val="006047D1"/>
    <w:rsid w:val="00604A55"/>
    <w:rsid w:val="00604D4E"/>
    <w:rsid w:val="00604E3E"/>
    <w:rsid w:val="00605AC3"/>
    <w:rsid w:val="00606908"/>
    <w:rsid w:val="00607996"/>
    <w:rsid w:val="00607A37"/>
    <w:rsid w:val="00607E0A"/>
    <w:rsid w:val="00607E9F"/>
    <w:rsid w:val="0061085E"/>
    <w:rsid w:val="00611398"/>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470"/>
    <w:rsid w:val="00622725"/>
    <w:rsid w:val="006231AA"/>
    <w:rsid w:val="00623482"/>
    <w:rsid w:val="00623AC2"/>
    <w:rsid w:val="00623EBC"/>
    <w:rsid w:val="006266D7"/>
    <w:rsid w:val="00626D42"/>
    <w:rsid w:val="00626EE3"/>
    <w:rsid w:val="006274AD"/>
    <w:rsid w:val="00627519"/>
    <w:rsid w:val="00627532"/>
    <w:rsid w:val="006302AA"/>
    <w:rsid w:val="006310C3"/>
    <w:rsid w:val="0063161E"/>
    <w:rsid w:val="00631BB5"/>
    <w:rsid w:val="00631DD0"/>
    <w:rsid w:val="00633DBF"/>
    <w:rsid w:val="00634122"/>
    <w:rsid w:val="00634261"/>
    <w:rsid w:val="00635E32"/>
    <w:rsid w:val="006360FC"/>
    <w:rsid w:val="006365DE"/>
    <w:rsid w:val="00636BE4"/>
    <w:rsid w:val="00636F88"/>
    <w:rsid w:val="0063732C"/>
    <w:rsid w:val="00637802"/>
    <w:rsid w:val="00637836"/>
    <w:rsid w:val="00637C26"/>
    <w:rsid w:val="00637F44"/>
    <w:rsid w:val="00641078"/>
    <w:rsid w:val="00641242"/>
    <w:rsid w:val="00642A32"/>
    <w:rsid w:val="006433D5"/>
    <w:rsid w:val="00643412"/>
    <w:rsid w:val="00645CEB"/>
    <w:rsid w:val="00645E6E"/>
    <w:rsid w:val="00646B20"/>
    <w:rsid w:val="00646D0F"/>
    <w:rsid w:val="00647A36"/>
    <w:rsid w:val="00647DCC"/>
    <w:rsid w:val="00647EFA"/>
    <w:rsid w:val="00647F14"/>
    <w:rsid w:val="00650027"/>
    <w:rsid w:val="00651B9C"/>
    <w:rsid w:val="00651C47"/>
    <w:rsid w:val="00652E70"/>
    <w:rsid w:val="0065339A"/>
    <w:rsid w:val="00653469"/>
    <w:rsid w:val="00654A38"/>
    <w:rsid w:val="00655301"/>
    <w:rsid w:val="00655371"/>
    <w:rsid w:val="00655507"/>
    <w:rsid w:val="00656C4B"/>
    <w:rsid w:val="006573EA"/>
    <w:rsid w:val="0066073F"/>
    <w:rsid w:val="00661029"/>
    <w:rsid w:val="0066135A"/>
    <w:rsid w:val="00661A38"/>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F1C"/>
    <w:rsid w:val="006754F8"/>
    <w:rsid w:val="00676127"/>
    <w:rsid w:val="00676AED"/>
    <w:rsid w:val="00677E9C"/>
    <w:rsid w:val="00677F26"/>
    <w:rsid w:val="006800EE"/>
    <w:rsid w:val="006802A7"/>
    <w:rsid w:val="006811C9"/>
    <w:rsid w:val="006812CE"/>
    <w:rsid w:val="006826C1"/>
    <w:rsid w:val="00682C89"/>
    <w:rsid w:val="006832B8"/>
    <w:rsid w:val="006837B2"/>
    <w:rsid w:val="00683800"/>
    <w:rsid w:val="00684462"/>
    <w:rsid w:val="00684C8A"/>
    <w:rsid w:val="00684CF5"/>
    <w:rsid w:val="0068553E"/>
    <w:rsid w:val="00685E7B"/>
    <w:rsid w:val="00686551"/>
    <w:rsid w:val="00686CAB"/>
    <w:rsid w:val="0068717F"/>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9BF"/>
    <w:rsid w:val="00697C9A"/>
    <w:rsid w:val="00697E68"/>
    <w:rsid w:val="00697FC1"/>
    <w:rsid w:val="006A0274"/>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0E4"/>
    <w:rsid w:val="006B025C"/>
    <w:rsid w:val="006B08ED"/>
    <w:rsid w:val="006B2534"/>
    <w:rsid w:val="006B2CB2"/>
    <w:rsid w:val="006B347D"/>
    <w:rsid w:val="006B3E19"/>
    <w:rsid w:val="006B4488"/>
    <w:rsid w:val="006B49FC"/>
    <w:rsid w:val="006B50C4"/>
    <w:rsid w:val="006B53AE"/>
    <w:rsid w:val="006B58B4"/>
    <w:rsid w:val="006B67AC"/>
    <w:rsid w:val="006B7692"/>
    <w:rsid w:val="006B786A"/>
    <w:rsid w:val="006B7E4E"/>
    <w:rsid w:val="006C003A"/>
    <w:rsid w:val="006C107C"/>
    <w:rsid w:val="006C2454"/>
    <w:rsid w:val="006C2551"/>
    <w:rsid w:val="006C37CA"/>
    <w:rsid w:val="006C40D2"/>
    <w:rsid w:val="006C4BBD"/>
    <w:rsid w:val="006C5B15"/>
    <w:rsid w:val="006C5D32"/>
    <w:rsid w:val="006C5DCB"/>
    <w:rsid w:val="006C6475"/>
    <w:rsid w:val="006C70C4"/>
    <w:rsid w:val="006C741F"/>
    <w:rsid w:val="006D04DA"/>
    <w:rsid w:val="006D10F6"/>
    <w:rsid w:val="006D1544"/>
    <w:rsid w:val="006D1688"/>
    <w:rsid w:val="006D1DD3"/>
    <w:rsid w:val="006D1FF3"/>
    <w:rsid w:val="006D2C65"/>
    <w:rsid w:val="006D32C6"/>
    <w:rsid w:val="006D3491"/>
    <w:rsid w:val="006D360E"/>
    <w:rsid w:val="006D3697"/>
    <w:rsid w:val="006D39D2"/>
    <w:rsid w:val="006D3F2A"/>
    <w:rsid w:val="006D4370"/>
    <w:rsid w:val="006D46A3"/>
    <w:rsid w:val="006D62E0"/>
    <w:rsid w:val="006D658F"/>
    <w:rsid w:val="006D6A12"/>
    <w:rsid w:val="006D712D"/>
    <w:rsid w:val="006D7687"/>
    <w:rsid w:val="006D7D1F"/>
    <w:rsid w:val="006D7D8A"/>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36EA"/>
    <w:rsid w:val="006F4147"/>
    <w:rsid w:val="006F4315"/>
    <w:rsid w:val="006F4CB0"/>
    <w:rsid w:val="006F4F78"/>
    <w:rsid w:val="006F547E"/>
    <w:rsid w:val="006F5CCF"/>
    <w:rsid w:val="006F6F04"/>
    <w:rsid w:val="006F71F5"/>
    <w:rsid w:val="00700610"/>
    <w:rsid w:val="0070138A"/>
    <w:rsid w:val="0070157E"/>
    <w:rsid w:val="007030D4"/>
    <w:rsid w:val="00703279"/>
    <w:rsid w:val="00703B61"/>
    <w:rsid w:val="00703E11"/>
    <w:rsid w:val="00704102"/>
    <w:rsid w:val="0070437C"/>
    <w:rsid w:val="0070461C"/>
    <w:rsid w:val="00705631"/>
    <w:rsid w:val="00705818"/>
    <w:rsid w:val="00705F62"/>
    <w:rsid w:val="0070773F"/>
    <w:rsid w:val="007078BD"/>
    <w:rsid w:val="00707ED3"/>
    <w:rsid w:val="007101B7"/>
    <w:rsid w:val="00710668"/>
    <w:rsid w:val="007110F4"/>
    <w:rsid w:val="007112B1"/>
    <w:rsid w:val="0071130F"/>
    <w:rsid w:val="00712714"/>
    <w:rsid w:val="007129AB"/>
    <w:rsid w:val="00712B63"/>
    <w:rsid w:val="00713526"/>
    <w:rsid w:val="00713FC5"/>
    <w:rsid w:val="00714DCA"/>
    <w:rsid w:val="00715BBF"/>
    <w:rsid w:val="00715C29"/>
    <w:rsid w:val="00715CBD"/>
    <w:rsid w:val="00715EAA"/>
    <w:rsid w:val="00716CAD"/>
    <w:rsid w:val="00716F18"/>
    <w:rsid w:val="00717363"/>
    <w:rsid w:val="00717786"/>
    <w:rsid w:val="00717ACB"/>
    <w:rsid w:val="0072138B"/>
    <w:rsid w:val="00721BFF"/>
    <w:rsid w:val="00723475"/>
    <w:rsid w:val="007236C4"/>
    <w:rsid w:val="00724635"/>
    <w:rsid w:val="00724F21"/>
    <w:rsid w:val="00725134"/>
    <w:rsid w:val="0072554B"/>
    <w:rsid w:val="00725AFD"/>
    <w:rsid w:val="00726603"/>
    <w:rsid w:val="00727B1D"/>
    <w:rsid w:val="00727DDC"/>
    <w:rsid w:val="00730CD6"/>
    <w:rsid w:val="00730F74"/>
    <w:rsid w:val="0073114B"/>
    <w:rsid w:val="00732151"/>
    <w:rsid w:val="00734952"/>
    <w:rsid w:val="00734990"/>
    <w:rsid w:val="00734FF5"/>
    <w:rsid w:val="00735B78"/>
    <w:rsid w:val="00735DA7"/>
    <w:rsid w:val="007368B4"/>
    <w:rsid w:val="007378E0"/>
    <w:rsid w:val="00737D92"/>
    <w:rsid w:val="00740529"/>
    <w:rsid w:val="00740876"/>
    <w:rsid w:val="00741358"/>
    <w:rsid w:val="00741626"/>
    <w:rsid w:val="00742332"/>
    <w:rsid w:val="00742886"/>
    <w:rsid w:val="00742DD2"/>
    <w:rsid w:val="00742F60"/>
    <w:rsid w:val="007437C6"/>
    <w:rsid w:val="007441A2"/>
    <w:rsid w:val="00744E80"/>
    <w:rsid w:val="00745035"/>
    <w:rsid w:val="0074531C"/>
    <w:rsid w:val="00745547"/>
    <w:rsid w:val="00745691"/>
    <w:rsid w:val="007459D0"/>
    <w:rsid w:val="0074623A"/>
    <w:rsid w:val="00746420"/>
    <w:rsid w:val="00746A60"/>
    <w:rsid w:val="00746E04"/>
    <w:rsid w:val="00746E08"/>
    <w:rsid w:val="00746E3D"/>
    <w:rsid w:val="007473B9"/>
    <w:rsid w:val="0074740B"/>
    <w:rsid w:val="00747C96"/>
    <w:rsid w:val="00750075"/>
    <w:rsid w:val="007502EC"/>
    <w:rsid w:val="00750382"/>
    <w:rsid w:val="0075094E"/>
    <w:rsid w:val="00750FA8"/>
    <w:rsid w:val="00750FB5"/>
    <w:rsid w:val="007520F0"/>
    <w:rsid w:val="007522E8"/>
    <w:rsid w:val="00753BAC"/>
    <w:rsid w:val="00754A0B"/>
    <w:rsid w:val="007552DB"/>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6ECC"/>
    <w:rsid w:val="007672F3"/>
    <w:rsid w:val="007677B5"/>
    <w:rsid w:val="007678B1"/>
    <w:rsid w:val="007708A8"/>
    <w:rsid w:val="00772100"/>
    <w:rsid w:val="00772275"/>
    <w:rsid w:val="007734E4"/>
    <w:rsid w:val="0077380D"/>
    <w:rsid w:val="00773BC8"/>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2D6"/>
    <w:rsid w:val="00784FC4"/>
    <w:rsid w:val="00785353"/>
    <w:rsid w:val="00785BBB"/>
    <w:rsid w:val="00786937"/>
    <w:rsid w:val="00786FAD"/>
    <w:rsid w:val="00787D90"/>
    <w:rsid w:val="00787F5E"/>
    <w:rsid w:val="00790164"/>
    <w:rsid w:val="00790A24"/>
    <w:rsid w:val="00790A37"/>
    <w:rsid w:val="00790A60"/>
    <w:rsid w:val="0079146D"/>
    <w:rsid w:val="00791C32"/>
    <w:rsid w:val="00791FF0"/>
    <w:rsid w:val="007923D0"/>
    <w:rsid w:val="007930D3"/>
    <w:rsid w:val="0079381F"/>
    <w:rsid w:val="00793A57"/>
    <w:rsid w:val="00793B2E"/>
    <w:rsid w:val="007948F5"/>
    <w:rsid w:val="00795647"/>
    <w:rsid w:val="007963F6"/>
    <w:rsid w:val="00796DC8"/>
    <w:rsid w:val="00796E80"/>
    <w:rsid w:val="0079744F"/>
    <w:rsid w:val="007979AD"/>
    <w:rsid w:val="00797A9C"/>
    <w:rsid w:val="007A0EAB"/>
    <w:rsid w:val="007A2341"/>
    <w:rsid w:val="007A2754"/>
    <w:rsid w:val="007A38A1"/>
    <w:rsid w:val="007A3BBE"/>
    <w:rsid w:val="007A4766"/>
    <w:rsid w:val="007A5747"/>
    <w:rsid w:val="007A5947"/>
    <w:rsid w:val="007A717B"/>
    <w:rsid w:val="007B0313"/>
    <w:rsid w:val="007B0854"/>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3DA"/>
    <w:rsid w:val="007B5428"/>
    <w:rsid w:val="007B59B7"/>
    <w:rsid w:val="007B6C64"/>
    <w:rsid w:val="007B6EC8"/>
    <w:rsid w:val="007B6F81"/>
    <w:rsid w:val="007B7EA2"/>
    <w:rsid w:val="007C097D"/>
    <w:rsid w:val="007C0AF2"/>
    <w:rsid w:val="007C11CE"/>
    <w:rsid w:val="007C1672"/>
    <w:rsid w:val="007C312A"/>
    <w:rsid w:val="007C3570"/>
    <w:rsid w:val="007C3F3B"/>
    <w:rsid w:val="007C4241"/>
    <w:rsid w:val="007C425E"/>
    <w:rsid w:val="007C55FF"/>
    <w:rsid w:val="007C6339"/>
    <w:rsid w:val="007C753F"/>
    <w:rsid w:val="007C7C43"/>
    <w:rsid w:val="007C7F0D"/>
    <w:rsid w:val="007D06E3"/>
    <w:rsid w:val="007D1134"/>
    <w:rsid w:val="007D23F7"/>
    <w:rsid w:val="007D2566"/>
    <w:rsid w:val="007D2C18"/>
    <w:rsid w:val="007D2D74"/>
    <w:rsid w:val="007D3693"/>
    <w:rsid w:val="007D3C6D"/>
    <w:rsid w:val="007D42D3"/>
    <w:rsid w:val="007D481A"/>
    <w:rsid w:val="007D4ED0"/>
    <w:rsid w:val="007D5648"/>
    <w:rsid w:val="007D58C5"/>
    <w:rsid w:val="007D5DE8"/>
    <w:rsid w:val="007D7CFC"/>
    <w:rsid w:val="007E0812"/>
    <w:rsid w:val="007E18DF"/>
    <w:rsid w:val="007E2C36"/>
    <w:rsid w:val="007E3309"/>
    <w:rsid w:val="007E350D"/>
    <w:rsid w:val="007E3ACA"/>
    <w:rsid w:val="007E564D"/>
    <w:rsid w:val="007E5C4A"/>
    <w:rsid w:val="007E64D4"/>
    <w:rsid w:val="007E66E9"/>
    <w:rsid w:val="007E69F2"/>
    <w:rsid w:val="007E7432"/>
    <w:rsid w:val="007E74BF"/>
    <w:rsid w:val="007F14D3"/>
    <w:rsid w:val="007F1D9D"/>
    <w:rsid w:val="007F1E28"/>
    <w:rsid w:val="007F1F63"/>
    <w:rsid w:val="007F22A0"/>
    <w:rsid w:val="007F2903"/>
    <w:rsid w:val="007F2F90"/>
    <w:rsid w:val="007F3320"/>
    <w:rsid w:val="007F3AC1"/>
    <w:rsid w:val="007F4976"/>
    <w:rsid w:val="007F52AF"/>
    <w:rsid w:val="007F5A56"/>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1898"/>
    <w:rsid w:val="00811CDC"/>
    <w:rsid w:val="008124D8"/>
    <w:rsid w:val="00813A7B"/>
    <w:rsid w:val="00813F04"/>
    <w:rsid w:val="0081513E"/>
    <w:rsid w:val="00815DA5"/>
    <w:rsid w:val="00816221"/>
    <w:rsid w:val="00817063"/>
    <w:rsid w:val="0081766B"/>
    <w:rsid w:val="00820705"/>
    <w:rsid w:val="00820BA7"/>
    <w:rsid w:val="00820CBF"/>
    <w:rsid w:val="00820DBC"/>
    <w:rsid w:val="00820FA8"/>
    <w:rsid w:val="008212FD"/>
    <w:rsid w:val="00821489"/>
    <w:rsid w:val="008217B7"/>
    <w:rsid w:val="0082239B"/>
    <w:rsid w:val="0082292E"/>
    <w:rsid w:val="00822D06"/>
    <w:rsid w:val="00822EC4"/>
    <w:rsid w:val="0082348D"/>
    <w:rsid w:val="008236BE"/>
    <w:rsid w:val="008241CE"/>
    <w:rsid w:val="00825240"/>
    <w:rsid w:val="00825B43"/>
    <w:rsid w:val="00826F71"/>
    <w:rsid w:val="00827CC0"/>
    <w:rsid w:val="00831026"/>
    <w:rsid w:val="0083119B"/>
    <w:rsid w:val="00831BAE"/>
    <w:rsid w:val="00832216"/>
    <w:rsid w:val="00832CD0"/>
    <w:rsid w:val="00833430"/>
    <w:rsid w:val="00834128"/>
    <w:rsid w:val="0083417F"/>
    <w:rsid w:val="00835143"/>
    <w:rsid w:val="0083569B"/>
    <w:rsid w:val="00835741"/>
    <w:rsid w:val="00836E74"/>
    <w:rsid w:val="00836EAB"/>
    <w:rsid w:val="00836FDF"/>
    <w:rsid w:val="00837673"/>
    <w:rsid w:val="00837937"/>
    <w:rsid w:val="00837D82"/>
    <w:rsid w:val="00840893"/>
    <w:rsid w:val="00840E88"/>
    <w:rsid w:val="008423EC"/>
    <w:rsid w:val="008429A6"/>
    <w:rsid w:val="00843615"/>
    <w:rsid w:val="00843698"/>
    <w:rsid w:val="00843A4B"/>
    <w:rsid w:val="00843B57"/>
    <w:rsid w:val="00843B60"/>
    <w:rsid w:val="00843D33"/>
    <w:rsid w:val="008440DF"/>
    <w:rsid w:val="008444F0"/>
    <w:rsid w:val="00844D4F"/>
    <w:rsid w:val="00845AE3"/>
    <w:rsid w:val="008466A0"/>
    <w:rsid w:val="00847535"/>
    <w:rsid w:val="00847B6D"/>
    <w:rsid w:val="0085092D"/>
    <w:rsid w:val="00850C79"/>
    <w:rsid w:val="00850D82"/>
    <w:rsid w:val="00850F79"/>
    <w:rsid w:val="0085100B"/>
    <w:rsid w:val="0085304C"/>
    <w:rsid w:val="008536BB"/>
    <w:rsid w:val="00853A3C"/>
    <w:rsid w:val="008548CA"/>
    <w:rsid w:val="00856B9F"/>
    <w:rsid w:val="00856C06"/>
    <w:rsid w:val="0085790B"/>
    <w:rsid w:val="008579B9"/>
    <w:rsid w:val="00857C95"/>
    <w:rsid w:val="00857E78"/>
    <w:rsid w:val="00860AEF"/>
    <w:rsid w:val="00860B18"/>
    <w:rsid w:val="00860D5E"/>
    <w:rsid w:val="0086122C"/>
    <w:rsid w:val="00861310"/>
    <w:rsid w:val="00861F53"/>
    <w:rsid w:val="0086289E"/>
    <w:rsid w:val="008629CB"/>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15ED"/>
    <w:rsid w:val="008717D8"/>
    <w:rsid w:val="00871E3C"/>
    <w:rsid w:val="00872CC1"/>
    <w:rsid w:val="00872F97"/>
    <w:rsid w:val="00874607"/>
    <w:rsid w:val="00874915"/>
    <w:rsid w:val="00874B89"/>
    <w:rsid w:val="00875403"/>
    <w:rsid w:val="00875434"/>
    <w:rsid w:val="00875C1F"/>
    <w:rsid w:val="00876215"/>
    <w:rsid w:val="0087646C"/>
    <w:rsid w:val="00876815"/>
    <w:rsid w:val="00877932"/>
    <w:rsid w:val="008808C7"/>
    <w:rsid w:val="0088106B"/>
    <w:rsid w:val="0088107D"/>
    <w:rsid w:val="00881E64"/>
    <w:rsid w:val="00882E39"/>
    <w:rsid w:val="008850EB"/>
    <w:rsid w:val="00885228"/>
    <w:rsid w:val="00886DF2"/>
    <w:rsid w:val="00886FB9"/>
    <w:rsid w:val="00887057"/>
    <w:rsid w:val="00887080"/>
    <w:rsid w:val="00887C79"/>
    <w:rsid w:val="0089107B"/>
    <w:rsid w:val="008913CC"/>
    <w:rsid w:val="008914AE"/>
    <w:rsid w:val="008919CF"/>
    <w:rsid w:val="00891F84"/>
    <w:rsid w:val="008928EC"/>
    <w:rsid w:val="00892E5D"/>
    <w:rsid w:val="008935CF"/>
    <w:rsid w:val="0089436B"/>
    <w:rsid w:val="00894436"/>
    <w:rsid w:val="0089494C"/>
    <w:rsid w:val="00894BB1"/>
    <w:rsid w:val="008951D0"/>
    <w:rsid w:val="0089582D"/>
    <w:rsid w:val="008959C6"/>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672C"/>
    <w:rsid w:val="008C065F"/>
    <w:rsid w:val="008C0743"/>
    <w:rsid w:val="008C0B4C"/>
    <w:rsid w:val="008C11F0"/>
    <w:rsid w:val="008C1DBA"/>
    <w:rsid w:val="008C24E7"/>
    <w:rsid w:val="008C2500"/>
    <w:rsid w:val="008C2CAC"/>
    <w:rsid w:val="008C3C57"/>
    <w:rsid w:val="008C3E2A"/>
    <w:rsid w:val="008C45BD"/>
    <w:rsid w:val="008C4B19"/>
    <w:rsid w:val="008C62D4"/>
    <w:rsid w:val="008C6B89"/>
    <w:rsid w:val="008D18AA"/>
    <w:rsid w:val="008D1A2A"/>
    <w:rsid w:val="008D1ADE"/>
    <w:rsid w:val="008D35D9"/>
    <w:rsid w:val="008D3B85"/>
    <w:rsid w:val="008D462D"/>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598"/>
    <w:rsid w:val="008E7214"/>
    <w:rsid w:val="008E7884"/>
    <w:rsid w:val="008E7D6E"/>
    <w:rsid w:val="008F1056"/>
    <w:rsid w:val="008F2E8D"/>
    <w:rsid w:val="008F361D"/>
    <w:rsid w:val="008F387B"/>
    <w:rsid w:val="008F3DD9"/>
    <w:rsid w:val="008F4814"/>
    <w:rsid w:val="008F4DA6"/>
    <w:rsid w:val="008F538E"/>
    <w:rsid w:val="008F5A20"/>
    <w:rsid w:val="008F5ABA"/>
    <w:rsid w:val="008F71AB"/>
    <w:rsid w:val="008F7905"/>
    <w:rsid w:val="008F7989"/>
    <w:rsid w:val="00901F1D"/>
    <w:rsid w:val="009020B3"/>
    <w:rsid w:val="009028E8"/>
    <w:rsid w:val="00902E5C"/>
    <w:rsid w:val="0090363E"/>
    <w:rsid w:val="009046E5"/>
    <w:rsid w:val="009047C5"/>
    <w:rsid w:val="00910683"/>
    <w:rsid w:val="00910E00"/>
    <w:rsid w:val="009116CE"/>
    <w:rsid w:val="00911714"/>
    <w:rsid w:val="00911D04"/>
    <w:rsid w:val="00911EFF"/>
    <w:rsid w:val="009136D4"/>
    <w:rsid w:val="00914B9A"/>
    <w:rsid w:val="00914C3F"/>
    <w:rsid w:val="00914F33"/>
    <w:rsid w:val="00915FCE"/>
    <w:rsid w:val="00916AFE"/>
    <w:rsid w:val="00916FC8"/>
    <w:rsid w:val="009170D3"/>
    <w:rsid w:val="0091759C"/>
    <w:rsid w:val="00920026"/>
    <w:rsid w:val="009203E2"/>
    <w:rsid w:val="00920F61"/>
    <w:rsid w:val="00921304"/>
    <w:rsid w:val="00921395"/>
    <w:rsid w:val="00921805"/>
    <w:rsid w:val="00921E63"/>
    <w:rsid w:val="00923396"/>
    <w:rsid w:val="00923F56"/>
    <w:rsid w:val="00925346"/>
    <w:rsid w:val="00925743"/>
    <w:rsid w:val="0092579F"/>
    <w:rsid w:val="00927E8D"/>
    <w:rsid w:val="00927F23"/>
    <w:rsid w:val="009307CD"/>
    <w:rsid w:val="00931365"/>
    <w:rsid w:val="00931451"/>
    <w:rsid w:val="009314FA"/>
    <w:rsid w:val="0093194F"/>
    <w:rsid w:val="00931BF3"/>
    <w:rsid w:val="00931C55"/>
    <w:rsid w:val="00933333"/>
    <w:rsid w:val="0093349A"/>
    <w:rsid w:val="009338BA"/>
    <w:rsid w:val="00933FCB"/>
    <w:rsid w:val="00934CEC"/>
    <w:rsid w:val="00934E69"/>
    <w:rsid w:val="00935E70"/>
    <w:rsid w:val="0093609A"/>
    <w:rsid w:val="00937401"/>
    <w:rsid w:val="009376FB"/>
    <w:rsid w:val="00937D6B"/>
    <w:rsid w:val="00940477"/>
    <w:rsid w:val="00940876"/>
    <w:rsid w:val="00940A53"/>
    <w:rsid w:val="00940F3C"/>
    <w:rsid w:val="009410E0"/>
    <w:rsid w:val="00941FA9"/>
    <w:rsid w:val="009444B4"/>
    <w:rsid w:val="00944644"/>
    <w:rsid w:val="00946A24"/>
    <w:rsid w:val="009470D4"/>
    <w:rsid w:val="00947337"/>
    <w:rsid w:val="00947E6E"/>
    <w:rsid w:val="009512FA"/>
    <w:rsid w:val="009516A9"/>
    <w:rsid w:val="00951E57"/>
    <w:rsid w:val="00952505"/>
    <w:rsid w:val="00953018"/>
    <w:rsid w:val="009533E2"/>
    <w:rsid w:val="00953554"/>
    <w:rsid w:val="0095385A"/>
    <w:rsid w:val="0095780A"/>
    <w:rsid w:val="009578C3"/>
    <w:rsid w:val="009579E4"/>
    <w:rsid w:val="00957AA4"/>
    <w:rsid w:val="00957ACB"/>
    <w:rsid w:val="00957F27"/>
    <w:rsid w:val="00960BDB"/>
    <w:rsid w:val="0096105C"/>
    <w:rsid w:val="0096147D"/>
    <w:rsid w:val="00961D53"/>
    <w:rsid w:val="00961E5F"/>
    <w:rsid w:val="009625C6"/>
    <w:rsid w:val="009629B5"/>
    <w:rsid w:val="00962A50"/>
    <w:rsid w:val="0096409A"/>
    <w:rsid w:val="00964138"/>
    <w:rsid w:val="009648D6"/>
    <w:rsid w:val="00964B3F"/>
    <w:rsid w:val="00964C98"/>
    <w:rsid w:val="00971441"/>
    <w:rsid w:val="009715D4"/>
    <w:rsid w:val="0097179A"/>
    <w:rsid w:val="009732A4"/>
    <w:rsid w:val="00973C05"/>
    <w:rsid w:val="0097494E"/>
    <w:rsid w:val="00974999"/>
    <w:rsid w:val="00974B58"/>
    <w:rsid w:val="00975445"/>
    <w:rsid w:val="009761ED"/>
    <w:rsid w:val="0098022F"/>
    <w:rsid w:val="00980EAB"/>
    <w:rsid w:val="009810DE"/>
    <w:rsid w:val="00981B91"/>
    <w:rsid w:val="00981DFC"/>
    <w:rsid w:val="009822D7"/>
    <w:rsid w:val="009827E6"/>
    <w:rsid w:val="00982F84"/>
    <w:rsid w:val="0098427D"/>
    <w:rsid w:val="00984567"/>
    <w:rsid w:val="00985102"/>
    <w:rsid w:val="009854BC"/>
    <w:rsid w:val="0098606C"/>
    <w:rsid w:val="009865D5"/>
    <w:rsid w:val="00986DF4"/>
    <w:rsid w:val="009876F2"/>
    <w:rsid w:val="00987C77"/>
    <w:rsid w:val="00987FED"/>
    <w:rsid w:val="00990345"/>
    <w:rsid w:val="00990701"/>
    <w:rsid w:val="0099119C"/>
    <w:rsid w:val="0099137A"/>
    <w:rsid w:val="0099211C"/>
    <w:rsid w:val="00993B78"/>
    <w:rsid w:val="00995119"/>
    <w:rsid w:val="0099531F"/>
    <w:rsid w:val="009953AD"/>
    <w:rsid w:val="0099583D"/>
    <w:rsid w:val="00996020"/>
    <w:rsid w:val="00996992"/>
    <w:rsid w:val="00996E1E"/>
    <w:rsid w:val="00997148"/>
    <w:rsid w:val="00997392"/>
    <w:rsid w:val="0099747C"/>
    <w:rsid w:val="0099771C"/>
    <w:rsid w:val="009A01E4"/>
    <w:rsid w:val="009A0917"/>
    <w:rsid w:val="009A0A33"/>
    <w:rsid w:val="009A1351"/>
    <w:rsid w:val="009A2435"/>
    <w:rsid w:val="009A35DC"/>
    <w:rsid w:val="009A38AB"/>
    <w:rsid w:val="009A3D47"/>
    <w:rsid w:val="009A41AD"/>
    <w:rsid w:val="009A4D63"/>
    <w:rsid w:val="009A5356"/>
    <w:rsid w:val="009A5468"/>
    <w:rsid w:val="009A5D99"/>
    <w:rsid w:val="009A608C"/>
    <w:rsid w:val="009A6FDF"/>
    <w:rsid w:val="009A715F"/>
    <w:rsid w:val="009A76D6"/>
    <w:rsid w:val="009B2374"/>
    <w:rsid w:val="009B2E29"/>
    <w:rsid w:val="009B3163"/>
    <w:rsid w:val="009B422F"/>
    <w:rsid w:val="009B46BC"/>
    <w:rsid w:val="009B4D1A"/>
    <w:rsid w:val="009B502F"/>
    <w:rsid w:val="009B558B"/>
    <w:rsid w:val="009B5F29"/>
    <w:rsid w:val="009B6A34"/>
    <w:rsid w:val="009B6D21"/>
    <w:rsid w:val="009B78ED"/>
    <w:rsid w:val="009C181C"/>
    <w:rsid w:val="009C1A44"/>
    <w:rsid w:val="009C1C7F"/>
    <w:rsid w:val="009C1EC7"/>
    <w:rsid w:val="009C28A2"/>
    <w:rsid w:val="009C3239"/>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A14"/>
    <w:rsid w:val="009D1E2A"/>
    <w:rsid w:val="009D1FA0"/>
    <w:rsid w:val="009D2BDF"/>
    <w:rsid w:val="009D3736"/>
    <w:rsid w:val="009D4529"/>
    <w:rsid w:val="009D604F"/>
    <w:rsid w:val="009D61BB"/>
    <w:rsid w:val="009D6410"/>
    <w:rsid w:val="009D68BB"/>
    <w:rsid w:val="009D70C2"/>
    <w:rsid w:val="009D7ADB"/>
    <w:rsid w:val="009D7B33"/>
    <w:rsid w:val="009E06C3"/>
    <w:rsid w:val="009E0703"/>
    <w:rsid w:val="009E1035"/>
    <w:rsid w:val="009E16DA"/>
    <w:rsid w:val="009E1CD4"/>
    <w:rsid w:val="009E2391"/>
    <w:rsid w:val="009E476A"/>
    <w:rsid w:val="009E4E05"/>
    <w:rsid w:val="009E56FF"/>
    <w:rsid w:val="009E5CB1"/>
    <w:rsid w:val="009E5E56"/>
    <w:rsid w:val="009E61EA"/>
    <w:rsid w:val="009E6990"/>
    <w:rsid w:val="009E6FEE"/>
    <w:rsid w:val="009F00B9"/>
    <w:rsid w:val="009F060F"/>
    <w:rsid w:val="009F0781"/>
    <w:rsid w:val="009F0850"/>
    <w:rsid w:val="009F1BDF"/>
    <w:rsid w:val="009F1EAE"/>
    <w:rsid w:val="009F369D"/>
    <w:rsid w:val="009F36FE"/>
    <w:rsid w:val="009F4990"/>
    <w:rsid w:val="009F4F25"/>
    <w:rsid w:val="009F59C2"/>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E4A"/>
    <w:rsid w:val="00A06EE8"/>
    <w:rsid w:val="00A070E9"/>
    <w:rsid w:val="00A078FB"/>
    <w:rsid w:val="00A1036D"/>
    <w:rsid w:val="00A1069F"/>
    <w:rsid w:val="00A10ACA"/>
    <w:rsid w:val="00A10D08"/>
    <w:rsid w:val="00A11E78"/>
    <w:rsid w:val="00A12355"/>
    <w:rsid w:val="00A127D2"/>
    <w:rsid w:val="00A13CF5"/>
    <w:rsid w:val="00A143EC"/>
    <w:rsid w:val="00A149E8"/>
    <w:rsid w:val="00A1500F"/>
    <w:rsid w:val="00A15621"/>
    <w:rsid w:val="00A15670"/>
    <w:rsid w:val="00A157A0"/>
    <w:rsid w:val="00A1585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FB6"/>
    <w:rsid w:val="00A30121"/>
    <w:rsid w:val="00A30368"/>
    <w:rsid w:val="00A3043A"/>
    <w:rsid w:val="00A30E02"/>
    <w:rsid w:val="00A30F6A"/>
    <w:rsid w:val="00A31C3E"/>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9E5"/>
    <w:rsid w:val="00A4497A"/>
    <w:rsid w:val="00A44BE8"/>
    <w:rsid w:val="00A44C96"/>
    <w:rsid w:val="00A44CDD"/>
    <w:rsid w:val="00A44F54"/>
    <w:rsid w:val="00A45EC5"/>
    <w:rsid w:val="00A45F9B"/>
    <w:rsid w:val="00A46574"/>
    <w:rsid w:val="00A500B1"/>
    <w:rsid w:val="00A52A53"/>
    <w:rsid w:val="00A52EE5"/>
    <w:rsid w:val="00A53037"/>
    <w:rsid w:val="00A532B9"/>
    <w:rsid w:val="00A5351D"/>
    <w:rsid w:val="00A53E79"/>
    <w:rsid w:val="00A54031"/>
    <w:rsid w:val="00A5426D"/>
    <w:rsid w:val="00A5471D"/>
    <w:rsid w:val="00A54FC2"/>
    <w:rsid w:val="00A55122"/>
    <w:rsid w:val="00A55CEA"/>
    <w:rsid w:val="00A56DE7"/>
    <w:rsid w:val="00A57EB2"/>
    <w:rsid w:val="00A6009E"/>
    <w:rsid w:val="00A60265"/>
    <w:rsid w:val="00A60B1F"/>
    <w:rsid w:val="00A61C60"/>
    <w:rsid w:val="00A62589"/>
    <w:rsid w:val="00A62AD0"/>
    <w:rsid w:val="00A62C3A"/>
    <w:rsid w:val="00A6319C"/>
    <w:rsid w:val="00A63812"/>
    <w:rsid w:val="00A63DF7"/>
    <w:rsid w:val="00A6454D"/>
    <w:rsid w:val="00A64F18"/>
    <w:rsid w:val="00A64F2F"/>
    <w:rsid w:val="00A6611E"/>
    <w:rsid w:val="00A668BA"/>
    <w:rsid w:val="00A66FA7"/>
    <w:rsid w:val="00A67E16"/>
    <w:rsid w:val="00A67EB1"/>
    <w:rsid w:val="00A703CC"/>
    <w:rsid w:val="00A70C5C"/>
    <w:rsid w:val="00A710A2"/>
    <w:rsid w:val="00A71EA7"/>
    <w:rsid w:val="00A730AD"/>
    <w:rsid w:val="00A73855"/>
    <w:rsid w:val="00A73D64"/>
    <w:rsid w:val="00A74216"/>
    <w:rsid w:val="00A744B4"/>
    <w:rsid w:val="00A751E3"/>
    <w:rsid w:val="00A75504"/>
    <w:rsid w:val="00A75FD7"/>
    <w:rsid w:val="00A77168"/>
    <w:rsid w:val="00A7723B"/>
    <w:rsid w:val="00A7793C"/>
    <w:rsid w:val="00A77D21"/>
    <w:rsid w:val="00A80085"/>
    <w:rsid w:val="00A8043B"/>
    <w:rsid w:val="00A80DA0"/>
    <w:rsid w:val="00A81323"/>
    <w:rsid w:val="00A820CB"/>
    <w:rsid w:val="00A82342"/>
    <w:rsid w:val="00A83BEF"/>
    <w:rsid w:val="00A84443"/>
    <w:rsid w:val="00A8487F"/>
    <w:rsid w:val="00A849A3"/>
    <w:rsid w:val="00A84A0E"/>
    <w:rsid w:val="00A86E0B"/>
    <w:rsid w:val="00A90F12"/>
    <w:rsid w:val="00A91DAA"/>
    <w:rsid w:val="00A93101"/>
    <w:rsid w:val="00A9413E"/>
    <w:rsid w:val="00A94281"/>
    <w:rsid w:val="00A94293"/>
    <w:rsid w:val="00A9496E"/>
    <w:rsid w:val="00A949F0"/>
    <w:rsid w:val="00A94BDE"/>
    <w:rsid w:val="00A94FCA"/>
    <w:rsid w:val="00A95E4C"/>
    <w:rsid w:val="00A96C60"/>
    <w:rsid w:val="00A9740B"/>
    <w:rsid w:val="00A9766C"/>
    <w:rsid w:val="00A977F8"/>
    <w:rsid w:val="00A979DB"/>
    <w:rsid w:val="00A97C93"/>
    <w:rsid w:val="00AA08E7"/>
    <w:rsid w:val="00AA0A06"/>
    <w:rsid w:val="00AA1351"/>
    <w:rsid w:val="00AA184C"/>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244"/>
    <w:rsid w:val="00AB49BC"/>
    <w:rsid w:val="00AB4DEE"/>
    <w:rsid w:val="00AB4E32"/>
    <w:rsid w:val="00AB5C19"/>
    <w:rsid w:val="00AB724B"/>
    <w:rsid w:val="00AB726C"/>
    <w:rsid w:val="00AB72B4"/>
    <w:rsid w:val="00AC02AA"/>
    <w:rsid w:val="00AC0537"/>
    <w:rsid w:val="00AC0A84"/>
    <w:rsid w:val="00AC1508"/>
    <w:rsid w:val="00AC2A0B"/>
    <w:rsid w:val="00AC2BEE"/>
    <w:rsid w:val="00AC2E53"/>
    <w:rsid w:val="00AC484F"/>
    <w:rsid w:val="00AC4B20"/>
    <w:rsid w:val="00AC56F2"/>
    <w:rsid w:val="00AC71C3"/>
    <w:rsid w:val="00AD09F7"/>
    <w:rsid w:val="00AD1EFA"/>
    <w:rsid w:val="00AD2072"/>
    <w:rsid w:val="00AD2DBD"/>
    <w:rsid w:val="00AD2FBF"/>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344D"/>
    <w:rsid w:val="00AF39B3"/>
    <w:rsid w:val="00AF4402"/>
    <w:rsid w:val="00AF4639"/>
    <w:rsid w:val="00AF4E92"/>
    <w:rsid w:val="00AF554B"/>
    <w:rsid w:val="00AF5C9B"/>
    <w:rsid w:val="00AF5CED"/>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10109"/>
    <w:rsid w:val="00B10776"/>
    <w:rsid w:val="00B1085E"/>
    <w:rsid w:val="00B10FD1"/>
    <w:rsid w:val="00B1219D"/>
    <w:rsid w:val="00B12735"/>
    <w:rsid w:val="00B12F44"/>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2E22"/>
    <w:rsid w:val="00B22F5F"/>
    <w:rsid w:val="00B23813"/>
    <w:rsid w:val="00B23FD9"/>
    <w:rsid w:val="00B24591"/>
    <w:rsid w:val="00B245D5"/>
    <w:rsid w:val="00B245EF"/>
    <w:rsid w:val="00B24C36"/>
    <w:rsid w:val="00B24F94"/>
    <w:rsid w:val="00B25126"/>
    <w:rsid w:val="00B25A52"/>
    <w:rsid w:val="00B25FC3"/>
    <w:rsid w:val="00B27875"/>
    <w:rsid w:val="00B3008D"/>
    <w:rsid w:val="00B30E11"/>
    <w:rsid w:val="00B30EAE"/>
    <w:rsid w:val="00B30EEB"/>
    <w:rsid w:val="00B31423"/>
    <w:rsid w:val="00B323E0"/>
    <w:rsid w:val="00B32DC0"/>
    <w:rsid w:val="00B3346C"/>
    <w:rsid w:val="00B335E4"/>
    <w:rsid w:val="00B33C23"/>
    <w:rsid w:val="00B345B4"/>
    <w:rsid w:val="00B348B1"/>
    <w:rsid w:val="00B34A28"/>
    <w:rsid w:val="00B35046"/>
    <w:rsid w:val="00B35B6A"/>
    <w:rsid w:val="00B36D2B"/>
    <w:rsid w:val="00B37657"/>
    <w:rsid w:val="00B37AFD"/>
    <w:rsid w:val="00B37B07"/>
    <w:rsid w:val="00B4046F"/>
    <w:rsid w:val="00B406B3"/>
    <w:rsid w:val="00B40A36"/>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4D8F"/>
    <w:rsid w:val="00B55857"/>
    <w:rsid w:val="00B55C69"/>
    <w:rsid w:val="00B56851"/>
    <w:rsid w:val="00B56BA8"/>
    <w:rsid w:val="00B56D6E"/>
    <w:rsid w:val="00B572F7"/>
    <w:rsid w:val="00B57B9D"/>
    <w:rsid w:val="00B57DAF"/>
    <w:rsid w:val="00B60094"/>
    <w:rsid w:val="00B6022C"/>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CB4"/>
    <w:rsid w:val="00B6790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5893"/>
    <w:rsid w:val="00B777FA"/>
    <w:rsid w:val="00B77850"/>
    <w:rsid w:val="00B7796B"/>
    <w:rsid w:val="00B80C72"/>
    <w:rsid w:val="00B81964"/>
    <w:rsid w:val="00B81E6F"/>
    <w:rsid w:val="00B82123"/>
    <w:rsid w:val="00B8225B"/>
    <w:rsid w:val="00B82BB5"/>
    <w:rsid w:val="00B83182"/>
    <w:rsid w:val="00B839F0"/>
    <w:rsid w:val="00B851E4"/>
    <w:rsid w:val="00B854CE"/>
    <w:rsid w:val="00B85681"/>
    <w:rsid w:val="00B857EB"/>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A0B40"/>
    <w:rsid w:val="00BA0C54"/>
    <w:rsid w:val="00BA1382"/>
    <w:rsid w:val="00BA15E3"/>
    <w:rsid w:val="00BA1A8C"/>
    <w:rsid w:val="00BA20D8"/>
    <w:rsid w:val="00BA22FC"/>
    <w:rsid w:val="00BA2C2A"/>
    <w:rsid w:val="00BA2F30"/>
    <w:rsid w:val="00BA3982"/>
    <w:rsid w:val="00BA4771"/>
    <w:rsid w:val="00BA5027"/>
    <w:rsid w:val="00BA665B"/>
    <w:rsid w:val="00BA6FE8"/>
    <w:rsid w:val="00BA732D"/>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834"/>
    <w:rsid w:val="00BC4A97"/>
    <w:rsid w:val="00BC4E15"/>
    <w:rsid w:val="00BC5A25"/>
    <w:rsid w:val="00BC5FDD"/>
    <w:rsid w:val="00BC68B4"/>
    <w:rsid w:val="00BD0140"/>
    <w:rsid w:val="00BD02CC"/>
    <w:rsid w:val="00BD088E"/>
    <w:rsid w:val="00BD0F18"/>
    <w:rsid w:val="00BD2063"/>
    <w:rsid w:val="00BD33D9"/>
    <w:rsid w:val="00BD38C5"/>
    <w:rsid w:val="00BD3DEA"/>
    <w:rsid w:val="00BD3E97"/>
    <w:rsid w:val="00BD40E4"/>
    <w:rsid w:val="00BD52FE"/>
    <w:rsid w:val="00BD62CF"/>
    <w:rsid w:val="00BD67B2"/>
    <w:rsid w:val="00BD68E2"/>
    <w:rsid w:val="00BD76E5"/>
    <w:rsid w:val="00BD78FE"/>
    <w:rsid w:val="00BD7D10"/>
    <w:rsid w:val="00BE0149"/>
    <w:rsid w:val="00BE0767"/>
    <w:rsid w:val="00BE12D7"/>
    <w:rsid w:val="00BE1372"/>
    <w:rsid w:val="00BE1775"/>
    <w:rsid w:val="00BE18DA"/>
    <w:rsid w:val="00BE26C0"/>
    <w:rsid w:val="00BE3442"/>
    <w:rsid w:val="00BE37CD"/>
    <w:rsid w:val="00BE47B2"/>
    <w:rsid w:val="00BE48C7"/>
    <w:rsid w:val="00BE4C4F"/>
    <w:rsid w:val="00BE4F66"/>
    <w:rsid w:val="00BE5238"/>
    <w:rsid w:val="00BE6074"/>
    <w:rsid w:val="00BE7257"/>
    <w:rsid w:val="00BF020D"/>
    <w:rsid w:val="00BF0609"/>
    <w:rsid w:val="00BF0E64"/>
    <w:rsid w:val="00BF0EE8"/>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607"/>
    <w:rsid w:val="00C04BDB"/>
    <w:rsid w:val="00C05016"/>
    <w:rsid w:val="00C052C6"/>
    <w:rsid w:val="00C05A61"/>
    <w:rsid w:val="00C05FEE"/>
    <w:rsid w:val="00C06CCF"/>
    <w:rsid w:val="00C0794D"/>
    <w:rsid w:val="00C10E78"/>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D24"/>
    <w:rsid w:val="00C2082C"/>
    <w:rsid w:val="00C20EB0"/>
    <w:rsid w:val="00C21004"/>
    <w:rsid w:val="00C21005"/>
    <w:rsid w:val="00C220B6"/>
    <w:rsid w:val="00C22D7C"/>
    <w:rsid w:val="00C22DDE"/>
    <w:rsid w:val="00C2338B"/>
    <w:rsid w:val="00C233CE"/>
    <w:rsid w:val="00C237DD"/>
    <w:rsid w:val="00C238F4"/>
    <w:rsid w:val="00C23A99"/>
    <w:rsid w:val="00C245EE"/>
    <w:rsid w:val="00C24AE1"/>
    <w:rsid w:val="00C24B8D"/>
    <w:rsid w:val="00C24BD7"/>
    <w:rsid w:val="00C25813"/>
    <w:rsid w:val="00C27143"/>
    <w:rsid w:val="00C27490"/>
    <w:rsid w:val="00C27D37"/>
    <w:rsid w:val="00C309E8"/>
    <w:rsid w:val="00C32017"/>
    <w:rsid w:val="00C32571"/>
    <w:rsid w:val="00C325CD"/>
    <w:rsid w:val="00C3322E"/>
    <w:rsid w:val="00C337F5"/>
    <w:rsid w:val="00C33B90"/>
    <w:rsid w:val="00C34161"/>
    <w:rsid w:val="00C34B5F"/>
    <w:rsid w:val="00C358D4"/>
    <w:rsid w:val="00C365C6"/>
    <w:rsid w:val="00C366F4"/>
    <w:rsid w:val="00C36785"/>
    <w:rsid w:val="00C3711C"/>
    <w:rsid w:val="00C37256"/>
    <w:rsid w:val="00C37A7B"/>
    <w:rsid w:val="00C37FFE"/>
    <w:rsid w:val="00C40B50"/>
    <w:rsid w:val="00C419E3"/>
    <w:rsid w:val="00C419F4"/>
    <w:rsid w:val="00C41E6A"/>
    <w:rsid w:val="00C42247"/>
    <w:rsid w:val="00C439BE"/>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2370"/>
    <w:rsid w:val="00C62BBB"/>
    <w:rsid w:val="00C6305F"/>
    <w:rsid w:val="00C6325B"/>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70012"/>
    <w:rsid w:val="00C71E2A"/>
    <w:rsid w:val="00C733BA"/>
    <w:rsid w:val="00C760DC"/>
    <w:rsid w:val="00C8082B"/>
    <w:rsid w:val="00C81A88"/>
    <w:rsid w:val="00C81D46"/>
    <w:rsid w:val="00C82298"/>
    <w:rsid w:val="00C833B4"/>
    <w:rsid w:val="00C84284"/>
    <w:rsid w:val="00C84C42"/>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E51"/>
    <w:rsid w:val="00CA1691"/>
    <w:rsid w:val="00CA2738"/>
    <w:rsid w:val="00CA41E7"/>
    <w:rsid w:val="00CA4A99"/>
    <w:rsid w:val="00CA5520"/>
    <w:rsid w:val="00CA5812"/>
    <w:rsid w:val="00CA5BD4"/>
    <w:rsid w:val="00CA5C14"/>
    <w:rsid w:val="00CA76FC"/>
    <w:rsid w:val="00CA7E7B"/>
    <w:rsid w:val="00CB0236"/>
    <w:rsid w:val="00CB1969"/>
    <w:rsid w:val="00CB19E3"/>
    <w:rsid w:val="00CB2C3A"/>
    <w:rsid w:val="00CB2D38"/>
    <w:rsid w:val="00CB4137"/>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40C3"/>
    <w:rsid w:val="00CC4E5D"/>
    <w:rsid w:val="00CC50AE"/>
    <w:rsid w:val="00CC5FFE"/>
    <w:rsid w:val="00CC61B7"/>
    <w:rsid w:val="00CC61CA"/>
    <w:rsid w:val="00CC69EC"/>
    <w:rsid w:val="00CC71D3"/>
    <w:rsid w:val="00CC743D"/>
    <w:rsid w:val="00CC7A62"/>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D5C"/>
    <w:rsid w:val="00CE3E09"/>
    <w:rsid w:val="00CE3E14"/>
    <w:rsid w:val="00CE44C7"/>
    <w:rsid w:val="00CE53CC"/>
    <w:rsid w:val="00CE65A7"/>
    <w:rsid w:val="00CE68FE"/>
    <w:rsid w:val="00CE69CC"/>
    <w:rsid w:val="00CE6EC4"/>
    <w:rsid w:val="00CE7F26"/>
    <w:rsid w:val="00CF0A8D"/>
    <w:rsid w:val="00CF1226"/>
    <w:rsid w:val="00CF1ABB"/>
    <w:rsid w:val="00CF1E1D"/>
    <w:rsid w:val="00CF24FE"/>
    <w:rsid w:val="00CF287F"/>
    <w:rsid w:val="00CF35D0"/>
    <w:rsid w:val="00CF3B57"/>
    <w:rsid w:val="00CF3DD5"/>
    <w:rsid w:val="00CF481B"/>
    <w:rsid w:val="00CF4AF7"/>
    <w:rsid w:val="00CF4D20"/>
    <w:rsid w:val="00CF73F8"/>
    <w:rsid w:val="00CF7928"/>
    <w:rsid w:val="00CF7CA2"/>
    <w:rsid w:val="00D00911"/>
    <w:rsid w:val="00D00A8E"/>
    <w:rsid w:val="00D00DE0"/>
    <w:rsid w:val="00D00F79"/>
    <w:rsid w:val="00D012BF"/>
    <w:rsid w:val="00D01760"/>
    <w:rsid w:val="00D030BD"/>
    <w:rsid w:val="00D0368E"/>
    <w:rsid w:val="00D0393E"/>
    <w:rsid w:val="00D03AC3"/>
    <w:rsid w:val="00D03D2D"/>
    <w:rsid w:val="00D03E7B"/>
    <w:rsid w:val="00D0401A"/>
    <w:rsid w:val="00D046C1"/>
    <w:rsid w:val="00D047E0"/>
    <w:rsid w:val="00D04B9F"/>
    <w:rsid w:val="00D04FFB"/>
    <w:rsid w:val="00D055FE"/>
    <w:rsid w:val="00D058E9"/>
    <w:rsid w:val="00D0612A"/>
    <w:rsid w:val="00D1060D"/>
    <w:rsid w:val="00D10E7C"/>
    <w:rsid w:val="00D11182"/>
    <w:rsid w:val="00D1137B"/>
    <w:rsid w:val="00D11807"/>
    <w:rsid w:val="00D11DB3"/>
    <w:rsid w:val="00D12D82"/>
    <w:rsid w:val="00D12F77"/>
    <w:rsid w:val="00D1306E"/>
    <w:rsid w:val="00D134CD"/>
    <w:rsid w:val="00D14B5F"/>
    <w:rsid w:val="00D14E13"/>
    <w:rsid w:val="00D14F2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477B"/>
    <w:rsid w:val="00D2522A"/>
    <w:rsid w:val="00D2531C"/>
    <w:rsid w:val="00D2553E"/>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93"/>
    <w:rsid w:val="00D41858"/>
    <w:rsid w:val="00D422DB"/>
    <w:rsid w:val="00D42303"/>
    <w:rsid w:val="00D42AC2"/>
    <w:rsid w:val="00D4498E"/>
    <w:rsid w:val="00D4515F"/>
    <w:rsid w:val="00D451E8"/>
    <w:rsid w:val="00D46185"/>
    <w:rsid w:val="00D466C9"/>
    <w:rsid w:val="00D47275"/>
    <w:rsid w:val="00D51064"/>
    <w:rsid w:val="00D517F6"/>
    <w:rsid w:val="00D51E15"/>
    <w:rsid w:val="00D52B7E"/>
    <w:rsid w:val="00D52E2F"/>
    <w:rsid w:val="00D52F59"/>
    <w:rsid w:val="00D53445"/>
    <w:rsid w:val="00D53E3E"/>
    <w:rsid w:val="00D54620"/>
    <w:rsid w:val="00D55904"/>
    <w:rsid w:val="00D5616F"/>
    <w:rsid w:val="00D57940"/>
    <w:rsid w:val="00D60327"/>
    <w:rsid w:val="00D61384"/>
    <w:rsid w:val="00D61526"/>
    <w:rsid w:val="00D61F81"/>
    <w:rsid w:val="00D62BE6"/>
    <w:rsid w:val="00D63766"/>
    <w:rsid w:val="00D63912"/>
    <w:rsid w:val="00D63923"/>
    <w:rsid w:val="00D6451B"/>
    <w:rsid w:val="00D64B57"/>
    <w:rsid w:val="00D651A1"/>
    <w:rsid w:val="00D65DEA"/>
    <w:rsid w:val="00D66579"/>
    <w:rsid w:val="00D676D3"/>
    <w:rsid w:val="00D67B06"/>
    <w:rsid w:val="00D67BC7"/>
    <w:rsid w:val="00D701F1"/>
    <w:rsid w:val="00D705D3"/>
    <w:rsid w:val="00D70E00"/>
    <w:rsid w:val="00D70F7C"/>
    <w:rsid w:val="00D715AC"/>
    <w:rsid w:val="00D71851"/>
    <w:rsid w:val="00D718CF"/>
    <w:rsid w:val="00D728F5"/>
    <w:rsid w:val="00D72E9D"/>
    <w:rsid w:val="00D73249"/>
    <w:rsid w:val="00D73419"/>
    <w:rsid w:val="00D73CA9"/>
    <w:rsid w:val="00D751B7"/>
    <w:rsid w:val="00D7524B"/>
    <w:rsid w:val="00D75396"/>
    <w:rsid w:val="00D759C0"/>
    <w:rsid w:val="00D75E99"/>
    <w:rsid w:val="00D765CE"/>
    <w:rsid w:val="00D766C7"/>
    <w:rsid w:val="00D7692B"/>
    <w:rsid w:val="00D7734F"/>
    <w:rsid w:val="00D8044C"/>
    <w:rsid w:val="00D805D6"/>
    <w:rsid w:val="00D8075E"/>
    <w:rsid w:val="00D80860"/>
    <w:rsid w:val="00D80D4C"/>
    <w:rsid w:val="00D8184D"/>
    <w:rsid w:val="00D81A7B"/>
    <w:rsid w:val="00D8223C"/>
    <w:rsid w:val="00D82B57"/>
    <w:rsid w:val="00D82CE5"/>
    <w:rsid w:val="00D831E3"/>
    <w:rsid w:val="00D8342C"/>
    <w:rsid w:val="00D85494"/>
    <w:rsid w:val="00D8582C"/>
    <w:rsid w:val="00D85D61"/>
    <w:rsid w:val="00D8616D"/>
    <w:rsid w:val="00D8711B"/>
    <w:rsid w:val="00D87384"/>
    <w:rsid w:val="00D90683"/>
    <w:rsid w:val="00D90B2A"/>
    <w:rsid w:val="00D91483"/>
    <w:rsid w:val="00D915C8"/>
    <w:rsid w:val="00D9310B"/>
    <w:rsid w:val="00D931F3"/>
    <w:rsid w:val="00D93726"/>
    <w:rsid w:val="00D93F3E"/>
    <w:rsid w:val="00D9405B"/>
    <w:rsid w:val="00D94942"/>
    <w:rsid w:val="00D95145"/>
    <w:rsid w:val="00D951DA"/>
    <w:rsid w:val="00D96594"/>
    <w:rsid w:val="00D967CB"/>
    <w:rsid w:val="00D968D4"/>
    <w:rsid w:val="00D96EE0"/>
    <w:rsid w:val="00D97BD1"/>
    <w:rsid w:val="00DA06B8"/>
    <w:rsid w:val="00DA14A9"/>
    <w:rsid w:val="00DA286D"/>
    <w:rsid w:val="00DA2969"/>
    <w:rsid w:val="00DA29B7"/>
    <w:rsid w:val="00DA337C"/>
    <w:rsid w:val="00DA4842"/>
    <w:rsid w:val="00DA5989"/>
    <w:rsid w:val="00DA5AB1"/>
    <w:rsid w:val="00DA5F9D"/>
    <w:rsid w:val="00DA5FFB"/>
    <w:rsid w:val="00DA69B2"/>
    <w:rsid w:val="00DA708E"/>
    <w:rsid w:val="00DA7462"/>
    <w:rsid w:val="00DA7AD0"/>
    <w:rsid w:val="00DB02D7"/>
    <w:rsid w:val="00DB03CC"/>
    <w:rsid w:val="00DB12D4"/>
    <w:rsid w:val="00DB14F0"/>
    <w:rsid w:val="00DB1745"/>
    <w:rsid w:val="00DB19BB"/>
    <w:rsid w:val="00DB1AFF"/>
    <w:rsid w:val="00DB219A"/>
    <w:rsid w:val="00DB3165"/>
    <w:rsid w:val="00DB4292"/>
    <w:rsid w:val="00DB5023"/>
    <w:rsid w:val="00DB6E46"/>
    <w:rsid w:val="00DB7117"/>
    <w:rsid w:val="00DB7760"/>
    <w:rsid w:val="00DB7DD4"/>
    <w:rsid w:val="00DC00B4"/>
    <w:rsid w:val="00DC0954"/>
    <w:rsid w:val="00DC0DF8"/>
    <w:rsid w:val="00DC15BA"/>
    <w:rsid w:val="00DC18CD"/>
    <w:rsid w:val="00DC1A68"/>
    <w:rsid w:val="00DC30B8"/>
    <w:rsid w:val="00DC478F"/>
    <w:rsid w:val="00DC62E5"/>
    <w:rsid w:val="00DC6D70"/>
    <w:rsid w:val="00DC6F33"/>
    <w:rsid w:val="00DC7349"/>
    <w:rsid w:val="00DD14D8"/>
    <w:rsid w:val="00DD1599"/>
    <w:rsid w:val="00DD1B03"/>
    <w:rsid w:val="00DD1E43"/>
    <w:rsid w:val="00DD2A62"/>
    <w:rsid w:val="00DD2F2F"/>
    <w:rsid w:val="00DD2F7A"/>
    <w:rsid w:val="00DD3885"/>
    <w:rsid w:val="00DD5808"/>
    <w:rsid w:val="00DD5946"/>
    <w:rsid w:val="00DD5B04"/>
    <w:rsid w:val="00DD5DAE"/>
    <w:rsid w:val="00DD5EC6"/>
    <w:rsid w:val="00DD605F"/>
    <w:rsid w:val="00DD72A0"/>
    <w:rsid w:val="00DD735D"/>
    <w:rsid w:val="00DE0159"/>
    <w:rsid w:val="00DE064A"/>
    <w:rsid w:val="00DE082D"/>
    <w:rsid w:val="00DE1410"/>
    <w:rsid w:val="00DE20C6"/>
    <w:rsid w:val="00DE3119"/>
    <w:rsid w:val="00DE3FF0"/>
    <w:rsid w:val="00DE4105"/>
    <w:rsid w:val="00DE41C4"/>
    <w:rsid w:val="00DE5189"/>
    <w:rsid w:val="00DE7108"/>
    <w:rsid w:val="00DE78D1"/>
    <w:rsid w:val="00DE78FF"/>
    <w:rsid w:val="00DF0263"/>
    <w:rsid w:val="00DF0EB4"/>
    <w:rsid w:val="00DF158B"/>
    <w:rsid w:val="00DF193C"/>
    <w:rsid w:val="00DF1E36"/>
    <w:rsid w:val="00DF236B"/>
    <w:rsid w:val="00DF2A91"/>
    <w:rsid w:val="00DF3889"/>
    <w:rsid w:val="00DF3CC9"/>
    <w:rsid w:val="00DF40AB"/>
    <w:rsid w:val="00DF4451"/>
    <w:rsid w:val="00DF49FF"/>
    <w:rsid w:val="00DF4FFB"/>
    <w:rsid w:val="00DF5236"/>
    <w:rsid w:val="00DF651F"/>
    <w:rsid w:val="00DF6F43"/>
    <w:rsid w:val="00DF752F"/>
    <w:rsid w:val="00DF76A2"/>
    <w:rsid w:val="00E00B7A"/>
    <w:rsid w:val="00E01FDD"/>
    <w:rsid w:val="00E02186"/>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9DD"/>
    <w:rsid w:val="00E11229"/>
    <w:rsid w:val="00E114CA"/>
    <w:rsid w:val="00E11FE2"/>
    <w:rsid w:val="00E1397F"/>
    <w:rsid w:val="00E13AB8"/>
    <w:rsid w:val="00E1482E"/>
    <w:rsid w:val="00E16382"/>
    <w:rsid w:val="00E1699C"/>
    <w:rsid w:val="00E16E75"/>
    <w:rsid w:val="00E1746D"/>
    <w:rsid w:val="00E2012A"/>
    <w:rsid w:val="00E205A2"/>
    <w:rsid w:val="00E20BA4"/>
    <w:rsid w:val="00E2302A"/>
    <w:rsid w:val="00E23137"/>
    <w:rsid w:val="00E23980"/>
    <w:rsid w:val="00E241E9"/>
    <w:rsid w:val="00E257C3"/>
    <w:rsid w:val="00E25CB3"/>
    <w:rsid w:val="00E25DA4"/>
    <w:rsid w:val="00E26237"/>
    <w:rsid w:val="00E26CB8"/>
    <w:rsid w:val="00E26D16"/>
    <w:rsid w:val="00E26FCF"/>
    <w:rsid w:val="00E27165"/>
    <w:rsid w:val="00E275D9"/>
    <w:rsid w:val="00E27988"/>
    <w:rsid w:val="00E3044A"/>
    <w:rsid w:val="00E30E49"/>
    <w:rsid w:val="00E31A4A"/>
    <w:rsid w:val="00E3344A"/>
    <w:rsid w:val="00E33B29"/>
    <w:rsid w:val="00E33B62"/>
    <w:rsid w:val="00E3403D"/>
    <w:rsid w:val="00E344BD"/>
    <w:rsid w:val="00E34E6C"/>
    <w:rsid w:val="00E353E2"/>
    <w:rsid w:val="00E36345"/>
    <w:rsid w:val="00E36C86"/>
    <w:rsid w:val="00E36CEB"/>
    <w:rsid w:val="00E37A28"/>
    <w:rsid w:val="00E40430"/>
    <w:rsid w:val="00E40690"/>
    <w:rsid w:val="00E40AEB"/>
    <w:rsid w:val="00E4143A"/>
    <w:rsid w:val="00E424C8"/>
    <w:rsid w:val="00E4251D"/>
    <w:rsid w:val="00E43D00"/>
    <w:rsid w:val="00E443B4"/>
    <w:rsid w:val="00E445E4"/>
    <w:rsid w:val="00E457CB"/>
    <w:rsid w:val="00E45D47"/>
    <w:rsid w:val="00E45DE4"/>
    <w:rsid w:val="00E45E63"/>
    <w:rsid w:val="00E4759C"/>
    <w:rsid w:val="00E50A7B"/>
    <w:rsid w:val="00E50B0B"/>
    <w:rsid w:val="00E510FE"/>
    <w:rsid w:val="00E516C7"/>
    <w:rsid w:val="00E51E25"/>
    <w:rsid w:val="00E5205B"/>
    <w:rsid w:val="00E521AE"/>
    <w:rsid w:val="00E529A3"/>
    <w:rsid w:val="00E53A21"/>
    <w:rsid w:val="00E53BCA"/>
    <w:rsid w:val="00E53DE2"/>
    <w:rsid w:val="00E53F02"/>
    <w:rsid w:val="00E54534"/>
    <w:rsid w:val="00E548C3"/>
    <w:rsid w:val="00E54F27"/>
    <w:rsid w:val="00E55FF1"/>
    <w:rsid w:val="00E56090"/>
    <w:rsid w:val="00E565B9"/>
    <w:rsid w:val="00E56E7B"/>
    <w:rsid w:val="00E5733B"/>
    <w:rsid w:val="00E5756C"/>
    <w:rsid w:val="00E57811"/>
    <w:rsid w:val="00E601BE"/>
    <w:rsid w:val="00E60B5F"/>
    <w:rsid w:val="00E613AE"/>
    <w:rsid w:val="00E61429"/>
    <w:rsid w:val="00E61ABB"/>
    <w:rsid w:val="00E61FD7"/>
    <w:rsid w:val="00E623E6"/>
    <w:rsid w:val="00E630C0"/>
    <w:rsid w:val="00E63107"/>
    <w:rsid w:val="00E6312C"/>
    <w:rsid w:val="00E634E6"/>
    <w:rsid w:val="00E63DCE"/>
    <w:rsid w:val="00E6453E"/>
    <w:rsid w:val="00E64700"/>
    <w:rsid w:val="00E65074"/>
    <w:rsid w:val="00E65E70"/>
    <w:rsid w:val="00E66087"/>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6537"/>
    <w:rsid w:val="00E77784"/>
    <w:rsid w:val="00E77AF5"/>
    <w:rsid w:val="00E823F9"/>
    <w:rsid w:val="00E82C1F"/>
    <w:rsid w:val="00E83671"/>
    <w:rsid w:val="00E840EE"/>
    <w:rsid w:val="00E84A71"/>
    <w:rsid w:val="00E86556"/>
    <w:rsid w:val="00E86D35"/>
    <w:rsid w:val="00E86DC2"/>
    <w:rsid w:val="00E86E32"/>
    <w:rsid w:val="00E86F2E"/>
    <w:rsid w:val="00E8732E"/>
    <w:rsid w:val="00E9011F"/>
    <w:rsid w:val="00E906EB"/>
    <w:rsid w:val="00E90A66"/>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2744"/>
    <w:rsid w:val="00EA37B9"/>
    <w:rsid w:val="00EA39F7"/>
    <w:rsid w:val="00EA3DC2"/>
    <w:rsid w:val="00EA434E"/>
    <w:rsid w:val="00EA4757"/>
    <w:rsid w:val="00EA560B"/>
    <w:rsid w:val="00EA5669"/>
    <w:rsid w:val="00EA5CC6"/>
    <w:rsid w:val="00EA63EF"/>
    <w:rsid w:val="00EB0A4A"/>
    <w:rsid w:val="00EB0A89"/>
    <w:rsid w:val="00EB1573"/>
    <w:rsid w:val="00EB1910"/>
    <w:rsid w:val="00EB2D83"/>
    <w:rsid w:val="00EB2E97"/>
    <w:rsid w:val="00EB3416"/>
    <w:rsid w:val="00EB4AE1"/>
    <w:rsid w:val="00EB52F4"/>
    <w:rsid w:val="00EB5694"/>
    <w:rsid w:val="00EB5779"/>
    <w:rsid w:val="00EB5D2F"/>
    <w:rsid w:val="00EB67F1"/>
    <w:rsid w:val="00EB72CD"/>
    <w:rsid w:val="00EB749A"/>
    <w:rsid w:val="00EB76B6"/>
    <w:rsid w:val="00EB7D8A"/>
    <w:rsid w:val="00EC05E2"/>
    <w:rsid w:val="00EC08AC"/>
    <w:rsid w:val="00EC0E84"/>
    <w:rsid w:val="00EC16E2"/>
    <w:rsid w:val="00EC1CE7"/>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F03"/>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C60"/>
    <w:rsid w:val="00ED7FBC"/>
    <w:rsid w:val="00EE0253"/>
    <w:rsid w:val="00EE0297"/>
    <w:rsid w:val="00EE1258"/>
    <w:rsid w:val="00EE13DA"/>
    <w:rsid w:val="00EE1668"/>
    <w:rsid w:val="00EE1EDB"/>
    <w:rsid w:val="00EE24E2"/>
    <w:rsid w:val="00EE366D"/>
    <w:rsid w:val="00EE4CDF"/>
    <w:rsid w:val="00EE5454"/>
    <w:rsid w:val="00EE59B5"/>
    <w:rsid w:val="00EE5FB7"/>
    <w:rsid w:val="00EE6783"/>
    <w:rsid w:val="00EE7B54"/>
    <w:rsid w:val="00EE7C47"/>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6784"/>
    <w:rsid w:val="00EF688A"/>
    <w:rsid w:val="00EF6A03"/>
    <w:rsid w:val="00EF6DC2"/>
    <w:rsid w:val="00EF7506"/>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EA9"/>
    <w:rsid w:val="00F15505"/>
    <w:rsid w:val="00F15BFF"/>
    <w:rsid w:val="00F16E4F"/>
    <w:rsid w:val="00F17244"/>
    <w:rsid w:val="00F213A0"/>
    <w:rsid w:val="00F21D54"/>
    <w:rsid w:val="00F21EF4"/>
    <w:rsid w:val="00F23113"/>
    <w:rsid w:val="00F23255"/>
    <w:rsid w:val="00F23393"/>
    <w:rsid w:val="00F23759"/>
    <w:rsid w:val="00F24644"/>
    <w:rsid w:val="00F25947"/>
    <w:rsid w:val="00F262D6"/>
    <w:rsid w:val="00F26F33"/>
    <w:rsid w:val="00F2748A"/>
    <w:rsid w:val="00F300A8"/>
    <w:rsid w:val="00F302C6"/>
    <w:rsid w:val="00F30400"/>
    <w:rsid w:val="00F3079E"/>
    <w:rsid w:val="00F3399B"/>
    <w:rsid w:val="00F33F4B"/>
    <w:rsid w:val="00F346ED"/>
    <w:rsid w:val="00F34945"/>
    <w:rsid w:val="00F34E1E"/>
    <w:rsid w:val="00F3570C"/>
    <w:rsid w:val="00F363A4"/>
    <w:rsid w:val="00F36765"/>
    <w:rsid w:val="00F368FF"/>
    <w:rsid w:val="00F37068"/>
    <w:rsid w:val="00F37F3F"/>
    <w:rsid w:val="00F40992"/>
    <w:rsid w:val="00F40F72"/>
    <w:rsid w:val="00F40FD8"/>
    <w:rsid w:val="00F41596"/>
    <w:rsid w:val="00F41D8B"/>
    <w:rsid w:val="00F42121"/>
    <w:rsid w:val="00F424B3"/>
    <w:rsid w:val="00F428B1"/>
    <w:rsid w:val="00F428B4"/>
    <w:rsid w:val="00F4345D"/>
    <w:rsid w:val="00F4387B"/>
    <w:rsid w:val="00F448EE"/>
    <w:rsid w:val="00F45921"/>
    <w:rsid w:val="00F45B91"/>
    <w:rsid w:val="00F46639"/>
    <w:rsid w:val="00F476FD"/>
    <w:rsid w:val="00F50183"/>
    <w:rsid w:val="00F50D92"/>
    <w:rsid w:val="00F51765"/>
    <w:rsid w:val="00F51A51"/>
    <w:rsid w:val="00F51BC6"/>
    <w:rsid w:val="00F51CB4"/>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133C"/>
    <w:rsid w:val="00F624A7"/>
    <w:rsid w:val="00F62AB6"/>
    <w:rsid w:val="00F65A3C"/>
    <w:rsid w:val="00F66282"/>
    <w:rsid w:val="00F6639E"/>
    <w:rsid w:val="00F66E21"/>
    <w:rsid w:val="00F670E9"/>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C11"/>
    <w:rsid w:val="00F77021"/>
    <w:rsid w:val="00F77E61"/>
    <w:rsid w:val="00F77E9A"/>
    <w:rsid w:val="00F80221"/>
    <w:rsid w:val="00F80C81"/>
    <w:rsid w:val="00F81265"/>
    <w:rsid w:val="00F815AC"/>
    <w:rsid w:val="00F83B33"/>
    <w:rsid w:val="00F83CAE"/>
    <w:rsid w:val="00F840BF"/>
    <w:rsid w:val="00F8427A"/>
    <w:rsid w:val="00F843DF"/>
    <w:rsid w:val="00F84899"/>
    <w:rsid w:val="00F85585"/>
    <w:rsid w:val="00F859F0"/>
    <w:rsid w:val="00F85CC1"/>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3FC"/>
    <w:rsid w:val="00F97CF1"/>
    <w:rsid w:val="00FA015F"/>
    <w:rsid w:val="00FA0160"/>
    <w:rsid w:val="00FA0FAC"/>
    <w:rsid w:val="00FA10F7"/>
    <w:rsid w:val="00FA1DA2"/>
    <w:rsid w:val="00FA3414"/>
    <w:rsid w:val="00FA347A"/>
    <w:rsid w:val="00FA3CDE"/>
    <w:rsid w:val="00FA49B7"/>
    <w:rsid w:val="00FA5043"/>
    <w:rsid w:val="00FA6F8B"/>
    <w:rsid w:val="00FA727C"/>
    <w:rsid w:val="00FA7A30"/>
    <w:rsid w:val="00FB033F"/>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1196"/>
    <w:rsid w:val="00FC15EB"/>
    <w:rsid w:val="00FC162C"/>
    <w:rsid w:val="00FC18DC"/>
    <w:rsid w:val="00FC2477"/>
    <w:rsid w:val="00FC2AC4"/>
    <w:rsid w:val="00FC2CAC"/>
    <w:rsid w:val="00FC2F73"/>
    <w:rsid w:val="00FC3A9B"/>
    <w:rsid w:val="00FC3AE1"/>
    <w:rsid w:val="00FC3DFC"/>
    <w:rsid w:val="00FC3EF4"/>
    <w:rsid w:val="00FC431B"/>
    <w:rsid w:val="00FC434C"/>
    <w:rsid w:val="00FC472C"/>
    <w:rsid w:val="00FC4FDF"/>
    <w:rsid w:val="00FC5CF4"/>
    <w:rsid w:val="00FC5D64"/>
    <w:rsid w:val="00FC6A39"/>
    <w:rsid w:val="00FC6C81"/>
    <w:rsid w:val="00FC76A9"/>
    <w:rsid w:val="00FC79AB"/>
    <w:rsid w:val="00FC7BE7"/>
    <w:rsid w:val="00FC7DAC"/>
    <w:rsid w:val="00FD005D"/>
    <w:rsid w:val="00FD04AE"/>
    <w:rsid w:val="00FD0DFA"/>
    <w:rsid w:val="00FD128D"/>
    <w:rsid w:val="00FD1890"/>
    <w:rsid w:val="00FD1994"/>
    <w:rsid w:val="00FD3508"/>
    <w:rsid w:val="00FD393C"/>
    <w:rsid w:val="00FD3AFF"/>
    <w:rsid w:val="00FD43BB"/>
    <w:rsid w:val="00FD48CD"/>
    <w:rsid w:val="00FD4AF3"/>
    <w:rsid w:val="00FD798D"/>
    <w:rsid w:val="00FE141E"/>
    <w:rsid w:val="00FE144E"/>
    <w:rsid w:val="00FE1768"/>
    <w:rsid w:val="00FE24F4"/>
    <w:rsid w:val="00FE2560"/>
    <w:rsid w:val="00FE35D0"/>
    <w:rsid w:val="00FE42ED"/>
    <w:rsid w:val="00FE4E06"/>
    <w:rsid w:val="00FE55A7"/>
    <w:rsid w:val="00FE5C5A"/>
    <w:rsid w:val="00FE6432"/>
    <w:rsid w:val="00FE72A0"/>
    <w:rsid w:val="00FE76F9"/>
    <w:rsid w:val="00FF0050"/>
    <w:rsid w:val="00FF045F"/>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26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19421571">
      <w:bodyDiv w:val="1"/>
      <w:marLeft w:val="0"/>
      <w:marRight w:val="0"/>
      <w:marTop w:val="0"/>
      <w:marBottom w:val="0"/>
      <w:divBdr>
        <w:top w:val="none" w:sz="0" w:space="0" w:color="auto"/>
        <w:left w:val="none" w:sz="0" w:space="0" w:color="auto"/>
        <w:bottom w:val="none" w:sz="0" w:space="0" w:color="auto"/>
        <w:right w:val="none" w:sz="0" w:space="0" w:color="auto"/>
      </w:divBdr>
      <w:divsChild>
        <w:div w:id="796023453">
          <w:marLeft w:val="0"/>
          <w:marRight w:val="0"/>
          <w:marTop w:val="0"/>
          <w:marBottom w:val="0"/>
          <w:divBdr>
            <w:top w:val="none" w:sz="0" w:space="0" w:color="auto"/>
            <w:left w:val="none" w:sz="0" w:space="0" w:color="auto"/>
            <w:bottom w:val="none" w:sz="0" w:space="0" w:color="auto"/>
            <w:right w:val="none" w:sz="0" w:space="0" w:color="auto"/>
          </w:divBdr>
        </w:div>
      </w:divsChild>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15</Pages>
  <Words>4705</Words>
  <Characters>25882</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2022-05-05T19:59:00Z</dcterms:created>
  <dcterms:modified xsi:type="dcterms:W3CDTF">2022-05-05T19:59:00Z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