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4E4581" w:rsidRDefault="00B55C69" w:rsidP="0030575F">
      <w:pPr>
        <w:jc w:val="right"/>
        <w:rPr>
          <w:rFonts w:ascii="Arial" w:eastAsia="Calibri" w:hAnsi="Arial" w:cs="Arial"/>
          <w:b/>
          <w:color w:val="000000" w:themeColor="text1"/>
          <w:sz w:val="20"/>
          <w:szCs w:val="20"/>
          <w:lang w:val="es-ES_tradnl"/>
        </w:rPr>
      </w:pPr>
      <w:r w:rsidRPr="004E4581">
        <w:rPr>
          <w:rFonts w:ascii="Arial" w:hAnsi="Arial" w:cs="Arial"/>
          <w:bCs/>
          <w:color w:val="000000" w:themeColor="text1"/>
          <w:sz w:val="20"/>
          <w:szCs w:val="20"/>
          <w:lang w:val="es-ES_tradnl" w:eastAsia="es-ES"/>
        </w:rPr>
        <w:t>CCE-DES-FM-17</w:t>
      </w:r>
      <w:bookmarkEnd w:id="0"/>
      <w:bookmarkEnd w:id="1"/>
    </w:p>
    <w:p w14:paraId="241461A1" w14:textId="77777777" w:rsidR="00172020" w:rsidRDefault="00172020"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p>
    <w:bookmarkEnd w:id="2"/>
    <w:p w14:paraId="56156320" w14:textId="77777777" w:rsidR="003A231A" w:rsidRPr="004E4581" w:rsidRDefault="003A231A" w:rsidP="003A231A">
      <w:pPr>
        <w:spacing w:after="120"/>
        <w:contextualSpacing/>
        <w:jc w:val="both"/>
        <w:rPr>
          <w:rFonts w:ascii="Arial" w:eastAsia="Calibri" w:hAnsi="Arial" w:cs="Arial"/>
          <w:b/>
          <w:bCs/>
          <w:color w:val="000000" w:themeColor="text1"/>
          <w:sz w:val="22"/>
          <w:szCs w:val="22"/>
          <w:lang w:val="es-MX" w:eastAsia="en-US"/>
        </w:rPr>
      </w:pPr>
      <w:r w:rsidRPr="004E4581">
        <w:rPr>
          <w:rFonts w:ascii="Arial" w:eastAsia="Calibri" w:hAnsi="Arial" w:cs="Arial"/>
          <w:b/>
          <w:bCs/>
          <w:color w:val="000000" w:themeColor="text1"/>
          <w:sz w:val="22"/>
          <w:szCs w:val="22"/>
          <w:lang w:val="es-MX" w:eastAsia="en-US"/>
        </w:rPr>
        <w:t>LEY DE GARANTÍAS ELECTORALES – Finalidad</w:t>
      </w:r>
    </w:p>
    <w:p w14:paraId="0D88A11D" w14:textId="77777777" w:rsidR="003A231A" w:rsidRPr="00861F5C" w:rsidRDefault="003A231A" w:rsidP="003A231A">
      <w:pPr>
        <w:spacing w:after="120"/>
        <w:contextualSpacing/>
        <w:jc w:val="both"/>
        <w:rPr>
          <w:rFonts w:ascii="Arial" w:eastAsia="Calibri" w:hAnsi="Arial" w:cs="Arial"/>
          <w:color w:val="000000" w:themeColor="text1"/>
          <w:sz w:val="20"/>
          <w:szCs w:val="20"/>
          <w:lang w:val="es-MX" w:eastAsia="en-US"/>
        </w:rPr>
      </w:pPr>
    </w:p>
    <w:p w14:paraId="4D998AE2" w14:textId="77777777" w:rsidR="003A231A" w:rsidRPr="00861F5C" w:rsidRDefault="003A231A" w:rsidP="003A231A">
      <w:pPr>
        <w:tabs>
          <w:tab w:val="left" w:pos="426"/>
        </w:tabs>
        <w:spacing w:after="120"/>
        <w:jc w:val="both"/>
        <w:rPr>
          <w:rFonts w:ascii="Arial" w:eastAsia="Calibri" w:hAnsi="Arial" w:cs="Arial"/>
          <w:bCs/>
          <w:color w:val="000000" w:themeColor="text1"/>
          <w:sz w:val="20"/>
          <w:szCs w:val="20"/>
        </w:rPr>
      </w:pPr>
      <w:r w:rsidRPr="00861F5C">
        <w:rPr>
          <w:rFonts w:ascii="Arial" w:hAnsi="Arial" w:cs="Arial"/>
          <w:bCs/>
          <w:color w:val="000000" w:themeColor="text1"/>
          <w:sz w:val="20"/>
          <w:szCs w:val="20"/>
          <w:lang w:eastAsia="es-CO"/>
        </w:rPr>
        <w:t xml:space="preserve">[…] la Ley 996 de 2005 </w:t>
      </w:r>
      <w:r w:rsidRPr="00861F5C">
        <w:rPr>
          <w:rFonts w:ascii="Arial" w:eastAsia="Calibri" w:hAnsi="Arial" w:cs="Arial"/>
          <w:b/>
          <w:bCs/>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671E688" w14:textId="77777777" w:rsidR="003A231A" w:rsidRPr="004E4581" w:rsidRDefault="003A231A" w:rsidP="003A231A">
      <w:pPr>
        <w:tabs>
          <w:tab w:val="left" w:pos="426"/>
        </w:tabs>
        <w:jc w:val="both"/>
        <w:rPr>
          <w:rFonts w:ascii="Arial" w:eastAsia="Calibri" w:hAnsi="Arial" w:cs="Arial"/>
          <w:bCs/>
          <w:color w:val="000000" w:themeColor="text1"/>
          <w:sz w:val="20"/>
          <w:szCs w:val="20"/>
          <w:lang w:val="es-MX" w:eastAsia="en-US"/>
        </w:rPr>
      </w:pPr>
    </w:p>
    <w:p w14:paraId="2AA5AE7F" w14:textId="77777777" w:rsidR="003A231A" w:rsidRPr="004E4581" w:rsidRDefault="003A231A" w:rsidP="003A231A">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E4581">
        <w:rPr>
          <w:rFonts w:ascii="Arial" w:eastAsia="Calibri" w:hAnsi="Arial" w:cs="Arial"/>
          <w:b/>
          <w:bCs/>
          <w:color w:val="000000" w:themeColor="text1"/>
          <w:sz w:val="22"/>
          <w:szCs w:val="22"/>
          <w:lang w:val="es-MX" w:eastAsia="en-US"/>
        </w:rPr>
        <w:t>LEY DE GARANTÍAS ELECTORALES ‒</w:t>
      </w:r>
      <w:bookmarkEnd w:id="3"/>
      <w:r w:rsidRPr="004E4581">
        <w:rPr>
          <w:rFonts w:ascii="Arial" w:eastAsia="Calibri" w:hAnsi="Arial" w:cs="Arial"/>
          <w:b/>
          <w:bCs/>
          <w:color w:val="000000" w:themeColor="text1"/>
          <w:sz w:val="22"/>
          <w:szCs w:val="22"/>
          <w:lang w:val="es-MX" w:eastAsia="en-US"/>
        </w:rPr>
        <w:t xml:space="preserve"> Restricciones </w:t>
      </w:r>
      <w:bookmarkStart w:id="5" w:name="_Hlk77157034"/>
      <w:r w:rsidRPr="004E4581">
        <w:rPr>
          <w:rFonts w:ascii="Arial" w:eastAsia="Calibri" w:hAnsi="Arial" w:cs="Arial"/>
          <w:b/>
          <w:bCs/>
          <w:color w:val="000000" w:themeColor="text1"/>
          <w:sz w:val="22"/>
          <w:szCs w:val="22"/>
          <w:lang w:val="es-MX" w:eastAsia="en-US"/>
        </w:rPr>
        <w:t xml:space="preserve">‒ </w:t>
      </w:r>
      <w:bookmarkEnd w:id="5"/>
      <w:r w:rsidRPr="004E4581">
        <w:rPr>
          <w:rFonts w:ascii="Arial" w:eastAsia="Calibri" w:hAnsi="Arial" w:cs="Arial"/>
          <w:b/>
          <w:bCs/>
          <w:color w:val="000000" w:themeColor="text1"/>
          <w:sz w:val="22"/>
          <w:szCs w:val="22"/>
          <w:lang w:val="es-MX" w:eastAsia="en-US"/>
        </w:rPr>
        <w:t>Contratación</w:t>
      </w:r>
      <w:bookmarkStart w:id="6" w:name="_Hlk77153098"/>
      <w:r w:rsidRPr="004E4581">
        <w:rPr>
          <w:rFonts w:ascii="Arial" w:eastAsia="Calibri" w:hAnsi="Arial" w:cs="Arial"/>
          <w:b/>
          <w:bCs/>
          <w:color w:val="000000" w:themeColor="text1"/>
          <w:sz w:val="22"/>
          <w:szCs w:val="22"/>
          <w:lang w:val="es-MX" w:eastAsia="en-US"/>
        </w:rPr>
        <w:t xml:space="preserve"> ‒ Tipos de elección</w:t>
      </w:r>
      <w:bookmarkEnd w:id="6"/>
      <w:r w:rsidRPr="004E4581">
        <w:rPr>
          <w:rFonts w:ascii="Arial" w:eastAsia="Calibri" w:hAnsi="Arial" w:cs="Arial"/>
          <w:b/>
          <w:bCs/>
          <w:color w:val="000000" w:themeColor="text1"/>
          <w:sz w:val="22"/>
          <w:szCs w:val="22"/>
          <w:lang w:val="es-MX" w:eastAsia="en-US"/>
        </w:rPr>
        <w:t xml:space="preserve"> </w:t>
      </w:r>
    </w:p>
    <w:p w14:paraId="312415BB" w14:textId="77777777" w:rsidR="003A231A" w:rsidRPr="00861F5C" w:rsidRDefault="003A231A" w:rsidP="003A231A">
      <w:pPr>
        <w:tabs>
          <w:tab w:val="left" w:pos="426"/>
        </w:tabs>
        <w:jc w:val="both"/>
        <w:rPr>
          <w:rFonts w:ascii="Arial" w:eastAsia="Calibri" w:hAnsi="Arial" w:cs="Arial"/>
          <w:b/>
          <w:bCs/>
          <w:color w:val="000000" w:themeColor="text1"/>
          <w:sz w:val="20"/>
          <w:szCs w:val="20"/>
          <w:lang w:val="es-MX" w:eastAsia="en-US"/>
        </w:rPr>
      </w:pPr>
    </w:p>
    <w:p w14:paraId="5062675F" w14:textId="77777777" w:rsidR="003A231A" w:rsidRPr="00861F5C" w:rsidRDefault="003A231A" w:rsidP="003A231A">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w:t>
      </w:r>
      <w:proofErr w:type="spellStart"/>
      <w:r w:rsidRPr="00861F5C">
        <w:rPr>
          <w:rFonts w:ascii="Arial" w:eastAsia="Calibri" w:hAnsi="Arial" w:cs="Arial"/>
          <w:color w:val="000000" w:themeColor="text1"/>
          <w:sz w:val="20"/>
          <w:szCs w:val="20"/>
          <w:lang w:eastAsia="en-US"/>
        </w:rPr>
        <w:t>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.Por</w:t>
      </w:r>
      <w:proofErr w:type="spellEnd"/>
      <w:r w:rsidRPr="00861F5C">
        <w:rPr>
          <w:rFonts w:ascii="Arial" w:eastAsia="Calibri" w:hAnsi="Arial" w:cs="Arial"/>
          <w:color w:val="000000" w:themeColor="text1"/>
          <w:sz w:val="20"/>
          <w:szCs w:val="20"/>
          <w:lang w:eastAsia="en-US"/>
        </w:rPr>
        <w:t xml:space="preserve">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Pr="00861F5C">
        <w:rPr>
          <w:rFonts w:ascii="Arial" w:eastAsia="Calibri" w:hAnsi="Arial" w:cs="Arial"/>
          <w:noProof/>
          <w:color w:val="000000" w:themeColor="text1"/>
          <w:sz w:val="20"/>
          <w:szCs w:val="20"/>
          <w:lang w:val="es-ES_tradnl" w:eastAsia="en-US"/>
        </w:rPr>
        <w:t>.</w:t>
      </w:r>
    </w:p>
    <w:bookmarkEnd w:id="4"/>
    <w:p w14:paraId="6A248971" w14:textId="77777777" w:rsidR="003A231A" w:rsidRPr="004E4581" w:rsidRDefault="003A231A" w:rsidP="003A231A">
      <w:pPr>
        <w:tabs>
          <w:tab w:val="left" w:pos="426"/>
        </w:tabs>
        <w:jc w:val="both"/>
        <w:rPr>
          <w:rFonts w:ascii="Arial" w:eastAsia="Calibri" w:hAnsi="Arial" w:cs="Arial"/>
          <w:noProof/>
          <w:color w:val="000000" w:themeColor="text1"/>
          <w:sz w:val="20"/>
          <w:szCs w:val="20"/>
          <w:lang w:val="es-ES_tradnl" w:eastAsia="en-US"/>
        </w:rPr>
      </w:pPr>
    </w:p>
    <w:p w14:paraId="16B99D67" w14:textId="77777777" w:rsidR="003A231A" w:rsidRPr="004E4581" w:rsidRDefault="003A231A" w:rsidP="003A231A">
      <w:pPr>
        <w:tabs>
          <w:tab w:val="left" w:pos="426"/>
        </w:tabs>
        <w:jc w:val="both"/>
        <w:rPr>
          <w:rFonts w:ascii="Arial" w:eastAsia="Calibri" w:hAnsi="Arial" w:cs="Arial"/>
          <w:b/>
          <w:bCs/>
          <w:color w:val="000000" w:themeColor="text1"/>
          <w:sz w:val="22"/>
          <w:szCs w:val="22"/>
          <w:lang w:val="es-MX" w:eastAsia="en-US"/>
        </w:rPr>
      </w:pPr>
      <w:bookmarkStart w:id="7" w:name="_Hlk77157138"/>
      <w:r w:rsidRPr="004E4581">
        <w:rPr>
          <w:rFonts w:ascii="Arial" w:eastAsia="Calibri" w:hAnsi="Arial" w:cs="Arial"/>
          <w:b/>
          <w:bCs/>
          <w:color w:val="000000" w:themeColor="text1"/>
          <w:sz w:val="22"/>
          <w:szCs w:val="22"/>
          <w:lang w:val="es-MX" w:eastAsia="en-US"/>
        </w:rPr>
        <w:t>LEY DE GARANTÍAS ELECTORALES ‒ Prohibiciones ‒ Ámbito temporal</w:t>
      </w:r>
    </w:p>
    <w:p w14:paraId="69D83ABA" w14:textId="77777777" w:rsidR="003A231A" w:rsidRPr="004E4581" w:rsidRDefault="003A231A" w:rsidP="003A231A">
      <w:pPr>
        <w:tabs>
          <w:tab w:val="left" w:pos="426"/>
        </w:tabs>
        <w:jc w:val="both"/>
        <w:rPr>
          <w:rFonts w:ascii="Arial" w:eastAsia="Calibri" w:hAnsi="Arial" w:cs="Arial"/>
          <w:noProof/>
          <w:color w:val="000000" w:themeColor="text1"/>
          <w:sz w:val="20"/>
          <w:szCs w:val="20"/>
          <w:lang w:val="es-ES_tradnl" w:eastAsia="en-US"/>
        </w:rPr>
      </w:pPr>
    </w:p>
    <w:bookmarkEnd w:id="7"/>
    <w:p w14:paraId="2751E842" w14:textId="77777777" w:rsidR="003A231A" w:rsidRPr="00861F5C" w:rsidRDefault="003A231A" w:rsidP="003A231A">
      <w:pPr>
        <w:spacing w:after="120"/>
        <w:jc w:val="both"/>
        <w:rPr>
          <w:rFonts w:ascii="Arial" w:eastAsia="Arial" w:hAnsi="Arial" w:cs="Arial"/>
          <w:color w:val="000000" w:themeColor="text1"/>
          <w:sz w:val="20"/>
          <w:szCs w:val="20"/>
          <w:lang w:val="es-ES" w:eastAsia="es-ES" w:bidi="es-ES"/>
        </w:rPr>
      </w:pPr>
      <w:r w:rsidRPr="00861F5C">
        <w:rPr>
          <w:rFonts w:ascii="Arial" w:eastAsia="Arial" w:hAnsi="Arial" w:cs="Arial"/>
          <w:color w:val="000000" w:themeColor="text1"/>
          <w:sz w:val="20"/>
          <w:szCs w:val="20"/>
          <w:lang w:val="es-ES" w:eastAsia="es-ES" w:bidi="es-ES"/>
        </w:rPr>
        <w:t xml:space="preserve">[…] la Ley 996 de 2005 regula dos tipos de restricciones en materia de contratación, a saber: i) La del artículo 33 que opera solo respecto de las elecciones presidenciales, en virtud de la cual queda </w:t>
      </w:r>
      <w:r w:rsidRPr="00861F5C">
        <w:rPr>
          <w:rFonts w:ascii="Arial" w:eastAsia="Arial" w:hAnsi="Arial" w:cs="Arial"/>
          <w:color w:val="000000" w:themeColor="text1"/>
          <w:sz w:val="20"/>
          <w:szCs w:val="20"/>
          <w:lang w:val="es-ES" w:eastAsia="es-ES" w:bidi="es-ES"/>
        </w:rPr>
        <w:lastRenderedPageBreak/>
        <w:t xml:space="preserve">proscrita </w:t>
      </w:r>
      <w:r w:rsidRPr="00861F5C">
        <w:rPr>
          <w:rFonts w:ascii="Arial" w:eastAsia="Calibri" w:hAnsi="Arial" w:cs="Arial"/>
          <w:color w:val="000000" w:themeColor="text1"/>
          <w:sz w:val="20"/>
          <w:szCs w:val="20"/>
          <w:lang w:eastAsia="en-US"/>
        </w:rPr>
        <w:t xml:space="preserve">la </w:t>
      </w:r>
      <w:r w:rsidRPr="00861F5C">
        <w:rPr>
          <w:rFonts w:ascii="Arial" w:eastAsia="Calibri" w:hAnsi="Arial" w:cs="Arial"/>
          <w:i/>
          <w:iCs/>
          <w:color w:val="000000" w:themeColor="text1"/>
          <w:sz w:val="20"/>
          <w:szCs w:val="20"/>
          <w:lang w:eastAsia="en-US"/>
        </w:rPr>
        <w:t>contratación directa</w:t>
      </w:r>
      <w:r w:rsidRPr="00861F5C">
        <w:rPr>
          <w:rFonts w:ascii="Arial" w:eastAsia="Calibri" w:hAnsi="Arial" w:cs="Arial"/>
          <w:color w:val="000000" w:themeColor="text1"/>
          <w:sz w:val="20"/>
          <w:szCs w:val="20"/>
          <w:lang w:eastAsia="en-US"/>
        </w:rPr>
        <w:t xml:space="preserve"> por parte de todos los entes del Estado</w:t>
      </w:r>
      <w:r w:rsidRPr="00861F5C">
        <w:rPr>
          <w:rFonts w:ascii="Arial" w:eastAsia="Arial" w:hAnsi="Arial" w:cs="Arial"/>
          <w:color w:val="000000" w:themeColor="text1"/>
          <w:sz w:val="20"/>
          <w:szCs w:val="20"/>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p>
    <w:p w14:paraId="0C47FB08" w14:textId="77777777" w:rsidR="003A231A" w:rsidRPr="00861F5C" w:rsidRDefault="003A231A" w:rsidP="003A231A">
      <w:pPr>
        <w:tabs>
          <w:tab w:val="left" w:pos="426"/>
        </w:tabs>
        <w:jc w:val="both"/>
        <w:rPr>
          <w:rFonts w:ascii="Arial" w:eastAsia="Calibri" w:hAnsi="Arial" w:cs="Arial"/>
          <w:color w:val="000000" w:themeColor="text1"/>
          <w:sz w:val="20"/>
          <w:szCs w:val="20"/>
          <w:lang w:val="es-ES" w:eastAsia="en-US"/>
        </w:rPr>
      </w:pPr>
    </w:p>
    <w:p w14:paraId="40760739" w14:textId="77777777" w:rsidR="003A231A" w:rsidRPr="004E4581" w:rsidRDefault="003A231A" w:rsidP="003A231A">
      <w:pPr>
        <w:jc w:val="both"/>
        <w:rPr>
          <w:rFonts w:ascii="Arial" w:eastAsia="Calibr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CONTRATOS Y </w:t>
      </w:r>
      <w:r w:rsidRPr="004E4581">
        <w:rPr>
          <w:rFonts w:ascii="Arial" w:eastAsiaTheme="minorHAnsi" w:hAnsi="Arial" w:cs="Arial"/>
          <w:b/>
          <w:color w:val="000000" w:themeColor="text1"/>
          <w:sz w:val="22"/>
          <w:szCs w:val="22"/>
          <w:lang w:val="es-MX" w:eastAsia="en-US"/>
        </w:rPr>
        <w:t xml:space="preserve">CONVENIOS INTERADMINISTRATIVOS </w:t>
      </w:r>
      <w:r w:rsidRPr="004E4581">
        <w:rPr>
          <w:rFonts w:ascii="Arial" w:eastAsia="Calibri" w:hAnsi="Arial" w:cs="Arial"/>
          <w:b/>
          <w:color w:val="000000" w:themeColor="text1"/>
          <w:sz w:val="22"/>
          <w:szCs w:val="22"/>
          <w:lang w:val="es-MX" w:eastAsia="en-US"/>
        </w:rPr>
        <w:t xml:space="preserve">– Definición – Criterio orgánico </w:t>
      </w:r>
    </w:p>
    <w:p w14:paraId="0AFFDAB8" w14:textId="77777777" w:rsidR="003A231A" w:rsidRPr="004E4581" w:rsidRDefault="003A231A" w:rsidP="003A231A">
      <w:pPr>
        <w:jc w:val="both"/>
        <w:rPr>
          <w:rFonts w:ascii="Arial" w:eastAsia="Calibri" w:hAnsi="Arial" w:cs="Arial"/>
          <w:bCs/>
          <w:color w:val="000000" w:themeColor="text1"/>
          <w:sz w:val="20"/>
          <w:szCs w:val="20"/>
          <w:lang w:val="es-MX" w:eastAsia="en-US"/>
        </w:rPr>
      </w:pPr>
    </w:p>
    <w:p w14:paraId="1476837D" w14:textId="77777777" w:rsidR="003A231A" w:rsidRPr="007446F6" w:rsidRDefault="003A231A" w:rsidP="003A231A">
      <w:pPr>
        <w:widowControl w:val="0"/>
        <w:autoSpaceDE w:val="0"/>
        <w:autoSpaceDN w:val="0"/>
        <w:spacing w:after="120"/>
        <w:jc w:val="both"/>
        <w:rPr>
          <w:rFonts w:ascii="Arial" w:eastAsia="Arial" w:hAnsi="Arial" w:cs="Arial"/>
          <w:color w:val="000000" w:themeColor="text1"/>
          <w:sz w:val="20"/>
          <w:szCs w:val="20"/>
          <w:lang w:val="es-ES" w:eastAsia="es-ES" w:bidi="es-ES"/>
        </w:rPr>
      </w:pPr>
      <w:r>
        <w:rPr>
          <w:rFonts w:ascii="Arial" w:eastAsia="Arial" w:hAnsi="Arial" w:cs="Arial"/>
          <w:color w:val="000000" w:themeColor="text1"/>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7446F6">
        <w:rPr>
          <w:rFonts w:ascii="Arial" w:eastAsia="Arial" w:hAnsi="Arial" w:cs="Arial"/>
          <w:color w:val="000000" w:themeColor="text1"/>
          <w:spacing w:val="-6"/>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estatales.</w:t>
      </w:r>
    </w:p>
    <w:p w14:paraId="676A107B" w14:textId="77777777" w:rsidR="00C128B2" w:rsidRPr="003A231A" w:rsidRDefault="00C128B2" w:rsidP="002F3E4E">
      <w:pPr>
        <w:rPr>
          <w:rFonts w:ascii="Arial" w:hAnsi="Arial" w:cs="Arial"/>
          <w:color w:val="000000" w:themeColor="text1"/>
          <w:sz w:val="22"/>
          <w:lang w:val="es-ES"/>
        </w:rPr>
      </w:pPr>
    </w:p>
    <w:p w14:paraId="0F328595" w14:textId="2E24145D" w:rsidR="00C128B2" w:rsidRDefault="00C57523" w:rsidP="002F3E4E">
      <w:pPr>
        <w:rPr>
          <w:rFonts w:ascii="Arial" w:hAnsi="Arial" w:cs="Arial"/>
          <w:color w:val="000000" w:themeColor="text1"/>
          <w:sz w:val="22"/>
        </w:rPr>
      </w:pPr>
      <w:r w:rsidRPr="00F377CD">
        <w:rPr>
          <w:rFonts w:ascii="Arial" w:eastAsia="Calibri" w:hAnsi="Arial" w:cs="Arial"/>
          <w:b/>
          <w:sz w:val="22"/>
        </w:rPr>
        <w:t xml:space="preserve">LEY DE GARANTÍAS – </w:t>
      </w:r>
      <w:r>
        <w:rPr>
          <w:rFonts w:ascii="Arial" w:eastAsia="Calibri" w:hAnsi="Arial" w:cs="Arial"/>
          <w:b/>
          <w:sz w:val="22"/>
        </w:rPr>
        <w:t>Modificación – Ley 2159 de 2021 – Artículo 124 – Alcance</w:t>
      </w:r>
    </w:p>
    <w:p w14:paraId="1ECBCF1B" w14:textId="6B5A23DF" w:rsidR="00C128B2" w:rsidRDefault="00C128B2" w:rsidP="002F3E4E">
      <w:pPr>
        <w:rPr>
          <w:rFonts w:ascii="Arial" w:hAnsi="Arial" w:cs="Arial"/>
          <w:color w:val="000000" w:themeColor="text1"/>
          <w:sz w:val="22"/>
        </w:rPr>
      </w:pPr>
    </w:p>
    <w:p w14:paraId="267B7CA0" w14:textId="161D93ED"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sz w:val="20"/>
          <w:szCs w:val="20"/>
          <w:lang w:eastAsia="en-US"/>
        </w:rPr>
        <w:t xml:space="preserve">[…] El alcance del artículo 124 de la Ley 2159 de 2021 tiene como cometido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6A68CDFB" w14:textId="5E812F7D"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bCs/>
          <w:sz w:val="20"/>
          <w:szCs w:val="20"/>
          <w:lang w:eastAsia="en-US"/>
        </w:rPr>
        <w:t xml:space="preserve">[…] </w:t>
      </w:r>
      <w:r w:rsidRPr="00A07D97">
        <w:rPr>
          <w:rFonts w:ascii="Arial" w:eastAsia="Calibri" w:hAnsi="Arial" w:cs="Arial"/>
          <w:sz w:val="20"/>
          <w:szCs w:val="20"/>
          <w:lang w:eastAsia="en-US"/>
        </w:rPr>
        <w:t xml:space="preserve">Durante los cuatro (4) meses previos a la elección presidencial del año 2022 solamente podrán celebrarse convenios o contratos interadministrativos cuando el proceso de selección aplicable sea de pública convocatoria y se presente la circunstancia a la que se refiere el artículo 124 de la Ley 2159 de 2021, es decir, para la ejecución de proyectos y programas correspondientes al Presupuesto General de la Nación. Por lo demás, esta norma no modifica el artículo 33 de la Ley de Garantías Electorales, en consideración a lo cual las restricciones a la contratación directa previstas en este artículo permanecen incólumes. </w:t>
      </w:r>
    </w:p>
    <w:p w14:paraId="51B2F771" w14:textId="6FDEF0E3"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bCs/>
          <w:sz w:val="20"/>
          <w:szCs w:val="20"/>
          <w:lang w:eastAsia="en-US"/>
        </w:rPr>
        <w:t xml:space="preserve">[…] </w:t>
      </w:r>
      <w:r w:rsidRPr="00A07D97">
        <w:rPr>
          <w:rFonts w:ascii="Arial" w:eastAsia="Calibri" w:hAnsi="Arial" w:cs="Arial"/>
          <w:sz w:val="20"/>
          <w:szCs w:val="20"/>
          <w:lang w:eastAsia="en-US"/>
        </w:rPr>
        <w:t xml:space="preserve">La aplicación del artículo 124 de la Ley 2159 de 2021 se restringe a un criterio orgánico, pues se requiere que uno de los extremos contractuales sea la Nación y el otro una entidad territorial, para que la celebración del convenio o contrato administrativo sea procedente. En estos términos, no es posible la celebración de convenios o contratos interadministrativos entre entidades descentralizadas del orden territorial, pues la posibilidad que otorga el artículo 124 de la Ley 2159 de 2021 se somete a la condición que una de las partes sea la Nación, con el fin de ejecutar proyectos o programas que correspondan al Presupuesto General de la Nación. Por ejemplo, durante los cuatro (4) meses anteriores a las elecciones, dos municipios o un municipio y un departamento o entidad descentralizada territorial, quedan cubiertos por la prohibición original del parágrafo del artículo 38 de la Ley de Garantías Electorales.  </w:t>
      </w:r>
    </w:p>
    <w:p w14:paraId="59CB7B0C" w14:textId="4EAEE54B"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bCs/>
          <w:sz w:val="20"/>
          <w:szCs w:val="20"/>
          <w:lang w:eastAsia="en-US"/>
        </w:rPr>
        <w:lastRenderedPageBreak/>
        <w:t xml:space="preserve">[…] </w:t>
      </w:r>
      <w:r w:rsidRPr="00A07D97">
        <w:rPr>
          <w:rFonts w:ascii="Arial" w:eastAsia="Calibri" w:hAnsi="Arial" w:cs="Arial"/>
          <w:sz w:val="20"/>
          <w:szCs w:val="20"/>
          <w:lang w:eastAsia="en-US"/>
        </w:rPr>
        <w:t xml:space="preserve">El objeto contractual de los convenios o contratos interadministrativos debe limitarse a la ejecución de programas y proyectos correspondientes al Presupuesto General de la Nación. Es decir, se establece un criterio material, del cual se deriva que, durante los cuatro meses previos a las elecciones, queda prohibido celebrar convenios interadministrativos o contratos interadministrativos que no se relacionen con programas y proyectos que ejecuten recursos del Presupuesto General de la Nación. </w:t>
      </w:r>
    </w:p>
    <w:p w14:paraId="6E3C62C2" w14:textId="39B0BAD9"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bCs/>
          <w:sz w:val="20"/>
          <w:szCs w:val="20"/>
          <w:lang w:eastAsia="en-US"/>
        </w:rPr>
        <w:t xml:space="preserve">[…] </w:t>
      </w:r>
      <w:r w:rsidRPr="00A07D97">
        <w:rPr>
          <w:rFonts w:ascii="Arial" w:eastAsia="Calibri" w:hAnsi="Arial" w:cs="Arial"/>
          <w:sz w:val="20"/>
          <w:szCs w:val="20"/>
          <w:lang w:eastAsia="en-US"/>
        </w:rPr>
        <w:t>En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1DA59FCB" w14:textId="06A72604" w:rsidR="00A07D97" w:rsidRPr="00A07D97" w:rsidRDefault="00A07D97" w:rsidP="00A07D97">
      <w:pPr>
        <w:spacing w:after="120"/>
        <w:jc w:val="both"/>
        <w:rPr>
          <w:rFonts w:ascii="Arial" w:eastAsia="Calibri" w:hAnsi="Arial" w:cs="Arial"/>
          <w:sz w:val="20"/>
          <w:szCs w:val="20"/>
          <w:lang w:eastAsia="en-US"/>
        </w:rPr>
      </w:pPr>
      <w:r w:rsidRPr="00A07D97">
        <w:rPr>
          <w:rFonts w:ascii="Arial" w:eastAsia="Calibri" w:hAnsi="Arial" w:cs="Arial"/>
          <w:bCs/>
          <w:sz w:val="20"/>
          <w:szCs w:val="20"/>
          <w:lang w:eastAsia="en-US"/>
        </w:rPr>
        <w:t xml:space="preserve">[…] </w:t>
      </w:r>
      <w:r w:rsidRPr="00A07D97">
        <w:rPr>
          <w:rFonts w:ascii="Arial" w:eastAsia="Calibri" w:hAnsi="Arial" w:cs="Arial"/>
          <w:sz w:val="20"/>
          <w:szCs w:val="20"/>
          <w:lang w:eastAsia="en-US"/>
        </w:rPr>
        <w:t>Se establece que los convenios o contratos interadministrativos 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7C1F0E6E" w14:textId="56183307" w:rsidR="00AB5DF8" w:rsidRDefault="00AB5DF8" w:rsidP="002F3E4E">
      <w:pPr>
        <w:rPr>
          <w:rFonts w:ascii="Arial" w:hAnsi="Arial" w:cs="Arial"/>
          <w:color w:val="000000" w:themeColor="text1"/>
          <w:sz w:val="22"/>
        </w:rPr>
      </w:pPr>
    </w:p>
    <w:p w14:paraId="796A7373" w14:textId="1CF1B21B" w:rsidR="00AB5DF8" w:rsidRDefault="00AB5DF8" w:rsidP="002F3E4E">
      <w:pPr>
        <w:rPr>
          <w:rFonts w:ascii="Arial" w:hAnsi="Arial" w:cs="Arial"/>
          <w:color w:val="000000" w:themeColor="text1"/>
          <w:sz w:val="22"/>
        </w:rPr>
      </w:pPr>
    </w:p>
    <w:p w14:paraId="7F4A895A" w14:textId="5709A54A" w:rsidR="00AB5DF8" w:rsidRDefault="00AB5DF8" w:rsidP="002F3E4E">
      <w:pPr>
        <w:rPr>
          <w:rFonts w:ascii="Arial" w:hAnsi="Arial" w:cs="Arial"/>
          <w:color w:val="000000" w:themeColor="text1"/>
          <w:sz w:val="22"/>
        </w:rPr>
      </w:pPr>
    </w:p>
    <w:p w14:paraId="2816E9E4" w14:textId="77777777" w:rsidR="00AB5DF8" w:rsidRDefault="00AB5DF8" w:rsidP="002F3E4E">
      <w:pPr>
        <w:rPr>
          <w:rFonts w:ascii="Arial" w:hAnsi="Arial" w:cs="Arial"/>
          <w:color w:val="000000" w:themeColor="text1"/>
          <w:sz w:val="22"/>
        </w:rPr>
      </w:pPr>
    </w:p>
    <w:p w14:paraId="04AD1D32" w14:textId="6E739BC0" w:rsidR="00C128B2" w:rsidRDefault="00C128B2" w:rsidP="002F3E4E">
      <w:pPr>
        <w:rPr>
          <w:rFonts w:ascii="Arial" w:hAnsi="Arial" w:cs="Arial"/>
          <w:color w:val="000000" w:themeColor="text1"/>
          <w:sz w:val="22"/>
        </w:rPr>
      </w:pPr>
    </w:p>
    <w:p w14:paraId="642B121A" w14:textId="1951184F" w:rsidR="005546CD" w:rsidRDefault="005546CD" w:rsidP="002F3E4E">
      <w:pPr>
        <w:rPr>
          <w:rFonts w:ascii="Arial" w:hAnsi="Arial" w:cs="Arial"/>
          <w:color w:val="000000" w:themeColor="text1"/>
          <w:sz w:val="22"/>
        </w:rPr>
      </w:pPr>
    </w:p>
    <w:p w14:paraId="571E5AAD" w14:textId="66D73009" w:rsidR="00A75C54" w:rsidRDefault="00A75C54" w:rsidP="002F3E4E">
      <w:pPr>
        <w:rPr>
          <w:rFonts w:ascii="Arial" w:hAnsi="Arial" w:cs="Arial"/>
          <w:color w:val="000000" w:themeColor="text1"/>
          <w:sz w:val="22"/>
        </w:rPr>
      </w:pPr>
    </w:p>
    <w:p w14:paraId="685AA8E0" w14:textId="227CC7AB" w:rsidR="00A75C54" w:rsidRDefault="00A75C54" w:rsidP="002F3E4E">
      <w:pPr>
        <w:rPr>
          <w:rFonts w:ascii="Arial" w:hAnsi="Arial" w:cs="Arial"/>
          <w:color w:val="000000" w:themeColor="text1"/>
          <w:sz w:val="22"/>
        </w:rPr>
      </w:pPr>
    </w:p>
    <w:p w14:paraId="2804B022" w14:textId="1F53D73F" w:rsidR="00A75C54" w:rsidRDefault="00A75C54" w:rsidP="002F3E4E">
      <w:pPr>
        <w:rPr>
          <w:rFonts w:ascii="Arial" w:hAnsi="Arial" w:cs="Arial"/>
          <w:color w:val="000000" w:themeColor="text1"/>
          <w:sz w:val="22"/>
        </w:rPr>
      </w:pPr>
    </w:p>
    <w:p w14:paraId="6E75517E" w14:textId="4EEDE33F" w:rsidR="00A75C54" w:rsidRDefault="00A75C54" w:rsidP="002F3E4E">
      <w:pPr>
        <w:rPr>
          <w:rFonts w:ascii="Arial" w:hAnsi="Arial" w:cs="Arial"/>
          <w:color w:val="000000" w:themeColor="text1"/>
          <w:sz w:val="22"/>
        </w:rPr>
      </w:pPr>
    </w:p>
    <w:p w14:paraId="1733D570" w14:textId="7C42CA1B" w:rsidR="00A75C54" w:rsidRDefault="00A75C54" w:rsidP="002F3E4E">
      <w:pPr>
        <w:rPr>
          <w:rFonts w:ascii="Arial" w:hAnsi="Arial" w:cs="Arial"/>
          <w:color w:val="000000" w:themeColor="text1"/>
          <w:sz w:val="22"/>
        </w:rPr>
      </w:pPr>
    </w:p>
    <w:p w14:paraId="295061F3" w14:textId="594FC2CE" w:rsidR="00A75C54" w:rsidRDefault="00A75C54" w:rsidP="002F3E4E">
      <w:pPr>
        <w:rPr>
          <w:rFonts w:ascii="Arial" w:hAnsi="Arial" w:cs="Arial"/>
          <w:color w:val="000000" w:themeColor="text1"/>
          <w:sz w:val="22"/>
        </w:rPr>
      </w:pPr>
    </w:p>
    <w:p w14:paraId="63F135EF" w14:textId="3EAE907C" w:rsidR="00A75C54" w:rsidRDefault="00A75C54" w:rsidP="002F3E4E">
      <w:pPr>
        <w:rPr>
          <w:rFonts w:ascii="Arial" w:hAnsi="Arial" w:cs="Arial"/>
          <w:color w:val="000000" w:themeColor="text1"/>
          <w:sz w:val="22"/>
        </w:rPr>
      </w:pPr>
    </w:p>
    <w:p w14:paraId="49E9A9E8" w14:textId="3D13CDDD" w:rsidR="00A75C54" w:rsidRDefault="00A75C54" w:rsidP="002F3E4E">
      <w:pPr>
        <w:rPr>
          <w:rFonts w:ascii="Arial" w:hAnsi="Arial" w:cs="Arial"/>
          <w:color w:val="000000" w:themeColor="text1"/>
          <w:sz w:val="22"/>
        </w:rPr>
      </w:pPr>
    </w:p>
    <w:p w14:paraId="3BCD5F24" w14:textId="431B5B48" w:rsidR="00A75C54" w:rsidRDefault="00A75C54" w:rsidP="002F3E4E">
      <w:pPr>
        <w:rPr>
          <w:rFonts w:ascii="Arial" w:hAnsi="Arial" w:cs="Arial"/>
          <w:color w:val="000000" w:themeColor="text1"/>
          <w:sz w:val="22"/>
        </w:rPr>
      </w:pPr>
    </w:p>
    <w:p w14:paraId="0B89A703" w14:textId="1A4D6BEA" w:rsidR="00A75C54" w:rsidRDefault="00A75C54" w:rsidP="002F3E4E">
      <w:pPr>
        <w:rPr>
          <w:rFonts w:ascii="Arial" w:hAnsi="Arial" w:cs="Arial"/>
          <w:color w:val="000000" w:themeColor="text1"/>
          <w:sz w:val="22"/>
        </w:rPr>
      </w:pPr>
    </w:p>
    <w:p w14:paraId="27319E51" w14:textId="20A3220C" w:rsidR="00A75C54" w:rsidRDefault="00A75C54" w:rsidP="002F3E4E">
      <w:pPr>
        <w:rPr>
          <w:rFonts w:ascii="Arial" w:hAnsi="Arial" w:cs="Arial"/>
          <w:color w:val="000000" w:themeColor="text1"/>
          <w:sz w:val="22"/>
        </w:rPr>
      </w:pPr>
    </w:p>
    <w:p w14:paraId="2D5DF9FB" w14:textId="3975F58A" w:rsidR="00A75C54" w:rsidRDefault="00A75C54" w:rsidP="002F3E4E">
      <w:pPr>
        <w:rPr>
          <w:rFonts w:ascii="Arial" w:hAnsi="Arial" w:cs="Arial"/>
          <w:color w:val="000000" w:themeColor="text1"/>
          <w:sz w:val="22"/>
        </w:rPr>
      </w:pPr>
    </w:p>
    <w:p w14:paraId="7D598958" w14:textId="3BE8F077" w:rsidR="00A75C54" w:rsidRDefault="00A75C54" w:rsidP="002F3E4E">
      <w:pPr>
        <w:rPr>
          <w:rFonts w:ascii="Arial" w:hAnsi="Arial" w:cs="Arial"/>
          <w:color w:val="000000" w:themeColor="text1"/>
          <w:sz w:val="22"/>
        </w:rPr>
      </w:pPr>
    </w:p>
    <w:p w14:paraId="725DD0FB" w14:textId="3015F4D7" w:rsidR="00A75C54" w:rsidRDefault="00A75C54" w:rsidP="002F3E4E">
      <w:pPr>
        <w:rPr>
          <w:rFonts w:ascii="Arial" w:hAnsi="Arial" w:cs="Arial"/>
          <w:color w:val="000000" w:themeColor="text1"/>
          <w:sz w:val="22"/>
        </w:rPr>
      </w:pPr>
    </w:p>
    <w:p w14:paraId="555EA9BB" w14:textId="1D305D73" w:rsidR="00A75C54" w:rsidRDefault="00A75C54" w:rsidP="002F3E4E">
      <w:pPr>
        <w:rPr>
          <w:rFonts w:ascii="Arial" w:hAnsi="Arial" w:cs="Arial"/>
          <w:color w:val="000000" w:themeColor="text1"/>
          <w:sz w:val="22"/>
        </w:rPr>
      </w:pPr>
    </w:p>
    <w:p w14:paraId="637DC510" w14:textId="6EEEFB72" w:rsidR="00A75C54" w:rsidRDefault="00A75C54" w:rsidP="002F3E4E">
      <w:pPr>
        <w:rPr>
          <w:rFonts w:ascii="Arial" w:hAnsi="Arial" w:cs="Arial"/>
          <w:color w:val="000000" w:themeColor="text1"/>
          <w:sz w:val="22"/>
        </w:rPr>
      </w:pPr>
    </w:p>
    <w:p w14:paraId="61313F98" w14:textId="0EB1D0EC" w:rsidR="00A75C54" w:rsidRDefault="00A75C54" w:rsidP="002F3E4E">
      <w:pPr>
        <w:rPr>
          <w:rFonts w:ascii="Arial" w:hAnsi="Arial" w:cs="Arial"/>
          <w:color w:val="000000" w:themeColor="text1"/>
          <w:sz w:val="22"/>
        </w:rPr>
      </w:pPr>
    </w:p>
    <w:p w14:paraId="7A5C1BC6" w14:textId="702C5DA4" w:rsidR="00A75C54" w:rsidRDefault="00A75C54" w:rsidP="002F3E4E">
      <w:pPr>
        <w:rPr>
          <w:rFonts w:ascii="Arial" w:hAnsi="Arial" w:cs="Arial"/>
          <w:color w:val="000000" w:themeColor="text1"/>
          <w:sz w:val="22"/>
        </w:rPr>
      </w:pPr>
    </w:p>
    <w:p w14:paraId="63D05DCE" w14:textId="77777777" w:rsidR="00A75C54" w:rsidRDefault="00A75C54" w:rsidP="002F3E4E">
      <w:pPr>
        <w:rPr>
          <w:rFonts w:ascii="Arial" w:hAnsi="Arial" w:cs="Arial"/>
          <w:color w:val="000000" w:themeColor="text1"/>
          <w:sz w:val="22"/>
        </w:rPr>
      </w:pPr>
    </w:p>
    <w:p w14:paraId="5A72FD02" w14:textId="63008E51" w:rsidR="0094713D" w:rsidRPr="00C57523" w:rsidRDefault="0094713D" w:rsidP="0094713D">
      <w:pPr>
        <w:widowControl w:val="0"/>
        <w:autoSpaceDE w:val="0"/>
        <w:autoSpaceDN w:val="0"/>
        <w:ind w:left="4825"/>
        <w:rPr>
          <w:rFonts w:eastAsia="Arial MT" w:hAnsi="Arial MT" w:cs="Arial MT"/>
          <w:noProof/>
          <w:sz w:val="20"/>
          <w:szCs w:val="22"/>
          <w:lang w:val="es-ES" w:eastAsia="en-US"/>
        </w:rPr>
      </w:pPr>
    </w:p>
    <w:p w14:paraId="2760B06A" w14:textId="77777777" w:rsidR="003A231A" w:rsidRPr="0094713D" w:rsidRDefault="003A231A" w:rsidP="0094713D">
      <w:pPr>
        <w:widowControl w:val="0"/>
        <w:autoSpaceDE w:val="0"/>
        <w:autoSpaceDN w:val="0"/>
        <w:ind w:left="4825"/>
        <w:rPr>
          <w:rFonts w:eastAsia="Arial MT" w:hAnsi="Arial MT" w:cs="Arial MT"/>
          <w:sz w:val="20"/>
          <w:szCs w:val="22"/>
          <w:lang w:val="es-ES" w:eastAsia="en-US"/>
        </w:rPr>
      </w:pPr>
    </w:p>
    <w:p w14:paraId="766DAD6B" w14:textId="1F6FC8B9" w:rsidR="0094713D" w:rsidRDefault="0094713D" w:rsidP="0094713D">
      <w:pPr>
        <w:widowControl w:val="0"/>
        <w:autoSpaceDE w:val="0"/>
        <w:autoSpaceDN w:val="0"/>
        <w:rPr>
          <w:rFonts w:eastAsia="Arial MT" w:hAnsi="Arial MT" w:cs="Arial MT"/>
          <w:sz w:val="20"/>
          <w:szCs w:val="22"/>
          <w:lang w:val="es-ES" w:eastAsia="en-US"/>
        </w:rPr>
      </w:pPr>
    </w:p>
    <w:p w14:paraId="1E742D43" w14:textId="585A3E94" w:rsidR="00F30597" w:rsidRDefault="00F30597" w:rsidP="0094713D">
      <w:pPr>
        <w:widowControl w:val="0"/>
        <w:autoSpaceDE w:val="0"/>
        <w:autoSpaceDN w:val="0"/>
        <w:rPr>
          <w:rFonts w:eastAsia="Arial MT" w:hAnsi="Arial MT" w:cs="Arial MT"/>
          <w:sz w:val="20"/>
          <w:szCs w:val="22"/>
          <w:lang w:val="es-ES" w:eastAsia="en-US"/>
        </w:rPr>
      </w:pPr>
    </w:p>
    <w:p w14:paraId="191F8AD6" w14:textId="4EA18A30" w:rsidR="00F30597" w:rsidRDefault="00F30597" w:rsidP="0094713D">
      <w:pPr>
        <w:widowControl w:val="0"/>
        <w:autoSpaceDE w:val="0"/>
        <w:autoSpaceDN w:val="0"/>
        <w:rPr>
          <w:rFonts w:eastAsia="Arial MT" w:hAnsi="Arial MT" w:cs="Arial MT"/>
          <w:sz w:val="20"/>
          <w:szCs w:val="22"/>
          <w:lang w:val="es-ES" w:eastAsia="en-US"/>
        </w:rPr>
      </w:pPr>
    </w:p>
    <w:p w14:paraId="263F25B6" w14:textId="77777777" w:rsidR="00F30597" w:rsidRDefault="00F30597" w:rsidP="0094713D">
      <w:pPr>
        <w:widowControl w:val="0"/>
        <w:autoSpaceDE w:val="0"/>
        <w:autoSpaceDN w:val="0"/>
        <w:rPr>
          <w:rFonts w:eastAsia="Arial MT" w:hAnsi="Arial MT" w:cs="Arial MT"/>
          <w:sz w:val="20"/>
          <w:szCs w:val="22"/>
          <w:lang w:val="es-ES" w:eastAsia="en-US"/>
        </w:rPr>
      </w:pPr>
    </w:p>
    <w:p w14:paraId="0FAD2D55" w14:textId="618173F1" w:rsidR="003A231A" w:rsidRDefault="003A231A" w:rsidP="0094713D">
      <w:pPr>
        <w:widowControl w:val="0"/>
        <w:autoSpaceDE w:val="0"/>
        <w:autoSpaceDN w:val="0"/>
        <w:rPr>
          <w:rFonts w:eastAsia="Arial MT" w:hAnsi="Arial MT" w:cs="Arial MT"/>
          <w:sz w:val="20"/>
          <w:szCs w:val="22"/>
          <w:lang w:val="es-ES" w:eastAsia="en-US"/>
        </w:rPr>
      </w:pPr>
    </w:p>
    <w:p w14:paraId="3E49D4CC" w14:textId="233D0DBD" w:rsidR="005C4A8F" w:rsidRDefault="005C4A8F" w:rsidP="0094713D">
      <w:pPr>
        <w:widowControl w:val="0"/>
        <w:autoSpaceDE w:val="0"/>
        <w:autoSpaceDN w:val="0"/>
        <w:rPr>
          <w:rFonts w:eastAsia="Arial MT" w:hAnsi="Arial MT" w:cs="Arial MT"/>
          <w:sz w:val="20"/>
          <w:szCs w:val="22"/>
          <w:lang w:val="es-ES" w:eastAsia="en-US"/>
        </w:rPr>
      </w:pPr>
    </w:p>
    <w:p w14:paraId="7844DB3B" w14:textId="77777777" w:rsidR="005C4A8F" w:rsidRPr="0094713D" w:rsidRDefault="005C4A8F" w:rsidP="0094713D">
      <w:pPr>
        <w:widowControl w:val="0"/>
        <w:autoSpaceDE w:val="0"/>
        <w:autoSpaceDN w:val="0"/>
        <w:rPr>
          <w:rFonts w:eastAsia="Arial MT" w:hAnsi="Arial MT" w:cs="Arial MT"/>
          <w:sz w:val="20"/>
          <w:szCs w:val="22"/>
          <w:lang w:val="es-ES" w:eastAsia="en-US"/>
        </w:rPr>
      </w:pPr>
    </w:p>
    <w:p w14:paraId="69434F0E" w14:textId="77777777" w:rsidR="005C4A8F" w:rsidRPr="005C4A8F" w:rsidRDefault="005C4A8F" w:rsidP="005C4A8F">
      <w:pPr>
        <w:widowControl w:val="0"/>
        <w:autoSpaceDE w:val="0"/>
        <w:autoSpaceDN w:val="0"/>
        <w:ind w:left="4825"/>
        <w:rPr>
          <w:rFonts w:eastAsia="Arial MT" w:hAnsi="Arial MT" w:cs="Arial MT"/>
          <w:sz w:val="20"/>
          <w:szCs w:val="22"/>
          <w:lang w:val="es-ES" w:eastAsia="en-US"/>
        </w:rPr>
      </w:pPr>
      <w:r w:rsidRPr="005C4A8F">
        <w:rPr>
          <w:rFonts w:eastAsia="Arial MT" w:hAnsi="Arial MT" w:cs="Arial MT"/>
          <w:noProof/>
          <w:sz w:val="20"/>
          <w:szCs w:val="22"/>
          <w:lang w:val="en-US" w:eastAsia="en-US"/>
        </w:rPr>
        <w:drawing>
          <wp:inline distT="0" distB="0" distL="0" distR="0" wp14:anchorId="7CCB406C" wp14:editId="1C737A61">
            <wp:extent cx="2379945" cy="60883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2E95C397" w14:textId="0D5014E7" w:rsidR="005C4A8F" w:rsidRPr="005C4A8F" w:rsidRDefault="005C4A8F" w:rsidP="005C4A8F">
      <w:pPr>
        <w:widowControl w:val="0"/>
        <w:autoSpaceDE w:val="0"/>
        <w:autoSpaceDN w:val="0"/>
        <w:rPr>
          <w:rFonts w:eastAsia="Arial MT" w:hAnsi="Arial MT" w:cs="Arial MT"/>
          <w:sz w:val="20"/>
          <w:szCs w:val="22"/>
          <w:lang w:val="es-ES" w:eastAsia="en-US"/>
        </w:rPr>
      </w:pPr>
    </w:p>
    <w:p w14:paraId="427D5059" w14:textId="77777777" w:rsidR="005C4A8F" w:rsidRPr="005C4A8F" w:rsidRDefault="005C4A8F" w:rsidP="005C4A8F">
      <w:pPr>
        <w:widowControl w:val="0"/>
        <w:autoSpaceDE w:val="0"/>
        <w:autoSpaceDN w:val="0"/>
        <w:spacing w:before="94"/>
        <w:ind w:right="533"/>
        <w:jc w:val="right"/>
        <w:rPr>
          <w:rFonts w:ascii="Arial" w:eastAsia="Arial MT" w:hAnsi="Arial MT" w:cs="Arial MT"/>
          <w:b/>
          <w:sz w:val="18"/>
          <w:szCs w:val="22"/>
          <w:lang w:val="es-ES" w:eastAsia="en-US"/>
        </w:rPr>
      </w:pPr>
      <w:r w:rsidRPr="005C4A8F">
        <w:rPr>
          <w:rFonts w:ascii="Arial" w:eastAsia="Arial MT" w:hAnsi="Arial MT" w:cs="Arial MT"/>
          <w:b/>
          <w:color w:val="585858"/>
          <w:sz w:val="18"/>
          <w:szCs w:val="22"/>
          <w:lang w:val="es-ES" w:eastAsia="en-US"/>
        </w:rPr>
        <w:t>CCE-DES-FM-17</w:t>
      </w:r>
    </w:p>
    <w:p w14:paraId="5C802DAA" w14:textId="77777777" w:rsidR="005C4A8F" w:rsidRPr="005C4A8F" w:rsidRDefault="005C4A8F" w:rsidP="005C4A8F">
      <w:pPr>
        <w:widowControl w:val="0"/>
        <w:autoSpaceDE w:val="0"/>
        <w:autoSpaceDN w:val="0"/>
        <w:rPr>
          <w:rFonts w:ascii="Arial" w:eastAsia="Arial MT" w:hAnsi="Arial MT" w:cs="Arial MT"/>
          <w:b/>
          <w:sz w:val="20"/>
          <w:szCs w:val="22"/>
          <w:lang w:val="es-ES" w:eastAsia="en-US"/>
        </w:rPr>
      </w:pPr>
    </w:p>
    <w:p w14:paraId="1741E52C" w14:textId="682569AE" w:rsidR="0094713D" w:rsidRPr="0094713D" w:rsidRDefault="005C4A8F" w:rsidP="005C4A8F">
      <w:pPr>
        <w:widowControl w:val="0"/>
        <w:autoSpaceDE w:val="0"/>
        <w:autoSpaceDN w:val="0"/>
        <w:ind w:left="100"/>
        <w:rPr>
          <w:rFonts w:ascii="Arial MT" w:eastAsia="Arial MT" w:hAnsi="Arial MT" w:cs="Arial MT"/>
          <w:sz w:val="22"/>
          <w:szCs w:val="22"/>
          <w:lang w:val="es-ES" w:eastAsia="en-US"/>
        </w:rPr>
      </w:pPr>
      <w:r w:rsidRPr="005C4A8F">
        <w:rPr>
          <w:rFonts w:ascii="Arial MT" w:eastAsia="Arial MT" w:hAnsi="Arial MT" w:cs="Arial MT"/>
          <w:color w:val="4E4D4D"/>
          <w:sz w:val="22"/>
          <w:szCs w:val="22"/>
          <w:lang w:val="es-ES" w:eastAsia="en-US"/>
        </w:rPr>
        <w:t>Bogotá,</w:t>
      </w:r>
      <w:r w:rsidRPr="005C4A8F">
        <w:rPr>
          <w:rFonts w:ascii="Arial MT" w:eastAsia="Arial MT" w:hAnsi="Arial MT" w:cs="Arial MT"/>
          <w:color w:val="4E4D4D"/>
          <w:spacing w:val="-3"/>
          <w:sz w:val="22"/>
          <w:szCs w:val="22"/>
          <w:lang w:val="es-ES" w:eastAsia="en-US"/>
        </w:rPr>
        <w:t xml:space="preserve"> </w:t>
      </w:r>
      <w:r w:rsidRPr="005C4A8F">
        <w:rPr>
          <w:rFonts w:ascii="Arial MT" w:eastAsia="Arial MT" w:hAnsi="Arial MT" w:cs="Arial MT"/>
          <w:color w:val="4E4D4D"/>
          <w:sz w:val="22"/>
          <w:szCs w:val="22"/>
          <w:lang w:val="es-ES" w:eastAsia="en-US"/>
        </w:rPr>
        <w:t>21</w:t>
      </w:r>
      <w:r w:rsidRPr="005C4A8F">
        <w:rPr>
          <w:rFonts w:ascii="Arial MT" w:eastAsia="Arial MT" w:hAnsi="Arial MT" w:cs="Arial MT"/>
          <w:color w:val="4E4D4D"/>
          <w:spacing w:val="-6"/>
          <w:sz w:val="22"/>
          <w:szCs w:val="22"/>
          <w:lang w:val="es-ES" w:eastAsia="en-US"/>
        </w:rPr>
        <w:t xml:space="preserve"> </w:t>
      </w:r>
      <w:proofErr w:type="gramStart"/>
      <w:r w:rsidRPr="005C4A8F">
        <w:rPr>
          <w:rFonts w:ascii="Arial MT" w:eastAsia="Arial MT" w:hAnsi="Arial MT" w:cs="Arial MT"/>
          <w:color w:val="4E4D4D"/>
          <w:sz w:val="22"/>
          <w:szCs w:val="22"/>
          <w:lang w:val="es-ES" w:eastAsia="en-US"/>
        </w:rPr>
        <w:t>Diciembre</w:t>
      </w:r>
      <w:proofErr w:type="gramEnd"/>
      <w:r w:rsidRPr="005C4A8F">
        <w:rPr>
          <w:rFonts w:ascii="Arial MT" w:eastAsia="Arial MT" w:hAnsi="Arial MT" w:cs="Arial MT"/>
          <w:color w:val="4E4D4D"/>
          <w:spacing w:val="-4"/>
          <w:sz w:val="22"/>
          <w:szCs w:val="22"/>
          <w:lang w:val="es-ES" w:eastAsia="en-US"/>
        </w:rPr>
        <w:t xml:space="preserve"> </w:t>
      </w:r>
      <w:r w:rsidRPr="005C4A8F">
        <w:rPr>
          <w:rFonts w:ascii="Arial MT" w:eastAsia="Arial MT" w:hAnsi="Arial MT" w:cs="Arial MT"/>
          <w:color w:val="4E4D4D"/>
          <w:sz w:val="22"/>
          <w:szCs w:val="22"/>
          <w:lang w:val="es-ES" w:eastAsia="en-US"/>
        </w:rPr>
        <w:t>2021</w:t>
      </w:r>
    </w:p>
    <w:p w14:paraId="3425755A" w14:textId="77777777" w:rsidR="00300726" w:rsidRPr="00300726" w:rsidRDefault="00300726" w:rsidP="00300726">
      <w:pPr>
        <w:widowControl w:val="0"/>
        <w:autoSpaceDE w:val="0"/>
        <w:autoSpaceDN w:val="0"/>
        <w:rPr>
          <w:rFonts w:ascii="Arial MT" w:eastAsia="Arial MT" w:hAnsi="Arial MT" w:cs="Arial MT"/>
          <w:szCs w:val="22"/>
          <w:lang w:val="es-ES" w:eastAsia="en-US"/>
        </w:rPr>
      </w:pPr>
    </w:p>
    <w:p w14:paraId="176395FC" w14:textId="1FAB0ACC" w:rsidR="002F3E4E" w:rsidRPr="004E4581" w:rsidRDefault="002F3E4E" w:rsidP="00B95C30">
      <w:pPr>
        <w:jc w:val="both"/>
        <w:rPr>
          <w:rFonts w:ascii="Arial" w:hAnsi="Arial" w:cs="Arial"/>
          <w:bCs/>
          <w:color w:val="000000" w:themeColor="text1"/>
          <w:sz w:val="22"/>
          <w:lang w:val="es-ES_tradnl"/>
        </w:rPr>
      </w:pPr>
    </w:p>
    <w:p w14:paraId="5F5AE9EF" w14:textId="2B56E20A" w:rsidR="00B95C30" w:rsidRPr="004E4581" w:rsidRDefault="00BE4FBF" w:rsidP="00B95C30">
      <w:pPr>
        <w:jc w:val="both"/>
        <w:rPr>
          <w:rFonts w:ascii="Arial" w:eastAsia="Calibri" w:hAnsi="Arial" w:cs="Arial"/>
          <w:color w:val="000000" w:themeColor="text1"/>
          <w:sz w:val="22"/>
        </w:rPr>
      </w:pPr>
      <w:bookmarkStart w:id="8" w:name="_Hlk80951783"/>
      <w:r w:rsidRPr="004E4581">
        <w:rPr>
          <w:rFonts w:ascii="Arial" w:eastAsia="Calibri" w:hAnsi="Arial" w:cs="Arial"/>
          <w:color w:val="000000" w:themeColor="text1"/>
          <w:sz w:val="22"/>
        </w:rPr>
        <w:t>Señor</w:t>
      </w:r>
      <w:r w:rsidR="00CD7592">
        <w:rPr>
          <w:rFonts w:ascii="Arial" w:eastAsia="Calibri" w:hAnsi="Arial" w:cs="Arial"/>
          <w:color w:val="000000" w:themeColor="text1"/>
          <w:sz w:val="22"/>
        </w:rPr>
        <w:t>a</w:t>
      </w:r>
    </w:p>
    <w:p w14:paraId="7B32CBBB" w14:textId="430847D1" w:rsidR="00A56E1D" w:rsidRDefault="00634FC4" w:rsidP="00B95C30">
      <w:pPr>
        <w:jc w:val="both"/>
        <w:rPr>
          <w:rFonts w:ascii="Arial" w:eastAsia="Calibri" w:hAnsi="Arial" w:cs="Arial"/>
          <w:b/>
          <w:color w:val="000000" w:themeColor="text1"/>
          <w:sz w:val="22"/>
        </w:rPr>
      </w:pPr>
      <w:r>
        <w:rPr>
          <w:rFonts w:ascii="Arial" w:eastAsia="Calibri" w:hAnsi="Arial" w:cs="Arial"/>
          <w:b/>
          <w:color w:val="000000" w:themeColor="text1"/>
          <w:sz w:val="22"/>
        </w:rPr>
        <w:t>Ana María Ramírez Echeverry</w:t>
      </w:r>
    </w:p>
    <w:p w14:paraId="70D9919E" w14:textId="537BD8C1" w:rsidR="00AF162C" w:rsidRDefault="00634FC4" w:rsidP="00B95C30">
      <w:pPr>
        <w:jc w:val="both"/>
        <w:rPr>
          <w:rFonts w:ascii="Arial" w:eastAsia="Calibri" w:hAnsi="Arial" w:cs="Arial"/>
          <w:color w:val="000000" w:themeColor="text1"/>
          <w:sz w:val="22"/>
        </w:rPr>
      </w:pPr>
      <w:r>
        <w:rPr>
          <w:rFonts w:ascii="Arial" w:eastAsia="Calibri" w:hAnsi="Arial" w:cs="Arial"/>
          <w:color w:val="000000" w:themeColor="text1"/>
          <w:sz w:val="22"/>
        </w:rPr>
        <w:t>Bogotá</w:t>
      </w:r>
    </w:p>
    <w:p w14:paraId="513743A5" w14:textId="77777777" w:rsidR="00634FC4" w:rsidRPr="004E4581" w:rsidRDefault="00634FC4" w:rsidP="00B95C30">
      <w:pPr>
        <w:jc w:val="both"/>
        <w:rPr>
          <w:rFonts w:ascii="Arial" w:eastAsia="Calibri" w:hAnsi="Arial" w:cs="Arial"/>
          <w:color w:val="000000" w:themeColor="text1"/>
          <w:sz w:val="22"/>
        </w:rPr>
      </w:pPr>
    </w:p>
    <w:p w14:paraId="0942E2A4" w14:textId="77777777" w:rsidR="000254DD" w:rsidRPr="004E4581" w:rsidRDefault="000254DD" w:rsidP="00B95C30">
      <w:pPr>
        <w:jc w:val="both"/>
        <w:rPr>
          <w:rFonts w:ascii="Arial" w:eastAsia="Calibri" w:hAnsi="Arial" w:cs="Arial"/>
          <w:color w:val="000000" w:themeColor="text1"/>
          <w:sz w:val="22"/>
        </w:rPr>
      </w:pPr>
    </w:p>
    <w:p w14:paraId="12E66182" w14:textId="01800007" w:rsidR="00B95C30" w:rsidRPr="004E4581" w:rsidRDefault="00A25F2F" w:rsidP="004004C2">
      <w:pPr>
        <w:rPr>
          <w:rFonts w:ascii="Arial" w:eastAsia="Calibri" w:hAnsi="Arial" w:cs="Arial"/>
          <w:b/>
          <w:bCs/>
          <w:color w:val="000000" w:themeColor="text1"/>
          <w:sz w:val="22"/>
          <w:lang w:val="es-ES_tradnl"/>
        </w:rPr>
      </w:pPr>
      <w:r w:rsidRPr="004E4581">
        <w:rPr>
          <w:rFonts w:ascii="Arial" w:eastAsia="Calibri" w:hAnsi="Arial" w:cs="Arial"/>
          <w:b/>
          <w:bCs/>
          <w:color w:val="000000" w:themeColor="text1"/>
          <w:sz w:val="22"/>
        </w:rPr>
        <w:t xml:space="preserve">                                            </w:t>
      </w:r>
      <w:r w:rsidR="00B95C30" w:rsidRPr="004E4581">
        <w:rPr>
          <w:rFonts w:ascii="Arial" w:eastAsia="Calibri" w:hAnsi="Arial" w:cs="Arial"/>
          <w:b/>
          <w:bCs/>
          <w:color w:val="000000" w:themeColor="text1"/>
          <w:sz w:val="22"/>
          <w:lang w:val="es-ES_tradnl"/>
        </w:rPr>
        <w:t>Concepto C ‒</w:t>
      </w:r>
      <w:r w:rsidR="00856F87" w:rsidRPr="004E4581">
        <w:rPr>
          <w:rFonts w:ascii="Arial" w:eastAsia="Calibri" w:hAnsi="Arial" w:cs="Arial"/>
          <w:b/>
          <w:bCs/>
          <w:color w:val="000000" w:themeColor="text1"/>
          <w:sz w:val="22"/>
          <w:lang w:val="es-ES_tradnl"/>
        </w:rPr>
        <w:t xml:space="preserve"> </w:t>
      </w:r>
      <w:r w:rsidR="00634FC4">
        <w:rPr>
          <w:rFonts w:ascii="Arial" w:eastAsia="Calibri" w:hAnsi="Arial" w:cs="Arial"/>
          <w:b/>
          <w:bCs/>
          <w:color w:val="000000" w:themeColor="text1"/>
          <w:sz w:val="22"/>
          <w:lang w:val="es-ES_tradnl"/>
        </w:rPr>
        <w:t>68</w:t>
      </w:r>
      <w:r w:rsidR="000B3224">
        <w:rPr>
          <w:rFonts w:ascii="Arial" w:eastAsia="Calibri" w:hAnsi="Arial" w:cs="Arial"/>
          <w:b/>
          <w:bCs/>
          <w:color w:val="000000" w:themeColor="text1"/>
          <w:sz w:val="22"/>
          <w:lang w:val="es-ES_tradnl"/>
        </w:rPr>
        <w:t>6</w:t>
      </w:r>
      <w:r w:rsidR="00E746A6" w:rsidRPr="004E4581">
        <w:rPr>
          <w:rFonts w:ascii="Arial" w:eastAsia="Calibri" w:hAnsi="Arial" w:cs="Arial"/>
          <w:b/>
          <w:bCs/>
          <w:color w:val="000000" w:themeColor="text1"/>
          <w:sz w:val="22"/>
          <w:lang w:val="es-ES_tradnl"/>
        </w:rPr>
        <w:t xml:space="preserve"> de 2021</w:t>
      </w:r>
    </w:p>
    <w:p w14:paraId="20200123" w14:textId="6A5F4708" w:rsidR="0096347F"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D7592" w:rsidRPr="004E4581" w14:paraId="56A33869" w14:textId="77777777" w:rsidTr="0009465C">
        <w:tc>
          <w:tcPr>
            <w:tcW w:w="2689" w:type="dxa"/>
          </w:tcPr>
          <w:p w14:paraId="51A224AA" w14:textId="77777777" w:rsidR="00CD7592" w:rsidRPr="004E4581" w:rsidRDefault="00CD7592" w:rsidP="0009465C">
            <w:pPr>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Temas:                                      </w:t>
            </w:r>
          </w:p>
        </w:tc>
        <w:tc>
          <w:tcPr>
            <w:tcW w:w="6237" w:type="dxa"/>
          </w:tcPr>
          <w:p w14:paraId="64EFE1C2" w14:textId="77777777" w:rsidR="00F30597" w:rsidRPr="00F30597" w:rsidRDefault="00CD7592" w:rsidP="00F30597">
            <w:pPr>
              <w:jc w:val="both"/>
              <w:rPr>
                <w:rFonts w:ascii="Arial" w:hAnsi="Arial" w:cs="Arial"/>
                <w:color w:val="000000" w:themeColor="text1"/>
                <w:sz w:val="22"/>
              </w:rPr>
            </w:pPr>
            <w:r w:rsidRPr="00F30597">
              <w:rPr>
                <w:rFonts w:ascii="Arial" w:eastAsia="Calibri" w:hAnsi="Arial" w:cs="Arial"/>
                <w:bCs/>
                <w:color w:val="000000" w:themeColor="text1"/>
                <w:sz w:val="22"/>
                <w:szCs w:val="22"/>
                <w:lang w:val="es-MX" w:eastAsia="en-US"/>
              </w:rPr>
              <w:t xml:space="preserve">LEY DE GARANTÍAS ELECTORALES – Finalidad </w:t>
            </w:r>
            <w:r w:rsidRPr="00F30597">
              <w:rPr>
                <w:rFonts w:ascii="Arial" w:eastAsia="Calibri" w:hAnsi="Arial" w:cs="Arial"/>
                <w:color w:val="000000" w:themeColor="text1"/>
                <w:sz w:val="22"/>
                <w:szCs w:val="22"/>
                <w:lang w:val="es-ES_tradnl"/>
              </w:rPr>
              <w:t xml:space="preserve">/ </w:t>
            </w:r>
            <w:r w:rsidRPr="00F30597">
              <w:rPr>
                <w:rFonts w:ascii="Arial" w:eastAsia="Calibri" w:hAnsi="Arial" w:cs="Arial"/>
                <w:bCs/>
                <w:color w:val="000000" w:themeColor="text1"/>
                <w:sz w:val="22"/>
                <w:szCs w:val="22"/>
                <w:lang w:val="es-MX" w:eastAsia="en-US"/>
              </w:rPr>
              <w:t xml:space="preserve">LEY DE GARANTÍAS ELECTORALES ‒ Restricciones ‒ Contratación ‒ Tipos de elección / LEY DE GARANTÍAS ELECTORALES ‒ Prohibiciones ‒ Ámbito temporal / </w:t>
            </w:r>
            <w:r w:rsidRPr="00F30597">
              <w:rPr>
                <w:rFonts w:ascii="Arial" w:eastAsia="Calibri" w:hAnsi="Arial" w:cs="Arial"/>
                <w:color w:val="000000" w:themeColor="text1"/>
                <w:sz w:val="22"/>
                <w:szCs w:val="22"/>
                <w:lang w:val="es-MX" w:eastAsia="en-US"/>
              </w:rPr>
              <w:t xml:space="preserve">CONTRATOS Y </w:t>
            </w:r>
            <w:r w:rsidRPr="00F30597">
              <w:rPr>
                <w:rFonts w:ascii="Arial" w:eastAsiaTheme="minorHAnsi" w:hAnsi="Arial" w:cs="Arial"/>
                <w:color w:val="000000" w:themeColor="text1"/>
                <w:sz w:val="22"/>
                <w:szCs w:val="22"/>
                <w:lang w:val="es-MX" w:eastAsia="en-US"/>
              </w:rPr>
              <w:t xml:space="preserve">CONVENIOS INTERADMINISTRATIVOS </w:t>
            </w:r>
            <w:r w:rsidRPr="00F30597">
              <w:rPr>
                <w:rFonts w:ascii="Arial" w:eastAsia="Calibri" w:hAnsi="Arial" w:cs="Arial"/>
                <w:color w:val="000000" w:themeColor="text1"/>
                <w:sz w:val="22"/>
                <w:szCs w:val="22"/>
                <w:lang w:val="es-MX" w:eastAsia="en-US"/>
              </w:rPr>
              <w:t xml:space="preserve">– Definición – Criterio orgánico / </w:t>
            </w:r>
            <w:r w:rsidR="00F30597" w:rsidRPr="00F30597">
              <w:rPr>
                <w:rFonts w:ascii="Arial" w:eastAsia="Calibri" w:hAnsi="Arial" w:cs="Arial"/>
                <w:sz w:val="22"/>
              </w:rPr>
              <w:t>LEY DE GARANTÍAS – Modificación – Ley 2159 de 2021 – Artículo 124 – Alcance</w:t>
            </w:r>
          </w:p>
          <w:p w14:paraId="54656ABE" w14:textId="4C3AA1F8" w:rsidR="00CD7592" w:rsidRPr="00F30597" w:rsidRDefault="00CD7592" w:rsidP="0009465C">
            <w:pPr>
              <w:tabs>
                <w:tab w:val="left" w:pos="426"/>
              </w:tabs>
              <w:jc w:val="both"/>
              <w:rPr>
                <w:rFonts w:ascii="Arial" w:eastAsiaTheme="minorHAnsi" w:hAnsi="Arial" w:cs="Arial"/>
                <w:color w:val="000000" w:themeColor="text1"/>
                <w:sz w:val="22"/>
                <w:szCs w:val="22"/>
                <w:lang w:eastAsia="en-US"/>
              </w:rPr>
            </w:pPr>
          </w:p>
          <w:p w14:paraId="51BCE4D2" w14:textId="77777777" w:rsidR="00CD7592" w:rsidRPr="004E4581" w:rsidRDefault="00CD7592" w:rsidP="0009465C">
            <w:pPr>
              <w:tabs>
                <w:tab w:val="left" w:pos="426"/>
              </w:tabs>
              <w:jc w:val="both"/>
              <w:rPr>
                <w:rFonts w:ascii="Arial" w:eastAsia="Calibri" w:hAnsi="Arial" w:cs="Arial"/>
                <w:color w:val="000000" w:themeColor="text1"/>
                <w:sz w:val="22"/>
                <w:highlight w:val="yellow"/>
                <w:lang w:val="es-ES_tradnl"/>
              </w:rPr>
            </w:pPr>
          </w:p>
        </w:tc>
      </w:tr>
      <w:tr w:rsidR="00B95C30" w:rsidRPr="004E4581" w14:paraId="27CD52AB" w14:textId="77777777" w:rsidTr="0096347F">
        <w:trPr>
          <w:trHeight w:val="391"/>
        </w:trPr>
        <w:tc>
          <w:tcPr>
            <w:tcW w:w="2689" w:type="dxa"/>
          </w:tcPr>
          <w:p w14:paraId="37E195A1" w14:textId="1BA218D5" w:rsidR="00B95C30" w:rsidRPr="003A231A" w:rsidRDefault="00B95C30" w:rsidP="008F4163">
            <w:pPr>
              <w:spacing w:before="120"/>
              <w:jc w:val="both"/>
              <w:rPr>
                <w:rFonts w:ascii="Arial" w:eastAsia="Calibri" w:hAnsi="Arial" w:cs="Arial"/>
                <w:color w:val="000000" w:themeColor="text1"/>
                <w:sz w:val="22"/>
                <w:szCs w:val="22"/>
                <w:lang w:val="es-ES_tradnl"/>
              </w:rPr>
            </w:pPr>
            <w:r w:rsidRPr="003A231A">
              <w:rPr>
                <w:rFonts w:ascii="Arial" w:eastAsia="Calibri" w:hAnsi="Arial" w:cs="Arial"/>
                <w:b/>
                <w:color w:val="000000" w:themeColor="text1"/>
                <w:sz w:val="22"/>
                <w:szCs w:val="22"/>
                <w:lang w:val="es-ES_tradnl"/>
              </w:rPr>
              <w:t>Radicación</w:t>
            </w:r>
            <w:r w:rsidRPr="003A231A">
              <w:rPr>
                <w:rFonts w:ascii="Arial" w:eastAsia="Calibri" w:hAnsi="Arial" w:cs="Arial"/>
                <w:color w:val="000000" w:themeColor="text1"/>
                <w:sz w:val="22"/>
                <w:szCs w:val="22"/>
                <w:lang w:val="es-ES_tradnl"/>
              </w:rPr>
              <w:t xml:space="preserve">:                              </w:t>
            </w:r>
          </w:p>
        </w:tc>
        <w:tc>
          <w:tcPr>
            <w:tcW w:w="6237" w:type="dxa"/>
          </w:tcPr>
          <w:p w14:paraId="09088B1B" w14:textId="28E242F6" w:rsidR="00B95C30" w:rsidRPr="003A231A" w:rsidRDefault="00B95C30" w:rsidP="003A231A">
            <w:pPr>
              <w:spacing w:before="120"/>
              <w:jc w:val="both"/>
              <w:rPr>
                <w:rFonts w:ascii="Arial" w:eastAsia="Calibri" w:hAnsi="Arial" w:cs="Arial"/>
                <w:color w:val="000000" w:themeColor="text1"/>
                <w:sz w:val="22"/>
                <w:szCs w:val="22"/>
                <w:lang w:val="es-ES_tradnl"/>
              </w:rPr>
            </w:pPr>
            <w:r w:rsidRPr="003A231A">
              <w:rPr>
                <w:rFonts w:ascii="Arial" w:eastAsia="Calibri" w:hAnsi="Arial" w:cs="Arial"/>
                <w:color w:val="000000" w:themeColor="text1"/>
                <w:sz w:val="22"/>
                <w:szCs w:val="22"/>
                <w:lang w:val="es-ES_tradnl"/>
              </w:rPr>
              <w:t>Respuesta a consulta #</w:t>
            </w:r>
            <w:r w:rsidR="00A161D5" w:rsidRPr="003A231A">
              <w:rPr>
                <w:rFonts w:ascii="Arial" w:eastAsia="Calibri" w:hAnsi="Arial" w:cs="Arial"/>
                <w:color w:val="000000" w:themeColor="text1"/>
                <w:sz w:val="22"/>
                <w:szCs w:val="22"/>
                <w:lang w:val="es-ES_tradnl"/>
              </w:rPr>
              <w:t xml:space="preserve"> </w:t>
            </w:r>
            <w:r w:rsidR="003A231A" w:rsidRPr="003A231A">
              <w:rPr>
                <w:rFonts w:ascii="Arial" w:hAnsi="Arial" w:cs="Arial"/>
                <w:bCs/>
                <w:color w:val="323130"/>
                <w:sz w:val="22"/>
                <w:szCs w:val="22"/>
                <w:shd w:val="clear" w:color="auto" w:fill="FFFFFF"/>
              </w:rPr>
              <w:t>P20211109010386</w:t>
            </w:r>
          </w:p>
        </w:tc>
      </w:tr>
    </w:tbl>
    <w:p w14:paraId="0416277B" w14:textId="1E4B2E00" w:rsidR="00FD1854" w:rsidRDefault="00FD1854" w:rsidP="003C3339">
      <w:pPr>
        <w:jc w:val="both"/>
        <w:rPr>
          <w:rFonts w:ascii="Arial" w:eastAsia="Calibri" w:hAnsi="Arial" w:cs="Arial"/>
          <w:color w:val="000000" w:themeColor="text1"/>
          <w:sz w:val="22"/>
          <w:lang w:val="es-ES_tradnl"/>
        </w:rPr>
      </w:pPr>
    </w:p>
    <w:p w14:paraId="453071DE" w14:textId="77777777" w:rsidR="0096347F" w:rsidRPr="004E4581" w:rsidRDefault="0096347F" w:rsidP="003C3339">
      <w:pPr>
        <w:jc w:val="both"/>
        <w:rPr>
          <w:rFonts w:ascii="Arial" w:eastAsia="Calibri" w:hAnsi="Arial" w:cs="Arial"/>
          <w:color w:val="000000" w:themeColor="text1"/>
          <w:sz w:val="22"/>
          <w:lang w:val="es-ES_tradnl"/>
        </w:rPr>
      </w:pPr>
    </w:p>
    <w:p w14:paraId="1CF4AEA0" w14:textId="36ACBEB3" w:rsidR="003C3339" w:rsidRPr="004E4581" w:rsidRDefault="003C3339" w:rsidP="003C3339">
      <w:pPr>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Estimad</w:t>
      </w:r>
      <w:r w:rsidR="00634FC4">
        <w:rPr>
          <w:rFonts w:ascii="Arial" w:eastAsia="Calibri" w:hAnsi="Arial" w:cs="Arial"/>
          <w:color w:val="000000" w:themeColor="text1"/>
          <w:sz w:val="22"/>
          <w:lang w:val="es-ES_tradnl"/>
        </w:rPr>
        <w:t xml:space="preserve">a Señora Ana </w:t>
      </w:r>
      <w:r w:rsidR="003A231A">
        <w:rPr>
          <w:rFonts w:ascii="Arial" w:eastAsia="Calibri" w:hAnsi="Arial" w:cs="Arial"/>
          <w:color w:val="000000" w:themeColor="text1"/>
          <w:sz w:val="22"/>
          <w:lang w:val="es-ES_tradnl"/>
        </w:rPr>
        <w:t>María</w:t>
      </w:r>
      <w:r w:rsidR="00634FC4">
        <w:rPr>
          <w:rFonts w:ascii="Arial" w:eastAsia="Calibri" w:hAnsi="Arial" w:cs="Arial"/>
          <w:color w:val="000000" w:themeColor="text1"/>
          <w:sz w:val="22"/>
          <w:lang w:val="es-ES_tradnl"/>
        </w:rPr>
        <w:t>:</w:t>
      </w:r>
    </w:p>
    <w:p w14:paraId="1EAE5543" w14:textId="77777777" w:rsidR="00DD5B04" w:rsidRPr="004E4581" w:rsidRDefault="00DD5B04" w:rsidP="00DF76A2">
      <w:pPr>
        <w:jc w:val="both"/>
        <w:rPr>
          <w:rFonts w:ascii="Arial" w:eastAsia="Calibri" w:hAnsi="Arial" w:cs="Arial"/>
          <w:color w:val="000000" w:themeColor="text1"/>
          <w:sz w:val="22"/>
          <w:lang w:val="es-ES_tradnl"/>
        </w:rPr>
      </w:pPr>
    </w:p>
    <w:p w14:paraId="2109B2D3" w14:textId="5F6B96B3" w:rsidR="00DD5B04" w:rsidRPr="004E4581" w:rsidRDefault="00DD5B04" w:rsidP="00DF76A2">
      <w:pPr>
        <w:spacing w:line="276" w:lineRule="auto"/>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E4581">
        <w:rPr>
          <w:rFonts w:ascii="Arial" w:eastAsia="Calibri" w:hAnsi="Arial" w:cs="Arial"/>
          <w:color w:val="000000" w:themeColor="text1"/>
          <w:sz w:val="22"/>
          <w:lang w:val="es-ES_tradnl"/>
        </w:rPr>
        <w:t>–</w:t>
      </w:r>
      <w:r w:rsidRPr="004E4581">
        <w:rPr>
          <w:rFonts w:ascii="Arial" w:eastAsia="Calibri" w:hAnsi="Arial" w:cs="Arial"/>
          <w:color w:val="000000" w:themeColor="text1"/>
          <w:sz w:val="22"/>
          <w:lang w:val="es-ES_tradnl"/>
        </w:rPr>
        <w:t xml:space="preserve"> Colombia Compra Eficiente</w:t>
      </w:r>
      <w:r w:rsidR="008C3C57" w:rsidRPr="004E4581">
        <w:rPr>
          <w:rFonts w:ascii="Arial" w:eastAsia="Calibri" w:hAnsi="Arial" w:cs="Arial"/>
          <w:color w:val="000000" w:themeColor="text1"/>
          <w:sz w:val="22"/>
          <w:lang w:val="es-ES_tradnl"/>
        </w:rPr>
        <w:t xml:space="preserve"> </w:t>
      </w:r>
      <w:r w:rsidR="00436B3F" w:rsidRPr="004E4581">
        <w:rPr>
          <w:rFonts w:ascii="Arial" w:eastAsia="Calibri" w:hAnsi="Arial" w:cs="Arial"/>
          <w:color w:val="000000" w:themeColor="text1"/>
          <w:sz w:val="22"/>
          <w:lang w:val="es-ES_tradnl"/>
        </w:rPr>
        <w:t>responde a su consulta del</w:t>
      </w:r>
      <w:r w:rsidR="00634FC4">
        <w:rPr>
          <w:rFonts w:ascii="Arial" w:eastAsia="Calibri" w:hAnsi="Arial" w:cs="Arial"/>
          <w:color w:val="000000" w:themeColor="text1"/>
          <w:sz w:val="22"/>
          <w:lang w:val="es-ES_tradnl"/>
        </w:rPr>
        <w:t xml:space="preserve"> 9 de noviembre de 2021</w:t>
      </w:r>
      <w:r w:rsidR="00436B3F" w:rsidRPr="004E4581">
        <w:rPr>
          <w:rFonts w:ascii="Arial" w:eastAsia="Calibri" w:hAnsi="Arial" w:cs="Arial"/>
          <w:color w:val="000000" w:themeColor="text1"/>
          <w:sz w:val="22"/>
          <w:lang w:val="es-ES_tradnl"/>
        </w:rPr>
        <w:t xml:space="preserve">. </w:t>
      </w:r>
    </w:p>
    <w:p w14:paraId="4DD02E29" w14:textId="670A45B8" w:rsidR="0096347F" w:rsidRPr="004E4581"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4E45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Problema planteado </w:t>
      </w:r>
    </w:p>
    <w:p w14:paraId="224B43D3" w14:textId="77777777" w:rsidR="00DD5B04" w:rsidRPr="004E45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ADCBDB7" w14:textId="77777777" w:rsidR="00DD40F8" w:rsidRDefault="00E746A6" w:rsidP="00DD40F8">
      <w:pPr>
        <w:autoSpaceDE w:val="0"/>
        <w:autoSpaceDN w:val="0"/>
        <w:adjustRightInd w:val="0"/>
        <w:rPr>
          <w:rFonts w:ascii="Arial" w:hAnsi="Arial" w:cs="Arial"/>
          <w:color w:val="000000" w:themeColor="text1"/>
          <w:sz w:val="22"/>
          <w:szCs w:val="22"/>
          <w:lang w:val="es-ES_tradnl"/>
        </w:rPr>
      </w:pPr>
      <w:r w:rsidRPr="000A1417">
        <w:rPr>
          <w:rFonts w:ascii="Arial" w:hAnsi="Arial" w:cs="Arial"/>
          <w:color w:val="000000" w:themeColor="text1"/>
          <w:sz w:val="22"/>
          <w:szCs w:val="22"/>
          <w:lang w:val="es-ES_tradnl"/>
        </w:rPr>
        <w:t>En su consulta plantea lo siguiente</w:t>
      </w:r>
      <w:r w:rsidR="006251D3" w:rsidRPr="000A1417">
        <w:rPr>
          <w:rFonts w:ascii="Arial" w:hAnsi="Arial" w:cs="Arial"/>
          <w:color w:val="000000" w:themeColor="text1"/>
          <w:sz w:val="22"/>
          <w:szCs w:val="22"/>
          <w:lang w:val="es-ES_tradnl"/>
        </w:rPr>
        <w:t xml:space="preserve">: </w:t>
      </w:r>
    </w:p>
    <w:p w14:paraId="27770693" w14:textId="77777777" w:rsidR="00DD40F8" w:rsidRDefault="00DD40F8" w:rsidP="00DD40F8">
      <w:pPr>
        <w:autoSpaceDE w:val="0"/>
        <w:autoSpaceDN w:val="0"/>
        <w:adjustRightInd w:val="0"/>
        <w:rPr>
          <w:rFonts w:ascii="Arial" w:hAnsi="Arial" w:cs="Arial"/>
          <w:color w:val="000000" w:themeColor="text1"/>
          <w:sz w:val="22"/>
          <w:szCs w:val="22"/>
          <w:lang w:val="es-ES_tradnl"/>
        </w:rPr>
      </w:pPr>
    </w:p>
    <w:p w14:paraId="748143D8" w14:textId="77777777" w:rsidR="00C52953" w:rsidRPr="00C52953" w:rsidRDefault="00974B94" w:rsidP="00C52953">
      <w:pPr>
        <w:autoSpaceDE w:val="0"/>
        <w:autoSpaceDN w:val="0"/>
        <w:adjustRightInd w:val="0"/>
        <w:ind w:left="709" w:right="709"/>
        <w:jc w:val="both"/>
        <w:rPr>
          <w:rFonts w:ascii="Arial" w:hAnsi="Arial" w:cs="Arial"/>
          <w:color w:val="000000" w:themeColor="text1"/>
          <w:sz w:val="21"/>
          <w:szCs w:val="21"/>
          <w:lang w:val="es-ES_tradnl"/>
        </w:rPr>
      </w:pPr>
      <w:r w:rsidRPr="00DD40F8">
        <w:rPr>
          <w:rFonts w:ascii="Arial" w:hAnsi="Arial" w:cs="Arial"/>
          <w:color w:val="000000" w:themeColor="text1"/>
          <w:sz w:val="21"/>
          <w:szCs w:val="21"/>
          <w:lang w:val="es-ES_tradnl"/>
        </w:rPr>
        <w:t>«</w:t>
      </w:r>
      <w:r w:rsidR="00C52953" w:rsidRPr="00C52953">
        <w:rPr>
          <w:rFonts w:ascii="Arial" w:hAnsi="Arial" w:cs="Arial"/>
          <w:color w:val="000000" w:themeColor="text1"/>
          <w:sz w:val="21"/>
          <w:szCs w:val="21"/>
          <w:lang w:val="es-ES_tradnl"/>
        </w:rPr>
        <w:t xml:space="preserve">Mediante la presente, me permito solicitar información referente a la ley de garantías, en el sentido de que nos informen si las entidades territoriales, exactamente los Municipios pueden celebrar convenios y contratos interadministrativos a partir de la publicación de la ley de presupuesto y durante </w:t>
      </w:r>
      <w:r w:rsidR="00C52953" w:rsidRPr="00C52953">
        <w:rPr>
          <w:rFonts w:ascii="Arial" w:hAnsi="Arial" w:cs="Arial"/>
          <w:color w:val="000000" w:themeColor="text1"/>
          <w:sz w:val="21"/>
          <w:szCs w:val="21"/>
          <w:lang w:val="es-ES_tradnl"/>
        </w:rPr>
        <w:lastRenderedPageBreak/>
        <w:t>la vigencia fiscal 2022, o si solamente se autoriza es a la Nación celebrar convenios.</w:t>
      </w:r>
    </w:p>
    <w:p w14:paraId="1E14AF61" w14:textId="77777777" w:rsidR="00C52953" w:rsidRPr="00C52953" w:rsidRDefault="00C52953" w:rsidP="00C52953">
      <w:pPr>
        <w:autoSpaceDE w:val="0"/>
        <w:autoSpaceDN w:val="0"/>
        <w:adjustRightInd w:val="0"/>
        <w:ind w:left="709" w:right="709"/>
        <w:jc w:val="both"/>
        <w:rPr>
          <w:rFonts w:ascii="Arial" w:hAnsi="Arial" w:cs="Arial"/>
          <w:color w:val="000000" w:themeColor="text1"/>
          <w:sz w:val="21"/>
          <w:szCs w:val="21"/>
          <w:lang w:val="es-ES_tradnl"/>
        </w:rPr>
      </w:pPr>
      <w:r w:rsidRPr="00C52953">
        <w:rPr>
          <w:rFonts w:ascii="Arial" w:hAnsi="Arial" w:cs="Arial"/>
          <w:color w:val="000000" w:themeColor="text1"/>
          <w:sz w:val="21"/>
          <w:szCs w:val="21"/>
          <w:lang w:val="es-ES_tradnl"/>
        </w:rPr>
        <w:t xml:space="preserve"> </w:t>
      </w:r>
    </w:p>
    <w:p w14:paraId="4BD1A156" w14:textId="01152280" w:rsidR="00436B3F" w:rsidRPr="00DD40F8" w:rsidRDefault="00F30597" w:rsidP="00C52953">
      <w:pPr>
        <w:autoSpaceDE w:val="0"/>
        <w:autoSpaceDN w:val="0"/>
        <w:adjustRightInd w:val="0"/>
        <w:ind w:left="709" w:right="709"/>
        <w:jc w:val="both"/>
        <w:rPr>
          <w:rFonts w:ascii="Arial" w:eastAsiaTheme="minorHAnsi" w:hAnsi="Arial" w:cs="Arial"/>
          <w:sz w:val="21"/>
          <w:szCs w:val="21"/>
          <w:lang w:eastAsia="en-US"/>
        </w:rPr>
      </w:pPr>
      <w:proofErr w:type="gramStart"/>
      <w:r w:rsidRPr="00B244DB">
        <w:rPr>
          <w:rFonts w:ascii="Arial" w:eastAsia="Calibri" w:hAnsi="Arial" w:cs="Arial"/>
          <w:sz w:val="22"/>
          <w:szCs w:val="22"/>
          <w:lang w:eastAsia="en-US"/>
        </w:rPr>
        <w:t>»</w:t>
      </w:r>
      <w:r w:rsidR="00C52953" w:rsidRPr="00C52953">
        <w:rPr>
          <w:rFonts w:ascii="Arial" w:hAnsi="Arial" w:cs="Arial"/>
          <w:color w:val="000000" w:themeColor="text1"/>
          <w:sz w:val="21"/>
          <w:szCs w:val="21"/>
          <w:lang w:val="es-ES_tradnl"/>
        </w:rPr>
        <w:t>Lo</w:t>
      </w:r>
      <w:proofErr w:type="gramEnd"/>
      <w:r w:rsidR="00C52953" w:rsidRPr="00C52953">
        <w:rPr>
          <w:rFonts w:ascii="Arial" w:hAnsi="Arial" w:cs="Arial"/>
          <w:color w:val="000000" w:themeColor="text1"/>
          <w:sz w:val="21"/>
          <w:szCs w:val="21"/>
          <w:lang w:val="es-ES_tradnl"/>
        </w:rPr>
        <w:t xml:space="preserve"> anterior, teniendo en cuenta que el artículo 125 de la ley 96 de 2021 tiene dos interpretaciones diferentes y como la Contraloría ejercerá un control especial a dichos contratos, como entidad queremos aclarar las dudas al respecto</w:t>
      </w:r>
      <w:r w:rsidRPr="00B244DB">
        <w:rPr>
          <w:rFonts w:ascii="Arial" w:eastAsia="Calibri" w:hAnsi="Arial" w:cs="Arial"/>
          <w:sz w:val="22"/>
          <w:szCs w:val="22"/>
          <w:lang w:eastAsia="en-US"/>
        </w:rPr>
        <w:t>»</w:t>
      </w:r>
      <w:r w:rsidR="00C52953" w:rsidRPr="00C52953">
        <w:rPr>
          <w:rFonts w:ascii="Arial" w:hAnsi="Arial" w:cs="Arial"/>
          <w:color w:val="000000" w:themeColor="text1"/>
          <w:sz w:val="21"/>
          <w:szCs w:val="21"/>
          <w:lang w:val="es-ES_tradnl"/>
        </w:rPr>
        <w:t>.</w:t>
      </w:r>
    </w:p>
    <w:p w14:paraId="037E7D68" w14:textId="78124F54" w:rsidR="007446F6" w:rsidRPr="004E4581"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E45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Consideraciones</w:t>
      </w:r>
    </w:p>
    <w:p w14:paraId="7D050D2E" w14:textId="77777777" w:rsidR="00435703" w:rsidRPr="004E4581" w:rsidRDefault="00435703" w:rsidP="00DF76A2">
      <w:pPr>
        <w:spacing w:line="276" w:lineRule="auto"/>
        <w:jc w:val="both"/>
        <w:rPr>
          <w:rFonts w:ascii="Arial" w:eastAsia="Calibri" w:hAnsi="Arial" w:cs="Arial"/>
          <w:color w:val="000000" w:themeColor="text1"/>
          <w:sz w:val="22"/>
          <w:szCs w:val="22"/>
          <w:lang w:val="es-ES_tradnl"/>
        </w:rPr>
      </w:pPr>
    </w:p>
    <w:p w14:paraId="2100A875" w14:textId="4954829A" w:rsidR="00E670DD" w:rsidRPr="004E4581" w:rsidRDefault="008E30C4" w:rsidP="00530DFE">
      <w:pPr>
        <w:spacing w:line="276" w:lineRule="auto"/>
        <w:jc w:val="both"/>
        <w:rPr>
          <w:rFonts w:ascii="Arial" w:eastAsia="Calibri" w:hAnsi="Arial" w:cs="Arial"/>
          <w:color w:val="000000" w:themeColor="text1"/>
          <w:sz w:val="22"/>
        </w:rPr>
      </w:pPr>
      <w:r w:rsidRPr="004E4581">
        <w:rPr>
          <w:rFonts w:ascii="Arial" w:eastAsia="Calibri" w:hAnsi="Arial" w:cs="Arial"/>
          <w:color w:val="000000" w:themeColor="text1"/>
          <w:sz w:val="22"/>
          <w:szCs w:val="22"/>
          <w:lang w:val="es-ES_tradnl"/>
        </w:rPr>
        <w:t xml:space="preserve">La </w:t>
      </w:r>
      <w:r w:rsidR="000A600A" w:rsidRPr="004E4581">
        <w:rPr>
          <w:rFonts w:ascii="Arial" w:eastAsia="Calibri" w:hAnsi="Arial" w:cs="Arial"/>
          <w:color w:val="000000" w:themeColor="text1"/>
          <w:sz w:val="22"/>
          <w:szCs w:val="22"/>
          <w:lang w:val="es-ES_tradnl"/>
        </w:rPr>
        <w:t xml:space="preserve">Agencia Nacional de Contratación Pública – Colombia Compra Eficiente </w:t>
      </w:r>
      <w:r w:rsidRPr="004E4581">
        <w:rPr>
          <w:rFonts w:ascii="Arial" w:eastAsia="Calibri" w:hAnsi="Arial" w:cs="Arial"/>
          <w:color w:val="000000" w:themeColor="text1"/>
          <w:sz w:val="22"/>
          <w:szCs w:val="22"/>
          <w:lang w:val="es-ES_tradnl"/>
        </w:rPr>
        <w:t xml:space="preserve">responderá </w:t>
      </w:r>
      <w:r w:rsidR="00271230" w:rsidRPr="004E4581">
        <w:rPr>
          <w:rFonts w:ascii="Arial" w:eastAsia="Calibri" w:hAnsi="Arial" w:cs="Arial"/>
          <w:color w:val="000000" w:themeColor="text1"/>
          <w:sz w:val="22"/>
          <w:szCs w:val="22"/>
          <w:lang w:val="es-ES_tradnl"/>
        </w:rPr>
        <w:t>la consulta</w:t>
      </w:r>
      <w:r w:rsidR="00DE0D15" w:rsidRPr="004E4581">
        <w:rPr>
          <w:rFonts w:ascii="Arial" w:eastAsia="Calibri" w:hAnsi="Arial" w:cs="Arial"/>
          <w:color w:val="000000" w:themeColor="text1"/>
          <w:sz w:val="22"/>
          <w:szCs w:val="22"/>
          <w:lang w:val="es-ES_tradnl"/>
        </w:rPr>
        <w:t>.</w:t>
      </w:r>
      <w:r w:rsidR="001459D2">
        <w:rPr>
          <w:rFonts w:ascii="Arial" w:eastAsia="Calibri" w:hAnsi="Arial" w:cs="Arial"/>
          <w:color w:val="000000" w:themeColor="text1"/>
          <w:sz w:val="22"/>
          <w:szCs w:val="22"/>
          <w:lang w:val="es-ES_tradnl"/>
        </w:rPr>
        <w:t xml:space="preserve"> </w:t>
      </w:r>
      <w:r w:rsidR="001459D2">
        <w:rPr>
          <w:rFonts w:ascii="Arial" w:eastAsia="Calibri" w:hAnsi="Arial" w:cs="Arial"/>
          <w:color w:val="000000" w:themeColor="text1"/>
          <w:sz w:val="22"/>
        </w:rPr>
        <w:t>Esta Agencia</w:t>
      </w:r>
      <w:r w:rsidR="00E670DD" w:rsidRPr="004E4581">
        <w:rPr>
          <w:rFonts w:ascii="Arial" w:eastAsia="Calibri" w:hAnsi="Arial" w:cs="Arial"/>
          <w:color w:val="000000" w:themeColor="text1"/>
          <w:sz w:val="22"/>
        </w:rPr>
        <w:t xml:space="preserve"> se ha pronunciado en diferentes ocasiones sobre la Ley de Garantías</w:t>
      </w:r>
      <w:r w:rsidR="001459D2">
        <w:rPr>
          <w:rFonts w:ascii="Arial" w:eastAsia="Calibri" w:hAnsi="Arial" w:cs="Arial"/>
          <w:color w:val="000000" w:themeColor="text1"/>
          <w:sz w:val="22"/>
        </w:rPr>
        <w:t xml:space="preserve"> Electorales</w:t>
      </w:r>
      <w:r w:rsidR="00E670DD" w:rsidRPr="004E4581">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E4581">
        <w:rPr>
          <w:rFonts w:ascii="Arial" w:eastAsia="Calibri" w:hAnsi="Arial" w:cs="Arial"/>
          <w:color w:val="000000" w:themeColor="text1"/>
          <w:sz w:val="22"/>
        </w:rPr>
        <w:t xml:space="preserve">, </w:t>
      </w:r>
      <w:r w:rsidR="00974B94" w:rsidRPr="004E4581">
        <w:rPr>
          <w:rFonts w:ascii="Arial" w:eastAsia="Calibri" w:hAnsi="Arial" w:cs="Arial"/>
          <w:color w:val="000000" w:themeColor="text1"/>
          <w:sz w:val="22"/>
        </w:rPr>
        <w:t xml:space="preserve"> C-227 del 24 de mayo de 2021</w:t>
      </w:r>
      <w:r w:rsidR="00E746A6" w:rsidRPr="004E4581">
        <w:rPr>
          <w:rFonts w:ascii="Arial" w:eastAsia="Calibri" w:hAnsi="Arial" w:cs="Arial"/>
          <w:color w:val="000000" w:themeColor="text1"/>
          <w:sz w:val="22"/>
        </w:rPr>
        <w:t xml:space="preserve"> y </w:t>
      </w:r>
      <w:r w:rsidR="0030575F" w:rsidRPr="004E4581">
        <w:rPr>
          <w:rFonts w:ascii="Arial" w:eastAsia="Calibri" w:hAnsi="Arial" w:cs="Arial"/>
          <w:color w:val="000000" w:themeColor="text1"/>
          <w:sz w:val="22"/>
        </w:rPr>
        <w:t>3</w:t>
      </w:r>
      <w:r w:rsidR="00E746A6" w:rsidRPr="004E4581">
        <w:rPr>
          <w:rFonts w:ascii="Arial" w:eastAsia="Calibri" w:hAnsi="Arial" w:cs="Arial"/>
          <w:color w:val="000000" w:themeColor="text1"/>
          <w:sz w:val="22"/>
        </w:rPr>
        <w:t>96 de</w:t>
      </w:r>
      <w:r w:rsidR="0030575F" w:rsidRPr="004E4581">
        <w:rPr>
          <w:rFonts w:ascii="Arial" w:eastAsia="Calibri" w:hAnsi="Arial" w:cs="Arial"/>
          <w:color w:val="000000" w:themeColor="text1"/>
          <w:sz w:val="22"/>
        </w:rPr>
        <w:t>l 13 de agosto de</w:t>
      </w:r>
      <w:r w:rsidR="00E746A6" w:rsidRPr="004E4581">
        <w:rPr>
          <w:rFonts w:ascii="Arial" w:eastAsia="Calibri" w:hAnsi="Arial" w:cs="Arial"/>
          <w:color w:val="000000" w:themeColor="text1"/>
          <w:sz w:val="22"/>
        </w:rPr>
        <w:t xml:space="preserve"> 2021</w:t>
      </w:r>
      <w:r w:rsidR="00DD40F8">
        <w:rPr>
          <w:rFonts w:ascii="Arial" w:eastAsia="Calibri" w:hAnsi="Arial" w:cs="Arial"/>
          <w:color w:val="000000" w:themeColor="text1"/>
          <w:sz w:val="22"/>
        </w:rPr>
        <w:t>, C-43</w:t>
      </w:r>
      <w:r w:rsidR="00E552DD">
        <w:rPr>
          <w:rFonts w:ascii="Arial" w:eastAsia="Calibri" w:hAnsi="Arial" w:cs="Arial"/>
          <w:color w:val="000000" w:themeColor="text1"/>
          <w:sz w:val="22"/>
        </w:rPr>
        <w:t>9 del 27 de agosto de 2021</w:t>
      </w:r>
      <w:r w:rsidR="00A161D5">
        <w:rPr>
          <w:rFonts w:ascii="Arial" w:eastAsia="Calibri" w:hAnsi="Arial" w:cs="Arial"/>
          <w:color w:val="000000" w:themeColor="text1"/>
          <w:sz w:val="22"/>
        </w:rPr>
        <w:t xml:space="preserve">, C-456 del 3 de septiembre, C-481 del 9 de septiembre de 2021, </w:t>
      </w:r>
      <w:r w:rsidR="000A0A18">
        <w:rPr>
          <w:rFonts w:ascii="Arial" w:eastAsia="Calibri" w:hAnsi="Arial" w:cs="Arial"/>
          <w:color w:val="000000" w:themeColor="text1"/>
          <w:sz w:val="22"/>
        </w:rPr>
        <w:t>C- 528 del 27 de septiembre de 2021, C-550 del 5 de octubre de 2021</w:t>
      </w:r>
      <w:r w:rsidR="00E552DD">
        <w:rPr>
          <w:rFonts w:ascii="Arial" w:eastAsia="Calibri" w:hAnsi="Arial" w:cs="Arial"/>
          <w:color w:val="000000" w:themeColor="text1"/>
          <w:sz w:val="22"/>
        </w:rPr>
        <w:t xml:space="preserve"> y C-523 del </w:t>
      </w:r>
      <w:r w:rsidR="00E17CD1">
        <w:rPr>
          <w:rFonts w:ascii="Arial" w:eastAsia="Calibri" w:hAnsi="Arial" w:cs="Arial"/>
          <w:color w:val="000000" w:themeColor="text1"/>
          <w:sz w:val="22"/>
        </w:rPr>
        <w:t>10 de octubre de 2021</w:t>
      </w:r>
      <w:r w:rsidR="00DD40F8">
        <w:rPr>
          <w:rFonts w:ascii="Arial" w:eastAsia="Calibri" w:hAnsi="Arial" w:cs="Arial"/>
          <w:color w:val="000000" w:themeColor="text1"/>
          <w:sz w:val="22"/>
        </w:rPr>
        <w:t>, C-606 del 28 de octubre de 2021 y C-614 del 2 de noviembre de 2021</w:t>
      </w:r>
      <w:r w:rsidR="00AF0D2A">
        <w:rPr>
          <w:rFonts w:ascii="Arial" w:eastAsia="Calibri" w:hAnsi="Arial" w:cs="Arial"/>
          <w:color w:val="000000" w:themeColor="text1"/>
          <w:sz w:val="22"/>
        </w:rPr>
        <w:t>, C-636 del 16 de noviembre de 2021, 681 del 7 de diciembre de 2021</w:t>
      </w:r>
      <w:r w:rsidR="00974B94" w:rsidRPr="004E4581">
        <w:rPr>
          <w:rFonts w:ascii="Arial" w:eastAsia="Calibri" w:hAnsi="Arial" w:cs="Arial"/>
          <w:color w:val="000000" w:themeColor="text1"/>
          <w:sz w:val="22"/>
        </w:rPr>
        <w:t xml:space="preserve">. Teniendo en cuenta </w:t>
      </w:r>
      <w:r w:rsidR="002D283F" w:rsidRPr="004E4581">
        <w:rPr>
          <w:rFonts w:ascii="Arial" w:eastAsia="Calibri" w:hAnsi="Arial" w:cs="Arial"/>
          <w:color w:val="000000" w:themeColor="text1"/>
          <w:sz w:val="22"/>
        </w:rPr>
        <w:t>los conceptos anteriores y</w:t>
      </w:r>
      <w:r w:rsidR="00974B94" w:rsidRPr="004E4581">
        <w:rPr>
          <w:rFonts w:ascii="Arial" w:eastAsia="Calibri" w:hAnsi="Arial" w:cs="Arial"/>
          <w:color w:val="000000" w:themeColor="text1"/>
          <w:sz w:val="22"/>
        </w:rPr>
        <w:t xml:space="preserve"> </w:t>
      </w:r>
      <w:r w:rsidR="002D283F" w:rsidRPr="004E4581">
        <w:rPr>
          <w:rFonts w:ascii="Arial" w:eastAsia="Calibri" w:hAnsi="Arial" w:cs="Arial"/>
          <w:color w:val="000000" w:themeColor="text1"/>
          <w:sz w:val="22"/>
        </w:rPr>
        <w:t>analizando</w:t>
      </w:r>
      <w:r w:rsidR="00974B94" w:rsidRPr="004E4581">
        <w:rPr>
          <w:rFonts w:ascii="Arial" w:eastAsia="Calibri" w:hAnsi="Arial" w:cs="Arial"/>
          <w:color w:val="000000" w:themeColor="text1"/>
          <w:sz w:val="22"/>
        </w:rPr>
        <w:t xml:space="preserve"> la pregunta en cuestión</w:t>
      </w:r>
      <w:r w:rsidR="00592003">
        <w:rPr>
          <w:rFonts w:ascii="Arial" w:eastAsia="Calibri" w:hAnsi="Arial" w:cs="Arial"/>
          <w:color w:val="000000" w:themeColor="text1"/>
          <w:sz w:val="22"/>
        </w:rPr>
        <w:t>,</w:t>
      </w:r>
      <w:r w:rsidR="00974B94" w:rsidRPr="004E4581">
        <w:rPr>
          <w:rFonts w:ascii="Arial" w:eastAsia="Calibri" w:hAnsi="Arial" w:cs="Arial"/>
          <w:color w:val="000000" w:themeColor="text1"/>
          <w:sz w:val="22"/>
        </w:rPr>
        <w:t xml:space="preserve"> se </w:t>
      </w:r>
      <w:r w:rsidR="002D283F" w:rsidRPr="004E4581">
        <w:rPr>
          <w:rFonts w:ascii="Arial" w:eastAsia="Calibri" w:hAnsi="Arial" w:cs="Arial"/>
          <w:color w:val="000000" w:themeColor="text1"/>
          <w:sz w:val="22"/>
        </w:rPr>
        <w:t>realizan las siguientes consideraciones.</w:t>
      </w:r>
      <w:r w:rsidR="00974B94" w:rsidRPr="004E4581">
        <w:rPr>
          <w:rFonts w:ascii="Arial" w:eastAsia="Calibri" w:hAnsi="Arial" w:cs="Arial"/>
          <w:color w:val="000000" w:themeColor="text1"/>
          <w:sz w:val="22"/>
        </w:rPr>
        <w:t xml:space="preserve"> </w:t>
      </w:r>
    </w:p>
    <w:p w14:paraId="0D27A697" w14:textId="452E95D1" w:rsidR="00F433CB" w:rsidRPr="004E4581" w:rsidRDefault="00F433CB" w:rsidP="001459D2">
      <w:pPr>
        <w:spacing w:line="276" w:lineRule="auto"/>
        <w:jc w:val="both"/>
        <w:rPr>
          <w:rFonts w:ascii="Arial" w:eastAsia="Calibri" w:hAnsi="Arial" w:cs="Arial"/>
          <w:color w:val="000000" w:themeColor="text1"/>
          <w:sz w:val="22"/>
        </w:rPr>
      </w:pPr>
    </w:p>
    <w:p w14:paraId="27365E26" w14:textId="123C52AB" w:rsidR="00F433CB" w:rsidRPr="004E4581" w:rsidRDefault="00F433CB" w:rsidP="006B3EB4">
      <w:pPr>
        <w:spacing w:line="276" w:lineRule="auto"/>
        <w:jc w:val="both"/>
        <w:rPr>
          <w:rFonts w:ascii="Arial" w:hAnsi="Arial" w:cs="Arial"/>
          <w:b/>
          <w:bCs/>
          <w:color w:val="000000" w:themeColor="text1"/>
          <w:sz w:val="22"/>
          <w:szCs w:val="22"/>
          <w:lang w:val="es-ES_tradnl"/>
        </w:rPr>
      </w:pPr>
      <w:r w:rsidRPr="004E4581">
        <w:rPr>
          <w:rFonts w:ascii="Arial" w:eastAsia="Calibri" w:hAnsi="Arial" w:cs="Arial"/>
          <w:b/>
          <w:bCs/>
          <w:color w:val="000000" w:themeColor="text1"/>
          <w:sz w:val="22"/>
        </w:rPr>
        <w:t xml:space="preserve">2.1. Finalidad </w:t>
      </w:r>
      <w:r w:rsidR="009B231D" w:rsidRPr="004E4581">
        <w:rPr>
          <w:rFonts w:ascii="Arial" w:eastAsia="Calibri" w:hAnsi="Arial" w:cs="Arial"/>
          <w:b/>
          <w:bCs/>
          <w:color w:val="000000" w:themeColor="text1"/>
          <w:sz w:val="22"/>
        </w:rPr>
        <w:t xml:space="preserve">y restricciones </w:t>
      </w:r>
      <w:r w:rsidRPr="004E4581">
        <w:rPr>
          <w:rFonts w:ascii="Arial" w:eastAsia="Calibri" w:hAnsi="Arial" w:cs="Arial"/>
          <w:b/>
          <w:bCs/>
          <w:color w:val="000000" w:themeColor="text1"/>
          <w:sz w:val="22"/>
        </w:rPr>
        <w:t>de la Ley de Garantías Electorales</w:t>
      </w:r>
    </w:p>
    <w:p w14:paraId="69BD1413" w14:textId="15B81743" w:rsidR="00F433CB" w:rsidRPr="004E4581" w:rsidRDefault="00F433CB" w:rsidP="00271230">
      <w:pPr>
        <w:spacing w:line="276" w:lineRule="auto"/>
        <w:jc w:val="both"/>
        <w:rPr>
          <w:rFonts w:ascii="Arial" w:eastAsia="Calibri" w:hAnsi="Arial" w:cs="Arial"/>
          <w:color w:val="000000" w:themeColor="text1"/>
          <w:sz w:val="22"/>
          <w:szCs w:val="22"/>
          <w:lang w:val="es-ES_tradnl"/>
        </w:rPr>
      </w:pPr>
    </w:p>
    <w:p w14:paraId="13FA39EC" w14:textId="1E35AB98" w:rsidR="000077D0" w:rsidRPr="004E4581" w:rsidRDefault="000077D0" w:rsidP="006B3EB4">
      <w:pPr>
        <w:tabs>
          <w:tab w:val="left" w:pos="426"/>
        </w:tabs>
        <w:spacing w:after="120" w:line="276" w:lineRule="auto"/>
        <w:jc w:val="both"/>
        <w:rPr>
          <w:rFonts w:ascii="Arial" w:eastAsia="Calibri" w:hAnsi="Arial" w:cs="Arial"/>
          <w:bCs/>
          <w:color w:val="000000" w:themeColor="text1"/>
          <w:sz w:val="22"/>
        </w:rPr>
      </w:pPr>
      <w:r w:rsidRPr="004E4581">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w:t>
      </w:r>
      <w:r w:rsidR="00095607" w:rsidRPr="004E4581">
        <w:rPr>
          <w:rFonts w:ascii="Arial" w:eastAsia="Calibri" w:hAnsi="Arial" w:cs="Arial"/>
          <w:bCs/>
          <w:color w:val="000000" w:themeColor="text1"/>
          <w:sz w:val="22"/>
        </w:rPr>
        <w:t>. Por ejemplo,</w:t>
      </w:r>
      <w:r w:rsidRPr="004E4581">
        <w:rPr>
          <w:rFonts w:ascii="Arial" w:eastAsia="Calibri" w:hAnsi="Arial" w:cs="Arial"/>
          <w:bCs/>
          <w:color w:val="000000" w:themeColor="text1"/>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4E4581">
        <w:rPr>
          <w:rStyle w:val="Refdenotaalpie"/>
          <w:rFonts w:ascii="Arial" w:eastAsia="Calibri" w:hAnsi="Arial" w:cs="Arial"/>
          <w:bCs/>
          <w:color w:val="000000" w:themeColor="text1"/>
          <w:sz w:val="22"/>
        </w:rPr>
        <w:footnoteReference w:id="2"/>
      </w:r>
      <w:r w:rsidRPr="004E4581">
        <w:rPr>
          <w:rFonts w:ascii="Arial" w:eastAsia="Calibri" w:hAnsi="Arial" w:cs="Arial"/>
          <w:bCs/>
          <w:color w:val="000000" w:themeColor="text1"/>
          <w:sz w:val="22"/>
        </w:rPr>
        <w:t xml:space="preserve">. </w:t>
      </w:r>
    </w:p>
    <w:p w14:paraId="018CC89D" w14:textId="2D27A3F9" w:rsidR="000077D0" w:rsidRPr="004E4581" w:rsidRDefault="00E746A6" w:rsidP="006B3EB4">
      <w:pPr>
        <w:tabs>
          <w:tab w:val="left" w:pos="426"/>
        </w:tabs>
        <w:spacing w:line="276" w:lineRule="auto"/>
        <w:jc w:val="both"/>
        <w:rPr>
          <w:rFonts w:ascii="Arial" w:hAnsi="Arial" w:cs="Arial"/>
          <w:bCs/>
          <w:color w:val="000000" w:themeColor="text1"/>
          <w:sz w:val="22"/>
          <w:szCs w:val="22"/>
          <w:lang w:eastAsia="es-CO"/>
        </w:rPr>
      </w:pPr>
      <w:r w:rsidRPr="004E4581">
        <w:rPr>
          <w:rFonts w:ascii="Arial" w:hAnsi="Arial" w:cs="Arial"/>
          <w:bCs/>
          <w:color w:val="000000" w:themeColor="text1"/>
          <w:sz w:val="22"/>
          <w:lang w:eastAsia="es-CO"/>
        </w:rPr>
        <w:tab/>
      </w:r>
      <w:r w:rsidRPr="004E4581">
        <w:rPr>
          <w:rFonts w:ascii="Arial" w:hAnsi="Arial" w:cs="Arial"/>
          <w:bCs/>
          <w:color w:val="000000" w:themeColor="text1"/>
          <w:sz w:val="22"/>
          <w:lang w:eastAsia="es-CO"/>
        </w:rPr>
        <w:tab/>
      </w:r>
      <w:r w:rsidR="000077D0" w:rsidRPr="004E4581">
        <w:rPr>
          <w:rFonts w:ascii="Arial" w:hAnsi="Arial" w:cs="Arial"/>
          <w:bCs/>
          <w:color w:val="000000" w:themeColor="text1"/>
          <w:sz w:val="22"/>
          <w:szCs w:val="22"/>
          <w:lang w:eastAsia="es-CO"/>
        </w:rPr>
        <w:t xml:space="preserve">En el mismo sentido, </w:t>
      </w:r>
      <w:bookmarkStart w:id="9" w:name="_Hlk88117457"/>
      <w:r w:rsidR="000077D0" w:rsidRPr="004E4581">
        <w:rPr>
          <w:rFonts w:ascii="Arial" w:hAnsi="Arial" w:cs="Arial"/>
          <w:bCs/>
          <w:color w:val="000000" w:themeColor="text1"/>
          <w:sz w:val="22"/>
          <w:szCs w:val="22"/>
          <w:lang w:eastAsia="es-CO"/>
        </w:rPr>
        <w:t xml:space="preserve">la Ley 996 de 2005 </w:t>
      </w:r>
      <w:r w:rsidR="0030575F" w:rsidRPr="00720382">
        <w:rPr>
          <w:rFonts w:ascii="Arial" w:eastAsia="Calibri" w:hAnsi="Arial" w:cs="Arial"/>
          <w:color w:val="000000" w:themeColor="text1"/>
          <w:sz w:val="22"/>
          <w:szCs w:val="22"/>
          <w:lang w:eastAsia="en-US"/>
        </w:rPr>
        <w:t>«</w:t>
      </w:r>
      <w:r w:rsidR="0030575F" w:rsidRPr="004E4581">
        <w:rPr>
          <w:rStyle w:val="Textoennegrita"/>
          <w:rFonts w:ascii="Arial" w:hAnsi="Arial" w:cs="Arial"/>
          <w:b w:val="0"/>
          <w:color w:val="000000" w:themeColor="text1"/>
          <w:sz w:val="22"/>
          <w:szCs w:val="22"/>
          <w:shd w:val="clear" w:color="auto" w:fill="FFFFFF"/>
        </w:rPr>
        <w:t xml:space="preserve">Por medio de la cual se reglamenta la elección de Presidente de la República, de conformidad con el artículo 152 literal f) de la Constitución Política de Colombia, y de acuerdo con lo establecido en el Acto Legislativo </w:t>
      </w:r>
      <w:r w:rsidR="0030575F" w:rsidRPr="004E4581">
        <w:rPr>
          <w:rStyle w:val="Textoennegrita"/>
          <w:rFonts w:ascii="Arial" w:hAnsi="Arial" w:cs="Arial"/>
          <w:b w:val="0"/>
          <w:color w:val="000000" w:themeColor="text1"/>
          <w:sz w:val="22"/>
          <w:szCs w:val="22"/>
          <w:shd w:val="clear" w:color="auto" w:fill="FFFFFF"/>
        </w:rPr>
        <w:lastRenderedPageBreak/>
        <w:t>02 de 2004, y se dictan otras disposiciones</w:t>
      </w:r>
      <w:r w:rsidR="00917720" w:rsidRPr="004E4581">
        <w:rPr>
          <w:rFonts w:ascii="Arial" w:eastAsia="Calibri" w:hAnsi="Arial" w:cs="Arial"/>
          <w:bCs/>
          <w:color w:val="000000" w:themeColor="text1"/>
          <w:sz w:val="22"/>
          <w:szCs w:val="22"/>
          <w:lang w:eastAsia="en-US"/>
        </w:rPr>
        <w:t>»,</w:t>
      </w:r>
      <w:r w:rsidR="0030575F" w:rsidRPr="004E4581">
        <w:rPr>
          <w:rStyle w:val="Textoennegrita"/>
          <w:rFonts w:ascii="Arial" w:hAnsi="Arial" w:cs="Arial"/>
          <w:color w:val="000000" w:themeColor="text1"/>
          <w:sz w:val="22"/>
          <w:szCs w:val="22"/>
          <w:shd w:val="clear" w:color="auto" w:fill="FFFFFF"/>
        </w:rPr>
        <w:t xml:space="preserve"> </w:t>
      </w:r>
      <w:r w:rsidR="000077D0" w:rsidRPr="004E4581">
        <w:rPr>
          <w:rFonts w:ascii="Arial" w:hAnsi="Arial" w:cs="Arial"/>
          <w:bCs/>
          <w:color w:val="000000" w:themeColor="text1"/>
          <w:sz w:val="22"/>
          <w:szCs w:val="22"/>
          <w:lang w:eastAsia="es-CO"/>
        </w:rPr>
        <w:t xml:space="preserve">se suma al andamiaje de orden constitucional y legal que se </w:t>
      </w:r>
      <w:r w:rsidRPr="004E4581">
        <w:rPr>
          <w:rFonts w:ascii="Arial" w:hAnsi="Arial" w:cs="Arial"/>
          <w:bCs/>
          <w:color w:val="000000" w:themeColor="text1"/>
          <w:sz w:val="22"/>
          <w:szCs w:val="22"/>
          <w:lang w:eastAsia="es-CO"/>
        </w:rPr>
        <w:t xml:space="preserve">ocupa </w:t>
      </w:r>
      <w:r w:rsidR="000077D0" w:rsidRPr="004E4581">
        <w:rPr>
          <w:rFonts w:ascii="Arial" w:hAnsi="Arial" w:cs="Arial"/>
          <w:bCs/>
          <w:color w:val="000000" w:themeColor="text1"/>
          <w:sz w:val="22"/>
          <w:szCs w:val="22"/>
          <w:lang w:eastAsia="es-CO"/>
        </w:rPr>
        <w:t>de evitar la injerencia de intereses particulares en el ejercicio de la función pública</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w:t>
      </w:r>
      <w:r w:rsidR="002A3132" w:rsidRPr="004E4581">
        <w:rPr>
          <w:rFonts w:ascii="Arial" w:hAnsi="Arial" w:cs="Arial"/>
          <w:bCs/>
          <w:color w:val="000000" w:themeColor="text1"/>
          <w:sz w:val="22"/>
          <w:szCs w:val="22"/>
          <w:lang w:eastAsia="es-CO"/>
        </w:rPr>
        <w:t>R</w:t>
      </w:r>
      <w:r w:rsidR="000077D0" w:rsidRPr="004E4581">
        <w:rPr>
          <w:rFonts w:ascii="Arial" w:hAnsi="Arial" w:cs="Arial"/>
          <w:bCs/>
          <w:color w:val="000000" w:themeColor="text1"/>
          <w:sz w:val="22"/>
          <w:szCs w:val="22"/>
          <w:lang w:eastAsia="es-CO"/>
        </w:rPr>
        <w:t xml:space="preserve">especto a su finalidad, </w:t>
      </w:r>
      <w:r w:rsidR="002A3132" w:rsidRPr="004E4581">
        <w:rPr>
          <w:rFonts w:ascii="Arial" w:hAnsi="Arial" w:cs="Arial"/>
          <w:bCs/>
          <w:color w:val="000000" w:themeColor="text1"/>
          <w:sz w:val="22"/>
          <w:szCs w:val="22"/>
          <w:lang w:eastAsia="es-CO"/>
        </w:rPr>
        <w:t>conforme a</w:t>
      </w:r>
      <w:r w:rsidR="000077D0" w:rsidRPr="004E4581">
        <w:rPr>
          <w:rFonts w:ascii="Arial" w:hAnsi="Arial" w:cs="Arial"/>
          <w:bCs/>
          <w:color w:val="000000" w:themeColor="text1"/>
          <w:sz w:val="22"/>
          <w:szCs w:val="22"/>
          <w:lang w:eastAsia="es-CO"/>
        </w:rPr>
        <w:t xml:space="preserve"> la Gaceta del Congreso de la República No. 71 del 2005</w:t>
      </w:r>
      <w:r w:rsidR="002A3132" w:rsidRPr="004E4581">
        <w:rPr>
          <w:rFonts w:ascii="Arial" w:hAnsi="Arial" w:cs="Arial"/>
          <w:bCs/>
          <w:color w:val="000000" w:themeColor="text1"/>
          <w:sz w:val="22"/>
          <w:szCs w:val="22"/>
          <w:lang w:eastAsia="es-CO"/>
        </w:rPr>
        <w:t>,</w:t>
      </w:r>
      <w:r w:rsidR="000077D0" w:rsidRPr="004E4581">
        <w:rPr>
          <w:rFonts w:ascii="Arial" w:hAnsi="Arial" w:cs="Arial"/>
          <w:bCs/>
          <w:color w:val="000000" w:themeColor="text1"/>
          <w:sz w:val="22"/>
          <w:szCs w:val="22"/>
          <w:lang w:eastAsia="es-CO"/>
        </w:rPr>
        <w:t xml:space="preserve"> tiene como propósito evitar cualquier tipo de arbitrariedad, de ventaja injustificada, de uso irregular de los recursos del Estado en las campañas o falta de garantías en la elección </w:t>
      </w:r>
      <w:r w:rsidR="00B02668" w:rsidRPr="004E4581">
        <w:rPr>
          <w:rFonts w:ascii="Arial" w:hAnsi="Arial" w:cs="Arial"/>
          <w:bCs/>
          <w:color w:val="000000" w:themeColor="text1"/>
          <w:sz w:val="22"/>
          <w:szCs w:val="22"/>
          <w:lang w:eastAsia="es-CO"/>
        </w:rPr>
        <w:t>presidencial, introduciendo</w:t>
      </w:r>
      <w:r w:rsidR="000077D0" w:rsidRPr="004E4581">
        <w:rPr>
          <w:rFonts w:ascii="Arial" w:hAnsi="Arial" w:cs="Arial"/>
          <w:bCs/>
          <w:color w:val="000000" w:themeColor="text1"/>
          <w:sz w:val="22"/>
          <w:szCs w:val="22"/>
          <w:lang w:eastAsia="es-CO"/>
        </w:rPr>
        <w:t xml:space="preserve"> limitaciones para realizar nombramientos, postulaciones, contrataciones o cualquier otro tipo de actividad que implique destinación de recursos públicos.</w:t>
      </w:r>
      <w:r w:rsidR="000077D0" w:rsidRPr="004E4581">
        <w:rPr>
          <w:rFonts w:ascii="Arial" w:eastAsia="Calibri" w:hAnsi="Arial" w:cs="Arial"/>
          <w:noProof/>
          <w:color w:val="000000" w:themeColor="text1"/>
          <w:sz w:val="22"/>
          <w:szCs w:val="22"/>
          <w:lang w:val="es-ES_tradnl"/>
        </w:rPr>
        <w:t xml:space="preserve"> </w:t>
      </w:r>
      <w:bookmarkEnd w:id="9"/>
      <w:r w:rsidR="000077D0" w:rsidRPr="004E4581">
        <w:rPr>
          <w:rFonts w:ascii="Arial" w:hAnsi="Arial" w:cs="Arial"/>
          <w:bCs/>
          <w:color w:val="000000" w:themeColor="text1"/>
          <w:sz w:val="22"/>
          <w:szCs w:val="22"/>
          <w:lang w:eastAsia="es-CO"/>
        </w:rPr>
        <w:t xml:space="preserve">En armonía con lo anterior, la Corte Constitucional </w:t>
      </w:r>
      <w:r w:rsidR="006042CD" w:rsidRPr="004E4581">
        <w:rPr>
          <w:rFonts w:ascii="Arial" w:hAnsi="Arial" w:cs="Arial"/>
          <w:bCs/>
          <w:color w:val="000000" w:themeColor="text1"/>
          <w:sz w:val="22"/>
          <w:szCs w:val="22"/>
          <w:lang w:eastAsia="es-CO"/>
        </w:rPr>
        <w:t xml:space="preserve">–en la Sentencia C-1153 de 2005– </w:t>
      </w:r>
      <w:r w:rsidR="000A7C27">
        <w:rPr>
          <w:rFonts w:ascii="Arial" w:hAnsi="Arial" w:cs="Arial"/>
          <w:bCs/>
          <w:color w:val="000000" w:themeColor="text1"/>
          <w:sz w:val="22"/>
          <w:szCs w:val="22"/>
          <w:lang w:eastAsia="es-CO"/>
        </w:rPr>
        <w:t>estableció lo siguiente</w:t>
      </w:r>
      <w:r w:rsidR="000077D0" w:rsidRPr="004E4581">
        <w:rPr>
          <w:rFonts w:ascii="Arial" w:hAnsi="Arial" w:cs="Arial"/>
          <w:bCs/>
          <w:color w:val="000000" w:themeColor="text1"/>
          <w:sz w:val="22"/>
          <w:szCs w:val="22"/>
          <w:lang w:eastAsia="es-CO"/>
        </w:rPr>
        <w:t>:</w:t>
      </w:r>
    </w:p>
    <w:p w14:paraId="10F8D327" w14:textId="77777777" w:rsidR="000077D0" w:rsidRPr="004E4581" w:rsidRDefault="000077D0" w:rsidP="006B3EB4">
      <w:pPr>
        <w:ind w:right="709"/>
        <w:jc w:val="both"/>
        <w:rPr>
          <w:rFonts w:ascii="Arial" w:hAnsi="Arial" w:cs="Arial"/>
          <w:color w:val="000000" w:themeColor="text1"/>
          <w:sz w:val="21"/>
          <w:szCs w:val="21"/>
          <w:lang w:val="es-ES" w:eastAsia="es-CO"/>
        </w:rPr>
      </w:pPr>
    </w:p>
    <w:p w14:paraId="4F9602B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4E4581" w:rsidRDefault="000077D0" w:rsidP="006B3EB4">
      <w:pPr>
        <w:ind w:left="709" w:right="709"/>
        <w:jc w:val="both"/>
        <w:rPr>
          <w:rFonts w:ascii="Arial" w:hAnsi="Arial" w:cs="Arial"/>
          <w:bCs/>
          <w:color w:val="000000" w:themeColor="text1"/>
          <w:sz w:val="21"/>
          <w:szCs w:val="21"/>
          <w:lang w:eastAsia="es-CO"/>
        </w:rPr>
      </w:pPr>
    </w:p>
    <w:p w14:paraId="080C6A96" w14:textId="00DC5B3F" w:rsidR="000077D0" w:rsidRPr="004E4581" w:rsidRDefault="000077D0" w:rsidP="006B3EB4">
      <w:pPr>
        <w:spacing w:line="276" w:lineRule="auto"/>
        <w:ind w:firstLine="709"/>
        <w:jc w:val="both"/>
        <w:rPr>
          <w:rFonts w:ascii="Arial" w:hAnsi="Arial" w:cs="Arial"/>
          <w:bCs/>
          <w:color w:val="000000" w:themeColor="text1"/>
          <w:sz w:val="22"/>
          <w:lang w:eastAsia="es-CO"/>
        </w:rPr>
      </w:pPr>
      <w:bookmarkStart w:id="10" w:name="_Hlk80948265"/>
      <w:r w:rsidRPr="004E4581">
        <w:rPr>
          <w:rFonts w:ascii="Arial" w:hAnsi="Arial" w:cs="Arial"/>
          <w:bCs/>
          <w:color w:val="000000" w:themeColor="text1"/>
          <w:sz w:val="22"/>
          <w:lang w:eastAsia="es-CO"/>
        </w:rPr>
        <w:t>Siguiendo</w:t>
      </w:r>
      <w:r w:rsidR="00974B94" w:rsidRPr="004E4581">
        <w:rPr>
          <w:rFonts w:ascii="Arial" w:hAnsi="Arial" w:cs="Arial"/>
          <w:bCs/>
          <w:color w:val="000000" w:themeColor="text1"/>
          <w:sz w:val="22"/>
          <w:lang w:eastAsia="es-CO"/>
        </w:rPr>
        <w:t xml:space="preserve"> esta línea</w:t>
      </w:r>
      <w:r w:rsidRPr="004E4581">
        <w:rPr>
          <w:rFonts w:ascii="Arial" w:hAnsi="Arial" w:cs="Arial"/>
          <w:bCs/>
          <w:color w:val="000000" w:themeColor="text1"/>
          <w:sz w:val="22"/>
          <w:lang w:eastAsia="es-CO"/>
        </w:rPr>
        <w:t>, la Ley de Garantías Electorales establece el marco jurídico para el desarrollo de las elecciones, procurando condiciones de igualdad y transparencia para los aspirantes</w:t>
      </w:r>
      <w:r w:rsidR="00900A23">
        <w:rPr>
          <w:rFonts w:ascii="Arial" w:hAnsi="Arial" w:cs="Arial"/>
          <w:bCs/>
          <w:color w:val="000000" w:themeColor="text1"/>
          <w:sz w:val="22"/>
          <w:lang w:eastAsia="es-CO"/>
        </w:rPr>
        <w:t>,</w:t>
      </w:r>
      <w:r w:rsidRPr="004E4581">
        <w:rPr>
          <w:rFonts w:ascii="Arial" w:hAnsi="Arial" w:cs="Arial"/>
          <w:bCs/>
          <w:color w:val="000000" w:themeColor="text1"/>
          <w:sz w:val="22"/>
          <w:lang w:eastAsia="es-CO"/>
        </w:rPr>
        <w:t xml:space="preserve"> </w:t>
      </w:r>
      <w:r w:rsidR="00692FCD" w:rsidRPr="004E4581">
        <w:rPr>
          <w:rFonts w:ascii="Arial" w:hAnsi="Arial" w:cs="Arial"/>
          <w:bCs/>
          <w:color w:val="000000" w:themeColor="text1"/>
          <w:sz w:val="22"/>
          <w:lang w:eastAsia="es-CO"/>
        </w:rPr>
        <w:t>al tiempo que</w:t>
      </w:r>
      <w:r w:rsidRPr="004E4581">
        <w:rPr>
          <w:rFonts w:ascii="Arial" w:hAnsi="Arial" w:cs="Arial"/>
          <w:bCs/>
          <w:color w:val="000000" w:themeColor="text1"/>
          <w:sz w:val="22"/>
          <w:lang w:eastAsia="es-CO"/>
        </w:rPr>
        <w:t xml:space="preserve"> incluye restricciones en el actuar de los servidores públicos, evitando interferencias en la contienda electoral, así como la posible desviación de recursos públicos en aspiraciones electorales.</w:t>
      </w:r>
      <w:r w:rsidR="00DE771D" w:rsidRPr="004E4581">
        <w:rPr>
          <w:rFonts w:ascii="Arial" w:hAnsi="Arial" w:cs="Arial"/>
          <w:bCs/>
          <w:color w:val="000000" w:themeColor="text1"/>
          <w:sz w:val="22"/>
          <w:lang w:eastAsia="es-CO"/>
        </w:rPr>
        <w:t xml:space="preserve"> Incluso</w:t>
      </w:r>
      <w:r w:rsidRPr="004E4581">
        <w:rPr>
          <w:rFonts w:ascii="Arial" w:hAnsi="Arial" w:cs="Arial"/>
          <w:bCs/>
          <w:color w:val="000000" w:themeColor="text1"/>
          <w:sz w:val="22"/>
          <w:lang w:eastAsia="es-CO"/>
        </w:rPr>
        <w:t>, varias de las disposiciones de la Ley 996 de 2005, al contener normas prohibitivas, no admiten una interpretación amplia, sino que deben interpretarse restrictivamente.</w:t>
      </w:r>
      <w:bookmarkEnd w:id="10"/>
      <w:r w:rsidRPr="004E4581">
        <w:rPr>
          <w:rFonts w:ascii="Arial" w:hAnsi="Arial" w:cs="Arial"/>
          <w:bCs/>
          <w:color w:val="000000" w:themeColor="text1"/>
          <w:sz w:val="22"/>
          <w:lang w:eastAsia="es-CO"/>
        </w:rPr>
        <w:t xml:space="preserve"> En efecto, lo anterior fue indicado por la Sala de Consulta y Servicio Civil del Consejo de Estado</w:t>
      </w:r>
      <w:r w:rsidR="00885CDB">
        <w:rPr>
          <w:rFonts w:ascii="Arial" w:hAnsi="Arial" w:cs="Arial"/>
          <w:bCs/>
          <w:color w:val="000000" w:themeColor="text1"/>
          <w:sz w:val="22"/>
          <w:lang w:eastAsia="es-CO"/>
        </w:rPr>
        <w:t>,</w:t>
      </w:r>
      <w:r w:rsidRPr="004E4581">
        <w:rPr>
          <w:rFonts w:ascii="Arial" w:hAnsi="Arial" w:cs="Arial"/>
          <w:bCs/>
          <w:color w:val="000000" w:themeColor="text1"/>
          <w:sz w:val="22"/>
          <w:lang w:eastAsia="es-CO"/>
        </w:rPr>
        <w:t xml:space="preserve"> al </w:t>
      </w:r>
      <w:r w:rsidR="00B40D1D" w:rsidRPr="004E4581">
        <w:rPr>
          <w:rFonts w:ascii="Arial" w:hAnsi="Arial" w:cs="Arial"/>
          <w:bCs/>
          <w:color w:val="000000" w:themeColor="text1"/>
          <w:sz w:val="22"/>
          <w:lang w:eastAsia="es-CO"/>
        </w:rPr>
        <w:t>precisa</w:t>
      </w:r>
      <w:r w:rsidR="003D0A1F" w:rsidRPr="004E4581">
        <w:rPr>
          <w:rFonts w:ascii="Arial" w:hAnsi="Arial" w:cs="Arial"/>
          <w:bCs/>
          <w:color w:val="000000" w:themeColor="text1"/>
          <w:sz w:val="22"/>
          <w:lang w:eastAsia="es-CO"/>
        </w:rPr>
        <w:t>r</w:t>
      </w:r>
      <w:r w:rsidR="00B40D1D" w:rsidRPr="004E4581">
        <w:rPr>
          <w:rFonts w:ascii="Arial" w:hAnsi="Arial" w:cs="Arial"/>
          <w:bCs/>
          <w:color w:val="000000" w:themeColor="text1"/>
          <w:sz w:val="22"/>
          <w:lang w:eastAsia="es-CO"/>
        </w:rPr>
        <w:t xml:space="preserve"> que</w:t>
      </w:r>
      <w:r w:rsidRPr="004E4581">
        <w:rPr>
          <w:rFonts w:ascii="Arial" w:hAnsi="Arial" w:cs="Arial"/>
          <w:bCs/>
          <w:color w:val="000000" w:themeColor="text1"/>
          <w:sz w:val="22"/>
          <w:lang w:eastAsia="es-CO"/>
        </w:rPr>
        <w:t>:</w:t>
      </w:r>
    </w:p>
    <w:p w14:paraId="5F619F1C" w14:textId="77777777" w:rsidR="000077D0" w:rsidRPr="004E4581" w:rsidRDefault="000077D0" w:rsidP="006B3EB4">
      <w:pPr>
        <w:ind w:firstLine="709"/>
        <w:jc w:val="both"/>
        <w:rPr>
          <w:rFonts w:ascii="Arial" w:hAnsi="Arial" w:cs="Arial"/>
          <w:bCs/>
          <w:color w:val="000000" w:themeColor="text1"/>
          <w:sz w:val="22"/>
          <w:lang w:eastAsia="es-CO"/>
        </w:rPr>
      </w:pPr>
    </w:p>
    <w:p w14:paraId="3F21CBDD"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E4581">
        <w:rPr>
          <w:rFonts w:ascii="Arial" w:hAnsi="Arial" w:cs="Arial"/>
          <w:bCs/>
          <w:color w:val="000000" w:themeColor="text1"/>
          <w:sz w:val="21"/>
          <w:szCs w:val="21"/>
          <w:lang w:eastAsia="es-CO"/>
        </w:rPr>
        <w:t>legis</w:t>
      </w:r>
      <w:proofErr w:type="spellEnd"/>
      <w:r w:rsidRPr="004E4581">
        <w:rPr>
          <w:rFonts w:ascii="Arial"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4E4581" w:rsidRDefault="000077D0" w:rsidP="006B3EB4">
      <w:pPr>
        <w:ind w:left="709" w:right="709" w:firstLine="709"/>
        <w:jc w:val="both"/>
        <w:rPr>
          <w:rFonts w:ascii="Arial" w:hAnsi="Arial" w:cs="Arial"/>
          <w:bCs/>
          <w:color w:val="000000" w:themeColor="text1"/>
          <w:sz w:val="21"/>
          <w:szCs w:val="21"/>
          <w:lang w:eastAsia="es-CO"/>
        </w:rPr>
      </w:pPr>
    </w:p>
    <w:p w14:paraId="47E4EDD2" w14:textId="77777777" w:rsidR="000077D0" w:rsidRPr="004E4581" w:rsidRDefault="000077D0" w:rsidP="006B3EB4">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lastRenderedPageBreak/>
        <w:t>La jurisprudencia de la Corte Constitucional</w:t>
      </w:r>
      <w:r w:rsidRPr="004E4581">
        <w:rPr>
          <w:rStyle w:val="Refdenotaalpie"/>
          <w:rFonts w:ascii="Arial" w:hAnsi="Arial" w:cs="Arial"/>
          <w:bCs/>
          <w:color w:val="000000" w:themeColor="text1"/>
          <w:sz w:val="21"/>
          <w:szCs w:val="21"/>
          <w:lang w:eastAsia="es-CO"/>
        </w:rPr>
        <w:footnoteReference w:id="3"/>
      </w:r>
      <w:r w:rsidRPr="004E4581">
        <w:rPr>
          <w:rFonts w:ascii="Arial" w:hAnsi="Arial" w:cs="Arial"/>
          <w:bCs/>
          <w:color w:val="000000" w:themeColor="text1"/>
          <w:sz w:val="21"/>
          <w:szCs w:val="21"/>
          <w:lang w:eastAsia="es-CO"/>
        </w:rPr>
        <w:t> y del Consejo de Estado</w:t>
      </w:r>
      <w:r w:rsidRPr="004E4581">
        <w:rPr>
          <w:rStyle w:val="Refdenotaalpie"/>
          <w:rFonts w:ascii="Arial" w:hAnsi="Arial" w:cs="Arial"/>
          <w:bCs/>
          <w:color w:val="000000" w:themeColor="text1"/>
          <w:sz w:val="21"/>
          <w:szCs w:val="21"/>
          <w:lang w:eastAsia="es-CO"/>
        </w:rPr>
        <w:footnoteReference w:id="4"/>
      </w:r>
      <w:r w:rsidRPr="004E4581">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E4581">
        <w:rPr>
          <w:rStyle w:val="Refdenotaalpie"/>
          <w:rFonts w:ascii="Arial" w:hAnsi="Arial" w:cs="Arial"/>
          <w:bCs/>
          <w:color w:val="000000" w:themeColor="text1"/>
          <w:sz w:val="22"/>
          <w:lang w:eastAsia="es-CO"/>
        </w:rPr>
        <w:footnoteReference w:id="5"/>
      </w:r>
      <w:r w:rsidRPr="004E4581">
        <w:rPr>
          <w:rFonts w:ascii="Arial" w:hAnsi="Arial" w:cs="Arial"/>
          <w:bCs/>
          <w:color w:val="000000" w:themeColor="text1"/>
          <w:sz w:val="21"/>
          <w:szCs w:val="21"/>
          <w:lang w:eastAsia="es-CO"/>
        </w:rPr>
        <w:t>.</w:t>
      </w:r>
    </w:p>
    <w:p w14:paraId="34847625" w14:textId="77777777" w:rsidR="000077D0" w:rsidRPr="004E4581" w:rsidRDefault="000077D0" w:rsidP="006B3EB4">
      <w:pPr>
        <w:spacing w:line="276" w:lineRule="auto"/>
        <w:ind w:right="709"/>
        <w:jc w:val="both"/>
        <w:rPr>
          <w:rFonts w:ascii="Arial" w:hAnsi="Arial" w:cs="Arial"/>
          <w:bCs/>
          <w:color w:val="000000" w:themeColor="text1"/>
          <w:sz w:val="22"/>
          <w:szCs w:val="22"/>
          <w:lang w:eastAsia="es-CO"/>
        </w:rPr>
      </w:pPr>
    </w:p>
    <w:p w14:paraId="15312F99" w14:textId="06C6C2B4" w:rsidR="00917720" w:rsidRPr="004E4581" w:rsidRDefault="000077D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4E4581">
        <w:rPr>
          <w:rFonts w:ascii="Arial" w:eastAsia="Arial" w:hAnsi="Arial" w:cs="Arial"/>
          <w:color w:val="000000" w:themeColor="text1"/>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12282080" w14:textId="77777777" w:rsidR="00917720" w:rsidRPr="004E4581" w:rsidRDefault="0091772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p>
    <w:p w14:paraId="1968701E" w14:textId="77777777" w:rsidR="00917720" w:rsidRPr="004E4581" w:rsidRDefault="00917720" w:rsidP="00917720">
      <w:pPr>
        <w:spacing w:after="200" w:line="276" w:lineRule="auto"/>
        <w:jc w:val="both"/>
        <w:rPr>
          <w:rFonts w:ascii="Arial" w:hAnsi="Arial" w:cs="Arial"/>
          <w:b/>
          <w:bCs/>
          <w:color w:val="000000" w:themeColor="text1"/>
          <w:sz w:val="22"/>
          <w:szCs w:val="22"/>
          <w:lang w:val="es-MX" w:eastAsia="es-CO"/>
        </w:rPr>
      </w:pPr>
      <w:r w:rsidRPr="004E4581">
        <w:rPr>
          <w:rFonts w:ascii="Arial" w:eastAsia="Calibri" w:hAnsi="Arial" w:cs="Arial"/>
          <w:b/>
          <w:bCs/>
          <w:color w:val="000000" w:themeColor="text1"/>
          <w:sz w:val="22"/>
          <w:szCs w:val="22"/>
          <w:lang w:eastAsia="en-US"/>
        </w:rPr>
        <w:t>2.2. Determinación de las restricciones según el tipo de elecciones</w:t>
      </w:r>
    </w:p>
    <w:p w14:paraId="1EBAC8EA" w14:textId="3A7C8ECF" w:rsidR="00917720" w:rsidRPr="004E4581" w:rsidRDefault="001459D2" w:rsidP="00530DFE">
      <w:pPr>
        <w:spacing w:after="120" w:line="276" w:lineRule="auto"/>
        <w:jc w:val="both"/>
        <w:rPr>
          <w:rFonts w:ascii="Arial" w:eastAsia="Calibri" w:hAnsi="Arial" w:cs="Arial"/>
          <w:color w:val="000000" w:themeColor="text1"/>
          <w:sz w:val="22"/>
          <w:szCs w:val="22"/>
          <w:lang w:eastAsia="en-US"/>
        </w:rPr>
      </w:pPr>
      <w:r>
        <w:rPr>
          <w:rFonts w:ascii="Arial" w:hAnsi="Arial" w:cs="Arial"/>
          <w:bCs/>
          <w:color w:val="000000" w:themeColor="text1"/>
          <w:sz w:val="22"/>
          <w:szCs w:val="22"/>
          <w:lang w:val="es-MX" w:eastAsia="es-CO"/>
        </w:rPr>
        <w:t xml:space="preserve">De acuerdo con lo indicado anteriormente, </w:t>
      </w:r>
      <w:bookmarkStart w:id="11" w:name="_Hlk79762232"/>
      <w:bookmarkStart w:id="12" w:name="_Hlk77152787"/>
      <w:r>
        <w:rPr>
          <w:rFonts w:ascii="Arial" w:eastAsia="Calibri" w:hAnsi="Arial" w:cs="Arial"/>
          <w:color w:val="000000" w:themeColor="text1"/>
          <w:sz w:val="22"/>
          <w:szCs w:val="22"/>
          <w:lang w:eastAsia="en-US"/>
        </w:rPr>
        <w:t>p</w:t>
      </w:r>
      <w:r w:rsidR="00917720" w:rsidRPr="004E4581">
        <w:rPr>
          <w:rFonts w:ascii="Arial" w:eastAsia="Calibri" w:hAnsi="Arial" w:cs="Arial"/>
          <w:color w:val="000000" w:themeColor="text1"/>
          <w:sz w:val="22"/>
          <w:szCs w:val="22"/>
          <w:lang w:eastAsia="en-US"/>
        </w:rPr>
        <w:t xml:space="preserve">or una parte, </w:t>
      </w:r>
      <w:bookmarkStart w:id="13" w:name="_Hlk77153051"/>
      <w:r w:rsidR="00917720" w:rsidRPr="004E4581">
        <w:rPr>
          <w:rFonts w:ascii="Arial" w:eastAsia="Calibri" w:hAnsi="Arial" w:cs="Arial"/>
          <w:color w:val="000000" w:themeColor="text1"/>
          <w:sz w:val="22"/>
          <w:szCs w:val="22"/>
          <w:lang w:eastAsia="en-US"/>
        </w:rPr>
        <w:t xml:space="preserve">el artículo 33 de la Ley 996 de 2005 establece una prohibición que impide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la contratación directa por parte de todos los entes del Estado</w:t>
      </w:r>
      <w:r w:rsidR="00917720" w:rsidRPr="004E4581">
        <w:rPr>
          <w:rFonts w:ascii="Arial" w:eastAsia="Calibri" w:hAnsi="Arial" w:cs="Arial"/>
          <w:bCs/>
          <w:color w:val="000000" w:themeColor="text1"/>
          <w:sz w:val="22"/>
          <w:szCs w:val="22"/>
          <w:lang w:eastAsia="en-US"/>
        </w:rPr>
        <w:t>»</w:t>
      </w:r>
      <w:r w:rsidR="00917720" w:rsidRPr="004E4581">
        <w:rPr>
          <w:rFonts w:ascii="Arial" w:eastAsia="Calibri" w:hAnsi="Arial" w:cs="Arial"/>
          <w:color w:val="000000" w:themeColor="text1"/>
          <w:sz w:val="22"/>
          <w:szCs w:val="22"/>
          <w:lang w:eastAsia="en-US"/>
        </w:rPr>
        <w:t xml:space="preserve"> durante los cuatro (4) meses anteriores a las elecciones presidenciales, salvo </w:t>
      </w:r>
      <w:r w:rsidR="00917720" w:rsidRPr="004E4581">
        <w:rPr>
          <w:rFonts w:ascii="Arial" w:eastAsia="Calibri" w:hAnsi="Arial" w:cs="Arial"/>
          <w:bCs/>
          <w:color w:val="000000" w:themeColor="text1"/>
          <w:sz w:val="22"/>
          <w:szCs w:val="22"/>
          <w:lang w:eastAsia="en-US"/>
        </w:rPr>
        <w:t xml:space="preserve">«[…] </w:t>
      </w:r>
      <w:r w:rsidR="00917720" w:rsidRPr="004E4581">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917720" w:rsidRPr="004E4581">
        <w:rPr>
          <w:rFonts w:ascii="Arial" w:eastAsia="Calibri" w:hAnsi="Arial" w:cs="Arial"/>
          <w:bCs/>
          <w:color w:val="000000" w:themeColor="text1"/>
          <w:sz w:val="22"/>
          <w:szCs w:val="22"/>
          <w:lang w:eastAsia="en-US"/>
        </w:rPr>
        <w:t>»</w:t>
      </w:r>
      <w:bookmarkEnd w:id="11"/>
      <w:r w:rsidR="00917720" w:rsidRPr="004E4581">
        <w:rPr>
          <w:rFonts w:ascii="Arial" w:eastAsia="Calibri" w:hAnsi="Arial" w:cs="Arial"/>
          <w:bCs/>
          <w:color w:val="000000" w:themeColor="text1"/>
          <w:sz w:val="22"/>
          <w:szCs w:val="22"/>
          <w:vertAlign w:val="superscript"/>
          <w:lang w:eastAsia="en-US"/>
        </w:rPr>
        <w:footnoteReference w:id="6"/>
      </w:r>
      <w:r w:rsidR="00917720" w:rsidRPr="004E4581">
        <w:rPr>
          <w:rFonts w:ascii="Arial" w:eastAsia="Calibri" w:hAnsi="Arial" w:cs="Arial"/>
          <w:color w:val="000000" w:themeColor="text1"/>
          <w:sz w:val="22"/>
          <w:szCs w:val="22"/>
          <w:lang w:eastAsia="en-US"/>
        </w:rPr>
        <w:t>.</w:t>
      </w:r>
    </w:p>
    <w:p w14:paraId="5510D27B" w14:textId="24FF1AFC" w:rsidR="00917720" w:rsidRPr="004E4581" w:rsidRDefault="00917720" w:rsidP="00530DFE">
      <w:pPr>
        <w:spacing w:line="276" w:lineRule="auto"/>
        <w:ind w:firstLine="708"/>
        <w:jc w:val="both"/>
        <w:rPr>
          <w:rFonts w:ascii="Arial" w:eastAsia="Arial" w:hAnsi="Arial" w:cs="Arial"/>
          <w:color w:val="000000" w:themeColor="text1"/>
          <w:sz w:val="22"/>
          <w:szCs w:val="22"/>
          <w:lang w:val="es-ES" w:eastAsia="es-ES" w:bidi="es-ES"/>
        </w:rPr>
      </w:pPr>
      <w:bookmarkStart w:id="15" w:name="_Hlk79762276"/>
      <w:r w:rsidRPr="004E4581">
        <w:rPr>
          <w:rFonts w:ascii="Arial" w:eastAsia="Calibri" w:hAnsi="Arial" w:cs="Arial"/>
          <w:color w:val="000000" w:themeColor="text1"/>
          <w:sz w:val="22"/>
          <w:szCs w:val="22"/>
          <w:lang w:eastAsia="en-US"/>
        </w:rPr>
        <w:lastRenderedPageBreak/>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E4581">
        <w:rPr>
          <w:rFonts w:ascii="Arial" w:eastAsia="Calibri" w:hAnsi="Arial" w:cs="Arial"/>
          <w:bCs/>
          <w:color w:val="000000" w:themeColor="text1"/>
          <w:sz w:val="19"/>
          <w:szCs w:val="19"/>
          <w:lang w:eastAsia="en-US"/>
        </w:rPr>
        <w:t>»</w:t>
      </w:r>
      <w:r w:rsidRPr="004E4581">
        <w:rPr>
          <w:rFonts w:ascii="Arial" w:eastAsia="Calibri" w:hAnsi="Arial" w:cs="Arial"/>
          <w:bCs/>
          <w:color w:val="000000" w:themeColor="text1"/>
          <w:sz w:val="19"/>
          <w:szCs w:val="19"/>
          <w:vertAlign w:val="superscript"/>
          <w:lang w:eastAsia="en-US"/>
        </w:rPr>
        <w:footnoteReference w:id="7"/>
      </w:r>
      <w:r w:rsidRPr="004E4581">
        <w:rPr>
          <w:rFonts w:ascii="Arial" w:eastAsia="Calibri" w:hAnsi="Arial" w:cs="Arial"/>
          <w:color w:val="000000" w:themeColor="text1"/>
          <w:sz w:val="22"/>
          <w:szCs w:val="22"/>
          <w:lang w:val="es-MX" w:eastAsia="en-US"/>
        </w:rPr>
        <w:t>.</w:t>
      </w:r>
      <w:r w:rsidR="00900A23">
        <w:rPr>
          <w:rFonts w:ascii="Arial" w:eastAsia="Calibri" w:hAnsi="Arial" w:cs="Arial"/>
          <w:color w:val="000000" w:themeColor="text1"/>
          <w:sz w:val="22"/>
          <w:szCs w:val="22"/>
          <w:lang w:val="es-MX" w:eastAsia="en-US"/>
        </w:rPr>
        <w:t xml:space="preserve"> Teniendo en cuenta lo anterior, </w:t>
      </w:r>
      <w:bookmarkEnd w:id="12"/>
      <w:bookmarkEnd w:id="13"/>
      <w:bookmarkEnd w:id="15"/>
      <w:r w:rsidR="00900A23">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Sala de Consulta y Servicio Civil del Consejo de Estado ha aclarado la distinción en la aplicación de las prohibiciones de la Ley 996 de 2005, dependiendo del tipo de elección que se trate, así</w:t>
      </w:r>
      <w:r w:rsidRPr="004E4581">
        <w:rPr>
          <w:rFonts w:ascii="Arial" w:eastAsia="Arial" w:hAnsi="Arial" w:cs="Arial"/>
          <w:color w:val="000000" w:themeColor="text1"/>
          <w:sz w:val="21"/>
          <w:szCs w:val="21"/>
          <w:vertAlign w:val="superscript"/>
          <w:lang w:val="es-ES" w:eastAsia="es-ES" w:bidi="es-ES"/>
        </w:rPr>
        <w:footnoteReference w:id="8"/>
      </w:r>
      <w:r w:rsidRPr="004E4581">
        <w:rPr>
          <w:rFonts w:ascii="Arial" w:eastAsia="Arial" w:hAnsi="Arial" w:cs="Arial"/>
          <w:color w:val="000000" w:themeColor="text1"/>
          <w:sz w:val="22"/>
          <w:szCs w:val="22"/>
          <w:lang w:val="es-ES" w:eastAsia="es-ES" w:bidi="es-ES"/>
        </w:rPr>
        <w:t>:</w:t>
      </w:r>
    </w:p>
    <w:p w14:paraId="01678F88" w14:textId="77777777" w:rsidR="00917720" w:rsidRPr="004E4581" w:rsidRDefault="00917720">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7CF9F585" w14:textId="77777777" w:rsidR="00917720" w:rsidRPr="004E4581" w:rsidRDefault="00917720" w:rsidP="00530DFE">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4E4581">
        <w:rPr>
          <w:rFonts w:ascii="Arial" w:eastAsia="Arial" w:hAnsi="Arial" w:cs="Arial"/>
          <w:color w:val="000000" w:themeColor="text1"/>
          <w:sz w:val="21"/>
          <w:szCs w:val="21"/>
          <w:lang w:val="es-ES" w:eastAsia="es-ES" w:bidi="es-ES"/>
        </w:rPr>
        <w:t>se integran parcialmente</w:t>
      </w:r>
      <w:bookmarkEnd w:id="16"/>
      <w:r w:rsidRPr="004E4581">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E4581">
        <w:rPr>
          <w:rFonts w:ascii="Arial" w:eastAsia="Arial" w:hAnsi="Arial" w:cs="Arial"/>
          <w:bCs/>
          <w:i/>
          <w:i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E4581">
        <w:rPr>
          <w:rFonts w:ascii="Arial" w:eastAsia="Arial" w:hAnsi="Arial" w:cs="Arial"/>
          <w:color w:val="000000" w:themeColor="text1"/>
          <w:sz w:val="21"/>
          <w:szCs w:val="21"/>
          <w:lang w:val="es-ES" w:eastAsia="es-ES" w:bidi="es-ES"/>
        </w:rPr>
        <w:t>.</w:t>
      </w:r>
      <w:r w:rsidRPr="004E4581">
        <w:rPr>
          <w:rFonts w:ascii="Arial" w:eastAsia="Arial" w:hAnsi="Arial" w:cs="Arial"/>
          <w:color w:val="000000" w:themeColor="text1"/>
          <w:position w:val="8"/>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(Cursivas fuera de</w:t>
      </w:r>
      <w:r w:rsidRPr="004E4581">
        <w:rPr>
          <w:rFonts w:ascii="Arial" w:eastAsia="Arial" w:hAnsi="Arial" w:cs="Arial"/>
          <w:color w:val="000000" w:themeColor="text1"/>
          <w:spacing w:val="-42"/>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texto)</w:t>
      </w:r>
    </w:p>
    <w:p w14:paraId="1C4CFA76" w14:textId="77777777" w:rsidR="00917720" w:rsidRPr="004E4581" w:rsidRDefault="00917720" w:rsidP="00917720">
      <w:pPr>
        <w:widowControl w:val="0"/>
        <w:autoSpaceDE w:val="0"/>
        <w:autoSpaceDN w:val="0"/>
        <w:spacing w:before="8"/>
        <w:rPr>
          <w:rFonts w:ascii="Arial" w:eastAsia="Arial" w:hAnsi="Arial" w:cs="Arial"/>
          <w:color w:val="000000" w:themeColor="text1"/>
          <w:sz w:val="26"/>
          <w:szCs w:val="22"/>
          <w:lang w:eastAsia="es-ES" w:bidi="es-ES"/>
        </w:rPr>
      </w:pPr>
    </w:p>
    <w:p w14:paraId="6728635E" w14:textId="5079D183" w:rsidR="00E552DD" w:rsidRPr="000A0A18" w:rsidRDefault="00917720" w:rsidP="00530DFE">
      <w:pPr>
        <w:spacing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Por lo tanto, </w:t>
      </w:r>
      <w:bookmarkStart w:id="17" w:name="_Hlk75780333"/>
      <w:bookmarkStart w:id="18" w:name="_Hlk79762439"/>
      <w:r w:rsidRPr="004E4581">
        <w:rPr>
          <w:rFonts w:ascii="Arial" w:eastAsia="Arial" w:hAnsi="Arial" w:cs="Arial"/>
          <w:color w:val="000000" w:themeColor="text1"/>
          <w:sz w:val="22"/>
          <w:szCs w:val="22"/>
          <w:lang w:val="es-ES" w:eastAsia="es-ES" w:bidi="es-ES"/>
        </w:rPr>
        <w:t xml:space="preserve">la Ley 996 de 2005 regula dos tipos de restricciones en materia de contratación, </w:t>
      </w:r>
      <w:r w:rsidR="00C23926">
        <w:rPr>
          <w:rFonts w:ascii="Arial" w:eastAsia="Arial" w:hAnsi="Arial" w:cs="Arial"/>
          <w:color w:val="000000" w:themeColor="text1"/>
          <w:sz w:val="22"/>
          <w:szCs w:val="22"/>
          <w:lang w:val="es-ES" w:eastAsia="es-ES" w:bidi="es-ES"/>
        </w:rPr>
        <w:t>a saber</w:t>
      </w:r>
      <w:r w:rsidRPr="004E4581">
        <w:rPr>
          <w:rFonts w:ascii="Arial" w:eastAsia="Arial" w:hAnsi="Arial" w:cs="Arial"/>
          <w:color w:val="000000" w:themeColor="text1"/>
          <w:sz w:val="22"/>
          <w:szCs w:val="22"/>
          <w:lang w:val="es-ES" w:eastAsia="es-ES" w:bidi="es-ES"/>
        </w:rPr>
        <w:t xml:space="preserve">: i)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 xml:space="preserve">a del artículo 33 que opera solo respecto de las elecciones </w:t>
      </w:r>
      <w:r w:rsidRPr="004E4581">
        <w:rPr>
          <w:rFonts w:ascii="Arial" w:eastAsia="Arial" w:hAnsi="Arial" w:cs="Arial"/>
          <w:color w:val="000000" w:themeColor="text1"/>
          <w:sz w:val="22"/>
          <w:szCs w:val="22"/>
          <w:lang w:val="es-ES" w:eastAsia="es-ES" w:bidi="es-ES"/>
        </w:rPr>
        <w:lastRenderedPageBreak/>
        <w:t xml:space="preserve">presidenciales, en virtud de la cual queda proscrita </w:t>
      </w:r>
      <w:r w:rsidRPr="004E4581">
        <w:rPr>
          <w:rFonts w:ascii="Arial" w:eastAsia="Calibri" w:hAnsi="Arial" w:cs="Arial"/>
          <w:color w:val="000000" w:themeColor="text1"/>
          <w:sz w:val="22"/>
          <w:szCs w:val="22"/>
          <w:lang w:eastAsia="en-US"/>
        </w:rPr>
        <w:t xml:space="preserve">la </w:t>
      </w:r>
      <w:r w:rsidRPr="004E4581">
        <w:rPr>
          <w:rFonts w:ascii="Arial" w:eastAsia="Calibri" w:hAnsi="Arial" w:cs="Arial"/>
          <w:i/>
          <w:iCs/>
          <w:color w:val="000000" w:themeColor="text1"/>
          <w:sz w:val="22"/>
          <w:szCs w:val="22"/>
          <w:lang w:eastAsia="en-US"/>
        </w:rPr>
        <w:t>contratación directa</w:t>
      </w:r>
      <w:r w:rsidRPr="004E4581">
        <w:rPr>
          <w:rFonts w:ascii="Arial" w:eastAsia="Calibri" w:hAnsi="Arial" w:cs="Arial"/>
          <w:color w:val="000000" w:themeColor="text1"/>
          <w:sz w:val="22"/>
          <w:szCs w:val="22"/>
          <w:lang w:eastAsia="en-US"/>
        </w:rPr>
        <w:t xml:space="preserve"> por parte de todos los entes del Estado</w:t>
      </w:r>
      <w:r w:rsidR="00E552DD">
        <w:rPr>
          <w:rFonts w:ascii="Arial" w:eastAsia="Calibri" w:hAnsi="Arial" w:cs="Arial"/>
          <w:color w:val="000000" w:themeColor="text1"/>
          <w:sz w:val="22"/>
          <w:szCs w:val="22"/>
          <w:lang w:eastAsia="en-US"/>
        </w:rPr>
        <w:t>, independiente de su régimen jurídico,</w:t>
      </w:r>
      <w:r w:rsidRPr="004E4581">
        <w:rPr>
          <w:rFonts w:ascii="Arial" w:eastAsia="Arial" w:hAnsi="Arial" w:cs="Arial"/>
          <w:color w:val="000000" w:themeColor="text1"/>
          <w:sz w:val="22"/>
          <w:szCs w:val="22"/>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w:t>
      </w:r>
      <w:r w:rsidR="000A0A18">
        <w:rPr>
          <w:rFonts w:ascii="Arial" w:eastAsia="Arial" w:hAnsi="Arial" w:cs="Arial"/>
          <w:color w:val="000000" w:themeColor="text1"/>
          <w:sz w:val="22"/>
          <w:szCs w:val="22"/>
          <w:lang w:val="es-ES" w:eastAsia="es-ES" w:bidi="es-ES"/>
        </w:rPr>
        <w:t xml:space="preserve">e se realice esa segunda vuelta; y </w:t>
      </w:r>
      <w:r w:rsidRPr="004E4581">
        <w:rPr>
          <w:rFonts w:ascii="Arial" w:eastAsia="Arial" w:hAnsi="Arial" w:cs="Arial"/>
          <w:color w:val="000000" w:themeColor="text1"/>
          <w:sz w:val="22"/>
          <w:szCs w:val="22"/>
          <w:lang w:val="es-ES" w:eastAsia="es-ES" w:bidi="es-ES"/>
        </w:rPr>
        <w:t xml:space="preserve">ii) </w:t>
      </w:r>
      <w:r w:rsidR="001459D2">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r w:rsidR="001459D2">
        <w:rPr>
          <w:rFonts w:ascii="Arial" w:eastAsia="Arial" w:hAnsi="Arial" w:cs="Arial"/>
          <w:color w:val="000000" w:themeColor="text1"/>
          <w:sz w:val="22"/>
          <w:szCs w:val="22"/>
          <w:lang w:val="es-ES" w:eastAsia="es-ES" w:bidi="es-ES"/>
        </w:rPr>
        <w:t>, en relación con las autoridades señaladas en dicha disposición.</w:t>
      </w:r>
      <w:bookmarkEnd w:id="17"/>
      <w:bookmarkEnd w:id="18"/>
    </w:p>
    <w:p w14:paraId="137904BD" w14:textId="77777777" w:rsidR="00E552DD" w:rsidRDefault="00E552DD">
      <w:pPr>
        <w:widowControl w:val="0"/>
        <w:autoSpaceDE w:val="0"/>
        <w:autoSpaceDN w:val="0"/>
        <w:ind w:right="709"/>
        <w:jc w:val="both"/>
        <w:rPr>
          <w:rFonts w:ascii="Arial" w:eastAsia="Arial" w:hAnsi="Arial" w:cs="Arial"/>
          <w:color w:val="000000"/>
          <w:sz w:val="21"/>
          <w:szCs w:val="21"/>
          <w:lang w:val="es-ES" w:eastAsia="en-US"/>
        </w:rPr>
      </w:pPr>
    </w:p>
    <w:p w14:paraId="3C0EA746" w14:textId="77777777" w:rsidR="00B540D4" w:rsidRPr="004E4581" w:rsidRDefault="00B540D4" w:rsidP="00B540D4">
      <w:pPr>
        <w:spacing w:after="200" w:line="276" w:lineRule="auto"/>
        <w:jc w:val="both"/>
        <w:rPr>
          <w:rFonts w:ascii="Arial" w:hAnsi="Arial" w:cs="Arial"/>
          <w:b/>
          <w:bCs/>
          <w:color w:val="000000" w:themeColor="text1"/>
          <w:sz w:val="22"/>
          <w:szCs w:val="22"/>
          <w:lang w:val="es-MX" w:eastAsia="es-CO"/>
        </w:rPr>
      </w:pPr>
      <w:bookmarkStart w:id="19" w:name="_Hlk77153296"/>
      <w:r w:rsidRPr="004E4581">
        <w:rPr>
          <w:rFonts w:ascii="Arial" w:eastAsiaTheme="minorHAnsi" w:hAnsi="Arial" w:cs="Arial"/>
          <w:b/>
          <w:bCs/>
          <w:color w:val="000000" w:themeColor="text1"/>
          <w:sz w:val="22"/>
          <w:szCs w:val="22"/>
          <w:lang w:val="es-MX" w:eastAsia="en-US"/>
        </w:rPr>
        <w:t xml:space="preserve">2.3. </w:t>
      </w:r>
      <w:r w:rsidRPr="004E4581">
        <w:rPr>
          <w:rFonts w:ascii="Arial" w:hAnsi="Arial" w:cs="Arial"/>
          <w:b/>
          <w:bCs/>
          <w:color w:val="000000" w:themeColor="text1"/>
          <w:sz w:val="22"/>
          <w:szCs w:val="22"/>
          <w:lang w:val="es-MX" w:eastAsia="es-CO"/>
        </w:rPr>
        <w:t xml:space="preserve">Restricciones </w:t>
      </w:r>
      <w:bookmarkStart w:id="20" w:name="_Hlk75643279"/>
      <w:r w:rsidRPr="004E4581">
        <w:rPr>
          <w:rFonts w:ascii="Arial" w:hAnsi="Arial" w:cs="Arial"/>
          <w:b/>
          <w:bCs/>
          <w:color w:val="000000" w:themeColor="text1"/>
          <w:sz w:val="22"/>
          <w:szCs w:val="22"/>
          <w:lang w:val="es-MX" w:eastAsia="es-CO"/>
        </w:rPr>
        <w:t xml:space="preserve">para la celebración de contratos y convenios interadministrativos en los comicios de cargos de elección popular </w:t>
      </w:r>
    </w:p>
    <w:p w14:paraId="19340E09" w14:textId="18D309CC" w:rsidR="00B540D4" w:rsidRPr="004E4581" w:rsidRDefault="00B540D4" w:rsidP="00B540D4">
      <w:pPr>
        <w:spacing w:after="200" w:line="276" w:lineRule="auto"/>
        <w:jc w:val="both"/>
        <w:rPr>
          <w:rFonts w:ascii="Arial" w:eastAsiaTheme="minorHAnsi" w:hAnsi="Arial" w:cs="Arial"/>
          <w:color w:val="000000" w:themeColor="text1"/>
          <w:sz w:val="22"/>
          <w:szCs w:val="22"/>
          <w:lang w:val="es-MX" w:eastAsia="en-US"/>
        </w:rPr>
      </w:pPr>
      <w:r w:rsidRPr="004E4581">
        <w:rPr>
          <w:rFonts w:ascii="Arial" w:hAnsi="Arial" w:cs="Arial"/>
          <w:color w:val="000000" w:themeColor="text1"/>
          <w:sz w:val="22"/>
          <w:szCs w:val="22"/>
          <w:lang w:val="es-MX" w:eastAsia="es-CO"/>
        </w:rPr>
        <w:t>Esta Agencia se ha pronunciado en distintas ocasiones frente al alcance de la prohibición de celebrar contratos o convenios interadministrativos en el periodo preelectoral para comicio</w:t>
      </w:r>
      <w:r w:rsidR="009B7A5C">
        <w:rPr>
          <w:rFonts w:ascii="Arial" w:hAnsi="Arial" w:cs="Arial"/>
          <w:color w:val="000000" w:themeColor="text1"/>
          <w:sz w:val="22"/>
          <w:szCs w:val="22"/>
          <w:lang w:val="es-MX" w:eastAsia="es-CO"/>
        </w:rPr>
        <w:t>s de cargos de elección popular</w:t>
      </w:r>
      <w:r w:rsidR="0087367D">
        <w:rPr>
          <w:rFonts w:ascii="Arial" w:hAnsi="Arial" w:cs="Arial"/>
          <w:color w:val="000000" w:themeColor="text1"/>
          <w:sz w:val="22"/>
          <w:szCs w:val="22"/>
          <w:lang w:val="es-MX" w:eastAsia="es-CO"/>
        </w:rPr>
        <w:t>. Al respecto, conviene reiterar las siguientes ideas:</w:t>
      </w:r>
    </w:p>
    <w:bookmarkEnd w:id="19"/>
    <w:bookmarkEnd w:id="20"/>
    <w:p w14:paraId="7D0B2E6E" w14:textId="725EE1B2" w:rsidR="00B540D4" w:rsidRPr="004E4581" w:rsidRDefault="00B540D4" w:rsidP="00B540D4">
      <w:pPr>
        <w:jc w:val="both"/>
        <w:rPr>
          <w:rFonts w:ascii="Arial" w:eastAsia="Calibr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2.3.1. </w:t>
      </w:r>
      <w:r w:rsidR="00812457">
        <w:rPr>
          <w:rFonts w:ascii="Arial" w:eastAsia="Calibri" w:hAnsi="Arial" w:cs="Arial"/>
          <w:b/>
          <w:color w:val="000000" w:themeColor="text1"/>
          <w:sz w:val="22"/>
          <w:szCs w:val="22"/>
          <w:lang w:val="es-MX" w:eastAsia="en-US"/>
        </w:rPr>
        <w:t xml:space="preserve">Alcance del concepto de </w:t>
      </w:r>
      <w:r w:rsidR="00812457">
        <w:rPr>
          <w:rFonts w:ascii="Arial" w:hAnsi="Arial" w:cs="Arial"/>
          <w:b/>
          <w:bCs/>
          <w:color w:val="000000" w:themeColor="text1"/>
          <w:sz w:val="22"/>
          <w:szCs w:val="22"/>
          <w:lang w:val="es-MX" w:eastAsia="en-US"/>
        </w:rPr>
        <w:t>contratos y</w:t>
      </w:r>
      <w:r w:rsidRPr="004E4581">
        <w:rPr>
          <w:rFonts w:ascii="Arial" w:hAnsi="Arial" w:cs="Arial"/>
          <w:b/>
          <w:bCs/>
          <w:color w:val="000000" w:themeColor="text1"/>
          <w:sz w:val="22"/>
          <w:szCs w:val="22"/>
          <w:lang w:val="es-MX" w:eastAsia="en-US"/>
        </w:rPr>
        <w:t xml:space="preserve"> convenios interadministrativos</w:t>
      </w:r>
    </w:p>
    <w:p w14:paraId="310136E3" w14:textId="77777777" w:rsidR="00B540D4" w:rsidRPr="004E4581" w:rsidRDefault="00B540D4" w:rsidP="00B540D4">
      <w:pPr>
        <w:widowControl w:val="0"/>
        <w:autoSpaceDE w:val="0"/>
        <w:autoSpaceDN w:val="0"/>
        <w:spacing w:line="276" w:lineRule="auto"/>
        <w:jc w:val="both"/>
        <w:rPr>
          <w:rFonts w:ascii="Arial" w:eastAsia="Calibri" w:hAnsi="Arial" w:cs="Arial"/>
          <w:b/>
          <w:color w:val="000000" w:themeColor="text1"/>
          <w:sz w:val="22"/>
          <w:szCs w:val="22"/>
          <w:lang w:val="es-MX" w:eastAsia="en-US"/>
        </w:rPr>
      </w:pPr>
    </w:p>
    <w:p w14:paraId="16A35EEF" w14:textId="77777777" w:rsidR="00B540D4" w:rsidRDefault="00B540D4" w:rsidP="00B540D4">
      <w:pPr>
        <w:pStyle w:val="Textoindependiente"/>
        <w:spacing w:after="0"/>
        <w:ind w:right="113"/>
        <w:jc w:val="both"/>
        <w:rPr>
          <w:rFonts w:ascii="Arial" w:hAnsi="Arial" w:cs="Arial"/>
          <w:color w:val="000000" w:themeColor="text1"/>
        </w:rPr>
      </w:pPr>
      <w:bookmarkStart w:id="21" w:name="_Hlk67426494"/>
      <w:r w:rsidRPr="004E4581">
        <w:rPr>
          <w:rFonts w:ascii="Arial" w:hAnsi="Arial" w:cs="Arial"/>
          <w:color w:val="000000" w:themeColor="text1"/>
        </w:rPr>
        <w:t>Un contrato o una convención es un acuerdo de voluntades entre dos o más partes generadora de obligaciones, ya sea de dar, hacer o no hacer algo. Dicho acuerdo es ley para los extremos de la relación contractual, por lo que solo podrá ser invalidado por su consentimiento mutuo o por causas legales</w:t>
      </w:r>
      <w:r w:rsidRPr="004E4581">
        <w:rPr>
          <w:rStyle w:val="Refdenotaalpie"/>
          <w:rFonts w:ascii="Arial" w:hAnsi="Arial" w:cs="Arial"/>
          <w:color w:val="000000" w:themeColor="text1"/>
        </w:rPr>
        <w:footnoteReference w:id="9"/>
      </w:r>
      <w:r w:rsidRPr="004E4581">
        <w:rPr>
          <w:rFonts w:ascii="Arial" w:hAnsi="Arial" w:cs="Arial"/>
          <w:color w:val="000000" w:themeColor="text1"/>
        </w:rPr>
        <w:t xml:space="preserve">. Con respecto al contrato estatal se señala que es un acuerdo de voluntades, que tiene sustantividad propia y diferente a la de los contratos civiles o comerciales, donde una de las partes es una entidad estatal, teniendo en cuenta lo definido en el artículo 32 de la Ley 80 de 1993: </w:t>
      </w:r>
    </w:p>
    <w:p w14:paraId="147DC0B5" w14:textId="77777777" w:rsidR="00B540D4" w:rsidRPr="004E4581" w:rsidRDefault="00B540D4" w:rsidP="00B540D4">
      <w:pPr>
        <w:pStyle w:val="Textoindependiente"/>
        <w:spacing w:after="0"/>
        <w:ind w:right="111"/>
        <w:jc w:val="both"/>
        <w:rPr>
          <w:rFonts w:ascii="Arial" w:hAnsi="Arial" w:cs="Arial"/>
          <w:color w:val="000000" w:themeColor="text1"/>
        </w:rPr>
      </w:pPr>
    </w:p>
    <w:p w14:paraId="375696FA" w14:textId="77777777" w:rsidR="00B540D4" w:rsidRDefault="00B540D4" w:rsidP="00B540D4">
      <w:pPr>
        <w:pStyle w:val="Textoindependiente"/>
        <w:spacing w:after="0" w:line="240" w:lineRule="auto"/>
        <w:ind w:left="709" w:right="709"/>
        <w:jc w:val="both"/>
        <w:rPr>
          <w:rFonts w:ascii="Arial" w:hAnsi="Arial" w:cs="Arial"/>
          <w:color w:val="000000" w:themeColor="text1"/>
          <w:sz w:val="21"/>
          <w:szCs w:val="21"/>
        </w:rPr>
      </w:pPr>
      <w:r w:rsidRPr="004E4581">
        <w:rPr>
          <w:rFonts w:ascii="Arial" w:hAnsi="Arial" w:cs="Arial"/>
          <w:color w:val="000000" w:themeColor="text1"/>
          <w:sz w:val="21"/>
          <w:szCs w:val="21"/>
        </w:rPr>
        <w:t xml:space="preserve">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Pr>
          <w:rFonts w:ascii="Arial" w:hAnsi="Arial" w:cs="Arial"/>
          <w:color w:val="000000" w:themeColor="text1"/>
          <w:sz w:val="21"/>
          <w:szCs w:val="21"/>
        </w:rPr>
        <w:t>[</w:t>
      </w:r>
      <w:r w:rsidRPr="004E4581">
        <w:rPr>
          <w:rFonts w:ascii="Arial" w:hAnsi="Arial" w:cs="Arial"/>
          <w:color w:val="000000" w:themeColor="text1"/>
          <w:sz w:val="21"/>
          <w:szCs w:val="21"/>
        </w:rPr>
        <w:t>…</w:t>
      </w:r>
      <w:r>
        <w:rPr>
          <w:rFonts w:ascii="Arial" w:hAnsi="Arial" w:cs="Arial"/>
          <w:color w:val="000000" w:themeColor="text1"/>
          <w:sz w:val="21"/>
          <w:szCs w:val="21"/>
        </w:rPr>
        <w:t>]</w:t>
      </w:r>
      <w:r w:rsidRPr="004E4581">
        <w:rPr>
          <w:rFonts w:ascii="Arial" w:hAnsi="Arial" w:cs="Arial"/>
          <w:color w:val="000000" w:themeColor="text1"/>
          <w:sz w:val="21"/>
          <w:szCs w:val="21"/>
        </w:rPr>
        <w:t>.</w:t>
      </w:r>
    </w:p>
    <w:p w14:paraId="0FEAC9A4" w14:textId="77777777" w:rsidR="00B540D4" w:rsidRPr="004E4581" w:rsidRDefault="00B540D4" w:rsidP="00B540D4">
      <w:pPr>
        <w:pStyle w:val="Textoindependiente"/>
        <w:spacing w:after="0" w:line="240" w:lineRule="auto"/>
        <w:ind w:left="709" w:right="709"/>
        <w:jc w:val="both"/>
        <w:rPr>
          <w:rFonts w:ascii="Arial" w:hAnsi="Arial" w:cs="Arial"/>
          <w:color w:val="000000" w:themeColor="text1"/>
          <w:sz w:val="21"/>
          <w:szCs w:val="21"/>
        </w:rPr>
      </w:pPr>
    </w:p>
    <w:p w14:paraId="3D4663BB" w14:textId="77777777" w:rsidR="00B540D4" w:rsidRPr="005B2206" w:rsidRDefault="00B540D4" w:rsidP="00B540D4">
      <w:pPr>
        <w:spacing w:after="120" w:line="276" w:lineRule="auto"/>
        <w:jc w:val="both"/>
        <w:rPr>
          <w:rFonts w:ascii="Arial" w:hAnsi="Arial" w:cs="Arial"/>
          <w:color w:val="000000" w:themeColor="text1"/>
          <w:sz w:val="22"/>
          <w:szCs w:val="22"/>
        </w:rPr>
      </w:pPr>
      <w:r w:rsidRPr="004E4581">
        <w:rPr>
          <w:rFonts w:ascii="Arial" w:hAnsi="Arial" w:cs="Arial"/>
          <w:color w:val="000000" w:themeColor="text1"/>
        </w:rPr>
        <w:tab/>
      </w:r>
      <w:r>
        <w:rPr>
          <w:rFonts w:ascii="Arial" w:hAnsi="Arial" w:cs="Arial"/>
          <w:color w:val="000000" w:themeColor="text1"/>
          <w:sz w:val="22"/>
          <w:szCs w:val="22"/>
        </w:rPr>
        <w:t>Un sector de la doctrina,</w:t>
      </w:r>
      <w:r w:rsidRPr="004E4581">
        <w:rPr>
          <w:rFonts w:ascii="Arial" w:hAnsi="Arial" w:cs="Arial"/>
          <w:color w:val="000000" w:themeColor="text1"/>
          <w:sz w:val="22"/>
          <w:szCs w:val="22"/>
        </w:rPr>
        <w:t xml:space="preserve"> con referencia al contrato estatal</w:t>
      </w:r>
      <w:r>
        <w:rPr>
          <w:rFonts w:ascii="Arial" w:hAnsi="Arial" w:cs="Arial"/>
          <w:color w:val="000000" w:themeColor="text1"/>
          <w:sz w:val="22"/>
          <w:szCs w:val="22"/>
        </w:rPr>
        <w:t>, señala lo siguiente</w:t>
      </w:r>
      <w:r w:rsidRPr="004E4581">
        <w:rPr>
          <w:rFonts w:ascii="Arial" w:hAnsi="Arial" w:cs="Arial"/>
          <w:color w:val="000000" w:themeColor="text1"/>
          <w:sz w:val="22"/>
          <w:szCs w:val="22"/>
        </w:rPr>
        <w:t xml:space="preserve">: «(…) la denominación de “contrato estatal”, se acoge el criterio orgánico para su distinción, con lo cual, en adelante, sólo interesará, para determinar su naturaleza, que una de las partes </w:t>
      </w:r>
      <w:r w:rsidRPr="004E4581">
        <w:rPr>
          <w:rFonts w:ascii="Arial" w:hAnsi="Arial" w:cs="Arial"/>
          <w:color w:val="000000" w:themeColor="text1"/>
          <w:sz w:val="22"/>
          <w:szCs w:val="22"/>
        </w:rPr>
        <w:lastRenderedPageBreak/>
        <w:t>del contrato sea una Entidad Estatal de la que define el artículo 2° de la Ley 80 de 1993, independientemente del régimen privado o administrativo por el que haya de regirse»</w:t>
      </w:r>
      <w:r w:rsidRPr="004E4581">
        <w:rPr>
          <w:rStyle w:val="Refdenotaalpie"/>
          <w:rFonts w:ascii="Arial" w:hAnsi="Arial" w:cs="Arial"/>
          <w:color w:val="000000" w:themeColor="text1"/>
          <w:sz w:val="22"/>
          <w:szCs w:val="22"/>
        </w:rPr>
        <w:footnoteReference w:id="10"/>
      </w:r>
      <w:r w:rsidRPr="004E4581">
        <w:rPr>
          <w:rFonts w:ascii="Arial" w:hAnsi="Arial" w:cs="Arial"/>
          <w:color w:val="000000" w:themeColor="text1"/>
          <w:sz w:val="22"/>
          <w:szCs w:val="22"/>
        </w:rPr>
        <w:t xml:space="preserve">. Este concepto parte del criterio orgánico, en </w:t>
      </w:r>
      <w:r>
        <w:rPr>
          <w:rFonts w:ascii="Arial" w:hAnsi="Arial" w:cs="Arial"/>
          <w:color w:val="000000" w:themeColor="text1"/>
          <w:sz w:val="22"/>
          <w:szCs w:val="22"/>
        </w:rPr>
        <w:t xml:space="preserve">el </w:t>
      </w:r>
      <w:r w:rsidRPr="004E4581">
        <w:rPr>
          <w:rFonts w:ascii="Arial" w:hAnsi="Arial" w:cs="Arial"/>
          <w:color w:val="000000" w:themeColor="text1"/>
          <w:sz w:val="22"/>
          <w:szCs w:val="22"/>
        </w:rPr>
        <w:t xml:space="preserve">que se considera que un contrato estatal tiene esa calidad cuando una de las partes es una entidad pública. Es decir, un contrato estatal es cualquier acto jurídico generador de obligaciones que celebren las entidades estatales a las que dicha Ley se refiere, previstos en el derecho privado o derivados del ejercicio de la autonomía de la voluntad. </w:t>
      </w:r>
      <w:r w:rsidRPr="00861F5C">
        <w:rPr>
          <w:rFonts w:ascii="Arial" w:hAnsi="Arial" w:cs="Arial"/>
          <w:color w:val="000000" w:themeColor="text1"/>
          <w:sz w:val="22"/>
          <w:szCs w:val="22"/>
        </w:rPr>
        <w:t xml:space="preserve">Además, la Ley 80 de 1993 también facultó de manera expresa a las entidades estatales para celebrar contratos y los demás </w:t>
      </w:r>
      <w:r w:rsidRPr="00861F5C">
        <w:rPr>
          <w:rFonts w:ascii="Arial" w:hAnsi="Arial" w:cs="Arial"/>
          <w:i/>
          <w:color w:val="000000" w:themeColor="text1"/>
          <w:sz w:val="22"/>
          <w:szCs w:val="22"/>
        </w:rPr>
        <w:t xml:space="preserve">acuerdos que permitan la autonomía de la voluntad </w:t>
      </w:r>
      <w:r w:rsidRPr="00861F5C">
        <w:rPr>
          <w:rFonts w:ascii="Arial" w:hAnsi="Arial" w:cs="Arial"/>
          <w:color w:val="000000" w:themeColor="text1"/>
          <w:sz w:val="22"/>
          <w:szCs w:val="22"/>
        </w:rPr>
        <w:t>y requieran el cumplimiento de los fines estatales, así como la continua y eficiente prestación de servicios públicos</w:t>
      </w:r>
      <w:r w:rsidRPr="00861F5C">
        <w:rPr>
          <w:rStyle w:val="Refdenotaalpie"/>
          <w:rFonts w:ascii="Arial" w:hAnsi="Arial" w:cs="Arial"/>
          <w:color w:val="000000" w:themeColor="text1"/>
          <w:sz w:val="22"/>
          <w:szCs w:val="22"/>
        </w:rPr>
        <w:footnoteReference w:id="11"/>
      </w:r>
      <w:r w:rsidRPr="00861F5C">
        <w:rPr>
          <w:rFonts w:ascii="Arial" w:hAnsi="Arial" w:cs="Arial"/>
          <w:color w:val="000000" w:themeColor="text1"/>
          <w:sz w:val="22"/>
          <w:szCs w:val="22"/>
        </w:rPr>
        <w:t>.</w:t>
      </w:r>
    </w:p>
    <w:p w14:paraId="506CDDE4" w14:textId="7D2AFAF3" w:rsidR="00B540D4" w:rsidRPr="004E4581" w:rsidRDefault="00B540D4" w:rsidP="00B540D4">
      <w:pPr>
        <w:pStyle w:val="Textoindependiente"/>
        <w:ind w:right="107"/>
        <w:jc w:val="both"/>
        <w:rPr>
          <w:rFonts w:ascii="Arial" w:hAnsi="Arial" w:cs="Arial"/>
          <w:color w:val="000000" w:themeColor="text1"/>
        </w:rPr>
      </w:pPr>
      <w:r w:rsidRPr="004E4581">
        <w:rPr>
          <w:rFonts w:ascii="Arial" w:hAnsi="Arial" w:cs="Arial"/>
          <w:color w:val="000000" w:themeColor="text1"/>
        </w:rPr>
        <w:tab/>
        <w:t>Lo anterior implica que las entidades estatales que se rigen por la Ley 80 de 1993, en virtud de la autonomía de la voluntad, pueden celebrar todos los acuerdos, denomínese contrato, convención, convenio, entre otros, que requieran para la materialización de sus objetivos misionales y consecuentemente los fines estatales. Entre otras cosas, porque</w:t>
      </w:r>
      <w:r w:rsidR="00535858">
        <w:rPr>
          <w:rFonts w:ascii="Arial" w:hAnsi="Arial" w:cs="Arial"/>
          <w:color w:val="000000" w:themeColor="text1"/>
        </w:rPr>
        <w:t>,</w:t>
      </w:r>
      <w:r w:rsidRPr="004E4581">
        <w:rPr>
          <w:rFonts w:ascii="Arial" w:hAnsi="Arial" w:cs="Arial"/>
          <w:color w:val="000000" w:themeColor="text1"/>
        </w:rPr>
        <w:t xml:space="preserve"> de acuerdo con la Constitución Política</w:t>
      </w:r>
      <w:r w:rsidR="00535858">
        <w:rPr>
          <w:rFonts w:ascii="Arial" w:hAnsi="Arial" w:cs="Arial"/>
          <w:color w:val="000000" w:themeColor="text1"/>
        </w:rPr>
        <w:t>,</w:t>
      </w:r>
      <w:r w:rsidRPr="004E4581">
        <w:rPr>
          <w:rFonts w:ascii="Arial" w:hAnsi="Arial" w:cs="Arial"/>
          <w:color w:val="000000" w:themeColor="text1"/>
        </w:rPr>
        <w:t xml:space="preserve"> la función administrativa está al servicio</w:t>
      </w:r>
      <w:r w:rsidR="003B5545">
        <w:rPr>
          <w:rFonts w:ascii="Arial" w:hAnsi="Arial" w:cs="Arial"/>
          <w:color w:val="000000" w:themeColor="text1"/>
        </w:rPr>
        <w:t xml:space="preserve"> del interés general</w:t>
      </w:r>
      <w:r w:rsidRPr="004E4581">
        <w:rPr>
          <w:rFonts w:ascii="Arial" w:hAnsi="Arial" w:cs="Arial"/>
          <w:color w:val="000000" w:themeColor="text1"/>
        </w:rPr>
        <w:t xml:space="preserve">, y </w:t>
      </w:r>
      <w:r w:rsidR="003B5545">
        <w:rPr>
          <w:rFonts w:ascii="Arial" w:hAnsi="Arial" w:cs="Arial"/>
          <w:color w:val="000000" w:themeColor="text1"/>
        </w:rPr>
        <w:t xml:space="preserve">por tanto, </w:t>
      </w:r>
      <w:r w:rsidRPr="004E4581">
        <w:rPr>
          <w:rFonts w:ascii="Arial" w:hAnsi="Arial" w:cs="Arial"/>
          <w:color w:val="000000" w:themeColor="text1"/>
        </w:rPr>
        <w:t>las autoridades administrativas tienen la obligación de coordinar sus actuaciones con la finalidad de lograr el adecuado cumplimiento de los fines del Estado</w:t>
      </w:r>
      <w:r w:rsidRPr="004E4581">
        <w:rPr>
          <w:rStyle w:val="Refdenotaalpie"/>
          <w:rFonts w:ascii="Arial" w:hAnsi="Arial" w:cs="Arial"/>
          <w:color w:val="000000" w:themeColor="text1"/>
        </w:rPr>
        <w:footnoteReference w:id="12"/>
      </w:r>
      <w:r w:rsidRPr="004E4581">
        <w:rPr>
          <w:rFonts w:ascii="Arial" w:hAnsi="Arial" w:cs="Arial"/>
          <w:color w:val="000000" w:themeColor="text1"/>
        </w:rPr>
        <w:t>.</w:t>
      </w:r>
    </w:p>
    <w:p w14:paraId="7B894F50" w14:textId="77777777" w:rsidR="00B540D4" w:rsidRPr="004E4581" w:rsidRDefault="00B540D4" w:rsidP="00B540D4">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Ahora bien, </w:t>
      </w:r>
      <w:bookmarkStart w:id="22" w:name="_Hlk80948738"/>
      <w:r>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tipología de convenio interadministrativo fue creada en la Ley 80 de 1993. Aunque esta ley no lo definió ni desarrolló, el Decreto 1082 de 2015 califica a los convenios o contratos interadministrativos como aquella contratación entre entidades estatales</w:t>
      </w:r>
      <w:r w:rsidRPr="004E4581">
        <w:rPr>
          <w:rFonts w:ascii="Arial" w:eastAsia="Arial" w:hAnsi="Arial" w:cs="Arial"/>
          <w:color w:val="000000" w:themeColor="text1"/>
          <w:sz w:val="22"/>
          <w:szCs w:val="22"/>
          <w:vertAlign w:val="superscript"/>
          <w:lang w:val="es-ES" w:eastAsia="es-ES" w:bidi="es-ES"/>
        </w:rPr>
        <w:footnoteReference w:id="13"/>
      </w:r>
      <w:r w:rsidRPr="004E4581">
        <w:rPr>
          <w:rFonts w:ascii="Arial" w:eastAsia="Arial" w:hAnsi="Arial" w:cs="Arial"/>
          <w:color w:val="000000" w:themeColor="text1"/>
          <w:sz w:val="22"/>
          <w:szCs w:val="22"/>
          <w:lang w:val="es-ES" w:eastAsia="es-ES" w:bidi="es-ES"/>
        </w:rPr>
        <w:t>.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4E4581">
        <w:rPr>
          <w:rFonts w:ascii="Arial" w:eastAsia="Arial" w:hAnsi="Arial" w:cs="Arial"/>
          <w:color w:val="000000" w:themeColor="text1"/>
          <w:spacing w:val="-6"/>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estatales.</w:t>
      </w:r>
    </w:p>
    <w:bookmarkEnd w:id="21"/>
    <w:bookmarkEnd w:id="22"/>
    <w:p w14:paraId="5DB4A7F2" w14:textId="77777777" w:rsidR="00B540D4" w:rsidRPr="004E4581" w:rsidRDefault="00B540D4" w:rsidP="00B540D4">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Si bien los contratos o convenios interadministrativos están previstos en el Estatuto </w:t>
      </w:r>
      <w:r w:rsidRPr="004E4581">
        <w:rPr>
          <w:rFonts w:ascii="Arial" w:eastAsia="Arial" w:hAnsi="Arial" w:cs="Arial"/>
          <w:color w:val="000000" w:themeColor="text1"/>
          <w:sz w:val="22"/>
          <w:szCs w:val="22"/>
          <w:lang w:val="es-ES" w:eastAsia="es-ES" w:bidi="es-ES"/>
        </w:rPr>
        <w:lastRenderedPageBreak/>
        <w:t xml:space="preserve">General de Contratación de la Administración Pública </w:t>
      </w:r>
      <w:r>
        <w:rPr>
          <w:rFonts w:ascii="Arial" w:eastAsia="Arial" w:hAnsi="Arial" w:cs="Arial"/>
          <w:color w:val="000000" w:themeColor="text1"/>
          <w:sz w:val="22"/>
          <w:szCs w:val="22"/>
          <w:lang w:val="es-ES" w:eastAsia="es-ES" w:bidi="es-ES"/>
        </w:rPr>
        <w:t xml:space="preserve">–en adelante también EGCAP– </w:t>
      </w:r>
      <w:r w:rsidRPr="004E4581">
        <w:rPr>
          <w:rFonts w:ascii="Arial" w:eastAsia="Arial" w:hAnsi="Arial" w:cs="Arial"/>
          <w:color w:val="000000" w:themeColor="text1"/>
          <w:sz w:val="22"/>
          <w:szCs w:val="22"/>
          <w:lang w:val="es-ES" w:eastAsia="es-ES" w:bidi="es-ES"/>
        </w:rPr>
        <w:t>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55093C66" w14:textId="732B92F9" w:rsidR="00B540D4" w:rsidRPr="004E4581" w:rsidRDefault="00B540D4" w:rsidP="00E84999">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E4581">
        <w:rPr>
          <w:rFonts w:ascii="Arial" w:eastAsia="Arial" w:hAnsi="Arial" w:cs="Arial"/>
          <w:color w:val="000000" w:themeColor="text1"/>
          <w:sz w:val="22"/>
          <w:szCs w:val="22"/>
          <w:vertAlign w:val="superscript"/>
          <w:lang w:val="es-ES" w:eastAsia="es-ES" w:bidi="es-ES"/>
        </w:rPr>
        <w:footnoteReference w:id="14"/>
      </w:r>
      <w:r w:rsidRPr="004E4581">
        <w:rPr>
          <w:rFonts w:ascii="Arial" w:eastAsia="Arial" w:hAnsi="Arial" w:cs="Arial"/>
          <w:color w:val="000000" w:themeColor="text1"/>
          <w:sz w:val="22"/>
          <w:szCs w:val="22"/>
          <w:lang w:val="es-ES" w:eastAsia="es-ES" w:bidi="es-ES"/>
        </w:rPr>
        <w:t>. Nótese que, en este caso, lo que cambia es la modalidad de selección, no la naturaleza de contrato</w:t>
      </w:r>
      <w:r w:rsidRPr="004E4581">
        <w:rPr>
          <w:rFonts w:ascii="Arial" w:eastAsia="Arial" w:hAnsi="Arial" w:cs="Arial"/>
          <w:color w:val="000000" w:themeColor="text1"/>
          <w:spacing w:val="-18"/>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interadministrativo.</w:t>
      </w:r>
      <w:r w:rsidR="00E84999">
        <w:rPr>
          <w:rFonts w:ascii="Arial" w:eastAsia="Arial" w:hAnsi="Arial" w:cs="Arial"/>
          <w:color w:val="000000" w:themeColor="text1"/>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Así las cosas, esta clase de acuerdos de voluntades se definen por un criterio orgánico, por lo que uno de sus elementos esenciales es que en los extremos de la relación jurídic</w:t>
      </w:r>
      <w:r w:rsidR="00540210">
        <w:rPr>
          <w:rFonts w:ascii="Arial" w:eastAsia="Arial" w:hAnsi="Arial" w:cs="Arial"/>
          <w:color w:val="000000" w:themeColor="text1"/>
          <w:sz w:val="22"/>
          <w:szCs w:val="22"/>
          <w:lang w:val="es-ES" w:eastAsia="es-ES" w:bidi="es-ES"/>
        </w:rPr>
        <w:t>a</w:t>
      </w:r>
      <w:r w:rsidRPr="004E4581">
        <w:rPr>
          <w:rFonts w:ascii="Arial" w:eastAsia="Arial" w:hAnsi="Arial" w:cs="Arial"/>
          <w:color w:val="000000" w:themeColor="text1"/>
          <w:sz w:val="22"/>
          <w:szCs w:val="22"/>
          <w:lang w:val="es-ES" w:eastAsia="es-ES" w:bidi="es-ES"/>
        </w:rPr>
        <w:t xml:space="preserve"> negocial concurran personas de derecho público. Adicionalmente, el Consejo de Estado ha indicado, frente a los contratos y convenios interadministrativos sus características,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señalando que:</w:t>
      </w:r>
    </w:p>
    <w:p w14:paraId="5E5F0692" w14:textId="77777777" w:rsidR="00B540D4" w:rsidRPr="004E4581" w:rsidRDefault="00B540D4" w:rsidP="00B540D4">
      <w:pPr>
        <w:widowControl w:val="0"/>
        <w:autoSpaceDE w:val="0"/>
        <w:autoSpaceDN w:val="0"/>
        <w:spacing w:line="276" w:lineRule="auto"/>
        <w:ind w:firstLine="707"/>
        <w:jc w:val="both"/>
        <w:rPr>
          <w:rFonts w:ascii="Arial" w:eastAsia="Arial" w:hAnsi="Arial" w:cs="Arial"/>
          <w:color w:val="000000" w:themeColor="text1"/>
          <w:sz w:val="22"/>
          <w:szCs w:val="22"/>
          <w:lang w:val="es-ES" w:eastAsia="es-ES" w:bidi="es-ES"/>
        </w:rPr>
      </w:pPr>
    </w:p>
    <w:p w14:paraId="7E8BEFFE" w14:textId="77777777" w:rsidR="00B540D4" w:rsidRPr="004E4581" w:rsidRDefault="00B540D4" w:rsidP="00B540D4">
      <w:pPr>
        <w:spacing w:after="120"/>
        <w:ind w:left="709" w:right="709"/>
        <w:jc w:val="both"/>
        <w:rPr>
          <w:rFonts w:ascii="Arial" w:eastAsia="Calibri" w:hAnsi="Arial" w:cs="Arial"/>
          <w:color w:val="000000" w:themeColor="text1"/>
          <w:sz w:val="21"/>
          <w:szCs w:val="22"/>
          <w:lang w:val="es-MX" w:eastAsia="en-US"/>
        </w:rPr>
      </w:pPr>
      <w:r w:rsidRPr="004E4581">
        <w:rPr>
          <w:rFonts w:ascii="Arial" w:eastAsia="Calibri" w:hAnsi="Arial" w:cs="Arial"/>
          <w:color w:val="000000" w:themeColor="text1"/>
          <w:sz w:val="21"/>
          <w:szCs w:val="22"/>
          <w:lang w:val="es-MX" w:eastAsia="en-US"/>
        </w:rPr>
        <w:t>[…] se puede señalar que los convenios o contratos interadministrativos tienen como características principales las siguientes:</w:t>
      </w:r>
    </w:p>
    <w:p w14:paraId="5982E51F" w14:textId="77777777" w:rsidR="00B540D4" w:rsidRPr="004E4581" w:rsidRDefault="00B540D4" w:rsidP="00B540D4">
      <w:pPr>
        <w:ind w:left="709" w:right="709"/>
        <w:jc w:val="both"/>
        <w:rPr>
          <w:rFonts w:ascii="Arial" w:eastAsia="Calibri" w:hAnsi="Arial" w:cs="Arial"/>
          <w:color w:val="000000" w:themeColor="text1"/>
          <w:sz w:val="21"/>
          <w:szCs w:val="22"/>
          <w:lang w:val="es-MX" w:eastAsia="en-US"/>
        </w:rPr>
      </w:pPr>
      <w:r w:rsidRPr="004E4581">
        <w:rPr>
          <w:rFonts w:ascii="Arial" w:eastAsia="Calibri" w:hAnsi="Arial" w:cs="Arial"/>
          <w:color w:val="000000" w:themeColor="text1"/>
          <w:sz w:val="21"/>
          <w:szCs w:val="22"/>
          <w:lang w:val="es-MX" w:eastAsia="en-US"/>
        </w:rPr>
        <w:t xml:space="preserve">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w:t>
      </w:r>
      <w:r w:rsidRPr="004E4581">
        <w:rPr>
          <w:rFonts w:ascii="Arial" w:eastAsia="Calibri" w:hAnsi="Arial" w:cs="Arial"/>
          <w:color w:val="000000" w:themeColor="text1"/>
          <w:sz w:val="21"/>
          <w:szCs w:val="22"/>
          <w:lang w:val="es-MX" w:eastAsia="en-US"/>
        </w:rPr>
        <w:lastRenderedPageBreak/>
        <w:t>entidades vinculadas; (viii) la acción mediante la cual se deben ventilar las diferencias que sobre el particular surjan es la de controversias contractuales</w:t>
      </w:r>
      <w:r>
        <w:rPr>
          <w:rStyle w:val="Refdenotaalpie"/>
          <w:rFonts w:ascii="Arial" w:eastAsia="Calibri" w:hAnsi="Arial" w:cs="Arial"/>
          <w:color w:val="000000" w:themeColor="text1"/>
          <w:sz w:val="21"/>
          <w:szCs w:val="22"/>
          <w:lang w:val="es-MX" w:eastAsia="en-US"/>
        </w:rPr>
        <w:footnoteReference w:id="15"/>
      </w:r>
      <w:r w:rsidRPr="004E4581">
        <w:rPr>
          <w:rFonts w:ascii="Arial" w:eastAsia="Calibri" w:hAnsi="Arial" w:cs="Arial"/>
          <w:color w:val="000000" w:themeColor="text1"/>
          <w:sz w:val="21"/>
          <w:szCs w:val="22"/>
          <w:lang w:val="es-MX" w:eastAsia="en-US"/>
        </w:rPr>
        <w:t>.</w:t>
      </w:r>
    </w:p>
    <w:p w14:paraId="0D9CCE3A" w14:textId="77777777" w:rsidR="00B540D4" w:rsidRPr="004E4581" w:rsidRDefault="00B540D4" w:rsidP="00B540D4">
      <w:pPr>
        <w:widowControl w:val="0"/>
        <w:autoSpaceDE w:val="0"/>
        <w:autoSpaceDN w:val="0"/>
        <w:rPr>
          <w:rFonts w:ascii="Arial" w:eastAsia="Arial" w:hAnsi="Arial" w:cs="Arial"/>
          <w:color w:val="000000" w:themeColor="text1"/>
          <w:sz w:val="22"/>
          <w:szCs w:val="22"/>
          <w:lang w:val="es-ES" w:eastAsia="es-ES" w:bidi="es-ES"/>
        </w:rPr>
      </w:pPr>
    </w:p>
    <w:p w14:paraId="53A03321" w14:textId="77777777" w:rsidR="00B540D4" w:rsidRPr="004E4581" w:rsidRDefault="00B540D4" w:rsidP="00B540D4">
      <w:pPr>
        <w:widowControl w:val="0"/>
        <w:autoSpaceDE w:val="0"/>
        <w:autoSpaceDN w:val="0"/>
        <w:spacing w:line="276" w:lineRule="auto"/>
        <w:ind w:firstLine="707"/>
        <w:jc w:val="both"/>
        <w:rPr>
          <w:rFonts w:ascii="Arial" w:eastAsia="Arial" w:hAnsi="Arial" w:cs="Arial"/>
          <w:color w:val="000000" w:themeColor="text1"/>
          <w:sz w:val="21"/>
          <w:szCs w:val="22"/>
          <w:lang w:val="es-ES" w:eastAsia="es-ES" w:bidi="es-ES"/>
        </w:rPr>
      </w:pPr>
      <w:r w:rsidRPr="004E4581">
        <w:rPr>
          <w:rFonts w:ascii="Arial" w:eastAsia="Arial" w:hAnsi="Arial" w:cs="Arial"/>
          <w:color w:val="000000" w:themeColor="text1"/>
          <w:sz w:val="22"/>
          <w:szCs w:val="22"/>
          <w:lang w:val="es-ES" w:eastAsia="es-ES" w:bidi="es-ES"/>
        </w:rPr>
        <w:t>En ese sentido, los convenios</w:t>
      </w:r>
      <w:r>
        <w:rPr>
          <w:rFonts w:ascii="Arial" w:eastAsia="Arial" w:hAnsi="Arial" w:cs="Arial"/>
          <w:color w:val="000000" w:themeColor="text1"/>
          <w:sz w:val="22"/>
          <w:szCs w:val="22"/>
          <w:lang w:val="es-ES" w:eastAsia="es-ES" w:bidi="es-ES"/>
        </w:rPr>
        <w:t xml:space="preserve"> o contratos</w:t>
      </w:r>
      <w:r w:rsidRPr="004E4581">
        <w:rPr>
          <w:rFonts w:ascii="Arial" w:eastAsia="Arial" w:hAnsi="Arial" w:cs="Arial"/>
          <w:color w:val="000000" w:themeColor="text1"/>
          <w:sz w:val="22"/>
          <w:szCs w:val="22"/>
          <w:lang w:val="es-ES" w:eastAsia="es-ES" w:bidi="es-ES"/>
        </w:rPr>
        <w:t xml:space="preserve"> interadministrativos se caracterizan por los sujetos que intervienen </w:t>
      </w:r>
      <w:r>
        <w:rPr>
          <w:rFonts w:ascii="Arial" w:eastAsia="Arial" w:hAnsi="Arial" w:cs="Arial"/>
          <w:color w:val="000000" w:themeColor="text1"/>
          <w:sz w:val="22"/>
          <w:szCs w:val="22"/>
          <w:lang w:val="es-ES" w:eastAsia="es-ES" w:bidi="es-ES"/>
        </w:rPr>
        <w:t xml:space="preserve">en su celebración. Además de lo anterior, </w:t>
      </w:r>
      <w:r w:rsidRPr="004E4581">
        <w:rPr>
          <w:rFonts w:ascii="Arial" w:eastAsia="Arial" w:hAnsi="Arial" w:cs="Arial"/>
          <w:color w:val="000000" w:themeColor="text1"/>
          <w:sz w:val="22"/>
          <w:szCs w:val="22"/>
          <w:lang w:val="es-ES" w:eastAsia="es-ES" w:bidi="es-ES"/>
        </w:rPr>
        <w:t>el Estatuto General de Contratación de la Administración Pública establece la contratación directa como la modalidad de selección aplicable, por regla general, para la celebración de los contratos interadministrativos.</w:t>
      </w:r>
      <w:r>
        <w:rPr>
          <w:rFonts w:ascii="Arial" w:eastAsia="Arial" w:hAnsi="Arial" w:cs="Arial"/>
          <w:color w:val="000000" w:themeColor="text1"/>
          <w:sz w:val="22"/>
          <w:szCs w:val="22"/>
          <w:lang w:val="es-ES" w:eastAsia="es-ES" w:bidi="es-ES"/>
        </w:rPr>
        <w:t xml:space="preserve"> En este sentido, l</w:t>
      </w:r>
      <w:r w:rsidRPr="004E4581">
        <w:rPr>
          <w:rFonts w:ascii="Arial" w:eastAsia="Arial" w:hAnsi="Arial" w:cs="Arial"/>
          <w:color w:val="000000" w:themeColor="text1"/>
          <w:sz w:val="22"/>
          <w:szCs w:val="22"/>
          <w:lang w:val="es-ES" w:eastAsia="es-ES" w:bidi="es-ES"/>
        </w:rPr>
        <w:t xml:space="preserve">a contratación directa es una modalidad de aplicación restrictiva en el </w:t>
      </w:r>
      <w:r>
        <w:rPr>
          <w:rFonts w:ascii="Arial" w:eastAsia="Arial" w:hAnsi="Arial" w:cs="Arial"/>
          <w:color w:val="000000" w:themeColor="text1"/>
          <w:sz w:val="22"/>
          <w:szCs w:val="22"/>
          <w:lang w:val="es-ES" w:eastAsia="es-ES" w:bidi="es-ES"/>
        </w:rPr>
        <w:t>EGCAP</w:t>
      </w:r>
      <w:r w:rsidRPr="004E4581">
        <w:rPr>
          <w:rFonts w:ascii="Arial" w:eastAsia="Arial" w:hAnsi="Arial" w:cs="Arial"/>
          <w:color w:val="000000" w:themeColor="text1"/>
          <w:sz w:val="22"/>
          <w:szCs w:val="22"/>
          <w:lang w:val="es-ES" w:eastAsia="es-ES" w:bidi="es-ES"/>
        </w:rPr>
        <w:t xml:space="preserve">,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43D64B56" w14:textId="77777777" w:rsidR="00B540D4" w:rsidRPr="004E4581" w:rsidRDefault="00B540D4" w:rsidP="00B540D4">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De esta manera</w:t>
      </w:r>
      <w:r w:rsidRPr="004E4581">
        <w:rPr>
          <w:rFonts w:ascii="Arial" w:eastAsia="Arial" w:hAnsi="Arial" w:cs="Arial"/>
          <w:color w:val="000000" w:themeColor="text1"/>
          <w:sz w:val="22"/>
          <w:szCs w:val="22"/>
          <w:lang w:val="es-ES" w:eastAsia="es-ES" w:bidi="es-ES"/>
        </w:rPr>
        <w:t>, el artículo 2, numeral 4, literal c), de la Ley 1150 de 2007, dispone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a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Pr="004E4581">
        <w:rPr>
          <w:rFonts w:ascii="Arial" w:eastAsia="Arial" w:hAnsi="Arial" w:cs="Arial"/>
          <w:color w:val="000000" w:themeColor="text1"/>
          <w:spacing w:val="-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abreviada o mínima cuantía, dependiendo del caso</w:t>
      </w:r>
      <w:r w:rsidRPr="004E4581">
        <w:rPr>
          <w:rFonts w:ascii="Arial" w:eastAsia="Arial" w:hAnsi="Arial" w:cs="Arial"/>
          <w:color w:val="000000" w:themeColor="text1"/>
          <w:sz w:val="22"/>
          <w:szCs w:val="22"/>
          <w:vertAlign w:val="superscript"/>
          <w:lang w:val="es-ES" w:eastAsia="es-ES" w:bidi="es-ES"/>
        </w:rPr>
        <w:footnoteReference w:id="16"/>
      </w:r>
      <w:r w:rsidRPr="004E4581">
        <w:rPr>
          <w:rFonts w:ascii="Arial" w:eastAsia="Arial" w:hAnsi="Arial" w:cs="Arial"/>
          <w:color w:val="000000" w:themeColor="text1"/>
          <w:sz w:val="22"/>
          <w:szCs w:val="22"/>
          <w:lang w:val="es-ES" w:eastAsia="es-ES" w:bidi="es-ES"/>
        </w:rPr>
        <w:t>.</w:t>
      </w:r>
    </w:p>
    <w:p w14:paraId="0F14EDA0" w14:textId="77777777" w:rsidR="00B540D4" w:rsidRPr="004E4581" w:rsidRDefault="00B540D4" w:rsidP="00B540D4">
      <w:pPr>
        <w:widowControl w:val="0"/>
        <w:autoSpaceDE w:val="0"/>
        <w:autoSpaceDN w:val="0"/>
        <w:spacing w:before="117" w:line="276" w:lineRule="auto"/>
        <w:ind w:firstLine="707"/>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Si bien la Ley 1150 de 2007 establece que las entidades estatales pueden celebrar </w:t>
      </w:r>
      <w:r w:rsidRPr="004E4581">
        <w:rPr>
          <w:rFonts w:ascii="Arial" w:eastAsia="Arial" w:hAnsi="Arial" w:cs="Arial"/>
          <w:color w:val="000000" w:themeColor="text1"/>
          <w:sz w:val="22"/>
          <w:szCs w:val="22"/>
          <w:lang w:val="es-ES" w:eastAsia="es-ES" w:bidi="es-ES"/>
        </w:rPr>
        <w:lastRenderedPageBreak/>
        <w:t>contratos o convenios interadministrativos de manera directa, siempre que las obligaciones derivadas del mismo tengan relación directa con el objeto de la entidad ejecutora, la misma establece excepciones a esta regla, la cual está condicionada a que ciertas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tipologías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contractuales</w:t>
      </w:r>
      <w:r w:rsidRPr="004E4581">
        <w:rPr>
          <w:rFonts w:ascii="Arial" w:eastAsia="Arial" w:hAnsi="Arial" w:cs="Arial"/>
          <w:color w:val="000000" w:themeColor="text1"/>
          <w:spacing w:val="1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sean</w:t>
      </w:r>
      <w:r w:rsidRPr="004E4581">
        <w:rPr>
          <w:rFonts w:ascii="Arial" w:eastAsia="Arial" w:hAnsi="Arial" w:cs="Arial"/>
          <w:color w:val="000000" w:themeColor="text1"/>
          <w:spacing w:val="11"/>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ejecutadas</w:t>
      </w:r>
      <w:r w:rsidRPr="004E4581">
        <w:rPr>
          <w:rFonts w:ascii="Arial" w:eastAsia="Arial" w:hAnsi="Arial" w:cs="Arial"/>
          <w:color w:val="000000" w:themeColor="text1"/>
          <w:spacing w:val="1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por</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las</w:t>
      </w:r>
      <w:r w:rsidRPr="004E4581">
        <w:rPr>
          <w:rFonts w:ascii="Arial" w:eastAsia="Arial" w:hAnsi="Arial" w:cs="Arial"/>
          <w:color w:val="000000" w:themeColor="text1"/>
          <w:spacing w:val="13"/>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entidades</w:t>
      </w:r>
      <w:r w:rsidRPr="004E4581">
        <w:rPr>
          <w:rFonts w:ascii="Arial" w:eastAsia="Arial" w:hAnsi="Arial" w:cs="Arial"/>
          <w:color w:val="000000" w:themeColor="text1"/>
          <w:spacing w:val="12"/>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estatales</w:t>
      </w:r>
      <w:r w:rsidRPr="004E4581">
        <w:rPr>
          <w:rFonts w:ascii="Arial" w:eastAsia="Arial" w:hAnsi="Arial" w:cs="Arial"/>
          <w:color w:val="000000" w:themeColor="text1"/>
          <w:spacing w:val="11"/>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previstas</w:t>
      </w:r>
      <w:r w:rsidRPr="004E4581">
        <w:rPr>
          <w:rFonts w:ascii="Arial" w:eastAsia="Arial" w:hAnsi="Arial" w:cs="Arial"/>
          <w:color w:val="000000" w:themeColor="text1"/>
          <w:spacing w:val="18"/>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04FF2578" w14:textId="77777777" w:rsidR="00B540D4" w:rsidRPr="004E4581" w:rsidRDefault="00B540D4" w:rsidP="00B540D4">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E4581">
        <w:rPr>
          <w:rFonts w:ascii="Arial" w:eastAsia="Arial" w:hAnsi="Arial" w:cs="Arial"/>
          <w:color w:val="000000" w:themeColor="text1"/>
          <w:spacing w:val="-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estatales.</w:t>
      </w:r>
    </w:p>
    <w:p w14:paraId="4B4D18E0" w14:textId="77777777" w:rsidR="00B540D4" w:rsidRPr="004E4581"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Igualmente, es necesario tener en cuenta que el Código Civil, en el artículo 1495, equipara las instituciones analizadas al disponer que «</w:t>
      </w:r>
      <w:r w:rsidRPr="004E4581">
        <w:rPr>
          <w:rFonts w:ascii="Arial" w:eastAsia="Arial" w:hAnsi="Arial" w:cs="Arial"/>
          <w:i/>
          <w:color w:val="000000" w:themeColor="text1"/>
          <w:sz w:val="22"/>
          <w:szCs w:val="22"/>
          <w:lang w:val="es-ES" w:eastAsia="es-ES" w:bidi="es-ES"/>
        </w:rPr>
        <w:t xml:space="preserve">contrato o convención </w:t>
      </w:r>
      <w:r w:rsidRPr="004E4581">
        <w:rPr>
          <w:rFonts w:ascii="Arial" w:eastAsia="Arial" w:hAnsi="Arial" w:cs="Arial"/>
          <w:color w:val="000000" w:themeColor="text1"/>
          <w:sz w:val="22"/>
          <w:szCs w:val="22"/>
          <w:lang w:val="es-ES" w:eastAsia="es-ES" w:bidi="es-ES"/>
        </w:rPr>
        <w:t xml:space="preserve">es un acto por el cual una parte se obliga para con otra a dar, hacer o no hacer alguna cosa […]» (Énfasis fuera de texto). De este modo, se concluye que no existe diferencia sustancial entre contrato y convención en el derecho privado. Por tanto, si dicho régimen jurídico es aplicable a la contratación estatal, tampoco es procedente hacer distinción en la actividad contractual de las entidades públicas cuando celebran contratos y convenios interadministrativos. </w:t>
      </w:r>
    </w:p>
    <w:p w14:paraId="67C030A0" w14:textId="77777777" w:rsidR="00B540D4" w:rsidRPr="004E4581"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«Estos convenios cuentan con las características propias de los contratos, cuando su objeto lo constituyen obligaciones patrimoniales, y las entidades estatales que los conforman están sujetas tanto </w:t>
      </w:r>
      <w:r w:rsidRPr="004E4581">
        <w:rPr>
          <w:rFonts w:ascii="Arial" w:eastAsia="Arial" w:hAnsi="Arial" w:cs="Arial"/>
          <w:color w:val="000000" w:themeColor="text1"/>
          <w:sz w:val="22"/>
          <w:szCs w:val="22"/>
          <w:lang w:val="es-ES" w:eastAsia="es-ES" w:bidi="es-ES"/>
        </w:rPr>
        <w:lastRenderedPageBreak/>
        <w:t>a la normativa contractual pública, como a las normas del derecho civil</w:t>
      </w:r>
      <w:r w:rsidRPr="004E4581">
        <w:rPr>
          <w:rFonts w:ascii="Arial" w:eastAsia="Arial" w:hAnsi="Arial" w:cs="Arial"/>
          <w:color w:val="000000" w:themeColor="text1"/>
          <w:spacing w:val="-4"/>
          <w:sz w:val="22"/>
          <w:szCs w:val="22"/>
          <w:lang w:val="es-ES" w:eastAsia="es-ES" w:bidi="es-ES"/>
        </w:rPr>
        <w:t xml:space="preserve"> </w:t>
      </w:r>
      <w:r w:rsidRPr="004E4581">
        <w:rPr>
          <w:rFonts w:ascii="Arial" w:eastAsia="Arial" w:hAnsi="Arial" w:cs="Arial"/>
          <w:color w:val="000000" w:themeColor="text1"/>
          <w:sz w:val="22"/>
          <w:szCs w:val="22"/>
          <w:lang w:val="es-ES" w:eastAsia="es-ES" w:bidi="es-ES"/>
        </w:rPr>
        <w:t>[…]»</w:t>
      </w:r>
      <w:r w:rsidRPr="004E4581">
        <w:rPr>
          <w:rFonts w:ascii="Arial" w:eastAsia="Arial" w:hAnsi="Arial" w:cs="Arial"/>
          <w:color w:val="000000" w:themeColor="text1"/>
          <w:sz w:val="22"/>
          <w:szCs w:val="22"/>
          <w:vertAlign w:val="superscript"/>
          <w:lang w:val="es-ES" w:eastAsia="es-ES" w:bidi="es-ES"/>
        </w:rPr>
        <w:footnoteReference w:id="17"/>
      </w:r>
      <w:r w:rsidRPr="004E4581">
        <w:rPr>
          <w:rFonts w:ascii="Arial" w:eastAsia="Arial" w:hAnsi="Arial" w:cs="Arial"/>
          <w:color w:val="000000" w:themeColor="text1"/>
          <w:sz w:val="22"/>
          <w:szCs w:val="22"/>
          <w:lang w:val="es-ES" w:eastAsia="es-ES" w:bidi="es-ES"/>
        </w:rPr>
        <w:t>.</w:t>
      </w:r>
    </w:p>
    <w:p w14:paraId="53164F81" w14:textId="77777777" w:rsidR="00B540D4" w:rsidRPr="004E4581"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19F4D87D" w14:textId="77777777" w:rsidR="00B540D4" w:rsidRPr="004E4581" w:rsidRDefault="00B540D4" w:rsidP="00B540D4">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p>
    <w:p w14:paraId="6121F7F8" w14:textId="77777777" w:rsidR="00B540D4" w:rsidRPr="004E4581" w:rsidRDefault="00B540D4" w:rsidP="00B540D4">
      <w:pPr>
        <w:ind w:left="709" w:right="709"/>
        <w:jc w:val="both"/>
        <w:rPr>
          <w:rFonts w:ascii="Arial" w:eastAsia="Calibri" w:hAnsi="Arial" w:cs="Arial"/>
          <w:color w:val="000000" w:themeColor="text1"/>
          <w:sz w:val="21"/>
          <w:szCs w:val="21"/>
          <w:lang w:val="es-ES_tradnl" w:eastAsia="en-US"/>
        </w:rPr>
      </w:pPr>
      <w:r w:rsidRPr="004E4581">
        <w:rPr>
          <w:rFonts w:ascii="Arial" w:eastAsia="Calibri" w:hAnsi="Arial" w:cs="Arial"/>
          <w:color w:val="000000" w:themeColor="text1"/>
          <w:sz w:val="21"/>
          <w:szCs w:val="21"/>
          <w:lang w:val="es-ES_tradnl" w:eastAsia="en-US"/>
        </w:rPr>
        <w:t>La Sala de Consulta y Servicio Civil</w:t>
      </w:r>
      <w:r w:rsidRPr="004E4581">
        <w:rPr>
          <w:rFonts w:ascii="Arial" w:eastAsia="Calibri" w:hAnsi="Arial" w:cs="Arial"/>
          <w:color w:val="000000" w:themeColor="text1"/>
          <w:sz w:val="21"/>
          <w:szCs w:val="21"/>
          <w:vertAlign w:val="superscript"/>
          <w:lang w:val="es-ES_tradnl" w:eastAsia="en-US"/>
        </w:rPr>
        <w:footnoteReference w:id="18"/>
      </w:r>
      <w:r w:rsidRPr="004E4581">
        <w:rPr>
          <w:rFonts w:ascii="Arial" w:eastAsia="Calibri" w:hAnsi="Arial" w:cs="Arial"/>
          <w:color w:val="000000" w:themeColor="text1"/>
          <w:sz w:val="21"/>
          <w:szCs w:val="21"/>
          <w:lang w:val="es-ES_tradnl" w:eastAsia="en-US"/>
        </w:rPr>
        <w:t xml:space="preserve"> de esta Corporación se ha referido a los </w:t>
      </w:r>
      <w:r w:rsidRPr="004E4581">
        <w:rPr>
          <w:rFonts w:ascii="Arial" w:eastAsia="Calibri" w:hAnsi="Arial" w:cs="Arial"/>
          <w:i/>
          <w:color w:val="000000" w:themeColor="text1"/>
          <w:sz w:val="21"/>
          <w:szCs w:val="21"/>
          <w:lang w:val="es-ES_tradnl" w:eastAsia="en-US"/>
        </w:rPr>
        <w:t>“convenios interadministrativos”</w:t>
      </w:r>
      <w:r w:rsidRPr="004E4581">
        <w:rPr>
          <w:rFonts w:ascii="Arial" w:eastAsia="Calibri" w:hAnsi="Arial" w:cs="Arial"/>
          <w:color w:val="000000" w:themeColor="text1"/>
          <w:sz w:val="21"/>
          <w:szCs w:val="21"/>
          <w:lang w:val="es-ES_tradnl" w:eastAsia="en-US"/>
        </w:rPr>
        <w:t xml:space="preserve"> a los cuales alude el artículo 95 de la Ley 489 de 1998, calificándolos de </w:t>
      </w:r>
      <w:r w:rsidRPr="004E4581">
        <w:rPr>
          <w:rFonts w:ascii="Arial" w:eastAsia="Calibri" w:hAnsi="Arial" w:cs="Arial"/>
          <w:i/>
          <w:color w:val="000000" w:themeColor="text1"/>
          <w:sz w:val="21"/>
          <w:szCs w:val="21"/>
          <w:lang w:val="es-ES_tradnl" w:eastAsia="en-US"/>
        </w:rPr>
        <w:t xml:space="preserve">“puros” </w:t>
      </w:r>
      <w:r w:rsidRPr="004E4581">
        <w:rPr>
          <w:rFonts w:ascii="Arial" w:eastAsia="Calibr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4E4581">
        <w:rPr>
          <w:rFonts w:ascii="Arial" w:eastAsia="Calibri" w:hAnsi="Arial" w:cs="Arial"/>
          <w:i/>
          <w:color w:val="000000" w:themeColor="text1"/>
          <w:sz w:val="21"/>
          <w:szCs w:val="21"/>
          <w:lang w:val="es-ES_tradnl" w:eastAsia="en-US"/>
        </w:rPr>
        <w:t>“intercambio patrimonial”</w:t>
      </w:r>
      <w:r w:rsidRPr="004E4581">
        <w:rPr>
          <w:rFonts w:ascii="Arial" w:eastAsia="Calibri" w:hAnsi="Arial" w:cs="Arial"/>
          <w:color w:val="000000" w:themeColor="text1"/>
          <w:sz w:val="21"/>
          <w:szCs w:val="21"/>
          <w:lang w:val="es-ES_tradnl" w:eastAsia="en-US"/>
        </w:rPr>
        <w:t>. Sin perjuicio de lo anterior, en otra oportunidad, la misma Sala</w:t>
      </w:r>
      <w:r w:rsidRPr="004E4581">
        <w:rPr>
          <w:rFonts w:ascii="Arial" w:eastAsia="Calibri" w:hAnsi="Arial" w:cs="Arial"/>
          <w:color w:val="000000" w:themeColor="text1"/>
          <w:sz w:val="21"/>
          <w:szCs w:val="21"/>
          <w:vertAlign w:val="superscript"/>
          <w:lang w:val="es-ES_tradnl" w:eastAsia="en-US"/>
        </w:rPr>
        <w:footnoteReference w:id="19"/>
      </w:r>
      <w:r w:rsidRPr="004E4581">
        <w:rPr>
          <w:rFonts w:ascii="Arial" w:eastAsia="Calibri" w:hAnsi="Arial" w:cs="Arial"/>
          <w:color w:val="000000" w:themeColor="text1"/>
          <w:sz w:val="21"/>
          <w:szCs w:val="21"/>
          <w:lang w:val="es-ES_tradnl" w:eastAsia="en-US"/>
        </w:rPr>
        <w:t xml:space="preserve"> había indicado que, si bien en dichos convenios no se daba un </w:t>
      </w:r>
      <w:r w:rsidRPr="004E4581">
        <w:rPr>
          <w:rFonts w:ascii="Arial" w:eastAsia="Calibri" w:hAnsi="Arial" w:cs="Arial"/>
          <w:i/>
          <w:color w:val="000000" w:themeColor="text1"/>
          <w:sz w:val="21"/>
          <w:szCs w:val="21"/>
          <w:lang w:val="es-ES_tradnl" w:eastAsia="en-US"/>
        </w:rPr>
        <w:t>“verdadero intercambio de bienes o servicios (contrato conmutativo)”</w:t>
      </w:r>
      <w:r w:rsidRPr="004E4581">
        <w:rPr>
          <w:rFonts w:ascii="Arial" w:eastAsia="Calibri" w:hAnsi="Arial" w:cs="Arial"/>
          <w:color w:val="000000" w:themeColor="text1"/>
          <w:sz w:val="21"/>
          <w:szCs w:val="21"/>
          <w:lang w:val="es-ES_tradnl" w:eastAsia="en-US"/>
        </w:rPr>
        <w:t>, ello no impedía que se conviniera una remuneración a cargo de alguna(s) entidad(es).</w:t>
      </w:r>
    </w:p>
    <w:p w14:paraId="6F32C6A6" w14:textId="77777777" w:rsidR="00B540D4" w:rsidRPr="004E4581" w:rsidRDefault="00B540D4" w:rsidP="00B540D4">
      <w:pPr>
        <w:ind w:left="709" w:right="709"/>
        <w:jc w:val="both"/>
        <w:rPr>
          <w:rFonts w:ascii="Arial" w:eastAsia="Calibri" w:hAnsi="Arial" w:cs="Arial"/>
          <w:color w:val="000000" w:themeColor="text1"/>
          <w:sz w:val="21"/>
          <w:szCs w:val="21"/>
          <w:lang w:val="es-ES_tradnl" w:eastAsia="en-US"/>
        </w:rPr>
      </w:pPr>
    </w:p>
    <w:p w14:paraId="09FBBB2E" w14:textId="77777777" w:rsidR="00B540D4" w:rsidRPr="004E4581" w:rsidRDefault="00B540D4" w:rsidP="00B540D4">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4E4581">
        <w:rPr>
          <w:rFonts w:ascii="Arial" w:eastAsia="Arial" w:hAnsi="Arial" w:cs="Arial"/>
          <w:i/>
          <w:color w:val="000000" w:themeColor="text1"/>
          <w:sz w:val="21"/>
          <w:szCs w:val="21"/>
          <w:lang w:val="es-ES_tradnl" w:eastAsia="es-ES" w:bidi="es-ES"/>
        </w:rPr>
        <w:t>“convenios interadministrativos”</w:t>
      </w:r>
      <w:r w:rsidRPr="004E4581">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E4581">
        <w:rPr>
          <w:rFonts w:ascii="Arial" w:eastAsia="Arial" w:hAnsi="Arial" w:cs="Arial"/>
          <w:color w:val="000000" w:themeColor="text1"/>
          <w:sz w:val="21"/>
          <w:szCs w:val="21"/>
          <w:vertAlign w:val="superscript"/>
          <w:lang w:val="es-ES_tradnl" w:eastAsia="es-ES" w:bidi="es-ES"/>
        </w:rPr>
        <w:footnoteReference w:id="20"/>
      </w:r>
      <w:r w:rsidRPr="004E4581">
        <w:rPr>
          <w:rFonts w:ascii="Arial" w:eastAsia="Arial" w:hAnsi="Arial" w:cs="Arial"/>
          <w:color w:val="000000" w:themeColor="text1"/>
          <w:sz w:val="21"/>
          <w:szCs w:val="21"/>
          <w:vertAlign w:val="superscript"/>
          <w:lang w:val="es-ES_tradnl" w:eastAsia="es-ES" w:bidi="es-ES"/>
        </w:rPr>
        <w:footnoteReference w:id="21"/>
      </w:r>
      <w:r w:rsidRPr="004E4581">
        <w:rPr>
          <w:rFonts w:ascii="Arial" w:eastAsia="Arial" w:hAnsi="Arial" w:cs="Arial"/>
          <w:color w:val="000000" w:themeColor="text1"/>
          <w:sz w:val="21"/>
          <w:szCs w:val="21"/>
          <w:lang w:val="es-ES_tradnl" w:eastAsia="es-ES" w:bidi="es-ES"/>
        </w:rPr>
        <w:t>.</w:t>
      </w:r>
    </w:p>
    <w:p w14:paraId="19488458" w14:textId="77777777" w:rsidR="00B540D4" w:rsidRPr="004E4581"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E09D307" w14:textId="77777777" w:rsidR="00B540D4" w:rsidRPr="004E4581" w:rsidRDefault="00B540D4" w:rsidP="00B540D4">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b/>
        <w:t>Sin embargo, es preciso reiterar que el legislador y el ordenamiento jurídico, en general, en diferentes ocasiones utiliza de forma indistinta los conceptos de contrato o convenio para referirse a la misma institución jurídica</w:t>
      </w:r>
      <w:r w:rsidRPr="004E4581">
        <w:rPr>
          <w:rFonts w:ascii="Arial" w:eastAsia="Arial" w:hAnsi="Arial" w:cs="Arial"/>
          <w:color w:val="000000" w:themeColor="text1"/>
          <w:sz w:val="22"/>
          <w:szCs w:val="22"/>
          <w:vertAlign w:val="superscript"/>
          <w:lang w:val="es-ES" w:eastAsia="es-ES" w:bidi="es-ES"/>
        </w:rPr>
        <w:footnoteReference w:id="22"/>
      </w:r>
      <w:r w:rsidRPr="004E4581">
        <w:rPr>
          <w:rFonts w:ascii="Arial" w:eastAsia="Arial" w:hAnsi="Arial" w:cs="Arial"/>
          <w:color w:val="000000" w:themeColor="text1"/>
          <w:sz w:val="22"/>
          <w:szCs w:val="22"/>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E4581">
        <w:rPr>
          <w:rFonts w:ascii="Arial" w:eastAsia="Arial" w:hAnsi="Arial" w:cs="Arial"/>
          <w:color w:val="000000" w:themeColor="text1"/>
          <w:sz w:val="22"/>
          <w:szCs w:val="22"/>
          <w:vertAlign w:val="superscript"/>
          <w:lang w:val="es-ES" w:eastAsia="es-ES" w:bidi="es-ES"/>
        </w:rPr>
        <w:footnoteReference w:id="23"/>
      </w:r>
      <w:r w:rsidRPr="004E4581">
        <w:rPr>
          <w:rFonts w:ascii="Arial" w:eastAsia="Arial" w:hAnsi="Arial" w:cs="Arial"/>
          <w:color w:val="000000" w:themeColor="text1"/>
          <w:sz w:val="22"/>
          <w:szCs w:val="22"/>
          <w:lang w:val="es-ES" w:eastAsia="es-ES" w:bidi="es-ES"/>
        </w:rPr>
        <w:t>.</w:t>
      </w:r>
    </w:p>
    <w:p w14:paraId="29F169B8" w14:textId="77777777" w:rsidR="00B540D4" w:rsidRPr="004E4581"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ab/>
        <w:t>En desarrollo de lo anterior, cabe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D7177D5" w14:textId="77777777" w:rsidR="00B540D4" w:rsidRPr="004E4581"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750F04DC" w14:textId="77777777" w:rsidR="00B540D4" w:rsidRPr="004E4581" w:rsidRDefault="00B540D4" w:rsidP="00B540D4">
      <w:pPr>
        <w:ind w:left="709" w:right="709"/>
        <w:jc w:val="both"/>
        <w:rPr>
          <w:rFonts w:ascii="Arial" w:eastAsia="Calibri" w:hAnsi="Arial" w:cs="Arial"/>
          <w:color w:val="000000" w:themeColor="text1"/>
          <w:sz w:val="21"/>
          <w:szCs w:val="21"/>
          <w:lang w:val="es-MX" w:eastAsia="en-US"/>
        </w:rPr>
      </w:pPr>
      <w:r w:rsidRPr="004E4581">
        <w:rPr>
          <w:rFonts w:ascii="Arial" w:eastAsia="Calibr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E4581">
        <w:rPr>
          <w:rFonts w:ascii="Arial" w:eastAsia="Calibr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C3A6DFF" w14:textId="77777777" w:rsidR="00B540D4" w:rsidRPr="004E4581" w:rsidRDefault="00B540D4" w:rsidP="00B540D4">
      <w:pPr>
        <w:ind w:left="709" w:right="709"/>
        <w:jc w:val="both"/>
        <w:rPr>
          <w:rFonts w:ascii="Arial" w:eastAsia="Calibri" w:hAnsi="Arial" w:cs="Arial"/>
          <w:color w:val="000000" w:themeColor="text1"/>
          <w:sz w:val="21"/>
          <w:szCs w:val="21"/>
          <w:lang w:val="es-MX" w:eastAsia="en-US"/>
        </w:rPr>
      </w:pPr>
    </w:p>
    <w:p w14:paraId="489AB610" w14:textId="77777777" w:rsidR="00B540D4" w:rsidRPr="004E4581" w:rsidRDefault="00B540D4" w:rsidP="00B540D4">
      <w:pPr>
        <w:ind w:left="709" w:right="709"/>
        <w:jc w:val="both"/>
        <w:rPr>
          <w:rFonts w:ascii="Arial" w:eastAsia="Calibri" w:hAnsi="Arial" w:cs="Arial"/>
          <w:color w:val="000000" w:themeColor="text1"/>
          <w:sz w:val="21"/>
          <w:szCs w:val="21"/>
          <w:lang w:val="es-MX" w:eastAsia="en-US"/>
        </w:rPr>
      </w:pPr>
      <w:r w:rsidRPr="004E4581">
        <w:rPr>
          <w:rFonts w:ascii="Arial" w:eastAsia="Calibri" w:hAnsi="Arial" w:cs="Arial"/>
          <w:color w:val="000000" w:themeColor="text1"/>
          <w:sz w:val="21"/>
          <w:szCs w:val="21"/>
          <w:lang w:val="es-MX" w:eastAsia="en-US"/>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476943" w14:textId="77777777" w:rsidR="00B540D4" w:rsidRPr="004E4581" w:rsidRDefault="00B540D4" w:rsidP="00B540D4">
      <w:pPr>
        <w:ind w:left="709" w:right="709"/>
        <w:jc w:val="both"/>
        <w:rPr>
          <w:rFonts w:ascii="Arial" w:eastAsia="Calibri" w:hAnsi="Arial" w:cs="Arial"/>
          <w:color w:val="000000" w:themeColor="text1"/>
          <w:sz w:val="21"/>
          <w:szCs w:val="21"/>
          <w:lang w:val="es-MX" w:eastAsia="en-US"/>
        </w:rPr>
      </w:pPr>
    </w:p>
    <w:p w14:paraId="389E2D4C" w14:textId="77777777" w:rsidR="00B540D4" w:rsidRPr="004E4581" w:rsidRDefault="00B540D4" w:rsidP="00B540D4">
      <w:pPr>
        <w:ind w:left="709" w:right="709"/>
        <w:jc w:val="both"/>
        <w:rPr>
          <w:rFonts w:ascii="Calibri" w:eastAsia="Calibri" w:hAnsi="Calibri"/>
          <w:color w:val="000000" w:themeColor="text1"/>
          <w:szCs w:val="22"/>
          <w:lang w:val="es-MX" w:eastAsia="en-US"/>
        </w:rPr>
      </w:pPr>
      <w:r w:rsidRPr="004E4581">
        <w:rPr>
          <w:rFonts w:ascii="Arial" w:eastAsia="Calibri" w:hAnsi="Arial" w:cs="Arial"/>
          <w:color w:val="000000" w:themeColor="text1"/>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73C7D20" w14:textId="77777777" w:rsidR="00B540D4" w:rsidRPr="004E4581" w:rsidRDefault="00B540D4" w:rsidP="00B540D4">
      <w:pPr>
        <w:widowControl w:val="0"/>
        <w:autoSpaceDE w:val="0"/>
        <w:autoSpaceDN w:val="0"/>
        <w:spacing w:before="3"/>
        <w:rPr>
          <w:rFonts w:ascii="Arial" w:eastAsia="Arial" w:hAnsi="Arial" w:cs="Arial"/>
          <w:color w:val="000000" w:themeColor="text1"/>
          <w:sz w:val="25"/>
          <w:szCs w:val="22"/>
          <w:lang w:val="es-ES" w:eastAsia="es-ES" w:bidi="es-ES"/>
        </w:rPr>
      </w:pPr>
    </w:p>
    <w:p w14:paraId="5698F729" w14:textId="7B1586C5" w:rsidR="00B540D4" w:rsidRPr="00BA6554" w:rsidRDefault="00B540D4" w:rsidP="00B540D4">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5"/>
          <w:szCs w:val="22"/>
          <w:lang w:val="es-ES" w:eastAsia="es-ES" w:bidi="es-ES"/>
        </w:rPr>
        <w:tab/>
      </w:r>
      <w:r w:rsidRPr="00BA6554">
        <w:rPr>
          <w:rFonts w:ascii="Arial" w:eastAsia="Arial" w:hAnsi="Arial" w:cs="Arial"/>
          <w:color w:val="000000" w:themeColor="text1"/>
          <w:sz w:val="22"/>
          <w:szCs w:val="22"/>
          <w:lang w:val="es-ES" w:eastAsia="es-ES" w:bidi="es-ES"/>
        </w:rPr>
        <w:t>Teniendo en cuenta lo anterior, se reitera la conclusión</w:t>
      </w:r>
      <w:r w:rsidR="00AE71B5">
        <w:rPr>
          <w:rFonts w:ascii="Arial" w:eastAsia="Arial" w:hAnsi="Arial" w:cs="Arial"/>
          <w:color w:val="000000" w:themeColor="text1"/>
          <w:sz w:val="22"/>
          <w:szCs w:val="22"/>
          <w:lang w:val="es-ES" w:eastAsia="es-ES" w:bidi="es-ES"/>
        </w:rPr>
        <w:t>,</w:t>
      </w:r>
      <w:r w:rsidRPr="00BA6554">
        <w:rPr>
          <w:rFonts w:ascii="Arial" w:eastAsia="Arial" w:hAnsi="Arial" w:cs="Arial"/>
          <w:color w:val="000000" w:themeColor="text1"/>
          <w:sz w:val="22"/>
          <w:szCs w:val="22"/>
          <w:lang w:val="es-ES" w:eastAsia="es-ES" w:bidi="es-ES"/>
        </w:rPr>
        <w:t xml:space="preserve"> en el sentido de que lo que define los contratos o convenios interadministrativos es la naturaleza de las partes, de manera que están determinados por un criterio orgánico, en el entendido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08BB463D" w14:textId="6318E6BF" w:rsidR="00820D42" w:rsidRPr="00BA6554" w:rsidRDefault="00B540D4" w:rsidP="00BA6554">
      <w:pPr>
        <w:spacing w:line="276" w:lineRule="auto"/>
        <w:ind w:firstLine="708"/>
        <w:jc w:val="both"/>
        <w:rPr>
          <w:rFonts w:ascii="Arial" w:hAnsi="Arial" w:cs="Arial"/>
          <w:color w:val="000000" w:themeColor="text1"/>
          <w:sz w:val="22"/>
          <w:szCs w:val="22"/>
        </w:rPr>
      </w:pPr>
      <w:r w:rsidRPr="00BA6554">
        <w:rPr>
          <w:rFonts w:ascii="Arial" w:hAnsi="Arial" w:cs="Arial"/>
          <w:color w:val="000000" w:themeColor="text1"/>
          <w:sz w:val="22"/>
          <w:szCs w:val="22"/>
          <w:lang w:val="es-ES"/>
        </w:rPr>
        <w:t>Se evidencia que e</w:t>
      </w:r>
      <w:r w:rsidRPr="00BA6554">
        <w:rPr>
          <w:rFonts w:ascii="Arial" w:hAnsi="Arial" w:cs="Arial"/>
          <w:color w:val="000000" w:themeColor="text1"/>
          <w:sz w:val="22"/>
          <w:szCs w:val="22"/>
        </w:rPr>
        <w:t xml:space="preserve">l parágrafo del artículo 38 de la Ley 996 de 2005 prohíbe a los gobernadores, alcaldes, secretarios, gerentes y directores de las entidades estatales de orden Municipal, Departamental o Distrital, la celebración de convenios o contratos interadministrativos que ejecuten recursos públicos. En este sentido, si una o ambas partes son entidades estatales, de aquellas descritas en el parágrafo del artículo 38 </w:t>
      </w:r>
      <w:r w:rsidRPr="00BA6554">
        <w:rPr>
          <w:rFonts w:ascii="Arial" w:hAnsi="Arial" w:cs="Arial"/>
          <w:i/>
          <w:color w:val="000000" w:themeColor="text1"/>
          <w:sz w:val="22"/>
          <w:szCs w:val="22"/>
        </w:rPr>
        <w:t>ibidem</w:t>
      </w:r>
      <w:r w:rsidRPr="00BA6554">
        <w:rPr>
          <w:rFonts w:ascii="Arial" w:hAnsi="Arial" w:cs="Arial"/>
          <w:color w:val="000000" w:themeColor="text1"/>
          <w:sz w:val="22"/>
          <w:szCs w:val="22"/>
        </w:rPr>
        <w:t xml:space="preserve">, </w:t>
      </w:r>
      <w:r w:rsidR="00256A16">
        <w:rPr>
          <w:rFonts w:ascii="Arial" w:hAnsi="Arial" w:cs="Arial"/>
          <w:color w:val="000000" w:themeColor="text1"/>
          <w:sz w:val="22"/>
          <w:szCs w:val="22"/>
        </w:rPr>
        <w:t xml:space="preserve">en principio, </w:t>
      </w:r>
      <w:r w:rsidRPr="00BA6554">
        <w:rPr>
          <w:rFonts w:ascii="Arial" w:hAnsi="Arial" w:cs="Arial"/>
          <w:color w:val="000000" w:themeColor="text1"/>
          <w:sz w:val="22"/>
          <w:szCs w:val="22"/>
        </w:rPr>
        <w:t>no podrán celebrar entre estas convenios o contratos durante el periodo electoral que se llevará el próximo año, indistintamente de su objeto contractual, pues, como se anotó en precedencia, si las partes son entidades estatales su denominación será la de un contrato o convenio interadministrativo, y la celebración de dichos contratos está restringida en el parágrafo del artículo 38 de la Ley 996 de 2005, la cual no dispuso excepción alguna por su</w:t>
      </w:r>
      <w:r w:rsidRPr="00BA6554">
        <w:rPr>
          <w:rFonts w:ascii="Arial" w:hAnsi="Arial" w:cs="Arial"/>
          <w:color w:val="000000" w:themeColor="text1"/>
          <w:spacing w:val="-5"/>
          <w:sz w:val="22"/>
          <w:szCs w:val="22"/>
        </w:rPr>
        <w:t xml:space="preserve"> </w:t>
      </w:r>
      <w:r w:rsidRPr="00BA6554">
        <w:rPr>
          <w:rFonts w:ascii="Arial" w:hAnsi="Arial" w:cs="Arial"/>
          <w:color w:val="000000" w:themeColor="text1"/>
          <w:sz w:val="22"/>
          <w:szCs w:val="22"/>
        </w:rPr>
        <w:t>objeto.</w:t>
      </w:r>
    </w:p>
    <w:p w14:paraId="0C3E159F" w14:textId="77777777" w:rsidR="00B540D4" w:rsidRPr="004461D0" w:rsidRDefault="00B540D4" w:rsidP="00423CF8">
      <w:pPr>
        <w:spacing w:line="276" w:lineRule="auto"/>
        <w:jc w:val="both"/>
        <w:rPr>
          <w:rFonts w:ascii="Arial" w:hAnsi="Arial" w:cs="Arial"/>
          <w:bCs/>
          <w:sz w:val="22"/>
          <w:szCs w:val="22"/>
          <w:lang w:eastAsia="es-CO"/>
        </w:rPr>
      </w:pPr>
    </w:p>
    <w:p w14:paraId="085C6ECF" w14:textId="4A0969FF" w:rsidR="00423CF8" w:rsidRDefault="00B244DB" w:rsidP="00423CF8">
      <w:pPr>
        <w:tabs>
          <w:tab w:val="left" w:pos="426"/>
        </w:tabs>
        <w:spacing w:line="276" w:lineRule="auto"/>
        <w:jc w:val="both"/>
        <w:rPr>
          <w:rFonts w:ascii="Arial" w:eastAsia="Calibri" w:hAnsi="Arial" w:cs="Arial"/>
          <w:b/>
          <w:bCs/>
          <w:sz w:val="22"/>
          <w:szCs w:val="22"/>
          <w:lang w:eastAsia="en-US"/>
        </w:rPr>
      </w:pPr>
      <w:r w:rsidRPr="00B244DB">
        <w:rPr>
          <w:rFonts w:ascii="Arial" w:eastAsia="Calibri" w:hAnsi="Arial" w:cs="Arial"/>
          <w:b/>
          <w:bCs/>
          <w:sz w:val="22"/>
          <w:szCs w:val="22"/>
          <w:lang w:eastAsia="en-US"/>
        </w:rPr>
        <w:lastRenderedPageBreak/>
        <w:t>2.3.</w:t>
      </w:r>
      <w:r w:rsidR="00423CF8">
        <w:rPr>
          <w:rFonts w:ascii="Arial" w:eastAsia="Calibri" w:hAnsi="Arial" w:cs="Arial"/>
          <w:b/>
          <w:bCs/>
          <w:sz w:val="22"/>
          <w:szCs w:val="22"/>
          <w:lang w:eastAsia="en-US"/>
        </w:rPr>
        <w:t>2.</w:t>
      </w:r>
      <w:r w:rsidRPr="00B244DB">
        <w:rPr>
          <w:rFonts w:ascii="Arial" w:eastAsia="Calibri" w:hAnsi="Arial" w:cs="Arial"/>
          <w:b/>
          <w:bCs/>
          <w:sz w:val="22"/>
          <w:szCs w:val="22"/>
          <w:lang w:eastAsia="en-US"/>
        </w:rPr>
        <w:t xml:space="preserve"> Modificación del artículo 124 de la Ley 2159 de 2021 a la Ley de Garantías Electorales</w:t>
      </w:r>
      <w:r w:rsidR="00FA14B9">
        <w:rPr>
          <w:rFonts w:ascii="Arial" w:eastAsia="Calibri" w:hAnsi="Arial" w:cs="Arial"/>
          <w:b/>
          <w:bCs/>
          <w:sz w:val="22"/>
          <w:szCs w:val="22"/>
          <w:lang w:eastAsia="en-US"/>
        </w:rPr>
        <w:t>: alcance e interpretación</w:t>
      </w:r>
    </w:p>
    <w:p w14:paraId="23295D10" w14:textId="77777777" w:rsidR="00423CF8" w:rsidRDefault="00423CF8" w:rsidP="00423CF8">
      <w:pPr>
        <w:tabs>
          <w:tab w:val="left" w:pos="426"/>
        </w:tabs>
        <w:spacing w:line="276" w:lineRule="auto"/>
        <w:jc w:val="both"/>
        <w:rPr>
          <w:rFonts w:ascii="Arial" w:eastAsia="Calibri" w:hAnsi="Arial" w:cs="Arial"/>
          <w:b/>
          <w:bCs/>
          <w:sz w:val="22"/>
          <w:szCs w:val="22"/>
          <w:lang w:eastAsia="en-US"/>
        </w:rPr>
      </w:pPr>
    </w:p>
    <w:p w14:paraId="7A1E1D05" w14:textId="0F29B29C" w:rsidR="00B244DB" w:rsidRDefault="00B244DB" w:rsidP="00423CF8">
      <w:pPr>
        <w:tabs>
          <w:tab w:val="left" w:pos="426"/>
        </w:tabs>
        <w:spacing w:line="276" w:lineRule="auto"/>
        <w:jc w:val="both"/>
        <w:rPr>
          <w:rFonts w:ascii="Arial" w:eastAsia="Calibri" w:hAnsi="Arial" w:cs="Arial"/>
          <w:sz w:val="22"/>
          <w:szCs w:val="22"/>
          <w:lang w:eastAsia="en-US"/>
        </w:rPr>
      </w:pPr>
      <w:r w:rsidRPr="00B244DB">
        <w:rPr>
          <w:rFonts w:ascii="Arial" w:eastAsia="Calibri" w:hAnsi="Arial" w:cs="Arial"/>
          <w:sz w:val="22"/>
          <w:szCs w:val="22"/>
          <w:lang w:eastAsia="en-US"/>
        </w:rPr>
        <w:t>El 12 de noviembre de 2021 el Congreso de la República promulgó la Ley 2159 de 2021 «Por la cual se decreta el presupuesto de rentas y ley de apropiaciones para la vigencia fiscal del 1º de enero al 31 de diciembre de 2022». El artículo 124 de dicho cuerpo normativo modificó el parágrafo del artículo 38 de la Ley 996 de 2005, en los siguientes términos:</w:t>
      </w:r>
    </w:p>
    <w:p w14:paraId="4DB5C1BE" w14:textId="77777777" w:rsidR="00423CF8" w:rsidRPr="00423CF8" w:rsidRDefault="00423CF8" w:rsidP="00423CF8">
      <w:pPr>
        <w:tabs>
          <w:tab w:val="left" w:pos="426"/>
        </w:tabs>
        <w:spacing w:line="276" w:lineRule="auto"/>
        <w:jc w:val="both"/>
        <w:rPr>
          <w:rFonts w:ascii="Arial" w:eastAsia="Calibri" w:hAnsi="Arial" w:cs="Arial"/>
          <w:b/>
          <w:bCs/>
          <w:sz w:val="22"/>
          <w:szCs w:val="22"/>
          <w:lang w:eastAsia="en-US"/>
        </w:rPr>
      </w:pPr>
    </w:p>
    <w:p w14:paraId="704C3F6D" w14:textId="00A2E920" w:rsidR="00B244DB" w:rsidRPr="00B244DB" w:rsidRDefault="00F30597" w:rsidP="00B244DB">
      <w:pPr>
        <w:spacing w:after="120"/>
        <w:ind w:left="709" w:right="709"/>
        <w:jc w:val="both"/>
        <w:rPr>
          <w:rFonts w:ascii="Arial" w:eastAsia="Calibri" w:hAnsi="Arial" w:cs="Arial"/>
          <w:sz w:val="21"/>
          <w:szCs w:val="21"/>
          <w:lang w:eastAsia="en-US"/>
        </w:rPr>
      </w:pPr>
      <w:r w:rsidRPr="00B244DB">
        <w:rPr>
          <w:rFonts w:ascii="Arial" w:eastAsia="Calibri" w:hAnsi="Arial" w:cs="Arial"/>
          <w:sz w:val="22"/>
          <w:szCs w:val="22"/>
          <w:lang w:eastAsia="en-US"/>
        </w:rPr>
        <w:t>«</w:t>
      </w:r>
      <w:r w:rsidR="00B244DB" w:rsidRPr="00B244DB">
        <w:rPr>
          <w:rFonts w:ascii="Arial" w:eastAsia="Calibri" w:hAnsi="Arial" w:cs="Arial"/>
          <w:sz w:val="21"/>
          <w:szCs w:val="21"/>
          <w:lang w:eastAsia="en-US"/>
        </w:rPr>
        <w:t xml:space="preserve">ARTÍCULO 124. Con el propósito de promover la reactivación económica y la generación de empleo en las regiones, a partir de la publicación de la presente ley y durante la vigencia fiscal 2022, </w:t>
      </w:r>
      <w:r w:rsidR="00B244DB" w:rsidRPr="00E84999">
        <w:rPr>
          <w:rFonts w:ascii="Arial" w:eastAsia="Calibri" w:hAnsi="Arial" w:cs="Arial"/>
          <w:i/>
          <w:sz w:val="21"/>
          <w:szCs w:val="21"/>
          <w:lang w:eastAsia="en-US"/>
        </w:rPr>
        <w:t>la Nación podrá celebrar convenios interadministrativos con las entidades territoriales para ejecutar programas y proyectos correspondientes al Presupuesto General de la Nación.</w:t>
      </w:r>
    </w:p>
    <w:p w14:paraId="382A271E" w14:textId="0E0739E2" w:rsidR="00B244DB" w:rsidRPr="00B244DB" w:rsidRDefault="00F30597" w:rsidP="00B244DB">
      <w:pPr>
        <w:spacing w:after="120"/>
        <w:ind w:left="709" w:right="709"/>
        <w:jc w:val="both"/>
        <w:rPr>
          <w:rFonts w:ascii="Arial" w:eastAsia="Calibri" w:hAnsi="Arial" w:cs="Arial"/>
          <w:sz w:val="21"/>
          <w:szCs w:val="21"/>
          <w:lang w:eastAsia="en-US"/>
        </w:rPr>
      </w:pPr>
      <w:r w:rsidRPr="00B244DB">
        <w:rPr>
          <w:rFonts w:ascii="Arial" w:eastAsia="Calibri" w:hAnsi="Arial" w:cs="Arial"/>
          <w:sz w:val="22"/>
          <w:szCs w:val="22"/>
          <w:lang w:eastAsia="en-US"/>
        </w:rPr>
        <w:t>»</w:t>
      </w:r>
      <w:r>
        <w:rPr>
          <w:rFonts w:ascii="Arial" w:eastAsia="Calibri" w:hAnsi="Arial" w:cs="Arial"/>
          <w:sz w:val="22"/>
          <w:szCs w:val="22"/>
          <w:lang w:eastAsia="en-US"/>
        </w:rPr>
        <w:t xml:space="preserve"> </w:t>
      </w:r>
      <w:r w:rsidR="00B244DB" w:rsidRPr="00B244DB">
        <w:rPr>
          <w:rFonts w:ascii="Arial" w:eastAsia="Calibri" w:hAnsi="Arial" w:cs="Arial"/>
          <w:sz w:val="21"/>
          <w:szCs w:val="21"/>
          <w:lang w:eastAsia="en-US"/>
        </w:rPr>
        <w:t>La presente disposición modifica únicamente en la parte pertinente el inciso primero del parágrafo del artículo 38 de la Ley 996 de 2005.</w:t>
      </w:r>
    </w:p>
    <w:p w14:paraId="442B80BE" w14:textId="4FADD7C7" w:rsidR="00B244DB" w:rsidRPr="00B244DB" w:rsidRDefault="00F30597" w:rsidP="00B244DB">
      <w:pPr>
        <w:spacing w:after="120"/>
        <w:ind w:left="709" w:right="709"/>
        <w:jc w:val="both"/>
        <w:rPr>
          <w:rFonts w:ascii="Arial" w:eastAsia="Calibri" w:hAnsi="Arial" w:cs="Arial"/>
          <w:sz w:val="21"/>
          <w:szCs w:val="21"/>
          <w:lang w:eastAsia="en-US"/>
        </w:rPr>
      </w:pPr>
      <w:r w:rsidRPr="00B244DB">
        <w:rPr>
          <w:rFonts w:ascii="Arial" w:eastAsia="Calibri" w:hAnsi="Arial" w:cs="Arial"/>
          <w:sz w:val="22"/>
          <w:szCs w:val="22"/>
          <w:lang w:eastAsia="en-US"/>
        </w:rPr>
        <w:t>»</w:t>
      </w:r>
      <w:r>
        <w:rPr>
          <w:rFonts w:ascii="Arial" w:eastAsia="Calibri" w:hAnsi="Arial" w:cs="Arial"/>
          <w:sz w:val="22"/>
          <w:szCs w:val="22"/>
          <w:lang w:eastAsia="en-US"/>
        </w:rPr>
        <w:t xml:space="preserve"> </w:t>
      </w:r>
      <w:r w:rsidR="00B244DB" w:rsidRPr="00B244DB">
        <w:rPr>
          <w:rFonts w:ascii="Arial" w:eastAsia="Calibri" w:hAnsi="Arial" w:cs="Arial"/>
          <w:sz w:val="21"/>
          <w:szCs w:val="21"/>
          <w:lang w:eastAsia="en-US"/>
        </w:rPr>
        <w:t xml:space="preserve">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w:t>
      </w:r>
      <w:r w:rsidR="00E84999">
        <w:rPr>
          <w:rFonts w:ascii="Arial" w:eastAsia="Calibri" w:hAnsi="Arial" w:cs="Arial"/>
          <w:sz w:val="21"/>
          <w:szCs w:val="21"/>
          <w:lang w:eastAsia="en-US"/>
        </w:rPr>
        <w:t>ejercerá dicho control especial</w:t>
      </w:r>
      <w:r w:rsidRPr="00B244DB">
        <w:rPr>
          <w:rFonts w:ascii="Arial" w:eastAsia="Calibri" w:hAnsi="Arial" w:cs="Arial"/>
          <w:sz w:val="22"/>
          <w:szCs w:val="22"/>
          <w:lang w:eastAsia="en-US"/>
        </w:rPr>
        <w:t>»</w:t>
      </w:r>
      <w:r w:rsidR="00E84999">
        <w:rPr>
          <w:rFonts w:ascii="Arial" w:eastAsia="Calibri" w:hAnsi="Arial" w:cs="Arial"/>
          <w:sz w:val="21"/>
          <w:szCs w:val="21"/>
          <w:lang w:eastAsia="en-US"/>
        </w:rPr>
        <w:t xml:space="preserve"> (énfasis fuera de texto). </w:t>
      </w:r>
    </w:p>
    <w:p w14:paraId="676CA284" w14:textId="77777777" w:rsidR="00423CF8" w:rsidRDefault="00423CF8" w:rsidP="00B244DB">
      <w:pPr>
        <w:spacing w:after="120" w:line="276" w:lineRule="auto"/>
        <w:ind w:firstLine="709"/>
        <w:jc w:val="both"/>
        <w:rPr>
          <w:rFonts w:ascii="Arial" w:eastAsia="Calibri" w:hAnsi="Arial" w:cs="Arial"/>
          <w:sz w:val="22"/>
          <w:szCs w:val="22"/>
          <w:lang w:eastAsia="en-US"/>
        </w:rPr>
      </w:pPr>
    </w:p>
    <w:p w14:paraId="364DAA85" w14:textId="5A64BEAB" w:rsidR="00FA14B9" w:rsidRDefault="00FA14B9" w:rsidP="00B244DB">
      <w:pPr>
        <w:spacing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Teniendo en cuenta el contenido del artículo 124 de la Ley 2159 de 2021, se </w:t>
      </w:r>
      <w:r w:rsidR="00E84999">
        <w:rPr>
          <w:rFonts w:ascii="Arial" w:eastAsia="Calibri" w:hAnsi="Arial" w:cs="Arial"/>
          <w:sz w:val="22"/>
          <w:szCs w:val="22"/>
          <w:lang w:eastAsia="en-US"/>
        </w:rPr>
        <w:t xml:space="preserve">derivan </w:t>
      </w:r>
      <w:r>
        <w:rPr>
          <w:rFonts w:ascii="Arial" w:eastAsia="Calibri" w:hAnsi="Arial" w:cs="Arial"/>
          <w:sz w:val="22"/>
          <w:szCs w:val="22"/>
          <w:lang w:eastAsia="en-US"/>
        </w:rPr>
        <w:t>las siguientes reglas</w:t>
      </w:r>
      <w:r w:rsidR="006604C3">
        <w:rPr>
          <w:rFonts w:ascii="Arial" w:eastAsia="Calibri" w:hAnsi="Arial" w:cs="Arial"/>
          <w:sz w:val="22"/>
          <w:szCs w:val="22"/>
          <w:lang w:eastAsia="en-US"/>
        </w:rPr>
        <w:t xml:space="preserve"> para las entidades estatales</w:t>
      </w:r>
      <w:r>
        <w:rPr>
          <w:rFonts w:ascii="Arial" w:eastAsia="Calibri" w:hAnsi="Arial" w:cs="Arial"/>
          <w:sz w:val="22"/>
          <w:szCs w:val="22"/>
          <w:lang w:eastAsia="en-US"/>
        </w:rPr>
        <w:t>:</w:t>
      </w:r>
    </w:p>
    <w:p w14:paraId="53F6C081" w14:textId="264DA78C" w:rsidR="00B244DB" w:rsidRPr="00B244DB" w:rsidRDefault="00FA14B9" w:rsidP="00B244DB">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1.</w:t>
      </w:r>
      <w:r>
        <w:rPr>
          <w:rFonts w:ascii="Arial" w:eastAsia="Calibri" w:hAnsi="Arial" w:cs="Arial"/>
          <w:sz w:val="22"/>
          <w:szCs w:val="22"/>
          <w:lang w:eastAsia="en-US"/>
        </w:rPr>
        <w:t xml:space="preserve"> E</w:t>
      </w:r>
      <w:r w:rsidR="00E84999">
        <w:rPr>
          <w:rFonts w:ascii="Arial" w:eastAsia="Calibri" w:hAnsi="Arial" w:cs="Arial"/>
          <w:sz w:val="22"/>
          <w:szCs w:val="22"/>
          <w:lang w:eastAsia="en-US"/>
        </w:rPr>
        <w:t xml:space="preserve">l alcance del artículo 124 de la Ley 2159 de 2021 </w:t>
      </w:r>
      <w:r w:rsidR="00200759">
        <w:rPr>
          <w:rFonts w:ascii="Arial" w:eastAsia="Calibri" w:hAnsi="Arial" w:cs="Arial"/>
          <w:sz w:val="22"/>
          <w:szCs w:val="22"/>
          <w:lang w:eastAsia="en-US"/>
        </w:rPr>
        <w:t>tiene como cometido</w:t>
      </w:r>
      <w:r w:rsidR="00B244DB" w:rsidRPr="00B244DB">
        <w:rPr>
          <w:rFonts w:ascii="Arial" w:eastAsia="Calibri" w:hAnsi="Arial" w:cs="Arial"/>
          <w:sz w:val="22"/>
          <w:szCs w:val="22"/>
          <w:lang w:eastAsia="en-US"/>
        </w:rPr>
        <w:t xml:space="preserve">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3C43F9A4" w14:textId="255F67D1" w:rsidR="00B244DB" w:rsidRPr="00B244DB" w:rsidRDefault="00FA14B9" w:rsidP="00B244DB">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2.</w:t>
      </w:r>
      <w:r>
        <w:rPr>
          <w:rFonts w:ascii="Arial" w:eastAsia="Calibri" w:hAnsi="Arial" w:cs="Arial"/>
          <w:sz w:val="22"/>
          <w:szCs w:val="22"/>
          <w:lang w:eastAsia="en-US"/>
        </w:rPr>
        <w:t xml:space="preserve"> Durante </w:t>
      </w:r>
      <w:r w:rsidR="00B244DB" w:rsidRPr="00B244DB">
        <w:rPr>
          <w:rFonts w:ascii="Arial" w:eastAsia="Calibri" w:hAnsi="Arial" w:cs="Arial"/>
          <w:sz w:val="22"/>
          <w:szCs w:val="22"/>
          <w:lang w:eastAsia="en-US"/>
        </w:rPr>
        <w:t>los cuatro (4) meses previos a la elección preside</w:t>
      </w:r>
      <w:r w:rsidR="00E84999">
        <w:rPr>
          <w:rFonts w:ascii="Arial" w:eastAsia="Calibri" w:hAnsi="Arial" w:cs="Arial"/>
          <w:sz w:val="22"/>
          <w:szCs w:val="22"/>
          <w:lang w:eastAsia="en-US"/>
        </w:rPr>
        <w:t xml:space="preserve">ncial del año 2022 solamente </w:t>
      </w:r>
      <w:r w:rsidR="00B244DB" w:rsidRPr="00B244DB">
        <w:rPr>
          <w:rFonts w:ascii="Arial" w:eastAsia="Calibri" w:hAnsi="Arial" w:cs="Arial"/>
          <w:sz w:val="22"/>
          <w:szCs w:val="22"/>
          <w:lang w:eastAsia="en-US"/>
        </w:rPr>
        <w:t>podrán celebrar</w:t>
      </w:r>
      <w:r w:rsidR="00E84999">
        <w:rPr>
          <w:rFonts w:ascii="Arial" w:eastAsia="Calibri" w:hAnsi="Arial" w:cs="Arial"/>
          <w:sz w:val="22"/>
          <w:szCs w:val="22"/>
          <w:lang w:eastAsia="en-US"/>
        </w:rPr>
        <w:t>se</w:t>
      </w:r>
      <w:r w:rsidR="00B244DB" w:rsidRPr="00B244DB">
        <w:rPr>
          <w:rFonts w:ascii="Arial" w:eastAsia="Calibri" w:hAnsi="Arial" w:cs="Arial"/>
          <w:sz w:val="22"/>
          <w:szCs w:val="22"/>
          <w:lang w:eastAsia="en-US"/>
        </w:rPr>
        <w:t xml:space="preserve"> convenios </w:t>
      </w:r>
      <w:r w:rsidR="006B2552">
        <w:rPr>
          <w:rFonts w:ascii="Arial" w:eastAsia="Calibri" w:hAnsi="Arial" w:cs="Arial"/>
          <w:sz w:val="22"/>
          <w:szCs w:val="22"/>
          <w:lang w:eastAsia="en-US"/>
        </w:rPr>
        <w:t>o contratos inter</w:t>
      </w:r>
      <w:r w:rsidR="00B244DB" w:rsidRPr="00B244DB">
        <w:rPr>
          <w:rFonts w:ascii="Arial" w:eastAsia="Calibri" w:hAnsi="Arial" w:cs="Arial"/>
          <w:sz w:val="22"/>
          <w:szCs w:val="22"/>
          <w:lang w:eastAsia="en-US"/>
        </w:rPr>
        <w:t>administrativos cuando el proceso de selección aplicable sea de pública convocatoria y se presente la circunstancia a la que se refiere el artículo 124 de la Ley 2159 de 2021</w:t>
      </w:r>
      <w:r w:rsidR="00A56CE5">
        <w:rPr>
          <w:rFonts w:ascii="Arial" w:eastAsia="Calibri" w:hAnsi="Arial" w:cs="Arial"/>
          <w:sz w:val="22"/>
          <w:szCs w:val="22"/>
          <w:lang w:eastAsia="en-US"/>
        </w:rPr>
        <w:t>, es decir, para la ejecución de proyectos y programas correspondientes al Presupuesto General de la Nación</w:t>
      </w:r>
      <w:r w:rsidR="00B244DB" w:rsidRPr="00B244DB">
        <w:rPr>
          <w:rFonts w:ascii="Arial" w:eastAsia="Calibri" w:hAnsi="Arial" w:cs="Arial"/>
          <w:sz w:val="22"/>
          <w:szCs w:val="22"/>
          <w:lang w:eastAsia="en-US"/>
        </w:rPr>
        <w:t xml:space="preserve">. Por lo demás, esta norma no modifica el artículo 33 de la Ley de Garantías Electorales, en consideración a lo cual las restricciones a la contratación directa previstas en este artículo permanecen incólumes. </w:t>
      </w:r>
    </w:p>
    <w:p w14:paraId="16CCEE2F" w14:textId="4D56F6FB" w:rsidR="00B244DB" w:rsidRPr="00B244DB" w:rsidRDefault="00A56CE5" w:rsidP="00A56CE5">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3.</w:t>
      </w:r>
      <w:r>
        <w:rPr>
          <w:rFonts w:ascii="Arial" w:eastAsia="Calibri" w:hAnsi="Arial" w:cs="Arial"/>
          <w:sz w:val="22"/>
          <w:szCs w:val="22"/>
          <w:lang w:eastAsia="en-US"/>
        </w:rPr>
        <w:t xml:space="preserve"> La </w:t>
      </w:r>
      <w:r w:rsidR="00B244DB" w:rsidRPr="00B244DB">
        <w:rPr>
          <w:rFonts w:ascii="Arial" w:eastAsia="Calibri" w:hAnsi="Arial" w:cs="Arial"/>
          <w:sz w:val="22"/>
          <w:szCs w:val="22"/>
          <w:lang w:eastAsia="en-US"/>
        </w:rPr>
        <w:t>aplicación del artículo 124 de la Ley 2159 de 2021 se restringe a un criterio orgánico, pues se requiere que uno de los extremos contractuales sea la Nación y el otro una entidad territorial, para que la celebración del convenio o contrato admin</w:t>
      </w:r>
      <w:r>
        <w:rPr>
          <w:rFonts w:ascii="Arial" w:eastAsia="Calibri" w:hAnsi="Arial" w:cs="Arial"/>
          <w:sz w:val="22"/>
          <w:szCs w:val="22"/>
          <w:lang w:eastAsia="en-US"/>
        </w:rPr>
        <w:t xml:space="preserve">istrativo sea </w:t>
      </w:r>
      <w:r>
        <w:rPr>
          <w:rFonts w:ascii="Arial" w:eastAsia="Calibri" w:hAnsi="Arial" w:cs="Arial"/>
          <w:sz w:val="22"/>
          <w:szCs w:val="22"/>
          <w:lang w:eastAsia="en-US"/>
        </w:rPr>
        <w:lastRenderedPageBreak/>
        <w:t xml:space="preserve">procedente. En estos términos, no es posible la celebración de convenios o contratos interadministrativos entre entidades descentralizadas del orden territorial, pues </w:t>
      </w:r>
      <w:r w:rsidR="009D620C">
        <w:rPr>
          <w:rFonts w:ascii="Arial" w:eastAsia="Calibri" w:hAnsi="Arial" w:cs="Arial"/>
          <w:sz w:val="22"/>
          <w:szCs w:val="22"/>
          <w:lang w:eastAsia="en-US"/>
        </w:rPr>
        <w:t xml:space="preserve">la posibilidad que otorga el </w:t>
      </w:r>
      <w:r w:rsidR="009D620C" w:rsidRPr="00B244DB">
        <w:rPr>
          <w:rFonts w:ascii="Arial" w:eastAsia="Calibri" w:hAnsi="Arial" w:cs="Arial"/>
          <w:sz w:val="22"/>
          <w:szCs w:val="22"/>
          <w:lang w:eastAsia="en-US"/>
        </w:rPr>
        <w:t xml:space="preserve">artículo 124 de la Ley 2159 de 2021 </w:t>
      </w:r>
      <w:r>
        <w:rPr>
          <w:rFonts w:ascii="Arial" w:eastAsia="Calibri" w:hAnsi="Arial" w:cs="Arial"/>
          <w:sz w:val="22"/>
          <w:szCs w:val="22"/>
          <w:lang w:eastAsia="en-US"/>
        </w:rPr>
        <w:t xml:space="preserve">se somete a la condición que una de las partes sea </w:t>
      </w:r>
      <w:r w:rsidR="00F1026D">
        <w:rPr>
          <w:rFonts w:ascii="Arial" w:eastAsia="Calibri" w:hAnsi="Arial" w:cs="Arial"/>
          <w:sz w:val="22"/>
          <w:szCs w:val="22"/>
          <w:lang w:eastAsia="en-US"/>
        </w:rPr>
        <w:t>la Nación</w:t>
      </w:r>
      <w:r>
        <w:rPr>
          <w:rFonts w:ascii="Arial" w:eastAsia="Calibri" w:hAnsi="Arial" w:cs="Arial"/>
          <w:sz w:val="22"/>
          <w:szCs w:val="22"/>
          <w:lang w:eastAsia="en-US"/>
        </w:rPr>
        <w:t xml:space="preserve">, con el fin de ejecutar proyectos o programas que correspondan al Presupuesto General de la Nación. </w:t>
      </w:r>
      <w:r w:rsidR="006604C3">
        <w:rPr>
          <w:rFonts w:ascii="Arial" w:eastAsia="Calibri" w:hAnsi="Arial" w:cs="Arial"/>
          <w:sz w:val="22"/>
          <w:szCs w:val="22"/>
          <w:lang w:eastAsia="en-US"/>
        </w:rPr>
        <w:t>P</w:t>
      </w:r>
      <w:r w:rsidR="006604C3" w:rsidRPr="00B244DB">
        <w:rPr>
          <w:rFonts w:ascii="Arial" w:eastAsia="Calibri" w:hAnsi="Arial" w:cs="Arial"/>
          <w:sz w:val="22"/>
          <w:szCs w:val="22"/>
          <w:lang w:eastAsia="en-US"/>
        </w:rPr>
        <w:t xml:space="preserve">or ejemplo, durante los cuatro (4) meses anteriores a las elecciones, dos </w:t>
      </w:r>
      <w:r w:rsidR="006604C3">
        <w:rPr>
          <w:rFonts w:ascii="Arial" w:eastAsia="Calibri" w:hAnsi="Arial" w:cs="Arial"/>
          <w:sz w:val="22"/>
          <w:szCs w:val="22"/>
          <w:lang w:eastAsia="en-US"/>
        </w:rPr>
        <w:t xml:space="preserve">municipios o un municipio </w:t>
      </w:r>
      <w:r w:rsidR="00C37ACC">
        <w:rPr>
          <w:rFonts w:ascii="Arial" w:eastAsia="Calibri" w:hAnsi="Arial" w:cs="Arial"/>
          <w:sz w:val="22"/>
          <w:szCs w:val="22"/>
          <w:lang w:eastAsia="en-US"/>
        </w:rPr>
        <w:t xml:space="preserve">y </w:t>
      </w:r>
      <w:r w:rsidR="006604C3">
        <w:rPr>
          <w:rFonts w:ascii="Arial" w:eastAsia="Calibri" w:hAnsi="Arial" w:cs="Arial"/>
          <w:sz w:val="22"/>
          <w:szCs w:val="22"/>
          <w:lang w:eastAsia="en-US"/>
        </w:rPr>
        <w:t>un departamento o entidad descentralizada territorial</w:t>
      </w:r>
      <w:r w:rsidR="0025540B">
        <w:rPr>
          <w:rFonts w:ascii="Arial" w:eastAsia="Calibri" w:hAnsi="Arial" w:cs="Arial"/>
          <w:sz w:val="22"/>
          <w:szCs w:val="22"/>
          <w:lang w:eastAsia="en-US"/>
        </w:rPr>
        <w:t>,</w:t>
      </w:r>
      <w:r w:rsidR="006604C3">
        <w:rPr>
          <w:rFonts w:ascii="Arial" w:eastAsia="Calibri" w:hAnsi="Arial" w:cs="Arial"/>
          <w:sz w:val="22"/>
          <w:szCs w:val="22"/>
          <w:lang w:eastAsia="en-US"/>
        </w:rPr>
        <w:t xml:space="preserve"> </w:t>
      </w:r>
      <w:r w:rsidR="00C37ACC">
        <w:rPr>
          <w:rFonts w:ascii="Arial" w:eastAsia="Calibri" w:hAnsi="Arial" w:cs="Arial"/>
          <w:sz w:val="22"/>
          <w:szCs w:val="22"/>
          <w:lang w:eastAsia="en-US"/>
        </w:rPr>
        <w:t>queda</w:t>
      </w:r>
      <w:r w:rsidR="0025540B">
        <w:rPr>
          <w:rFonts w:ascii="Arial" w:eastAsia="Calibri" w:hAnsi="Arial" w:cs="Arial"/>
          <w:sz w:val="22"/>
          <w:szCs w:val="22"/>
          <w:lang w:eastAsia="en-US"/>
        </w:rPr>
        <w:t>n</w:t>
      </w:r>
      <w:r w:rsidR="00C37ACC">
        <w:rPr>
          <w:rFonts w:ascii="Arial" w:eastAsia="Calibri" w:hAnsi="Arial" w:cs="Arial"/>
          <w:sz w:val="22"/>
          <w:szCs w:val="22"/>
          <w:lang w:eastAsia="en-US"/>
        </w:rPr>
        <w:t xml:space="preserve"> cubiertos por la prohibición original del parágrafo del artículo 38 de la Ley de Garantías Electorales</w:t>
      </w:r>
      <w:r w:rsidR="006604C3" w:rsidRPr="00B244DB">
        <w:rPr>
          <w:rFonts w:ascii="Arial" w:eastAsia="Calibri" w:hAnsi="Arial" w:cs="Arial"/>
          <w:sz w:val="22"/>
          <w:szCs w:val="22"/>
          <w:lang w:eastAsia="en-US"/>
        </w:rPr>
        <w:t xml:space="preserve">.  </w:t>
      </w:r>
    </w:p>
    <w:p w14:paraId="4EDA403D" w14:textId="167E04B7" w:rsidR="00B244DB" w:rsidRPr="00B244DB" w:rsidRDefault="00200759" w:rsidP="00200759">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4.</w:t>
      </w:r>
      <w:r>
        <w:rPr>
          <w:rFonts w:ascii="Arial" w:eastAsia="Calibri" w:hAnsi="Arial" w:cs="Arial"/>
          <w:sz w:val="22"/>
          <w:szCs w:val="22"/>
          <w:lang w:eastAsia="en-US"/>
        </w:rPr>
        <w:t xml:space="preserve"> E</w:t>
      </w:r>
      <w:r w:rsidR="00B244DB" w:rsidRPr="00B244DB">
        <w:rPr>
          <w:rFonts w:ascii="Arial" w:eastAsia="Calibri" w:hAnsi="Arial" w:cs="Arial"/>
          <w:sz w:val="22"/>
          <w:szCs w:val="22"/>
          <w:lang w:eastAsia="en-US"/>
        </w:rPr>
        <w:t>l objeto contractual de los convenios</w:t>
      </w:r>
      <w:r>
        <w:rPr>
          <w:rFonts w:ascii="Arial" w:eastAsia="Calibri" w:hAnsi="Arial" w:cs="Arial"/>
          <w:sz w:val="22"/>
          <w:szCs w:val="22"/>
          <w:lang w:eastAsia="en-US"/>
        </w:rPr>
        <w:t xml:space="preserve"> o contratos</w:t>
      </w:r>
      <w:r w:rsidR="00B244DB" w:rsidRPr="00B244DB">
        <w:rPr>
          <w:rFonts w:ascii="Arial" w:eastAsia="Calibri" w:hAnsi="Arial" w:cs="Arial"/>
          <w:sz w:val="22"/>
          <w:szCs w:val="22"/>
          <w:lang w:eastAsia="en-US"/>
        </w:rPr>
        <w:t xml:space="preserve"> interadministrativos </w:t>
      </w:r>
      <w:r>
        <w:rPr>
          <w:rFonts w:ascii="Arial" w:eastAsia="Calibri" w:hAnsi="Arial" w:cs="Arial"/>
          <w:sz w:val="22"/>
          <w:szCs w:val="22"/>
          <w:lang w:eastAsia="en-US"/>
        </w:rPr>
        <w:t xml:space="preserve">debe limitarse </w:t>
      </w:r>
      <w:r w:rsidR="00B244DB" w:rsidRPr="00B244DB">
        <w:rPr>
          <w:rFonts w:ascii="Arial" w:eastAsia="Calibri" w:hAnsi="Arial" w:cs="Arial"/>
          <w:sz w:val="22"/>
          <w:szCs w:val="22"/>
          <w:lang w:eastAsia="en-US"/>
        </w:rPr>
        <w:t xml:space="preserve">a la ejecución de programas y proyectos correspondientes al Presupuesto General de la Nación. </w:t>
      </w:r>
      <w:r>
        <w:rPr>
          <w:rFonts w:ascii="Arial" w:eastAsia="Calibri" w:hAnsi="Arial" w:cs="Arial"/>
          <w:sz w:val="22"/>
          <w:szCs w:val="22"/>
          <w:lang w:eastAsia="en-US"/>
        </w:rPr>
        <w:t xml:space="preserve">Es decir, se establece un criterio material, </w:t>
      </w:r>
      <w:r w:rsidR="00F43A51">
        <w:rPr>
          <w:rFonts w:ascii="Arial" w:eastAsia="Calibri" w:hAnsi="Arial" w:cs="Arial"/>
          <w:sz w:val="22"/>
          <w:szCs w:val="22"/>
          <w:lang w:eastAsia="en-US"/>
        </w:rPr>
        <w:t>del cual se deriva</w:t>
      </w:r>
      <w:r>
        <w:rPr>
          <w:rFonts w:ascii="Arial" w:eastAsia="Calibri" w:hAnsi="Arial" w:cs="Arial"/>
          <w:sz w:val="22"/>
          <w:szCs w:val="22"/>
          <w:lang w:eastAsia="en-US"/>
        </w:rPr>
        <w:t xml:space="preserve"> que</w:t>
      </w:r>
      <w:r w:rsidR="00423CF8">
        <w:rPr>
          <w:rFonts w:ascii="Arial" w:eastAsia="Calibri" w:hAnsi="Arial" w:cs="Arial"/>
          <w:sz w:val="22"/>
          <w:szCs w:val="22"/>
          <w:lang w:eastAsia="en-US"/>
        </w:rPr>
        <w:t>,</w:t>
      </w:r>
      <w:r>
        <w:rPr>
          <w:rFonts w:ascii="Arial" w:eastAsia="Calibri" w:hAnsi="Arial" w:cs="Arial"/>
          <w:sz w:val="22"/>
          <w:szCs w:val="22"/>
          <w:lang w:eastAsia="en-US"/>
        </w:rPr>
        <w:t xml:space="preserve"> </w:t>
      </w:r>
      <w:r w:rsidR="00B244DB" w:rsidRPr="00B244DB">
        <w:rPr>
          <w:rFonts w:ascii="Arial" w:eastAsia="Calibri" w:hAnsi="Arial" w:cs="Arial"/>
          <w:sz w:val="22"/>
          <w:szCs w:val="22"/>
          <w:lang w:eastAsia="en-US"/>
        </w:rPr>
        <w:t>durante los cuatro meses previos a las elecciones, queda prohibido celebrar convenios interadministrativos</w:t>
      </w:r>
      <w:r w:rsidR="00423CF8">
        <w:rPr>
          <w:rFonts w:ascii="Arial" w:eastAsia="Calibri" w:hAnsi="Arial" w:cs="Arial"/>
          <w:sz w:val="22"/>
          <w:szCs w:val="22"/>
          <w:lang w:eastAsia="en-US"/>
        </w:rPr>
        <w:t xml:space="preserve"> o contratos interadministrativos</w:t>
      </w:r>
      <w:r w:rsidR="00B244DB" w:rsidRPr="00B244DB">
        <w:rPr>
          <w:rFonts w:ascii="Arial" w:eastAsia="Calibri" w:hAnsi="Arial" w:cs="Arial"/>
          <w:sz w:val="22"/>
          <w:szCs w:val="22"/>
          <w:lang w:eastAsia="en-US"/>
        </w:rPr>
        <w:t xml:space="preserve"> que no se relacionen con programas y proyectos que ejecuten recursos </w:t>
      </w:r>
      <w:r w:rsidR="00E84999">
        <w:rPr>
          <w:rFonts w:ascii="Arial" w:eastAsia="Calibri" w:hAnsi="Arial" w:cs="Arial"/>
          <w:sz w:val="22"/>
          <w:szCs w:val="22"/>
          <w:lang w:eastAsia="en-US"/>
        </w:rPr>
        <w:t xml:space="preserve">del Presupuesto General de la Nación. </w:t>
      </w:r>
    </w:p>
    <w:p w14:paraId="25DF42B9" w14:textId="207A8FED" w:rsidR="00B244DB" w:rsidRDefault="00423CF8" w:rsidP="00B244DB">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5.</w:t>
      </w:r>
      <w:r>
        <w:rPr>
          <w:rFonts w:ascii="Arial" w:eastAsia="Calibri" w:hAnsi="Arial" w:cs="Arial"/>
          <w:sz w:val="22"/>
          <w:szCs w:val="22"/>
          <w:lang w:eastAsia="en-US"/>
        </w:rPr>
        <w:t xml:space="preserve"> </w:t>
      </w:r>
      <w:r w:rsidR="00F30597">
        <w:rPr>
          <w:rFonts w:ascii="Arial" w:eastAsia="Calibri" w:hAnsi="Arial" w:cs="Arial"/>
          <w:sz w:val="22"/>
          <w:szCs w:val="22"/>
          <w:lang w:eastAsia="en-US"/>
        </w:rPr>
        <w:t>E</w:t>
      </w:r>
      <w:r w:rsidR="00B244DB" w:rsidRPr="00B244DB">
        <w:rPr>
          <w:rFonts w:ascii="Arial" w:eastAsia="Calibri" w:hAnsi="Arial" w:cs="Arial"/>
          <w:sz w:val="22"/>
          <w:szCs w:val="22"/>
          <w:lang w:eastAsia="en-US"/>
        </w:rPr>
        <w:t>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601D4FCD" w14:textId="2C565DCA" w:rsidR="006604C3" w:rsidRPr="006604C3" w:rsidRDefault="006604C3" w:rsidP="006604C3">
      <w:pPr>
        <w:spacing w:after="120" w:line="276" w:lineRule="auto"/>
        <w:ind w:firstLine="709"/>
        <w:jc w:val="both"/>
        <w:rPr>
          <w:rFonts w:ascii="Arial" w:eastAsia="Calibri" w:hAnsi="Arial" w:cs="Arial"/>
          <w:sz w:val="22"/>
          <w:szCs w:val="22"/>
          <w:lang w:eastAsia="en-US"/>
        </w:rPr>
      </w:pPr>
      <w:r w:rsidRPr="004461D0">
        <w:rPr>
          <w:rFonts w:ascii="Arial" w:eastAsia="Calibri" w:hAnsi="Arial" w:cs="Arial"/>
          <w:bCs/>
          <w:sz w:val="22"/>
          <w:szCs w:val="22"/>
          <w:lang w:eastAsia="en-US"/>
        </w:rPr>
        <w:t>6.</w:t>
      </w:r>
      <w:r w:rsidRPr="006604C3">
        <w:rPr>
          <w:rFonts w:ascii="Arial" w:eastAsia="Calibri" w:hAnsi="Arial" w:cs="Arial"/>
          <w:b/>
          <w:sz w:val="22"/>
          <w:szCs w:val="22"/>
          <w:lang w:eastAsia="en-US"/>
        </w:rPr>
        <w:t xml:space="preserve"> </w:t>
      </w:r>
      <w:r>
        <w:rPr>
          <w:rFonts w:ascii="Arial" w:eastAsia="Calibri" w:hAnsi="Arial" w:cs="Arial"/>
          <w:sz w:val="22"/>
          <w:szCs w:val="22"/>
          <w:lang w:eastAsia="en-US"/>
        </w:rPr>
        <w:t xml:space="preserve">Se establece que los convenios o contratos interadministrativos </w:t>
      </w:r>
      <w:r w:rsidRPr="00B244DB">
        <w:rPr>
          <w:rFonts w:ascii="Arial" w:eastAsia="Calibri" w:hAnsi="Arial" w:cs="Arial"/>
          <w:sz w:val="21"/>
          <w:szCs w:val="21"/>
          <w:lang w:eastAsia="en-US"/>
        </w:rPr>
        <w:t>que se suscriban bajo el amparo de la presente disposición serán objeto de control especial por parte de la Contraloría General de la República.</w:t>
      </w:r>
      <w:r>
        <w:rPr>
          <w:rFonts w:ascii="Arial" w:eastAsia="Calibri" w:hAnsi="Arial" w:cs="Arial"/>
          <w:sz w:val="21"/>
          <w:szCs w:val="21"/>
          <w:lang w:eastAsia="en-US"/>
        </w:rPr>
        <w:t xml:space="preserve"> En tal sentido, e</w:t>
      </w:r>
      <w:r w:rsidRPr="00B244DB">
        <w:rPr>
          <w:rFonts w:ascii="Arial" w:eastAsia="Calibri" w:hAnsi="Arial" w:cs="Arial"/>
          <w:sz w:val="21"/>
          <w:szCs w:val="21"/>
          <w:lang w:eastAsia="en-US"/>
        </w:rPr>
        <w:t xml:space="preserve">l Contralor General de la República determinará, en el marco de sus competencias constitucionales y legales, la forma en que se </w:t>
      </w:r>
      <w:r>
        <w:rPr>
          <w:rFonts w:ascii="Arial" w:eastAsia="Calibri" w:hAnsi="Arial" w:cs="Arial"/>
          <w:sz w:val="21"/>
          <w:szCs w:val="21"/>
          <w:lang w:eastAsia="en-US"/>
        </w:rPr>
        <w:t>ejercerá este control especial.</w:t>
      </w:r>
    </w:p>
    <w:p w14:paraId="010F6F87" w14:textId="3CE46DBB" w:rsidR="00B244DB" w:rsidRDefault="00423CF8" w:rsidP="00B244DB">
      <w:pPr>
        <w:spacing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De acuerdo a las anteriores consideraciones, </w:t>
      </w:r>
      <w:r w:rsidR="00B244DB" w:rsidRPr="00B244DB">
        <w:rPr>
          <w:rFonts w:ascii="Arial" w:eastAsia="Calibri" w:hAnsi="Arial" w:cs="Arial"/>
          <w:sz w:val="22"/>
          <w:szCs w:val="22"/>
          <w:lang w:eastAsia="en-US"/>
        </w:rPr>
        <w:t xml:space="preserve">la </w:t>
      </w:r>
      <w:r>
        <w:rPr>
          <w:rFonts w:ascii="Arial" w:eastAsia="Calibri" w:hAnsi="Arial" w:cs="Arial"/>
          <w:sz w:val="22"/>
          <w:szCs w:val="22"/>
          <w:lang w:eastAsia="en-US"/>
        </w:rPr>
        <w:t xml:space="preserve">promulgación y expedición </w:t>
      </w:r>
      <w:r w:rsidR="00B244DB" w:rsidRPr="00B244DB">
        <w:rPr>
          <w:rFonts w:ascii="Arial" w:eastAsia="Calibri" w:hAnsi="Arial" w:cs="Arial"/>
          <w:sz w:val="22"/>
          <w:szCs w:val="22"/>
          <w:lang w:eastAsia="en-US"/>
        </w:rPr>
        <w:t>de la Ley 2159 de 2021 no deroga la Ley 996 de 2005, sino que modifica d</w:t>
      </w:r>
      <w:r w:rsidR="00B244DB" w:rsidRPr="004461D0">
        <w:rPr>
          <w:rFonts w:ascii="Arial" w:eastAsia="Calibri" w:hAnsi="Arial" w:cs="Arial"/>
          <w:i/>
          <w:iCs/>
          <w:sz w:val="22"/>
          <w:szCs w:val="22"/>
          <w:lang w:eastAsia="en-US"/>
        </w:rPr>
        <w:t>e manera transitoria y parcial</w:t>
      </w:r>
      <w:r w:rsidR="00B244DB" w:rsidRPr="00B244DB">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225265E5" w14:textId="77777777" w:rsidR="003A231A" w:rsidRPr="00B244DB" w:rsidRDefault="003A231A" w:rsidP="00B244DB">
      <w:pPr>
        <w:spacing w:after="120" w:line="276" w:lineRule="auto"/>
        <w:ind w:firstLine="709"/>
        <w:jc w:val="both"/>
        <w:rPr>
          <w:rFonts w:ascii="Arial" w:eastAsia="Calibri" w:hAnsi="Arial" w:cs="Arial"/>
          <w:sz w:val="22"/>
          <w:szCs w:val="22"/>
          <w:lang w:eastAsia="en-US"/>
        </w:rPr>
      </w:pPr>
    </w:p>
    <w:p w14:paraId="3C287419" w14:textId="63FBCD03" w:rsidR="00B244DB" w:rsidRPr="003A231A" w:rsidRDefault="003A231A" w:rsidP="00B244DB">
      <w:pPr>
        <w:spacing w:line="276" w:lineRule="auto"/>
        <w:jc w:val="both"/>
        <w:rPr>
          <w:rFonts w:ascii="Arial" w:hAnsi="Arial" w:cs="Arial"/>
          <w:b/>
          <w:bCs/>
          <w:sz w:val="22"/>
          <w:szCs w:val="22"/>
          <w:lang w:eastAsia="es-CO"/>
        </w:rPr>
      </w:pPr>
      <w:r w:rsidRPr="003A231A">
        <w:rPr>
          <w:rFonts w:ascii="Arial" w:hAnsi="Arial" w:cs="Arial"/>
          <w:b/>
          <w:bCs/>
          <w:sz w:val="22"/>
          <w:szCs w:val="22"/>
          <w:lang w:eastAsia="es-CO"/>
        </w:rPr>
        <w:t>3. Respuestas</w:t>
      </w:r>
    </w:p>
    <w:p w14:paraId="4DF4CA33" w14:textId="4C54A605" w:rsidR="003A231A" w:rsidRDefault="003A231A" w:rsidP="00B244DB">
      <w:pPr>
        <w:spacing w:line="276" w:lineRule="auto"/>
        <w:jc w:val="both"/>
        <w:rPr>
          <w:rFonts w:ascii="Arial" w:hAnsi="Arial" w:cs="Arial"/>
          <w:bCs/>
          <w:sz w:val="22"/>
          <w:szCs w:val="22"/>
          <w:lang w:eastAsia="es-CO"/>
        </w:rPr>
      </w:pPr>
    </w:p>
    <w:p w14:paraId="086F9341" w14:textId="77777777" w:rsidR="003A231A" w:rsidRPr="00C52953" w:rsidRDefault="003A231A" w:rsidP="003A231A">
      <w:pPr>
        <w:autoSpaceDE w:val="0"/>
        <w:autoSpaceDN w:val="0"/>
        <w:adjustRightInd w:val="0"/>
        <w:ind w:left="709" w:right="709"/>
        <w:jc w:val="both"/>
        <w:rPr>
          <w:rFonts w:ascii="Arial" w:hAnsi="Arial" w:cs="Arial"/>
          <w:color w:val="000000" w:themeColor="text1"/>
          <w:sz w:val="21"/>
          <w:szCs w:val="21"/>
          <w:lang w:val="es-ES_tradnl"/>
        </w:rPr>
      </w:pPr>
      <w:r w:rsidRPr="00DD40F8">
        <w:rPr>
          <w:rFonts w:ascii="Arial" w:hAnsi="Arial" w:cs="Arial"/>
          <w:color w:val="000000" w:themeColor="text1"/>
          <w:sz w:val="21"/>
          <w:szCs w:val="21"/>
          <w:lang w:val="es-ES_tradnl"/>
        </w:rPr>
        <w:t>«</w:t>
      </w:r>
      <w:r w:rsidRPr="00C52953">
        <w:rPr>
          <w:rFonts w:ascii="Arial" w:hAnsi="Arial" w:cs="Arial"/>
          <w:color w:val="000000" w:themeColor="text1"/>
          <w:sz w:val="21"/>
          <w:szCs w:val="21"/>
          <w:lang w:val="es-ES_tradnl"/>
        </w:rPr>
        <w:t>Mediante la presente, me permito solicitar información referente a la ley de garantías, en el sentido de que nos informen si las entidades territoriales, exactamente los Municipios pueden celebrar convenios y contratos interadministrativos a partir de la publicación de la ley de presupuesto y durante la vigencia fiscal 2022, o si solamente se autoriza es a la Nación celebrar convenios.</w:t>
      </w:r>
    </w:p>
    <w:p w14:paraId="3B70E2F4" w14:textId="77777777" w:rsidR="003A231A" w:rsidRPr="00C52953" w:rsidRDefault="003A231A" w:rsidP="003A231A">
      <w:pPr>
        <w:autoSpaceDE w:val="0"/>
        <w:autoSpaceDN w:val="0"/>
        <w:adjustRightInd w:val="0"/>
        <w:ind w:left="709" w:right="709"/>
        <w:jc w:val="both"/>
        <w:rPr>
          <w:rFonts w:ascii="Arial" w:hAnsi="Arial" w:cs="Arial"/>
          <w:color w:val="000000" w:themeColor="text1"/>
          <w:sz w:val="21"/>
          <w:szCs w:val="21"/>
          <w:lang w:val="es-ES_tradnl"/>
        </w:rPr>
      </w:pPr>
      <w:r w:rsidRPr="00C52953">
        <w:rPr>
          <w:rFonts w:ascii="Arial" w:hAnsi="Arial" w:cs="Arial"/>
          <w:color w:val="000000" w:themeColor="text1"/>
          <w:sz w:val="21"/>
          <w:szCs w:val="21"/>
          <w:lang w:val="es-ES_tradnl"/>
        </w:rPr>
        <w:lastRenderedPageBreak/>
        <w:t xml:space="preserve"> </w:t>
      </w:r>
    </w:p>
    <w:p w14:paraId="74BF8946" w14:textId="599296E6" w:rsidR="003A231A" w:rsidRPr="00DD40F8" w:rsidRDefault="00F30597" w:rsidP="003A231A">
      <w:pPr>
        <w:autoSpaceDE w:val="0"/>
        <w:autoSpaceDN w:val="0"/>
        <w:adjustRightInd w:val="0"/>
        <w:ind w:left="709" w:right="709"/>
        <w:jc w:val="both"/>
        <w:rPr>
          <w:rFonts w:ascii="Arial" w:eastAsiaTheme="minorHAnsi" w:hAnsi="Arial" w:cs="Arial"/>
          <w:sz w:val="21"/>
          <w:szCs w:val="21"/>
          <w:lang w:eastAsia="en-US"/>
        </w:rPr>
      </w:pPr>
      <w:proofErr w:type="gramStart"/>
      <w:r w:rsidRPr="00B244DB">
        <w:rPr>
          <w:rFonts w:ascii="Arial" w:eastAsia="Calibri" w:hAnsi="Arial" w:cs="Arial"/>
          <w:sz w:val="22"/>
          <w:szCs w:val="22"/>
          <w:lang w:eastAsia="en-US"/>
        </w:rPr>
        <w:t>»</w:t>
      </w:r>
      <w:r w:rsidR="003A231A" w:rsidRPr="00C52953">
        <w:rPr>
          <w:rFonts w:ascii="Arial" w:hAnsi="Arial" w:cs="Arial"/>
          <w:color w:val="000000" w:themeColor="text1"/>
          <w:sz w:val="21"/>
          <w:szCs w:val="21"/>
          <w:lang w:val="es-ES_tradnl"/>
        </w:rPr>
        <w:t>Lo</w:t>
      </w:r>
      <w:proofErr w:type="gramEnd"/>
      <w:r w:rsidR="003A231A" w:rsidRPr="00C52953">
        <w:rPr>
          <w:rFonts w:ascii="Arial" w:hAnsi="Arial" w:cs="Arial"/>
          <w:color w:val="000000" w:themeColor="text1"/>
          <w:sz w:val="21"/>
          <w:szCs w:val="21"/>
          <w:lang w:val="es-ES_tradnl"/>
        </w:rPr>
        <w:t xml:space="preserve"> anterior, teniendo en cuenta que el artículo 125 de la ley 96 de 2021 tiene dos interpretaciones diferentes y como la Contraloría ejercerá un control especial a dichos contratos, como entidad queremos aclarar las dudas al respecto</w:t>
      </w:r>
      <w:r w:rsidRPr="00B244DB">
        <w:rPr>
          <w:rFonts w:ascii="Arial" w:eastAsia="Calibri" w:hAnsi="Arial" w:cs="Arial"/>
          <w:sz w:val="22"/>
          <w:szCs w:val="22"/>
          <w:lang w:eastAsia="en-US"/>
        </w:rPr>
        <w:t>»</w:t>
      </w:r>
      <w:r w:rsidR="003A231A" w:rsidRPr="00C52953">
        <w:rPr>
          <w:rFonts w:ascii="Arial" w:hAnsi="Arial" w:cs="Arial"/>
          <w:color w:val="000000" w:themeColor="text1"/>
          <w:sz w:val="21"/>
          <w:szCs w:val="21"/>
          <w:lang w:val="es-ES_tradnl"/>
        </w:rPr>
        <w:t>.</w:t>
      </w:r>
    </w:p>
    <w:p w14:paraId="6671F118" w14:textId="77777777" w:rsidR="003A231A" w:rsidRPr="00B244DB" w:rsidRDefault="003A231A" w:rsidP="00B244DB">
      <w:pPr>
        <w:spacing w:line="276" w:lineRule="auto"/>
        <w:jc w:val="both"/>
        <w:rPr>
          <w:rFonts w:ascii="Arial" w:hAnsi="Arial" w:cs="Arial"/>
          <w:bCs/>
          <w:sz w:val="22"/>
          <w:szCs w:val="22"/>
          <w:lang w:eastAsia="es-CO"/>
        </w:rPr>
      </w:pPr>
    </w:p>
    <w:p w14:paraId="309135C1" w14:textId="4D18FABB" w:rsidR="003A231A" w:rsidRDefault="00632599" w:rsidP="003A231A">
      <w:pPr>
        <w:spacing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Para responder su</w:t>
      </w:r>
      <w:r w:rsidR="006604C3">
        <w:rPr>
          <w:rFonts w:ascii="Arial" w:eastAsia="Calibri" w:hAnsi="Arial" w:cs="Arial"/>
          <w:sz w:val="22"/>
          <w:szCs w:val="22"/>
          <w:lang w:eastAsia="en-US"/>
        </w:rPr>
        <w:t xml:space="preserve"> pregunta, se debe tener en cuenta </w:t>
      </w:r>
      <w:r w:rsidR="003A231A">
        <w:rPr>
          <w:rFonts w:ascii="Arial" w:eastAsia="Calibri" w:hAnsi="Arial" w:cs="Arial"/>
          <w:sz w:val="22"/>
          <w:szCs w:val="22"/>
          <w:lang w:eastAsia="en-US"/>
        </w:rPr>
        <w:t xml:space="preserve">el contenido del artículo 124 de la Ley 2159 de 2021, </w:t>
      </w:r>
      <w:r>
        <w:rPr>
          <w:rFonts w:ascii="Arial" w:eastAsia="Calibri" w:hAnsi="Arial" w:cs="Arial"/>
          <w:sz w:val="22"/>
          <w:szCs w:val="22"/>
          <w:lang w:eastAsia="en-US"/>
        </w:rPr>
        <w:t>del</w:t>
      </w:r>
      <w:r w:rsidR="006604C3">
        <w:rPr>
          <w:rFonts w:ascii="Arial" w:eastAsia="Calibri" w:hAnsi="Arial" w:cs="Arial"/>
          <w:sz w:val="22"/>
          <w:szCs w:val="22"/>
          <w:lang w:eastAsia="en-US"/>
        </w:rPr>
        <w:t xml:space="preserve"> que se derivan </w:t>
      </w:r>
      <w:r w:rsidR="003A231A">
        <w:rPr>
          <w:rFonts w:ascii="Arial" w:eastAsia="Calibri" w:hAnsi="Arial" w:cs="Arial"/>
          <w:sz w:val="22"/>
          <w:szCs w:val="22"/>
          <w:lang w:eastAsia="en-US"/>
        </w:rPr>
        <w:t>las siguientes reglas</w:t>
      </w:r>
      <w:r w:rsidR="006604C3">
        <w:rPr>
          <w:rFonts w:ascii="Arial" w:eastAsia="Calibri" w:hAnsi="Arial" w:cs="Arial"/>
          <w:sz w:val="22"/>
          <w:szCs w:val="22"/>
          <w:lang w:eastAsia="en-US"/>
        </w:rPr>
        <w:t xml:space="preserve"> para las entidades estatales, </w:t>
      </w:r>
      <w:r>
        <w:rPr>
          <w:rFonts w:ascii="Arial" w:eastAsia="Calibri" w:hAnsi="Arial" w:cs="Arial"/>
          <w:sz w:val="22"/>
          <w:szCs w:val="22"/>
          <w:lang w:eastAsia="en-US"/>
        </w:rPr>
        <w:t>incluidos</w:t>
      </w:r>
      <w:r w:rsidR="006604C3">
        <w:rPr>
          <w:rFonts w:ascii="Arial" w:eastAsia="Calibri" w:hAnsi="Arial" w:cs="Arial"/>
          <w:sz w:val="22"/>
          <w:szCs w:val="22"/>
          <w:lang w:eastAsia="en-US"/>
        </w:rPr>
        <w:t xml:space="preserve"> los municipios</w:t>
      </w:r>
      <w:r w:rsidR="003A231A">
        <w:rPr>
          <w:rFonts w:ascii="Arial" w:eastAsia="Calibri" w:hAnsi="Arial" w:cs="Arial"/>
          <w:sz w:val="22"/>
          <w:szCs w:val="22"/>
          <w:lang w:eastAsia="en-US"/>
        </w:rPr>
        <w:t>:</w:t>
      </w:r>
    </w:p>
    <w:p w14:paraId="067A22AF" w14:textId="77777777" w:rsidR="00632599" w:rsidRPr="00B244DB"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t>1.</w:t>
      </w:r>
      <w:r>
        <w:rPr>
          <w:rFonts w:ascii="Arial" w:eastAsia="Calibri" w:hAnsi="Arial" w:cs="Arial"/>
          <w:sz w:val="22"/>
          <w:szCs w:val="22"/>
          <w:lang w:eastAsia="en-US"/>
        </w:rPr>
        <w:t xml:space="preserve"> El alcance del artículo 124 de la Ley 2159 de 2021 tiene como cometido</w:t>
      </w:r>
      <w:r w:rsidRPr="00B244DB">
        <w:rPr>
          <w:rFonts w:ascii="Arial" w:eastAsia="Calibri" w:hAnsi="Arial" w:cs="Arial"/>
          <w:sz w:val="22"/>
          <w:szCs w:val="22"/>
          <w:lang w:eastAsia="en-US"/>
        </w:rPr>
        <w:t xml:space="preserve">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16913AFD" w14:textId="77777777" w:rsidR="00632599" w:rsidRPr="00B244DB"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t>2.</w:t>
      </w:r>
      <w:r>
        <w:rPr>
          <w:rFonts w:ascii="Arial" w:eastAsia="Calibri" w:hAnsi="Arial" w:cs="Arial"/>
          <w:sz w:val="22"/>
          <w:szCs w:val="22"/>
          <w:lang w:eastAsia="en-US"/>
        </w:rPr>
        <w:t xml:space="preserve"> Durante </w:t>
      </w:r>
      <w:r w:rsidRPr="00B244DB">
        <w:rPr>
          <w:rFonts w:ascii="Arial" w:eastAsia="Calibri" w:hAnsi="Arial" w:cs="Arial"/>
          <w:sz w:val="22"/>
          <w:szCs w:val="22"/>
          <w:lang w:eastAsia="en-US"/>
        </w:rPr>
        <w:t>los cuatro (4) meses previos a la elección preside</w:t>
      </w:r>
      <w:r>
        <w:rPr>
          <w:rFonts w:ascii="Arial" w:eastAsia="Calibri" w:hAnsi="Arial" w:cs="Arial"/>
          <w:sz w:val="22"/>
          <w:szCs w:val="22"/>
          <w:lang w:eastAsia="en-US"/>
        </w:rPr>
        <w:t xml:space="preserve">ncial del año 2022 solamente </w:t>
      </w:r>
      <w:r w:rsidRPr="00B244DB">
        <w:rPr>
          <w:rFonts w:ascii="Arial" w:eastAsia="Calibri" w:hAnsi="Arial" w:cs="Arial"/>
          <w:sz w:val="22"/>
          <w:szCs w:val="22"/>
          <w:lang w:eastAsia="en-US"/>
        </w:rPr>
        <w:t>podrán celebrar</w:t>
      </w:r>
      <w:r>
        <w:rPr>
          <w:rFonts w:ascii="Arial" w:eastAsia="Calibri" w:hAnsi="Arial" w:cs="Arial"/>
          <w:sz w:val="22"/>
          <w:szCs w:val="22"/>
          <w:lang w:eastAsia="en-US"/>
        </w:rPr>
        <w:t>se</w:t>
      </w:r>
      <w:r w:rsidRPr="00B244DB">
        <w:rPr>
          <w:rFonts w:ascii="Arial" w:eastAsia="Calibri" w:hAnsi="Arial" w:cs="Arial"/>
          <w:sz w:val="22"/>
          <w:szCs w:val="22"/>
          <w:lang w:eastAsia="en-US"/>
        </w:rPr>
        <w:t xml:space="preserve"> convenios </w:t>
      </w:r>
      <w:r>
        <w:rPr>
          <w:rFonts w:ascii="Arial" w:eastAsia="Calibri" w:hAnsi="Arial" w:cs="Arial"/>
          <w:sz w:val="22"/>
          <w:szCs w:val="22"/>
          <w:lang w:eastAsia="en-US"/>
        </w:rPr>
        <w:t>o contratos inter</w:t>
      </w:r>
      <w:r w:rsidRPr="00B244DB">
        <w:rPr>
          <w:rFonts w:ascii="Arial" w:eastAsia="Calibri" w:hAnsi="Arial" w:cs="Arial"/>
          <w:sz w:val="22"/>
          <w:szCs w:val="22"/>
          <w:lang w:eastAsia="en-US"/>
        </w:rPr>
        <w:t>administrativos cuando el proceso de selección aplicable sea de pública convocatoria y se presente la circunstancia a la que se refiere el artículo 124 de la Ley 2159 de 2021</w:t>
      </w:r>
      <w:r>
        <w:rPr>
          <w:rFonts w:ascii="Arial" w:eastAsia="Calibri" w:hAnsi="Arial" w:cs="Arial"/>
          <w:sz w:val="22"/>
          <w:szCs w:val="22"/>
          <w:lang w:eastAsia="en-US"/>
        </w:rPr>
        <w:t>, es decir, para la ejecución de proyectos y programas correspondientes al Presupuesto General de la Nación</w:t>
      </w:r>
      <w:r w:rsidRPr="00B244DB">
        <w:rPr>
          <w:rFonts w:ascii="Arial" w:eastAsia="Calibri" w:hAnsi="Arial" w:cs="Arial"/>
          <w:sz w:val="22"/>
          <w:szCs w:val="22"/>
          <w:lang w:eastAsia="en-US"/>
        </w:rPr>
        <w:t xml:space="preserve">. Por lo demás, esta norma no modifica el artículo 33 de la Ley de Garantías Electorales, en consideración a lo cual las restricciones a la contratación directa previstas en este artículo permanecen incólumes. </w:t>
      </w:r>
    </w:p>
    <w:p w14:paraId="5C90C437" w14:textId="77777777" w:rsidR="00632599" w:rsidRPr="00B244DB"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t>3.</w:t>
      </w:r>
      <w:r>
        <w:rPr>
          <w:rFonts w:ascii="Arial" w:eastAsia="Calibri" w:hAnsi="Arial" w:cs="Arial"/>
          <w:sz w:val="22"/>
          <w:szCs w:val="22"/>
          <w:lang w:eastAsia="en-US"/>
        </w:rPr>
        <w:t xml:space="preserve"> La </w:t>
      </w:r>
      <w:r w:rsidRPr="00B244DB">
        <w:rPr>
          <w:rFonts w:ascii="Arial" w:eastAsia="Calibri" w:hAnsi="Arial" w:cs="Arial"/>
          <w:sz w:val="22"/>
          <w:szCs w:val="22"/>
          <w:lang w:eastAsia="en-US"/>
        </w:rPr>
        <w:t>aplicación del artículo 124 de la Ley 2159 de 2021 se restringe a un criterio orgánico, pues se requiere que uno de los extremos contractuales sea la Nación y el otro una entidad territorial, para que la celebración del convenio o contrato admin</w:t>
      </w:r>
      <w:r>
        <w:rPr>
          <w:rFonts w:ascii="Arial" w:eastAsia="Calibri" w:hAnsi="Arial" w:cs="Arial"/>
          <w:sz w:val="22"/>
          <w:szCs w:val="22"/>
          <w:lang w:eastAsia="en-US"/>
        </w:rPr>
        <w:t xml:space="preserve">istrativo sea procedente. En estos términos, no es posible la celebración de convenios o contratos interadministrativos entre entidades descentralizadas del orden territorial, pues la posibilidad que otorga el </w:t>
      </w:r>
      <w:r w:rsidRPr="00B244DB">
        <w:rPr>
          <w:rFonts w:ascii="Arial" w:eastAsia="Calibri" w:hAnsi="Arial" w:cs="Arial"/>
          <w:sz w:val="22"/>
          <w:szCs w:val="22"/>
          <w:lang w:eastAsia="en-US"/>
        </w:rPr>
        <w:t xml:space="preserve">artículo 124 de la Ley 2159 de 2021 </w:t>
      </w:r>
      <w:r>
        <w:rPr>
          <w:rFonts w:ascii="Arial" w:eastAsia="Calibri" w:hAnsi="Arial" w:cs="Arial"/>
          <w:sz w:val="22"/>
          <w:szCs w:val="22"/>
          <w:lang w:eastAsia="en-US"/>
        </w:rPr>
        <w:t>se somete a la condición que una de las partes sea la Nación, con el fin de ejecutar proyectos o programas que correspondan al Presupuesto General de la Nación. P</w:t>
      </w:r>
      <w:r w:rsidRPr="00B244DB">
        <w:rPr>
          <w:rFonts w:ascii="Arial" w:eastAsia="Calibri" w:hAnsi="Arial" w:cs="Arial"/>
          <w:sz w:val="22"/>
          <w:szCs w:val="22"/>
          <w:lang w:eastAsia="en-US"/>
        </w:rPr>
        <w:t xml:space="preserve">or ejemplo, durante los cuatro (4) meses anteriores a las elecciones, dos </w:t>
      </w:r>
      <w:r>
        <w:rPr>
          <w:rFonts w:ascii="Arial" w:eastAsia="Calibri" w:hAnsi="Arial" w:cs="Arial"/>
          <w:sz w:val="22"/>
          <w:szCs w:val="22"/>
          <w:lang w:eastAsia="en-US"/>
        </w:rPr>
        <w:t>municipios o un municipio y un departamento o entidad descentralizada territorial, quedan cubiertos por la prohibición original del parágrafo del artículo 38 de la Ley de Garantías Electorales</w:t>
      </w:r>
      <w:r w:rsidRPr="00B244DB">
        <w:rPr>
          <w:rFonts w:ascii="Arial" w:eastAsia="Calibri" w:hAnsi="Arial" w:cs="Arial"/>
          <w:sz w:val="22"/>
          <w:szCs w:val="22"/>
          <w:lang w:eastAsia="en-US"/>
        </w:rPr>
        <w:t xml:space="preserve">.  </w:t>
      </w:r>
    </w:p>
    <w:p w14:paraId="38C456AF" w14:textId="77777777" w:rsidR="00632599" w:rsidRPr="00B244DB"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t>4.</w:t>
      </w:r>
      <w:r>
        <w:rPr>
          <w:rFonts w:ascii="Arial" w:eastAsia="Calibri" w:hAnsi="Arial" w:cs="Arial"/>
          <w:sz w:val="22"/>
          <w:szCs w:val="22"/>
          <w:lang w:eastAsia="en-US"/>
        </w:rPr>
        <w:t xml:space="preserve"> E</w:t>
      </w:r>
      <w:r w:rsidRPr="00B244DB">
        <w:rPr>
          <w:rFonts w:ascii="Arial" w:eastAsia="Calibri" w:hAnsi="Arial" w:cs="Arial"/>
          <w:sz w:val="22"/>
          <w:szCs w:val="22"/>
          <w:lang w:eastAsia="en-US"/>
        </w:rPr>
        <w:t>l objeto contractual de los convenios</w:t>
      </w:r>
      <w:r>
        <w:rPr>
          <w:rFonts w:ascii="Arial" w:eastAsia="Calibri" w:hAnsi="Arial" w:cs="Arial"/>
          <w:sz w:val="22"/>
          <w:szCs w:val="22"/>
          <w:lang w:eastAsia="en-US"/>
        </w:rPr>
        <w:t xml:space="preserve"> o contratos</w:t>
      </w:r>
      <w:r w:rsidRPr="00B244DB">
        <w:rPr>
          <w:rFonts w:ascii="Arial" w:eastAsia="Calibri" w:hAnsi="Arial" w:cs="Arial"/>
          <w:sz w:val="22"/>
          <w:szCs w:val="22"/>
          <w:lang w:eastAsia="en-US"/>
        </w:rPr>
        <w:t xml:space="preserve"> interadministrativos </w:t>
      </w:r>
      <w:r>
        <w:rPr>
          <w:rFonts w:ascii="Arial" w:eastAsia="Calibri" w:hAnsi="Arial" w:cs="Arial"/>
          <w:sz w:val="22"/>
          <w:szCs w:val="22"/>
          <w:lang w:eastAsia="en-US"/>
        </w:rPr>
        <w:t xml:space="preserve">debe limitarse </w:t>
      </w:r>
      <w:r w:rsidRPr="00B244DB">
        <w:rPr>
          <w:rFonts w:ascii="Arial" w:eastAsia="Calibri" w:hAnsi="Arial" w:cs="Arial"/>
          <w:sz w:val="22"/>
          <w:szCs w:val="22"/>
          <w:lang w:eastAsia="en-US"/>
        </w:rPr>
        <w:t xml:space="preserve">a la ejecución de programas y proyectos correspondientes al Presupuesto General de la Nación. </w:t>
      </w:r>
      <w:r>
        <w:rPr>
          <w:rFonts w:ascii="Arial" w:eastAsia="Calibri" w:hAnsi="Arial" w:cs="Arial"/>
          <w:sz w:val="22"/>
          <w:szCs w:val="22"/>
          <w:lang w:eastAsia="en-US"/>
        </w:rPr>
        <w:t xml:space="preserve">Es decir, se establece un criterio material, del cual se deriva que, </w:t>
      </w:r>
      <w:r w:rsidRPr="00B244DB">
        <w:rPr>
          <w:rFonts w:ascii="Arial" w:eastAsia="Calibri" w:hAnsi="Arial" w:cs="Arial"/>
          <w:sz w:val="22"/>
          <w:szCs w:val="22"/>
          <w:lang w:eastAsia="en-US"/>
        </w:rPr>
        <w:t>durante los cuatro meses previos a las elecciones, queda prohibido celebrar convenios interadministrativos</w:t>
      </w:r>
      <w:r>
        <w:rPr>
          <w:rFonts w:ascii="Arial" w:eastAsia="Calibri" w:hAnsi="Arial" w:cs="Arial"/>
          <w:sz w:val="22"/>
          <w:szCs w:val="22"/>
          <w:lang w:eastAsia="en-US"/>
        </w:rPr>
        <w:t xml:space="preserve"> o contratos interadministrativos</w:t>
      </w:r>
      <w:r w:rsidRPr="00B244DB">
        <w:rPr>
          <w:rFonts w:ascii="Arial" w:eastAsia="Calibri" w:hAnsi="Arial" w:cs="Arial"/>
          <w:sz w:val="22"/>
          <w:szCs w:val="22"/>
          <w:lang w:eastAsia="en-US"/>
        </w:rPr>
        <w:t xml:space="preserve"> que no se relacionen con programas y proyectos que ejecuten recursos </w:t>
      </w:r>
      <w:r>
        <w:rPr>
          <w:rFonts w:ascii="Arial" w:eastAsia="Calibri" w:hAnsi="Arial" w:cs="Arial"/>
          <w:sz w:val="22"/>
          <w:szCs w:val="22"/>
          <w:lang w:eastAsia="en-US"/>
        </w:rPr>
        <w:t xml:space="preserve">del Presupuesto General de la Nación. </w:t>
      </w:r>
    </w:p>
    <w:p w14:paraId="5F3E5635" w14:textId="77777777" w:rsidR="00632599"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lastRenderedPageBreak/>
        <w:t>5.</w:t>
      </w:r>
      <w:r>
        <w:rPr>
          <w:rFonts w:ascii="Arial" w:eastAsia="Calibri" w:hAnsi="Arial" w:cs="Arial"/>
          <w:sz w:val="22"/>
          <w:szCs w:val="22"/>
          <w:lang w:eastAsia="en-US"/>
        </w:rPr>
        <w:t xml:space="preserve"> E</w:t>
      </w:r>
      <w:r w:rsidRPr="00B244DB">
        <w:rPr>
          <w:rFonts w:ascii="Arial" w:eastAsia="Calibri" w:hAnsi="Arial" w:cs="Arial"/>
          <w:sz w:val="22"/>
          <w:szCs w:val="22"/>
          <w:lang w:eastAsia="en-US"/>
        </w:rPr>
        <w:t>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757E18E6" w14:textId="77777777" w:rsidR="00632599" w:rsidRPr="006604C3" w:rsidRDefault="00632599" w:rsidP="00632599">
      <w:pPr>
        <w:spacing w:after="120" w:line="276" w:lineRule="auto"/>
        <w:ind w:firstLine="709"/>
        <w:jc w:val="both"/>
        <w:rPr>
          <w:rFonts w:ascii="Arial" w:eastAsia="Calibri" w:hAnsi="Arial" w:cs="Arial"/>
          <w:sz w:val="22"/>
          <w:szCs w:val="22"/>
          <w:lang w:eastAsia="en-US"/>
        </w:rPr>
      </w:pPr>
      <w:r w:rsidRPr="004C3506">
        <w:rPr>
          <w:rFonts w:ascii="Arial" w:eastAsia="Calibri" w:hAnsi="Arial" w:cs="Arial"/>
          <w:bCs/>
          <w:sz w:val="22"/>
          <w:szCs w:val="22"/>
          <w:lang w:eastAsia="en-US"/>
        </w:rPr>
        <w:t>6.</w:t>
      </w:r>
      <w:r w:rsidRPr="006604C3">
        <w:rPr>
          <w:rFonts w:ascii="Arial" w:eastAsia="Calibri" w:hAnsi="Arial" w:cs="Arial"/>
          <w:b/>
          <w:sz w:val="22"/>
          <w:szCs w:val="22"/>
          <w:lang w:eastAsia="en-US"/>
        </w:rPr>
        <w:t xml:space="preserve"> </w:t>
      </w:r>
      <w:r>
        <w:rPr>
          <w:rFonts w:ascii="Arial" w:eastAsia="Calibri" w:hAnsi="Arial" w:cs="Arial"/>
          <w:sz w:val="22"/>
          <w:szCs w:val="22"/>
          <w:lang w:eastAsia="en-US"/>
        </w:rPr>
        <w:t xml:space="preserve">Se establece que los convenios o contratos interadministrativos </w:t>
      </w:r>
      <w:r w:rsidRPr="00B244DB">
        <w:rPr>
          <w:rFonts w:ascii="Arial" w:eastAsia="Calibri" w:hAnsi="Arial" w:cs="Arial"/>
          <w:sz w:val="21"/>
          <w:szCs w:val="21"/>
          <w:lang w:eastAsia="en-US"/>
        </w:rPr>
        <w:t>que se suscriban bajo el amparo de la presente disposición serán objeto de control especial por parte de la Contraloría General de la República.</w:t>
      </w:r>
      <w:r>
        <w:rPr>
          <w:rFonts w:ascii="Arial" w:eastAsia="Calibri" w:hAnsi="Arial" w:cs="Arial"/>
          <w:sz w:val="21"/>
          <w:szCs w:val="21"/>
          <w:lang w:eastAsia="en-US"/>
        </w:rPr>
        <w:t xml:space="preserve"> En tal sentido, e</w:t>
      </w:r>
      <w:r w:rsidRPr="00B244DB">
        <w:rPr>
          <w:rFonts w:ascii="Arial" w:eastAsia="Calibri" w:hAnsi="Arial" w:cs="Arial"/>
          <w:sz w:val="21"/>
          <w:szCs w:val="21"/>
          <w:lang w:eastAsia="en-US"/>
        </w:rPr>
        <w:t xml:space="preserve">l Contralor General de la República determinará, en el marco de sus competencias constitucionales y legales, la forma en que se </w:t>
      </w:r>
      <w:r>
        <w:rPr>
          <w:rFonts w:ascii="Arial" w:eastAsia="Calibri" w:hAnsi="Arial" w:cs="Arial"/>
          <w:sz w:val="21"/>
          <w:szCs w:val="21"/>
          <w:lang w:eastAsia="en-US"/>
        </w:rPr>
        <w:t>ejercerá este control especial.</w:t>
      </w:r>
    </w:p>
    <w:p w14:paraId="30673663" w14:textId="33C110C4" w:rsidR="003A231A" w:rsidRPr="005C4A8F" w:rsidRDefault="00632599" w:rsidP="005C4A8F">
      <w:pPr>
        <w:spacing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De acuerdo a las anteriores consideraciones, </w:t>
      </w:r>
      <w:r w:rsidRPr="00B244DB">
        <w:rPr>
          <w:rFonts w:ascii="Arial" w:eastAsia="Calibri" w:hAnsi="Arial" w:cs="Arial"/>
          <w:sz w:val="22"/>
          <w:szCs w:val="22"/>
          <w:lang w:eastAsia="en-US"/>
        </w:rPr>
        <w:t xml:space="preserve">la </w:t>
      </w:r>
      <w:r>
        <w:rPr>
          <w:rFonts w:ascii="Arial" w:eastAsia="Calibri" w:hAnsi="Arial" w:cs="Arial"/>
          <w:sz w:val="22"/>
          <w:szCs w:val="22"/>
          <w:lang w:eastAsia="en-US"/>
        </w:rPr>
        <w:t xml:space="preserve">promulgación y expedición </w:t>
      </w:r>
      <w:r w:rsidRPr="00B244DB">
        <w:rPr>
          <w:rFonts w:ascii="Arial" w:eastAsia="Calibri" w:hAnsi="Arial" w:cs="Arial"/>
          <w:sz w:val="22"/>
          <w:szCs w:val="22"/>
          <w:lang w:eastAsia="en-US"/>
        </w:rPr>
        <w:t>de la Ley 2159 de 2021 no deroga la Ley 996 de 2005, sino que modifica d</w:t>
      </w:r>
      <w:r w:rsidRPr="004C3506">
        <w:rPr>
          <w:rFonts w:ascii="Arial" w:eastAsia="Calibri" w:hAnsi="Arial" w:cs="Arial"/>
          <w:i/>
          <w:iCs/>
          <w:sz w:val="22"/>
          <w:szCs w:val="22"/>
          <w:lang w:eastAsia="en-US"/>
        </w:rPr>
        <w:t>e manera transitoria y parcial</w:t>
      </w:r>
      <w:r w:rsidRPr="00B244DB">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7B2C921D" w14:textId="1B83F553" w:rsidR="00DD5B04" w:rsidRPr="004E4581" w:rsidRDefault="00DD5B04" w:rsidP="00861F5C">
      <w:pPr>
        <w:spacing w:line="276" w:lineRule="auto"/>
        <w:jc w:val="both"/>
        <w:rPr>
          <w:rFonts w:ascii="Arial" w:hAnsi="Arial" w:cs="Arial"/>
          <w:color w:val="000000" w:themeColor="text1"/>
          <w:sz w:val="22"/>
          <w:lang w:val="es-ES_tradnl"/>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p w14:paraId="49730030" w14:textId="601AB15F" w:rsidR="00DD5B04" w:rsidRDefault="00321FFE" w:rsidP="00321FFE">
      <w:pPr>
        <w:pStyle w:val="NormalWeb"/>
        <w:spacing w:before="0" w:beforeAutospacing="0" w:after="0" w:afterAutospacing="0" w:line="276" w:lineRule="auto"/>
        <w:jc w:val="center"/>
        <w:rPr>
          <w:color w:val="000000" w:themeColor="text1"/>
          <w:lang w:val="es-ES_tradnl"/>
        </w:rPr>
      </w:pPr>
      <w:r>
        <w:rPr>
          <w:rFonts w:ascii="Arial" w:hAnsi="Arial" w:cs="Arial"/>
          <w:noProof/>
          <w:lang w:val="en-US"/>
        </w:rPr>
        <w:drawing>
          <wp:inline distT="0" distB="0" distL="0" distR="0" wp14:anchorId="1FEE9F3F" wp14:editId="205FFAB2">
            <wp:extent cx="2273831" cy="1024890"/>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7B136898" w14:textId="77777777" w:rsidR="00321FFE" w:rsidRPr="00360A25" w:rsidRDefault="00321FFE" w:rsidP="00321FFE">
      <w:pPr>
        <w:pStyle w:val="NormalWeb"/>
        <w:spacing w:before="0" w:beforeAutospacing="0" w:after="0" w:afterAutospacing="0" w:line="276" w:lineRule="auto"/>
        <w:jc w:val="center"/>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E4581" w14:paraId="0C7DC5F7" w14:textId="77777777" w:rsidTr="008F4163">
        <w:trPr>
          <w:trHeight w:val="315"/>
        </w:trPr>
        <w:tc>
          <w:tcPr>
            <w:tcW w:w="812" w:type="dxa"/>
            <w:vAlign w:val="center"/>
            <w:hideMark/>
          </w:tcPr>
          <w:p w14:paraId="5BDB1AC9"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E4581" w:rsidRDefault="000254DD"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José Luis Sánchez Cardona</w:t>
            </w:r>
            <w:r w:rsidR="005E38E9" w:rsidRPr="004E4581">
              <w:rPr>
                <w:rFonts w:ascii="Arial" w:hAnsi="Arial" w:cs="Arial"/>
                <w:color w:val="000000" w:themeColor="text1"/>
                <w:sz w:val="16"/>
                <w:szCs w:val="16"/>
                <w:lang w:val="es-ES_tradnl" w:eastAsia="es-ES"/>
              </w:rPr>
              <w:t xml:space="preserve"> </w:t>
            </w:r>
          </w:p>
          <w:p w14:paraId="240C71FD" w14:textId="31312C95"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Contratista</w:t>
            </w:r>
            <w:r w:rsidR="00FF0050" w:rsidRPr="004E4581">
              <w:rPr>
                <w:rFonts w:ascii="Arial" w:hAnsi="Arial" w:cs="Arial"/>
                <w:color w:val="000000" w:themeColor="text1"/>
                <w:sz w:val="16"/>
                <w:szCs w:val="16"/>
                <w:lang w:val="es-ES_tradnl" w:eastAsia="es-ES"/>
              </w:rPr>
              <w:t xml:space="preserve"> de la </w:t>
            </w:r>
            <w:r w:rsidRPr="004E4581">
              <w:rPr>
                <w:rFonts w:ascii="Arial" w:hAnsi="Arial" w:cs="Arial"/>
                <w:color w:val="000000" w:themeColor="text1"/>
                <w:sz w:val="16"/>
                <w:szCs w:val="16"/>
                <w:lang w:val="es-ES_tradnl" w:eastAsia="es-ES"/>
              </w:rPr>
              <w:t>Subdirección de Gestión Contractual</w:t>
            </w:r>
          </w:p>
        </w:tc>
      </w:tr>
      <w:tr w:rsidR="004E4581" w:rsidRPr="004E4581" w14:paraId="2F8FD650" w14:textId="77777777" w:rsidTr="008F4163">
        <w:trPr>
          <w:trHeight w:val="330"/>
        </w:trPr>
        <w:tc>
          <w:tcPr>
            <w:tcW w:w="812" w:type="dxa"/>
            <w:vAlign w:val="center"/>
            <w:hideMark/>
          </w:tcPr>
          <w:p w14:paraId="50203A0B"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13FFE020" w:rsidR="008623A7" w:rsidRPr="004E4581" w:rsidRDefault="00E90A1E"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130B3228" w14:textId="6BA7499F" w:rsidR="002B08BA" w:rsidRPr="004E4581" w:rsidRDefault="00E90A1E"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3D281F" w:rsidRPr="004E4581">
              <w:rPr>
                <w:rFonts w:ascii="Arial" w:hAnsi="Arial" w:cs="Arial"/>
                <w:color w:val="000000" w:themeColor="text1"/>
                <w:sz w:val="16"/>
                <w:szCs w:val="16"/>
                <w:lang w:val="es-ES_tradnl" w:eastAsia="es-ES"/>
              </w:rPr>
              <w:t xml:space="preserve"> </w:t>
            </w:r>
            <w:r w:rsidR="00015642" w:rsidRPr="004E4581">
              <w:rPr>
                <w:rFonts w:ascii="Arial" w:hAnsi="Arial" w:cs="Arial"/>
                <w:color w:val="000000" w:themeColor="text1"/>
                <w:sz w:val="16"/>
                <w:szCs w:val="16"/>
                <w:lang w:val="es-ES_tradnl" w:eastAsia="es-ES"/>
              </w:rPr>
              <w:t xml:space="preserve">de la </w:t>
            </w:r>
            <w:r w:rsidR="003D281F" w:rsidRPr="004E4581">
              <w:rPr>
                <w:rFonts w:ascii="Arial" w:hAnsi="Arial" w:cs="Arial"/>
                <w:color w:val="000000" w:themeColor="text1"/>
                <w:sz w:val="16"/>
                <w:szCs w:val="16"/>
                <w:lang w:val="es-ES_tradnl" w:eastAsia="es-ES"/>
              </w:rPr>
              <w:t xml:space="preserve">Subdirección de Gestión Contractual </w:t>
            </w:r>
            <w:r w:rsidR="00015642" w:rsidRPr="004E4581">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E4581" w:rsidRDefault="00C05A61"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 xml:space="preserve">Jorge </w:t>
            </w:r>
            <w:r w:rsidR="00647A36" w:rsidRPr="004E4581">
              <w:rPr>
                <w:rFonts w:ascii="Arial" w:hAnsi="Arial" w:cs="Arial"/>
                <w:color w:val="000000" w:themeColor="text1"/>
                <w:sz w:val="16"/>
                <w:szCs w:val="16"/>
                <w:lang w:val="es-ES_tradnl" w:eastAsia="es-ES"/>
              </w:rPr>
              <w:t xml:space="preserve">Augusto </w:t>
            </w:r>
            <w:r w:rsidRPr="004E4581">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Subdirector de Gestión Contractual</w:t>
            </w:r>
            <w:r w:rsidR="003D369D" w:rsidRPr="004E4581">
              <w:rPr>
                <w:rFonts w:ascii="Arial" w:hAnsi="Arial" w:cs="Arial"/>
                <w:color w:val="000000" w:themeColor="text1"/>
                <w:sz w:val="16"/>
                <w:szCs w:val="16"/>
                <w:lang w:val="es-ES_tradnl" w:eastAsia="es-ES"/>
              </w:rPr>
              <w:t xml:space="preserve"> ANCP – CCE</w:t>
            </w:r>
          </w:p>
        </w:tc>
      </w:tr>
      <w:bookmarkEnd w:id="8"/>
    </w:tbl>
    <w:p w14:paraId="5E9C37DB" w14:textId="62BAE87A" w:rsidR="00746E08" w:rsidRPr="004E4581" w:rsidRDefault="00746E08" w:rsidP="00A424EB">
      <w:pPr>
        <w:tabs>
          <w:tab w:val="left" w:pos="3795"/>
        </w:tabs>
        <w:rPr>
          <w:rFonts w:ascii="Arial" w:hAnsi="Arial" w:cs="Arial"/>
          <w:color w:val="000000" w:themeColor="text1"/>
          <w:lang w:val="es-ES_tradnl"/>
        </w:rPr>
      </w:pP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55D0" w14:textId="77777777" w:rsidR="00B77B75" w:rsidRDefault="00B77B75">
      <w:r>
        <w:separator/>
      </w:r>
    </w:p>
  </w:endnote>
  <w:endnote w:type="continuationSeparator" w:id="0">
    <w:p w14:paraId="7B170915" w14:textId="77777777" w:rsidR="00B77B75" w:rsidRDefault="00B77B75">
      <w:r>
        <w:continuationSeparator/>
      </w:r>
    </w:p>
  </w:endnote>
  <w:endnote w:type="continuationNotice" w:id="1">
    <w:p w14:paraId="30D93ADB" w14:textId="77777777" w:rsidR="00B77B75" w:rsidRDefault="00B7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15099FE"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C4A8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C4A8F">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3FB3" w14:textId="77777777" w:rsidR="00B77B75" w:rsidRDefault="00B77B75">
      <w:r>
        <w:separator/>
      </w:r>
    </w:p>
  </w:footnote>
  <w:footnote w:type="continuationSeparator" w:id="0">
    <w:p w14:paraId="68816F03" w14:textId="77777777" w:rsidR="00B77B75" w:rsidRDefault="00B77B75">
      <w:r>
        <w:continuationSeparator/>
      </w:r>
    </w:p>
  </w:footnote>
  <w:footnote w:type="continuationNotice" w:id="1">
    <w:p w14:paraId="5758CE31" w14:textId="77777777" w:rsidR="00B77B75" w:rsidRDefault="00B77B75"/>
  </w:footnote>
  <w:footnote w:id="2">
    <w:p w14:paraId="655D4C09" w14:textId="77777777" w:rsidR="00E807B5" w:rsidRPr="00360A25" w:rsidRDefault="00E807B5" w:rsidP="00742595">
      <w:pPr>
        <w:pStyle w:val="Textonotapie"/>
        <w:ind w:firstLine="709"/>
        <w:jc w:val="both"/>
        <w:rPr>
          <w:rFonts w:ascii="Arial" w:hAnsi="Arial" w:cs="Arial"/>
          <w:sz w:val="18"/>
          <w:szCs w:val="18"/>
        </w:rPr>
      </w:pPr>
      <w:r w:rsidRPr="00742595">
        <w:rPr>
          <w:rStyle w:val="Refdenotaalpie"/>
          <w:rFonts w:ascii="Arial" w:hAnsi="Arial" w:cs="Arial"/>
          <w:sz w:val="19"/>
          <w:szCs w:val="19"/>
        </w:rPr>
        <w:footnoteRef/>
      </w:r>
      <w:r w:rsidRPr="00742595">
        <w:rPr>
          <w:rFonts w:ascii="Arial" w:hAnsi="Arial" w:cs="Arial"/>
          <w:sz w:val="19"/>
          <w:szCs w:val="19"/>
        </w:rPr>
        <w:t xml:space="preserve"> El a</w:t>
      </w:r>
      <w:r w:rsidRPr="00360A25">
        <w:rPr>
          <w:rFonts w:ascii="Arial" w:hAnsi="Arial" w:cs="Arial"/>
          <w:sz w:val="18"/>
          <w:szCs w:val="18"/>
        </w:rPr>
        <w:t xml:space="preserve">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360A25" w:rsidRDefault="00E807B5" w:rsidP="00742595">
      <w:pPr>
        <w:pStyle w:val="Textonotapie"/>
        <w:ind w:firstLine="709"/>
        <w:jc w:val="both"/>
        <w:rPr>
          <w:rFonts w:ascii="Arial" w:hAnsi="Arial" w:cs="Arial"/>
          <w:sz w:val="18"/>
          <w:szCs w:val="18"/>
        </w:rPr>
      </w:pPr>
      <w:r w:rsidRPr="00360A25">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B9EFB00" w14:textId="4A81E6E2" w:rsidR="00E807B5" w:rsidRPr="00360A25" w:rsidRDefault="00E807B5" w:rsidP="00742595">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66A40922" w14:textId="77777777" w:rsidR="007D6E42" w:rsidRDefault="007D6E42" w:rsidP="00742595">
      <w:pPr>
        <w:pStyle w:val="Textonotapie"/>
        <w:ind w:firstLine="709"/>
        <w:jc w:val="both"/>
        <w:rPr>
          <w:rFonts w:ascii="Arial" w:hAnsi="Arial" w:cs="Arial"/>
          <w:sz w:val="18"/>
          <w:szCs w:val="18"/>
          <w:lang w:val="es-CO"/>
        </w:rPr>
      </w:pPr>
    </w:p>
    <w:p w14:paraId="3D0FF6A2" w14:textId="2AA06734" w:rsidR="00E807B5" w:rsidRPr="00360A25" w:rsidRDefault="00E807B5" w:rsidP="00742595">
      <w:pPr>
        <w:pStyle w:val="Textonotapie"/>
        <w:ind w:firstLine="709"/>
        <w:jc w:val="both"/>
        <w:rPr>
          <w:rFonts w:ascii="Arial" w:hAnsi="Arial" w:cs="Arial"/>
          <w:sz w:val="18"/>
          <w:szCs w:val="18"/>
          <w:lang w:val="es-CO"/>
        </w:rPr>
      </w:pPr>
      <w:r w:rsidRPr="00360A25">
        <w:rPr>
          <w:rStyle w:val="Refdenotaalpie"/>
          <w:rFonts w:ascii="Arial" w:hAnsi="Arial" w:cs="Arial"/>
          <w:sz w:val="18"/>
          <w:szCs w:val="18"/>
        </w:rPr>
        <w:footnoteRef/>
      </w:r>
      <w:r w:rsidRPr="00360A25">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360A25" w:rsidRDefault="00E807B5" w:rsidP="00742595">
      <w:pPr>
        <w:pStyle w:val="Textonotapie"/>
        <w:ind w:firstLine="709"/>
        <w:jc w:val="both"/>
        <w:rPr>
          <w:rFonts w:ascii="Arial" w:hAnsi="Arial" w:cs="Arial"/>
          <w:sz w:val="18"/>
          <w:szCs w:val="18"/>
          <w:lang w:val="es-CO"/>
        </w:rPr>
      </w:pPr>
    </w:p>
  </w:footnote>
  <w:footnote w:id="5">
    <w:p w14:paraId="4A2A3E87" w14:textId="035207B7" w:rsidR="00E807B5" w:rsidRPr="00360A25" w:rsidRDefault="00E807B5" w:rsidP="00742595">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de fecha 24 de julio de 2013, radicado 2166, Consejero Ponente Álvaro </w:t>
      </w:r>
      <w:r w:rsidRPr="00360A25">
        <w:rPr>
          <w:rFonts w:ascii="Arial" w:hAnsi="Arial" w:cs="Arial"/>
          <w:sz w:val="18"/>
          <w:szCs w:val="18"/>
        </w:rPr>
        <w:t xml:space="preserve">Namén Vargas.  </w:t>
      </w:r>
    </w:p>
  </w:footnote>
  <w:footnote w:id="6">
    <w:p w14:paraId="7E4BC125" w14:textId="77777777" w:rsidR="007D6E42" w:rsidRDefault="007D6E42" w:rsidP="00742595">
      <w:pPr>
        <w:ind w:firstLine="709"/>
        <w:jc w:val="both"/>
        <w:rPr>
          <w:rFonts w:ascii="Arial" w:hAnsi="Arial" w:cs="Arial"/>
          <w:sz w:val="18"/>
          <w:szCs w:val="18"/>
        </w:rPr>
      </w:pPr>
    </w:p>
    <w:p w14:paraId="4B94ABDB" w14:textId="259272D3" w:rsidR="00917720" w:rsidRPr="00360A25" w:rsidRDefault="00917720" w:rsidP="00742595">
      <w:pPr>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w:t>
      </w:r>
      <w:bookmarkStart w:id="14" w:name="33"/>
      <w:r w:rsidRPr="00360A25">
        <w:rPr>
          <w:rFonts w:ascii="Arial" w:eastAsia="Calibri" w:hAnsi="Arial" w:cs="Arial"/>
          <w:bCs/>
          <w:color w:val="000000"/>
          <w:sz w:val="18"/>
          <w:szCs w:val="18"/>
        </w:rPr>
        <w:t>«</w:t>
      </w:r>
      <w:r w:rsidRPr="00360A25">
        <w:rPr>
          <w:rFonts w:ascii="Arial" w:hAnsi="Arial" w:cs="Arial"/>
          <w:sz w:val="18"/>
          <w:szCs w:val="18"/>
        </w:rPr>
        <w:t>Artículo 33. Restricciones a la contratación pública.</w:t>
      </w:r>
      <w:bookmarkEnd w:id="14"/>
      <w:r w:rsidRPr="00360A25">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2191C096" w14:textId="77777777" w:rsidR="00917720" w:rsidRPr="00360A25" w:rsidRDefault="00917720" w:rsidP="00742595">
      <w:pPr>
        <w:ind w:firstLine="709"/>
        <w:jc w:val="both"/>
        <w:rPr>
          <w:rFonts w:ascii="Arial" w:hAnsi="Arial" w:cs="Arial"/>
          <w:sz w:val="18"/>
          <w:szCs w:val="18"/>
        </w:rPr>
      </w:pPr>
      <w:r w:rsidRPr="00360A25">
        <w:rPr>
          <w:rFonts w:ascii="Arial" w:eastAsia="Calibri" w:hAnsi="Arial" w:cs="Arial"/>
          <w:bCs/>
          <w:color w:val="000000"/>
          <w:sz w:val="18"/>
          <w:szCs w:val="18"/>
        </w:rPr>
        <w:t>»</w:t>
      </w:r>
      <w:r w:rsidRPr="00360A25">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60A25">
        <w:rPr>
          <w:rFonts w:ascii="Arial" w:eastAsia="Calibri" w:hAnsi="Arial" w:cs="Arial"/>
          <w:bCs/>
          <w:color w:val="000000"/>
          <w:sz w:val="18"/>
          <w:szCs w:val="18"/>
        </w:rPr>
        <w:t>»</w:t>
      </w:r>
      <w:r w:rsidRPr="00360A25">
        <w:rPr>
          <w:rFonts w:ascii="Arial" w:hAnsi="Arial" w:cs="Arial"/>
          <w:sz w:val="18"/>
          <w:szCs w:val="18"/>
        </w:rPr>
        <w:t>.</w:t>
      </w:r>
    </w:p>
  </w:footnote>
  <w:footnote w:id="7">
    <w:p w14:paraId="6F95EDAA" w14:textId="77777777" w:rsidR="00917720"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eastAsia="Calibri" w:hAnsi="Arial" w:cs="Arial"/>
          <w:bCs/>
          <w:color w:val="000000"/>
          <w:sz w:val="18"/>
          <w:szCs w:val="18"/>
        </w:rPr>
        <w:t>«</w:t>
      </w:r>
      <w:r w:rsidRPr="00360A25">
        <w:rPr>
          <w:rFonts w:ascii="Arial" w:hAnsi="Arial" w:cs="Arial"/>
          <w:sz w:val="18"/>
          <w:szCs w:val="18"/>
          <w:lang w:val="es-MX"/>
        </w:rPr>
        <w:t>Artículo 38. Prohibiciones para los servidores públicos. A los empleados del Estado les está prohibido:</w:t>
      </w:r>
    </w:p>
    <w:p w14:paraId="65CB9548" w14:textId="77777777" w:rsidR="00917720"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Fonts w:ascii="Arial" w:eastAsia="Calibri" w:hAnsi="Arial" w:cs="Arial"/>
          <w:bCs/>
          <w:color w:val="000000"/>
          <w:sz w:val="18"/>
          <w:szCs w:val="18"/>
        </w:rPr>
        <w:t>»</w:t>
      </w:r>
      <w:r w:rsidRPr="00360A25">
        <w:rPr>
          <w:rFonts w:ascii="Arial" w:hAnsi="Arial" w:cs="Arial"/>
          <w:sz w:val="18"/>
          <w:szCs w:val="18"/>
          <w:lang w:val="es-MX"/>
        </w:rPr>
        <w:t xml:space="preserve"> […]</w:t>
      </w:r>
    </w:p>
    <w:p w14:paraId="3946DC8C" w14:textId="6CB40541" w:rsidR="005B2206" w:rsidRPr="00360A25" w:rsidRDefault="00917720" w:rsidP="00742595">
      <w:pPr>
        <w:pStyle w:val="NormalWeb"/>
        <w:spacing w:before="0" w:beforeAutospacing="0" w:after="0" w:afterAutospacing="0"/>
        <w:ind w:firstLine="709"/>
        <w:jc w:val="both"/>
        <w:rPr>
          <w:rFonts w:ascii="Arial" w:hAnsi="Arial" w:cs="Arial"/>
          <w:sz w:val="18"/>
          <w:szCs w:val="18"/>
          <w:lang w:val="es-MX"/>
        </w:rPr>
      </w:pPr>
      <w:r w:rsidRPr="00360A25">
        <w:rPr>
          <w:rFonts w:ascii="Arial" w:eastAsia="Calibri" w:hAnsi="Arial" w:cs="Arial"/>
          <w:bCs/>
          <w:color w:val="000000"/>
          <w:sz w:val="18"/>
          <w:szCs w:val="18"/>
        </w:rPr>
        <w:t>»</w:t>
      </w:r>
      <w:r w:rsidRPr="00360A25">
        <w:rPr>
          <w:rStyle w:val="baj"/>
          <w:rFonts w:ascii="Arial" w:hAnsi="Arial" w:cs="Arial"/>
          <w:sz w:val="18"/>
          <w:szCs w:val="18"/>
          <w:lang w:val="es-MX"/>
        </w:rPr>
        <w:t xml:space="preserve"> Parágrafo.</w:t>
      </w:r>
      <w:r w:rsidRPr="00360A25">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60A25">
        <w:rPr>
          <w:rFonts w:ascii="Arial" w:eastAsia="Calibri" w:hAnsi="Arial" w:cs="Arial"/>
          <w:bCs/>
          <w:color w:val="000000"/>
          <w:sz w:val="18"/>
          <w:szCs w:val="18"/>
        </w:rPr>
        <w:t>»</w:t>
      </w:r>
      <w:r w:rsidRPr="00360A25">
        <w:rPr>
          <w:rFonts w:ascii="Arial" w:hAnsi="Arial" w:cs="Arial"/>
          <w:sz w:val="18"/>
          <w:szCs w:val="18"/>
          <w:lang w:val="es-MX"/>
        </w:rPr>
        <w:t>.</w:t>
      </w:r>
    </w:p>
  </w:footnote>
  <w:footnote w:id="8">
    <w:p w14:paraId="4983D479" w14:textId="0C3038FE" w:rsidR="00917720" w:rsidRPr="00360A25" w:rsidRDefault="00917720" w:rsidP="00742595">
      <w:pPr>
        <w:ind w:left="100" w:right="244"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9">
    <w:p w14:paraId="79ED1F4F" w14:textId="77777777" w:rsidR="00B540D4" w:rsidRPr="000254DD" w:rsidRDefault="00B540D4" w:rsidP="00B540D4">
      <w:pPr>
        <w:pStyle w:val="Prrafodelista"/>
        <w:tabs>
          <w:tab w:val="left" w:pos="251"/>
        </w:tabs>
        <w:spacing w:before="79" w:line="206" w:lineRule="exact"/>
        <w:jc w:val="both"/>
        <w:rPr>
          <w:rFonts w:ascii="Arial" w:hAnsi="Arial" w:cs="Arial"/>
          <w:sz w:val="19"/>
          <w:szCs w:val="19"/>
          <w:lang w:val="es-CO"/>
        </w:rPr>
      </w:pPr>
      <w:r w:rsidRPr="000254DD">
        <w:rPr>
          <w:rStyle w:val="Refdenotaalpie"/>
          <w:rFonts w:ascii="Arial" w:hAnsi="Arial" w:cs="Arial"/>
          <w:sz w:val="19"/>
          <w:szCs w:val="19"/>
        </w:rPr>
        <w:footnoteRef/>
      </w:r>
      <w:r w:rsidRPr="000254DD">
        <w:rPr>
          <w:rFonts w:ascii="Arial" w:hAnsi="Arial" w:cs="Arial"/>
          <w:sz w:val="19"/>
          <w:szCs w:val="19"/>
        </w:rPr>
        <w:t xml:space="preserve"> Código Civil, artículos 1495 y</w:t>
      </w:r>
      <w:r w:rsidRPr="000254DD">
        <w:rPr>
          <w:rFonts w:ascii="Arial" w:hAnsi="Arial" w:cs="Arial"/>
          <w:spacing w:val="-5"/>
          <w:sz w:val="19"/>
          <w:szCs w:val="19"/>
        </w:rPr>
        <w:t xml:space="preserve"> </w:t>
      </w:r>
      <w:r w:rsidRPr="000254DD">
        <w:rPr>
          <w:rFonts w:ascii="Arial" w:hAnsi="Arial" w:cs="Arial"/>
          <w:sz w:val="19"/>
          <w:szCs w:val="19"/>
        </w:rPr>
        <w:t>1602.</w:t>
      </w:r>
    </w:p>
  </w:footnote>
  <w:footnote w:id="10">
    <w:p w14:paraId="18D70CDE" w14:textId="77777777" w:rsidR="00B540D4" w:rsidRDefault="00B540D4" w:rsidP="00B540D4">
      <w:pPr>
        <w:pStyle w:val="Textonotapie"/>
        <w:ind w:firstLine="708"/>
        <w:jc w:val="both"/>
        <w:rPr>
          <w:rFonts w:ascii="Arial" w:hAnsi="Arial" w:cs="Arial"/>
          <w:sz w:val="19"/>
          <w:szCs w:val="19"/>
        </w:rPr>
      </w:pPr>
      <w:r w:rsidRPr="000254DD">
        <w:rPr>
          <w:rStyle w:val="Refdenotaalpie"/>
          <w:rFonts w:ascii="Arial" w:hAnsi="Arial" w:cs="Arial"/>
          <w:sz w:val="19"/>
          <w:szCs w:val="19"/>
        </w:rPr>
        <w:footnoteRef/>
      </w:r>
      <w:r w:rsidRPr="000254DD">
        <w:rPr>
          <w:rFonts w:ascii="Arial" w:hAnsi="Arial" w:cs="Arial"/>
          <w:sz w:val="19"/>
          <w:szCs w:val="19"/>
        </w:rPr>
        <w:t xml:space="preserve"> PALACIO HINCAPIÉ, Juan Ángel. La contratación de las entidades estatales. 5°° ed. Medellín: Librería Jurídica Sánchez R, 2005. p. 35. </w:t>
      </w:r>
    </w:p>
    <w:p w14:paraId="0D155B2C" w14:textId="77777777" w:rsidR="00B540D4" w:rsidRPr="000254DD" w:rsidRDefault="00B540D4" w:rsidP="00B540D4">
      <w:pPr>
        <w:pStyle w:val="Textonotapie"/>
        <w:ind w:firstLine="708"/>
        <w:jc w:val="both"/>
        <w:rPr>
          <w:rFonts w:ascii="Arial" w:hAnsi="Arial" w:cs="Arial"/>
          <w:sz w:val="19"/>
          <w:szCs w:val="19"/>
          <w:lang w:val="es-CO"/>
        </w:rPr>
      </w:pPr>
    </w:p>
  </w:footnote>
  <w:footnote w:id="11">
    <w:p w14:paraId="07575525" w14:textId="77777777" w:rsidR="00B540D4" w:rsidRDefault="00B540D4" w:rsidP="00B540D4">
      <w:pPr>
        <w:pStyle w:val="Prrafodelista"/>
        <w:tabs>
          <w:tab w:val="left" w:pos="251"/>
        </w:tabs>
        <w:spacing w:line="206" w:lineRule="exact"/>
        <w:jc w:val="both"/>
        <w:rPr>
          <w:rFonts w:ascii="Arial" w:hAnsi="Arial" w:cs="Arial"/>
          <w:sz w:val="19"/>
          <w:szCs w:val="19"/>
        </w:rPr>
      </w:pPr>
      <w:r w:rsidRPr="000254DD">
        <w:rPr>
          <w:rStyle w:val="Refdenotaalpie"/>
          <w:rFonts w:ascii="Arial" w:hAnsi="Arial" w:cs="Arial"/>
          <w:sz w:val="19"/>
          <w:szCs w:val="19"/>
        </w:rPr>
        <w:footnoteRef/>
      </w:r>
      <w:r w:rsidRPr="000254DD">
        <w:rPr>
          <w:rFonts w:ascii="Arial" w:hAnsi="Arial" w:cs="Arial"/>
          <w:sz w:val="19"/>
          <w:szCs w:val="19"/>
        </w:rPr>
        <w:t xml:space="preserve"> Ley 80 de 1993, artículo 3 y</w:t>
      </w:r>
      <w:r w:rsidRPr="000254DD">
        <w:rPr>
          <w:rFonts w:ascii="Arial" w:hAnsi="Arial" w:cs="Arial"/>
          <w:spacing w:val="-10"/>
          <w:sz w:val="19"/>
          <w:szCs w:val="19"/>
        </w:rPr>
        <w:t xml:space="preserve"> </w:t>
      </w:r>
      <w:r w:rsidRPr="000254DD">
        <w:rPr>
          <w:rFonts w:ascii="Arial" w:hAnsi="Arial" w:cs="Arial"/>
          <w:sz w:val="19"/>
          <w:szCs w:val="19"/>
        </w:rPr>
        <w:t>40.</w:t>
      </w:r>
    </w:p>
    <w:p w14:paraId="3C6A1BB9" w14:textId="77777777" w:rsidR="00B540D4" w:rsidRPr="000254DD" w:rsidRDefault="00B540D4" w:rsidP="00B540D4">
      <w:pPr>
        <w:pStyle w:val="Prrafodelista"/>
        <w:tabs>
          <w:tab w:val="left" w:pos="251"/>
        </w:tabs>
        <w:spacing w:line="206" w:lineRule="exact"/>
        <w:jc w:val="both"/>
        <w:rPr>
          <w:rFonts w:ascii="Arial" w:hAnsi="Arial" w:cs="Arial"/>
          <w:sz w:val="19"/>
          <w:szCs w:val="19"/>
          <w:lang w:val="es-CO"/>
        </w:rPr>
      </w:pPr>
    </w:p>
  </w:footnote>
  <w:footnote w:id="12">
    <w:p w14:paraId="4DB65349" w14:textId="77777777" w:rsidR="00B540D4" w:rsidRDefault="00B540D4" w:rsidP="00B540D4">
      <w:pPr>
        <w:pStyle w:val="Prrafodelista"/>
        <w:tabs>
          <w:tab w:val="left" w:pos="251"/>
        </w:tabs>
        <w:spacing w:before="1"/>
        <w:jc w:val="both"/>
        <w:rPr>
          <w:rFonts w:ascii="Arial" w:hAnsi="Arial" w:cs="Arial"/>
          <w:sz w:val="19"/>
          <w:szCs w:val="19"/>
        </w:rPr>
      </w:pPr>
      <w:r w:rsidRPr="000254DD">
        <w:rPr>
          <w:rStyle w:val="Refdenotaalpie"/>
          <w:rFonts w:ascii="Arial" w:hAnsi="Arial" w:cs="Arial"/>
          <w:sz w:val="19"/>
          <w:szCs w:val="19"/>
        </w:rPr>
        <w:footnoteRef/>
      </w:r>
      <w:r w:rsidRPr="000254DD">
        <w:rPr>
          <w:rFonts w:ascii="Arial" w:hAnsi="Arial" w:cs="Arial"/>
          <w:sz w:val="19"/>
          <w:szCs w:val="19"/>
        </w:rPr>
        <w:t xml:space="preserve"> Constitución Política, artículo</w:t>
      </w:r>
      <w:r w:rsidRPr="000254DD">
        <w:rPr>
          <w:rFonts w:ascii="Arial" w:hAnsi="Arial" w:cs="Arial"/>
          <w:spacing w:val="-1"/>
          <w:sz w:val="19"/>
          <w:szCs w:val="19"/>
        </w:rPr>
        <w:t xml:space="preserve"> </w:t>
      </w:r>
      <w:r w:rsidRPr="000254DD">
        <w:rPr>
          <w:rFonts w:ascii="Arial" w:hAnsi="Arial" w:cs="Arial"/>
          <w:sz w:val="19"/>
          <w:szCs w:val="19"/>
        </w:rPr>
        <w:t xml:space="preserve">209. </w:t>
      </w:r>
    </w:p>
    <w:p w14:paraId="66A5F182" w14:textId="77777777" w:rsidR="00B540D4" w:rsidRPr="000254DD" w:rsidRDefault="00B540D4" w:rsidP="00B540D4">
      <w:pPr>
        <w:pStyle w:val="Prrafodelista"/>
        <w:tabs>
          <w:tab w:val="left" w:pos="251"/>
        </w:tabs>
        <w:spacing w:before="1"/>
        <w:jc w:val="both"/>
        <w:rPr>
          <w:rFonts w:ascii="Arial" w:hAnsi="Arial" w:cs="Arial"/>
          <w:sz w:val="19"/>
          <w:szCs w:val="19"/>
          <w:lang w:val="es-CO"/>
        </w:rPr>
      </w:pPr>
    </w:p>
  </w:footnote>
  <w:footnote w:id="13">
    <w:p w14:paraId="072EE7D7" w14:textId="77777777" w:rsidR="00B540D4" w:rsidRPr="000E1B2E" w:rsidRDefault="00B540D4" w:rsidP="00B540D4">
      <w:pPr>
        <w:ind w:firstLine="709"/>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Decreto 1082 de 2015: «Artículo 2.2.1.2.1.4.4. Convenios o contratos interadministrativos. La modalidad de selección para la contratación entre Ent</w:t>
      </w:r>
      <w:r w:rsidRPr="000E1B2E">
        <w:rPr>
          <w:rFonts w:ascii="Arial" w:hAnsi="Arial" w:cs="Arial"/>
          <w:sz w:val="19"/>
          <w:szCs w:val="19"/>
        </w:rPr>
        <w:t xml:space="preserve">idades Estatales es la contratación directa; </w:t>
      </w:r>
      <w:r w:rsidRPr="000E1B2E">
        <w:rPr>
          <w:rFonts w:ascii="Arial" w:hAnsi="Arial" w:cs="Arial"/>
          <w:sz w:val="19"/>
          <w:szCs w:val="19"/>
        </w:rPr>
        <w:t>y en consecuencia, le es aplicable lo establecido en el artículo 2.2.1.2.1.4.1 del presente decreto.</w:t>
      </w:r>
    </w:p>
    <w:p w14:paraId="2D80CDE4" w14:textId="77777777" w:rsidR="00B540D4" w:rsidRPr="000E1B2E" w:rsidRDefault="00B540D4" w:rsidP="00B540D4">
      <w:pPr>
        <w:ind w:firstLine="709"/>
        <w:contextualSpacing/>
        <w:jc w:val="both"/>
        <w:rPr>
          <w:rFonts w:ascii="Arial" w:hAnsi="Arial" w:cs="Arial"/>
          <w:sz w:val="19"/>
          <w:szCs w:val="19"/>
        </w:rPr>
      </w:pPr>
      <w:r w:rsidRPr="000E1B2E">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E1B2E">
        <w:rPr>
          <w:rFonts w:ascii="Arial" w:hAnsi="Arial" w:cs="Arial"/>
          <w:spacing w:val="-1"/>
          <w:sz w:val="19"/>
          <w:szCs w:val="19"/>
        </w:rPr>
        <w:t xml:space="preserve"> </w:t>
      </w:r>
      <w:r w:rsidRPr="000E1B2E">
        <w:rPr>
          <w:rFonts w:ascii="Arial" w:hAnsi="Arial" w:cs="Arial"/>
          <w:sz w:val="19"/>
          <w:szCs w:val="19"/>
        </w:rPr>
        <w:t>Estatales».</w:t>
      </w:r>
    </w:p>
    <w:p w14:paraId="416772CE" w14:textId="77777777" w:rsidR="00B540D4" w:rsidRPr="000E1B2E" w:rsidRDefault="00B540D4" w:rsidP="00B540D4">
      <w:pPr>
        <w:ind w:firstLine="709"/>
        <w:contextualSpacing/>
        <w:jc w:val="both"/>
        <w:rPr>
          <w:rFonts w:ascii="Arial" w:hAnsi="Arial" w:cs="Arial"/>
          <w:sz w:val="19"/>
          <w:szCs w:val="19"/>
        </w:rPr>
      </w:pPr>
    </w:p>
  </w:footnote>
  <w:footnote w:id="14">
    <w:p w14:paraId="38AC0D8C" w14:textId="77777777" w:rsidR="00B540D4" w:rsidRPr="000E1B2E" w:rsidRDefault="00B540D4" w:rsidP="00B540D4">
      <w:pPr>
        <w:ind w:firstLine="709"/>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w:t>
      </w:r>
      <w:r w:rsidRPr="000E1B2E">
        <w:rPr>
          <w:rFonts w:ascii="Arial" w:hAnsi="Arial" w:cs="Arial"/>
          <w:sz w:val="19"/>
          <w:szCs w:val="19"/>
        </w:rPr>
        <w:t>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E1B2E">
        <w:rPr>
          <w:rFonts w:ascii="Arial" w:hAnsi="Arial" w:cs="Arial"/>
          <w:spacing w:val="-6"/>
          <w:sz w:val="19"/>
          <w:szCs w:val="19"/>
        </w:rPr>
        <w:t xml:space="preserve"> </w:t>
      </w:r>
      <w:r w:rsidRPr="000E1B2E">
        <w:rPr>
          <w:rFonts w:ascii="Arial" w:hAnsi="Arial" w:cs="Arial"/>
          <w:sz w:val="19"/>
          <w:szCs w:val="19"/>
        </w:rPr>
        <w:t>artículo».</w:t>
      </w:r>
    </w:p>
    <w:p w14:paraId="3B907CFD" w14:textId="77777777" w:rsidR="00B540D4" w:rsidRPr="000E1B2E" w:rsidRDefault="00B540D4" w:rsidP="00B540D4">
      <w:pPr>
        <w:pStyle w:val="Textonotapie"/>
        <w:contextualSpacing/>
        <w:jc w:val="both"/>
        <w:rPr>
          <w:rFonts w:ascii="Arial" w:hAnsi="Arial" w:cs="Arial"/>
          <w:sz w:val="19"/>
          <w:szCs w:val="19"/>
        </w:rPr>
      </w:pPr>
    </w:p>
  </w:footnote>
  <w:footnote w:id="15">
    <w:p w14:paraId="3117DA8A" w14:textId="77777777" w:rsidR="00B540D4" w:rsidRDefault="00B540D4" w:rsidP="00B540D4">
      <w:pPr>
        <w:pStyle w:val="Textonotapie"/>
        <w:ind w:firstLine="708"/>
        <w:jc w:val="both"/>
      </w:pPr>
      <w:r>
        <w:rPr>
          <w:rStyle w:val="Refdenotaalpie"/>
        </w:rPr>
        <w:footnoteRef/>
      </w:r>
      <w:r>
        <w:t xml:space="preserve"> </w:t>
      </w:r>
      <w:r w:rsidRPr="000E1B2E">
        <w:rPr>
          <w:rFonts w:ascii="Arial" w:hAnsi="Arial" w:cs="Arial"/>
          <w:sz w:val="19"/>
          <w:szCs w:val="19"/>
        </w:rPr>
        <w:t>Consejo de Estado. Sección Tercera. Sentencia del 23 de junio de 2010. Radicación No. 66001-23-31-000-1998-00261-01(17.860). Consejero Ponente: Mauricio Fajardo Gómez.</w:t>
      </w:r>
    </w:p>
  </w:footnote>
  <w:footnote w:id="16">
    <w:p w14:paraId="7B27B7CC" w14:textId="77777777" w:rsidR="00B540D4" w:rsidRPr="000E1B2E" w:rsidRDefault="00B540D4" w:rsidP="00B540D4">
      <w:pPr>
        <w:ind w:firstLine="709"/>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Ley 1150 de 2007, artículo 2, numeral 4, literal c): «[...] Se exceptúan los contratos de obra, </w:t>
      </w:r>
      <w:r w:rsidRPr="000E1B2E">
        <w:rPr>
          <w:rFonts w:ascii="Arial" w:hAnsi="Arial" w:cs="Arial"/>
          <w:sz w:val="19"/>
          <w:szCs w:val="19"/>
        </w:rPr>
        <w:t>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E1B2E">
        <w:rPr>
          <w:rFonts w:ascii="Arial" w:hAnsi="Arial" w:cs="Arial"/>
          <w:spacing w:val="-6"/>
          <w:sz w:val="19"/>
          <w:szCs w:val="19"/>
        </w:rPr>
        <w:t xml:space="preserve"> </w:t>
      </w:r>
      <w:r w:rsidRPr="000E1B2E">
        <w:rPr>
          <w:rFonts w:ascii="Arial" w:hAnsi="Arial" w:cs="Arial"/>
          <w:sz w:val="19"/>
          <w:szCs w:val="19"/>
        </w:rPr>
        <w:t>artículo</w:t>
      </w:r>
    </w:p>
    <w:p w14:paraId="3DC2FAE1" w14:textId="77777777" w:rsidR="00B540D4" w:rsidRPr="000E1B2E" w:rsidRDefault="00B540D4" w:rsidP="00B540D4">
      <w:pPr>
        <w:contextualSpacing/>
        <w:jc w:val="both"/>
        <w:rPr>
          <w:rFonts w:ascii="Arial" w:hAnsi="Arial" w:cs="Arial"/>
          <w:sz w:val="19"/>
          <w:szCs w:val="19"/>
        </w:rPr>
      </w:pPr>
      <w:r w:rsidRPr="000E1B2E">
        <w:rPr>
          <w:rFonts w:ascii="Arial" w:hAnsi="Arial" w:cs="Arial"/>
          <w:sz w:val="19"/>
          <w:szCs w:val="19"/>
        </w:rPr>
        <w:t>»[...]».</w:t>
      </w:r>
    </w:p>
    <w:p w14:paraId="7C1F679F" w14:textId="77777777" w:rsidR="00B540D4" w:rsidRPr="000E1B2E" w:rsidRDefault="00B540D4" w:rsidP="00B540D4">
      <w:pPr>
        <w:pStyle w:val="Textonotapie"/>
        <w:contextualSpacing/>
        <w:jc w:val="both"/>
        <w:rPr>
          <w:rFonts w:ascii="Arial" w:hAnsi="Arial" w:cs="Arial"/>
          <w:sz w:val="19"/>
          <w:szCs w:val="19"/>
          <w:lang w:val="es-CO"/>
        </w:rPr>
      </w:pPr>
    </w:p>
  </w:footnote>
  <w:footnote w:id="17">
    <w:p w14:paraId="5BD72F74" w14:textId="77777777" w:rsidR="00B540D4" w:rsidRPr="000E1B2E" w:rsidRDefault="00B540D4" w:rsidP="00B540D4">
      <w:pPr>
        <w:ind w:firstLine="709"/>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Consejo de Estado.</w:t>
      </w:r>
      <w:r w:rsidRPr="000E1B2E">
        <w:rPr>
          <w:rFonts w:ascii="Arial" w:hAnsi="Arial" w:cs="Arial"/>
          <w:sz w:val="19"/>
          <w:szCs w:val="19"/>
        </w:rPr>
        <w:t xml:space="preserve"> Sección Tercera. Subsección C. Sentencia del 11 de diciembre de 2019. </w:t>
      </w:r>
      <w:r w:rsidRPr="000E1B2E">
        <w:rPr>
          <w:rFonts w:ascii="Arial" w:hAnsi="Arial" w:cs="Arial"/>
          <w:sz w:val="19"/>
          <w:szCs w:val="19"/>
        </w:rPr>
        <w:t>Exp. 46.986. C.P. Jaime Enrique Rodríguez Navas.</w:t>
      </w:r>
    </w:p>
    <w:p w14:paraId="6944562C" w14:textId="77777777" w:rsidR="00B540D4" w:rsidRPr="000E1B2E" w:rsidRDefault="00B540D4" w:rsidP="00B540D4">
      <w:pPr>
        <w:pStyle w:val="Textonotapie"/>
        <w:contextualSpacing/>
        <w:jc w:val="both"/>
        <w:rPr>
          <w:rFonts w:ascii="Arial" w:hAnsi="Arial" w:cs="Arial"/>
          <w:sz w:val="19"/>
          <w:szCs w:val="19"/>
          <w:lang w:val="es-CO"/>
        </w:rPr>
      </w:pPr>
    </w:p>
  </w:footnote>
  <w:footnote w:id="18">
    <w:p w14:paraId="7DAAB870" w14:textId="77777777" w:rsidR="00B540D4" w:rsidRPr="000E1B2E" w:rsidRDefault="00B540D4" w:rsidP="00B540D4">
      <w:pPr>
        <w:pStyle w:val="Textonotapie"/>
        <w:ind w:firstLine="708"/>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w:t>
      </w:r>
      <w:r w:rsidRPr="000E1B2E">
        <w:rPr>
          <w:rFonts w:ascii="Arial" w:hAnsi="Arial" w:cs="Arial"/>
          <w:sz w:val="19"/>
          <w:szCs w:val="19"/>
        </w:rPr>
        <w:t>Referencia propia de la cita] «CE. SCSC. Concepto de 1 de noviembre de 2016 [Rad. 11001-03-06-000-2016-00125-00(2305)]. MP. Germán Alberto Bula Escobar».</w:t>
      </w:r>
    </w:p>
    <w:p w14:paraId="19729474" w14:textId="77777777" w:rsidR="00B540D4" w:rsidRPr="000E1B2E" w:rsidRDefault="00B540D4" w:rsidP="00B540D4">
      <w:pPr>
        <w:pStyle w:val="Textonotapie"/>
        <w:ind w:firstLine="708"/>
        <w:contextualSpacing/>
        <w:jc w:val="both"/>
        <w:rPr>
          <w:rFonts w:ascii="Arial" w:hAnsi="Arial" w:cs="Arial"/>
          <w:sz w:val="19"/>
          <w:szCs w:val="19"/>
        </w:rPr>
      </w:pPr>
    </w:p>
  </w:footnote>
  <w:footnote w:id="19">
    <w:p w14:paraId="5BB5F20B" w14:textId="77777777" w:rsidR="00B540D4" w:rsidRPr="000E1B2E" w:rsidRDefault="00B540D4" w:rsidP="00B540D4">
      <w:pPr>
        <w:pStyle w:val="Textonotapie"/>
        <w:ind w:firstLine="708"/>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[Referencia propia de la cita] </w:t>
      </w:r>
      <w:r w:rsidRPr="000E1B2E">
        <w:rPr>
          <w:rFonts w:ascii="Arial" w:hAnsi="Arial" w:cs="Arial"/>
          <w:sz w:val="19"/>
          <w:szCs w:val="19"/>
        </w:rPr>
        <w:t xml:space="preserve">«CE. SCSC. Concepto de 30 de abril de 2008 [Rad. 11001-03-06-000-2008-00013-00(1881)]. MP. Enrique José Arboleda Perdomo. En esta oportunidad, la Sala indicó que el contenido </w:t>
      </w:r>
      <w:r w:rsidRPr="000E1B2E">
        <w:rPr>
          <w:rFonts w:ascii="Arial" w:hAnsi="Arial" w:cs="Arial"/>
          <w:i/>
          <w:sz w:val="19"/>
          <w:szCs w:val="19"/>
        </w:rPr>
        <w:t>“obligacional”</w:t>
      </w:r>
      <w:r w:rsidRPr="000E1B2E">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0">
    <w:p w14:paraId="6E1369E8" w14:textId="77777777" w:rsidR="00B540D4" w:rsidRPr="000E1B2E" w:rsidRDefault="00B540D4" w:rsidP="00B540D4">
      <w:pPr>
        <w:pStyle w:val="Textonotapie"/>
        <w:ind w:firstLine="708"/>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[Referencia propia de la cita] </w:t>
      </w:r>
      <w:r w:rsidRPr="000E1B2E">
        <w:rPr>
          <w:rFonts w:ascii="Arial" w:hAnsi="Arial" w:cs="Arial"/>
          <w:sz w:val="19"/>
          <w:szCs w:val="19"/>
        </w:rPr>
        <w:t xml:space="preserve">«La normativa vigente del EGCAP </w:t>
      </w:r>
      <w:r w:rsidRPr="000E1B2E">
        <w:rPr>
          <w:rFonts w:ascii="Arial" w:hAnsi="Arial" w:cs="Arial"/>
          <w:i/>
          <w:sz w:val="19"/>
          <w:szCs w:val="19"/>
        </w:rPr>
        <w:t>[literal c) del numeral 4. del artículo 2 de la Ley 1150/07]</w:t>
      </w:r>
      <w:r w:rsidRPr="000E1B2E">
        <w:rPr>
          <w:rFonts w:ascii="Arial" w:hAnsi="Arial" w:cs="Arial"/>
          <w:sz w:val="19"/>
          <w:szCs w:val="19"/>
        </w:rPr>
        <w:t xml:space="preserve"> se refiere a </w:t>
      </w:r>
      <w:r w:rsidRPr="000E1B2E">
        <w:rPr>
          <w:rFonts w:ascii="Arial" w:hAnsi="Arial" w:cs="Arial"/>
          <w:i/>
          <w:sz w:val="19"/>
          <w:szCs w:val="19"/>
        </w:rPr>
        <w:t>“contratos interadministrativos”</w:t>
      </w:r>
      <w:r w:rsidRPr="000E1B2E">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9D2E848" w14:textId="77777777" w:rsidR="00B540D4" w:rsidRPr="000E1B2E" w:rsidRDefault="00B540D4" w:rsidP="00B540D4">
      <w:pPr>
        <w:pStyle w:val="Textonotapie"/>
        <w:ind w:firstLine="708"/>
        <w:contextualSpacing/>
        <w:jc w:val="both"/>
        <w:rPr>
          <w:rFonts w:ascii="Arial" w:hAnsi="Arial" w:cs="Arial"/>
          <w:sz w:val="19"/>
          <w:szCs w:val="19"/>
        </w:rPr>
      </w:pPr>
    </w:p>
  </w:footnote>
  <w:footnote w:id="21">
    <w:p w14:paraId="2B260DDD" w14:textId="77777777" w:rsidR="00B540D4" w:rsidRPr="000E1B2E" w:rsidRDefault="00B540D4" w:rsidP="00B540D4">
      <w:pPr>
        <w:pStyle w:val="Textonotapie"/>
        <w:ind w:firstLine="708"/>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En línea con lo anterior, la Sala de Consulta y Servicio Civil del Consejo de Estado expresó lo siguiente: «</w:t>
      </w:r>
      <w:r w:rsidRPr="000E1B2E">
        <w:rPr>
          <w:rFonts w:ascii="Arial" w:hAnsi="Arial" w:cs="Arial"/>
          <w:sz w:val="19"/>
          <w:szCs w:val="19"/>
        </w:rPr>
        <w:t xml:space="preserve">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r w:rsidRPr="000E1B2E">
        <w:rPr>
          <w:rFonts w:ascii="Arial" w:hAnsi="Arial" w:cs="Arial"/>
          <w:sz w:val="19"/>
          <w:szCs w:val="19"/>
        </w:rPr>
        <w:t>Exp. 2.257. M.P. Álvaro Namén Vargas)</w:t>
      </w:r>
    </w:p>
    <w:p w14:paraId="6DEEACED" w14:textId="77777777" w:rsidR="00B540D4" w:rsidRPr="000E1B2E" w:rsidRDefault="00B540D4" w:rsidP="00B540D4">
      <w:pPr>
        <w:pStyle w:val="Textonotapie"/>
        <w:ind w:firstLine="708"/>
        <w:contextualSpacing/>
        <w:jc w:val="both"/>
        <w:rPr>
          <w:rFonts w:ascii="Arial" w:hAnsi="Arial" w:cs="Arial"/>
          <w:sz w:val="19"/>
          <w:szCs w:val="19"/>
          <w:lang w:val="es-CO"/>
        </w:rPr>
      </w:pPr>
    </w:p>
  </w:footnote>
  <w:footnote w:id="22">
    <w:p w14:paraId="786CF189" w14:textId="77777777" w:rsidR="00B540D4" w:rsidRPr="000E1B2E" w:rsidRDefault="00B540D4" w:rsidP="00B540D4">
      <w:pPr>
        <w:pStyle w:val="Textonotapie"/>
        <w:ind w:firstLine="708"/>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Es lo que sucede, por ejemplo, con el Decreto 092 de 2017, que en su desarrollo hace </w:t>
      </w:r>
      <w:r w:rsidRPr="000E1B2E">
        <w:rPr>
          <w:rFonts w:ascii="Arial" w:hAnsi="Arial" w:cs="Arial"/>
          <w:sz w:val="19"/>
          <w:szCs w:val="19"/>
        </w:rPr>
        <w:t xml:space="preserve">referencia tanto a los «contratos» como a los «convenios». </w:t>
      </w:r>
    </w:p>
    <w:p w14:paraId="067B1547" w14:textId="77777777" w:rsidR="00B540D4" w:rsidRPr="000E1B2E" w:rsidRDefault="00B540D4" w:rsidP="00B540D4">
      <w:pPr>
        <w:pStyle w:val="Textonotapie"/>
        <w:ind w:firstLine="708"/>
        <w:contextualSpacing/>
        <w:jc w:val="both"/>
        <w:rPr>
          <w:rFonts w:ascii="Arial" w:hAnsi="Arial" w:cs="Arial"/>
          <w:sz w:val="19"/>
          <w:szCs w:val="19"/>
          <w:lang w:val="es-CO"/>
        </w:rPr>
      </w:pPr>
    </w:p>
  </w:footnote>
  <w:footnote w:id="23">
    <w:p w14:paraId="3AEBE5B0" w14:textId="77777777" w:rsidR="00B540D4" w:rsidRPr="000E1B2E" w:rsidRDefault="00B540D4" w:rsidP="00B540D4">
      <w:pPr>
        <w:pStyle w:val="Textonotapie"/>
        <w:ind w:firstLine="708"/>
        <w:contextualSpacing/>
        <w:jc w:val="both"/>
        <w:rPr>
          <w:rFonts w:ascii="Arial" w:hAnsi="Arial" w:cs="Arial"/>
          <w:sz w:val="19"/>
          <w:szCs w:val="19"/>
          <w:lang w:val="es-CO"/>
        </w:rPr>
      </w:pPr>
      <w:r w:rsidRPr="00CC6E5A">
        <w:rPr>
          <w:rStyle w:val="Refdenotaalpie"/>
          <w:rFonts w:ascii="Arial" w:hAnsi="Arial" w:cs="Arial"/>
          <w:sz w:val="19"/>
          <w:szCs w:val="19"/>
        </w:rPr>
        <w:footnoteRef/>
      </w:r>
      <w:r w:rsidRPr="00CC6E5A">
        <w:rPr>
          <w:rFonts w:ascii="Arial" w:hAnsi="Arial" w:cs="Arial"/>
          <w:sz w:val="19"/>
          <w:szCs w:val="19"/>
        </w:rPr>
        <w:t xml:space="preserve"> </w:t>
      </w:r>
      <w:r>
        <w:rPr>
          <w:rFonts w:ascii="Arial" w:hAnsi="Arial" w:cs="Arial"/>
          <w:sz w:val="19"/>
          <w:szCs w:val="19"/>
        </w:rPr>
        <w:t>«</w:t>
      </w:r>
      <w:r w:rsidRPr="00CC6E5A">
        <w:rPr>
          <w:rFonts w:ascii="Arial" w:hAnsi="Arial" w:cs="Arial"/>
          <w:sz w:val="19"/>
          <w:szCs w:val="19"/>
        </w:rPr>
        <w:t>A pesar de que la norma se refiere únicamente a los contratos interadministrativos, esto no implica que la excepción a la li</w:t>
      </w:r>
      <w:r w:rsidRPr="000E1B2E">
        <w:rPr>
          <w:rFonts w:ascii="Arial" w:hAnsi="Arial" w:cs="Arial"/>
          <w:sz w:val="19"/>
          <w:szCs w:val="19"/>
        </w:rPr>
        <w:t>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30226896">
    <w:abstractNumId w:val="10"/>
  </w:num>
  <w:num w:numId="2" w16cid:durableId="68499365">
    <w:abstractNumId w:val="8"/>
  </w:num>
  <w:num w:numId="3" w16cid:durableId="289215220">
    <w:abstractNumId w:val="14"/>
  </w:num>
  <w:num w:numId="4" w16cid:durableId="1844322556">
    <w:abstractNumId w:val="18"/>
  </w:num>
  <w:num w:numId="5" w16cid:durableId="781919049">
    <w:abstractNumId w:val="22"/>
  </w:num>
  <w:num w:numId="6" w16cid:durableId="4387188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769699">
    <w:abstractNumId w:val="20"/>
  </w:num>
  <w:num w:numId="8" w16cid:durableId="436409993">
    <w:abstractNumId w:val="0"/>
  </w:num>
  <w:num w:numId="9" w16cid:durableId="531768899">
    <w:abstractNumId w:val="4"/>
  </w:num>
  <w:num w:numId="10" w16cid:durableId="1916813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7071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536141">
    <w:abstractNumId w:val="9"/>
  </w:num>
  <w:num w:numId="13" w16cid:durableId="1059136288">
    <w:abstractNumId w:val="12"/>
  </w:num>
  <w:num w:numId="14" w16cid:durableId="1071581325">
    <w:abstractNumId w:val="7"/>
  </w:num>
  <w:num w:numId="15" w16cid:durableId="179031585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6406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561469">
    <w:abstractNumId w:val="24"/>
  </w:num>
  <w:num w:numId="18" w16cid:durableId="2087148087">
    <w:abstractNumId w:val="15"/>
  </w:num>
  <w:num w:numId="19" w16cid:durableId="748767096">
    <w:abstractNumId w:val="2"/>
  </w:num>
  <w:num w:numId="20" w16cid:durableId="621347510">
    <w:abstractNumId w:val="25"/>
  </w:num>
  <w:num w:numId="21" w16cid:durableId="115411624">
    <w:abstractNumId w:val="17"/>
  </w:num>
  <w:num w:numId="22" w16cid:durableId="204148394">
    <w:abstractNumId w:val="6"/>
  </w:num>
  <w:num w:numId="23" w16cid:durableId="925266169">
    <w:abstractNumId w:val="5"/>
  </w:num>
  <w:num w:numId="24" w16cid:durableId="203714333">
    <w:abstractNumId w:val="23"/>
  </w:num>
  <w:num w:numId="25" w16cid:durableId="1613126891">
    <w:abstractNumId w:val="19"/>
  </w:num>
  <w:num w:numId="26" w16cid:durableId="1632053822">
    <w:abstractNumId w:val="3"/>
  </w:num>
  <w:num w:numId="27" w16cid:durableId="1346520016">
    <w:abstractNumId w:val="16"/>
  </w:num>
  <w:num w:numId="28" w16cid:durableId="429667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00537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28"/>
    <w:rsid w:val="0002797C"/>
    <w:rsid w:val="00031364"/>
    <w:rsid w:val="000315E1"/>
    <w:rsid w:val="0003236E"/>
    <w:rsid w:val="00032BB3"/>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40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158"/>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3224"/>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CE3"/>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461D"/>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020"/>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F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4EAF"/>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035"/>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8BB"/>
    <w:rsid w:val="001F0A71"/>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59"/>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3DD"/>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6982"/>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0B"/>
    <w:rsid w:val="002554DE"/>
    <w:rsid w:val="00255575"/>
    <w:rsid w:val="00255E11"/>
    <w:rsid w:val="00255EA6"/>
    <w:rsid w:val="00256835"/>
    <w:rsid w:val="002569F0"/>
    <w:rsid w:val="00256A16"/>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3EC0"/>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15D"/>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80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1FFE"/>
    <w:rsid w:val="00322342"/>
    <w:rsid w:val="003227D3"/>
    <w:rsid w:val="00322937"/>
    <w:rsid w:val="00323881"/>
    <w:rsid w:val="00324885"/>
    <w:rsid w:val="003251A8"/>
    <w:rsid w:val="003254B1"/>
    <w:rsid w:val="00325AD9"/>
    <w:rsid w:val="00325AE7"/>
    <w:rsid w:val="00325D98"/>
    <w:rsid w:val="0032682A"/>
    <w:rsid w:val="00327A5C"/>
    <w:rsid w:val="003305FD"/>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1E4D"/>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A25"/>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31A"/>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545"/>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5C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CF8"/>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1D0"/>
    <w:rsid w:val="004463DB"/>
    <w:rsid w:val="0044642F"/>
    <w:rsid w:val="0044772C"/>
    <w:rsid w:val="00447C11"/>
    <w:rsid w:val="00450846"/>
    <w:rsid w:val="00451847"/>
    <w:rsid w:val="0045194E"/>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11"/>
    <w:rsid w:val="004721A4"/>
    <w:rsid w:val="0047338A"/>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4B9"/>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4AA"/>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858"/>
    <w:rsid w:val="00535D15"/>
    <w:rsid w:val="00536053"/>
    <w:rsid w:val="005369E6"/>
    <w:rsid w:val="005371AC"/>
    <w:rsid w:val="00537672"/>
    <w:rsid w:val="0053772F"/>
    <w:rsid w:val="00537A70"/>
    <w:rsid w:val="00537B64"/>
    <w:rsid w:val="00537B77"/>
    <w:rsid w:val="00540210"/>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EB8"/>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003"/>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4A8F"/>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7E4"/>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2A3"/>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2599"/>
    <w:rsid w:val="00633DBF"/>
    <w:rsid w:val="00634122"/>
    <w:rsid w:val="0063444B"/>
    <w:rsid w:val="00634FC4"/>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4C3"/>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389"/>
    <w:rsid w:val="00692745"/>
    <w:rsid w:val="00692FCD"/>
    <w:rsid w:val="00692FFA"/>
    <w:rsid w:val="00693772"/>
    <w:rsid w:val="00693984"/>
    <w:rsid w:val="00693B77"/>
    <w:rsid w:val="00694160"/>
    <w:rsid w:val="0069481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67D"/>
    <w:rsid w:val="006A575B"/>
    <w:rsid w:val="006A59DE"/>
    <w:rsid w:val="006A5DEE"/>
    <w:rsid w:val="006A64C6"/>
    <w:rsid w:val="006A6655"/>
    <w:rsid w:val="006A6BF9"/>
    <w:rsid w:val="006A7CB5"/>
    <w:rsid w:val="006A7FD0"/>
    <w:rsid w:val="006B025C"/>
    <w:rsid w:val="006B08ED"/>
    <w:rsid w:val="006B2534"/>
    <w:rsid w:val="006B2552"/>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33D"/>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0C8"/>
    <w:rsid w:val="00716119"/>
    <w:rsid w:val="00716630"/>
    <w:rsid w:val="00716CAD"/>
    <w:rsid w:val="00716F18"/>
    <w:rsid w:val="00717363"/>
    <w:rsid w:val="00717786"/>
    <w:rsid w:val="00717ACB"/>
    <w:rsid w:val="00720382"/>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595"/>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45E"/>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29"/>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E42"/>
    <w:rsid w:val="007D7A62"/>
    <w:rsid w:val="007D7B1C"/>
    <w:rsid w:val="007D7CFC"/>
    <w:rsid w:val="007E0812"/>
    <w:rsid w:val="007E18DF"/>
    <w:rsid w:val="007E2C36"/>
    <w:rsid w:val="007E350D"/>
    <w:rsid w:val="007E39C8"/>
    <w:rsid w:val="007E3ACA"/>
    <w:rsid w:val="007E4E65"/>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57"/>
    <w:rsid w:val="008124D8"/>
    <w:rsid w:val="00813A41"/>
    <w:rsid w:val="00813A7B"/>
    <w:rsid w:val="00813F04"/>
    <w:rsid w:val="0081513E"/>
    <w:rsid w:val="00815DA5"/>
    <w:rsid w:val="00816221"/>
    <w:rsid w:val="0081766B"/>
    <w:rsid w:val="008205AC"/>
    <w:rsid w:val="00820705"/>
    <w:rsid w:val="00820CBF"/>
    <w:rsid w:val="00820D42"/>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2A1B"/>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5FA"/>
    <w:rsid w:val="008678A3"/>
    <w:rsid w:val="00867C13"/>
    <w:rsid w:val="00867C1D"/>
    <w:rsid w:val="0087033C"/>
    <w:rsid w:val="008715ED"/>
    <w:rsid w:val="008717D8"/>
    <w:rsid w:val="00871E3C"/>
    <w:rsid w:val="00872F97"/>
    <w:rsid w:val="008734A1"/>
    <w:rsid w:val="0087367D"/>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5CDB"/>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9F9"/>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54"/>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E96"/>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13D"/>
    <w:rsid w:val="00947337"/>
    <w:rsid w:val="00947E6E"/>
    <w:rsid w:val="0095041D"/>
    <w:rsid w:val="00950EF2"/>
    <w:rsid w:val="00951297"/>
    <w:rsid w:val="009512FA"/>
    <w:rsid w:val="009516A9"/>
    <w:rsid w:val="00951E57"/>
    <w:rsid w:val="00952350"/>
    <w:rsid w:val="00952505"/>
    <w:rsid w:val="00953018"/>
    <w:rsid w:val="009533E2"/>
    <w:rsid w:val="00953554"/>
    <w:rsid w:val="0095385A"/>
    <w:rsid w:val="0095473B"/>
    <w:rsid w:val="00954F3A"/>
    <w:rsid w:val="00955539"/>
    <w:rsid w:val="00956FC0"/>
    <w:rsid w:val="009570C8"/>
    <w:rsid w:val="0095780A"/>
    <w:rsid w:val="009578C3"/>
    <w:rsid w:val="009579E4"/>
    <w:rsid w:val="00957AA4"/>
    <w:rsid w:val="00957ACB"/>
    <w:rsid w:val="00957F27"/>
    <w:rsid w:val="00957F86"/>
    <w:rsid w:val="009604ED"/>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0639"/>
    <w:rsid w:val="009B231D"/>
    <w:rsid w:val="009B2374"/>
    <w:rsid w:val="009B2E29"/>
    <w:rsid w:val="009B3163"/>
    <w:rsid w:val="009B35AE"/>
    <w:rsid w:val="009B3E84"/>
    <w:rsid w:val="009B422F"/>
    <w:rsid w:val="009B46BC"/>
    <w:rsid w:val="009B4D1A"/>
    <w:rsid w:val="009B519D"/>
    <w:rsid w:val="009B558B"/>
    <w:rsid w:val="009B5981"/>
    <w:rsid w:val="009B6D21"/>
    <w:rsid w:val="009B78ED"/>
    <w:rsid w:val="009B7A5C"/>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20C"/>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5EAB"/>
    <w:rsid w:val="00A066C3"/>
    <w:rsid w:val="00A06754"/>
    <w:rsid w:val="00A069E0"/>
    <w:rsid w:val="00A06E4A"/>
    <w:rsid w:val="00A070E9"/>
    <w:rsid w:val="00A07327"/>
    <w:rsid w:val="00A078FB"/>
    <w:rsid w:val="00A07D97"/>
    <w:rsid w:val="00A07F1E"/>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25E"/>
    <w:rsid w:val="00A41AE8"/>
    <w:rsid w:val="00A41C35"/>
    <w:rsid w:val="00A42080"/>
    <w:rsid w:val="00A42096"/>
    <w:rsid w:val="00A424EB"/>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CE5"/>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C54"/>
    <w:rsid w:val="00A75ED1"/>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248"/>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1B5"/>
    <w:rsid w:val="00AE7686"/>
    <w:rsid w:val="00AE7899"/>
    <w:rsid w:val="00AE799A"/>
    <w:rsid w:val="00AE7A7C"/>
    <w:rsid w:val="00AF0D2A"/>
    <w:rsid w:val="00AF0E81"/>
    <w:rsid w:val="00AF117A"/>
    <w:rsid w:val="00AF162C"/>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2F8C"/>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4DB"/>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0F"/>
    <w:rsid w:val="00B41D39"/>
    <w:rsid w:val="00B41D66"/>
    <w:rsid w:val="00B422C0"/>
    <w:rsid w:val="00B426CA"/>
    <w:rsid w:val="00B426E1"/>
    <w:rsid w:val="00B43820"/>
    <w:rsid w:val="00B4387A"/>
    <w:rsid w:val="00B44746"/>
    <w:rsid w:val="00B44854"/>
    <w:rsid w:val="00B44BA5"/>
    <w:rsid w:val="00B454F1"/>
    <w:rsid w:val="00B4554E"/>
    <w:rsid w:val="00B458D0"/>
    <w:rsid w:val="00B46062"/>
    <w:rsid w:val="00B46696"/>
    <w:rsid w:val="00B46D11"/>
    <w:rsid w:val="00B4792C"/>
    <w:rsid w:val="00B50CAE"/>
    <w:rsid w:val="00B512AD"/>
    <w:rsid w:val="00B5196C"/>
    <w:rsid w:val="00B525CB"/>
    <w:rsid w:val="00B52697"/>
    <w:rsid w:val="00B540D4"/>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77B75"/>
    <w:rsid w:val="00B80476"/>
    <w:rsid w:val="00B80C72"/>
    <w:rsid w:val="00B81964"/>
    <w:rsid w:val="00B81E6F"/>
    <w:rsid w:val="00B82123"/>
    <w:rsid w:val="00B821D4"/>
    <w:rsid w:val="00B8225B"/>
    <w:rsid w:val="00B82BB5"/>
    <w:rsid w:val="00B83182"/>
    <w:rsid w:val="00B839F0"/>
    <w:rsid w:val="00B84FC6"/>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55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10B"/>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3E8F"/>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ACC"/>
    <w:rsid w:val="00C37DC1"/>
    <w:rsid w:val="00C37FFE"/>
    <w:rsid w:val="00C40B50"/>
    <w:rsid w:val="00C419E3"/>
    <w:rsid w:val="00C419F4"/>
    <w:rsid w:val="00C41E6A"/>
    <w:rsid w:val="00C42247"/>
    <w:rsid w:val="00C428E7"/>
    <w:rsid w:val="00C4302F"/>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953"/>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523"/>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8E3"/>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5E56"/>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1B3"/>
    <w:rsid w:val="00CD73C6"/>
    <w:rsid w:val="00CD7592"/>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165"/>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0F8"/>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2B6B"/>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B15"/>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058"/>
    <w:rsid w:val="00E8143D"/>
    <w:rsid w:val="00E820F4"/>
    <w:rsid w:val="00E823F9"/>
    <w:rsid w:val="00E82C1F"/>
    <w:rsid w:val="00E83671"/>
    <w:rsid w:val="00E839C4"/>
    <w:rsid w:val="00E840EE"/>
    <w:rsid w:val="00E84314"/>
    <w:rsid w:val="00E84999"/>
    <w:rsid w:val="00E849CA"/>
    <w:rsid w:val="00E84A71"/>
    <w:rsid w:val="00E8556F"/>
    <w:rsid w:val="00E86556"/>
    <w:rsid w:val="00E86D35"/>
    <w:rsid w:val="00E86DC2"/>
    <w:rsid w:val="00E86E32"/>
    <w:rsid w:val="00E86F2E"/>
    <w:rsid w:val="00E8732E"/>
    <w:rsid w:val="00E9011F"/>
    <w:rsid w:val="00E906EB"/>
    <w:rsid w:val="00E90A1E"/>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5A"/>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104"/>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3DD"/>
    <w:rsid w:val="00F04580"/>
    <w:rsid w:val="00F04ECA"/>
    <w:rsid w:val="00F04F8B"/>
    <w:rsid w:val="00F0502B"/>
    <w:rsid w:val="00F06E19"/>
    <w:rsid w:val="00F06F84"/>
    <w:rsid w:val="00F076E7"/>
    <w:rsid w:val="00F07AA1"/>
    <w:rsid w:val="00F1026D"/>
    <w:rsid w:val="00F105AE"/>
    <w:rsid w:val="00F10618"/>
    <w:rsid w:val="00F1108B"/>
    <w:rsid w:val="00F114FA"/>
    <w:rsid w:val="00F11768"/>
    <w:rsid w:val="00F11951"/>
    <w:rsid w:val="00F12262"/>
    <w:rsid w:val="00F12564"/>
    <w:rsid w:val="00F12AF8"/>
    <w:rsid w:val="00F12C52"/>
    <w:rsid w:val="00F13828"/>
    <w:rsid w:val="00F13E62"/>
    <w:rsid w:val="00F13F51"/>
    <w:rsid w:val="00F1464A"/>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597"/>
    <w:rsid w:val="00F3079E"/>
    <w:rsid w:val="00F325CA"/>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3A51"/>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34E"/>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4B9"/>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AA4"/>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421"/>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60C"/>
    <w:rsid w:val="00FE1768"/>
    <w:rsid w:val="00FE1DD5"/>
    <w:rsid w:val="00FE1E72"/>
    <w:rsid w:val="00FE24F4"/>
    <w:rsid w:val="00FE2560"/>
    <w:rsid w:val="00FE2F15"/>
    <w:rsid w:val="00FE35D0"/>
    <w:rsid w:val="00FE3FB7"/>
    <w:rsid w:val="00FE42ED"/>
    <w:rsid w:val="00FE4E06"/>
    <w:rsid w:val="00FE4FFE"/>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8675FA"/>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sChild>
        <w:div w:id="768351494">
          <w:marLeft w:val="0"/>
          <w:marRight w:val="0"/>
          <w:marTop w:val="0"/>
          <w:marBottom w:val="0"/>
          <w:divBdr>
            <w:top w:val="none" w:sz="0" w:space="0" w:color="auto"/>
            <w:left w:val="none" w:sz="0" w:space="0" w:color="auto"/>
            <w:bottom w:val="none" w:sz="0" w:space="0" w:color="auto"/>
            <w:right w:val="none" w:sz="0" w:space="0" w:color="auto"/>
          </w:divBdr>
        </w:div>
        <w:div w:id="40322702">
          <w:marLeft w:val="0"/>
          <w:marRight w:val="0"/>
          <w:marTop w:val="0"/>
          <w:marBottom w:val="0"/>
          <w:divBdr>
            <w:top w:val="none" w:sz="0" w:space="0" w:color="auto"/>
            <w:left w:val="none" w:sz="0" w:space="0" w:color="auto"/>
            <w:bottom w:val="none" w:sz="0" w:space="0" w:color="auto"/>
            <w:right w:val="none" w:sz="0" w:space="0" w:color="auto"/>
          </w:divBdr>
        </w:div>
        <w:div w:id="1297222678">
          <w:marLeft w:val="0"/>
          <w:marRight w:val="0"/>
          <w:marTop w:val="0"/>
          <w:marBottom w:val="0"/>
          <w:divBdr>
            <w:top w:val="none" w:sz="0" w:space="0" w:color="auto"/>
            <w:left w:val="none" w:sz="0" w:space="0" w:color="auto"/>
            <w:bottom w:val="none" w:sz="0" w:space="0" w:color="auto"/>
            <w:right w:val="none" w:sz="0" w:space="0" w:color="auto"/>
          </w:divBdr>
        </w:div>
        <w:div w:id="637102695">
          <w:marLeft w:val="0"/>
          <w:marRight w:val="0"/>
          <w:marTop w:val="0"/>
          <w:marBottom w:val="0"/>
          <w:divBdr>
            <w:top w:val="none" w:sz="0" w:space="0" w:color="auto"/>
            <w:left w:val="none" w:sz="0" w:space="0" w:color="auto"/>
            <w:bottom w:val="none" w:sz="0" w:space="0" w:color="auto"/>
            <w:right w:val="none" w:sz="0" w:space="0" w:color="auto"/>
          </w:divBdr>
        </w:div>
        <w:div w:id="189803570">
          <w:marLeft w:val="0"/>
          <w:marRight w:val="0"/>
          <w:marTop w:val="0"/>
          <w:marBottom w:val="0"/>
          <w:divBdr>
            <w:top w:val="none" w:sz="0" w:space="0" w:color="auto"/>
            <w:left w:val="none" w:sz="0" w:space="0" w:color="auto"/>
            <w:bottom w:val="none" w:sz="0" w:space="0" w:color="auto"/>
            <w:right w:val="none" w:sz="0" w:space="0" w:color="auto"/>
          </w:divBdr>
        </w:div>
        <w:div w:id="2139103741">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FFF8BEA-561C-4FC5-958A-93C3715B9C8F}">
  <ds:schemaRefs>
    <ds:schemaRef ds:uri="http://schemas.openxmlformats.org/officeDocument/2006/bibliography"/>
  </ds:schemaRefs>
</ds:datastoreItem>
</file>

<file path=customXml/itemProps3.xml><?xml version="1.0" encoding="utf-8"?>
<ds:datastoreItem xmlns:ds="http://schemas.openxmlformats.org/officeDocument/2006/customXml" ds:itemID="{BBB5CBC3-C4B0-4CCD-A44F-1DDB3CBD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7611</Words>
  <Characters>41865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2021-08-27T20:19:00Z</cp:lastPrinted>
  <dcterms:created xsi:type="dcterms:W3CDTF">2022-05-05T21:08:00Z</dcterms:created>
  <dcterms:modified xsi:type="dcterms:W3CDTF">2022-05-05T21:08:00Z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