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3500" w14:textId="77777777" w:rsidR="00885E41" w:rsidRPr="005220DA" w:rsidRDefault="00885E41" w:rsidP="00885E41">
      <w:pPr>
        <w:spacing w:after="0" w:line="240" w:lineRule="auto"/>
        <w:jc w:val="right"/>
        <w:rPr>
          <w:rFonts w:ascii="Arial" w:eastAsia="Calibri" w:hAnsi="Arial" w:cs="Arial"/>
          <w:b/>
          <w:color w:val="000000"/>
          <w:sz w:val="20"/>
          <w:szCs w:val="20"/>
          <w:lang w:val="es-ES_tradnl" w:eastAsia="es-ES_tradnl"/>
        </w:rPr>
      </w:pPr>
      <w:bookmarkStart w:id="0" w:name="_Hlk28946138"/>
      <w:bookmarkStart w:id="1" w:name="_Hlk29548183"/>
      <w:r w:rsidRPr="005220DA">
        <w:rPr>
          <w:rFonts w:ascii="Arial" w:eastAsia="Times New Roman" w:hAnsi="Arial" w:cs="Arial"/>
          <w:bCs/>
          <w:color w:val="000000"/>
          <w:sz w:val="16"/>
          <w:szCs w:val="16"/>
          <w:lang w:val="es-ES_tradnl" w:eastAsia="es-ES"/>
        </w:rPr>
        <w:t>CCE-DES-FM-17</w:t>
      </w:r>
      <w:bookmarkEnd w:id="0"/>
      <w:bookmarkEnd w:id="1"/>
    </w:p>
    <w:p w14:paraId="4FF9FE5E" w14:textId="77777777" w:rsidR="00885E41" w:rsidRPr="005220DA" w:rsidRDefault="00885E41" w:rsidP="00885E41">
      <w:pPr>
        <w:spacing w:after="0" w:line="276" w:lineRule="auto"/>
        <w:jc w:val="both"/>
        <w:rPr>
          <w:rFonts w:ascii="Arial" w:eastAsia="Times New Roman" w:hAnsi="Arial" w:cs="Arial"/>
          <w:noProof/>
          <w:color w:val="000000"/>
          <w:szCs w:val="24"/>
          <w:lang w:val="es-ES_tradnl" w:eastAsia="es-ES_tradnl"/>
        </w:rPr>
      </w:pPr>
    </w:p>
    <w:p w14:paraId="44A02CEC" w14:textId="77777777" w:rsidR="00885E41" w:rsidRPr="005220DA" w:rsidRDefault="00885E41" w:rsidP="00885E41">
      <w:pPr>
        <w:spacing w:after="120" w:line="240" w:lineRule="auto"/>
        <w:contextualSpacing/>
        <w:jc w:val="both"/>
        <w:rPr>
          <w:rFonts w:ascii="Arial" w:eastAsia="Calibri" w:hAnsi="Arial" w:cs="Arial"/>
          <w:b/>
          <w:bCs/>
          <w:color w:val="000000"/>
          <w:lang w:val="es-ES_tradnl"/>
        </w:rPr>
      </w:pPr>
      <w:r w:rsidRPr="005220DA">
        <w:rPr>
          <w:rFonts w:ascii="Arial" w:eastAsia="Calibri" w:hAnsi="Arial" w:cs="Arial"/>
          <w:b/>
          <w:bCs/>
          <w:color w:val="000000"/>
          <w:lang w:val="es-ES_tradnl"/>
        </w:rPr>
        <w:t>LEY DE GARANTÍAS ELECTORALES – Finalidad</w:t>
      </w:r>
    </w:p>
    <w:p w14:paraId="4FE82C3B" w14:textId="77777777" w:rsidR="00885E41" w:rsidRPr="005220DA" w:rsidRDefault="00885E41" w:rsidP="00885E41">
      <w:pPr>
        <w:spacing w:after="120" w:line="240" w:lineRule="auto"/>
        <w:contextualSpacing/>
        <w:jc w:val="both"/>
        <w:rPr>
          <w:rFonts w:ascii="Arial" w:eastAsia="Calibri" w:hAnsi="Arial" w:cs="Arial"/>
          <w:color w:val="000000"/>
          <w:sz w:val="20"/>
          <w:szCs w:val="20"/>
          <w:lang w:val="es-ES_tradnl"/>
        </w:rPr>
      </w:pPr>
    </w:p>
    <w:p w14:paraId="15A412C7" w14:textId="29EEA3ED" w:rsidR="00013F1A" w:rsidRPr="00013F1A" w:rsidRDefault="00885E41" w:rsidP="00013F1A">
      <w:pPr>
        <w:tabs>
          <w:tab w:val="left" w:pos="426"/>
        </w:tabs>
        <w:spacing w:after="120" w:line="240" w:lineRule="auto"/>
        <w:jc w:val="both"/>
        <w:rPr>
          <w:rFonts w:ascii="Arial" w:eastAsia="Times New Roman" w:hAnsi="Arial" w:cs="Arial"/>
          <w:bCs/>
          <w:lang w:val="es-ES_tradnl" w:eastAsia="es-CO"/>
        </w:rPr>
      </w:pPr>
      <w:r w:rsidRPr="00013F1A">
        <w:rPr>
          <w:rFonts w:ascii="Arial" w:eastAsia="Times New Roman" w:hAnsi="Arial" w:cs="Arial"/>
          <w:bCs/>
          <w:color w:val="000000"/>
          <w:lang w:val="es-ES_tradnl" w:eastAsia="es-CO"/>
        </w:rPr>
        <w:t xml:space="preserve">[…] </w:t>
      </w:r>
      <w:r w:rsidR="00013F1A" w:rsidRPr="00013F1A">
        <w:rPr>
          <w:rFonts w:ascii="Arial" w:eastAsia="Times New Roman" w:hAnsi="Arial" w:cs="Arial"/>
          <w:bCs/>
          <w:lang w:val="es-ES_tradnl" w:eastAsia="es-CO"/>
        </w:rPr>
        <w:t>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sidR="00013F1A" w:rsidRPr="00013F1A">
        <w:rPr>
          <w:rFonts w:ascii="Arial" w:eastAsia="Calibri" w:hAnsi="Arial" w:cs="Arial"/>
          <w:noProof/>
          <w:lang w:val="es-ES_tradnl"/>
        </w:rPr>
        <w:t xml:space="preserve"> </w:t>
      </w:r>
    </w:p>
    <w:p w14:paraId="0A85CBCD" w14:textId="310AD246" w:rsidR="00013F1A" w:rsidRPr="00013F1A" w:rsidRDefault="00013F1A" w:rsidP="00013F1A">
      <w:pPr>
        <w:spacing w:after="0" w:line="240" w:lineRule="auto"/>
        <w:jc w:val="both"/>
        <w:rPr>
          <w:rFonts w:ascii="Arial" w:eastAsia="Times New Roman" w:hAnsi="Arial" w:cs="Arial"/>
          <w:bCs/>
          <w:lang w:val="es-ES_tradnl" w:eastAsia="es-CO"/>
        </w:rPr>
      </w:pPr>
      <w:r w:rsidRPr="00013F1A">
        <w:rPr>
          <w:rFonts w:ascii="Arial" w:eastAsia="Times New Roman" w:hAnsi="Arial" w:cs="Arial"/>
          <w:bCs/>
          <w:color w:val="000000"/>
          <w:lang w:val="es-ES_tradnl" w:eastAsia="es-CO"/>
        </w:rPr>
        <w:t>[…]</w:t>
      </w:r>
      <w:r w:rsidRPr="00013F1A">
        <w:rPr>
          <w:rFonts w:ascii="Arial" w:eastAsia="Times New Roman" w:hAnsi="Arial" w:cs="Arial"/>
          <w:bCs/>
          <w:color w:val="000000"/>
          <w:lang w:val="es-ES_tradnl" w:eastAsia="es-CO"/>
        </w:rPr>
        <w:t xml:space="preserve"> </w:t>
      </w:r>
      <w:r w:rsidRPr="00013F1A">
        <w:rPr>
          <w:rFonts w:ascii="Arial" w:eastAsia="Times New Roman" w:hAnsi="Arial" w:cs="Arial"/>
          <w:bCs/>
          <w:lang w:val="es-ES_tradnl" w:eastAsia="es-CO"/>
        </w:rPr>
        <w:t xml:space="preserve">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w:t>
      </w:r>
    </w:p>
    <w:p w14:paraId="23F10902" w14:textId="77777777" w:rsidR="00885E41" w:rsidRPr="005220DA" w:rsidRDefault="00885E41" w:rsidP="00885E41">
      <w:pPr>
        <w:tabs>
          <w:tab w:val="left" w:pos="426"/>
        </w:tabs>
        <w:spacing w:after="0" w:line="240" w:lineRule="auto"/>
        <w:jc w:val="both"/>
        <w:rPr>
          <w:rFonts w:ascii="Arial" w:eastAsia="Calibri" w:hAnsi="Arial" w:cs="Arial"/>
          <w:bCs/>
          <w:color w:val="000000"/>
          <w:sz w:val="20"/>
          <w:szCs w:val="20"/>
          <w:lang w:val="es-ES_tradnl"/>
        </w:rPr>
      </w:pPr>
    </w:p>
    <w:p w14:paraId="70F36199" w14:textId="77777777" w:rsidR="00885E41" w:rsidRPr="005220DA" w:rsidRDefault="00885E41" w:rsidP="00885E41">
      <w:pPr>
        <w:tabs>
          <w:tab w:val="left" w:pos="426"/>
        </w:tabs>
        <w:spacing w:after="0" w:line="240" w:lineRule="auto"/>
        <w:jc w:val="both"/>
        <w:rPr>
          <w:rFonts w:ascii="Arial" w:eastAsia="Calibri" w:hAnsi="Arial" w:cs="Arial"/>
          <w:b/>
          <w:bCs/>
          <w:color w:val="000000"/>
          <w:lang w:val="es-ES_tradnl"/>
        </w:rPr>
      </w:pPr>
      <w:bookmarkStart w:id="2" w:name="_Hlk77152637"/>
      <w:bookmarkStart w:id="3" w:name="_Hlk77157066"/>
      <w:r w:rsidRPr="005220DA">
        <w:rPr>
          <w:rFonts w:ascii="Arial" w:eastAsia="Calibri" w:hAnsi="Arial" w:cs="Arial"/>
          <w:b/>
          <w:bCs/>
          <w:color w:val="000000"/>
          <w:lang w:val="es-ES_tradnl"/>
        </w:rPr>
        <w:t>LEY DE GARANTÍAS ELECTORALES ‒</w:t>
      </w:r>
      <w:bookmarkEnd w:id="2"/>
      <w:r w:rsidRPr="005220DA">
        <w:rPr>
          <w:rFonts w:ascii="Arial" w:eastAsia="Calibri" w:hAnsi="Arial" w:cs="Arial"/>
          <w:b/>
          <w:bCs/>
          <w:color w:val="000000"/>
          <w:lang w:val="es-ES_tradnl"/>
        </w:rPr>
        <w:t xml:space="preserve"> Restricciones </w:t>
      </w:r>
      <w:bookmarkStart w:id="4" w:name="_Hlk77157034"/>
      <w:r w:rsidRPr="005220DA">
        <w:rPr>
          <w:rFonts w:ascii="Arial" w:eastAsia="Calibri" w:hAnsi="Arial" w:cs="Arial"/>
          <w:b/>
          <w:bCs/>
          <w:color w:val="000000"/>
          <w:lang w:val="es-ES_tradnl"/>
        </w:rPr>
        <w:t xml:space="preserve">‒ </w:t>
      </w:r>
      <w:bookmarkEnd w:id="4"/>
      <w:r w:rsidRPr="005220DA">
        <w:rPr>
          <w:rFonts w:ascii="Arial" w:eastAsia="Calibri" w:hAnsi="Arial" w:cs="Arial"/>
          <w:b/>
          <w:bCs/>
          <w:color w:val="000000"/>
          <w:lang w:val="es-ES_tradnl"/>
        </w:rPr>
        <w:t>Contratación</w:t>
      </w:r>
      <w:bookmarkStart w:id="5" w:name="_Hlk77153098"/>
      <w:r w:rsidRPr="005220DA">
        <w:rPr>
          <w:rFonts w:ascii="Arial" w:eastAsia="Calibri" w:hAnsi="Arial" w:cs="Arial"/>
          <w:b/>
          <w:bCs/>
          <w:color w:val="000000"/>
          <w:lang w:val="es-ES_tradnl"/>
        </w:rPr>
        <w:t xml:space="preserve"> ‒ Tipos de elección</w:t>
      </w:r>
      <w:bookmarkEnd w:id="5"/>
      <w:r w:rsidRPr="005220DA">
        <w:rPr>
          <w:rFonts w:ascii="Arial" w:eastAsia="Calibri" w:hAnsi="Arial" w:cs="Arial"/>
          <w:b/>
          <w:bCs/>
          <w:color w:val="000000"/>
          <w:lang w:val="es-ES_tradnl"/>
        </w:rPr>
        <w:t xml:space="preserve"> </w:t>
      </w:r>
    </w:p>
    <w:p w14:paraId="43F41C8C" w14:textId="77777777" w:rsidR="00885E41" w:rsidRPr="005220DA" w:rsidRDefault="00885E41" w:rsidP="00885E41">
      <w:pPr>
        <w:tabs>
          <w:tab w:val="left" w:pos="426"/>
        </w:tabs>
        <w:spacing w:after="0" w:line="240" w:lineRule="auto"/>
        <w:jc w:val="both"/>
        <w:rPr>
          <w:rFonts w:ascii="Arial" w:eastAsia="Calibri" w:hAnsi="Arial" w:cs="Arial"/>
          <w:b/>
          <w:bCs/>
          <w:color w:val="000000"/>
          <w:sz w:val="20"/>
          <w:szCs w:val="20"/>
          <w:lang w:val="es-ES_tradnl"/>
        </w:rPr>
      </w:pPr>
    </w:p>
    <w:p w14:paraId="74D7D255" w14:textId="057BB7BC" w:rsidR="00885E41" w:rsidRPr="008A49FD" w:rsidRDefault="008A49FD" w:rsidP="008A49FD">
      <w:pPr>
        <w:tabs>
          <w:tab w:val="left" w:pos="426"/>
        </w:tabs>
        <w:spacing w:after="0" w:line="240" w:lineRule="auto"/>
        <w:jc w:val="both"/>
        <w:rPr>
          <w:rFonts w:ascii="Arial" w:eastAsia="Arial" w:hAnsi="Arial" w:cs="Arial"/>
          <w:sz w:val="20"/>
          <w:szCs w:val="20"/>
          <w:lang w:val="es-ES_tradnl" w:eastAsia="es-ES" w:bidi="es-ES"/>
        </w:rPr>
      </w:pPr>
      <w:bookmarkStart w:id="6" w:name="_Hlk77165666"/>
      <w:bookmarkEnd w:id="3"/>
      <w:r w:rsidRPr="008A49FD">
        <w:rPr>
          <w:rFonts w:ascii="Arial" w:eastAsia="Times New Roman" w:hAnsi="Arial" w:cs="Arial"/>
          <w:bCs/>
          <w:sz w:val="20"/>
          <w:szCs w:val="20"/>
          <w:lang w:val="es-ES_tradnl" w:eastAsia="es-CO"/>
        </w:rPr>
        <w:t>De</w:t>
      </w:r>
      <w:r w:rsidRPr="008A49FD">
        <w:rPr>
          <w:rFonts w:ascii="Arial" w:eastAsia="Arial" w:hAnsi="Arial" w:cs="Arial"/>
          <w:sz w:val="20"/>
          <w:szCs w:val="20"/>
          <w:lang w:val="es-ES_tradnl"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76444963" w14:textId="77777777" w:rsidR="008A49FD" w:rsidRPr="005220DA" w:rsidRDefault="008A49FD" w:rsidP="00885E41">
      <w:pPr>
        <w:tabs>
          <w:tab w:val="left" w:pos="426"/>
        </w:tabs>
        <w:spacing w:after="0" w:line="240" w:lineRule="auto"/>
        <w:jc w:val="both"/>
        <w:rPr>
          <w:rFonts w:ascii="Arial" w:eastAsia="Arial" w:hAnsi="Arial" w:cs="Arial"/>
          <w:color w:val="000000"/>
          <w:sz w:val="20"/>
          <w:szCs w:val="20"/>
          <w:lang w:val="es-ES_tradnl" w:eastAsia="es-ES" w:bidi="es-ES"/>
        </w:rPr>
      </w:pPr>
    </w:p>
    <w:p w14:paraId="16ACFCE5" w14:textId="77777777" w:rsidR="00885E41" w:rsidRPr="005220DA" w:rsidRDefault="00885E41" w:rsidP="00885E41">
      <w:pPr>
        <w:tabs>
          <w:tab w:val="left" w:pos="426"/>
        </w:tabs>
        <w:spacing w:after="0" w:line="240" w:lineRule="auto"/>
        <w:jc w:val="both"/>
        <w:rPr>
          <w:rFonts w:ascii="Arial" w:eastAsia="Calibri" w:hAnsi="Arial" w:cs="Arial"/>
          <w:b/>
          <w:bCs/>
          <w:lang w:val="es-ES_tradnl"/>
        </w:rPr>
      </w:pPr>
      <w:r w:rsidRPr="005220DA">
        <w:rPr>
          <w:rFonts w:ascii="Arial" w:eastAsia="Calibri" w:hAnsi="Arial" w:cs="Arial"/>
          <w:b/>
          <w:bCs/>
          <w:lang w:val="es-ES_tradnl"/>
        </w:rPr>
        <w:t xml:space="preserve">LEY DE GARANTÍAS ELECTORALES ─ Prohibición artículo 33 ‒ </w:t>
      </w:r>
      <w:bookmarkEnd w:id="6"/>
      <w:r w:rsidRPr="005220DA">
        <w:rPr>
          <w:rFonts w:ascii="Arial" w:eastAsia="Calibri" w:hAnsi="Arial" w:cs="Arial"/>
          <w:b/>
          <w:bCs/>
          <w:lang w:val="es-ES_tradnl"/>
        </w:rPr>
        <w:t xml:space="preserve">Contratación directa ‒ Alcance </w:t>
      </w:r>
    </w:p>
    <w:p w14:paraId="056E93F8" w14:textId="77777777" w:rsidR="00885E41" w:rsidRPr="005220DA" w:rsidRDefault="00885E41" w:rsidP="00885E41">
      <w:pPr>
        <w:tabs>
          <w:tab w:val="left" w:pos="426"/>
        </w:tabs>
        <w:spacing w:after="0" w:line="240" w:lineRule="auto"/>
        <w:jc w:val="both"/>
        <w:rPr>
          <w:rFonts w:ascii="Arial" w:eastAsia="Calibri" w:hAnsi="Arial" w:cs="Arial"/>
          <w:noProof/>
          <w:sz w:val="20"/>
          <w:szCs w:val="20"/>
          <w:lang w:val="es-ES_tradnl"/>
        </w:rPr>
      </w:pPr>
    </w:p>
    <w:p w14:paraId="7E2FA7A6" w14:textId="399A2F5F" w:rsidR="004159C2" w:rsidRPr="004159C2" w:rsidRDefault="00885E41" w:rsidP="004159C2">
      <w:pPr>
        <w:spacing w:after="120" w:line="240" w:lineRule="auto"/>
        <w:jc w:val="both"/>
        <w:rPr>
          <w:rFonts w:ascii="Arial" w:eastAsia="Times New Roman" w:hAnsi="Arial" w:cs="Arial"/>
          <w:bCs/>
          <w:sz w:val="20"/>
          <w:szCs w:val="20"/>
          <w:lang w:val="es-ES_tradnl" w:eastAsia="x-none"/>
        </w:rPr>
      </w:pPr>
      <w:r w:rsidRPr="004159C2">
        <w:rPr>
          <w:rFonts w:ascii="Arial" w:eastAsia="Calibri" w:hAnsi="Arial" w:cs="Arial"/>
          <w:noProof/>
          <w:sz w:val="20"/>
          <w:szCs w:val="20"/>
          <w:lang w:val="es-ES_tradnl"/>
        </w:rPr>
        <w:t xml:space="preserve">[…] </w:t>
      </w:r>
      <w:r w:rsidR="004159C2" w:rsidRPr="004159C2">
        <w:rPr>
          <w:rFonts w:ascii="Arial" w:eastAsia="Times New Roman" w:hAnsi="Arial" w:cs="Arial"/>
          <w:bCs/>
          <w:sz w:val="20"/>
          <w:szCs w:val="20"/>
          <w:lang w:val="es-ES_tradnl" w:eastAsia="x-none"/>
        </w:rPr>
        <w:t>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004159C2" w:rsidRPr="004159C2">
        <w:rPr>
          <w:rFonts w:ascii="Arial" w:eastAsia="Times New Roman" w:hAnsi="Arial" w:cs="Arial"/>
          <w:sz w:val="20"/>
          <w:szCs w:val="20"/>
          <w:vertAlign w:val="superscript"/>
          <w:lang w:val="es-ES_tradnl" w:eastAsia="x-none"/>
        </w:rPr>
        <w:t xml:space="preserve"> </w:t>
      </w:r>
    </w:p>
    <w:p w14:paraId="053F8B23" w14:textId="77777777" w:rsidR="004159C2" w:rsidRPr="004159C2" w:rsidRDefault="004159C2" w:rsidP="004159C2">
      <w:pPr>
        <w:spacing w:after="0" w:line="240" w:lineRule="auto"/>
        <w:jc w:val="both"/>
        <w:rPr>
          <w:rFonts w:ascii="Arial" w:eastAsia="Times New Roman" w:hAnsi="Arial" w:cs="Arial"/>
          <w:sz w:val="20"/>
          <w:szCs w:val="20"/>
          <w:lang w:val="es-ES_tradnl" w:eastAsia="x-none"/>
        </w:rPr>
      </w:pPr>
      <w:r w:rsidRPr="004159C2">
        <w:rPr>
          <w:rFonts w:ascii="Arial" w:eastAsia="Times New Roman" w:hAnsi="Arial" w:cs="Arial"/>
          <w:bCs/>
          <w:sz w:val="20"/>
          <w:szCs w:val="20"/>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4159C2">
        <w:rPr>
          <w:rFonts w:ascii="Arial" w:eastAsia="Times New Roman" w:hAnsi="Arial" w:cs="Arial"/>
          <w:sz w:val="20"/>
          <w:szCs w:val="20"/>
          <w:lang w:val="es-ES_tradnl"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procedimientos.</w:t>
      </w:r>
    </w:p>
    <w:p w14:paraId="75219552" w14:textId="77777777" w:rsidR="00885E41" w:rsidRPr="005220DA" w:rsidRDefault="00885E41" w:rsidP="004159C2">
      <w:pPr>
        <w:spacing w:after="0" w:line="240" w:lineRule="auto"/>
        <w:jc w:val="both"/>
        <w:rPr>
          <w:rFonts w:ascii="Arial" w:eastAsia="Times New Roman" w:hAnsi="Arial" w:cs="Arial"/>
          <w:b/>
          <w:bCs/>
          <w:sz w:val="20"/>
          <w:szCs w:val="20"/>
          <w:lang w:val="es-ES_tradnl" w:eastAsia="es-ES"/>
        </w:rPr>
      </w:pPr>
    </w:p>
    <w:p w14:paraId="246A6FF0" w14:textId="77777777" w:rsidR="00885E41" w:rsidRPr="005220DA" w:rsidRDefault="00885E41" w:rsidP="00885E41">
      <w:pPr>
        <w:shd w:val="clear" w:color="auto" w:fill="FFFFFF"/>
        <w:spacing w:after="0" w:line="240" w:lineRule="auto"/>
        <w:jc w:val="both"/>
        <w:rPr>
          <w:rFonts w:ascii="Arial" w:eastAsia="Times New Roman" w:hAnsi="Arial" w:cs="Arial"/>
          <w:b/>
          <w:bCs/>
          <w:lang w:val="es-ES_tradnl" w:eastAsia="es-CO"/>
        </w:rPr>
      </w:pPr>
      <w:r w:rsidRPr="005220DA">
        <w:rPr>
          <w:rFonts w:ascii="Arial" w:eastAsia="Times New Roman" w:hAnsi="Arial" w:cs="Arial"/>
          <w:b/>
          <w:bCs/>
          <w:lang w:val="es-ES_tradnl" w:eastAsia="es-CO"/>
        </w:rPr>
        <w:t xml:space="preserve">LEY DE GARANTÍAS ELECTORALES </w:t>
      </w:r>
      <w:bookmarkStart w:id="7" w:name="_Hlk77022358"/>
      <w:r w:rsidRPr="005220DA">
        <w:rPr>
          <w:rFonts w:ascii="Arial" w:eastAsia="Times New Roman" w:hAnsi="Arial" w:cs="Arial"/>
          <w:b/>
          <w:bCs/>
          <w:lang w:val="es-ES_tradnl" w:eastAsia="es-CO"/>
        </w:rPr>
        <w:t>‒</w:t>
      </w:r>
      <w:bookmarkEnd w:id="7"/>
      <w:r w:rsidRPr="005220DA">
        <w:rPr>
          <w:rFonts w:ascii="Arial" w:eastAsia="Times New Roman" w:hAnsi="Arial" w:cs="Arial"/>
          <w:b/>
          <w:bCs/>
          <w:lang w:val="es-ES_tradnl" w:eastAsia="es-CO"/>
        </w:rPr>
        <w:t xml:space="preserve"> Excepciones</w:t>
      </w:r>
      <w:r w:rsidRPr="005220DA">
        <w:rPr>
          <w:rFonts w:ascii="Arial" w:eastAsia="Times New Roman" w:hAnsi="Arial" w:cs="Arial"/>
          <w:b/>
          <w:lang w:val="es-ES_tradnl" w:eastAsia="es-CO"/>
        </w:rPr>
        <w:t xml:space="preserve"> </w:t>
      </w:r>
    </w:p>
    <w:p w14:paraId="22551B7D" w14:textId="77777777" w:rsidR="00885E41" w:rsidRPr="005220DA" w:rsidRDefault="00885E41" w:rsidP="00885E41">
      <w:pPr>
        <w:shd w:val="clear" w:color="auto" w:fill="FFFFFF"/>
        <w:spacing w:after="0" w:line="240" w:lineRule="auto"/>
        <w:jc w:val="both"/>
        <w:rPr>
          <w:rFonts w:ascii="Arial" w:eastAsia="Times New Roman" w:hAnsi="Arial" w:cs="Arial"/>
          <w:b/>
          <w:lang w:val="es-ES_tradnl" w:eastAsia="es-CO"/>
        </w:rPr>
      </w:pPr>
    </w:p>
    <w:p w14:paraId="360C40F5" w14:textId="67E72336" w:rsidR="00885E41" w:rsidRPr="00344BEB" w:rsidRDefault="00885E41" w:rsidP="00344BEB">
      <w:pPr>
        <w:tabs>
          <w:tab w:val="left" w:pos="426"/>
        </w:tabs>
        <w:spacing w:after="0" w:line="240" w:lineRule="auto"/>
        <w:jc w:val="both"/>
        <w:rPr>
          <w:rFonts w:ascii="Arial" w:eastAsia="Calibri" w:hAnsi="Arial" w:cs="Arial"/>
          <w:sz w:val="20"/>
          <w:szCs w:val="20"/>
          <w:lang w:val="es-ES_tradnl"/>
        </w:rPr>
      </w:pPr>
      <w:r w:rsidRPr="00344BEB">
        <w:rPr>
          <w:rFonts w:ascii="Arial" w:eastAsia="Times New Roman" w:hAnsi="Arial" w:cs="Arial"/>
          <w:sz w:val="20"/>
          <w:szCs w:val="20"/>
          <w:lang w:val="es-ES_tradnl" w:eastAsia="x-none"/>
        </w:rPr>
        <w:t xml:space="preserve">[…] </w:t>
      </w:r>
      <w:r w:rsidR="00344BEB" w:rsidRPr="00344BEB">
        <w:rPr>
          <w:rFonts w:ascii="Arial" w:eastAsia="Times New Roman" w:hAnsi="Arial" w:cs="Arial"/>
          <w:bCs/>
          <w:sz w:val="20"/>
          <w:szCs w:val="20"/>
          <w:lang w:val="es-ES_tradnl" w:eastAsia="x-none"/>
        </w:rPr>
        <w:t>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344BEB" w:rsidRPr="00344BEB">
        <w:rPr>
          <w:rFonts w:ascii="Arial" w:eastAsia="Times New Roman" w:hAnsi="Arial" w:cs="Arial"/>
          <w:bCs/>
          <w:sz w:val="20"/>
          <w:szCs w:val="20"/>
          <w:lang w:val="es-ES_tradnl" w:eastAsia="x-none"/>
        </w:rPr>
        <w:t>.</w:t>
      </w:r>
    </w:p>
    <w:p w14:paraId="0F24D9D6" w14:textId="77777777" w:rsidR="00885E41" w:rsidRPr="005220DA" w:rsidRDefault="00885E41" w:rsidP="00885E41">
      <w:pPr>
        <w:tabs>
          <w:tab w:val="left" w:pos="426"/>
        </w:tabs>
        <w:spacing w:after="0" w:line="240" w:lineRule="auto"/>
        <w:jc w:val="both"/>
        <w:rPr>
          <w:rFonts w:ascii="Arial" w:eastAsia="Calibri" w:hAnsi="Arial" w:cs="Arial"/>
          <w:noProof/>
          <w:sz w:val="20"/>
          <w:szCs w:val="20"/>
          <w:lang w:val="es-ES_tradnl"/>
        </w:rPr>
      </w:pPr>
    </w:p>
    <w:p w14:paraId="13C5B0A0" w14:textId="77777777" w:rsidR="00885E41" w:rsidRPr="005220DA" w:rsidRDefault="00885E41" w:rsidP="00885E41">
      <w:pPr>
        <w:spacing w:after="0" w:line="240" w:lineRule="auto"/>
        <w:jc w:val="both"/>
        <w:rPr>
          <w:rFonts w:ascii="Arial" w:eastAsia="Times New Roman" w:hAnsi="Arial" w:cs="Arial"/>
          <w:b/>
          <w:lang w:val="es-ES_tradnl" w:eastAsia="es-CO"/>
        </w:rPr>
      </w:pPr>
      <w:r w:rsidRPr="005220DA">
        <w:rPr>
          <w:rFonts w:ascii="Arial" w:eastAsia="Times New Roman" w:hAnsi="Arial" w:cs="Arial"/>
          <w:b/>
          <w:bCs/>
          <w:lang w:val="es-ES_tradnl" w:eastAsia="es-CO"/>
        </w:rPr>
        <w:t xml:space="preserve">LEY DE GARANTÍAS ELECTORALES </w:t>
      </w:r>
      <w:bookmarkStart w:id="8" w:name="_Hlk77166669"/>
      <w:r w:rsidRPr="005220DA">
        <w:rPr>
          <w:rFonts w:ascii="Arial" w:eastAsia="Times New Roman" w:hAnsi="Arial" w:cs="Arial"/>
          <w:b/>
          <w:bCs/>
          <w:lang w:val="es-ES_tradnl" w:eastAsia="es-CO"/>
        </w:rPr>
        <w:t>‒</w:t>
      </w:r>
      <w:bookmarkEnd w:id="8"/>
      <w:r w:rsidRPr="005220DA">
        <w:rPr>
          <w:rFonts w:ascii="Arial" w:eastAsia="Times New Roman" w:hAnsi="Arial" w:cs="Arial"/>
          <w:b/>
          <w:bCs/>
          <w:lang w:val="es-ES_tradnl" w:eastAsia="es-CO"/>
        </w:rPr>
        <w:t xml:space="preserve"> </w:t>
      </w:r>
      <w:r w:rsidRPr="005220DA">
        <w:rPr>
          <w:rFonts w:ascii="Arial" w:eastAsia="Times New Roman" w:hAnsi="Arial" w:cs="Arial"/>
          <w:b/>
          <w:lang w:val="es-ES_tradnl" w:eastAsia="es-CO"/>
        </w:rPr>
        <w:t xml:space="preserve">Prohibición del artículo 33 </w:t>
      </w:r>
      <w:r w:rsidRPr="005220DA">
        <w:rPr>
          <w:rFonts w:ascii="Arial" w:eastAsia="Times New Roman" w:hAnsi="Arial" w:cs="Arial"/>
          <w:b/>
          <w:bCs/>
          <w:lang w:val="es-ES_tradnl" w:eastAsia="es-CO"/>
        </w:rPr>
        <w:t>‒ Destinatarios</w:t>
      </w:r>
    </w:p>
    <w:p w14:paraId="2215A159" w14:textId="77777777" w:rsidR="00885E41" w:rsidRPr="005220DA" w:rsidRDefault="00885E41" w:rsidP="00885E41">
      <w:pPr>
        <w:tabs>
          <w:tab w:val="left" w:pos="426"/>
        </w:tabs>
        <w:spacing w:after="0" w:line="240" w:lineRule="auto"/>
        <w:jc w:val="both"/>
        <w:rPr>
          <w:rFonts w:ascii="Arial" w:eastAsia="Calibri" w:hAnsi="Arial" w:cs="Arial"/>
          <w:noProof/>
          <w:lang w:val="es-ES_tradnl"/>
        </w:rPr>
      </w:pPr>
    </w:p>
    <w:p w14:paraId="2FCEAB53" w14:textId="546193AB" w:rsidR="00885E41" w:rsidRPr="00344BEB" w:rsidRDefault="00344BEB" w:rsidP="00344BEB">
      <w:pPr>
        <w:tabs>
          <w:tab w:val="left" w:pos="426"/>
        </w:tabs>
        <w:spacing w:after="0" w:line="240" w:lineRule="auto"/>
        <w:jc w:val="both"/>
        <w:rPr>
          <w:rFonts w:ascii="Arial" w:eastAsia="Times New Roman" w:hAnsi="Arial" w:cs="Arial"/>
          <w:bCs/>
          <w:sz w:val="20"/>
          <w:szCs w:val="20"/>
          <w:lang w:val="es-ES_tradnl" w:eastAsia="x-none"/>
        </w:rPr>
      </w:pPr>
      <w:r w:rsidRPr="00344BEB">
        <w:rPr>
          <w:rFonts w:ascii="Arial" w:eastAsia="Times New Roman" w:hAnsi="Arial" w:cs="Arial"/>
          <w:bCs/>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344BEB">
        <w:rPr>
          <w:rFonts w:ascii="Arial" w:eastAsia="Calibri" w:hAnsi="Arial" w:cs="Arial"/>
          <w:sz w:val="20"/>
          <w:szCs w:val="20"/>
          <w:lang w:val="es-ES_tradnl"/>
        </w:rPr>
        <w:t xml:space="preserve"> </w:t>
      </w:r>
      <w:r w:rsidRPr="00344BEB">
        <w:rPr>
          <w:rFonts w:ascii="Arial" w:eastAsia="Times New Roman" w:hAnsi="Arial" w:cs="Arial"/>
          <w:bCs/>
          <w:sz w:val="20"/>
          <w:szCs w:val="20"/>
          <w:lang w:val="es-ES_tradnl" w:eastAsia="x-none"/>
        </w:rPr>
        <w:t>En efecto, tal como lo ha sostenido el Consejo de Estado, el vocablo «todos» utilizado por el legislador comprende</w:t>
      </w:r>
      <w:r w:rsidRPr="00344BEB">
        <w:rPr>
          <w:rFonts w:ascii="Arial" w:eastAsia="Calibri" w:hAnsi="Arial" w:cs="Arial"/>
          <w:sz w:val="20"/>
          <w:szCs w:val="20"/>
          <w:lang w:val="es-ES_tradnl"/>
        </w:rPr>
        <w:t xml:space="preserve"> </w:t>
      </w:r>
      <w:r w:rsidRPr="00344BEB">
        <w:rPr>
          <w:rFonts w:ascii="Arial" w:eastAsia="Times New Roman" w:hAnsi="Arial" w:cs="Arial"/>
          <w:bCs/>
          <w:sz w:val="20"/>
          <w:szCs w:val="20"/>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2D945F2E" w14:textId="77777777" w:rsidR="00885E41" w:rsidRPr="005220DA" w:rsidRDefault="00885E41" w:rsidP="00885E41">
      <w:pPr>
        <w:widowControl w:val="0"/>
        <w:autoSpaceDE w:val="0"/>
        <w:autoSpaceDN w:val="0"/>
        <w:spacing w:after="0" w:line="240" w:lineRule="auto"/>
        <w:jc w:val="both"/>
        <w:rPr>
          <w:rFonts w:ascii="Arial" w:eastAsia="Arial" w:hAnsi="Arial" w:cs="Arial"/>
          <w:color w:val="000000"/>
          <w:sz w:val="20"/>
          <w:szCs w:val="20"/>
          <w:lang w:val="es-ES_tradnl" w:eastAsia="es-ES" w:bidi="es-ES"/>
        </w:rPr>
      </w:pPr>
    </w:p>
    <w:p w14:paraId="3014345D" w14:textId="77777777" w:rsidR="00885E41" w:rsidRPr="005220DA" w:rsidRDefault="00885E41" w:rsidP="00885E41">
      <w:pPr>
        <w:spacing w:after="0" w:line="240" w:lineRule="auto"/>
        <w:jc w:val="both"/>
        <w:rPr>
          <w:rFonts w:ascii="Arial" w:eastAsia="Calibri" w:hAnsi="Arial" w:cs="Arial"/>
          <w:b/>
          <w:color w:val="000000"/>
          <w:lang w:val="es-ES_tradnl"/>
        </w:rPr>
      </w:pPr>
      <w:r w:rsidRPr="005220DA">
        <w:rPr>
          <w:rFonts w:ascii="Arial" w:eastAsia="Calibri" w:hAnsi="Arial" w:cs="Arial"/>
          <w:b/>
          <w:color w:val="000000"/>
          <w:lang w:val="es-ES_tradnl"/>
        </w:rPr>
        <w:t>CIENCIA Y TECNOLOGÍA – Contratación directa – Ley de Garantías</w:t>
      </w:r>
    </w:p>
    <w:p w14:paraId="1229A6A9" w14:textId="77777777" w:rsidR="00885E41" w:rsidRPr="005220DA" w:rsidRDefault="00885E41" w:rsidP="00885E41">
      <w:pPr>
        <w:widowControl w:val="0"/>
        <w:autoSpaceDE w:val="0"/>
        <w:autoSpaceDN w:val="0"/>
        <w:spacing w:after="0" w:line="240" w:lineRule="auto"/>
        <w:jc w:val="both"/>
        <w:rPr>
          <w:rFonts w:ascii="Arial" w:eastAsia="Arial" w:hAnsi="Arial" w:cs="Arial"/>
          <w:color w:val="000000"/>
          <w:sz w:val="20"/>
          <w:szCs w:val="20"/>
          <w:lang w:val="es-ES_tradnl" w:eastAsia="es-ES" w:bidi="es-ES"/>
        </w:rPr>
      </w:pPr>
    </w:p>
    <w:p w14:paraId="54175408" w14:textId="792675A8" w:rsidR="00A92BE3" w:rsidRPr="00A92BE3" w:rsidRDefault="00885E41" w:rsidP="00A92BE3">
      <w:pPr>
        <w:spacing w:before="120" w:after="0" w:line="240" w:lineRule="auto"/>
        <w:jc w:val="both"/>
        <w:rPr>
          <w:rFonts w:ascii="Arial" w:eastAsia="Times New Roman" w:hAnsi="Arial" w:cs="Arial"/>
          <w:color w:val="000000"/>
          <w:sz w:val="20"/>
          <w:szCs w:val="20"/>
          <w:lang w:val="es-ES_tradnl" w:eastAsia="es-ES_tradnl"/>
        </w:rPr>
      </w:pPr>
      <w:r w:rsidRPr="00A92BE3">
        <w:rPr>
          <w:rFonts w:ascii="Arial" w:eastAsia="Arial" w:hAnsi="Arial" w:cs="Arial"/>
          <w:color w:val="000000"/>
          <w:sz w:val="20"/>
          <w:szCs w:val="20"/>
          <w:lang w:val="es-ES_tradnl" w:eastAsia="es-ES" w:bidi="es-ES"/>
        </w:rPr>
        <w:t>[…],</w:t>
      </w:r>
      <w:r w:rsidR="00A92BE3" w:rsidRPr="00A92BE3">
        <w:rPr>
          <w:rFonts w:ascii="Arial" w:eastAsia="Times New Roman" w:hAnsi="Arial" w:cs="Arial"/>
          <w:color w:val="000000"/>
          <w:sz w:val="20"/>
          <w:szCs w:val="20"/>
          <w:lang w:val="es-ES_tradnl" w:eastAsia="es-ES_tradnl"/>
        </w:rPr>
        <w:t xml:space="preserve">el artículo 2, numeral 4, literal e) de la Ley 1150 de 2007 establece que la contratación directa es la modalidad de selección aplicable para «Los contratos para el desarrollo de actividades científicas y tecnológicas». Así también lo señala la Circular Externa Única en el numeral 13.2., literal a), que indica que «Los contratos para la ejecución de programas, proyectos, y actividades de ciencia tecnología e innovación, pueden celebrarse bajo la modalidad de contratación directa, de acuerdo con el literal (e) numeral 4 del artículo 2 de la ley 1150 de 2007 y en el artículo 33 de la ley 1286 de 2009». En este sentido, es claro que el artículo 33 de la Ley 996 de 2005 es aplicable a la contratación directa y que, en consecuencia, en vigencia de esta restricción no se pueden suscribir, bajo tal modalidad de selección, contratos para el desarrollo de actividades de ciencia, tecnología e innovación. </w:t>
      </w:r>
    </w:p>
    <w:p w14:paraId="1DFF91F2" w14:textId="639CC0B6" w:rsidR="00A92BE3" w:rsidRPr="00A92BE3" w:rsidRDefault="00A92BE3" w:rsidP="00A92BE3">
      <w:pPr>
        <w:spacing w:before="120" w:after="0" w:line="240" w:lineRule="auto"/>
        <w:jc w:val="both"/>
        <w:rPr>
          <w:rFonts w:ascii="Arial" w:eastAsia="Times New Roman" w:hAnsi="Arial" w:cs="Arial"/>
          <w:color w:val="000000"/>
          <w:sz w:val="20"/>
          <w:szCs w:val="20"/>
          <w:lang w:eastAsia="es-ES_tradnl"/>
        </w:rPr>
      </w:pPr>
      <w:r w:rsidRPr="00A92BE3">
        <w:rPr>
          <w:rFonts w:ascii="Arial" w:eastAsia="Times New Roman" w:hAnsi="Arial" w:cs="Arial"/>
          <w:color w:val="000000"/>
          <w:sz w:val="20"/>
          <w:szCs w:val="20"/>
          <w:lang w:val="es-ES_tradnl" w:eastAsia="es-ES_tradnl"/>
        </w:rPr>
        <w:t xml:space="preserve">Debe precisarse, en todo caso, que la restricción a la contratación directa en vigencia de la Ley de Garantías Electorales no afecta la realización de las convocatorias públicas abiertas y competitivas de la asignación para la ciencia, tecnología e innovación, reguladas en el inciso 7 del artículo 361 de la Constitución Política, en el artículo 53 de la Ley 2056 de 2020 y en los artículos 1.2.3.2.1. a 1.2.3.2.9. del Decreto 1821 de 2020. Dichas disposiciones establecen un procedimiento especial de convocatoria pública –no de contratación directa– en materia de ciencia, tecnología e innovación, para la inversión de los ingresos corrientes del Sistema General de Regalías. Por tanto, atendiendo al principio de interpretación restrictiva de las prohibiciones contenidas en la Ley 996 de 2005, el artículo 33 de este cuerpo normativo no resulta aplicable en dichas convocatorias. </w:t>
      </w:r>
    </w:p>
    <w:p w14:paraId="28C97CDF" w14:textId="708EBEFD" w:rsidR="00885E41" w:rsidRPr="005220DA" w:rsidRDefault="00885E41" w:rsidP="00A92BE3">
      <w:pPr>
        <w:widowControl w:val="0"/>
        <w:autoSpaceDE w:val="0"/>
        <w:autoSpaceDN w:val="0"/>
        <w:spacing w:after="0" w:line="240" w:lineRule="auto"/>
        <w:jc w:val="both"/>
        <w:rPr>
          <w:rFonts w:ascii="Arial" w:eastAsia="Arial" w:hAnsi="Arial" w:cs="Arial"/>
          <w:color w:val="000000"/>
          <w:sz w:val="20"/>
          <w:szCs w:val="20"/>
          <w:lang w:val="es-ES_tradnl" w:eastAsia="es-ES" w:bidi="es-ES"/>
        </w:rPr>
      </w:pPr>
    </w:p>
    <w:p w14:paraId="54C83115" w14:textId="77777777" w:rsidR="00885E41" w:rsidRPr="005220DA" w:rsidRDefault="00885E41" w:rsidP="00885E41">
      <w:pPr>
        <w:widowControl w:val="0"/>
        <w:autoSpaceDE w:val="0"/>
        <w:autoSpaceDN w:val="0"/>
        <w:spacing w:after="0" w:line="240" w:lineRule="auto"/>
        <w:jc w:val="both"/>
        <w:rPr>
          <w:rFonts w:ascii="Arial" w:eastAsia="Arial" w:hAnsi="Arial" w:cs="Arial"/>
          <w:color w:val="000000"/>
          <w:sz w:val="20"/>
          <w:szCs w:val="20"/>
          <w:lang w:val="es-ES_tradnl" w:eastAsia="es-ES" w:bidi="es-ES"/>
        </w:rPr>
      </w:pPr>
    </w:p>
    <w:p w14:paraId="1F0FC3B4" w14:textId="77777777" w:rsidR="00885E41" w:rsidRPr="005220DA" w:rsidRDefault="00885E41" w:rsidP="00885E41">
      <w:pPr>
        <w:spacing w:after="0" w:line="240" w:lineRule="auto"/>
        <w:jc w:val="both"/>
        <w:rPr>
          <w:rFonts w:ascii="Arial" w:eastAsia="Times New Roman" w:hAnsi="Arial" w:cs="Arial"/>
          <w:szCs w:val="24"/>
          <w:lang w:val="es-ES_tradnl" w:eastAsia="es-ES_tradnl"/>
        </w:rPr>
      </w:pPr>
    </w:p>
    <w:p w14:paraId="3AD39866" w14:textId="77777777" w:rsidR="00885E41" w:rsidRPr="005220DA" w:rsidRDefault="00885E41" w:rsidP="00885E41">
      <w:pPr>
        <w:spacing w:after="0" w:line="276" w:lineRule="auto"/>
        <w:jc w:val="both"/>
        <w:rPr>
          <w:rFonts w:ascii="Arial" w:eastAsia="Times New Roman" w:hAnsi="Arial" w:cs="Arial"/>
          <w:noProof/>
          <w:color w:val="000000"/>
          <w:szCs w:val="24"/>
          <w:lang w:val="es-ES_tradnl" w:eastAsia="es-ES_tradnl"/>
        </w:rPr>
      </w:pPr>
    </w:p>
    <w:p w14:paraId="628A49E2" w14:textId="77777777" w:rsidR="00885E41" w:rsidRPr="005220DA" w:rsidRDefault="00885E41" w:rsidP="00885E41">
      <w:pPr>
        <w:spacing w:after="0" w:line="276" w:lineRule="auto"/>
        <w:jc w:val="both"/>
        <w:rPr>
          <w:rFonts w:ascii="Arial" w:eastAsia="Times New Roman" w:hAnsi="Arial" w:cs="Arial"/>
          <w:noProof/>
          <w:color w:val="000000"/>
          <w:szCs w:val="24"/>
          <w:lang w:val="es-ES_tradnl" w:eastAsia="es-ES_tradnl"/>
        </w:rPr>
      </w:pPr>
    </w:p>
    <w:p w14:paraId="6E415238" w14:textId="77777777" w:rsidR="00885E41" w:rsidRPr="005220DA" w:rsidRDefault="00885E41" w:rsidP="00885E41">
      <w:pPr>
        <w:spacing w:after="0" w:line="276" w:lineRule="auto"/>
        <w:jc w:val="both"/>
        <w:rPr>
          <w:rFonts w:ascii="Arial" w:eastAsia="Times New Roman" w:hAnsi="Arial" w:cs="Arial"/>
          <w:noProof/>
          <w:color w:val="000000"/>
          <w:szCs w:val="24"/>
          <w:lang w:val="es-ES_tradnl" w:eastAsia="es-ES_tradnl"/>
        </w:rPr>
      </w:pPr>
    </w:p>
    <w:p w14:paraId="5AFC167E" w14:textId="77777777" w:rsidR="00885E41" w:rsidRPr="005220DA" w:rsidRDefault="00885E41" w:rsidP="00885E41">
      <w:pPr>
        <w:spacing w:after="0" w:line="276" w:lineRule="auto"/>
        <w:jc w:val="both"/>
        <w:rPr>
          <w:rFonts w:ascii="Arial" w:eastAsia="Times New Roman" w:hAnsi="Arial" w:cs="Arial"/>
          <w:noProof/>
          <w:color w:val="000000"/>
          <w:szCs w:val="24"/>
          <w:lang w:val="es-ES_tradnl" w:eastAsia="es-ES_tradnl"/>
        </w:rPr>
      </w:pPr>
    </w:p>
    <w:p w14:paraId="41C16212" w14:textId="717D7279" w:rsidR="00227449" w:rsidRDefault="00974BAD" w:rsidP="00974BAD">
      <w:pPr>
        <w:spacing w:after="0" w:line="276" w:lineRule="auto"/>
        <w:jc w:val="right"/>
        <w:rPr>
          <w:rFonts w:ascii="Arial" w:eastAsia="Calibri" w:hAnsi="Arial" w:cs="Arial"/>
          <w:color w:val="000000"/>
          <w:lang w:val="es-ES_tradnl" w:eastAsia="es-ES_tradnl"/>
        </w:rPr>
      </w:pPr>
      <w:r>
        <w:rPr>
          <w:noProof/>
        </w:rPr>
        <w:drawing>
          <wp:inline distT="0" distB="0" distL="0" distR="0" wp14:anchorId="749D76F4" wp14:editId="57E9572A">
            <wp:extent cx="3287395" cy="885825"/>
            <wp:effectExtent l="0" t="0" r="8255"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rotWithShape="1">
                    <a:blip r:embed="rId8"/>
                    <a:srcRect l="58045" t="35018" r="13611" b="51398"/>
                    <a:stretch/>
                  </pic:blipFill>
                  <pic:spPr bwMode="auto">
                    <a:xfrm>
                      <a:off x="0" y="0"/>
                      <a:ext cx="3290650" cy="886702"/>
                    </a:xfrm>
                    <a:prstGeom prst="rect">
                      <a:avLst/>
                    </a:prstGeom>
                    <a:ln>
                      <a:noFill/>
                    </a:ln>
                    <a:extLst>
                      <a:ext uri="{53640926-AAD7-44D8-BBD7-CCE9431645EC}">
                        <a14:shadowObscured xmlns:a14="http://schemas.microsoft.com/office/drawing/2010/main"/>
                      </a:ext>
                    </a:extLst>
                  </pic:spPr>
                </pic:pic>
              </a:graphicData>
            </a:graphic>
          </wp:inline>
        </w:drawing>
      </w:r>
    </w:p>
    <w:p w14:paraId="32AB03E5" w14:textId="38670CAA" w:rsidR="00227449" w:rsidRDefault="00227449" w:rsidP="00974BAD">
      <w:pPr>
        <w:spacing w:after="0" w:line="276" w:lineRule="auto"/>
        <w:jc w:val="right"/>
        <w:rPr>
          <w:rFonts w:ascii="Arial" w:eastAsia="Calibri" w:hAnsi="Arial" w:cs="Arial"/>
          <w:color w:val="000000"/>
          <w:lang w:val="es-ES_tradnl" w:eastAsia="es-ES_tradnl"/>
        </w:rPr>
      </w:pPr>
    </w:p>
    <w:p w14:paraId="6E7DED05" w14:textId="77777777" w:rsidR="00974BAD" w:rsidRDefault="00974BAD" w:rsidP="009F0825">
      <w:pPr>
        <w:spacing w:after="0" w:line="276" w:lineRule="auto"/>
        <w:jc w:val="both"/>
        <w:rPr>
          <w:rFonts w:ascii="Arial" w:eastAsia="Calibri" w:hAnsi="Arial" w:cs="Arial"/>
          <w:color w:val="000000"/>
          <w:lang w:val="es-ES_tradnl" w:eastAsia="es-ES_tradnl"/>
        </w:rPr>
      </w:pPr>
      <w:bookmarkStart w:id="9" w:name="_Hlk100169077"/>
    </w:p>
    <w:p w14:paraId="013156EF" w14:textId="74E0B99A" w:rsidR="00974BAD" w:rsidRPr="00DD6CE6" w:rsidRDefault="00DD6CE6" w:rsidP="009F0825">
      <w:pPr>
        <w:spacing w:after="0" w:line="276" w:lineRule="auto"/>
        <w:jc w:val="both"/>
        <w:rPr>
          <w:rFonts w:ascii="Arial" w:eastAsia="Calibri" w:hAnsi="Arial" w:cs="Arial"/>
          <w:color w:val="000000"/>
          <w:lang w:val="es-ES_tradnl" w:eastAsia="es-ES_tradnl"/>
        </w:rPr>
      </w:pPr>
      <w:r w:rsidRPr="00DD6CE6">
        <w:rPr>
          <w:rFonts w:ascii="Arial" w:hAnsi="Arial" w:cs="Arial"/>
        </w:rPr>
        <w:t>Bogotá, 06 Abril 2022</w:t>
      </w:r>
    </w:p>
    <w:p w14:paraId="378A7EA0" w14:textId="77777777" w:rsidR="00974BAD" w:rsidRDefault="00974BAD" w:rsidP="009F0825">
      <w:pPr>
        <w:spacing w:after="0" w:line="276" w:lineRule="auto"/>
        <w:jc w:val="both"/>
        <w:rPr>
          <w:rFonts w:ascii="Arial" w:eastAsia="Calibri" w:hAnsi="Arial" w:cs="Arial"/>
          <w:color w:val="000000"/>
          <w:lang w:val="es-ES_tradnl" w:eastAsia="es-ES_tradnl"/>
        </w:rPr>
      </w:pPr>
    </w:p>
    <w:p w14:paraId="1A395F4B" w14:textId="5CE0CFA3" w:rsidR="00885E41" w:rsidRPr="005220DA" w:rsidRDefault="00885E41" w:rsidP="009F0825">
      <w:pPr>
        <w:spacing w:after="0" w:line="276" w:lineRule="auto"/>
        <w:jc w:val="both"/>
        <w:rPr>
          <w:rFonts w:ascii="Arial" w:eastAsia="Calibri" w:hAnsi="Arial" w:cs="Arial"/>
          <w:color w:val="000000"/>
          <w:lang w:val="es-ES_tradnl" w:eastAsia="es-ES_tradnl"/>
        </w:rPr>
      </w:pPr>
      <w:r w:rsidRPr="005220DA">
        <w:rPr>
          <w:rFonts w:ascii="Arial" w:eastAsia="Calibri" w:hAnsi="Arial" w:cs="Arial"/>
          <w:color w:val="000000"/>
          <w:lang w:val="es-ES_tradnl" w:eastAsia="es-ES_tradnl"/>
        </w:rPr>
        <w:t>Señor</w:t>
      </w:r>
    </w:p>
    <w:p w14:paraId="260975E6" w14:textId="77777777" w:rsidR="00885E41" w:rsidRPr="00F73891" w:rsidRDefault="00885E41" w:rsidP="009F0825">
      <w:pPr>
        <w:spacing w:after="0" w:line="276" w:lineRule="auto"/>
        <w:rPr>
          <w:rFonts w:ascii="Arial" w:hAnsi="Arial" w:cs="Arial"/>
          <w:b/>
          <w:bCs/>
        </w:rPr>
      </w:pPr>
      <w:r w:rsidRPr="00F73891">
        <w:rPr>
          <w:rFonts w:ascii="Arial" w:hAnsi="Arial" w:cs="Arial"/>
          <w:b/>
          <w:bCs/>
        </w:rPr>
        <w:t>Andrés Felipe Amaya</w:t>
      </w:r>
    </w:p>
    <w:p w14:paraId="53FCAE21" w14:textId="77777777" w:rsidR="00885E41" w:rsidRPr="00F73891" w:rsidRDefault="00885E41" w:rsidP="009F0825">
      <w:pPr>
        <w:spacing w:after="0" w:line="276" w:lineRule="auto"/>
        <w:jc w:val="both"/>
        <w:rPr>
          <w:rFonts w:ascii="Arial" w:eastAsia="Calibri" w:hAnsi="Arial" w:cs="Arial"/>
          <w:color w:val="000000"/>
          <w:lang w:val="es-ES_tradnl" w:eastAsia="es-ES_tradnl"/>
        </w:rPr>
      </w:pPr>
      <w:r w:rsidRPr="00F73891">
        <w:rPr>
          <w:rFonts w:ascii="Arial" w:eastAsia="Calibri" w:hAnsi="Arial" w:cs="Arial"/>
          <w:color w:val="000000"/>
          <w:lang w:val="es-ES_tradnl" w:eastAsia="es-ES_tradnl"/>
        </w:rPr>
        <w:t xml:space="preserve">Ciudad </w:t>
      </w:r>
    </w:p>
    <w:p w14:paraId="1FB0FCF6" w14:textId="77777777" w:rsidR="00885E41" w:rsidRPr="005220DA" w:rsidRDefault="00885E41" w:rsidP="00885E41">
      <w:pPr>
        <w:spacing w:after="0" w:line="240" w:lineRule="auto"/>
        <w:jc w:val="both"/>
        <w:rPr>
          <w:rFonts w:ascii="Arial" w:eastAsia="Calibri" w:hAnsi="Arial" w:cs="Arial"/>
          <w:color w:val="000000"/>
          <w:szCs w:val="24"/>
          <w:lang w:val="es-ES_tradnl" w:eastAsia="es-ES_tradnl"/>
        </w:rPr>
      </w:pPr>
    </w:p>
    <w:p w14:paraId="63E51C17" w14:textId="77777777" w:rsidR="00885E41" w:rsidRPr="005220DA" w:rsidRDefault="00885E41" w:rsidP="00885E41">
      <w:pPr>
        <w:spacing w:after="0" w:line="240" w:lineRule="auto"/>
        <w:jc w:val="both"/>
        <w:rPr>
          <w:rFonts w:ascii="Arial" w:eastAsia="Calibri" w:hAnsi="Arial" w:cs="Arial"/>
          <w:color w:val="000000"/>
          <w:szCs w:val="24"/>
          <w:lang w:val="es-ES_tradnl" w:eastAsia="es-ES_tradnl"/>
        </w:rPr>
      </w:pPr>
    </w:p>
    <w:p w14:paraId="67739D6F" w14:textId="0398E4BE" w:rsidR="00885E41" w:rsidRPr="005220DA" w:rsidRDefault="00885E41" w:rsidP="009F0825">
      <w:pPr>
        <w:spacing w:after="0" w:line="240" w:lineRule="auto"/>
        <w:rPr>
          <w:rFonts w:ascii="Arial" w:eastAsia="Calibri" w:hAnsi="Arial" w:cs="Arial"/>
          <w:b/>
          <w:bCs/>
          <w:color w:val="000000"/>
          <w:szCs w:val="24"/>
          <w:lang w:val="es-ES_tradnl" w:eastAsia="es-ES_tradnl"/>
        </w:rPr>
      </w:pPr>
      <w:r w:rsidRPr="005220DA">
        <w:rPr>
          <w:rFonts w:ascii="Arial" w:eastAsia="Calibri" w:hAnsi="Arial" w:cs="Arial"/>
          <w:b/>
          <w:bCs/>
          <w:color w:val="000000"/>
          <w:szCs w:val="24"/>
          <w:lang w:val="es-ES_tradnl" w:eastAsia="es-ES_tradnl"/>
        </w:rPr>
        <w:t xml:space="preserve">                                            Concepto C</w:t>
      </w:r>
      <w:r w:rsidR="00313EB6">
        <w:rPr>
          <w:rFonts w:ascii="Arial" w:eastAsia="Calibri" w:hAnsi="Arial" w:cs="Arial"/>
          <w:b/>
          <w:bCs/>
          <w:color w:val="000000"/>
          <w:szCs w:val="24"/>
          <w:lang w:val="es-ES_tradnl" w:eastAsia="es-ES_tradnl"/>
        </w:rPr>
        <w:t>-</w:t>
      </w:r>
      <w:r>
        <w:rPr>
          <w:rFonts w:ascii="Arial" w:eastAsia="Calibri" w:hAnsi="Arial" w:cs="Arial"/>
          <w:b/>
          <w:bCs/>
          <w:color w:val="000000"/>
          <w:szCs w:val="24"/>
          <w:lang w:val="es-ES_tradnl" w:eastAsia="es-ES_tradnl"/>
        </w:rPr>
        <w:t>171</w:t>
      </w:r>
      <w:r w:rsidRPr="005220DA">
        <w:rPr>
          <w:rFonts w:ascii="Arial" w:eastAsia="Calibri" w:hAnsi="Arial" w:cs="Arial"/>
          <w:b/>
          <w:bCs/>
          <w:color w:val="000000"/>
          <w:szCs w:val="24"/>
          <w:lang w:val="es-ES_tradnl" w:eastAsia="es-ES_tradnl"/>
        </w:rPr>
        <w:t xml:space="preserve"> de 2022</w:t>
      </w:r>
    </w:p>
    <w:p w14:paraId="596B878F" w14:textId="77777777" w:rsidR="00885E41" w:rsidRPr="005220DA" w:rsidRDefault="00885E41" w:rsidP="009F0825">
      <w:pPr>
        <w:spacing w:after="0" w:line="240" w:lineRule="auto"/>
        <w:jc w:val="both"/>
        <w:rPr>
          <w:rFonts w:ascii="Arial" w:eastAsia="Calibri" w:hAnsi="Arial" w:cs="Arial"/>
          <w:color w:val="000000"/>
          <w:szCs w:val="24"/>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85E41" w:rsidRPr="005220DA" w14:paraId="3877ABE9" w14:textId="77777777" w:rsidTr="00F73891">
        <w:tc>
          <w:tcPr>
            <w:tcW w:w="2689" w:type="dxa"/>
          </w:tcPr>
          <w:p w14:paraId="0D3C69CB" w14:textId="77777777" w:rsidR="00885E41" w:rsidRPr="005220DA" w:rsidRDefault="00885E41" w:rsidP="009F0825">
            <w:pPr>
              <w:jc w:val="both"/>
              <w:rPr>
                <w:rFonts w:ascii="Arial" w:eastAsia="Calibri" w:hAnsi="Arial" w:cs="Arial"/>
                <w:color w:val="000000"/>
                <w:szCs w:val="24"/>
                <w:lang w:val="es-ES_tradnl" w:eastAsia="es-ES_tradnl"/>
              </w:rPr>
            </w:pPr>
            <w:r w:rsidRPr="005220DA">
              <w:rPr>
                <w:rFonts w:ascii="Arial" w:eastAsia="Calibri" w:hAnsi="Arial" w:cs="Arial"/>
                <w:b/>
                <w:color w:val="000000"/>
                <w:szCs w:val="24"/>
                <w:lang w:val="es-ES_tradnl" w:eastAsia="es-ES_tradnl"/>
              </w:rPr>
              <w:t>Temas:</w:t>
            </w:r>
            <w:r w:rsidRPr="005220DA">
              <w:rPr>
                <w:rFonts w:ascii="Arial" w:eastAsia="Calibri" w:hAnsi="Arial" w:cs="Arial"/>
                <w:color w:val="000000"/>
                <w:szCs w:val="24"/>
                <w:lang w:val="es-ES_tradnl" w:eastAsia="es-ES_tradnl"/>
              </w:rPr>
              <w:t xml:space="preserve">                                      </w:t>
            </w:r>
          </w:p>
        </w:tc>
        <w:tc>
          <w:tcPr>
            <w:tcW w:w="6237" w:type="dxa"/>
          </w:tcPr>
          <w:p w14:paraId="61B3595A" w14:textId="2A555EFC" w:rsidR="00885E41" w:rsidRPr="005220DA" w:rsidRDefault="00885E41" w:rsidP="009F0825">
            <w:pPr>
              <w:jc w:val="both"/>
              <w:rPr>
                <w:rFonts w:ascii="Arial" w:eastAsia="Calibri" w:hAnsi="Arial" w:cs="Arial"/>
                <w:bCs/>
                <w:lang w:val="es-ES_tradnl"/>
              </w:rPr>
            </w:pPr>
            <w:r w:rsidRPr="005220DA">
              <w:rPr>
                <w:rFonts w:ascii="Arial" w:eastAsia="Calibri" w:hAnsi="Arial" w:cs="Arial"/>
                <w:bCs/>
                <w:color w:val="000000"/>
                <w:lang w:val="es-ES_tradnl"/>
              </w:rPr>
              <w:t xml:space="preserve">LEY DE GARANTÍAS ELECTORALES – Finalidad / LEY DE GARANTÍAS ELECTORALES ‒ Restricciones ‒ Contratación ‒ Tipos de elección / </w:t>
            </w:r>
            <w:r w:rsidRPr="005220DA">
              <w:rPr>
                <w:rFonts w:ascii="Arial" w:eastAsia="Calibri" w:hAnsi="Arial" w:cs="Arial"/>
                <w:bCs/>
                <w:lang w:val="es-ES_tradnl"/>
              </w:rPr>
              <w:t xml:space="preserve">LEY DE GARANTÍAS ELECTORALES ─ Prohibición artículo 33 ‒ Contratación directa ‒ Alcance / </w:t>
            </w:r>
            <w:r w:rsidRPr="005220DA">
              <w:rPr>
                <w:rFonts w:ascii="Arial" w:eastAsia="Calibri" w:hAnsi="Arial" w:cs="Arial"/>
                <w:bCs/>
                <w:lang w:val="es-ES_tradnl" w:eastAsia="es-CO"/>
              </w:rPr>
              <w:t>LEY DE GARANTÍAS ELECTORALES ‒ Excepciones</w:t>
            </w:r>
            <w:r w:rsidRPr="005220DA">
              <w:rPr>
                <w:rFonts w:ascii="Arial" w:eastAsia="Calibri" w:hAnsi="Arial" w:cs="Arial"/>
                <w:lang w:val="es-ES_tradnl" w:eastAsia="es-CO"/>
              </w:rPr>
              <w:t xml:space="preserve"> / </w:t>
            </w:r>
            <w:r w:rsidRPr="005220DA">
              <w:rPr>
                <w:rFonts w:ascii="Arial" w:eastAsia="Calibri" w:hAnsi="Arial" w:cs="Arial"/>
                <w:bCs/>
                <w:lang w:val="es-ES_tradnl" w:eastAsia="es-CO"/>
              </w:rPr>
              <w:t xml:space="preserve">LEY DE GARANTÍAS ELECTORALES ‒ </w:t>
            </w:r>
            <w:r w:rsidRPr="005220DA">
              <w:rPr>
                <w:rFonts w:ascii="Arial" w:eastAsia="Calibri" w:hAnsi="Arial" w:cs="Arial"/>
                <w:lang w:val="es-ES_tradnl" w:eastAsia="es-CO"/>
              </w:rPr>
              <w:t xml:space="preserve">Prohibición del artículo 33 </w:t>
            </w:r>
            <w:r w:rsidRPr="005220DA">
              <w:rPr>
                <w:rFonts w:ascii="Arial" w:eastAsia="Calibri" w:hAnsi="Arial" w:cs="Arial"/>
                <w:bCs/>
                <w:lang w:val="es-ES_tradnl" w:eastAsia="es-CO"/>
              </w:rPr>
              <w:t xml:space="preserve">‒ Destinatarios / </w:t>
            </w:r>
            <w:r w:rsidRPr="005220DA">
              <w:rPr>
                <w:rFonts w:ascii="Arial" w:eastAsia="Calibri" w:hAnsi="Arial" w:cs="Arial"/>
                <w:color w:val="000000"/>
                <w:lang w:val="es-ES_tradnl"/>
              </w:rPr>
              <w:t>CIENCIA Y TECNOLOGÍA – Contratación directa – Ley de Garantías.</w:t>
            </w:r>
          </w:p>
        </w:tc>
      </w:tr>
      <w:tr w:rsidR="00885E41" w:rsidRPr="005220DA" w14:paraId="4CEF2E4A" w14:textId="77777777" w:rsidTr="00F73891">
        <w:tc>
          <w:tcPr>
            <w:tcW w:w="2689" w:type="dxa"/>
          </w:tcPr>
          <w:p w14:paraId="620AD7CB" w14:textId="77777777" w:rsidR="00885E41" w:rsidRPr="005220DA" w:rsidRDefault="00885E41" w:rsidP="00F73891">
            <w:pPr>
              <w:spacing w:before="120"/>
              <w:jc w:val="both"/>
              <w:rPr>
                <w:rFonts w:ascii="Arial" w:eastAsia="Calibri" w:hAnsi="Arial" w:cs="Arial"/>
                <w:b/>
                <w:color w:val="000000"/>
                <w:szCs w:val="24"/>
                <w:lang w:val="es-ES_tradnl" w:eastAsia="es-ES_tradnl"/>
              </w:rPr>
            </w:pPr>
            <w:r w:rsidRPr="005220DA">
              <w:rPr>
                <w:rFonts w:ascii="Arial" w:eastAsia="Calibri" w:hAnsi="Arial" w:cs="Arial"/>
                <w:b/>
                <w:color w:val="000000"/>
                <w:szCs w:val="24"/>
                <w:lang w:val="es-ES_tradnl" w:eastAsia="es-ES_tradnl"/>
              </w:rPr>
              <w:t>Radicación:</w:t>
            </w:r>
            <w:r w:rsidRPr="005220DA">
              <w:rPr>
                <w:rFonts w:ascii="Arial" w:eastAsia="Calibri" w:hAnsi="Arial" w:cs="Arial"/>
                <w:color w:val="000000"/>
                <w:szCs w:val="24"/>
                <w:lang w:val="es-ES_tradnl" w:eastAsia="es-ES_tradnl"/>
              </w:rPr>
              <w:t xml:space="preserve">                              </w:t>
            </w:r>
          </w:p>
        </w:tc>
        <w:tc>
          <w:tcPr>
            <w:tcW w:w="6237" w:type="dxa"/>
          </w:tcPr>
          <w:p w14:paraId="550571E5" w14:textId="77777777" w:rsidR="00885E41" w:rsidRPr="005220DA" w:rsidRDefault="00885E41" w:rsidP="00F73891">
            <w:pPr>
              <w:spacing w:before="120"/>
              <w:jc w:val="both"/>
              <w:rPr>
                <w:rFonts w:ascii="Arial" w:eastAsia="Calibri" w:hAnsi="Arial" w:cs="Arial"/>
                <w:color w:val="000000"/>
                <w:szCs w:val="24"/>
                <w:lang w:val="es-ES_tradnl" w:eastAsia="es-ES_tradnl"/>
              </w:rPr>
            </w:pPr>
            <w:r w:rsidRPr="005220DA">
              <w:rPr>
                <w:rFonts w:ascii="Arial" w:eastAsia="Calibri" w:hAnsi="Arial" w:cs="Arial"/>
                <w:color w:val="000000"/>
                <w:szCs w:val="24"/>
                <w:lang w:val="es-ES_tradnl" w:eastAsia="es-ES_tradnl"/>
              </w:rPr>
              <w:t>Respuesta a consulta # P20220222001775</w:t>
            </w:r>
          </w:p>
        </w:tc>
      </w:tr>
    </w:tbl>
    <w:p w14:paraId="0ECFAD65" w14:textId="77777777" w:rsidR="00885E41" w:rsidRPr="005220DA" w:rsidRDefault="00885E41" w:rsidP="00885E41">
      <w:pPr>
        <w:spacing w:after="0" w:line="240" w:lineRule="auto"/>
        <w:jc w:val="both"/>
        <w:rPr>
          <w:rFonts w:ascii="Arial" w:eastAsia="Calibri" w:hAnsi="Arial" w:cs="Arial"/>
          <w:color w:val="000000"/>
          <w:szCs w:val="24"/>
          <w:lang w:val="es-ES_tradnl" w:eastAsia="es-ES_tradnl"/>
        </w:rPr>
      </w:pPr>
    </w:p>
    <w:p w14:paraId="503BAD5E" w14:textId="77777777" w:rsidR="00885E41" w:rsidRPr="005220DA" w:rsidRDefault="00885E41" w:rsidP="00885E41">
      <w:pPr>
        <w:spacing w:after="0" w:line="240" w:lineRule="auto"/>
        <w:jc w:val="both"/>
        <w:rPr>
          <w:rFonts w:ascii="Arial" w:eastAsia="Calibri" w:hAnsi="Arial" w:cs="Arial"/>
          <w:color w:val="000000"/>
          <w:szCs w:val="24"/>
          <w:lang w:val="es-ES_tradnl" w:eastAsia="es-ES_tradnl"/>
        </w:rPr>
      </w:pPr>
    </w:p>
    <w:p w14:paraId="1C76D966" w14:textId="77777777" w:rsidR="00885E41" w:rsidRPr="005220DA" w:rsidRDefault="00885E41" w:rsidP="00885E41">
      <w:pPr>
        <w:spacing w:after="0" w:line="240" w:lineRule="auto"/>
        <w:jc w:val="both"/>
        <w:rPr>
          <w:rFonts w:ascii="Arial" w:eastAsia="Calibri" w:hAnsi="Arial" w:cs="Arial"/>
          <w:color w:val="000000"/>
          <w:szCs w:val="24"/>
          <w:lang w:val="es-ES_tradnl" w:eastAsia="es-ES_tradnl"/>
        </w:rPr>
      </w:pPr>
      <w:r w:rsidRPr="005220DA">
        <w:rPr>
          <w:rFonts w:ascii="Arial" w:eastAsia="Calibri" w:hAnsi="Arial" w:cs="Arial"/>
          <w:color w:val="000000"/>
          <w:szCs w:val="24"/>
          <w:lang w:val="es-ES_tradnl" w:eastAsia="es-ES_tradnl"/>
        </w:rPr>
        <w:t>Estimad</w:t>
      </w:r>
      <w:r>
        <w:rPr>
          <w:rFonts w:ascii="Arial" w:eastAsia="Calibri" w:hAnsi="Arial" w:cs="Arial"/>
          <w:color w:val="000000"/>
          <w:szCs w:val="24"/>
          <w:lang w:val="es-ES_tradnl" w:eastAsia="es-ES_tradnl"/>
        </w:rPr>
        <w:t>o</w:t>
      </w:r>
      <w:r w:rsidRPr="005220DA">
        <w:rPr>
          <w:rFonts w:ascii="Arial" w:eastAsia="Calibri" w:hAnsi="Arial" w:cs="Arial"/>
          <w:color w:val="000000"/>
          <w:szCs w:val="24"/>
          <w:lang w:val="es-ES_tradnl" w:eastAsia="es-ES_tradnl"/>
        </w:rPr>
        <w:t xml:space="preserve"> señor</w:t>
      </w:r>
      <w:r>
        <w:rPr>
          <w:rFonts w:ascii="Arial" w:eastAsia="Calibri" w:hAnsi="Arial" w:cs="Arial"/>
          <w:color w:val="000000"/>
          <w:szCs w:val="24"/>
          <w:lang w:val="es-ES_tradnl" w:eastAsia="es-ES_tradnl"/>
        </w:rPr>
        <w:t xml:space="preserve"> </w:t>
      </w:r>
      <w:r w:rsidRPr="00F73891">
        <w:rPr>
          <w:rFonts w:ascii="Arial" w:hAnsi="Arial" w:cs="Arial"/>
        </w:rPr>
        <w:t>Amaya:</w:t>
      </w:r>
      <w:r w:rsidRPr="005220DA" w:rsidDel="005220DA">
        <w:rPr>
          <w:rFonts w:ascii="Arial" w:eastAsia="Calibri" w:hAnsi="Arial" w:cs="Arial"/>
          <w:color w:val="000000"/>
          <w:szCs w:val="24"/>
          <w:lang w:val="es-ES_tradnl" w:eastAsia="es-ES_tradnl"/>
        </w:rPr>
        <w:t xml:space="preserve"> </w:t>
      </w:r>
    </w:p>
    <w:p w14:paraId="167EE743" w14:textId="77777777" w:rsidR="00885E41" w:rsidRPr="005220DA" w:rsidRDefault="00885E41" w:rsidP="00885E41">
      <w:pPr>
        <w:spacing w:after="0" w:line="240" w:lineRule="auto"/>
        <w:jc w:val="both"/>
        <w:rPr>
          <w:rFonts w:ascii="Arial" w:eastAsia="Calibri" w:hAnsi="Arial" w:cs="Arial"/>
          <w:color w:val="000000"/>
          <w:szCs w:val="24"/>
          <w:lang w:val="es-ES_tradnl" w:eastAsia="es-ES_tradnl"/>
        </w:rPr>
      </w:pPr>
    </w:p>
    <w:p w14:paraId="1D7ABA93" w14:textId="77777777" w:rsidR="00885E41" w:rsidRPr="005220DA" w:rsidRDefault="00885E41" w:rsidP="00885E41">
      <w:pPr>
        <w:spacing w:after="0" w:line="276" w:lineRule="auto"/>
        <w:jc w:val="both"/>
        <w:rPr>
          <w:rFonts w:ascii="Arial" w:eastAsia="Calibri" w:hAnsi="Arial" w:cs="Arial"/>
          <w:color w:val="000000"/>
          <w:szCs w:val="24"/>
          <w:lang w:val="es-ES_tradnl" w:eastAsia="es-ES_tradnl"/>
        </w:rPr>
      </w:pPr>
      <w:r w:rsidRPr="005220DA">
        <w:rPr>
          <w:rFonts w:ascii="Arial" w:eastAsia="Calibri" w:hAnsi="Arial" w:cs="Arial"/>
          <w:color w:val="000000"/>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color w:val="000000"/>
          <w:szCs w:val="24"/>
          <w:lang w:val="es-ES_tradnl" w:eastAsia="es-ES_tradnl"/>
        </w:rPr>
        <w:t>22</w:t>
      </w:r>
      <w:r w:rsidRPr="005220DA">
        <w:rPr>
          <w:rFonts w:ascii="Arial" w:eastAsia="Calibri" w:hAnsi="Arial" w:cs="Arial"/>
          <w:color w:val="000000"/>
          <w:szCs w:val="24"/>
          <w:lang w:val="es-ES_tradnl" w:eastAsia="es-ES_tradnl"/>
        </w:rPr>
        <w:t xml:space="preserve"> de </w:t>
      </w:r>
      <w:r>
        <w:rPr>
          <w:rFonts w:ascii="Arial" w:eastAsia="Calibri" w:hAnsi="Arial" w:cs="Arial"/>
          <w:color w:val="000000"/>
          <w:szCs w:val="24"/>
          <w:lang w:val="es-ES_tradnl" w:eastAsia="es-ES_tradnl"/>
        </w:rPr>
        <w:t>f</w:t>
      </w:r>
      <w:r w:rsidRPr="005220DA">
        <w:rPr>
          <w:rFonts w:ascii="Arial" w:eastAsia="Calibri" w:hAnsi="Arial" w:cs="Arial"/>
          <w:color w:val="000000"/>
          <w:szCs w:val="24"/>
          <w:lang w:val="es-ES_tradnl" w:eastAsia="es-ES_tradnl"/>
        </w:rPr>
        <w:t>e</w:t>
      </w:r>
      <w:r>
        <w:rPr>
          <w:rFonts w:ascii="Arial" w:eastAsia="Calibri" w:hAnsi="Arial" w:cs="Arial"/>
          <w:color w:val="000000"/>
          <w:szCs w:val="24"/>
          <w:lang w:val="es-ES_tradnl" w:eastAsia="es-ES_tradnl"/>
        </w:rPr>
        <w:t>b</w:t>
      </w:r>
      <w:r w:rsidRPr="005220DA">
        <w:rPr>
          <w:rFonts w:ascii="Arial" w:eastAsia="Calibri" w:hAnsi="Arial" w:cs="Arial"/>
          <w:color w:val="000000"/>
          <w:szCs w:val="24"/>
          <w:lang w:val="es-ES_tradnl" w:eastAsia="es-ES_tradnl"/>
        </w:rPr>
        <w:t>r</w:t>
      </w:r>
      <w:r>
        <w:rPr>
          <w:rFonts w:ascii="Arial" w:eastAsia="Calibri" w:hAnsi="Arial" w:cs="Arial"/>
          <w:color w:val="000000"/>
          <w:szCs w:val="24"/>
          <w:lang w:val="es-ES_tradnl" w:eastAsia="es-ES_tradnl"/>
        </w:rPr>
        <w:t>er</w:t>
      </w:r>
      <w:r w:rsidRPr="005220DA">
        <w:rPr>
          <w:rFonts w:ascii="Arial" w:eastAsia="Calibri" w:hAnsi="Arial" w:cs="Arial"/>
          <w:color w:val="000000"/>
          <w:szCs w:val="24"/>
          <w:lang w:val="es-ES_tradnl" w:eastAsia="es-ES_tradnl"/>
        </w:rPr>
        <w:t>o del 2022.</w:t>
      </w:r>
    </w:p>
    <w:p w14:paraId="08546CF3" w14:textId="77777777" w:rsidR="00885E41" w:rsidRPr="005220DA" w:rsidRDefault="00885E41" w:rsidP="00885E41">
      <w:pPr>
        <w:spacing w:after="0" w:line="276" w:lineRule="auto"/>
        <w:jc w:val="both"/>
        <w:rPr>
          <w:rFonts w:ascii="Arial" w:eastAsia="Calibri" w:hAnsi="Arial" w:cs="Arial"/>
          <w:b/>
          <w:color w:val="000000"/>
          <w:szCs w:val="24"/>
          <w:lang w:val="es-ES_tradnl" w:eastAsia="es-ES_tradnl"/>
        </w:rPr>
      </w:pPr>
    </w:p>
    <w:p w14:paraId="29E46E0F" w14:textId="77777777" w:rsidR="00885E41" w:rsidRPr="00F73891" w:rsidRDefault="00885E41" w:rsidP="00885E41">
      <w:pPr>
        <w:pStyle w:val="Prrafodelista"/>
        <w:numPr>
          <w:ilvl w:val="0"/>
          <w:numId w:val="1"/>
        </w:numPr>
        <w:tabs>
          <w:tab w:val="left" w:pos="0"/>
          <w:tab w:val="left" w:pos="142"/>
          <w:tab w:val="left" w:pos="284"/>
        </w:tabs>
        <w:spacing w:after="0" w:line="276" w:lineRule="auto"/>
        <w:ind w:left="360"/>
        <w:jc w:val="both"/>
        <w:rPr>
          <w:rFonts w:ascii="Arial" w:eastAsia="Calibri" w:hAnsi="Arial" w:cs="Arial"/>
          <w:b/>
          <w:color w:val="000000"/>
          <w:lang w:val="es-ES_tradnl"/>
        </w:rPr>
      </w:pPr>
      <w:r w:rsidRPr="00F73891">
        <w:rPr>
          <w:rFonts w:ascii="Arial" w:eastAsia="Calibri" w:hAnsi="Arial" w:cs="Arial"/>
          <w:b/>
          <w:color w:val="000000"/>
          <w:lang w:val="es-ES_tradnl"/>
        </w:rPr>
        <w:t xml:space="preserve">Problema planteado </w:t>
      </w:r>
    </w:p>
    <w:p w14:paraId="3B5F0FBD" w14:textId="77777777" w:rsidR="00885E41" w:rsidRPr="005220DA" w:rsidRDefault="00885E41" w:rsidP="00757397">
      <w:pPr>
        <w:tabs>
          <w:tab w:val="left" w:pos="426"/>
        </w:tabs>
        <w:spacing w:after="0" w:line="240" w:lineRule="auto"/>
        <w:jc w:val="both"/>
        <w:rPr>
          <w:rFonts w:ascii="Arial" w:eastAsia="Calibri" w:hAnsi="Arial" w:cs="Arial"/>
          <w:b/>
          <w:color w:val="000000"/>
          <w:szCs w:val="24"/>
          <w:lang w:val="es-ES_tradnl" w:eastAsia="es-ES_tradnl"/>
        </w:rPr>
      </w:pPr>
    </w:p>
    <w:p w14:paraId="68C23943" w14:textId="672C86F4" w:rsidR="00885E41" w:rsidRPr="00757397" w:rsidRDefault="00885E41" w:rsidP="00757397">
      <w:pPr>
        <w:spacing w:after="0" w:line="276" w:lineRule="auto"/>
        <w:ind w:right="49"/>
        <w:jc w:val="both"/>
        <w:rPr>
          <w:rFonts w:ascii="Arial" w:hAnsi="Arial" w:cs="Arial"/>
        </w:rPr>
      </w:pPr>
      <w:r w:rsidRPr="005220DA">
        <w:rPr>
          <w:rFonts w:ascii="Arial" w:eastAsia="Times New Roman" w:hAnsi="Arial" w:cs="Arial"/>
          <w:color w:val="000000"/>
          <w:szCs w:val="24"/>
          <w:lang w:val="es-ES_tradnl" w:eastAsia="es-ES_tradnl"/>
        </w:rPr>
        <w:t xml:space="preserve">Usted formula la siguiente consulta: </w:t>
      </w:r>
      <w:r w:rsidRPr="00757397">
        <w:rPr>
          <w:rFonts w:ascii="Arial" w:hAnsi="Arial" w:cs="Arial"/>
        </w:rPr>
        <w:t>«[…] es aplicable la ley de garantías del año 2022 para los convenios de cooperación específica derivados de los contratos de recuperación contingente; amparados por las normas de Ciencia, Tecnología e Innovación».</w:t>
      </w:r>
    </w:p>
    <w:p w14:paraId="7E1B9C53" w14:textId="77777777" w:rsidR="00885E41" w:rsidRPr="005220DA" w:rsidRDefault="00885E41" w:rsidP="009F0825">
      <w:pPr>
        <w:spacing w:after="0" w:line="240" w:lineRule="auto"/>
        <w:jc w:val="both"/>
        <w:rPr>
          <w:rFonts w:ascii="Arial" w:eastAsia="Times New Roman" w:hAnsi="Arial" w:cs="Arial"/>
          <w:color w:val="000000"/>
          <w:szCs w:val="24"/>
          <w:lang w:val="es-ES_tradnl" w:eastAsia="es-ES_tradnl"/>
        </w:rPr>
      </w:pPr>
    </w:p>
    <w:p w14:paraId="044905F4" w14:textId="77777777" w:rsidR="00885E41" w:rsidRPr="00F73891" w:rsidRDefault="00885E41" w:rsidP="00885E41">
      <w:pPr>
        <w:pStyle w:val="Prrafodelista"/>
        <w:numPr>
          <w:ilvl w:val="0"/>
          <w:numId w:val="1"/>
        </w:numPr>
        <w:tabs>
          <w:tab w:val="left" w:pos="0"/>
          <w:tab w:val="left" w:pos="142"/>
          <w:tab w:val="left" w:pos="284"/>
        </w:tabs>
        <w:spacing w:after="0" w:line="276" w:lineRule="auto"/>
        <w:ind w:left="360"/>
        <w:jc w:val="both"/>
        <w:rPr>
          <w:rFonts w:ascii="Arial" w:eastAsia="Calibri" w:hAnsi="Arial" w:cs="Arial"/>
          <w:b/>
          <w:color w:val="000000"/>
          <w:lang w:val="es-ES_tradnl"/>
        </w:rPr>
      </w:pPr>
      <w:r w:rsidRPr="00F73891">
        <w:rPr>
          <w:rFonts w:ascii="Arial" w:eastAsia="Calibri" w:hAnsi="Arial" w:cs="Arial"/>
          <w:b/>
          <w:color w:val="000000"/>
          <w:lang w:val="es-ES_tradnl"/>
        </w:rPr>
        <w:t>Consideraciones</w:t>
      </w:r>
    </w:p>
    <w:p w14:paraId="00762767" w14:textId="77777777" w:rsidR="00885E41" w:rsidRPr="005220DA" w:rsidRDefault="00885E41" w:rsidP="00885E41">
      <w:pPr>
        <w:pStyle w:val="Prrafodelista"/>
        <w:spacing w:after="0"/>
        <w:ind w:left="360"/>
        <w:rPr>
          <w:lang w:val="es-ES_tradnl"/>
        </w:rPr>
      </w:pPr>
    </w:p>
    <w:p w14:paraId="4FD25204" w14:textId="4E584427" w:rsidR="00885E41" w:rsidRPr="005220DA" w:rsidRDefault="00885E41" w:rsidP="008064E3">
      <w:pPr>
        <w:tabs>
          <w:tab w:val="left" w:pos="0"/>
          <w:tab w:val="left" w:pos="284"/>
        </w:tabs>
        <w:spacing w:after="0" w:line="276" w:lineRule="auto"/>
        <w:contextualSpacing/>
        <w:jc w:val="both"/>
        <w:rPr>
          <w:rFonts w:ascii="Arial" w:eastAsia="Calibri" w:hAnsi="Arial" w:cs="Arial"/>
          <w:color w:val="000000"/>
          <w:lang w:val="es-ES_tradnl" w:eastAsia="es-ES_tradnl"/>
        </w:rPr>
      </w:pPr>
      <w:r>
        <w:rPr>
          <w:rFonts w:ascii="Arial" w:eastAsia="Calibri" w:hAnsi="Arial" w:cs="Arial"/>
          <w:color w:val="000000"/>
          <w:lang w:val="es-ES_tradnl" w:eastAsia="es-ES_tradnl"/>
        </w:rPr>
        <w:t>P</w:t>
      </w:r>
      <w:r w:rsidRPr="005220DA">
        <w:rPr>
          <w:rFonts w:ascii="Arial" w:eastAsia="Calibri" w:hAnsi="Arial" w:cs="Arial"/>
          <w:color w:val="000000"/>
          <w:lang w:val="es-ES_tradnl" w:eastAsia="es-ES_tradnl"/>
        </w:rPr>
        <w:t xml:space="preserve">ara responder la consulta, se analizarán los siguientes temas: i) </w:t>
      </w:r>
      <w:r w:rsidR="00EE5923">
        <w:rPr>
          <w:rFonts w:ascii="Arial" w:eastAsia="Calibri" w:hAnsi="Arial" w:cs="Arial"/>
          <w:color w:val="000000"/>
          <w:lang w:val="es-ES_tradnl" w:eastAsia="es-ES_tradnl"/>
        </w:rPr>
        <w:t>m</w:t>
      </w:r>
      <w:r w:rsidR="00EE5923" w:rsidRPr="00EE5923">
        <w:rPr>
          <w:rFonts w:ascii="Arial" w:eastAsia="Calibri" w:hAnsi="Arial" w:cs="Arial"/>
          <w:color w:val="000000"/>
          <w:lang w:val="es-ES_tradnl" w:eastAsia="es-ES_tradnl"/>
        </w:rPr>
        <w:t>arco legal para la contratación de las actividades de ciencia, tecnología e innovación</w:t>
      </w:r>
      <w:r w:rsidR="007E57B2">
        <w:rPr>
          <w:rFonts w:ascii="Arial" w:eastAsia="Calibri" w:hAnsi="Arial" w:cs="Arial"/>
          <w:color w:val="000000"/>
          <w:lang w:val="es-ES_tradnl" w:eastAsia="es-ES_tradnl"/>
        </w:rPr>
        <w:t xml:space="preserve">, ii) </w:t>
      </w:r>
      <w:r w:rsidRPr="005220DA">
        <w:rPr>
          <w:rFonts w:ascii="Arial" w:eastAsia="Calibri" w:hAnsi="Arial" w:cs="Arial"/>
          <w:color w:val="000000"/>
          <w:lang w:val="es-ES_tradnl" w:eastAsia="es-ES_tradnl"/>
        </w:rPr>
        <w:t xml:space="preserve">alcance de las restricciones establecidas en la Ley 996 de 2005 –más conocida como «Ley de Garantías Electorales»–, </w:t>
      </w:r>
      <w:r w:rsidR="007E57B2">
        <w:rPr>
          <w:rFonts w:ascii="Arial" w:eastAsia="Calibri" w:hAnsi="Arial" w:cs="Arial"/>
          <w:color w:val="000000"/>
          <w:lang w:val="es-ES_tradnl" w:eastAsia="es-ES_tradnl"/>
        </w:rPr>
        <w:t>i</w:t>
      </w:r>
      <w:r w:rsidRPr="005220DA">
        <w:rPr>
          <w:rFonts w:ascii="Arial" w:eastAsia="Calibri" w:hAnsi="Arial" w:cs="Arial"/>
          <w:color w:val="000000"/>
          <w:lang w:val="es-ES_tradnl" w:eastAsia="es-ES_tradnl"/>
        </w:rPr>
        <w:t xml:space="preserve">ii) restricciones especiales aplicables de cara a las elecciones presidenciales, </w:t>
      </w:r>
      <w:r w:rsidRPr="005220DA">
        <w:rPr>
          <w:rFonts w:ascii="Arial" w:eastAsia="Times New Roman" w:hAnsi="Arial" w:cs="Arial"/>
          <w:lang w:val="es-ES_tradnl" w:eastAsia="es-CO"/>
        </w:rPr>
        <w:t xml:space="preserve">y </w:t>
      </w:r>
      <w:r w:rsidR="007E57B2">
        <w:rPr>
          <w:rFonts w:ascii="Arial" w:eastAsia="Times New Roman" w:hAnsi="Arial" w:cs="Arial"/>
          <w:lang w:val="es-ES_tradnl" w:eastAsia="es-CO"/>
        </w:rPr>
        <w:t>i</w:t>
      </w:r>
      <w:r w:rsidRPr="005220DA">
        <w:rPr>
          <w:rFonts w:ascii="Arial" w:eastAsia="Times New Roman" w:hAnsi="Arial" w:cs="Arial"/>
          <w:lang w:val="es-ES_tradnl" w:eastAsia="es-CO"/>
        </w:rPr>
        <w:t>v) aplicación de la «Ley de Garantías Electorales», a la contratación directa de actividades de ciencia, tecnología e innovación.</w:t>
      </w:r>
    </w:p>
    <w:p w14:paraId="69FFB8EA" w14:textId="77777777" w:rsidR="00465466" w:rsidRDefault="00885E41" w:rsidP="00FC5CC1">
      <w:pPr>
        <w:spacing w:before="120" w:after="0" w:line="276" w:lineRule="auto"/>
        <w:ind w:firstLine="709"/>
        <w:jc w:val="both"/>
        <w:rPr>
          <w:rFonts w:ascii="Arial" w:eastAsia="Calibri" w:hAnsi="Arial" w:cs="Arial"/>
          <w:color w:val="000000" w:themeColor="text1"/>
          <w:lang w:val="es-ES_tradnl" w:eastAsia="es-MX"/>
        </w:rPr>
      </w:pPr>
      <w:r w:rsidRPr="00310CD0">
        <w:rPr>
          <w:rFonts w:ascii="Arial" w:eastAsia="Calibri" w:hAnsi="Arial" w:cs="Arial"/>
          <w:color w:val="000000" w:themeColor="text1"/>
          <w:lang w:val="es-ES_tradnl" w:eastAsia="es-MX"/>
        </w:rPr>
        <w:t>La Agencia Nacional de Contratación Pública – Colombia Compra Eficiente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C-439 del 27 de agosto de 2021, C-456 del 3 de septiembre, C-481 del 9 de septiembre de 2021, C- 528 del 27 de septiembre de 2021, C-550 del 5 de octubre de 2021</w:t>
      </w:r>
      <w:r>
        <w:rPr>
          <w:rFonts w:ascii="Arial" w:eastAsia="Calibri" w:hAnsi="Arial" w:cs="Arial"/>
          <w:color w:val="000000" w:themeColor="text1"/>
          <w:lang w:val="es-ES_tradnl" w:eastAsia="es-MX"/>
        </w:rPr>
        <w:t xml:space="preserve">, </w:t>
      </w:r>
      <w:r w:rsidRPr="00310CD0">
        <w:rPr>
          <w:rFonts w:ascii="Arial" w:eastAsia="Calibri" w:hAnsi="Arial" w:cs="Arial"/>
          <w:color w:val="000000" w:themeColor="text1"/>
          <w:lang w:val="es-ES_tradnl" w:eastAsia="es-MX"/>
        </w:rPr>
        <w:t>C-523 del 10 de octubre de 2021, C-606 del 28 de octubre de 2021</w:t>
      </w:r>
      <w:r>
        <w:rPr>
          <w:rFonts w:ascii="Arial" w:eastAsia="Calibri" w:hAnsi="Arial" w:cs="Arial"/>
          <w:color w:val="000000" w:themeColor="text1"/>
          <w:lang w:val="es-ES_tradnl" w:eastAsia="es-MX"/>
        </w:rPr>
        <w:t xml:space="preserve">, </w:t>
      </w:r>
      <w:r w:rsidRPr="00310CD0">
        <w:rPr>
          <w:rFonts w:ascii="Arial" w:eastAsia="Calibri" w:hAnsi="Arial" w:cs="Arial"/>
          <w:color w:val="000000" w:themeColor="text1"/>
          <w:lang w:val="es-ES_tradnl" w:eastAsia="es-MX"/>
        </w:rPr>
        <w:t>C-614 del 2 de noviembre de 2021, C-636 del 16 de noviembre de 2021, 681 del 7 de diciembre de 2021</w:t>
      </w:r>
      <w:r>
        <w:rPr>
          <w:rFonts w:ascii="Arial" w:eastAsia="Calibri" w:hAnsi="Arial" w:cs="Arial"/>
          <w:color w:val="000000" w:themeColor="text1"/>
          <w:lang w:val="es-ES_tradnl" w:eastAsia="es-MX"/>
        </w:rPr>
        <w:t xml:space="preserve">, C-699 del 6 de enero de 2021, C-700 del 6 de enero de 2021, C-015 del 12 de enero de 2021, C-037 del 21 de enero de 2022, C-715 del 21 de enero de 2021, </w:t>
      </w:r>
      <w:r w:rsidRPr="00310CD0">
        <w:rPr>
          <w:rFonts w:ascii="Arial" w:eastAsia="Calibri" w:hAnsi="Arial" w:cs="Arial"/>
          <w:color w:val="000000" w:themeColor="text1"/>
          <w:lang w:val="es-ES_tradnl" w:eastAsia="es-MX"/>
        </w:rPr>
        <w:t>C-718 de 24 de enero de 202</w:t>
      </w:r>
      <w:r>
        <w:rPr>
          <w:rFonts w:ascii="Arial" w:eastAsia="Calibri" w:hAnsi="Arial" w:cs="Arial"/>
          <w:color w:val="000000" w:themeColor="text1"/>
          <w:lang w:val="es-ES_tradnl" w:eastAsia="es-MX"/>
        </w:rPr>
        <w:t xml:space="preserve">1, C-724 del 26 de enero de 2021, C-736 del 31 de enero de 2021, </w:t>
      </w:r>
      <w:r w:rsidR="00356675">
        <w:rPr>
          <w:rFonts w:ascii="Arial" w:eastAsia="Calibri" w:hAnsi="Arial" w:cs="Arial"/>
          <w:color w:val="000000" w:themeColor="text1"/>
          <w:lang w:val="es-ES_tradnl" w:eastAsia="es-MX"/>
        </w:rPr>
        <w:t xml:space="preserve">C-740 del 1 de febrero de 2021, C-743 del 1 de febrero de 2021, </w:t>
      </w:r>
      <w:r>
        <w:rPr>
          <w:rFonts w:ascii="Arial" w:eastAsia="Calibri" w:hAnsi="Arial" w:cs="Arial"/>
          <w:color w:val="000000" w:themeColor="text1"/>
          <w:lang w:val="es-ES_tradnl" w:eastAsia="es-MX"/>
        </w:rPr>
        <w:t xml:space="preserve">C-746 del 2 de febrero de 2021, C-005 del 16 de febrero de 2022, C-002 del 15 de febrero de 2022, C-009 del 15 de febrero de 2022, C-097 del 18 de febrero de 2022, </w:t>
      </w:r>
      <w:r w:rsidR="00086DE3">
        <w:rPr>
          <w:rFonts w:ascii="Arial" w:eastAsia="Calibri" w:hAnsi="Arial" w:cs="Arial"/>
          <w:color w:val="000000" w:themeColor="text1"/>
          <w:lang w:val="es-ES_tradnl" w:eastAsia="es-MX"/>
        </w:rPr>
        <w:t xml:space="preserve">C-116 del 18 de febrero de 2022, </w:t>
      </w:r>
      <w:r>
        <w:rPr>
          <w:rFonts w:ascii="Arial" w:eastAsia="Calibri" w:hAnsi="Arial" w:cs="Arial"/>
          <w:color w:val="000000" w:themeColor="text1"/>
          <w:lang w:val="es-ES_tradnl" w:eastAsia="es-MX"/>
        </w:rPr>
        <w:t xml:space="preserve">C-023 del 22 de febrero de 2022, C-008 del 24 de febrero de 2022, C-045 del 3 de marzo de 2022 y C-064 del 8 de marzo de 2022. </w:t>
      </w:r>
    </w:p>
    <w:p w14:paraId="52A134C0" w14:textId="62FFDABB" w:rsidR="00885E41" w:rsidRDefault="00885E41" w:rsidP="00465466">
      <w:pPr>
        <w:spacing w:before="120" w:after="0" w:line="276" w:lineRule="auto"/>
        <w:ind w:firstLine="709"/>
        <w:jc w:val="both"/>
        <w:rPr>
          <w:rFonts w:ascii="Arial" w:eastAsia="Calibri" w:hAnsi="Arial" w:cs="Arial"/>
          <w:szCs w:val="24"/>
          <w:lang w:val="es-ES_tradnl" w:eastAsia="es-ES_tradnl"/>
        </w:rPr>
      </w:pPr>
      <w:r w:rsidRPr="005220DA">
        <w:rPr>
          <w:rFonts w:ascii="Arial" w:eastAsia="Calibri" w:hAnsi="Arial" w:cs="Arial"/>
          <w:szCs w:val="24"/>
          <w:lang w:val="es-ES_tradnl" w:eastAsia="es-ES_tradnl"/>
        </w:rPr>
        <w:t xml:space="preserve">Igualmente, la Agencia analizó la modalidad de contratación de las actividades de ciencia, tecnología e innovación en los conceptos C-066 del 3 de marzo de 2020, C-084 del 11 de marzo de 2020, </w:t>
      </w:r>
      <w:r>
        <w:rPr>
          <w:rFonts w:ascii="Arial" w:eastAsia="Calibri" w:hAnsi="Arial" w:cs="Arial"/>
          <w:color w:val="000000" w:themeColor="text1"/>
          <w:lang w:val="es-ES_tradnl" w:eastAsia="es-MX"/>
        </w:rPr>
        <w:t>C</w:t>
      </w:r>
      <w:r w:rsidRPr="005220DA">
        <w:rPr>
          <w:rFonts w:ascii="Arial" w:eastAsia="Calibri" w:hAnsi="Arial" w:cs="Arial"/>
          <w:szCs w:val="24"/>
          <w:lang w:val="es-ES_tradnl" w:eastAsia="es-ES_tradnl"/>
        </w:rPr>
        <w:t xml:space="preserve">-236 del 6 de abril de 2020, C-036 del 2 de marzo de 2021, </w:t>
      </w:r>
      <w:r w:rsidR="0030554F">
        <w:rPr>
          <w:rFonts w:ascii="Arial" w:eastAsia="Calibri" w:hAnsi="Arial" w:cs="Arial"/>
          <w:szCs w:val="24"/>
          <w:lang w:val="es-ES_tradnl" w:eastAsia="es-ES_tradnl"/>
        </w:rPr>
        <w:t xml:space="preserve">C-346 del 30 de junio de 2021, C-456 del 3 de septiembre de 2021, C-481 del 9 de septiembre de 2021, </w:t>
      </w:r>
      <w:r w:rsidRPr="005220DA">
        <w:rPr>
          <w:rFonts w:ascii="Arial" w:eastAsia="Calibri" w:hAnsi="Arial" w:cs="Arial"/>
          <w:szCs w:val="24"/>
          <w:lang w:val="es-ES_tradnl" w:eastAsia="es-ES_tradnl"/>
        </w:rPr>
        <w:t>C-529 del 27 de septiembre de 2021, C-574 del 13 de octubre de 2021</w:t>
      </w:r>
      <w:r>
        <w:rPr>
          <w:rFonts w:ascii="Arial" w:eastAsia="Calibri" w:hAnsi="Arial" w:cs="Arial"/>
          <w:szCs w:val="24"/>
          <w:lang w:val="es-ES_tradnl" w:eastAsia="es-ES_tradnl"/>
        </w:rPr>
        <w:t xml:space="preserve">, </w:t>
      </w:r>
      <w:r w:rsidRPr="005220DA">
        <w:rPr>
          <w:rFonts w:ascii="Arial" w:eastAsia="Calibri" w:hAnsi="Arial" w:cs="Arial"/>
          <w:szCs w:val="24"/>
          <w:lang w:val="es-ES_tradnl" w:eastAsia="es-ES_tradnl"/>
        </w:rPr>
        <w:t>C-656 de 30 de noviembre de 2021</w:t>
      </w:r>
      <w:r w:rsidR="0030554F">
        <w:rPr>
          <w:rFonts w:ascii="Arial" w:eastAsia="Calibri" w:hAnsi="Arial" w:cs="Arial"/>
          <w:szCs w:val="24"/>
          <w:lang w:val="es-ES_tradnl" w:eastAsia="es-ES_tradnl"/>
        </w:rPr>
        <w:t xml:space="preserve"> y </w:t>
      </w:r>
      <w:r>
        <w:rPr>
          <w:rFonts w:ascii="Arial" w:eastAsia="Calibri" w:hAnsi="Arial" w:cs="Arial"/>
          <w:color w:val="000000" w:themeColor="text1"/>
          <w:lang w:val="es-ES_tradnl" w:eastAsia="es-MX"/>
        </w:rPr>
        <w:t>C-022 del 1 de febrero de 2022.</w:t>
      </w:r>
      <w:r w:rsidRPr="005220DA">
        <w:rPr>
          <w:rFonts w:ascii="Arial" w:eastAsia="Calibri" w:hAnsi="Arial" w:cs="Arial"/>
          <w:szCs w:val="24"/>
          <w:lang w:val="es-ES_tradnl" w:eastAsia="es-ES_tradnl"/>
        </w:rPr>
        <w:t xml:space="preserve"> Dichos conceptos serán reiterados y complementados, en lo pertinente.</w:t>
      </w:r>
    </w:p>
    <w:p w14:paraId="0C77355E" w14:textId="77777777" w:rsidR="00031F44" w:rsidRPr="005220DA" w:rsidRDefault="00031F44" w:rsidP="00757397">
      <w:pPr>
        <w:spacing w:before="120" w:after="0" w:line="240" w:lineRule="auto"/>
        <w:ind w:firstLine="709"/>
        <w:jc w:val="both"/>
        <w:rPr>
          <w:rFonts w:ascii="Arial" w:eastAsia="Calibri" w:hAnsi="Arial" w:cs="Arial"/>
          <w:szCs w:val="24"/>
          <w:lang w:val="es-ES_tradnl" w:eastAsia="es-ES_tradnl"/>
        </w:rPr>
      </w:pPr>
    </w:p>
    <w:p w14:paraId="312B6660" w14:textId="44D12966" w:rsidR="00031F44" w:rsidRPr="005220DA" w:rsidRDefault="00031F44" w:rsidP="00031F44">
      <w:pPr>
        <w:tabs>
          <w:tab w:val="left" w:pos="426"/>
        </w:tabs>
        <w:spacing w:after="0" w:line="276" w:lineRule="auto"/>
        <w:jc w:val="both"/>
        <w:rPr>
          <w:rFonts w:ascii="Arial" w:eastAsia="Calibri" w:hAnsi="Arial" w:cs="Arial"/>
          <w:b/>
          <w:color w:val="000000"/>
          <w:szCs w:val="24"/>
          <w:lang w:val="es-ES_tradnl" w:eastAsia="es-ES_tradnl"/>
        </w:rPr>
      </w:pPr>
      <w:r w:rsidRPr="005220DA">
        <w:rPr>
          <w:rFonts w:ascii="Arial" w:eastAsia="Calibri" w:hAnsi="Arial" w:cs="Arial"/>
          <w:b/>
          <w:color w:val="000000"/>
          <w:szCs w:val="24"/>
          <w:lang w:val="es-ES_tradnl" w:eastAsia="es-ES_tradnl"/>
        </w:rPr>
        <w:t>2.</w:t>
      </w:r>
      <w:r>
        <w:rPr>
          <w:rFonts w:ascii="Arial" w:eastAsia="Calibri" w:hAnsi="Arial" w:cs="Arial"/>
          <w:b/>
          <w:color w:val="000000"/>
          <w:szCs w:val="24"/>
          <w:lang w:val="es-ES_tradnl" w:eastAsia="es-ES_tradnl"/>
        </w:rPr>
        <w:t>1</w:t>
      </w:r>
      <w:r w:rsidRPr="005220DA">
        <w:rPr>
          <w:rFonts w:ascii="Arial" w:eastAsia="Calibri" w:hAnsi="Arial" w:cs="Arial"/>
          <w:b/>
          <w:color w:val="000000"/>
          <w:szCs w:val="24"/>
          <w:lang w:val="es-ES_tradnl" w:eastAsia="es-ES_tradnl"/>
        </w:rPr>
        <w:t xml:space="preserve">. </w:t>
      </w:r>
      <w:r w:rsidRPr="005220DA">
        <w:rPr>
          <w:rFonts w:ascii="Arial" w:eastAsia="Times New Roman" w:hAnsi="Arial" w:cs="Arial"/>
          <w:b/>
          <w:bCs/>
          <w:color w:val="000000"/>
          <w:szCs w:val="24"/>
          <w:lang w:val="es-ES_tradnl" w:eastAsia="es-ES_tradnl"/>
        </w:rPr>
        <w:t>Marco legal para la contratación de las actividades de ciencia, tecnología e innovación</w:t>
      </w:r>
    </w:p>
    <w:p w14:paraId="69034F22" w14:textId="77777777" w:rsidR="00031F44" w:rsidRPr="005220DA" w:rsidRDefault="00031F44" w:rsidP="00757397">
      <w:pPr>
        <w:tabs>
          <w:tab w:val="left" w:pos="426"/>
        </w:tabs>
        <w:spacing w:after="0" w:line="240" w:lineRule="auto"/>
        <w:jc w:val="both"/>
        <w:rPr>
          <w:rFonts w:ascii="Arial" w:eastAsia="Calibri" w:hAnsi="Arial" w:cs="Arial"/>
          <w:b/>
          <w:color w:val="000000"/>
          <w:szCs w:val="24"/>
          <w:lang w:val="es-ES_tradnl" w:eastAsia="es-ES_tradnl"/>
        </w:rPr>
      </w:pPr>
    </w:p>
    <w:p w14:paraId="3EFFB886" w14:textId="77777777" w:rsidR="00031F44" w:rsidRPr="005220DA" w:rsidRDefault="00031F44" w:rsidP="00031F44">
      <w:pPr>
        <w:spacing w:after="120" w:line="276" w:lineRule="auto"/>
        <w:jc w:val="both"/>
        <w:rPr>
          <w:rFonts w:ascii="Arial" w:eastAsia="Times New Roman" w:hAnsi="Arial" w:cs="Arial"/>
          <w:color w:val="000000"/>
          <w:szCs w:val="24"/>
          <w:lang w:val="es-ES_tradnl" w:eastAsia="es-ES_tradnl"/>
        </w:rPr>
      </w:pPr>
      <w:r w:rsidRPr="005220DA">
        <w:rPr>
          <w:rFonts w:ascii="Arial" w:eastAsia="Times New Roman" w:hAnsi="Arial" w:cs="Arial"/>
          <w:color w:val="000000"/>
          <w:szCs w:val="24"/>
          <w:lang w:val="es-ES_tradnl" w:eastAsia="es-ES_tradnl"/>
        </w:rPr>
        <w:t xml:space="preserve">Las actividades de ciencia, tecnología e innovación están previstas en cuatro cuerpos normativos: i) el Decreto Ley 393 de 1991, que prevé dos formas de asociación para que </w:t>
      </w:r>
      <w:r w:rsidRPr="005220DA">
        <w:rPr>
          <w:rFonts w:ascii="Arial" w:eastAsia="Times New Roman" w:hAnsi="Arial" w:cs="Arial"/>
          <w:color w:val="000000"/>
          <w:szCs w:val="24"/>
          <w:lang w:val="es-ES_tradnl" w:eastAsia="es-ES_tradnl"/>
        </w:rPr>
        <w:lastRenderedPageBreak/>
        <w:t>las entidades ejecuten actividades científicas y tecnológicas, proyectos de investigación y creación de tecnologías: a) crear personas jurídicas civiles, comerciales y sin ánimo de lucro y b) celebrar convenios especiales de cooperación; ii) el Decreto Ley 591 de 1991, que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a) contratos de financiamiento, b) contratos de administración de proyectos y c) convenios especiales de cooperación; iii) la Ley 1286 de 2009 y iv) el Documento CONPES 3582 de 2009, donde se define cuáles son estas actividades de los actores del Sistema Nacional de Ciencia, Tecnología e Innovación.</w:t>
      </w:r>
    </w:p>
    <w:p w14:paraId="7356B91B" w14:textId="77777777" w:rsidR="00031F44" w:rsidRPr="005220DA" w:rsidRDefault="00031F44" w:rsidP="00031F44">
      <w:pPr>
        <w:spacing w:after="120" w:line="276" w:lineRule="auto"/>
        <w:ind w:firstLine="708"/>
        <w:jc w:val="both"/>
        <w:rPr>
          <w:rFonts w:ascii="Arial" w:eastAsia="Times New Roman" w:hAnsi="Arial" w:cs="Arial"/>
          <w:color w:val="000000"/>
          <w:szCs w:val="24"/>
          <w:lang w:val="es-ES_tradnl" w:eastAsia="es-ES_tradnl"/>
        </w:rPr>
      </w:pPr>
      <w:r w:rsidRPr="005220DA">
        <w:rPr>
          <w:rFonts w:ascii="Arial" w:eastAsia="Times New Roman" w:hAnsi="Arial" w:cs="Arial"/>
          <w:color w:val="000000"/>
          <w:szCs w:val="24"/>
          <w:lang w:val="es-ES_tradnl" w:eastAsia="es-ES_tradnl"/>
        </w:rPr>
        <w:t>Así las cosas, para contratar las actividades de ciencia, tecnología e innovación las normas establecen tipos de contrato cuya aplicación depende de las características del objeto que se ejecutará. También es necesario tener en cuenta que la Ley 1150 de 2007, en el artículo 2, numeral 4, literal e), señala como causal de contratación directa «Los contratos para el desarrollo de actividades científicas y tecnológicas».</w:t>
      </w:r>
      <w:r w:rsidRPr="005220DA">
        <w:rPr>
          <w:rFonts w:ascii="Arial" w:eastAsia="Calibri" w:hAnsi="Arial" w:cs="Arial"/>
          <w:color w:val="000000"/>
          <w:szCs w:val="24"/>
          <w:lang w:val="es-ES_tradnl" w:eastAsia="es-ES_tradnl"/>
        </w:rPr>
        <w:t xml:space="preserve"> </w:t>
      </w:r>
    </w:p>
    <w:p w14:paraId="61082523" w14:textId="77777777" w:rsidR="00031F44" w:rsidRPr="005220DA" w:rsidRDefault="00031F44" w:rsidP="00031F44">
      <w:pPr>
        <w:spacing w:after="120" w:line="276" w:lineRule="auto"/>
        <w:ind w:firstLine="708"/>
        <w:jc w:val="both"/>
        <w:rPr>
          <w:rFonts w:ascii="Arial" w:eastAsia="Calibri" w:hAnsi="Arial" w:cs="Arial"/>
          <w:color w:val="000000"/>
          <w:szCs w:val="24"/>
          <w:lang w:val="es-ES_tradnl" w:eastAsia="es-ES_tradnl"/>
        </w:rPr>
      </w:pPr>
      <w:r w:rsidRPr="005220DA">
        <w:rPr>
          <w:rFonts w:ascii="Arial" w:eastAsia="Calibri" w:hAnsi="Arial" w:cs="Arial"/>
          <w:color w:val="000000"/>
          <w:szCs w:val="24"/>
          <w:lang w:val="es-ES_tradnl" w:eastAsia="es-ES_tradnl"/>
        </w:rPr>
        <w:t>Por su parte, la Agencia Nacional de Contratación Pública ‒ Colombia Compra Eficiente, teniendo en cuenta las normas mencionadas, expidió la Circular Externa Única, que además de derogar las Circulares Externas anteriores, en el numeral 13, señala la normativa de la contratación de actividades de ciencia, tecnología e innovación y dispone  algunas consideraciones sobre la supervisión e interventoría de dichos contratos, sin determinar de manera explícita que esta última pueda ser contratada acudiendo a alguna causal de contratación directa, pues la norma tampoco establece dicha posibilidad.</w:t>
      </w:r>
    </w:p>
    <w:p w14:paraId="108591F3" w14:textId="77777777" w:rsidR="00031F44" w:rsidRPr="005220DA" w:rsidRDefault="00031F44" w:rsidP="00031F44">
      <w:pPr>
        <w:spacing w:after="120" w:line="276" w:lineRule="auto"/>
        <w:ind w:firstLine="708"/>
        <w:jc w:val="both"/>
        <w:rPr>
          <w:rFonts w:ascii="Arial" w:eastAsia="Calibri" w:hAnsi="Arial" w:cs="Arial"/>
          <w:color w:val="000000"/>
          <w:szCs w:val="24"/>
          <w:lang w:val="es-ES_tradnl" w:eastAsia="es-ES_tradnl"/>
        </w:rPr>
      </w:pPr>
      <w:r w:rsidRPr="006C4ED7">
        <w:rPr>
          <w:rFonts w:ascii="Arial" w:eastAsia="Times New Roman" w:hAnsi="Arial" w:cs="Arial"/>
          <w:color w:val="000000"/>
          <w:szCs w:val="24"/>
          <w:lang w:val="es-ES_tradnl" w:eastAsia="es-ES_tradnl"/>
        </w:rPr>
        <w:t>De esta forma, las entidades, como responsables de estructurar sus procedimientos de selección, deben definir si el objeto a contratar es de aquellas actividades consideradas de ciencia, tecnología e innovación, y podrán aplicar la modalidad de selección de contratación directa para celebrar alguno de los tipos de contrato previstos en la ley, salvo que el contrato se rija por el derecho privado.</w:t>
      </w:r>
    </w:p>
    <w:p w14:paraId="6F3CCFC5" w14:textId="77777777" w:rsidR="00031F44" w:rsidRPr="005220DA" w:rsidRDefault="00031F44" w:rsidP="00031F44">
      <w:pPr>
        <w:spacing w:after="0" w:line="276" w:lineRule="auto"/>
        <w:ind w:firstLine="708"/>
        <w:jc w:val="both"/>
        <w:rPr>
          <w:rFonts w:ascii="Arial" w:eastAsia="Calibri" w:hAnsi="Arial" w:cs="Arial"/>
          <w:color w:val="000000"/>
          <w:szCs w:val="24"/>
          <w:lang w:val="es-ES_tradnl" w:eastAsia="es-ES_tradnl"/>
        </w:rPr>
      </w:pPr>
      <w:r w:rsidRPr="005220DA">
        <w:rPr>
          <w:rFonts w:ascii="Arial" w:eastAsia="Calibri" w:hAnsi="Arial" w:cs="Arial"/>
          <w:color w:val="000000"/>
          <w:szCs w:val="24"/>
          <w:lang w:val="es-ES_tradnl" w:eastAsia="es-ES_tradnl"/>
        </w:rPr>
        <w:t>En todo caso, se resalta, el régimen de las actividades de ciencia, tecnología e innovación se define a partir de las normas citadas; pero le corresponde al Ministerio de Ciencia, Tecnología e Innovación, como autoridad competente, catalogar las actividades cuando las entidades presenten dudas respecto de un objeto contractual que pretendan satisfacer</w:t>
      </w:r>
      <w:r w:rsidRPr="005220DA">
        <w:rPr>
          <w:rFonts w:ascii="Arial" w:eastAsia="Calibri" w:hAnsi="Arial" w:cs="Arial"/>
          <w:sz w:val="24"/>
          <w:szCs w:val="24"/>
          <w:vertAlign w:val="superscript"/>
          <w:lang w:eastAsia="es-ES_tradnl"/>
        </w:rPr>
        <w:footnoteReference w:id="1"/>
      </w:r>
      <w:r w:rsidRPr="005220DA">
        <w:rPr>
          <w:rFonts w:ascii="Arial" w:eastAsia="Calibri" w:hAnsi="Arial" w:cs="Arial"/>
          <w:color w:val="000000"/>
          <w:szCs w:val="24"/>
          <w:lang w:val="es-ES_tradnl" w:eastAsia="es-ES_tradnl"/>
        </w:rPr>
        <w:t xml:space="preserve">. De conformidad con lo indicado, a continuación se profundiza en algunos </w:t>
      </w:r>
      <w:r w:rsidRPr="005220DA">
        <w:rPr>
          <w:rFonts w:ascii="Arial" w:eastAsia="Calibri" w:hAnsi="Arial" w:cs="Arial"/>
          <w:color w:val="000000"/>
          <w:szCs w:val="24"/>
          <w:lang w:val="es-ES_tradnl" w:eastAsia="es-ES_tradnl"/>
        </w:rPr>
        <w:lastRenderedPageBreak/>
        <w:t xml:space="preserve">aspectos relacionados con el régimen derivado de los Decretos Leyes 393 de 1991 y 591 de 1991. </w:t>
      </w:r>
    </w:p>
    <w:p w14:paraId="0AFBB720" w14:textId="77777777" w:rsidR="00031F44" w:rsidRPr="005220DA" w:rsidRDefault="00031F44" w:rsidP="00031F44">
      <w:pPr>
        <w:spacing w:after="0" w:line="276" w:lineRule="auto"/>
        <w:jc w:val="both"/>
        <w:rPr>
          <w:rFonts w:ascii="Arial" w:eastAsia="Calibri" w:hAnsi="Arial" w:cs="Arial"/>
          <w:b/>
          <w:bCs/>
          <w:color w:val="000000"/>
          <w:szCs w:val="24"/>
          <w:lang w:val="es-ES_tradnl" w:eastAsia="es-ES_tradnl"/>
        </w:rPr>
      </w:pPr>
    </w:p>
    <w:p w14:paraId="75ACF228" w14:textId="77777777" w:rsidR="00031F44" w:rsidRPr="005220DA" w:rsidRDefault="00031F44" w:rsidP="00031F44">
      <w:pPr>
        <w:spacing w:after="0" w:line="276" w:lineRule="auto"/>
        <w:jc w:val="both"/>
        <w:rPr>
          <w:rFonts w:ascii="Arial" w:eastAsia="Calibri" w:hAnsi="Arial" w:cs="Arial"/>
          <w:b/>
          <w:bCs/>
          <w:color w:val="000000"/>
          <w:szCs w:val="24"/>
          <w:lang w:val="es-ES_tradnl" w:eastAsia="es-ES_tradnl"/>
        </w:rPr>
      </w:pPr>
      <w:r w:rsidRPr="005220DA">
        <w:rPr>
          <w:rFonts w:ascii="Arial" w:eastAsia="Calibri" w:hAnsi="Arial" w:cs="Arial"/>
          <w:b/>
          <w:bCs/>
          <w:color w:val="000000"/>
          <w:szCs w:val="24"/>
          <w:lang w:val="es-ES_tradnl" w:eastAsia="es-ES_tradnl"/>
        </w:rPr>
        <w:t>a) Decreto Ley 393 de 1991</w:t>
      </w:r>
    </w:p>
    <w:p w14:paraId="06D2D6D4" w14:textId="77777777" w:rsidR="00031F44" w:rsidRPr="005220DA" w:rsidRDefault="00031F44" w:rsidP="00031F44">
      <w:pPr>
        <w:spacing w:after="0" w:line="276" w:lineRule="auto"/>
        <w:jc w:val="both"/>
        <w:rPr>
          <w:rFonts w:ascii="Arial" w:eastAsia="Calibri" w:hAnsi="Arial" w:cs="Arial"/>
          <w:b/>
          <w:bCs/>
          <w:color w:val="000000"/>
          <w:sz w:val="16"/>
          <w:szCs w:val="16"/>
          <w:lang w:val="es-ES_tradnl" w:eastAsia="es-ES_tradnl"/>
        </w:rPr>
      </w:pPr>
    </w:p>
    <w:p w14:paraId="618844E0" w14:textId="77777777" w:rsidR="00031F44" w:rsidRPr="005220DA" w:rsidRDefault="00031F44" w:rsidP="00031F44">
      <w:pPr>
        <w:spacing w:after="0" w:line="276" w:lineRule="auto"/>
        <w:jc w:val="both"/>
        <w:rPr>
          <w:rFonts w:ascii="Arial" w:eastAsia="Calibri" w:hAnsi="Arial" w:cs="Arial"/>
          <w:color w:val="000000"/>
          <w:szCs w:val="24"/>
          <w:lang w:val="es-ES_tradnl" w:eastAsia="es-ES_tradnl"/>
        </w:rPr>
      </w:pPr>
      <w:r w:rsidRPr="005220DA">
        <w:rPr>
          <w:rFonts w:ascii="Arial" w:eastAsia="Calibri" w:hAnsi="Arial" w:cs="Arial"/>
          <w:color w:val="000000"/>
          <w:szCs w:val="24"/>
          <w:lang w:val="es-ES_tradnl" w:eastAsia="es-ES_tradnl"/>
        </w:rPr>
        <w:t>Este decreto establece dos formas de asociación para que las entidades ejecuten actividades científicas y tecnológicas, proyectos de investigación y creación de tecnologías: i) crear personas jurídicas civiles, comerciales y sin ánimo de lucro y ii) celebrar convenios especiales de cooperación. Por ende, se explicará cada una, haciendo énfasis en el régimen jurídico aplicable a la contratación.</w:t>
      </w:r>
    </w:p>
    <w:p w14:paraId="43C7389D" w14:textId="77777777" w:rsidR="00031F44" w:rsidRPr="005220DA" w:rsidRDefault="00031F44" w:rsidP="00031F44">
      <w:pPr>
        <w:spacing w:after="0" w:line="276" w:lineRule="auto"/>
        <w:jc w:val="both"/>
        <w:rPr>
          <w:rFonts w:ascii="Arial" w:eastAsia="Calibri" w:hAnsi="Arial" w:cs="Arial"/>
          <w:color w:val="000000"/>
          <w:sz w:val="16"/>
          <w:szCs w:val="16"/>
          <w:lang w:val="es-ES_tradnl" w:eastAsia="es-ES_tradnl"/>
        </w:rPr>
      </w:pPr>
    </w:p>
    <w:p w14:paraId="4CD3C6CF" w14:textId="77777777" w:rsidR="00031F44" w:rsidRPr="005220DA" w:rsidRDefault="00031F44" w:rsidP="00031F44">
      <w:pPr>
        <w:spacing w:after="0" w:line="276" w:lineRule="auto"/>
        <w:jc w:val="both"/>
        <w:rPr>
          <w:rFonts w:ascii="Arial" w:eastAsia="Calibri" w:hAnsi="Arial" w:cs="Arial"/>
          <w:b/>
          <w:bCs/>
          <w:color w:val="000000"/>
          <w:szCs w:val="24"/>
          <w:lang w:val="es-ES_tradnl" w:eastAsia="es-ES_tradnl"/>
        </w:rPr>
      </w:pPr>
      <w:r w:rsidRPr="005220DA">
        <w:rPr>
          <w:rFonts w:ascii="Arial" w:eastAsia="Calibri" w:hAnsi="Arial" w:cs="Arial"/>
          <w:b/>
          <w:bCs/>
          <w:color w:val="000000"/>
          <w:szCs w:val="24"/>
          <w:lang w:val="es-ES_tradnl" w:eastAsia="es-ES_tradnl"/>
        </w:rPr>
        <w:t>i) Creación de personas jurídicas</w:t>
      </w:r>
    </w:p>
    <w:p w14:paraId="737EE2FD" w14:textId="77777777" w:rsidR="00031F44" w:rsidRPr="005220DA" w:rsidRDefault="00031F44" w:rsidP="00031F44">
      <w:pPr>
        <w:spacing w:after="0" w:line="276" w:lineRule="auto"/>
        <w:jc w:val="both"/>
        <w:rPr>
          <w:rFonts w:ascii="Arial" w:eastAsia="Calibri" w:hAnsi="Arial" w:cs="Arial"/>
          <w:b/>
          <w:bCs/>
          <w:color w:val="000000"/>
          <w:szCs w:val="24"/>
          <w:lang w:val="es-ES_tradnl" w:eastAsia="es-ES_tradnl"/>
        </w:rPr>
      </w:pPr>
    </w:p>
    <w:p w14:paraId="65D70469" w14:textId="77777777" w:rsidR="00031F44" w:rsidRPr="005220DA" w:rsidRDefault="00031F44" w:rsidP="00031F44">
      <w:pPr>
        <w:spacing w:after="120" w:line="276" w:lineRule="auto"/>
        <w:jc w:val="both"/>
        <w:rPr>
          <w:rFonts w:ascii="Arial" w:eastAsia="Calibri" w:hAnsi="Arial" w:cs="Arial"/>
          <w:color w:val="000000"/>
          <w:szCs w:val="24"/>
          <w:lang w:val="es-ES_tradnl" w:eastAsia="es-ES_tradnl"/>
        </w:rPr>
      </w:pPr>
      <w:r w:rsidRPr="005220DA">
        <w:rPr>
          <w:rFonts w:ascii="Arial" w:eastAsia="Calibri" w:hAnsi="Arial" w:cs="Arial"/>
          <w:color w:val="000000"/>
          <w:szCs w:val="24"/>
          <w:lang w:val="es-ES_tradnl" w:eastAsia="es-ES_tradnl"/>
        </w:rPr>
        <w:t>Esta forma de asociación está prevista para la nación y sus entidades descentralizadas, con particulares o con otras entidades estatales, por lo que entre estos sujetos se pueden crear sociedades civiles, comerciales y entidades sin ánimo de lucro como corporaciones y fundaciones. El objeto de estas personas jurídicas podrá ser cualquiera de los señalados en el artículo 2 del Decreto 393 de 1991, los cuales se refieren a actividades y proyectos relacionados con la ciencia, tecnología e innovación</w:t>
      </w:r>
      <w:r w:rsidRPr="005220DA">
        <w:rPr>
          <w:rFonts w:ascii="Arial" w:eastAsia="Calibri" w:hAnsi="Arial" w:cs="Arial"/>
          <w:sz w:val="24"/>
          <w:szCs w:val="24"/>
          <w:vertAlign w:val="superscript"/>
          <w:lang w:eastAsia="es-ES_tradnl"/>
        </w:rPr>
        <w:footnoteReference w:id="2"/>
      </w:r>
      <w:r w:rsidRPr="005220DA">
        <w:rPr>
          <w:rFonts w:ascii="Arial" w:eastAsia="Calibri" w:hAnsi="Arial" w:cs="Arial"/>
          <w:color w:val="000000"/>
          <w:szCs w:val="24"/>
          <w:lang w:val="es-ES_tradnl" w:eastAsia="es-ES_tradnl"/>
        </w:rPr>
        <w:t xml:space="preserve">; y respecto de los aportes que hacen </w:t>
      </w:r>
      <w:r w:rsidRPr="005220DA">
        <w:rPr>
          <w:rFonts w:ascii="Arial" w:eastAsia="Calibri" w:hAnsi="Arial" w:cs="Arial"/>
          <w:color w:val="000000"/>
          <w:szCs w:val="24"/>
          <w:lang w:val="es-ES_tradnl" w:eastAsia="es-ES_tradnl"/>
        </w:rPr>
        <w:lastRenderedPageBreak/>
        <w:t>las partes a la persona jurídica, la norma autoriza que sean en dinero, especie o industria, definidos en el artículo 3.</w:t>
      </w:r>
    </w:p>
    <w:p w14:paraId="04D11DC5" w14:textId="77777777" w:rsidR="00031F44" w:rsidRPr="005220DA" w:rsidRDefault="00031F44" w:rsidP="00031F44">
      <w:pPr>
        <w:spacing w:before="120" w:after="120" w:line="276" w:lineRule="auto"/>
        <w:jc w:val="both"/>
        <w:rPr>
          <w:rFonts w:ascii="Arial" w:eastAsia="Calibri" w:hAnsi="Arial" w:cs="Arial"/>
          <w:color w:val="000000"/>
          <w:szCs w:val="24"/>
          <w:lang w:val="es-ES_tradnl" w:eastAsia="es-ES_tradnl"/>
        </w:rPr>
      </w:pPr>
      <w:r w:rsidRPr="005220DA">
        <w:rPr>
          <w:rFonts w:ascii="Arial" w:eastAsia="Calibri" w:hAnsi="Arial" w:cs="Arial"/>
          <w:color w:val="000000"/>
          <w:szCs w:val="24"/>
          <w:lang w:val="es-ES_tradnl" w:eastAsia="es-ES_tradnl"/>
        </w:rPr>
        <w:tab/>
        <w:t>A su vez, el Decreto en comento señala otra opción para que la nación y sus entidades descentralizadas se asocien para ejecutar las actividades mencionadas. Es decir, no solo es posible crear una sociedad, sino que pueden participar en una persona jurídica creada, lo cual se realiza mediante la compra de acciones, cuotas o partes de interés, con la condición de que el objeto de la persona corresponda con los propósitos señalados en el artículo 2 citado. La participación de las entidades públicas y de los particulares en esas personas jurídicas ‒creadas o existentes‒, es susceptible de ofrecerse y ser adquirida por otras personas públicas o privadas, sin ninguna restricción.</w:t>
      </w:r>
    </w:p>
    <w:p w14:paraId="656FB813" w14:textId="77777777" w:rsidR="00031F44" w:rsidRPr="005220DA" w:rsidRDefault="00031F44" w:rsidP="00031F44">
      <w:pPr>
        <w:spacing w:after="0" w:line="276" w:lineRule="auto"/>
        <w:jc w:val="both"/>
        <w:rPr>
          <w:rFonts w:ascii="Arial" w:eastAsia="Calibri" w:hAnsi="Arial" w:cs="Arial"/>
          <w:color w:val="000000"/>
          <w:szCs w:val="24"/>
          <w:lang w:val="es-ES_tradnl" w:eastAsia="es-ES_tradnl"/>
        </w:rPr>
      </w:pPr>
      <w:r w:rsidRPr="005220DA">
        <w:rPr>
          <w:rFonts w:ascii="Arial" w:eastAsia="Calibri" w:hAnsi="Arial" w:cs="Arial"/>
          <w:color w:val="000000"/>
          <w:szCs w:val="24"/>
          <w:lang w:val="es-ES_tradnl" w:eastAsia="es-ES_tradnl"/>
        </w:rPr>
        <w:tab/>
        <w:t>Sobre el régimen jurídico de las personas que se crean mediante la asociación de la nación y sus entidades descentralizadas con particulares o entidades estatales, el Decreto 393 de 1991, en el artículo 5, señala que es el derecho privado. Finalmente, la Corte Constitucional estudió la exequibilidad de la posibilidad que prevé el decreto de crear sociedades con aportes estatales, ya que el demandante encontraba una contradicción con el artículo 355 de la Constitución Política, que prohíbe los auxilios y donaciones de entidades en favor particulares, pero la corporación concluyó que el fomento de las actividades de ciencia, tecnología e innovación es una responsabilidad que tiene el Estado por mandato constitucional frente a la cual no es aplicable la restricción contenida en el artículo mencionado</w:t>
      </w:r>
      <w:r w:rsidRPr="005220DA">
        <w:rPr>
          <w:rFonts w:ascii="Arial" w:eastAsia="Calibri" w:hAnsi="Arial" w:cs="Arial"/>
          <w:sz w:val="24"/>
          <w:szCs w:val="24"/>
          <w:vertAlign w:val="superscript"/>
          <w:lang w:eastAsia="es-ES_tradnl"/>
        </w:rPr>
        <w:footnoteReference w:id="3"/>
      </w:r>
      <w:r w:rsidRPr="005220DA">
        <w:rPr>
          <w:rFonts w:ascii="Arial" w:eastAsia="Calibri" w:hAnsi="Arial" w:cs="Arial"/>
          <w:color w:val="000000"/>
          <w:szCs w:val="24"/>
          <w:lang w:val="es-ES_tradnl" w:eastAsia="es-ES_tradnl"/>
        </w:rPr>
        <w:t>.</w:t>
      </w:r>
    </w:p>
    <w:p w14:paraId="09F5A2DF" w14:textId="77777777" w:rsidR="00031F44" w:rsidRPr="005220DA" w:rsidRDefault="00031F44" w:rsidP="00031F44">
      <w:pPr>
        <w:spacing w:after="0" w:line="276" w:lineRule="auto"/>
        <w:jc w:val="both"/>
        <w:rPr>
          <w:rFonts w:ascii="Arial" w:eastAsia="Calibri" w:hAnsi="Arial" w:cs="Arial"/>
          <w:b/>
          <w:bCs/>
          <w:color w:val="000000"/>
          <w:szCs w:val="24"/>
          <w:lang w:val="es-ES_tradnl" w:eastAsia="es-ES_tradnl"/>
        </w:rPr>
      </w:pPr>
    </w:p>
    <w:p w14:paraId="2F76030E" w14:textId="77777777" w:rsidR="00031F44" w:rsidRPr="005220DA" w:rsidRDefault="00031F44" w:rsidP="00031F44">
      <w:pPr>
        <w:spacing w:after="0" w:line="276" w:lineRule="auto"/>
        <w:jc w:val="both"/>
        <w:rPr>
          <w:rFonts w:ascii="Arial" w:eastAsia="Calibri" w:hAnsi="Arial" w:cs="Arial"/>
          <w:b/>
          <w:bCs/>
          <w:color w:val="000000"/>
          <w:szCs w:val="24"/>
          <w:lang w:val="es-ES_tradnl" w:eastAsia="es-ES_tradnl"/>
        </w:rPr>
      </w:pPr>
      <w:r w:rsidRPr="005220DA">
        <w:rPr>
          <w:rFonts w:ascii="Arial" w:eastAsia="Calibri" w:hAnsi="Arial" w:cs="Arial"/>
          <w:b/>
          <w:bCs/>
          <w:color w:val="000000"/>
          <w:szCs w:val="24"/>
          <w:lang w:val="es-ES_tradnl" w:eastAsia="es-ES_tradnl"/>
        </w:rPr>
        <w:t>ii) Convenio especial de cooperación</w:t>
      </w:r>
    </w:p>
    <w:p w14:paraId="5D5FF2D8" w14:textId="77777777" w:rsidR="00031F44" w:rsidRPr="005220DA" w:rsidRDefault="00031F44" w:rsidP="00031F44">
      <w:pPr>
        <w:spacing w:after="0" w:line="276" w:lineRule="auto"/>
        <w:jc w:val="both"/>
        <w:rPr>
          <w:rFonts w:ascii="Arial" w:eastAsia="Calibri" w:hAnsi="Arial" w:cs="Arial"/>
          <w:b/>
          <w:bCs/>
          <w:color w:val="000000"/>
          <w:szCs w:val="24"/>
          <w:lang w:val="es-ES_tradnl" w:eastAsia="es-ES_tradnl"/>
        </w:rPr>
      </w:pPr>
    </w:p>
    <w:p w14:paraId="44F4429A" w14:textId="77777777" w:rsidR="00031F44" w:rsidRPr="005220DA" w:rsidRDefault="00031F44" w:rsidP="00031F44">
      <w:pPr>
        <w:spacing w:after="120" w:line="276" w:lineRule="auto"/>
        <w:jc w:val="both"/>
        <w:rPr>
          <w:rFonts w:ascii="Arial" w:eastAsia="Calibri" w:hAnsi="Arial" w:cs="Arial"/>
          <w:color w:val="000000"/>
          <w:szCs w:val="24"/>
          <w:lang w:val="es-ES_tradnl" w:eastAsia="es-ES_tradnl"/>
        </w:rPr>
      </w:pPr>
      <w:r w:rsidRPr="005220DA">
        <w:rPr>
          <w:rFonts w:ascii="Arial" w:eastAsia="Calibri" w:hAnsi="Arial" w:cs="Arial"/>
          <w:color w:val="000000"/>
          <w:szCs w:val="24"/>
          <w:lang w:val="es-ES_tradnl" w:eastAsia="es-ES_tradnl"/>
        </w:rPr>
        <w:t xml:space="preserve">De acuerdo con lo anterior, este convenio se diferencia de la creación de personas jurídicas, teniendo en cuenta que el Decreto los presenta como dos formas de asociación diferentes, y porque la celebración del convenio especial de cooperación no da origen a una persona jurídica cuya existencia se debe señalar en la ley que, como se verá, no lo previó así. Por ende, es un tipo de contrato que puede celebrar la </w:t>
      </w:r>
      <w:r>
        <w:rPr>
          <w:rFonts w:ascii="Arial" w:eastAsia="Calibri" w:hAnsi="Arial" w:cs="Arial"/>
          <w:color w:val="000000"/>
          <w:szCs w:val="24"/>
          <w:lang w:val="es-ES_tradnl" w:eastAsia="es-ES_tradnl"/>
        </w:rPr>
        <w:t>N</w:t>
      </w:r>
      <w:r w:rsidRPr="005220DA">
        <w:rPr>
          <w:rFonts w:ascii="Arial" w:eastAsia="Calibri" w:hAnsi="Arial" w:cs="Arial"/>
          <w:color w:val="000000"/>
          <w:szCs w:val="24"/>
          <w:lang w:val="es-ES_tradnl" w:eastAsia="es-ES_tradnl"/>
        </w:rPr>
        <w:t xml:space="preserve">ación y sus entidades descentralizadas, con particulares y otras entidades estatales, cuyos aportes pueden ser diferentes para cumplir los propósitos del artículo 2 citado. En ese sentido, este convenio y la creación de </w:t>
      </w:r>
      <w:r w:rsidRPr="005220DA">
        <w:rPr>
          <w:rFonts w:ascii="Arial" w:eastAsia="Calibri" w:hAnsi="Arial" w:cs="Arial"/>
          <w:color w:val="000000"/>
          <w:szCs w:val="24"/>
          <w:lang w:val="es-ES_tradnl" w:eastAsia="es-ES_tradnl"/>
        </w:rPr>
        <w:lastRenderedPageBreak/>
        <w:t>personas jurídicas tienen en común los objetos que la norma señala para que las entidades cumplan su función de fomentar las actividades de ciencia, tecnología e innovación.</w:t>
      </w:r>
    </w:p>
    <w:p w14:paraId="69ABEAA1" w14:textId="77777777" w:rsidR="00031F44" w:rsidRPr="005220DA" w:rsidRDefault="00031F44" w:rsidP="00031F44">
      <w:pPr>
        <w:spacing w:before="120" w:after="120" w:line="276" w:lineRule="auto"/>
        <w:jc w:val="both"/>
        <w:rPr>
          <w:rFonts w:ascii="Arial" w:eastAsia="Calibri" w:hAnsi="Arial" w:cs="Arial"/>
          <w:color w:val="000000"/>
          <w:szCs w:val="24"/>
          <w:lang w:val="es-ES_tradnl" w:eastAsia="es-ES_tradnl"/>
        </w:rPr>
      </w:pPr>
      <w:r w:rsidRPr="005220DA">
        <w:rPr>
          <w:rFonts w:ascii="Arial" w:eastAsia="Calibri" w:hAnsi="Arial" w:cs="Arial"/>
          <w:color w:val="000000"/>
          <w:szCs w:val="24"/>
          <w:lang w:val="es-ES_tradnl" w:eastAsia="es-ES_tradnl"/>
        </w:rPr>
        <w:tab/>
        <w:t>Las reglas para la celebración de este convenio están enlistadas en los artículos 7 y 8 del Decreto 393 de 1991: i) inexistencia de solidaridad entre sus partes, ii) regular la propiedad y los derechos sobre los resultados del convenio, iii) definir las obligaciones de las partes, iv) determinar la forma de administración de los aportes, v) el régimen jurídico es el derecho privado, vi) debe ser escrito, vii) señalar el objeto y el plazo e viii) incluir cláusulas de cesión y terminación.</w:t>
      </w:r>
    </w:p>
    <w:p w14:paraId="035516C8" w14:textId="77777777" w:rsidR="00031F44" w:rsidRPr="005220DA" w:rsidRDefault="00031F44" w:rsidP="00031F44">
      <w:pPr>
        <w:spacing w:before="120" w:after="0" w:line="276" w:lineRule="auto"/>
        <w:jc w:val="both"/>
        <w:rPr>
          <w:rFonts w:ascii="Arial" w:eastAsia="Calibri" w:hAnsi="Arial" w:cs="Arial"/>
          <w:color w:val="000000"/>
          <w:szCs w:val="24"/>
          <w:lang w:val="es-ES_tradnl" w:eastAsia="es-ES_tradnl"/>
        </w:rPr>
      </w:pPr>
      <w:r w:rsidRPr="005220DA">
        <w:rPr>
          <w:rFonts w:ascii="Arial" w:eastAsia="Calibri" w:hAnsi="Arial" w:cs="Arial"/>
          <w:color w:val="000000"/>
          <w:szCs w:val="24"/>
          <w:lang w:val="es-ES_tradnl" w:eastAsia="es-ES_tradnl"/>
        </w:rPr>
        <w:tab/>
        <w:t>De igual forma,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 11) como el decreto del cual hacen parte las normas acusadas, y sometidos al régimen del derecho privado»</w:t>
      </w:r>
      <w:r w:rsidRPr="005220DA">
        <w:rPr>
          <w:rFonts w:ascii="Arial" w:eastAsia="Calibri" w:hAnsi="Arial" w:cs="Arial"/>
          <w:sz w:val="24"/>
          <w:szCs w:val="24"/>
          <w:vertAlign w:val="superscript"/>
          <w:lang w:eastAsia="es-ES_tradnl"/>
        </w:rPr>
        <w:footnoteReference w:id="4"/>
      </w:r>
      <w:r w:rsidRPr="005220DA">
        <w:rPr>
          <w:rFonts w:ascii="Arial" w:eastAsia="Calibri" w:hAnsi="Arial" w:cs="Arial"/>
          <w:color w:val="000000"/>
          <w:szCs w:val="24"/>
          <w:lang w:val="es-ES_tradnl" w:eastAsia="es-ES_tradnl"/>
        </w:rPr>
        <w:t xml:space="preserve"> (La norma señalada en esta cita es del año 1990). Además, esa Corporación revisó la constitucionalidad del artículo 6 del Decreto 393 de 1991, que define el convenio especial de cooperación, puesto que el actor consideraba que se violaba la competencia del Congreso para expedir el Estatuto General de Contratación de la Administración Pública:</w:t>
      </w:r>
    </w:p>
    <w:p w14:paraId="7257A688" w14:textId="77777777" w:rsidR="00031F44" w:rsidRPr="005220DA" w:rsidRDefault="00031F44" w:rsidP="00031F44">
      <w:pPr>
        <w:spacing w:after="0" w:line="276" w:lineRule="auto"/>
        <w:jc w:val="both"/>
        <w:rPr>
          <w:rFonts w:ascii="Arial" w:eastAsia="Calibri" w:hAnsi="Arial" w:cs="Arial"/>
          <w:color w:val="000000"/>
          <w:szCs w:val="24"/>
          <w:lang w:val="es-ES_tradnl" w:eastAsia="es-ES_tradnl"/>
        </w:rPr>
      </w:pPr>
    </w:p>
    <w:p w14:paraId="279CB23C" w14:textId="77777777" w:rsidR="00031F44" w:rsidRPr="005220DA" w:rsidRDefault="00031F44" w:rsidP="00031F44">
      <w:pPr>
        <w:spacing w:after="0" w:line="240" w:lineRule="auto"/>
        <w:ind w:left="709" w:right="709"/>
        <w:jc w:val="both"/>
        <w:rPr>
          <w:rFonts w:ascii="Arial" w:eastAsia="Calibri" w:hAnsi="Arial" w:cs="Arial"/>
          <w:color w:val="000000"/>
          <w:sz w:val="21"/>
          <w:szCs w:val="21"/>
          <w:lang w:val="es-ES_tradnl" w:eastAsia="es-ES_tradnl"/>
        </w:rPr>
      </w:pPr>
      <w:r w:rsidRPr="005220DA">
        <w:rPr>
          <w:rFonts w:ascii="Arial" w:eastAsia="Calibri" w:hAnsi="Arial" w:cs="Arial"/>
          <w:color w:val="000000"/>
          <w:sz w:val="21"/>
          <w:szCs w:val="21"/>
          <w:lang w:val="es-ES_tradnl" w:eastAsia="es-ES_tradnl"/>
        </w:rPr>
        <w:t>El inciso final del art. 150 de la Constitución si bien faculta al Congreso para "expedir el estatuto general de la contratación pública y en especial de la administración nacional", no alude a un estatuto único; pero además el decreto 393 no constituye propiamente un estatuto de contratación. Simplemente prevé entre los mecanismos de asociación para el fomento de la investigación uno especial consistente en la celebración de convenios de cooperación; de ahí la razón por la cual la ley 80 de 1993 no se ocupó de derogar tal reglamentación</w:t>
      </w:r>
      <w:r w:rsidRPr="005220DA">
        <w:rPr>
          <w:rFonts w:ascii="Arial" w:eastAsia="Calibri" w:hAnsi="Arial" w:cs="Arial"/>
          <w:sz w:val="24"/>
          <w:szCs w:val="24"/>
          <w:vertAlign w:val="superscript"/>
          <w:lang w:eastAsia="es-ES_tradnl"/>
        </w:rPr>
        <w:footnoteReference w:id="5"/>
      </w:r>
      <w:r w:rsidRPr="005220DA">
        <w:rPr>
          <w:rFonts w:ascii="Arial" w:eastAsia="Calibri" w:hAnsi="Arial" w:cs="Arial"/>
          <w:color w:val="000000"/>
          <w:sz w:val="21"/>
          <w:szCs w:val="21"/>
          <w:lang w:val="es-ES_tradnl" w:eastAsia="es-ES_tradnl"/>
        </w:rPr>
        <w:t>.</w:t>
      </w:r>
    </w:p>
    <w:p w14:paraId="416E77E5" w14:textId="77777777" w:rsidR="00031F44" w:rsidRPr="005220DA" w:rsidRDefault="00031F44" w:rsidP="00031F44">
      <w:pPr>
        <w:spacing w:after="0" w:line="276" w:lineRule="auto"/>
        <w:ind w:right="709"/>
        <w:jc w:val="both"/>
        <w:rPr>
          <w:rFonts w:ascii="Arial" w:eastAsia="Calibri" w:hAnsi="Arial" w:cs="Arial"/>
          <w:color w:val="000000"/>
          <w:sz w:val="21"/>
          <w:szCs w:val="21"/>
          <w:lang w:val="es-ES_tradnl" w:eastAsia="es-ES_tradnl"/>
        </w:rPr>
      </w:pPr>
    </w:p>
    <w:p w14:paraId="45FA6CB3" w14:textId="77777777" w:rsidR="00031F44" w:rsidRPr="005220DA" w:rsidRDefault="00031F44" w:rsidP="00031F44">
      <w:pPr>
        <w:spacing w:after="0" w:line="276" w:lineRule="auto"/>
        <w:jc w:val="both"/>
        <w:rPr>
          <w:rFonts w:ascii="Arial" w:eastAsia="Calibri" w:hAnsi="Arial" w:cs="Arial"/>
          <w:color w:val="000000"/>
          <w:szCs w:val="24"/>
          <w:lang w:val="es-ES_tradnl" w:eastAsia="es-ES_tradnl"/>
        </w:rPr>
      </w:pPr>
      <w:r w:rsidRPr="005220DA">
        <w:rPr>
          <w:rFonts w:ascii="Arial" w:eastAsia="Calibri" w:hAnsi="Arial" w:cs="Arial"/>
          <w:color w:val="000000"/>
          <w:sz w:val="21"/>
          <w:szCs w:val="21"/>
          <w:lang w:val="es-ES_tradnl" w:eastAsia="es-ES_tradnl"/>
        </w:rPr>
        <w:tab/>
      </w:r>
      <w:r w:rsidRPr="005220DA">
        <w:rPr>
          <w:rFonts w:ascii="Arial" w:eastAsia="Calibri" w:hAnsi="Arial" w:cs="Arial"/>
          <w:color w:val="000000"/>
          <w:szCs w:val="24"/>
          <w:lang w:val="es-ES_tradnl" w:eastAsia="es-ES_tradnl"/>
        </w:rPr>
        <w:t>Así las cosas, es claro que se trata de un régimen excepcional a la aplicación de la Ley 80 de 1993, el cual tiene origen en la especialidad de la materia, debido a que la Constitución Política otorga un carácter especial a las actividades de ciencia, tecnología e innovación, y el decreto citado desarrolla esto admitiendo un régimen jurídico diferente, es decir, el derecho privado. Lo anterior se corrobora en la Circular Externa Única de Colombia Compra Eficiente que hace referencia a que este convenio puede incluir temas relativos a administración o financiamiento, que también tendrían el régimen privado del convenio</w:t>
      </w:r>
      <w:r w:rsidRPr="005220DA">
        <w:rPr>
          <w:rFonts w:ascii="Arial" w:eastAsia="Calibri" w:hAnsi="Arial" w:cs="Arial"/>
          <w:sz w:val="24"/>
          <w:szCs w:val="24"/>
          <w:vertAlign w:val="superscript"/>
          <w:lang w:eastAsia="es-ES_tradnl"/>
        </w:rPr>
        <w:footnoteReference w:id="6"/>
      </w:r>
      <w:r w:rsidRPr="005220DA">
        <w:rPr>
          <w:rFonts w:ascii="Arial" w:eastAsia="Calibri" w:hAnsi="Arial" w:cs="Arial"/>
          <w:color w:val="000000"/>
          <w:szCs w:val="24"/>
          <w:lang w:val="es-ES_tradnl" w:eastAsia="es-ES_tradnl"/>
        </w:rPr>
        <w:t>.</w:t>
      </w:r>
    </w:p>
    <w:p w14:paraId="3328E712" w14:textId="77777777" w:rsidR="00031F44" w:rsidRPr="005220DA" w:rsidRDefault="00031F44" w:rsidP="00031F44">
      <w:pPr>
        <w:spacing w:after="0" w:line="276" w:lineRule="auto"/>
        <w:jc w:val="both"/>
        <w:rPr>
          <w:rFonts w:ascii="Arial" w:eastAsia="Calibri" w:hAnsi="Arial" w:cs="Arial"/>
          <w:b/>
          <w:bCs/>
          <w:color w:val="000000"/>
          <w:szCs w:val="24"/>
          <w:lang w:val="es-ES_tradnl" w:eastAsia="es-ES_tradnl"/>
        </w:rPr>
      </w:pPr>
    </w:p>
    <w:p w14:paraId="4335616D" w14:textId="77777777" w:rsidR="00031F44" w:rsidRPr="005220DA" w:rsidRDefault="00031F44" w:rsidP="00031F44">
      <w:pPr>
        <w:spacing w:after="0" w:line="276" w:lineRule="auto"/>
        <w:jc w:val="both"/>
        <w:rPr>
          <w:rFonts w:ascii="Arial" w:eastAsia="Calibri" w:hAnsi="Arial" w:cs="Arial"/>
          <w:b/>
          <w:bCs/>
          <w:color w:val="000000"/>
          <w:szCs w:val="24"/>
          <w:lang w:val="es-ES_tradnl" w:eastAsia="es-ES_tradnl"/>
        </w:rPr>
      </w:pPr>
      <w:r w:rsidRPr="005220DA">
        <w:rPr>
          <w:rFonts w:ascii="Arial" w:eastAsia="Calibri" w:hAnsi="Arial" w:cs="Arial"/>
          <w:b/>
          <w:bCs/>
          <w:color w:val="000000"/>
          <w:szCs w:val="24"/>
          <w:lang w:val="es-ES_tradnl" w:eastAsia="es-ES_tradnl"/>
        </w:rPr>
        <w:t>b) Decreto Ley 591 de 1991</w:t>
      </w:r>
    </w:p>
    <w:p w14:paraId="71E75BCD" w14:textId="77777777" w:rsidR="00031F44" w:rsidRPr="005220DA" w:rsidRDefault="00031F44" w:rsidP="00031F44">
      <w:pPr>
        <w:spacing w:after="0" w:line="276" w:lineRule="auto"/>
        <w:jc w:val="both"/>
        <w:rPr>
          <w:rFonts w:ascii="Arial" w:eastAsia="Calibri" w:hAnsi="Arial" w:cs="Arial"/>
          <w:color w:val="000000"/>
          <w:szCs w:val="24"/>
          <w:lang w:val="es-ES_tradnl" w:eastAsia="es-ES_tradnl"/>
        </w:rPr>
      </w:pPr>
    </w:p>
    <w:p w14:paraId="53B9B312" w14:textId="77777777" w:rsidR="00031F44" w:rsidRPr="005220DA" w:rsidRDefault="00031F44" w:rsidP="00031F44">
      <w:pPr>
        <w:spacing w:after="0" w:line="276" w:lineRule="auto"/>
        <w:jc w:val="both"/>
        <w:rPr>
          <w:rFonts w:ascii="Arial" w:eastAsia="Calibri" w:hAnsi="Arial" w:cs="Arial"/>
          <w:color w:val="000000"/>
          <w:szCs w:val="24"/>
          <w:lang w:val="es-ES_tradnl" w:eastAsia="es-ES_tradnl"/>
        </w:rPr>
      </w:pPr>
      <w:r w:rsidRPr="005220DA">
        <w:rPr>
          <w:rFonts w:ascii="Arial" w:eastAsia="Calibri" w:hAnsi="Arial" w:cs="Arial"/>
          <w:color w:val="000000"/>
          <w:szCs w:val="24"/>
          <w:lang w:val="es-ES_tradnl" w:eastAsia="es-ES_tradnl"/>
        </w:rPr>
        <w:t>La Ley 80 de 1993, en el artículo 81, dispone las derogatorias y vigencia de la norma, e incluyó este decreto, y señaló que los artículos que continuarían vigentes son: 2, 8, 9, 17 y 19; por lo que la mayoría de las disposiciones se encuentran derogadas. Así, el Decreto 591 de 1991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i) contratos de financiamiento, ii) contratos de administración de proyectos y iii) convenios especiales de cooperación.</w:t>
      </w:r>
    </w:p>
    <w:p w14:paraId="16178D16" w14:textId="77777777" w:rsidR="00031F44" w:rsidRPr="005220DA" w:rsidRDefault="00031F44" w:rsidP="00031F44">
      <w:pPr>
        <w:spacing w:after="0" w:line="276" w:lineRule="auto"/>
        <w:jc w:val="both"/>
        <w:rPr>
          <w:rFonts w:ascii="Arial" w:eastAsia="Calibri" w:hAnsi="Arial" w:cs="Arial"/>
          <w:color w:val="000000"/>
          <w:szCs w:val="24"/>
          <w:lang w:val="es-ES_tradnl" w:eastAsia="es-ES_tradnl"/>
        </w:rPr>
      </w:pPr>
      <w:r w:rsidRPr="005220DA">
        <w:rPr>
          <w:rFonts w:ascii="Arial" w:eastAsia="Calibri" w:hAnsi="Arial" w:cs="Arial"/>
          <w:color w:val="000000"/>
          <w:szCs w:val="24"/>
          <w:lang w:val="es-ES_tradnl" w:eastAsia="es-ES_tradnl"/>
        </w:rPr>
        <w:tab/>
      </w:r>
    </w:p>
    <w:p w14:paraId="208C4CC7" w14:textId="77777777" w:rsidR="00031F44" w:rsidRPr="005220DA" w:rsidRDefault="00031F44" w:rsidP="00031F44">
      <w:pPr>
        <w:spacing w:after="0" w:line="276" w:lineRule="auto"/>
        <w:jc w:val="both"/>
        <w:rPr>
          <w:rFonts w:ascii="Arial" w:eastAsia="Calibri" w:hAnsi="Arial" w:cs="Arial"/>
          <w:b/>
          <w:bCs/>
          <w:color w:val="000000"/>
          <w:szCs w:val="24"/>
          <w:lang w:val="es-ES_tradnl" w:eastAsia="es-ES_tradnl"/>
        </w:rPr>
      </w:pPr>
      <w:r w:rsidRPr="005220DA">
        <w:rPr>
          <w:rFonts w:ascii="Arial" w:eastAsia="Calibri" w:hAnsi="Arial" w:cs="Arial"/>
          <w:b/>
          <w:bCs/>
          <w:color w:val="000000"/>
          <w:szCs w:val="24"/>
          <w:lang w:val="es-ES_tradnl" w:eastAsia="es-ES_tradnl"/>
        </w:rPr>
        <w:t>i) Contrato de financiamiento</w:t>
      </w:r>
    </w:p>
    <w:p w14:paraId="416A2238" w14:textId="77777777" w:rsidR="00031F44" w:rsidRPr="005220DA" w:rsidRDefault="00031F44" w:rsidP="00031F44">
      <w:pPr>
        <w:spacing w:after="0" w:line="276" w:lineRule="auto"/>
        <w:jc w:val="both"/>
        <w:rPr>
          <w:rFonts w:ascii="Arial" w:eastAsia="Calibri" w:hAnsi="Arial" w:cs="Arial"/>
          <w:b/>
          <w:bCs/>
          <w:color w:val="000000"/>
          <w:szCs w:val="24"/>
          <w:lang w:val="es-ES_tradnl" w:eastAsia="es-ES_tradnl"/>
        </w:rPr>
      </w:pPr>
    </w:p>
    <w:p w14:paraId="1FAF9377" w14:textId="77777777" w:rsidR="00031F44" w:rsidRPr="005220DA" w:rsidRDefault="00031F44" w:rsidP="00031F44">
      <w:pPr>
        <w:spacing w:after="120" w:line="276" w:lineRule="auto"/>
        <w:jc w:val="both"/>
        <w:rPr>
          <w:rFonts w:ascii="Arial" w:eastAsia="Calibri" w:hAnsi="Arial" w:cs="Arial"/>
          <w:color w:val="000000"/>
          <w:szCs w:val="24"/>
          <w:lang w:val="es-ES_tradnl" w:eastAsia="es-ES_tradnl"/>
        </w:rPr>
      </w:pPr>
      <w:r w:rsidRPr="005220DA">
        <w:rPr>
          <w:rFonts w:ascii="Arial" w:eastAsia="Calibri" w:hAnsi="Arial" w:cs="Arial"/>
          <w:color w:val="000000"/>
          <w:szCs w:val="24"/>
          <w:lang w:val="es-ES_tradnl" w:eastAsia="es-ES_tradnl"/>
        </w:rPr>
        <w:t>Su propósito es entregar recursos al contratista ‒particular o entidad estatal‒ los cuales estarán sujetos a reembolso obligatorio, condicional o parcial, o recuperación contingente. Para el reembolso se fija un plazo e intereses, y cuando este sea obligatorio el contratista 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w:t>
      </w:r>
    </w:p>
    <w:p w14:paraId="2DB8FCE5" w14:textId="77777777" w:rsidR="00031F44" w:rsidRPr="005220DA" w:rsidRDefault="00031F44" w:rsidP="00031F44">
      <w:pPr>
        <w:spacing w:after="0" w:line="276" w:lineRule="auto"/>
        <w:jc w:val="both"/>
        <w:rPr>
          <w:rFonts w:ascii="Arial" w:eastAsia="Calibri" w:hAnsi="Arial" w:cs="Arial"/>
          <w:color w:val="000000"/>
          <w:szCs w:val="24"/>
          <w:lang w:val="es-ES_tradnl" w:eastAsia="es-ES_tradnl"/>
        </w:rPr>
      </w:pPr>
      <w:r w:rsidRPr="005220DA">
        <w:rPr>
          <w:rFonts w:ascii="Arial" w:eastAsia="Calibri" w:hAnsi="Arial" w:cs="Arial"/>
          <w:color w:val="000000"/>
          <w:szCs w:val="24"/>
          <w:lang w:val="es-ES_tradnl" w:eastAsia="es-ES_tradnl"/>
        </w:rPr>
        <w:tab/>
        <w:t xml:space="preserve">Como se observa, el Decreto 591 de 1991 no señala el régimen aplicable a este contrato, por lo cual la Circular Externa Única de Colombia Compra Eficiente dispone que «están sujetos a (i) las leyes 80 de 1993 y 1150 de 2007 y a sus normas reglamentarias y pueden celebrarse bajo la modalidad de contratación directa; y (ii) el artículo 8 del Decreto–Ley 591 de 1991». </w:t>
      </w:r>
    </w:p>
    <w:p w14:paraId="2CCAADAA" w14:textId="77777777" w:rsidR="00031F44" w:rsidRPr="005220DA" w:rsidRDefault="00031F44" w:rsidP="00031F44">
      <w:pPr>
        <w:spacing w:after="0" w:line="276" w:lineRule="auto"/>
        <w:jc w:val="both"/>
        <w:rPr>
          <w:rFonts w:ascii="Arial" w:eastAsia="Calibri" w:hAnsi="Arial" w:cs="Arial"/>
          <w:color w:val="000000"/>
          <w:szCs w:val="24"/>
          <w:lang w:val="es-ES_tradnl" w:eastAsia="es-ES_tradnl"/>
        </w:rPr>
      </w:pPr>
    </w:p>
    <w:p w14:paraId="76752FBE" w14:textId="77777777" w:rsidR="00031F44" w:rsidRPr="005220DA" w:rsidRDefault="00031F44" w:rsidP="00031F44">
      <w:pPr>
        <w:spacing w:after="0" w:line="276" w:lineRule="auto"/>
        <w:jc w:val="both"/>
        <w:rPr>
          <w:rFonts w:ascii="Arial" w:eastAsia="Calibri" w:hAnsi="Arial" w:cs="Arial"/>
          <w:b/>
          <w:bCs/>
          <w:color w:val="000000"/>
          <w:szCs w:val="24"/>
          <w:lang w:val="es-ES_tradnl" w:eastAsia="es-ES_tradnl"/>
        </w:rPr>
      </w:pPr>
      <w:r w:rsidRPr="005220DA">
        <w:rPr>
          <w:rFonts w:ascii="Arial" w:eastAsia="Calibri" w:hAnsi="Arial" w:cs="Arial"/>
          <w:b/>
          <w:bCs/>
          <w:color w:val="000000"/>
          <w:szCs w:val="24"/>
          <w:lang w:val="es-ES_tradnl" w:eastAsia="es-ES_tradnl"/>
        </w:rPr>
        <w:t>ii) Contrato de administración de proyectos</w:t>
      </w:r>
    </w:p>
    <w:p w14:paraId="08B575D3" w14:textId="77777777" w:rsidR="00031F44" w:rsidRPr="005220DA" w:rsidRDefault="00031F44" w:rsidP="00031F44">
      <w:pPr>
        <w:spacing w:after="0" w:line="276" w:lineRule="auto"/>
        <w:jc w:val="both"/>
        <w:rPr>
          <w:rFonts w:ascii="Arial" w:eastAsia="Calibri" w:hAnsi="Arial" w:cs="Arial"/>
          <w:b/>
          <w:bCs/>
          <w:color w:val="000000"/>
          <w:szCs w:val="24"/>
          <w:lang w:val="es-ES_tradnl" w:eastAsia="es-ES_tradnl"/>
        </w:rPr>
      </w:pPr>
    </w:p>
    <w:p w14:paraId="3475E569" w14:textId="77777777" w:rsidR="00031F44" w:rsidRPr="005220DA" w:rsidRDefault="00031F44" w:rsidP="00031F44">
      <w:pPr>
        <w:spacing w:after="0" w:line="276" w:lineRule="auto"/>
        <w:jc w:val="both"/>
        <w:rPr>
          <w:rFonts w:ascii="Arial" w:eastAsia="Calibri" w:hAnsi="Arial" w:cs="Arial"/>
          <w:color w:val="000000"/>
          <w:szCs w:val="24"/>
          <w:lang w:val="es-ES_tradnl" w:eastAsia="es-ES_tradnl"/>
        </w:rPr>
      </w:pPr>
      <w:r w:rsidRPr="005220DA">
        <w:rPr>
          <w:rFonts w:ascii="Arial" w:eastAsia="Calibri" w:hAnsi="Arial" w:cs="Arial"/>
          <w:color w:val="000000"/>
          <w:szCs w:val="24"/>
          <w:lang w:val="es-ES_tradnl" w:eastAsia="es-ES_tradnl"/>
        </w:rPr>
        <w:t xml:space="preserve">El Decreto 591 de 1991 no especifica las características de este contrato, y solo establece, en el artículo 9, que «Para el desarrollo de las actividades científicas y tecnológicas previstas en este Decreto, la Nación y sus entidades descentralizadas podrán celebrar con personas públicas o privadas contratos de administración de proyectos». Por ende, la Circular Externa Única de Colombia Compra Eficiente señala que su régimen es el Estatuto </w:t>
      </w:r>
      <w:r w:rsidRPr="005220DA">
        <w:rPr>
          <w:rFonts w:ascii="Arial" w:eastAsia="Calibri" w:hAnsi="Arial" w:cs="Arial"/>
          <w:color w:val="000000"/>
          <w:szCs w:val="24"/>
          <w:lang w:val="es-ES_tradnl" w:eastAsia="es-ES_tradnl"/>
        </w:rPr>
        <w:lastRenderedPageBreak/>
        <w:t>General de Contratación de la Administración Pública, con aplicación de la modalidad de contratación directa</w:t>
      </w:r>
      <w:r w:rsidRPr="005220DA">
        <w:rPr>
          <w:rFonts w:ascii="Arial" w:eastAsia="Calibri" w:hAnsi="Arial" w:cs="Arial"/>
          <w:sz w:val="24"/>
          <w:szCs w:val="24"/>
          <w:vertAlign w:val="superscript"/>
          <w:lang w:eastAsia="es-ES_tradnl"/>
        </w:rPr>
        <w:footnoteReference w:id="7"/>
      </w:r>
      <w:r w:rsidRPr="005220DA">
        <w:rPr>
          <w:rFonts w:ascii="Arial" w:eastAsia="Calibri" w:hAnsi="Arial" w:cs="Arial"/>
          <w:color w:val="000000"/>
          <w:szCs w:val="24"/>
          <w:lang w:val="es-ES_tradnl" w:eastAsia="es-ES_tradnl"/>
        </w:rPr>
        <w:t>.</w:t>
      </w:r>
    </w:p>
    <w:p w14:paraId="29EECB1B" w14:textId="77777777" w:rsidR="00031F44" w:rsidRPr="005220DA" w:rsidRDefault="00031F44" w:rsidP="00031F44">
      <w:pPr>
        <w:spacing w:after="0" w:line="276" w:lineRule="auto"/>
        <w:jc w:val="both"/>
        <w:rPr>
          <w:rFonts w:ascii="Arial" w:eastAsia="Calibri" w:hAnsi="Arial" w:cs="Arial"/>
          <w:color w:val="000000"/>
          <w:szCs w:val="24"/>
          <w:lang w:val="es-ES_tradnl" w:eastAsia="es-ES_tradnl"/>
        </w:rPr>
      </w:pPr>
    </w:p>
    <w:p w14:paraId="48F29C1B" w14:textId="77777777" w:rsidR="00031F44" w:rsidRPr="005220DA" w:rsidRDefault="00031F44" w:rsidP="00031F44">
      <w:pPr>
        <w:spacing w:after="0" w:line="276" w:lineRule="auto"/>
        <w:jc w:val="both"/>
        <w:rPr>
          <w:rFonts w:ascii="Arial" w:eastAsia="Calibri" w:hAnsi="Arial" w:cs="Arial"/>
          <w:b/>
          <w:bCs/>
          <w:color w:val="000000"/>
          <w:szCs w:val="24"/>
          <w:lang w:val="es-ES_tradnl" w:eastAsia="es-ES_tradnl"/>
        </w:rPr>
      </w:pPr>
      <w:r w:rsidRPr="005220DA">
        <w:rPr>
          <w:rFonts w:ascii="Arial" w:eastAsia="Calibri" w:hAnsi="Arial" w:cs="Arial"/>
          <w:b/>
          <w:bCs/>
          <w:color w:val="000000"/>
          <w:szCs w:val="24"/>
          <w:lang w:val="es-ES_tradnl" w:eastAsia="es-ES_tradnl"/>
        </w:rPr>
        <w:t>iii) Convenio especial de cooperación</w:t>
      </w:r>
    </w:p>
    <w:p w14:paraId="1E5B94B9" w14:textId="77777777" w:rsidR="00031F44" w:rsidRPr="005220DA" w:rsidRDefault="00031F44" w:rsidP="00031F44">
      <w:pPr>
        <w:spacing w:after="0" w:line="276" w:lineRule="auto"/>
        <w:jc w:val="both"/>
        <w:rPr>
          <w:rFonts w:ascii="Arial" w:eastAsia="Calibri" w:hAnsi="Arial" w:cs="Arial"/>
          <w:color w:val="000000"/>
          <w:szCs w:val="24"/>
          <w:lang w:val="es-ES_tradnl" w:eastAsia="es-ES_tradnl"/>
        </w:rPr>
      </w:pPr>
    </w:p>
    <w:p w14:paraId="3A6539AD" w14:textId="77777777" w:rsidR="00031F44" w:rsidRPr="005220DA" w:rsidRDefault="00031F44" w:rsidP="00031F44">
      <w:pPr>
        <w:spacing w:after="0" w:line="276" w:lineRule="auto"/>
        <w:jc w:val="both"/>
        <w:rPr>
          <w:rFonts w:ascii="Arial" w:eastAsia="Calibri" w:hAnsi="Arial" w:cs="Arial"/>
          <w:color w:val="000000"/>
          <w:szCs w:val="24"/>
          <w:lang w:val="es-ES_tradnl" w:eastAsia="es-ES_tradnl"/>
        </w:rPr>
      </w:pPr>
      <w:r w:rsidRPr="005220DA">
        <w:rPr>
          <w:rFonts w:ascii="Arial" w:eastAsia="Calibri" w:hAnsi="Arial" w:cs="Arial"/>
          <w:color w:val="000000"/>
          <w:szCs w:val="24"/>
          <w:lang w:val="es-ES_tradnl" w:eastAsia="es-ES_tradnl"/>
        </w:rPr>
        <w:t>A este convenio se había referido el Decreto 393 de 1991, anterior al Decreto 591 de 1991, por lo cual este último no contiene disposiciones con elementos adicionales a lo que estaba regulado</w:t>
      </w:r>
      <w:r w:rsidRPr="005220DA">
        <w:rPr>
          <w:rFonts w:ascii="Arial" w:eastAsia="Calibri" w:hAnsi="Arial" w:cs="Arial"/>
          <w:sz w:val="24"/>
          <w:szCs w:val="24"/>
          <w:vertAlign w:val="superscript"/>
          <w:lang w:eastAsia="es-ES_tradnl"/>
        </w:rPr>
        <w:footnoteReference w:id="8"/>
      </w:r>
      <w:r w:rsidRPr="005220DA">
        <w:rPr>
          <w:rFonts w:ascii="Arial" w:eastAsia="Calibri" w:hAnsi="Arial" w:cs="Arial"/>
          <w:color w:val="000000"/>
          <w:szCs w:val="24"/>
          <w:lang w:val="es-ES_tradnl" w:eastAsia="es-ES_tradnl"/>
        </w:rPr>
        <w:t>. Para finalizar, el artículo 19 señala que dependiendo de la modalidad de contrato ‒financiamiento, administración de proyectos, convenio especial de cooperación‒ será necesario pactar cláusulas respecto de la transferencia tecnológica, que deben tener en cuenta los lineamientos del Consejo Nacional de Ciencia y Tecnología.</w:t>
      </w:r>
    </w:p>
    <w:p w14:paraId="64209838" w14:textId="77777777" w:rsidR="00885E41" w:rsidRPr="005220DA" w:rsidRDefault="00885E41" w:rsidP="00885E41">
      <w:pPr>
        <w:spacing w:after="0" w:line="276" w:lineRule="auto"/>
        <w:jc w:val="both"/>
        <w:rPr>
          <w:rFonts w:ascii="Arial" w:eastAsia="Calibri" w:hAnsi="Arial" w:cs="Arial"/>
          <w:color w:val="000000"/>
          <w:szCs w:val="24"/>
          <w:lang w:val="es-ES_tradnl" w:eastAsia="es-ES_tradnl"/>
        </w:rPr>
      </w:pPr>
    </w:p>
    <w:p w14:paraId="517C8CE3" w14:textId="458F20E3" w:rsidR="00885E41" w:rsidRPr="005220DA" w:rsidRDefault="00885E41" w:rsidP="00885E41">
      <w:pPr>
        <w:tabs>
          <w:tab w:val="left" w:pos="426"/>
        </w:tabs>
        <w:spacing w:after="0" w:line="276" w:lineRule="auto"/>
        <w:jc w:val="both"/>
        <w:rPr>
          <w:rFonts w:ascii="Arial" w:eastAsia="Calibri" w:hAnsi="Arial" w:cs="Arial"/>
          <w:b/>
          <w:bCs/>
          <w:lang w:val="es-ES_tradnl"/>
        </w:rPr>
      </w:pPr>
      <w:r w:rsidRPr="005220DA">
        <w:rPr>
          <w:rFonts w:ascii="Arial" w:eastAsia="Calibri" w:hAnsi="Arial" w:cs="Arial"/>
          <w:b/>
          <w:bCs/>
          <w:lang w:val="es-ES_tradnl"/>
        </w:rPr>
        <w:t>2.</w:t>
      </w:r>
      <w:r w:rsidR="00031F44">
        <w:rPr>
          <w:rFonts w:ascii="Arial" w:eastAsia="Calibri" w:hAnsi="Arial" w:cs="Arial"/>
          <w:b/>
          <w:bCs/>
          <w:lang w:val="es-ES_tradnl"/>
        </w:rPr>
        <w:t>2</w:t>
      </w:r>
      <w:r w:rsidRPr="005220DA">
        <w:rPr>
          <w:rFonts w:ascii="Arial" w:eastAsia="Calibri" w:hAnsi="Arial" w:cs="Arial"/>
          <w:b/>
          <w:bCs/>
          <w:lang w:val="es-ES_tradnl"/>
        </w:rPr>
        <w:t>. Definición y finalidad de la Ley de Garantías Electorales: alcance de las restricciones</w:t>
      </w:r>
    </w:p>
    <w:p w14:paraId="3235B390" w14:textId="77777777" w:rsidR="00885E41" w:rsidRPr="005220DA" w:rsidRDefault="00885E41" w:rsidP="00AB7E82">
      <w:pPr>
        <w:tabs>
          <w:tab w:val="left" w:pos="426"/>
        </w:tabs>
        <w:spacing w:after="0" w:line="276" w:lineRule="auto"/>
        <w:ind w:firstLine="709"/>
        <w:jc w:val="both"/>
        <w:rPr>
          <w:rFonts w:ascii="Arial" w:eastAsia="Calibri" w:hAnsi="Arial" w:cs="Arial"/>
          <w:bCs/>
          <w:lang w:val="es-ES_tradnl"/>
        </w:rPr>
      </w:pPr>
    </w:p>
    <w:p w14:paraId="51365FA5" w14:textId="77777777" w:rsidR="00885E41" w:rsidRPr="005220DA" w:rsidRDefault="00885E41" w:rsidP="00AB7E82">
      <w:pPr>
        <w:tabs>
          <w:tab w:val="left" w:pos="426"/>
        </w:tabs>
        <w:spacing w:after="120" w:line="276" w:lineRule="auto"/>
        <w:jc w:val="both"/>
        <w:rPr>
          <w:rFonts w:ascii="Arial" w:eastAsia="Times New Roman" w:hAnsi="Arial" w:cs="Arial"/>
          <w:bCs/>
          <w:lang w:val="es-ES_tradnl" w:eastAsia="es-CO"/>
        </w:rPr>
      </w:pPr>
      <w:r w:rsidRPr="005220DA">
        <w:rPr>
          <w:rFonts w:ascii="Arial" w:eastAsia="Calibri" w:hAnsi="Arial" w:cs="Arial"/>
          <w:bCs/>
          <w:lang w:val="es-ES_tradnl"/>
        </w:rPr>
        <w:t>El ordenamiento jurídico colombiano contempla previsiones claras para evitar la obtención de beneficios personales en asuntos propios de la administración pública</w:t>
      </w:r>
      <w:r w:rsidRPr="005220DA">
        <w:rPr>
          <w:rFonts w:ascii="Arial" w:eastAsia="Calibri" w:hAnsi="Arial" w:cs="Arial"/>
          <w:bCs/>
          <w:i/>
          <w:iCs/>
          <w:lang w:val="es-ES_tradnl"/>
        </w:rPr>
        <w:t xml:space="preserve">. </w:t>
      </w:r>
      <w:r w:rsidRPr="005220DA">
        <w:rPr>
          <w:rFonts w:ascii="Arial" w:eastAsia="Calibri" w:hAnsi="Arial" w:cs="Arial"/>
          <w:bCs/>
          <w:lang w:val="es-ES_tradnl"/>
        </w:rPr>
        <w:t>Por ejemplo, el artículo 127 de la Constitución Política establece una prohibición contractual a los servidores públicos y, en cuanto a aspectos políticos, establece restricciones a ciertos empleados del Estado, incluso en época no electoral</w:t>
      </w:r>
      <w:r w:rsidRPr="005220DA">
        <w:rPr>
          <w:rFonts w:ascii="Arial" w:eastAsia="Calibri" w:hAnsi="Arial" w:cs="Arial"/>
          <w:sz w:val="24"/>
          <w:szCs w:val="24"/>
          <w:vertAlign w:val="superscript"/>
          <w:lang w:eastAsia="es-ES_tradnl"/>
        </w:rPr>
        <w:footnoteReference w:id="9"/>
      </w:r>
      <w:r w:rsidRPr="005220DA">
        <w:rPr>
          <w:rFonts w:ascii="Arial" w:eastAsia="Calibri" w:hAnsi="Arial" w:cs="Arial"/>
          <w:bCs/>
          <w:lang w:val="es-ES_tradnl"/>
        </w:rPr>
        <w:t xml:space="preserve">. </w:t>
      </w:r>
    </w:p>
    <w:p w14:paraId="2E002FF5" w14:textId="77777777" w:rsidR="00885E41" w:rsidRPr="005220DA" w:rsidRDefault="00885E41" w:rsidP="006C4ED7">
      <w:pPr>
        <w:tabs>
          <w:tab w:val="left" w:pos="426"/>
        </w:tabs>
        <w:spacing w:after="120" w:line="276" w:lineRule="auto"/>
        <w:ind w:firstLine="709"/>
        <w:jc w:val="both"/>
        <w:rPr>
          <w:rFonts w:ascii="Arial" w:eastAsia="Times New Roman" w:hAnsi="Arial" w:cs="Arial"/>
          <w:bCs/>
          <w:lang w:val="es-ES_tradnl" w:eastAsia="es-CO"/>
        </w:rPr>
      </w:pPr>
      <w:r w:rsidRPr="005220DA">
        <w:rPr>
          <w:rFonts w:ascii="Arial" w:eastAsia="Times New Roman" w:hAnsi="Arial" w:cs="Arial"/>
          <w:bCs/>
          <w:lang w:val="es-ES_tradnl" w:eastAsia="es-CO"/>
        </w:rPr>
        <w:lastRenderedPageBreak/>
        <w:t>En el mismo sentido, 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5220DA">
        <w:rPr>
          <w:rFonts w:ascii="Arial" w:eastAsia="Times New Roman" w:hAnsi="Arial" w:cs="Arial"/>
          <w:sz w:val="24"/>
          <w:szCs w:val="24"/>
          <w:vertAlign w:val="superscript"/>
          <w:lang w:eastAsia="es-ES_tradnl"/>
        </w:rPr>
        <w:footnoteReference w:id="10"/>
      </w:r>
      <w:r w:rsidRPr="005220DA">
        <w:rPr>
          <w:rFonts w:ascii="Arial" w:eastAsia="Times New Roman" w:hAnsi="Arial" w:cs="Arial"/>
          <w:bCs/>
          <w:lang w:val="es-ES_tradnl" w:eastAsia="es-CO"/>
        </w:rPr>
        <w:t>. En esta medida, introduce limitaciones para realizar nombramientos, postulaciones, contrataciones o cualquier otro tipo de actividad que implique destinación de recursos públicos bajo el devenir propio de las entidades estatales.</w:t>
      </w:r>
      <w:r w:rsidRPr="005220DA">
        <w:rPr>
          <w:rFonts w:ascii="Arial" w:eastAsia="Calibri" w:hAnsi="Arial" w:cs="Arial"/>
          <w:noProof/>
          <w:lang w:val="es-ES_tradnl"/>
        </w:rPr>
        <w:t xml:space="preserve"> </w:t>
      </w:r>
      <w:r w:rsidRPr="005220DA">
        <w:rPr>
          <w:rFonts w:ascii="Arial" w:eastAsia="Times New Roman" w:hAnsi="Arial" w:cs="Arial"/>
          <w:bCs/>
          <w:lang w:val="es-ES_tradnl" w:eastAsia="es-CO"/>
        </w:rPr>
        <w:t>En armonía con lo anterior, la Corte Constitucional ha abordado la definición de la Ley de Garantías Electorales. De esta manera, explica que tiene como propósito:</w:t>
      </w:r>
    </w:p>
    <w:p w14:paraId="583C9CE0" w14:textId="77777777" w:rsidR="00885E41" w:rsidRPr="005220DA" w:rsidRDefault="00885E41" w:rsidP="00885E41">
      <w:pPr>
        <w:spacing w:after="0" w:line="240" w:lineRule="auto"/>
        <w:ind w:right="709"/>
        <w:jc w:val="both"/>
        <w:rPr>
          <w:rFonts w:ascii="Arial" w:eastAsia="Times New Roman" w:hAnsi="Arial" w:cs="Arial"/>
          <w:sz w:val="21"/>
          <w:szCs w:val="21"/>
          <w:lang w:val="es-ES_tradnl" w:eastAsia="es-CO"/>
        </w:rPr>
      </w:pPr>
    </w:p>
    <w:p w14:paraId="285B132B"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sz w:val="21"/>
          <w:szCs w:val="21"/>
          <w:lang w:val="es-ES_tradnl" w:eastAsia="es-CO"/>
        </w:rPr>
        <w:t xml:space="preserve">[…] </w:t>
      </w:r>
      <w:r w:rsidRPr="005220DA">
        <w:rPr>
          <w:rFonts w:ascii="Arial" w:eastAsia="Times New Roman" w:hAnsi="Arial" w:cs="Arial"/>
          <w:bCs/>
          <w:sz w:val="21"/>
          <w:szCs w:val="21"/>
          <w:lang w:val="es-ES_tradnl" w:eastAsia="es-CO"/>
        </w:rPr>
        <w:t>la definición de reglas claras que permitan acceder a los canales de expresión democrática de manera efectiva e igualitaria. El objetivo de una ley de garantías es definir esas reglas.</w:t>
      </w:r>
    </w:p>
    <w:p w14:paraId="48FB31A3" w14:textId="77777777" w:rsidR="00885E41" w:rsidRPr="005220DA" w:rsidRDefault="00885E41" w:rsidP="00885E41">
      <w:pPr>
        <w:spacing w:after="12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 xml:space="preserve">[…] </w:t>
      </w:r>
    </w:p>
    <w:p w14:paraId="67AC0BF6"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5220DA">
        <w:rPr>
          <w:rFonts w:ascii="Arial" w:eastAsia="Calibri" w:hAnsi="Arial" w:cs="Arial"/>
          <w:sz w:val="24"/>
          <w:szCs w:val="24"/>
          <w:vertAlign w:val="superscript"/>
          <w:lang w:eastAsia="es-ES_tradnl"/>
        </w:rPr>
        <w:footnoteReference w:id="11"/>
      </w:r>
    </w:p>
    <w:p w14:paraId="4E53BCB9" w14:textId="77777777" w:rsidR="00885E41" w:rsidRPr="006C4ED7" w:rsidRDefault="00885E41" w:rsidP="00885E41">
      <w:pPr>
        <w:spacing w:after="0" w:line="276" w:lineRule="auto"/>
        <w:ind w:left="709" w:right="709"/>
        <w:jc w:val="both"/>
        <w:rPr>
          <w:rFonts w:ascii="Arial" w:eastAsia="Times New Roman" w:hAnsi="Arial" w:cs="Arial"/>
          <w:bCs/>
          <w:lang w:val="es-ES_tradnl" w:eastAsia="es-CO"/>
        </w:rPr>
      </w:pPr>
    </w:p>
    <w:p w14:paraId="7D7BF5AC" w14:textId="77777777" w:rsidR="00885E41" w:rsidRPr="005220DA" w:rsidRDefault="00885E41" w:rsidP="00885E41">
      <w:pPr>
        <w:spacing w:after="0" w:line="276" w:lineRule="auto"/>
        <w:ind w:firstLine="709"/>
        <w:jc w:val="both"/>
        <w:rPr>
          <w:rFonts w:ascii="Arial" w:eastAsia="Times New Roman" w:hAnsi="Arial" w:cs="Arial"/>
          <w:bCs/>
          <w:lang w:val="es-ES_tradnl" w:eastAsia="es-CO"/>
        </w:rPr>
      </w:pPr>
      <w:r w:rsidRPr="005220DA">
        <w:rPr>
          <w:rFonts w:ascii="Arial" w:eastAsia="Times New Roman" w:hAnsi="Arial" w:cs="Arial"/>
          <w:bCs/>
          <w:lang w:val="es-ES_tradnl"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178CB9FA" w14:textId="77777777" w:rsidR="00885E41" w:rsidRPr="005220DA" w:rsidRDefault="00885E41" w:rsidP="00885E41">
      <w:pPr>
        <w:spacing w:after="0" w:line="276" w:lineRule="auto"/>
        <w:ind w:firstLine="709"/>
        <w:jc w:val="both"/>
        <w:rPr>
          <w:rFonts w:ascii="Arial" w:eastAsia="Times New Roman" w:hAnsi="Arial" w:cs="Arial"/>
          <w:bCs/>
          <w:lang w:val="es-ES_tradnl" w:eastAsia="es-CO"/>
        </w:rPr>
      </w:pPr>
    </w:p>
    <w:p w14:paraId="0CC77448" w14:textId="77777777" w:rsidR="00885E41" w:rsidRPr="005220DA" w:rsidRDefault="00885E41" w:rsidP="00885E41">
      <w:pPr>
        <w:spacing w:after="12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w:t>
      </w:r>
      <w:r w:rsidRPr="005220DA">
        <w:rPr>
          <w:rFonts w:ascii="Arial" w:eastAsia="Times New Roman" w:hAnsi="Arial" w:cs="Arial"/>
          <w:bCs/>
          <w:sz w:val="21"/>
          <w:szCs w:val="21"/>
          <w:lang w:val="es-ES_tradnl" w:eastAsia="es-CO"/>
        </w:rPr>
        <w:lastRenderedPageBreak/>
        <w:t>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5AC49412"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La jurisprudencia de la Corte Constitucional</w:t>
      </w:r>
      <w:r w:rsidRPr="005220DA">
        <w:rPr>
          <w:rFonts w:ascii="Arial" w:eastAsia="Times New Roman" w:hAnsi="Arial" w:cs="Arial"/>
          <w:sz w:val="24"/>
          <w:szCs w:val="24"/>
          <w:vertAlign w:val="superscript"/>
          <w:lang w:eastAsia="es-ES_tradnl"/>
        </w:rPr>
        <w:footnoteReference w:id="12"/>
      </w:r>
      <w:r w:rsidRPr="005220DA">
        <w:rPr>
          <w:rFonts w:ascii="Arial" w:eastAsia="Times New Roman" w:hAnsi="Arial" w:cs="Arial"/>
          <w:bCs/>
          <w:sz w:val="21"/>
          <w:szCs w:val="21"/>
          <w:lang w:val="es-ES_tradnl" w:eastAsia="es-CO"/>
        </w:rPr>
        <w:t> y del Consejo de Estado</w:t>
      </w:r>
      <w:r w:rsidRPr="005220DA">
        <w:rPr>
          <w:rFonts w:ascii="Arial" w:eastAsia="Times New Roman" w:hAnsi="Arial" w:cs="Arial"/>
          <w:sz w:val="24"/>
          <w:szCs w:val="24"/>
          <w:vertAlign w:val="superscript"/>
          <w:lang w:eastAsia="es-ES_tradnl"/>
        </w:rPr>
        <w:footnoteReference w:id="13"/>
      </w:r>
      <w:r w:rsidRPr="005220DA">
        <w:rPr>
          <w:rFonts w:ascii="Arial" w:eastAsia="Times New Roman" w:hAnsi="Arial" w:cs="Arial"/>
          <w:bCs/>
          <w:sz w:val="21"/>
          <w:szCs w:val="21"/>
          <w:lang w:val="es-ES_tradnl"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5220DA">
        <w:rPr>
          <w:rFonts w:ascii="Arial" w:eastAsia="Times New Roman" w:hAnsi="Arial" w:cs="Arial"/>
          <w:sz w:val="24"/>
          <w:szCs w:val="24"/>
          <w:vertAlign w:val="superscript"/>
          <w:lang w:eastAsia="es-ES_tradnl"/>
        </w:rPr>
        <w:footnoteReference w:id="14"/>
      </w:r>
      <w:r w:rsidRPr="005220DA">
        <w:rPr>
          <w:rFonts w:ascii="Arial" w:eastAsia="Times New Roman" w:hAnsi="Arial" w:cs="Arial"/>
          <w:bCs/>
          <w:sz w:val="21"/>
          <w:szCs w:val="21"/>
          <w:lang w:val="es-ES_tradnl" w:eastAsia="es-CO"/>
        </w:rPr>
        <w:t>.</w:t>
      </w:r>
    </w:p>
    <w:p w14:paraId="42714CEE" w14:textId="77777777" w:rsidR="00885E41" w:rsidRPr="005220DA" w:rsidRDefault="00885E41" w:rsidP="00885E41">
      <w:pPr>
        <w:spacing w:after="0" w:line="276" w:lineRule="auto"/>
        <w:ind w:right="709"/>
        <w:jc w:val="both"/>
        <w:rPr>
          <w:rFonts w:ascii="Arial" w:eastAsia="Times New Roman" w:hAnsi="Arial" w:cs="Arial"/>
          <w:bCs/>
          <w:lang w:val="es-ES_tradnl" w:eastAsia="es-CO"/>
        </w:rPr>
      </w:pPr>
    </w:p>
    <w:p w14:paraId="0FA130DD" w14:textId="77777777" w:rsidR="00885E41" w:rsidRPr="005220DA" w:rsidRDefault="00885E41" w:rsidP="00885E41">
      <w:pPr>
        <w:spacing w:after="120" w:line="276" w:lineRule="auto"/>
        <w:jc w:val="both"/>
        <w:rPr>
          <w:rFonts w:ascii="Arial" w:eastAsia="Arial" w:hAnsi="Arial" w:cs="Arial"/>
          <w:lang w:val="es-ES_tradnl" w:eastAsia="es-ES" w:bidi="es-ES"/>
        </w:rPr>
      </w:pPr>
      <w:r w:rsidRPr="005220DA">
        <w:rPr>
          <w:rFonts w:ascii="Arial" w:eastAsia="Times New Roman" w:hAnsi="Arial" w:cs="Arial"/>
          <w:bCs/>
          <w:lang w:val="es-ES_tradnl" w:eastAsia="es-CO"/>
        </w:rPr>
        <w:tab/>
        <w:t>De</w:t>
      </w:r>
      <w:r w:rsidRPr="005220DA">
        <w:rPr>
          <w:rFonts w:ascii="Arial" w:eastAsia="Arial" w:hAnsi="Arial" w:cs="Arial"/>
          <w:lang w:val="es-ES_tradnl"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35DC3F10" w14:textId="77777777" w:rsidR="00885E41" w:rsidRPr="005220DA" w:rsidRDefault="00885E41" w:rsidP="00885E41">
      <w:pPr>
        <w:spacing w:after="120" w:line="276" w:lineRule="auto"/>
        <w:ind w:firstLine="708"/>
        <w:jc w:val="both"/>
        <w:rPr>
          <w:rFonts w:ascii="Arial" w:eastAsia="Calibri" w:hAnsi="Arial" w:cs="Arial"/>
          <w:lang w:val="es-ES_tradnl"/>
        </w:rPr>
      </w:pPr>
      <w:r w:rsidRPr="005220DA">
        <w:rPr>
          <w:rFonts w:ascii="Arial" w:eastAsia="Calibri" w:hAnsi="Arial" w:cs="Arial"/>
          <w:lang w:val="es-ES_tradnl"/>
        </w:rPr>
        <w:t xml:space="preserve">Por un lado, el artículo 33 de la Ley 996 de 2005 prohíbe </w:t>
      </w:r>
      <w:r w:rsidRPr="005220DA">
        <w:rPr>
          <w:rFonts w:ascii="Arial" w:eastAsia="Calibri" w:hAnsi="Arial" w:cs="Arial"/>
          <w:bCs/>
          <w:lang w:val="es-ES_tradnl"/>
        </w:rPr>
        <w:t xml:space="preserve">«[…] </w:t>
      </w:r>
      <w:r w:rsidRPr="005220DA">
        <w:rPr>
          <w:rFonts w:ascii="Arial" w:eastAsia="Calibri" w:hAnsi="Arial" w:cs="Arial"/>
          <w:lang w:val="es-ES_tradnl"/>
        </w:rPr>
        <w:t>la contratación directa por parte de todos los entes del Estado</w:t>
      </w:r>
      <w:r w:rsidRPr="005220DA">
        <w:rPr>
          <w:rFonts w:ascii="Arial" w:eastAsia="Calibri" w:hAnsi="Arial" w:cs="Arial"/>
          <w:bCs/>
          <w:lang w:val="es-ES_tradnl"/>
        </w:rPr>
        <w:t>»</w:t>
      </w:r>
      <w:r w:rsidRPr="005220DA">
        <w:rPr>
          <w:rFonts w:ascii="Arial" w:eastAsia="Calibri" w:hAnsi="Arial" w:cs="Arial"/>
          <w:lang w:val="es-ES_tradnl"/>
        </w:rPr>
        <w:t xml:space="preserve"> durante los cuatro (4) meses anteriores a las elecciones presidenciales, salvo </w:t>
      </w:r>
      <w:r w:rsidRPr="005220DA">
        <w:rPr>
          <w:rFonts w:ascii="Arial" w:eastAsia="Calibri" w:hAnsi="Arial" w:cs="Arial"/>
          <w:bCs/>
          <w:lang w:val="es-ES_tradnl"/>
        </w:rPr>
        <w:t xml:space="preserve">«[…] </w:t>
      </w:r>
      <w:r w:rsidRPr="005220DA">
        <w:rPr>
          <w:rFonts w:ascii="Arial" w:eastAsia="Calibri" w:hAnsi="Arial" w:cs="Arial"/>
          <w:lang w:val="es-ES_tradnl"/>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w:t>
      </w:r>
      <w:r w:rsidRPr="005220DA">
        <w:rPr>
          <w:rFonts w:ascii="Arial" w:eastAsia="Calibri" w:hAnsi="Arial" w:cs="Arial"/>
          <w:lang w:val="es-ES_tradnl"/>
        </w:rPr>
        <w:lastRenderedPageBreak/>
        <w:t>sido objeto de atentados, acciones terroristas, desastres naturales o casos de fuerza mayor, y los que deban realizar las entidades sanitarias y hospitalarias</w:t>
      </w:r>
      <w:r w:rsidRPr="005220DA">
        <w:rPr>
          <w:rFonts w:ascii="Arial" w:eastAsia="Calibri" w:hAnsi="Arial" w:cs="Arial"/>
          <w:bCs/>
          <w:lang w:val="es-ES_tradnl"/>
        </w:rPr>
        <w:t>»</w:t>
      </w:r>
      <w:r w:rsidRPr="005220DA">
        <w:rPr>
          <w:rFonts w:ascii="Arial" w:eastAsia="Calibri" w:hAnsi="Arial" w:cs="Arial"/>
          <w:sz w:val="24"/>
          <w:szCs w:val="24"/>
          <w:vertAlign w:val="superscript"/>
          <w:lang w:eastAsia="es-ES_tradnl"/>
        </w:rPr>
        <w:footnoteReference w:id="15"/>
      </w:r>
      <w:r w:rsidRPr="005220DA">
        <w:rPr>
          <w:rFonts w:ascii="Arial" w:eastAsia="Calibri" w:hAnsi="Arial" w:cs="Arial"/>
          <w:lang w:val="es-ES_tradnl"/>
        </w:rPr>
        <w:t>.</w:t>
      </w:r>
    </w:p>
    <w:p w14:paraId="5D6C2C2A" w14:textId="77777777" w:rsidR="00885E41" w:rsidRPr="005220DA" w:rsidRDefault="00885E41" w:rsidP="00885E41">
      <w:pPr>
        <w:widowControl w:val="0"/>
        <w:autoSpaceDE w:val="0"/>
        <w:autoSpaceDN w:val="0"/>
        <w:spacing w:after="0" w:line="276" w:lineRule="auto"/>
        <w:ind w:right="113" w:firstLine="708"/>
        <w:jc w:val="both"/>
        <w:rPr>
          <w:rFonts w:ascii="Arial" w:eastAsia="Arial" w:hAnsi="Arial" w:cs="Arial"/>
          <w:lang w:val="es-ES_tradnl" w:eastAsia="es-ES" w:bidi="es-ES"/>
        </w:rPr>
      </w:pPr>
      <w:r w:rsidRPr="005220DA">
        <w:rPr>
          <w:rFonts w:ascii="Arial" w:eastAsia="Calibri" w:hAnsi="Arial" w:cs="Arial"/>
          <w:lang w:val="es-ES_tradn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5220DA">
        <w:rPr>
          <w:rFonts w:ascii="Arial" w:eastAsia="Calibri" w:hAnsi="Arial" w:cs="Arial"/>
          <w:bCs/>
          <w:lang w:val="es-ES_tradnl"/>
        </w:rPr>
        <w:t xml:space="preserve">«[…] </w:t>
      </w:r>
      <w:r w:rsidRPr="005220DA">
        <w:rPr>
          <w:rFonts w:ascii="Arial" w:eastAsia="Calibri" w:hAnsi="Arial" w:cs="Arial"/>
          <w:lang w:val="es-ES_tradnl"/>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220DA">
        <w:rPr>
          <w:rFonts w:ascii="Arial" w:eastAsia="Calibri" w:hAnsi="Arial" w:cs="Arial"/>
          <w:bCs/>
          <w:sz w:val="19"/>
          <w:szCs w:val="19"/>
          <w:lang w:val="es-ES_tradnl"/>
        </w:rPr>
        <w:t>»</w:t>
      </w:r>
      <w:r w:rsidRPr="005220DA">
        <w:rPr>
          <w:rFonts w:ascii="Arial" w:eastAsia="Calibri" w:hAnsi="Arial" w:cs="Arial"/>
          <w:sz w:val="24"/>
          <w:szCs w:val="24"/>
          <w:vertAlign w:val="superscript"/>
          <w:lang w:eastAsia="es-ES_tradnl"/>
        </w:rPr>
        <w:footnoteReference w:id="16"/>
      </w:r>
      <w:r w:rsidRPr="005220DA">
        <w:rPr>
          <w:rFonts w:ascii="Arial" w:eastAsia="Calibri" w:hAnsi="Arial" w:cs="Arial"/>
          <w:lang w:val="es-ES_tradnl"/>
        </w:rPr>
        <w:t>.</w:t>
      </w:r>
      <w:r w:rsidRPr="005220DA">
        <w:rPr>
          <w:rFonts w:ascii="Arial" w:eastAsia="Arial" w:hAnsi="Arial" w:cs="Arial"/>
          <w:lang w:val="es-ES_tradnl"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19E741EB" w14:textId="77777777" w:rsidR="00885E41" w:rsidRPr="005220DA" w:rsidRDefault="00885E41" w:rsidP="00885E41">
      <w:pPr>
        <w:widowControl w:val="0"/>
        <w:autoSpaceDE w:val="0"/>
        <w:autoSpaceDN w:val="0"/>
        <w:spacing w:after="0" w:line="240" w:lineRule="auto"/>
        <w:ind w:left="805" w:right="812"/>
        <w:jc w:val="both"/>
        <w:rPr>
          <w:rFonts w:ascii="Arial" w:eastAsia="Arial" w:hAnsi="Arial" w:cs="Arial"/>
          <w:lang w:val="es-ES_tradnl" w:eastAsia="es-ES" w:bidi="es-ES"/>
        </w:rPr>
      </w:pPr>
    </w:p>
    <w:p w14:paraId="57D8951C" w14:textId="77777777" w:rsidR="00885E41" w:rsidRPr="005220DA" w:rsidRDefault="00885E41" w:rsidP="00885E41">
      <w:pPr>
        <w:widowControl w:val="0"/>
        <w:autoSpaceDE w:val="0"/>
        <w:autoSpaceDN w:val="0"/>
        <w:spacing w:after="0" w:line="240" w:lineRule="auto"/>
        <w:ind w:left="709" w:right="709"/>
        <w:jc w:val="both"/>
        <w:rPr>
          <w:rFonts w:ascii="Arial" w:eastAsia="Arial" w:hAnsi="Arial" w:cs="Arial"/>
          <w:sz w:val="21"/>
          <w:szCs w:val="21"/>
          <w:lang w:val="es-ES_tradnl" w:eastAsia="es-ES" w:bidi="es-ES"/>
        </w:rPr>
      </w:pPr>
      <w:r w:rsidRPr="005220DA">
        <w:rPr>
          <w:rFonts w:ascii="Arial" w:eastAsia="Arial" w:hAnsi="Arial" w:cs="Arial"/>
          <w:sz w:val="21"/>
          <w:szCs w:val="21"/>
          <w:lang w:val="es-ES_tradnl"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w:t>
      </w:r>
      <w:r w:rsidRPr="005220DA">
        <w:rPr>
          <w:rFonts w:ascii="Arial" w:eastAsia="Arial" w:hAnsi="Arial" w:cs="Arial"/>
          <w:sz w:val="21"/>
          <w:szCs w:val="21"/>
          <w:lang w:val="es-ES_tradnl" w:eastAsia="es-ES" w:bidi="es-ES"/>
        </w:rPr>
        <w:lastRenderedPageBreak/>
        <w:t xml:space="preserve">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5220DA">
        <w:rPr>
          <w:rFonts w:ascii="Arial" w:eastAsia="Arial" w:hAnsi="Arial" w:cs="Arial"/>
          <w:bCs/>
          <w:sz w:val="21"/>
          <w:szCs w:val="21"/>
          <w:lang w:val="es-ES_tradnl" w:eastAsia="es-ES" w:bidi="es-ES"/>
        </w:rPr>
        <w:t>En cambio, para elecciones en general, excluyendo las correspondientes a Presidente de la República, a las autoridades territoriales allí mencionadas sólo se aplican las restricciones contenidas en el parágrafo del artículo 38</w:t>
      </w:r>
      <w:r w:rsidRPr="005220DA">
        <w:rPr>
          <w:rFonts w:ascii="Arial" w:eastAsia="Arial" w:hAnsi="Arial" w:cs="Arial"/>
          <w:sz w:val="24"/>
          <w:szCs w:val="24"/>
          <w:vertAlign w:val="superscript"/>
          <w:lang w:eastAsia="es-ES_tradnl"/>
        </w:rPr>
        <w:footnoteReference w:id="17"/>
      </w:r>
      <w:r w:rsidRPr="005220DA">
        <w:rPr>
          <w:rFonts w:ascii="Arial" w:eastAsia="Arial" w:hAnsi="Arial" w:cs="Arial"/>
          <w:bCs/>
          <w:sz w:val="21"/>
          <w:szCs w:val="21"/>
          <w:lang w:val="es-ES_tradnl" w:eastAsia="es-ES" w:bidi="es-ES"/>
        </w:rPr>
        <w:t>.</w:t>
      </w:r>
    </w:p>
    <w:p w14:paraId="2ADD2A9D" w14:textId="77777777" w:rsidR="00885E41" w:rsidRPr="005220DA" w:rsidRDefault="00885E41" w:rsidP="00885E41">
      <w:pPr>
        <w:widowControl w:val="0"/>
        <w:autoSpaceDE w:val="0"/>
        <w:autoSpaceDN w:val="0"/>
        <w:spacing w:before="8" w:after="0" w:line="240" w:lineRule="auto"/>
        <w:rPr>
          <w:rFonts w:ascii="Arial" w:eastAsia="Arial" w:hAnsi="Arial" w:cs="Arial"/>
          <w:lang w:val="es-ES_tradnl" w:eastAsia="es-ES" w:bidi="es-ES"/>
        </w:rPr>
      </w:pPr>
    </w:p>
    <w:p w14:paraId="01B8A1E7" w14:textId="77777777" w:rsidR="00885E41" w:rsidRPr="005220DA" w:rsidRDefault="00885E41" w:rsidP="00ED7F10">
      <w:pPr>
        <w:spacing w:after="120" w:line="276" w:lineRule="auto"/>
        <w:ind w:firstLine="709"/>
        <w:jc w:val="both"/>
        <w:rPr>
          <w:rFonts w:ascii="Arial" w:eastAsia="Arial" w:hAnsi="Arial" w:cs="Arial"/>
          <w:lang w:val="es-ES_tradnl" w:eastAsia="es-ES" w:bidi="es-ES"/>
        </w:rPr>
      </w:pPr>
      <w:r w:rsidRPr="005220DA">
        <w:rPr>
          <w:rFonts w:ascii="Arial" w:eastAsia="Arial" w:hAnsi="Arial" w:cs="Arial"/>
          <w:lang w:val="es-ES_tradnl" w:eastAsia="es-ES" w:bidi="es-ES"/>
        </w:rPr>
        <w:t xml:space="preserve">De lo anterior se desprende que la Ley 996 de 2005 establece dos (2) tipos de restricciones en materia de contratación, las cuales coinciden parcialmente. </w:t>
      </w:r>
      <w:r w:rsidRPr="005220DA">
        <w:rPr>
          <w:rFonts w:ascii="Arial" w:eastAsia="Arial" w:hAnsi="Arial" w:cs="Arial"/>
          <w:i/>
          <w:iCs/>
          <w:lang w:val="es-ES_tradnl" w:eastAsia="es-ES" w:bidi="es-ES"/>
        </w:rPr>
        <w:t>En primer lugar</w:t>
      </w:r>
      <w:r w:rsidRPr="005220DA">
        <w:rPr>
          <w:rFonts w:ascii="Arial" w:eastAsia="Arial" w:hAnsi="Arial" w:cs="Arial"/>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conforme al artículo 190 de la Constitución Política. Para estos efectos, la restricción se extenderá hasta la fecha en la que se realice la segunda vuelta. </w:t>
      </w:r>
      <w:r w:rsidRPr="005220DA">
        <w:rPr>
          <w:rFonts w:ascii="Arial" w:eastAsia="Arial" w:hAnsi="Arial" w:cs="Arial"/>
          <w:i/>
          <w:iCs/>
          <w:lang w:val="es-ES_tradnl" w:eastAsia="es-ES" w:bidi="es-ES"/>
        </w:rPr>
        <w:t>En segundo lugar</w:t>
      </w:r>
      <w:r w:rsidRPr="005220DA">
        <w:rPr>
          <w:rFonts w:ascii="Arial" w:eastAsia="Arial" w:hAnsi="Arial" w:cs="Arial"/>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327DEBB" w14:textId="77777777" w:rsidR="00885E41" w:rsidRPr="005220DA" w:rsidRDefault="00885E41" w:rsidP="00ED7F10">
      <w:pPr>
        <w:spacing w:after="120" w:line="276" w:lineRule="auto"/>
        <w:ind w:firstLine="709"/>
        <w:jc w:val="both"/>
        <w:rPr>
          <w:rFonts w:ascii="Arial" w:eastAsia="Arial" w:hAnsi="Arial" w:cs="Arial"/>
          <w:lang w:val="es-ES_tradnl" w:eastAsia="es-ES" w:bidi="es-ES"/>
        </w:rPr>
      </w:pPr>
      <w:r w:rsidRPr="005220DA">
        <w:rPr>
          <w:rFonts w:ascii="Arial" w:eastAsia="Arial" w:hAnsi="Arial" w:cs="Arial"/>
          <w:lang w:val="es-ES_tradnl"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solo deben aplicar las restricciones contenidas en el parágrafo del artículo 38.</w:t>
      </w:r>
    </w:p>
    <w:p w14:paraId="4B986E2C" w14:textId="77777777" w:rsidR="00885E41" w:rsidRPr="005220DA" w:rsidRDefault="00885E41" w:rsidP="00ED7F10">
      <w:pPr>
        <w:spacing w:after="0" w:line="276" w:lineRule="auto"/>
        <w:ind w:firstLine="708"/>
        <w:jc w:val="both"/>
        <w:rPr>
          <w:rFonts w:ascii="Arial" w:eastAsia="Arial" w:hAnsi="Arial" w:cs="Arial"/>
          <w:lang w:val="es-ES_tradnl" w:eastAsia="es-ES" w:bidi="es-ES"/>
        </w:rPr>
      </w:pPr>
      <w:r w:rsidRPr="005220DA">
        <w:rPr>
          <w:rFonts w:ascii="Arial" w:eastAsia="Arial" w:hAnsi="Arial" w:cs="Arial"/>
          <w:lang w:val="es-ES_tradnl"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w:t>
      </w:r>
      <w:r w:rsidRPr="005220DA">
        <w:rPr>
          <w:rFonts w:ascii="Arial" w:eastAsia="Arial" w:hAnsi="Arial" w:cs="Arial"/>
          <w:lang w:val="es-ES_tradnl" w:eastAsia="es-ES" w:bidi="es-ES"/>
        </w:rPr>
        <w:lastRenderedPageBreak/>
        <w:t>ejercido la presidencia o que la haya ejercido por un tiempo inferior a tres (3) meses durante el respectivo cuatrienio, en forma continua o discontinua, conforme al artículo 197 de la Constitución Política.</w:t>
      </w:r>
    </w:p>
    <w:p w14:paraId="3266D508" w14:textId="77777777" w:rsidR="00885E41" w:rsidRPr="005220DA" w:rsidRDefault="00885E41" w:rsidP="00885E41">
      <w:pPr>
        <w:spacing w:after="0" w:line="276" w:lineRule="auto"/>
        <w:ind w:firstLine="708"/>
        <w:jc w:val="both"/>
        <w:rPr>
          <w:rFonts w:ascii="Arial" w:eastAsia="Arial" w:hAnsi="Arial" w:cs="Arial"/>
          <w:lang w:val="es-ES_tradnl" w:eastAsia="es-ES" w:bidi="es-ES"/>
        </w:rPr>
      </w:pPr>
    </w:p>
    <w:p w14:paraId="2E075C5D" w14:textId="1EED7371" w:rsidR="00885E41" w:rsidRPr="005220DA" w:rsidRDefault="00885E41" w:rsidP="00885E41">
      <w:pPr>
        <w:spacing w:after="0" w:line="276" w:lineRule="auto"/>
        <w:jc w:val="both"/>
        <w:rPr>
          <w:rFonts w:ascii="Arial" w:eastAsia="Times New Roman" w:hAnsi="Arial" w:cs="Arial"/>
          <w:b/>
          <w:lang w:val="es-ES_tradnl" w:eastAsia="es-CO"/>
        </w:rPr>
      </w:pPr>
      <w:r w:rsidRPr="005220DA">
        <w:rPr>
          <w:rFonts w:ascii="Arial" w:eastAsia="Times New Roman" w:hAnsi="Arial" w:cs="Arial"/>
          <w:b/>
          <w:lang w:val="es-ES_tradnl" w:eastAsia="es-CO"/>
        </w:rPr>
        <w:t>2.</w:t>
      </w:r>
      <w:r w:rsidR="00031F44">
        <w:rPr>
          <w:rFonts w:ascii="Arial" w:eastAsia="Times New Roman" w:hAnsi="Arial" w:cs="Arial"/>
          <w:b/>
          <w:lang w:val="es-ES_tradnl" w:eastAsia="es-CO"/>
        </w:rPr>
        <w:t>3</w:t>
      </w:r>
      <w:r w:rsidRPr="005220DA">
        <w:rPr>
          <w:rFonts w:ascii="Arial" w:eastAsia="Times New Roman" w:hAnsi="Arial" w:cs="Arial"/>
          <w:b/>
          <w:lang w:val="es-ES_tradnl" w:eastAsia="es-CO"/>
        </w:rPr>
        <w:t xml:space="preserve">. </w:t>
      </w:r>
      <w:r w:rsidRPr="005220DA">
        <w:rPr>
          <w:rFonts w:ascii="Arial" w:eastAsia="Times New Roman" w:hAnsi="Arial" w:cs="Arial"/>
          <w:b/>
          <w:bCs/>
          <w:lang w:val="es-ES_tradnl" w:eastAsia="es-CO"/>
        </w:rPr>
        <w:t>Restricciones en elecciones presidenciales: prohibición del artículo 33 de la Ley 996 de 2005</w:t>
      </w:r>
    </w:p>
    <w:p w14:paraId="6B6F280F" w14:textId="77777777" w:rsidR="00885E41" w:rsidRPr="005220DA" w:rsidRDefault="00885E41" w:rsidP="00885E41">
      <w:pPr>
        <w:spacing w:after="0" w:line="276" w:lineRule="auto"/>
        <w:jc w:val="both"/>
        <w:rPr>
          <w:rFonts w:ascii="Arial" w:eastAsia="Times New Roman" w:hAnsi="Arial" w:cs="Arial"/>
          <w:bCs/>
          <w:lang w:val="es-ES_tradnl" w:eastAsia="x-none"/>
        </w:rPr>
      </w:pPr>
    </w:p>
    <w:p w14:paraId="2260C435" w14:textId="77777777" w:rsidR="00885E41" w:rsidRPr="005220DA" w:rsidRDefault="00885E41" w:rsidP="00885E41">
      <w:pPr>
        <w:spacing w:after="0" w:line="276" w:lineRule="auto"/>
        <w:jc w:val="both"/>
        <w:rPr>
          <w:rFonts w:ascii="Arial" w:eastAsia="Times New Roman" w:hAnsi="Arial" w:cs="Arial"/>
          <w:bCs/>
          <w:lang w:val="es-ES_tradnl" w:eastAsia="es-CO"/>
        </w:rPr>
      </w:pPr>
      <w:r w:rsidRPr="005220DA">
        <w:rPr>
          <w:rFonts w:ascii="Arial" w:eastAsia="Times New Roman" w:hAnsi="Arial" w:cs="Arial"/>
          <w:bCs/>
          <w:lang w:val="es-ES_tradnl" w:eastAsia="x-none"/>
        </w:rPr>
        <w:t xml:space="preserve">El ámbito material de la prohibición contenida en el artículo 33 de la ley 996 de 2005 está delimitado por la expresión </w:t>
      </w:r>
      <w:r w:rsidRPr="005220DA">
        <w:rPr>
          <w:rFonts w:ascii="Arial" w:eastAsia="Calibri" w:hAnsi="Arial" w:cs="Arial"/>
          <w:bCs/>
          <w:sz w:val="20"/>
          <w:szCs w:val="20"/>
          <w:lang w:val="es-ES_tradnl"/>
        </w:rPr>
        <w:t>«</w:t>
      </w:r>
      <w:r w:rsidRPr="005220DA">
        <w:rPr>
          <w:rFonts w:ascii="Arial" w:eastAsia="Times New Roman" w:hAnsi="Arial" w:cs="Arial"/>
          <w:bCs/>
          <w:lang w:val="es-ES_tradnl" w:eastAsia="x-none"/>
        </w:rPr>
        <w:t>queda prohibida la contratación directa</w:t>
      </w:r>
      <w:r w:rsidRPr="005220DA">
        <w:rPr>
          <w:rFonts w:ascii="Arial" w:eastAsia="Calibri" w:hAnsi="Arial" w:cs="Arial"/>
          <w:sz w:val="20"/>
          <w:szCs w:val="20"/>
          <w:lang w:val="es-ES_tradnl"/>
        </w:rPr>
        <w:t>»</w:t>
      </w:r>
      <w:r w:rsidRPr="005220DA">
        <w:rPr>
          <w:rFonts w:ascii="Arial" w:eastAsia="Times New Roman" w:hAnsi="Arial" w:cs="Arial"/>
          <w:bCs/>
          <w:lang w:val="es-ES_tradnl" w:eastAsia="x-none"/>
        </w:rPr>
        <w:t xml:space="preserve">. </w:t>
      </w:r>
      <w:r w:rsidRPr="005220DA">
        <w:rPr>
          <w:rFonts w:ascii="Arial" w:eastAsia="Times New Roman" w:hAnsi="Arial" w:cs="Arial"/>
          <w:lang w:val="es-ES_tradnl" w:eastAsia="es-CO"/>
        </w:rPr>
        <w:t xml:space="preserve"> A propósito de esta restricción de la Ley de Garantías Electorales, la Sala de Consulta y Servicio Civil del Consejo de Estado ha considerado que:</w:t>
      </w:r>
    </w:p>
    <w:p w14:paraId="7553E95C" w14:textId="77777777" w:rsidR="00885E41" w:rsidRPr="005220DA" w:rsidRDefault="00885E41" w:rsidP="00885E41">
      <w:pPr>
        <w:spacing w:after="0" w:line="240" w:lineRule="auto"/>
        <w:ind w:left="708" w:right="709"/>
        <w:jc w:val="both"/>
        <w:rPr>
          <w:rFonts w:ascii="Arial" w:eastAsia="Calibri" w:hAnsi="Arial" w:cs="Arial"/>
          <w:sz w:val="21"/>
          <w:szCs w:val="21"/>
          <w:lang w:val="es-ES_tradnl"/>
        </w:rPr>
      </w:pPr>
    </w:p>
    <w:p w14:paraId="2F2C72E5" w14:textId="77777777" w:rsidR="00885E41" w:rsidRPr="005220DA" w:rsidRDefault="00885E41" w:rsidP="00885E41">
      <w:pPr>
        <w:spacing w:after="120" w:line="240" w:lineRule="auto"/>
        <w:ind w:left="709" w:right="709"/>
        <w:jc w:val="both"/>
        <w:rPr>
          <w:rFonts w:ascii="Arial" w:eastAsia="Calibri" w:hAnsi="Arial" w:cs="Arial"/>
          <w:sz w:val="21"/>
          <w:szCs w:val="21"/>
          <w:lang w:val="es-ES_tradnl"/>
        </w:rPr>
      </w:pPr>
      <w:r w:rsidRPr="005220DA">
        <w:rPr>
          <w:rFonts w:ascii="Arial" w:eastAsia="Calibri" w:hAnsi="Arial" w:cs="Arial"/>
          <w:sz w:val="21"/>
          <w:szCs w:val="21"/>
          <w:lang w:val="es-ES_tradnl"/>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5220DA">
        <w:rPr>
          <w:rFonts w:ascii="Arial" w:eastAsia="Times New Roman" w:hAnsi="Arial" w:cs="Arial"/>
          <w:sz w:val="24"/>
          <w:szCs w:val="24"/>
          <w:vertAlign w:val="superscript"/>
          <w:lang w:eastAsia="es-ES_tradnl"/>
        </w:rPr>
        <w:footnoteReference w:id="18"/>
      </w:r>
      <w:r w:rsidRPr="005220DA">
        <w:rPr>
          <w:rFonts w:ascii="Arial" w:eastAsia="Calibri" w:hAnsi="Arial" w:cs="Arial"/>
          <w:sz w:val="21"/>
          <w:szCs w:val="21"/>
          <w:lang w:val="es-ES_tradnl"/>
        </w:rPr>
        <w:t>.</w:t>
      </w:r>
    </w:p>
    <w:p w14:paraId="57409A6D" w14:textId="77777777" w:rsidR="00885E41" w:rsidRPr="005220DA" w:rsidRDefault="00885E41" w:rsidP="00885E41">
      <w:pPr>
        <w:spacing w:after="0" w:line="240" w:lineRule="auto"/>
        <w:ind w:left="708" w:right="709"/>
        <w:jc w:val="both"/>
        <w:rPr>
          <w:rFonts w:ascii="Arial" w:eastAsia="Calibri" w:hAnsi="Arial" w:cs="Arial"/>
          <w:sz w:val="21"/>
          <w:szCs w:val="21"/>
          <w:lang w:val="es-ES_tradnl"/>
        </w:rPr>
      </w:pPr>
      <w:r w:rsidRPr="005220DA">
        <w:rPr>
          <w:rFonts w:ascii="Arial" w:eastAsia="Calibri" w:hAnsi="Arial" w:cs="Arial"/>
          <w:sz w:val="21"/>
          <w:szCs w:val="21"/>
          <w:lang w:val="es-ES_tradnl"/>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5220DA">
        <w:rPr>
          <w:rFonts w:ascii="Arial" w:eastAsia="Times New Roman" w:hAnsi="Arial" w:cs="Arial"/>
          <w:sz w:val="24"/>
          <w:szCs w:val="24"/>
          <w:vertAlign w:val="superscript"/>
          <w:lang w:eastAsia="es-ES_tradnl"/>
        </w:rPr>
        <w:footnoteReference w:id="19"/>
      </w:r>
      <w:r w:rsidRPr="005220DA">
        <w:rPr>
          <w:rFonts w:ascii="Arial" w:eastAsia="Times New Roman" w:hAnsi="Arial" w:cs="Arial"/>
          <w:sz w:val="21"/>
          <w:szCs w:val="21"/>
          <w:vertAlign w:val="superscript"/>
          <w:lang w:val="es-ES_tradnl"/>
        </w:rPr>
        <w:t>.</w:t>
      </w:r>
      <w:r w:rsidRPr="005220DA">
        <w:rPr>
          <w:rFonts w:ascii="Arial" w:eastAsia="Calibri" w:hAnsi="Arial" w:cs="Arial"/>
          <w:sz w:val="21"/>
          <w:szCs w:val="21"/>
          <w:lang w:val="es-ES_tradnl"/>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5220DA">
        <w:rPr>
          <w:rFonts w:ascii="Arial" w:eastAsia="Times New Roman" w:hAnsi="Arial" w:cs="Arial"/>
          <w:sz w:val="24"/>
          <w:szCs w:val="24"/>
          <w:vertAlign w:val="superscript"/>
          <w:lang w:eastAsia="es-ES_tradnl"/>
        </w:rPr>
        <w:footnoteReference w:id="20"/>
      </w:r>
      <w:r w:rsidRPr="005220DA">
        <w:rPr>
          <w:rFonts w:ascii="Arial" w:eastAsia="Calibri" w:hAnsi="Arial" w:cs="Arial"/>
          <w:sz w:val="21"/>
          <w:szCs w:val="21"/>
          <w:lang w:val="es-ES_tradnl"/>
        </w:rPr>
        <w:t xml:space="preserve"> .</w:t>
      </w:r>
    </w:p>
    <w:p w14:paraId="64711C44" w14:textId="77777777" w:rsidR="00885E41" w:rsidRPr="005220DA" w:rsidRDefault="00885E41" w:rsidP="00885E41">
      <w:pPr>
        <w:shd w:val="clear" w:color="auto" w:fill="FFFFFF"/>
        <w:spacing w:after="0" w:line="276" w:lineRule="auto"/>
        <w:ind w:firstLine="709"/>
        <w:jc w:val="both"/>
        <w:rPr>
          <w:rFonts w:ascii="Arial" w:eastAsia="Times New Roman" w:hAnsi="Arial" w:cs="Arial"/>
          <w:lang w:val="es-ES_tradnl" w:eastAsia="x-none"/>
        </w:rPr>
      </w:pPr>
    </w:p>
    <w:p w14:paraId="62564048" w14:textId="77777777" w:rsidR="00885E41" w:rsidRPr="005220DA" w:rsidRDefault="00885E41" w:rsidP="00885E41">
      <w:pPr>
        <w:spacing w:after="120" w:line="276" w:lineRule="auto"/>
        <w:ind w:firstLine="708"/>
        <w:jc w:val="both"/>
        <w:rPr>
          <w:rFonts w:ascii="Arial" w:eastAsia="Times New Roman" w:hAnsi="Arial" w:cs="Arial"/>
          <w:bCs/>
          <w:lang w:val="es-ES_tradnl" w:eastAsia="x-none"/>
        </w:rPr>
      </w:pPr>
      <w:r w:rsidRPr="005220DA">
        <w:rPr>
          <w:rFonts w:ascii="Arial" w:eastAsia="Times New Roman" w:hAnsi="Arial" w:cs="Arial"/>
          <w:lang w:val="es-ES_tradnl" w:eastAsia="x-none"/>
        </w:rPr>
        <w:t xml:space="preserve">De acuerdo con el citado concepto, la prohibición del artículo 33 de la Ley de Garantías Electorales se refiere a </w:t>
      </w:r>
      <w:r w:rsidRPr="005220DA">
        <w:rPr>
          <w:rFonts w:ascii="Arial" w:eastAsia="Times New Roman" w:hAnsi="Arial" w:cs="Arial"/>
          <w:sz w:val="19"/>
          <w:szCs w:val="19"/>
          <w:lang w:val="es-ES_tradnl" w:eastAsia="en-GB"/>
        </w:rPr>
        <w:t>«</w:t>
      </w:r>
      <w:r w:rsidRPr="005220DA">
        <w:rPr>
          <w:rFonts w:ascii="Arial" w:eastAsia="Times New Roman" w:hAnsi="Arial" w:cs="Arial"/>
          <w:lang w:val="es-ES_tradnl" w:eastAsia="x-none"/>
        </w:rPr>
        <w:t>cualquier sistema que no implique convocatoria pública y posibilidad de pluralidad de oferentes</w:t>
      </w:r>
      <w:r w:rsidRPr="005220DA">
        <w:rPr>
          <w:rFonts w:ascii="Arial" w:eastAsia="Times New Roman" w:hAnsi="Arial" w:cs="Arial"/>
          <w:lang w:val="es-ES_tradnl" w:eastAsia="en-GB"/>
        </w:rPr>
        <w:t>»</w:t>
      </w:r>
      <w:r w:rsidRPr="005220DA">
        <w:rPr>
          <w:rFonts w:ascii="Arial" w:eastAsia="Times New Roman" w:hAnsi="Arial" w:cs="Arial"/>
          <w:lang w:val="es-ES_tradnl" w:eastAsia="x-none"/>
        </w:rPr>
        <w:t xml:space="preserve">, por lo que excluye las demás modalidades de contratación previstas en la Ley 1150 de 2007, es decir, la licitación pública, la selección </w:t>
      </w:r>
      <w:r w:rsidRPr="005220DA">
        <w:rPr>
          <w:rFonts w:ascii="Arial" w:eastAsia="Times New Roman" w:hAnsi="Arial" w:cs="Arial"/>
          <w:lang w:val="es-ES_tradnl" w:eastAsia="x-none"/>
        </w:rPr>
        <w:lastRenderedPageBreak/>
        <w:t>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w:t>
      </w:r>
      <w:r w:rsidRPr="005220DA">
        <w:rPr>
          <w:rFonts w:ascii="Arial" w:eastAsia="Times New Roman" w:hAnsi="Arial" w:cs="Arial"/>
          <w:sz w:val="24"/>
          <w:szCs w:val="24"/>
          <w:vertAlign w:val="superscript"/>
          <w:lang w:eastAsia="es-ES_tradnl"/>
        </w:rPr>
        <w:footnoteReference w:id="21"/>
      </w:r>
      <w:r w:rsidRPr="005220DA">
        <w:rPr>
          <w:rFonts w:ascii="Arial" w:eastAsia="Times New Roman" w:hAnsi="Arial" w:cs="Arial"/>
          <w:lang w:val="es-ES_tradnl" w:eastAsia="x-none"/>
        </w:rPr>
        <w:t xml:space="preserve"> y sistematizó las causales de contratación directa</w:t>
      </w:r>
      <w:r w:rsidRPr="005220DA">
        <w:rPr>
          <w:rFonts w:ascii="Arial" w:eastAsia="Times New Roman" w:hAnsi="Arial" w:cs="Arial"/>
          <w:sz w:val="24"/>
          <w:szCs w:val="24"/>
          <w:vertAlign w:val="superscript"/>
          <w:lang w:eastAsia="es-ES_tradnl"/>
        </w:rPr>
        <w:footnoteReference w:id="22"/>
      </w:r>
      <w:r w:rsidRPr="005220DA">
        <w:rPr>
          <w:rFonts w:ascii="Arial" w:eastAsia="Times New Roman" w:hAnsi="Arial" w:cs="Arial"/>
          <w:lang w:val="es-ES_tradnl" w:eastAsia="x-none"/>
        </w:rPr>
        <w:t xml:space="preserve">, </w:t>
      </w:r>
      <w:r w:rsidRPr="005220DA">
        <w:rPr>
          <w:rFonts w:ascii="Arial" w:eastAsia="Calibri" w:hAnsi="Arial" w:cs="Arial"/>
          <w:color w:val="000000"/>
          <w:szCs w:val="24"/>
          <w:lang w:eastAsia="x-none"/>
        </w:rPr>
        <w:t>además lo es con la posterior creación de la modalidad de mínima cuantía establecida actualmente en el numeral 5 del artículo 2 de la Ley 1150 de 2007, de acuerdo con las modificaciones realizadas por leyes posteriores.</w:t>
      </w:r>
    </w:p>
    <w:p w14:paraId="21ECF35C" w14:textId="77777777" w:rsidR="00885E41" w:rsidRPr="005220DA" w:rsidRDefault="00885E41" w:rsidP="00885E41">
      <w:pPr>
        <w:spacing w:after="120" w:line="276" w:lineRule="auto"/>
        <w:ind w:firstLine="708"/>
        <w:jc w:val="both"/>
        <w:rPr>
          <w:rFonts w:ascii="Arial" w:eastAsia="Times New Roman" w:hAnsi="Arial" w:cs="Arial"/>
          <w:lang w:val="es-ES_tradnl" w:eastAsia="x-none"/>
        </w:rPr>
      </w:pPr>
      <w:r w:rsidRPr="005220DA">
        <w:rPr>
          <w:rFonts w:ascii="Arial" w:eastAsia="Times New Roman" w:hAnsi="Arial" w:cs="Arial"/>
          <w:lang w:val="es-ES_tradnl" w:eastAsia="x-none"/>
        </w:rPr>
        <w:t xml:space="preserve">De esta forma, con fundamento en la evolución de la normativa sobre la contratación pública, se ha depurado la noción de </w:t>
      </w:r>
      <w:r w:rsidRPr="005220DA">
        <w:rPr>
          <w:rFonts w:ascii="Arial" w:eastAsia="Times New Roman" w:hAnsi="Arial" w:cs="Arial"/>
          <w:sz w:val="19"/>
          <w:szCs w:val="19"/>
          <w:lang w:val="es-ES_tradnl" w:eastAsia="en-GB"/>
        </w:rPr>
        <w:t>«</w:t>
      </w:r>
      <w:r w:rsidRPr="005220DA">
        <w:rPr>
          <w:rFonts w:ascii="Arial" w:eastAsia="Times New Roman" w:hAnsi="Arial" w:cs="Arial"/>
          <w:lang w:val="es-ES_tradnl" w:eastAsia="x-none"/>
        </w:rPr>
        <w:t>contratación directa</w:t>
      </w:r>
      <w:r w:rsidRPr="005220DA">
        <w:rPr>
          <w:rFonts w:ascii="Arial" w:eastAsia="Times New Roman" w:hAnsi="Arial" w:cs="Arial"/>
          <w:lang w:val="es-ES_tradnl" w:eastAsia="en-GB"/>
        </w:rPr>
        <w:t>»</w:t>
      </w:r>
      <w:r w:rsidRPr="005220DA">
        <w:rPr>
          <w:rFonts w:ascii="Arial" w:eastAsia="Times New Roman" w:hAnsi="Arial" w:cs="Arial"/>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5220DA">
        <w:rPr>
          <w:rFonts w:ascii="Arial" w:eastAsia="Times New Roman" w:hAnsi="Arial" w:cs="Arial"/>
          <w:sz w:val="24"/>
          <w:szCs w:val="24"/>
          <w:vertAlign w:val="superscript"/>
          <w:lang w:eastAsia="es-ES_tradnl"/>
        </w:rPr>
        <w:footnoteReference w:id="23"/>
      </w:r>
      <w:r w:rsidRPr="005220DA">
        <w:rPr>
          <w:rFonts w:ascii="Arial" w:eastAsia="Times New Roman" w:hAnsi="Arial" w:cs="Arial"/>
          <w:lang w:val="es-ES_tradnl" w:eastAsia="x-none"/>
        </w:rPr>
        <w:t>, han establecido sistemas de contratación que implican convocatoria pública y participación de varios oferentes</w:t>
      </w:r>
      <w:r w:rsidRPr="005220DA">
        <w:rPr>
          <w:rFonts w:ascii="Arial" w:eastAsia="Times New Roman" w:hAnsi="Arial" w:cs="Arial"/>
          <w:lang w:val="es-ES_tradnl" w:eastAsia="en-GB"/>
        </w:rPr>
        <w:t>»</w:t>
      </w:r>
      <w:r w:rsidRPr="005220DA">
        <w:rPr>
          <w:rFonts w:ascii="Arial" w:eastAsia="Times New Roman" w:hAnsi="Arial" w:cs="Arial"/>
          <w:lang w:val="es-ES_tradnl" w:eastAsia="x-none"/>
        </w:rPr>
        <w:t xml:space="preserve">. </w:t>
      </w:r>
    </w:p>
    <w:p w14:paraId="1A40C4CD" w14:textId="77777777" w:rsidR="00885E41" w:rsidRPr="005220DA" w:rsidRDefault="00885E41" w:rsidP="00885E41">
      <w:pPr>
        <w:spacing w:after="120" w:line="276" w:lineRule="auto"/>
        <w:ind w:firstLine="708"/>
        <w:jc w:val="both"/>
        <w:rPr>
          <w:rFonts w:ascii="Arial" w:eastAsia="Times New Roman" w:hAnsi="Arial" w:cs="Arial"/>
          <w:bCs/>
          <w:lang w:val="es-ES_tradnl" w:eastAsia="es-CO"/>
        </w:rPr>
      </w:pPr>
      <w:r w:rsidRPr="005220DA">
        <w:rPr>
          <w:rFonts w:ascii="Arial" w:eastAsia="Times New Roman" w:hAnsi="Arial" w:cs="Arial"/>
          <w:bCs/>
          <w:lang w:val="es-ES_tradnl" w:eastAsia="x-none"/>
        </w:rPr>
        <w:t>E</w:t>
      </w:r>
      <w:r w:rsidRPr="005220DA">
        <w:rPr>
          <w:rFonts w:ascii="Arial" w:eastAsia="Times New Roman" w:hAnsi="Arial" w:cs="Arial"/>
          <w:lang w:val="es-ES_tradnl"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5220DA">
        <w:rPr>
          <w:rFonts w:ascii="Arial" w:eastAsia="Times New Roman" w:hAnsi="Arial" w:cs="Arial"/>
          <w:sz w:val="24"/>
          <w:szCs w:val="24"/>
          <w:vertAlign w:val="superscript"/>
          <w:lang w:eastAsia="es-ES_tradnl"/>
        </w:rPr>
        <w:footnoteReference w:id="24"/>
      </w:r>
      <w:r w:rsidRPr="005220DA">
        <w:rPr>
          <w:rFonts w:ascii="Arial" w:eastAsia="Times New Roman" w:hAnsi="Arial" w:cs="Arial"/>
          <w:lang w:val="es-ES_tradnl" w:eastAsia="x-none"/>
        </w:rPr>
        <w:t xml:space="preserve">. </w:t>
      </w:r>
    </w:p>
    <w:p w14:paraId="41CA9EAD" w14:textId="77777777" w:rsidR="00885E41" w:rsidRPr="005220DA" w:rsidRDefault="00885E41" w:rsidP="00885E41">
      <w:pPr>
        <w:spacing w:after="120" w:line="276" w:lineRule="auto"/>
        <w:ind w:firstLine="708"/>
        <w:jc w:val="both"/>
        <w:rPr>
          <w:rFonts w:ascii="Arial" w:eastAsia="Times New Roman" w:hAnsi="Arial" w:cs="Arial"/>
          <w:bCs/>
          <w:lang w:val="es-ES_tradnl" w:eastAsia="es-CO"/>
        </w:rPr>
      </w:pPr>
      <w:r w:rsidRPr="005220DA">
        <w:rPr>
          <w:rFonts w:ascii="Arial" w:eastAsia="Times New Roman" w:hAnsi="Arial" w:cs="Arial"/>
          <w:bCs/>
          <w:lang w:val="es-ES_tradnl"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w:t>
      </w:r>
      <w:r w:rsidRPr="005220DA">
        <w:rPr>
          <w:rFonts w:ascii="Arial" w:eastAsia="Times New Roman" w:hAnsi="Arial" w:cs="Arial"/>
          <w:bCs/>
          <w:lang w:val="es-ES_tradnl" w:eastAsia="es-CO"/>
        </w:rPr>
        <w:lastRenderedPageBreak/>
        <w:t>observa que luego de la expedición de Ley 1150 de 2007, el Consejo de Estado comenzó a delimitar con mayor precisión el término de «contratación directa».</w:t>
      </w:r>
    </w:p>
    <w:p w14:paraId="15362127" w14:textId="77777777" w:rsidR="00885E41" w:rsidRPr="005220DA" w:rsidRDefault="00885E41" w:rsidP="00885E41">
      <w:pPr>
        <w:spacing w:after="120" w:line="276" w:lineRule="auto"/>
        <w:ind w:firstLine="708"/>
        <w:jc w:val="both"/>
        <w:rPr>
          <w:rFonts w:ascii="Arial" w:eastAsia="Times New Roman" w:hAnsi="Arial" w:cs="Arial"/>
          <w:bCs/>
          <w:lang w:val="es-ES_tradnl" w:eastAsia="x-none"/>
        </w:rPr>
      </w:pPr>
      <w:r w:rsidRPr="005220DA">
        <w:rPr>
          <w:rFonts w:ascii="Arial" w:eastAsia="Times New Roman" w:hAnsi="Arial" w:cs="Arial"/>
          <w:bCs/>
          <w:lang w:val="es-ES_tradnl"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5220DA">
        <w:rPr>
          <w:rFonts w:ascii="Arial" w:eastAsia="Times New Roman" w:hAnsi="Arial" w:cs="Arial"/>
          <w:sz w:val="24"/>
          <w:szCs w:val="24"/>
          <w:vertAlign w:val="superscript"/>
          <w:lang w:eastAsia="es-ES_tradnl"/>
        </w:rPr>
        <w:footnoteReference w:id="25"/>
      </w:r>
      <w:r w:rsidRPr="005220DA">
        <w:rPr>
          <w:rFonts w:ascii="Arial" w:eastAsia="Times New Roman" w:hAnsi="Arial" w:cs="Arial"/>
          <w:bCs/>
          <w:lang w:val="es-ES_tradnl" w:eastAsia="x-none"/>
        </w:rPr>
        <w:t>.</w:t>
      </w:r>
      <w:r w:rsidRPr="005220DA">
        <w:rPr>
          <w:rFonts w:ascii="Arial" w:eastAsia="Times New Roman" w:hAnsi="Arial" w:cs="Arial"/>
          <w:vertAlign w:val="superscript"/>
          <w:lang w:val="es-ES_tradnl" w:eastAsia="x-none"/>
        </w:rPr>
        <w:t xml:space="preserve"> </w:t>
      </w:r>
    </w:p>
    <w:p w14:paraId="58A28186" w14:textId="77777777" w:rsidR="00885E41" w:rsidRPr="005220DA" w:rsidRDefault="00885E41" w:rsidP="00885E41">
      <w:pPr>
        <w:spacing w:after="120" w:line="276" w:lineRule="auto"/>
        <w:ind w:firstLine="708"/>
        <w:jc w:val="both"/>
        <w:rPr>
          <w:rFonts w:ascii="Arial" w:eastAsia="Times New Roman" w:hAnsi="Arial" w:cs="Arial"/>
          <w:lang w:val="es-ES_tradnl" w:eastAsia="x-none"/>
        </w:rPr>
      </w:pPr>
      <w:r w:rsidRPr="005220DA">
        <w:rPr>
          <w:rFonts w:ascii="Arial" w:eastAsia="Times New Roman" w:hAnsi="Arial" w:cs="Arial"/>
          <w:bCs/>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5220DA">
        <w:rPr>
          <w:rFonts w:ascii="Arial" w:eastAsia="Times New Roman" w:hAnsi="Arial" w:cs="Arial"/>
          <w:lang w:val="es-ES_tradnl"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procedimientos.</w:t>
      </w:r>
    </w:p>
    <w:p w14:paraId="6D4FDFE6" w14:textId="77777777" w:rsidR="00885E41" w:rsidRPr="005220DA" w:rsidRDefault="00885E41" w:rsidP="00885E41">
      <w:pPr>
        <w:spacing w:after="120" w:line="276" w:lineRule="auto"/>
        <w:ind w:firstLine="708"/>
        <w:jc w:val="both"/>
        <w:rPr>
          <w:rFonts w:ascii="Arial" w:eastAsia="Times New Roman" w:hAnsi="Arial" w:cs="Arial"/>
          <w:bCs/>
          <w:lang w:val="es-ES_tradnl" w:eastAsia="x-none"/>
        </w:rPr>
      </w:pPr>
      <w:r w:rsidRPr="005220DA">
        <w:rPr>
          <w:rFonts w:ascii="Arial" w:eastAsia="Times New Roman" w:hAnsi="Arial" w:cs="Arial"/>
          <w:bCs/>
          <w:lang w:val="es-ES_tradnl"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w:t>
      </w:r>
      <w:r w:rsidRPr="005220DA">
        <w:rPr>
          <w:rFonts w:ascii="Arial" w:eastAsia="Times New Roman" w:hAnsi="Arial" w:cs="Arial"/>
          <w:sz w:val="24"/>
          <w:szCs w:val="24"/>
          <w:vertAlign w:val="superscript"/>
          <w:lang w:eastAsia="es-ES_tradnl"/>
        </w:rPr>
        <w:footnoteReference w:id="26"/>
      </w:r>
      <w:r w:rsidRPr="005220DA">
        <w:rPr>
          <w:rFonts w:ascii="Arial" w:eastAsia="Times New Roman" w:hAnsi="Arial" w:cs="Arial"/>
          <w:bCs/>
          <w:lang w:val="es-ES_tradnl" w:eastAsia="es-CO"/>
        </w:rPr>
        <w:t>. Esto sin que ello haga nugatoria la restricción de la contratación directa y siempre que cumplan los principios de planeación, transparencia y responsabilidad.</w:t>
      </w:r>
    </w:p>
    <w:p w14:paraId="2C4D5BD0" w14:textId="133E6909" w:rsidR="00885E41" w:rsidRPr="005220DA" w:rsidRDefault="00885E41" w:rsidP="00885E41">
      <w:pPr>
        <w:spacing w:after="120" w:line="276" w:lineRule="auto"/>
        <w:ind w:firstLine="708"/>
        <w:jc w:val="both"/>
        <w:rPr>
          <w:rFonts w:ascii="Arial" w:eastAsia="Times New Roman" w:hAnsi="Arial" w:cs="Arial"/>
          <w:bCs/>
          <w:lang w:val="es-ES_tradnl" w:eastAsia="es-CO"/>
        </w:rPr>
      </w:pPr>
      <w:r w:rsidRPr="005220DA">
        <w:rPr>
          <w:rFonts w:ascii="Arial" w:eastAsia="Times New Roman" w:hAnsi="Arial" w:cs="Arial"/>
          <w:bCs/>
          <w:lang w:val="es-ES_tradnl"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w:t>
      </w:r>
      <w:r w:rsidR="00D64310">
        <w:rPr>
          <w:rFonts w:ascii="Arial" w:eastAsia="Times New Roman" w:hAnsi="Arial" w:cs="Arial"/>
          <w:bCs/>
          <w:lang w:val="es-ES_tradnl" w:eastAsia="x-none"/>
        </w:rPr>
        <w:t>:</w:t>
      </w:r>
      <w:r w:rsidRPr="005220DA">
        <w:rPr>
          <w:rFonts w:ascii="Arial" w:eastAsia="Times New Roman" w:hAnsi="Arial" w:cs="Arial"/>
          <w:bCs/>
          <w:lang w:val="es-ES_tradnl" w:eastAsia="x-none"/>
        </w:rPr>
        <w:t xml:space="preserve">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5220DA">
        <w:rPr>
          <w:rFonts w:ascii="Arial" w:eastAsia="Times New Roman" w:hAnsi="Arial" w:cs="Arial"/>
          <w:bCs/>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EC80BB6" w14:textId="77777777" w:rsidR="00885E41" w:rsidRPr="005220DA" w:rsidRDefault="00885E41" w:rsidP="00885E41">
      <w:pPr>
        <w:spacing w:after="0" w:line="276" w:lineRule="auto"/>
        <w:ind w:firstLine="708"/>
        <w:jc w:val="both"/>
        <w:rPr>
          <w:rFonts w:ascii="Arial" w:eastAsia="Times New Roman" w:hAnsi="Arial" w:cs="Arial"/>
          <w:bCs/>
          <w:lang w:val="es-ES_tradnl" w:eastAsia="x-none"/>
        </w:rPr>
      </w:pPr>
      <w:r w:rsidRPr="005220DA">
        <w:rPr>
          <w:rFonts w:ascii="Arial" w:eastAsia="Times New Roman" w:hAnsi="Arial" w:cs="Arial"/>
          <w:bCs/>
          <w:lang w:val="es-ES_tradnl" w:eastAsia="x-none"/>
        </w:rPr>
        <w:lastRenderedPageBreak/>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5220DA">
        <w:rPr>
          <w:rFonts w:ascii="Arial" w:eastAsia="Calibri" w:hAnsi="Arial" w:cs="Arial"/>
          <w:sz w:val="24"/>
          <w:szCs w:val="24"/>
          <w:vertAlign w:val="superscript"/>
          <w:lang w:eastAsia="es-ES_tradnl"/>
        </w:rPr>
        <w:footnoteReference w:id="27"/>
      </w:r>
      <w:r w:rsidRPr="005220DA">
        <w:rPr>
          <w:rFonts w:ascii="Arial" w:eastAsia="Times New Roman" w:hAnsi="Arial" w:cs="Arial"/>
          <w:bCs/>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4B761417" w14:textId="77777777" w:rsidR="00885E41" w:rsidRPr="005220DA" w:rsidRDefault="00885E41" w:rsidP="00885E41">
      <w:pPr>
        <w:spacing w:before="120" w:after="0" w:line="276" w:lineRule="auto"/>
        <w:ind w:firstLine="709"/>
        <w:jc w:val="both"/>
        <w:rPr>
          <w:rFonts w:ascii="Arial" w:eastAsia="Times New Roman" w:hAnsi="Arial" w:cs="Arial"/>
          <w:bCs/>
          <w:lang w:val="es-ES_tradnl" w:eastAsia="x-none"/>
        </w:rPr>
      </w:pPr>
      <w:r w:rsidRPr="005220DA">
        <w:rPr>
          <w:rFonts w:ascii="Arial" w:eastAsia="Times New Roman" w:hAnsi="Arial" w:cs="Arial"/>
          <w:bCs/>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5220DA">
        <w:rPr>
          <w:rFonts w:ascii="Arial" w:eastAsia="Calibri" w:hAnsi="Arial" w:cs="Arial"/>
          <w:sz w:val="24"/>
          <w:lang w:val="es-ES_tradnl"/>
        </w:rPr>
        <w:t xml:space="preserve"> </w:t>
      </w:r>
      <w:r w:rsidRPr="005220DA">
        <w:rPr>
          <w:rFonts w:ascii="Arial" w:eastAsia="Times New Roman" w:hAnsi="Arial" w:cs="Arial"/>
          <w:bCs/>
          <w:lang w:val="es-ES_tradnl" w:eastAsia="x-none"/>
        </w:rPr>
        <w:t>En efecto, tal como lo ha sostenido el Consejo de Estado, el vocablo «todos» utilizado por el legislador comprende</w:t>
      </w:r>
      <w:r w:rsidRPr="005220DA">
        <w:rPr>
          <w:rFonts w:ascii="Arial" w:eastAsia="Calibri" w:hAnsi="Arial" w:cs="Arial"/>
          <w:sz w:val="24"/>
          <w:lang w:val="es-ES_tradnl"/>
        </w:rPr>
        <w:t xml:space="preserve"> </w:t>
      </w:r>
      <w:r w:rsidRPr="005220DA">
        <w:rPr>
          <w:rFonts w:ascii="Arial" w:eastAsia="Times New Roman" w:hAnsi="Arial" w:cs="Arial"/>
          <w:bCs/>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La Sala de Consulta y Servicio Civil del Consejo de Estado, en Concepto 1727 de fecha 20 de febrero de 2006, consideró que: </w:t>
      </w:r>
    </w:p>
    <w:p w14:paraId="0BEDA16E" w14:textId="77777777" w:rsidR="00885E41" w:rsidRPr="005220DA" w:rsidRDefault="00885E41" w:rsidP="00885E41">
      <w:pPr>
        <w:spacing w:after="0" w:line="276" w:lineRule="auto"/>
        <w:ind w:firstLine="708"/>
        <w:jc w:val="both"/>
        <w:rPr>
          <w:rFonts w:ascii="Arial" w:eastAsia="Times New Roman" w:hAnsi="Arial" w:cs="Arial"/>
          <w:bCs/>
          <w:lang w:val="es-ES_tradnl" w:eastAsia="x-none"/>
        </w:rPr>
      </w:pPr>
    </w:p>
    <w:p w14:paraId="3656C218" w14:textId="77777777" w:rsidR="00885E41" w:rsidRPr="005220DA" w:rsidRDefault="00885E41" w:rsidP="00885E41">
      <w:pPr>
        <w:spacing w:after="0" w:line="240" w:lineRule="auto"/>
        <w:ind w:left="708"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5220DA">
        <w:rPr>
          <w:rFonts w:ascii="Arial" w:eastAsia="Times New Roman" w:hAnsi="Arial" w:cs="Arial"/>
          <w:sz w:val="24"/>
          <w:szCs w:val="24"/>
          <w:vertAlign w:val="superscript"/>
          <w:lang w:eastAsia="es-ES_tradnl"/>
        </w:rPr>
        <w:footnoteReference w:id="28"/>
      </w:r>
      <w:r w:rsidRPr="005220DA">
        <w:rPr>
          <w:rFonts w:ascii="Arial" w:eastAsia="Times New Roman" w:hAnsi="Arial" w:cs="Arial"/>
          <w:bCs/>
          <w:sz w:val="21"/>
          <w:szCs w:val="21"/>
          <w:lang w:val="es-ES_tradnl" w:eastAsia="x-none"/>
        </w:rPr>
        <w:t>.</w:t>
      </w:r>
      <w:r w:rsidRPr="005220DA">
        <w:rPr>
          <w:rFonts w:ascii="Arial" w:eastAsia="Times New Roman" w:hAnsi="Arial" w:cs="Arial"/>
          <w:bCs/>
          <w:sz w:val="21"/>
          <w:szCs w:val="21"/>
          <w:lang w:val="es-ES_tradnl" w:eastAsia="es-CO"/>
        </w:rPr>
        <w:t xml:space="preserve"> </w:t>
      </w:r>
    </w:p>
    <w:p w14:paraId="3960D0FC" w14:textId="77777777" w:rsidR="00885E41" w:rsidRPr="005220DA" w:rsidRDefault="00885E41" w:rsidP="00885E41">
      <w:pPr>
        <w:spacing w:after="0" w:line="276" w:lineRule="auto"/>
        <w:ind w:firstLine="708"/>
        <w:jc w:val="both"/>
        <w:rPr>
          <w:rFonts w:ascii="Arial" w:eastAsia="Times New Roman" w:hAnsi="Arial" w:cs="Arial"/>
          <w:bCs/>
          <w:lang w:val="es-ES_tradnl" w:eastAsia="es-CO"/>
        </w:rPr>
      </w:pPr>
    </w:p>
    <w:p w14:paraId="523E2B36" w14:textId="77777777" w:rsidR="00885E41" w:rsidRPr="005220DA" w:rsidRDefault="00885E41" w:rsidP="00885E41">
      <w:pPr>
        <w:spacing w:after="0" w:line="276" w:lineRule="auto"/>
        <w:ind w:firstLine="708"/>
        <w:jc w:val="both"/>
        <w:rPr>
          <w:rFonts w:ascii="Arial" w:eastAsia="Calibri" w:hAnsi="Arial" w:cs="Arial"/>
          <w:lang w:val="es-ES_tradnl"/>
        </w:rPr>
      </w:pPr>
      <w:r w:rsidRPr="005220DA">
        <w:rPr>
          <w:rFonts w:ascii="Arial" w:eastAsia="Times New Roman" w:hAnsi="Arial" w:cs="Arial"/>
          <w:bCs/>
          <w:lang w:val="es-ES_tradnl" w:eastAsia="x-none"/>
        </w:rPr>
        <w:lastRenderedPageBreak/>
        <w:t>De igual forma, en Concepto 1738 de 6 de abril de 2006, también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5220DA">
        <w:rPr>
          <w:rFonts w:ascii="Arial" w:eastAsia="Calibri" w:hAnsi="Arial" w:cs="Arial"/>
          <w:sz w:val="24"/>
          <w:szCs w:val="24"/>
          <w:vertAlign w:val="superscript"/>
          <w:lang w:eastAsia="es-ES_tradnl"/>
        </w:rPr>
        <w:footnoteReference w:id="29"/>
      </w:r>
      <w:r w:rsidRPr="005220DA">
        <w:rPr>
          <w:rFonts w:ascii="Arial" w:eastAsia="Times New Roman" w:hAnsi="Arial" w:cs="Arial"/>
          <w:bCs/>
          <w:lang w:val="es-ES_tradnl" w:eastAsia="x-none"/>
        </w:rPr>
        <w:t>.</w:t>
      </w:r>
      <w:r w:rsidRPr="005220DA">
        <w:rPr>
          <w:rFonts w:ascii="Arial" w:eastAsia="Calibri" w:hAnsi="Arial" w:cs="Arial"/>
          <w:lang w:val="es-ES_tradnl"/>
        </w:rPr>
        <w:t xml:space="preserve"> Sin embargo, debe precisarse el siguiente aspecto que distinguió la Sala de Consulta y Servicio Civil:</w:t>
      </w:r>
    </w:p>
    <w:p w14:paraId="360CA463" w14:textId="77777777" w:rsidR="00885E41" w:rsidRPr="005220DA" w:rsidRDefault="00885E41" w:rsidP="00885E41">
      <w:pPr>
        <w:spacing w:after="0" w:line="276" w:lineRule="auto"/>
        <w:jc w:val="both"/>
        <w:rPr>
          <w:rFonts w:ascii="Arial" w:eastAsia="Calibri" w:hAnsi="Arial" w:cs="Arial"/>
          <w:lang w:val="es-ES_tradnl"/>
        </w:rPr>
      </w:pPr>
    </w:p>
    <w:p w14:paraId="1E0B47C7" w14:textId="77777777" w:rsidR="00885E41" w:rsidRPr="005220DA" w:rsidRDefault="00885E41" w:rsidP="00885E41">
      <w:pPr>
        <w:spacing w:after="0" w:line="240" w:lineRule="auto"/>
        <w:ind w:left="708" w:right="709"/>
        <w:jc w:val="both"/>
        <w:rPr>
          <w:rFonts w:ascii="Arial" w:eastAsia="Calibri" w:hAnsi="Arial" w:cs="Arial"/>
          <w:sz w:val="21"/>
          <w:szCs w:val="21"/>
          <w:lang w:val="es-ES_tradnl"/>
        </w:rPr>
      </w:pPr>
      <w:r w:rsidRPr="005220DA">
        <w:rPr>
          <w:rFonts w:ascii="Arial" w:eastAsia="Calibri" w:hAnsi="Arial" w:cs="Arial"/>
          <w:sz w:val="21"/>
          <w:szCs w:val="21"/>
          <w:lang w:val="es-ES_tradnl"/>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5220DA">
        <w:rPr>
          <w:rFonts w:ascii="Arial" w:eastAsia="Calibri" w:hAnsi="Arial" w:cs="Arial"/>
          <w:sz w:val="24"/>
          <w:szCs w:val="24"/>
          <w:vertAlign w:val="superscript"/>
          <w:lang w:eastAsia="es-ES_tradnl"/>
        </w:rPr>
        <w:footnoteReference w:id="30"/>
      </w:r>
      <w:r w:rsidRPr="005220DA">
        <w:rPr>
          <w:rFonts w:ascii="Arial" w:eastAsia="Times New Roman" w:hAnsi="Arial" w:cs="Arial"/>
          <w:bCs/>
          <w:lang w:val="es-ES_tradnl" w:eastAsia="x-none"/>
        </w:rPr>
        <w:t>.</w:t>
      </w:r>
    </w:p>
    <w:p w14:paraId="31CD60A8" w14:textId="77777777" w:rsidR="00885E41" w:rsidRPr="005220DA" w:rsidRDefault="00885E41" w:rsidP="00885E41">
      <w:pPr>
        <w:spacing w:after="0" w:line="276" w:lineRule="auto"/>
        <w:jc w:val="both"/>
        <w:rPr>
          <w:rFonts w:ascii="Arial" w:eastAsia="Calibri" w:hAnsi="Arial" w:cs="Arial"/>
          <w:lang w:val="es-ES_tradnl"/>
        </w:rPr>
      </w:pPr>
    </w:p>
    <w:p w14:paraId="2F01CBD3" w14:textId="77777777" w:rsidR="00885E41" w:rsidRPr="005220DA" w:rsidRDefault="00885E41" w:rsidP="00885E41">
      <w:pPr>
        <w:spacing w:after="120" w:line="276" w:lineRule="auto"/>
        <w:ind w:firstLine="709"/>
        <w:jc w:val="both"/>
        <w:rPr>
          <w:rFonts w:ascii="Arial" w:eastAsia="Times New Roman" w:hAnsi="Arial" w:cs="Arial"/>
          <w:bCs/>
          <w:lang w:val="es-ES_tradnl" w:eastAsia="x-none"/>
        </w:rPr>
      </w:pPr>
      <w:r w:rsidRPr="005220DA">
        <w:rPr>
          <w:rFonts w:ascii="Arial" w:eastAsia="Calibri" w:hAnsi="Arial" w:cs="Arial"/>
          <w:lang w:val="es-ES_tradnl"/>
        </w:rPr>
        <w:t>Aplicando este razonamiento,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r w:rsidRPr="005220DA">
        <w:rPr>
          <w:rFonts w:ascii="Arial" w:eastAsia="Calibri" w:hAnsi="Arial" w:cs="Arial"/>
          <w:sz w:val="24"/>
          <w:vertAlign w:val="superscript"/>
          <w:lang w:val="es-ES_tradnl"/>
        </w:rPr>
        <w:t xml:space="preserve"> </w:t>
      </w:r>
      <w:r w:rsidRPr="005220DA">
        <w:rPr>
          <w:rFonts w:ascii="Arial" w:eastAsia="Calibri" w:hAnsi="Arial" w:cs="Arial"/>
          <w:sz w:val="24"/>
          <w:szCs w:val="24"/>
          <w:vertAlign w:val="superscript"/>
          <w:lang w:eastAsia="es-ES_tradnl"/>
        </w:rPr>
        <w:footnoteReference w:id="31"/>
      </w:r>
      <w:r w:rsidRPr="005220DA">
        <w:rPr>
          <w:rFonts w:ascii="Arial" w:eastAsia="Calibri" w:hAnsi="Arial" w:cs="Arial"/>
          <w:lang w:val="es-ES_tradnl"/>
        </w:rPr>
        <w:t>.</w:t>
      </w:r>
    </w:p>
    <w:p w14:paraId="72F5195E" w14:textId="77777777" w:rsidR="00885E41" w:rsidRPr="005220DA" w:rsidRDefault="00885E41" w:rsidP="00885E41">
      <w:pPr>
        <w:spacing w:after="0" w:line="276" w:lineRule="auto"/>
        <w:ind w:firstLine="708"/>
        <w:jc w:val="both"/>
        <w:rPr>
          <w:rFonts w:ascii="Arial" w:eastAsia="Times New Roman" w:hAnsi="Arial" w:cs="Arial"/>
          <w:bCs/>
          <w:lang w:val="es-ES_tradnl" w:eastAsia="x-none"/>
        </w:rPr>
      </w:pPr>
      <w:r w:rsidRPr="005220DA">
        <w:rPr>
          <w:rFonts w:ascii="Arial" w:eastAsia="Calibri" w:hAnsi="Arial" w:cs="Arial"/>
          <w:lang w:val="es-ES_tradnl"/>
        </w:rPr>
        <w:lastRenderedPageBreak/>
        <w:t xml:space="preserve">Por lo tanto, la restricción prevista en la Ley 996 de 2005, </w:t>
      </w:r>
      <w:r w:rsidRPr="005220DA">
        <w:rPr>
          <w:rFonts w:ascii="Arial" w:eastAsia="Times New Roman" w:hAnsi="Arial" w:cs="Arial"/>
          <w:bCs/>
          <w:lang w:val="es-ES_tradnl" w:eastAsia="x-none"/>
        </w:rPr>
        <w:t>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w:t>
      </w:r>
    </w:p>
    <w:p w14:paraId="1A0A4CFB" w14:textId="77777777" w:rsidR="00885E41" w:rsidRPr="005220DA" w:rsidRDefault="00885E41" w:rsidP="00885E41">
      <w:pPr>
        <w:tabs>
          <w:tab w:val="left" w:pos="426"/>
        </w:tabs>
        <w:spacing w:after="0" w:line="276" w:lineRule="auto"/>
        <w:jc w:val="both"/>
        <w:rPr>
          <w:rFonts w:ascii="Arial" w:eastAsia="Times New Roman" w:hAnsi="Arial" w:cs="Arial"/>
          <w:bCs/>
          <w:lang w:val="es-ES_tradnl" w:eastAsia="es-CO"/>
        </w:rPr>
      </w:pPr>
    </w:p>
    <w:p w14:paraId="18380683" w14:textId="30B32B29" w:rsidR="00885E41" w:rsidRPr="005220DA" w:rsidRDefault="00885E41" w:rsidP="00885E41">
      <w:pPr>
        <w:tabs>
          <w:tab w:val="left" w:pos="426"/>
        </w:tabs>
        <w:spacing w:after="0" w:line="276" w:lineRule="auto"/>
        <w:jc w:val="both"/>
        <w:rPr>
          <w:rFonts w:ascii="Arial" w:eastAsia="Times New Roman" w:hAnsi="Arial" w:cs="Arial"/>
          <w:b/>
          <w:lang w:val="es-ES_tradnl" w:eastAsia="es-CO"/>
        </w:rPr>
      </w:pPr>
      <w:r w:rsidRPr="005220DA">
        <w:rPr>
          <w:rFonts w:ascii="Arial" w:eastAsia="Times New Roman" w:hAnsi="Arial" w:cs="Arial"/>
          <w:b/>
          <w:color w:val="000000"/>
          <w:szCs w:val="24"/>
          <w:lang w:val="es-ES_tradnl" w:eastAsia="es-ES_tradnl"/>
        </w:rPr>
        <w:t>2.</w:t>
      </w:r>
      <w:r w:rsidR="002F5A85">
        <w:rPr>
          <w:rFonts w:ascii="Arial" w:eastAsia="Times New Roman" w:hAnsi="Arial" w:cs="Arial"/>
          <w:b/>
          <w:color w:val="000000"/>
          <w:szCs w:val="24"/>
          <w:lang w:val="es-ES_tradnl" w:eastAsia="es-ES_tradnl"/>
        </w:rPr>
        <w:t>4</w:t>
      </w:r>
      <w:r w:rsidRPr="005220DA">
        <w:rPr>
          <w:rFonts w:ascii="Arial" w:eastAsia="Times New Roman" w:hAnsi="Arial" w:cs="Arial"/>
          <w:b/>
          <w:color w:val="000000"/>
          <w:szCs w:val="24"/>
          <w:lang w:val="es-ES_tradnl" w:eastAsia="es-ES_tradnl"/>
        </w:rPr>
        <w:t xml:space="preserve">. </w:t>
      </w:r>
      <w:r w:rsidRPr="005220DA">
        <w:rPr>
          <w:rFonts w:ascii="Arial" w:eastAsia="Times New Roman" w:hAnsi="Arial" w:cs="Arial"/>
          <w:b/>
          <w:lang w:val="es-ES_tradnl" w:eastAsia="es-CO"/>
        </w:rPr>
        <w:t>Aplicación de la «Ley de Garantías Electorales», a la contratación de actividades de ciencia, tecnología e innovación</w:t>
      </w:r>
    </w:p>
    <w:p w14:paraId="385E9473" w14:textId="77777777" w:rsidR="00885E41" w:rsidRPr="005220DA" w:rsidRDefault="00885E41" w:rsidP="00885E41">
      <w:pPr>
        <w:spacing w:after="0" w:line="276" w:lineRule="auto"/>
        <w:jc w:val="both"/>
        <w:rPr>
          <w:rFonts w:ascii="Arial" w:eastAsia="Times New Roman" w:hAnsi="Arial" w:cs="Arial"/>
          <w:bCs/>
          <w:lang w:val="es-ES_tradnl" w:eastAsia="es-CO"/>
        </w:rPr>
      </w:pPr>
    </w:p>
    <w:p w14:paraId="1F71D6D9" w14:textId="77777777" w:rsidR="00885E41" w:rsidRPr="005220DA" w:rsidRDefault="00885E41" w:rsidP="00885E41">
      <w:pPr>
        <w:spacing w:after="0" w:line="276" w:lineRule="auto"/>
        <w:jc w:val="both"/>
        <w:rPr>
          <w:rFonts w:ascii="Arial" w:eastAsia="Times New Roman" w:hAnsi="Arial" w:cs="Arial"/>
          <w:bCs/>
          <w:lang w:val="es-ES_tradnl" w:eastAsia="es-CO"/>
        </w:rPr>
      </w:pPr>
      <w:r w:rsidRPr="005220DA">
        <w:rPr>
          <w:rFonts w:ascii="Arial" w:eastAsia="Times New Roman" w:hAnsi="Arial" w:cs="Arial"/>
          <w:bCs/>
          <w:lang w:val="es-ES_tradnl" w:eastAsia="es-CO"/>
        </w:rPr>
        <w:t xml:space="preserve">Como se indicó, el artículo 33 de la Ley 996 de 2005 prohíbe «la contratación directa por parte de todos los entes del Estado», «Durante los cuatro (4) meses anteriores a la elección presidencial y hasta la realización de la elección en la segunda vuelta». En consecuencia, por regla general, los órganos del Estado no pueden celebrar contratos de manera directa en este período. Solo quedan habilitados normativamente para hacerlo si se presenta alguna de las excepciones previstas en el segundo inciso del mencionado artículo; o sea: </w:t>
      </w:r>
    </w:p>
    <w:p w14:paraId="6D4BF8DA" w14:textId="77777777" w:rsidR="00885E41" w:rsidRPr="005220DA" w:rsidRDefault="00885E41" w:rsidP="00885E41">
      <w:pPr>
        <w:spacing w:after="0" w:line="276" w:lineRule="auto"/>
        <w:jc w:val="both"/>
        <w:rPr>
          <w:rFonts w:ascii="Arial" w:eastAsia="Times New Roman" w:hAnsi="Arial" w:cs="Arial"/>
          <w:bCs/>
          <w:lang w:val="es-ES_tradnl" w:eastAsia="es-CO"/>
        </w:rPr>
      </w:pPr>
    </w:p>
    <w:p w14:paraId="1696C1FA"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14:paraId="309C542F" w14:textId="77777777" w:rsidR="00885E41" w:rsidRPr="005220DA" w:rsidRDefault="00885E41" w:rsidP="00885E41">
      <w:pPr>
        <w:spacing w:after="0" w:line="276" w:lineRule="auto"/>
        <w:jc w:val="both"/>
        <w:rPr>
          <w:rFonts w:ascii="Arial" w:eastAsia="Times New Roman" w:hAnsi="Arial" w:cs="Arial"/>
          <w:bCs/>
          <w:lang w:val="es-ES_tradnl" w:eastAsia="es-CO"/>
        </w:rPr>
      </w:pPr>
    </w:p>
    <w:p w14:paraId="78566A09" w14:textId="7F303949" w:rsidR="00885E41" w:rsidRPr="005220DA" w:rsidRDefault="00885E41" w:rsidP="00885E41">
      <w:pPr>
        <w:spacing w:after="0" w:line="276" w:lineRule="auto"/>
        <w:ind w:firstLine="709"/>
        <w:jc w:val="both"/>
        <w:rPr>
          <w:rFonts w:ascii="Arial" w:eastAsia="Times New Roman" w:hAnsi="Arial" w:cs="Arial"/>
          <w:bCs/>
          <w:lang w:val="es-ES_tradnl" w:eastAsia="es-CO"/>
        </w:rPr>
      </w:pPr>
      <w:r w:rsidRPr="005220DA">
        <w:rPr>
          <w:rFonts w:ascii="Arial" w:eastAsia="Times New Roman" w:hAnsi="Arial" w:cs="Arial"/>
          <w:bCs/>
          <w:lang w:val="es-ES_tradnl" w:eastAsia="es-CO"/>
        </w:rPr>
        <w:t>Nótese que dentro de estas excepciones no se encuentra la celebración de contratos para el desarrollo de actividades de ciencia, tecnología e innovación; contratos que, de conformidad con lo expuesto en el numeral anterior de este concepto, así como en el numeral 13.2 de la Circular Externa Única proferida por esta Agencia</w:t>
      </w:r>
      <w:r w:rsidRPr="005220DA">
        <w:rPr>
          <w:rFonts w:ascii="Arial" w:eastAsia="Times New Roman" w:hAnsi="Arial" w:cs="Arial"/>
          <w:sz w:val="24"/>
          <w:szCs w:val="24"/>
          <w:vertAlign w:val="superscript"/>
          <w:lang w:eastAsia="es-ES_tradnl"/>
        </w:rPr>
        <w:footnoteReference w:id="32"/>
      </w:r>
      <w:r w:rsidRPr="005220DA">
        <w:rPr>
          <w:rFonts w:ascii="Arial" w:eastAsia="Times New Roman" w:hAnsi="Arial" w:cs="Arial"/>
          <w:bCs/>
          <w:lang w:val="es-ES_tradnl" w:eastAsia="es-CO"/>
        </w:rPr>
        <w:t xml:space="preserve">, pueden celebrarse de manera </w:t>
      </w:r>
      <w:r w:rsidRPr="002D5187">
        <w:rPr>
          <w:rFonts w:ascii="Arial" w:eastAsia="Times New Roman" w:hAnsi="Arial" w:cs="Arial"/>
          <w:bCs/>
          <w:lang w:val="es-ES_tradnl" w:eastAsia="es-CO"/>
        </w:rPr>
        <w:t>directa</w:t>
      </w:r>
      <w:r w:rsidRPr="006C4ED7">
        <w:rPr>
          <w:rFonts w:ascii="Arial" w:eastAsia="Times New Roman" w:hAnsi="Arial" w:cs="Arial"/>
          <w:bCs/>
          <w:lang w:val="es-ES_tradnl" w:eastAsia="es-CO"/>
        </w:rPr>
        <w:t xml:space="preserve">. Por tanto, una entidad estatal no puede suscribir un convenio especial de cooperación, un </w:t>
      </w:r>
      <w:r w:rsidRPr="006C4ED7">
        <w:rPr>
          <w:rFonts w:ascii="Arial" w:eastAsia="Times New Roman" w:hAnsi="Arial" w:cs="Arial"/>
          <w:bCs/>
          <w:i/>
          <w:iCs/>
          <w:lang w:val="es-ES_tradnl" w:eastAsia="es-CO"/>
        </w:rPr>
        <w:t>contrato de financiamiento</w:t>
      </w:r>
      <w:r w:rsidRPr="006C4ED7">
        <w:rPr>
          <w:rFonts w:ascii="Arial" w:eastAsia="Times New Roman" w:hAnsi="Arial" w:cs="Arial"/>
          <w:bCs/>
          <w:lang w:val="es-ES_tradnl" w:eastAsia="es-CO"/>
        </w:rPr>
        <w:t xml:space="preserve"> </w:t>
      </w:r>
      <w:r w:rsidR="00287BFF" w:rsidRPr="006C4ED7">
        <w:rPr>
          <w:rFonts w:ascii="Arial" w:eastAsia="Times New Roman" w:hAnsi="Arial" w:cs="Arial"/>
          <w:bCs/>
          <w:lang w:val="es-ES_tradnl" w:eastAsia="es-CO"/>
        </w:rPr>
        <w:t xml:space="preserve">entre los que se encuentren los de </w:t>
      </w:r>
      <w:r w:rsidR="00287BFF" w:rsidRPr="006C4ED7">
        <w:rPr>
          <w:rFonts w:ascii="Arial" w:eastAsia="Times New Roman" w:hAnsi="Arial" w:cs="Arial"/>
          <w:bCs/>
          <w:i/>
          <w:iCs/>
          <w:lang w:val="es-ES_tradnl" w:eastAsia="es-CO"/>
        </w:rPr>
        <w:t>recuperación contingente</w:t>
      </w:r>
      <w:r w:rsidR="00287BFF" w:rsidRPr="006C4ED7">
        <w:rPr>
          <w:rFonts w:ascii="Arial" w:eastAsia="Times New Roman" w:hAnsi="Arial" w:cs="Arial"/>
          <w:bCs/>
          <w:lang w:val="es-ES_tradnl" w:eastAsia="es-CO"/>
        </w:rPr>
        <w:t xml:space="preserve"> </w:t>
      </w:r>
      <w:r w:rsidRPr="006C4ED7">
        <w:rPr>
          <w:rFonts w:ascii="Arial" w:eastAsia="Times New Roman" w:hAnsi="Arial" w:cs="Arial"/>
          <w:bCs/>
          <w:lang w:val="es-ES_tradnl" w:eastAsia="es-CO"/>
        </w:rPr>
        <w:t xml:space="preserve">o un contrato de administración de proyectos, en materia de ciencia, tecnología e innovación, </w:t>
      </w:r>
      <w:r w:rsidRPr="006C4ED7">
        <w:rPr>
          <w:rFonts w:ascii="Arial" w:eastAsia="Times New Roman" w:hAnsi="Arial" w:cs="Arial"/>
          <w:bCs/>
          <w:i/>
          <w:iCs/>
          <w:lang w:val="es-ES_tradnl" w:eastAsia="es-CO"/>
        </w:rPr>
        <w:t>de manera directa</w:t>
      </w:r>
      <w:r w:rsidRPr="006C4ED7">
        <w:rPr>
          <w:rFonts w:ascii="Arial" w:eastAsia="Times New Roman" w:hAnsi="Arial" w:cs="Arial"/>
          <w:bCs/>
          <w:lang w:val="es-ES_tradnl" w:eastAsia="es-CO"/>
        </w:rPr>
        <w:t xml:space="preserve">, dentro del período comprendido en el artículo 33 de la Ley 996 de 2005, precisamente porque este artículo prohíbe la contratación directa, sin distinguir el objeto del contrato, y no comprende dentro de sus excepciones los </w:t>
      </w:r>
      <w:r w:rsidRPr="006C4ED7">
        <w:rPr>
          <w:rFonts w:ascii="Arial" w:eastAsia="Times New Roman" w:hAnsi="Arial" w:cs="Arial"/>
          <w:bCs/>
          <w:lang w:val="es-ES_tradnl" w:eastAsia="es-CO"/>
        </w:rPr>
        <w:lastRenderedPageBreak/>
        <w:t>contratos para la ejecución de programas, proyectos, y actividades de ciencia tecnología e innovación.</w:t>
      </w:r>
    </w:p>
    <w:p w14:paraId="262EC8BE" w14:textId="77777777" w:rsidR="00885E41" w:rsidRPr="005220DA" w:rsidRDefault="00885E41" w:rsidP="00885E41">
      <w:pPr>
        <w:spacing w:before="120" w:after="0" w:line="276" w:lineRule="auto"/>
        <w:ind w:firstLine="709"/>
        <w:jc w:val="both"/>
        <w:rPr>
          <w:rFonts w:ascii="Arial" w:eastAsia="Times New Roman" w:hAnsi="Arial" w:cs="Arial"/>
          <w:bCs/>
          <w:lang w:val="es-ES_tradnl" w:eastAsia="es-CO"/>
        </w:rPr>
      </w:pPr>
      <w:r w:rsidRPr="005220DA">
        <w:rPr>
          <w:rFonts w:ascii="Arial" w:eastAsia="Times New Roman" w:hAnsi="Arial" w:cs="Arial"/>
          <w:bCs/>
          <w:lang w:val="es-ES_tradnl" w:eastAsia="es-CO"/>
        </w:rPr>
        <w:t>Este criterio ha sido acogido de tiempo atrás por la Sala de Consulta y Servicio Civil del Consejo de Estado</w:t>
      </w:r>
      <w:r w:rsidRPr="005220DA">
        <w:rPr>
          <w:rFonts w:ascii="Arial" w:eastAsia="Times New Roman" w:hAnsi="Arial" w:cs="Arial"/>
          <w:sz w:val="24"/>
          <w:szCs w:val="24"/>
          <w:vertAlign w:val="superscript"/>
          <w:lang w:eastAsia="es-ES_tradnl"/>
        </w:rPr>
        <w:footnoteReference w:id="33"/>
      </w:r>
      <w:r w:rsidRPr="005220DA">
        <w:rPr>
          <w:rFonts w:ascii="Arial" w:eastAsia="Times New Roman" w:hAnsi="Arial" w:cs="Arial"/>
          <w:bCs/>
          <w:lang w:val="es-ES_tradnl" w:eastAsia="es-CO"/>
        </w:rPr>
        <w:t xml:space="preserve"> y también por la Agencia</w:t>
      </w:r>
      <w:r w:rsidRPr="005220DA">
        <w:rPr>
          <w:rFonts w:ascii="Arial" w:eastAsia="Times New Roman" w:hAnsi="Arial" w:cs="Arial"/>
          <w:sz w:val="24"/>
          <w:szCs w:val="24"/>
          <w:vertAlign w:val="superscript"/>
          <w:lang w:eastAsia="es-ES_tradnl"/>
        </w:rPr>
        <w:footnoteReference w:id="34"/>
      </w:r>
      <w:r w:rsidRPr="005220DA">
        <w:rPr>
          <w:rFonts w:ascii="Arial" w:eastAsia="Times New Roman" w:hAnsi="Arial" w:cs="Arial"/>
          <w:bCs/>
          <w:lang w:val="es-ES_tradnl" w:eastAsia="es-CO"/>
        </w:rPr>
        <w:t xml:space="preserve">. Dada la relevancia del pronunciamiento del Consejo de Estado, por su aplicación íntegra a la consulta que se formula en esta oportunidad, conviene transcribir, </w:t>
      </w:r>
      <w:r w:rsidRPr="005220DA">
        <w:rPr>
          <w:rFonts w:ascii="Arial" w:eastAsia="Times New Roman" w:hAnsi="Arial" w:cs="Arial"/>
          <w:bCs/>
          <w:i/>
          <w:iCs/>
          <w:lang w:val="es-ES_tradnl" w:eastAsia="es-CO"/>
        </w:rPr>
        <w:t>in extenso</w:t>
      </w:r>
      <w:r w:rsidRPr="005220DA">
        <w:rPr>
          <w:rFonts w:ascii="Arial" w:eastAsia="Times New Roman" w:hAnsi="Arial" w:cs="Arial"/>
          <w:bCs/>
          <w:lang w:val="es-ES_tradnl" w:eastAsia="es-CO"/>
        </w:rPr>
        <w:t>, lo siguiente:</w:t>
      </w:r>
    </w:p>
    <w:p w14:paraId="6BD7E308" w14:textId="77777777" w:rsidR="00885E41" w:rsidRPr="005220DA" w:rsidRDefault="00885E41" w:rsidP="00885E41">
      <w:pPr>
        <w:widowControl w:val="0"/>
        <w:kinsoku w:val="0"/>
        <w:spacing w:after="0" w:line="240" w:lineRule="auto"/>
        <w:ind w:left="709" w:right="709"/>
        <w:jc w:val="both"/>
        <w:rPr>
          <w:rFonts w:ascii="Arial" w:eastAsia="Times New Roman" w:hAnsi="Arial" w:cs="Arial"/>
          <w:sz w:val="21"/>
          <w:szCs w:val="21"/>
          <w:lang w:val="es-ES_tradnl" w:eastAsia="es-ES"/>
        </w:rPr>
      </w:pPr>
    </w:p>
    <w:p w14:paraId="542DAB15"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El señor Director del Departamento Administrativo de Ciencia, Tecnología e Innovación — Colciencias, consulta a la Sala sobre la aplicación de la restricción establecida en el artículo 33 de la ley 996 de 2005, para la celebración de contratos de fomento o financiación de actividades científicas y tecnológicas.</w:t>
      </w:r>
    </w:p>
    <w:p w14:paraId="77092429"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p>
    <w:p w14:paraId="34BD2970"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Al respecto, manifiesta que la jurisprudencia de la Corte Constitucional y del Consejo de Estado reconocen la existencia de un régimen especial aplicable a los contratos de ciencia, tecnología e innovación, el cual se encuentra establecido normativamente en los decretos 393 y 591 de 1991 y en la ley 1286 de 2009, citando al efecto los artículos correspondientes de cada una de las disposiciones atrás aludidas, y afirmando que sólo en lo allí no previsto, se aplica el Estatuto General de Contratación de la Administración Pública.</w:t>
      </w:r>
    </w:p>
    <w:p w14:paraId="57EB80EF"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p>
    <w:p w14:paraId="00BE231A"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Agrega que la ley 1286 de 2009, por medio de la cual se transformó Colciencias en Departamento Administrativo, estableció el principio de transparencia en el artículo 4 numeral 5, según el cual «...Las Instituciones, programas, proyectos y personas objeto de apoyo, se podrán seleccionar mediante convocatorias públicas, basadas en criterios de mérito y calidad». Indica que con base en esa facultad legal, Colciencias desarrolló en sus reglamentos y procedimientos internos, entre otros en el «Manual de Contratación», un procedimiento de Convocatorias Públicas que garantiza la selección objetiva de los proyectos a financiar.</w:t>
      </w:r>
    </w:p>
    <w:p w14:paraId="19553A7F"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p>
    <w:p w14:paraId="75B1C764"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w:t>
      </w:r>
    </w:p>
    <w:p w14:paraId="403B47F1"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p>
    <w:p w14:paraId="3D43CD7B"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Ante la insistencia planteada por Colciencias en su consulta, en el sentido de que en virtud de lo dispuesto en la ley 1286 de 2009 diseñó un sistema de «convocatorias públicas» para adelantar la contratación de las actividades de ciencia y tecnología a su cargo, que en concepto de esa entidad «en nada se asemeja con la modalidad de contratación directa», procederá la Sala a examinar el caso concreto planteado, partiendo para ello del análisis del régimen jurídico de los contratos de ciencia y tecnología.</w:t>
      </w:r>
    </w:p>
    <w:p w14:paraId="6D2EB4DB"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p>
    <w:p w14:paraId="33DD3935"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w:t>
      </w:r>
    </w:p>
    <w:p w14:paraId="48E885A3"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p>
    <w:p w14:paraId="1B5BA0D3"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La ley 1286 de 2009, «por la cual se modifica la Ley 29 de 1990, se transforma a Colciencias en Departamento Administrativo, se fortalece el Sistema Nacional de Ciencia, Tecnología e Innovación en Colombia y se dictan otras disposiciones», establece en el artículo 33, lo siguiente:</w:t>
      </w:r>
    </w:p>
    <w:p w14:paraId="253573A1"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p>
    <w:p w14:paraId="0EA1AB14"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«Artículo 33 Las actividades, contratos y convenios que tengan por objeto la realización de actividades definidas como de ciencia, tecnología e innovación que celebren las entidades estatales, continuarán rigiéndose por las normas especiales que les sean aplicables. En consecuencia, tales contratos se celebrarán directamente.</w:t>
      </w:r>
    </w:p>
    <w:p w14:paraId="6B2CCB98"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p>
    <w:p w14:paraId="308B824D"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 xml:space="preserve">En el caso del Departamento Administrativo de Ciencia, Tecnología e Innovación - Colciencias-, el régimen contractual para las demás actividades a su cargo, será el previsto en el Estatuto General de Contratación de la Administración Pública (...)». </w:t>
      </w:r>
    </w:p>
    <w:p w14:paraId="73129604"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p>
    <w:p w14:paraId="2B1213B0"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A juicio de la Sala, la norma transcrita ratifica lo expuesto en precedencia y lo dicho por la Sección Tercera de esta Corporación en la sentencia del 11 de febrero de 2009 en el sentido de que los contratos que se celebren con el objeto de fomentar la ciencia y tecnología se encuentran sujetos a la ley 80 de 1993 con las modificaciones previstas en la ley 1150, en todo aquello que no esté expresamente regulado en las normas especiales de los decretos — leyes 393 y 591 de 1991.</w:t>
      </w:r>
    </w:p>
    <w:p w14:paraId="6F8A00B4"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p>
    <w:p w14:paraId="1C49FB52"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Igualmente ratifica que en los contratos de ciencia y tecnología, la modalidad de selección del contratista es la contratación directa, regla plenamente concordante con lo señalado en la ley 80 y la modificación prevista en la ley 1150, expuestas en detalle en el punto 3.2.</w:t>
      </w:r>
    </w:p>
    <w:p w14:paraId="5D3B2B11"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p>
    <w:p w14:paraId="41F00072"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Ahora, no desconoce la Sala que en el artículo 4 de la ley 1286 se establece el principio de transparencia, entre otros principios que rigen la actividad de fomento y estímulo en materia de ciencia y tecnología, en los siguientes términos:</w:t>
      </w:r>
    </w:p>
    <w:p w14:paraId="2F4DE404"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p>
    <w:p w14:paraId="5A3135AF"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«Artículo 4o. Principios y criterios de la actividad de fomento y estímulo. Los principios y criterios que regirán el fomento, desarrollo y fortalecimiento de la ciencia, la tecnología y la innovación, así como las actividades de investigación que realicen los organismos y entidades de la administración pública, serán los siguientes:</w:t>
      </w:r>
    </w:p>
    <w:p w14:paraId="2CE55850"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p>
    <w:p w14:paraId="7579B174"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w:t>
      </w:r>
    </w:p>
    <w:p w14:paraId="5899986A"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5. Transparencia. Las instituciones, programas, proyectos y personas objeto de apoyo, se podrán seleccionar mediante convocatorias públicas, basadas en criterios de mérito y calidad».</w:t>
      </w:r>
    </w:p>
    <w:p w14:paraId="1778FC4B"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p>
    <w:p w14:paraId="17737E4C"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lastRenderedPageBreak/>
        <w:t>A juicio de la Sala lo dispuesto en ese precepto, no es más que la ratificación del principio general de transparencia que rige la contratación estatal el cual se desarrolla en la ley 80 de 1993 (arts. 23 y 24), que para el caso concreto de la ciencia y tecnología permite concretarlo, además, en la realización de "convocatorias públicas", pero sin que ellas se conviertan en una nueva modalidad de selección de contratistas diferente a la contratación directa prevista en el artículo 33 de la ley 1286, en concordancia con la leyes 80 y 1150, según se ha explicado.</w:t>
      </w:r>
    </w:p>
    <w:p w14:paraId="44C0F42A"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p>
    <w:p w14:paraId="3963BED5"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En efecto, Colciencias expidió la resolución 00389 de 2009 «por la cual se adopta el Manual de Contratación», en donde se establece un procedimiento sobre convocatorias públicas. Si bien el procedimiento permite aplicar el principio de transparencia, de acuerdo con la ley, tanto la 80, la 1150 y la 1286, no significa un sistema de licitación o concurso singular, sino aplicar dicho principio en la contratación directa.</w:t>
      </w:r>
    </w:p>
    <w:p w14:paraId="429CC779"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p>
    <w:p w14:paraId="139D3B7C"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De esta manera, una interpretación sistemática de los artículos 4 num. 5 y 33 de la ley 1286, lleva a sostener que en los contratos cuyo objeto es la realización de actividades de ciencia y tecnología, la modalidad de selección aplicable es la contratación directa, la cual puede instrumentarse mediante convocatorias públicas que permitan pluralidad de ofertas y concurrencia de oferentes con miras a realizar el principio de selección objetiva ínsito en la contratación pública.</w:t>
      </w:r>
    </w:p>
    <w:p w14:paraId="11FFC550"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p>
    <w:p w14:paraId="1C41498F"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r w:rsidRPr="005220DA">
        <w:rPr>
          <w:rFonts w:ascii="Arial" w:eastAsia="Times New Roman" w:hAnsi="Arial" w:cs="Arial"/>
          <w:bCs/>
          <w:sz w:val="21"/>
          <w:szCs w:val="21"/>
          <w:lang w:val="es-ES_tradnl" w:eastAsia="es-CO"/>
        </w:rPr>
        <w:t>4. Conclusión.</w:t>
      </w:r>
    </w:p>
    <w:p w14:paraId="0FAFAEF8" w14:textId="77777777" w:rsidR="00885E41" w:rsidRPr="005220DA" w:rsidRDefault="00885E41" w:rsidP="00885E41">
      <w:pPr>
        <w:spacing w:after="0" w:line="240" w:lineRule="auto"/>
        <w:ind w:left="709" w:right="709"/>
        <w:jc w:val="both"/>
        <w:rPr>
          <w:rFonts w:ascii="Arial" w:eastAsia="Times New Roman" w:hAnsi="Arial" w:cs="Arial"/>
          <w:bCs/>
          <w:sz w:val="21"/>
          <w:szCs w:val="21"/>
          <w:lang w:val="es-ES_tradnl" w:eastAsia="es-CO"/>
        </w:rPr>
      </w:pPr>
    </w:p>
    <w:p w14:paraId="61D82686" w14:textId="77777777" w:rsidR="00885E41" w:rsidRPr="005220DA" w:rsidRDefault="00885E41" w:rsidP="00885E41">
      <w:pPr>
        <w:spacing w:after="0" w:line="240" w:lineRule="auto"/>
        <w:ind w:left="709" w:right="709"/>
        <w:jc w:val="both"/>
        <w:rPr>
          <w:rFonts w:ascii="Arial" w:eastAsia="Times New Roman" w:hAnsi="Arial" w:cs="Arial"/>
          <w:spacing w:val="-1"/>
          <w:sz w:val="21"/>
          <w:szCs w:val="21"/>
          <w:lang w:val="es-ES_tradnl" w:eastAsia="es-ES_tradnl"/>
        </w:rPr>
      </w:pPr>
      <w:r w:rsidRPr="005220DA">
        <w:rPr>
          <w:rFonts w:ascii="Arial" w:eastAsia="Times New Roman" w:hAnsi="Arial" w:cs="Arial"/>
          <w:bCs/>
          <w:sz w:val="21"/>
          <w:szCs w:val="21"/>
          <w:lang w:val="es-ES_tradnl" w:eastAsia="es-CO"/>
        </w:rPr>
        <w:t>Aplicando los criterios expuestos en los puntos 1 y 2 de este concepto, es menester concluir que en los contratos de ciencia y tecnología no podrá acudirse a la modalidad de contratación directa dentro del ámbito temporal en que la prohibición prevista en el artículo 33 de la ley estatutaria 996 de 2005 produce sus efectos jurídicos, en atención a que la prohibición temporal contenida en ésta,</w:t>
      </w:r>
      <w:r w:rsidRPr="005220DA">
        <w:rPr>
          <w:rFonts w:ascii="Arial" w:eastAsia="Times New Roman" w:hAnsi="Arial" w:cs="Arial"/>
          <w:spacing w:val="-1"/>
          <w:sz w:val="21"/>
          <w:szCs w:val="21"/>
          <w:lang w:val="es-ES_tradnl" w:eastAsia="es-ES_tradnl"/>
        </w:rPr>
        <w:t xml:space="preserve"> se aplica también a los contratos de derecho público de ciencia y tecnología</w:t>
      </w:r>
      <w:r w:rsidRPr="005220DA">
        <w:rPr>
          <w:rFonts w:ascii="Arial" w:eastAsia="Times New Roman" w:hAnsi="Arial" w:cs="Arial"/>
          <w:sz w:val="24"/>
          <w:szCs w:val="24"/>
          <w:vertAlign w:val="superscript"/>
          <w:lang w:eastAsia="es-ES_tradnl"/>
        </w:rPr>
        <w:footnoteReference w:id="35"/>
      </w:r>
      <w:r w:rsidRPr="005220DA">
        <w:rPr>
          <w:rFonts w:ascii="Arial" w:eastAsia="Times New Roman" w:hAnsi="Arial" w:cs="Arial"/>
          <w:spacing w:val="-1"/>
          <w:sz w:val="21"/>
          <w:szCs w:val="21"/>
          <w:lang w:val="es-ES_tradnl" w:eastAsia="es-ES_tradnl"/>
        </w:rPr>
        <w:t>.</w:t>
      </w:r>
    </w:p>
    <w:p w14:paraId="3C4AD8FE" w14:textId="77777777" w:rsidR="00885E41" w:rsidRPr="005220DA" w:rsidRDefault="00885E41" w:rsidP="00885E41">
      <w:pPr>
        <w:spacing w:after="0" w:line="276" w:lineRule="auto"/>
        <w:ind w:firstLine="709"/>
        <w:jc w:val="both"/>
        <w:rPr>
          <w:rFonts w:ascii="Arial" w:eastAsia="Times New Roman" w:hAnsi="Arial" w:cs="Arial"/>
          <w:bCs/>
          <w:lang w:val="es-ES_tradnl" w:eastAsia="es-CO"/>
        </w:rPr>
      </w:pPr>
    </w:p>
    <w:p w14:paraId="1E735AD9" w14:textId="77777777" w:rsidR="00885E41" w:rsidRPr="005220DA" w:rsidRDefault="00885E41" w:rsidP="00885E41">
      <w:pPr>
        <w:spacing w:after="0" w:line="276" w:lineRule="auto"/>
        <w:ind w:firstLine="709"/>
        <w:jc w:val="both"/>
        <w:rPr>
          <w:rFonts w:ascii="Arial" w:eastAsia="Times New Roman" w:hAnsi="Arial" w:cs="Arial"/>
          <w:bCs/>
          <w:lang w:val="es-ES_tradnl" w:eastAsia="es-CO"/>
        </w:rPr>
      </w:pPr>
      <w:r w:rsidRPr="005220DA">
        <w:rPr>
          <w:rFonts w:ascii="Arial" w:eastAsia="Times New Roman" w:hAnsi="Arial" w:cs="Arial"/>
          <w:bCs/>
          <w:lang w:val="es-ES_tradnl" w:eastAsia="es-CO"/>
        </w:rPr>
        <w:t xml:space="preserve">Del citado concepto de la Sala de Consulta y Servicio Civil del Consejo de Estado se concluyen tres ideas importantes: i) que la contratación directa es la modalidad de selección aplicable a la celebración de contratos por parte de las entidades estatales, para el fomento de actividades de ciencia, tecnología e innovación, cumpliendo con los requisitos establecidos en las normas especiales sobre la materia; ii) que la «convocatoria pública» regulada en el artículo 4 de la Ley 1286 de 2009 no es una modalidad de selección autónoma, sino una forma de garantizar el principio de transparencia, por lo cual la selección del contratista en este caso también se efectúa por contratación directa; y iii) que la prohibición contenida en el artículo 33 de la Ley 996 de 2005 </w:t>
      </w:r>
      <w:r w:rsidRPr="005220DA">
        <w:rPr>
          <w:rFonts w:ascii="Arial" w:eastAsia="Times New Roman" w:hAnsi="Arial" w:cs="Arial"/>
          <w:bCs/>
          <w:i/>
          <w:iCs/>
          <w:lang w:val="es-ES_tradnl" w:eastAsia="es-CO"/>
        </w:rPr>
        <w:t>también</w:t>
      </w:r>
      <w:r w:rsidRPr="005220DA">
        <w:rPr>
          <w:rFonts w:ascii="Arial" w:eastAsia="Times New Roman" w:hAnsi="Arial" w:cs="Arial"/>
          <w:bCs/>
          <w:lang w:val="es-ES_tradnl" w:eastAsia="es-CO"/>
        </w:rPr>
        <w:t xml:space="preserve"> se aplica a la celebración de los contratos para la ejecución de programas, proyectos, y actividades de </w:t>
      </w:r>
      <w:r w:rsidRPr="005220DA">
        <w:rPr>
          <w:rFonts w:ascii="Arial" w:eastAsia="Times New Roman" w:hAnsi="Arial" w:cs="Arial"/>
          <w:bCs/>
          <w:lang w:val="es-ES_tradnl" w:eastAsia="es-CO"/>
        </w:rPr>
        <w:lastRenderedPageBreak/>
        <w:t>ciencia tecnología e innovación mediante contratación directa, pues esta se encuentra proscrita durante el término señalado en el referido artículo.</w:t>
      </w:r>
    </w:p>
    <w:p w14:paraId="0D116A80" w14:textId="676492E8" w:rsidR="00885E41" w:rsidRPr="005220DA" w:rsidRDefault="00885E41" w:rsidP="00885E41">
      <w:pPr>
        <w:spacing w:before="120" w:after="0" w:line="276" w:lineRule="auto"/>
        <w:ind w:firstLine="709"/>
        <w:jc w:val="both"/>
        <w:rPr>
          <w:rFonts w:ascii="Arial" w:eastAsia="Times New Roman" w:hAnsi="Arial" w:cs="Arial"/>
          <w:color w:val="000000"/>
          <w:lang w:val="es-ES_tradnl" w:eastAsia="es-ES_tradnl"/>
        </w:rPr>
      </w:pPr>
      <w:r w:rsidRPr="006C4ED7">
        <w:rPr>
          <w:rFonts w:ascii="Arial" w:eastAsia="Times New Roman" w:hAnsi="Arial" w:cs="Arial"/>
          <w:bCs/>
          <w:lang w:val="es-ES_tradnl" w:eastAsia="es-CO"/>
        </w:rPr>
        <w:t xml:space="preserve">Tales precisiones cobran importancia, porque en la consulta que resuelve la Agencia en esta ocasión </w:t>
      </w:r>
      <w:r w:rsidR="00A5071F" w:rsidRPr="006C4ED7">
        <w:rPr>
          <w:rFonts w:ascii="Arial" w:eastAsia="Times New Roman" w:hAnsi="Arial" w:cs="Arial"/>
          <w:bCs/>
          <w:lang w:val="es-ES_tradnl" w:eastAsia="es-CO"/>
        </w:rPr>
        <w:t xml:space="preserve">se indaga sobre si </w:t>
      </w:r>
      <w:r w:rsidRPr="006C4ED7">
        <w:rPr>
          <w:rFonts w:ascii="Arial" w:eastAsia="Times New Roman" w:hAnsi="Arial" w:cs="Arial"/>
          <w:bCs/>
          <w:lang w:val="es-ES_tradnl" w:eastAsia="es-CO"/>
        </w:rPr>
        <w:t>«</w:t>
      </w:r>
      <w:r w:rsidR="00A5071F" w:rsidRPr="006C4ED7">
        <w:rPr>
          <w:rFonts w:ascii="Arial" w:hAnsi="Arial" w:cs="Arial"/>
        </w:rPr>
        <w:t>es aplicable la ley de garantías del año 2022 para los convenios de cooperación específica derivados de los contratos de recuperación contingente; amparados por las normas de Ciencia, Tecnología e Innovación</w:t>
      </w:r>
      <w:r w:rsidRPr="006C4ED7">
        <w:rPr>
          <w:rFonts w:ascii="Arial" w:eastAsia="Times New Roman" w:hAnsi="Arial" w:cs="Arial"/>
          <w:color w:val="000000"/>
          <w:lang w:val="es-ES_tradnl" w:eastAsia="es-ES_tradnl"/>
        </w:rPr>
        <w:t>».</w:t>
      </w:r>
      <w:r w:rsidRPr="00735DC6">
        <w:rPr>
          <w:rFonts w:ascii="Arial" w:eastAsia="Times New Roman" w:hAnsi="Arial" w:cs="Arial"/>
          <w:color w:val="000000"/>
          <w:lang w:val="es-ES_tradnl" w:eastAsia="es-ES_tradnl"/>
        </w:rPr>
        <w:t xml:space="preserve"> </w:t>
      </w:r>
      <w:r w:rsidRPr="005220DA">
        <w:rPr>
          <w:rFonts w:ascii="Arial" w:eastAsia="Times New Roman" w:hAnsi="Arial" w:cs="Arial"/>
          <w:color w:val="000000"/>
          <w:lang w:val="es-ES_tradnl" w:eastAsia="es-ES_tradnl"/>
        </w:rPr>
        <w:t xml:space="preserve">En relación con el </w:t>
      </w:r>
      <w:r w:rsidR="002E219A">
        <w:rPr>
          <w:rFonts w:ascii="Arial" w:eastAsia="Times New Roman" w:hAnsi="Arial" w:cs="Arial"/>
          <w:color w:val="000000"/>
          <w:lang w:val="es-ES_tradnl" w:eastAsia="es-ES_tradnl"/>
        </w:rPr>
        <w:t>interrogante</w:t>
      </w:r>
      <w:r w:rsidRPr="005220DA">
        <w:rPr>
          <w:rFonts w:ascii="Arial" w:eastAsia="Times New Roman" w:hAnsi="Arial" w:cs="Arial"/>
          <w:color w:val="000000"/>
          <w:lang w:val="es-ES_tradnl" w:eastAsia="es-ES_tradnl"/>
        </w:rPr>
        <w:t xml:space="preserve">, </w:t>
      </w:r>
      <w:r w:rsidR="008E00B4">
        <w:rPr>
          <w:rFonts w:ascii="Arial" w:eastAsia="Times New Roman" w:hAnsi="Arial" w:cs="Arial"/>
          <w:color w:val="000000"/>
          <w:lang w:val="es-ES_tradnl" w:eastAsia="es-ES_tradnl"/>
        </w:rPr>
        <w:t xml:space="preserve">es pertinente mencionar que, </w:t>
      </w:r>
      <w:r w:rsidRPr="005220DA">
        <w:rPr>
          <w:rFonts w:ascii="Arial" w:eastAsia="Times New Roman" w:hAnsi="Arial" w:cs="Arial"/>
          <w:color w:val="000000"/>
          <w:lang w:val="es-ES_tradnl" w:eastAsia="es-ES_tradnl"/>
        </w:rPr>
        <w:t>el artículo 2, numeral 4, literal e) de la Ley 1150 de 2007 establece que la contratación directa es la modalidad de selección aplicable para «Los contratos para el desarrollo de actividades científicas y tecnológicas». Así también lo señala la Circular Externa Única en el numeral 13.2., literal a), que indica que «Los contratos para la ejecución de programas, proyectos, y actividades de ciencia tecnología e innovación, pueden celebrarse bajo la modalidad de contratación directa, de acuerdo con el literal (e) numeral 4 del artículo 2 de la ley 1150 de 2007 y en el artículo 33 de la ley 1286 de 2009»</w:t>
      </w:r>
      <w:r w:rsidRPr="005220DA">
        <w:rPr>
          <w:rFonts w:ascii="Arial" w:eastAsia="Times New Roman" w:hAnsi="Arial" w:cs="Arial"/>
          <w:sz w:val="24"/>
          <w:szCs w:val="24"/>
          <w:vertAlign w:val="superscript"/>
          <w:lang w:eastAsia="es-ES_tradnl"/>
        </w:rPr>
        <w:footnoteReference w:id="36"/>
      </w:r>
      <w:r w:rsidRPr="005220DA">
        <w:rPr>
          <w:rFonts w:ascii="Arial" w:eastAsia="Times New Roman" w:hAnsi="Arial" w:cs="Arial"/>
          <w:color w:val="000000"/>
          <w:lang w:val="es-ES_tradnl" w:eastAsia="es-ES_tradnl"/>
        </w:rPr>
        <w:t xml:space="preserve">. </w:t>
      </w:r>
      <w:r w:rsidR="003F4EF2">
        <w:rPr>
          <w:rFonts w:ascii="Arial" w:eastAsia="Times New Roman" w:hAnsi="Arial" w:cs="Arial"/>
          <w:color w:val="000000"/>
          <w:lang w:val="es-ES_tradnl" w:eastAsia="es-ES_tradnl"/>
        </w:rPr>
        <w:t>En este sentido</w:t>
      </w:r>
      <w:r w:rsidRPr="005220DA">
        <w:rPr>
          <w:rFonts w:ascii="Arial" w:eastAsia="Times New Roman" w:hAnsi="Arial" w:cs="Arial"/>
          <w:color w:val="000000"/>
          <w:lang w:val="es-ES_tradnl" w:eastAsia="es-ES_tradnl"/>
        </w:rPr>
        <w:t xml:space="preserve">, es claro que el artículo 33 de la Ley 996 de 2005 es aplicable a la contratación directa y que, en consecuencia, en vigencia de esta restricción no se pueden suscribir, bajo tal modalidad de selección, contratos para el desarrollo de actividades de ciencia, tecnología e innovación. </w:t>
      </w:r>
    </w:p>
    <w:p w14:paraId="702F7894" w14:textId="77777777" w:rsidR="00885E41" w:rsidRPr="005220DA" w:rsidRDefault="00885E41" w:rsidP="00885E41">
      <w:pPr>
        <w:spacing w:before="120" w:after="0" w:line="276" w:lineRule="auto"/>
        <w:ind w:firstLine="709"/>
        <w:jc w:val="both"/>
        <w:rPr>
          <w:rFonts w:ascii="Arial" w:eastAsia="Times New Roman" w:hAnsi="Arial" w:cs="Arial"/>
          <w:color w:val="000000"/>
          <w:lang w:eastAsia="es-ES_tradnl"/>
        </w:rPr>
      </w:pPr>
      <w:r w:rsidRPr="005220DA">
        <w:rPr>
          <w:rFonts w:ascii="Arial" w:eastAsia="Times New Roman" w:hAnsi="Arial" w:cs="Arial"/>
          <w:color w:val="000000"/>
          <w:lang w:val="es-ES_tradnl" w:eastAsia="es-ES_tradnl"/>
        </w:rPr>
        <w:t>Debe precisarse, en todo caso, que la restricción a la contratación directa en vigencia de la Ley de Garantías Electorales no afecta la realización de las convocatorias públicas abiertas y competitivas de la asignación para la ciencia, tecnología e innovación, reguladas en el inciso 7 del artículo 361 de la Constitución Política</w:t>
      </w:r>
      <w:r w:rsidRPr="005220DA">
        <w:rPr>
          <w:rFonts w:ascii="Arial" w:eastAsia="Times New Roman" w:hAnsi="Arial" w:cs="Arial"/>
          <w:sz w:val="24"/>
          <w:szCs w:val="24"/>
          <w:vertAlign w:val="superscript"/>
          <w:lang w:eastAsia="es-ES_tradnl"/>
        </w:rPr>
        <w:footnoteReference w:id="37"/>
      </w:r>
      <w:r w:rsidRPr="005220DA">
        <w:rPr>
          <w:rFonts w:ascii="Arial" w:eastAsia="Times New Roman" w:hAnsi="Arial" w:cs="Arial"/>
          <w:color w:val="000000"/>
          <w:lang w:val="es-ES_tradnl" w:eastAsia="es-ES_tradnl"/>
        </w:rPr>
        <w:t>, en el artículo 53 de la Ley 2056 de 2020</w:t>
      </w:r>
      <w:r w:rsidRPr="005220DA">
        <w:rPr>
          <w:rFonts w:ascii="Arial" w:eastAsia="Times New Roman" w:hAnsi="Arial" w:cs="Arial"/>
          <w:sz w:val="24"/>
          <w:szCs w:val="24"/>
          <w:vertAlign w:val="superscript"/>
          <w:lang w:eastAsia="es-ES_tradnl"/>
        </w:rPr>
        <w:footnoteReference w:id="38"/>
      </w:r>
      <w:r w:rsidRPr="005220DA">
        <w:rPr>
          <w:rFonts w:ascii="Arial" w:eastAsia="Times New Roman" w:hAnsi="Arial" w:cs="Arial"/>
          <w:color w:val="000000"/>
          <w:lang w:val="es-ES_tradnl" w:eastAsia="es-ES_tradnl"/>
        </w:rPr>
        <w:t xml:space="preserve"> y en los artículos 1.2.3.2.1. a 1.2.3.2.9. del Decreto 1821 de 2020. </w:t>
      </w:r>
      <w:r w:rsidRPr="005220DA">
        <w:rPr>
          <w:rFonts w:ascii="Arial" w:eastAsia="Times New Roman" w:hAnsi="Arial" w:cs="Arial"/>
          <w:color w:val="000000"/>
          <w:lang w:val="es-ES_tradnl" w:eastAsia="es-ES_tradnl"/>
        </w:rPr>
        <w:lastRenderedPageBreak/>
        <w:t xml:space="preserve">Dichas disposiciones establecen un procedimiento especial de convocatoria pública –no de contratación directa– en materia de ciencia, tecnología e innovación, para la inversión de los ingresos corrientes del Sistema General de Regalías. Por tanto, atendiendo al principio de interpretación restrictiva de las prohibiciones contenidas en la Ley 996 de 2005, el artículo 33 de este cuerpo normativo no resulta aplicable en dichas convocatorias. </w:t>
      </w:r>
    </w:p>
    <w:p w14:paraId="6831BBED" w14:textId="77777777" w:rsidR="00885E41" w:rsidRPr="005220DA" w:rsidRDefault="00885E41" w:rsidP="00885E41">
      <w:pPr>
        <w:tabs>
          <w:tab w:val="left" w:pos="0"/>
        </w:tabs>
        <w:spacing w:after="0" w:line="240" w:lineRule="auto"/>
        <w:jc w:val="both"/>
        <w:rPr>
          <w:rFonts w:ascii="Arial" w:eastAsia="Calibri" w:hAnsi="Arial" w:cs="Arial"/>
          <w:b/>
          <w:szCs w:val="24"/>
          <w:lang w:val="es-ES_tradnl" w:eastAsia="es-ES_tradnl"/>
        </w:rPr>
      </w:pPr>
    </w:p>
    <w:p w14:paraId="57035E2B" w14:textId="77777777" w:rsidR="00885E41" w:rsidRPr="005220DA" w:rsidRDefault="00885E41" w:rsidP="00885E41">
      <w:pPr>
        <w:tabs>
          <w:tab w:val="left" w:pos="0"/>
        </w:tabs>
        <w:spacing w:after="0" w:line="240" w:lineRule="auto"/>
        <w:jc w:val="both"/>
        <w:rPr>
          <w:rFonts w:ascii="Arial" w:eastAsia="Calibri" w:hAnsi="Arial" w:cs="Arial"/>
          <w:b/>
          <w:szCs w:val="24"/>
          <w:lang w:val="es-ES_tradnl" w:eastAsia="es-ES_tradnl"/>
        </w:rPr>
      </w:pPr>
      <w:r w:rsidRPr="005220DA">
        <w:rPr>
          <w:rFonts w:ascii="Arial" w:eastAsia="Calibri" w:hAnsi="Arial" w:cs="Arial"/>
          <w:b/>
          <w:szCs w:val="24"/>
          <w:lang w:val="es-ES_tradnl" w:eastAsia="es-ES_tradnl"/>
        </w:rPr>
        <w:t>3. Respuesta</w:t>
      </w:r>
    </w:p>
    <w:p w14:paraId="3740871E" w14:textId="26DFFB44" w:rsidR="00885E41" w:rsidRDefault="00885E41" w:rsidP="00885E41">
      <w:pPr>
        <w:tabs>
          <w:tab w:val="left" w:pos="0"/>
        </w:tabs>
        <w:spacing w:after="0" w:line="240" w:lineRule="auto"/>
        <w:jc w:val="both"/>
        <w:rPr>
          <w:rFonts w:ascii="Arial" w:eastAsia="Calibri" w:hAnsi="Arial" w:cs="Arial"/>
          <w:sz w:val="21"/>
          <w:szCs w:val="21"/>
          <w:lang w:val="es-ES_tradnl" w:eastAsia="es-ES_tradnl"/>
        </w:rPr>
      </w:pPr>
    </w:p>
    <w:p w14:paraId="79B72CF3" w14:textId="1C33F048" w:rsidR="00E56A41" w:rsidRPr="00A94C5E" w:rsidRDefault="00E56A41" w:rsidP="006C4ED7">
      <w:pPr>
        <w:tabs>
          <w:tab w:val="left" w:pos="0"/>
        </w:tabs>
        <w:spacing w:after="0" w:line="240" w:lineRule="auto"/>
        <w:ind w:left="709" w:right="709"/>
        <w:jc w:val="both"/>
        <w:rPr>
          <w:rFonts w:ascii="Arial" w:eastAsia="Calibri" w:hAnsi="Arial" w:cs="Arial"/>
          <w:sz w:val="21"/>
          <w:szCs w:val="21"/>
          <w:lang w:val="es-ES_tradnl" w:eastAsia="es-ES_tradnl"/>
        </w:rPr>
      </w:pPr>
      <w:r w:rsidRPr="006C4ED7">
        <w:rPr>
          <w:rFonts w:ascii="Arial" w:eastAsia="Times New Roman" w:hAnsi="Arial" w:cs="Arial"/>
          <w:bCs/>
          <w:sz w:val="21"/>
          <w:szCs w:val="21"/>
          <w:lang w:val="es-ES_tradnl" w:eastAsia="es-CO"/>
        </w:rPr>
        <w:t>«</w:t>
      </w:r>
      <w:r w:rsidRPr="006C4ED7">
        <w:rPr>
          <w:rFonts w:ascii="Arial" w:hAnsi="Arial" w:cs="Arial"/>
          <w:sz w:val="21"/>
          <w:szCs w:val="21"/>
        </w:rPr>
        <w:t>es aplicable la ley de garantías del año 2022 para los convenios de cooperación específica derivados de los contratos de recuperación contingente; amparados por las normas de Ciencia, Tecnología e Innovación</w:t>
      </w:r>
      <w:r w:rsidRPr="006C4ED7">
        <w:rPr>
          <w:rFonts w:ascii="Arial" w:eastAsia="Times New Roman" w:hAnsi="Arial" w:cs="Arial"/>
          <w:color w:val="000000"/>
          <w:sz w:val="21"/>
          <w:szCs w:val="21"/>
          <w:lang w:val="es-ES_tradnl" w:eastAsia="es-ES_tradnl"/>
        </w:rPr>
        <w:t>».</w:t>
      </w:r>
    </w:p>
    <w:p w14:paraId="1EEA8BAD" w14:textId="77777777" w:rsidR="00885E41" w:rsidRPr="005220DA" w:rsidRDefault="00885E41" w:rsidP="00885E41">
      <w:pPr>
        <w:spacing w:after="0" w:line="276" w:lineRule="auto"/>
        <w:jc w:val="both"/>
        <w:rPr>
          <w:rFonts w:ascii="Arial" w:eastAsia="Times New Roman" w:hAnsi="Arial" w:cs="Arial"/>
          <w:color w:val="000000"/>
          <w:lang w:val="es-ES_tradnl" w:eastAsia="es-ES_tradnl"/>
        </w:rPr>
      </w:pPr>
    </w:p>
    <w:p w14:paraId="5A08E968" w14:textId="5C8967C4" w:rsidR="00885E41" w:rsidRPr="005220DA" w:rsidRDefault="00232C60" w:rsidP="00757397">
      <w:pPr>
        <w:spacing w:after="0" w:line="276" w:lineRule="auto"/>
        <w:jc w:val="both"/>
        <w:rPr>
          <w:rFonts w:ascii="Arial" w:eastAsia="Times New Roman" w:hAnsi="Arial" w:cs="Arial"/>
          <w:color w:val="000000"/>
          <w:lang w:val="es-ES_tradnl" w:eastAsia="es-ES_tradnl"/>
        </w:rPr>
      </w:pPr>
      <w:r>
        <w:rPr>
          <w:rFonts w:ascii="Arial" w:eastAsia="Times New Roman" w:hAnsi="Arial" w:cs="Arial"/>
          <w:color w:val="000000"/>
          <w:lang w:val="es-ES_tradnl" w:eastAsia="es-ES_tradnl"/>
        </w:rPr>
        <w:t>De acuerdo con lo considerado,</w:t>
      </w:r>
      <w:r w:rsidR="00885E41" w:rsidRPr="005220DA">
        <w:rPr>
          <w:rFonts w:ascii="Arial" w:eastAsia="Times New Roman" w:hAnsi="Arial" w:cs="Arial"/>
          <w:color w:val="000000"/>
          <w:lang w:val="es-ES_tradnl" w:eastAsia="es-ES_tradnl"/>
        </w:rPr>
        <w:t xml:space="preserve"> </w:t>
      </w:r>
      <w:r w:rsidR="004A4D63">
        <w:rPr>
          <w:rFonts w:ascii="Arial" w:eastAsia="Times New Roman" w:hAnsi="Arial" w:cs="Arial"/>
          <w:color w:val="000000"/>
          <w:lang w:val="es-ES_tradnl" w:eastAsia="es-ES_tradnl"/>
        </w:rPr>
        <w:t xml:space="preserve">se </w:t>
      </w:r>
      <w:r>
        <w:rPr>
          <w:rFonts w:ascii="Arial" w:eastAsia="Times New Roman" w:hAnsi="Arial" w:cs="Arial"/>
          <w:color w:val="000000"/>
          <w:lang w:val="es-ES_tradnl" w:eastAsia="es-ES_tradnl"/>
        </w:rPr>
        <w:t>advierte</w:t>
      </w:r>
      <w:r w:rsidR="004A4D63">
        <w:rPr>
          <w:rFonts w:ascii="Arial" w:eastAsia="Times New Roman" w:hAnsi="Arial" w:cs="Arial"/>
          <w:color w:val="000000"/>
          <w:lang w:val="es-ES_tradnl" w:eastAsia="es-ES_tradnl"/>
        </w:rPr>
        <w:t xml:space="preserve"> </w:t>
      </w:r>
      <w:r w:rsidR="00885E41" w:rsidRPr="005220DA">
        <w:rPr>
          <w:rFonts w:ascii="Arial" w:eastAsia="Times New Roman" w:hAnsi="Arial" w:cs="Arial"/>
          <w:color w:val="000000"/>
          <w:lang w:val="es-ES_tradnl" w:eastAsia="es-ES_tradnl"/>
        </w:rPr>
        <w:t>que el artículo 2</w:t>
      </w:r>
      <w:r>
        <w:rPr>
          <w:rFonts w:ascii="Arial" w:eastAsia="Times New Roman" w:hAnsi="Arial" w:cs="Arial"/>
          <w:color w:val="000000"/>
          <w:lang w:val="es-ES_tradnl" w:eastAsia="es-ES_tradnl"/>
        </w:rPr>
        <w:t>-4</w:t>
      </w:r>
      <w:r w:rsidR="00885E41" w:rsidRPr="005220DA">
        <w:rPr>
          <w:rFonts w:ascii="Arial" w:eastAsia="Times New Roman" w:hAnsi="Arial" w:cs="Arial"/>
          <w:color w:val="000000"/>
          <w:lang w:val="es-ES_tradnl" w:eastAsia="es-ES_tradnl"/>
        </w:rPr>
        <w:t xml:space="preserve">, literal e) de la Ley 1150 de 2007 establece que la contratación directa es la modalidad de selección aplicable para «Los contratos para el desarrollo de actividades científicas y tecnológicas». Así también lo señala la Circular Externa Única en el numeral 13.2., literal a), que indica que «Los contratos para la ejecución de programas, proyectos, y actividades de ciencia tecnología e innovación, pueden celebrarse bajo la modalidad de contratación directa, de acuerdo con el literal (e) numeral 4 del artículo 2 de la ley 1150 de 2007 y en el artículo 33 de la ley 1286 de 2009». </w:t>
      </w:r>
      <w:r w:rsidR="009C275E">
        <w:rPr>
          <w:rFonts w:ascii="Arial" w:eastAsia="Times New Roman" w:hAnsi="Arial" w:cs="Arial"/>
          <w:color w:val="000000"/>
          <w:lang w:val="es-ES_tradnl" w:eastAsia="es-ES_tradnl"/>
        </w:rPr>
        <w:t>En consecuencia</w:t>
      </w:r>
      <w:r w:rsidR="00885E41" w:rsidRPr="005220DA">
        <w:rPr>
          <w:rFonts w:ascii="Arial" w:eastAsia="Times New Roman" w:hAnsi="Arial" w:cs="Arial"/>
          <w:color w:val="000000"/>
          <w:lang w:val="es-ES_tradnl" w:eastAsia="es-ES_tradnl"/>
        </w:rPr>
        <w:t xml:space="preserve">, </w:t>
      </w:r>
      <w:r w:rsidR="00067C5E">
        <w:rPr>
          <w:rFonts w:ascii="Arial" w:eastAsia="Times New Roman" w:hAnsi="Arial" w:cs="Arial"/>
          <w:color w:val="000000"/>
          <w:lang w:val="es-ES_tradnl" w:eastAsia="es-ES_tradnl"/>
        </w:rPr>
        <w:t xml:space="preserve">se advierte </w:t>
      </w:r>
      <w:r w:rsidR="00885E41" w:rsidRPr="005220DA">
        <w:rPr>
          <w:rFonts w:ascii="Arial" w:eastAsia="Times New Roman" w:hAnsi="Arial" w:cs="Arial"/>
          <w:color w:val="000000"/>
          <w:lang w:val="es-ES_tradnl" w:eastAsia="es-ES_tradnl"/>
        </w:rPr>
        <w:t xml:space="preserve">que </w:t>
      </w:r>
      <w:r w:rsidR="009C275E">
        <w:rPr>
          <w:rFonts w:ascii="Arial" w:eastAsia="Times New Roman" w:hAnsi="Arial" w:cs="Arial"/>
          <w:color w:val="000000"/>
          <w:lang w:val="es-ES_tradnl" w:eastAsia="es-ES_tradnl"/>
        </w:rPr>
        <w:t>en atención a lo dispuesto en el</w:t>
      </w:r>
      <w:r w:rsidR="00885E41" w:rsidRPr="005220DA">
        <w:rPr>
          <w:rFonts w:ascii="Arial" w:eastAsia="Times New Roman" w:hAnsi="Arial" w:cs="Arial"/>
          <w:color w:val="000000"/>
          <w:lang w:val="es-ES_tradnl" w:eastAsia="es-ES_tradnl"/>
        </w:rPr>
        <w:t xml:space="preserve"> artículo 33 de la Ley 996 de 2005 </w:t>
      </w:r>
      <w:r w:rsidR="009C275E">
        <w:rPr>
          <w:rFonts w:ascii="Arial" w:eastAsia="Times New Roman" w:hAnsi="Arial" w:cs="Arial"/>
          <w:color w:val="000000"/>
          <w:lang w:val="es-ES_tradnl" w:eastAsia="es-ES_tradnl"/>
        </w:rPr>
        <w:t xml:space="preserve">está </w:t>
      </w:r>
      <w:r>
        <w:rPr>
          <w:rFonts w:ascii="Arial" w:eastAsia="Times New Roman" w:hAnsi="Arial" w:cs="Arial"/>
          <w:color w:val="000000"/>
          <w:lang w:val="es-ES_tradnl" w:eastAsia="es-ES_tradnl"/>
        </w:rPr>
        <w:t>proh</w:t>
      </w:r>
      <w:r w:rsidR="009C275E">
        <w:rPr>
          <w:rFonts w:ascii="Arial" w:eastAsia="Times New Roman" w:hAnsi="Arial" w:cs="Arial"/>
          <w:color w:val="000000"/>
          <w:lang w:val="es-ES_tradnl" w:eastAsia="es-ES_tradnl"/>
        </w:rPr>
        <w:t>ibida</w:t>
      </w:r>
      <w:r w:rsidR="00067C5E" w:rsidRPr="005220DA">
        <w:rPr>
          <w:rFonts w:ascii="Arial" w:eastAsia="Times New Roman" w:hAnsi="Arial" w:cs="Arial"/>
          <w:color w:val="000000"/>
          <w:lang w:val="es-ES_tradnl" w:eastAsia="es-ES_tradnl"/>
        </w:rPr>
        <w:t xml:space="preserve"> </w:t>
      </w:r>
      <w:r w:rsidR="00885E41" w:rsidRPr="005220DA">
        <w:rPr>
          <w:rFonts w:ascii="Arial" w:eastAsia="Times New Roman" w:hAnsi="Arial" w:cs="Arial"/>
          <w:color w:val="000000"/>
          <w:lang w:val="es-ES_tradnl" w:eastAsia="es-ES_tradnl"/>
        </w:rPr>
        <w:t>la contratación directa</w:t>
      </w:r>
      <w:r w:rsidR="00067C5E">
        <w:rPr>
          <w:rFonts w:ascii="Arial" w:eastAsia="Times New Roman" w:hAnsi="Arial" w:cs="Arial"/>
          <w:color w:val="000000"/>
          <w:lang w:val="es-ES_tradnl" w:eastAsia="es-ES_tradnl"/>
        </w:rPr>
        <w:t xml:space="preserve"> en los periodos prelectorales de los cuatro (4) meses anteriores a las elecciones</w:t>
      </w:r>
      <w:r>
        <w:rPr>
          <w:rFonts w:ascii="Arial" w:eastAsia="Times New Roman" w:hAnsi="Arial" w:cs="Arial"/>
          <w:color w:val="000000"/>
          <w:lang w:val="es-ES_tradnl" w:eastAsia="es-ES_tradnl"/>
        </w:rPr>
        <w:t xml:space="preserve"> presidenciales</w:t>
      </w:r>
      <w:r w:rsidR="00885E41" w:rsidRPr="005220DA">
        <w:rPr>
          <w:rFonts w:ascii="Arial" w:eastAsia="Times New Roman" w:hAnsi="Arial" w:cs="Arial"/>
          <w:color w:val="000000"/>
          <w:lang w:val="es-ES_tradnl" w:eastAsia="es-ES_tradnl"/>
        </w:rPr>
        <w:t xml:space="preserve">, </w:t>
      </w:r>
      <w:r w:rsidR="005A6B7C">
        <w:rPr>
          <w:rFonts w:ascii="Arial" w:eastAsia="Times New Roman" w:hAnsi="Arial" w:cs="Arial"/>
          <w:color w:val="000000"/>
          <w:lang w:val="es-ES_tradnl" w:eastAsia="es-ES_tradnl"/>
        </w:rPr>
        <w:t xml:space="preserve">por lo que, </w:t>
      </w:r>
      <w:r w:rsidR="00885E41" w:rsidRPr="005220DA">
        <w:rPr>
          <w:rFonts w:ascii="Arial" w:eastAsia="Times New Roman" w:hAnsi="Arial" w:cs="Arial"/>
          <w:color w:val="000000"/>
          <w:lang w:val="es-ES_tradnl" w:eastAsia="es-ES_tradnl"/>
        </w:rPr>
        <w:t>en vigencia de esta restricción</w:t>
      </w:r>
      <w:r w:rsidR="005A6B7C">
        <w:rPr>
          <w:rFonts w:ascii="Arial" w:eastAsia="Times New Roman" w:hAnsi="Arial" w:cs="Arial"/>
          <w:color w:val="000000"/>
          <w:lang w:val="es-ES_tradnl" w:eastAsia="es-ES_tradnl"/>
        </w:rPr>
        <w:t>,</w:t>
      </w:r>
      <w:r w:rsidR="00885E41" w:rsidRPr="005220DA">
        <w:rPr>
          <w:rFonts w:ascii="Arial" w:eastAsia="Times New Roman" w:hAnsi="Arial" w:cs="Arial"/>
          <w:color w:val="000000"/>
          <w:lang w:val="es-ES_tradnl" w:eastAsia="es-ES_tradnl"/>
        </w:rPr>
        <w:t xml:space="preserve"> no se pueden suscribir</w:t>
      </w:r>
      <w:r w:rsidR="005A6B7C">
        <w:rPr>
          <w:rFonts w:ascii="Arial" w:eastAsia="Times New Roman" w:hAnsi="Arial" w:cs="Arial"/>
          <w:color w:val="000000"/>
          <w:lang w:val="es-ES_tradnl" w:eastAsia="es-ES_tradnl"/>
        </w:rPr>
        <w:t>,</w:t>
      </w:r>
      <w:r w:rsidR="00885E41" w:rsidRPr="005220DA">
        <w:rPr>
          <w:rFonts w:ascii="Arial" w:eastAsia="Times New Roman" w:hAnsi="Arial" w:cs="Arial"/>
          <w:color w:val="000000"/>
          <w:lang w:val="es-ES_tradnl" w:eastAsia="es-ES_tradnl"/>
        </w:rPr>
        <w:t xml:space="preserve"> bajo tal modalidad de selección, contratos para el </w:t>
      </w:r>
      <w:r w:rsidR="00885E41" w:rsidRPr="005220DA">
        <w:rPr>
          <w:rFonts w:ascii="Arial" w:eastAsia="Times New Roman" w:hAnsi="Arial" w:cs="Arial"/>
          <w:color w:val="000000"/>
          <w:lang w:val="es-ES_tradnl" w:eastAsia="es-ES_tradnl"/>
        </w:rPr>
        <w:lastRenderedPageBreak/>
        <w:t>desarrollo de actividades de ciencia, tecnología e innovación</w:t>
      </w:r>
      <w:r w:rsidR="001B4240">
        <w:rPr>
          <w:rFonts w:ascii="Arial" w:eastAsia="Times New Roman" w:hAnsi="Arial" w:cs="Arial"/>
          <w:color w:val="000000"/>
          <w:lang w:val="es-ES_tradnl" w:eastAsia="es-ES_tradnl"/>
        </w:rPr>
        <w:t>, entre los que se encuentra el señalado en su petición de consulta</w:t>
      </w:r>
      <w:r w:rsidR="00885E41" w:rsidRPr="005220DA">
        <w:rPr>
          <w:rFonts w:ascii="Arial" w:eastAsia="Times New Roman" w:hAnsi="Arial" w:cs="Arial"/>
          <w:color w:val="000000"/>
          <w:lang w:val="es-ES_tradnl" w:eastAsia="es-ES_tradnl"/>
        </w:rPr>
        <w:t xml:space="preserve">. </w:t>
      </w:r>
    </w:p>
    <w:p w14:paraId="22EF1CDD" w14:textId="349C140F" w:rsidR="00885E41" w:rsidRPr="005220DA" w:rsidRDefault="00F03A5F" w:rsidP="00885E41">
      <w:pPr>
        <w:spacing w:before="120" w:after="0" w:line="276" w:lineRule="auto"/>
        <w:ind w:firstLine="709"/>
        <w:jc w:val="both"/>
        <w:rPr>
          <w:rFonts w:ascii="Arial" w:eastAsia="Times New Roman" w:hAnsi="Arial" w:cs="Arial"/>
          <w:color w:val="000000"/>
          <w:lang w:eastAsia="es-ES_tradnl"/>
        </w:rPr>
      </w:pPr>
      <w:r>
        <w:rPr>
          <w:rFonts w:ascii="Arial" w:eastAsia="Times New Roman" w:hAnsi="Arial" w:cs="Arial"/>
          <w:color w:val="000000"/>
          <w:lang w:val="es-ES_tradnl" w:eastAsia="es-ES_tradnl"/>
        </w:rPr>
        <w:t>En todo caso, d</w:t>
      </w:r>
      <w:r w:rsidR="00885E41" w:rsidRPr="005220DA">
        <w:rPr>
          <w:rFonts w:ascii="Arial" w:eastAsia="Times New Roman" w:hAnsi="Arial" w:cs="Arial"/>
          <w:color w:val="000000"/>
          <w:lang w:val="es-ES_tradnl" w:eastAsia="es-ES_tradnl"/>
        </w:rPr>
        <w:t>ebe precisarse que</w:t>
      </w:r>
      <w:r>
        <w:rPr>
          <w:rFonts w:ascii="Arial" w:eastAsia="Times New Roman" w:hAnsi="Arial" w:cs="Arial"/>
          <w:color w:val="000000"/>
          <w:lang w:val="es-ES_tradnl" w:eastAsia="es-ES_tradnl"/>
        </w:rPr>
        <w:t>,</w:t>
      </w:r>
      <w:r w:rsidR="00885E41" w:rsidRPr="005220DA">
        <w:rPr>
          <w:rFonts w:ascii="Arial" w:eastAsia="Times New Roman" w:hAnsi="Arial" w:cs="Arial"/>
          <w:color w:val="000000"/>
          <w:lang w:val="es-ES_tradnl" w:eastAsia="es-ES_tradnl"/>
        </w:rPr>
        <w:t xml:space="preserve"> la restricción a la contratación directa en vigencia de la Ley de Garantías Electorales no afecta la realización de las convocatorias públicas abiertas y competitivas de la asignación para la ciencia, tecnología e innovación, reguladas en el inciso 7 del artículo 361 de la Constitución Política, en el artículo 53 de la Ley 2056 de 2020 y en los artículos 1.2.3.2.1. a 1.2.3.2.9. del Decreto 1821 de 2020. Dichas disposiciones establecen un procedimiento especial de convocatoria pública –no de contratación directa– en materia de ciencia, tecnología e innovación, para la inversión de los ingresos corrientes del Sistema General de Regalías. Por tanto, atendiendo al principio de interpretación restrictiva de las prohibiciones contenidas en la Ley 996 de 2005, el artículo 33 de este cuerpo normativo no resulta aplicable en dichas convocatorias. </w:t>
      </w:r>
    </w:p>
    <w:p w14:paraId="4A331B35" w14:textId="77777777" w:rsidR="00885E41" w:rsidRPr="005220DA" w:rsidRDefault="00885E41" w:rsidP="00757397">
      <w:pPr>
        <w:spacing w:after="0" w:line="276" w:lineRule="auto"/>
        <w:ind w:firstLine="709"/>
        <w:jc w:val="both"/>
        <w:rPr>
          <w:rFonts w:ascii="Arial" w:eastAsia="Times New Roman" w:hAnsi="Arial" w:cs="Arial"/>
          <w:color w:val="000000"/>
          <w:lang w:val="es-ES_tradnl" w:eastAsia="es-ES_tradnl"/>
        </w:rPr>
      </w:pPr>
      <w:r w:rsidRPr="005220DA">
        <w:rPr>
          <w:rFonts w:ascii="Arial" w:eastAsia="Times New Roman" w:hAnsi="Arial" w:cs="Arial"/>
          <w:color w:val="000000"/>
          <w:lang w:val="es-ES_tradnl" w:eastAsia="es-ES_tradnl"/>
        </w:rPr>
        <w:t xml:space="preserve">  </w:t>
      </w:r>
      <w:r w:rsidRPr="005220DA">
        <w:rPr>
          <w:rFonts w:ascii="Arial" w:eastAsia="Times New Roman" w:hAnsi="Arial" w:cs="Arial"/>
          <w:bCs/>
          <w:lang w:val="es-ES_tradnl" w:eastAsia="es-CO"/>
        </w:rPr>
        <w:t xml:space="preserve">   </w:t>
      </w:r>
    </w:p>
    <w:p w14:paraId="25A7A0B0" w14:textId="77777777" w:rsidR="00885E41" w:rsidRPr="005220DA" w:rsidRDefault="00885E41" w:rsidP="00885E41">
      <w:pPr>
        <w:spacing w:after="120" w:line="276" w:lineRule="auto"/>
        <w:jc w:val="both"/>
        <w:rPr>
          <w:rFonts w:ascii="Arial" w:eastAsia="Times New Roman" w:hAnsi="Arial" w:cs="Arial"/>
          <w:color w:val="000000"/>
          <w:bdr w:val="none" w:sz="0" w:space="0" w:color="auto" w:frame="1"/>
          <w:lang w:val="es-ES_tradnl" w:eastAsia="es-ES_tradnl"/>
        </w:rPr>
      </w:pPr>
      <w:r w:rsidRPr="005220DA">
        <w:rPr>
          <w:rFonts w:ascii="Arial" w:eastAsia="Times New Roman" w:hAnsi="Arial" w:cs="Arial"/>
          <w:color w:val="000000"/>
          <w:szCs w:val="24"/>
          <w:lang w:val="es-ES_tradnl" w:eastAsia="es-ES_tradnl"/>
        </w:rPr>
        <w:t>Este concepto tiene el alcance previsto en el artículo 28 del Código de Procedimiento Administrativo y de lo Contencioso Administrativo.</w:t>
      </w:r>
    </w:p>
    <w:p w14:paraId="7B4CA818" w14:textId="77777777" w:rsidR="00885E41" w:rsidRPr="005220DA" w:rsidRDefault="00885E41" w:rsidP="00885E41">
      <w:pPr>
        <w:spacing w:after="0" w:line="276" w:lineRule="auto"/>
        <w:jc w:val="both"/>
        <w:rPr>
          <w:rFonts w:ascii="Arial" w:eastAsia="Times New Roman" w:hAnsi="Arial" w:cs="Arial"/>
          <w:color w:val="000000"/>
          <w:lang w:val="es-ES_tradnl" w:eastAsia="es-CO"/>
        </w:rPr>
      </w:pPr>
      <w:r w:rsidRPr="005220DA">
        <w:rPr>
          <w:rFonts w:ascii="Arial" w:eastAsia="Times New Roman" w:hAnsi="Arial" w:cs="Arial"/>
          <w:color w:val="000000"/>
          <w:lang w:val="es-ES_tradnl" w:eastAsia="es-CO"/>
        </w:rPr>
        <w:t>Atentamente,</w:t>
      </w:r>
    </w:p>
    <w:p w14:paraId="03FEA22F" w14:textId="77777777" w:rsidR="00885E41" w:rsidRDefault="00885E41" w:rsidP="00885E41">
      <w:pPr>
        <w:spacing w:after="0" w:line="240" w:lineRule="auto"/>
        <w:jc w:val="center"/>
        <w:rPr>
          <w:rFonts w:ascii="Arial" w:eastAsia="Times New Roman" w:hAnsi="Arial" w:cs="Arial"/>
          <w:noProof/>
          <w:lang w:val="es-ES" w:eastAsia="es-CO"/>
        </w:rPr>
      </w:pPr>
    </w:p>
    <w:p w14:paraId="5AA0AA9B" w14:textId="62BA557E" w:rsidR="00885E41" w:rsidRPr="00310CD0" w:rsidRDefault="000B7503" w:rsidP="00885E41">
      <w:pPr>
        <w:spacing w:after="0" w:line="240" w:lineRule="auto"/>
        <w:jc w:val="center"/>
        <w:rPr>
          <w:rFonts w:ascii="Arial" w:eastAsia="Times New Roman" w:hAnsi="Arial" w:cs="Arial"/>
          <w:sz w:val="18"/>
          <w:szCs w:val="20"/>
          <w:lang w:val="es-ES" w:eastAsia="es-CO"/>
        </w:rPr>
      </w:pPr>
      <w:r>
        <w:rPr>
          <w:noProof/>
        </w:rPr>
        <w:drawing>
          <wp:inline distT="0" distB="0" distL="0" distR="0" wp14:anchorId="438D9B42" wp14:editId="2A8A1822">
            <wp:extent cx="3298190" cy="1491615"/>
            <wp:effectExtent l="0" t="0" r="0" b="0"/>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8190" cy="1491615"/>
                    </a:xfrm>
                    <a:prstGeom prst="rect">
                      <a:avLst/>
                    </a:prstGeom>
                    <a:noFill/>
                    <a:ln>
                      <a:noFill/>
                    </a:ln>
                  </pic:spPr>
                </pic:pic>
              </a:graphicData>
            </a:graphic>
          </wp:inline>
        </w:drawing>
      </w:r>
    </w:p>
    <w:p w14:paraId="60BDEBBA" w14:textId="77777777" w:rsidR="00885E41" w:rsidRPr="00310CD0" w:rsidRDefault="00885E41" w:rsidP="00885E41">
      <w:pPr>
        <w:spacing w:after="0" w:line="240" w:lineRule="auto"/>
        <w:jc w:val="center"/>
        <w:rPr>
          <w:rFonts w:ascii="Arial" w:eastAsia="Times New Roman"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85E41" w:rsidRPr="00310CD0" w14:paraId="592E97DD" w14:textId="77777777" w:rsidTr="00F73891">
        <w:trPr>
          <w:trHeight w:val="315"/>
        </w:trPr>
        <w:tc>
          <w:tcPr>
            <w:tcW w:w="812" w:type="dxa"/>
            <w:vAlign w:val="center"/>
            <w:hideMark/>
          </w:tcPr>
          <w:p w14:paraId="71091C3A" w14:textId="77777777" w:rsidR="00885E41" w:rsidRPr="00310CD0" w:rsidRDefault="00885E41" w:rsidP="00F73891">
            <w:pPr>
              <w:rPr>
                <w:rFonts w:ascii="Arial" w:eastAsia="Times New Roman" w:hAnsi="Arial" w:cs="Arial"/>
                <w:sz w:val="16"/>
                <w:szCs w:val="16"/>
                <w:lang w:val="es-ES" w:eastAsia="es-ES"/>
              </w:rPr>
            </w:pPr>
            <w:r w:rsidRPr="00310CD0">
              <w:rPr>
                <w:rFonts w:ascii="Arial" w:eastAsia="Times New Roman"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131BB55B" w14:textId="77777777" w:rsidR="00885E41" w:rsidRDefault="003C55F5" w:rsidP="00F73891">
            <w:pPr>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Carlos Mario Castrillón Endo </w:t>
            </w:r>
          </w:p>
          <w:p w14:paraId="085C54D1" w14:textId="388AD9E6" w:rsidR="003C55F5" w:rsidRPr="00310CD0" w:rsidRDefault="003C55F5" w:rsidP="00F73891">
            <w:pPr>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Contratista de la </w:t>
            </w:r>
            <w:r w:rsidRPr="00310CD0">
              <w:rPr>
                <w:rFonts w:ascii="Arial" w:eastAsia="Times New Roman" w:hAnsi="Arial" w:cs="Arial"/>
                <w:sz w:val="16"/>
                <w:szCs w:val="16"/>
                <w:lang w:val="es-ES" w:eastAsia="es-ES"/>
              </w:rPr>
              <w:t>Subdirec</w:t>
            </w:r>
            <w:r w:rsidR="00987DB2">
              <w:rPr>
                <w:rFonts w:ascii="Arial" w:eastAsia="Times New Roman" w:hAnsi="Arial" w:cs="Arial"/>
                <w:sz w:val="16"/>
                <w:szCs w:val="16"/>
                <w:lang w:val="es-ES" w:eastAsia="es-ES"/>
              </w:rPr>
              <w:t>ción</w:t>
            </w:r>
            <w:r w:rsidRPr="00310CD0">
              <w:rPr>
                <w:rFonts w:ascii="Arial" w:eastAsia="Times New Roman" w:hAnsi="Arial" w:cs="Arial"/>
                <w:sz w:val="16"/>
                <w:szCs w:val="16"/>
                <w:lang w:val="es-ES" w:eastAsia="es-ES"/>
              </w:rPr>
              <w:t xml:space="preserve"> de Gestión Contractual</w:t>
            </w:r>
          </w:p>
        </w:tc>
      </w:tr>
      <w:tr w:rsidR="00885E41" w:rsidRPr="00310CD0" w14:paraId="30430ABF" w14:textId="77777777" w:rsidTr="00F73891">
        <w:trPr>
          <w:trHeight w:val="330"/>
        </w:trPr>
        <w:tc>
          <w:tcPr>
            <w:tcW w:w="812" w:type="dxa"/>
            <w:vAlign w:val="center"/>
            <w:hideMark/>
          </w:tcPr>
          <w:p w14:paraId="6B84CD21" w14:textId="77777777" w:rsidR="00885E41" w:rsidRPr="00310CD0" w:rsidRDefault="00885E41" w:rsidP="00F73891">
            <w:pPr>
              <w:rPr>
                <w:rFonts w:ascii="Arial" w:eastAsia="Times New Roman" w:hAnsi="Arial" w:cs="Arial"/>
                <w:sz w:val="16"/>
                <w:szCs w:val="16"/>
                <w:lang w:val="es-ES" w:eastAsia="es-ES"/>
              </w:rPr>
            </w:pPr>
            <w:r w:rsidRPr="00310CD0">
              <w:rPr>
                <w:rFonts w:ascii="Arial" w:eastAsia="Times New Roman"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081BB9E" w14:textId="47BB6C93" w:rsidR="00987DB2" w:rsidRDefault="00987DB2" w:rsidP="00987DB2">
            <w:pPr>
              <w:rPr>
                <w:rFonts w:ascii="Arial" w:eastAsia="Calibri" w:hAnsi="Arial" w:cs="Arial"/>
                <w:sz w:val="16"/>
                <w:szCs w:val="16"/>
                <w:lang w:val="es-ES_tradnl" w:eastAsia="es-ES"/>
              </w:rPr>
            </w:pPr>
            <w:r>
              <w:rPr>
                <w:rFonts w:ascii="Arial" w:eastAsia="Calibri" w:hAnsi="Arial" w:cs="Arial"/>
                <w:sz w:val="16"/>
                <w:szCs w:val="16"/>
                <w:lang w:val="es-ES_tradnl" w:eastAsia="es-ES"/>
              </w:rPr>
              <w:t>Alejandro Sarmiento Cantillo</w:t>
            </w:r>
          </w:p>
          <w:p w14:paraId="7FDBD9E4" w14:textId="02981C49" w:rsidR="00885E41" w:rsidRPr="00310CD0" w:rsidRDefault="00987DB2" w:rsidP="00987DB2">
            <w:pPr>
              <w:rPr>
                <w:rFonts w:ascii="Arial" w:eastAsia="Times New Roman" w:hAnsi="Arial" w:cs="Arial"/>
                <w:sz w:val="16"/>
                <w:szCs w:val="16"/>
                <w:lang w:val="es-ES" w:eastAsia="es-ES"/>
              </w:rPr>
            </w:pPr>
            <w:r w:rsidRPr="00492BDF">
              <w:rPr>
                <w:rFonts w:ascii="Arial" w:eastAsia="Calibri" w:hAnsi="Arial" w:cs="Arial"/>
                <w:sz w:val="16"/>
                <w:szCs w:val="16"/>
                <w:lang w:val="es-ES_tradnl" w:eastAsia="es-ES"/>
              </w:rPr>
              <w:t>Gestor T1-15 de la Subdirección de Gestión Contractual</w:t>
            </w:r>
          </w:p>
        </w:tc>
      </w:tr>
      <w:tr w:rsidR="00885E41" w:rsidRPr="00310CD0" w14:paraId="7B7B7B79" w14:textId="77777777" w:rsidTr="00F73891">
        <w:trPr>
          <w:trHeight w:val="300"/>
        </w:trPr>
        <w:tc>
          <w:tcPr>
            <w:tcW w:w="812" w:type="dxa"/>
            <w:vAlign w:val="center"/>
            <w:hideMark/>
          </w:tcPr>
          <w:p w14:paraId="1700123D" w14:textId="77777777" w:rsidR="00885E41" w:rsidRPr="00310CD0" w:rsidRDefault="00885E41" w:rsidP="00F73891">
            <w:pPr>
              <w:rPr>
                <w:rFonts w:ascii="Arial" w:eastAsia="Times New Roman" w:hAnsi="Arial" w:cs="Arial"/>
                <w:sz w:val="16"/>
                <w:szCs w:val="16"/>
                <w:lang w:val="es-ES" w:eastAsia="es-ES"/>
              </w:rPr>
            </w:pPr>
            <w:r w:rsidRPr="00310CD0">
              <w:rPr>
                <w:rFonts w:ascii="Arial" w:eastAsia="Times New Roman"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43E7FA8" w14:textId="77777777" w:rsidR="00E27679" w:rsidRPr="009F5860" w:rsidRDefault="00E27679" w:rsidP="00E27679">
            <w:pPr>
              <w:rPr>
                <w:rFonts w:ascii="Arial" w:hAnsi="Arial" w:cs="Arial"/>
                <w:sz w:val="16"/>
                <w:szCs w:val="16"/>
                <w:lang w:val="es-ES" w:eastAsia="es-ES"/>
              </w:rPr>
            </w:pPr>
            <w:r>
              <w:rPr>
                <w:rFonts w:ascii="Arial" w:hAnsi="Arial" w:cs="Arial"/>
                <w:sz w:val="16"/>
                <w:szCs w:val="16"/>
                <w:lang w:val="es-ES" w:eastAsia="es-ES"/>
              </w:rPr>
              <w:t xml:space="preserve">Andrés Ricardo Mancipe </w:t>
            </w:r>
            <w:r w:rsidRPr="00F5595D">
              <w:rPr>
                <w:rFonts w:ascii="Arial" w:hAnsi="Arial" w:cs="Arial"/>
                <w:sz w:val="16"/>
                <w:szCs w:val="16"/>
                <w:lang w:val="es-ES" w:eastAsia="es-ES"/>
              </w:rPr>
              <w:t>González</w:t>
            </w:r>
          </w:p>
          <w:p w14:paraId="3A481C89" w14:textId="038E9E54" w:rsidR="00885E41" w:rsidRPr="00310CD0" w:rsidRDefault="00E27679" w:rsidP="00F73891">
            <w:pPr>
              <w:rPr>
                <w:rFonts w:ascii="Arial" w:eastAsia="Times New Roman" w:hAnsi="Arial" w:cs="Arial"/>
                <w:sz w:val="16"/>
                <w:szCs w:val="16"/>
                <w:lang w:val="es-ES" w:eastAsia="es-ES"/>
              </w:rPr>
            </w:pPr>
            <w:r w:rsidRPr="009F5860">
              <w:rPr>
                <w:rFonts w:ascii="Arial" w:hAnsi="Arial" w:cs="Arial"/>
                <w:sz w:val="16"/>
                <w:szCs w:val="16"/>
                <w:lang w:val="es-ES" w:eastAsia="es-ES"/>
              </w:rPr>
              <w:t>Subdirector de Gestión Contractual ANCP – CCE</w:t>
            </w:r>
            <w:r>
              <w:rPr>
                <w:rFonts w:ascii="Arial" w:hAnsi="Arial" w:cs="Arial"/>
                <w:sz w:val="16"/>
                <w:szCs w:val="16"/>
                <w:lang w:val="es-ES" w:eastAsia="es-ES"/>
              </w:rPr>
              <w:t xml:space="preserve"> (E)</w:t>
            </w:r>
          </w:p>
        </w:tc>
      </w:tr>
    </w:tbl>
    <w:p w14:paraId="4B3CCAA4" w14:textId="77777777" w:rsidR="00885E41" w:rsidRPr="00310CD0" w:rsidRDefault="00885E41" w:rsidP="00885E41">
      <w:pPr>
        <w:spacing w:after="0" w:line="240" w:lineRule="auto"/>
        <w:rPr>
          <w:rFonts w:ascii="Times New Roman" w:eastAsia="Times New Roman" w:hAnsi="Times New Roman" w:cs="Times New Roman"/>
          <w:sz w:val="24"/>
          <w:szCs w:val="24"/>
          <w:lang w:eastAsia="es-MX"/>
        </w:rPr>
      </w:pPr>
    </w:p>
    <w:bookmarkEnd w:id="9"/>
    <w:p w14:paraId="23368238" w14:textId="77777777" w:rsidR="00FB347B" w:rsidRDefault="00FB347B"/>
    <w:sectPr w:rsidR="00FB347B" w:rsidSect="007F1895">
      <w:headerReference w:type="default" r:id="rId10"/>
      <w:footerReference w:type="default" r:id="rId1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C882" w14:textId="77777777" w:rsidR="00711947" w:rsidRDefault="00711947" w:rsidP="00885E41">
      <w:pPr>
        <w:spacing w:after="0" w:line="240" w:lineRule="auto"/>
      </w:pPr>
      <w:r>
        <w:separator/>
      </w:r>
    </w:p>
  </w:endnote>
  <w:endnote w:type="continuationSeparator" w:id="0">
    <w:p w14:paraId="4CA1E56D" w14:textId="77777777" w:rsidR="00711947" w:rsidRDefault="00711947" w:rsidP="0088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3018" w14:textId="77777777" w:rsidR="00387886" w:rsidRDefault="00711947" w:rsidP="007F1895">
    <w:pPr>
      <w:pStyle w:val="Sinespaciado"/>
      <w:jc w:val="right"/>
      <w:rPr>
        <w:rFonts w:ascii="Arial" w:hAnsi="Arial" w:cs="Arial"/>
        <w:sz w:val="18"/>
        <w:szCs w:val="18"/>
      </w:rPr>
    </w:pPr>
  </w:p>
  <w:p w14:paraId="1232DB38" w14:textId="77777777" w:rsidR="00387886" w:rsidRDefault="00711947" w:rsidP="007F1895">
    <w:pPr>
      <w:pStyle w:val="Sinespaciado"/>
      <w:jc w:val="right"/>
      <w:rPr>
        <w:rFonts w:ascii="Arial" w:hAnsi="Arial" w:cs="Arial"/>
        <w:sz w:val="18"/>
        <w:szCs w:val="18"/>
      </w:rPr>
    </w:pPr>
  </w:p>
  <w:p w14:paraId="4410A64C" w14:textId="77777777" w:rsidR="00387886" w:rsidRPr="008217B7" w:rsidRDefault="009E0734"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4DC878DE" w14:textId="77777777" w:rsidR="00387886" w:rsidRDefault="009E0734" w:rsidP="007F1895">
    <w:pPr>
      <w:pStyle w:val="Piedepgina"/>
      <w:jc w:val="center"/>
      <w:rPr>
        <w:lang w:val="es-ES"/>
      </w:rPr>
    </w:pPr>
    <w:r>
      <w:rPr>
        <w:noProof/>
      </w:rPr>
      <w:drawing>
        <wp:inline distT="0" distB="0" distL="0" distR="0" wp14:anchorId="105AF02D" wp14:editId="0BBC95FD">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ED1AC86" w14:textId="77777777" w:rsidR="00387886" w:rsidRPr="00E756AC" w:rsidRDefault="00711947" w:rsidP="007F1895">
    <w:pPr>
      <w:pStyle w:val="Piedepgina"/>
      <w:jc w:val="center"/>
      <w:rPr>
        <w:sz w:val="18"/>
        <w:szCs w:val="18"/>
        <w:lang w:val="es-ES"/>
      </w:rPr>
    </w:pPr>
  </w:p>
  <w:p w14:paraId="6CD45C48" w14:textId="77777777" w:rsidR="00387886" w:rsidRPr="00E756AC" w:rsidRDefault="00711947"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714B3" w14:textId="77777777" w:rsidR="00711947" w:rsidRDefault="00711947" w:rsidP="00885E41">
      <w:pPr>
        <w:spacing w:after="0" w:line="240" w:lineRule="auto"/>
      </w:pPr>
      <w:r>
        <w:separator/>
      </w:r>
    </w:p>
  </w:footnote>
  <w:footnote w:type="continuationSeparator" w:id="0">
    <w:p w14:paraId="78E4423C" w14:textId="77777777" w:rsidR="00711947" w:rsidRDefault="00711947" w:rsidP="00885E41">
      <w:pPr>
        <w:spacing w:after="0" w:line="240" w:lineRule="auto"/>
      </w:pPr>
      <w:r>
        <w:continuationSeparator/>
      </w:r>
    </w:p>
  </w:footnote>
  <w:footnote w:id="1">
    <w:p w14:paraId="58626BBA" w14:textId="77777777" w:rsidR="00031F44" w:rsidRPr="005220DA" w:rsidRDefault="00031F44" w:rsidP="00031F44">
      <w:pPr>
        <w:pStyle w:val="Textonotapie"/>
        <w:ind w:firstLine="709"/>
        <w:jc w:val="both"/>
        <w:rPr>
          <w:rFonts w:ascii="Arial" w:hAnsi="Arial" w:cs="Arial"/>
          <w:color w:val="000000"/>
          <w:sz w:val="19"/>
          <w:szCs w:val="19"/>
        </w:rPr>
      </w:pPr>
      <w:r w:rsidRPr="00507B79">
        <w:rPr>
          <w:rStyle w:val="Refdenotaalpie"/>
          <w:rFonts w:ascii="Arial" w:hAnsi="Arial" w:cs="Arial"/>
        </w:rPr>
        <w:footnoteRef/>
      </w:r>
      <w:r w:rsidRPr="005220DA">
        <w:rPr>
          <w:rFonts w:ascii="Arial" w:hAnsi="Arial" w:cs="Arial"/>
          <w:color w:val="000000"/>
          <w:sz w:val="19"/>
          <w:szCs w:val="19"/>
        </w:rPr>
        <w:t xml:space="preserve"> Colombia Compra Eficiente, Circular Externa Única: «La contratación de actividades de ciencia, tecnología e innovación por parte de las Entidades Estatales debe aplicar el régimen propio de dichas actividades con independencia de la fuente de financiación utilizada.</w:t>
      </w:r>
    </w:p>
    <w:p w14:paraId="52CB9C28" w14:textId="77777777" w:rsidR="00031F44" w:rsidRPr="005220DA" w:rsidRDefault="00031F44" w:rsidP="00031F44">
      <w:pPr>
        <w:pStyle w:val="Textonotapie"/>
        <w:ind w:firstLine="709"/>
        <w:jc w:val="both"/>
        <w:rPr>
          <w:rFonts w:ascii="Arial" w:hAnsi="Arial" w:cs="Arial"/>
          <w:color w:val="000000"/>
          <w:sz w:val="19"/>
          <w:szCs w:val="19"/>
        </w:rPr>
      </w:pPr>
      <w:r w:rsidRPr="005220DA">
        <w:rPr>
          <w:rFonts w:ascii="Arial" w:hAnsi="Arial" w:cs="Arial"/>
          <w:color w:val="000000"/>
          <w:sz w:val="19"/>
          <w:szCs w:val="19"/>
        </w:rPr>
        <w:t>»El artículo 2 del Decreto Ley 393 de 1991, el artículo 2 de del Decreto Ley 591 de 1991, el artículo 18 de la Ley 1286 de 2009, que modificó la Ley 29 de 1990, y el Documento CONPES 3582 de 2009 establecen las actividades consideradas de ciencia, tecnología e innovación de los actores del Sistema Nacional de Ciencia Tecnología e Innovación.</w:t>
      </w:r>
    </w:p>
    <w:p w14:paraId="68327F59" w14:textId="77777777" w:rsidR="00031F44" w:rsidRPr="005220DA" w:rsidRDefault="00031F44" w:rsidP="00031F44">
      <w:pPr>
        <w:pStyle w:val="Textonotapie"/>
        <w:ind w:firstLine="709"/>
        <w:jc w:val="both"/>
        <w:rPr>
          <w:rFonts w:ascii="Arial" w:hAnsi="Arial" w:cs="Arial"/>
          <w:color w:val="000000"/>
          <w:sz w:val="19"/>
          <w:szCs w:val="19"/>
        </w:rPr>
      </w:pPr>
      <w:r w:rsidRPr="005220DA">
        <w:rPr>
          <w:rFonts w:ascii="Arial" w:hAnsi="Arial" w:cs="Arial"/>
          <w:color w:val="000000"/>
          <w:sz w:val="19"/>
          <w:szCs w:val="19"/>
        </w:rPr>
        <w:t>»En caso de que las Entidades Estatales no tengan certeza sobre la catalogación de las actividades científicas, tecnológicas y de innovación, deben acudir al Departamento Administrativo de Ciencia, Tecnología e Innovación – COLCIENCIAS (Ahora Ministerio de Ciencia, Tecnología e Innovación), autoridad competente en la materia» Paréntesis fuera de texto.</w:t>
      </w:r>
    </w:p>
    <w:p w14:paraId="744C6AD8" w14:textId="77777777" w:rsidR="00031F44" w:rsidRPr="005220DA" w:rsidRDefault="00031F44" w:rsidP="00031F44">
      <w:pPr>
        <w:pStyle w:val="Textonotapie"/>
        <w:ind w:firstLine="709"/>
        <w:jc w:val="both"/>
        <w:rPr>
          <w:rFonts w:ascii="Arial" w:hAnsi="Arial" w:cs="Arial"/>
          <w:color w:val="000000"/>
          <w:sz w:val="19"/>
          <w:szCs w:val="19"/>
        </w:rPr>
      </w:pPr>
    </w:p>
  </w:footnote>
  <w:footnote w:id="2">
    <w:p w14:paraId="32ABE7CA" w14:textId="77777777" w:rsidR="00031F44" w:rsidRPr="00507B79" w:rsidRDefault="00031F44" w:rsidP="00031F44">
      <w:pPr>
        <w:pStyle w:val="Textonotapie"/>
        <w:ind w:firstLine="709"/>
        <w:jc w:val="both"/>
        <w:rPr>
          <w:rFonts w:ascii="Arial" w:hAnsi="Arial" w:cs="Arial"/>
          <w:color w:val="000000"/>
          <w:sz w:val="19"/>
          <w:szCs w:val="19"/>
        </w:rPr>
      </w:pPr>
      <w:r w:rsidRPr="00507B79">
        <w:rPr>
          <w:rStyle w:val="Refdenotaalpie"/>
          <w:rFonts w:ascii="Arial" w:hAnsi="Arial" w:cs="Arial"/>
        </w:rPr>
        <w:footnoteRef/>
      </w:r>
      <w:r w:rsidRPr="00507B79">
        <w:rPr>
          <w:rFonts w:ascii="Arial" w:hAnsi="Arial" w:cs="Arial"/>
          <w:color w:val="000000"/>
          <w:sz w:val="19"/>
          <w:szCs w:val="19"/>
        </w:rPr>
        <w:t xml:space="preserve"> Decreto 393 de 1991: «Artículo 2. Propósitos de la Asociación. Bajo cualquiera de las modalidades previstas en el artículo anterior, la asociación podrá tener entre otros, los siguientes propósitos.</w:t>
      </w:r>
    </w:p>
    <w:p w14:paraId="07E80C06" w14:textId="77777777" w:rsidR="00031F44" w:rsidRPr="00507B79" w:rsidRDefault="00031F44" w:rsidP="00031F44">
      <w:pPr>
        <w:pStyle w:val="Textonotapie"/>
        <w:ind w:firstLine="709"/>
        <w:jc w:val="both"/>
        <w:rPr>
          <w:rFonts w:ascii="Arial" w:hAnsi="Arial" w:cs="Arial"/>
          <w:color w:val="000000"/>
          <w:sz w:val="19"/>
          <w:szCs w:val="19"/>
        </w:rPr>
      </w:pPr>
      <w:r w:rsidRPr="00507B79">
        <w:rPr>
          <w:rFonts w:ascii="Arial" w:hAnsi="Arial" w:cs="Arial"/>
          <w:color w:val="000000"/>
          <w:sz w:val="19"/>
          <w:szCs w:val="19"/>
        </w:rPr>
        <w:t>»a) Adelantar proyectos de investigación científica.</w:t>
      </w:r>
    </w:p>
    <w:p w14:paraId="6C21FB46" w14:textId="77777777" w:rsidR="00031F44" w:rsidRPr="00507B79" w:rsidRDefault="00031F44" w:rsidP="00031F44">
      <w:pPr>
        <w:pStyle w:val="Textonotapie"/>
        <w:ind w:firstLine="709"/>
        <w:jc w:val="both"/>
        <w:rPr>
          <w:rFonts w:ascii="Arial" w:hAnsi="Arial" w:cs="Arial"/>
          <w:color w:val="000000"/>
          <w:sz w:val="19"/>
          <w:szCs w:val="19"/>
        </w:rPr>
      </w:pPr>
      <w:r w:rsidRPr="00507B79">
        <w:rPr>
          <w:rFonts w:ascii="Arial" w:hAnsi="Arial" w:cs="Arial"/>
          <w:color w:val="000000"/>
          <w:sz w:val="19"/>
          <w:szCs w:val="19"/>
        </w:rPr>
        <w:t>»b) Apoyar la creación, el fomento, el desarrollo y el financiamiento de empresas que incorporen innovaciones científicas o tecnológicas aplicables a la producción nacional, al manejo del medio ambiente o al aprovechamiento de los recursos naturales.</w:t>
      </w:r>
    </w:p>
    <w:p w14:paraId="6EB19600" w14:textId="77777777" w:rsidR="00031F44" w:rsidRPr="00507B79" w:rsidRDefault="00031F44" w:rsidP="00031F44">
      <w:pPr>
        <w:pStyle w:val="Textonotapie"/>
        <w:ind w:firstLine="709"/>
        <w:jc w:val="both"/>
        <w:rPr>
          <w:rFonts w:ascii="Arial" w:hAnsi="Arial" w:cs="Arial"/>
          <w:color w:val="000000"/>
          <w:sz w:val="19"/>
          <w:szCs w:val="19"/>
        </w:rPr>
      </w:pPr>
      <w:r w:rsidRPr="00507B79">
        <w:rPr>
          <w:rFonts w:ascii="Arial" w:hAnsi="Arial" w:cs="Arial"/>
          <w:color w:val="000000"/>
          <w:sz w:val="19"/>
          <w:szCs w:val="19"/>
        </w:rPr>
        <w:t>»c) Organizar centros científicos y tecnológicos, parques tecnológicos, e incubadoras de empresas.</w:t>
      </w:r>
    </w:p>
    <w:p w14:paraId="2DD47BA8" w14:textId="77777777" w:rsidR="00031F44" w:rsidRPr="00507B79" w:rsidRDefault="00031F44" w:rsidP="00031F44">
      <w:pPr>
        <w:pStyle w:val="Textonotapie"/>
        <w:ind w:firstLine="709"/>
        <w:jc w:val="both"/>
        <w:rPr>
          <w:rFonts w:ascii="Arial" w:hAnsi="Arial" w:cs="Arial"/>
          <w:color w:val="000000"/>
          <w:sz w:val="19"/>
          <w:szCs w:val="19"/>
        </w:rPr>
      </w:pPr>
      <w:r w:rsidRPr="00507B79">
        <w:rPr>
          <w:rFonts w:ascii="Arial" w:hAnsi="Arial" w:cs="Arial"/>
          <w:color w:val="000000"/>
          <w:sz w:val="19"/>
          <w:szCs w:val="19"/>
        </w:rPr>
        <w:t>»d) Formar y capacitar recursos humanos para el avance y la gestión de la ciencia y la tecnología.</w:t>
      </w:r>
    </w:p>
    <w:p w14:paraId="4B98A709" w14:textId="77777777" w:rsidR="00031F44" w:rsidRPr="00507B79" w:rsidRDefault="00031F44" w:rsidP="00031F44">
      <w:pPr>
        <w:pStyle w:val="Textonotapie"/>
        <w:ind w:firstLine="709"/>
        <w:jc w:val="both"/>
        <w:rPr>
          <w:rFonts w:ascii="Arial" w:hAnsi="Arial" w:cs="Arial"/>
          <w:color w:val="000000"/>
          <w:sz w:val="19"/>
          <w:szCs w:val="19"/>
        </w:rPr>
      </w:pPr>
      <w:r w:rsidRPr="00507B79">
        <w:rPr>
          <w:rFonts w:ascii="Arial" w:hAnsi="Arial" w:cs="Arial"/>
          <w:color w:val="000000"/>
          <w:sz w:val="19"/>
          <w:szCs w:val="19"/>
        </w:rPr>
        <w:t>»e) Establecer redes de información científica y tecnológica.</w:t>
      </w:r>
    </w:p>
    <w:p w14:paraId="3A4CD74A" w14:textId="77777777" w:rsidR="00031F44" w:rsidRPr="00507B79" w:rsidRDefault="00031F44" w:rsidP="00031F44">
      <w:pPr>
        <w:pStyle w:val="Textonotapie"/>
        <w:ind w:firstLine="709"/>
        <w:jc w:val="both"/>
        <w:rPr>
          <w:rFonts w:ascii="Arial" w:hAnsi="Arial" w:cs="Arial"/>
          <w:color w:val="000000"/>
          <w:sz w:val="19"/>
          <w:szCs w:val="19"/>
        </w:rPr>
      </w:pPr>
      <w:r w:rsidRPr="00507B79">
        <w:rPr>
          <w:rFonts w:ascii="Arial" w:hAnsi="Arial" w:cs="Arial"/>
          <w:color w:val="000000"/>
          <w:sz w:val="19"/>
          <w:szCs w:val="19"/>
        </w:rPr>
        <w:t>»f) Crear, fomentar, difundir e implementar sistemas de gestión de calidad.</w:t>
      </w:r>
    </w:p>
    <w:p w14:paraId="30EC159D" w14:textId="77777777" w:rsidR="00031F44" w:rsidRPr="00507B79" w:rsidRDefault="00031F44" w:rsidP="00031F44">
      <w:pPr>
        <w:pStyle w:val="Textonotapie"/>
        <w:ind w:firstLine="709"/>
        <w:jc w:val="both"/>
        <w:rPr>
          <w:rFonts w:ascii="Arial" w:hAnsi="Arial" w:cs="Arial"/>
          <w:color w:val="000000"/>
          <w:sz w:val="19"/>
          <w:szCs w:val="19"/>
        </w:rPr>
      </w:pPr>
      <w:r w:rsidRPr="00507B79">
        <w:rPr>
          <w:rFonts w:ascii="Arial" w:hAnsi="Arial" w:cs="Arial"/>
          <w:color w:val="000000"/>
          <w:sz w:val="19"/>
          <w:szCs w:val="19"/>
        </w:rPr>
        <w:t>»g) Negociar, aplicar y adaptar tecnologías nacionales o extranjeras.</w:t>
      </w:r>
    </w:p>
    <w:p w14:paraId="6C05F8CE" w14:textId="77777777" w:rsidR="00031F44" w:rsidRPr="00507B79" w:rsidRDefault="00031F44" w:rsidP="00031F44">
      <w:pPr>
        <w:pStyle w:val="Textonotapie"/>
        <w:ind w:firstLine="709"/>
        <w:jc w:val="both"/>
        <w:rPr>
          <w:rFonts w:ascii="Arial" w:hAnsi="Arial" w:cs="Arial"/>
          <w:color w:val="000000"/>
          <w:sz w:val="19"/>
          <w:szCs w:val="19"/>
        </w:rPr>
      </w:pPr>
      <w:r w:rsidRPr="00507B79">
        <w:rPr>
          <w:rFonts w:ascii="Arial" w:hAnsi="Arial" w:cs="Arial"/>
          <w:color w:val="000000"/>
          <w:sz w:val="19"/>
          <w:szCs w:val="19"/>
        </w:rPr>
        <w:t>»h) Asesorar la negociación, aplicación y adaptación de tecnologías nacionales y extranjeras.</w:t>
      </w:r>
    </w:p>
    <w:p w14:paraId="3C26EFB2" w14:textId="77777777" w:rsidR="00031F44" w:rsidRPr="00507B79" w:rsidRDefault="00031F44" w:rsidP="00031F44">
      <w:pPr>
        <w:pStyle w:val="Textonotapie"/>
        <w:ind w:firstLine="709"/>
        <w:jc w:val="both"/>
        <w:rPr>
          <w:rFonts w:ascii="Arial" w:hAnsi="Arial" w:cs="Arial"/>
          <w:color w:val="000000"/>
          <w:sz w:val="19"/>
          <w:szCs w:val="19"/>
        </w:rPr>
      </w:pPr>
      <w:r w:rsidRPr="00507B79">
        <w:rPr>
          <w:rFonts w:ascii="Arial" w:hAnsi="Arial" w:cs="Arial"/>
          <w:color w:val="000000"/>
          <w:sz w:val="19"/>
          <w:szCs w:val="19"/>
        </w:rPr>
        <w:t>»i) Realizar actividades de normalización y metrología.</w:t>
      </w:r>
    </w:p>
    <w:p w14:paraId="3CC6590E" w14:textId="77777777" w:rsidR="00031F44" w:rsidRPr="00507B79" w:rsidRDefault="00031F44" w:rsidP="00031F44">
      <w:pPr>
        <w:pStyle w:val="Textonotapie"/>
        <w:ind w:firstLine="709"/>
        <w:jc w:val="both"/>
        <w:rPr>
          <w:rFonts w:ascii="Arial" w:hAnsi="Arial" w:cs="Arial"/>
          <w:color w:val="000000"/>
          <w:sz w:val="19"/>
          <w:szCs w:val="19"/>
        </w:rPr>
      </w:pPr>
      <w:r w:rsidRPr="00507B79">
        <w:rPr>
          <w:rFonts w:ascii="Arial" w:hAnsi="Arial" w:cs="Arial"/>
          <w:color w:val="000000"/>
          <w:sz w:val="19"/>
          <w:szCs w:val="19"/>
        </w:rPr>
        <w:t>»j) Crear fondos de desarrollo científico y tecnológico a nivel nacional y regional, fondos especiales de garantías, y fondos para la renovación y el mantenimiento de equipos científicos.</w:t>
      </w:r>
    </w:p>
    <w:p w14:paraId="20533C50" w14:textId="77777777" w:rsidR="00031F44" w:rsidRPr="00507B79" w:rsidRDefault="00031F44" w:rsidP="00031F44">
      <w:pPr>
        <w:pStyle w:val="Textonotapie"/>
        <w:ind w:firstLine="709"/>
        <w:jc w:val="both"/>
        <w:rPr>
          <w:rFonts w:ascii="Arial" w:hAnsi="Arial" w:cs="Arial"/>
          <w:color w:val="000000"/>
          <w:sz w:val="19"/>
          <w:szCs w:val="19"/>
        </w:rPr>
      </w:pPr>
      <w:r w:rsidRPr="00507B79">
        <w:rPr>
          <w:rFonts w:ascii="Arial" w:hAnsi="Arial" w:cs="Arial"/>
          <w:color w:val="000000"/>
          <w:sz w:val="19"/>
          <w:szCs w:val="19"/>
        </w:rPr>
        <w:t>»k) Realizar seminarios, cursos y eventos nacionales o internacionales de ciencia y tecnología.</w:t>
      </w:r>
    </w:p>
    <w:p w14:paraId="343D94D1" w14:textId="77777777" w:rsidR="00031F44" w:rsidRPr="00507B79" w:rsidRDefault="00031F44" w:rsidP="00031F44">
      <w:pPr>
        <w:pStyle w:val="Textonotapie"/>
        <w:ind w:firstLine="709"/>
        <w:jc w:val="both"/>
        <w:rPr>
          <w:rFonts w:ascii="Arial" w:hAnsi="Arial" w:cs="Arial"/>
          <w:color w:val="000000"/>
          <w:sz w:val="19"/>
          <w:szCs w:val="19"/>
        </w:rPr>
      </w:pPr>
      <w:r w:rsidRPr="00507B79">
        <w:rPr>
          <w:rFonts w:ascii="Arial" w:hAnsi="Arial" w:cs="Arial"/>
          <w:color w:val="000000"/>
          <w:sz w:val="19"/>
          <w:szCs w:val="19"/>
        </w:rPr>
        <w:t>»I) Financiar publicaciones y el otorgamiento de premios y distinciones a investigadores, grupos de investigación e investigaciones».</w:t>
      </w:r>
    </w:p>
    <w:p w14:paraId="3982E1E7" w14:textId="77777777" w:rsidR="00031F44" w:rsidRPr="00507B79" w:rsidRDefault="00031F44" w:rsidP="00031F44">
      <w:pPr>
        <w:pStyle w:val="Textonotapie"/>
        <w:ind w:firstLine="709"/>
        <w:jc w:val="both"/>
        <w:rPr>
          <w:rFonts w:ascii="Arial" w:hAnsi="Arial" w:cs="Arial"/>
          <w:color w:val="000000"/>
          <w:sz w:val="19"/>
          <w:szCs w:val="19"/>
          <w:lang w:val="es-ES"/>
        </w:rPr>
      </w:pPr>
    </w:p>
  </w:footnote>
  <w:footnote w:id="3">
    <w:p w14:paraId="6D213BCC" w14:textId="77777777" w:rsidR="00031F44" w:rsidRPr="00507B79" w:rsidRDefault="00031F44" w:rsidP="00031F44">
      <w:pPr>
        <w:pStyle w:val="Textonotapie"/>
        <w:ind w:firstLine="709"/>
        <w:jc w:val="both"/>
        <w:rPr>
          <w:rFonts w:ascii="Arial" w:hAnsi="Arial" w:cs="Arial"/>
          <w:color w:val="000000"/>
          <w:sz w:val="19"/>
          <w:szCs w:val="19"/>
        </w:rPr>
      </w:pPr>
      <w:r w:rsidRPr="00507B79">
        <w:rPr>
          <w:rStyle w:val="Refdenotaalpie"/>
          <w:rFonts w:ascii="Arial" w:hAnsi="Arial" w:cs="Arial"/>
        </w:rPr>
        <w:footnoteRef/>
      </w:r>
      <w:r w:rsidRPr="00507B79">
        <w:rPr>
          <w:rFonts w:ascii="Arial" w:hAnsi="Arial" w:cs="Arial"/>
          <w:color w:val="000000"/>
          <w:sz w:val="19"/>
          <w:szCs w:val="19"/>
        </w:rPr>
        <w:t xml:space="preserve"> Corte Constitucional. Sentencia C-316 de 1995 del 19 de julio de 1995. Magistrado Ponente: Antonio Barrera Carbonell: «La especificidad de la norma del art. 355, no puede significar en modo alguno un cercenamiento de la actividad de fomento que el Estado cumple a través de mecanismos y formas variadas y complejas. En efecto, si entre los fines esenciales que debe cumplir el  Estado están los de promover la prosperidad general y garantizar la efectividad de los principios, derechos y deberes consagrados en la Constitución y les corresponde como función a las autoridades, asegurar el cumplimiento de los deberes sociales de aquél, no resulta opuesto a las finalidades que persigue la organización estatal ni a las responsabilidades de las autoridades públicas el apoyo a las entidades privadas que desarrollan programas y actividades de  interés público o social, de ordinario concurrentes con los que cumplen las entidades públicas».</w:t>
      </w:r>
    </w:p>
    <w:p w14:paraId="2EFFFBFE" w14:textId="77777777" w:rsidR="00031F44" w:rsidRPr="00507B79" w:rsidRDefault="00031F44" w:rsidP="00031F44">
      <w:pPr>
        <w:pStyle w:val="Textonotapie"/>
        <w:ind w:firstLine="709"/>
        <w:jc w:val="both"/>
        <w:rPr>
          <w:rFonts w:ascii="Arial" w:hAnsi="Arial" w:cs="Arial"/>
          <w:color w:val="000000"/>
          <w:sz w:val="19"/>
          <w:szCs w:val="19"/>
          <w:lang w:val="es-ES"/>
        </w:rPr>
      </w:pPr>
      <w:r w:rsidRPr="00507B79">
        <w:rPr>
          <w:rFonts w:ascii="Arial" w:hAnsi="Arial" w:cs="Arial"/>
          <w:color w:val="000000"/>
          <w:sz w:val="19"/>
          <w:szCs w:val="19"/>
        </w:rPr>
        <w:t xml:space="preserve"> </w:t>
      </w:r>
    </w:p>
  </w:footnote>
  <w:footnote w:id="4">
    <w:p w14:paraId="2D7314EB" w14:textId="77777777" w:rsidR="00031F44" w:rsidRPr="00507B79" w:rsidRDefault="00031F44" w:rsidP="00031F44">
      <w:pPr>
        <w:pStyle w:val="Textonotapie"/>
        <w:ind w:firstLine="709"/>
        <w:jc w:val="both"/>
        <w:rPr>
          <w:rFonts w:ascii="Arial" w:hAnsi="Arial" w:cs="Arial"/>
          <w:color w:val="000000"/>
          <w:sz w:val="19"/>
          <w:szCs w:val="19"/>
          <w:lang w:val="es-ES"/>
        </w:rPr>
      </w:pPr>
      <w:r w:rsidRPr="00507B79">
        <w:rPr>
          <w:rStyle w:val="Refdenotaalpie"/>
          <w:rFonts w:ascii="Arial" w:hAnsi="Arial" w:cs="Arial"/>
        </w:rPr>
        <w:footnoteRef/>
      </w:r>
      <w:r w:rsidRPr="00507B79">
        <w:rPr>
          <w:rFonts w:ascii="Arial" w:hAnsi="Arial" w:cs="Arial"/>
          <w:color w:val="000000"/>
          <w:sz w:val="19"/>
          <w:szCs w:val="19"/>
        </w:rPr>
        <w:t xml:space="preserve"> </w:t>
      </w:r>
      <w:r w:rsidRPr="00507B79">
        <w:rPr>
          <w:rFonts w:ascii="Arial" w:hAnsi="Arial" w:cs="Arial"/>
          <w:i/>
          <w:iCs/>
          <w:color w:val="000000"/>
          <w:sz w:val="19"/>
          <w:szCs w:val="19"/>
        </w:rPr>
        <w:t>Ibidem.</w:t>
      </w:r>
    </w:p>
  </w:footnote>
  <w:footnote w:id="5">
    <w:p w14:paraId="32F64673" w14:textId="77777777" w:rsidR="00031F44" w:rsidRPr="00507B79" w:rsidRDefault="00031F44" w:rsidP="00031F44">
      <w:pPr>
        <w:pStyle w:val="Textonotapie"/>
        <w:ind w:firstLine="709"/>
        <w:jc w:val="both"/>
        <w:rPr>
          <w:rFonts w:ascii="Arial" w:hAnsi="Arial" w:cs="Arial"/>
          <w:color w:val="000000"/>
          <w:sz w:val="19"/>
          <w:szCs w:val="19"/>
        </w:rPr>
      </w:pPr>
    </w:p>
    <w:p w14:paraId="2CF983C5" w14:textId="77777777" w:rsidR="00031F44" w:rsidRPr="00507B79" w:rsidRDefault="00031F44" w:rsidP="00031F44">
      <w:pPr>
        <w:pStyle w:val="Textonotapie"/>
        <w:ind w:firstLine="709"/>
        <w:jc w:val="both"/>
        <w:rPr>
          <w:rFonts w:ascii="Arial" w:hAnsi="Arial" w:cs="Arial"/>
          <w:color w:val="000000"/>
          <w:sz w:val="19"/>
          <w:szCs w:val="19"/>
        </w:rPr>
      </w:pPr>
      <w:r w:rsidRPr="00507B79">
        <w:rPr>
          <w:rStyle w:val="Refdenotaalpie"/>
          <w:rFonts w:ascii="Arial" w:hAnsi="Arial" w:cs="Arial"/>
        </w:rPr>
        <w:footnoteRef/>
      </w:r>
      <w:r w:rsidRPr="00507B79">
        <w:rPr>
          <w:rFonts w:ascii="Arial" w:hAnsi="Arial" w:cs="Arial"/>
          <w:color w:val="000000"/>
          <w:sz w:val="19"/>
          <w:szCs w:val="19"/>
        </w:rPr>
        <w:t xml:space="preserve"> </w:t>
      </w:r>
      <w:r w:rsidRPr="00507B79">
        <w:rPr>
          <w:rFonts w:ascii="Arial" w:hAnsi="Arial" w:cs="Arial"/>
          <w:i/>
          <w:iCs/>
          <w:color w:val="000000"/>
          <w:sz w:val="19"/>
          <w:szCs w:val="19"/>
        </w:rPr>
        <w:t>Ibidem.</w:t>
      </w:r>
    </w:p>
    <w:p w14:paraId="7B40D5CF" w14:textId="77777777" w:rsidR="00031F44" w:rsidRPr="00507B79" w:rsidRDefault="00031F44" w:rsidP="00031F44">
      <w:pPr>
        <w:pStyle w:val="Textonotapie"/>
        <w:ind w:firstLine="709"/>
        <w:jc w:val="both"/>
        <w:rPr>
          <w:rFonts w:ascii="Arial" w:hAnsi="Arial" w:cs="Arial"/>
          <w:color w:val="000000"/>
          <w:sz w:val="19"/>
          <w:szCs w:val="19"/>
          <w:lang w:val="es-ES"/>
        </w:rPr>
      </w:pPr>
    </w:p>
  </w:footnote>
  <w:footnote w:id="6">
    <w:p w14:paraId="01575DB7" w14:textId="77777777" w:rsidR="00031F44" w:rsidRPr="00507B79" w:rsidRDefault="00031F44" w:rsidP="00031F44">
      <w:pPr>
        <w:pStyle w:val="Textonotapie"/>
        <w:ind w:firstLine="709"/>
        <w:jc w:val="both"/>
        <w:rPr>
          <w:rFonts w:ascii="Arial" w:hAnsi="Arial" w:cs="Arial"/>
          <w:color w:val="000000"/>
          <w:sz w:val="19"/>
          <w:szCs w:val="19"/>
          <w:lang w:val="es-ES"/>
        </w:rPr>
      </w:pPr>
      <w:r w:rsidRPr="00507B79">
        <w:rPr>
          <w:rStyle w:val="Refdenotaalpie"/>
          <w:rFonts w:ascii="Arial" w:hAnsi="Arial" w:cs="Arial"/>
        </w:rPr>
        <w:footnoteRef/>
      </w:r>
      <w:r w:rsidRPr="00507B79">
        <w:rPr>
          <w:rFonts w:ascii="Arial" w:hAnsi="Arial" w:cs="Arial"/>
          <w:color w:val="000000"/>
          <w:sz w:val="19"/>
          <w:szCs w:val="19"/>
        </w:rPr>
        <w:t xml:space="preserve"> Colombia Compra Eficiente, Circular Externa Única: «El convenio especial de cooperación está sujeto a las normas de derecho privado, de acuerdo con lo previsto en el Decreto–Ley 393 de 1991. Si el convenio respectivo introduce líneas de acción relativas a la administración de proyectos o financiamiento, se somete al mismo régimen privado del convenio».</w:t>
      </w:r>
    </w:p>
  </w:footnote>
  <w:footnote w:id="7">
    <w:p w14:paraId="0FB2DE2B" w14:textId="77777777" w:rsidR="00031F44" w:rsidRPr="00507B79" w:rsidRDefault="00031F44" w:rsidP="00031F44">
      <w:pPr>
        <w:pStyle w:val="Textonotapie"/>
        <w:ind w:firstLine="709"/>
        <w:jc w:val="both"/>
        <w:rPr>
          <w:rFonts w:ascii="Arial" w:hAnsi="Arial" w:cs="Arial"/>
          <w:color w:val="000000"/>
          <w:sz w:val="19"/>
          <w:szCs w:val="19"/>
        </w:rPr>
      </w:pPr>
      <w:r w:rsidRPr="00507B79">
        <w:rPr>
          <w:rStyle w:val="Refdenotaalpie"/>
          <w:rFonts w:ascii="Arial" w:hAnsi="Arial" w:cs="Arial"/>
        </w:rPr>
        <w:footnoteRef/>
      </w:r>
      <w:r w:rsidRPr="00507B79">
        <w:rPr>
          <w:rFonts w:ascii="Arial" w:hAnsi="Arial" w:cs="Arial"/>
          <w:color w:val="000000"/>
          <w:sz w:val="19"/>
          <w:szCs w:val="19"/>
        </w:rPr>
        <w:t xml:space="preserve"> Colombia Compra Eficiente, Circular Externa Única: «Los contratos de administración de proyectos, previstos en el artículo 9 el Decreto – Ley 591 de 1991, celebrados de manera independiente a un convenio especial de cooperación, están sujetos a las Leyes 80 de 1993 y 1150 de 2007, y sus normas reglamentarias, y pueden celebrarse bajo la modalidad de contratación directa».</w:t>
      </w:r>
    </w:p>
    <w:p w14:paraId="5C01E34C" w14:textId="77777777" w:rsidR="00031F44" w:rsidRPr="00507B79" w:rsidRDefault="00031F44" w:rsidP="00031F44">
      <w:pPr>
        <w:pStyle w:val="Textonotapie"/>
        <w:ind w:firstLine="709"/>
        <w:jc w:val="both"/>
        <w:rPr>
          <w:rFonts w:ascii="Arial" w:hAnsi="Arial" w:cs="Arial"/>
          <w:color w:val="000000"/>
          <w:sz w:val="19"/>
          <w:szCs w:val="19"/>
          <w:lang w:val="es-ES"/>
        </w:rPr>
      </w:pPr>
      <w:r w:rsidRPr="00507B79">
        <w:rPr>
          <w:rFonts w:ascii="Arial" w:hAnsi="Arial" w:cs="Arial"/>
          <w:color w:val="000000"/>
          <w:sz w:val="19"/>
          <w:szCs w:val="19"/>
        </w:rPr>
        <w:t xml:space="preserve"> </w:t>
      </w:r>
    </w:p>
  </w:footnote>
  <w:footnote w:id="8">
    <w:p w14:paraId="4F79D17C" w14:textId="77777777" w:rsidR="00031F44" w:rsidRPr="00507B79" w:rsidRDefault="00031F44" w:rsidP="00031F44">
      <w:pPr>
        <w:pStyle w:val="Textonotapie"/>
        <w:ind w:firstLine="709"/>
        <w:jc w:val="both"/>
        <w:rPr>
          <w:rFonts w:ascii="Arial" w:hAnsi="Arial" w:cs="Arial"/>
          <w:color w:val="000000"/>
          <w:sz w:val="19"/>
          <w:szCs w:val="19"/>
        </w:rPr>
      </w:pPr>
      <w:r w:rsidRPr="00507B79">
        <w:rPr>
          <w:rStyle w:val="Refdenotaalpie"/>
          <w:rFonts w:ascii="Arial" w:hAnsi="Arial" w:cs="Arial"/>
        </w:rPr>
        <w:footnoteRef/>
      </w:r>
      <w:r w:rsidRPr="00507B79">
        <w:rPr>
          <w:rFonts w:ascii="Arial" w:hAnsi="Arial" w:cs="Arial"/>
          <w:color w:val="000000"/>
          <w:sz w:val="19"/>
          <w:szCs w:val="19"/>
        </w:rPr>
        <w:t xml:space="preserve"> Decreto 591 de 1991: «Artículo 17. Para adelantar actividades científicas o tecnológicas la Nación y sus entidades descentralizadas podrán celebrar con los particulares y con otras entidades públicas de cualquier orden convenios especiales de cooperación. En virtud de estos convenios, las personas que los celebran aportan recursos en dinero, en especie o de industria, para facilitar, fomentar o desarrollar alguna de las actividades científicas o tecnológicas previstas en el artículo 2° de este Decreto».</w:t>
      </w:r>
    </w:p>
    <w:p w14:paraId="0F664F60" w14:textId="77777777" w:rsidR="00031F44" w:rsidRPr="00507B79" w:rsidRDefault="00031F44" w:rsidP="00031F44">
      <w:pPr>
        <w:pStyle w:val="Textonotapie"/>
        <w:ind w:firstLine="709"/>
        <w:jc w:val="both"/>
        <w:rPr>
          <w:rFonts w:ascii="Arial" w:hAnsi="Arial" w:cs="Arial"/>
          <w:color w:val="000000"/>
          <w:sz w:val="19"/>
          <w:szCs w:val="19"/>
          <w:lang w:val="es-ES"/>
        </w:rPr>
      </w:pPr>
    </w:p>
  </w:footnote>
  <w:footnote w:id="9">
    <w:p w14:paraId="6B34B3C9" w14:textId="77777777" w:rsidR="00885E41" w:rsidRPr="00507B79" w:rsidRDefault="00885E41" w:rsidP="00885E41">
      <w:pPr>
        <w:pStyle w:val="Textonotapie"/>
        <w:ind w:firstLine="709"/>
        <w:jc w:val="both"/>
        <w:rPr>
          <w:rFonts w:ascii="Arial" w:hAnsi="Arial" w:cs="Arial"/>
          <w:sz w:val="19"/>
          <w:szCs w:val="19"/>
        </w:rPr>
      </w:pPr>
    </w:p>
    <w:p w14:paraId="5FE21776" w14:textId="77777777" w:rsidR="00885E41" w:rsidRPr="00507B79" w:rsidRDefault="00885E41" w:rsidP="00885E41">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7FAAE401" w14:textId="77777777" w:rsidR="00885E41" w:rsidRPr="00507B79" w:rsidRDefault="00885E41" w:rsidP="00885E41">
      <w:pPr>
        <w:pStyle w:val="Textonotapie"/>
        <w:ind w:firstLine="709"/>
        <w:jc w:val="both"/>
        <w:rPr>
          <w:rFonts w:ascii="Arial" w:hAnsi="Arial" w:cs="Arial"/>
          <w:sz w:val="19"/>
          <w:szCs w:val="19"/>
        </w:rPr>
      </w:pPr>
      <w:r w:rsidRPr="00507B79">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59F9E7E8" w14:textId="77777777" w:rsidR="00885E41" w:rsidRPr="00507B79" w:rsidRDefault="00885E41" w:rsidP="00885E41">
      <w:pPr>
        <w:pStyle w:val="Textonotapie"/>
        <w:ind w:firstLine="709"/>
        <w:jc w:val="both"/>
        <w:rPr>
          <w:rFonts w:ascii="Arial" w:hAnsi="Arial" w:cs="Arial"/>
          <w:sz w:val="19"/>
          <w:szCs w:val="19"/>
        </w:rPr>
      </w:pPr>
    </w:p>
  </w:footnote>
  <w:footnote w:id="10">
    <w:p w14:paraId="63429EB3" w14:textId="77777777" w:rsidR="00885E41" w:rsidRPr="00507B79" w:rsidRDefault="00885E41" w:rsidP="00885E41">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Gaceta del Congreso de la República No. 71 del 2005.</w:t>
      </w:r>
    </w:p>
    <w:p w14:paraId="0DCF16B1" w14:textId="77777777" w:rsidR="00885E41" w:rsidRPr="00507B79" w:rsidRDefault="00885E41" w:rsidP="00885E41">
      <w:pPr>
        <w:pStyle w:val="Textonotapie"/>
        <w:ind w:firstLine="709"/>
        <w:jc w:val="both"/>
        <w:rPr>
          <w:rFonts w:ascii="Arial" w:hAnsi="Arial" w:cs="Arial"/>
          <w:sz w:val="19"/>
          <w:szCs w:val="19"/>
        </w:rPr>
      </w:pPr>
    </w:p>
  </w:footnote>
  <w:footnote w:id="11">
    <w:p w14:paraId="5CA639B9" w14:textId="77777777" w:rsidR="00885E41" w:rsidRPr="00507B79" w:rsidRDefault="00885E41" w:rsidP="00885E41">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Corte Constitucional. Sentencia C- 1153 de 2005, M.P. Marco Gerardo Monroy Cabra.</w:t>
      </w:r>
    </w:p>
    <w:p w14:paraId="70015B9A" w14:textId="77777777" w:rsidR="00885E41" w:rsidRPr="00507B79" w:rsidRDefault="00885E41" w:rsidP="00885E41">
      <w:pPr>
        <w:pStyle w:val="Textonotapie"/>
        <w:ind w:firstLine="709"/>
        <w:jc w:val="both"/>
        <w:rPr>
          <w:rFonts w:ascii="Arial" w:hAnsi="Arial" w:cs="Arial"/>
          <w:sz w:val="19"/>
          <w:szCs w:val="19"/>
        </w:rPr>
      </w:pPr>
    </w:p>
  </w:footnote>
  <w:footnote w:id="12">
    <w:p w14:paraId="7F240446" w14:textId="77777777" w:rsidR="00885E41" w:rsidRPr="00507B79" w:rsidRDefault="00885E41" w:rsidP="00885E41">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23C4EFD6" w14:textId="77777777" w:rsidR="00885E41" w:rsidRPr="00507B79" w:rsidRDefault="00885E41" w:rsidP="00885E41">
      <w:pPr>
        <w:pStyle w:val="Textonotapie"/>
        <w:ind w:firstLine="709"/>
        <w:jc w:val="both"/>
        <w:rPr>
          <w:rFonts w:ascii="Arial" w:hAnsi="Arial" w:cs="Arial"/>
          <w:sz w:val="19"/>
          <w:szCs w:val="19"/>
        </w:rPr>
      </w:pPr>
    </w:p>
  </w:footnote>
  <w:footnote w:id="13">
    <w:p w14:paraId="5531A8B4" w14:textId="77777777" w:rsidR="00885E41" w:rsidRPr="00507B79" w:rsidRDefault="00885E41" w:rsidP="00885E41">
      <w:pPr>
        <w:pStyle w:val="Textonotapie"/>
        <w:ind w:firstLine="709"/>
        <w:jc w:val="both"/>
        <w:rPr>
          <w:rFonts w:ascii="Arial" w:hAnsi="Arial" w:cs="Arial"/>
          <w:sz w:val="19"/>
          <w:szCs w:val="19"/>
          <w:lang w:val="es-CO"/>
        </w:rPr>
      </w:pPr>
      <w:r w:rsidRPr="00507B79">
        <w:rPr>
          <w:rStyle w:val="Refdenotaalpie"/>
          <w:rFonts w:ascii="Arial" w:hAnsi="Arial" w:cs="Arial"/>
        </w:rPr>
        <w:footnoteRef/>
      </w:r>
      <w:r w:rsidRPr="00507B79">
        <w:rPr>
          <w:rFonts w:ascii="Arial" w:hAnsi="Arial" w:cs="Arial"/>
          <w:sz w:val="19"/>
          <w:szCs w:val="19"/>
          <w:lang w:val="es-CO"/>
        </w:rPr>
        <w:t xml:space="preserve"> Consejo de Estado.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6D21D190" w14:textId="77777777" w:rsidR="00885E41" w:rsidRPr="00507B79" w:rsidRDefault="00885E41" w:rsidP="00885E41">
      <w:pPr>
        <w:pStyle w:val="Textonotapie"/>
        <w:ind w:firstLine="709"/>
        <w:jc w:val="both"/>
        <w:rPr>
          <w:rFonts w:ascii="Arial" w:hAnsi="Arial" w:cs="Arial"/>
          <w:sz w:val="19"/>
          <w:szCs w:val="19"/>
          <w:lang w:val="es-CO"/>
        </w:rPr>
      </w:pPr>
    </w:p>
  </w:footnote>
  <w:footnote w:id="14">
    <w:p w14:paraId="457168CA" w14:textId="77777777" w:rsidR="00885E41" w:rsidRPr="00507B79" w:rsidRDefault="00885E41" w:rsidP="00885E41">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Consejo de Estado, Sala de Consulta y Servicio Civil de fecha 24 de julio de 2013, radicado 2166, Consejero Ponente: Álvaro Namén Vargas.  </w:t>
      </w:r>
    </w:p>
  </w:footnote>
  <w:footnote w:id="15">
    <w:p w14:paraId="2ACDE161" w14:textId="77777777" w:rsidR="00885E41" w:rsidRPr="00507B79" w:rsidRDefault="00885E41" w:rsidP="00885E41">
      <w:pPr>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eastAsia="Calibri" w:hAnsi="Arial" w:cs="Arial"/>
          <w:bCs/>
          <w:color w:val="000000"/>
          <w:sz w:val="19"/>
          <w:szCs w:val="19"/>
        </w:rPr>
        <w:t>«</w:t>
      </w:r>
      <w:r w:rsidRPr="00507B79">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374C1178" w14:textId="77777777" w:rsidR="00885E41" w:rsidRPr="00507B79" w:rsidRDefault="00885E41" w:rsidP="00885E41">
      <w:pPr>
        <w:ind w:firstLine="709"/>
        <w:jc w:val="both"/>
        <w:rPr>
          <w:rFonts w:ascii="Arial" w:hAnsi="Arial" w:cs="Arial"/>
          <w:sz w:val="19"/>
          <w:szCs w:val="19"/>
        </w:rPr>
      </w:pPr>
      <w:r w:rsidRPr="00507B79">
        <w:rPr>
          <w:rFonts w:ascii="Arial" w:eastAsia="Calibri" w:hAnsi="Arial" w:cs="Arial"/>
          <w:bCs/>
          <w:color w:val="000000"/>
          <w:sz w:val="19"/>
          <w:szCs w:val="19"/>
        </w:rPr>
        <w:t>»</w:t>
      </w:r>
      <w:r w:rsidRPr="00507B79">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07B79">
        <w:rPr>
          <w:rFonts w:ascii="Arial" w:eastAsia="Calibri" w:hAnsi="Arial" w:cs="Arial"/>
          <w:bCs/>
          <w:color w:val="000000"/>
          <w:sz w:val="19"/>
          <w:szCs w:val="19"/>
        </w:rPr>
        <w:t>»</w:t>
      </w:r>
      <w:r w:rsidRPr="00507B79">
        <w:rPr>
          <w:rFonts w:ascii="Arial" w:hAnsi="Arial" w:cs="Arial"/>
          <w:sz w:val="19"/>
          <w:szCs w:val="19"/>
        </w:rPr>
        <w:t>.</w:t>
      </w:r>
    </w:p>
    <w:p w14:paraId="7C46EA27" w14:textId="77777777" w:rsidR="00885E41" w:rsidRPr="00507B79" w:rsidRDefault="00885E41" w:rsidP="00885E41">
      <w:pPr>
        <w:ind w:firstLine="709"/>
        <w:jc w:val="both"/>
        <w:rPr>
          <w:rFonts w:ascii="Arial" w:hAnsi="Arial" w:cs="Arial"/>
          <w:sz w:val="19"/>
          <w:szCs w:val="19"/>
        </w:rPr>
      </w:pPr>
    </w:p>
  </w:footnote>
  <w:footnote w:id="16">
    <w:p w14:paraId="4791D7E6" w14:textId="77777777" w:rsidR="00885E41" w:rsidRPr="00507B79" w:rsidRDefault="00885E41" w:rsidP="00885E41">
      <w:pPr>
        <w:pStyle w:val="NormalWeb"/>
        <w:spacing w:after="0"/>
        <w:ind w:firstLine="709"/>
        <w:jc w:val="both"/>
        <w:rPr>
          <w:rFonts w:ascii="Arial" w:hAnsi="Arial" w:cs="Arial"/>
          <w:sz w:val="19"/>
          <w:szCs w:val="19"/>
          <w:lang w:val="es-MX"/>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eastAsia="Calibri" w:hAnsi="Arial" w:cs="Arial"/>
          <w:bCs/>
          <w:color w:val="000000"/>
          <w:sz w:val="19"/>
          <w:szCs w:val="19"/>
        </w:rPr>
        <w:t>«</w:t>
      </w:r>
      <w:r w:rsidRPr="00507B79">
        <w:rPr>
          <w:rFonts w:ascii="Arial" w:hAnsi="Arial" w:cs="Arial"/>
          <w:sz w:val="19"/>
          <w:szCs w:val="19"/>
          <w:lang w:val="es-MX"/>
        </w:rPr>
        <w:t>Artículo 38. Prohibiciones para los servidores públicos. A los empleados del Estado les está prohibido:</w:t>
      </w:r>
    </w:p>
    <w:p w14:paraId="4114649A" w14:textId="77777777" w:rsidR="00885E41" w:rsidRPr="00507B79" w:rsidRDefault="00885E41" w:rsidP="00885E41">
      <w:pPr>
        <w:pStyle w:val="NormalWeb"/>
        <w:spacing w:after="0"/>
        <w:ind w:firstLine="709"/>
        <w:jc w:val="both"/>
        <w:rPr>
          <w:rFonts w:ascii="Arial" w:hAnsi="Arial" w:cs="Arial"/>
          <w:sz w:val="19"/>
          <w:szCs w:val="19"/>
          <w:lang w:val="es-MX"/>
        </w:rPr>
      </w:pPr>
      <w:r w:rsidRPr="00507B79">
        <w:rPr>
          <w:rFonts w:ascii="Arial" w:eastAsia="Calibri" w:hAnsi="Arial" w:cs="Arial"/>
          <w:bCs/>
          <w:color w:val="000000"/>
          <w:sz w:val="19"/>
          <w:szCs w:val="19"/>
        </w:rPr>
        <w:t>»</w:t>
      </w:r>
      <w:r w:rsidRPr="00507B79">
        <w:rPr>
          <w:rFonts w:ascii="Arial" w:hAnsi="Arial" w:cs="Arial"/>
          <w:sz w:val="19"/>
          <w:szCs w:val="19"/>
          <w:lang w:val="es-MX"/>
        </w:rPr>
        <w:t xml:space="preserve"> […]</w:t>
      </w:r>
    </w:p>
    <w:p w14:paraId="46643DD0" w14:textId="77777777" w:rsidR="00885E41" w:rsidRPr="00507B79" w:rsidRDefault="00885E41" w:rsidP="00885E41">
      <w:pPr>
        <w:ind w:firstLine="709"/>
        <w:jc w:val="both"/>
        <w:rPr>
          <w:rFonts w:ascii="Arial" w:hAnsi="Arial" w:cs="Arial"/>
          <w:sz w:val="19"/>
          <w:szCs w:val="19"/>
          <w:lang w:val="es-MX"/>
        </w:rPr>
      </w:pPr>
      <w:r w:rsidRPr="00507B79">
        <w:rPr>
          <w:rFonts w:ascii="Arial" w:eastAsia="Calibri" w:hAnsi="Arial" w:cs="Arial"/>
          <w:bCs/>
          <w:color w:val="000000"/>
          <w:sz w:val="19"/>
          <w:szCs w:val="19"/>
        </w:rPr>
        <w:t>»</w:t>
      </w:r>
      <w:r w:rsidRPr="00507B79">
        <w:rPr>
          <w:rStyle w:val="baj"/>
          <w:rFonts w:ascii="Arial" w:hAnsi="Arial" w:cs="Arial"/>
          <w:sz w:val="19"/>
          <w:szCs w:val="19"/>
          <w:lang w:val="es-MX"/>
        </w:rPr>
        <w:t xml:space="preserve"> Parágrafo.</w:t>
      </w:r>
      <w:r w:rsidRPr="00507B79">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07B79">
        <w:rPr>
          <w:rFonts w:ascii="Arial" w:eastAsia="Calibri" w:hAnsi="Arial" w:cs="Arial"/>
          <w:bCs/>
          <w:color w:val="000000"/>
          <w:sz w:val="19"/>
          <w:szCs w:val="19"/>
        </w:rPr>
        <w:t>»</w:t>
      </w:r>
      <w:r w:rsidRPr="00507B79">
        <w:rPr>
          <w:rFonts w:ascii="Arial" w:hAnsi="Arial" w:cs="Arial"/>
          <w:sz w:val="19"/>
          <w:szCs w:val="19"/>
          <w:lang w:val="es-MX"/>
        </w:rPr>
        <w:t>.</w:t>
      </w:r>
    </w:p>
    <w:p w14:paraId="0EA4348D" w14:textId="77777777" w:rsidR="00885E41" w:rsidRPr="00507B79" w:rsidRDefault="00885E41" w:rsidP="00885E41">
      <w:pPr>
        <w:ind w:firstLine="709"/>
        <w:jc w:val="both"/>
        <w:rPr>
          <w:rFonts w:ascii="Arial" w:hAnsi="Arial" w:cs="Arial"/>
          <w:sz w:val="19"/>
          <w:szCs w:val="19"/>
          <w:lang w:val="es-MX"/>
        </w:rPr>
      </w:pPr>
    </w:p>
  </w:footnote>
  <w:footnote w:id="17">
    <w:p w14:paraId="4C80AC7C" w14:textId="77777777" w:rsidR="00885E41" w:rsidRPr="00507B79" w:rsidRDefault="00885E41" w:rsidP="00885E41">
      <w:pPr>
        <w:ind w:firstLine="709"/>
        <w:jc w:val="both"/>
        <w:rPr>
          <w:rFonts w:ascii="Arial" w:hAnsi="Arial" w:cs="Arial"/>
          <w:sz w:val="19"/>
          <w:szCs w:val="19"/>
          <w:lang w:val="es-ES"/>
        </w:rPr>
      </w:pPr>
      <w:r w:rsidRPr="00507B79">
        <w:rPr>
          <w:rStyle w:val="Refdenotaalpie"/>
          <w:rFonts w:ascii="Arial" w:hAnsi="Arial" w:cs="Arial"/>
        </w:rPr>
        <w:footnoteRef/>
      </w:r>
      <w:r w:rsidRPr="00507B79">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8">
    <w:p w14:paraId="7F65F1C7" w14:textId="77777777" w:rsidR="00885E41" w:rsidRPr="00507B79" w:rsidRDefault="00885E41" w:rsidP="00885E41">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lang w:val="es-ES"/>
        </w:rPr>
        <w:t xml:space="preserve">[25] </w:t>
      </w:r>
      <w:r w:rsidRPr="00507B79">
        <w:rPr>
          <w:rFonts w:ascii="Arial" w:hAnsi="Arial" w:cs="Arial"/>
          <w:sz w:val="19"/>
          <w:szCs w:val="19"/>
        </w:rPr>
        <w:t>Cfr. Consejo de Estado. Sección Tercera. Sentencia de 3 de diciembre de 2007. Radicados: 24.715, 25.206, 25.409, 24.524, 27.834, 25.410, 26.105, 28.244, 31.447 -acumulados-».</w:t>
      </w:r>
    </w:p>
    <w:p w14:paraId="04F94C3E" w14:textId="77777777" w:rsidR="00885E41" w:rsidRPr="00507B79" w:rsidRDefault="00885E41" w:rsidP="00885E41">
      <w:pPr>
        <w:pStyle w:val="Textonotapie"/>
        <w:ind w:firstLine="709"/>
        <w:jc w:val="both"/>
        <w:rPr>
          <w:rFonts w:ascii="Arial" w:hAnsi="Arial" w:cs="Arial"/>
          <w:sz w:val="19"/>
          <w:szCs w:val="19"/>
        </w:rPr>
      </w:pPr>
    </w:p>
  </w:footnote>
  <w:footnote w:id="19">
    <w:p w14:paraId="6AEE9E31" w14:textId="77777777" w:rsidR="00885E41" w:rsidRPr="00507B79" w:rsidRDefault="00885E41" w:rsidP="00885E41">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lang w:val="es-ES"/>
        </w:rPr>
        <w:t xml:space="preserve">[26] </w:t>
      </w:r>
      <w:r w:rsidRPr="00507B79">
        <w:rPr>
          <w:rFonts w:ascii="Arial" w:hAnsi="Arial" w:cs="Arial"/>
          <w:sz w:val="19"/>
          <w:szCs w:val="19"/>
        </w:rPr>
        <w:t>Al respecto ver el concepto 1712 de 2 de febrero de 2006. Consejo de Estado Sala de Consulta y Servicio Civil».</w:t>
      </w:r>
    </w:p>
    <w:p w14:paraId="5F37BC6E" w14:textId="77777777" w:rsidR="00885E41" w:rsidRPr="00507B79" w:rsidRDefault="00885E41" w:rsidP="00885E41">
      <w:pPr>
        <w:pStyle w:val="Textonotapie"/>
        <w:ind w:firstLine="709"/>
        <w:jc w:val="both"/>
        <w:rPr>
          <w:rFonts w:ascii="Arial" w:hAnsi="Arial" w:cs="Arial"/>
          <w:sz w:val="19"/>
          <w:szCs w:val="19"/>
        </w:rPr>
      </w:pPr>
    </w:p>
  </w:footnote>
  <w:footnote w:id="20">
    <w:p w14:paraId="7844A0E6" w14:textId="77777777" w:rsidR="00885E41" w:rsidRPr="00507B79" w:rsidRDefault="00885E41" w:rsidP="00885E41">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p w14:paraId="7BDD88B1" w14:textId="77777777" w:rsidR="00885E41" w:rsidRPr="00507B79" w:rsidRDefault="00885E41" w:rsidP="00885E41">
      <w:pPr>
        <w:pStyle w:val="Textonotapie"/>
        <w:ind w:firstLine="709"/>
        <w:jc w:val="both"/>
        <w:rPr>
          <w:rFonts w:ascii="Arial" w:hAnsi="Arial" w:cs="Arial"/>
          <w:sz w:val="19"/>
          <w:szCs w:val="19"/>
        </w:rPr>
      </w:pPr>
    </w:p>
  </w:footnote>
  <w:footnote w:id="21">
    <w:p w14:paraId="7CD1F94A" w14:textId="77777777" w:rsidR="00885E41" w:rsidRPr="00507B79" w:rsidRDefault="00885E41" w:rsidP="00885E41">
      <w:pPr>
        <w:pStyle w:val="Textonotapie"/>
        <w:ind w:firstLine="709"/>
        <w:jc w:val="both"/>
        <w:rPr>
          <w:rFonts w:ascii="Arial" w:hAnsi="Arial" w:cs="Arial"/>
          <w:sz w:val="19"/>
          <w:szCs w:val="19"/>
          <w:lang w:val="es-ES"/>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lang w:val="es-ES"/>
        </w:rPr>
        <w:t xml:space="preserve">Artículo 2. </w:t>
      </w:r>
    </w:p>
    <w:p w14:paraId="1E5589FD" w14:textId="77777777" w:rsidR="00885E41" w:rsidRPr="00507B79" w:rsidRDefault="00885E41" w:rsidP="00885E41">
      <w:pPr>
        <w:pStyle w:val="Textonotapie"/>
        <w:ind w:firstLine="709"/>
        <w:jc w:val="both"/>
        <w:rPr>
          <w:rFonts w:ascii="Arial" w:hAnsi="Arial" w:cs="Arial"/>
          <w:sz w:val="19"/>
          <w:szCs w:val="19"/>
          <w:lang w:val="es-ES"/>
        </w:rPr>
      </w:pPr>
    </w:p>
  </w:footnote>
  <w:footnote w:id="22">
    <w:p w14:paraId="529B7D5C" w14:textId="77777777" w:rsidR="00885E41" w:rsidRPr="00507B79" w:rsidRDefault="00885E41" w:rsidP="00885E41">
      <w:pPr>
        <w:pStyle w:val="Textonotapie"/>
        <w:ind w:firstLine="709"/>
        <w:jc w:val="both"/>
        <w:rPr>
          <w:rFonts w:ascii="Arial" w:hAnsi="Arial" w:cs="Arial"/>
          <w:sz w:val="19"/>
          <w:szCs w:val="19"/>
          <w:lang w:val="es-ES"/>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i/>
          <w:sz w:val="19"/>
          <w:szCs w:val="19"/>
          <w:lang w:val="es-ES"/>
        </w:rPr>
        <w:t>Ídem</w:t>
      </w:r>
      <w:r w:rsidRPr="00507B79">
        <w:rPr>
          <w:rFonts w:ascii="Arial" w:hAnsi="Arial" w:cs="Arial"/>
          <w:sz w:val="19"/>
          <w:szCs w:val="19"/>
          <w:lang w:val="es-ES"/>
        </w:rPr>
        <w:t>.</w:t>
      </w:r>
    </w:p>
    <w:p w14:paraId="32251315" w14:textId="77777777" w:rsidR="00885E41" w:rsidRPr="00507B79" w:rsidRDefault="00885E41" w:rsidP="00885E41">
      <w:pPr>
        <w:pStyle w:val="Textonotapie"/>
        <w:ind w:firstLine="709"/>
        <w:jc w:val="both"/>
        <w:rPr>
          <w:rFonts w:ascii="Arial" w:hAnsi="Arial" w:cs="Arial"/>
          <w:sz w:val="19"/>
          <w:szCs w:val="19"/>
          <w:lang w:val="es-ES"/>
        </w:rPr>
      </w:pPr>
    </w:p>
  </w:footnote>
  <w:footnote w:id="23">
    <w:p w14:paraId="5359CC3E" w14:textId="77777777" w:rsidR="00885E41" w:rsidRPr="00507B79" w:rsidRDefault="00885E41" w:rsidP="00885E41">
      <w:pPr>
        <w:pStyle w:val="Textonotapie"/>
        <w:ind w:firstLine="709"/>
        <w:jc w:val="both"/>
        <w:rPr>
          <w:rFonts w:ascii="Arial" w:hAnsi="Arial" w:cs="Arial"/>
          <w:sz w:val="19"/>
          <w:szCs w:val="19"/>
          <w:lang w:val="es-ES"/>
        </w:rPr>
      </w:pPr>
      <w:r w:rsidRPr="00507B79">
        <w:rPr>
          <w:rStyle w:val="Refdenotaalpie"/>
          <w:rFonts w:ascii="Arial" w:hAnsi="Arial" w:cs="Arial"/>
        </w:rPr>
        <w:footnoteRef/>
      </w:r>
      <w:r w:rsidRPr="00507B79">
        <w:rPr>
          <w:rStyle w:val="Refdenotaalpie"/>
          <w:rFonts w:ascii="Arial" w:hAnsi="Arial" w:cs="Arial"/>
          <w:sz w:val="19"/>
          <w:szCs w:val="19"/>
        </w:rPr>
        <w:t xml:space="preserve"> </w:t>
      </w:r>
      <w:r w:rsidRPr="00507B79">
        <w:rPr>
          <w:rFonts w:ascii="Arial" w:hAnsi="Arial" w:cs="Arial"/>
          <w:sz w:val="19"/>
          <w:szCs w:val="19"/>
          <w:lang w:val="es-ES"/>
        </w:rPr>
        <w:t xml:space="preserve">«[…] A este respecto, cabe recordar que el artículo 860 del Código de Comercio regula la licitación en el derecho privado». </w:t>
      </w:r>
    </w:p>
    <w:p w14:paraId="36FD4888" w14:textId="77777777" w:rsidR="00885E41" w:rsidRPr="00507B79" w:rsidRDefault="00885E41" w:rsidP="00885E41">
      <w:pPr>
        <w:pStyle w:val="Textonotapie"/>
        <w:ind w:firstLine="709"/>
        <w:jc w:val="both"/>
        <w:rPr>
          <w:rFonts w:ascii="Arial" w:hAnsi="Arial" w:cs="Arial"/>
          <w:sz w:val="19"/>
          <w:szCs w:val="19"/>
          <w:lang w:val="es-ES"/>
        </w:rPr>
      </w:pPr>
    </w:p>
  </w:footnote>
  <w:footnote w:id="24">
    <w:p w14:paraId="2DD4535D" w14:textId="77777777" w:rsidR="00885E41" w:rsidRPr="00507B79" w:rsidRDefault="00885E41" w:rsidP="00885E41">
      <w:pPr>
        <w:shd w:val="clear" w:color="auto" w:fill="FFFFFF"/>
        <w:ind w:firstLine="709"/>
        <w:jc w:val="both"/>
        <w:rPr>
          <w:rFonts w:ascii="Arial" w:hAnsi="Arial" w:cs="Arial"/>
          <w:sz w:val="19"/>
          <w:szCs w:val="19"/>
          <w:lang w:val="es-ES"/>
        </w:rPr>
      </w:pPr>
      <w:r w:rsidRPr="00507B79">
        <w:rPr>
          <w:rStyle w:val="Refdenotaalpie"/>
          <w:rFonts w:ascii="Arial" w:hAnsi="Arial" w:cs="Arial"/>
        </w:rPr>
        <w:footnoteRef/>
      </w:r>
      <w:r w:rsidRPr="00507B79">
        <w:rPr>
          <w:rStyle w:val="Refdenotaalpie"/>
          <w:rFonts w:ascii="Arial" w:hAnsi="Arial" w:cs="Arial"/>
          <w:sz w:val="19"/>
          <w:szCs w:val="19"/>
        </w:rPr>
        <w:t xml:space="preserve"> </w:t>
      </w:r>
      <w:r w:rsidRPr="00507B79">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25">
    <w:p w14:paraId="458ED4FA" w14:textId="77777777" w:rsidR="00885E41" w:rsidRPr="00507B79" w:rsidRDefault="00885E41" w:rsidP="00885E41">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Consejo de Estado. Sala de Consulta y Servicio Civil. Concepto del 08 de mayo de 2018. Exp. 2.382. C.P. Álvaro Namén Vargas.</w:t>
      </w:r>
    </w:p>
    <w:p w14:paraId="138D4B85" w14:textId="77777777" w:rsidR="00885E41" w:rsidRPr="00507B79" w:rsidRDefault="00885E41" w:rsidP="00885E41">
      <w:pPr>
        <w:pStyle w:val="Textonotapie"/>
        <w:ind w:firstLine="709"/>
        <w:jc w:val="both"/>
        <w:rPr>
          <w:rFonts w:ascii="Arial" w:hAnsi="Arial" w:cs="Arial"/>
          <w:sz w:val="19"/>
          <w:szCs w:val="19"/>
        </w:rPr>
      </w:pPr>
    </w:p>
  </w:footnote>
  <w:footnote w:id="26">
    <w:p w14:paraId="2E96F8D8" w14:textId="77777777" w:rsidR="00885E41" w:rsidRPr="00507B79" w:rsidRDefault="00885E41" w:rsidP="00885E41">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Cfr. Concepto C-757 del 30 de diciembre de 2021.</w:t>
      </w:r>
    </w:p>
  </w:footnote>
  <w:footnote w:id="27">
    <w:p w14:paraId="70D553E7" w14:textId="77777777" w:rsidR="00885E41" w:rsidRPr="00507B79" w:rsidRDefault="00885E41" w:rsidP="00885E41">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4300B22A" w14:textId="77777777" w:rsidR="00885E41" w:rsidRPr="00507B79" w:rsidRDefault="00885E41" w:rsidP="00885E41">
      <w:pPr>
        <w:pStyle w:val="Textonotapie"/>
        <w:ind w:firstLine="709"/>
        <w:jc w:val="both"/>
        <w:rPr>
          <w:rFonts w:ascii="Arial" w:hAnsi="Arial" w:cs="Arial"/>
          <w:sz w:val="19"/>
          <w:szCs w:val="19"/>
        </w:rPr>
      </w:pPr>
    </w:p>
  </w:footnote>
  <w:footnote w:id="28">
    <w:p w14:paraId="0CBFC8CE" w14:textId="77777777" w:rsidR="00885E41" w:rsidRPr="00507B79" w:rsidRDefault="00885E41" w:rsidP="00885E41">
      <w:pPr>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34874E9E" w14:textId="77777777" w:rsidR="00885E41" w:rsidRPr="00507B79" w:rsidRDefault="00885E41" w:rsidP="00885E41">
      <w:pPr>
        <w:ind w:firstLine="709"/>
        <w:jc w:val="both"/>
        <w:rPr>
          <w:rFonts w:ascii="Arial" w:hAnsi="Arial" w:cs="Arial"/>
          <w:sz w:val="19"/>
          <w:szCs w:val="19"/>
        </w:rPr>
      </w:pPr>
    </w:p>
  </w:footnote>
  <w:footnote w:id="29">
    <w:p w14:paraId="45DFDDB0" w14:textId="77777777" w:rsidR="00885E41" w:rsidRPr="00507B79" w:rsidRDefault="00885E41" w:rsidP="00885E41">
      <w:pPr>
        <w:pStyle w:val="Textonotapie"/>
        <w:ind w:firstLine="709"/>
        <w:jc w:val="both"/>
        <w:rPr>
          <w:rFonts w:ascii="Arial" w:eastAsia="Times New Roman" w:hAnsi="Arial" w:cs="Arial"/>
          <w:bCs/>
          <w:sz w:val="19"/>
          <w:szCs w:val="19"/>
          <w:lang w:eastAsia="x-none"/>
        </w:rPr>
      </w:pPr>
      <w:r w:rsidRPr="00507B79">
        <w:rPr>
          <w:rStyle w:val="Refdenotaalpie"/>
          <w:rFonts w:ascii="Arial" w:hAnsi="Arial" w:cs="Arial"/>
        </w:rPr>
        <w:footnoteRef/>
      </w:r>
      <w:r w:rsidRPr="00507B79">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Pr="00507B79">
        <w:rPr>
          <w:rFonts w:ascii="Arial" w:eastAsia="Times New Roman" w:hAnsi="Arial" w:cs="Arial"/>
          <w:bCs/>
          <w:sz w:val="19"/>
          <w:szCs w:val="19"/>
          <w:lang w:eastAsia="x-none"/>
        </w:rPr>
        <w:t xml:space="preserve"> «</w:t>
      </w:r>
      <w:r w:rsidRPr="00507B79">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507B79">
        <w:rPr>
          <w:rFonts w:ascii="Arial" w:eastAsia="Times New Roman" w:hAnsi="Arial" w:cs="Arial"/>
          <w:bCs/>
          <w:sz w:val="19"/>
          <w:szCs w:val="19"/>
          <w:lang w:eastAsia="x-none"/>
        </w:rPr>
        <w:t>».</w:t>
      </w:r>
    </w:p>
    <w:p w14:paraId="38487E0F" w14:textId="77777777" w:rsidR="00885E41" w:rsidRPr="00507B79" w:rsidRDefault="00885E41" w:rsidP="00885E41">
      <w:pPr>
        <w:pStyle w:val="Textonotapie"/>
        <w:ind w:firstLine="709"/>
        <w:jc w:val="both"/>
        <w:rPr>
          <w:rFonts w:ascii="Arial" w:hAnsi="Arial" w:cs="Arial"/>
          <w:sz w:val="19"/>
          <w:szCs w:val="19"/>
        </w:rPr>
      </w:pPr>
    </w:p>
  </w:footnote>
  <w:footnote w:id="30">
    <w:p w14:paraId="5018C61D" w14:textId="77777777" w:rsidR="00885E41" w:rsidRPr="00507B79" w:rsidRDefault="00885E41" w:rsidP="00885E41">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61751702" w14:textId="77777777" w:rsidR="00885E41" w:rsidRPr="00507B79" w:rsidRDefault="00885E41" w:rsidP="00885E41">
      <w:pPr>
        <w:pStyle w:val="Textonotapie"/>
        <w:ind w:firstLine="709"/>
        <w:jc w:val="both"/>
        <w:rPr>
          <w:rFonts w:ascii="Arial" w:hAnsi="Arial" w:cs="Arial"/>
          <w:sz w:val="19"/>
          <w:szCs w:val="19"/>
        </w:rPr>
      </w:pPr>
    </w:p>
  </w:footnote>
  <w:footnote w:id="31">
    <w:p w14:paraId="640084B6" w14:textId="77777777" w:rsidR="00885E41" w:rsidRPr="00507B79" w:rsidRDefault="00885E41" w:rsidP="00885E41">
      <w:pPr>
        <w:pStyle w:val="Textonotapie"/>
        <w:ind w:firstLine="709"/>
        <w:jc w:val="both"/>
        <w:rPr>
          <w:rFonts w:ascii="Arial" w:hAnsi="Arial" w:cs="Arial"/>
          <w:sz w:val="19"/>
          <w:szCs w:val="19"/>
        </w:rPr>
      </w:pPr>
      <w:r w:rsidRPr="00507B79">
        <w:rPr>
          <w:rStyle w:val="Refdenotaalpie"/>
          <w:rFonts w:ascii="Arial" w:hAnsi="Arial" w:cs="Arial"/>
        </w:rPr>
        <w:footnoteRef/>
      </w:r>
      <w:r w:rsidRPr="00507B79">
        <w:rPr>
          <w:rFonts w:ascii="Arial" w:hAnsi="Arial" w:cs="Arial"/>
          <w:sz w:val="19"/>
          <w:szCs w:val="19"/>
        </w:rPr>
        <w:t xml:space="preserve"> Consejo de Estado. Sala de Consulta y Servicio Civil, ídem.</w:t>
      </w:r>
    </w:p>
    <w:p w14:paraId="02F023EC" w14:textId="77777777" w:rsidR="00885E41" w:rsidRPr="00507B79" w:rsidRDefault="00885E41" w:rsidP="00885E41">
      <w:pPr>
        <w:pStyle w:val="Textonotapie"/>
        <w:ind w:firstLine="709"/>
        <w:jc w:val="both"/>
        <w:rPr>
          <w:rFonts w:ascii="Arial" w:hAnsi="Arial" w:cs="Arial"/>
          <w:sz w:val="19"/>
          <w:szCs w:val="19"/>
        </w:rPr>
      </w:pPr>
    </w:p>
  </w:footnote>
  <w:footnote w:id="32">
    <w:p w14:paraId="48007E49" w14:textId="77777777" w:rsidR="00885E41" w:rsidRPr="00507B79" w:rsidRDefault="00885E41" w:rsidP="00885E41">
      <w:pPr>
        <w:pStyle w:val="Textonotapie"/>
        <w:ind w:firstLine="709"/>
        <w:jc w:val="both"/>
        <w:rPr>
          <w:rFonts w:ascii="Arial" w:hAnsi="Arial" w:cs="Arial"/>
          <w:sz w:val="19"/>
          <w:szCs w:val="19"/>
          <w:lang w:val="es-ES"/>
        </w:rPr>
      </w:pPr>
      <w:r w:rsidRPr="00507B79">
        <w:rPr>
          <w:rStyle w:val="Refdenotaalpie"/>
          <w:rFonts w:ascii="Arial" w:hAnsi="Arial" w:cs="Arial"/>
        </w:rPr>
        <w:footnoteRef/>
      </w:r>
      <w:r w:rsidRPr="00507B79">
        <w:rPr>
          <w:rFonts w:ascii="Arial" w:hAnsi="Arial" w:cs="Arial"/>
          <w:sz w:val="19"/>
          <w:szCs w:val="19"/>
        </w:rPr>
        <w:t xml:space="preserve"> https://colombiacompra.gov.co/sites/cce_public/files/cce_circulares/cce_circular_unica.pdf</w:t>
      </w:r>
    </w:p>
  </w:footnote>
  <w:footnote w:id="33">
    <w:p w14:paraId="55F99561" w14:textId="77777777" w:rsidR="00885E41" w:rsidRPr="00507B79" w:rsidRDefault="00885E41" w:rsidP="00885E41">
      <w:pPr>
        <w:pStyle w:val="Textonotapie"/>
        <w:ind w:firstLine="709"/>
        <w:jc w:val="both"/>
        <w:rPr>
          <w:rFonts w:ascii="Arial" w:hAnsi="Arial" w:cs="Arial"/>
          <w:sz w:val="19"/>
          <w:szCs w:val="19"/>
        </w:rPr>
      </w:pPr>
    </w:p>
    <w:p w14:paraId="62E4826D" w14:textId="77777777" w:rsidR="00885E41" w:rsidRPr="00507B79" w:rsidRDefault="00885E41" w:rsidP="00885E41">
      <w:pPr>
        <w:pStyle w:val="Textonotapie"/>
        <w:ind w:firstLine="709"/>
        <w:jc w:val="both"/>
        <w:rPr>
          <w:rFonts w:ascii="Arial" w:hAnsi="Arial" w:cs="Arial"/>
          <w:sz w:val="19"/>
          <w:szCs w:val="19"/>
          <w:lang w:val="es-ES"/>
        </w:rPr>
      </w:pPr>
      <w:r w:rsidRPr="00507B79">
        <w:rPr>
          <w:rStyle w:val="Refdenotaalpie"/>
          <w:rFonts w:ascii="Arial" w:hAnsi="Arial" w:cs="Arial"/>
        </w:rPr>
        <w:footnoteRef/>
      </w:r>
      <w:r w:rsidRPr="00507B79">
        <w:rPr>
          <w:rFonts w:ascii="Arial" w:hAnsi="Arial" w:cs="Arial"/>
          <w:sz w:val="19"/>
          <w:szCs w:val="19"/>
        </w:rPr>
        <w:t xml:space="preserve"> Consejo de Estado. Sala de Consulta y Servicio Civil. Concepto del 26 de noviembre de 2009. Radicación número: 11001-03-06-000-2009-0062-00 (1974). Consejero Ponente: Luis Fernando Álvarez Jaramillo.</w:t>
      </w:r>
    </w:p>
  </w:footnote>
  <w:footnote w:id="34">
    <w:p w14:paraId="736C87C8" w14:textId="77777777" w:rsidR="00885E41" w:rsidRPr="00507B79" w:rsidRDefault="00885E41" w:rsidP="00885E41">
      <w:pPr>
        <w:pStyle w:val="Textonotapie"/>
        <w:ind w:firstLine="709"/>
        <w:jc w:val="both"/>
        <w:rPr>
          <w:rFonts w:ascii="Arial" w:hAnsi="Arial" w:cs="Arial"/>
          <w:sz w:val="19"/>
          <w:szCs w:val="19"/>
        </w:rPr>
      </w:pPr>
    </w:p>
    <w:p w14:paraId="25A1EAFC" w14:textId="77777777" w:rsidR="00885E41" w:rsidRPr="00507B79" w:rsidRDefault="00885E41" w:rsidP="00885E41">
      <w:pPr>
        <w:pStyle w:val="Textonotapie"/>
        <w:ind w:firstLine="709"/>
        <w:jc w:val="both"/>
        <w:rPr>
          <w:rFonts w:ascii="Arial" w:hAnsi="Arial" w:cs="Arial"/>
          <w:sz w:val="19"/>
          <w:szCs w:val="19"/>
          <w:lang w:val="es-CO"/>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lang w:val="es-ES"/>
        </w:rPr>
        <w:t>Cfr. el concepto expedido en respuesta a la Consulta 4201813000001943 del 19 de febrero de 2018.</w:t>
      </w:r>
    </w:p>
  </w:footnote>
  <w:footnote w:id="35">
    <w:p w14:paraId="4FC08B9B" w14:textId="77777777" w:rsidR="00885E41" w:rsidRPr="00507B79" w:rsidRDefault="00885E41" w:rsidP="00885E41">
      <w:pPr>
        <w:pStyle w:val="Textonotapie"/>
        <w:ind w:firstLine="709"/>
        <w:jc w:val="both"/>
        <w:rPr>
          <w:rFonts w:ascii="Arial" w:hAnsi="Arial" w:cs="Arial"/>
          <w:sz w:val="19"/>
          <w:szCs w:val="19"/>
          <w:lang w:val="es-ES"/>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lang w:val="es-ES"/>
        </w:rPr>
        <w:t>Ibíd.</w:t>
      </w:r>
    </w:p>
  </w:footnote>
  <w:footnote w:id="36">
    <w:p w14:paraId="7D5BFB00" w14:textId="77777777" w:rsidR="00885E41" w:rsidRPr="00507B79" w:rsidRDefault="00885E41" w:rsidP="00885E41">
      <w:pPr>
        <w:pStyle w:val="Textonotapie"/>
        <w:ind w:firstLine="709"/>
        <w:jc w:val="both"/>
        <w:rPr>
          <w:rFonts w:ascii="Arial" w:hAnsi="Arial" w:cs="Arial"/>
          <w:sz w:val="19"/>
          <w:szCs w:val="19"/>
          <w:lang w:val="es-ES"/>
        </w:rPr>
      </w:pPr>
      <w:r w:rsidRPr="00507B79">
        <w:rPr>
          <w:rStyle w:val="Refdenotaalpie"/>
          <w:rFonts w:ascii="Arial" w:hAnsi="Arial" w:cs="Arial"/>
        </w:rPr>
        <w:footnoteRef/>
      </w:r>
      <w:r w:rsidRPr="00507B79">
        <w:rPr>
          <w:rFonts w:ascii="Arial" w:hAnsi="Arial" w:cs="Arial"/>
          <w:sz w:val="19"/>
          <w:szCs w:val="19"/>
        </w:rPr>
        <w:t xml:space="preserve"> https://colombiacompra.gov.co/sites/cce_public/files/cce_circulares/cce_circular_unica.pdf</w:t>
      </w:r>
    </w:p>
  </w:footnote>
  <w:footnote w:id="37">
    <w:p w14:paraId="54D2BDA8" w14:textId="77777777" w:rsidR="00885E41" w:rsidRPr="00507B79" w:rsidRDefault="00885E41" w:rsidP="00885E41">
      <w:pPr>
        <w:pStyle w:val="Textonotapie"/>
        <w:ind w:firstLine="709"/>
        <w:jc w:val="both"/>
        <w:rPr>
          <w:rFonts w:ascii="Arial" w:hAnsi="Arial" w:cs="Arial"/>
          <w:sz w:val="19"/>
          <w:szCs w:val="19"/>
          <w:lang w:val="es-ES"/>
        </w:rPr>
      </w:pPr>
      <w:r w:rsidRPr="00507B79">
        <w:rPr>
          <w:rStyle w:val="Refdenotaalpie"/>
          <w:rFonts w:ascii="Arial" w:hAnsi="Arial" w:cs="Arial"/>
        </w:rPr>
        <w:footnoteRef/>
      </w:r>
      <w:r w:rsidRPr="00507B79">
        <w:rPr>
          <w:rFonts w:ascii="Arial" w:hAnsi="Arial" w:cs="Arial"/>
          <w:sz w:val="19"/>
          <w:szCs w:val="19"/>
        </w:rPr>
        <w:t xml:space="preserve"> Según esta norma: </w:t>
      </w:r>
      <w:r w:rsidRPr="00507B79">
        <w:rPr>
          <w:rFonts w:ascii="Arial" w:hAnsi="Arial" w:cs="Arial"/>
          <w:sz w:val="19"/>
          <w:szCs w:val="19"/>
          <w:lang w:val="es-ES"/>
        </w:rPr>
        <w:t>«Los ingresos corrientes del Sistema General de Regalías se destinarán a la financiación de proyectos de inversión que contribuyan al desarrollo social, económico, y ambiental de las entidades territoriales.</w:t>
      </w:r>
    </w:p>
    <w:p w14:paraId="33C2BD22" w14:textId="77777777" w:rsidR="00885E41" w:rsidRPr="00507B79" w:rsidRDefault="00885E41" w:rsidP="00885E41">
      <w:pPr>
        <w:pStyle w:val="Textonotapie"/>
        <w:ind w:firstLine="709"/>
        <w:jc w:val="both"/>
        <w:rPr>
          <w:rFonts w:ascii="Arial" w:hAnsi="Arial" w:cs="Arial"/>
          <w:sz w:val="19"/>
          <w:szCs w:val="19"/>
          <w:lang w:val="es-ES"/>
        </w:rPr>
      </w:pPr>
      <w:r w:rsidRPr="00507B79">
        <w:rPr>
          <w:rFonts w:ascii="Arial" w:hAnsi="Arial" w:cs="Arial"/>
          <w:sz w:val="19"/>
          <w:szCs w:val="19"/>
          <w:lang w:val="es-ES"/>
        </w:rPr>
        <w:t>»[…]</w:t>
      </w:r>
    </w:p>
    <w:p w14:paraId="50DE98CB" w14:textId="77777777" w:rsidR="00885E41" w:rsidRPr="00507B79" w:rsidRDefault="00885E41" w:rsidP="00885E41">
      <w:pPr>
        <w:ind w:firstLine="709"/>
        <w:jc w:val="both"/>
        <w:rPr>
          <w:rFonts w:ascii="Arial" w:hAnsi="Arial" w:cs="Arial"/>
          <w:sz w:val="19"/>
          <w:szCs w:val="19"/>
        </w:rPr>
      </w:pPr>
      <w:r w:rsidRPr="00507B79">
        <w:rPr>
          <w:rFonts w:ascii="Arial" w:hAnsi="Arial" w:cs="Arial"/>
          <w:sz w:val="19"/>
          <w:szCs w:val="19"/>
        </w:rPr>
        <w:t>»10% para la inversión en ciencia, tecnología e innovación, a través de convocatorias públicas, abiertas, y competitivas, en los términos que defina la ley que desarrolle el Sistema, de los cuales, mínimo dos (2) puntos porcentuales se destinarán a investigación o inversión de proyectos de ciencia, tecnología e innovación en asuntos relacionados o con incidencia sobre el ambiente y el desarrollo sostenible».</w:t>
      </w:r>
    </w:p>
    <w:p w14:paraId="06987C9D" w14:textId="77777777" w:rsidR="00885E41" w:rsidRPr="00507B79" w:rsidRDefault="00885E41" w:rsidP="00885E41">
      <w:pPr>
        <w:pStyle w:val="Textonotapie"/>
        <w:ind w:firstLine="709"/>
        <w:jc w:val="both"/>
        <w:rPr>
          <w:rFonts w:ascii="Arial" w:hAnsi="Arial" w:cs="Arial"/>
          <w:sz w:val="19"/>
          <w:szCs w:val="19"/>
          <w:lang w:val="es-CO"/>
        </w:rPr>
      </w:pPr>
    </w:p>
  </w:footnote>
  <w:footnote w:id="38">
    <w:p w14:paraId="22F156D9" w14:textId="77777777" w:rsidR="00885E41" w:rsidRPr="00507B79" w:rsidRDefault="00885E41" w:rsidP="00885E41">
      <w:pPr>
        <w:pStyle w:val="Textonotapie"/>
        <w:ind w:firstLine="709"/>
        <w:jc w:val="both"/>
        <w:rPr>
          <w:rFonts w:ascii="Arial" w:hAnsi="Arial" w:cs="Arial"/>
          <w:sz w:val="19"/>
          <w:szCs w:val="19"/>
          <w:lang w:val="es-ES"/>
        </w:rPr>
      </w:pPr>
      <w:r w:rsidRPr="00507B79">
        <w:rPr>
          <w:rStyle w:val="Refdenotaalpie"/>
          <w:rFonts w:ascii="Arial" w:hAnsi="Arial" w:cs="Arial"/>
        </w:rPr>
        <w:footnoteRef/>
      </w:r>
      <w:r w:rsidRPr="00507B79">
        <w:rPr>
          <w:rFonts w:ascii="Arial" w:hAnsi="Arial" w:cs="Arial"/>
          <w:sz w:val="19"/>
          <w:szCs w:val="19"/>
        </w:rPr>
        <w:t xml:space="preserve"> </w:t>
      </w:r>
      <w:r w:rsidRPr="00507B79">
        <w:rPr>
          <w:rFonts w:ascii="Arial" w:hAnsi="Arial" w:cs="Arial"/>
          <w:sz w:val="19"/>
          <w:szCs w:val="19"/>
          <w:lang w:val="es-ES"/>
        </w:rPr>
        <w:t>«Los proyectos de inversión en ciencia, tecnología e innovación que se financian con los recursos de la Asignación para la Ciencia, Tecnología e Innovación, serán aprobados a través de convocatorias públicas, abiertas y competitivas.</w:t>
      </w:r>
    </w:p>
    <w:p w14:paraId="1F9D8512" w14:textId="77777777" w:rsidR="00885E41" w:rsidRPr="00507B79" w:rsidRDefault="00885E41" w:rsidP="00885E41">
      <w:pPr>
        <w:pStyle w:val="Textonotapie"/>
        <w:ind w:firstLine="709"/>
        <w:jc w:val="both"/>
        <w:rPr>
          <w:rFonts w:ascii="Arial" w:hAnsi="Arial" w:cs="Arial"/>
          <w:sz w:val="19"/>
          <w:szCs w:val="19"/>
          <w:lang w:val="es-ES"/>
        </w:rPr>
      </w:pPr>
      <w:r w:rsidRPr="00507B79">
        <w:rPr>
          <w:rFonts w:ascii="Arial" w:hAnsi="Arial" w:cs="Arial"/>
          <w:sz w:val="19"/>
          <w:szCs w:val="19"/>
          <w:lang w:val="es-ES"/>
        </w:rPr>
        <w:t>»Para los efectos de las convocatorias para las inversiones de la Asignación para la Ciencia, Tecnología e Innovación, se estructurarán ejercicios de planeación que orienten las inversiones de la Asignación para la Ciencia, Tecnología e Innovación en concertación con los Consejos Departamentales en Ciencia, Tecnología e Innovación (Codecti).</w:t>
      </w:r>
    </w:p>
    <w:p w14:paraId="7906CCE4" w14:textId="77777777" w:rsidR="00885E41" w:rsidRPr="00507B79" w:rsidRDefault="00885E41" w:rsidP="00885E41">
      <w:pPr>
        <w:pStyle w:val="Textonotapie"/>
        <w:ind w:firstLine="709"/>
        <w:jc w:val="both"/>
        <w:rPr>
          <w:rFonts w:ascii="Arial" w:hAnsi="Arial" w:cs="Arial"/>
          <w:sz w:val="19"/>
          <w:szCs w:val="19"/>
          <w:lang w:val="es-ES"/>
        </w:rPr>
      </w:pPr>
      <w:r w:rsidRPr="00507B79">
        <w:rPr>
          <w:rFonts w:ascii="Arial" w:hAnsi="Arial" w:cs="Arial"/>
          <w:sz w:val="19"/>
          <w:szCs w:val="19"/>
          <w:lang w:val="es-ES"/>
        </w:rPr>
        <w:t>»En lo que se refiere a las convocatorias para las inversiones de la Asignación para la Ciencia, Tecnología e Innovación Ambiental, se estructurarán ejercicios de planeación que orienten las inversiones con cargo a esta asignación en concertación con los Consejos Departamentales en Ciencia, Tecnología e Innovación (Codecti) y los Institutos de Investigación del Sistema Nacional Ambiental designados por el Ministerio de Ambiente y Desarrollo Sostenible.</w:t>
      </w:r>
    </w:p>
    <w:p w14:paraId="14EF405D" w14:textId="77777777" w:rsidR="00885E41" w:rsidRPr="00507B79" w:rsidRDefault="00885E41" w:rsidP="00885E41">
      <w:pPr>
        <w:pStyle w:val="Textonotapie"/>
        <w:ind w:firstLine="709"/>
        <w:jc w:val="both"/>
        <w:rPr>
          <w:rFonts w:ascii="Arial" w:hAnsi="Arial" w:cs="Arial"/>
          <w:sz w:val="19"/>
          <w:szCs w:val="19"/>
          <w:lang w:val="es-ES"/>
        </w:rPr>
      </w:pPr>
      <w:r w:rsidRPr="00507B79">
        <w:rPr>
          <w:rFonts w:ascii="Arial" w:hAnsi="Arial" w:cs="Arial"/>
          <w:sz w:val="19"/>
          <w:szCs w:val="19"/>
          <w:lang w:val="es-ES"/>
        </w:rPr>
        <w:t>»Las inversiones de la Asignación para la Ciencia, Tecnología e Innovación se fundamentarán en un plan de convocatorias construido por el Ministerio de Ciencia, Tecnología e Innovación, y el Departamento Nacional de Planeación y en lo que se refiere a la Asignación para la Inversión en Ciencia, Tecnología e Innovación Ambiental, adicionalmente, con el Ministerio de Ambiente y Desarrollo Sostenible; y si los proyectos son de carácter agropecuario y de desarrollo rural con el Ministerio de Agricultura y Desarrollo Rural; y si los proyectos son para promover la conectividad y cierre de brecha digital, con el Ministerio de Tecnologías de la Información y las Comunicaciones.</w:t>
      </w:r>
    </w:p>
    <w:p w14:paraId="3984FB3D" w14:textId="77777777" w:rsidR="00885E41" w:rsidRPr="00507B79" w:rsidRDefault="00885E41" w:rsidP="00885E41">
      <w:pPr>
        <w:pStyle w:val="Textonotapie"/>
        <w:ind w:firstLine="709"/>
        <w:jc w:val="both"/>
        <w:rPr>
          <w:rFonts w:ascii="Arial" w:hAnsi="Arial" w:cs="Arial"/>
          <w:sz w:val="19"/>
          <w:szCs w:val="19"/>
          <w:lang w:val="es-ES"/>
        </w:rPr>
      </w:pPr>
      <w:r w:rsidRPr="00507B79">
        <w:rPr>
          <w:rFonts w:ascii="Arial" w:hAnsi="Arial" w:cs="Arial"/>
          <w:sz w:val="19"/>
          <w:szCs w:val="19"/>
          <w:lang w:val="es-ES"/>
        </w:rPr>
        <w:t>»Para estas asignaciones, se tendrán en cuenta las demandas territoriales expresadas en ejercicios de planeación y podrán conformar Comités Consultivos. El plan de convocatorias constituirá la base para la estructuración y operación de las convocatorias públicas, abiertas y competitivas.</w:t>
      </w:r>
    </w:p>
    <w:p w14:paraId="3DA729A1" w14:textId="77777777" w:rsidR="00885E41" w:rsidRPr="00507B79" w:rsidRDefault="00885E41" w:rsidP="00885E41">
      <w:pPr>
        <w:pStyle w:val="Textonotapie"/>
        <w:ind w:firstLine="709"/>
        <w:jc w:val="both"/>
        <w:rPr>
          <w:rFonts w:ascii="Arial" w:hAnsi="Arial" w:cs="Arial"/>
          <w:sz w:val="19"/>
          <w:szCs w:val="19"/>
          <w:lang w:val="es-ES"/>
        </w:rPr>
      </w:pPr>
      <w:r w:rsidRPr="00507B79">
        <w:rPr>
          <w:rFonts w:ascii="Arial" w:hAnsi="Arial" w:cs="Arial"/>
          <w:sz w:val="19"/>
          <w:szCs w:val="19"/>
          <w:lang w:val="es-ES"/>
        </w:rPr>
        <w:t>»Los términos de referencia de las convocatorias deberán estructurarse a partir de las demandas territoriales incluidas en el plan bienal de convocatorias y establecer las condiciones de participación, las cuales contendrán, como mínimo: (i) las entidades a las que se dirige, (ii) las características de los proyectos de inversión, (iii) los montos o rangos de financiación y (iv) los criterios de evaluación y el cronograma. Los criterios de evaluación tendrán en cuenta la investigación y la innovación que promuevan el desarrollo regional.</w:t>
      </w:r>
    </w:p>
    <w:p w14:paraId="50F4D07E" w14:textId="77777777" w:rsidR="00885E41" w:rsidRPr="00507B79" w:rsidRDefault="00885E41" w:rsidP="00885E41">
      <w:pPr>
        <w:pStyle w:val="Textonotapie"/>
        <w:ind w:firstLine="709"/>
        <w:jc w:val="both"/>
        <w:rPr>
          <w:rFonts w:ascii="Arial" w:hAnsi="Arial" w:cs="Arial"/>
          <w:sz w:val="19"/>
          <w:szCs w:val="19"/>
          <w:lang w:val="es-CO"/>
        </w:rPr>
      </w:pPr>
      <w:r w:rsidRPr="00507B79">
        <w:rPr>
          <w:rFonts w:ascii="Arial" w:hAnsi="Arial" w:cs="Arial"/>
          <w:sz w:val="19"/>
          <w:szCs w:val="19"/>
          <w:lang w:val="es-ES"/>
        </w:rPr>
        <w:t>»PARÁGRAFO. Hasta tanto se implementen los ejercicios de planeación a los que se refiere el presente artículo, los Planes y Acuerdos Departamentales en Ciencia, Tecnología e Innovación (PAED) permanecerán vigentes».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44CB" w14:textId="77777777" w:rsidR="00387886" w:rsidRDefault="009E0734">
    <w:pPr>
      <w:pStyle w:val="Encabezado"/>
    </w:pPr>
    <w:r>
      <w:rPr>
        <w:noProof/>
        <w:lang w:eastAsia="es-CO"/>
      </w:rPr>
      <w:drawing>
        <wp:anchor distT="0" distB="0" distL="114300" distR="114300" simplePos="0" relativeHeight="251659264" behindDoc="1" locked="0" layoutInCell="1" allowOverlap="1" wp14:anchorId="5538C913" wp14:editId="7E86B1AB">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9515A"/>
    <w:multiLevelType w:val="hybridMultilevel"/>
    <w:tmpl w:val="6660DD78"/>
    <w:lvl w:ilvl="0" w:tplc="E47C0BC2">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04770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41"/>
    <w:rsid w:val="00013F1A"/>
    <w:rsid w:val="00031F44"/>
    <w:rsid w:val="00067C5E"/>
    <w:rsid w:val="00086DE3"/>
    <w:rsid w:val="000B7503"/>
    <w:rsid w:val="001425C6"/>
    <w:rsid w:val="001744B1"/>
    <w:rsid w:val="00181A0F"/>
    <w:rsid w:val="001A5C14"/>
    <w:rsid w:val="001B4240"/>
    <w:rsid w:val="001D7C72"/>
    <w:rsid w:val="00227449"/>
    <w:rsid w:val="00232C60"/>
    <w:rsid w:val="00241EA7"/>
    <w:rsid w:val="00273CB0"/>
    <w:rsid w:val="00287BFF"/>
    <w:rsid w:val="002C7BDA"/>
    <w:rsid w:val="002D5187"/>
    <w:rsid w:val="002E219A"/>
    <w:rsid w:val="002F5A85"/>
    <w:rsid w:val="0030554F"/>
    <w:rsid w:val="00313EB6"/>
    <w:rsid w:val="00344BEB"/>
    <w:rsid w:val="00356675"/>
    <w:rsid w:val="00376729"/>
    <w:rsid w:val="003C55F5"/>
    <w:rsid w:val="003F4EF2"/>
    <w:rsid w:val="004159C2"/>
    <w:rsid w:val="004538BA"/>
    <w:rsid w:val="00465466"/>
    <w:rsid w:val="004A3BE4"/>
    <w:rsid w:val="004A4D63"/>
    <w:rsid w:val="005229A4"/>
    <w:rsid w:val="005A3892"/>
    <w:rsid w:val="005A6B7C"/>
    <w:rsid w:val="005D4233"/>
    <w:rsid w:val="005F4C2F"/>
    <w:rsid w:val="006B5CE3"/>
    <w:rsid w:val="006C4ED7"/>
    <w:rsid w:val="00711947"/>
    <w:rsid w:val="00735DC6"/>
    <w:rsid w:val="00757397"/>
    <w:rsid w:val="00760617"/>
    <w:rsid w:val="007E57B2"/>
    <w:rsid w:val="008064E3"/>
    <w:rsid w:val="00885E41"/>
    <w:rsid w:val="0089207B"/>
    <w:rsid w:val="008A49FD"/>
    <w:rsid w:val="008E00B4"/>
    <w:rsid w:val="00974BAD"/>
    <w:rsid w:val="00987DB2"/>
    <w:rsid w:val="009C275E"/>
    <w:rsid w:val="009E03D9"/>
    <w:rsid w:val="009E0734"/>
    <w:rsid w:val="009F0825"/>
    <w:rsid w:val="00A5071F"/>
    <w:rsid w:val="00A92BE3"/>
    <w:rsid w:val="00A94C5E"/>
    <w:rsid w:val="00AB7E82"/>
    <w:rsid w:val="00B6401A"/>
    <w:rsid w:val="00BF59DB"/>
    <w:rsid w:val="00C57EB0"/>
    <w:rsid w:val="00C610E4"/>
    <w:rsid w:val="00C81C0B"/>
    <w:rsid w:val="00C905B5"/>
    <w:rsid w:val="00CE43F3"/>
    <w:rsid w:val="00D64310"/>
    <w:rsid w:val="00DD6CE6"/>
    <w:rsid w:val="00E03D49"/>
    <w:rsid w:val="00E27679"/>
    <w:rsid w:val="00E56A41"/>
    <w:rsid w:val="00ED7F10"/>
    <w:rsid w:val="00EE1745"/>
    <w:rsid w:val="00EE5923"/>
    <w:rsid w:val="00F03A5F"/>
    <w:rsid w:val="00FB347B"/>
    <w:rsid w:val="00FC5CC1"/>
    <w:rsid w:val="00FC7A0C"/>
    <w:rsid w:val="00FF21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5589"/>
  <w15:chartTrackingRefBased/>
  <w15:docId w15:val="{4C49EF34-5DC6-4393-A2BB-F7CDC08E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E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5E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5E41"/>
  </w:style>
  <w:style w:type="paragraph" w:styleId="Piedepgina">
    <w:name w:val="footer"/>
    <w:basedOn w:val="Normal"/>
    <w:link w:val="PiedepginaCar"/>
    <w:uiPriority w:val="99"/>
    <w:unhideWhenUsed/>
    <w:rsid w:val="00885E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5E41"/>
  </w:style>
  <w:style w:type="paragraph" w:styleId="Sinespaciado">
    <w:name w:val="No Spacing"/>
    <w:uiPriority w:val="1"/>
    <w:qFormat/>
    <w:rsid w:val="00885E41"/>
    <w:pPr>
      <w:spacing w:after="0" w:line="240" w:lineRule="auto"/>
    </w:pPr>
  </w:style>
  <w:style w:type="paragraph" w:styleId="NormalWeb">
    <w:name w:val="Normal (Web)"/>
    <w:basedOn w:val="Normal"/>
    <w:link w:val="NormalWebCar"/>
    <w:uiPriority w:val="99"/>
    <w:unhideWhenUsed/>
    <w:rsid w:val="00885E41"/>
    <w:rPr>
      <w:rFonts w:ascii="Times New Roman" w:hAnsi="Times New Roman" w:cs="Times New Roman"/>
      <w:sz w:val="24"/>
      <w:szCs w:val="24"/>
    </w:rPr>
  </w:style>
  <w:style w:type="table" w:styleId="Tablaconcuadrcula">
    <w:name w:val="Table Grid"/>
    <w:basedOn w:val="Tablanormal"/>
    <w:uiPriority w:val="59"/>
    <w:qFormat/>
    <w:rsid w:val="0088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85E4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85E41"/>
    <w:pPr>
      <w:spacing w:after="0" w:line="240" w:lineRule="auto"/>
    </w:pPr>
    <w:rPr>
      <w:sz w:val="20"/>
      <w:szCs w:val="20"/>
      <w:lang w:val="es-MX"/>
    </w:rPr>
  </w:style>
  <w:style w:type="character" w:customStyle="1" w:styleId="TextonotapieCar1">
    <w:name w:val="Texto nota pie Car1"/>
    <w:basedOn w:val="Fuentedeprrafopredeter"/>
    <w:uiPriority w:val="99"/>
    <w:semiHidden/>
    <w:rsid w:val="00885E41"/>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885E41"/>
    <w:rPr>
      <w:vertAlign w:val="superscript"/>
    </w:rPr>
  </w:style>
  <w:style w:type="paragraph" w:customStyle="1" w:styleId="Appelnotedebasde">
    <w:name w:val="Appel note de bas de..."/>
    <w:basedOn w:val="Normal"/>
    <w:link w:val="Refdenotaalpie"/>
    <w:uiPriority w:val="99"/>
    <w:rsid w:val="00885E41"/>
    <w:pPr>
      <w:spacing w:line="240" w:lineRule="exact"/>
    </w:pPr>
    <w:rPr>
      <w:vertAlign w:val="superscript"/>
    </w:rPr>
  </w:style>
  <w:style w:type="character" w:customStyle="1" w:styleId="baj">
    <w:name w:val="b_aj"/>
    <w:basedOn w:val="Fuentedeprrafopredeter"/>
    <w:rsid w:val="00885E41"/>
  </w:style>
  <w:style w:type="character" w:customStyle="1" w:styleId="NormalWebCar">
    <w:name w:val="Normal (Web) Car"/>
    <w:link w:val="NormalWeb"/>
    <w:uiPriority w:val="99"/>
    <w:rsid w:val="00885E41"/>
    <w:rPr>
      <w:rFonts w:ascii="Times New Roman" w:hAnsi="Times New Roman" w:cs="Times New Roman"/>
      <w:sz w:val="24"/>
      <w:szCs w:val="24"/>
    </w:rPr>
  </w:style>
  <w:style w:type="paragraph" w:styleId="Prrafodelista">
    <w:name w:val="List Paragraph"/>
    <w:basedOn w:val="Normal"/>
    <w:uiPriority w:val="34"/>
    <w:qFormat/>
    <w:rsid w:val="00885E41"/>
    <w:pPr>
      <w:ind w:left="720"/>
      <w:contextualSpacing/>
    </w:pPr>
  </w:style>
  <w:style w:type="paragraph" w:styleId="Revisin">
    <w:name w:val="Revision"/>
    <w:hidden/>
    <w:uiPriority w:val="99"/>
    <w:semiHidden/>
    <w:rsid w:val="002E219A"/>
    <w:pPr>
      <w:spacing w:after="0" w:line="240" w:lineRule="auto"/>
    </w:pPr>
  </w:style>
  <w:style w:type="character" w:styleId="Refdecomentario">
    <w:name w:val="annotation reference"/>
    <w:basedOn w:val="Fuentedeprrafopredeter"/>
    <w:uiPriority w:val="99"/>
    <w:semiHidden/>
    <w:unhideWhenUsed/>
    <w:rsid w:val="00227449"/>
    <w:rPr>
      <w:sz w:val="16"/>
      <w:szCs w:val="16"/>
    </w:rPr>
  </w:style>
  <w:style w:type="paragraph" w:styleId="Textocomentario">
    <w:name w:val="annotation text"/>
    <w:basedOn w:val="Normal"/>
    <w:link w:val="TextocomentarioCar"/>
    <w:uiPriority w:val="99"/>
    <w:semiHidden/>
    <w:unhideWhenUsed/>
    <w:rsid w:val="002274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7449"/>
    <w:rPr>
      <w:sz w:val="20"/>
      <w:szCs w:val="20"/>
    </w:rPr>
  </w:style>
  <w:style w:type="paragraph" w:styleId="Asuntodelcomentario">
    <w:name w:val="annotation subject"/>
    <w:basedOn w:val="Textocomentario"/>
    <w:next w:val="Textocomentario"/>
    <w:link w:val="AsuntodelcomentarioCar"/>
    <w:uiPriority w:val="99"/>
    <w:semiHidden/>
    <w:unhideWhenUsed/>
    <w:rsid w:val="00227449"/>
    <w:rPr>
      <w:b/>
      <w:bCs/>
    </w:rPr>
  </w:style>
  <w:style w:type="character" w:customStyle="1" w:styleId="AsuntodelcomentarioCar">
    <w:name w:val="Asunto del comentario Car"/>
    <w:basedOn w:val="TextocomentarioCar"/>
    <w:link w:val="Asuntodelcomentario"/>
    <w:uiPriority w:val="99"/>
    <w:semiHidden/>
    <w:rsid w:val="002274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FECAFB1-A694-4D5C-9F12-F2C4075AC28D}">
  <ds:schemaRefs>
    <ds:schemaRef ds:uri="http://schemas.openxmlformats.org/officeDocument/2006/bibliography"/>
  </ds:schemaRefs>
</ds:datastoreItem>
</file>

<file path=customXml/itemProps2.xml><?xml version="1.0" encoding="utf-8"?>
<ds:datastoreItem xmlns:ds="http://schemas.openxmlformats.org/officeDocument/2006/customXml" ds:itemID="{B61E9C96-2D1B-4AE6-A01E-050E84289A2C}"/>
</file>

<file path=customXml/itemProps3.xml><?xml version="1.0" encoding="utf-8"?>
<ds:datastoreItem xmlns:ds="http://schemas.openxmlformats.org/officeDocument/2006/customXml" ds:itemID="{BC098244-20DC-471A-9BE6-300313B4E43E}"/>
</file>

<file path=customXml/itemProps4.xml><?xml version="1.0" encoding="utf-8"?>
<ds:datastoreItem xmlns:ds="http://schemas.openxmlformats.org/officeDocument/2006/customXml" ds:itemID="{5FC28E07-FA49-46B6-BF9A-0595365918F0}"/>
</file>

<file path=docProps/app.xml><?xml version="1.0" encoding="utf-8"?>
<Properties xmlns="http://schemas.openxmlformats.org/officeDocument/2006/extended-properties" xmlns:vt="http://schemas.openxmlformats.org/officeDocument/2006/docPropsVTypes">
  <Template>Normal</Template>
  <TotalTime>34</TotalTime>
  <Pages>26</Pages>
  <Words>9271</Words>
  <Characters>50991</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Carlos Mario Castrillon Endo</cp:lastModifiedBy>
  <cp:revision>10</cp:revision>
  <dcterms:created xsi:type="dcterms:W3CDTF">2022-04-07T01:26:00Z</dcterms:created>
  <dcterms:modified xsi:type="dcterms:W3CDTF">2022-04-07T15:37:00Z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