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14F0" w14:textId="79D2EBBF" w:rsidR="006C6818" w:rsidRPr="00CE4FFE" w:rsidRDefault="006C6818" w:rsidP="006C6818">
      <w:pPr>
        <w:tabs>
          <w:tab w:val="left" w:pos="426"/>
        </w:tabs>
        <w:spacing w:after="0" w:line="240" w:lineRule="auto"/>
        <w:contextualSpacing/>
        <w:jc w:val="both"/>
        <w:rPr>
          <w:rFonts w:ascii="Arial" w:eastAsia="Calibri" w:hAnsi="Arial" w:cs="Arial"/>
          <w:b/>
          <w:bCs/>
          <w:lang w:val="es-MX"/>
        </w:rPr>
      </w:pPr>
      <w:r w:rsidRPr="00CE4FFE">
        <w:rPr>
          <w:rFonts w:ascii="Arial" w:eastAsia="Calibri" w:hAnsi="Arial" w:cs="Arial"/>
          <w:b/>
          <w:bCs/>
          <w:lang w:val="es-MX"/>
        </w:rPr>
        <w:t>LEY DE GARANTÍAS ELECTORALES ‒ Finalidad</w:t>
      </w:r>
    </w:p>
    <w:p w14:paraId="790120C9" w14:textId="77777777" w:rsidR="006C6818" w:rsidRPr="00761F89" w:rsidRDefault="006C6818" w:rsidP="006C6818">
      <w:pPr>
        <w:tabs>
          <w:tab w:val="left" w:pos="426"/>
        </w:tabs>
        <w:spacing w:after="0" w:line="240" w:lineRule="auto"/>
        <w:contextualSpacing/>
        <w:jc w:val="both"/>
        <w:rPr>
          <w:rFonts w:ascii="Arial" w:eastAsia="Calibri" w:hAnsi="Arial" w:cs="Arial"/>
          <w:sz w:val="20"/>
          <w:szCs w:val="20"/>
          <w:lang w:val="es-MX"/>
        </w:rPr>
      </w:pPr>
    </w:p>
    <w:p w14:paraId="3B53CAE9"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761F89">
        <w:rPr>
          <w:rFonts w:ascii="Arial" w:eastAsia="Calibri" w:hAnsi="Arial" w:cs="Arial"/>
          <w:sz w:val="20"/>
          <w:szCs w:val="20"/>
          <w:lang w:val="es-MX"/>
        </w:rPr>
        <w:t xml:space="preserve">[…] </w:t>
      </w:r>
      <w:r w:rsidRPr="00AB62AA">
        <w:rPr>
          <w:rFonts w:ascii="Arial" w:eastAsia="Calibri" w:hAnsi="Arial" w:cs="Arial"/>
          <w:sz w:val="20"/>
          <w:szCs w:val="20"/>
          <w:lang w:val="es-MX"/>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189C2B48" w14:textId="77777777" w:rsidR="006C6818" w:rsidRPr="00761F89" w:rsidRDefault="006C6818" w:rsidP="006C6818">
      <w:pPr>
        <w:tabs>
          <w:tab w:val="left" w:pos="426"/>
        </w:tabs>
        <w:spacing w:after="0" w:line="240" w:lineRule="auto"/>
        <w:contextualSpacing/>
        <w:jc w:val="both"/>
        <w:rPr>
          <w:rFonts w:ascii="Arial" w:eastAsia="Calibri" w:hAnsi="Arial" w:cs="Arial"/>
          <w:sz w:val="20"/>
          <w:szCs w:val="20"/>
          <w:lang w:val="es-MX"/>
        </w:rPr>
      </w:pPr>
    </w:p>
    <w:p w14:paraId="3A352C71" w14:textId="77777777" w:rsidR="006C6818" w:rsidRPr="00CE4FFE" w:rsidRDefault="006C6818" w:rsidP="006C6818">
      <w:pPr>
        <w:tabs>
          <w:tab w:val="left" w:pos="426"/>
        </w:tabs>
        <w:spacing w:after="0" w:line="240" w:lineRule="auto"/>
        <w:contextualSpacing/>
        <w:jc w:val="both"/>
        <w:rPr>
          <w:rFonts w:ascii="Arial" w:eastAsia="Calibri" w:hAnsi="Arial" w:cs="Arial"/>
          <w:b/>
          <w:bCs/>
          <w:lang w:val="es-MX"/>
        </w:rPr>
      </w:pPr>
      <w:r w:rsidRPr="00CE4FFE">
        <w:rPr>
          <w:rFonts w:ascii="Arial" w:eastAsia="Calibri" w:hAnsi="Arial" w:cs="Arial"/>
          <w:b/>
          <w:bCs/>
          <w:lang w:val="es-MX"/>
        </w:rPr>
        <w:t xml:space="preserve">LEY DE GARANTÍAS ‒ Tipos de restricciones </w:t>
      </w:r>
      <w:bookmarkStart w:id="0" w:name="_Hlk77157034"/>
      <w:r w:rsidRPr="00CE4FFE">
        <w:rPr>
          <w:rFonts w:ascii="Arial" w:eastAsia="Calibri" w:hAnsi="Arial" w:cs="Arial"/>
          <w:b/>
          <w:bCs/>
          <w:lang w:val="es-MX"/>
        </w:rPr>
        <w:t xml:space="preserve">‒ </w:t>
      </w:r>
      <w:bookmarkStart w:id="1" w:name="_Hlk77153098"/>
      <w:bookmarkEnd w:id="0"/>
      <w:r w:rsidRPr="00CE4FFE">
        <w:rPr>
          <w:rFonts w:ascii="Arial" w:eastAsia="Calibri" w:hAnsi="Arial" w:cs="Arial"/>
          <w:b/>
          <w:bCs/>
          <w:lang w:val="es-MX"/>
        </w:rPr>
        <w:t xml:space="preserve">Ámbito temporal </w:t>
      </w:r>
      <w:bookmarkEnd w:id="1"/>
    </w:p>
    <w:p w14:paraId="24F6C93D" w14:textId="77777777" w:rsidR="006C6818" w:rsidRPr="00761F89" w:rsidRDefault="006C6818" w:rsidP="006C6818">
      <w:pPr>
        <w:tabs>
          <w:tab w:val="left" w:pos="426"/>
        </w:tabs>
        <w:spacing w:after="0" w:line="240" w:lineRule="auto"/>
        <w:contextualSpacing/>
        <w:jc w:val="both"/>
        <w:rPr>
          <w:rFonts w:ascii="Arial" w:eastAsia="Calibri" w:hAnsi="Arial" w:cs="Arial"/>
          <w:b/>
          <w:bCs/>
          <w:sz w:val="20"/>
          <w:szCs w:val="20"/>
          <w:lang w:val="es-MX"/>
        </w:rPr>
      </w:pPr>
    </w:p>
    <w:p w14:paraId="2A92E900"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r w:rsidRPr="00761F89">
        <w:rPr>
          <w:rFonts w:ascii="Arial" w:eastAsia="Calibri" w:hAnsi="Arial" w:cs="Arial"/>
          <w:sz w:val="20"/>
          <w:szCs w:val="20"/>
          <w:lang w:val="es-MX"/>
        </w:rPr>
        <w:t xml:space="preserve">[…] </w:t>
      </w:r>
      <w:r w:rsidRPr="00AB62AA">
        <w:rPr>
          <w:rFonts w:ascii="Arial" w:eastAsia="Calibri" w:hAnsi="Arial" w:cs="Arial"/>
          <w:sz w:val="20"/>
          <w:szCs w:val="20"/>
          <w:lang w:val="es-MX"/>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101758C"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p>
    <w:p w14:paraId="10075FD1"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AB62AA">
        <w:rPr>
          <w:rFonts w:ascii="Arial" w:eastAsia="Calibri" w:hAnsi="Arial" w:cs="Arial"/>
          <w:sz w:val="20"/>
          <w:szCs w:val="20"/>
          <w:lang w:val="es-MX"/>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05F3943E"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p>
    <w:p w14:paraId="6C8AD4A7" w14:textId="77777777" w:rsidR="006C6818" w:rsidRPr="00761F89" w:rsidRDefault="006C6818" w:rsidP="006C6818">
      <w:pPr>
        <w:tabs>
          <w:tab w:val="left" w:pos="426"/>
        </w:tabs>
        <w:spacing w:after="0" w:line="240" w:lineRule="auto"/>
        <w:contextualSpacing/>
        <w:jc w:val="both"/>
        <w:rPr>
          <w:rFonts w:ascii="Arial" w:eastAsia="Calibri" w:hAnsi="Arial" w:cs="Arial"/>
          <w:b/>
          <w:bCs/>
          <w:lang w:val="es-MX"/>
        </w:rPr>
      </w:pPr>
      <w:bookmarkStart w:id="2" w:name="_Hlk77165666"/>
      <w:r w:rsidRPr="00761F89">
        <w:rPr>
          <w:rFonts w:ascii="Arial" w:eastAsia="Calibri" w:hAnsi="Arial" w:cs="Arial"/>
          <w:b/>
          <w:bCs/>
          <w:lang w:val="es-MX"/>
        </w:rPr>
        <w:t xml:space="preserve">LEY DE GARANTÍAS ELECTORALES ─ Prohibición ‒ </w:t>
      </w:r>
      <w:bookmarkEnd w:id="2"/>
      <w:r w:rsidRPr="00761F89">
        <w:rPr>
          <w:rFonts w:ascii="Arial" w:eastAsia="Calibri" w:hAnsi="Arial" w:cs="Arial"/>
          <w:b/>
          <w:bCs/>
          <w:lang w:val="es-MX"/>
        </w:rPr>
        <w:t>Contratación directa ‒ Alcance</w:t>
      </w:r>
    </w:p>
    <w:p w14:paraId="250D0B79" w14:textId="77777777" w:rsidR="006C6818" w:rsidRPr="00761F89" w:rsidRDefault="006C6818" w:rsidP="006C6818">
      <w:pPr>
        <w:tabs>
          <w:tab w:val="left" w:pos="426"/>
        </w:tabs>
        <w:spacing w:after="0" w:line="240" w:lineRule="auto"/>
        <w:contextualSpacing/>
        <w:jc w:val="both"/>
        <w:rPr>
          <w:rFonts w:ascii="Arial" w:eastAsia="Calibri" w:hAnsi="Arial" w:cs="Arial"/>
          <w:noProof/>
          <w:sz w:val="20"/>
          <w:szCs w:val="20"/>
          <w:lang w:val="es-MX"/>
        </w:rPr>
      </w:pPr>
    </w:p>
    <w:p w14:paraId="007DDDBA"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r w:rsidRPr="00761F89">
        <w:rPr>
          <w:rFonts w:ascii="Arial" w:eastAsia="Calibri" w:hAnsi="Arial" w:cs="Arial"/>
          <w:sz w:val="20"/>
          <w:szCs w:val="20"/>
          <w:lang w:val="es-MX"/>
        </w:rPr>
        <w:t xml:space="preserve">[…] </w:t>
      </w:r>
      <w:r w:rsidRPr="00AB62AA">
        <w:rPr>
          <w:rFonts w:ascii="Arial" w:eastAsia="Calibri" w:hAnsi="Arial" w:cs="Arial"/>
          <w:sz w:val="20"/>
          <w:szCs w:val="20"/>
          <w:lang w:val="es-MX"/>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77AFE7F5"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AB62AA">
        <w:rPr>
          <w:rFonts w:ascii="Arial" w:eastAsia="Calibri" w:hAnsi="Arial" w:cs="Arial"/>
          <w:sz w:val="20"/>
          <w:szCs w:val="20"/>
          <w:lang w:val="es-MX"/>
        </w:rPr>
        <w:t xml:space="preserve"> </w:t>
      </w:r>
    </w:p>
    <w:p w14:paraId="32629579"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AB62AA">
        <w:rPr>
          <w:rFonts w:ascii="Arial" w:eastAsia="Calibri" w:hAnsi="Arial" w:cs="Arial"/>
          <w:sz w:val="20"/>
          <w:szCs w:val="20"/>
          <w:lang w:val="es-MX"/>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estas modalidades. </w:t>
      </w:r>
    </w:p>
    <w:p w14:paraId="0B0CFE87" w14:textId="77777777" w:rsidR="006C6818" w:rsidRPr="00F12097" w:rsidRDefault="006C6818" w:rsidP="006C6818">
      <w:pPr>
        <w:tabs>
          <w:tab w:val="left" w:pos="426"/>
        </w:tabs>
        <w:spacing w:after="0" w:line="240" w:lineRule="auto"/>
        <w:contextualSpacing/>
        <w:jc w:val="both"/>
        <w:rPr>
          <w:rFonts w:ascii="Arial" w:eastAsia="Times New Roman" w:hAnsi="Arial" w:cs="Arial"/>
          <w:color w:val="FF0000"/>
          <w:sz w:val="20"/>
          <w:szCs w:val="20"/>
          <w:highlight w:val="yellow"/>
          <w:lang w:eastAsia="es-CO"/>
        </w:rPr>
      </w:pPr>
    </w:p>
    <w:p w14:paraId="0C8D4408" w14:textId="77777777" w:rsidR="006C6818" w:rsidRPr="00407FDB" w:rsidRDefault="006C6818" w:rsidP="006C6818">
      <w:pPr>
        <w:tabs>
          <w:tab w:val="left" w:pos="426"/>
        </w:tabs>
        <w:spacing w:after="0" w:line="240" w:lineRule="auto"/>
        <w:contextualSpacing/>
        <w:jc w:val="both"/>
        <w:rPr>
          <w:rFonts w:ascii="Arial" w:eastAsia="Calibri" w:hAnsi="Arial" w:cs="Arial"/>
          <w:b/>
          <w:bCs/>
          <w:lang w:val="es-MX"/>
        </w:rPr>
      </w:pPr>
      <w:r w:rsidRPr="00407FDB">
        <w:rPr>
          <w:rFonts w:ascii="Arial" w:eastAsia="Calibri" w:hAnsi="Arial" w:cs="Arial"/>
          <w:b/>
          <w:bCs/>
          <w:lang w:val="es-MX"/>
        </w:rPr>
        <w:t xml:space="preserve">LEY DE GARANTÍAS ELECTORALES ─ </w:t>
      </w:r>
      <w:r w:rsidRPr="00407FDB">
        <w:rPr>
          <w:rFonts w:ascii="Arial" w:eastAsia="Times New Roman" w:hAnsi="Arial" w:cs="Arial"/>
          <w:b/>
          <w:bCs/>
          <w:lang w:eastAsia="es-CO"/>
        </w:rPr>
        <w:t>Excepciones</w:t>
      </w:r>
      <w:r w:rsidRPr="00407FDB">
        <w:rPr>
          <w:rFonts w:ascii="Arial" w:eastAsia="Calibri" w:hAnsi="Arial" w:cs="Arial"/>
          <w:b/>
          <w:bCs/>
          <w:lang w:val="es-MX"/>
        </w:rPr>
        <w:t xml:space="preserve"> </w:t>
      </w:r>
    </w:p>
    <w:p w14:paraId="2277A938" w14:textId="77777777" w:rsidR="006C6818" w:rsidRPr="00F12097" w:rsidRDefault="006C6818" w:rsidP="006C6818">
      <w:pPr>
        <w:shd w:val="clear" w:color="auto" w:fill="FFFFFF"/>
        <w:spacing w:after="0" w:line="240" w:lineRule="auto"/>
        <w:contextualSpacing/>
        <w:jc w:val="both"/>
        <w:rPr>
          <w:rFonts w:ascii="Arial" w:eastAsia="Times New Roman" w:hAnsi="Arial" w:cs="Arial"/>
          <w:color w:val="FF0000"/>
          <w:sz w:val="20"/>
          <w:szCs w:val="20"/>
          <w:highlight w:val="yellow"/>
          <w:lang w:eastAsia="es-CO"/>
        </w:rPr>
      </w:pPr>
    </w:p>
    <w:p w14:paraId="63A399AA"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407FDB">
        <w:rPr>
          <w:rFonts w:ascii="Arial" w:eastAsia="Calibri" w:hAnsi="Arial" w:cs="Arial"/>
          <w:sz w:val="20"/>
          <w:szCs w:val="20"/>
          <w:lang w:val="es-MX"/>
        </w:rPr>
        <w:lastRenderedPageBreak/>
        <w:t xml:space="preserve">[…] </w:t>
      </w:r>
      <w:r w:rsidRPr="00AB62AA">
        <w:rPr>
          <w:rFonts w:ascii="Arial" w:eastAsia="Calibri" w:hAnsi="Arial" w:cs="Arial"/>
          <w:sz w:val="20"/>
          <w:szCs w:val="20"/>
          <w:lang w:val="es-MX"/>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AB62AA">
        <w:rPr>
          <w:rFonts w:ascii="Arial" w:eastAsia="Calibri" w:hAnsi="Arial" w:cs="Arial"/>
          <w:sz w:val="20"/>
          <w:szCs w:val="20"/>
          <w:lang w:val="es-MX"/>
        </w:rPr>
        <w:t>ii</w:t>
      </w:r>
      <w:proofErr w:type="spellEnd"/>
      <w:r w:rsidRPr="00AB62AA">
        <w:rPr>
          <w:rFonts w:ascii="Arial" w:eastAsia="Calibri" w:hAnsi="Arial" w:cs="Arial"/>
          <w:sz w:val="20"/>
          <w:szCs w:val="20"/>
          <w:lang w:val="es-MX"/>
        </w:rPr>
        <w:t xml:space="preserve">) los contratos de crédito público; </w:t>
      </w:r>
      <w:proofErr w:type="spellStart"/>
      <w:r w:rsidRPr="00AB62AA">
        <w:rPr>
          <w:rFonts w:ascii="Arial" w:eastAsia="Calibri" w:hAnsi="Arial" w:cs="Arial"/>
          <w:sz w:val="20"/>
          <w:szCs w:val="20"/>
          <w:lang w:val="es-MX"/>
        </w:rPr>
        <w:t>iii</w:t>
      </w:r>
      <w:proofErr w:type="spellEnd"/>
      <w:r w:rsidRPr="00AB62AA">
        <w:rPr>
          <w:rFonts w:ascii="Arial" w:eastAsia="Calibri" w:hAnsi="Arial" w:cs="Arial"/>
          <w:sz w:val="20"/>
          <w:szCs w:val="20"/>
          <w:lang w:val="es-MX"/>
        </w:rPr>
        <w:t xml:space="preserve">) los requeridos para cubrir las emergencias educativas, sanitarias y desastres; </w:t>
      </w:r>
      <w:proofErr w:type="spellStart"/>
      <w:r w:rsidRPr="00AB62AA">
        <w:rPr>
          <w:rFonts w:ascii="Arial" w:eastAsia="Calibri" w:hAnsi="Arial" w:cs="Arial"/>
          <w:sz w:val="20"/>
          <w:szCs w:val="20"/>
          <w:lang w:val="es-MX"/>
        </w:rPr>
        <w:t>iv</w:t>
      </w:r>
      <w:proofErr w:type="spellEnd"/>
      <w:r w:rsidRPr="00AB62AA">
        <w:rPr>
          <w:rFonts w:ascii="Arial" w:eastAsia="Calibri" w:hAnsi="Arial" w:cs="Arial"/>
          <w:sz w:val="20"/>
          <w:szCs w:val="20"/>
          <w:lang w:val="es-MX"/>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64B042C" w14:textId="77777777" w:rsidR="006C6818" w:rsidRPr="008379A0" w:rsidRDefault="006C6818" w:rsidP="006C6818">
      <w:pPr>
        <w:tabs>
          <w:tab w:val="left" w:pos="426"/>
        </w:tabs>
        <w:spacing w:after="0" w:line="240" w:lineRule="auto"/>
        <w:contextualSpacing/>
        <w:jc w:val="both"/>
        <w:rPr>
          <w:rFonts w:ascii="Arial" w:eastAsia="Calibri" w:hAnsi="Arial" w:cs="Arial"/>
          <w:noProof/>
          <w:sz w:val="20"/>
          <w:szCs w:val="20"/>
        </w:rPr>
      </w:pPr>
    </w:p>
    <w:p w14:paraId="56EBD7A9" w14:textId="77777777" w:rsidR="006C6818" w:rsidRPr="00CE4FFE" w:rsidRDefault="006C6818" w:rsidP="006C6818">
      <w:pPr>
        <w:spacing w:after="0" w:line="240" w:lineRule="auto"/>
        <w:contextualSpacing/>
        <w:jc w:val="both"/>
        <w:rPr>
          <w:rFonts w:ascii="Arial" w:eastAsia="Times New Roman" w:hAnsi="Arial" w:cs="Arial"/>
          <w:b/>
          <w:lang w:val="es-ES" w:eastAsia="es-CO"/>
        </w:rPr>
      </w:pPr>
      <w:r w:rsidRPr="00CE4FFE">
        <w:rPr>
          <w:rFonts w:ascii="Arial" w:eastAsia="Times New Roman" w:hAnsi="Arial" w:cs="Arial"/>
          <w:b/>
          <w:bCs/>
          <w:lang w:eastAsia="es-CO"/>
        </w:rPr>
        <w:t xml:space="preserve">LEY DE GARANTÍAS ELECTORALES </w:t>
      </w:r>
      <w:bookmarkStart w:id="3" w:name="_Hlk77166669"/>
      <w:r w:rsidRPr="00CE4FFE">
        <w:rPr>
          <w:rFonts w:ascii="Arial" w:eastAsia="Times New Roman" w:hAnsi="Arial" w:cs="Arial"/>
          <w:b/>
          <w:bCs/>
          <w:lang w:eastAsia="es-CO"/>
        </w:rPr>
        <w:t>‒</w:t>
      </w:r>
      <w:bookmarkEnd w:id="3"/>
      <w:r w:rsidRPr="00CE4FFE">
        <w:rPr>
          <w:rFonts w:ascii="Arial" w:eastAsia="Times New Roman" w:hAnsi="Arial" w:cs="Arial"/>
          <w:b/>
          <w:bCs/>
          <w:lang w:eastAsia="es-CO"/>
        </w:rPr>
        <w:t xml:space="preserve"> </w:t>
      </w:r>
      <w:r w:rsidRPr="00CE4FFE">
        <w:rPr>
          <w:rFonts w:ascii="Arial" w:eastAsia="Times New Roman" w:hAnsi="Arial" w:cs="Arial"/>
          <w:b/>
          <w:lang w:val="es-ES" w:eastAsia="es-CO"/>
        </w:rPr>
        <w:t xml:space="preserve">Prohibición del artículo 33 </w:t>
      </w:r>
      <w:r w:rsidRPr="00CE4FFE">
        <w:rPr>
          <w:rFonts w:ascii="Arial" w:eastAsia="Times New Roman" w:hAnsi="Arial" w:cs="Arial"/>
          <w:b/>
          <w:bCs/>
          <w:lang w:eastAsia="es-CO"/>
        </w:rPr>
        <w:t>‒ Destinatarios</w:t>
      </w:r>
    </w:p>
    <w:p w14:paraId="30BD59C5"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6B299934"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r w:rsidRPr="00AB62AA">
        <w:rPr>
          <w:rFonts w:ascii="Arial" w:eastAsia="Calibri" w:hAnsi="Arial" w:cs="Arial"/>
          <w:sz w:val="20"/>
          <w:szCs w:val="20"/>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5E75A66"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0783D44C" w14:textId="77777777" w:rsidR="006C6818" w:rsidRPr="00AB62AA" w:rsidRDefault="006C6818" w:rsidP="006C6818">
      <w:pPr>
        <w:tabs>
          <w:tab w:val="left" w:pos="426"/>
        </w:tabs>
        <w:spacing w:after="0" w:line="240" w:lineRule="auto"/>
        <w:contextualSpacing/>
        <w:jc w:val="both"/>
        <w:rPr>
          <w:rFonts w:ascii="Arial" w:eastAsia="Calibri" w:hAnsi="Arial" w:cs="Arial"/>
          <w:sz w:val="20"/>
          <w:szCs w:val="20"/>
          <w:lang w:val="es-MX"/>
        </w:rPr>
      </w:pPr>
      <w:r w:rsidRPr="00BB619C">
        <w:rPr>
          <w:rFonts w:ascii="Arial" w:eastAsia="Calibri" w:hAnsi="Arial" w:cs="Arial"/>
          <w:sz w:val="20"/>
          <w:szCs w:val="20"/>
          <w:lang w:val="es-MX"/>
        </w:rPr>
        <w:t xml:space="preserve">[…], </w:t>
      </w:r>
      <w:r w:rsidRPr="00AB62AA">
        <w:rPr>
          <w:rFonts w:ascii="Arial" w:eastAsia="Calibri" w:hAnsi="Arial" w:cs="Arial"/>
          <w:sz w:val="20"/>
          <w:szCs w:val="20"/>
          <w:lang w:val="es-MX"/>
        </w:rPr>
        <w:t>el segundo inciso del artículo 33 de la Ley de Garantías Electorales consagró las excepciones aplicables a la prohibición de contratación directa establecida en el mismo artículo, esto es, supuestos bajo los cuales no aplicaría la limitación analizada en el numeral 2.2 de este concepto.</w:t>
      </w:r>
    </w:p>
    <w:p w14:paraId="677427E5"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6E2B768C"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r w:rsidRPr="008379A0">
        <w:rPr>
          <w:rFonts w:ascii="Arial" w:eastAsia="Times New Roman" w:hAnsi="Arial" w:cs="Arial"/>
          <w:b/>
          <w:bCs/>
          <w:lang w:eastAsia="es-CO"/>
        </w:rPr>
        <w:t xml:space="preserve">LEY DE GARANTÍAS ELECTORALES ‒ </w:t>
      </w:r>
      <w:r w:rsidRPr="008379A0">
        <w:rPr>
          <w:rFonts w:ascii="Arial" w:eastAsia="Times New Roman" w:hAnsi="Arial" w:cs="Arial"/>
          <w:b/>
          <w:lang w:val="es-ES" w:eastAsia="es-CO"/>
        </w:rPr>
        <w:t>Prohibición del artículo 33</w:t>
      </w:r>
      <w:r>
        <w:rPr>
          <w:rFonts w:ascii="Arial" w:eastAsia="Times New Roman" w:hAnsi="Arial" w:cs="Arial"/>
          <w:b/>
          <w:lang w:val="es-ES" w:eastAsia="es-CO"/>
        </w:rPr>
        <w:t xml:space="preserve"> </w:t>
      </w:r>
      <w:r w:rsidRPr="008379A0">
        <w:rPr>
          <w:rFonts w:ascii="Arial" w:eastAsia="Times New Roman" w:hAnsi="Arial" w:cs="Arial"/>
          <w:b/>
          <w:bCs/>
          <w:lang w:eastAsia="es-CO"/>
        </w:rPr>
        <w:t>‒</w:t>
      </w:r>
      <w:r>
        <w:rPr>
          <w:rFonts w:ascii="Arial" w:eastAsia="Times New Roman" w:hAnsi="Arial" w:cs="Arial"/>
          <w:b/>
          <w:bCs/>
          <w:lang w:eastAsia="es-CO"/>
        </w:rPr>
        <w:t xml:space="preserve"> Excepciones </w:t>
      </w:r>
      <w:r w:rsidRPr="008379A0">
        <w:rPr>
          <w:rFonts w:ascii="Arial" w:eastAsia="Times New Roman" w:hAnsi="Arial" w:cs="Arial"/>
          <w:b/>
          <w:bCs/>
          <w:lang w:eastAsia="es-CO"/>
        </w:rPr>
        <w:t>‒</w:t>
      </w:r>
      <w:r>
        <w:rPr>
          <w:rFonts w:ascii="Arial" w:eastAsia="Times New Roman" w:hAnsi="Arial" w:cs="Arial"/>
          <w:b/>
          <w:bCs/>
          <w:lang w:eastAsia="es-CO"/>
        </w:rPr>
        <w:t xml:space="preserve"> </w:t>
      </w:r>
      <w:r w:rsidRPr="0042717D">
        <w:rPr>
          <w:rFonts w:ascii="Arial" w:eastAsia="Calibri" w:hAnsi="Arial" w:cs="Arial"/>
          <w:b/>
          <w:lang w:val="es-ES_tradnl"/>
        </w:rPr>
        <w:t>Empresas Sociales del Estado</w:t>
      </w:r>
    </w:p>
    <w:p w14:paraId="146FCA74"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1FB685B5" w14:textId="77777777" w:rsidR="006C6818" w:rsidRPr="00131612" w:rsidRDefault="006C6818" w:rsidP="006C6818">
      <w:pPr>
        <w:tabs>
          <w:tab w:val="left" w:pos="426"/>
        </w:tabs>
        <w:spacing w:after="0" w:line="240" w:lineRule="auto"/>
        <w:contextualSpacing/>
        <w:jc w:val="both"/>
        <w:rPr>
          <w:rFonts w:ascii="Arial" w:eastAsia="Calibri" w:hAnsi="Arial" w:cs="Arial"/>
          <w:sz w:val="20"/>
          <w:szCs w:val="20"/>
          <w:lang w:val="es-MX"/>
        </w:rPr>
      </w:pPr>
      <w:r w:rsidRPr="00BB619C">
        <w:rPr>
          <w:rFonts w:ascii="Arial" w:eastAsia="Calibri" w:hAnsi="Arial" w:cs="Arial"/>
          <w:sz w:val="20"/>
          <w:szCs w:val="20"/>
          <w:lang w:val="es-MX"/>
        </w:rPr>
        <w:t>[…],</w:t>
      </w:r>
      <w:r>
        <w:rPr>
          <w:rFonts w:ascii="Arial" w:eastAsia="Calibri" w:hAnsi="Arial" w:cs="Arial"/>
          <w:sz w:val="20"/>
          <w:szCs w:val="20"/>
          <w:lang w:val="es-MX"/>
        </w:rPr>
        <w:t xml:space="preserve"> </w:t>
      </w:r>
      <w:r w:rsidRPr="00131612">
        <w:rPr>
          <w:rFonts w:ascii="Arial" w:eastAsia="Calibri" w:hAnsi="Arial" w:cs="Arial"/>
          <w:sz w:val="20"/>
          <w:szCs w:val="20"/>
          <w:lang w:val="es-MX"/>
        </w:rPr>
        <w:t xml:space="preserve">es pertinente analizar el quinto evento exceptuado de la prohibición, relacionado con la contratación por parte de las entidades sanitarias y hospitalarias, para determinar si la excepción referida es aplicable a los contratos suscritos por las Empresas Sociales del Estado –ESE–. En este sentido, el artículo 94 de la Ley 100 de 1993 señaló que,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 </w:t>
      </w:r>
    </w:p>
    <w:p w14:paraId="383421C2"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42FFE160" w14:textId="77777777" w:rsidR="006C6818" w:rsidRPr="00131612" w:rsidRDefault="006C6818" w:rsidP="006C6818">
      <w:pPr>
        <w:tabs>
          <w:tab w:val="left" w:pos="426"/>
        </w:tabs>
        <w:spacing w:after="0" w:line="240" w:lineRule="auto"/>
        <w:contextualSpacing/>
        <w:jc w:val="both"/>
        <w:rPr>
          <w:rFonts w:ascii="Arial" w:eastAsia="Calibri" w:hAnsi="Arial" w:cs="Arial"/>
          <w:sz w:val="20"/>
          <w:szCs w:val="20"/>
          <w:lang w:val="es-MX"/>
        </w:rPr>
      </w:pPr>
      <w:r w:rsidRPr="00BB619C">
        <w:rPr>
          <w:rFonts w:ascii="Arial" w:eastAsia="Calibri" w:hAnsi="Arial" w:cs="Arial"/>
          <w:sz w:val="20"/>
          <w:szCs w:val="20"/>
          <w:lang w:val="es-MX"/>
        </w:rPr>
        <w:t>[…],</w:t>
      </w:r>
      <w:r>
        <w:rPr>
          <w:rFonts w:ascii="Arial" w:eastAsia="Calibri" w:hAnsi="Arial" w:cs="Arial"/>
          <w:sz w:val="20"/>
          <w:szCs w:val="20"/>
          <w:lang w:val="es-MX"/>
        </w:rPr>
        <w:t xml:space="preserve"> </w:t>
      </w:r>
      <w:r w:rsidRPr="00131612">
        <w:rPr>
          <w:rFonts w:ascii="Arial" w:eastAsia="Calibri" w:hAnsi="Arial" w:cs="Arial"/>
          <w:sz w:val="20"/>
          <w:szCs w:val="20"/>
          <w:lang w:val="es-MX"/>
        </w:rPr>
        <w:t xml:space="preserve">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6D75E7CE"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p>
    <w:p w14:paraId="5F4AB20F" w14:textId="77777777" w:rsidR="006C6818" w:rsidRPr="00131612" w:rsidRDefault="006C6818" w:rsidP="006C6818">
      <w:pPr>
        <w:tabs>
          <w:tab w:val="left" w:pos="426"/>
        </w:tabs>
        <w:spacing w:after="0" w:line="240" w:lineRule="auto"/>
        <w:contextualSpacing/>
        <w:jc w:val="both"/>
        <w:rPr>
          <w:rFonts w:ascii="Arial" w:eastAsia="Calibri" w:hAnsi="Arial" w:cs="Arial"/>
          <w:sz w:val="20"/>
          <w:szCs w:val="20"/>
          <w:lang w:val="es-MX"/>
        </w:rPr>
      </w:pPr>
      <w:r w:rsidRPr="00131612">
        <w:rPr>
          <w:rFonts w:ascii="Arial" w:eastAsia="Calibri" w:hAnsi="Arial" w:cs="Arial"/>
          <w:sz w:val="20"/>
          <w:szCs w:val="20"/>
          <w:lang w:val="es-MX"/>
        </w:rPr>
        <w:t xml:space="preserve">Por tanto, 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w:t>
      </w:r>
      <w:r w:rsidRPr="00131612">
        <w:rPr>
          <w:rFonts w:ascii="Arial" w:eastAsia="Calibri" w:hAnsi="Arial" w:cs="Arial"/>
          <w:sz w:val="20"/>
          <w:szCs w:val="20"/>
          <w:lang w:val="es-MX"/>
        </w:rPr>
        <w:lastRenderedPageBreak/>
        <w:t xml:space="preserve">de las cuales se incluye a las Empresas Sociales del Estado y, en consecuencia, podrán suscribir sus contratos en la forma establecida en sus manuales de contratación, sin que les resulte aplicable la prohibición establecida en el artículo 33 de la Ley 996 de 2005. </w:t>
      </w:r>
    </w:p>
    <w:p w14:paraId="4F9DDCC3" w14:textId="77777777" w:rsidR="006C6818" w:rsidRPr="008379A0" w:rsidRDefault="006C6818" w:rsidP="006C6818">
      <w:pPr>
        <w:tabs>
          <w:tab w:val="left" w:pos="426"/>
        </w:tabs>
        <w:spacing w:after="0" w:line="240" w:lineRule="auto"/>
        <w:contextualSpacing/>
        <w:jc w:val="both"/>
        <w:rPr>
          <w:rFonts w:ascii="Arial" w:eastAsia="Calibri" w:hAnsi="Arial" w:cs="Arial"/>
          <w:sz w:val="20"/>
          <w:szCs w:val="20"/>
          <w:lang w:val="es-MX"/>
        </w:rPr>
      </w:pPr>
    </w:p>
    <w:p w14:paraId="762B1395" w14:textId="77777777" w:rsidR="006C6818" w:rsidRPr="00CE4FFE" w:rsidRDefault="006C6818" w:rsidP="006C6818">
      <w:pPr>
        <w:tabs>
          <w:tab w:val="left" w:pos="426"/>
        </w:tabs>
        <w:spacing w:after="0" w:line="240" w:lineRule="auto"/>
        <w:contextualSpacing/>
        <w:jc w:val="both"/>
        <w:rPr>
          <w:rFonts w:ascii="Arial" w:eastAsia="Calibri" w:hAnsi="Arial" w:cs="Arial"/>
          <w:b/>
          <w:bCs/>
        </w:rPr>
      </w:pPr>
      <w:r w:rsidRPr="00CE4FFE">
        <w:rPr>
          <w:rFonts w:ascii="Arial" w:eastAsia="Calibri" w:hAnsi="Arial" w:cs="Arial"/>
          <w:b/>
          <w:bCs/>
        </w:rPr>
        <w:t>LEY DE GARANTÍAS ELECTORALES ‒ Prohibición comicios cargos de elección popular – Empresas sociales del Estado</w:t>
      </w:r>
    </w:p>
    <w:p w14:paraId="6D9B26CC" w14:textId="77777777" w:rsidR="006C6818" w:rsidRPr="00990FC7" w:rsidRDefault="006C6818" w:rsidP="006C6818">
      <w:pPr>
        <w:tabs>
          <w:tab w:val="left" w:pos="426"/>
        </w:tabs>
        <w:spacing w:after="0" w:line="240" w:lineRule="auto"/>
        <w:contextualSpacing/>
        <w:jc w:val="both"/>
        <w:rPr>
          <w:rFonts w:ascii="Arial" w:eastAsia="Calibri" w:hAnsi="Arial" w:cs="Arial"/>
          <w:b/>
          <w:bCs/>
          <w:sz w:val="20"/>
          <w:szCs w:val="20"/>
        </w:rPr>
      </w:pPr>
    </w:p>
    <w:p w14:paraId="742C610F" w14:textId="77777777" w:rsidR="006C6818" w:rsidRDefault="006C6818" w:rsidP="006C6818">
      <w:pPr>
        <w:tabs>
          <w:tab w:val="left" w:pos="426"/>
        </w:tabs>
        <w:spacing w:after="0" w:line="240" w:lineRule="auto"/>
        <w:contextualSpacing/>
        <w:jc w:val="both"/>
        <w:rPr>
          <w:rFonts w:ascii="Arial" w:eastAsia="Calibri" w:hAnsi="Arial" w:cs="Arial"/>
          <w:sz w:val="20"/>
          <w:szCs w:val="20"/>
          <w:lang w:val="es-MX"/>
        </w:rPr>
      </w:pPr>
      <w:r w:rsidRPr="00131612">
        <w:rPr>
          <w:rFonts w:ascii="Arial" w:eastAsia="Calibri" w:hAnsi="Arial" w:cs="Arial"/>
          <w:sz w:val="20"/>
          <w:szCs w:val="20"/>
          <w:lang w:val="es-MX"/>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65946D84" w14:textId="77777777" w:rsidR="006C6818" w:rsidRPr="00131612" w:rsidRDefault="006C6818" w:rsidP="006C6818">
      <w:pPr>
        <w:tabs>
          <w:tab w:val="left" w:pos="426"/>
        </w:tabs>
        <w:spacing w:after="0" w:line="240" w:lineRule="auto"/>
        <w:contextualSpacing/>
        <w:jc w:val="both"/>
        <w:rPr>
          <w:rFonts w:ascii="Arial" w:eastAsia="Calibri" w:hAnsi="Arial" w:cs="Arial"/>
          <w:sz w:val="20"/>
          <w:szCs w:val="20"/>
          <w:lang w:val="es-MX"/>
        </w:rPr>
      </w:pPr>
      <w:r w:rsidRPr="00131612">
        <w:rPr>
          <w:rFonts w:ascii="Arial" w:eastAsia="Calibri" w:hAnsi="Arial" w:cs="Arial"/>
          <w:sz w:val="20"/>
          <w:szCs w:val="20"/>
          <w:lang w:val="es-MX"/>
        </w:rPr>
        <w:t xml:space="preserve"> </w:t>
      </w:r>
    </w:p>
    <w:p w14:paraId="0A3A3E8B" w14:textId="77777777" w:rsidR="006C6818" w:rsidRPr="00131612" w:rsidRDefault="006C6818" w:rsidP="006C6818">
      <w:pPr>
        <w:tabs>
          <w:tab w:val="left" w:pos="426"/>
        </w:tabs>
        <w:spacing w:after="0" w:line="240" w:lineRule="auto"/>
        <w:contextualSpacing/>
        <w:jc w:val="both"/>
        <w:rPr>
          <w:rFonts w:ascii="Arial" w:eastAsia="Calibri" w:hAnsi="Arial" w:cs="Arial"/>
          <w:sz w:val="20"/>
          <w:szCs w:val="20"/>
          <w:lang w:val="es-MX"/>
        </w:rPr>
      </w:pPr>
      <w:r w:rsidRPr="00131612">
        <w:rPr>
          <w:rFonts w:ascii="Arial" w:eastAsia="Calibri" w:hAnsi="Arial" w:cs="Arial"/>
          <w:sz w:val="20"/>
          <w:szCs w:val="20"/>
          <w:lang w:val="es-MX"/>
        </w:rPr>
        <w:t xml:space="preserve">Para estos efectos, es necesario tener en cuenta que las empresas sociales del Estado que prestan servicios de salud pueden ser entidades descentralizadas del respectivo municipio, departamento o distrito. A esto se refiere el artículo 194 de la Ley 100 de 1993 cuando dispone que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 (Énfasis fuera de texto). Por tanto, las empresas sociales del Estado estarán sujetas la restricción de la norma citada en el párrafo precedente.  </w:t>
      </w:r>
    </w:p>
    <w:p w14:paraId="7EE56639" w14:textId="777E08F3" w:rsidR="00BC3B7F" w:rsidRPr="006C6818" w:rsidRDefault="00BC3B7F" w:rsidP="006C6818">
      <w:pPr>
        <w:tabs>
          <w:tab w:val="left" w:pos="426"/>
        </w:tabs>
        <w:spacing w:after="0" w:line="240" w:lineRule="auto"/>
        <w:contextualSpacing/>
        <w:jc w:val="both"/>
        <w:rPr>
          <w:rFonts w:ascii="Arial" w:hAnsi="Arial" w:cs="Arial"/>
          <w:sz w:val="20"/>
          <w:szCs w:val="20"/>
        </w:rPr>
      </w:pPr>
      <w:r w:rsidRPr="006C6818">
        <w:rPr>
          <w:rFonts w:ascii="Arial" w:hAnsi="Arial" w:cs="Arial"/>
          <w:sz w:val="20"/>
          <w:szCs w:val="20"/>
        </w:rPr>
        <w:br w:type="page"/>
      </w:r>
    </w:p>
    <w:p w14:paraId="7EA8DC06" w14:textId="4C69DD16" w:rsidR="00741466" w:rsidRPr="00312DEA" w:rsidRDefault="00741466" w:rsidP="00312DEA">
      <w:pPr>
        <w:spacing w:after="0" w:line="276" w:lineRule="auto"/>
        <w:jc w:val="right"/>
        <w:rPr>
          <w:rFonts w:ascii="Arial" w:eastAsia="Calibri" w:hAnsi="Arial" w:cs="Arial"/>
          <w:b/>
          <w:bCs/>
          <w:sz w:val="16"/>
          <w:szCs w:val="16"/>
        </w:rPr>
      </w:pPr>
      <w:r w:rsidRPr="006C6818">
        <w:rPr>
          <w:rFonts w:ascii="Arial" w:eastAsia="Times New Roman" w:hAnsi="Arial" w:cs="Arial"/>
          <w:b/>
          <w:bCs/>
          <w:sz w:val="16"/>
          <w:szCs w:val="16"/>
          <w:lang w:eastAsia="es-ES"/>
        </w:rPr>
        <w:lastRenderedPageBreak/>
        <w:t>CCE-DES-FM-17</w:t>
      </w:r>
    </w:p>
    <w:p w14:paraId="1BD4E08F" w14:textId="64AE5774" w:rsidR="00A810BD" w:rsidRDefault="00F443DC" w:rsidP="00741466">
      <w:pPr>
        <w:spacing w:after="0" w:line="240" w:lineRule="auto"/>
        <w:jc w:val="right"/>
        <w:rPr>
          <w:rFonts w:ascii="Arial" w:eastAsia="Calibri" w:hAnsi="Arial" w:cs="Arial"/>
        </w:rPr>
      </w:pPr>
      <w:r>
        <w:rPr>
          <w:noProof/>
        </w:rPr>
        <w:drawing>
          <wp:inline distT="0" distB="0" distL="0" distR="0" wp14:anchorId="0F5DF9AD" wp14:editId="6D27827B">
            <wp:extent cx="2993646" cy="676275"/>
            <wp:effectExtent l="0" t="0" r="0" b="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038764" cy="686467"/>
                    </a:xfrm>
                    <a:prstGeom prst="rect">
                      <a:avLst/>
                    </a:prstGeom>
                  </pic:spPr>
                </pic:pic>
              </a:graphicData>
            </a:graphic>
          </wp:inline>
        </w:drawing>
      </w:r>
    </w:p>
    <w:p w14:paraId="0BFEC0E6" w14:textId="54104867" w:rsidR="00A810BD" w:rsidRDefault="00F443DC" w:rsidP="00741466">
      <w:pPr>
        <w:spacing w:after="0" w:line="240" w:lineRule="auto"/>
        <w:jc w:val="right"/>
        <w:rPr>
          <w:rFonts w:ascii="Arial" w:eastAsia="Calibri" w:hAnsi="Arial" w:cs="Arial"/>
        </w:rPr>
      </w:pPr>
      <w:r>
        <w:rPr>
          <w:noProof/>
        </w:rPr>
        <w:drawing>
          <wp:inline distT="0" distB="0" distL="0" distR="0" wp14:anchorId="0FB67468" wp14:editId="0AE69C4E">
            <wp:extent cx="2913994" cy="7524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02" t="7273"/>
                    <a:stretch/>
                  </pic:blipFill>
                  <pic:spPr bwMode="auto">
                    <a:xfrm>
                      <a:off x="0" y="0"/>
                      <a:ext cx="2960836" cy="764571"/>
                    </a:xfrm>
                    <a:prstGeom prst="rect">
                      <a:avLst/>
                    </a:prstGeom>
                    <a:ln>
                      <a:noFill/>
                    </a:ln>
                    <a:extLst>
                      <a:ext uri="{53640926-AAD7-44D8-BBD7-CCE9431645EC}">
                        <a14:shadowObscured xmlns:a14="http://schemas.microsoft.com/office/drawing/2010/main"/>
                      </a:ext>
                    </a:extLst>
                  </pic:spPr>
                </pic:pic>
              </a:graphicData>
            </a:graphic>
          </wp:inline>
        </w:drawing>
      </w:r>
    </w:p>
    <w:p w14:paraId="5B917C6E" w14:textId="77777777" w:rsidR="00A810BD" w:rsidRPr="006C6818" w:rsidRDefault="00A810BD" w:rsidP="00741466">
      <w:pPr>
        <w:spacing w:after="0" w:line="240" w:lineRule="auto"/>
        <w:jc w:val="right"/>
        <w:rPr>
          <w:rFonts w:ascii="Arial" w:eastAsia="Calibri" w:hAnsi="Arial" w:cs="Arial"/>
        </w:rPr>
      </w:pPr>
    </w:p>
    <w:p w14:paraId="1076DD30" w14:textId="5935C4D8" w:rsidR="00F443DC" w:rsidRDefault="00F443DC" w:rsidP="00741466">
      <w:pPr>
        <w:spacing w:after="0" w:line="240" w:lineRule="auto"/>
        <w:jc w:val="both"/>
        <w:rPr>
          <w:rFonts w:ascii="Arial" w:eastAsia="Calibri" w:hAnsi="Arial" w:cs="Arial"/>
        </w:rPr>
      </w:pPr>
      <w:bookmarkStart w:id="4" w:name="_Hlk96417464"/>
      <w:r>
        <w:rPr>
          <w:rFonts w:ascii="Arial" w:eastAsia="Calibri" w:hAnsi="Arial" w:cs="Arial"/>
        </w:rPr>
        <w:t>Bogotá D.C., 05 de abril de 2022</w:t>
      </w:r>
    </w:p>
    <w:p w14:paraId="7ECD8747" w14:textId="2DCBB5D1" w:rsidR="00F443DC" w:rsidRDefault="00F443DC" w:rsidP="00741466">
      <w:pPr>
        <w:spacing w:after="0" w:line="240" w:lineRule="auto"/>
        <w:jc w:val="both"/>
        <w:rPr>
          <w:rFonts w:ascii="Arial" w:eastAsia="Calibri" w:hAnsi="Arial" w:cs="Arial"/>
        </w:rPr>
      </w:pPr>
    </w:p>
    <w:p w14:paraId="7B0AD2B0" w14:textId="77777777" w:rsidR="00F443DC" w:rsidRDefault="00F443DC" w:rsidP="00741466">
      <w:pPr>
        <w:spacing w:after="0" w:line="240" w:lineRule="auto"/>
        <w:jc w:val="both"/>
        <w:rPr>
          <w:rFonts w:ascii="Arial" w:eastAsia="Calibri" w:hAnsi="Arial" w:cs="Arial"/>
        </w:rPr>
      </w:pPr>
    </w:p>
    <w:p w14:paraId="3D4D4DCE" w14:textId="0319D116" w:rsidR="00741466" w:rsidRPr="006C6818" w:rsidRDefault="0066158D" w:rsidP="00741466">
      <w:pPr>
        <w:spacing w:after="0" w:line="240" w:lineRule="auto"/>
        <w:jc w:val="both"/>
        <w:rPr>
          <w:rFonts w:ascii="Arial" w:eastAsia="Calibri" w:hAnsi="Arial" w:cs="Arial"/>
        </w:rPr>
      </w:pPr>
      <w:r w:rsidRPr="006C6818">
        <w:rPr>
          <w:rFonts w:ascii="Arial" w:eastAsia="Calibri" w:hAnsi="Arial" w:cs="Arial"/>
        </w:rPr>
        <w:t>Señor</w:t>
      </w:r>
    </w:p>
    <w:p w14:paraId="429FCCFD" w14:textId="1CCDE49D" w:rsidR="00741466" w:rsidRPr="006C6818" w:rsidRDefault="00741466" w:rsidP="00741466">
      <w:pPr>
        <w:tabs>
          <w:tab w:val="left" w:pos="3516"/>
        </w:tabs>
        <w:spacing w:after="0" w:line="240" w:lineRule="auto"/>
        <w:jc w:val="both"/>
        <w:rPr>
          <w:rFonts w:ascii="Arial" w:hAnsi="Arial" w:cs="Arial"/>
          <w:b/>
          <w:bCs/>
        </w:rPr>
      </w:pPr>
      <w:r w:rsidRPr="006C6818">
        <w:rPr>
          <w:rFonts w:ascii="Arial" w:hAnsi="Arial" w:cs="Arial"/>
          <w:b/>
          <w:bCs/>
        </w:rPr>
        <w:t>JULIO ENRIQUE BALLEN CASTRO</w:t>
      </w:r>
    </w:p>
    <w:p w14:paraId="21C81389" w14:textId="3D6E0D00" w:rsidR="00741466" w:rsidRPr="006C6818" w:rsidRDefault="00741466" w:rsidP="00741466">
      <w:pPr>
        <w:tabs>
          <w:tab w:val="left" w:pos="3516"/>
        </w:tabs>
        <w:spacing w:after="0" w:line="240" w:lineRule="auto"/>
        <w:jc w:val="both"/>
        <w:rPr>
          <w:rFonts w:ascii="Arial" w:hAnsi="Arial" w:cs="Arial"/>
          <w:b/>
          <w:bCs/>
        </w:rPr>
      </w:pPr>
      <w:r w:rsidRPr="006C6818">
        <w:rPr>
          <w:rFonts w:ascii="Arial" w:hAnsi="Arial" w:cs="Arial"/>
          <w:b/>
          <w:bCs/>
        </w:rPr>
        <w:t>E.S.E HOSPITAL SAN RAFAEL DE CAQUEZA</w:t>
      </w:r>
    </w:p>
    <w:p w14:paraId="1BFD4161" w14:textId="6235BCFB" w:rsidR="00741466" w:rsidRPr="006C6818" w:rsidRDefault="00741466" w:rsidP="00741466">
      <w:pPr>
        <w:tabs>
          <w:tab w:val="left" w:pos="3516"/>
        </w:tabs>
        <w:spacing w:after="0" w:line="240" w:lineRule="auto"/>
        <w:jc w:val="both"/>
        <w:rPr>
          <w:rFonts w:ascii="Arial" w:eastAsia="Calibri" w:hAnsi="Arial" w:cs="Arial"/>
        </w:rPr>
      </w:pPr>
      <w:r w:rsidRPr="006C6818">
        <w:rPr>
          <w:rFonts w:ascii="Arial" w:eastAsia="Calibri" w:hAnsi="Arial" w:cs="Arial"/>
        </w:rPr>
        <w:t xml:space="preserve">Bogotá D.C.  </w:t>
      </w:r>
      <w:r w:rsidRPr="006C6818">
        <w:rPr>
          <w:rFonts w:ascii="Arial" w:eastAsia="Calibri" w:hAnsi="Arial" w:cs="Arial"/>
        </w:rPr>
        <w:tab/>
      </w:r>
    </w:p>
    <w:p w14:paraId="5DC1DF2F" w14:textId="65587F5A" w:rsidR="00741466" w:rsidRDefault="00741466" w:rsidP="00741466">
      <w:pPr>
        <w:spacing w:after="0" w:line="240" w:lineRule="auto"/>
        <w:jc w:val="both"/>
        <w:rPr>
          <w:rFonts w:ascii="Arial" w:eastAsia="Calibri" w:hAnsi="Arial" w:cs="Arial"/>
        </w:rPr>
      </w:pPr>
    </w:p>
    <w:p w14:paraId="0F1A8693" w14:textId="77777777" w:rsidR="00A810BD" w:rsidRPr="006C6818" w:rsidRDefault="00A810BD" w:rsidP="00741466">
      <w:pPr>
        <w:spacing w:after="0" w:line="240" w:lineRule="auto"/>
        <w:jc w:val="both"/>
        <w:rPr>
          <w:rFonts w:ascii="Arial" w:eastAsia="Calibri" w:hAnsi="Arial" w:cs="Arial"/>
        </w:rPr>
      </w:pPr>
    </w:p>
    <w:p w14:paraId="719BE9B5" w14:textId="77777777" w:rsidR="00741466" w:rsidRPr="006C6818" w:rsidRDefault="00741466" w:rsidP="00741466">
      <w:pPr>
        <w:spacing w:after="0" w:line="240" w:lineRule="auto"/>
        <w:jc w:val="both"/>
        <w:rPr>
          <w:rFonts w:ascii="Arial" w:eastAsia="Calibri" w:hAnsi="Arial" w:cs="Arial"/>
        </w:rPr>
      </w:pPr>
    </w:p>
    <w:p w14:paraId="0561CA94" w14:textId="05991392" w:rsidR="00741466" w:rsidRPr="006C6818" w:rsidRDefault="00741466" w:rsidP="00741466">
      <w:pPr>
        <w:spacing w:after="0" w:line="240" w:lineRule="auto"/>
        <w:jc w:val="both"/>
        <w:rPr>
          <w:rFonts w:ascii="Arial" w:eastAsia="Calibri" w:hAnsi="Arial" w:cs="Arial"/>
        </w:rPr>
      </w:pPr>
      <w:r w:rsidRPr="006C6818">
        <w:rPr>
          <w:rFonts w:ascii="Arial" w:eastAsia="Calibri" w:hAnsi="Arial" w:cs="Arial"/>
        </w:rPr>
        <w:t xml:space="preserve">                                            </w:t>
      </w:r>
      <w:r w:rsidRPr="006C6818">
        <w:rPr>
          <w:rFonts w:ascii="Arial" w:eastAsia="Calibri" w:hAnsi="Arial" w:cs="Arial"/>
          <w:b/>
        </w:rPr>
        <w:t>Concepto C – 157 de 2022</w:t>
      </w:r>
      <w:r w:rsidRPr="006C6818">
        <w:rPr>
          <w:rFonts w:ascii="Arial" w:eastAsia="Calibri" w:hAnsi="Arial" w:cs="Arial"/>
        </w:rPr>
        <w:t xml:space="preserve"> </w:t>
      </w:r>
    </w:p>
    <w:p w14:paraId="13A55321" w14:textId="77777777" w:rsidR="00741466" w:rsidRPr="006C6818" w:rsidRDefault="00741466" w:rsidP="00741466">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45227" w:rsidRPr="006C6818" w14:paraId="51902591" w14:textId="77777777" w:rsidTr="008521C8">
        <w:trPr>
          <w:trHeight w:val="485"/>
        </w:trPr>
        <w:tc>
          <w:tcPr>
            <w:tcW w:w="2689" w:type="dxa"/>
            <w:hideMark/>
          </w:tcPr>
          <w:p w14:paraId="4872D7C7" w14:textId="77777777" w:rsidR="00741466" w:rsidRPr="006C6818" w:rsidRDefault="00741466" w:rsidP="008521C8">
            <w:pPr>
              <w:contextualSpacing/>
              <w:rPr>
                <w:rFonts w:ascii="Arial" w:eastAsia="Calibri" w:hAnsi="Arial" w:cs="Arial"/>
                <w:noProof/>
                <w:lang w:val="es-ES_tradnl"/>
              </w:rPr>
            </w:pPr>
            <w:r w:rsidRPr="006C6818">
              <w:rPr>
                <w:rFonts w:ascii="Arial" w:eastAsia="Calibri" w:hAnsi="Arial" w:cs="Arial"/>
                <w:b/>
                <w:noProof/>
                <w:lang w:val="es-ES_tradnl"/>
              </w:rPr>
              <w:t>Temas:</w:t>
            </w:r>
            <w:r w:rsidRPr="006C6818">
              <w:rPr>
                <w:rFonts w:ascii="Arial" w:eastAsia="Calibri" w:hAnsi="Arial" w:cs="Arial"/>
                <w:noProof/>
                <w:lang w:val="es-ES_tradnl"/>
              </w:rPr>
              <w:t xml:space="preserve">        </w:t>
            </w:r>
          </w:p>
        </w:tc>
        <w:tc>
          <w:tcPr>
            <w:tcW w:w="6237" w:type="dxa"/>
            <w:hideMark/>
          </w:tcPr>
          <w:p w14:paraId="2232680A" w14:textId="1F69CA5E" w:rsidR="00703064" w:rsidRPr="006C6818" w:rsidRDefault="000F6922" w:rsidP="005600BB">
            <w:pPr>
              <w:tabs>
                <w:tab w:val="left" w:pos="426"/>
              </w:tabs>
              <w:jc w:val="both"/>
              <w:rPr>
                <w:rFonts w:ascii="Arial" w:eastAsia="Calibri" w:hAnsi="Arial" w:cs="Arial"/>
              </w:rPr>
            </w:pPr>
            <w:r w:rsidRPr="006C6818">
              <w:rPr>
                <w:rFonts w:ascii="Arial" w:eastAsia="Calibri" w:hAnsi="Arial" w:cs="Arial"/>
                <w:lang w:val="es-MX"/>
              </w:rPr>
              <w:t xml:space="preserve">LEY DE GARANTÍAS ELECTORALES ‒ Finalidad / </w:t>
            </w:r>
            <w:r w:rsidR="00324312" w:rsidRPr="006C6818">
              <w:rPr>
                <w:rFonts w:ascii="Arial" w:eastAsia="Calibri" w:hAnsi="Arial" w:cs="Arial"/>
                <w:lang w:val="es-MX"/>
              </w:rPr>
              <w:t xml:space="preserve">LEY DE GARANTÍAS ‒ Tipos de restricciones ‒ Ámbito temporal / </w:t>
            </w:r>
            <w:r w:rsidR="00601E5D" w:rsidRPr="006C6818">
              <w:rPr>
                <w:rFonts w:ascii="Arial" w:eastAsia="Calibri" w:hAnsi="Arial" w:cs="Arial"/>
                <w:lang w:val="es-MX"/>
              </w:rPr>
              <w:t xml:space="preserve">LEY DE GARANTÍAS ELECTORALES ─ Prohibición ‒ Contratación directa ‒ Alcance / </w:t>
            </w:r>
            <w:r w:rsidR="005B2387" w:rsidRPr="006C6818">
              <w:rPr>
                <w:rFonts w:ascii="Arial" w:eastAsia="Calibri" w:hAnsi="Arial" w:cs="Arial"/>
                <w:lang w:val="es-MX"/>
              </w:rPr>
              <w:t xml:space="preserve">LEY DE GARANTÍAS ELECTORALES ─ </w:t>
            </w:r>
            <w:r w:rsidR="005B2387" w:rsidRPr="006C6818">
              <w:rPr>
                <w:rFonts w:ascii="Arial" w:eastAsia="Times New Roman" w:hAnsi="Arial" w:cs="Arial"/>
                <w:lang w:eastAsia="es-CO"/>
              </w:rPr>
              <w:t xml:space="preserve">Excepciones / </w:t>
            </w:r>
            <w:r w:rsidR="00E63A7C" w:rsidRPr="006C6818">
              <w:rPr>
                <w:rFonts w:ascii="Arial" w:eastAsia="Times New Roman" w:hAnsi="Arial" w:cs="Arial"/>
                <w:lang w:eastAsia="es-CO"/>
              </w:rPr>
              <w:t xml:space="preserve">LEY DE GARANTÍAS ELECTORALES ‒ </w:t>
            </w:r>
            <w:r w:rsidR="00E63A7C" w:rsidRPr="006C6818">
              <w:rPr>
                <w:rFonts w:ascii="Arial" w:eastAsia="Times New Roman" w:hAnsi="Arial" w:cs="Arial"/>
                <w:lang w:val="es-ES" w:eastAsia="es-CO"/>
              </w:rPr>
              <w:t xml:space="preserve">Prohibición del artículo 33 </w:t>
            </w:r>
            <w:r w:rsidR="00E63A7C" w:rsidRPr="006C6818">
              <w:rPr>
                <w:rFonts w:ascii="Arial" w:eastAsia="Times New Roman" w:hAnsi="Arial" w:cs="Arial"/>
                <w:lang w:eastAsia="es-CO"/>
              </w:rPr>
              <w:t xml:space="preserve">‒ Destinatarios / </w:t>
            </w:r>
            <w:r w:rsidR="00A54D18" w:rsidRPr="006C6818">
              <w:rPr>
                <w:rFonts w:ascii="Arial" w:eastAsia="Times New Roman" w:hAnsi="Arial" w:cs="Arial"/>
                <w:lang w:eastAsia="es-CO"/>
              </w:rPr>
              <w:t xml:space="preserve">LEY DE GARANTÍAS ELECTORALES ‒ </w:t>
            </w:r>
            <w:r w:rsidR="00A54D18" w:rsidRPr="006C6818">
              <w:rPr>
                <w:rFonts w:ascii="Arial" w:eastAsia="Times New Roman" w:hAnsi="Arial" w:cs="Arial"/>
                <w:lang w:val="es-ES" w:eastAsia="es-CO"/>
              </w:rPr>
              <w:t xml:space="preserve">Prohibición del artículo 33 </w:t>
            </w:r>
            <w:r w:rsidR="00A54D18" w:rsidRPr="006C6818">
              <w:rPr>
                <w:rFonts w:ascii="Arial" w:eastAsia="Times New Roman" w:hAnsi="Arial" w:cs="Arial"/>
                <w:lang w:eastAsia="es-CO"/>
              </w:rPr>
              <w:t xml:space="preserve">‒ Excepciones ‒ </w:t>
            </w:r>
            <w:r w:rsidR="00A54D18" w:rsidRPr="006C6818">
              <w:rPr>
                <w:rFonts w:ascii="Arial" w:eastAsia="Calibri" w:hAnsi="Arial" w:cs="Arial"/>
                <w:lang w:val="es-ES_tradnl"/>
              </w:rPr>
              <w:t xml:space="preserve">Empresas Sociales del Estado / </w:t>
            </w:r>
            <w:r w:rsidR="00944CC9" w:rsidRPr="006C6818">
              <w:rPr>
                <w:rFonts w:ascii="Arial" w:eastAsia="Calibri" w:hAnsi="Arial" w:cs="Arial"/>
              </w:rPr>
              <w:t xml:space="preserve">LEY DE GARANTÍAS ELECTORALES ‒ Prohibición comicios cargos de elección popular – Empresas sociales del Estado </w:t>
            </w:r>
          </w:p>
          <w:p w14:paraId="643C66CC" w14:textId="79AB180B" w:rsidR="00741466" w:rsidRPr="006C6818" w:rsidRDefault="00741466" w:rsidP="008521C8">
            <w:pPr>
              <w:tabs>
                <w:tab w:val="left" w:pos="426"/>
              </w:tabs>
              <w:jc w:val="both"/>
              <w:rPr>
                <w:rFonts w:ascii="Arial" w:eastAsia="Calibri" w:hAnsi="Arial" w:cs="Arial"/>
                <w:bCs/>
                <w:lang w:val="es-MX"/>
              </w:rPr>
            </w:pPr>
          </w:p>
          <w:p w14:paraId="7C40808A" w14:textId="77777777" w:rsidR="00741466" w:rsidRPr="006C6818" w:rsidRDefault="00741466" w:rsidP="008521C8">
            <w:pPr>
              <w:spacing w:after="120"/>
              <w:rPr>
                <w:rFonts w:ascii="Arial" w:eastAsia="Calibri" w:hAnsi="Arial" w:cs="Arial"/>
                <w:bCs/>
                <w:lang w:val="es-MX"/>
              </w:rPr>
            </w:pPr>
          </w:p>
        </w:tc>
      </w:tr>
      <w:tr w:rsidR="00245227" w:rsidRPr="006C6818" w14:paraId="25BF7F57" w14:textId="77777777" w:rsidTr="008521C8">
        <w:trPr>
          <w:trHeight w:val="95"/>
        </w:trPr>
        <w:tc>
          <w:tcPr>
            <w:tcW w:w="2689" w:type="dxa"/>
          </w:tcPr>
          <w:p w14:paraId="21FE1A32" w14:textId="77777777" w:rsidR="00741466" w:rsidRPr="006C6818" w:rsidRDefault="00741466" w:rsidP="008521C8">
            <w:pPr>
              <w:contextualSpacing/>
              <w:rPr>
                <w:rFonts w:ascii="Arial" w:eastAsia="Calibri" w:hAnsi="Arial" w:cs="Arial"/>
                <w:bCs/>
                <w:lang w:val="es-MX"/>
              </w:rPr>
            </w:pPr>
            <w:r w:rsidRPr="006C6818">
              <w:rPr>
                <w:rFonts w:ascii="Arial" w:eastAsia="Calibri" w:hAnsi="Arial" w:cs="Arial"/>
                <w:b/>
                <w:lang w:val="es-MX"/>
              </w:rPr>
              <w:t>Radicación</w:t>
            </w:r>
            <w:r w:rsidRPr="006C6818">
              <w:rPr>
                <w:rFonts w:ascii="Arial" w:eastAsia="Calibri" w:hAnsi="Arial" w:cs="Arial"/>
                <w:bCs/>
                <w:lang w:val="es-MX"/>
              </w:rPr>
              <w:t xml:space="preserve">:                              </w:t>
            </w:r>
          </w:p>
        </w:tc>
        <w:tc>
          <w:tcPr>
            <w:tcW w:w="6237" w:type="dxa"/>
          </w:tcPr>
          <w:p w14:paraId="2C3FC6EF" w14:textId="03621BD1" w:rsidR="00741466" w:rsidRPr="006C6818" w:rsidRDefault="00741466" w:rsidP="008521C8">
            <w:pPr>
              <w:contextualSpacing/>
              <w:jc w:val="both"/>
              <w:rPr>
                <w:rFonts w:ascii="Arial" w:eastAsia="Calibri" w:hAnsi="Arial" w:cs="Arial"/>
                <w:bCs/>
                <w:lang w:val="es-MX"/>
              </w:rPr>
            </w:pPr>
            <w:r w:rsidRPr="006C6818">
              <w:rPr>
                <w:rFonts w:ascii="Arial" w:eastAsia="Calibri" w:hAnsi="Arial" w:cs="Arial"/>
                <w:bCs/>
                <w:lang w:val="es-MX"/>
              </w:rPr>
              <w:t>Respuesta a consulta P20220218001679</w:t>
            </w:r>
          </w:p>
        </w:tc>
      </w:tr>
    </w:tbl>
    <w:p w14:paraId="3E84EF24" w14:textId="77777777" w:rsidR="00741466" w:rsidRPr="006C6818" w:rsidRDefault="00741466" w:rsidP="00741466">
      <w:pPr>
        <w:spacing w:after="0" w:line="240" w:lineRule="auto"/>
        <w:jc w:val="both"/>
        <w:rPr>
          <w:rFonts w:ascii="Arial" w:eastAsia="Calibri" w:hAnsi="Arial" w:cs="Arial"/>
        </w:rPr>
      </w:pPr>
    </w:p>
    <w:p w14:paraId="0CD71D4F" w14:textId="07A977F1" w:rsidR="00741466" w:rsidRDefault="00741466" w:rsidP="00741466">
      <w:pPr>
        <w:spacing w:after="0" w:line="240" w:lineRule="auto"/>
        <w:jc w:val="both"/>
        <w:rPr>
          <w:rFonts w:ascii="Arial" w:eastAsia="Calibri" w:hAnsi="Arial" w:cs="Arial"/>
        </w:rPr>
      </w:pPr>
    </w:p>
    <w:p w14:paraId="0B6B176B" w14:textId="77777777" w:rsidR="00A810BD" w:rsidRPr="006C6818" w:rsidRDefault="00A810BD" w:rsidP="00741466">
      <w:pPr>
        <w:spacing w:after="0" w:line="240" w:lineRule="auto"/>
        <w:jc w:val="both"/>
        <w:rPr>
          <w:rFonts w:ascii="Arial" w:eastAsia="Calibri" w:hAnsi="Arial" w:cs="Arial"/>
        </w:rPr>
      </w:pPr>
    </w:p>
    <w:p w14:paraId="338C2263" w14:textId="5C8AAA0C" w:rsidR="00741466" w:rsidRPr="006C6818" w:rsidRDefault="00741466" w:rsidP="00DC0D41">
      <w:pPr>
        <w:spacing w:after="0" w:line="276" w:lineRule="auto"/>
        <w:contextualSpacing/>
        <w:jc w:val="both"/>
        <w:rPr>
          <w:rFonts w:ascii="Arial" w:eastAsia="Calibri" w:hAnsi="Arial" w:cs="Arial"/>
        </w:rPr>
      </w:pPr>
      <w:r w:rsidRPr="006C6818">
        <w:rPr>
          <w:rFonts w:ascii="Arial" w:eastAsia="Calibri" w:hAnsi="Arial" w:cs="Arial"/>
        </w:rPr>
        <w:t>Estimad</w:t>
      </w:r>
      <w:r w:rsidR="00245227" w:rsidRPr="006C6818">
        <w:rPr>
          <w:rFonts w:ascii="Arial" w:eastAsia="Calibri" w:hAnsi="Arial" w:cs="Arial"/>
        </w:rPr>
        <w:t xml:space="preserve">o </w:t>
      </w:r>
      <w:r w:rsidRPr="006C6818">
        <w:rPr>
          <w:rFonts w:ascii="Arial" w:eastAsia="Calibri" w:hAnsi="Arial" w:cs="Arial"/>
        </w:rPr>
        <w:t xml:space="preserve">señor </w:t>
      </w:r>
      <w:r w:rsidR="00245227" w:rsidRPr="006C6818">
        <w:rPr>
          <w:rFonts w:ascii="Arial" w:eastAsia="Calibri" w:hAnsi="Arial" w:cs="Arial"/>
        </w:rPr>
        <w:t>Ballen</w:t>
      </w:r>
      <w:r w:rsidRPr="006C6818">
        <w:rPr>
          <w:rFonts w:ascii="Arial" w:eastAsia="Calibri" w:hAnsi="Arial" w:cs="Arial"/>
        </w:rPr>
        <w:t>:</w:t>
      </w:r>
    </w:p>
    <w:p w14:paraId="220FFCC5" w14:textId="77777777" w:rsidR="00741466" w:rsidRPr="006C6818" w:rsidRDefault="00741466" w:rsidP="00DC0D41">
      <w:pPr>
        <w:spacing w:after="0" w:line="276" w:lineRule="auto"/>
        <w:ind w:firstLine="709"/>
        <w:contextualSpacing/>
        <w:jc w:val="both"/>
        <w:rPr>
          <w:rFonts w:ascii="Arial" w:eastAsia="Calibri" w:hAnsi="Arial" w:cs="Arial"/>
        </w:rPr>
      </w:pPr>
    </w:p>
    <w:p w14:paraId="5A60CC02" w14:textId="69C48157" w:rsidR="00741466" w:rsidRPr="006C6818" w:rsidRDefault="00741466" w:rsidP="00DC0D41">
      <w:pPr>
        <w:spacing w:after="0" w:line="276" w:lineRule="auto"/>
        <w:ind w:right="51"/>
        <w:contextualSpacing/>
        <w:jc w:val="both"/>
        <w:rPr>
          <w:rFonts w:ascii="Arial" w:eastAsia="Calibri" w:hAnsi="Arial" w:cs="Arial"/>
        </w:rPr>
      </w:pPr>
      <w:r w:rsidRPr="006C681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w:t>
      </w:r>
      <w:r w:rsidR="00245227" w:rsidRPr="006C6818">
        <w:rPr>
          <w:rFonts w:ascii="Arial" w:eastAsia="Calibri" w:hAnsi="Arial" w:cs="Arial"/>
        </w:rPr>
        <w:t>radicada ante el Departamento</w:t>
      </w:r>
      <w:r w:rsidR="007D62D8" w:rsidRPr="006C6818">
        <w:rPr>
          <w:rFonts w:ascii="Arial" w:eastAsia="Calibri" w:hAnsi="Arial" w:cs="Arial"/>
        </w:rPr>
        <w:t xml:space="preserve"> Administrativo</w:t>
      </w:r>
      <w:r w:rsidR="00245227" w:rsidRPr="006C6818">
        <w:rPr>
          <w:rFonts w:ascii="Arial" w:eastAsia="Calibri" w:hAnsi="Arial" w:cs="Arial"/>
        </w:rPr>
        <w:t xml:space="preserve"> de la Función Pública el 10 de febrero de 2022, la cual fue </w:t>
      </w:r>
      <w:r w:rsidR="005C40C2" w:rsidRPr="006C6818">
        <w:rPr>
          <w:rFonts w:ascii="Arial" w:eastAsia="Calibri" w:hAnsi="Arial" w:cs="Arial"/>
        </w:rPr>
        <w:t>trasladada por competencia a esta entidad el 16 de febrero de 2022</w:t>
      </w:r>
      <w:r w:rsidR="00B019F8" w:rsidRPr="006C6818">
        <w:rPr>
          <w:rFonts w:ascii="Arial" w:eastAsia="Calibri" w:hAnsi="Arial" w:cs="Arial"/>
        </w:rPr>
        <w:t>.</w:t>
      </w:r>
      <w:r w:rsidR="005C40C2" w:rsidRPr="006C6818">
        <w:rPr>
          <w:rFonts w:ascii="Arial" w:eastAsia="Calibri" w:hAnsi="Arial" w:cs="Arial"/>
        </w:rPr>
        <w:t xml:space="preserve"> </w:t>
      </w:r>
    </w:p>
    <w:p w14:paraId="4E7F5CA4" w14:textId="77777777" w:rsidR="00741466" w:rsidRPr="006C6818" w:rsidRDefault="00741466" w:rsidP="00DC0D41">
      <w:pPr>
        <w:spacing w:after="0" w:line="276" w:lineRule="auto"/>
        <w:contextualSpacing/>
        <w:jc w:val="both"/>
        <w:rPr>
          <w:rFonts w:ascii="Arial" w:eastAsia="Calibri" w:hAnsi="Arial" w:cs="Arial"/>
        </w:rPr>
      </w:pPr>
    </w:p>
    <w:p w14:paraId="0711D959" w14:textId="77777777" w:rsidR="00741466" w:rsidRPr="006C6818" w:rsidRDefault="00741466" w:rsidP="00DC0D41">
      <w:pPr>
        <w:tabs>
          <w:tab w:val="left" w:pos="284"/>
        </w:tabs>
        <w:spacing w:after="0" w:line="276" w:lineRule="auto"/>
        <w:contextualSpacing/>
        <w:jc w:val="both"/>
        <w:rPr>
          <w:rFonts w:ascii="Arial" w:eastAsia="Calibri" w:hAnsi="Arial" w:cs="Arial"/>
          <w:b/>
        </w:rPr>
      </w:pPr>
      <w:r w:rsidRPr="006C6818">
        <w:rPr>
          <w:rFonts w:ascii="Arial" w:eastAsia="Calibri" w:hAnsi="Arial" w:cs="Arial"/>
          <w:b/>
        </w:rPr>
        <w:lastRenderedPageBreak/>
        <w:t xml:space="preserve">1. Problema planteado </w:t>
      </w:r>
    </w:p>
    <w:p w14:paraId="52CBCFAC" w14:textId="77777777" w:rsidR="00741466" w:rsidRPr="006C6818" w:rsidRDefault="00741466" w:rsidP="00DC0D41">
      <w:pPr>
        <w:tabs>
          <w:tab w:val="left" w:pos="284"/>
        </w:tabs>
        <w:spacing w:after="0" w:line="276" w:lineRule="auto"/>
        <w:ind w:firstLine="709"/>
        <w:contextualSpacing/>
        <w:jc w:val="both"/>
        <w:rPr>
          <w:rFonts w:ascii="Arial" w:eastAsia="Calibri" w:hAnsi="Arial" w:cs="Arial"/>
          <w:b/>
        </w:rPr>
      </w:pPr>
    </w:p>
    <w:p w14:paraId="6FEAD6FE" w14:textId="13844FB9" w:rsidR="00741466" w:rsidRPr="006C6818" w:rsidRDefault="00741466" w:rsidP="00DC0D41">
      <w:pPr>
        <w:spacing w:after="0" w:line="276" w:lineRule="auto"/>
        <w:contextualSpacing/>
        <w:jc w:val="both"/>
        <w:rPr>
          <w:rFonts w:ascii="Arial" w:eastAsia="Times New Roman" w:hAnsi="Arial" w:cs="Arial"/>
          <w:shd w:val="clear" w:color="auto" w:fill="FFFFFF"/>
          <w:lang w:eastAsia="es-CO"/>
        </w:rPr>
      </w:pPr>
      <w:bookmarkStart w:id="5" w:name="_Hlk58917991"/>
      <w:bookmarkStart w:id="6" w:name="_Hlk56103000"/>
      <w:r w:rsidRPr="006C6818">
        <w:rPr>
          <w:rFonts w:ascii="Arial" w:eastAsia="Times New Roman" w:hAnsi="Arial" w:cs="Arial"/>
          <w:szCs w:val="24"/>
          <w:lang w:eastAsia="es-CO"/>
        </w:rPr>
        <w:t xml:space="preserve">Usted </w:t>
      </w:r>
      <w:r w:rsidRPr="006C6818">
        <w:rPr>
          <w:rFonts w:ascii="Arial" w:eastAsia="Times New Roman" w:hAnsi="Arial" w:cs="Arial"/>
          <w:shd w:val="clear" w:color="auto" w:fill="FFFFFF"/>
          <w:lang w:eastAsia="es-CO"/>
        </w:rPr>
        <w:t>realiza la siguiente consulta</w:t>
      </w:r>
      <w:r w:rsidR="00636804" w:rsidRPr="006C6818">
        <w:rPr>
          <w:rFonts w:ascii="Arial" w:eastAsia="Times New Roman" w:hAnsi="Arial" w:cs="Arial"/>
          <w:shd w:val="clear" w:color="auto" w:fill="FFFFFF"/>
          <w:lang w:eastAsia="es-CO"/>
        </w:rPr>
        <w:t>, en relación con la Ley de Garantías Electorales</w:t>
      </w:r>
      <w:r w:rsidRPr="006C6818">
        <w:rPr>
          <w:rFonts w:ascii="Arial" w:eastAsia="Times New Roman" w:hAnsi="Arial" w:cs="Arial"/>
          <w:shd w:val="clear" w:color="auto" w:fill="FFFFFF"/>
          <w:lang w:eastAsia="es-CO"/>
        </w:rPr>
        <w:t xml:space="preserve">: </w:t>
      </w:r>
      <w:bookmarkStart w:id="7" w:name="_Hlk94514883"/>
    </w:p>
    <w:p w14:paraId="1F46C27D" w14:textId="77777777" w:rsidR="00741466" w:rsidRPr="006C6818" w:rsidRDefault="00741466" w:rsidP="00DC0D41">
      <w:pPr>
        <w:spacing w:after="0" w:line="276" w:lineRule="auto"/>
        <w:contextualSpacing/>
        <w:jc w:val="both"/>
        <w:rPr>
          <w:rFonts w:ascii="Arial" w:eastAsia="Times New Roman" w:hAnsi="Arial" w:cs="Arial"/>
          <w:shd w:val="clear" w:color="auto" w:fill="FFFFFF"/>
          <w:lang w:eastAsia="es-CO"/>
        </w:rPr>
      </w:pPr>
    </w:p>
    <w:bookmarkEnd w:id="7"/>
    <w:p w14:paraId="218323D3" w14:textId="2A4C0B51" w:rsidR="00686ECA" w:rsidRPr="006C6818" w:rsidRDefault="00686ECA" w:rsidP="00DC0D41">
      <w:pPr>
        <w:spacing w:after="0" w:line="240" w:lineRule="auto"/>
        <w:ind w:left="709" w:right="709"/>
        <w:contextualSpacing/>
        <w:jc w:val="both"/>
        <w:rPr>
          <w:rFonts w:ascii="Arial" w:eastAsia="Times New Roman" w:hAnsi="Arial" w:cs="Arial"/>
          <w:sz w:val="21"/>
          <w:szCs w:val="21"/>
          <w:lang w:val="es-ES" w:eastAsia="es-CO"/>
        </w:rPr>
      </w:pPr>
      <w:r w:rsidRPr="006C6818">
        <w:rPr>
          <w:rFonts w:ascii="Arial" w:eastAsia="Times New Roman" w:hAnsi="Arial" w:cs="Arial"/>
          <w:sz w:val="21"/>
          <w:szCs w:val="21"/>
          <w:lang w:val="es-ES" w:eastAsia="es-CO"/>
        </w:rPr>
        <w:t xml:space="preserve">«teniendo en cuenta la circular 100-006 de 2021 de fecha noviembre 16 de 2021, con el acostumbrado respeto solicito concepto de </w:t>
      </w:r>
      <w:proofErr w:type="spellStart"/>
      <w:r w:rsidRPr="006C6818">
        <w:rPr>
          <w:rFonts w:ascii="Arial" w:eastAsia="Times New Roman" w:hAnsi="Arial" w:cs="Arial"/>
          <w:sz w:val="21"/>
          <w:szCs w:val="21"/>
          <w:lang w:val="es-ES" w:eastAsia="es-CO"/>
        </w:rPr>
        <w:t>aplicaci?n</w:t>
      </w:r>
      <w:proofErr w:type="spellEnd"/>
      <w:r w:rsidRPr="006C6818">
        <w:rPr>
          <w:rFonts w:ascii="Arial" w:eastAsia="Times New Roman" w:hAnsi="Arial" w:cs="Arial"/>
          <w:sz w:val="21"/>
          <w:szCs w:val="21"/>
          <w:lang w:val="es-ES" w:eastAsia="es-CO"/>
        </w:rPr>
        <w:t xml:space="preserve"> de la ley de </w:t>
      </w:r>
      <w:proofErr w:type="spellStart"/>
      <w:r w:rsidRPr="006C6818">
        <w:rPr>
          <w:rFonts w:ascii="Arial" w:eastAsia="Times New Roman" w:hAnsi="Arial" w:cs="Arial"/>
          <w:sz w:val="21"/>
          <w:szCs w:val="21"/>
          <w:lang w:val="es-ES" w:eastAsia="es-CO"/>
        </w:rPr>
        <w:t>garant?as</w:t>
      </w:r>
      <w:proofErr w:type="spellEnd"/>
      <w:r w:rsidRPr="006C6818">
        <w:rPr>
          <w:rFonts w:ascii="Arial" w:eastAsia="Times New Roman" w:hAnsi="Arial" w:cs="Arial"/>
          <w:sz w:val="21"/>
          <w:szCs w:val="21"/>
          <w:lang w:val="es-ES" w:eastAsia="es-CO"/>
        </w:rPr>
        <w:t xml:space="preserve"> para las empresas sociales del Estado en virtud de Modalidad de </w:t>
      </w:r>
      <w:proofErr w:type="spellStart"/>
      <w:r w:rsidRPr="006C6818">
        <w:rPr>
          <w:rFonts w:ascii="Arial" w:eastAsia="Times New Roman" w:hAnsi="Arial" w:cs="Arial"/>
          <w:sz w:val="21"/>
          <w:szCs w:val="21"/>
          <w:lang w:val="es-ES" w:eastAsia="es-CO"/>
        </w:rPr>
        <w:t>contrataci?n</w:t>
      </w:r>
      <w:proofErr w:type="spellEnd"/>
      <w:r w:rsidRPr="006C6818">
        <w:rPr>
          <w:rFonts w:ascii="Arial" w:eastAsia="Times New Roman" w:hAnsi="Arial" w:cs="Arial"/>
          <w:sz w:val="21"/>
          <w:szCs w:val="21"/>
          <w:lang w:val="es-ES" w:eastAsia="es-CO"/>
        </w:rPr>
        <w:t xml:space="preserve"> directa para la </w:t>
      </w:r>
      <w:proofErr w:type="spellStart"/>
      <w:r w:rsidRPr="006C6818">
        <w:rPr>
          <w:rFonts w:ascii="Arial" w:eastAsia="Times New Roman" w:hAnsi="Arial" w:cs="Arial"/>
          <w:sz w:val="21"/>
          <w:szCs w:val="21"/>
          <w:lang w:val="es-ES" w:eastAsia="es-CO"/>
        </w:rPr>
        <w:t>celebraci?n</w:t>
      </w:r>
      <w:proofErr w:type="spellEnd"/>
      <w:r w:rsidRPr="006C6818">
        <w:rPr>
          <w:rFonts w:ascii="Arial" w:eastAsia="Times New Roman" w:hAnsi="Arial" w:cs="Arial"/>
          <w:sz w:val="21"/>
          <w:szCs w:val="21"/>
          <w:lang w:val="es-ES" w:eastAsia="es-CO"/>
        </w:rPr>
        <w:t xml:space="preserve"> de contratos de </w:t>
      </w:r>
      <w:proofErr w:type="spellStart"/>
      <w:r w:rsidRPr="006C6818">
        <w:rPr>
          <w:rFonts w:ascii="Arial" w:eastAsia="Times New Roman" w:hAnsi="Arial" w:cs="Arial"/>
          <w:sz w:val="21"/>
          <w:szCs w:val="21"/>
          <w:lang w:val="es-ES" w:eastAsia="es-CO"/>
        </w:rPr>
        <w:t>prestaci?n</w:t>
      </w:r>
      <w:proofErr w:type="spellEnd"/>
      <w:r w:rsidRPr="006C6818">
        <w:rPr>
          <w:rFonts w:ascii="Arial" w:eastAsia="Times New Roman" w:hAnsi="Arial" w:cs="Arial"/>
          <w:sz w:val="21"/>
          <w:szCs w:val="21"/>
          <w:lang w:val="es-ES" w:eastAsia="es-CO"/>
        </w:rPr>
        <w:t xml:space="preserve"> de servicios, suministros, </w:t>
      </w:r>
      <w:proofErr w:type="spellStart"/>
      <w:r w:rsidRPr="006C6818">
        <w:rPr>
          <w:rFonts w:ascii="Arial" w:eastAsia="Times New Roman" w:hAnsi="Arial" w:cs="Arial"/>
          <w:sz w:val="21"/>
          <w:szCs w:val="21"/>
          <w:lang w:val="es-ES" w:eastAsia="es-CO"/>
        </w:rPr>
        <w:t>ordenes</w:t>
      </w:r>
      <w:proofErr w:type="spellEnd"/>
      <w:r w:rsidRPr="006C6818">
        <w:rPr>
          <w:rFonts w:ascii="Arial" w:eastAsia="Times New Roman" w:hAnsi="Arial" w:cs="Arial"/>
          <w:sz w:val="21"/>
          <w:szCs w:val="21"/>
          <w:lang w:val="es-ES" w:eastAsia="es-CO"/>
        </w:rPr>
        <w:t xml:space="preserve"> de compra y servicios. teniendo en cuenta que manejamos </w:t>
      </w:r>
      <w:proofErr w:type="spellStart"/>
      <w:r w:rsidRPr="006C6818">
        <w:rPr>
          <w:rFonts w:ascii="Arial" w:eastAsia="Times New Roman" w:hAnsi="Arial" w:cs="Arial"/>
          <w:sz w:val="21"/>
          <w:szCs w:val="21"/>
          <w:lang w:val="es-ES" w:eastAsia="es-CO"/>
        </w:rPr>
        <w:t>regimen</w:t>
      </w:r>
      <w:proofErr w:type="spellEnd"/>
      <w:r w:rsidRPr="006C6818">
        <w:rPr>
          <w:rFonts w:ascii="Arial" w:eastAsia="Times New Roman" w:hAnsi="Arial" w:cs="Arial"/>
          <w:sz w:val="21"/>
          <w:szCs w:val="21"/>
          <w:lang w:val="es-ES" w:eastAsia="es-CO"/>
        </w:rPr>
        <w:t xml:space="preserve"> especial» (SIC).</w:t>
      </w:r>
    </w:p>
    <w:p w14:paraId="425AF48D" w14:textId="77777777" w:rsidR="00686ECA" w:rsidRPr="006C6818" w:rsidRDefault="00686ECA" w:rsidP="00DC0D41">
      <w:pPr>
        <w:spacing w:after="0" w:line="240" w:lineRule="auto"/>
        <w:ind w:left="709" w:right="709"/>
        <w:contextualSpacing/>
        <w:jc w:val="both"/>
        <w:rPr>
          <w:rFonts w:ascii="Arial" w:eastAsia="Times New Roman" w:hAnsi="Arial" w:cs="Arial"/>
          <w:sz w:val="21"/>
          <w:szCs w:val="21"/>
          <w:lang w:val="es-ES" w:eastAsia="es-CO"/>
        </w:rPr>
      </w:pPr>
    </w:p>
    <w:bookmarkEnd w:id="5"/>
    <w:bookmarkEnd w:id="6"/>
    <w:p w14:paraId="0900DD96" w14:textId="77777777" w:rsidR="00741466" w:rsidRPr="006C6818" w:rsidRDefault="00741466" w:rsidP="00DC0D41">
      <w:pPr>
        <w:tabs>
          <w:tab w:val="left" w:pos="284"/>
        </w:tabs>
        <w:spacing w:after="0" w:line="276" w:lineRule="auto"/>
        <w:contextualSpacing/>
        <w:jc w:val="both"/>
        <w:rPr>
          <w:rFonts w:ascii="Arial" w:eastAsia="Calibri" w:hAnsi="Arial" w:cs="Arial"/>
          <w:b/>
        </w:rPr>
      </w:pPr>
      <w:r w:rsidRPr="006C6818">
        <w:rPr>
          <w:rFonts w:ascii="Arial" w:eastAsia="Calibri" w:hAnsi="Arial" w:cs="Arial"/>
          <w:b/>
        </w:rPr>
        <w:t>2. Consideraciones</w:t>
      </w:r>
    </w:p>
    <w:p w14:paraId="01416B35" w14:textId="77777777" w:rsidR="00741466" w:rsidRPr="006C6818" w:rsidRDefault="00741466" w:rsidP="00DC0D41">
      <w:pPr>
        <w:tabs>
          <w:tab w:val="left" w:pos="426"/>
        </w:tabs>
        <w:spacing w:after="0" w:line="276" w:lineRule="auto"/>
        <w:ind w:firstLine="709"/>
        <w:contextualSpacing/>
        <w:jc w:val="both"/>
        <w:rPr>
          <w:rFonts w:ascii="Arial" w:eastAsia="Calibri" w:hAnsi="Arial" w:cs="Arial"/>
          <w:bCs/>
        </w:rPr>
      </w:pPr>
    </w:p>
    <w:p w14:paraId="726A3620" w14:textId="77777777" w:rsidR="000B647E" w:rsidRPr="006C6818" w:rsidRDefault="000B647E" w:rsidP="00154185">
      <w:pPr>
        <w:tabs>
          <w:tab w:val="left" w:pos="426"/>
        </w:tabs>
        <w:spacing w:after="120" w:line="276" w:lineRule="auto"/>
        <w:jc w:val="both"/>
        <w:rPr>
          <w:rFonts w:ascii="Arial" w:eastAsia="Calibri" w:hAnsi="Arial" w:cs="Arial"/>
          <w:bCs/>
        </w:rPr>
      </w:pPr>
      <w:bookmarkStart w:id="8" w:name="_Hlk96420693"/>
      <w:r w:rsidRPr="006C6818">
        <w:rPr>
          <w:rFonts w:ascii="Arial" w:eastAsia="Calibri" w:hAnsi="Arial" w:cs="Arial"/>
          <w:bC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9" w:name="_Hlk61701014"/>
      <w:bookmarkStart w:id="10" w:name="_Hlk62136649"/>
      <w:r w:rsidRPr="006C6818">
        <w:rPr>
          <w:rFonts w:ascii="Arial" w:eastAsia="Calibri" w:hAnsi="Arial" w:cs="Arial"/>
          <w:bCs/>
        </w:rPr>
        <w:t xml:space="preserve"> Es necesario tener en cuenta que </w:t>
      </w:r>
      <w:bookmarkStart w:id="11" w:name="_Hlk61026958"/>
      <w:r w:rsidRPr="006C6818">
        <w:rPr>
          <w:rFonts w:ascii="Arial" w:eastAsia="Calibri" w:hAnsi="Arial" w:cs="Arial"/>
          <w:bC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298D9C98" w14:textId="292399B4" w:rsidR="002D58D0" w:rsidRPr="006C6818" w:rsidRDefault="000B647E" w:rsidP="002D58D0">
      <w:pPr>
        <w:tabs>
          <w:tab w:val="left" w:pos="426"/>
        </w:tabs>
        <w:spacing w:after="120" w:line="276" w:lineRule="auto"/>
        <w:ind w:firstLine="709"/>
        <w:jc w:val="both"/>
        <w:rPr>
          <w:rFonts w:ascii="Arial" w:eastAsia="Calibri" w:hAnsi="Arial" w:cs="Arial"/>
          <w:bCs/>
        </w:rPr>
      </w:pPr>
      <w:r w:rsidRPr="006C6818">
        <w:rPr>
          <w:rFonts w:ascii="Arial" w:hAnsi="Arial"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C6818">
        <w:rPr>
          <w:rFonts w:ascii="Arial" w:hAnsi="Arial" w:cs="Arial"/>
          <w:color w:val="000000" w:themeColor="text1"/>
          <w:vertAlign w:val="superscript"/>
          <w:lang w:val="es-ES"/>
        </w:rPr>
        <w:footnoteReference w:id="1"/>
      </w:r>
      <w:r w:rsidRPr="006C6818">
        <w:rPr>
          <w:rFonts w:ascii="Arial" w:hAnsi="Arial" w:cs="Arial"/>
          <w:color w:val="000000" w:themeColor="text1"/>
          <w:lang w:val="es-ES"/>
        </w:rPr>
        <w:t>. Esta competencia de interpretación de normas generales, por definición, no puede extenderse a la resolución de controversias, ni a brindar asesorías sobre casos puntuales.</w:t>
      </w:r>
      <w:bookmarkEnd w:id="11"/>
      <w:r w:rsidRPr="006C6818">
        <w:rPr>
          <w:rFonts w:ascii="Arial" w:hAnsi="Arial" w:cs="Arial"/>
          <w:color w:val="000000" w:themeColor="text1"/>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9"/>
      <w:bookmarkEnd w:id="10"/>
      <w:r w:rsidR="002B411F" w:rsidRPr="006C6818">
        <w:rPr>
          <w:rFonts w:ascii="Arial" w:hAnsi="Arial" w:cs="Arial"/>
          <w:color w:val="000000" w:themeColor="text1"/>
          <w:lang w:val="es-ES"/>
        </w:rPr>
        <w:t>L</w:t>
      </w:r>
      <w:r w:rsidRPr="006C6818">
        <w:rPr>
          <w:rFonts w:ascii="Arial" w:eastAsia="Calibri" w:hAnsi="Arial" w:cs="Arial"/>
          <w:color w:val="000000" w:themeColor="text1"/>
          <w:lang w:val="es-ES"/>
        </w:rPr>
        <w:t>a Subdirección, dentro de los límites de sus atribuciones, resolverá la consulta conforme a las normas generales en materia de contratación estatal, para lo cual se analizarán los siguientes temas:</w:t>
      </w:r>
      <w:bookmarkStart w:id="12" w:name="_Hlk76110351"/>
      <w:r w:rsidR="002D58D0" w:rsidRPr="006C6818">
        <w:rPr>
          <w:rFonts w:ascii="Arial" w:eastAsia="Calibri" w:hAnsi="Arial" w:cs="Arial"/>
          <w:bCs/>
        </w:rPr>
        <w:t xml:space="preserve"> i) definición y finalidad </w:t>
      </w:r>
      <w:r w:rsidR="002D58D0" w:rsidRPr="006C6818">
        <w:rPr>
          <w:rFonts w:ascii="Arial" w:eastAsia="Calibri" w:hAnsi="Arial" w:cs="Arial"/>
          <w:bCs/>
        </w:rPr>
        <w:lastRenderedPageBreak/>
        <w:t>de la Ley de Garantías Electorales</w:t>
      </w:r>
      <w:r w:rsidR="00D17B53" w:rsidRPr="006C6818">
        <w:rPr>
          <w:rFonts w:ascii="Arial" w:eastAsia="Calibri" w:hAnsi="Arial" w:cs="Arial"/>
          <w:bCs/>
        </w:rPr>
        <w:t>;</w:t>
      </w:r>
      <w:r w:rsidR="002D58D0" w:rsidRPr="006C6818">
        <w:rPr>
          <w:rFonts w:ascii="Arial" w:eastAsia="Calibri" w:hAnsi="Arial" w:cs="Arial"/>
          <w:bCs/>
        </w:rPr>
        <w:t xml:space="preserve"> </w:t>
      </w:r>
      <w:proofErr w:type="spellStart"/>
      <w:r w:rsidR="002D58D0" w:rsidRPr="006C6818">
        <w:rPr>
          <w:rFonts w:ascii="Arial" w:eastAsia="Calibri" w:hAnsi="Arial" w:cs="Arial"/>
          <w:bCs/>
        </w:rPr>
        <w:t>ii</w:t>
      </w:r>
      <w:proofErr w:type="spellEnd"/>
      <w:r w:rsidR="002D58D0" w:rsidRPr="006C6818">
        <w:rPr>
          <w:rFonts w:ascii="Arial" w:eastAsia="Calibri" w:hAnsi="Arial" w:cs="Arial"/>
          <w:bCs/>
        </w:rPr>
        <w:t>)</w:t>
      </w:r>
      <w:r w:rsidR="00D17B53" w:rsidRPr="006C6818">
        <w:rPr>
          <w:rFonts w:ascii="Arial" w:eastAsia="Calibri" w:hAnsi="Arial" w:cs="Arial"/>
          <w:bCs/>
        </w:rPr>
        <w:t xml:space="preserve"> las</w:t>
      </w:r>
      <w:r w:rsidR="002D58D0" w:rsidRPr="006C6818">
        <w:rPr>
          <w:rFonts w:ascii="Arial" w:eastAsia="Calibri" w:hAnsi="Arial" w:cs="Arial"/>
          <w:bCs/>
        </w:rPr>
        <w:t xml:space="preserve"> restricciones para elecciones presidenciales,</w:t>
      </w:r>
      <w:r w:rsidR="00D17B53" w:rsidRPr="006C6818">
        <w:rPr>
          <w:rFonts w:ascii="Arial" w:eastAsia="Calibri" w:hAnsi="Arial" w:cs="Arial"/>
          <w:bCs/>
        </w:rPr>
        <w:t xml:space="preserve"> donde se analizará el alcance del artículo 33 de la Ley de Garantías Electorales;</w:t>
      </w:r>
      <w:r w:rsidR="002D58D0" w:rsidRPr="006C6818">
        <w:rPr>
          <w:rFonts w:ascii="Arial" w:eastAsia="Calibri" w:hAnsi="Arial" w:cs="Arial"/>
          <w:bCs/>
        </w:rPr>
        <w:t xml:space="preserve"> </w:t>
      </w:r>
      <w:proofErr w:type="spellStart"/>
      <w:r w:rsidR="002D58D0" w:rsidRPr="006C6818">
        <w:rPr>
          <w:rFonts w:ascii="Arial" w:eastAsia="Calibri" w:hAnsi="Arial" w:cs="Arial"/>
          <w:bCs/>
        </w:rPr>
        <w:t>iii</w:t>
      </w:r>
      <w:proofErr w:type="spellEnd"/>
      <w:r w:rsidR="002D58D0" w:rsidRPr="006C6818">
        <w:rPr>
          <w:rFonts w:ascii="Arial" w:eastAsia="Calibri" w:hAnsi="Arial" w:cs="Arial"/>
          <w:bCs/>
        </w:rPr>
        <w:t xml:space="preserve">) </w:t>
      </w:r>
      <w:r w:rsidR="00D17B53" w:rsidRPr="006C6818">
        <w:rPr>
          <w:rFonts w:ascii="Arial" w:eastAsia="Calibri" w:hAnsi="Arial" w:cs="Arial"/>
          <w:bCs/>
        </w:rPr>
        <w:t xml:space="preserve">los </w:t>
      </w:r>
      <w:r w:rsidR="002D58D0" w:rsidRPr="006C6818">
        <w:rPr>
          <w:rFonts w:ascii="Arial" w:eastAsia="Calibri" w:hAnsi="Arial" w:cs="Arial"/>
          <w:bCs/>
        </w:rPr>
        <w:t>destinatarios de la prohibición del artículo 33 de la Ley 996 de 2005,</w:t>
      </w:r>
      <w:r w:rsidR="00D17B53" w:rsidRPr="006C6818">
        <w:rPr>
          <w:rFonts w:ascii="Arial" w:eastAsia="Calibri" w:hAnsi="Arial" w:cs="Arial"/>
          <w:bCs/>
        </w:rPr>
        <w:t xml:space="preserve"> donde se analizará la excepción a la prohibición frente a las entidades sanitarias y hospitalarias; y,</w:t>
      </w:r>
      <w:r w:rsidR="002D58D0" w:rsidRPr="006C6818">
        <w:rPr>
          <w:rFonts w:ascii="Arial" w:eastAsia="Calibri" w:hAnsi="Arial" w:cs="Arial"/>
          <w:bCs/>
        </w:rPr>
        <w:t xml:space="preserve"> </w:t>
      </w:r>
      <w:proofErr w:type="spellStart"/>
      <w:r w:rsidR="002D58D0" w:rsidRPr="006C6818">
        <w:rPr>
          <w:rFonts w:ascii="Arial" w:eastAsia="Calibri" w:hAnsi="Arial" w:cs="Arial"/>
          <w:bCs/>
        </w:rPr>
        <w:t>iv</w:t>
      </w:r>
      <w:proofErr w:type="spellEnd"/>
      <w:r w:rsidR="002D58D0" w:rsidRPr="006C6818">
        <w:rPr>
          <w:rFonts w:ascii="Arial" w:eastAsia="Calibri" w:hAnsi="Arial" w:cs="Arial"/>
          <w:bCs/>
        </w:rPr>
        <w:t xml:space="preserve">) </w:t>
      </w:r>
      <w:r w:rsidR="00D17B53" w:rsidRPr="006C6818">
        <w:rPr>
          <w:rFonts w:ascii="Arial" w:eastAsia="Calibri" w:hAnsi="Arial" w:cs="Arial"/>
          <w:bCs/>
        </w:rPr>
        <w:t>las restricciones para la celebración de contratos y convenios interadministrativos en los comicios para cargos de elección popular, donde se analizará la prohibición del parágrafo del artículo 38 de la Ley 996 de 2005</w:t>
      </w:r>
      <w:r w:rsidR="00D17B53" w:rsidRPr="006C6818">
        <w:rPr>
          <w:rFonts w:ascii="Arial" w:eastAsia="Calibri" w:hAnsi="Arial" w:cs="Arial"/>
        </w:rPr>
        <w:t>.</w:t>
      </w:r>
    </w:p>
    <w:bookmarkEnd w:id="12"/>
    <w:p w14:paraId="09B7EE73" w14:textId="1DA4F2A9" w:rsidR="00741466" w:rsidRPr="006C6818" w:rsidRDefault="00741466" w:rsidP="000B647E">
      <w:pPr>
        <w:tabs>
          <w:tab w:val="left" w:pos="426"/>
        </w:tabs>
        <w:spacing w:after="0" w:line="276" w:lineRule="auto"/>
        <w:ind w:firstLine="709"/>
        <w:contextualSpacing/>
        <w:jc w:val="both"/>
        <w:rPr>
          <w:rFonts w:ascii="Arial" w:eastAsia="Calibri" w:hAnsi="Arial" w:cs="Arial"/>
          <w:bCs/>
        </w:rPr>
      </w:pPr>
      <w:r w:rsidRPr="006C6818">
        <w:rPr>
          <w:rFonts w:ascii="Arial" w:eastAsia="Calibri" w:hAnsi="Arial" w:cs="Arial"/>
          <w:bCs/>
        </w:rPr>
        <w:t xml:space="preserve">La Agencia Nacional de Contratación Pública – Colombia Compra Eficiente </w:t>
      </w:r>
      <w:r w:rsidR="0013119A" w:rsidRPr="006C6818">
        <w:rPr>
          <w:rFonts w:ascii="Arial" w:eastAsia="Calibri" w:hAnsi="Arial" w:cs="Arial"/>
          <w:bCs/>
        </w:rPr>
        <w:t>se ha pronunciado</w:t>
      </w:r>
      <w:r w:rsidRPr="006C6818">
        <w:rPr>
          <w:rFonts w:ascii="Arial" w:eastAsia="Calibri" w:hAnsi="Arial" w:cs="Arial"/>
          <w:bCs/>
        </w:rPr>
        <w:t xml:space="preserve"> sobre la aplicación de la Ley 996 de 2005,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y C-164 del 22 de marzo de 2022. La tesis desarrollada en estos conceptos se reitera y complementa a continuación</w:t>
      </w:r>
      <w:r w:rsidR="0013119A" w:rsidRPr="006C6818">
        <w:rPr>
          <w:rFonts w:ascii="Arial" w:eastAsia="Calibri" w:hAnsi="Arial" w:cs="Arial"/>
          <w:bCs/>
        </w:rPr>
        <w:t>.</w:t>
      </w:r>
    </w:p>
    <w:bookmarkEnd w:id="8"/>
    <w:p w14:paraId="7043798E" w14:textId="77777777" w:rsidR="00741466" w:rsidRPr="006C6818" w:rsidRDefault="00741466" w:rsidP="00741466">
      <w:pPr>
        <w:tabs>
          <w:tab w:val="left" w:pos="426"/>
        </w:tabs>
        <w:spacing w:after="0" w:line="276" w:lineRule="auto"/>
        <w:ind w:firstLine="709"/>
        <w:contextualSpacing/>
        <w:jc w:val="both"/>
        <w:rPr>
          <w:rFonts w:ascii="Arial" w:eastAsia="Calibri" w:hAnsi="Arial" w:cs="Arial"/>
          <w:b/>
          <w:bCs/>
        </w:rPr>
      </w:pPr>
    </w:p>
    <w:p w14:paraId="679B3D3C" w14:textId="77777777" w:rsidR="00741466" w:rsidRPr="006C6818" w:rsidRDefault="00741466" w:rsidP="00741466">
      <w:pPr>
        <w:tabs>
          <w:tab w:val="left" w:pos="426"/>
        </w:tabs>
        <w:spacing w:after="0" w:line="276" w:lineRule="auto"/>
        <w:contextualSpacing/>
        <w:jc w:val="both"/>
        <w:rPr>
          <w:rFonts w:ascii="Arial" w:eastAsia="Calibri" w:hAnsi="Arial" w:cs="Arial"/>
          <w:b/>
          <w:bCs/>
        </w:rPr>
      </w:pPr>
      <w:r w:rsidRPr="006C6818">
        <w:rPr>
          <w:rFonts w:ascii="Arial" w:eastAsia="Calibri" w:hAnsi="Arial" w:cs="Arial"/>
          <w:b/>
          <w:bCs/>
        </w:rPr>
        <w:t>2.1. Definición y finalidad de la Ley de Garantías Electorales: alcance de las restricciones</w:t>
      </w:r>
    </w:p>
    <w:p w14:paraId="4989225A" w14:textId="77777777" w:rsidR="00741466" w:rsidRPr="006C6818" w:rsidRDefault="00741466" w:rsidP="00741466">
      <w:pPr>
        <w:tabs>
          <w:tab w:val="left" w:pos="426"/>
        </w:tabs>
        <w:spacing w:after="0" w:line="276" w:lineRule="auto"/>
        <w:ind w:firstLine="709"/>
        <w:contextualSpacing/>
        <w:jc w:val="both"/>
        <w:rPr>
          <w:rFonts w:ascii="Arial" w:eastAsia="Calibri" w:hAnsi="Arial" w:cs="Arial"/>
          <w:bCs/>
        </w:rPr>
      </w:pPr>
    </w:p>
    <w:p w14:paraId="2CF7C4B1" w14:textId="77777777" w:rsidR="00741466" w:rsidRPr="006C6818" w:rsidRDefault="00741466" w:rsidP="007C13AB">
      <w:pPr>
        <w:tabs>
          <w:tab w:val="left" w:pos="426"/>
        </w:tabs>
        <w:spacing w:after="120" w:line="276" w:lineRule="auto"/>
        <w:jc w:val="both"/>
        <w:rPr>
          <w:rFonts w:ascii="Arial" w:eastAsia="Times New Roman" w:hAnsi="Arial" w:cs="Arial"/>
          <w:bCs/>
          <w:lang w:eastAsia="es-CO"/>
        </w:rPr>
      </w:pPr>
      <w:r w:rsidRPr="006C6818">
        <w:rPr>
          <w:rFonts w:ascii="Arial" w:eastAsia="Calibri" w:hAnsi="Arial" w:cs="Arial"/>
          <w:bCs/>
        </w:rPr>
        <w:t>El ordenamiento jurídico colombiano contempla previsiones claras para evitar la obtención de beneficios personales en asuntos propios de la administración pública</w:t>
      </w:r>
      <w:r w:rsidRPr="006C6818">
        <w:rPr>
          <w:rFonts w:ascii="Arial" w:eastAsia="Calibri" w:hAnsi="Arial" w:cs="Arial"/>
          <w:bCs/>
          <w:i/>
          <w:iCs/>
        </w:rPr>
        <w:t xml:space="preserve">. </w:t>
      </w:r>
      <w:r w:rsidRPr="006C6818">
        <w:rPr>
          <w:rFonts w:ascii="Arial" w:eastAsia="Calibri" w:hAnsi="Arial"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6C6818">
        <w:rPr>
          <w:rFonts w:ascii="Arial" w:eastAsia="Calibri" w:hAnsi="Arial" w:cs="Arial"/>
          <w:bCs/>
          <w:vertAlign w:val="superscript"/>
        </w:rPr>
        <w:footnoteReference w:id="2"/>
      </w:r>
      <w:r w:rsidRPr="006C6818">
        <w:rPr>
          <w:rFonts w:ascii="Arial" w:eastAsia="Calibri" w:hAnsi="Arial" w:cs="Arial"/>
          <w:bCs/>
        </w:rPr>
        <w:t xml:space="preserve">. </w:t>
      </w:r>
    </w:p>
    <w:p w14:paraId="384186A7" w14:textId="77777777" w:rsidR="00741466" w:rsidRPr="006C6818" w:rsidRDefault="00741466" w:rsidP="007C13AB">
      <w:pPr>
        <w:tabs>
          <w:tab w:val="left" w:pos="426"/>
        </w:tabs>
        <w:spacing w:after="0" w:line="276" w:lineRule="auto"/>
        <w:ind w:firstLine="709"/>
        <w:contextualSpacing/>
        <w:jc w:val="both"/>
        <w:rPr>
          <w:rFonts w:ascii="Arial" w:eastAsia="Times New Roman" w:hAnsi="Arial" w:cs="Arial"/>
          <w:bCs/>
          <w:lang w:val="es-MX" w:eastAsia="es-CO"/>
        </w:rPr>
      </w:pPr>
      <w:r w:rsidRPr="006C6818">
        <w:rPr>
          <w:rFonts w:ascii="Arial" w:eastAsia="Times New Roman" w:hAnsi="Arial" w:cs="Arial"/>
          <w:bCs/>
          <w:lang w:eastAsia="es-CO"/>
        </w:rPr>
        <w:t>En el mismo sentido</w:t>
      </w:r>
      <w:r w:rsidRPr="006C6818">
        <w:rPr>
          <w:rFonts w:ascii="Arial" w:eastAsia="Times New Roman" w:hAnsi="Arial" w:cs="Arial"/>
          <w:bCs/>
          <w:lang w:val="es-MX" w:eastAsia="es-CO"/>
        </w:rPr>
        <w:t xml:space="preserve">, </w:t>
      </w:r>
      <w:bookmarkStart w:id="13" w:name="_Hlk99469684"/>
      <w:r w:rsidRPr="006C6818">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C6818">
        <w:rPr>
          <w:rFonts w:ascii="Arial" w:eastAsia="Times New Roman" w:hAnsi="Arial" w:cs="Arial"/>
          <w:bCs/>
          <w:vertAlign w:val="superscript"/>
          <w:lang w:val="es-MX" w:eastAsia="es-CO"/>
        </w:rPr>
        <w:footnoteReference w:id="3"/>
      </w:r>
      <w:r w:rsidRPr="006C6818">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C6818">
        <w:rPr>
          <w:rFonts w:ascii="Arial" w:eastAsia="Calibri" w:hAnsi="Arial" w:cs="Arial"/>
          <w:noProof/>
          <w:lang w:val="es-ES_tradnl"/>
        </w:rPr>
        <w:t xml:space="preserve"> </w:t>
      </w:r>
      <w:bookmarkEnd w:id="13"/>
      <w:r w:rsidRPr="006C6818">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44D79207" w14:textId="77777777" w:rsidR="00741466" w:rsidRPr="006C6818" w:rsidRDefault="00741466" w:rsidP="007C13AB">
      <w:pPr>
        <w:spacing w:after="0" w:line="276" w:lineRule="auto"/>
        <w:ind w:right="709"/>
        <w:contextualSpacing/>
        <w:jc w:val="both"/>
        <w:rPr>
          <w:rFonts w:ascii="Arial" w:eastAsia="Times New Roman" w:hAnsi="Arial" w:cs="Arial"/>
          <w:sz w:val="21"/>
          <w:szCs w:val="21"/>
          <w:lang w:val="es-ES" w:eastAsia="es-CO"/>
        </w:rPr>
      </w:pPr>
    </w:p>
    <w:p w14:paraId="1D09FCD3"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r w:rsidRPr="006C6818">
        <w:rPr>
          <w:rFonts w:ascii="Arial" w:eastAsia="Times New Roman" w:hAnsi="Arial" w:cs="Arial"/>
          <w:sz w:val="21"/>
          <w:szCs w:val="21"/>
          <w:lang w:val="es-ES" w:eastAsia="es-CO"/>
        </w:rPr>
        <w:t xml:space="preserve">[…] </w:t>
      </w:r>
      <w:r w:rsidRPr="006C6818">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334DBCF"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p>
    <w:p w14:paraId="3DE14DAB"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r w:rsidRPr="006C6818">
        <w:rPr>
          <w:rFonts w:ascii="Arial" w:eastAsia="Times New Roman" w:hAnsi="Arial" w:cs="Arial"/>
          <w:bCs/>
          <w:sz w:val="21"/>
          <w:szCs w:val="21"/>
          <w:lang w:val="es-MX" w:eastAsia="es-CO"/>
        </w:rPr>
        <w:t xml:space="preserve">[…] </w:t>
      </w:r>
    </w:p>
    <w:p w14:paraId="076D7F2D"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p>
    <w:p w14:paraId="0EB4A3F6"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r w:rsidRPr="006C6818">
        <w:rPr>
          <w:rFonts w:ascii="Arial" w:eastAsia="Times New Roman"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6C6818">
        <w:rPr>
          <w:rFonts w:ascii="Arial" w:eastAsia="Times New Roman" w:hAnsi="Arial" w:cs="Arial"/>
          <w:bCs/>
          <w:sz w:val="21"/>
          <w:szCs w:val="21"/>
          <w:lang w:val="es-MX" w:eastAsia="es-CO"/>
        </w:rPr>
        <w:lastRenderedPageBreak/>
        <w:t>que, en el debate democrático, sean las ideas y las propuestas las que definan el ascenso al poder, y no el músculo económico de los que se lo disputan.</w:t>
      </w:r>
      <w:r w:rsidRPr="006C6818">
        <w:rPr>
          <w:rFonts w:ascii="Arial" w:eastAsia="Calibri" w:hAnsi="Arial" w:cs="Arial"/>
          <w:sz w:val="20"/>
          <w:szCs w:val="20"/>
          <w:vertAlign w:val="superscript"/>
          <w:lang w:val="es-MX"/>
        </w:rPr>
        <w:footnoteReference w:id="4"/>
      </w:r>
    </w:p>
    <w:p w14:paraId="4302DA33" w14:textId="77777777" w:rsidR="00741466" w:rsidRPr="006C6818" w:rsidRDefault="00741466" w:rsidP="00741466">
      <w:pPr>
        <w:spacing w:after="0" w:line="276" w:lineRule="auto"/>
        <w:ind w:left="709" w:right="709"/>
        <w:contextualSpacing/>
        <w:jc w:val="both"/>
        <w:rPr>
          <w:rFonts w:ascii="Arial" w:eastAsia="Times New Roman" w:hAnsi="Arial" w:cs="Arial"/>
          <w:bCs/>
          <w:sz w:val="21"/>
          <w:szCs w:val="21"/>
          <w:lang w:val="es-MX" w:eastAsia="es-CO"/>
        </w:rPr>
      </w:pPr>
    </w:p>
    <w:p w14:paraId="5F79BB74" w14:textId="77777777" w:rsidR="00741466" w:rsidRPr="006C6818" w:rsidRDefault="00741466" w:rsidP="007C13AB">
      <w:pPr>
        <w:spacing w:after="0" w:line="276" w:lineRule="auto"/>
        <w:ind w:firstLine="709"/>
        <w:contextualSpacing/>
        <w:jc w:val="both"/>
        <w:rPr>
          <w:rFonts w:ascii="Arial" w:eastAsia="Times New Roman" w:hAnsi="Arial" w:cs="Arial"/>
          <w:bCs/>
          <w:lang w:val="es-MX" w:eastAsia="es-CO"/>
        </w:rPr>
      </w:pPr>
      <w:bookmarkStart w:id="14" w:name="_Hlk78818186"/>
      <w:r w:rsidRPr="006C6818">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4"/>
      <w:r w:rsidRPr="006C6818">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C1944AE" w14:textId="77777777" w:rsidR="00741466" w:rsidRPr="006C6818" w:rsidRDefault="00741466" w:rsidP="007C13AB">
      <w:pPr>
        <w:spacing w:after="0" w:line="276" w:lineRule="auto"/>
        <w:ind w:firstLine="709"/>
        <w:contextualSpacing/>
        <w:jc w:val="both"/>
        <w:rPr>
          <w:rFonts w:ascii="Arial" w:eastAsia="Times New Roman" w:hAnsi="Arial" w:cs="Arial"/>
          <w:bCs/>
          <w:lang w:val="es-MX" w:eastAsia="es-CO"/>
        </w:rPr>
      </w:pPr>
    </w:p>
    <w:p w14:paraId="506CA47F"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r w:rsidRPr="006C6818">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C6818">
        <w:rPr>
          <w:rFonts w:ascii="Arial" w:eastAsia="Times New Roman" w:hAnsi="Arial" w:cs="Arial"/>
          <w:bCs/>
          <w:sz w:val="21"/>
          <w:szCs w:val="21"/>
          <w:lang w:val="es-MX" w:eastAsia="es-CO"/>
        </w:rPr>
        <w:t>legis</w:t>
      </w:r>
      <w:proofErr w:type="spellEnd"/>
      <w:r w:rsidRPr="006C6818">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2EF7B71"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p>
    <w:p w14:paraId="685FA00D" w14:textId="77777777" w:rsidR="00741466" w:rsidRPr="006C6818" w:rsidRDefault="00741466" w:rsidP="007C13AB">
      <w:pPr>
        <w:spacing w:after="0" w:line="240" w:lineRule="auto"/>
        <w:ind w:left="709" w:right="709"/>
        <w:contextualSpacing/>
        <w:jc w:val="both"/>
        <w:rPr>
          <w:rFonts w:ascii="Arial" w:eastAsia="Times New Roman" w:hAnsi="Arial" w:cs="Arial"/>
          <w:bCs/>
          <w:sz w:val="21"/>
          <w:szCs w:val="21"/>
          <w:lang w:val="es-MX" w:eastAsia="es-CO"/>
        </w:rPr>
      </w:pPr>
      <w:r w:rsidRPr="006C6818">
        <w:rPr>
          <w:rFonts w:ascii="Arial" w:eastAsia="Times New Roman" w:hAnsi="Arial" w:cs="Arial"/>
          <w:bCs/>
          <w:sz w:val="21"/>
          <w:szCs w:val="21"/>
          <w:lang w:val="es-MX" w:eastAsia="es-CO"/>
        </w:rPr>
        <w:t>La jurisprudencia de la Corte Constitucional</w:t>
      </w:r>
      <w:r w:rsidRPr="006C6818">
        <w:rPr>
          <w:rFonts w:ascii="Arial" w:eastAsia="Times New Roman" w:hAnsi="Arial" w:cs="Arial"/>
          <w:bCs/>
          <w:sz w:val="21"/>
          <w:szCs w:val="21"/>
          <w:vertAlign w:val="superscript"/>
          <w:lang w:val="es-MX" w:eastAsia="es-CO"/>
        </w:rPr>
        <w:footnoteReference w:id="5"/>
      </w:r>
      <w:r w:rsidRPr="006C6818">
        <w:rPr>
          <w:rFonts w:ascii="Arial" w:eastAsia="Times New Roman" w:hAnsi="Arial" w:cs="Arial"/>
          <w:bCs/>
          <w:sz w:val="21"/>
          <w:szCs w:val="21"/>
          <w:lang w:val="es-MX" w:eastAsia="es-CO"/>
        </w:rPr>
        <w:t> y del Consejo de Estado</w:t>
      </w:r>
      <w:r w:rsidRPr="006C6818">
        <w:rPr>
          <w:rFonts w:ascii="Arial" w:eastAsia="Times New Roman" w:hAnsi="Arial" w:cs="Arial"/>
          <w:bCs/>
          <w:sz w:val="21"/>
          <w:szCs w:val="21"/>
          <w:vertAlign w:val="superscript"/>
          <w:lang w:val="es-MX" w:eastAsia="es-CO"/>
        </w:rPr>
        <w:footnoteReference w:id="6"/>
      </w:r>
      <w:r w:rsidRPr="006C6818">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C6818">
        <w:rPr>
          <w:rFonts w:ascii="Arial" w:eastAsia="Times New Roman" w:hAnsi="Arial" w:cs="Arial"/>
          <w:bCs/>
          <w:vertAlign w:val="superscript"/>
          <w:lang w:val="es-MX" w:eastAsia="es-CO"/>
        </w:rPr>
        <w:footnoteReference w:id="7"/>
      </w:r>
      <w:r w:rsidRPr="006C6818">
        <w:rPr>
          <w:rFonts w:ascii="Arial" w:eastAsia="Times New Roman" w:hAnsi="Arial" w:cs="Arial"/>
          <w:bCs/>
          <w:sz w:val="21"/>
          <w:szCs w:val="21"/>
          <w:lang w:val="es-MX" w:eastAsia="es-CO"/>
        </w:rPr>
        <w:t>.</w:t>
      </w:r>
    </w:p>
    <w:p w14:paraId="378BF242" w14:textId="77777777" w:rsidR="00741466" w:rsidRPr="006C6818" w:rsidRDefault="00741466" w:rsidP="007C13AB">
      <w:pPr>
        <w:spacing w:after="0" w:line="276" w:lineRule="auto"/>
        <w:ind w:right="709"/>
        <w:contextualSpacing/>
        <w:jc w:val="both"/>
        <w:rPr>
          <w:rFonts w:ascii="Arial" w:eastAsia="Times New Roman" w:hAnsi="Arial" w:cs="Arial"/>
          <w:bCs/>
          <w:sz w:val="21"/>
          <w:szCs w:val="21"/>
          <w:lang w:val="es-MX" w:eastAsia="es-CO"/>
        </w:rPr>
      </w:pPr>
    </w:p>
    <w:p w14:paraId="0ED99829" w14:textId="77777777" w:rsidR="00741466" w:rsidRPr="006C6818" w:rsidRDefault="00741466" w:rsidP="007C13AB">
      <w:pPr>
        <w:spacing w:after="120" w:line="276" w:lineRule="auto"/>
        <w:jc w:val="both"/>
        <w:rPr>
          <w:rFonts w:ascii="Arial" w:eastAsia="Arial" w:hAnsi="Arial" w:cs="Arial"/>
          <w:lang w:val="es-ES" w:eastAsia="es-ES" w:bidi="es-ES"/>
        </w:rPr>
      </w:pPr>
      <w:r w:rsidRPr="006C6818">
        <w:rPr>
          <w:rFonts w:ascii="Arial" w:eastAsia="Times New Roman" w:hAnsi="Arial" w:cs="Arial"/>
          <w:bCs/>
          <w:lang w:val="es-MX" w:eastAsia="es-CO"/>
        </w:rPr>
        <w:tab/>
      </w:r>
      <w:bookmarkStart w:id="15" w:name="_Hlk99469856"/>
      <w:r w:rsidRPr="006C6818">
        <w:rPr>
          <w:rFonts w:ascii="Arial" w:eastAsia="Times New Roman" w:hAnsi="Arial" w:cs="Arial"/>
          <w:bCs/>
          <w:lang w:val="es-MX" w:eastAsia="es-CO"/>
        </w:rPr>
        <w:t>De</w:t>
      </w:r>
      <w:r w:rsidRPr="006C6818">
        <w:rPr>
          <w:rFonts w:ascii="Arial" w:eastAsia="Arial" w:hAnsi="Arial" w:cs="Arial"/>
          <w:lang w:val="es-ES" w:eastAsia="es-ES" w:bidi="es-ES"/>
        </w:rPr>
        <w:t xml:space="preserve"> conformidad con lo anterior, </w:t>
      </w:r>
      <w:bookmarkStart w:id="16" w:name="_Hlk77236098"/>
      <w:r w:rsidRPr="006C6818">
        <w:rPr>
          <w:rFonts w:ascii="Arial" w:eastAsia="Arial" w:hAnsi="Arial" w:cs="Arial"/>
          <w:lang w:val="es-ES"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w:t>
      </w:r>
      <w:r w:rsidRPr="006C6818">
        <w:rPr>
          <w:rFonts w:ascii="Arial" w:eastAsia="Arial" w:hAnsi="Arial" w:cs="Arial"/>
          <w:lang w:val="es-ES" w:eastAsia="es-ES" w:bidi="es-ES"/>
        </w:rPr>
        <w:lastRenderedPageBreak/>
        <w:t>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6"/>
    </w:p>
    <w:p w14:paraId="4CAF09A0" w14:textId="77777777" w:rsidR="00741466" w:rsidRPr="006C6818" w:rsidRDefault="00741466" w:rsidP="007C13AB">
      <w:pPr>
        <w:spacing w:after="120" w:line="276" w:lineRule="auto"/>
        <w:ind w:firstLine="708"/>
        <w:jc w:val="both"/>
        <w:rPr>
          <w:rFonts w:ascii="Arial" w:eastAsia="Calibri" w:hAnsi="Arial" w:cs="Arial"/>
        </w:rPr>
      </w:pPr>
      <w:r w:rsidRPr="006C6818">
        <w:rPr>
          <w:rFonts w:ascii="Arial" w:eastAsia="Calibri" w:hAnsi="Arial" w:cs="Arial"/>
        </w:rPr>
        <w:t xml:space="preserve">Por un lado, el artículo 33 de la Ley 996 de 2005 prohíbe </w:t>
      </w:r>
      <w:r w:rsidRPr="006C6818">
        <w:rPr>
          <w:rFonts w:ascii="Arial" w:eastAsia="Calibri" w:hAnsi="Arial" w:cs="Arial"/>
          <w:bCs/>
        </w:rPr>
        <w:t xml:space="preserve">«[…] </w:t>
      </w:r>
      <w:r w:rsidRPr="006C6818">
        <w:rPr>
          <w:rFonts w:ascii="Arial" w:eastAsia="Calibri" w:hAnsi="Arial" w:cs="Arial"/>
        </w:rPr>
        <w:t>la contratación directa por parte de todos los entes del Estado</w:t>
      </w:r>
      <w:r w:rsidRPr="006C6818">
        <w:rPr>
          <w:rFonts w:ascii="Arial" w:eastAsia="Calibri" w:hAnsi="Arial" w:cs="Arial"/>
          <w:bCs/>
        </w:rPr>
        <w:t>»</w:t>
      </w:r>
      <w:r w:rsidRPr="006C6818">
        <w:rPr>
          <w:rFonts w:ascii="Arial" w:eastAsia="Calibri" w:hAnsi="Arial" w:cs="Arial"/>
        </w:rPr>
        <w:t xml:space="preserve"> durante los cuatro (4) meses anteriores a las elecciones presidenciales, salvo </w:t>
      </w:r>
      <w:r w:rsidRPr="006C6818">
        <w:rPr>
          <w:rFonts w:ascii="Arial" w:eastAsia="Calibri" w:hAnsi="Arial" w:cs="Arial"/>
          <w:bCs/>
        </w:rPr>
        <w:t xml:space="preserve">«[…] </w:t>
      </w:r>
      <w:r w:rsidRPr="006C6818">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C6818">
        <w:rPr>
          <w:rFonts w:ascii="Arial" w:eastAsia="Calibri" w:hAnsi="Arial" w:cs="Arial"/>
          <w:bCs/>
        </w:rPr>
        <w:t>»</w:t>
      </w:r>
      <w:r w:rsidRPr="006C6818">
        <w:rPr>
          <w:rFonts w:ascii="Arial" w:eastAsia="Calibri" w:hAnsi="Arial" w:cs="Arial"/>
          <w:bCs/>
          <w:vertAlign w:val="superscript"/>
        </w:rPr>
        <w:footnoteReference w:id="8"/>
      </w:r>
      <w:r w:rsidRPr="006C6818">
        <w:rPr>
          <w:rFonts w:ascii="Arial" w:eastAsia="Calibri" w:hAnsi="Arial" w:cs="Arial"/>
        </w:rPr>
        <w:t>.</w:t>
      </w:r>
    </w:p>
    <w:p w14:paraId="177E504F" w14:textId="5BFDFB82" w:rsidR="00741466" w:rsidRPr="006C6818" w:rsidRDefault="00741466" w:rsidP="00154185">
      <w:pPr>
        <w:widowControl w:val="0"/>
        <w:autoSpaceDE w:val="0"/>
        <w:autoSpaceDN w:val="0"/>
        <w:spacing w:after="120" w:line="276" w:lineRule="auto"/>
        <w:ind w:right="113" w:firstLine="708"/>
        <w:jc w:val="both"/>
        <w:rPr>
          <w:rFonts w:ascii="Arial" w:eastAsia="Arial" w:hAnsi="Arial" w:cs="Arial"/>
          <w:lang w:val="es-ES" w:eastAsia="es-ES" w:bidi="es-ES"/>
        </w:rPr>
      </w:pPr>
      <w:r w:rsidRPr="006C6818">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C6818">
        <w:rPr>
          <w:rFonts w:ascii="Arial" w:eastAsia="Calibri" w:hAnsi="Arial" w:cs="Arial"/>
          <w:bCs/>
        </w:rPr>
        <w:t xml:space="preserve">«[…] </w:t>
      </w:r>
      <w:r w:rsidRPr="006C6818">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C6818">
        <w:rPr>
          <w:rFonts w:ascii="Arial" w:eastAsia="Calibri" w:hAnsi="Arial" w:cs="Arial"/>
          <w:bCs/>
          <w:sz w:val="19"/>
          <w:szCs w:val="19"/>
        </w:rPr>
        <w:t>»</w:t>
      </w:r>
      <w:r w:rsidRPr="006C6818">
        <w:rPr>
          <w:rFonts w:ascii="Arial" w:eastAsia="Calibri" w:hAnsi="Arial" w:cs="Arial"/>
          <w:bCs/>
          <w:sz w:val="19"/>
          <w:szCs w:val="19"/>
          <w:vertAlign w:val="superscript"/>
        </w:rPr>
        <w:footnoteReference w:id="9"/>
      </w:r>
      <w:r w:rsidRPr="006C6818">
        <w:rPr>
          <w:rFonts w:ascii="Arial" w:eastAsia="Calibri" w:hAnsi="Arial" w:cs="Arial"/>
          <w:lang w:val="es-MX"/>
        </w:rPr>
        <w:t>.</w:t>
      </w:r>
      <w:r w:rsidRPr="006C6818">
        <w:rPr>
          <w:rFonts w:ascii="Arial" w:eastAsia="Arial" w:hAnsi="Arial" w:cs="Arial"/>
          <w:lang w:val="es-ES" w:eastAsia="es-ES" w:bidi="es-ES"/>
        </w:rPr>
        <w:t xml:space="preserve"> </w:t>
      </w:r>
      <w:bookmarkEnd w:id="15"/>
      <w:r w:rsidRPr="006C6818">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63DB9348" w14:textId="77777777" w:rsidR="00741466" w:rsidRPr="006C6818" w:rsidRDefault="00741466" w:rsidP="007C13AB">
      <w:pPr>
        <w:widowControl w:val="0"/>
        <w:autoSpaceDE w:val="0"/>
        <w:autoSpaceDN w:val="0"/>
        <w:spacing w:after="0" w:line="276" w:lineRule="auto"/>
        <w:ind w:left="805" w:right="812"/>
        <w:contextualSpacing/>
        <w:jc w:val="both"/>
        <w:rPr>
          <w:rFonts w:ascii="Arial" w:eastAsia="Arial" w:hAnsi="Arial" w:cs="Arial"/>
          <w:color w:val="FF0000"/>
          <w:lang w:val="es-ES" w:eastAsia="es-ES" w:bidi="es-ES"/>
        </w:rPr>
      </w:pPr>
    </w:p>
    <w:p w14:paraId="79AE0DEA" w14:textId="77777777" w:rsidR="00741466" w:rsidRPr="006C6818" w:rsidRDefault="00741466" w:rsidP="007C13AB">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C681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w:t>
      </w:r>
      <w:r w:rsidRPr="006C6818">
        <w:rPr>
          <w:rFonts w:ascii="Arial" w:eastAsia="Arial" w:hAnsi="Arial" w:cs="Arial"/>
          <w:sz w:val="21"/>
          <w:szCs w:val="21"/>
          <w:lang w:val="es-ES" w:eastAsia="es-ES" w:bidi="es-ES"/>
        </w:rPr>
        <w:lastRenderedPageBreak/>
        <w:t xml:space="preserve">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6C6818">
        <w:rPr>
          <w:rFonts w:ascii="Arial" w:eastAsia="Arial" w:hAnsi="Arial" w:cs="Arial"/>
          <w:sz w:val="21"/>
          <w:szCs w:val="21"/>
          <w:lang w:val="es-ES" w:eastAsia="es-ES" w:bidi="es-ES"/>
        </w:rPr>
        <w:t>se integran parcialmente</w:t>
      </w:r>
      <w:bookmarkEnd w:id="19"/>
      <w:r w:rsidRPr="006C681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C6818">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C6818">
        <w:rPr>
          <w:rFonts w:ascii="Arial" w:eastAsia="Arial" w:hAnsi="Arial" w:cs="Arial"/>
          <w:sz w:val="21"/>
          <w:szCs w:val="21"/>
          <w:lang w:val="es-ES" w:eastAsia="es-ES" w:bidi="es-ES"/>
        </w:rPr>
        <w:t>.</w:t>
      </w:r>
      <w:r w:rsidRPr="006C6818">
        <w:rPr>
          <w:rFonts w:ascii="Arial" w:eastAsia="Arial" w:hAnsi="Arial" w:cs="Arial"/>
          <w:sz w:val="21"/>
          <w:szCs w:val="21"/>
          <w:vertAlign w:val="superscript"/>
          <w:lang w:val="es-ES" w:eastAsia="es-ES" w:bidi="es-ES"/>
        </w:rPr>
        <w:footnoteReference w:id="10"/>
      </w:r>
    </w:p>
    <w:p w14:paraId="2558C544" w14:textId="77777777" w:rsidR="00741466" w:rsidRPr="006C6818" w:rsidRDefault="00741466" w:rsidP="007C13AB">
      <w:pPr>
        <w:widowControl w:val="0"/>
        <w:autoSpaceDE w:val="0"/>
        <w:autoSpaceDN w:val="0"/>
        <w:spacing w:after="0" w:line="276" w:lineRule="auto"/>
        <w:contextualSpacing/>
        <w:rPr>
          <w:rFonts w:ascii="Arial" w:eastAsia="Arial" w:hAnsi="Arial" w:cs="Arial"/>
          <w:lang w:val="es-ES" w:eastAsia="es-ES" w:bidi="es-ES"/>
        </w:rPr>
      </w:pPr>
    </w:p>
    <w:p w14:paraId="599493E6" w14:textId="06C61BC7" w:rsidR="00741466" w:rsidRPr="006C6818" w:rsidRDefault="00741466" w:rsidP="007C13AB">
      <w:pPr>
        <w:spacing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 xml:space="preserve">De conformidad con lo anterior, </w:t>
      </w:r>
      <w:bookmarkStart w:id="20" w:name="_Hlk77236420"/>
      <w:bookmarkStart w:id="21" w:name="_Hlk78818435"/>
      <w:bookmarkStart w:id="22" w:name="_Hlk75780333"/>
      <w:r w:rsidRPr="006C6818">
        <w:rPr>
          <w:rFonts w:ascii="Arial" w:eastAsia="Arial" w:hAnsi="Arial" w:cs="Arial"/>
          <w:lang w:val="es-ES" w:eastAsia="es-ES" w:bidi="es-ES"/>
        </w:rPr>
        <w:t xml:space="preserve">la Ley 996 de 2005 establece dos (2) tipos de restricciones en materia de contratación, las cuales coinciden parcialmente. </w:t>
      </w:r>
      <w:r w:rsidRPr="006C6818">
        <w:rPr>
          <w:rFonts w:ascii="Arial" w:eastAsia="Arial" w:hAnsi="Arial" w:cs="Arial"/>
          <w:i/>
          <w:iCs/>
          <w:lang w:val="es-ES" w:eastAsia="es-ES" w:bidi="es-ES"/>
        </w:rPr>
        <w:t>En primer lugar</w:t>
      </w:r>
      <w:r w:rsidRPr="006C6818">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C6818">
        <w:rPr>
          <w:rFonts w:ascii="Arial" w:eastAsia="Arial" w:hAnsi="Arial" w:cs="Arial"/>
          <w:i/>
          <w:iCs/>
          <w:lang w:val="es-ES" w:eastAsia="es-ES" w:bidi="es-ES"/>
        </w:rPr>
        <w:t>En segundo lugar</w:t>
      </w:r>
      <w:r w:rsidRPr="006C6818">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0"/>
    </w:p>
    <w:bookmarkEnd w:id="21"/>
    <w:p w14:paraId="33FAC25C" w14:textId="39A69A52" w:rsidR="00741466" w:rsidRPr="006C6818" w:rsidRDefault="00741466" w:rsidP="007C13AB">
      <w:pPr>
        <w:spacing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C640DE" w:rsidRPr="006C6818">
        <w:rPr>
          <w:rFonts w:ascii="Arial" w:eastAsia="Arial" w:hAnsi="Arial" w:cs="Arial"/>
          <w:lang w:val="es-ES" w:eastAsia="es-ES" w:bidi="es-ES"/>
        </w:rPr>
        <w:t>o</w:t>
      </w:r>
      <w:r w:rsidRPr="006C6818">
        <w:rPr>
          <w:rFonts w:ascii="Arial" w:eastAsia="Arial" w:hAnsi="Arial" w:cs="Arial"/>
          <w:lang w:val="es-ES" w:eastAsia="es-ES" w:bidi="es-ES"/>
        </w:rPr>
        <w:t>lo deben aplicar las restricciones contenidas en el parágrafo del artículo 38.</w:t>
      </w:r>
    </w:p>
    <w:bookmarkEnd w:id="22"/>
    <w:p w14:paraId="35FF1B2A" w14:textId="77777777" w:rsidR="00741466" w:rsidRPr="006C6818" w:rsidRDefault="00741466" w:rsidP="00741466">
      <w:pPr>
        <w:spacing w:after="0" w:line="276" w:lineRule="auto"/>
        <w:ind w:firstLine="708"/>
        <w:contextualSpacing/>
        <w:jc w:val="both"/>
        <w:rPr>
          <w:rFonts w:ascii="Arial" w:eastAsia="Arial" w:hAnsi="Arial" w:cs="Arial"/>
          <w:lang w:val="es-ES" w:eastAsia="es-ES" w:bidi="es-ES"/>
        </w:rPr>
      </w:pPr>
      <w:r w:rsidRPr="006C6818">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Pr="006C6818">
        <w:rPr>
          <w:rFonts w:ascii="Arial" w:eastAsia="Arial" w:hAnsi="Arial" w:cs="Arial"/>
          <w:lang w:val="es-ES" w:eastAsia="es-ES" w:bidi="es-ES"/>
        </w:rPr>
        <w:lastRenderedPageBreak/>
        <w:t xml:space="preserve">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6C1E8A3" w14:textId="77777777" w:rsidR="00741466" w:rsidRPr="006C6818" w:rsidRDefault="00741466" w:rsidP="00741466">
      <w:pPr>
        <w:spacing w:after="0" w:line="276" w:lineRule="auto"/>
        <w:contextualSpacing/>
        <w:jc w:val="both"/>
        <w:rPr>
          <w:rFonts w:ascii="Arial" w:eastAsia="Times New Roman" w:hAnsi="Arial" w:cs="Arial"/>
          <w:bCs/>
          <w:lang w:val="es-ES" w:eastAsia="es-CO"/>
        </w:rPr>
      </w:pPr>
    </w:p>
    <w:p w14:paraId="2806688B" w14:textId="7724EC54" w:rsidR="00741466" w:rsidRPr="006C6818" w:rsidRDefault="00741466" w:rsidP="00741466">
      <w:pPr>
        <w:spacing w:after="0" w:line="276" w:lineRule="auto"/>
        <w:contextualSpacing/>
        <w:jc w:val="both"/>
        <w:rPr>
          <w:rFonts w:ascii="Arial" w:eastAsia="Times New Roman" w:hAnsi="Arial" w:cs="Arial"/>
          <w:b/>
          <w:lang w:val="es-ES" w:eastAsia="es-CO"/>
        </w:rPr>
      </w:pPr>
      <w:r w:rsidRPr="006C6818">
        <w:rPr>
          <w:rFonts w:ascii="Arial" w:eastAsia="Times New Roman" w:hAnsi="Arial" w:cs="Arial"/>
          <w:b/>
          <w:lang w:val="es-ES" w:eastAsia="es-CO"/>
        </w:rPr>
        <w:t xml:space="preserve">2.2. </w:t>
      </w:r>
      <w:r w:rsidRPr="006C6818">
        <w:rPr>
          <w:rFonts w:ascii="Arial" w:eastAsia="Times New Roman" w:hAnsi="Arial" w:cs="Arial"/>
          <w:b/>
          <w:bCs/>
          <w:lang w:val="es-MX" w:eastAsia="es-CO"/>
        </w:rPr>
        <w:t>Restricciones en elecciones presidenciales</w:t>
      </w:r>
      <w:r w:rsidR="00F27F22" w:rsidRPr="006C6818">
        <w:rPr>
          <w:rFonts w:ascii="Arial" w:eastAsia="Times New Roman" w:hAnsi="Arial" w:cs="Arial"/>
          <w:b/>
          <w:bCs/>
          <w:lang w:val="es-MX" w:eastAsia="es-CO"/>
        </w:rPr>
        <w:t xml:space="preserve">: </w:t>
      </w:r>
      <w:r w:rsidR="00BF3BB7" w:rsidRPr="006C6818">
        <w:rPr>
          <w:rFonts w:ascii="Arial" w:eastAsia="Times New Roman" w:hAnsi="Arial" w:cs="Arial"/>
          <w:b/>
          <w:bCs/>
          <w:lang w:val="es-MX" w:eastAsia="es-CO"/>
        </w:rPr>
        <w:t>prohibición del artículo 33 de la Ley 996 de 2005</w:t>
      </w:r>
    </w:p>
    <w:p w14:paraId="18E5603C" w14:textId="77777777" w:rsidR="00741466" w:rsidRPr="006C6818" w:rsidRDefault="00741466" w:rsidP="00741466">
      <w:pPr>
        <w:spacing w:after="0" w:line="276" w:lineRule="auto"/>
        <w:contextualSpacing/>
        <w:jc w:val="both"/>
        <w:rPr>
          <w:rFonts w:ascii="Arial" w:eastAsia="Times New Roman" w:hAnsi="Arial" w:cs="Arial"/>
          <w:bCs/>
          <w:lang w:val="es-MX" w:eastAsia="x-none"/>
        </w:rPr>
      </w:pPr>
    </w:p>
    <w:p w14:paraId="32A99911" w14:textId="77777777" w:rsidR="00741466" w:rsidRPr="006C6818" w:rsidRDefault="00741466" w:rsidP="00741466">
      <w:pPr>
        <w:spacing w:after="0" w:line="276" w:lineRule="auto"/>
        <w:contextualSpacing/>
        <w:jc w:val="both"/>
        <w:rPr>
          <w:rFonts w:ascii="Arial" w:eastAsia="Times New Roman" w:hAnsi="Arial" w:cs="Arial"/>
          <w:bCs/>
          <w:lang w:val="es-MX" w:eastAsia="es-CO"/>
        </w:rPr>
      </w:pPr>
      <w:r w:rsidRPr="006C6818">
        <w:rPr>
          <w:rFonts w:ascii="Arial" w:eastAsia="Times New Roman" w:hAnsi="Arial" w:cs="Arial"/>
          <w:bCs/>
          <w:lang w:val="es-MX" w:eastAsia="x-none"/>
        </w:rPr>
        <w:t xml:space="preserve">El ámbito material de la prohibición contenida </w:t>
      </w:r>
      <w:bookmarkStart w:id="23" w:name="_Hlk75628761"/>
      <w:r w:rsidRPr="006C6818">
        <w:rPr>
          <w:rFonts w:ascii="Arial" w:eastAsia="Times New Roman" w:hAnsi="Arial" w:cs="Arial"/>
          <w:bCs/>
          <w:lang w:val="es-MX" w:eastAsia="x-none"/>
        </w:rPr>
        <w:t xml:space="preserve">en el artículo 33 de la Ley 996 de 2005 </w:t>
      </w:r>
      <w:bookmarkEnd w:id="23"/>
      <w:r w:rsidRPr="006C6818">
        <w:rPr>
          <w:rFonts w:ascii="Arial" w:eastAsia="Times New Roman" w:hAnsi="Arial" w:cs="Arial"/>
          <w:bCs/>
          <w:lang w:val="es-MX" w:eastAsia="x-none"/>
        </w:rPr>
        <w:t xml:space="preserve">está delimitado por la expresión </w:t>
      </w:r>
      <w:r w:rsidRPr="006C6818">
        <w:rPr>
          <w:rFonts w:ascii="Arial" w:eastAsia="Calibri" w:hAnsi="Arial" w:cs="Arial"/>
          <w:bCs/>
          <w:sz w:val="20"/>
          <w:szCs w:val="20"/>
          <w:lang w:val="es-MX"/>
        </w:rPr>
        <w:t>«</w:t>
      </w:r>
      <w:r w:rsidRPr="006C6818">
        <w:rPr>
          <w:rFonts w:ascii="Arial" w:eastAsia="Times New Roman" w:hAnsi="Arial" w:cs="Arial"/>
          <w:bCs/>
          <w:lang w:val="es-MX" w:eastAsia="x-none"/>
        </w:rPr>
        <w:t>queda prohibida la contratación directa</w:t>
      </w:r>
      <w:r w:rsidRPr="006C6818">
        <w:rPr>
          <w:rFonts w:ascii="Arial" w:eastAsia="Calibri" w:hAnsi="Arial" w:cs="Arial"/>
          <w:sz w:val="20"/>
          <w:szCs w:val="20"/>
          <w:lang w:val="es-MX"/>
        </w:rPr>
        <w:t>»</w:t>
      </w:r>
      <w:r w:rsidRPr="006C6818">
        <w:rPr>
          <w:rFonts w:ascii="Arial" w:eastAsia="Times New Roman" w:hAnsi="Arial" w:cs="Arial"/>
          <w:bCs/>
          <w:lang w:val="es-MX" w:eastAsia="x-none"/>
        </w:rPr>
        <w:t>.</w:t>
      </w:r>
      <w:r w:rsidRPr="006C6818">
        <w:rPr>
          <w:rFonts w:ascii="Arial" w:eastAsia="Times New Roman" w:hAnsi="Arial" w:cs="Arial"/>
          <w:lang w:val="es-MX" w:eastAsia="es-CO"/>
        </w:rPr>
        <w:t xml:space="preserve"> A propósito de </w:t>
      </w:r>
      <w:r w:rsidRPr="006C6818">
        <w:rPr>
          <w:rFonts w:ascii="Arial" w:eastAsia="Times New Roman" w:hAnsi="Arial" w:cs="Arial"/>
          <w:lang w:eastAsia="es-CO"/>
        </w:rPr>
        <w:t>esta restricción de la Ley de Garantías Electorales, la Sala de Consulta y Servicio Civil del Consejo de Estado ha considerado que:</w:t>
      </w:r>
    </w:p>
    <w:p w14:paraId="2F61EEA7" w14:textId="77777777" w:rsidR="00741466" w:rsidRPr="006C6818" w:rsidRDefault="00741466" w:rsidP="00741466">
      <w:pPr>
        <w:spacing w:after="0" w:line="276" w:lineRule="auto"/>
        <w:ind w:left="708" w:right="709"/>
        <w:contextualSpacing/>
        <w:jc w:val="both"/>
        <w:rPr>
          <w:rFonts w:ascii="Arial" w:eastAsia="Calibri" w:hAnsi="Arial" w:cs="Arial"/>
          <w:sz w:val="21"/>
          <w:szCs w:val="21"/>
          <w:lang w:val="es-MX"/>
        </w:rPr>
      </w:pPr>
    </w:p>
    <w:p w14:paraId="5B0D4F76" w14:textId="01A9E69F" w:rsidR="00741466" w:rsidRPr="006C6818" w:rsidRDefault="00741466" w:rsidP="00D95DD9">
      <w:pPr>
        <w:spacing w:after="0" w:line="240" w:lineRule="auto"/>
        <w:ind w:left="709" w:right="709"/>
        <w:contextualSpacing/>
        <w:jc w:val="both"/>
        <w:rPr>
          <w:rFonts w:ascii="Arial" w:eastAsia="Calibri" w:hAnsi="Arial" w:cs="Arial"/>
          <w:sz w:val="21"/>
          <w:szCs w:val="21"/>
          <w:lang w:val="es-MX"/>
        </w:rPr>
      </w:pPr>
      <w:r w:rsidRPr="006C6818">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C6818">
        <w:rPr>
          <w:rFonts w:ascii="Arial" w:eastAsia="Times New Roman" w:hAnsi="Arial" w:cs="Arial"/>
          <w:vertAlign w:val="superscript"/>
          <w:lang w:eastAsia="es-CO"/>
        </w:rPr>
        <w:footnoteReference w:id="11"/>
      </w:r>
      <w:r w:rsidRPr="006C6818">
        <w:rPr>
          <w:rFonts w:ascii="Arial" w:eastAsia="Calibri" w:hAnsi="Arial" w:cs="Arial"/>
          <w:sz w:val="21"/>
          <w:szCs w:val="21"/>
          <w:lang w:val="es-MX"/>
        </w:rPr>
        <w:t>.</w:t>
      </w:r>
    </w:p>
    <w:p w14:paraId="6E010E44" w14:textId="77777777" w:rsidR="00D95DD9" w:rsidRPr="006C6818" w:rsidRDefault="00D95DD9" w:rsidP="00D95DD9">
      <w:pPr>
        <w:spacing w:after="0" w:line="240" w:lineRule="auto"/>
        <w:ind w:left="709" w:right="709"/>
        <w:contextualSpacing/>
        <w:jc w:val="both"/>
        <w:rPr>
          <w:rFonts w:ascii="Arial" w:eastAsia="Calibri" w:hAnsi="Arial" w:cs="Arial"/>
          <w:sz w:val="21"/>
          <w:szCs w:val="21"/>
          <w:lang w:val="es-MX"/>
        </w:rPr>
      </w:pPr>
    </w:p>
    <w:p w14:paraId="28AE570F" w14:textId="77777777" w:rsidR="00741466" w:rsidRPr="006C6818" w:rsidRDefault="00741466" w:rsidP="00D95DD9">
      <w:pPr>
        <w:spacing w:after="0" w:line="240" w:lineRule="auto"/>
        <w:ind w:left="708" w:right="709"/>
        <w:contextualSpacing/>
        <w:jc w:val="both"/>
        <w:rPr>
          <w:rFonts w:ascii="Arial" w:eastAsia="Calibri" w:hAnsi="Arial" w:cs="Arial"/>
          <w:sz w:val="21"/>
          <w:szCs w:val="21"/>
          <w:lang w:val="es-MX"/>
        </w:rPr>
      </w:pPr>
      <w:r w:rsidRPr="006C6818">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6" w:name="_Hlk75741738"/>
      <w:r w:rsidRPr="006C6818">
        <w:rPr>
          <w:rFonts w:ascii="Arial" w:eastAsia="Calibri" w:hAnsi="Arial" w:cs="Arial"/>
          <w:sz w:val="21"/>
          <w:szCs w:val="21"/>
          <w:lang w:val="es-MX"/>
        </w:rPr>
        <w:t xml:space="preserve">de cualquier sistema que no implique convocatoria pública y posibilidad de pluralidad de oferentes, </w:t>
      </w:r>
      <w:bookmarkEnd w:id="26"/>
      <w:r w:rsidRPr="006C6818">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C6818">
        <w:rPr>
          <w:rFonts w:ascii="Arial" w:eastAsia="Times New Roman" w:hAnsi="Arial" w:cs="Arial"/>
          <w:sz w:val="21"/>
          <w:szCs w:val="21"/>
          <w:vertAlign w:val="superscript"/>
          <w:lang w:val="es-MX"/>
        </w:rPr>
        <w:footnoteReference w:id="12"/>
      </w:r>
      <w:r w:rsidRPr="006C6818">
        <w:rPr>
          <w:rFonts w:ascii="Arial" w:eastAsia="Times New Roman" w:hAnsi="Arial" w:cs="Arial"/>
          <w:sz w:val="21"/>
          <w:szCs w:val="21"/>
          <w:vertAlign w:val="superscript"/>
          <w:lang w:val="es-MX"/>
        </w:rPr>
        <w:t>.</w:t>
      </w:r>
      <w:r w:rsidRPr="006C6818">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C6818">
        <w:rPr>
          <w:rFonts w:ascii="Arial" w:eastAsia="Times New Roman" w:hAnsi="Arial" w:cs="Arial"/>
          <w:vertAlign w:val="superscript"/>
          <w:lang w:eastAsia="es-CO"/>
        </w:rPr>
        <w:footnoteReference w:id="13"/>
      </w:r>
    </w:p>
    <w:p w14:paraId="434E9139" w14:textId="77777777" w:rsidR="00741466" w:rsidRPr="006C6818" w:rsidRDefault="00741466" w:rsidP="00D95DD9">
      <w:pPr>
        <w:shd w:val="clear" w:color="auto" w:fill="FFFFFF"/>
        <w:spacing w:after="0" w:line="276" w:lineRule="auto"/>
        <w:ind w:firstLine="709"/>
        <w:contextualSpacing/>
        <w:jc w:val="both"/>
        <w:rPr>
          <w:rFonts w:ascii="Arial" w:eastAsia="Times New Roman" w:hAnsi="Arial" w:cs="Arial"/>
          <w:color w:val="FF0000"/>
          <w:lang w:eastAsia="x-none"/>
        </w:rPr>
      </w:pPr>
    </w:p>
    <w:p w14:paraId="38260914" w14:textId="1EFA93E9" w:rsidR="00741466" w:rsidRPr="006C6818" w:rsidRDefault="00C640DE" w:rsidP="00741466">
      <w:pPr>
        <w:spacing w:after="120" w:line="276" w:lineRule="auto"/>
        <w:ind w:firstLine="708"/>
        <w:jc w:val="both"/>
        <w:rPr>
          <w:rFonts w:ascii="Arial" w:eastAsia="Times New Roman" w:hAnsi="Arial" w:cs="Arial"/>
          <w:bCs/>
          <w:lang w:eastAsia="x-none"/>
        </w:rPr>
      </w:pPr>
      <w:bookmarkStart w:id="28" w:name="_Hlk94521748"/>
      <w:r w:rsidRPr="006C6818">
        <w:rPr>
          <w:rFonts w:ascii="Arial" w:hAnsi="Arial" w:cs="Arial"/>
          <w:lang w:val="es-ES_tradnl" w:eastAsia="x-none"/>
        </w:rPr>
        <w:t xml:space="preserve">De acuerdo con el citado concepto, la prohibición del artículo 33 de la Ley de Garantías Electorales se refiere a </w:t>
      </w:r>
      <w:r w:rsidRPr="006C6818">
        <w:rPr>
          <w:rFonts w:ascii="Arial" w:hAnsi="Arial" w:cs="Arial"/>
          <w:sz w:val="19"/>
          <w:szCs w:val="19"/>
          <w:lang w:val="es-ES_tradnl" w:eastAsia="en-GB"/>
        </w:rPr>
        <w:t>«</w:t>
      </w:r>
      <w:r w:rsidRPr="006C6818">
        <w:rPr>
          <w:rFonts w:ascii="Arial" w:hAnsi="Arial" w:cs="Arial"/>
          <w:lang w:val="es-ES_tradnl" w:eastAsia="x-none"/>
        </w:rPr>
        <w:t>cualquier sistema que no implique convocatoria pública y posibilidad de pluralidad de oferentes</w:t>
      </w:r>
      <w:r w:rsidRPr="006C6818">
        <w:rPr>
          <w:rFonts w:ascii="Arial" w:hAnsi="Arial" w:cs="Arial"/>
          <w:lang w:val="es-ES_tradnl" w:eastAsia="en-GB"/>
        </w:rPr>
        <w:t>»</w:t>
      </w:r>
      <w:r w:rsidRPr="006C6818">
        <w:rPr>
          <w:rFonts w:ascii="Arial" w:hAnsi="Arial" w:cs="Arial"/>
          <w:lang w:val="es-ES_tradnl" w:eastAsia="x-none"/>
        </w:rPr>
        <w:t xml:space="preserve">, por lo que excluye las demás modalidades de contratación previstas en la Ley 1150 de 2007, es decir, la licitación pública, la selección </w:t>
      </w:r>
      <w:r w:rsidRPr="006C6818">
        <w:rPr>
          <w:rFonts w:ascii="Arial" w:hAnsi="Arial" w:cs="Arial"/>
          <w:lang w:val="es-ES_tradnl" w:eastAsia="x-none"/>
        </w:rPr>
        <w:lastRenderedPageBreak/>
        <w:t>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6C6818">
        <w:rPr>
          <w:rFonts w:ascii="Arial" w:hAnsi="Arial" w:cs="Arial"/>
          <w:vertAlign w:val="superscript"/>
          <w:lang w:val="es-ES_tradnl" w:eastAsia="x-none"/>
        </w:rPr>
        <w:footnoteReference w:id="14"/>
      </w:r>
      <w:r w:rsidRPr="006C6818">
        <w:rPr>
          <w:rFonts w:ascii="Arial" w:hAnsi="Arial" w:cs="Arial"/>
          <w:lang w:val="es-ES_tradnl" w:eastAsia="x-none"/>
        </w:rPr>
        <w:t xml:space="preserve"> y sistematizó las causales de contratación directa</w:t>
      </w:r>
      <w:r w:rsidRPr="006C6818">
        <w:rPr>
          <w:rFonts w:ascii="Arial" w:hAnsi="Arial" w:cs="Arial"/>
          <w:vertAlign w:val="superscript"/>
          <w:lang w:val="es-ES_tradnl" w:eastAsia="x-none"/>
        </w:rPr>
        <w:footnoteReference w:id="15"/>
      </w:r>
      <w:r w:rsidRPr="006C6818">
        <w:rPr>
          <w:rFonts w:ascii="Arial" w:hAnsi="Arial" w:cs="Arial"/>
          <w:lang w:val="es-ES_tradnl" w:eastAsia="x-none"/>
        </w:rPr>
        <w:t xml:space="preserve">, </w:t>
      </w:r>
      <w:r w:rsidRPr="006C6818">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bookmarkEnd w:id="28"/>
    </w:p>
    <w:p w14:paraId="750FFD4B" w14:textId="793B3619" w:rsidR="00C640DE" w:rsidRPr="006C6818" w:rsidRDefault="00C640DE" w:rsidP="00741466">
      <w:pPr>
        <w:spacing w:after="120" w:line="276" w:lineRule="auto"/>
        <w:ind w:firstLine="708"/>
        <w:jc w:val="both"/>
        <w:rPr>
          <w:rFonts w:ascii="Arial" w:eastAsia="Times New Roman" w:hAnsi="Arial" w:cs="Arial"/>
          <w:lang w:val="es-MX" w:eastAsia="x-none"/>
        </w:rPr>
      </w:pPr>
      <w:r w:rsidRPr="006C6818">
        <w:rPr>
          <w:rFonts w:ascii="Arial" w:hAnsi="Arial" w:cs="Arial"/>
          <w:lang w:val="es-ES_tradnl" w:eastAsia="x-none"/>
        </w:rPr>
        <w:t xml:space="preserve">De esta forma, con fundamento en la evolución de la normativa sobre la contratación pública, se ha depurado la noción de </w:t>
      </w:r>
      <w:r w:rsidRPr="006C6818">
        <w:rPr>
          <w:rFonts w:ascii="Arial" w:hAnsi="Arial" w:cs="Arial"/>
          <w:sz w:val="19"/>
          <w:szCs w:val="19"/>
          <w:lang w:val="es-ES_tradnl" w:eastAsia="en-GB"/>
        </w:rPr>
        <w:t>«</w:t>
      </w:r>
      <w:r w:rsidRPr="006C6818">
        <w:rPr>
          <w:rFonts w:ascii="Arial" w:hAnsi="Arial" w:cs="Arial"/>
          <w:lang w:val="es-ES_tradnl" w:eastAsia="x-none"/>
        </w:rPr>
        <w:t>contratación directa</w:t>
      </w:r>
      <w:r w:rsidRPr="006C6818">
        <w:rPr>
          <w:rFonts w:ascii="Arial" w:hAnsi="Arial" w:cs="Arial"/>
          <w:lang w:val="es-ES_tradnl" w:eastAsia="en-GB"/>
        </w:rPr>
        <w:t>»</w:t>
      </w:r>
      <w:r w:rsidRPr="006C6818">
        <w:rPr>
          <w:rFonts w:ascii="Arial" w:hAnsi="Arial" w:cs="Arial"/>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C6818">
        <w:rPr>
          <w:rFonts w:ascii="Arial" w:hAnsi="Arial" w:cs="Arial"/>
          <w:vertAlign w:val="superscript"/>
          <w:lang w:val="es-ES_tradnl" w:eastAsia="x-none"/>
        </w:rPr>
        <w:footnoteReference w:id="16"/>
      </w:r>
      <w:r w:rsidRPr="006C6818">
        <w:rPr>
          <w:rFonts w:ascii="Arial" w:hAnsi="Arial" w:cs="Arial"/>
          <w:lang w:val="es-ES_tradnl" w:eastAsia="x-none"/>
        </w:rPr>
        <w:t>, han establecido sistemas de contratación que implican convocatoria pública y participación de varios oferentes</w:t>
      </w:r>
      <w:r w:rsidRPr="006C6818">
        <w:rPr>
          <w:rFonts w:ascii="Arial" w:hAnsi="Arial" w:cs="Arial"/>
          <w:lang w:val="es-ES_tradnl" w:eastAsia="en-GB"/>
        </w:rPr>
        <w:t>»</w:t>
      </w:r>
      <w:r w:rsidRPr="006C6818">
        <w:rPr>
          <w:rFonts w:ascii="Arial" w:hAnsi="Arial" w:cs="Arial"/>
          <w:lang w:val="es-ES_tradnl" w:eastAsia="x-none"/>
        </w:rPr>
        <w:t xml:space="preserve">. </w:t>
      </w:r>
    </w:p>
    <w:p w14:paraId="2D0BF227" w14:textId="77777777" w:rsidR="00741466" w:rsidRPr="006C6818" w:rsidRDefault="00741466" w:rsidP="00741466">
      <w:pPr>
        <w:spacing w:after="120" w:line="276" w:lineRule="auto"/>
        <w:ind w:firstLine="708"/>
        <w:jc w:val="both"/>
        <w:rPr>
          <w:rFonts w:ascii="Arial" w:eastAsia="Times New Roman" w:hAnsi="Arial" w:cs="Arial"/>
          <w:bCs/>
          <w:lang w:val="es-MX" w:eastAsia="es-CO"/>
        </w:rPr>
      </w:pPr>
      <w:r w:rsidRPr="006C6818">
        <w:rPr>
          <w:rFonts w:ascii="Arial" w:eastAsia="Times New Roman" w:hAnsi="Arial" w:cs="Arial"/>
          <w:bCs/>
          <w:lang w:val="es-MX" w:eastAsia="x-none"/>
        </w:rPr>
        <w:t>E</w:t>
      </w:r>
      <w:r w:rsidRPr="006C6818">
        <w:rPr>
          <w:rFonts w:ascii="Arial" w:eastAsia="Times New Roman" w:hAnsi="Arial" w:cs="Arial"/>
          <w:lang w:eastAsia="x-none"/>
        </w:rPr>
        <w:t xml:space="preserve">n efecto, vale la pena mencionar que, </w:t>
      </w:r>
      <w:bookmarkStart w:id="29" w:name="_Hlk75636073"/>
      <w:r w:rsidRPr="006C6818">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9"/>
      <w:r w:rsidRPr="006C6818">
        <w:rPr>
          <w:rFonts w:ascii="Arial" w:eastAsia="Times New Roman" w:hAnsi="Arial" w:cs="Arial"/>
          <w:vertAlign w:val="superscript"/>
          <w:lang w:eastAsia="x-none"/>
        </w:rPr>
        <w:footnoteReference w:id="17"/>
      </w:r>
      <w:r w:rsidRPr="006C6818">
        <w:rPr>
          <w:rFonts w:ascii="Arial" w:eastAsia="Times New Roman" w:hAnsi="Arial" w:cs="Arial"/>
          <w:lang w:eastAsia="x-none"/>
        </w:rPr>
        <w:t xml:space="preserve">. </w:t>
      </w:r>
    </w:p>
    <w:p w14:paraId="3E558C6C" w14:textId="24E86E28" w:rsidR="00741466" w:rsidRPr="006C6818" w:rsidRDefault="00741466" w:rsidP="00741466">
      <w:pPr>
        <w:spacing w:after="120" w:line="276" w:lineRule="auto"/>
        <w:ind w:firstLine="708"/>
        <w:jc w:val="both"/>
        <w:rPr>
          <w:rFonts w:ascii="Arial" w:eastAsia="Times New Roman" w:hAnsi="Arial" w:cs="Arial"/>
          <w:bCs/>
          <w:lang w:val="es-MX" w:eastAsia="es-CO"/>
        </w:rPr>
      </w:pPr>
      <w:r w:rsidRPr="006C6818">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BA1277" w:rsidRPr="006C6818">
        <w:rPr>
          <w:rFonts w:ascii="Arial" w:eastAsia="Times New Roman" w:hAnsi="Arial" w:cs="Arial"/>
          <w:bCs/>
          <w:lang w:val="es-MX" w:eastAsia="es-CO"/>
        </w:rPr>
        <w:t xml:space="preserve"> Electorales</w:t>
      </w:r>
      <w:r w:rsidRPr="006C6818">
        <w:rPr>
          <w:rFonts w:ascii="Arial" w:eastAsia="Times New Roman" w:hAnsi="Arial" w:cs="Arial"/>
          <w:bCs/>
          <w:lang w:val="es-MX" w:eastAsia="es-CO"/>
        </w:rPr>
        <w:t>,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2F8E54C" w14:textId="77777777" w:rsidR="00741466" w:rsidRPr="006C6818" w:rsidRDefault="00741466" w:rsidP="00741466">
      <w:pPr>
        <w:spacing w:after="120" w:line="276" w:lineRule="auto"/>
        <w:ind w:firstLine="708"/>
        <w:jc w:val="both"/>
        <w:rPr>
          <w:rFonts w:ascii="Arial" w:eastAsia="Times New Roman" w:hAnsi="Arial" w:cs="Arial"/>
          <w:bCs/>
          <w:lang w:val="es-MX" w:eastAsia="x-none"/>
        </w:rPr>
      </w:pPr>
      <w:bookmarkStart w:id="30" w:name="_Hlk78818796"/>
      <w:r w:rsidRPr="006C6818">
        <w:rPr>
          <w:rFonts w:ascii="Arial" w:eastAsia="Times New Roman" w:hAnsi="Arial" w:cs="Arial"/>
          <w:bCs/>
          <w:color w:val="FF0000"/>
          <w:lang w:val="es-MX" w:eastAsia="x-none"/>
        </w:rPr>
        <w:lastRenderedPageBreak/>
        <w:t xml:space="preserve"> </w:t>
      </w:r>
      <w:r w:rsidRPr="006C6818">
        <w:rPr>
          <w:rFonts w:ascii="Arial" w:eastAsia="Times New Roman" w:hAnsi="Arial" w:cs="Arial"/>
          <w:bCs/>
          <w:lang w:val="es-MX" w:eastAsia="x-none"/>
        </w:rPr>
        <w:t>Así las cosas</w:t>
      </w:r>
      <w:bookmarkStart w:id="31" w:name="_Hlk99470186"/>
      <w:r w:rsidRPr="006C6818">
        <w:rPr>
          <w:rFonts w:ascii="Arial" w:eastAsia="Times New Roman" w:hAnsi="Arial" w:cs="Arial"/>
          <w:bCs/>
          <w:lang w:val="es-MX" w:eastAsia="x-none"/>
        </w:rPr>
        <w:t xml:space="preserve">, ha de entenderse que, </w:t>
      </w:r>
      <w:bookmarkStart w:id="32" w:name="_Hlk100061039"/>
      <w:r w:rsidRPr="006C6818">
        <w:rPr>
          <w:rFonts w:ascii="Arial" w:eastAsia="Times New Roman" w:hAnsi="Arial" w:cs="Arial"/>
          <w:bCs/>
          <w:lang w:val="es-MX"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C6818">
        <w:rPr>
          <w:rFonts w:ascii="Arial" w:eastAsia="Times New Roman" w:hAnsi="Arial" w:cs="Arial"/>
          <w:vertAlign w:val="superscript"/>
          <w:lang w:eastAsia="x-none"/>
        </w:rPr>
        <w:footnoteReference w:id="18"/>
      </w:r>
      <w:r w:rsidRPr="006C6818">
        <w:rPr>
          <w:rFonts w:ascii="Arial" w:eastAsia="Times New Roman" w:hAnsi="Arial" w:cs="Arial"/>
          <w:bCs/>
          <w:lang w:val="es-MX" w:eastAsia="x-none"/>
        </w:rPr>
        <w:t>.</w:t>
      </w:r>
      <w:r w:rsidRPr="006C6818">
        <w:rPr>
          <w:rFonts w:ascii="Arial" w:eastAsia="Times New Roman" w:hAnsi="Arial" w:cs="Arial"/>
          <w:vertAlign w:val="superscript"/>
          <w:lang w:eastAsia="x-none"/>
        </w:rPr>
        <w:t xml:space="preserve"> </w:t>
      </w:r>
    </w:p>
    <w:bookmarkEnd w:id="30"/>
    <w:p w14:paraId="51817B2F" w14:textId="6F974AA0" w:rsidR="00741466" w:rsidRPr="006C6818" w:rsidRDefault="00741466" w:rsidP="00741466">
      <w:pPr>
        <w:spacing w:after="120" w:line="276" w:lineRule="auto"/>
        <w:ind w:firstLine="708"/>
        <w:jc w:val="both"/>
        <w:rPr>
          <w:rFonts w:ascii="Arial" w:eastAsia="Times New Roman" w:hAnsi="Arial" w:cs="Arial"/>
          <w:lang w:eastAsia="x-none"/>
        </w:rPr>
      </w:pPr>
      <w:r w:rsidRPr="006C6818">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C6818">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w:t>
      </w:r>
      <w:r w:rsidR="00F96C72" w:rsidRPr="006C6818">
        <w:rPr>
          <w:rFonts w:ascii="Arial" w:eastAsia="Times New Roman" w:hAnsi="Arial" w:cs="Arial"/>
          <w:lang w:eastAsia="x-none"/>
        </w:rPr>
        <w:t>,</w:t>
      </w:r>
      <w:r w:rsidRPr="006C6818">
        <w:rPr>
          <w:rFonts w:ascii="Arial" w:eastAsia="Times New Roman" w:hAnsi="Arial" w:cs="Arial"/>
          <w:lang w:eastAsia="x-none"/>
        </w:rPr>
        <w:t xml:space="preserve"> la selección abreviada</w:t>
      </w:r>
      <w:r w:rsidR="00F96C72" w:rsidRPr="006C6818">
        <w:rPr>
          <w:rFonts w:ascii="Arial" w:eastAsia="Times New Roman" w:hAnsi="Arial" w:cs="Arial"/>
          <w:lang w:eastAsia="x-none"/>
        </w:rPr>
        <w:t xml:space="preserve"> y la mínima cuantía</w:t>
      </w:r>
      <w:r w:rsidRPr="006C6818">
        <w:rPr>
          <w:rFonts w:ascii="Arial" w:eastAsia="Times New Roman" w:hAnsi="Arial" w:cs="Arial"/>
          <w:lang w:eastAsia="x-none"/>
        </w:rPr>
        <w:t xml:space="preserve">, razón por la cual en ese período preelectoral de que trata la disposición las entidades públicas </w:t>
      </w:r>
      <w:r w:rsidR="00DD4F14" w:rsidRPr="006C6818">
        <w:rPr>
          <w:rFonts w:ascii="Arial" w:eastAsia="Times New Roman" w:hAnsi="Arial" w:cs="Arial"/>
          <w:lang w:eastAsia="x-none"/>
        </w:rPr>
        <w:t xml:space="preserve">pueden </w:t>
      </w:r>
      <w:r w:rsidRPr="006C6818">
        <w:rPr>
          <w:rFonts w:ascii="Arial" w:eastAsia="Times New Roman" w:hAnsi="Arial" w:cs="Arial"/>
          <w:lang w:eastAsia="x-none"/>
        </w:rPr>
        <w:t>seguir contratando bajo est</w:t>
      </w:r>
      <w:r w:rsidR="00F96C72" w:rsidRPr="006C6818">
        <w:rPr>
          <w:rFonts w:ascii="Arial" w:eastAsia="Times New Roman" w:hAnsi="Arial" w:cs="Arial"/>
          <w:lang w:eastAsia="x-none"/>
        </w:rPr>
        <w:t>a</w:t>
      </w:r>
      <w:r w:rsidRPr="006C6818">
        <w:rPr>
          <w:rFonts w:ascii="Arial" w:eastAsia="Times New Roman" w:hAnsi="Arial" w:cs="Arial"/>
          <w:lang w:eastAsia="x-none"/>
        </w:rPr>
        <w:t xml:space="preserve">s </w:t>
      </w:r>
      <w:r w:rsidR="00F96C72" w:rsidRPr="006C6818">
        <w:rPr>
          <w:rFonts w:ascii="Arial" w:eastAsia="Times New Roman" w:hAnsi="Arial" w:cs="Arial"/>
          <w:lang w:eastAsia="x-none"/>
        </w:rPr>
        <w:t xml:space="preserve">modalidades. </w:t>
      </w:r>
    </w:p>
    <w:p w14:paraId="6F5FAD89" w14:textId="7C357A09" w:rsidR="00741466" w:rsidRPr="006C6818" w:rsidRDefault="00741466" w:rsidP="00741466">
      <w:pPr>
        <w:spacing w:after="120" w:line="276" w:lineRule="auto"/>
        <w:ind w:firstLine="708"/>
        <w:jc w:val="both"/>
        <w:rPr>
          <w:rFonts w:ascii="Arial" w:eastAsia="Times New Roman" w:hAnsi="Arial" w:cs="Arial"/>
          <w:bCs/>
          <w:lang w:val="es-MX" w:eastAsia="es-CO"/>
        </w:rPr>
      </w:pPr>
      <w:bookmarkStart w:id="33" w:name="_Hlk77237094"/>
      <w:bookmarkEnd w:id="31"/>
      <w:bookmarkEnd w:id="32"/>
      <w:r w:rsidRPr="006C6818">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2E6BCC" w:rsidRPr="006C6818">
        <w:rPr>
          <w:rStyle w:val="Refdenotaalpie"/>
          <w:rFonts w:ascii="Arial" w:hAnsi="Arial" w:cs="Arial"/>
          <w:bCs/>
          <w:color w:val="000000" w:themeColor="text1"/>
          <w:lang w:val="es-MX" w:eastAsia="es-CO"/>
        </w:rPr>
        <w:footnoteReference w:id="19"/>
      </w:r>
      <w:r w:rsidR="002E6BCC" w:rsidRPr="006C6818">
        <w:rPr>
          <w:rFonts w:ascii="Arial" w:hAnsi="Arial" w:cs="Arial"/>
          <w:bCs/>
          <w:color w:val="000000" w:themeColor="text1"/>
          <w:lang w:val="es-MX" w:eastAsia="es-CO"/>
        </w:rPr>
        <w:t>. Además, también es posible que contratos celebrados previamente se continúen ejecutando.</w:t>
      </w:r>
      <w:bookmarkEnd w:id="33"/>
    </w:p>
    <w:p w14:paraId="44915D73" w14:textId="1A16CB8C" w:rsidR="00741466" w:rsidRPr="006C6818" w:rsidRDefault="00741466" w:rsidP="00741466">
      <w:pPr>
        <w:spacing w:after="120" w:line="276" w:lineRule="auto"/>
        <w:ind w:firstLine="708"/>
        <w:jc w:val="both"/>
        <w:rPr>
          <w:rFonts w:ascii="Arial" w:eastAsia="Times New Roman" w:hAnsi="Arial" w:cs="Arial"/>
          <w:bCs/>
          <w:lang w:val="es-MX" w:eastAsia="es-CO"/>
        </w:rPr>
      </w:pPr>
      <w:r w:rsidRPr="006C6818">
        <w:rPr>
          <w:rFonts w:ascii="Arial" w:eastAsia="Times New Roman" w:hAnsi="Arial" w:cs="Arial"/>
          <w:bCs/>
          <w:lang w:val="es-MX" w:eastAsia="x-none"/>
        </w:rPr>
        <w:t xml:space="preserve">De otro lado, </w:t>
      </w:r>
      <w:bookmarkStart w:id="34" w:name="_Hlk99470247"/>
      <w:r w:rsidRPr="006C6818">
        <w:rPr>
          <w:rFonts w:ascii="Arial" w:eastAsia="Times New Roman" w:hAnsi="Arial" w:cs="Arial"/>
          <w:bCs/>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00DD4F14" w:rsidRPr="006C6818">
        <w:rPr>
          <w:rFonts w:ascii="Arial" w:eastAsia="Times New Roman" w:hAnsi="Arial" w:cs="Arial"/>
          <w:bCs/>
          <w:lang w:val="es-MX" w:eastAsia="x-none"/>
        </w:rPr>
        <w:t>,</w:t>
      </w:r>
      <w:r w:rsidRPr="006C6818">
        <w:rPr>
          <w:rFonts w:ascii="Arial" w:eastAsia="Times New Roman" w:hAnsi="Arial" w:cs="Arial"/>
          <w:bCs/>
          <w:lang w:val="es-MX" w:eastAsia="x-none"/>
        </w:rPr>
        <w:t xml:space="preserve"> en lo referente a: i) la defensa y seguridad del Estado; </w:t>
      </w:r>
      <w:proofErr w:type="spellStart"/>
      <w:r w:rsidRPr="006C6818">
        <w:rPr>
          <w:rFonts w:ascii="Arial" w:eastAsia="Times New Roman" w:hAnsi="Arial" w:cs="Arial"/>
          <w:bCs/>
          <w:lang w:val="es-MX" w:eastAsia="x-none"/>
        </w:rPr>
        <w:t>ii</w:t>
      </w:r>
      <w:proofErr w:type="spellEnd"/>
      <w:r w:rsidRPr="006C6818">
        <w:rPr>
          <w:rFonts w:ascii="Arial" w:eastAsia="Times New Roman" w:hAnsi="Arial" w:cs="Arial"/>
          <w:bCs/>
          <w:lang w:val="es-MX" w:eastAsia="x-none"/>
        </w:rPr>
        <w:t xml:space="preserve">) los contratos de crédito público; </w:t>
      </w:r>
      <w:proofErr w:type="spellStart"/>
      <w:r w:rsidRPr="006C6818">
        <w:rPr>
          <w:rFonts w:ascii="Arial" w:eastAsia="Times New Roman" w:hAnsi="Arial" w:cs="Arial"/>
          <w:bCs/>
          <w:lang w:val="es-MX" w:eastAsia="x-none"/>
        </w:rPr>
        <w:t>iii</w:t>
      </w:r>
      <w:proofErr w:type="spellEnd"/>
      <w:r w:rsidRPr="006C6818">
        <w:rPr>
          <w:rFonts w:ascii="Arial" w:eastAsia="Times New Roman" w:hAnsi="Arial" w:cs="Arial"/>
          <w:bCs/>
          <w:lang w:val="es-MX" w:eastAsia="x-none"/>
        </w:rPr>
        <w:t xml:space="preserve">) los requeridos para cubrir las emergencias educativas, sanitarias y desastres; </w:t>
      </w:r>
      <w:proofErr w:type="spellStart"/>
      <w:r w:rsidRPr="006C6818">
        <w:rPr>
          <w:rFonts w:ascii="Arial" w:eastAsia="Times New Roman" w:hAnsi="Arial" w:cs="Arial"/>
          <w:bCs/>
          <w:lang w:val="es-MX" w:eastAsia="x-none"/>
        </w:rPr>
        <w:t>iv</w:t>
      </w:r>
      <w:proofErr w:type="spellEnd"/>
      <w:r w:rsidRPr="006C6818">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C6818">
        <w:rPr>
          <w:rFonts w:ascii="Arial" w:eastAsia="Times New Roman" w:hAnsi="Arial" w:cs="Arial"/>
          <w:bCs/>
          <w:lang w:val="es-MX" w:eastAsia="es-CO"/>
        </w:rPr>
        <w:t xml:space="preserve">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34"/>
    <w:p w14:paraId="17BAE836" w14:textId="51DD4346" w:rsidR="00741466" w:rsidRPr="006C6818" w:rsidRDefault="00741466" w:rsidP="00747863">
      <w:pPr>
        <w:spacing w:after="120" w:line="276" w:lineRule="auto"/>
        <w:ind w:firstLine="709"/>
        <w:jc w:val="both"/>
        <w:rPr>
          <w:rFonts w:ascii="Arial" w:eastAsia="Times New Roman" w:hAnsi="Arial" w:cs="Arial"/>
          <w:lang w:val="es-MX" w:eastAsia="es-CO"/>
        </w:rPr>
      </w:pPr>
      <w:r w:rsidRPr="006C6818">
        <w:rPr>
          <w:rFonts w:ascii="Arial" w:eastAsia="Times New Roman" w:hAnsi="Arial" w:cs="Arial"/>
          <w:bCs/>
          <w:lang w:val="es-MX" w:eastAsia="x-none"/>
        </w:rPr>
        <w:t xml:space="preserve">En esta labor es importante tener en cuenta, como lo anotó la Corte Constitucional, en Sentencia C-1153 de noviembre 11 de 2005, </w:t>
      </w:r>
      <w:bookmarkStart w:id="35" w:name="_Hlk74309042"/>
      <w:r w:rsidRPr="006C6818">
        <w:rPr>
          <w:rFonts w:ascii="Arial" w:eastAsia="Times New Roman" w:hAnsi="Arial" w:cs="Arial"/>
          <w:bCs/>
          <w:lang w:val="es-MX" w:eastAsia="x-none"/>
        </w:rPr>
        <w:t>que «</w:t>
      </w:r>
      <w:bookmarkEnd w:id="35"/>
      <w:r w:rsidRPr="006C6818">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6" w:name="_Hlk75768308"/>
      <w:r w:rsidRPr="006C6818">
        <w:rPr>
          <w:rFonts w:ascii="Arial" w:eastAsia="Times New Roman" w:hAnsi="Arial" w:cs="Arial"/>
          <w:bCs/>
          <w:lang w:val="es-MX" w:eastAsia="x-none"/>
        </w:rPr>
        <w:lastRenderedPageBreak/>
        <w:t>no termine yendo en detrimento de intereses públicos, cuya garantía está en cabeza del ejecutivo, como son los inmersos en las excepciones para la prohibición de contratación</w:t>
      </w:r>
      <w:bookmarkStart w:id="37" w:name="_Hlk74309060"/>
      <w:r w:rsidRPr="006C6818">
        <w:rPr>
          <w:rFonts w:ascii="Arial" w:eastAsia="Times New Roman" w:hAnsi="Arial" w:cs="Arial"/>
          <w:bCs/>
          <w:lang w:val="es-MX" w:eastAsia="x-none"/>
        </w:rPr>
        <w:t>»</w:t>
      </w:r>
      <w:bookmarkEnd w:id="37"/>
      <w:r w:rsidRPr="006C6818">
        <w:rPr>
          <w:rFonts w:ascii="Arial" w:eastAsia="Calibri" w:hAnsi="Arial" w:cs="Arial"/>
          <w:vertAlign w:val="superscript"/>
          <w:lang w:val="es-MX"/>
        </w:rPr>
        <w:footnoteReference w:id="20"/>
      </w:r>
      <w:r w:rsidRPr="006C6818">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8" w:name="_Hlk75783800"/>
      <w:bookmarkEnd w:id="36"/>
      <w:r w:rsidRPr="006C6818">
        <w:rPr>
          <w:rFonts w:ascii="Arial" w:eastAsia="Times New Roman" w:hAnsi="Arial" w:cs="Arial"/>
          <w:lang w:val="es-MX" w:eastAsia="es-CO"/>
        </w:rPr>
        <w:t xml:space="preserve"> </w:t>
      </w:r>
    </w:p>
    <w:p w14:paraId="1E0CBDEB" w14:textId="497D65DD" w:rsidR="00747863" w:rsidRPr="006C6818" w:rsidRDefault="00747863" w:rsidP="00747863">
      <w:pPr>
        <w:spacing w:before="120" w:after="120" w:line="276" w:lineRule="auto"/>
        <w:ind w:firstLine="709"/>
        <w:jc w:val="both"/>
        <w:rPr>
          <w:rFonts w:ascii="Arial" w:eastAsia="Arial" w:hAnsi="Arial" w:cs="Arial"/>
          <w:color w:val="000000" w:themeColor="text1"/>
        </w:rPr>
      </w:pPr>
      <w:r w:rsidRPr="006C6818">
        <w:rPr>
          <w:rFonts w:ascii="Arial" w:eastAsia="Arial" w:hAnsi="Arial" w:cs="Arial"/>
          <w:color w:val="000000" w:themeColor="text1"/>
        </w:rPr>
        <w:t xml:space="preserve">Como se puede apreciar, el inciso segundo del artículo 33 </w:t>
      </w:r>
      <w:r w:rsidR="00A86B89" w:rsidRPr="006C6818">
        <w:rPr>
          <w:rFonts w:ascii="Arial" w:eastAsia="Arial" w:hAnsi="Arial" w:cs="Arial"/>
          <w:color w:val="000000" w:themeColor="text1"/>
        </w:rPr>
        <w:t>establece</w:t>
      </w:r>
      <w:r w:rsidRPr="006C6818">
        <w:rPr>
          <w:rFonts w:ascii="Arial" w:eastAsia="Arial" w:hAnsi="Arial" w:cs="Arial"/>
          <w:color w:val="000000" w:themeColor="text1"/>
        </w:rPr>
        <w:t xml:space="preserve"> dos (2) grandes grupos de excepciones a la prohibición de contratar directamente en la época preelectoral. </w:t>
      </w:r>
      <w:r w:rsidRPr="006C6818">
        <w:rPr>
          <w:rFonts w:ascii="Arial" w:eastAsia="Arial" w:hAnsi="Arial" w:cs="Arial"/>
          <w:i/>
          <w:iCs/>
          <w:color w:val="000000" w:themeColor="text1"/>
        </w:rPr>
        <w:t>Por un lado</w:t>
      </w:r>
      <w:r w:rsidRPr="006C6818">
        <w:rPr>
          <w:rFonts w:ascii="Arial" w:eastAsia="Arial" w:hAnsi="Arial" w:cs="Arial"/>
          <w:color w:val="000000" w:themeColor="text1"/>
        </w:rPr>
        <w:t>, las que atienden el ejercicio de cierta función o la atención de determinada actividad particular</w:t>
      </w:r>
      <w:r w:rsidR="00A86B89" w:rsidRPr="006C6818">
        <w:rPr>
          <w:rFonts w:ascii="Arial" w:eastAsia="Arial" w:hAnsi="Arial" w:cs="Arial"/>
          <w:color w:val="000000" w:themeColor="text1"/>
        </w:rPr>
        <w:t>,</w:t>
      </w:r>
      <w:r w:rsidRPr="006C6818">
        <w:rPr>
          <w:rFonts w:ascii="Arial" w:eastAsia="Arial" w:hAnsi="Arial" w:cs="Arial"/>
          <w:color w:val="000000" w:themeColor="text1"/>
        </w:rPr>
        <w:t xml:space="preserve"> sin </w:t>
      </w:r>
      <w:r w:rsidR="00A86B89" w:rsidRPr="006C6818">
        <w:rPr>
          <w:rFonts w:ascii="Arial" w:eastAsia="Arial" w:hAnsi="Arial" w:cs="Arial"/>
          <w:color w:val="000000" w:themeColor="text1"/>
        </w:rPr>
        <w:t>hacer referencia a</w:t>
      </w:r>
      <w:r w:rsidRPr="006C6818">
        <w:rPr>
          <w:rFonts w:ascii="Arial" w:eastAsia="Arial" w:hAnsi="Arial" w:cs="Arial"/>
          <w:color w:val="000000" w:themeColor="text1"/>
        </w:rPr>
        <w:t xml:space="preserve"> la calidad del ente que la cumpla o desarrolle. </w:t>
      </w:r>
      <w:r w:rsidRPr="006C6818">
        <w:rPr>
          <w:rFonts w:ascii="Arial" w:eastAsia="Arial" w:hAnsi="Arial" w:cs="Arial"/>
          <w:i/>
          <w:iCs/>
          <w:color w:val="000000" w:themeColor="text1"/>
        </w:rPr>
        <w:t>Por otra parte</w:t>
      </w:r>
      <w:r w:rsidRPr="006C6818">
        <w:rPr>
          <w:rFonts w:ascii="Arial" w:eastAsia="Arial" w:hAnsi="Arial" w:cs="Arial"/>
          <w:color w:val="000000" w:themeColor="text1"/>
        </w:rPr>
        <w:t>, las que aluden a las entidades sanitarias y hospitalarias</w:t>
      </w:r>
      <w:r w:rsidR="00A86B89" w:rsidRPr="006C6818">
        <w:rPr>
          <w:rFonts w:ascii="Arial" w:eastAsia="Arial" w:hAnsi="Arial" w:cs="Arial"/>
          <w:color w:val="000000" w:themeColor="text1"/>
        </w:rPr>
        <w:t>,</w:t>
      </w:r>
      <w:r w:rsidRPr="006C6818">
        <w:rPr>
          <w:rFonts w:ascii="Arial" w:eastAsia="Arial" w:hAnsi="Arial" w:cs="Arial"/>
          <w:color w:val="000000" w:themeColor="text1"/>
        </w:rPr>
        <w:t xml:space="preserve"> acudiendo a un criterio eminentemente subjetivo –u orgánico–, pese a que no limita la excepción a un tipo de entidad en particular, sino que ata su aplicación a la naturaleza del respectivo ente.</w:t>
      </w:r>
    </w:p>
    <w:p w14:paraId="306AB2C4" w14:textId="69DEA3E1" w:rsidR="00747863" w:rsidRPr="006C6818" w:rsidRDefault="00747863" w:rsidP="00154185">
      <w:pPr>
        <w:spacing w:after="0" w:line="276" w:lineRule="auto"/>
        <w:ind w:firstLine="709"/>
        <w:jc w:val="both"/>
        <w:rPr>
          <w:rFonts w:ascii="Arial" w:eastAsia="Times New Roman" w:hAnsi="Arial" w:cs="Arial"/>
          <w:lang w:val="es-MX" w:eastAsia="es-CO"/>
        </w:rPr>
      </w:pPr>
      <w:r w:rsidRPr="006C6818">
        <w:rPr>
          <w:rFonts w:ascii="Arial" w:eastAsia="Arial" w:hAnsi="Arial" w:cs="Arial"/>
          <w:color w:val="000000" w:themeColor="text1"/>
        </w:rPr>
        <w:t>Así, para determinar si la contratación de una entidad pública está exceptuada de la prohibición general para la contratación directa, el intérprete deberá analizar el caso concreto para establecer si se trata de una actividad de las descritas en la norma o que se trate de los que deban realizar las entidades sanitarias u hospitalarias.</w:t>
      </w:r>
    </w:p>
    <w:p w14:paraId="66F3E971" w14:textId="77777777" w:rsidR="007016BC" w:rsidRPr="006C6818" w:rsidRDefault="007016BC" w:rsidP="00154185">
      <w:pPr>
        <w:spacing w:after="0" w:line="276" w:lineRule="auto"/>
        <w:ind w:firstLine="709"/>
        <w:jc w:val="both"/>
        <w:rPr>
          <w:rFonts w:ascii="Arial" w:eastAsia="Times New Roman" w:hAnsi="Arial" w:cs="Arial"/>
          <w:lang w:val="es-MX" w:eastAsia="es-CO"/>
        </w:rPr>
      </w:pPr>
    </w:p>
    <w:p w14:paraId="0E91BB9D" w14:textId="77777777" w:rsidR="008C4C5E" w:rsidRPr="006C6818" w:rsidRDefault="00741466" w:rsidP="008C4C5E">
      <w:pPr>
        <w:spacing w:after="0"/>
        <w:jc w:val="both"/>
        <w:rPr>
          <w:rFonts w:ascii="Arial" w:eastAsia="Times New Roman" w:hAnsi="Arial" w:cs="Arial"/>
          <w:b/>
          <w:lang w:eastAsia="x-none"/>
        </w:rPr>
      </w:pPr>
      <w:r w:rsidRPr="006C6818">
        <w:rPr>
          <w:rFonts w:ascii="Arial" w:eastAsia="Times New Roman" w:hAnsi="Arial" w:cs="Arial"/>
          <w:b/>
          <w:lang w:val="es-MX" w:eastAsia="x-none"/>
        </w:rPr>
        <w:t>2.3.  Destinatarios de la restricción del artículo 33 de la Ley 996 de 2005</w:t>
      </w:r>
      <w:r w:rsidR="008C4C5E" w:rsidRPr="006C6818">
        <w:rPr>
          <w:rFonts w:ascii="Arial" w:eastAsia="Times New Roman" w:hAnsi="Arial" w:cs="Arial"/>
          <w:b/>
          <w:lang w:eastAsia="x-none"/>
        </w:rPr>
        <w:t>: excepción a la prohibición de la contratación directa a las entidades hospitalarias y sanitarias</w:t>
      </w:r>
    </w:p>
    <w:p w14:paraId="1FA3F332" w14:textId="77777777" w:rsidR="00741466" w:rsidRPr="006C6818" w:rsidRDefault="00741466" w:rsidP="007016BC">
      <w:pPr>
        <w:spacing w:after="0" w:line="276" w:lineRule="auto"/>
        <w:contextualSpacing/>
        <w:jc w:val="both"/>
        <w:rPr>
          <w:rFonts w:ascii="Arial" w:eastAsia="Times New Roman" w:hAnsi="Arial" w:cs="Arial"/>
          <w:bCs/>
          <w:lang w:val="es-MX" w:eastAsia="x-none"/>
        </w:rPr>
      </w:pPr>
    </w:p>
    <w:p w14:paraId="6028BE33" w14:textId="77777777" w:rsidR="000325B3" w:rsidRPr="006C6818" w:rsidRDefault="00741466" w:rsidP="00154185">
      <w:pPr>
        <w:spacing w:after="120" w:line="276" w:lineRule="auto"/>
        <w:jc w:val="both"/>
        <w:rPr>
          <w:rFonts w:ascii="Arial" w:hAnsi="Arial" w:cs="Arial"/>
          <w:bCs/>
          <w:color w:val="000000" w:themeColor="text1"/>
          <w:lang w:val="es-MX" w:eastAsia="x-none"/>
        </w:rPr>
      </w:pPr>
      <w:bookmarkStart w:id="39" w:name="_Hlk100061142"/>
      <w:r w:rsidRPr="006C6818">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C6818">
        <w:rPr>
          <w:rFonts w:ascii="Calibri" w:eastAsia="Calibri" w:hAnsi="Calibri" w:cs="Times New Roman"/>
          <w:sz w:val="24"/>
          <w:lang w:val="es-MX"/>
        </w:rPr>
        <w:t xml:space="preserve"> </w:t>
      </w:r>
      <w:r w:rsidRPr="006C6818">
        <w:rPr>
          <w:rFonts w:ascii="Arial" w:eastAsia="Times New Roman" w:hAnsi="Arial" w:cs="Arial"/>
          <w:bCs/>
          <w:lang w:val="es-MX" w:eastAsia="x-none"/>
        </w:rPr>
        <w:t xml:space="preserve">En efecto, tal como lo ha sostenido el Consejo de Estado, el vocablo </w:t>
      </w:r>
      <w:bookmarkStart w:id="40" w:name="_Hlk75632581"/>
      <w:r w:rsidRPr="006C6818">
        <w:rPr>
          <w:rFonts w:ascii="Arial" w:eastAsia="Times New Roman" w:hAnsi="Arial" w:cs="Arial"/>
          <w:bCs/>
          <w:lang w:val="es-MX" w:eastAsia="x-none"/>
        </w:rPr>
        <w:t>«</w:t>
      </w:r>
      <w:bookmarkEnd w:id="40"/>
      <w:r w:rsidRPr="006C6818">
        <w:rPr>
          <w:rFonts w:ascii="Arial" w:eastAsia="Times New Roman" w:hAnsi="Arial" w:cs="Arial"/>
          <w:bCs/>
          <w:lang w:val="es-MX" w:eastAsia="x-none"/>
        </w:rPr>
        <w:t>todos» utilizado por el legislador comprende</w:t>
      </w:r>
      <w:r w:rsidRPr="006C6818">
        <w:rPr>
          <w:rFonts w:ascii="Calibri" w:eastAsia="Calibri" w:hAnsi="Calibri" w:cs="Times New Roman"/>
          <w:sz w:val="24"/>
          <w:lang w:val="es-MX"/>
        </w:rPr>
        <w:t xml:space="preserve"> </w:t>
      </w:r>
      <w:r w:rsidRPr="006C6818">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38"/>
      <w:r w:rsidRPr="006C6818">
        <w:rPr>
          <w:rFonts w:ascii="Arial" w:eastAsia="Times New Roman" w:hAnsi="Arial" w:cs="Arial"/>
          <w:bCs/>
          <w:lang w:val="es-MX" w:eastAsia="x-none"/>
        </w:rPr>
        <w:t>, e incluso si las entidades estatales tienen régimen especial de contratación y están exceptuadas del ámbito de aplicación del Estatuto General de Contratación de la Administración Pública.</w:t>
      </w:r>
      <w:bookmarkEnd w:id="39"/>
      <w:r w:rsidRPr="006C6818">
        <w:rPr>
          <w:rFonts w:ascii="Arial" w:eastAsia="Times New Roman" w:hAnsi="Arial" w:cs="Arial"/>
          <w:bCs/>
          <w:lang w:val="es-MX" w:eastAsia="x-none"/>
        </w:rPr>
        <w:t xml:space="preserve"> </w:t>
      </w:r>
      <w:r w:rsidR="00677CF3" w:rsidRPr="006C6818">
        <w:rPr>
          <w:rFonts w:ascii="Arial" w:eastAsia="Arial" w:hAnsi="Arial" w:cs="Arial"/>
          <w:color w:val="000000" w:themeColor="text1"/>
        </w:rPr>
        <w:t xml:space="preserve">La Sala de Consulta y Servicio Civil del Consejo de Estado, en Concepto 1727 de fecha 20 de febrero de 2006, consideró </w:t>
      </w:r>
      <w:r w:rsidR="000325B3" w:rsidRPr="006C6818">
        <w:rPr>
          <w:rFonts w:ascii="Arial" w:hAnsi="Arial" w:cs="Arial"/>
          <w:bCs/>
          <w:color w:val="000000" w:themeColor="text1"/>
          <w:lang w:val="es-MX" w:eastAsia="x-none"/>
        </w:rPr>
        <w:t xml:space="preserve">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000325B3" w:rsidRPr="006C6818">
        <w:rPr>
          <w:rFonts w:ascii="Arial" w:hAnsi="Arial" w:cs="Arial"/>
          <w:bCs/>
          <w:color w:val="000000" w:themeColor="text1"/>
          <w:lang w:val="es-MX" w:eastAsia="x-none"/>
        </w:rPr>
        <w:lastRenderedPageBreak/>
        <w:t>industriales y comerciales del Estado) y a los municipios prestadores directos, incluyendo las excepciones contenidas en el segundo inciso de esta norma»</w:t>
      </w:r>
      <w:r w:rsidR="000325B3" w:rsidRPr="006C6818">
        <w:rPr>
          <w:rFonts w:ascii="Arial" w:hAnsi="Arial" w:cs="Arial"/>
          <w:bCs/>
          <w:color w:val="000000" w:themeColor="text1"/>
          <w:vertAlign w:val="superscript"/>
          <w:lang w:val="es-MX" w:eastAsia="x-none"/>
        </w:rPr>
        <w:footnoteReference w:id="21"/>
      </w:r>
      <w:r w:rsidR="000325B3" w:rsidRPr="006C6818">
        <w:rPr>
          <w:rFonts w:ascii="Arial" w:hAnsi="Arial" w:cs="Arial"/>
          <w:bCs/>
          <w:color w:val="000000" w:themeColor="text1"/>
          <w:lang w:val="es-MX" w:eastAsia="x-none"/>
        </w:rPr>
        <w:t xml:space="preserve">. </w:t>
      </w:r>
    </w:p>
    <w:p w14:paraId="0C9AF597" w14:textId="58A009F9" w:rsidR="00192D54" w:rsidRPr="006C6818" w:rsidRDefault="00DE4BE5" w:rsidP="00154185">
      <w:pPr>
        <w:spacing w:after="120" w:line="276" w:lineRule="auto"/>
        <w:jc w:val="both"/>
        <w:rPr>
          <w:rFonts w:ascii="Arial" w:hAnsi="Arial" w:cs="Arial"/>
          <w:bCs/>
          <w:color w:val="000000" w:themeColor="text1"/>
          <w:lang w:val="es-MX" w:eastAsia="x-none"/>
        </w:rPr>
      </w:pPr>
      <w:r w:rsidRPr="006C6818">
        <w:rPr>
          <w:rFonts w:ascii="Arial" w:hAnsi="Arial" w:cs="Arial"/>
          <w:bCs/>
          <w:color w:val="000000" w:themeColor="text1"/>
          <w:lang w:val="es-MX" w:eastAsia="x-none"/>
        </w:rPr>
        <w:tab/>
      </w:r>
      <w:bookmarkStart w:id="41" w:name="_Hlk75787147"/>
      <w:r w:rsidR="00192D54" w:rsidRPr="006C6818">
        <w:rPr>
          <w:rFonts w:ascii="Arial" w:hAnsi="Arial" w:cs="Arial"/>
          <w:bCs/>
          <w:color w:val="000000" w:themeColor="text1"/>
          <w:lang w:val="es-MX" w:eastAsia="x-none"/>
        </w:rPr>
        <w:t xml:space="preserve">Por lo tanto, la restricción prevista en la Ley 996 de 2005, teniendo en cuenta la finalidad de la </w:t>
      </w:r>
      <w:r w:rsidR="00006860" w:rsidRPr="006C6818">
        <w:rPr>
          <w:rFonts w:ascii="Arial" w:hAnsi="Arial" w:cs="Arial"/>
          <w:bCs/>
          <w:color w:val="000000" w:themeColor="text1"/>
          <w:lang w:val="es-MX" w:eastAsia="x-none"/>
        </w:rPr>
        <w:t xml:space="preserve">Ley </w:t>
      </w:r>
      <w:r w:rsidR="00192D54" w:rsidRPr="006C6818">
        <w:rPr>
          <w:rFonts w:ascii="Arial" w:hAnsi="Arial" w:cs="Arial"/>
          <w:bCs/>
          <w:color w:val="000000" w:themeColor="text1"/>
          <w:lang w:val="es-MX" w:eastAsia="x-none"/>
        </w:rPr>
        <w:t xml:space="preserve">de </w:t>
      </w:r>
      <w:r w:rsidR="00006860" w:rsidRPr="006C6818">
        <w:rPr>
          <w:rFonts w:ascii="Arial" w:hAnsi="Arial" w:cs="Arial"/>
          <w:bCs/>
          <w:color w:val="000000" w:themeColor="text1"/>
          <w:lang w:val="es-MX" w:eastAsia="x-none"/>
        </w:rPr>
        <w:t>Garantías Electorales</w:t>
      </w:r>
      <w:r w:rsidR="00192D54" w:rsidRPr="006C6818">
        <w:rPr>
          <w:rFonts w:ascii="Arial" w:hAnsi="Arial" w:cs="Arial"/>
          <w:bCs/>
          <w:color w:val="000000" w:themeColor="text1"/>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00164B5A" w:rsidRPr="006C6818">
        <w:rPr>
          <w:rFonts w:ascii="Arial" w:hAnsi="Arial" w:cs="Arial"/>
          <w:bCs/>
          <w:color w:val="000000" w:themeColor="text1"/>
          <w:lang w:val="es-MX" w:eastAsia="x-none"/>
        </w:rPr>
        <w:t xml:space="preserve"> o normas especiales</w:t>
      </w:r>
      <w:r w:rsidR="00192D54" w:rsidRPr="006C6818">
        <w:rPr>
          <w:rFonts w:ascii="Arial" w:hAnsi="Arial" w:cs="Arial"/>
          <w:bCs/>
          <w:color w:val="000000" w:themeColor="text1"/>
          <w:lang w:val="es-MX" w:eastAsia="x-none"/>
        </w:rPr>
        <w:t>.</w:t>
      </w:r>
    </w:p>
    <w:p w14:paraId="2FCC6119" w14:textId="77777777" w:rsidR="00192D54" w:rsidRPr="006C6818" w:rsidRDefault="00192D54" w:rsidP="00192D54">
      <w:pPr>
        <w:tabs>
          <w:tab w:val="left" w:pos="426"/>
        </w:tabs>
        <w:spacing w:after="120"/>
        <w:jc w:val="both"/>
        <w:rPr>
          <w:rFonts w:ascii="Arial" w:eastAsia="Calibri" w:hAnsi="Arial" w:cs="Arial"/>
          <w:bCs/>
          <w:lang w:val="es-ES_tradnl"/>
        </w:rPr>
      </w:pPr>
      <w:r w:rsidRPr="006C6818">
        <w:rPr>
          <w:rFonts w:ascii="Arial" w:eastAsia="Calibri" w:hAnsi="Arial" w:cs="Arial"/>
          <w:bCs/>
          <w:lang w:val="es-ES_tradnl"/>
        </w:rPr>
        <w:tab/>
      </w:r>
      <w:r w:rsidRPr="006C6818">
        <w:rPr>
          <w:rFonts w:ascii="Arial" w:eastAsia="Calibri" w:hAnsi="Arial" w:cs="Arial"/>
          <w:bCs/>
          <w:lang w:val="es-ES_tradnl"/>
        </w:rPr>
        <w:tab/>
        <w:t xml:space="preserve">No obstante, </w:t>
      </w:r>
      <w:bookmarkStart w:id="42" w:name="_Hlk100061173"/>
      <w:r w:rsidRPr="006C6818">
        <w:rPr>
          <w:rFonts w:ascii="Arial" w:eastAsia="Calibri" w:hAnsi="Arial" w:cs="Arial"/>
          <w:bCs/>
          <w:lang w:val="es-ES_tradnl"/>
        </w:rPr>
        <w:t xml:space="preserve">el segundo inciso del artículo 33 de la Ley de Garantías Electorales consagró las excepciones aplicables a la prohibición de contratación directa establecida en el mismo artículo, esto es, supuestos bajo los cuales no aplicaría la limitación analizada en el numeral 2.2 de este concepto. </w:t>
      </w:r>
      <w:bookmarkEnd w:id="42"/>
      <w:r w:rsidRPr="006C6818">
        <w:rPr>
          <w:rFonts w:ascii="Arial" w:eastAsia="Calibri" w:hAnsi="Arial" w:cs="Arial"/>
          <w:bCs/>
          <w:lang w:val="es-ES_tradnl"/>
        </w:rPr>
        <w:t>Las excepciones a la prohibición del artículo 33 de la norma mencionada son las siguientes:</w:t>
      </w:r>
    </w:p>
    <w:p w14:paraId="4EB5BB3F" w14:textId="77777777" w:rsidR="00192D54" w:rsidRPr="006C6818" w:rsidRDefault="00192D54" w:rsidP="00192D54">
      <w:pPr>
        <w:tabs>
          <w:tab w:val="left" w:pos="709"/>
        </w:tabs>
        <w:spacing w:after="120"/>
        <w:jc w:val="both"/>
        <w:rPr>
          <w:rFonts w:ascii="Arial" w:eastAsia="Calibri" w:hAnsi="Arial" w:cs="Arial"/>
          <w:bCs/>
          <w:lang w:val="es-ES_tradnl"/>
        </w:rPr>
      </w:pPr>
      <w:r w:rsidRPr="006C6818">
        <w:rPr>
          <w:rFonts w:ascii="Arial" w:eastAsia="Calibri" w:hAnsi="Arial" w:cs="Arial"/>
          <w:bCs/>
          <w:lang w:val="es-ES_tradnl"/>
        </w:rPr>
        <w:tab/>
        <w:t>i) La contratación referente a la defensa y seguridad del Estado;</w:t>
      </w:r>
    </w:p>
    <w:p w14:paraId="2CDD3E73" w14:textId="77777777" w:rsidR="00192D54" w:rsidRPr="006C6818" w:rsidRDefault="00192D54" w:rsidP="00192D54">
      <w:pPr>
        <w:tabs>
          <w:tab w:val="left" w:pos="709"/>
        </w:tabs>
        <w:spacing w:after="120"/>
        <w:jc w:val="both"/>
        <w:rPr>
          <w:rFonts w:ascii="Arial" w:eastAsia="Calibri" w:hAnsi="Arial" w:cs="Arial"/>
          <w:bCs/>
          <w:lang w:val="es-ES_tradnl"/>
        </w:rPr>
      </w:pPr>
      <w:r w:rsidRPr="006C6818">
        <w:rPr>
          <w:rFonts w:ascii="Arial" w:eastAsia="Calibri" w:hAnsi="Arial" w:cs="Arial"/>
          <w:bCs/>
          <w:lang w:val="es-ES_tradnl"/>
        </w:rPr>
        <w:tab/>
      </w:r>
      <w:proofErr w:type="spellStart"/>
      <w:r w:rsidRPr="006C6818">
        <w:rPr>
          <w:rFonts w:ascii="Arial" w:eastAsia="Calibri" w:hAnsi="Arial" w:cs="Arial"/>
          <w:bCs/>
          <w:lang w:val="es-ES_tradnl"/>
        </w:rPr>
        <w:t>ii</w:t>
      </w:r>
      <w:proofErr w:type="spellEnd"/>
      <w:r w:rsidRPr="006C6818">
        <w:rPr>
          <w:rFonts w:ascii="Arial" w:eastAsia="Calibri" w:hAnsi="Arial" w:cs="Arial"/>
          <w:bCs/>
          <w:lang w:val="es-ES_tradnl"/>
        </w:rPr>
        <w:t>) Los contratos de crédito público;</w:t>
      </w:r>
    </w:p>
    <w:p w14:paraId="3EB17E18" w14:textId="77777777" w:rsidR="00192D54" w:rsidRPr="006C6818" w:rsidRDefault="00192D54" w:rsidP="00192D54">
      <w:pPr>
        <w:tabs>
          <w:tab w:val="left" w:pos="709"/>
        </w:tabs>
        <w:spacing w:after="120"/>
        <w:jc w:val="both"/>
        <w:rPr>
          <w:rFonts w:ascii="Arial" w:eastAsia="Calibri" w:hAnsi="Arial" w:cs="Arial"/>
          <w:bCs/>
          <w:lang w:val="es-ES_tradnl"/>
        </w:rPr>
      </w:pPr>
      <w:r w:rsidRPr="006C6818">
        <w:rPr>
          <w:rFonts w:ascii="Arial" w:eastAsia="Calibri" w:hAnsi="Arial" w:cs="Arial"/>
          <w:bCs/>
          <w:lang w:val="es-ES_tradnl"/>
        </w:rPr>
        <w:tab/>
      </w:r>
      <w:proofErr w:type="spellStart"/>
      <w:r w:rsidRPr="006C6818">
        <w:rPr>
          <w:rFonts w:ascii="Arial" w:eastAsia="Calibri" w:hAnsi="Arial" w:cs="Arial"/>
          <w:bCs/>
          <w:lang w:val="es-ES_tradnl"/>
        </w:rPr>
        <w:t>iii</w:t>
      </w:r>
      <w:proofErr w:type="spellEnd"/>
      <w:r w:rsidRPr="006C6818">
        <w:rPr>
          <w:rFonts w:ascii="Arial" w:eastAsia="Calibri" w:hAnsi="Arial" w:cs="Arial"/>
          <w:bCs/>
          <w:lang w:val="es-ES_tradnl"/>
        </w:rPr>
        <w:t xml:space="preserve">) Los contratos requeridos para cubrir las emergencias educativas, sanitarias y desastres; </w:t>
      </w:r>
    </w:p>
    <w:p w14:paraId="3A3F4106" w14:textId="77777777" w:rsidR="00192D54" w:rsidRPr="006C6818" w:rsidRDefault="00192D54" w:rsidP="00192D54">
      <w:pPr>
        <w:tabs>
          <w:tab w:val="left" w:pos="709"/>
        </w:tabs>
        <w:spacing w:after="120"/>
        <w:jc w:val="both"/>
        <w:rPr>
          <w:rFonts w:ascii="Arial" w:eastAsia="Calibri" w:hAnsi="Arial" w:cs="Arial"/>
          <w:bCs/>
          <w:lang w:val="es-ES_tradnl"/>
        </w:rPr>
      </w:pPr>
      <w:r w:rsidRPr="006C6818">
        <w:rPr>
          <w:rFonts w:ascii="Arial" w:eastAsia="Calibri" w:hAnsi="Arial" w:cs="Arial"/>
          <w:bCs/>
          <w:lang w:val="es-ES_tradnl"/>
        </w:rPr>
        <w:tab/>
      </w:r>
      <w:proofErr w:type="spellStart"/>
      <w:r w:rsidRPr="006C6818">
        <w:rPr>
          <w:rFonts w:ascii="Arial" w:eastAsia="Calibri" w:hAnsi="Arial" w:cs="Arial"/>
          <w:bCs/>
          <w:lang w:val="es-ES_tradnl"/>
        </w:rPr>
        <w:t>iv</w:t>
      </w:r>
      <w:proofErr w:type="spellEnd"/>
      <w:r w:rsidRPr="006C6818">
        <w:rPr>
          <w:rFonts w:ascii="Arial" w:eastAsia="Calibri" w:hAnsi="Arial" w:cs="Arial"/>
          <w:bCs/>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27AE6902" w14:textId="77777777" w:rsidR="00192D54" w:rsidRPr="006C6818" w:rsidRDefault="00192D54" w:rsidP="00192D54">
      <w:pPr>
        <w:tabs>
          <w:tab w:val="left" w:pos="709"/>
        </w:tabs>
        <w:spacing w:after="120"/>
        <w:jc w:val="both"/>
        <w:rPr>
          <w:rFonts w:ascii="Arial" w:eastAsia="Calibri" w:hAnsi="Arial" w:cs="Arial"/>
          <w:bCs/>
          <w:lang w:val="es-ES_tradnl"/>
        </w:rPr>
      </w:pPr>
      <w:r w:rsidRPr="006C6818">
        <w:rPr>
          <w:rFonts w:ascii="Arial" w:eastAsia="Calibri" w:hAnsi="Arial" w:cs="Arial"/>
          <w:bCs/>
          <w:lang w:val="es-ES_tradnl"/>
        </w:rPr>
        <w:tab/>
        <w:t>v) La contratación que deban realizar las entidades sanitarias y hospitalarias</w:t>
      </w:r>
      <w:r w:rsidRPr="006C6818">
        <w:rPr>
          <w:rStyle w:val="Refdenotaalpie"/>
          <w:rFonts w:ascii="Arial" w:eastAsia="Calibri" w:hAnsi="Arial" w:cs="Arial"/>
          <w:bCs/>
          <w:lang w:val="es-ES_tradnl"/>
        </w:rPr>
        <w:footnoteReference w:id="22"/>
      </w:r>
      <w:r w:rsidRPr="006C6818">
        <w:rPr>
          <w:rFonts w:ascii="Arial" w:eastAsia="Calibri" w:hAnsi="Arial" w:cs="Arial"/>
          <w:bCs/>
          <w:lang w:val="es-ES_tradnl"/>
        </w:rPr>
        <w:t xml:space="preserve">. </w:t>
      </w:r>
    </w:p>
    <w:p w14:paraId="68FF45CB" w14:textId="77777777" w:rsidR="00192D54" w:rsidRPr="006C6818" w:rsidRDefault="00192D54" w:rsidP="00192D54">
      <w:pPr>
        <w:tabs>
          <w:tab w:val="left" w:pos="426"/>
        </w:tabs>
        <w:spacing w:after="120"/>
        <w:ind w:firstLine="709"/>
        <w:jc w:val="both"/>
        <w:rPr>
          <w:rFonts w:ascii="Arial" w:eastAsia="Calibri" w:hAnsi="Arial" w:cs="Arial"/>
          <w:bCs/>
          <w:lang w:val="es-ES_tradnl"/>
        </w:rPr>
      </w:pPr>
      <w:r w:rsidRPr="006C6818">
        <w:rPr>
          <w:rFonts w:ascii="Arial" w:eastAsia="Calibri" w:hAnsi="Arial" w:cs="Arial"/>
          <w:bCs/>
          <w:lang w:val="es-ES_tradnl"/>
        </w:rPr>
        <w:lastRenderedPageBreak/>
        <w:t>La Sala de Consulta y Servicio Civil del Consejo de Estado, en concepto del 4 de febrero de 2010, se pronunció frente a las razones por las que el legislador consagró excepciones al artículo 33 de la Ley de Garantías Electorales: «</w:t>
      </w:r>
      <w:r w:rsidRPr="006C6818">
        <w:rPr>
          <w:rFonts w:ascii="Arial" w:eastAsia="Times New Roman" w:hAnsi="Arial" w:cs="Arial"/>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6C6818">
        <w:rPr>
          <w:rStyle w:val="Refdenotaalpie"/>
          <w:rFonts w:ascii="Arial" w:eastAsia="Times New Roman" w:hAnsi="Arial" w:cs="Arial"/>
          <w:lang w:val="es-ES_tradnl" w:eastAsia="es-CO"/>
        </w:rPr>
        <w:footnoteReference w:id="23"/>
      </w:r>
      <w:r w:rsidRPr="006C6818">
        <w:rPr>
          <w:rFonts w:ascii="Arial" w:eastAsia="Times New Roman" w:hAnsi="Arial" w:cs="Arial"/>
          <w:lang w:val="es-ES_tradnl" w:eastAsia="es-CO"/>
        </w:rPr>
        <w:t xml:space="preserve">. </w:t>
      </w:r>
    </w:p>
    <w:p w14:paraId="2425754F" w14:textId="77777777" w:rsidR="00192D54" w:rsidRPr="006C6818" w:rsidRDefault="00192D54" w:rsidP="00192D54">
      <w:pPr>
        <w:shd w:val="clear" w:color="auto" w:fill="FFFFFF"/>
        <w:spacing w:after="120"/>
        <w:ind w:firstLine="709"/>
        <w:jc w:val="both"/>
        <w:rPr>
          <w:rFonts w:ascii="Arial" w:eastAsia="Times New Roman" w:hAnsi="Arial" w:cs="Arial"/>
          <w:lang w:val="es-ES_tradnl" w:eastAsia="es-CO"/>
        </w:rPr>
      </w:pPr>
      <w:r w:rsidRPr="006C6818">
        <w:rPr>
          <w:rFonts w:ascii="Arial" w:eastAsia="Times New Roman" w:hAnsi="Arial" w:cs="Arial"/>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el Tribunal Constitucional consideró que las excepciones para la prohibición de contratación se encontraban justificadas, avalando su </w:t>
      </w:r>
      <w:proofErr w:type="spellStart"/>
      <w:r w:rsidRPr="006C6818">
        <w:rPr>
          <w:rFonts w:ascii="Arial" w:eastAsia="Times New Roman" w:hAnsi="Arial" w:cs="Arial"/>
          <w:lang w:val="es-ES_tradnl" w:eastAsia="es-CO"/>
        </w:rPr>
        <w:t>exequibilidad</w:t>
      </w:r>
      <w:proofErr w:type="spellEnd"/>
      <w:r w:rsidRPr="006C6818">
        <w:rPr>
          <w:rFonts w:ascii="Arial" w:eastAsia="Times New Roman" w:hAnsi="Arial" w:cs="Arial"/>
          <w:lang w:val="es-ES_tradnl" w:eastAsia="es-CO"/>
        </w:rPr>
        <w:t>.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6C6818">
        <w:rPr>
          <w:rStyle w:val="Refdenotaalpie"/>
          <w:rFonts w:ascii="Arial" w:eastAsia="Times New Roman" w:hAnsi="Arial" w:cs="Arial"/>
          <w:lang w:val="es-ES_tradnl" w:eastAsia="es-CO"/>
        </w:rPr>
        <w:footnoteReference w:id="24"/>
      </w:r>
      <w:r w:rsidRPr="006C6818">
        <w:rPr>
          <w:rFonts w:ascii="Arial" w:eastAsia="Times New Roman" w:hAnsi="Arial" w:cs="Arial"/>
          <w:lang w:val="es-ES_tradnl" w:eastAsia="es-CO"/>
        </w:rPr>
        <w:t xml:space="preserve">. </w:t>
      </w:r>
    </w:p>
    <w:p w14:paraId="4C121524" w14:textId="21ACDACE" w:rsidR="00192D54" w:rsidRPr="006C6818" w:rsidRDefault="00192D54" w:rsidP="0061058A">
      <w:pPr>
        <w:tabs>
          <w:tab w:val="left" w:pos="426"/>
        </w:tabs>
        <w:spacing w:after="0"/>
        <w:ind w:firstLine="709"/>
        <w:contextualSpacing/>
        <w:jc w:val="both"/>
        <w:rPr>
          <w:rFonts w:ascii="Arial" w:hAnsi="Arial" w:cs="Arial"/>
          <w:lang w:val="es-ES_tradnl"/>
        </w:rPr>
      </w:pPr>
      <w:r w:rsidRPr="006C6818">
        <w:rPr>
          <w:rFonts w:ascii="Arial" w:eastAsia="Calibri" w:hAnsi="Arial" w:cs="Arial"/>
          <w:bCs/>
          <w:lang w:val="es-ES_tradnl"/>
        </w:rPr>
        <w:t xml:space="preserve">Por tanto, las excepciones a la prohibición contenida en el inciso segundo de artículo 33 de la </w:t>
      </w:r>
      <w:r w:rsidR="002C77FA" w:rsidRPr="006C6818">
        <w:rPr>
          <w:rFonts w:ascii="Arial" w:eastAsia="Calibri" w:hAnsi="Arial" w:cs="Arial"/>
          <w:bCs/>
          <w:lang w:val="es-ES_tradnl"/>
        </w:rPr>
        <w:t xml:space="preserve">Ley </w:t>
      </w:r>
      <w:r w:rsidRPr="006C6818">
        <w:rPr>
          <w:rFonts w:ascii="Arial" w:eastAsia="Calibri" w:hAnsi="Arial" w:cs="Arial"/>
          <w:bCs/>
          <w:lang w:val="es-ES_tradnl"/>
        </w:rPr>
        <w:t xml:space="preserve">de </w:t>
      </w:r>
      <w:r w:rsidR="002C77FA" w:rsidRPr="006C6818">
        <w:rPr>
          <w:rFonts w:ascii="Arial" w:eastAsia="Calibri" w:hAnsi="Arial" w:cs="Arial"/>
          <w:bCs/>
          <w:lang w:val="es-ES_tradnl"/>
        </w:rPr>
        <w:t xml:space="preserve">Garantías Electorales </w:t>
      </w:r>
      <w:r w:rsidRPr="006C6818">
        <w:rPr>
          <w:rFonts w:ascii="Arial" w:eastAsia="Calibri" w:hAnsi="Arial" w:cs="Arial"/>
          <w:bCs/>
          <w:lang w:val="es-ES_tradnl"/>
        </w:rPr>
        <w:t>tienen por finalidad garantizar la prestación ininterrumpida de algunos servicios públicos</w:t>
      </w:r>
      <w:r w:rsidR="00996357" w:rsidRPr="006C6818">
        <w:rPr>
          <w:rFonts w:ascii="Arial" w:eastAsia="Calibri" w:hAnsi="Arial" w:cs="Arial"/>
          <w:bCs/>
          <w:lang w:val="es-ES_tradnl"/>
        </w:rPr>
        <w:t xml:space="preserve"> </w:t>
      </w:r>
      <w:r w:rsidRPr="006C6818">
        <w:rPr>
          <w:rFonts w:ascii="Arial" w:eastAsia="Calibri" w:hAnsi="Arial" w:cs="Arial"/>
          <w:bCs/>
          <w:lang w:val="es-ES_tradnl"/>
        </w:rPr>
        <w:t>que</w:t>
      </w:r>
      <w:r w:rsidR="00996357" w:rsidRPr="006C6818">
        <w:rPr>
          <w:rFonts w:ascii="Arial" w:eastAsia="Calibri" w:hAnsi="Arial" w:cs="Arial"/>
          <w:bCs/>
          <w:lang w:val="es-ES_tradnl"/>
        </w:rPr>
        <w:t>,</w:t>
      </w:r>
      <w:r w:rsidRPr="006C6818">
        <w:rPr>
          <w:rFonts w:ascii="Arial" w:eastAsia="Calibri" w:hAnsi="Arial" w:cs="Arial"/>
          <w:bCs/>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6C6818">
        <w:rPr>
          <w:rFonts w:ascii="Arial" w:hAnsi="Arial" w:cs="Arial"/>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27FB6FAC" w14:textId="77777777" w:rsidR="0061058A" w:rsidRPr="006C6818" w:rsidRDefault="0061058A" w:rsidP="0061058A">
      <w:pPr>
        <w:tabs>
          <w:tab w:val="left" w:pos="426"/>
        </w:tabs>
        <w:spacing w:after="0"/>
        <w:ind w:firstLine="709"/>
        <w:contextualSpacing/>
        <w:jc w:val="both"/>
        <w:rPr>
          <w:rFonts w:ascii="Arial" w:eastAsia="Calibri" w:hAnsi="Arial" w:cs="Arial"/>
          <w:bCs/>
          <w:lang w:val="es-ES_tradnl"/>
        </w:rPr>
      </w:pPr>
    </w:p>
    <w:p w14:paraId="6CC1DDD1" w14:textId="77777777" w:rsidR="00192D54" w:rsidRPr="006C6818" w:rsidRDefault="00192D54" w:rsidP="0061058A">
      <w:pPr>
        <w:tabs>
          <w:tab w:val="left" w:pos="426"/>
        </w:tabs>
        <w:spacing w:after="0" w:line="240" w:lineRule="auto"/>
        <w:ind w:right="709"/>
        <w:contextualSpacing/>
        <w:jc w:val="both"/>
        <w:rPr>
          <w:rFonts w:ascii="Arial" w:hAnsi="Arial" w:cs="Arial"/>
          <w:sz w:val="21"/>
          <w:szCs w:val="21"/>
          <w:lang w:val="es-ES_tradnl"/>
        </w:rPr>
      </w:pPr>
      <w:r w:rsidRPr="006C6818">
        <w:rPr>
          <w:rFonts w:ascii="Arial" w:hAnsi="Arial" w:cs="Arial"/>
          <w:sz w:val="21"/>
          <w:szCs w:val="21"/>
          <w:lang w:val="es-ES_tradnl"/>
        </w:rPr>
        <w:tab/>
      </w:r>
      <w:r w:rsidRPr="006C6818">
        <w:rPr>
          <w:rFonts w:ascii="Arial" w:hAnsi="Arial" w:cs="Arial"/>
          <w:sz w:val="21"/>
          <w:szCs w:val="21"/>
          <w:lang w:val="es-ES_tradnl"/>
        </w:rPr>
        <w:tab/>
        <w:t>[…]</w:t>
      </w:r>
    </w:p>
    <w:p w14:paraId="64678FAA" w14:textId="73F7DDAB" w:rsidR="00192D54" w:rsidRPr="006C6818" w:rsidRDefault="00192D54" w:rsidP="00D44F06">
      <w:pPr>
        <w:spacing w:after="0" w:line="240" w:lineRule="auto"/>
        <w:ind w:left="709" w:right="709"/>
        <w:contextualSpacing/>
        <w:jc w:val="both"/>
        <w:rPr>
          <w:rFonts w:ascii="Arial" w:hAnsi="Arial" w:cs="Arial"/>
          <w:i/>
          <w:sz w:val="21"/>
          <w:szCs w:val="21"/>
          <w:lang w:val="es-ES_tradnl"/>
        </w:rPr>
      </w:pPr>
      <w:r w:rsidRPr="006C6818">
        <w:rPr>
          <w:rFonts w:ascii="Arial" w:hAnsi="Arial" w:cs="Arial"/>
          <w:i/>
          <w:sz w:val="21"/>
          <w:szCs w:val="21"/>
          <w:lang w:val="es-ES_tradnl"/>
        </w:rPr>
        <w:t>Las excepciones aplicables a la restricción de contratación pública</w:t>
      </w:r>
    </w:p>
    <w:p w14:paraId="73FF4698" w14:textId="77777777" w:rsidR="00192D54" w:rsidRPr="006C6818" w:rsidRDefault="00192D54" w:rsidP="00D44F06">
      <w:pPr>
        <w:spacing w:after="0" w:line="240" w:lineRule="auto"/>
        <w:ind w:left="709" w:right="709"/>
        <w:contextualSpacing/>
        <w:jc w:val="both"/>
        <w:rPr>
          <w:rFonts w:ascii="Arial" w:hAnsi="Arial" w:cs="Arial"/>
          <w:sz w:val="21"/>
          <w:szCs w:val="21"/>
          <w:shd w:val="clear" w:color="auto" w:fill="FFFFFF"/>
          <w:lang w:val="es-ES_tradnl"/>
        </w:rPr>
      </w:pPr>
      <w:r w:rsidRPr="006C6818">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23442D42" w14:textId="1E9655B8" w:rsidR="00192D54" w:rsidRPr="006C6818" w:rsidRDefault="00192D54" w:rsidP="00D44F06">
      <w:pPr>
        <w:spacing w:after="0" w:line="240" w:lineRule="auto"/>
        <w:ind w:left="709" w:right="709"/>
        <w:contextualSpacing/>
        <w:jc w:val="both"/>
        <w:rPr>
          <w:rFonts w:ascii="Arial" w:hAnsi="Arial" w:cs="Arial"/>
          <w:sz w:val="21"/>
          <w:szCs w:val="21"/>
          <w:shd w:val="clear" w:color="auto" w:fill="FFFFFF"/>
          <w:lang w:val="es-ES_tradnl"/>
        </w:rPr>
      </w:pPr>
      <w:r w:rsidRPr="006C6818">
        <w:rPr>
          <w:rFonts w:ascii="Arial" w:hAnsi="Arial" w:cs="Arial"/>
          <w:sz w:val="21"/>
          <w:szCs w:val="21"/>
          <w:shd w:val="clear" w:color="auto" w:fill="FFFFFF"/>
          <w:lang w:val="es-ES_tradnl"/>
        </w:rPr>
        <w:t xml:space="preserve">[…] </w:t>
      </w:r>
    </w:p>
    <w:p w14:paraId="0988F028" w14:textId="5F3BA2B5" w:rsidR="00192D54" w:rsidRPr="006C6818" w:rsidRDefault="00192D54" w:rsidP="00D44F06">
      <w:pPr>
        <w:spacing w:after="0" w:line="240" w:lineRule="auto"/>
        <w:ind w:left="709" w:right="709"/>
        <w:contextualSpacing/>
        <w:jc w:val="both"/>
        <w:rPr>
          <w:rFonts w:ascii="Arial" w:hAnsi="Arial" w:cs="Arial"/>
          <w:sz w:val="21"/>
          <w:szCs w:val="21"/>
          <w:shd w:val="clear" w:color="auto" w:fill="FFFFFF"/>
          <w:lang w:val="es-ES_tradnl"/>
        </w:rPr>
      </w:pPr>
      <w:r w:rsidRPr="006C6818">
        <w:rPr>
          <w:rFonts w:ascii="Arial" w:hAnsi="Arial" w:cs="Arial"/>
          <w:sz w:val="21"/>
          <w:szCs w:val="21"/>
          <w:shd w:val="clear" w:color="auto" w:fill="FFFFFF"/>
          <w:lang w:val="es-ES_tradnl"/>
        </w:rPr>
        <w:t>5. Los que deban realizar las entidades sanitarias y hospitalarias […]</w:t>
      </w:r>
      <w:r w:rsidRPr="006C6818">
        <w:rPr>
          <w:rStyle w:val="Refdenotaalpie"/>
          <w:rFonts w:ascii="Arial" w:hAnsi="Arial" w:cs="Arial"/>
          <w:sz w:val="21"/>
          <w:szCs w:val="21"/>
          <w:shd w:val="clear" w:color="auto" w:fill="FFFFFF"/>
          <w:lang w:val="es-ES_tradnl"/>
        </w:rPr>
        <w:footnoteReference w:id="25"/>
      </w:r>
      <w:r w:rsidRPr="006C6818">
        <w:rPr>
          <w:rFonts w:ascii="Arial" w:hAnsi="Arial" w:cs="Arial"/>
          <w:sz w:val="21"/>
          <w:szCs w:val="21"/>
          <w:shd w:val="clear" w:color="auto" w:fill="FFFFFF"/>
          <w:lang w:val="es-ES_tradnl"/>
        </w:rPr>
        <w:t>.</w:t>
      </w:r>
    </w:p>
    <w:p w14:paraId="21A6A18C" w14:textId="77777777" w:rsidR="0061058A" w:rsidRPr="006C6818" w:rsidRDefault="0061058A" w:rsidP="008B1942">
      <w:pPr>
        <w:tabs>
          <w:tab w:val="left" w:pos="426"/>
        </w:tabs>
        <w:spacing w:after="0"/>
        <w:ind w:firstLine="709"/>
        <w:contextualSpacing/>
        <w:jc w:val="both"/>
        <w:rPr>
          <w:rFonts w:ascii="Arial" w:eastAsia="Calibri" w:hAnsi="Arial" w:cs="Arial"/>
          <w:bCs/>
          <w:lang w:val="es-ES_tradnl"/>
        </w:rPr>
      </w:pPr>
    </w:p>
    <w:p w14:paraId="6571E454" w14:textId="3DF5D25E" w:rsidR="00192D54" w:rsidRPr="006C6818" w:rsidRDefault="00192D54" w:rsidP="008B1942">
      <w:pPr>
        <w:tabs>
          <w:tab w:val="left" w:pos="426"/>
        </w:tabs>
        <w:spacing w:after="120"/>
        <w:ind w:firstLine="709"/>
        <w:jc w:val="both"/>
        <w:rPr>
          <w:rFonts w:ascii="Arial" w:eastAsia="Calibri" w:hAnsi="Arial" w:cs="Arial"/>
          <w:bCs/>
          <w:lang w:val="es-ES_tradnl"/>
        </w:rPr>
      </w:pPr>
      <w:r w:rsidRPr="006C6818">
        <w:rPr>
          <w:rFonts w:ascii="Arial" w:eastAsia="Calibri" w:hAnsi="Arial" w:cs="Arial"/>
          <w:bCs/>
          <w:lang w:val="es-ES_tradnl"/>
        </w:rPr>
        <w:t xml:space="preserve">Lo anterior implica que las excepciones al artículo 33 en comento deben interpretarse y aplicarse </w:t>
      </w:r>
      <w:r w:rsidR="007B43F6" w:rsidRPr="006C6818">
        <w:rPr>
          <w:rFonts w:ascii="Arial" w:eastAsia="Calibri" w:hAnsi="Arial" w:cs="Arial"/>
          <w:bCs/>
          <w:lang w:val="es-ES_tradnl"/>
        </w:rPr>
        <w:t xml:space="preserve">de </w:t>
      </w:r>
      <w:r w:rsidRPr="006C6818">
        <w:rPr>
          <w:rFonts w:ascii="Arial" w:eastAsia="Calibri" w:hAnsi="Arial" w:cs="Arial"/>
          <w:bCs/>
          <w:lang w:val="es-ES_tradnl"/>
        </w:rPr>
        <w:t>manera restrictiva. En otras palabras, que no sería posible hacer interpretaciones extensivas</w:t>
      </w:r>
      <w:r w:rsidRPr="006C6818">
        <w:rPr>
          <w:rFonts w:ascii="Arial" w:eastAsia="Calibri" w:hAnsi="Arial" w:cs="Arial"/>
          <w:bCs/>
          <w:i/>
          <w:iCs/>
          <w:lang w:val="es-ES_tradnl"/>
        </w:rPr>
        <w:t xml:space="preserve"> </w:t>
      </w:r>
      <w:r w:rsidRPr="006C6818">
        <w:rPr>
          <w:rFonts w:ascii="Arial" w:eastAsia="Calibri" w:hAnsi="Arial" w:cs="Arial"/>
          <w:bCs/>
          <w:lang w:val="es-ES_tradnl"/>
        </w:rPr>
        <w:t xml:space="preserve">para incluir otros supuestos de hecho similares a las circunstancias previstas en dicho artículo, pues el carácter taxativo implica que solo en los </w:t>
      </w:r>
      <w:r w:rsidRPr="006C6818">
        <w:rPr>
          <w:rFonts w:ascii="Arial" w:eastAsia="Calibri" w:hAnsi="Arial" w:cs="Arial"/>
          <w:bCs/>
          <w:lang w:val="es-ES_tradnl"/>
        </w:rPr>
        <w:lastRenderedPageBreak/>
        <w:t xml:space="preserve">eventos consagrados expresamente en la norma permiten que ciertas entidades estatales se vean exceptuadas de la prohibición. </w:t>
      </w:r>
    </w:p>
    <w:p w14:paraId="5D515463" w14:textId="43851D3F" w:rsidR="00192D54" w:rsidRPr="006C6818" w:rsidRDefault="00192D54" w:rsidP="008B1942">
      <w:pPr>
        <w:tabs>
          <w:tab w:val="left" w:pos="426"/>
        </w:tabs>
        <w:spacing w:after="120"/>
        <w:ind w:firstLine="709"/>
        <w:jc w:val="both"/>
        <w:rPr>
          <w:rFonts w:ascii="Arial" w:hAnsi="Arial" w:cs="Arial"/>
          <w:lang w:val="es-ES_tradnl"/>
        </w:rPr>
      </w:pPr>
      <w:r w:rsidRPr="006C6818">
        <w:rPr>
          <w:rFonts w:ascii="Arial" w:eastAsia="Calibri" w:hAnsi="Arial" w:cs="Arial"/>
          <w:bCs/>
          <w:lang w:val="es-ES_tradnl"/>
        </w:rPr>
        <w:t xml:space="preserve">Ahora, para responder </w:t>
      </w:r>
      <w:r w:rsidR="004B4820" w:rsidRPr="006C6818">
        <w:rPr>
          <w:rFonts w:ascii="Arial" w:eastAsia="Calibri" w:hAnsi="Arial" w:cs="Arial"/>
          <w:bCs/>
          <w:lang w:val="es-ES_tradnl"/>
        </w:rPr>
        <w:t>la</w:t>
      </w:r>
      <w:r w:rsidRPr="006C6818">
        <w:rPr>
          <w:rFonts w:ascii="Arial" w:eastAsia="Calibri" w:hAnsi="Arial" w:cs="Arial"/>
          <w:bCs/>
          <w:lang w:val="es-ES_tradnl"/>
        </w:rPr>
        <w:t xml:space="preserve"> consulta</w:t>
      </w:r>
      <w:r w:rsidR="004B4820" w:rsidRPr="006C6818">
        <w:rPr>
          <w:rFonts w:ascii="Arial" w:eastAsia="Calibri" w:hAnsi="Arial" w:cs="Arial"/>
          <w:bCs/>
          <w:lang w:val="es-ES_tradnl"/>
        </w:rPr>
        <w:t xml:space="preserve"> objeto de este concepto</w:t>
      </w:r>
      <w:r w:rsidRPr="006C6818">
        <w:rPr>
          <w:rFonts w:ascii="Arial" w:eastAsia="Calibri" w:hAnsi="Arial" w:cs="Arial"/>
          <w:bCs/>
          <w:lang w:val="es-ES_tradnl"/>
        </w:rPr>
        <w:t xml:space="preserve">, </w:t>
      </w:r>
      <w:bookmarkStart w:id="43" w:name="_Hlk100061443"/>
      <w:r w:rsidRPr="006C6818">
        <w:rPr>
          <w:rFonts w:ascii="Arial" w:eastAsia="Calibri" w:hAnsi="Arial" w:cs="Arial"/>
          <w:bCs/>
          <w:lang w:val="es-ES_tradnl"/>
        </w:rPr>
        <w:t>es pertinente analizar el quinto evento</w:t>
      </w:r>
      <w:r w:rsidRPr="006C6818">
        <w:rPr>
          <w:rFonts w:ascii="Arial" w:eastAsia="Calibri" w:hAnsi="Arial" w:cs="Arial"/>
          <w:bCs/>
          <w:i/>
          <w:lang w:val="es-ES_tradnl"/>
        </w:rPr>
        <w:t xml:space="preserve"> </w:t>
      </w:r>
      <w:r w:rsidRPr="006C6818">
        <w:rPr>
          <w:rFonts w:ascii="Arial" w:eastAsia="Calibri" w:hAnsi="Arial" w:cs="Arial"/>
          <w:bCs/>
          <w:iCs/>
          <w:lang w:val="es-ES_tradnl"/>
        </w:rPr>
        <w:t xml:space="preserve">exceptuado de la prohibición, relacionado con la contratación por parte de las </w:t>
      </w:r>
      <w:r w:rsidRPr="006C6818">
        <w:rPr>
          <w:rFonts w:ascii="Arial" w:eastAsia="Calibri" w:hAnsi="Arial" w:cs="Arial"/>
          <w:bCs/>
          <w:lang w:val="es-ES_tradnl"/>
        </w:rPr>
        <w:t xml:space="preserve">entidades sanitarias y hospitalarias, </w:t>
      </w:r>
      <w:r w:rsidR="00DE4BE5" w:rsidRPr="006C6818">
        <w:rPr>
          <w:rFonts w:ascii="Arial" w:eastAsia="Calibri" w:hAnsi="Arial" w:cs="Arial"/>
          <w:bCs/>
          <w:lang w:val="es-ES_tradnl"/>
        </w:rPr>
        <w:t>para</w:t>
      </w:r>
      <w:r w:rsidRPr="006C6818">
        <w:rPr>
          <w:rFonts w:ascii="Arial" w:eastAsia="Calibri" w:hAnsi="Arial" w:cs="Arial"/>
          <w:bCs/>
          <w:lang w:val="es-ES_tradnl"/>
        </w:rPr>
        <w:t xml:space="preserve"> determinar si la excepción referida es aplicable a los contratos suscritos por las Empresas Sociales del Estado –ESE–. En este sentido, el artículo 94 de la Ley 100 de 1993 señaló que, </w:t>
      </w:r>
      <w:r w:rsidRPr="006C6818">
        <w:rPr>
          <w:rFonts w:ascii="Arial" w:eastAsia="Times New Roman" w:hAnsi="Arial" w:cs="Arial"/>
          <w:bCs/>
          <w:lang w:val="es-ES_tradnl" w:eastAsia="es-CO"/>
        </w:rPr>
        <w:t>«</w:t>
      </w:r>
      <w:r w:rsidRPr="006C6818">
        <w:rPr>
          <w:rFonts w:ascii="Arial" w:eastAsia="Calibri" w:hAnsi="Arial" w:cs="Arial"/>
          <w:bCs/>
          <w:lang w:val="es-ES_tradnl"/>
        </w:rPr>
        <w:t>l</w:t>
      </w:r>
      <w:r w:rsidRPr="006C6818">
        <w:rPr>
          <w:rFonts w:ascii="Arial" w:hAnsi="Arial" w:cs="Arial"/>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6C6818">
        <w:rPr>
          <w:rFonts w:ascii="Arial" w:eastAsia="Times New Roman" w:hAnsi="Arial" w:cs="Arial"/>
          <w:bCs/>
          <w:lang w:val="es-ES_tradnl" w:eastAsia="es-CO"/>
        </w:rPr>
        <w:t>»</w:t>
      </w:r>
      <w:r w:rsidRPr="006C6818">
        <w:rPr>
          <w:rFonts w:ascii="Arial" w:hAnsi="Arial" w:cs="Arial"/>
          <w:lang w:val="es-ES_tradnl"/>
        </w:rPr>
        <w:t xml:space="preserve">. </w:t>
      </w:r>
    </w:p>
    <w:bookmarkEnd w:id="43"/>
    <w:p w14:paraId="141F4D0F" w14:textId="77777777" w:rsidR="00192D54" w:rsidRPr="006C6818" w:rsidRDefault="00192D54" w:rsidP="008B1942">
      <w:pPr>
        <w:tabs>
          <w:tab w:val="left" w:pos="426"/>
        </w:tabs>
        <w:spacing w:after="120"/>
        <w:ind w:firstLine="709"/>
        <w:jc w:val="both"/>
        <w:rPr>
          <w:rFonts w:ascii="Arial" w:hAnsi="Arial" w:cs="Arial"/>
        </w:rPr>
      </w:pPr>
      <w:r w:rsidRPr="006C6818">
        <w:rPr>
          <w:rFonts w:ascii="Arial" w:hAnsi="Arial" w:cs="Arial"/>
          <w:lang w:val="es-ES_tradnl"/>
        </w:rPr>
        <w:t>Es decir que, a partir de la entrada en vigencia de la Ley 100 de 1993, las Empresas Sociales del Estado son las entidades públicas que tienen a su cargo la prestación de servicios de salud de manera directa. Igualmente, el artículo 197 de la misma disposición</w:t>
      </w:r>
      <w:r w:rsidRPr="006C6818">
        <w:rPr>
          <w:rStyle w:val="Refdenotaalpie"/>
          <w:rFonts w:ascii="Arial" w:hAnsi="Arial" w:cs="Arial"/>
          <w:lang w:val="es-ES_tradnl"/>
        </w:rPr>
        <w:footnoteReference w:id="26"/>
      </w:r>
      <w:r w:rsidRPr="006C6818">
        <w:rPr>
          <w:rFonts w:ascii="Arial" w:hAnsi="Arial" w:cs="Arial"/>
          <w:lang w:val="es-ES_tradnl"/>
        </w:rPr>
        <w:t xml:space="preserve"> otorgó un término de 6 meses a las entidades territoriales prestadoras del servicio de salud para reestructurarlas en Empresas Sociales del Estado. </w:t>
      </w:r>
    </w:p>
    <w:p w14:paraId="0FDBEBEE" w14:textId="77777777" w:rsidR="00192D54" w:rsidRPr="006C6818" w:rsidRDefault="00192D54" w:rsidP="008B1942">
      <w:pPr>
        <w:tabs>
          <w:tab w:val="left" w:pos="426"/>
        </w:tabs>
        <w:spacing w:after="120"/>
        <w:ind w:firstLine="709"/>
        <w:jc w:val="both"/>
        <w:rPr>
          <w:rFonts w:ascii="Arial" w:hAnsi="Arial" w:cs="Arial"/>
          <w:lang w:val="es-ES_tradnl"/>
        </w:rPr>
      </w:pPr>
      <w:r w:rsidRPr="006C6818">
        <w:rPr>
          <w:rFonts w:ascii="Arial" w:hAnsi="Arial" w:cs="Arial"/>
          <w:lang w:val="es-ES_tradnl"/>
        </w:rPr>
        <w:t xml:space="preserve">De lo anterior se desprende que, bajo la Ley 100 de 1993, dentro de la estructura de la administración pública las entidades encargadas de prestar el servicio de salud de manera directa son las Empresas Sociales del Estado.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02F6B4C6" w14:textId="77777777" w:rsidR="00192D54" w:rsidRPr="006C6818" w:rsidRDefault="00192D54" w:rsidP="008A26CF">
      <w:pPr>
        <w:tabs>
          <w:tab w:val="left" w:pos="426"/>
        </w:tabs>
        <w:spacing w:after="120"/>
        <w:ind w:firstLine="709"/>
        <w:jc w:val="both"/>
        <w:rPr>
          <w:rFonts w:ascii="Arial" w:hAnsi="Arial" w:cs="Arial"/>
          <w:lang w:val="es-ES_tradnl"/>
        </w:rPr>
      </w:pPr>
      <w:r w:rsidRPr="006C6818">
        <w:rPr>
          <w:rFonts w:ascii="Arial" w:hAnsi="Arial" w:cs="Arial"/>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4D81C2F5" w14:textId="64BFD00D" w:rsidR="00192D54" w:rsidRPr="006C6818" w:rsidRDefault="00192D54" w:rsidP="008A26CF">
      <w:pPr>
        <w:tabs>
          <w:tab w:val="left" w:pos="426"/>
        </w:tabs>
        <w:spacing w:after="120"/>
        <w:ind w:firstLine="709"/>
        <w:jc w:val="both"/>
        <w:rPr>
          <w:rFonts w:ascii="Arial" w:eastAsia="Calibri" w:hAnsi="Arial" w:cs="Arial"/>
          <w:bCs/>
          <w:lang w:val="es-ES_tradnl"/>
        </w:rPr>
      </w:pPr>
      <w:r w:rsidRPr="006C6818">
        <w:rPr>
          <w:rFonts w:ascii="Arial" w:eastAsia="Calibri" w:hAnsi="Arial" w:cs="Arial"/>
          <w:bCs/>
          <w:lang w:val="es-ES_tradnl"/>
        </w:rPr>
        <w:t xml:space="preserve">Ahora, a pesar de la apreciación anterior, 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Ley de Garantías Electorales, frente a las entidades sanitarias y hospitalarias, </w:t>
      </w:r>
      <w:r w:rsidR="00DE4BE5" w:rsidRPr="006C6818">
        <w:rPr>
          <w:rFonts w:ascii="Arial" w:eastAsia="Calibri" w:hAnsi="Arial" w:cs="Arial"/>
          <w:bCs/>
          <w:lang w:val="es-ES_tradnl"/>
        </w:rPr>
        <w:t>señaló</w:t>
      </w:r>
      <w:r w:rsidRPr="006C6818">
        <w:rPr>
          <w:rFonts w:ascii="Arial" w:eastAsia="Calibri" w:hAnsi="Arial" w:cs="Arial"/>
          <w:bCs/>
          <w:lang w:val="es-ES_tradnl"/>
        </w:rPr>
        <w:t xml:space="preserve"> el retardo en el proceso de reestructuración mencionado en la Ley 100 de 1993,</w:t>
      </w:r>
      <w:r w:rsidR="00DE4BE5" w:rsidRPr="006C6818">
        <w:rPr>
          <w:rFonts w:ascii="Arial" w:eastAsia="Calibri" w:hAnsi="Arial" w:cs="Arial"/>
          <w:bCs/>
          <w:lang w:val="es-ES_tradnl"/>
        </w:rPr>
        <w:t xml:space="preserve"> precisando el alcance de la excepción,</w:t>
      </w:r>
      <w:r w:rsidRPr="006C6818">
        <w:rPr>
          <w:rFonts w:ascii="Arial" w:eastAsia="Calibri" w:hAnsi="Arial" w:cs="Arial"/>
          <w:bCs/>
          <w:lang w:val="es-ES_tradnl"/>
        </w:rPr>
        <w:t xml:space="preserve"> así: </w:t>
      </w:r>
    </w:p>
    <w:p w14:paraId="0620FF3C" w14:textId="77777777" w:rsidR="00192D54" w:rsidRPr="006C6818" w:rsidRDefault="00192D54" w:rsidP="00192D54">
      <w:pPr>
        <w:tabs>
          <w:tab w:val="left" w:pos="426"/>
        </w:tabs>
        <w:spacing w:after="0"/>
        <w:ind w:firstLine="709"/>
        <w:jc w:val="both"/>
        <w:rPr>
          <w:rFonts w:ascii="Arial" w:eastAsia="Calibri" w:hAnsi="Arial" w:cs="Arial"/>
          <w:bCs/>
          <w:lang w:val="es-ES_tradnl"/>
        </w:rPr>
      </w:pPr>
    </w:p>
    <w:p w14:paraId="3AEC5D31" w14:textId="77777777" w:rsidR="00192D54" w:rsidRPr="006C6818" w:rsidRDefault="00192D54" w:rsidP="00891ED7">
      <w:pPr>
        <w:tabs>
          <w:tab w:val="left" w:pos="426"/>
        </w:tabs>
        <w:spacing w:after="0" w:line="240" w:lineRule="auto"/>
        <w:ind w:left="709" w:right="709"/>
        <w:jc w:val="both"/>
        <w:rPr>
          <w:rFonts w:ascii="Arial" w:eastAsia="Calibri" w:hAnsi="Arial" w:cs="Arial"/>
          <w:bCs/>
          <w:sz w:val="21"/>
          <w:szCs w:val="21"/>
          <w:lang w:val="es-ES_tradnl"/>
        </w:rPr>
      </w:pPr>
      <w:r w:rsidRPr="006C6818">
        <w:rPr>
          <w:rFonts w:ascii="Arial" w:hAnsi="Arial" w:cs="Arial"/>
          <w:sz w:val="21"/>
          <w:szCs w:val="21"/>
          <w:shd w:val="clear" w:color="auto" w:fill="FFFFFF"/>
          <w:lang w:val="es-ES_tradnl"/>
        </w:rPr>
        <w:lastRenderedPageBreak/>
        <w:t xml:space="preserve">[…] se encuentran cubiertos por la excepción contemplada en el inciso 2 del artículo 33 de la Ley de Garantías Electorales, las entidades hospitalarias que a la luz de las normas vigentes no son otras distintas que las Empresas Sociales del estado y todas aquellas instituciones públicas que a pesar de no haberse transformado en Empresas Sociales del Estado, prestan un servicio de salud directo sobre el usuario en su carácter general de entidad hospitalaria […]. </w:t>
      </w:r>
    </w:p>
    <w:p w14:paraId="18BFE3B7" w14:textId="77777777" w:rsidR="00192D54" w:rsidRPr="006C6818" w:rsidRDefault="00192D54" w:rsidP="00192D54">
      <w:pPr>
        <w:tabs>
          <w:tab w:val="left" w:pos="426"/>
        </w:tabs>
        <w:spacing w:after="0"/>
        <w:ind w:firstLine="709"/>
        <w:jc w:val="both"/>
        <w:rPr>
          <w:rFonts w:ascii="Arial" w:eastAsia="Calibri" w:hAnsi="Arial" w:cs="Arial"/>
          <w:bCs/>
          <w:lang w:val="es-ES_tradnl"/>
        </w:rPr>
      </w:pPr>
    </w:p>
    <w:p w14:paraId="148F9ED4" w14:textId="2D9D7E95" w:rsidR="00192D54" w:rsidRPr="006C6818" w:rsidRDefault="00192D54" w:rsidP="00192D54">
      <w:pPr>
        <w:tabs>
          <w:tab w:val="left" w:pos="426"/>
        </w:tabs>
        <w:spacing w:after="120"/>
        <w:ind w:firstLine="709"/>
        <w:jc w:val="both"/>
        <w:rPr>
          <w:rFonts w:ascii="Arial" w:eastAsia="Calibri" w:hAnsi="Arial" w:cs="Arial"/>
          <w:bCs/>
          <w:lang w:val="es-ES_tradnl"/>
        </w:rPr>
      </w:pPr>
      <w:r w:rsidRPr="006C6818">
        <w:rPr>
          <w:rFonts w:ascii="Arial" w:eastAsia="Calibri" w:hAnsi="Arial" w:cs="Arial"/>
          <w:bCs/>
          <w:lang w:val="es-ES_tradnl"/>
        </w:rPr>
        <w:t xml:space="preserve">Del aparte trascrito se </w:t>
      </w:r>
      <w:r w:rsidR="00474FFB" w:rsidRPr="006C6818">
        <w:rPr>
          <w:rFonts w:ascii="Arial" w:eastAsia="Calibri" w:hAnsi="Arial" w:cs="Arial"/>
          <w:bCs/>
          <w:lang w:val="es-ES_tradnl"/>
        </w:rPr>
        <w:t>desprende</w:t>
      </w:r>
      <w:r w:rsidRPr="006C6818">
        <w:rPr>
          <w:rFonts w:ascii="Arial" w:eastAsia="Calibri" w:hAnsi="Arial" w:cs="Arial"/>
          <w:bCs/>
          <w:lang w:val="es-ES_tradnl"/>
        </w:rPr>
        <w:t xml:space="preserve"> que, </w:t>
      </w:r>
      <w:bookmarkStart w:id="44" w:name="_Hlk100061494"/>
      <w:r w:rsidRPr="006C6818">
        <w:rPr>
          <w:rFonts w:ascii="Arial" w:eastAsia="Calibri" w:hAnsi="Arial" w:cs="Arial"/>
          <w:bCs/>
          <w:lang w:val="es-ES_tradnl"/>
        </w:rPr>
        <w:t xml:space="preserve">para la autoridad administrativa del sector salud, las Empresas Sociales del Estado son las entidades hospitalarias de que trata la excepción a la prohibición establecida en el artículo 33 de la </w:t>
      </w:r>
      <w:r w:rsidR="002758C4" w:rsidRPr="006C6818">
        <w:rPr>
          <w:rFonts w:ascii="Arial" w:eastAsia="Calibri" w:hAnsi="Arial" w:cs="Arial"/>
          <w:bCs/>
          <w:lang w:val="es-ES_tradnl"/>
        </w:rPr>
        <w:t>L</w:t>
      </w:r>
      <w:r w:rsidRPr="006C6818">
        <w:rPr>
          <w:rFonts w:ascii="Arial" w:eastAsia="Calibri" w:hAnsi="Arial" w:cs="Arial"/>
          <w:bCs/>
          <w:lang w:val="es-ES_tradnl"/>
        </w:rPr>
        <w:t xml:space="preserve">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64CCD918" w14:textId="77777777" w:rsidR="00192D54" w:rsidRPr="006C6818" w:rsidRDefault="00192D54" w:rsidP="00192D54">
      <w:pPr>
        <w:tabs>
          <w:tab w:val="left" w:pos="426"/>
        </w:tabs>
        <w:spacing w:after="0"/>
        <w:ind w:firstLine="709"/>
        <w:contextualSpacing/>
        <w:jc w:val="both"/>
        <w:rPr>
          <w:rFonts w:ascii="Arial" w:eastAsia="Calibri" w:hAnsi="Arial" w:cs="Arial"/>
          <w:bCs/>
          <w:lang w:val="es-ES_tradnl"/>
        </w:rPr>
      </w:pPr>
      <w:r w:rsidRPr="006C6818">
        <w:rPr>
          <w:rFonts w:ascii="Arial" w:eastAsia="Calibri" w:hAnsi="Arial" w:cs="Arial"/>
          <w:bCs/>
          <w:lang w:val="es-ES_tradnl"/>
        </w:rPr>
        <w:t xml:space="preserve">Por tanto, 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w:t>
      </w:r>
    </w:p>
    <w:bookmarkEnd w:id="44"/>
    <w:p w14:paraId="6175AAFC" w14:textId="7A2D5DF6" w:rsidR="00192D54" w:rsidRPr="006C6818" w:rsidRDefault="00192D54" w:rsidP="00741466">
      <w:pPr>
        <w:spacing w:after="0" w:line="276" w:lineRule="auto"/>
        <w:ind w:firstLine="708"/>
        <w:contextualSpacing/>
        <w:jc w:val="both"/>
        <w:rPr>
          <w:rFonts w:ascii="Arial" w:eastAsia="Times New Roman" w:hAnsi="Arial" w:cs="Arial"/>
          <w:bCs/>
          <w:lang w:val="es-MX" w:eastAsia="x-none"/>
        </w:rPr>
      </w:pPr>
    </w:p>
    <w:p w14:paraId="12538E31" w14:textId="00040FC7" w:rsidR="00741466" w:rsidRPr="006C6818" w:rsidRDefault="00741466" w:rsidP="00741466">
      <w:pPr>
        <w:spacing w:after="0" w:line="276" w:lineRule="auto"/>
        <w:contextualSpacing/>
        <w:jc w:val="both"/>
        <w:rPr>
          <w:rFonts w:ascii="Arial" w:eastAsia="Calibri" w:hAnsi="Arial" w:cs="Arial"/>
          <w:b/>
          <w:bCs/>
          <w:lang w:val="es-MX"/>
        </w:rPr>
      </w:pPr>
      <w:bookmarkStart w:id="45" w:name="_Hlk75784645"/>
      <w:bookmarkEnd w:id="41"/>
      <w:r w:rsidRPr="006C6818">
        <w:rPr>
          <w:rFonts w:ascii="Arial" w:eastAsia="Calibri" w:hAnsi="Arial" w:cs="Arial"/>
          <w:b/>
          <w:bCs/>
          <w:lang w:val="es-MX"/>
        </w:rPr>
        <w:t xml:space="preserve">2.4. </w:t>
      </w:r>
      <w:bookmarkStart w:id="46" w:name="_Hlk77153296"/>
      <w:r w:rsidRPr="006C6818">
        <w:rPr>
          <w:rFonts w:ascii="Arial" w:eastAsia="Times New Roman" w:hAnsi="Arial" w:cs="Arial"/>
          <w:b/>
          <w:bCs/>
          <w:lang w:val="es-MX" w:eastAsia="es-CO"/>
        </w:rPr>
        <w:t xml:space="preserve">Restricciones </w:t>
      </w:r>
      <w:bookmarkStart w:id="47" w:name="_Hlk75643279"/>
      <w:r w:rsidRPr="006C6818">
        <w:rPr>
          <w:rFonts w:ascii="Arial" w:eastAsia="Times New Roman" w:hAnsi="Arial" w:cs="Arial"/>
          <w:b/>
          <w:bCs/>
          <w:lang w:val="es-MX" w:eastAsia="es-CO"/>
        </w:rPr>
        <w:t>para la celebración de contratos y convenios interadministrativos en los comicios para cargos de elección popular</w:t>
      </w:r>
      <w:r w:rsidR="00340FD6" w:rsidRPr="006C6818">
        <w:rPr>
          <w:rFonts w:ascii="Arial" w:hAnsi="Arial" w:cs="Arial"/>
          <w:b/>
          <w:bCs/>
          <w:color w:val="000000" w:themeColor="text1"/>
          <w:lang w:val="es-MX" w:eastAsia="es-CO"/>
        </w:rPr>
        <w:t>: prohibición del parágrafo del artículo 38 de la Ley 996 de 2005</w:t>
      </w:r>
      <w:r w:rsidRPr="006C6818">
        <w:rPr>
          <w:rFonts w:ascii="Arial" w:eastAsia="Times New Roman" w:hAnsi="Arial" w:cs="Arial"/>
          <w:b/>
          <w:bCs/>
          <w:lang w:val="es-MX" w:eastAsia="es-CO"/>
        </w:rPr>
        <w:t xml:space="preserve"> </w:t>
      </w:r>
    </w:p>
    <w:p w14:paraId="2A82A660" w14:textId="77777777" w:rsidR="00741466" w:rsidRPr="006C6818" w:rsidRDefault="00741466" w:rsidP="00741466">
      <w:pPr>
        <w:tabs>
          <w:tab w:val="left" w:pos="426"/>
        </w:tabs>
        <w:spacing w:after="0" w:line="276" w:lineRule="auto"/>
        <w:contextualSpacing/>
        <w:jc w:val="both"/>
        <w:rPr>
          <w:rFonts w:ascii="Arial" w:eastAsia="Calibri" w:hAnsi="Arial" w:cs="Arial"/>
          <w:bCs/>
        </w:rPr>
      </w:pPr>
      <w:bookmarkStart w:id="48" w:name="_Hlk88210558"/>
      <w:bookmarkEnd w:id="46"/>
      <w:bookmarkEnd w:id="47"/>
    </w:p>
    <w:p w14:paraId="713569AB" w14:textId="68106D68" w:rsidR="00741466" w:rsidRPr="006C6818" w:rsidRDefault="00741466" w:rsidP="00A1167C">
      <w:pPr>
        <w:tabs>
          <w:tab w:val="left" w:pos="426"/>
        </w:tabs>
        <w:spacing w:after="120" w:line="276" w:lineRule="auto"/>
        <w:jc w:val="both"/>
        <w:rPr>
          <w:rFonts w:ascii="Arial" w:eastAsia="Calibri" w:hAnsi="Arial" w:cs="Arial"/>
          <w:sz w:val="24"/>
          <w:lang w:val="es-MX"/>
        </w:rPr>
      </w:pPr>
      <w:bookmarkStart w:id="49" w:name="_Hlk100061532"/>
      <w:r w:rsidRPr="006C6818">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C6818">
        <w:rPr>
          <w:rFonts w:ascii="Arial" w:eastAsia="Times New Roman" w:hAnsi="Arial" w:cs="Arial"/>
          <w:bCs/>
          <w:iCs/>
          <w:lang w:val="es-MX" w:eastAsia="x-none"/>
        </w:rPr>
        <w:t xml:space="preserve"> </w:t>
      </w:r>
      <w:bookmarkEnd w:id="48"/>
      <w:r w:rsidRPr="006C6818">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6C6818">
        <w:rPr>
          <w:rFonts w:ascii="Arial" w:eastAsia="Times New Roman" w:hAnsi="Arial" w:cs="Arial"/>
          <w:bCs/>
          <w:iCs/>
          <w:vertAlign w:val="superscript"/>
          <w:lang w:val="es-MX" w:eastAsia="x-none"/>
        </w:rPr>
        <w:footnoteReference w:id="27"/>
      </w:r>
      <w:r w:rsidRPr="006C6818">
        <w:rPr>
          <w:rFonts w:ascii="Arial" w:eastAsia="Times New Roman" w:hAnsi="Arial" w:cs="Arial"/>
          <w:bCs/>
          <w:iCs/>
          <w:lang w:val="es-MX" w:eastAsia="x-none"/>
        </w:rPr>
        <w:t>.</w:t>
      </w:r>
      <w:r w:rsidRPr="006C6818">
        <w:rPr>
          <w:rFonts w:ascii="Arial" w:eastAsia="Calibri" w:hAnsi="Arial" w:cs="Arial"/>
          <w:sz w:val="24"/>
          <w:lang w:val="es-MX"/>
        </w:rPr>
        <w:t xml:space="preserve"> </w:t>
      </w:r>
    </w:p>
    <w:p w14:paraId="2F903D87" w14:textId="77777777" w:rsidR="00A1167C" w:rsidRPr="006C6818" w:rsidRDefault="00A1167C" w:rsidP="00A1167C">
      <w:pPr>
        <w:tabs>
          <w:tab w:val="left" w:pos="851"/>
        </w:tabs>
        <w:spacing w:after="120"/>
        <w:ind w:firstLine="709"/>
        <w:jc w:val="both"/>
        <w:rPr>
          <w:rFonts w:ascii="Arial" w:eastAsia="Calibri" w:hAnsi="Arial" w:cs="Arial"/>
          <w:bCs/>
        </w:rPr>
      </w:pPr>
      <w:r w:rsidRPr="006C6818">
        <w:rPr>
          <w:rFonts w:ascii="Arial" w:hAnsi="Arial" w:cs="Arial"/>
        </w:rPr>
        <w:t xml:space="preserve">Para estos efectos, es necesario tener en cuenta que las empresas sociales del Estado que prestan servicios de salud pueden ser entidades descentralizadas del respectivo municipio, departamento o distrito. A esto se refiere el artículo 194 de la Ley 100 de 1993 cuando dispone que «La prestación de servicios de salud en forma directa por la Nación o por las entidades territoriales, se hará a través de las Empresas Sociales del Estado, que constituyen una categoría especial de </w:t>
      </w:r>
      <w:r w:rsidRPr="006C6818">
        <w:rPr>
          <w:rFonts w:ascii="Arial" w:hAnsi="Arial" w:cs="Arial"/>
          <w:i/>
          <w:iCs/>
        </w:rPr>
        <w:t>entidad pública descentralizada</w:t>
      </w:r>
      <w:r w:rsidRPr="006C6818">
        <w:rPr>
          <w:rFonts w:ascii="Arial" w:hAnsi="Arial" w:cs="Arial"/>
        </w:rPr>
        <w:t xml:space="preserve">, con </w:t>
      </w:r>
      <w:r w:rsidRPr="006C6818">
        <w:rPr>
          <w:rFonts w:ascii="Arial" w:hAnsi="Arial" w:cs="Arial"/>
        </w:rPr>
        <w:lastRenderedPageBreak/>
        <w:t xml:space="preserve">personería jurídica, patrimonio propio y autonomía administrativa, </w:t>
      </w:r>
      <w:r w:rsidRPr="006C6818">
        <w:rPr>
          <w:rFonts w:ascii="Arial" w:hAnsi="Arial" w:cs="Arial"/>
          <w:i/>
          <w:iCs/>
        </w:rPr>
        <w:t>creadas por</w:t>
      </w:r>
      <w:r w:rsidRPr="006C6818">
        <w:rPr>
          <w:rFonts w:ascii="Arial" w:hAnsi="Arial" w:cs="Arial"/>
        </w:rPr>
        <w:t xml:space="preserve"> la Ley o por </w:t>
      </w:r>
      <w:r w:rsidRPr="006C6818">
        <w:rPr>
          <w:rFonts w:ascii="Arial" w:hAnsi="Arial" w:cs="Arial"/>
          <w:i/>
          <w:iCs/>
        </w:rPr>
        <w:t>las asambleas o concejos, según el caso</w:t>
      </w:r>
      <w:r w:rsidRPr="006C6818">
        <w:rPr>
          <w:rFonts w:ascii="Arial" w:hAnsi="Arial" w:cs="Arial"/>
        </w:rPr>
        <w:t xml:space="preserve"> […]» (Énfasis fuera de texto). Por tanto, las empresas sociales del Estado estarán sujetas la restricción de la norma citada en el párrafo precedente.  </w:t>
      </w:r>
    </w:p>
    <w:bookmarkEnd w:id="49"/>
    <w:p w14:paraId="2923B930" w14:textId="77777777" w:rsidR="00741466" w:rsidRPr="006C6818" w:rsidRDefault="00741466" w:rsidP="00B8095A">
      <w:pPr>
        <w:widowControl w:val="0"/>
        <w:autoSpaceDE w:val="0"/>
        <w:autoSpaceDN w:val="0"/>
        <w:spacing w:after="120" w:line="276" w:lineRule="auto"/>
        <w:ind w:firstLine="707"/>
        <w:jc w:val="both"/>
        <w:rPr>
          <w:rFonts w:ascii="Arial" w:eastAsia="Arial" w:hAnsi="Arial" w:cs="Arial"/>
          <w:lang w:val="es-ES" w:eastAsia="es-ES" w:bidi="es-ES"/>
        </w:rPr>
      </w:pPr>
      <w:r w:rsidRPr="006C6818">
        <w:rPr>
          <w:rFonts w:ascii="Arial" w:eastAsia="Calibri" w:hAnsi="Arial" w:cs="Arial"/>
          <w:bCs/>
          <w:lang w:eastAsia="es-ES" w:bidi="es-ES"/>
        </w:rPr>
        <w:t xml:space="preserve">Ahora bien, </w:t>
      </w:r>
      <w:bookmarkStart w:id="50" w:name="_Hlk78820161"/>
      <w:r w:rsidRPr="006C6818">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C6818">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6C6818">
        <w:rPr>
          <w:rFonts w:ascii="Arial" w:eastAsia="Arial" w:hAnsi="Arial" w:cs="Arial"/>
          <w:vertAlign w:val="superscript"/>
          <w:lang w:val="es-ES" w:eastAsia="es-ES" w:bidi="es-ES"/>
        </w:rPr>
        <w:footnoteReference w:id="28"/>
      </w:r>
      <w:r w:rsidRPr="006C6818">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C6818">
        <w:rPr>
          <w:rFonts w:ascii="Arial" w:eastAsia="Arial" w:hAnsi="Arial" w:cs="Arial"/>
          <w:spacing w:val="-6"/>
          <w:lang w:val="es-ES" w:eastAsia="es-ES" w:bidi="es-ES"/>
        </w:rPr>
        <w:t xml:space="preserve"> </w:t>
      </w:r>
      <w:r w:rsidRPr="006C6818">
        <w:rPr>
          <w:rFonts w:ascii="Arial" w:eastAsia="Arial" w:hAnsi="Arial" w:cs="Arial"/>
          <w:lang w:val="es-ES" w:eastAsia="es-ES" w:bidi="es-ES"/>
        </w:rPr>
        <w:t>estatales.</w:t>
      </w:r>
    </w:p>
    <w:p w14:paraId="5A8427D9" w14:textId="77777777" w:rsidR="00741466" w:rsidRPr="006C6818" w:rsidRDefault="00741466" w:rsidP="00B8095A">
      <w:pPr>
        <w:widowControl w:val="0"/>
        <w:autoSpaceDE w:val="0"/>
        <w:autoSpaceDN w:val="0"/>
        <w:spacing w:after="120" w:line="276" w:lineRule="auto"/>
        <w:ind w:firstLine="707"/>
        <w:jc w:val="both"/>
        <w:rPr>
          <w:rFonts w:ascii="Arial" w:eastAsia="Arial" w:hAnsi="Arial" w:cs="Arial"/>
          <w:lang w:val="es-ES" w:eastAsia="es-ES" w:bidi="es-ES"/>
        </w:rPr>
      </w:pPr>
      <w:bookmarkStart w:id="51" w:name="_Hlk78820654"/>
      <w:bookmarkEnd w:id="50"/>
      <w:r w:rsidRPr="006C6818">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1"/>
    <w:p w14:paraId="1AF99FA1" w14:textId="77777777" w:rsidR="00741466" w:rsidRPr="006C6818" w:rsidRDefault="00741466" w:rsidP="00B8095A">
      <w:pPr>
        <w:widowControl w:val="0"/>
        <w:autoSpaceDE w:val="0"/>
        <w:autoSpaceDN w:val="0"/>
        <w:spacing w:after="120" w:line="276" w:lineRule="auto"/>
        <w:ind w:firstLine="707"/>
        <w:jc w:val="both"/>
        <w:rPr>
          <w:rFonts w:ascii="Arial" w:eastAsia="Arial" w:hAnsi="Arial" w:cs="Arial"/>
          <w:lang w:val="es-ES" w:eastAsia="es-ES" w:bidi="es-ES"/>
        </w:rPr>
      </w:pPr>
      <w:r w:rsidRPr="006C6818">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C6818">
        <w:rPr>
          <w:rFonts w:ascii="Arial" w:eastAsia="Arial" w:hAnsi="Arial" w:cs="Arial"/>
          <w:vertAlign w:val="superscript"/>
          <w:lang w:val="es-ES" w:eastAsia="es-ES" w:bidi="es-ES"/>
        </w:rPr>
        <w:footnoteReference w:id="29"/>
      </w:r>
      <w:r w:rsidRPr="006C6818">
        <w:rPr>
          <w:rFonts w:ascii="Arial" w:eastAsia="Arial" w:hAnsi="Arial" w:cs="Arial"/>
          <w:lang w:val="es-ES" w:eastAsia="es-ES" w:bidi="es-ES"/>
        </w:rPr>
        <w:t>. Nótese que, en este caso, lo que cambia es la modalidad de selección y no la naturaleza de contrato</w:t>
      </w:r>
      <w:r w:rsidRPr="006C6818">
        <w:rPr>
          <w:rFonts w:ascii="Arial" w:eastAsia="Arial" w:hAnsi="Arial" w:cs="Arial"/>
          <w:spacing w:val="-18"/>
          <w:lang w:val="es-ES" w:eastAsia="es-ES" w:bidi="es-ES"/>
        </w:rPr>
        <w:t xml:space="preserve"> </w:t>
      </w:r>
      <w:r w:rsidRPr="006C6818">
        <w:rPr>
          <w:rFonts w:ascii="Arial" w:eastAsia="Arial" w:hAnsi="Arial" w:cs="Arial"/>
          <w:lang w:val="es-ES" w:eastAsia="es-ES" w:bidi="es-ES"/>
        </w:rPr>
        <w:t>interadministrativo.</w:t>
      </w:r>
    </w:p>
    <w:p w14:paraId="756D9743" w14:textId="77777777" w:rsidR="00741466" w:rsidRPr="006C6818" w:rsidRDefault="00741466" w:rsidP="00741466">
      <w:pPr>
        <w:widowControl w:val="0"/>
        <w:autoSpaceDE w:val="0"/>
        <w:autoSpaceDN w:val="0"/>
        <w:spacing w:after="0" w:line="276" w:lineRule="auto"/>
        <w:ind w:firstLine="707"/>
        <w:contextualSpacing/>
        <w:jc w:val="both"/>
        <w:rPr>
          <w:rFonts w:ascii="Arial" w:eastAsia="Arial" w:hAnsi="Arial" w:cs="Arial"/>
          <w:lang w:val="es-ES" w:eastAsia="es-ES" w:bidi="es-ES"/>
        </w:rPr>
      </w:pPr>
      <w:r w:rsidRPr="006C6818">
        <w:rPr>
          <w:rFonts w:ascii="Arial" w:eastAsia="Arial" w:hAnsi="Arial" w:cs="Arial"/>
          <w:lang w:val="es-ES" w:eastAsia="es-ES" w:bidi="es-ES"/>
        </w:rPr>
        <w:lastRenderedPageBreak/>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C6818">
        <w:rPr>
          <w:rFonts w:ascii="Arial" w:eastAsia="Arial" w:hAnsi="Arial" w:cs="Arial"/>
          <w:spacing w:val="-13"/>
          <w:lang w:val="es-ES" w:eastAsia="es-ES" w:bidi="es-ES"/>
        </w:rPr>
        <w:t xml:space="preserve"> </w:t>
      </w:r>
      <w:r w:rsidRPr="006C6818">
        <w:rPr>
          <w:rFonts w:ascii="Arial" w:eastAsia="Arial" w:hAnsi="Arial" w:cs="Arial"/>
          <w:lang w:val="es-ES" w:eastAsia="es-ES" w:bidi="es-ES"/>
        </w:rPr>
        <w:t>que:</w:t>
      </w:r>
    </w:p>
    <w:p w14:paraId="0850D2E4" w14:textId="77777777" w:rsidR="00741466" w:rsidRPr="006C6818" w:rsidRDefault="00741466" w:rsidP="00741466">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1FB71786" w14:textId="77777777" w:rsidR="00741466" w:rsidRPr="006C6818" w:rsidRDefault="00741466" w:rsidP="00741466">
      <w:pPr>
        <w:spacing w:after="0" w:line="240" w:lineRule="auto"/>
        <w:ind w:left="709" w:right="709"/>
        <w:contextualSpacing/>
        <w:jc w:val="both"/>
        <w:rPr>
          <w:rFonts w:ascii="Arial" w:eastAsia="Calibri" w:hAnsi="Arial" w:cs="Arial"/>
          <w:sz w:val="21"/>
          <w:lang w:val="es-MX"/>
        </w:rPr>
      </w:pPr>
      <w:r w:rsidRPr="006C6818">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6C6818">
        <w:rPr>
          <w:rFonts w:ascii="Arial" w:eastAsia="Calibri" w:hAnsi="Arial" w:cs="Arial"/>
          <w:sz w:val="21"/>
          <w:lang w:val="es-MX"/>
        </w:rPr>
        <w:t>ii</w:t>
      </w:r>
      <w:proofErr w:type="spellEnd"/>
      <w:r w:rsidRPr="006C6818">
        <w:rPr>
          <w:rFonts w:ascii="Arial" w:eastAsia="Calibri" w:hAnsi="Arial" w:cs="Arial"/>
          <w:sz w:val="21"/>
          <w:lang w:val="es-MX"/>
        </w:rPr>
        <w:t>) tienen como fuente la autonomía contractual; (</w:t>
      </w:r>
      <w:proofErr w:type="spellStart"/>
      <w:r w:rsidRPr="006C6818">
        <w:rPr>
          <w:rFonts w:ascii="Arial" w:eastAsia="Calibri" w:hAnsi="Arial" w:cs="Arial"/>
          <w:sz w:val="21"/>
          <w:lang w:val="es-MX"/>
        </w:rPr>
        <w:t>iii</w:t>
      </w:r>
      <w:proofErr w:type="spellEnd"/>
      <w:r w:rsidRPr="006C6818">
        <w:rPr>
          <w:rFonts w:ascii="Arial" w:eastAsia="Calibri" w:hAnsi="Arial" w:cs="Arial"/>
          <w:sz w:val="21"/>
          <w:lang w:val="es-MX"/>
        </w:rPr>
        <w:t>) son contratos nominados puesto que están mencionados en la ley; (</w:t>
      </w:r>
      <w:proofErr w:type="spellStart"/>
      <w:r w:rsidRPr="006C6818">
        <w:rPr>
          <w:rFonts w:ascii="Arial" w:eastAsia="Calibri" w:hAnsi="Arial" w:cs="Arial"/>
          <w:sz w:val="21"/>
          <w:lang w:val="es-MX"/>
        </w:rPr>
        <w:t>iv</w:t>
      </w:r>
      <w:proofErr w:type="spellEnd"/>
      <w:r w:rsidRPr="006C6818">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C6818">
        <w:rPr>
          <w:rFonts w:ascii="Arial" w:eastAsia="Calibri" w:hAnsi="Arial" w:cs="Arial"/>
          <w:sz w:val="21"/>
          <w:lang w:val="es-MX"/>
        </w:rPr>
        <w:t>vii</w:t>
      </w:r>
      <w:proofErr w:type="spellEnd"/>
      <w:r w:rsidRPr="006C6818">
        <w:rPr>
          <w:rFonts w:ascii="Arial" w:eastAsia="Calibri" w:hAnsi="Arial" w:cs="Arial"/>
          <w:sz w:val="21"/>
          <w:lang w:val="es-MX"/>
        </w:rPr>
        <w:t>) persiguen  una finalidad común a través de la realización de intereses compartidos entre las entidades vinculadas; (</w:t>
      </w:r>
      <w:proofErr w:type="spellStart"/>
      <w:r w:rsidRPr="006C6818">
        <w:rPr>
          <w:rFonts w:ascii="Arial" w:eastAsia="Calibri" w:hAnsi="Arial" w:cs="Arial"/>
          <w:sz w:val="21"/>
          <w:lang w:val="es-MX"/>
        </w:rPr>
        <w:t>viii</w:t>
      </w:r>
      <w:proofErr w:type="spellEnd"/>
      <w:r w:rsidRPr="006C6818">
        <w:rPr>
          <w:rFonts w:ascii="Arial" w:eastAsia="Calibri" w:hAnsi="Arial" w:cs="Arial"/>
          <w:sz w:val="21"/>
          <w:lang w:val="es-MX"/>
        </w:rPr>
        <w:t>) la acción mediante la cual se deben ventilar las diferencias que sobre el particular surjan es la de controversias contractuales</w:t>
      </w:r>
      <w:r w:rsidRPr="006C6818">
        <w:rPr>
          <w:rFonts w:ascii="Arial" w:eastAsia="Calibri" w:hAnsi="Arial" w:cs="Arial"/>
          <w:sz w:val="21"/>
          <w:vertAlign w:val="superscript"/>
          <w:lang w:val="es-MX"/>
        </w:rPr>
        <w:footnoteReference w:id="30"/>
      </w:r>
      <w:r w:rsidRPr="006C6818">
        <w:rPr>
          <w:rFonts w:ascii="Arial" w:eastAsia="Calibri" w:hAnsi="Arial" w:cs="Arial"/>
          <w:sz w:val="21"/>
          <w:lang w:val="es-MX"/>
        </w:rPr>
        <w:t>.</w:t>
      </w:r>
    </w:p>
    <w:p w14:paraId="4E0E26FA" w14:textId="77777777" w:rsidR="00741466" w:rsidRPr="006C6818" w:rsidRDefault="00741466" w:rsidP="00741466">
      <w:pPr>
        <w:spacing w:after="0" w:line="276" w:lineRule="auto"/>
        <w:ind w:left="709" w:right="709"/>
        <w:contextualSpacing/>
        <w:jc w:val="both"/>
        <w:rPr>
          <w:rFonts w:ascii="Arial" w:eastAsia="Calibri" w:hAnsi="Arial" w:cs="Arial"/>
          <w:lang w:val="es-MX"/>
        </w:rPr>
      </w:pPr>
    </w:p>
    <w:p w14:paraId="0FFA209C" w14:textId="77777777" w:rsidR="00741466" w:rsidRPr="006C6818" w:rsidRDefault="00741466" w:rsidP="00741466">
      <w:pPr>
        <w:widowControl w:val="0"/>
        <w:autoSpaceDE w:val="0"/>
        <w:autoSpaceDN w:val="0"/>
        <w:spacing w:after="120" w:line="276" w:lineRule="auto"/>
        <w:ind w:firstLine="707"/>
        <w:jc w:val="both"/>
        <w:rPr>
          <w:rFonts w:ascii="Arial" w:eastAsia="Arial" w:hAnsi="Arial" w:cs="Arial"/>
          <w:lang w:val="es-ES" w:eastAsia="es-ES" w:bidi="es-ES"/>
        </w:rPr>
      </w:pPr>
      <w:r w:rsidRPr="006C6818">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9C1C7B5" w14:textId="77777777" w:rsidR="00741466" w:rsidRPr="006C6818" w:rsidRDefault="00741466" w:rsidP="00741466">
      <w:pPr>
        <w:widowControl w:val="0"/>
        <w:autoSpaceDE w:val="0"/>
        <w:autoSpaceDN w:val="0"/>
        <w:spacing w:before="119" w:after="120" w:line="276" w:lineRule="auto"/>
        <w:ind w:firstLine="707"/>
        <w:jc w:val="both"/>
        <w:rPr>
          <w:rFonts w:ascii="Arial" w:eastAsia="Arial" w:hAnsi="Arial" w:cs="Arial"/>
          <w:lang w:val="es-ES" w:eastAsia="es-ES" w:bidi="es-ES"/>
        </w:rPr>
      </w:pPr>
      <w:r w:rsidRPr="006C6818">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w:t>
      </w:r>
      <w:r w:rsidRPr="006C6818">
        <w:rPr>
          <w:rFonts w:ascii="Arial" w:eastAsia="Arial" w:hAnsi="Arial" w:cs="Arial"/>
          <w:lang w:val="es-ES" w:eastAsia="es-ES" w:bidi="es-ES"/>
        </w:rPr>
        <w:lastRenderedPageBreak/>
        <w:t>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C6818">
        <w:rPr>
          <w:rFonts w:ascii="Arial" w:eastAsia="Arial" w:hAnsi="Arial" w:cs="Arial"/>
          <w:spacing w:val="-3"/>
          <w:lang w:val="es-ES" w:eastAsia="es-ES" w:bidi="es-ES"/>
        </w:rPr>
        <w:t xml:space="preserve"> </w:t>
      </w:r>
      <w:r w:rsidRPr="006C6818">
        <w:rPr>
          <w:rFonts w:ascii="Arial" w:eastAsia="Arial" w:hAnsi="Arial" w:cs="Arial"/>
          <w:lang w:val="es-ES" w:eastAsia="es-ES" w:bidi="es-ES"/>
        </w:rPr>
        <w:t>estatales.</w:t>
      </w:r>
    </w:p>
    <w:p w14:paraId="6A1725B8" w14:textId="77777777" w:rsidR="00741466" w:rsidRPr="006C6818" w:rsidRDefault="00741466" w:rsidP="00741466">
      <w:pPr>
        <w:widowControl w:val="0"/>
        <w:autoSpaceDE w:val="0"/>
        <w:autoSpaceDN w:val="0"/>
        <w:spacing w:before="120"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C6818">
        <w:rPr>
          <w:rFonts w:ascii="Arial" w:eastAsia="Arial" w:hAnsi="Arial" w:cs="Arial"/>
          <w:spacing w:val="-4"/>
          <w:lang w:val="es-ES" w:eastAsia="es-ES" w:bidi="es-ES"/>
        </w:rPr>
        <w:t xml:space="preserve"> </w:t>
      </w:r>
      <w:r w:rsidRPr="006C6818">
        <w:rPr>
          <w:rFonts w:ascii="Arial" w:eastAsia="Arial" w:hAnsi="Arial" w:cs="Arial"/>
          <w:lang w:val="es-ES" w:eastAsia="es-ES" w:bidi="es-ES"/>
        </w:rPr>
        <w:t>estatales.</w:t>
      </w:r>
    </w:p>
    <w:p w14:paraId="150F022D" w14:textId="77777777" w:rsidR="00741466" w:rsidRPr="006C6818" w:rsidRDefault="00741466" w:rsidP="00AD2851">
      <w:pPr>
        <w:widowControl w:val="0"/>
        <w:autoSpaceDE w:val="0"/>
        <w:autoSpaceDN w:val="0"/>
        <w:spacing w:before="122"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BD33543" w14:textId="77777777" w:rsidR="00741466" w:rsidRPr="006C6818" w:rsidRDefault="00741466" w:rsidP="00AD2851">
      <w:pPr>
        <w:widowControl w:val="0"/>
        <w:autoSpaceDE w:val="0"/>
        <w:autoSpaceDN w:val="0"/>
        <w:spacing w:after="120" w:line="276" w:lineRule="auto"/>
        <w:ind w:firstLine="709"/>
        <w:jc w:val="both"/>
        <w:rPr>
          <w:rFonts w:ascii="Arial" w:eastAsia="Calibri" w:hAnsi="Arial" w:cs="Arial"/>
          <w:bCs/>
          <w:lang w:eastAsia="es-ES" w:bidi="es-ES"/>
        </w:rPr>
      </w:pPr>
      <w:r w:rsidRPr="006C6818">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C6818">
        <w:rPr>
          <w:rFonts w:ascii="Arial" w:eastAsia="Arial" w:hAnsi="Arial" w:cs="Arial"/>
          <w:spacing w:val="-4"/>
          <w:lang w:val="es-ES" w:eastAsia="es-ES" w:bidi="es-ES"/>
        </w:rPr>
        <w:t xml:space="preserve"> </w:t>
      </w:r>
      <w:r w:rsidRPr="006C6818">
        <w:rPr>
          <w:rFonts w:ascii="Arial" w:eastAsia="Arial" w:hAnsi="Arial" w:cs="Arial"/>
          <w:lang w:val="es-ES" w:eastAsia="es-ES" w:bidi="es-ES"/>
        </w:rPr>
        <w:t>[…]»</w:t>
      </w:r>
      <w:r w:rsidRPr="006C6818">
        <w:rPr>
          <w:rFonts w:ascii="Arial" w:eastAsia="Arial" w:hAnsi="Arial" w:cs="Arial"/>
          <w:vertAlign w:val="superscript"/>
          <w:lang w:val="es-ES" w:eastAsia="es-ES" w:bidi="es-ES"/>
        </w:rPr>
        <w:footnoteReference w:id="31"/>
      </w:r>
      <w:r w:rsidRPr="006C6818">
        <w:rPr>
          <w:rFonts w:ascii="Arial" w:eastAsia="Arial" w:hAnsi="Arial" w:cs="Arial"/>
          <w:lang w:val="es-ES" w:eastAsia="es-ES" w:bidi="es-ES"/>
        </w:rPr>
        <w:t>.</w:t>
      </w:r>
    </w:p>
    <w:p w14:paraId="70AF3F07" w14:textId="77777777" w:rsidR="00741466" w:rsidRPr="006C6818" w:rsidRDefault="00741466" w:rsidP="00741466">
      <w:pPr>
        <w:widowControl w:val="0"/>
        <w:autoSpaceDE w:val="0"/>
        <w:autoSpaceDN w:val="0"/>
        <w:spacing w:after="0" w:line="276" w:lineRule="auto"/>
        <w:ind w:firstLine="709"/>
        <w:contextualSpacing/>
        <w:jc w:val="both"/>
        <w:rPr>
          <w:rFonts w:ascii="Arial" w:eastAsia="Arial" w:hAnsi="Arial" w:cs="Arial"/>
          <w:lang w:val="es-ES" w:eastAsia="es-ES" w:bidi="es-ES"/>
        </w:rPr>
      </w:pPr>
      <w:bookmarkStart w:id="52" w:name="_Hlk77171241"/>
      <w:r w:rsidRPr="006C6818">
        <w:rPr>
          <w:rFonts w:ascii="Arial" w:eastAsia="Arial" w:hAnsi="Arial" w:cs="Arial"/>
          <w:lang w:val="es-ES" w:eastAsia="es-ES" w:bidi="es-ES"/>
        </w:rPr>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w:t>
      </w:r>
      <w:r w:rsidRPr="006C6818">
        <w:rPr>
          <w:rFonts w:ascii="Arial" w:eastAsia="Arial" w:hAnsi="Arial" w:cs="Arial"/>
          <w:lang w:val="es-ES" w:eastAsia="es-ES" w:bidi="es-ES"/>
        </w:rPr>
        <w:lastRenderedPageBreak/>
        <w:t>artículo 95 de la Ley 489 de 1998. Por ejemplo, el Consejo de Estado en sentencia del 14 de junio de 2019 expresó:</w:t>
      </w:r>
    </w:p>
    <w:p w14:paraId="0E11DAC5" w14:textId="77777777" w:rsidR="00741466" w:rsidRPr="006C6818" w:rsidRDefault="00741466" w:rsidP="00741466">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5E026858"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ES_tradnl"/>
        </w:rPr>
      </w:pPr>
      <w:r w:rsidRPr="006C6818">
        <w:rPr>
          <w:rFonts w:ascii="Arial" w:eastAsia="Calibri" w:hAnsi="Arial" w:cs="Arial"/>
          <w:sz w:val="21"/>
          <w:szCs w:val="21"/>
          <w:lang w:val="es-ES_tradnl"/>
        </w:rPr>
        <w:t>La Sala de Consulta y Servicio Civil</w:t>
      </w:r>
      <w:r w:rsidRPr="006C6818">
        <w:rPr>
          <w:rFonts w:ascii="Arial" w:eastAsia="Calibri" w:hAnsi="Arial" w:cs="Arial"/>
          <w:sz w:val="21"/>
          <w:szCs w:val="21"/>
          <w:vertAlign w:val="superscript"/>
          <w:lang w:val="es-ES_tradnl"/>
        </w:rPr>
        <w:footnoteReference w:id="32"/>
      </w:r>
      <w:r w:rsidRPr="006C6818">
        <w:rPr>
          <w:rFonts w:ascii="Arial" w:eastAsia="Calibri" w:hAnsi="Arial" w:cs="Arial"/>
          <w:sz w:val="21"/>
          <w:szCs w:val="21"/>
          <w:lang w:val="es-ES_tradnl"/>
        </w:rPr>
        <w:t xml:space="preserve"> de esta Corporación se ha referido a los </w:t>
      </w:r>
      <w:r w:rsidRPr="006C6818">
        <w:rPr>
          <w:rFonts w:ascii="Arial" w:eastAsia="Calibri" w:hAnsi="Arial" w:cs="Arial"/>
          <w:i/>
          <w:sz w:val="21"/>
          <w:szCs w:val="21"/>
          <w:lang w:val="es-ES_tradnl"/>
        </w:rPr>
        <w:t>“convenios interadministrativos”</w:t>
      </w:r>
      <w:r w:rsidRPr="006C6818">
        <w:rPr>
          <w:rFonts w:ascii="Arial" w:eastAsia="Calibri" w:hAnsi="Arial" w:cs="Arial"/>
          <w:sz w:val="21"/>
          <w:szCs w:val="21"/>
          <w:lang w:val="es-ES_tradnl"/>
        </w:rPr>
        <w:t xml:space="preserve"> a los cuales alude el artículo 95 de la Ley 489 de 1998, calificándolos de </w:t>
      </w:r>
      <w:r w:rsidRPr="006C6818">
        <w:rPr>
          <w:rFonts w:ascii="Arial" w:eastAsia="Calibri" w:hAnsi="Arial" w:cs="Arial"/>
          <w:i/>
          <w:sz w:val="21"/>
          <w:szCs w:val="21"/>
          <w:lang w:val="es-ES_tradnl"/>
        </w:rPr>
        <w:t xml:space="preserve">“puros” </w:t>
      </w:r>
      <w:r w:rsidRPr="006C6818">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C6818">
        <w:rPr>
          <w:rFonts w:ascii="Arial" w:eastAsia="Calibri" w:hAnsi="Arial" w:cs="Arial"/>
          <w:i/>
          <w:sz w:val="21"/>
          <w:szCs w:val="21"/>
          <w:lang w:val="es-ES_tradnl"/>
        </w:rPr>
        <w:t>“intercambio patrimonial”</w:t>
      </w:r>
      <w:r w:rsidRPr="006C6818">
        <w:rPr>
          <w:rFonts w:ascii="Arial" w:eastAsia="Calibri" w:hAnsi="Arial" w:cs="Arial"/>
          <w:sz w:val="21"/>
          <w:szCs w:val="21"/>
          <w:lang w:val="es-ES_tradnl"/>
        </w:rPr>
        <w:t>. Sin perjuicio de lo anterior, en otra oportunidad, la misma Sala</w:t>
      </w:r>
      <w:r w:rsidRPr="006C6818">
        <w:rPr>
          <w:rFonts w:ascii="Arial" w:eastAsia="Calibri" w:hAnsi="Arial" w:cs="Arial"/>
          <w:sz w:val="21"/>
          <w:szCs w:val="21"/>
          <w:vertAlign w:val="superscript"/>
          <w:lang w:val="es-ES_tradnl"/>
        </w:rPr>
        <w:footnoteReference w:id="33"/>
      </w:r>
      <w:r w:rsidRPr="006C6818">
        <w:rPr>
          <w:rFonts w:ascii="Arial" w:eastAsia="Calibri" w:hAnsi="Arial" w:cs="Arial"/>
          <w:sz w:val="21"/>
          <w:szCs w:val="21"/>
          <w:lang w:val="es-ES_tradnl"/>
        </w:rPr>
        <w:t xml:space="preserve"> había indicado que, si bien en dichos convenios no se daba un </w:t>
      </w:r>
      <w:r w:rsidRPr="006C6818">
        <w:rPr>
          <w:rFonts w:ascii="Arial" w:eastAsia="Calibri" w:hAnsi="Arial" w:cs="Arial"/>
          <w:i/>
          <w:sz w:val="21"/>
          <w:szCs w:val="21"/>
          <w:lang w:val="es-ES_tradnl"/>
        </w:rPr>
        <w:t>“verdadero intercambio de bienes o servicios (contrato conmutativo)”</w:t>
      </w:r>
      <w:r w:rsidRPr="006C6818">
        <w:rPr>
          <w:rFonts w:ascii="Arial" w:eastAsia="Calibri" w:hAnsi="Arial" w:cs="Arial"/>
          <w:sz w:val="21"/>
          <w:szCs w:val="21"/>
          <w:lang w:val="es-ES_tradnl"/>
        </w:rPr>
        <w:t>, ello no impedía que se conviniera una remuneración a cargo de alguna(s) entidad(es).</w:t>
      </w:r>
    </w:p>
    <w:p w14:paraId="1D69DB53"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ES_tradnl"/>
        </w:rPr>
      </w:pPr>
    </w:p>
    <w:p w14:paraId="010FD373" w14:textId="77777777" w:rsidR="00741466" w:rsidRPr="006C6818" w:rsidRDefault="00741466" w:rsidP="00741466">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C6818">
        <w:rPr>
          <w:rFonts w:ascii="Arial" w:eastAsia="Arial" w:hAnsi="Arial" w:cs="Arial"/>
          <w:sz w:val="21"/>
          <w:szCs w:val="21"/>
          <w:lang w:val="es-ES_tradnl" w:eastAsia="es-ES" w:bidi="es-ES"/>
        </w:rPr>
        <w:t xml:space="preserve">Lo expuesto evidencia que, en general, las interpretaciones en torno a los </w:t>
      </w:r>
      <w:r w:rsidRPr="006C6818">
        <w:rPr>
          <w:rFonts w:ascii="Arial" w:eastAsia="Arial" w:hAnsi="Arial" w:cs="Arial"/>
          <w:i/>
          <w:sz w:val="21"/>
          <w:szCs w:val="21"/>
          <w:lang w:val="es-ES_tradnl" w:eastAsia="es-ES" w:bidi="es-ES"/>
        </w:rPr>
        <w:t>“convenios interadministrativos”</w:t>
      </w:r>
      <w:r w:rsidRPr="006C6818">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C6818">
        <w:rPr>
          <w:rFonts w:ascii="Arial" w:eastAsia="Arial" w:hAnsi="Arial" w:cs="Arial"/>
          <w:sz w:val="21"/>
          <w:szCs w:val="21"/>
          <w:vertAlign w:val="superscript"/>
          <w:lang w:val="es-ES_tradnl" w:eastAsia="es-ES" w:bidi="es-ES"/>
        </w:rPr>
        <w:footnoteReference w:id="34"/>
      </w:r>
      <w:r w:rsidRPr="006C6818">
        <w:rPr>
          <w:rFonts w:ascii="Arial" w:eastAsia="Arial" w:hAnsi="Arial" w:cs="Arial"/>
          <w:sz w:val="21"/>
          <w:szCs w:val="21"/>
          <w:vertAlign w:val="superscript"/>
          <w:lang w:val="es-ES_tradnl" w:eastAsia="es-ES" w:bidi="es-ES"/>
        </w:rPr>
        <w:footnoteReference w:id="35"/>
      </w:r>
      <w:r w:rsidRPr="006C6818">
        <w:rPr>
          <w:rFonts w:ascii="Arial" w:eastAsia="Arial" w:hAnsi="Arial" w:cs="Arial"/>
          <w:sz w:val="21"/>
          <w:szCs w:val="21"/>
          <w:lang w:val="es-ES_tradnl" w:eastAsia="es-ES" w:bidi="es-ES"/>
        </w:rPr>
        <w:t>.</w:t>
      </w:r>
    </w:p>
    <w:p w14:paraId="572FA384" w14:textId="77777777" w:rsidR="00741466" w:rsidRPr="006C6818" w:rsidRDefault="00741466" w:rsidP="00741466">
      <w:pPr>
        <w:widowControl w:val="0"/>
        <w:autoSpaceDE w:val="0"/>
        <w:autoSpaceDN w:val="0"/>
        <w:spacing w:after="0" w:line="276" w:lineRule="auto"/>
        <w:contextualSpacing/>
        <w:jc w:val="both"/>
        <w:rPr>
          <w:rFonts w:ascii="Arial" w:eastAsia="Arial" w:hAnsi="Arial" w:cs="Arial"/>
          <w:lang w:val="es-ES" w:eastAsia="es-ES" w:bidi="es-ES"/>
        </w:rPr>
      </w:pPr>
    </w:p>
    <w:p w14:paraId="59A0D665" w14:textId="6A6F5395" w:rsidR="00741466" w:rsidRPr="006C6818" w:rsidRDefault="00741466" w:rsidP="00741466">
      <w:pPr>
        <w:widowControl w:val="0"/>
        <w:autoSpaceDE w:val="0"/>
        <w:autoSpaceDN w:val="0"/>
        <w:spacing w:after="120" w:line="276" w:lineRule="auto"/>
        <w:jc w:val="both"/>
        <w:rPr>
          <w:rFonts w:ascii="Arial" w:eastAsia="Arial" w:hAnsi="Arial" w:cs="Arial"/>
          <w:lang w:val="es-ES" w:eastAsia="es-ES" w:bidi="es-ES"/>
        </w:rPr>
      </w:pPr>
      <w:r w:rsidRPr="006C6818">
        <w:rPr>
          <w:rFonts w:ascii="Arial" w:eastAsia="Arial" w:hAnsi="Arial" w:cs="Arial"/>
          <w:lang w:val="es-ES" w:eastAsia="es-ES" w:bidi="es-ES"/>
        </w:rPr>
        <w:tab/>
      </w:r>
      <w:r w:rsidR="002F43B3" w:rsidRPr="006C6818">
        <w:rPr>
          <w:rFonts w:ascii="Arial" w:eastAsia="Calibri" w:hAnsi="Arial" w:cs="Arial"/>
          <w:lang w:val="es-MX"/>
        </w:rPr>
        <w:t xml:space="preserve">Sin perjuicio de lo indicado, vale la pena reiterar </w:t>
      </w:r>
      <w:r w:rsidRPr="006C6818">
        <w:rPr>
          <w:rFonts w:ascii="Arial" w:eastAsia="Arial" w:hAnsi="Arial" w:cs="Arial"/>
          <w:lang w:val="es-ES" w:eastAsia="es-ES" w:bidi="es-ES"/>
        </w:rPr>
        <w:t>que el legislador y el ordenamiento jurídico, en general, en distintas ocasiones utiliza de forma indistinta los conceptos de contrato o convenio para referirse a la misma institución jurídica</w:t>
      </w:r>
      <w:r w:rsidRPr="006C6818">
        <w:rPr>
          <w:rFonts w:ascii="Arial" w:eastAsia="Arial" w:hAnsi="Arial" w:cs="Arial"/>
          <w:vertAlign w:val="superscript"/>
          <w:lang w:val="es-ES" w:eastAsia="es-ES" w:bidi="es-ES"/>
        </w:rPr>
        <w:footnoteReference w:id="36"/>
      </w:r>
      <w:r w:rsidRPr="006C6818">
        <w:rPr>
          <w:rFonts w:ascii="Arial" w:eastAsia="Arial" w:hAnsi="Arial" w:cs="Arial"/>
          <w:lang w:val="es-ES" w:eastAsia="es-ES" w:bidi="es-ES"/>
        </w:rPr>
        <w:t xml:space="preserve">. Incluso, la Corte Constitucional fundamenta la posibilidad de celebrar convenios interadministrativos de </w:t>
      </w:r>
      <w:r w:rsidRPr="006C6818">
        <w:rPr>
          <w:rFonts w:ascii="Arial" w:eastAsia="Arial" w:hAnsi="Arial" w:cs="Arial"/>
          <w:lang w:val="es-ES" w:eastAsia="es-ES" w:bidi="es-ES"/>
        </w:rPr>
        <w:lastRenderedPageBreak/>
        <w:t>forma directa, con fundamento en la causal establecida en la Ley 1150 de 2007 respecto a los contratos interadministrativos</w:t>
      </w:r>
      <w:r w:rsidRPr="006C6818">
        <w:rPr>
          <w:rFonts w:ascii="Arial" w:eastAsia="Arial" w:hAnsi="Arial" w:cs="Arial"/>
          <w:vertAlign w:val="superscript"/>
          <w:lang w:val="es-ES" w:eastAsia="es-ES" w:bidi="es-ES"/>
        </w:rPr>
        <w:footnoteReference w:id="37"/>
      </w:r>
      <w:r w:rsidRPr="006C6818">
        <w:rPr>
          <w:rFonts w:ascii="Arial" w:eastAsia="Arial" w:hAnsi="Arial" w:cs="Arial"/>
          <w:lang w:val="es-ES" w:eastAsia="es-ES" w:bidi="es-ES"/>
        </w:rPr>
        <w:t>.</w:t>
      </w:r>
    </w:p>
    <w:p w14:paraId="0A4DC506" w14:textId="0E0DD746" w:rsidR="00741466" w:rsidRPr="006C6818" w:rsidRDefault="00741466" w:rsidP="00741466">
      <w:pPr>
        <w:widowControl w:val="0"/>
        <w:autoSpaceDE w:val="0"/>
        <w:autoSpaceDN w:val="0"/>
        <w:spacing w:after="0" w:line="276" w:lineRule="auto"/>
        <w:contextualSpacing/>
        <w:jc w:val="both"/>
        <w:rPr>
          <w:rFonts w:ascii="Arial" w:eastAsia="Arial" w:hAnsi="Arial" w:cs="Arial"/>
          <w:lang w:val="es-ES" w:eastAsia="es-ES" w:bidi="es-ES"/>
        </w:rPr>
      </w:pPr>
      <w:r w:rsidRPr="006C6818">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bastante relevante para este concepto, para la aplicación de la Ley de Garantías. En este sentido, la Circular, refiriéndose al parágrafo del artículo 38 de la Ley 996 de 2005, expresa:</w:t>
      </w:r>
    </w:p>
    <w:p w14:paraId="648C32F8" w14:textId="77777777" w:rsidR="00741466" w:rsidRPr="006C6818" w:rsidRDefault="00741466" w:rsidP="00741466">
      <w:pPr>
        <w:widowControl w:val="0"/>
        <w:autoSpaceDE w:val="0"/>
        <w:autoSpaceDN w:val="0"/>
        <w:spacing w:after="0" w:line="276" w:lineRule="auto"/>
        <w:contextualSpacing/>
        <w:jc w:val="both"/>
        <w:rPr>
          <w:rFonts w:ascii="Arial" w:eastAsia="Arial" w:hAnsi="Arial" w:cs="Arial"/>
          <w:lang w:val="es-ES" w:eastAsia="es-ES" w:bidi="es-ES"/>
        </w:rPr>
      </w:pPr>
    </w:p>
    <w:p w14:paraId="718C5258"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MX"/>
        </w:rPr>
      </w:pPr>
      <w:r w:rsidRPr="006C6818">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C6818">
        <w:rPr>
          <w:rFonts w:ascii="Arial" w:eastAsia="Calibri" w:hAnsi="Arial" w:cs="Arial"/>
          <w:sz w:val="21"/>
          <w:szCs w:val="21"/>
          <w:lang w:val="es-MX"/>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F3FFCA5"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MX"/>
        </w:rPr>
      </w:pPr>
    </w:p>
    <w:p w14:paraId="44CC1763"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MX"/>
        </w:rPr>
      </w:pPr>
      <w:r w:rsidRPr="006C6818">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4AA1BD0" w14:textId="77777777" w:rsidR="00741466" w:rsidRPr="006C6818" w:rsidRDefault="00741466" w:rsidP="00741466">
      <w:pPr>
        <w:spacing w:after="0" w:line="240" w:lineRule="auto"/>
        <w:ind w:left="709" w:right="709"/>
        <w:contextualSpacing/>
        <w:jc w:val="both"/>
        <w:rPr>
          <w:rFonts w:ascii="Arial" w:eastAsia="Calibri" w:hAnsi="Arial" w:cs="Arial"/>
          <w:sz w:val="21"/>
          <w:szCs w:val="21"/>
          <w:lang w:val="es-MX"/>
        </w:rPr>
      </w:pPr>
    </w:p>
    <w:p w14:paraId="6CF9D526" w14:textId="77777777" w:rsidR="00741466" w:rsidRPr="006C6818" w:rsidRDefault="00741466" w:rsidP="00741466">
      <w:pPr>
        <w:spacing w:after="0" w:line="240" w:lineRule="auto"/>
        <w:ind w:left="709" w:right="709"/>
        <w:contextualSpacing/>
        <w:jc w:val="both"/>
        <w:rPr>
          <w:rFonts w:ascii="Calibri" w:eastAsia="Calibri" w:hAnsi="Calibri" w:cs="Times New Roman"/>
          <w:sz w:val="24"/>
          <w:lang w:val="es-MX"/>
        </w:rPr>
      </w:pPr>
      <w:r w:rsidRPr="006C6818">
        <w:rPr>
          <w:rFonts w:ascii="Arial" w:eastAsia="Calibri" w:hAnsi="Arial" w:cs="Arial"/>
          <w:sz w:val="21"/>
          <w:szCs w:val="21"/>
          <w:lang w:val="es-MX"/>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w:t>
      </w:r>
      <w:r w:rsidRPr="006C6818">
        <w:rPr>
          <w:rFonts w:ascii="Arial" w:eastAsia="Calibri" w:hAnsi="Arial" w:cs="Arial"/>
          <w:sz w:val="21"/>
          <w:szCs w:val="21"/>
          <w:lang w:val="es-MX"/>
        </w:rPr>
        <w:lastRenderedPageBreak/>
        <w:t>contratos y/o convenios, que para efectos de la Ley de Garantías tienen la misma connotación y propósito.</w:t>
      </w:r>
    </w:p>
    <w:p w14:paraId="477303CC" w14:textId="77777777" w:rsidR="00741466" w:rsidRPr="006C6818" w:rsidRDefault="00741466" w:rsidP="00741466">
      <w:pPr>
        <w:widowControl w:val="0"/>
        <w:autoSpaceDE w:val="0"/>
        <w:autoSpaceDN w:val="0"/>
        <w:spacing w:after="0" w:line="276" w:lineRule="auto"/>
        <w:contextualSpacing/>
        <w:jc w:val="both"/>
        <w:rPr>
          <w:rFonts w:ascii="Arial" w:eastAsia="Arial" w:hAnsi="Arial" w:cs="Arial"/>
          <w:lang w:val="es-ES" w:eastAsia="es-ES" w:bidi="es-ES"/>
        </w:rPr>
      </w:pPr>
    </w:p>
    <w:p w14:paraId="5B6763E4" w14:textId="4408544C" w:rsidR="00AB5406" w:rsidRPr="006C6818" w:rsidRDefault="00992576" w:rsidP="00AB5406">
      <w:pPr>
        <w:widowControl w:val="0"/>
        <w:autoSpaceDE w:val="0"/>
        <w:autoSpaceDN w:val="0"/>
        <w:spacing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Por tanto</w:t>
      </w:r>
      <w:r w:rsidR="00741466" w:rsidRPr="006C6818">
        <w:rPr>
          <w:rFonts w:ascii="Arial" w:eastAsia="Arial" w:hAnsi="Arial" w:cs="Arial"/>
          <w:lang w:val="es-ES" w:eastAsia="es-ES" w:bidi="es-ES"/>
        </w:rPr>
        <w:t>,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D417E9" w:rsidRPr="006C6818">
        <w:rPr>
          <w:rFonts w:ascii="Arial" w:eastAsia="Arial" w:hAnsi="Arial" w:cs="Arial"/>
          <w:lang w:val="es-ES" w:eastAsia="es-ES" w:bidi="es-ES"/>
        </w:rPr>
        <w:t xml:space="preserve"> Electorales</w:t>
      </w:r>
      <w:r w:rsidR="00741466" w:rsidRPr="006C6818">
        <w:rPr>
          <w:rFonts w:ascii="Arial" w:eastAsia="Arial" w:hAnsi="Arial" w:cs="Arial"/>
          <w:lang w:val="es-ES" w:eastAsia="es-ES" w:bidi="es-ES"/>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2"/>
    </w:p>
    <w:p w14:paraId="1A09A87E" w14:textId="29BD598E" w:rsidR="00AB5406" w:rsidRPr="006C6818" w:rsidRDefault="00741466" w:rsidP="00AB5406">
      <w:pPr>
        <w:widowControl w:val="0"/>
        <w:autoSpaceDE w:val="0"/>
        <w:autoSpaceDN w:val="0"/>
        <w:spacing w:after="120" w:line="276" w:lineRule="auto"/>
        <w:ind w:firstLine="709"/>
        <w:jc w:val="both"/>
        <w:rPr>
          <w:rFonts w:ascii="Arial" w:eastAsia="Arial" w:hAnsi="Arial" w:cs="Arial"/>
          <w:lang w:val="es-ES" w:eastAsia="es-ES" w:bidi="es-ES"/>
        </w:rPr>
      </w:pPr>
      <w:r w:rsidRPr="006C6818">
        <w:rPr>
          <w:rFonts w:ascii="Arial" w:eastAsia="Arial" w:hAnsi="Arial" w:cs="Arial"/>
          <w:lang w:val="es-ES" w:eastAsia="es-ES" w:bidi="es-ES"/>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C6818">
        <w:rPr>
          <w:rFonts w:ascii="Arial" w:eastAsia="Arial" w:hAnsi="Arial" w:cs="Arial"/>
          <w:i/>
          <w:iCs/>
          <w:lang w:val="es-ES" w:eastAsia="es-ES" w:bidi="es-ES"/>
        </w:rPr>
        <w:t>ibidem</w:t>
      </w:r>
      <w:r w:rsidRPr="006C6818">
        <w:rPr>
          <w:rFonts w:ascii="Arial" w:eastAsia="Arial" w:hAnsi="Arial" w:cs="Arial"/>
          <w:lang w:val="es-ES" w:eastAsia="es-ES" w:bidi="es-ES"/>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r w:rsidR="00275994" w:rsidRPr="006C6818">
        <w:rPr>
          <w:rFonts w:ascii="Arial" w:eastAsia="Arial" w:hAnsi="Arial" w:cs="Arial"/>
          <w:lang w:val="es-ES" w:eastAsia="es-ES" w:bidi="es-ES"/>
        </w:rPr>
        <w:t>Así mismo, se resalta que este parágrafo fue modificado parcial y transitoriamente por el artículo 124 de la Ley 2159 de 2021</w:t>
      </w:r>
      <w:r w:rsidR="00275994" w:rsidRPr="006C6818">
        <w:rPr>
          <w:rFonts w:ascii="Arial" w:eastAsia="Arial" w:hAnsi="Arial" w:cs="Arial"/>
          <w:vertAlign w:val="superscript"/>
          <w:lang w:val="es-ES" w:eastAsia="es-ES" w:bidi="es-ES"/>
        </w:rPr>
        <w:footnoteReference w:id="38"/>
      </w:r>
      <w:r w:rsidR="00275994" w:rsidRPr="006C6818">
        <w:rPr>
          <w:rFonts w:ascii="Arial" w:eastAsia="Arial" w:hAnsi="Arial" w:cs="Arial"/>
          <w:lang w:val="es-ES" w:eastAsia="es-ES" w:bidi="es-ES"/>
        </w:rPr>
        <w:t xml:space="preserve">, estableciendo una excepción a la prohibición, </w:t>
      </w:r>
      <w:r w:rsidR="00BA5FD5" w:rsidRPr="006C6818">
        <w:rPr>
          <w:rFonts w:ascii="Arial" w:eastAsia="Arial" w:hAnsi="Arial" w:cs="Arial"/>
          <w:lang w:val="es-ES" w:eastAsia="es-ES" w:bidi="es-ES"/>
        </w:rPr>
        <w:t>según la cual</w:t>
      </w:r>
      <w:r w:rsidR="00275994" w:rsidRPr="006C6818">
        <w:rPr>
          <w:rFonts w:ascii="Arial" w:eastAsia="Arial" w:hAnsi="Arial" w:cs="Arial"/>
          <w:lang w:val="es-ES" w:eastAsia="es-ES" w:bidi="es-ES"/>
        </w:rPr>
        <w:t xml:space="preserve"> a partir de la publicación de dicha ley y durante la vigencia fiscal 2022, la Nación podrá celebrar convenios interadministrativos con las entidades territoriales para ejecutar programas y proyectos correspondientes al Presupuesto General de la Nación</w:t>
      </w:r>
      <w:r w:rsidR="00275994" w:rsidRPr="006C6818">
        <w:rPr>
          <w:rFonts w:ascii="Arial" w:eastAsia="Arial" w:hAnsi="Arial" w:cs="Arial"/>
          <w:vertAlign w:val="superscript"/>
          <w:lang w:val="es-ES" w:eastAsia="es-ES" w:bidi="es-ES"/>
        </w:rPr>
        <w:footnoteReference w:id="39"/>
      </w:r>
      <w:r w:rsidR="00275994" w:rsidRPr="006C6818">
        <w:rPr>
          <w:rFonts w:ascii="Arial" w:eastAsia="Arial" w:hAnsi="Arial" w:cs="Arial"/>
          <w:lang w:val="es-ES" w:eastAsia="es-ES" w:bidi="es-ES"/>
        </w:rPr>
        <w:t>.</w:t>
      </w:r>
      <w:r w:rsidR="00B24F9C" w:rsidRPr="006C6818">
        <w:rPr>
          <w:rFonts w:ascii="Arial" w:eastAsia="Arial" w:hAnsi="Arial" w:cs="Arial"/>
          <w:lang w:val="es-ES" w:eastAsia="es-ES" w:bidi="es-ES"/>
        </w:rPr>
        <w:t xml:space="preserve"> </w:t>
      </w:r>
    </w:p>
    <w:p w14:paraId="4768917A" w14:textId="73E0BD4E" w:rsidR="00741466" w:rsidRPr="006C6818" w:rsidRDefault="00152190" w:rsidP="00FD6D06">
      <w:pPr>
        <w:widowControl w:val="0"/>
        <w:autoSpaceDE w:val="0"/>
        <w:autoSpaceDN w:val="0"/>
        <w:spacing w:after="0" w:line="276" w:lineRule="auto"/>
        <w:ind w:firstLine="709"/>
        <w:contextualSpacing/>
        <w:jc w:val="both"/>
        <w:rPr>
          <w:rFonts w:ascii="Arial" w:eastAsia="Arial" w:hAnsi="Arial" w:cs="Arial"/>
          <w:lang w:val="es-ES" w:eastAsia="es-ES" w:bidi="es-ES"/>
        </w:rPr>
      </w:pPr>
      <w:bookmarkStart w:id="53" w:name="_Hlk77154098"/>
      <w:r w:rsidRPr="006C6818">
        <w:rPr>
          <w:rFonts w:ascii="Arial" w:eastAsia="Arial" w:hAnsi="Arial" w:cs="Arial"/>
          <w:lang w:val="es-ES" w:eastAsia="es-ES" w:bidi="es-ES"/>
        </w:rPr>
        <w:t>Finalmente</w:t>
      </w:r>
      <w:r w:rsidR="00741466" w:rsidRPr="006C6818">
        <w:rPr>
          <w:rFonts w:ascii="Arial" w:eastAsia="Arial" w:hAnsi="Arial" w:cs="Arial"/>
          <w:lang w:val="es-ES" w:eastAsia="es-ES" w:bidi="es-ES"/>
        </w:rPr>
        <w:t xml:space="preserve">, es importante resaltar que la Sala de Consulta y Servicio Civil del Consejo de Estado se ha pronunciado en el sentido de que </w:t>
      </w:r>
      <w:bookmarkStart w:id="54" w:name="_Hlk78820889"/>
      <w:r w:rsidR="00741466" w:rsidRPr="006C6818">
        <w:rPr>
          <w:rFonts w:ascii="Arial" w:eastAsia="Arial" w:hAnsi="Arial" w:cs="Arial"/>
          <w:lang w:val="es-ES" w:eastAsia="es-ES" w:bidi="es-ES"/>
        </w:rPr>
        <w:t xml:space="preserve">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w:t>
      </w:r>
      <w:r w:rsidR="00741466" w:rsidRPr="006C6818">
        <w:rPr>
          <w:rFonts w:ascii="Arial" w:eastAsia="Arial" w:hAnsi="Arial" w:cs="Arial"/>
          <w:lang w:val="es-ES" w:eastAsia="es-ES" w:bidi="es-ES"/>
        </w:rPr>
        <w:lastRenderedPageBreak/>
        <w:t>que tienen los ciudadanos al acceso y oportuna administración de justicia</w:t>
      </w:r>
      <w:bookmarkEnd w:id="54"/>
      <w:r w:rsidR="00741466" w:rsidRPr="006C6818">
        <w:rPr>
          <w:rFonts w:ascii="Arial" w:eastAsia="Arial" w:hAnsi="Arial" w:cs="Arial"/>
          <w:vertAlign w:val="superscript"/>
          <w:lang w:val="es-ES" w:eastAsia="es-ES" w:bidi="es-ES"/>
        </w:rPr>
        <w:footnoteReference w:id="40"/>
      </w:r>
      <w:r w:rsidR="00741466" w:rsidRPr="006C6818">
        <w:rPr>
          <w:rFonts w:ascii="Arial" w:eastAsia="Arial" w:hAnsi="Arial" w:cs="Arial"/>
          <w:lang w:val="es-ES" w:eastAsia="es-ES" w:bidi="es-ES"/>
        </w:rPr>
        <w:t>.</w:t>
      </w:r>
      <w:bookmarkEnd w:id="45"/>
      <w:bookmarkEnd w:id="53"/>
    </w:p>
    <w:p w14:paraId="462FBAB6" w14:textId="77777777" w:rsidR="00B3451D" w:rsidRPr="006C6818" w:rsidRDefault="00B3451D" w:rsidP="00FD6D06">
      <w:pPr>
        <w:widowControl w:val="0"/>
        <w:autoSpaceDE w:val="0"/>
        <w:autoSpaceDN w:val="0"/>
        <w:spacing w:after="0" w:line="276" w:lineRule="auto"/>
        <w:ind w:firstLine="709"/>
        <w:contextualSpacing/>
        <w:jc w:val="both"/>
        <w:rPr>
          <w:rFonts w:ascii="Arial" w:eastAsia="Calibri" w:hAnsi="Arial" w:cs="Arial"/>
          <w:lang w:eastAsia="es-ES" w:bidi="es-ES"/>
        </w:rPr>
      </w:pPr>
    </w:p>
    <w:p w14:paraId="04172417" w14:textId="77777777" w:rsidR="00741466" w:rsidRPr="006C6818" w:rsidRDefault="00741466" w:rsidP="00FD6D06">
      <w:pPr>
        <w:spacing w:after="0" w:line="276" w:lineRule="auto"/>
        <w:contextualSpacing/>
        <w:jc w:val="both"/>
        <w:rPr>
          <w:rFonts w:ascii="Arial" w:eastAsia="Calibri" w:hAnsi="Arial" w:cs="Arial"/>
          <w:b/>
        </w:rPr>
      </w:pPr>
      <w:r w:rsidRPr="006C6818">
        <w:rPr>
          <w:rFonts w:ascii="Arial" w:eastAsia="Calibri" w:hAnsi="Arial" w:cs="Arial"/>
          <w:b/>
        </w:rPr>
        <w:t>3. Respuesta</w:t>
      </w:r>
    </w:p>
    <w:p w14:paraId="06D03B2F" w14:textId="76364C85" w:rsidR="00741466" w:rsidRPr="006C6818" w:rsidRDefault="00741466" w:rsidP="00FD6D06">
      <w:pPr>
        <w:spacing w:after="0" w:line="240" w:lineRule="auto"/>
        <w:ind w:left="709" w:right="709"/>
        <w:contextualSpacing/>
        <w:jc w:val="both"/>
        <w:rPr>
          <w:rFonts w:ascii="Arial" w:eastAsia="Times New Roman" w:hAnsi="Arial" w:cs="Arial"/>
          <w:color w:val="FF0000"/>
          <w:sz w:val="21"/>
          <w:szCs w:val="21"/>
          <w:shd w:val="clear" w:color="auto" w:fill="FFFFFF"/>
          <w:lang w:eastAsia="es-CO"/>
        </w:rPr>
      </w:pPr>
      <w:bookmarkStart w:id="55" w:name="_Hlk57650395"/>
    </w:p>
    <w:p w14:paraId="5DF2426E" w14:textId="77777777" w:rsidR="00157742" w:rsidRPr="006C6818" w:rsidRDefault="00157742" w:rsidP="00157742">
      <w:pPr>
        <w:spacing w:after="0" w:line="240" w:lineRule="auto"/>
        <w:ind w:left="709" w:right="709"/>
        <w:contextualSpacing/>
        <w:jc w:val="both"/>
        <w:rPr>
          <w:rFonts w:ascii="Arial" w:eastAsia="Times New Roman" w:hAnsi="Arial" w:cs="Arial"/>
          <w:sz w:val="21"/>
          <w:szCs w:val="21"/>
          <w:lang w:val="es-ES" w:eastAsia="es-CO"/>
        </w:rPr>
      </w:pPr>
      <w:r w:rsidRPr="006C6818">
        <w:rPr>
          <w:rFonts w:ascii="Arial" w:eastAsia="Times New Roman" w:hAnsi="Arial" w:cs="Arial"/>
          <w:sz w:val="21"/>
          <w:szCs w:val="21"/>
          <w:lang w:val="es-ES" w:eastAsia="es-CO"/>
        </w:rPr>
        <w:t xml:space="preserve">«teniendo en cuenta la circular 100-006 de 2021 de fecha noviembre 16 de 2021, con el acostumbrado respeto solicito concepto de </w:t>
      </w:r>
      <w:proofErr w:type="spellStart"/>
      <w:r w:rsidRPr="006C6818">
        <w:rPr>
          <w:rFonts w:ascii="Arial" w:eastAsia="Times New Roman" w:hAnsi="Arial" w:cs="Arial"/>
          <w:sz w:val="21"/>
          <w:szCs w:val="21"/>
          <w:lang w:val="es-ES" w:eastAsia="es-CO"/>
        </w:rPr>
        <w:t>aplicaci?n</w:t>
      </w:r>
      <w:proofErr w:type="spellEnd"/>
      <w:r w:rsidRPr="006C6818">
        <w:rPr>
          <w:rFonts w:ascii="Arial" w:eastAsia="Times New Roman" w:hAnsi="Arial" w:cs="Arial"/>
          <w:sz w:val="21"/>
          <w:szCs w:val="21"/>
          <w:lang w:val="es-ES" w:eastAsia="es-CO"/>
        </w:rPr>
        <w:t xml:space="preserve"> de la ley de </w:t>
      </w:r>
      <w:proofErr w:type="spellStart"/>
      <w:r w:rsidRPr="006C6818">
        <w:rPr>
          <w:rFonts w:ascii="Arial" w:eastAsia="Times New Roman" w:hAnsi="Arial" w:cs="Arial"/>
          <w:sz w:val="21"/>
          <w:szCs w:val="21"/>
          <w:lang w:val="es-ES" w:eastAsia="es-CO"/>
        </w:rPr>
        <w:t>garant?as</w:t>
      </w:r>
      <w:proofErr w:type="spellEnd"/>
      <w:r w:rsidRPr="006C6818">
        <w:rPr>
          <w:rFonts w:ascii="Arial" w:eastAsia="Times New Roman" w:hAnsi="Arial" w:cs="Arial"/>
          <w:sz w:val="21"/>
          <w:szCs w:val="21"/>
          <w:lang w:val="es-ES" w:eastAsia="es-CO"/>
        </w:rPr>
        <w:t xml:space="preserve"> para las empresas sociales del Estado en virtud de Modalidad de </w:t>
      </w:r>
      <w:proofErr w:type="spellStart"/>
      <w:r w:rsidRPr="006C6818">
        <w:rPr>
          <w:rFonts w:ascii="Arial" w:eastAsia="Times New Roman" w:hAnsi="Arial" w:cs="Arial"/>
          <w:sz w:val="21"/>
          <w:szCs w:val="21"/>
          <w:lang w:val="es-ES" w:eastAsia="es-CO"/>
        </w:rPr>
        <w:t>contrataci?n</w:t>
      </w:r>
      <w:proofErr w:type="spellEnd"/>
      <w:r w:rsidRPr="006C6818">
        <w:rPr>
          <w:rFonts w:ascii="Arial" w:eastAsia="Times New Roman" w:hAnsi="Arial" w:cs="Arial"/>
          <w:sz w:val="21"/>
          <w:szCs w:val="21"/>
          <w:lang w:val="es-ES" w:eastAsia="es-CO"/>
        </w:rPr>
        <w:t xml:space="preserve"> directa para la </w:t>
      </w:r>
      <w:proofErr w:type="spellStart"/>
      <w:r w:rsidRPr="006C6818">
        <w:rPr>
          <w:rFonts w:ascii="Arial" w:eastAsia="Times New Roman" w:hAnsi="Arial" w:cs="Arial"/>
          <w:sz w:val="21"/>
          <w:szCs w:val="21"/>
          <w:lang w:val="es-ES" w:eastAsia="es-CO"/>
        </w:rPr>
        <w:t>celebraci?n</w:t>
      </w:r>
      <w:proofErr w:type="spellEnd"/>
      <w:r w:rsidRPr="006C6818">
        <w:rPr>
          <w:rFonts w:ascii="Arial" w:eastAsia="Times New Roman" w:hAnsi="Arial" w:cs="Arial"/>
          <w:sz w:val="21"/>
          <w:szCs w:val="21"/>
          <w:lang w:val="es-ES" w:eastAsia="es-CO"/>
        </w:rPr>
        <w:t xml:space="preserve"> de contratos de </w:t>
      </w:r>
      <w:proofErr w:type="spellStart"/>
      <w:r w:rsidRPr="006C6818">
        <w:rPr>
          <w:rFonts w:ascii="Arial" w:eastAsia="Times New Roman" w:hAnsi="Arial" w:cs="Arial"/>
          <w:sz w:val="21"/>
          <w:szCs w:val="21"/>
          <w:lang w:val="es-ES" w:eastAsia="es-CO"/>
        </w:rPr>
        <w:t>prestaci?n</w:t>
      </w:r>
      <w:proofErr w:type="spellEnd"/>
      <w:r w:rsidRPr="006C6818">
        <w:rPr>
          <w:rFonts w:ascii="Arial" w:eastAsia="Times New Roman" w:hAnsi="Arial" w:cs="Arial"/>
          <w:sz w:val="21"/>
          <w:szCs w:val="21"/>
          <w:lang w:val="es-ES" w:eastAsia="es-CO"/>
        </w:rPr>
        <w:t xml:space="preserve"> de servicios, suministros, </w:t>
      </w:r>
      <w:proofErr w:type="spellStart"/>
      <w:r w:rsidRPr="006C6818">
        <w:rPr>
          <w:rFonts w:ascii="Arial" w:eastAsia="Times New Roman" w:hAnsi="Arial" w:cs="Arial"/>
          <w:sz w:val="21"/>
          <w:szCs w:val="21"/>
          <w:lang w:val="es-ES" w:eastAsia="es-CO"/>
        </w:rPr>
        <w:t>ordenes</w:t>
      </w:r>
      <w:proofErr w:type="spellEnd"/>
      <w:r w:rsidRPr="006C6818">
        <w:rPr>
          <w:rFonts w:ascii="Arial" w:eastAsia="Times New Roman" w:hAnsi="Arial" w:cs="Arial"/>
          <w:sz w:val="21"/>
          <w:szCs w:val="21"/>
          <w:lang w:val="es-ES" w:eastAsia="es-CO"/>
        </w:rPr>
        <w:t xml:space="preserve"> de compra y servicios. teniendo en cuenta que manejamos </w:t>
      </w:r>
      <w:proofErr w:type="spellStart"/>
      <w:r w:rsidRPr="006C6818">
        <w:rPr>
          <w:rFonts w:ascii="Arial" w:eastAsia="Times New Roman" w:hAnsi="Arial" w:cs="Arial"/>
          <w:sz w:val="21"/>
          <w:szCs w:val="21"/>
          <w:lang w:val="es-ES" w:eastAsia="es-CO"/>
        </w:rPr>
        <w:t>regimen</w:t>
      </w:r>
      <w:proofErr w:type="spellEnd"/>
      <w:r w:rsidRPr="006C6818">
        <w:rPr>
          <w:rFonts w:ascii="Arial" w:eastAsia="Times New Roman" w:hAnsi="Arial" w:cs="Arial"/>
          <w:sz w:val="21"/>
          <w:szCs w:val="21"/>
          <w:lang w:val="es-ES" w:eastAsia="es-CO"/>
        </w:rPr>
        <w:t xml:space="preserve"> especial» (SIC).</w:t>
      </w:r>
    </w:p>
    <w:p w14:paraId="79E2A824" w14:textId="77777777" w:rsidR="00741466" w:rsidRPr="006C6818" w:rsidRDefault="00741466" w:rsidP="00B3451D">
      <w:pPr>
        <w:spacing w:after="0" w:line="276" w:lineRule="auto"/>
        <w:ind w:right="709"/>
        <w:contextualSpacing/>
        <w:jc w:val="both"/>
        <w:rPr>
          <w:rFonts w:ascii="Arial" w:eastAsia="Times New Roman" w:hAnsi="Arial" w:cs="Arial"/>
          <w:color w:val="FF0000"/>
          <w:lang w:eastAsia="es-ES_tradnl"/>
        </w:rPr>
      </w:pPr>
    </w:p>
    <w:p w14:paraId="1A73B75A" w14:textId="08B981D4" w:rsidR="004C35E3" w:rsidRPr="006C6818" w:rsidRDefault="00741466" w:rsidP="007F6DD0">
      <w:pPr>
        <w:tabs>
          <w:tab w:val="left" w:pos="426"/>
        </w:tabs>
        <w:spacing w:after="120" w:line="276" w:lineRule="auto"/>
        <w:jc w:val="both"/>
        <w:rPr>
          <w:rFonts w:ascii="Arial" w:eastAsia="Times New Roman" w:hAnsi="Arial" w:cs="Arial"/>
          <w:bCs/>
          <w:lang w:val="es-MX" w:eastAsia="x-none"/>
        </w:rPr>
      </w:pPr>
      <w:r w:rsidRPr="006C6818">
        <w:rPr>
          <w:rFonts w:ascii="Arial" w:eastAsia="Times New Roman" w:hAnsi="Arial" w:cs="Arial"/>
          <w:bCs/>
          <w:lang w:val="es-MX" w:eastAsia="x-none"/>
        </w:rPr>
        <w:t>De acuerdo con la explicación precedente, de la Ley 996 de 2005 se derivan dos prohibiciones diferentes aplicables a periodos preelectorales distintos</w:t>
      </w:r>
      <w:r w:rsidR="00E43BF1" w:rsidRPr="006C6818">
        <w:rPr>
          <w:rFonts w:ascii="Arial" w:eastAsia="Times New Roman" w:hAnsi="Arial" w:cs="Arial"/>
          <w:bCs/>
          <w:lang w:val="es-MX" w:eastAsia="x-none"/>
        </w:rPr>
        <w:t>, que eventualmente pueden coincidir</w:t>
      </w:r>
      <w:r w:rsidRPr="006C6818">
        <w:rPr>
          <w:rFonts w:ascii="Arial" w:eastAsia="Times New Roman" w:hAnsi="Arial" w:cs="Arial"/>
          <w:bCs/>
          <w:lang w:val="es-MX" w:eastAsia="x-none"/>
        </w:rPr>
        <w:t>. Una es la prohibición que se deriva de lo establecido en el artículo 33, respecto a las elecciones presidenciales y otra la originada en el parágrafo del artículo 38 que aplica frente a elecciones para cualquier cargo de elección popular, lo que también incluye las presidenciales</w:t>
      </w:r>
      <w:r w:rsidR="003E0A63" w:rsidRPr="006C6818">
        <w:rPr>
          <w:rFonts w:ascii="Arial" w:eastAsia="Times New Roman" w:hAnsi="Arial" w:cs="Arial"/>
          <w:bCs/>
          <w:lang w:val="es-MX" w:eastAsia="x-none"/>
        </w:rPr>
        <w:t xml:space="preserve">. </w:t>
      </w:r>
    </w:p>
    <w:p w14:paraId="03162E19" w14:textId="171B2955" w:rsidR="00887C85" w:rsidRPr="006C6818" w:rsidRDefault="007F6DD0" w:rsidP="007F6DD0">
      <w:pPr>
        <w:tabs>
          <w:tab w:val="left" w:pos="426"/>
        </w:tabs>
        <w:spacing w:after="120" w:line="276" w:lineRule="auto"/>
        <w:jc w:val="both"/>
        <w:rPr>
          <w:rFonts w:ascii="Arial" w:eastAsia="Times New Roman" w:hAnsi="Arial" w:cs="Arial"/>
          <w:bCs/>
          <w:lang w:val="es-MX" w:eastAsia="x-none"/>
        </w:rPr>
      </w:pPr>
      <w:r w:rsidRPr="006C6818">
        <w:rPr>
          <w:rFonts w:ascii="Arial" w:eastAsia="Times New Roman" w:hAnsi="Arial" w:cs="Arial"/>
          <w:bCs/>
          <w:lang w:val="es-MX" w:eastAsia="x-none"/>
        </w:rPr>
        <w:tab/>
      </w:r>
      <w:r w:rsidRPr="006C6818">
        <w:rPr>
          <w:rFonts w:ascii="Arial" w:eastAsia="Times New Roman" w:hAnsi="Arial" w:cs="Arial"/>
          <w:bCs/>
          <w:lang w:val="es-MX" w:eastAsia="x-none"/>
        </w:rPr>
        <w:tab/>
      </w:r>
      <w:r w:rsidR="00887C85" w:rsidRPr="006C6818">
        <w:rPr>
          <w:rFonts w:ascii="Arial" w:eastAsia="Times New Roman" w:hAnsi="Arial" w:cs="Arial"/>
          <w:bCs/>
          <w:lang w:val="es-MX" w:eastAsia="x-none"/>
        </w:rPr>
        <w:t>Sin perjuicio de que cada entidad estatal defina la viabilidad técnica, jurídica y financiera de celebrar determinado negocio jurídico en específico, las Empresas Sociales del Estado</w:t>
      </w:r>
      <w:r w:rsidR="00490351" w:rsidRPr="006C6818">
        <w:rPr>
          <w:rFonts w:ascii="Arial" w:eastAsia="Times New Roman" w:hAnsi="Arial" w:cs="Arial"/>
          <w:bCs/>
          <w:lang w:val="es-MX" w:eastAsia="x-none"/>
        </w:rPr>
        <w:t xml:space="preserve">, </w:t>
      </w:r>
      <w:r w:rsidR="00542251" w:rsidRPr="006C6818">
        <w:rPr>
          <w:rFonts w:ascii="Arial" w:eastAsia="Calibri" w:hAnsi="Arial" w:cs="Arial"/>
          <w:color w:val="000000" w:themeColor="text1"/>
          <w:lang w:val="es-ES_tradnl"/>
        </w:rPr>
        <w:t>durante los cuatro meses anteriores a la elección presidencial y hasta la realización de la elección en la segunda vuelta, si fuere el caso</w:t>
      </w:r>
      <w:r w:rsidR="00542251" w:rsidRPr="006C6818">
        <w:rPr>
          <w:rFonts w:ascii="Arial" w:eastAsia="Times New Roman" w:hAnsi="Arial" w:cs="Arial"/>
          <w:bCs/>
          <w:lang w:val="es-MX" w:eastAsia="x-none"/>
        </w:rPr>
        <w:t>, podrán</w:t>
      </w:r>
      <w:r w:rsidR="00887C85" w:rsidRPr="006C6818">
        <w:rPr>
          <w:rFonts w:ascii="Arial" w:eastAsia="Times New Roman" w:hAnsi="Arial" w:cs="Arial"/>
          <w:bCs/>
          <w:lang w:val="es-MX" w:eastAsia="x-none"/>
        </w:rPr>
        <w:t xml:space="preserve"> suscribir contratos bajo la modalidad de contratación directa, </w:t>
      </w:r>
      <w:r w:rsidR="00542251" w:rsidRPr="006C6818">
        <w:rPr>
          <w:rFonts w:ascii="Arial" w:eastAsia="Times New Roman" w:hAnsi="Arial" w:cs="Arial"/>
          <w:bCs/>
          <w:lang w:val="es-MX" w:eastAsia="x-none"/>
        </w:rPr>
        <w:t>en la medida que</w:t>
      </w:r>
      <w:r w:rsidR="00887C85" w:rsidRPr="006C6818">
        <w:rPr>
          <w:rFonts w:ascii="Arial" w:eastAsia="Times New Roman" w:hAnsi="Arial" w:cs="Arial"/>
          <w:bCs/>
          <w:lang w:val="es-MX" w:eastAsia="x-none"/>
        </w:rPr>
        <w:t xml:space="preserve"> el inciso segundo del artículo 33 de la Ley de Garantías</w:t>
      </w:r>
      <w:r w:rsidR="00542251" w:rsidRPr="006C6818">
        <w:rPr>
          <w:rFonts w:ascii="Arial" w:eastAsia="Times New Roman" w:hAnsi="Arial" w:cs="Arial"/>
          <w:bCs/>
          <w:lang w:val="es-MX" w:eastAsia="x-none"/>
        </w:rPr>
        <w:t xml:space="preserve"> Electorales</w:t>
      </w:r>
      <w:r w:rsidR="00887C85" w:rsidRPr="006C6818">
        <w:rPr>
          <w:rFonts w:ascii="Arial" w:eastAsia="Times New Roman" w:hAnsi="Arial" w:cs="Arial"/>
          <w:bCs/>
          <w:lang w:val="es-MX" w:eastAsia="x-none"/>
        </w:rPr>
        <w:t xml:space="preserve"> exceptuó de la prohibición de contratación bajo la modalidad referida a las entidades hospitalarias, categoría dentro de las cuales se incluye a las Empresas Sociales del Estado. En consecuencia, podrán suscribir sus contratos en la forma establecida en sus manuales de contratación, sin que les resulte aplicable la prohibición establecida en el artículo 33 de la Ley 996 de 2005.</w:t>
      </w:r>
    </w:p>
    <w:p w14:paraId="28A91449" w14:textId="6754F4BB" w:rsidR="004C35E3" w:rsidRPr="006C6818" w:rsidRDefault="00887C85" w:rsidP="007F6DD0">
      <w:pPr>
        <w:tabs>
          <w:tab w:val="left" w:pos="426"/>
        </w:tabs>
        <w:spacing w:after="120" w:line="276" w:lineRule="auto"/>
        <w:jc w:val="both"/>
        <w:rPr>
          <w:rFonts w:ascii="Arial" w:eastAsia="Times New Roman" w:hAnsi="Arial" w:cs="Arial"/>
          <w:bCs/>
          <w:lang w:val="es-MX" w:eastAsia="x-none"/>
        </w:rPr>
      </w:pPr>
      <w:r w:rsidRPr="006C6818">
        <w:rPr>
          <w:rFonts w:ascii="Arial" w:eastAsia="Times New Roman" w:hAnsi="Arial" w:cs="Arial"/>
          <w:bCs/>
          <w:lang w:val="es-MX" w:eastAsia="x-none"/>
        </w:rPr>
        <w:tab/>
      </w:r>
      <w:r w:rsidRPr="006C6818">
        <w:rPr>
          <w:rFonts w:ascii="Arial" w:eastAsia="Times New Roman" w:hAnsi="Arial" w:cs="Arial"/>
          <w:bCs/>
          <w:lang w:val="es-MX" w:eastAsia="x-none"/>
        </w:rPr>
        <w:tab/>
      </w:r>
      <w:r w:rsidR="00D435E5" w:rsidRPr="006C6818">
        <w:rPr>
          <w:rFonts w:ascii="Arial" w:eastAsia="Times New Roman" w:hAnsi="Arial" w:cs="Arial"/>
          <w:bCs/>
          <w:lang w:val="es-MX" w:eastAsia="x-none"/>
        </w:rPr>
        <w:t>Ahora bien</w:t>
      </w:r>
      <w:r w:rsidRPr="006C6818">
        <w:rPr>
          <w:rFonts w:ascii="Arial" w:eastAsia="Times New Roman" w:hAnsi="Arial" w:cs="Arial"/>
          <w:bCs/>
          <w:lang w:val="es-MX" w:eastAsia="x-none"/>
        </w:rPr>
        <w:t xml:space="preserve">, 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w:t>
      </w:r>
      <w:r w:rsidR="00D435E5" w:rsidRPr="006C6818">
        <w:rPr>
          <w:rFonts w:ascii="Arial" w:eastAsia="Arial" w:hAnsi="Arial" w:cs="Arial"/>
          <w:lang w:val="es-ES" w:eastAsia="es-ES" w:bidi="es-ES"/>
        </w:rPr>
        <w:t xml:space="preserve">En este sentido, si una o ambas partes de la relación contractual es una entidad de aquellas descritas en el parágrafo </w:t>
      </w:r>
      <w:r w:rsidR="00D435E5" w:rsidRPr="006C6818">
        <w:rPr>
          <w:rFonts w:ascii="Arial" w:eastAsia="Arial" w:hAnsi="Arial" w:cs="Arial"/>
          <w:i/>
          <w:iCs/>
          <w:lang w:val="es-ES" w:eastAsia="es-ES" w:bidi="es-ES"/>
        </w:rPr>
        <w:t>ibidem</w:t>
      </w:r>
      <w:r w:rsidR="00D435E5" w:rsidRPr="006C6818">
        <w:rPr>
          <w:rFonts w:ascii="Arial" w:eastAsia="Arial" w:hAnsi="Arial" w:cs="Arial"/>
          <w:lang w:val="es-ES" w:eastAsia="es-ES" w:bidi="es-ES"/>
        </w:rPr>
        <w:t xml:space="preserve">, no podrá celebrar tales convenios o contratos interadministrativos durante la aplicación de la ley de garantías, toda vez que la citada disposición hace referencia a dicha tipología contractual. </w:t>
      </w:r>
      <w:r w:rsidR="00740320" w:rsidRPr="006C6818">
        <w:rPr>
          <w:rFonts w:ascii="Arial" w:eastAsia="Arial" w:hAnsi="Arial" w:cs="Arial"/>
          <w:lang w:val="es-ES" w:eastAsia="es-ES" w:bidi="es-ES"/>
        </w:rPr>
        <w:t>Cabe precisar que</w:t>
      </w:r>
      <w:r w:rsidR="00D435E5" w:rsidRPr="006C6818">
        <w:rPr>
          <w:rFonts w:ascii="Arial" w:eastAsia="Arial" w:hAnsi="Arial" w:cs="Arial"/>
          <w:lang w:val="es-ES" w:eastAsia="es-ES" w:bidi="es-ES"/>
        </w:rPr>
        <w:t xml:space="preserve">, como se expresó en las consideraciones, lo que define los contratos o convenios interadministrativos es la naturaleza de las partes, de manera que están determinados por un criterio orgánico, en el sentido de que lo serán </w:t>
      </w:r>
      <w:r w:rsidR="00D435E5" w:rsidRPr="006C6818">
        <w:rPr>
          <w:rFonts w:ascii="Arial" w:eastAsia="Arial" w:hAnsi="Arial" w:cs="Arial"/>
          <w:lang w:val="es-ES" w:eastAsia="es-ES" w:bidi="es-ES"/>
        </w:rPr>
        <w:lastRenderedPageBreak/>
        <w:t xml:space="preserve">aquellos celebrados entre entidades estatales. </w:t>
      </w:r>
      <w:r w:rsidR="00740320" w:rsidRPr="006C6818">
        <w:rPr>
          <w:rFonts w:ascii="Arial" w:eastAsia="Arial" w:hAnsi="Arial" w:cs="Arial"/>
          <w:lang w:val="es-ES" w:eastAsia="es-ES" w:bidi="es-ES"/>
        </w:rPr>
        <w:t xml:space="preserve">Además, </w:t>
      </w:r>
      <w:r w:rsidR="00740320" w:rsidRPr="006C6818">
        <w:rPr>
          <w:rFonts w:ascii="Arial" w:eastAsia="Times New Roman" w:hAnsi="Arial" w:cs="Arial"/>
          <w:bCs/>
          <w:lang w:val="es-MX" w:eastAsia="x-none"/>
        </w:rPr>
        <w:t>l</w:t>
      </w:r>
      <w:r w:rsidRPr="006C6818">
        <w:rPr>
          <w:rFonts w:ascii="Arial" w:eastAsia="Times New Roman" w:hAnsi="Arial" w:cs="Arial"/>
          <w:bCs/>
          <w:lang w:val="es-MX" w:eastAsia="x-none"/>
        </w:rPr>
        <w:t>os convenios o contratos interadministrativos que se restringen en el parágrafo del artículo 38 de la Ley 996 de 2005, son aquellos en que se dispone la ejecución de recursos públicos, para evitar que mediante la suscripción de estos se comprometa el erario con fines políticos o partidistas.</w:t>
      </w:r>
      <w:r w:rsidR="004C35E3" w:rsidRPr="006C6818">
        <w:rPr>
          <w:rFonts w:ascii="Arial" w:eastAsia="Times New Roman" w:hAnsi="Arial" w:cs="Arial"/>
          <w:bCs/>
          <w:lang w:val="es-MX" w:eastAsia="x-none"/>
        </w:rPr>
        <w:t xml:space="preserve"> </w:t>
      </w:r>
      <w:r w:rsidRPr="006C6818">
        <w:rPr>
          <w:rFonts w:ascii="Arial" w:eastAsia="Times New Roman" w:hAnsi="Arial" w:cs="Arial"/>
          <w:bCs/>
          <w:lang w:val="es-MX" w:eastAsia="x-none"/>
        </w:rPr>
        <w:t xml:space="preserve">Para estos efectos, es necesario tener en cuenta que las empresas sociales del Estado que prestan servicios de salud pueden ser entidades descentralizadas del respectivo municipio, departamento o distrito. A esto se refiere el artículo 194 de la Ley 100 de 1993 cuando dispone que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 (Énfasis fuera de texto). Por tanto, las </w:t>
      </w:r>
      <w:r w:rsidR="00740320" w:rsidRPr="006C6818">
        <w:rPr>
          <w:rFonts w:ascii="Arial" w:eastAsia="Times New Roman" w:hAnsi="Arial" w:cs="Arial"/>
          <w:bCs/>
          <w:lang w:val="es-MX" w:eastAsia="x-none"/>
        </w:rPr>
        <w:t>E</w:t>
      </w:r>
      <w:r w:rsidRPr="006C6818">
        <w:rPr>
          <w:rFonts w:ascii="Arial" w:eastAsia="Times New Roman" w:hAnsi="Arial" w:cs="Arial"/>
          <w:bCs/>
          <w:lang w:val="es-MX" w:eastAsia="x-none"/>
        </w:rPr>
        <w:t xml:space="preserve">mpresas </w:t>
      </w:r>
      <w:r w:rsidR="00740320" w:rsidRPr="006C6818">
        <w:rPr>
          <w:rFonts w:ascii="Arial" w:eastAsia="Times New Roman" w:hAnsi="Arial" w:cs="Arial"/>
          <w:bCs/>
          <w:lang w:val="es-MX" w:eastAsia="x-none"/>
        </w:rPr>
        <w:t>S</w:t>
      </w:r>
      <w:r w:rsidRPr="006C6818">
        <w:rPr>
          <w:rFonts w:ascii="Arial" w:eastAsia="Times New Roman" w:hAnsi="Arial" w:cs="Arial"/>
          <w:bCs/>
          <w:lang w:val="es-MX" w:eastAsia="x-none"/>
        </w:rPr>
        <w:t xml:space="preserve">ociales del Estado estarán sujetas a la restricción </w:t>
      </w:r>
      <w:r w:rsidR="00740320" w:rsidRPr="006C6818">
        <w:rPr>
          <w:rFonts w:ascii="Arial" w:eastAsia="Times New Roman" w:hAnsi="Arial" w:cs="Arial"/>
          <w:bCs/>
          <w:lang w:val="es-MX" w:eastAsia="x-none"/>
        </w:rPr>
        <w:t>del parágrafo del artículo 38 en los términos indicados.</w:t>
      </w:r>
      <w:r w:rsidRPr="006C6818">
        <w:rPr>
          <w:rFonts w:ascii="Arial" w:eastAsia="Times New Roman" w:hAnsi="Arial" w:cs="Arial"/>
          <w:bCs/>
          <w:lang w:val="es-MX" w:eastAsia="x-none"/>
        </w:rPr>
        <w:t xml:space="preserve">  </w:t>
      </w:r>
    </w:p>
    <w:p w14:paraId="5369FDE3" w14:textId="16D9BB43" w:rsidR="00741466" w:rsidRPr="006C6818" w:rsidRDefault="00550892" w:rsidP="00154185">
      <w:pPr>
        <w:tabs>
          <w:tab w:val="left" w:pos="426"/>
        </w:tabs>
        <w:spacing w:after="120" w:line="276" w:lineRule="auto"/>
        <w:jc w:val="both"/>
        <w:rPr>
          <w:rFonts w:ascii="Arial" w:eastAsia="Calibri" w:hAnsi="Arial" w:cs="Arial"/>
          <w:bCs/>
          <w:lang w:val="es-ES_tradnl"/>
        </w:rPr>
      </w:pPr>
      <w:r w:rsidRPr="006C6818">
        <w:rPr>
          <w:rFonts w:ascii="Arial" w:eastAsia="Times New Roman" w:hAnsi="Arial" w:cs="Arial"/>
          <w:bCs/>
          <w:lang w:val="es-MX" w:eastAsia="x-none"/>
        </w:rPr>
        <w:tab/>
      </w:r>
      <w:r w:rsidR="00C57DE4" w:rsidRPr="006C6818">
        <w:rPr>
          <w:rFonts w:ascii="Arial" w:eastAsia="Times New Roman" w:hAnsi="Arial" w:cs="Arial"/>
          <w:bCs/>
          <w:lang w:val="es-MX" w:eastAsia="x-none"/>
        </w:rPr>
        <w:tab/>
      </w:r>
    </w:p>
    <w:p w14:paraId="243DD731" w14:textId="77777777" w:rsidR="00741466" w:rsidRPr="006C6818" w:rsidRDefault="00741466" w:rsidP="00741466">
      <w:pPr>
        <w:spacing w:after="0" w:line="276" w:lineRule="auto"/>
        <w:jc w:val="both"/>
        <w:rPr>
          <w:rFonts w:ascii="Times New Roman" w:eastAsia="Times New Roman" w:hAnsi="Times New Roman" w:cs="Times New Roman"/>
          <w:sz w:val="24"/>
          <w:szCs w:val="24"/>
          <w:lang w:eastAsia="es-ES_tradnl"/>
        </w:rPr>
      </w:pPr>
      <w:r w:rsidRPr="006C6818">
        <w:rPr>
          <w:rFonts w:ascii="Arial" w:eastAsia="Calibri" w:hAnsi="Arial" w:cs="Arial"/>
        </w:rPr>
        <w:t>Este concepto tiene el alcance previsto en el artículo 28 del Código de Procedimiento Administrativo y de lo Contencioso Administrativo.</w:t>
      </w:r>
      <w:r w:rsidRPr="006C6818">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17E5D081" wp14:editId="667CAC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59384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3753196" w14:textId="77777777" w:rsidR="00741466" w:rsidRPr="006C6818" w:rsidRDefault="00741466" w:rsidP="00741466">
      <w:pPr>
        <w:spacing w:after="0" w:line="276" w:lineRule="auto"/>
        <w:jc w:val="both"/>
        <w:rPr>
          <w:rFonts w:ascii="Times New Roman" w:eastAsia="Times New Roman" w:hAnsi="Times New Roman" w:cs="Times New Roman"/>
          <w:sz w:val="24"/>
          <w:szCs w:val="24"/>
          <w:lang w:eastAsia="es-ES_tradnl"/>
        </w:rPr>
      </w:pPr>
    </w:p>
    <w:p w14:paraId="71FC4FEF" w14:textId="77777777" w:rsidR="00741466" w:rsidRPr="006C6818" w:rsidRDefault="00741466" w:rsidP="00741466">
      <w:pPr>
        <w:spacing w:after="200" w:line="276" w:lineRule="auto"/>
        <w:jc w:val="both"/>
        <w:rPr>
          <w:rFonts w:ascii="Arial" w:eastAsia="Times New Roman" w:hAnsi="Arial" w:cs="Arial"/>
          <w:lang w:eastAsia="es-CO"/>
        </w:rPr>
      </w:pPr>
      <w:r w:rsidRPr="006C6818">
        <w:rPr>
          <w:rFonts w:ascii="Arial" w:eastAsia="Times New Roman" w:hAnsi="Arial" w:cs="Arial"/>
          <w:lang w:eastAsia="es-CO"/>
        </w:rPr>
        <w:t>Atentamente,</w:t>
      </w:r>
    </w:p>
    <w:p w14:paraId="77937B2F" w14:textId="2813A5AF" w:rsidR="00741466" w:rsidRPr="006C6818" w:rsidRDefault="00312DEA" w:rsidP="00741466">
      <w:pPr>
        <w:spacing w:after="200" w:line="276" w:lineRule="auto"/>
        <w:jc w:val="center"/>
        <w:rPr>
          <w:rFonts w:ascii="Arial" w:eastAsia="Times New Roman" w:hAnsi="Arial" w:cs="Arial"/>
          <w:color w:val="FF0000"/>
          <w:sz w:val="18"/>
          <w:szCs w:val="20"/>
          <w:lang w:val="es-MX" w:eastAsia="es-CO"/>
        </w:rPr>
      </w:pPr>
      <w:r w:rsidRPr="009942C8">
        <w:rPr>
          <w:rFonts w:ascii="Arial" w:hAnsi="Arial" w:cs="Arial"/>
          <w:noProof/>
          <w:color w:val="000000" w:themeColor="text1"/>
          <w:lang w:val="es-ES_tradnl"/>
        </w:rPr>
        <w:drawing>
          <wp:inline distT="0" distB="0" distL="0" distR="0" wp14:anchorId="14C7E073" wp14:editId="2DE110DA">
            <wp:extent cx="2409825" cy="1025233"/>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9"/>
                    <a:stretch>
                      <a:fillRect/>
                    </a:stretch>
                  </pic:blipFill>
                  <pic:spPr>
                    <a:xfrm>
                      <a:off x="0" y="0"/>
                      <a:ext cx="2422103" cy="1030457"/>
                    </a:xfrm>
                    <a:prstGeom prst="rect">
                      <a:avLst/>
                    </a:prstGeom>
                  </pic:spPr>
                </pic:pic>
              </a:graphicData>
            </a:graphic>
          </wp:inline>
        </w:drawing>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1F46" w:rsidRPr="006C6818" w14:paraId="395EA8AB" w14:textId="77777777" w:rsidTr="006D1F46">
        <w:trPr>
          <w:trHeight w:val="315"/>
        </w:trPr>
        <w:tc>
          <w:tcPr>
            <w:tcW w:w="812" w:type="dxa"/>
            <w:vAlign w:val="center"/>
            <w:hideMark/>
          </w:tcPr>
          <w:bookmarkEnd w:id="4"/>
          <w:bookmarkEnd w:id="55"/>
          <w:p w14:paraId="0BE09898"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424ABDA2" w14:textId="76E57368"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Diana Lucia Saavedra Castañeda</w:t>
            </w:r>
          </w:p>
          <w:p w14:paraId="4859D574"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Contratista de la Subdirección de Gestión Contractual</w:t>
            </w:r>
          </w:p>
        </w:tc>
      </w:tr>
      <w:tr w:rsidR="006D1F46" w:rsidRPr="006C6818" w14:paraId="36A19220" w14:textId="77777777" w:rsidTr="006D1F46">
        <w:trPr>
          <w:trHeight w:val="330"/>
        </w:trPr>
        <w:tc>
          <w:tcPr>
            <w:tcW w:w="812" w:type="dxa"/>
            <w:vAlign w:val="center"/>
            <w:hideMark/>
          </w:tcPr>
          <w:p w14:paraId="7F7986AD"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430A3E3"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Sebastián Ramírez Grisales</w:t>
            </w:r>
          </w:p>
          <w:p w14:paraId="090C4436"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 xml:space="preserve">Contratista de la Subdirección de Gestión Contractual  </w:t>
            </w:r>
          </w:p>
        </w:tc>
      </w:tr>
      <w:tr w:rsidR="006D1F46" w:rsidRPr="006D1F46" w14:paraId="76E848E2" w14:textId="77777777" w:rsidTr="006D1F46">
        <w:trPr>
          <w:trHeight w:val="300"/>
        </w:trPr>
        <w:tc>
          <w:tcPr>
            <w:tcW w:w="812" w:type="dxa"/>
            <w:vAlign w:val="center"/>
            <w:hideMark/>
          </w:tcPr>
          <w:p w14:paraId="6F6FAC8A" w14:textId="77777777" w:rsidR="006D1F46" w:rsidRPr="006C6818"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F866680" w14:textId="48A4D43B" w:rsidR="005E6EDE" w:rsidRPr="006C6818" w:rsidRDefault="005E6EDE"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Andrés Ricardo Mancipe González</w:t>
            </w:r>
          </w:p>
          <w:p w14:paraId="391F0AA6" w14:textId="0AD83910" w:rsidR="006D1F46" w:rsidRPr="006D1F46" w:rsidRDefault="006D1F46" w:rsidP="006D1F46">
            <w:pPr>
              <w:rPr>
                <w:rFonts w:ascii="Arial" w:eastAsia="Times New Roman" w:hAnsi="Arial" w:cs="Arial"/>
                <w:color w:val="000000"/>
                <w:sz w:val="16"/>
                <w:szCs w:val="16"/>
                <w:lang w:val="es-ES_tradnl" w:eastAsia="es-ES"/>
              </w:rPr>
            </w:pPr>
            <w:r w:rsidRPr="006C6818">
              <w:rPr>
                <w:rFonts w:ascii="Arial" w:eastAsia="Times New Roman" w:hAnsi="Arial" w:cs="Arial"/>
                <w:color w:val="000000"/>
                <w:sz w:val="16"/>
                <w:szCs w:val="16"/>
                <w:lang w:val="es-ES_tradnl" w:eastAsia="es-ES"/>
              </w:rPr>
              <w:t xml:space="preserve">Subdirector de Gestión Contractual </w:t>
            </w:r>
            <w:r w:rsidR="005E6EDE" w:rsidRPr="006C6818">
              <w:rPr>
                <w:rFonts w:ascii="Arial" w:eastAsia="Times New Roman" w:hAnsi="Arial" w:cs="Arial"/>
                <w:color w:val="000000"/>
                <w:sz w:val="16"/>
                <w:szCs w:val="16"/>
                <w:lang w:val="es-ES_tradnl" w:eastAsia="es-ES"/>
              </w:rPr>
              <w:t>(E)</w:t>
            </w:r>
          </w:p>
        </w:tc>
      </w:tr>
    </w:tbl>
    <w:p w14:paraId="770F1000" w14:textId="77777777" w:rsidR="00741466" w:rsidRPr="00F12097" w:rsidRDefault="00741466" w:rsidP="00741466">
      <w:pPr>
        <w:rPr>
          <w:color w:val="FF0000"/>
        </w:rPr>
      </w:pPr>
    </w:p>
    <w:p w14:paraId="3A5DEF99" w14:textId="77777777" w:rsidR="00C553D7" w:rsidRPr="00F12097" w:rsidRDefault="00C553D7">
      <w:pPr>
        <w:rPr>
          <w:color w:val="FF0000"/>
        </w:rPr>
      </w:pPr>
    </w:p>
    <w:sectPr w:rsidR="00C553D7" w:rsidRPr="00F12097" w:rsidSect="00D42F9E">
      <w:headerReference w:type="default" r:id="rId10"/>
      <w:footerReference w:type="default" r:id="rId11"/>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2489" w14:textId="77777777" w:rsidR="00FB29D7" w:rsidRDefault="00FB29D7" w:rsidP="00741466">
      <w:pPr>
        <w:spacing w:after="0" w:line="240" w:lineRule="auto"/>
      </w:pPr>
      <w:r>
        <w:separator/>
      </w:r>
    </w:p>
  </w:endnote>
  <w:endnote w:type="continuationSeparator" w:id="0">
    <w:p w14:paraId="6C536AC0" w14:textId="77777777" w:rsidR="00FB29D7" w:rsidRDefault="00FB29D7" w:rsidP="0074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472" w14:textId="77777777" w:rsidR="00982669" w:rsidRPr="00E97186" w:rsidRDefault="00763401" w:rsidP="00982669">
    <w:pPr>
      <w:pStyle w:val="Piedepgina"/>
      <w:jc w:val="right"/>
      <w:rPr>
        <w:rFonts w:ascii="Arial" w:hAnsi="Arial" w:cs="Arial"/>
        <w:color w:val="7F7F7F"/>
        <w:sz w:val="16"/>
        <w:szCs w:val="16"/>
      </w:rPr>
    </w:pPr>
    <w:r w:rsidRPr="00E97186">
      <w:rPr>
        <w:rFonts w:ascii="Arial" w:hAnsi="Arial" w:cs="Arial"/>
        <w:bCs/>
        <w:color w:val="7F7F7F"/>
        <w:sz w:val="16"/>
        <w:szCs w:val="16"/>
      </w:rPr>
      <w:t xml:space="preserve">Página </w:t>
    </w:r>
    <w:r w:rsidRPr="00E97186">
      <w:rPr>
        <w:rFonts w:ascii="Arial" w:hAnsi="Arial" w:cs="Arial"/>
        <w:b/>
        <w:bCs/>
        <w:color w:val="7F7F7F"/>
        <w:sz w:val="16"/>
        <w:szCs w:val="16"/>
      </w:rPr>
      <w:fldChar w:fldCharType="begin"/>
    </w:r>
    <w:r w:rsidRPr="00E97186">
      <w:rPr>
        <w:rFonts w:ascii="Arial" w:hAnsi="Arial" w:cs="Arial"/>
        <w:b/>
        <w:bCs/>
        <w:color w:val="7F7F7F"/>
        <w:sz w:val="16"/>
        <w:szCs w:val="16"/>
      </w:rPr>
      <w:instrText>PAGE  \* Arabic  \* MERGEFORMAT</w:instrText>
    </w:r>
    <w:r w:rsidRPr="00E97186">
      <w:rPr>
        <w:rFonts w:ascii="Arial" w:hAnsi="Arial" w:cs="Arial"/>
        <w:b/>
        <w:bCs/>
        <w:color w:val="7F7F7F"/>
        <w:sz w:val="16"/>
        <w:szCs w:val="16"/>
      </w:rPr>
      <w:fldChar w:fldCharType="separate"/>
    </w:r>
    <w:r w:rsidRPr="00E97186">
      <w:rPr>
        <w:rFonts w:ascii="Arial" w:hAnsi="Arial" w:cs="Arial"/>
        <w:b/>
        <w:bCs/>
        <w:noProof/>
        <w:color w:val="7F7F7F"/>
        <w:sz w:val="16"/>
        <w:szCs w:val="16"/>
      </w:rPr>
      <w:t>17</w:t>
    </w:r>
    <w:r w:rsidRPr="00E97186">
      <w:rPr>
        <w:rFonts w:ascii="Arial" w:hAnsi="Arial" w:cs="Arial"/>
        <w:b/>
        <w:bCs/>
        <w:color w:val="7F7F7F"/>
        <w:sz w:val="16"/>
        <w:szCs w:val="16"/>
      </w:rPr>
      <w:fldChar w:fldCharType="end"/>
    </w:r>
    <w:r w:rsidRPr="00E97186">
      <w:rPr>
        <w:rFonts w:ascii="Arial" w:hAnsi="Arial" w:cs="Arial"/>
        <w:color w:val="7F7F7F"/>
        <w:sz w:val="16"/>
        <w:szCs w:val="16"/>
      </w:rPr>
      <w:t xml:space="preserve"> de </w:t>
    </w:r>
    <w:r w:rsidRPr="00E97186">
      <w:rPr>
        <w:rFonts w:ascii="Arial" w:hAnsi="Arial" w:cs="Arial"/>
        <w:b/>
        <w:bCs/>
        <w:color w:val="7F7F7F"/>
        <w:sz w:val="16"/>
        <w:szCs w:val="16"/>
      </w:rPr>
      <w:fldChar w:fldCharType="begin"/>
    </w:r>
    <w:r w:rsidRPr="00E97186">
      <w:rPr>
        <w:rFonts w:ascii="Arial" w:hAnsi="Arial" w:cs="Arial"/>
        <w:b/>
        <w:bCs/>
        <w:color w:val="7F7F7F"/>
        <w:sz w:val="16"/>
        <w:szCs w:val="16"/>
      </w:rPr>
      <w:instrText>NUMPAGES  \* Arabic  \* MERGEFORMAT</w:instrText>
    </w:r>
    <w:r w:rsidRPr="00E97186">
      <w:rPr>
        <w:rFonts w:ascii="Arial" w:hAnsi="Arial" w:cs="Arial"/>
        <w:b/>
        <w:bCs/>
        <w:color w:val="7F7F7F"/>
        <w:sz w:val="16"/>
        <w:szCs w:val="16"/>
      </w:rPr>
      <w:fldChar w:fldCharType="separate"/>
    </w:r>
    <w:r w:rsidRPr="00E97186">
      <w:rPr>
        <w:rFonts w:ascii="Arial" w:hAnsi="Arial" w:cs="Arial"/>
        <w:b/>
        <w:bCs/>
        <w:noProof/>
        <w:color w:val="7F7F7F"/>
        <w:sz w:val="16"/>
        <w:szCs w:val="16"/>
      </w:rPr>
      <w:t>17</w:t>
    </w:r>
    <w:r w:rsidRPr="00E97186">
      <w:rPr>
        <w:rFonts w:ascii="Arial" w:hAnsi="Arial" w:cs="Arial"/>
        <w:b/>
        <w:bCs/>
        <w:color w:val="7F7F7F"/>
        <w:sz w:val="16"/>
        <w:szCs w:val="16"/>
      </w:rPr>
      <w:fldChar w:fldCharType="end"/>
    </w:r>
  </w:p>
  <w:p w14:paraId="2EE44516" w14:textId="77777777" w:rsidR="00982669" w:rsidRDefault="00763401" w:rsidP="00982669">
    <w:pPr>
      <w:pStyle w:val="Piedepgina"/>
      <w:jc w:val="center"/>
      <w:rPr>
        <w:lang w:val="es-ES"/>
      </w:rPr>
    </w:pPr>
    <w:r>
      <w:rPr>
        <w:noProof/>
        <w:lang w:val="es-CO" w:eastAsia="es-CO"/>
      </w:rPr>
      <w:drawing>
        <wp:inline distT="0" distB="0" distL="0" distR="0" wp14:anchorId="03D07E5C" wp14:editId="708C3470">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8CD39E3" w14:textId="77777777" w:rsidR="00982669" w:rsidRPr="007B0854" w:rsidRDefault="00A23BBE" w:rsidP="00982669">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AA98" w14:textId="77777777" w:rsidR="00FB29D7" w:rsidRDefault="00FB29D7" w:rsidP="00741466">
      <w:pPr>
        <w:spacing w:after="0" w:line="240" w:lineRule="auto"/>
      </w:pPr>
      <w:r>
        <w:separator/>
      </w:r>
    </w:p>
  </w:footnote>
  <w:footnote w:type="continuationSeparator" w:id="0">
    <w:p w14:paraId="38A91CDF" w14:textId="77777777" w:rsidR="00FB29D7" w:rsidRDefault="00FB29D7" w:rsidP="00741466">
      <w:pPr>
        <w:spacing w:after="0" w:line="240" w:lineRule="auto"/>
      </w:pPr>
      <w:r>
        <w:continuationSeparator/>
      </w:r>
    </w:p>
  </w:footnote>
  <w:footnote w:id="1">
    <w:p w14:paraId="3DACCC98" w14:textId="77777777" w:rsidR="000B647E" w:rsidRPr="00A810BD" w:rsidRDefault="000B647E" w:rsidP="00A810BD">
      <w:pPr>
        <w:pStyle w:val="Textonotapie"/>
        <w:spacing w:after="0" w:line="240" w:lineRule="auto"/>
        <w:ind w:firstLine="709"/>
        <w:rPr>
          <w:rFonts w:ascii="Arial" w:hAnsi="Arial" w:cs="Arial"/>
          <w:color w:val="000000" w:themeColor="text1"/>
          <w:sz w:val="18"/>
          <w:szCs w:val="18"/>
          <w:lang w:val="es-ES"/>
        </w:rPr>
      </w:pPr>
      <w:r w:rsidRPr="00A810BD">
        <w:rPr>
          <w:rStyle w:val="Refdenotaalpie"/>
          <w:rFonts w:ascii="Arial" w:hAnsi="Arial" w:cs="Arial"/>
          <w:color w:val="000000" w:themeColor="text1"/>
          <w:sz w:val="18"/>
          <w:szCs w:val="18"/>
        </w:rPr>
        <w:footnoteRef/>
      </w:r>
      <w:r w:rsidRPr="00A810BD">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810BD">
        <w:rPr>
          <w:rFonts w:ascii="Arial" w:hAnsi="Arial" w:cs="Arial"/>
          <w:i/>
          <w:iCs/>
          <w:color w:val="000000" w:themeColor="text1"/>
          <w:sz w:val="18"/>
          <w:szCs w:val="18"/>
        </w:rPr>
        <w:t xml:space="preserve">ibidem </w:t>
      </w:r>
      <w:r w:rsidRPr="00A810BD">
        <w:rPr>
          <w:rFonts w:ascii="Arial" w:hAnsi="Arial" w:cs="Arial"/>
          <w:color w:val="000000" w:themeColor="text1"/>
          <w:sz w:val="18"/>
          <w:szCs w:val="18"/>
        </w:rPr>
        <w:t>señala, de manera precisa, las funciones de Colombia Compra Eficiente. Concretamente, el numeral 5º de este artículo establece que le corresponde a esta entidad: «[a]</w:t>
      </w:r>
      <w:proofErr w:type="spellStart"/>
      <w:r w:rsidRPr="00A810BD">
        <w:rPr>
          <w:rFonts w:ascii="Arial" w:hAnsi="Arial" w:cs="Arial"/>
          <w:color w:val="000000" w:themeColor="text1"/>
          <w:sz w:val="18"/>
          <w:szCs w:val="18"/>
        </w:rPr>
        <w:t>bsolver</w:t>
      </w:r>
      <w:proofErr w:type="spellEnd"/>
      <w:r w:rsidRPr="00A810BD">
        <w:rPr>
          <w:rFonts w:ascii="Arial" w:hAnsi="Arial" w:cs="Arial"/>
          <w:color w:val="000000" w:themeColor="text1"/>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810BD">
        <w:rPr>
          <w:rFonts w:ascii="Arial" w:hAnsi="Arial" w:cs="Arial"/>
          <w:color w:val="000000" w:themeColor="text1"/>
          <w:sz w:val="18"/>
          <w:szCs w:val="18"/>
        </w:rPr>
        <w:t>bsolver</w:t>
      </w:r>
      <w:proofErr w:type="spellEnd"/>
      <w:r w:rsidRPr="00A810BD">
        <w:rPr>
          <w:rFonts w:ascii="Arial" w:hAnsi="Arial" w:cs="Arial"/>
          <w:color w:val="000000" w:themeColor="text1"/>
          <w:sz w:val="18"/>
          <w:szCs w:val="18"/>
        </w:rPr>
        <w:t xml:space="preserve"> consultas sobre la aplicación de normas de carácter general».</w:t>
      </w:r>
    </w:p>
  </w:footnote>
  <w:footnote w:id="2">
    <w:p w14:paraId="0A2BE0DA"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7D5D93E" w14:textId="2411CD64" w:rsidR="00741466" w:rsidRPr="00A810BD" w:rsidRDefault="00741466" w:rsidP="00A810BD">
      <w:pPr>
        <w:pStyle w:val="Textonotapie"/>
        <w:spacing w:after="0" w:line="240" w:lineRule="auto"/>
        <w:ind w:firstLine="709"/>
        <w:rPr>
          <w:rFonts w:ascii="Arial" w:hAnsi="Arial" w:cs="Arial"/>
          <w:sz w:val="18"/>
          <w:szCs w:val="18"/>
        </w:rPr>
      </w:pPr>
      <w:r w:rsidRPr="00A810BD">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21FBF5C5"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Gaceta del Congreso de la República No. 71 del 2005.</w:t>
      </w:r>
    </w:p>
  </w:footnote>
  <w:footnote w:id="4">
    <w:p w14:paraId="5A103CAA"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Corte Constitucional, Sentencia C- 1153 de 2005, M.P. Marco Gerardo Monroy Cabra.</w:t>
      </w:r>
    </w:p>
  </w:footnote>
  <w:footnote w:id="5">
    <w:p w14:paraId="3BF42524"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041B8B0" w14:textId="4B9366AF" w:rsidR="00741466" w:rsidRPr="00A810BD" w:rsidRDefault="00741466" w:rsidP="00A810BD">
      <w:pPr>
        <w:pStyle w:val="Textonotapie"/>
        <w:spacing w:after="0" w:line="240" w:lineRule="auto"/>
        <w:ind w:firstLine="709"/>
        <w:rPr>
          <w:rFonts w:ascii="Arial" w:hAnsi="Arial" w:cs="Arial"/>
          <w:sz w:val="18"/>
          <w:szCs w:val="18"/>
          <w:lang w:val="es-CO"/>
        </w:rPr>
      </w:pPr>
      <w:r w:rsidRPr="00A810BD">
        <w:rPr>
          <w:rStyle w:val="Refdenotaalpie"/>
          <w:rFonts w:ascii="Arial" w:hAnsi="Arial" w:cs="Arial"/>
          <w:sz w:val="18"/>
          <w:szCs w:val="18"/>
        </w:rPr>
        <w:footnoteRef/>
      </w:r>
      <w:r w:rsidRPr="00A810BD">
        <w:rPr>
          <w:rFonts w:ascii="Arial" w:hAnsi="Arial" w:cs="Arial"/>
          <w:sz w:val="18"/>
          <w:szCs w:val="18"/>
          <w:lang w:val="es-CO"/>
        </w:rPr>
        <w:t xml:space="preserve"> Consejo de Estado</w:t>
      </w:r>
      <w:r w:rsidR="00C640DE" w:rsidRPr="00A810BD">
        <w:rPr>
          <w:rFonts w:ascii="Arial" w:hAnsi="Arial" w:cs="Arial"/>
          <w:sz w:val="18"/>
          <w:szCs w:val="18"/>
          <w:lang w:val="es-CO"/>
        </w:rPr>
        <w:t>.</w:t>
      </w:r>
      <w:r w:rsidRPr="00A810BD">
        <w:rPr>
          <w:rFonts w:ascii="Arial" w:hAnsi="Arial" w:cs="Arial"/>
          <w:sz w:val="18"/>
          <w:szCs w:val="18"/>
          <w:lang w:val="es-CO"/>
        </w:rPr>
        <w:t xml:space="preserve"> Sección Primera. Sentencia de 3 de marzo de 2005</w:t>
      </w:r>
      <w:r w:rsidR="00C640DE" w:rsidRPr="00A810BD">
        <w:rPr>
          <w:rFonts w:ascii="Arial" w:hAnsi="Arial" w:cs="Arial"/>
          <w:sz w:val="18"/>
          <w:szCs w:val="18"/>
          <w:lang w:val="es-CO"/>
        </w:rPr>
        <w:t>.</w:t>
      </w:r>
      <w:r w:rsidRPr="00A810BD">
        <w:rPr>
          <w:rFonts w:ascii="Arial" w:hAnsi="Arial" w:cs="Arial"/>
          <w:sz w:val="18"/>
          <w:szCs w:val="18"/>
          <w:lang w:val="es-CO"/>
        </w:rPr>
        <w:t xml:space="preserve"> </w:t>
      </w:r>
      <w:r w:rsidR="00C640DE" w:rsidRPr="00A810BD">
        <w:rPr>
          <w:rFonts w:ascii="Arial" w:hAnsi="Arial" w:cs="Arial"/>
          <w:sz w:val="18"/>
          <w:szCs w:val="18"/>
          <w:lang w:val="es-CO"/>
        </w:rPr>
        <w:t>E</w:t>
      </w:r>
      <w:r w:rsidRPr="00A810BD">
        <w:rPr>
          <w:rFonts w:ascii="Arial" w:hAnsi="Arial" w:cs="Arial"/>
          <w:sz w:val="18"/>
          <w:szCs w:val="18"/>
          <w:lang w:val="es-CO"/>
        </w:rPr>
        <w:t>xpediente número 2004-00823-01(PI). Ver también, de la Sección Tercera. Sentencia de 22 de enero de 2002, expediente número 2001-0148-01 y, Sección Tercera. Sentencia de 20 de noviembre de 2001, expediente número 2001-0130-01(PI), entre otras.</w:t>
      </w:r>
    </w:p>
  </w:footnote>
  <w:footnote w:id="7">
    <w:p w14:paraId="1456ECEA" w14:textId="1D954952"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w:t>
      </w:r>
      <w:r w:rsidR="00C640DE" w:rsidRPr="00A810BD">
        <w:rPr>
          <w:rFonts w:ascii="Arial" w:hAnsi="Arial" w:cs="Arial"/>
          <w:sz w:val="18"/>
          <w:szCs w:val="18"/>
        </w:rPr>
        <w:t>.</w:t>
      </w:r>
      <w:r w:rsidRPr="00A810BD">
        <w:rPr>
          <w:rFonts w:ascii="Arial" w:hAnsi="Arial" w:cs="Arial"/>
          <w:sz w:val="18"/>
          <w:szCs w:val="18"/>
        </w:rPr>
        <w:t xml:space="preserve"> Sala de Consulta y Servicio Civil</w:t>
      </w:r>
      <w:r w:rsidR="00C640DE" w:rsidRPr="00A810BD">
        <w:rPr>
          <w:rFonts w:ascii="Arial" w:hAnsi="Arial" w:cs="Arial"/>
          <w:sz w:val="18"/>
          <w:szCs w:val="18"/>
        </w:rPr>
        <w:t>. Concepto del</w:t>
      </w:r>
      <w:r w:rsidRPr="00A810BD">
        <w:rPr>
          <w:rFonts w:ascii="Arial" w:hAnsi="Arial" w:cs="Arial"/>
          <w:sz w:val="18"/>
          <w:szCs w:val="18"/>
        </w:rPr>
        <w:t xml:space="preserve"> 24 de julio de 2013</w:t>
      </w:r>
      <w:r w:rsidR="00C640DE" w:rsidRPr="00A810BD">
        <w:rPr>
          <w:rFonts w:ascii="Arial" w:hAnsi="Arial" w:cs="Arial"/>
          <w:sz w:val="18"/>
          <w:szCs w:val="18"/>
        </w:rPr>
        <w:t>.</w:t>
      </w:r>
      <w:r w:rsidRPr="00A810BD">
        <w:rPr>
          <w:rFonts w:ascii="Arial" w:hAnsi="Arial" w:cs="Arial"/>
          <w:sz w:val="18"/>
          <w:szCs w:val="18"/>
        </w:rPr>
        <w:t xml:space="preserve"> </w:t>
      </w:r>
      <w:r w:rsidR="00C640DE" w:rsidRPr="00A810BD">
        <w:rPr>
          <w:rFonts w:ascii="Arial" w:hAnsi="Arial" w:cs="Arial"/>
          <w:sz w:val="18"/>
          <w:szCs w:val="18"/>
        </w:rPr>
        <w:t>R</w:t>
      </w:r>
      <w:r w:rsidRPr="00A810BD">
        <w:rPr>
          <w:rFonts w:ascii="Arial" w:hAnsi="Arial" w:cs="Arial"/>
          <w:sz w:val="18"/>
          <w:szCs w:val="18"/>
        </w:rPr>
        <w:t>adicado 2</w:t>
      </w:r>
      <w:r w:rsidR="00C640DE" w:rsidRPr="00A810BD">
        <w:rPr>
          <w:rFonts w:ascii="Arial" w:hAnsi="Arial" w:cs="Arial"/>
          <w:sz w:val="18"/>
          <w:szCs w:val="18"/>
        </w:rPr>
        <w:t>.</w:t>
      </w:r>
      <w:r w:rsidRPr="00A810BD">
        <w:rPr>
          <w:rFonts w:ascii="Arial" w:hAnsi="Arial" w:cs="Arial"/>
          <w:sz w:val="18"/>
          <w:szCs w:val="18"/>
        </w:rPr>
        <w:t>166</w:t>
      </w:r>
      <w:r w:rsidR="00C640DE" w:rsidRPr="00A810BD">
        <w:rPr>
          <w:rFonts w:ascii="Arial" w:hAnsi="Arial" w:cs="Arial"/>
          <w:sz w:val="18"/>
          <w:szCs w:val="18"/>
        </w:rPr>
        <w:t>.</w:t>
      </w:r>
      <w:r w:rsidRPr="00A810BD">
        <w:rPr>
          <w:rFonts w:ascii="Arial" w:hAnsi="Arial" w:cs="Arial"/>
          <w:sz w:val="18"/>
          <w:szCs w:val="18"/>
        </w:rPr>
        <w:t xml:space="preserve"> </w:t>
      </w:r>
      <w:r w:rsidR="00C640DE" w:rsidRPr="00A810BD">
        <w:rPr>
          <w:rFonts w:ascii="Arial" w:hAnsi="Arial" w:cs="Arial"/>
          <w:sz w:val="18"/>
          <w:szCs w:val="18"/>
        </w:rPr>
        <w:t>C.P.</w:t>
      </w:r>
      <w:r w:rsidRPr="00A810BD">
        <w:rPr>
          <w:rFonts w:ascii="Arial" w:hAnsi="Arial" w:cs="Arial"/>
          <w:sz w:val="18"/>
          <w:szCs w:val="18"/>
        </w:rPr>
        <w:t xml:space="preserve"> Álvaro </w:t>
      </w:r>
      <w:proofErr w:type="spellStart"/>
      <w:r w:rsidRPr="00A810BD">
        <w:rPr>
          <w:rFonts w:ascii="Arial" w:hAnsi="Arial" w:cs="Arial"/>
          <w:sz w:val="18"/>
          <w:szCs w:val="18"/>
        </w:rPr>
        <w:t>Namén</w:t>
      </w:r>
      <w:proofErr w:type="spellEnd"/>
      <w:r w:rsidRPr="00A810BD">
        <w:rPr>
          <w:rFonts w:ascii="Arial" w:hAnsi="Arial" w:cs="Arial"/>
          <w:sz w:val="18"/>
          <w:szCs w:val="18"/>
        </w:rPr>
        <w:t xml:space="preserve"> Vargas.  </w:t>
      </w:r>
    </w:p>
  </w:footnote>
  <w:footnote w:id="8">
    <w:p w14:paraId="65CB9097" w14:textId="77777777" w:rsidR="00741466" w:rsidRPr="00A810BD" w:rsidRDefault="00741466" w:rsidP="00A810BD">
      <w:pPr>
        <w:spacing w:after="0" w:line="240" w:lineRule="auto"/>
        <w:ind w:firstLine="709"/>
        <w:jc w:val="both"/>
        <w:rPr>
          <w:rFonts w:ascii="Arial" w:eastAsia="Times New Roman"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w:t>
      </w:r>
      <w:bookmarkStart w:id="17" w:name="33"/>
      <w:r w:rsidRPr="00A810BD">
        <w:rPr>
          <w:rFonts w:ascii="Arial" w:eastAsia="Calibri" w:hAnsi="Arial" w:cs="Arial"/>
          <w:bCs/>
          <w:sz w:val="18"/>
          <w:szCs w:val="18"/>
        </w:rPr>
        <w:t>«</w:t>
      </w:r>
      <w:r w:rsidRPr="00A810BD">
        <w:rPr>
          <w:rFonts w:ascii="Arial" w:eastAsia="Times New Roman" w:hAnsi="Arial" w:cs="Arial"/>
          <w:sz w:val="18"/>
          <w:szCs w:val="18"/>
        </w:rPr>
        <w:t>Artículo 33. Restricciones a la contratación pública.</w:t>
      </w:r>
      <w:bookmarkEnd w:id="17"/>
      <w:r w:rsidRPr="00A810BD">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4D76EAEA" w14:textId="77777777" w:rsidR="00741466" w:rsidRPr="00A810BD" w:rsidRDefault="00741466" w:rsidP="00A810BD">
      <w:pPr>
        <w:spacing w:after="0" w:line="240" w:lineRule="auto"/>
        <w:ind w:firstLine="709"/>
        <w:jc w:val="both"/>
        <w:rPr>
          <w:rFonts w:ascii="Arial" w:eastAsia="Times New Roman" w:hAnsi="Arial" w:cs="Arial"/>
          <w:sz w:val="18"/>
          <w:szCs w:val="18"/>
        </w:rPr>
      </w:pPr>
      <w:r w:rsidRPr="00A810BD">
        <w:rPr>
          <w:rFonts w:ascii="Arial" w:eastAsia="Calibri" w:hAnsi="Arial" w:cs="Arial"/>
          <w:bCs/>
          <w:sz w:val="18"/>
          <w:szCs w:val="18"/>
        </w:rPr>
        <w:t>»</w:t>
      </w:r>
      <w:r w:rsidRPr="00A810BD">
        <w:rPr>
          <w:rFonts w:ascii="Arial" w:eastAsia="Times New Roman"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810BD">
        <w:rPr>
          <w:rFonts w:ascii="Arial" w:eastAsia="Calibri" w:hAnsi="Arial" w:cs="Arial"/>
          <w:bCs/>
          <w:sz w:val="18"/>
          <w:szCs w:val="18"/>
        </w:rPr>
        <w:t>»</w:t>
      </w:r>
      <w:r w:rsidRPr="00A810BD">
        <w:rPr>
          <w:rFonts w:ascii="Arial" w:eastAsia="Times New Roman" w:hAnsi="Arial" w:cs="Arial"/>
          <w:sz w:val="18"/>
          <w:szCs w:val="18"/>
        </w:rPr>
        <w:t>.</w:t>
      </w:r>
    </w:p>
  </w:footnote>
  <w:footnote w:id="9">
    <w:p w14:paraId="661EE8B9" w14:textId="77777777" w:rsidR="00741466" w:rsidRPr="00A810BD" w:rsidRDefault="00741466" w:rsidP="00A810BD">
      <w:pPr>
        <w:pStyle w:val="NormalWeb"/>
        <w:spacing w:before="0" w:beforeAutospacing="0" w:after="0" w:afterAutospacing="0" w:line="240" w:lineRule="auto"/>
        <w:ind w:firstLine="709"/>
        <w:rPr>
          <w:rFonts w:ascii="Arial" w:hAnsi="Arial" w:cs="Arial"/>
          <w:sz w:val="18"/>
          <w:szCs w:val="18"/>
          <w:lang w:val="es-MX"/>
        </w:rPr>
      </w:pPr>
      <w:r w:rsidRPr="00A810BD">
        <w:rPr>
          <w:rStyle w:val="Refdenotaalpie"/>
          <w:rFonts w:ascii="Arial" w:hAnsi="Arial" w:cs="Arial"/>
          <w:sz w:val="18"/>
          <w:szCs w:val="18"/>
        </w:rPr>
        <w:footnoteRef/>
      </w:r>
      <w:r w:rsidRPr="00A810BD">
        <w:rPr>
          <w:rFonts w:ascii="Arial" w:hAnsi="Arial" w:cs="Arial"/>
          <w:sz w:val="18"/>
          <w:szCs w:val="18"/>
        </w:rPr>
        <w:t xml:space="preserve"> </w:t>
      </w:r>
      <w:bookmarkStart w:id="18" w:name="38"/>
      <w:r w:rsidRPr="00A810BD">
        <w:rPr>
          <w:rFonts w:ascii="Arial" w:eastAsia="Calibri" w:hAnsi="Arial" w:cs="Arial"/>
          <w:bCs/>
          <w:sz w:val="18"/>
          <w:szCs w:val="18"/>
        </w:rPr>
        <w:t>«</w:t>
      </w:r>
      <w:r w:rsidRPr="00A810BD">
        <w:rPr>
          <w:rFonts w:ascii="Arial" w:hAnsi="Arial" w:cs="Arial"/>
          <w:sz w:val="18"/>
          <w:szCs w:val="18"/>
          <w:lang w:val="es-MX"/>
        </w:rPr>
        <w:t>Artículo 38. Prohibiciones para los servidores públicos. A los empleados del Estado les está prohibido:</w:t>
      </w:r>
      <w:bookmarkEnd w:id="18"/>
    </w:p>
    <w:p w14:paraId="4AD2F99E" w14:textId="77777777" w:rsidR="00741466" w:rsidRPr="00A810BD" w:rsidRDefault="00741466" w:rsidP="00A810BD">
      <w:pPr>
        <w:pStyle w:val="NormalWeb"/>
        <w:spacing w:before="0" w:beforeAutospacing="0" w:after="0" w:afterAutospacing="0" w:line="240" w:lineRule="auto"/>
        <w:ind w:firstLine="709"/>
        <w:rPr>
          <w:rFonts w:ascii="Arial" w:hAnsi="Arial" w:cs="Arial"/>
          <w:sz w:val="18"/>
          <w:szCs w:val="18"/>
          <w:lang w:val="es-MX"/>
        </w:rPr>
      </w:pPr>
      <w:r w:rsidRPr="00A810BD">
        <w:rPr>
          <w:rFonts w:ascii="Arial" w:eastAsia="Calibri" w:hAnsi="Arial" w:cs="Arial"/>
          <w:bCs/>
          <w:sz w:val="18"/>
          <w:szCs w:val="18"/>
        </w:rPr>
        <w:t>»</w:t>
      </w:r>
      <w:r w:rsidRPr="00A810BD">
        <w:rPr>
          <w:rFonts w:ascii="Arial" w:hAnsi="Arial" w:cs="Arial"/>
          <w:sz w:val="18"/>
          <w:szCs w:val="18"/>
          <w:lang w:val="es-MX"/>
        </w:rPr>
        <w:t xml:space="preserve"> […]</w:t>
      </w:r>
    </w:p>
    <w:p w14:paraId="1ABEF845" w14:textId="77777777" w:rsidR="00741466" w:rsidRPr="00A810BD" w:rsidRDefault="00741466" w:rsidP="00A810BD">
      <w:pPr>
        <w:pStyle w:val="NormalWeb"/>
        <w:spacing w:before="0" w:beforeAutospacing="0" w:after="0" w:afterAutospacing="0" w:line="240" w:lineRule="auto"/>
        <w:ind w:firstLine="709"/>
        <w:rPr>
          <w:rFonts w:ascii="Arial" w:hAnsi="Arial" w:cs="Arial"/>
          <w:sz w:val="18"/>
          <w:szCs w:val="18"/>
          <w:lang w:val="es-MX"/>
        </w:rPr>
      </w:pPr>
      <w:r w:rsidRPr="00A810BD">
        <w:rPr>
          <w:rFonts w:ascii="Arial" w:eastAsia="Calibri" w:hAnsi="Arial" w:cs="Arial"/>
          <w:bCs/>
          <w:sz w:val="18"/>
          <w:szCs w:val="18"/>
        </w:rPr>
        <w:t>»</w:t>
      </w:r>
      <w:r w:rsidRPr="00A810BD">
        <w:rPr>
          <w:rStyle w:val="baj"/>
          <w:rFonts w:ascii="Arial" w:hAnsi="Arial" w:cs="Arial"/>
          <w:sz w:val="18"/>
          <w:szCs w:val="18"/>
          <w:lang w:val="es-MX"/>
        </w:rPr>
        <w:t xml:space="preserve"> Parágrafo.</w:t>
      </w:r>
      <w:r w:rsidRPr="00A810BD">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810BD">
        <w:rPr>
          <w:rFonts w:ascii="Arial" w:eastAsia="Calibri" w:hAnsi="Arial" w:cs="Arial"/>
          <w:bCs/>
          <w:sz w:val="18"/>
          <w:szCs w:val="18"/>
        </w:rPr>
        <w:t>»</w:t>
      </w:r>
      <w:r w:rsidRPr="00A810BD">
        <w:rPr>
          <w:rFonts w:ascii="Arial" w:hAnsi="Arial" w:cs="Arial"/>
          <w:sz w:val="18"/>
          <w:szCs w:val="18"/>
          <w:lang w:val="es-MX"/>
        </w:rPr>
        <w:t>.</w:t>
      </w:r>
    </w:p>
    <w:p w14:paraId="2B4728B0" w14:textId="77777777" w:rsidR="00741466" w:rsidRPr="00A810BD" w:rsidRDefault="00741466" w:rsidP="00A810BD">
      <w:pPr>
        <w:pStyle w:val="NormalWeb"/>
        <w:spacing w:before="0" w:beforeAutospacing="0" w:after="0" w:afterAutospacing="0" w:line="240" w:lineRule="auto"/>
        <w:ind w:firstLine="709"/>
        <w:rPr>
          <w:rFonts w:ascii="Arial" w:hAnsi="Arial" w:cs="Arial"/>
          <w:sz w:val="18"/>
          <w:szCs w:val="18"/>
          <w:lang w:val="es-MX"/>
        </w:rPr>
      </w:pPr>
    </w:p>
  </w:footnote>
  <w:footnote w:id="10">
    <w:p w14:paraId="63F0B590" w14:textId="77777777" w:rsidR="00741466" w:rsidRPr="00A810BD" w:rsidRDefault="00741466" w:rsidP="00A810BD">
      <w:pPr>
        <w:spacing w:after="0" w:line="240" w:lineRule="auto"/>
        <w:ind w:firstLine="709"/>
        <w:jc w:val="both"/>
        <w:rPr>
          <w:rFonts w:ascii="Arial" w:hAnsi="Arial" w:cs="Arial"/>
          <w:sz w:val="18"/>
          <w:szCs w:val="18"/>
          <w:lang w:val="es-ES"/>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2472360C"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w:t>
      </w:r>
      <w:bookmarkStart w:id="24" w:name="_Hlk74272731"/>
      <w:r w:rsidRPr="00A810BD">
        <w:rPr>
          <w:rFonts w:ascii="Arial" w:hAnsi="Arial" w:cs="Arial"/>
          <w:sz w:val="18"/>
          <w:szCs w:val="18"/>
        </w:rPr>
        <w:t>«</w:t>
      </w:r>
      <w:bookmarkEnd w:id="24"/>
      <w:r w:rsidRPr="00A810BD">
        <w:rPr>
          <w:rFonts w:ascii="Arial" w:hAnsi="Arial" w:cs="Arial"/>
          <w:sz w:val="18"/>
          <w:szCs w:val="18"/>
          <w:lang w:val="es-ES"/>
        </w:rPr>
        <w:t xml:space="preserve">[25] </w:t>
      </w:r>
      <w:r w:rsidRPr="00A810BD">
        <w:rPr>
          <w:rFonts w:ascii="Arial" w:hAnsi="Arial" w:cs="Arial"/>
          <w:sz w:val="18"/>
          <w:szCs w:val="18"/>
        </w:rPr>
        <w:t>Cfr. Consejo de Estado. Sección Tercera. Sentencia de 3 de diciembre de 2007. Radicados: 24.715, 25.206, 25.409, 24.524, 27.834, 25.410, 26.105, 28.244, 31.447 -acumulados-</w:t>
      </w:r>
      <w:bookmarkStart w:id="25" w:name="_Hlk74271358"/>
      <w:r w:rsidRPr="00A810BD">
        <w:rPr>
          <w:rFonts w:ascii="Arial" w:hAnsi="Arial" w:cs="Arial"/>
          <w:sz w:val="18"/>
          <w:szCs w:val="18"/>
        </w:rPr>
        <w:t>»</w:t>
      </w:r>
      <w:bookmarkEnd w:id="25"/>
      <w:r w:rsidRPr="00A810BD">
        <w:rPr>
          <w:rFonts w:ascii="Arial" w:hAnsi="Arial" w:cs="Arial"/>
          <w:sz w:val="18"/>
          <w:szCs w:val="18"/>
        </w:rPr>
        <w:t>.</w:t>
      </w:r>
    </w:p>
  </w:footnote>
  <w:footnote w:id="12">
    <w:p w14:paraId="52B26B6F" w14:textId="60AD704F"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w:t>
      </w:r>
      <w:bookmarkStart w:id="27" w:name="_Hlk74294506"/>
      <w:r w:rsidRPr="00A810BD">
        <w:rPr>
          <w:rFonts w:ascii="Arial" w:hAnsi="Arial" w:cs="Arial"/>
          <w:sz w:val="18"/>
          <w:szCs w:val="18"/>
        </w:rPr>
        <w:t>«</w:t>
      </w:r>
      <w:r w:rsidRPr="00A810BD">
        <w:rPr>
          <w:rFonts w:ascii="Arial" w:hAnsi="Arial" w:cs="Arial"/>
          <w:sz w:val="18"/>
          <w:szCs w:val="18"/>
          <w:lang w:val="es-ES"/>
        </w:rPr>
        <w:t xml:space="preserve">[26] </w:t>
      </w:r>
      <w:bookmarkEnd w:id="27"/>
      <w:r w:rsidRPr="00A810BD">
        <w:rPr>
          <w:rFonts w:ascii="Arial" w:hAnsi="Arial" w:cs="Arial"/>
          <w:sz w:val="18"/>
          <w:szCs w:val="18"/>
        </w:rPr>
        <w:t>Al respecto ver el concepto 1712 de 2 de febrero de 2006. Consejo de Estado Sala de Consulta y Servicio Civil».</w:t>
      </w:r>
    </w:p>
  </w:footnote>
  <w:footnote w:id="13">
    <w:p w14:paraId="21D07205"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2 de septiembre de 2013. Radicación número: 11001-03-06-000-2013-00412-00 (2168). Consejero Ponente: Álvaro </w:t>
      </w:r>
      <w:proofErr w:type="spellStart"/>
      <w:r w:rsidRPr="00A810BD">
        <w:rPr>
          <w:rFonts w:ascii="Arial" w:hAnsi="Arial" w:cs="Arial"/>
          <w:sz w:val="18"/>
          <w:szCs w:val="18"/>
        </w:rPr>
        <w:t>Namén</w:t>
      </w:r>
      <w:proofErr w:type="spellEnd"/>
      <w:r w:rsidRPr="00A810BD">
        <w:rPr>
          <w:rFonts w:ascii="Arial" w:hAnsi="Arial" w:cs="Arial"/>
          <w:sz w:val="18"/>
          <w:szCs w:val="18"/>
        </w:rPr>
        <w:t xml:space="preserve"> Vargas.</w:t>
      </w:r>
    </w:p>
  </w:footnote>
  <w:footnote w:id="14">
    <w:p w14:paraId="4DCFA3FB" w14:textId="77777777" w:rsidR="00C640DE" w:rsidRPr="00A810BD" w:rsidRDefault="00C640DE" w:rsidP="00A810BD">
      <w:pPr>
        <w:pStyle w:val="Textonotapie"/>
        <w:spacing w:after="0" w:line="240" w:lineRule="auto"/>
        <w:ind w:firstLine="709"/>
        <w:rPr>
          <w:rFonts w:ascii="Arial" w:hAnsi="Arial" w:cs="Arial"/>
          <w:sz w:val="18"/>
          <w:szCs w:val="18"/>
          <w:lang w:val="es-ES"/>
        </w:rPr>
      </w:pPr>
      <w:r w:rsidRPr="00A810BD">
        <w:rPr>
          <w:rStyle w:val="Refdenotaalpie"/>
          <w:rFonts w:ascii="Arial" w:hAnsi="Arial" w:cs="Arial"/>
          <w:sz w:val="18"/>
          <w:szCs w:val="18"/>
        </w:rPr>
        <w:footnoteRef/>
      </w:r>
      <w:r w:rsidRPr="00A810BD">
        <w:rPr>
          <w:rFonts w:ascii="Arial" w:hAnsi="Arial" w:cs="Arial"/>
          <w:sz w:val="18"/>
          <w:szCs w:val="18"/>
        </w:rPr>
        <w:t xml:space="preserve"> </w:t>
      </w:r>
      <w:r w:rsidRPr="00A810BD">
        <w:rPr>
          <w:rFonts w:ascii="Arial" w:hAnsi="Arial" w:cs="Arial"/>
          <w:sz w:val="18"/>
          <w:szCs w:val="18"/>
          <w:lang w:val="es-ES"/>
        </w:rPr>
        <w:t xml:space="preserve">Artículo 2. </w:t>
      </w:r>
    </w:p>
    <w:p w14:paraId="31D2AF39" w14:textId="77777777" w:rsidR="00C640DE" w:rsidRPr="00A810BD" w:rsidRDefault="00C640DE" w:rsidP="00A810BD">
      <w:pPr>
        <w:pStyle w:val="Textonotapie"/>
        <w:spacing w:after="0" w:line="240" w:lineRule="auto"/>
        <w:ind w:firstLine="709"/>
        <w:rPr>
          <w:rFonts w:ascii="Arial" w:hAnsi="Arial" w:cs="Arial"/>
          <w:sz w:val="18"/>
          <w:szCs w:val="18"/>
          <w:lang w:val="es-ES"/>
        </w:rPr>
      </w:pPr>
    </w:p>
  </w:footnote>
  <w:footnote w:id="15">
    <w:p w14:paraId="7A98EBC7" w14:textId="77777777" w:rsidR="00C640DE" w:rsidRPr="00A810BD" w:rsidRDefault="00C640DE" w:rsidP="00A810BD">
      <w:pPr>
        <w:pStyle w:val="Textonotapie"/>
        <w:spacing w:after="0" w:line="240" w:lineRule="auto"/>
        <w:ind w:firstLine="709"/>
        <w:rPr>
          <w:rFonts w:ascii="Arial" w:hAnsi="Arial" w:cs="Arial"/>
          <w:sz w:val="18"/>
          <w:szCs w:val="18"/>
          <w:lang w:val="es-ES"/>
        </w:rPr>
      </w:pPr>
      <w:r w:rsidRPr="00A810BD">
        <w:rPr>
          <w:rStyle w:val="Refdenotaalpie"/>
          <w:rFonts w:ascii="Arial" w:hAnsi="Arial" w:cs="Arial"/>
          <w:sz w:val="18"/>
          <w:szCs w:val="18"/>
        </w:rPr>
        <w:footnoteRef/>
      </w:r>
      <w:r w:rsidRPr="00A810BD">
        <w:rPr>
          <w:rFonts w:ascii="Arial" w:hAnsi="Arial" w:cs="Arial"/>
          <w:sz w:val="18"/>
          <w:szCs w:val="18"/>
        </w:rPr>
        <w:t xml:space="preserve"> </w:t>
      </w:r>
      <w:r w:rsidRPr="00A810BD">
        <w:rPr>
          <w:rFonts w:ascii="Arial" w:hAnsi="Arial" w:cs="Arial"/>
          <w:i/>
          <w:sz w:val="18"/>
          <w:szCs w:val="18"/>
          <w:lang w:val="es-ES"/>
        </w:rPr>
        <w:t>Ídem</w:t>
      </w:r>
      <w:r w:rsidRPr="00A810BD">
        <w:rPr>
          <w:rFonts w:ascii="Arial" w:hAnsi="Arial" w:cs="Arial"/>
          <w:sz w:val="18"/>
          <w:szCs w:val="18"/>
          <w:lang w:val="es-ES"/>
        </w:rPr>
        <w:t>.</w:t>
      </w:r>
    </w:p>
    <w:p w14:paraId="579A3BD6" w14:textId="77777777" w:rsidR="00C640DE" w:rsidRPr="00A810BD" w:rsidRDefault="00C640DE" w:rsidP="00A810BD">
      <w:pPr>
        <w:pStyle w:val="Textonotapie"/>
        <w:spacing w:after="0" w:line="240" w:lineRule="auto"/>
        <w:ind w:firstLine="709"/>
        <w:rPr>
          <w:rFonts w:ascii="Arial" w:hAnsi="Arial" w:cs="Arial"/>
          <w:sz w:val="18"/>
          <w:szCs w:val="18"/>
          <w:lang w:val="es-ES"/>
        </w:rPr>
      </w:pPr>
    </w:p>
  </w:footnote>
  <w:footnote w:id="16">
    <w:p w14:paraId="20700FA7" w14:textId="77777777" w:rsidR="00C640DE" w:rsidRPr="00A810BD" w:rsidRDefault="00C640DE" w:rsidP="00A810BD">
      <w:pPr>
        <w:pStyle w:val="Textonotapie"/>
        <w:spacing w:after="0" w:line="240" w:lineRule="auto"/>
        <w:ind w:firstLine="709"/>
        <w:rPr>
          <w:rFonts w:ascii="Arial" w:hAnsi="Arial" w:cs="Arial"/>
          <w:sz w:val="18"/>
          <w:szCs w:val="18"/>
          <w:lang w:val="es-ES"/>
        </w:rPr>
      </w:pPr>
      <w:r w:rsidRPr="00A810BD">
        <w:rPr>
          <w:rStyle w:val="Refdenotaalpie"/>
          <w:rFonts w:ascii="Arial" w:hAnsi="Arial" w:cs="Arial"/>
          <w:sz w:val="18"/>
          <w:szCs w:val="18"/>
        </w:rPr>
        <w:footnoteRef/>
      </w:r>
      <w:r w:rsidRPr="00A810BD">
        <w:rPr>
          <w:rStyle w:val="Refdenotaalpie"/>
          <w:rFonts w:ascii="Arial" w:hAnsi="Arial" w:cs="Arial"/>
          <w:sz w:val="18"/>
          <w:szCs w:val="18"/>
        </w:rPr>
        <w:t xml:space="preserve"> </w:t>
      </w:r>
      <w:r w:rsidRPr="00A810BD">
        <w:rPr>
          <w:rFonts w:ascii="Arial" w:hAnsi="Arial" w:cs="Arial"/>
          <w:sz w:val="18"/>
          <w:szCs w:val="18"/>
          <w:lang w:val="es-ES"/>
        </w:rPr>
        <w:t xml:space="preserve">«[…] A este respecto, cabe recordar que el artículo 860 del Código de Comercio regula la licitación en el derecho privado». </w:t>
      </w:r>
    </w:p>
    <w:p w14:paraId="06153AB6" w14:textId="77777777" w:rsidR="00C640DE" w:rsidRPr="00A810BD" w:rsidRDefault="00C640DE" w:rsidP="00A810BD">
      <w:pPr>
        <w:pStyle w:val="Textonotapie"/>
        <w:spacing w:after="0" w:line="240" w:lineRule="auto"/>
        <w:ind w:firstLine="709"/>
        <w:rPr>
          <w:rFonts w:ascii="Arial" w:hAnsi="Arial" w:cs="Arial"/>
          <w:sz w:val="18"/>
          <w:szCs w:val="18"/>
          <w:lang w:val="es-ES"/>
        </w:rPr>
      </w:pPr>
    </w:p>
  </w:footnote>
  <w:footnote w:id="17">
    <w:p w14:paraId="1097C93A" w14:textId="77777777" w:rsidR="00741466" w:rsidRPr="00A810BD" w:rsidRDefault="00741466" w:rsidP="00A810BD">
      <w:pPr>
        <w:shd w:val="clear" w:color="auto" w:fill="FFFFFF"/>
        <w:spacing w:after="0" w:line="240" w:lineRule="auto"/>
        <w:ind w:firstLine="709"/>
        <w:jc w:val="both"/>
        <w:rPr>
          <w:rFonts w:ascii="Arial" w:hAnsi="Arial" w:cs="Arial"/>
          <w:sz w:val="18"/>
          <w:szCs w:val="18"/>
          <w:lang w:val="es-ES"/>
        </w:rPr>
      </w:pPr>
      <w:r w:rsidRPr="00A810BD">
        <w:rPr>
          <w:rStyle w:val="Refdenotaalpie"/>
          <w:rFonts w:ascii="Arial" w:hAnsi="Arial" w:cs="Arial"/>
          <w:sz w:val="18"/>
          <w:szCs w:val="18"/>
        </w:rPr>
        <w:footnoteRef/>
      </w:r>
      <w:r w:rsidRPr="00A810BD">
        <w:rPr>
          <w:rStyle w:val="Refdenotaalpie"/>
          <w:rFonts w:ascii="Arial" w:hAnsi="Arial" w:cs="Arial"/>
          <w:sz w:val="18"/>
          <w:szCs w:val="18"/>
        </w:rPr>
        <w:t xml:space="preserve"> </w:t>
      </w:r>
      <w:r w:rsidRPr="00A810BD">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A810BD">
        <w:rPr>
          <w:rFonts w:ascii="Arial" w:hAnsi="Arial" w:cs="Arial"/>
          <w:sz w:val="18"/>
          <w:szCs w:val="18"/>
          <w:lang w:val="es-ES"/>
        </w:rPr>
        <w:t>Namén</w:t>
      </w:r>
      <w:proofErr w:type="spellEnd"/>
      <w:r w:rsidRPr="00A810BD">
        <w:rPr>
          <w:rFonts w:ascii="Arial" w:hAnsi="Arial" w:cs="Arial"/>
          <w:sz w:val="18"/>
          <w:szCs w:val="18"/>
          <w:lang w:val="es-ES"/>
        </w:rPr>
        <w:t xml:space="preserve"> Vargas.</w:t>
      </w:r>
    </w:p>
  </w:footnote>
  <w:footnote w:id="18">
    <w:p w14:paraId="2A0F6859"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08 de mayo de 2018. </w:t>
      </w:r>
      <w:proofErr w:type="spellStart"/>
      <w:r w:rsidRPr="00A810BD">
        <w:rPr>
          <w:rFonts w:ascii="Arial" w:hAnsi="Arial" w:cs="Arial"/>
          <w:sz w:val="18"/>
          <w:szCs w:val="18"/>
        </w:rPr>
        <w:t>Exp</w:t>
      </w:r>
      <w:proofErr w:type="spellEnd"/>
      <w:r w:rsidRPr="00A810BD">
        <w:rPr>
          <w:rFonts w:ascii="Arial" w:hAnsi="Arial" w:cs="Arial"/>
          <w:sz w:val="18"/>
          <w:szCs w:val="18"/>
        </w:rPr>
        <w:t xml:space="preserve">. 2.382. C.P. Álvaro </w:t>
      </w:r>
      <w:proofErr w:type="spellStart"/>
      <w:r w:rsidRPr="00A810BD">
        <w:rPr>
          <w:rFonts w:ascii="Arial" w:hAnsi="Arial" w:cs="Arial"/>
          <w:sz w:val="18"/>
          <w:szCs w:val="18"/>
        </w:rPr>
        <w:t>Namén</w:t>
      </w:r>
      <w:proofErr w:type="spellEnd"/>
      <w:r w:rsidRPr="00A810BD">
        <w:rPr>
          <w:rFonts w:ascii="Arial" w:hAnsi="Arial" w:cs="Arial"/>
          <w:sz w:val="18"/>
          <w:szCs w:val="18"/>
        </w:rPr>
        <w:t xml:space="preserve"> Vargas.</w:t>
      </w:r>
    </w:p>
  </w:footnote>
  <w:footnote w:id="19">
    <w:p w14:paraId="45F4D3A1" w14:textId="77777777" w:rsidR="002E6BCC" w:rsidRPr="00A810BD" w:rsidRDefault="002E6BCC" w:rsidP="00A810BD">
      <w:pPr>
        <w:pStyle w:val="Textonotapie"/>
        <w:spacing w:after="0" w:line="240" w:lineRule="auto"/>
        <w:ind w:firstLine="708"/>
        <w:rPr>
          <w:rFonts w:ascii="Arial" w:hAnsi="Arial" w:cs="Arial"/>
          <w:color w:val="000000" w:themeColor="text1"/>
          <w:sz w:val="18"/>
          <w:szCs w:val="18"/>
        </w:rPr>
      </w:pPr>
      <w:r w:rsidRPr="00A810BD">
        <w:rPr>
          <w:rStyle w:val="Refdenotaalpie"/>
          <w:rFonts w:ascii="Arial" w:hAnsi="Arial" w:cs="Arial"/>
          <w:color w:val="000000" w:themeColor="text1"/>
          <w:sz w:val="18"/>
          <w:szCs w:val="18"/>
        </w:rPr>
        <w:footnoteRef/>
      </w:r>
      <w:r w:rsidRPr="00A810BD">
        <w:rPr>
          <w:rFonts w:ascii="Arial" w:hAnsi="Arial" w:cs="Arial"/>
          <w:color w:val="000000" w:themeColor="text1"/>
          <w:sz w:val="18"/>
          <w:szCs w:val="18"/>
        </w:rPr>
        <w:t xml:space="preserve"> COLOMBIA COMPRA EFICIENTE. Circular Externa Única. Numeral 15.5.</w:t>
      </w:r>
    </w:p>
  </w:footnote>
  <w:footnote w:id="20">
    <w:p w14:paraId="2C22F39A"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w:t>
      </w:r>
      <w:proofErr w:type="spellStart"/>
      <w:r w:rsidRPr="00A810BD">
        <w:rPr>
          <w:rFonts w:ascii="Arial" w:hAnsi="Arial" w:cs="Arial"/>
          <w:sz w:val="18"/>
          <w:szCs w:val="18"/>
        </w:rPr>
        <w:t>N°</w:t>
      </w:r>
      <w:proofErr w:type="spellEnd"/>
      <w:r w:rsidRPr="00A810BD">
        <w:rPr>
          <w:rFonts w:ascii="Arial" w:hAnsi="Arial" w:cs="Arial"/>
          <w:sz w:val="18"/>
          <w:szCs w:val="18"/>
        </w:rPr>
        <w:t xml:space="preserve"> 216/05 Senado, </w:t>
      </w:r>
      <w:proofErr w:type="spellStart"/>
      <w:r w:rsidRPr="00A810BD">
        <w:rPr>
          <w:rFonts w:ascii="Arial" w:hAnsi="Arial" w:cs="Arial"/>
          <w:sz w:val="18"/>
          <w:szCs w:val="18"/>
        </w:rPr>
        <w:t>N°</w:t>
      </w:r>
      <w:proofErr w:type="spellEnd"/>
      <w:r w:rsidRPr="00A810BD">
        <w:rPr>
          <w:rFonts w:ascii="Arial" w:hAnsi="Arial" w:cs="Arial"/>
          <w:sz w:val="18"/>
          <w:szCs w:val="18"/>
        </w:rPr>
        <w:t xml:space="preserve"> 235-Cámara que dio lugar a la Ley de Garantías Electorales.</w:t>
      </w:r>
    </w:p>
  </w:footnote>
  <w:footnote w:id="21">
    <w:p w14:paraId="5297FAEA" w14:textId="77777777" w:rsidR="000325B3" w:rsidRPr="00A810BD" w:rsidRDefault="000325B3" w:rsidP="00A810BD">
      <w:pPr>
        <w:spacing w:after="0"/>
        <w:ind w:firstLine="709"/>
        <w:jc w:val="both"/>
        <w:rPr>
          <w:rFonts w:ascii="Arial" w:hAnsi="Arial" w:cs="Arial"/>
          <w:color w:val="000000" w:themeColor="text1"/>
          <w:sz w:val="18"/>
          <w:szCs w:val="18"/>
        </w:rPr>
      </w:pPr>
      <w:r w:rsidRPr="00A810BD">
        <w:rPr>
          <w:rStyle w:val="Refdenotaalpie"/>
          <w:rFonts w:ascii="Arial" w:hAnsi="Arial" w:cs="Arial"/>
          <w:color w:val="000000" w:themeColor="text1"/>
          <w:sz w:val="18"/>
          <w:szCs w:val="18"/>
        </w:rPr>
        <w:footnoteRef/>
      </w:r>
      <w:r w:rsidRPr="00A810BD">
        <w:rPr>
          <w:rFonts w:ascii="Arial" w:hAnsi="Arial" w:cs="Arial"/>
          <w:color w:val="000000" w:themeColor="text1"/>
          <w:sz w:val="18"/>
          <w:szCs w:val="18"/>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21B162C2" w14:textId="77777777" w:rsidR="00192D54" w:rsidRPr="00A810BD" w:rsidRDefault="00192D54" w:rsidP="00A810BD">
      <w:pPr>
        <w:pStyle w:val="Textonotapie"/>
        <w:spacing w:after="0" w:line="240" w:lineRule="auto"/>
        <w:ind w:firstLine="708"/>
        <w:rPr>
          <w:rFonts w:ascii="Arial" w:hAnsi="Arial" w:cs="Arial"/>
          <w:sz w:val="18"/>
          <w:szCs w:val="18"/>
          <w:lang w:val="es-CO"/>
        </w:rPr>
      </w:pPr>
      <w:r w:rsidRPr="00A810BD">
        <w:rPr>
          <w:rStyle w:val="Refdenotaalpie"/>
          <w:rFonts w:ascii="Arial" w:hAnsi="Arial" w:cs="Arial"/>
          <w:sz w:val="18"/>
          <w:szCs w:val="18"/>
        </w:rPr>
        <w:footnoteRef/>
      </w:r>
      <w:r w:rsidRPr="00A810BD">
        <w:rPr>
          <w:rFonts w:ascii="Arial" w:hAnsi="Arial" w:cs="Arial"/>
          <w:sz w:val="18"/>
          <w:szCs w:val="18"/>
        </w:rPr>
        <w:t xml:space="preserve"> El artículo 33 de la Ley 996 de 2005 prescribe: «</w:t>
      </w:r>
      <w:r w:rsidRPr="00A810BD">
        <w:rPr>
          <w:rFonts w:ascii="Arial" w:hAnsi="Arial" w:cs="Arial"/>
          <w:sz w:val="18"/>
          <w:szCs w:val="18"/>
          <w:lang w:val="es-CO"/>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D267BAD" w14:textId="77777777" w:rsidR="00192D54" w:rsidRPr="00A810BD" w:rsidRDefault="00192D54" w:rsidP="00A810BD">
      <w:pPr>
        <w:pStyle w:val="Textonotapie"/>
        <w:spacing w:after="0" w:line="240" w:lineRule="auto"/>
        <w:ind w:firstLine="708"/>
        <w:rPr>
          <w:rFonts w:ascii="Arial" w:hAnsi="Arial" w:cs="Arial"/>
          <w:sz w:val="18"/>
          <w:szCs w:val="18"/>
          <w:lang w:val="es-CO"/>
        </w:rPr>
      </w:pPr>
      <w:r w:rsidRPr="00A810BD">
        <w:rPr>
          <w:rFonts w:ascii="Arial" w:hAnsi="Arial" w:cs="Arial"/>
          <w:sz w:val="18"/>
          <w:szCs w:val="18"/>
          <w:lang w:val="es-CO"/>
        </w:rPr>
        <w:t>»</w:t>
      </w:r>
      <w:r w:rsidRPr="00A810BD">
        <w:rPr>
          <w:rFonts w:ascii="Arial" w:hAnsi="Arial" w:cs="Arial"/>
          <w:i/>
          <w:iCs/>
          <w:sz w:val="18"/>
          <w:szCs w:val="18"/>
          <w:lang w:val="es-CO"/>
        </w:rPr>
        <w:t>Queda exceptuado</w:t>
      </w:r>
      <w:r w:rsidRPr="00A810BD">
        <w:rPr>
          <w:rFonts w:ascii="Arial" w:hAnsi="Arial" w:cs="Arial"/>
          <w:sz w:val="18"/>
          <w:szCs w:val="18"/>
          <w:lang w:val="es-CO"/>
        </w:rPr>
        <w:t xml:space="preserve"> lo referente a la defensa y seguridad del Estado, </w:t>
      </w:r>
      <w:r w:rsidRPr="00A810BD">
        <w:rPr>
          <w:rFonts w:ascii="Arial" w:hAnsi="Arial" w:cs="Arial"/>
          <w:i/>
          <w:iCs/>
          <w:sz w:val="18"/>
          <w:szCs w:val="18"/>
          <w:lang w:val="es-CO"/>
        </w:rPr>
        <w:t>los contratos</w:t>
      </w:r>
      <w:r w:rsidRPr="00A810BD">
        <w:rPr>
          <w:rFonts w:ascii="Arial" w:hAnsi="Arial" w:cs="Arial"/>
          <w:sz w:val="18"/>
          <w:szCs w:val="18"/>
          <w:lang w:val="es-CO"/>
        </w:rPr>
        <w:t xml:space="preserve">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w:t>
      </w:r>
      <w:r w:rsidRPr="00A810BD">
        <w:rPr>
          <w:rFonts w:ascii="Arial" w:hAnsi="Arial" w:cs="Arial"/>
          <w:i/>
          <w:iCs/>
          <w:sz w:val="18"/>
          <w:szCs w:val="18"/>
          <w:lang w:val="es-CO"/>
        </w:rPr>
        <w:t>los que deban realizar las entidades sanitarias y hospitalarias</w:t>
      </w:r>
      <w:r w:rsidRPr="00A810BD">
        <w:rPr>
          <w:rFonts w:ascii="Arial" w:hAnsi="Arial" w:cs="Arial"/>
          <w:sz w:val="18"/>
          <w:szCs w:val="18"/>
          <w:lang w:val="es-CO"/>
        </w:rPr>
        <w:t>» (Cursiva fuera del original).</w:t>
      </w:r>
    </w:p>
    <w:p w14:paraId="38637576" w14:textId="77777777" w:rsidR="00192D54" w:rsidRPr="00A810BD" w:rsidRDefault="00192D54" w:rsidP="00A810BD">
      <w:pPr>
        <w:pStyle w:val="Textonotapie"/>
        <w:spacing w:after="0" w:line="240" w:lineRule="auto"/>
        <w:ind w:firstLine="708"/>
        <w:rPr>
          <w:rFonts w:ascii="Arial" w:hAnsi="Arial" w:cs="Arial"/>
          <w:sz w:val="18"/>
          <w:szCs w:val="18"/>
          <w:lang w:val="es-CO"/>
        </w:rPr>
      </w:pPr>
    </w:p>
  </w:footnote>
  <w:footnote w:id="23">
    <w:p w14:paraId="5A9E12FF" w14:textId="77777777" w:rsidR="00192D54" w:rsidRPr="00A810BD" w:rsidRDefault="00192D54"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18 de febrero 2010. Rad. 11001-03-06-000-2010-00006-00 (1985). C.P. Enrique José Arboleda Perdomo.</w:t>
      </w:r>
    </w:p>
    <w:p w14:paraId="7D4BA663" w14:textId="77777777" w:rsidR="00192D54" w:rsidRPr="00A810BD" w:rsidRDefault="00192D54" w:rsidP="00A810BD">
      <w:pPr>
        <w:pStyle w:val="Textonotapie"/>
        <w:spacing w:after="0" w:line="240" w:lineRule="auto"/>
        <w:ind w:firstLine="708"/>
        <w:rPr>
          <w:rFonts w:ascii="Arial" w:hAnsi="Arial" w:cs="Arial"/>
          <w:sz w:val="18"/>
          <w:szCs w:val="18"/>
        </w:rPr>
      </w:pPr>
    </w:p>
  </w:footnote>
  <w:footnote w:id="24">
    <w:p w14:paraId="5A3B176E" w14:textId="77777777" w:rsidR="00192D54" w:rsidRPr="00A810BD" w:rsidRDefault="00192D54"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Corte Constitucional. Sentencia C-1153 de 2005 M.P. Marco Gerardo Monroy Cabra. </w:t>
      </w:r>
    </w:p>
  </w:footnote>
  <w:footnote w:id="25">
    <w:p w14:paraId="27FEAD5B" w14:textId="77777777" w:rsidR="00192D54" w:rsidRPr="00A810BD" w:rsidRDefault="00192D54"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02 de septiembre de 2013. Rad. 11001-03-06-000-2013-00412-00 (2168). C.P. Álvaro </w:t>
      </w:r>
      <w:proofErr w:type="spellStart"/>
      <w:r w:rsidRPr="00A810BD">
        <w:rPr>
          <w:rFonts w:ascii="Arial" w:hAnsi="Arial" w:cs="Arial"/>
          <w:sz w:val="18"/>
          <w:szCs w:val="18"/>
        </w:rPr>
        <w:t>Namén</w:t>
      </w:r>
      <w:proofErr w:type="spellEnd"/>
      <w:r w:rsidRPr="00A810BD">
        <w:rPr>
          <w:rFonts w:ascii="Arial" w:hAnsi="Arial" w:cs="Arial"/>
          <w:sz w:val="18"/>
          <w:szCs w:val="18"/>
        </w:rPr>
        <w:t xml:space="preserve"> Vargas.</w:t>
      </w:r>
    </w:p>
    <w:p w14:paraId="704D4017" w14:textId="77777777" w:rsidR="00192D54" w:rsidRPr="00A810BD" w:rsidRDefault="00192D54" w:rsidP="00A810BD">
      <w:pPr>
        <w:pStyle w:val="Textonotapie"/>
        <w:spacing w:after="0" w:line="240" w:lineRule="auto"/>
        <w:rPr>
          <w:rFonts w:ascii="Arial" w:hAnsi="Arial" w:cs="Arial"/>
          <w:sz w:val="18"/>
          <w:szCs w:val="18"/>
        </w:rPr>
      </w:pPr>
    </w:p>
  </w:footnote>
  <w:footnote w:id="26">
    <w:p w14:paraId="5EA0AFDC" w14:textId="5AD23089" w:rsidR="00192D54" w:rsidRPr="00A810BD" w:rsidRDefault="00192D54" w:rsidP="00A810BD">
      <w:pPr>
        <w:pStyle w:val="Textonotapie"/>
        <w:spacing w:after="0" w:line="240" w:lineRule="auto"/>
        <w:ind w:firstLine="708"/>
        <w:rPr>
          <w:rFonts w:ascii="Arial" w:hAnsi="Arial" w:cs="Arial"/>
          <w:sz w:val="18"/>
          <w:szCs w:val="18"/>
          <w:lang w:val="es-ES"/>
        </w:rPr>
      </w:pPr>
      <w:r w:rsidRPr="00A810BD">
        <w:rPr>
          <w:rStyle w:val="Refdenotaalpie"/>
          <w:rFonts w:ascii="Arial" w:hAnsi="Arial" w:cs="Arial"/>
          <w:sz w:val="18"/>
          <w:szCs w:val="18"/>
        </w:rPr>
        <w:footnoteRef/>
      </w:r>
      <w:r w:rsidRPr="00A810BD">
        <w:rPr>
          <w:rFonts w:ascii="Arial" w:hAnsi="Arial" w:cs="Arial"/>
          <w:sz w:val="18"/>
          <w:szCs w:val="18"/>
        </w:rPr>
        <w:t xml:space="preserve"> </w:t>
      </w:r>
      <w:r w:rsidRPr="00A810BD">
        <w:rPr>
          <w:rFonts w:ascii="Arial" w:hAnsi="Arial" w:cs="Arial"/>
          <w:sz w:val="18"/>
          <w:szCs w:val="18"/>
          <w:lang w:val="es-CO"/>
        </w:rPr>
        <w:t>«</w:t>
      </w:r>
      <w:r w:rsidRPr="00A810BD">
        <w:rPr>
          <w:rFonts w:ascii="Arial" w:hAnsi="Arial" w:cs="Arial"/>
          <w:sz w:val="18"/>
          <w:szCs w:val="18"/>
        </w:rPr>
        <w:t xml:space="preserve">Artículo 197. Empresas sociales de salud de </w:t>
      </w:r>
      <w:r w:rsidR="006E224D" w:rsidRPr="00A810BD">
        <w:rPr>
          <w:rFonts w:ascii="Arial" w:hAnsi="Arial" w:cs="Arial"/>
          <w:sz w:val="18"/>
          <w:szCs w:val="18"/>
        </w:rPr>
        <w:t>carácter</w:t>
      </w:r>
      <w:r w:rsidRPr="00A810BD">
        <w:rPr>
          <w:rFonts w:ascii="Arial" w:hAnsi="Arial" w:cs="Arial"/>
          <w:sz w:val="18"/>
          <w:szCs w:val="18"/>
        </w:rPr>
        <w:t xml:space="preserve">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27">
    <w:p w14:paraId="3EA938C4"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8">
    <w:p w14:paraId="7CF394B6" w14:textId="77777777" w:rsidR="00741466" w:rsidRPr="00A810BD" w:rsidRDefault="00741466" w:rsidP="00A810BD">
      <w:pPr>
        <w:spacing w:after="0" w:line="240" w:lineRule="auto"/>
        <w:ind w:firstLine="709"/>
        <w:jc w:val="both"/>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79CFE55" w14:textId="77777777" w:rsidR="00741466" w:rsidRPr="00A810BD" w:rsidRDefault="00741466" w:rsidP="00A810BD">
      <w:pPr>
        <w:spacing w:after="0" w:line="240" w:lineRule="auto"/>
        <w:ind w:firstLine="709"/>
        <w:jc w:val="both"/>
        <w:rPr>
          <w:rFonts w:ascii="Arial" w:hAnsi="Arial" w:cs="Arial"/>
          <w:sz w:val="18"/>
          <w:szCs w:val="18"/>
        </w:rPr>
      </w:pPr>
      <w:r w:rsidRPr="00A810BD">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810BD">
        <w:rPr>
          <w:rFonts w:ascii="Arial" w:hAnsi="Arial" w:cs="Arial"/>
          <w:spacing w:val="-1"/>
          <w:sz w:val="18"/>
          <w:szCs w:val="18"/>
        </w:rPr>
        <w:t xml:space="preserve"> </w:t>
      </w:r>
      <w:r w:rsidRPr="00A810BD">
        <w:rPr>
          <w:rFonts w:ascii="Arial" w:hAnsi="Arial" w:cs="Arial"/>
          <w:sz w:val="18"/>
          <w:szCs w:val="18"/>
        </w:rPr>
        <w:t>Estatales».</w:t>
      </w:r>
    </w:p>
    <w:p w14:paraId="4CD5D23A" w14:textId="77777777" w:rsidR="00741466" w:rsidRPr="00A810BD" w:rsidRDefault="00741466" w:rsidP="00A810BD">
      <w:pPr>
        <w:spacing w:after="0" w:line="240" w:lineRule="auto"/>
        <w:ind w:firstLine="709"/>
        <w:jc w:val="both"/>
        <w:rPr>
          <w:rFonts w:ascii="Arial" w:hAnsi="Arial" w:cs="Arial"/>
          <w:sz w:val="18"/>
          <w:szCs w:val="18"/>
        </w:rPr>
      </w:pPr>
    </w:p>
  </w:footnote>
  <w:footnote w:id="29">
    <w:p w14:paraId="41EEE29F" w14:textId="77777777" w:rsidR="00741466" w:rsidRPr="00A810BD" w:rsidRDefault="00741466" w:rsidP="00A810BD">
      <w:pPr>
        <w:spacing w:after="0" w:line="240" w:lineRule="auto"/>
        <w:ind w:firstLine="709"/>
        <w:jc w:val="both"/>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810BD">
        <w:rPr>
          <w:rFonts w:ascii="Arial" w:hAnsi="Arial" w:cs="Arial"/>
          <w:spacing w:val="-6"/>
          <w:sz w:val="18"/>
          <w:szCs w:val="18"/>
        </w:rPr>
        <w:t xml:space="preserve"> </w:t>
      </w:r>
      <w:r w:rsidRPr="00A810BD">
        <w:rPr>
          <w:rFonts w:ascii="Arial" w:hAnsi="Arial" w:cs="Arial"/>
          <w:sz w:val="18"/>
          <w:szCs w:val="18"/>
        </w:rPr>
        <w:t>artículo».</w:t>
      </w:r>
    </w:p>
  </w:footnote>
  <w:footnote w:id="30">
    <w:p w14:paraId="0478C8A7" w14:textId="77777777" w:rsidR="00741466" w:rsidRPr="00A810BD" w:rsidRDefault="00741466" w:rsidP="00A810BD">
      <w:pPr>
        <w:spacing w:after="0" w:line="240" w:lineRule="auto"/>
        <w:ind w:firstLine="709"/>
        <w:jc w:val="both"/>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position w:val="7"/>
          <w:sz w:val="18"/>
          <w:szCs w:val="18"/>
        </w:rPr>
        <w:t xml:space="preserve"> </w:t>
      </w:r>
      <w:r w:rsidRPr="00A810BD">
        <w:rPr>
          <w:rFonts w:ascii="Arial" w:hAnsi="Arial" w:cs="Arial"/>
          <w:sz w:val="18"/>
          <w:szCs w:val="18"/>
        </w:rPr>
        <w:t>Consejo de Estado. Sección Tercera. Sentencia del 23 de junio de 2010. Radicación No. 66001-23-31-000-1998-00261-01(17.860). Consejero Ponente: Mauricio Fajardo Gómez.</w:t>
      </w:r>
    </w:p>
  </w:footnote>
  <w:footnote w:id="31">
    <w:p w14:paraId="28B66ECF" w14:textId="77777777" w:rsidR="00741466" w:rsidRPr="00A810BD" w:rsidRDefault="00741466" w:rsidP="00A810BD">
      <w:pPr>
        <w:spacing w:after="0" w:line="240" w:lineRule="auto"/>
        <w:ind w:firstLine="709"/>
        <w:jc w:val="both"/>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Sección Tercera. Subsección C. Sentencia del 11 de diciembre de 2019. </w:t>
      </w:r>
      <w:proofErr w:type="spellStart"/>
      <w:r w:rsidRPr="00A810BD">
        <w:rPr>
          <w:rFonts w:ascii="Arial" w:hAnsi="Arial" w:cs="Arial"/>
          <w:sz w:val="18"/>
          <w:szCs w:val="18"/>
        </w:rPr>
        <w:t>Exp</w:t>
      </w:r>
      <w:proofErr w:type="spellEnd"/>
      <w:r w:rsidRPr="00A810BD">
        <w:rPr>
          <w:rFonts w:ascii="Arial" w:hAnsi="Arial" w:cs="Arial"/>
          <w:sz w:val="18"/>
          <w:szCs w:val="18"/>
        </w:rPr>
        <w:t>. 46.986. C.P. Jaime Enrique Rodríguez Navas.</w:t>
      </w:r>
    </w:p>
  </w:footnote>
  <w:footnote w:id="32">
    <w:p w14:paraId="79C5C141" w14:textId="77777777" w:rsidR="00741466" w:rsidRPr="00A810BD" w:rsidRDefault="00741466"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[Referencia propia de la cita] «CE. SCSC. Concepto de 1 de noviembre de 2016 [Rad. 11001-03-06-000-2016-00125-00(2305)]. MP. Germán Alberto Bula Escobar».</w:t>
      </w:r>
    </w:p>
    <w:p w14:paraId="3293D473" w14:textId="77777777" w:rsidR="00741466" w:rsidRPr="00A810BD" w:rsidRDefault="00741466" w:rsidP="00A810BD">
      <w:pPr>
        <w:pStyle w:val="Textonotapie"/>
        <w:spacing w:after="0" w:line="240" w:lineRule="auto"/>
        <w:ind w:firstLine="708"/>
        <w:rPr>
          <w:rFonts w:ascii="Arial" w:hAnsi="Arial" w:cs="Arial"/>
          <w:sz w:val="18"/>
          <w:szCs w:val="18"/>
        </w:rPr>
      </w:pPr>
    </w:p>
  </w:footnote>
  <w:footnote w:id="33">
    <w:p w14:paraId="6C4A00BD" w14:textId="77777777" w:rsidR="00741466" w:rsidRPr="00A810BD" w:rsidRDefault="00741466"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A810BD">
        <w:rPr>
          <w:rFonts w:ascii="Arial" w:hAnsi="Arial" w:cs="Arial"/>
          <w:i/>
          <w:sz w:val="18"/>
          <w:szCs w:val="18"/>
        </w:rPr>
        <w:t>“obligacional”</w:t>
      </w:r>
      <w:r w:rsidRPr="00A810BD">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4">
    <w:p w14:paraId="6E0B3F01" w14:textId="77777777" w:rsidR="00741466" w:rsidRPr="00A810BD" w:rsidRDefault="00741466"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[Referencia propia de la cita] «La normativa vigente del EGCAP </w:t>
      </w:r>
      <w:r w:rsidRPr="00A810BD">
        <w:rPr>
          <w:rFonts w:ascii="Arial" w:hAnsi="Arial" w:cs="Arial"/>
          <w:i/>
          <w:sz w:val="18"/>
          <w:szCs w:val="18"/>
        </w:rPr>
        <w:t>[literal c) del numeral 4. del artículo 2 de la Ley 1150/07]</w:t>
      </w:r>
      <w:r w:rsidRPr="00A810BD">
        <w:rPr>
          <w:rFonts w:ascii="Arial" w:hAnsi="Arial" w:cs="Arial"/>
          <w:sz w:val="18"/>
          <w:szCs w:val="18"/>
        </w:rPr>
        <w:t xml:space="preserve"> se refiere a </w:t>
      </w:r>
      <w:r w:rsidRPr="00A810BD">
        <w:rPr>
          <w:rFonts w:ascii="Arial" w:hAnsi="Arial" w:cs="Arial"/>
          <w:i/>
          <w:sz w:val="18"/>
          <w:szCs w:val="18"/>
        </w:rPr>
        <w:t>“contratos interadministrativos”</w:t>
      </w:r>
      <w:r w:rsidRPr="00A810BD">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5">
    <w:p w14:paraId="407CFC61" w14:textId="77777777" w:rsidR="00741466" w:rsidRPr="00A810BD" w:rsidRDefault="00741466"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A810BD">
        <w:rPr>
          <w:rFonts w:ascii="Arial" w:hAnsi="Arial" w:cs="Arial"/>
          <w:sz w:val="18"/>
          <w:szCs w:val="18"/>
        </w:rPr>
        <w:t>Exp</w:t>
      </w:r>
      <w:proofErr w:type="spellEnd"/>
      <w:r w:rsidRPr="00A810BD">
        <w:rPr>
          <w:rFonts w:ascii="Arial" w:hAnsi="Arial" w:cs="Arial"/>
          <w:sz w:val="18"/>
          <w:szCs w:val="18"/>
        </w:rPr>
        <w:t xml:space="preserve">. 2.257. M.P. Álvaro </w:t>
      </w:r>
      <w:proofErr w:type="spellStart"/>
      <w:r w:rsidRPr="00A810BD">
        <w:rPr>
          <w:rFonts w:ascii="Arial" w:hAnsi="Arial" w:cs="Arial"/>
          <w:sz w:val="18"/>
          <w:szCs w:val="18"/>
        </w:rPr>
        <w:t>Namén</w:t>
      </w:r>
      <w:proofErr w:type="spellEnd"/>
      <w:r w:rsidRPr="00A810BD">
        <w:rPr>
          <w:rFonts w:ascii="Arial" w:hAnsi="Arial" w:cs="Arial"/>
          <w:sz w:val="18"/>
          <w:szCs w:val="18"/>
        </w:rPr>
        <w:t xml:space="preserve"> Vargas).</w:t>
      </w:r>
    </w:p>
  </w:footnote>
  <w:footnote w:id="36">
    <w:p w14:paraId="15EAE830" w14:textId="77777777" w:rsidR="00741466" w:rsidRPr="00A810BD" w:rsidRDefault="00741466" w:rsidP="00A810BD">
      <w:pPr>
        <w:pStyle w:val="Textonotapie"/>
        <w:spacing w:after="0" w:line="240" w:lineRule="auto"/>
        <w:ind w:firstLine="708"/>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Es lo que sucede, por ejemplo, con el Decreto 092 de 2017, que en su desarrollo hace referencia tanto a los «contratos» como a los «convenios». </w:t>
      </w:r>
    </w:p>
    <w:p w14:paraId="6FDA2FD5" w14:textId="77777777" w:rsidR="00741466" w:rsidRPr="00A810BD" w:rsidRDefault="00741466" w:rsidP="00A810BD">
      <w:pPr>
        <w:pStyle w:val="Textonotapie"/>
        <w:spacing w:after="0" w:line="240" w:lineRule="auto"/>
        <w:ind w:firstLine="708"/>
        <w:rPr>
          <w:rFonts w:ascii="Arial" w:hAnsi="Arial" w:cs="Arial"/>
          <w:sz w:val="18"/>
          <w:szCs w:val="18"/>
        </w:rPr>
      </w:pPr>
    </w:p>
  </w:footnote>
  <w:footnote w:id="37">
    <w:p w14:paraId="2069F9A3" w14:textId="77777777" w:rsidR="00741466" w:rsidRPr="00A810BD" w:rsidRDefault="00741466" w:rsidP="00A810BD">
      <w:pPr>
        <w:pStyle w:val="Textonotapie"/>
        <w:spacing w:after="0" w:line="240" w:lineRule="auto"/>
        <w:ind w:firstLine="708"/>
        <w:rPr>
          <w:rFonts w:ascii="Arial" w:hAnsi="Arial" w:cs="Arial"/>
          <w:sz w:val="18"/>
          <w:szCs w:val="18"/>
          <w:lang w:val="es-CO"/>
        </w:rPr>
      </w:pPr>
      <w:r w:rsidRPr="00A810BD">
        <w:rPr>
          <w:rStyle w:val="Refdenotaalpie"/>
          <w:rFonts w:ascii="Arial" w:hAnsi="Arial" w:cs="Arial"/>
          <w:sz w:val="18"/>
          <w:szCs w:val="18"/>
        </w:rPr>
        <w:footnoteRef/>
      </w:r>
      <w:r w:rsidRPr="00A810BD">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8">
    <w:p w14:paraId="65529A1D" w14:textId="77777777" w:rsidR="00275994" w:rsidRPr="00A810BD" w:rsidRDefault="00275994" w:rsidP="00A810BD">
      <w:pPr>
        <w:spacing w:after="0" w:line="240" w:lineRule="auto"/>
        <w:ind w:firstLine="708"/>
        <w:jc w:val="both"/>
        <w:rPr>
          <w:rFonts w:ascii="Arial" w:eastAsia="Calibri" w:hAnsi="Arial" w:cs="Arial"/>
          <w:color w:val="000000" w:themeColor="text1"/>
          <w:sz w:val="18"/>
          <w:szCs w:val="18"/>
        </w:rPr>
      </w:pPr>
      <w:r w:rsidRPr="00A810BD">
        <w:rPr>
          <w:rStyle w:val="Refdenotaalpie"/>
          <w:rFonts w:ascii="Arial" w:hAnsi="Arial" w:cs="Arial"/>
          <w:color w:val="000000" w:themeColor="text1"/>
          <w:sz w:val="18"/>
          <w:szCs w:val="18"/>
        </w:rPr>
        <w:footnoteRef/>
      </w:r>
      <w:r w:rsidRPr="00A810BD">
        <w:rPr>
          <w:rFonts w:ascii="Arial" w:hAnsi="Arial" w:cs="Arial"/>
          <w:color w:val="000000" w:themeColor="text1"/>
          <w:sz w:val="18"/>
          <w:szCs w:val="18"/>
        </w:rPr>
        <w:t xml:space="preserve"> </w:t>
      </w:r>
      <w:r w:rsidRPr="00A810BD">
        <w:rPr>
          <w:rFonts w:ascii="Arial" w:eastAsia="Calibri" w:hAnsi="Arial" w:cs="Arial"/>
          <w:color w:val="000000" w:themeColor="text1"/>
          <w:sz w:val="18"/>
          <w:szCs w:val="18"/>
        </w:rPr>
        <w:t xml:space="preserve">«ARTÍCULO 124. Con el propósito de promover la reactivación económica y la generación de empleo en las regiones, a partir de la publicación de la presente ley y durante la vigencia fiscal 2022, </w:t>
      </w:r>
      <w:r w:rsidRPr="00A810BD">
        <w:rPr>
          <w:rFonts w:ascii="Arial" w:eastAsia="Calibri" w:hAnsi="Arial" w:cs="Arial"/>
          <w:i/>
          <w:color w:val="000000" w:themeColor="text1"/>
          <w:sz w:val="18"/>
          <w:szCs w:val="18"/>
        </w:rPr>
        <w:t>la Nación podrá celebrar convenios interadministrativos con las entidades territoriales para ejecutar programas y proyectos correspondientes al Presupuesto General de la Nación.</w:t>
      </w:r>
    </w:p>
    <w:p w14:paraId="2CEF390E" w14:textId="77777777" w:rsidR="00275994" w:rsidRPr="00A810BD" w:rsidRDefault="00275994" w:rsidP="00A810BD">
      <w:pPr>
        <w:spacing w:after="0" w:line="240" w:lineRule="auto"/>
        <w:ind w:firstLine="708"/>
        <w:jc w:val="both"/>
        <w:rPr>
          <w:rFonts w:ascii="Arial" w:eastAsia="Calibri" w:hAnsi="Arial" w:cs="Arial"/>
          <w:color w:val="000000" w:themeColor="text1"/>
          <w:sz w:val="18"/>
          <w:szCs w:val="18"/>
        </w:rPr>
      </w:pPr>
      <w:r w:rsidRPr="00A810BD">
        <w:rPr>
          <w:rFonts w:ascii="Arial" w:eastAsia="Calibri" w:hAnsi="Arial" w:cs="Arial"/>
          <w:color w:val="000000" w:themeColor="text1"/>
          <w:sz w:val="18"/>
          <w:szCs w:val="18"/>
        </w:rPr>
        <w:t>»La presente disposición modifica únicamente en la parte pertinente el inciso primero del parágrafo del artículo 38 de la Ley 996 de 2005.</w:t>
      </w:r>
    </w:p>
    <w:p w14:paraId="706CA4DA" w14:textId="77777777" w:rsidR="00275994" w:rsidRPr="00A810BD" w:rsidRDefault="00275994" w:rsidP="00A810BD">
      <w:pPr>
        <w:pStyle w:val="Textonotapie"/>
        <w:spacing w:after="0" w:line="240" w:lineRule="auto"/>
        <w:ind w:firstLine="708"/>
        <w:rPr>
          <w:rFonts w:ascii="Arial" w:hAnsi="Arial" w:cs="Arial"/>
          <w:color w:val="000000" w:themeColor="text1"/>
          <w:sz w:val="18"/>
          <w:szCs w:val="18"/>
          <w:lang w:val="es-ES"/>
        </w:rPr>
      </w:pPr>
      <w:r w:rsidRPr="00A810BD">
        <w:rPr>
          <w:rFonts w:ascii="Arial" w:eastAsia="Calibri" w:hAnsi="Arial" w:cs="Arial"/>
          <w:color w:val="000000" w:themeColor="text1"/>
          <w:sz w:val="18"/>
          <w:szCs w:val="18"/>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Pr="00A810BD">
        <w:rPr>
          <w:rFonts w:ascii="Arial" w:eastAsia="Calibri" w:hAnsi="Arial" w:cs="Arial"/>
          <w:color w:val="000000" w:themeColor="text1"/>
          <w:sz w:val="18"/>
          <w:szCs w:val="18"/>
          <w:lang w:val="es-CO"/>
        </w:rPr>
        <w:t>Cursiva</w:t>
      </w:r>
      <w:r w:rsidRPr="00A810BD">
        <w:rPr>
          <w:rFonts w:ascii="Arial" w:eastAsia="Calibri" w:hAnsi="Arial" w:cs="Arial"/>
          <w:color w:val="000000" w:themeColor="text1"/>
          <w:sz w:val="18"/>
          <w:szCs w:val="18"/>
        </w:rPr>
        <w:t xml:space="preserve"> fuera de texto).</w:t>
      </w:r>
    </w:p>
  </w:footnote>
  <w:footnote w:id="39">
    <w:p w14:paraId="12FD2613" w14:textId="77777777" w:rsidR="00275994" w:rsidRPr="00A810BD" w:rsidRDefault="00275994" w:rsidP="00A810BD">
      <w:pPr>
        <w:pStyle w:val="Textonotapie"/>
        <w:spacing w:after="0" w:line="240" w:lineRule="auto"/>
        <w:ind w:firstLine="708"/>
        <w:rPr>
          <w:rFonts w:ascii="Arial" w:hAnsi="Arial" w:cs="Arial"/>
          <w:color w:val="000000" w:themeColor="text1"/>
          <w:sz w:val="18"/>
          <w:szCs w:val="18"/>
        </w:rPr>
      </w:pPr>
      <w:r w:rsidRPr="00A810BD">
        <w:rPr>
          <w:rStyle w:val="Refdenotaalpie"/>
          <w:rFonts w:ascii="Arial" w:hAnsi="Arial" w:cs="Arial"/>
          <w:color w:val="000000" w:themeColor="text1"/>
          <w:sz w:val="18"/>
          <w:szCs w:val="18"/>
        </w:rPr>
        <w:footnoteRef/>
      </w:r>
      <w:r w:rsidRPr="00A810BD">
        <w:rPr>
          <w:rFonts w:ascii="Arial" w:hAnsi="Arial" w:cs="Arial"/>
          <w:color w:val="000000" w:themeColor="text1"/>
          <w:sz w:val="18"/>
          <w:szCs w:val="18"/>
        </w:rPr>
        <w:t xml:space="preserve"> En relación con el alcance del artículo 124 de la Ley 2195 de 2022, se pueden consultar, entre otros, los conceptos C-736 del 31 de enero de 2022.</w:t>
      </w:r>
    </w:p>
  </w:footnote>
  <w:footnote w:id="40">
    <w:p w14:paraId="2C8C5905" w14:textId="77777777" w:rsidR="00741466" w:rsidRPr="00A810BD" w:rsidRDefault="00741466" w:rsidP="00A810BD">
      <w:pPr>
        <w:pStyle w:val="Textonotapie"/>
        <w:spacing w:after="0" w:line="240" w:lineRule="auto"/>
        <w:ind w:firstLine="709"/>
        <w:rPr>
          <w:rFonts w:ascii="Arial" w:hAnsi="Arial" w:cs="Arial"/>
          <w:sz w:val="18"/>
          <w:szCs w:val="18"/>
        </w:rPr>
      </w:pPr>
      <w:r w:rsidRPr="00A810BD">
        <w:rPr>
          <w:rStyle w:val="Refdenotaalpie"/>
          <w:rFonts w:ascii="Arial" w:hAnsi="Arial" w:cs="Arial"/>
          <w:sz w:val="18"/>
          <w:szCs w:val="18"/>
        </w:rPr>
        <w:footnoteRef/>
      </w:r>
      <w:r w:rsidRPr="00A810BD">
        <w:rPr>
          <w:rFonts w:ascii="Arial" w:hAnsi="Arial" w:cs="Arial"/>
          <w:sz w:val="18"/>
          <w:szCs w:val="18"/>
        </w:rPr>
        <w:t xml:space="preserve"> Consejo de Estado. Sala de Consulta y Servicio Civil. Concepto del 15 de noviembre de 2007. Expediente número 1863. Consejero Ponente: Luis Fernando Álvarez Jaramillo.</w:t>
      </w:r>
    </w:p>
    <w:p w14:paraId="1F3FE345" w14:textId="77777777" w:rsidR="00741466" w:rsidRPr="00A810BD" w:rsidRDefault="00741466" w:rsidP="00A810BD">
      <w:pPr>
        <w:pStyle w:val="Textonotapie"/>
        <w:spacing w:after="0" w:line="240" w:lineRule="auto"/>
        <w:ind w:firstLine="709"/>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85C" w14:textId="77777777" w:rsidR="00982669" w:rsidRDefault="00763401">
    <w:pPr>
      <w:pStyle w:val="Encabezado"/>
    </w:pPr>
    <w:r>
      <w:rPr>
        <w:noProof/>
        <w:lang w:val="es-CO" w:eastAsia="es-CO"/>
      </w:rPr>
      <w:drawing>
        <wp:anchor distT="0" distB="0" distL="114300" distR="114300" simplePos="0" relativeHeight="251659264" behindDoc="1" locked="0" layoutInCell="1" allowOverlap="1" wp14:anchorId="03698797" wp14:editId="028357EB">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21766" w14:textId="77777777" w:rsidR="00982669" w:rsidRDefault="00A23BBE" w:rsidP="00982669">
    <w:pPr>
      <w:pStyle w:val="Encabezado"/>
      <w:spacing w:after="0"/>
    </w:pPr>
  </w:p>
  <w:p w14:paraId="04088624" w14:textId="77777777" w:rsidR="00982669" w:rsidRDefault="00A23B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66"/>
    <w:rsid w:val="00000F61"/>
    <w:rsid w:val="00006860"/>
    <w:rsid w:val="00021DB7"/>
    <w:rsid w:val="000325B3"/>
    <w:rsid w:val="000A1276"/>
    <w:rsid w:val="000B647E"/>
    <w:rsid w:val="000F6922"/>
    <w:rsid w:val="001069C5"/>
    <w:rsid w:val="0013119A"/>
    <w:rsid w:val="00152190"/>
    <w:rsid w:val="00154170"/>
    <w:rsid w:val="00154185"/>
    <w:rsid w:val="00157742"/>
    <w:rsid w:val="00164B5A"/>
    <w:rsid w:val="00192D54"/>
    <w:rsid w:val="001C577B"/>
    <w:rsid w:val="00245227"/>
    <w:rsid w:val="00265394"/>
    <w:rsid w:val="002667F2"/>
    <w:rsid w:val="002758C4"/>
    <w:rsid w:val="00275994"/>
    <w:rsid w:val="002B2E29"/>
    <w:rsid w:val="002B411F"/>
    <w:rsid w:val="002B7AF6"/>
    <w:rsid w:val="002C77FA"/>
    <w:rsid w:val="002D58D0"/>
    <w:rsid w:val="002E6BCC"/>
    <w:rsid w:val="002F43B3"/>
    <w:rsid w:val="00312DEA"/>
    <w:rsid w:val="00324312"/>
    <w:rsid w:val="00337E49"/>
    <w:rsid w:val="00340FD6"/>
    <w:rsid w:val="00347B73"/>
    <w:rsid w:val="00361410"/>
    <w:rsid w:val="00375910"/>
    <w:rsid w:val="003A7B4D"/>
    <w:rsid w:val="003E0A63"/>
    <w:rsid w:val="003E6C52"/>
    <w:rsid w:val="003F071C"/>
    <w:rsid w:val="00474FFB"/>
    <w:rsid w:val="00490351"/>
    <w:rsid w:val="004B2AAD"/>
    <w:rsid w:val="004B4820"/>
    <w:rsid w:val="004C35E3"/>
    <w:rsid w:val="004C3E14"/>
    <w:rsid w:val="004D608F"/>
    <w:rsid w:val="00542251"/>
    <w:rsid w:val="00550892"/>
    <w:rsid w:val="005600BB"/>
    <w:rsid w:val="00571B7A"/>
    <w:rsid w:val="00584467"/>
    <w:rsid w:val="005B2387"/>
    <w:rsid w:val="005C40C2"/>
    <w:rsid w:val="005E6EDE"/>
    <w:rsid w:val="005F52CF"/>
    <w:rsid w:val="00601E5D"/>
    <w:rsid w:val="0060522A"/>
    <w:rsid w:val="0061058A"/>
    <w:rsid w:val="00636804"/>
    <w:rsid w:val="0066158D"/>
    <w:rsid w:val="00677CF3"/>
    <w:rsid w:val="00686ECA"/>
    <w:rsid w:val="006C1C0A"/>
    <w:rsid w:val="006C6818"/>
    <w:rsid w:val="006D1F46"/>
    <w:rsid w:val="006E0B67"/>
    <w:rsid w:val="006E224D"/>
    <w:rsid w:val="007016BC"/>
    <w:rsid w:val="00703064"/>
    <w:rsid w:val="00711BF9"/>
    <w:rsid w:val="007204CB"/>
    <w:rsid w:val="00740320"/>
    <w:rsid w:val="00741466"/>
    <w:rsid w:val="00747863"/>
    <w:rsid w:val="00763401"/>
    <w:rsid w:val="007B04E2"/>
    <w:rsid w:val="007B43F6"/>
    <w:rsid w:val="007C13AB"/>
    <w:rsid w:val="007D62D8"/>
    <w:rsid w:val="007F6DD0"/>
    <w:rsid w:val="00805691"/>
    <w:rsid w:val="00834314"/>
    <w:rsid w:val="0086791F"/>
    <w:rsid w:val="00887C85"/>
    <w:rsid w:val="00891ED7"/>
    <w:rsid w:val="008A26CF"/>
    <w:rsid w:val="008B1942"/>
    <w:rsid w:val="008C4C5E"/>
    <w:rsid w:val="008C695E"/>
    <w:rsid w:val="008E5979"/>
    <w:rsid w:val="008F365D"/>
    <w:rsid w:val="0093400E"/>
    <w:rsid w:val="00944CC9"/>
    <w:rsid w:val="00992576"/>
    <w:rsid w:val="00996357"/>
    <w:rsid w:val="00A1167C"/>
    <w:rsid w:val="00A23BBE"/>
    <w:rsid w:val="00A5328D"/>
    <w:rsid w:val="00A54D18"/>
    <w:rsid w:val="00A76CE0"/>
    <w:rsid w:val="00A810BD"/>
    <w:rsid w:val="00A86B89"/>
    <w:rsid w:val="00A94A1C"/>
    <w:rsid w:val="00A96DA7"/>
    <w:rsid w:val="00AB1F50"/>
    <w:rsid w:val="00AB5406"/>
    <w:rsid w:val="00AC4989"/>
    <w:rsid w:val="00AD2851"/>
    <w:rsid w:val="00AF120D"/>
    <w:rsid w:val="00AF294D"/>
    <w:rsid w:val="00B019F8"/>
    <w:rsid w:val="00B11F5D"/>
    <w:rsid w:val="00B1513E"/>
    <w:rsid w:val="00B24F9C"/>
    <w:rsid w:val="00B3283C"/>
    <w:rsid w:val="00B3451D"/>
    <w:rsid w:val="00B46D6A"/>
    <w:rsid w:val="00B8095A"/>
    <w:rsid w:val="00B90ED7"/>
    <w:rsid w:val="00BA1277"/>
    <w:rsid w:val="00BA5FD5"/>
    <w:rsid w:val="00BC3B7F"/>
    <w:rsid w:val="00BD5C69"/>
    <w:rsid w:val="00BF3BB7"/>
    <w:rsid w:val="00C271B5"/>
    <w:rsid w:val="00C3365E"/>
    <w:rsid w:val="00C553D7"/>
    <w:rsid w:val="00C57DE4"/>
    <w:rsid w:val="00C640DE"/>
    <w:rsid w:val="00C82F39"/>
    <w:rsid w:val="00CD75B1"/>
    <w:rsid w:val="00CE4B7C"/>
    <w:rsid w:val="00D14BBC"/>
    <w:rsid w:val="00D17B53"/>
    <w:rsid w:val="00D417E9"/>
    <w:rsid w:val="00D42F9E"/>
    <w:rsid w:val="00D435E5"/>
    <w:rsid w:val="00D43616"/>
    <w:rsid w:val="00D44F06"/>
    <w:rsid w:val="00D72FBD"/>
    <w:rsid w:val="00D80963"/>
    <w:rsid w:val="00D93C73"/>
    <w:rsid w:val="00D95DD9"/>
    <w:rsid w:val="00DC0D41"/>
    <w:rsid w:val="00DD4F14"/>
    <w:rsid w:val="00DE4BE5"/>
    <w:rsid w:val="00E43BF1"/>
    <w:rsid w:val="00E63A7C"/>
    <w:rsid w:val="00EA13F4"/>
    <w:rsid w:val="00ED34AA"/>
    <w:rsid w:val="00F0275D"/>
    <w:rsid w:val="00F12097"/>
    <w:rsid w:val="00F20460"/>
    <w:rsid w:val="00F27F22"/>
    <w:rsid w:val="00F326C9"/>
    <w:rsid w:val="00F443DC"/>
    <w:rsid w:val="00F8586B"/>
    <w:rsid w:val="00F92850"/>
    <w:rsid w:val="00F96C72"/>
    <w:rsid w:val="00FB29D7"/>
    <w:rsid w:val="00FC45BB"/>
    <w:rsid w:val="00FD6D06"/>
    <w:rsid w:val="00FE21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0164"/>
  <w15:chartTrackingRefBased/>
  <w15:docId w15:val="{73CC8555-559F-49C5-A289-8E63A3F3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41466"/>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741466"/>
    <w:rPr>
      <w:sz w:val="24"/>
      <w:lang w:val="es-MX"/>
    </w:rPr>
  </w:style>
  <w:style w:type="paragraph" w:styleId="Encabezado">
    <w:name w:val="header"/>
    <w:basedOn w:val="Normal"/>
    <w:link w:val="EncabezadoCar"/>
    <w:uiPriority w:val="99"/>
    <w:unhideWhenUsed/>
    <w:rsid w:val="00741466"/>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741466"/>
    <w:rPr>
      <w:sz w:val="24"/>
      <w:lang w:val="es-MX"/>
    </w:rPr>
  </w:style>
  <w:style w:type="table" w:styleId="Tablaconcuadrcula">
    <w:name w:val="Table Grid"/>
    <w:basedOn w:val="Tablanormal"/>
    <w:uiPriority w:val="39"/>
    <w:rsid w:val="0074146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741466"/>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741466"/>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4146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41466"/>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74146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41466"/>
    <w:rPr>
      <w:vertAlign w:val="superscript"/>
    </w:rPr>
  </w:style>
  <w:style w:type="paragraph" w:customStyle="1" w:styleId="Appelnotedebasde">
    <w:name w:val="Appel note de bas de..."/>
    <w:basedOn w:val="Normal"/>
    <w:link w:val="Refdenotaalpie"/>
    <w:uiPriority w:val="99"/>
    <w:rsid w:val="00741466"/>
    <w:pPr>
      <w:spacing w:line="240" w:lineRule="exact"/>
      <w:jc w:val="both"/>
    </w:pPr>
    <w:rPr>
      <w:vertAlign w:val="superscript"/>
    </w:rPr>
  </w:style>
  <w:style w:type="character" w:customStyle="1" w:styleId="NormalWebCar">
    <w:name w:val="Normal (Web) Car"/>
    <w:link w:val="NormalWeb"/>
    <w:uiPriority w:val="99"/>
    <w:locked/>
    <w:rsid w:val="0074146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74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741466"/>
  </w:style>
  <w:style w:type="table" w:customStyle="1" w:styleId="Tablaconcuadrcula2">
    <w:name w:val="Tabla con cuadrícula2"/>
    <w:basedOn w:val="Tablanormal"/>
    <w:next w:val="Tablaconcuadrcula"/>
    <w:uiPriority w:val="59"/>
    <w:rsid w:val="006D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19F8"/>
    <w:rPr>
      <w:sz w:val="16"/>
      <w:szCs w:val="16"/>
    </w:rPr>
  </w:style>
  <w:style w:type="paragraph" w:styleId="Textocomentario">
    <w:name w:val="annotation text"/>
    <w:basedOn w:val="Normal"/>
    <w:link w:val="TextocomentarioCar"/>
    <w:uiPriority w:val="99"/>
    <w:semiHidden/>
    <w:unhideWhenUsed/>
    <w:rsid w:val="00B019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19F8"/>
    <w:rPr>
      <w:sz w:val="20"/>
      <w:szCs w:val="20"/>
    </w:rPr>
  </w:style>
  <w:style w:type="paragraph" w:styleId="Asuntodelcomentario">
    <w:name w:val="annotation subject"/>
    <w:basedOn w:val="Textocomentario"/>
    <w:next w:val="Textocomentario"/>
    <w:link w:val="AsuntodelcomentarioCar"/>
    <w:uiPriority w:val="99"/>
    <w:semiHidden/>
    <w:unhideWhenUsed/>
    <w:rsid w:val="00B019F8"/>
    <w:rPr>
      <w:b/>
      <w:bCs/>
    </w:rPr>
  </w:style>
  <w:style w:type="character" w:customStyle="1" w:styleId="AsuntodelcomentarioCar">
    <w:name w:val="Asunto del comentario Car"/>
    <w:basedOn w:val="TextocomentarioCar"/>
    <w:link w:val="Asuntodelcomentario"/>
    <w:uiPriority w:val="99"/>
    <w:semiHidden/>
    <w:rsid w:val="00B01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9C6FA7E-9488-45D8-8366-6C837EEC38EF}">
  <ds:schemaRefs>
    <ds:schemaRef ds:uri="http://schemas.openxmlformats.org/officeDocument/2006/bibliography"/>
  </ds:schemaRefs>
</ds:datastoreItem>
</file>

<file path=customXml/itemProps2.xml><?xml version="1.0" encoding="utf-8"?>
<ds:datastoreItem xmlns:ds="http://schemas.openxmlformats.org/officeDocument/2006/customXml" ds:itemID="{A44AA3DF-2653-4102-97F3-8342B2BB3922}"/>
</file>

<file path=customXml/itemProps3.xml><?xml version="1.0" encoding="utf-8"?>
<ds:datastoreItem xmlns:ds="http://schemas.openxmlformats.org/officeDocument/2006/customXml" ds:itemID="{698C5754-948C-4988-BFB9-D91C45D53844}"/>
</file>

<file path=customXml/itemProps4.xml><?xml version="1.0" encoding="utf-8"?>
<ds:datastoreItem xmlns:ds="http://schemas.openxmlformats.org/officeDocument/2006/customXml" ds:itemID="{B180B527-EF14-47A9-9E90-239F931BF9E8}"/>
</file>

<file path=docProps/app.xml><?xml version="1.0" encoding="utf-8"?>
<Properties xmlns="http://schemas.openxmlformats.org/officeDocument/2006/extended-properties" xmlns:vt="http://schemas.openxmlformats.org/officeDocument/2006/docPropsVTypes">
  <Template>Normal</Template>
  <TotalTime>12</TotalTime>
  <Pages>26</Pages>
  <Words>10418</Words>
  <Characters>57302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8</cp:revision>
  <dcterms:created xsi:type="dcterms:W3CDTF">2022-04-05T19:35:00Z</dcterms:created>
  <dcterms:modified xsi:type="dcterms:W3CDTF">2022-04-06T02:48:00Z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