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8F28A6" w:rsidRDefault="00E05AA3" w:rsidP="00CC1897">
      <w:pPr>
        <w:jc w:val="right"/>
        <w:rPr>
          <w:rFonts w:ascii="Arial" w:hAnsi="Arial" w:cs="Arial"/>
          <w:bCs/>
          <w:sz w:val="20"/>
          <w:szCs w:val="20"/>
          <w:lang w:val="es-ES_tradnl" w:eastAsia="es-ES"/>
        </w:rPr>
      </w:pPr>
      <w:bookmarkStart w:id="0" w:name="_Hlk28946138"/>
      <w:bookmarkStart w:id="1" w:name="_Hlk29548183"/>
    </w:p>
    <w:p w14:paraId="346AE9F5" w14:textId="4873E163" w:rsidR="0030575F" w:rsidRPr="008F28A6" w:rsidRDefault="00B55C69" w:rsidP="0030575F">
      <w:pPr>
        <w:jc w:val="right"/>
        <w:rPr>
          <w:rFonts w:ascii="Arial" w:eastAsia="Calibri" w:hAnsi="Arial" w:cs="Arial"/>
          <w:b/>
          <w:sz w:val="16"/>
          <w:szCs w:val="16"/>
          <w:lang w:val="es-ES_tradnl"/>
        </w:rPr>
      </w:pPr>
      <w:r w:rsidRPr="008F28A6">
        <w:rPr>
          <w:rFonts w:ascii="Arial" w:hAnsi="Arial" w:cs="Arial"/>
          <w:bCs/>
          <w:sz w:val="16"/>
          <w:szCs w:val="16"/>
          <w:lang w:val="es-ES_tradnl" w:eastAsia="es-ES"/>
        </w:rPr>
        <w:t>CCE-DES-FM-17</w:t>
      </w:r>
      <w:bookmarkEnd w:id="0"/>
      <w:bookmarkEnd w:id="1"/>
    </w:p>
    <w:p w14:paraId="2E56D937" w14:textId="209A65B0" w:rsidR="0030575F" w:rsidRPr="008F28A6" w:rsidRDefault="0030575F" w:rsidP="002652C1">
      <w:pPr>
        <w:contextualSpacing/>
        <w:jc w:val="both"/>
        <w:rPr>
          <w:rFonts w:ascii="Arial" w:eastAsia="Calibri" w:hAnsi="Arial" w:cs="Arial"/>
          <w:b/>
          <w:bCs/>
          <w:sz w:val="22"/>
          <w:szCs w:val="22"/>
          <w:lang w:val="es-MX" w:eastAsia="en-US"/>
        </w:rPr>
      </w:pPr>
      <w:bookmarkStart w:id="2" w:name="_Hlk79765235"/>
      <w:r w:rsidRPr="008F28A6">
        <w:rPr>
          <w:rFonts w:ascii="Arial" w:eastAsia="Calibri" w:hAnsi="Arial" w:cs="Arial"/>
          <w:b/>
          <w:bCs/>
          <w:sz w:val="22"/>
          <w:szCs w:val="22"/>
          <w:lang w:val="es-MX" w:eastAsia="en-US"/>
        </w:rPr>
        <w:t>LEY DE GARANTÍAS ELECTORALES – Finalidad</w:t>
      </w:r>
    </w:p>
    <w:p w14:paraId="54D7EA45" w14:textId="77777777" w:rsidR="0030575F" w:rsidRPr="008F28A6" w:rsidRDefault="0030575F" w:rsidP="002652C1">
      <w:pPr>
        <w:contextualSpacing/>
        <w:jc w:val="both"/>
        <w:rPr>
          <w:rFonts w:ascii="Arial" w:eastAsia="Calibri" w:hAnsi="Arial" w:cs="Arial"/>
          <w:sz w:val="20"/>
          <w:szCs w:val="20"/>
          <w:lang w:val="es-MX" w:eastAsia="en-US"/>
        </w:rPr>
      </w:pPr>
    </w:p>
    <w:p w14:paraId="7A434A5B" w14:textId="2557170C" w:rsidR="0030575F" w:rsidRPr="008F28A6" w:rsidRDefault="00861F5C" w:rsidP="002652C1">
      <w:pPr>
        <w:tabs>
          <w:tab w:val="left" w:pos="426"/>
        </w:tabs>
        <w:jc w:val="both"/>
        <w:rPr>
          <w:rFonts w:ascii="Arial" w:eastAsia="Calibri" w:hAnsi="Arial" w:cs="Arial"/>
          <w:bCs/>
          <w:sz w:val="20"/>
          <w:szCs w:val="20"/>
        </w:rPr>
      </w:pPr>
      <w:r w:rsidRPr="008F28A6">
        <w:rPr>
          <w:rFonts w:ascii="Arial" w:hAnsi="Arial" w:cs="Arial"/>
          <w:bCs/>
          <w:sz w:val="20"/>
          <w:szCs w:val="20"/>
          <w:lang w:eastAsia="es-CO"/>
        </w:rPr>
        <w:t xml:space="preserve">[…] la Ley 996 de 2005 </w:t>
      </w:r>
      <w:r w:rsidRPr="00537ACD">
        <w:rPr>
          <w:rFonts w:ascii="Arial" w:eastAsia="Calibri" w:hAnsi="Arial" w:cs="Arial"/>
          <w:sz w:val="20"/>
          <w:szCs w:val="20"/>
          <w:lang w:eastAsia="en-US"/>
        </w:rPr>
        <w:t>«</w:t>
      </w:r>
      <w:r w:rsidRPr="008F28A6">
        <w:rPr>
          <w:rStyle w:val="Textoennegrita"/>
          <w:rFonts w:ascii="Arial" w:hAnsi="Arial" w:cs="Arial"/>
          <w:b w:val="0"/>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8F28A6">
        <w:rPr>
          <w:rFonts w:ascii="Arial" w:eastAsia="Calibri" w:hAnsi="Arial" w:cs="Arial"/>
          <w:bCs/>
          <w:sz w:val="20"/>
          <w:szCs w:val="20"/>
          <w:lang w:eastAsia="en-US"/>
        </w:rPr>
        <w:t>»,</w:t>
      </w:r>
      <w:r w:rsidRPr="008F28A6">
        <w:rPr>
          <w:rStyle w:val="Textoennegrita"/>
          <w:rFonts w:ascii="Arial" w:hAnsi="Arial" w:cs="Arial"/>
          <w:sz w:val="20"/>
          <w:szCs w:val="20"/>
          <w:shd w:val="clear" w:color="auto" w:fill="FFFFFF"/>
        </w:rPr>
        <w:t xml:space="preserve"> </w:t>
      </w:r>
      <w:r w:rsidRPr="008F28A6">
        <w:rPr>
          <w:rFonts w:ascii="Arial" w:hAnsi="Arial" w:cs="Arial"/>
          <w:bCs/>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8F28A6" w:rsidRDefault="0030575F" w:rsidP="002652C1">
      <w:pPr>
        <w:tabs>
          <w:tab w:val="left" w:pos="426"/>
        </w:tabs>
        <w:jc w:val="both"/>
        <w:rPr>
          <w:rFonts w:ascii="Arial" w:eastAsia="Calibri" w:hAnsi="Arial" w:cs="Arial"/>
          <w:bCs/>
          <w:sz w:val="20"/>
          <w:szCs w:val="20"/>
          <w:lang w:val="es-MX" w:eastAsia="en-US"/>
        </w:rPr>
      </w:pPr>
    </w:p>
    <w:p w14:paraId="485C44E2" w14:textId="77777777" w:rsidR="0030575F" w:rsidRPr="008F28A6" w:rsidRDefault="0030575F" w:rsidP="002652C1">
      <w:pPr>
        <w:tabs>
          <w:tab w:val="left" w:pos="426"/>
        </w:tabs>
        <w:jc w:val="both"/>
        <w:rPr>
          <w:rFonts w:ascii="Arial" w:eastAsia="Calibri" w:hAnsi="Arial" w:cs="Arial"/>
          <w:b/>
          <w:bCs/>
          <w:sz w:val="22"/>
          <w:szCs w:val="22"/>
          <w:lang w:val="es-MX" w:eastAsia="en-US"/>
        </w:rPr>
      </w:pPr>
      <w:bookmarkStart w:id="3" w:name="_Hlk77152637"/>
      <w:bookmarkStart w:id="4" w:name="_Hlk77157066"/>
      <w:r w:rsidRPr="008F28A6">
        <w:rPr>
          <w:rFonts w:ascii="Arial" w:eastAsia="Calibri" w:hAnsi="Arial" w:cs="Arial"/>
          <w:b/>
          <w:bCs/>
          <w:sz w:val="22"/>
          <w:szCs w:val="22"/>
          <w:lang w:val="es-MX" w:eastAsia="en-US"/>
        </w:rPr>
        <w:t>LEY DE GARANTÍAS ELECTORALES ‒</w:t>
      </w:r>
      <w:bookmarkEnd w:id="3"/>
      <w:r w:rsidRPr="008F28A6">
        <w:rPr>
          <w:rFonts w:ascii="Arial" w:eastAsia="Calibri" w:hAnsi="Arial" w:cs="Arial"/>
          <w:b/>
          <w:bCs/>
          <w:sz w:val="22"/>
          <w:szCs w:val="22"/>
          <w:lang w:val="es-MX" w:eastAsia="en-US"/>
        </w:rPr>
        <w:t xml:space="preserve"> Restricciones </w:t>
      </w:r>
      <w:bookmarkStart w:id="5" w:name="_Hlk77157034"/>
      <w:r w:rsidRPr="008F28A6">
        <w:rPr>
          <w:rFonts w:ascii="Arial" w:eastAsia="Calibri" w:hAnsi="Arial" w:cs="Arial"/>
          <w:b/>
          <w:bCs/>
          <w:sz w:val="22"/>
          <w:szCs w:val="22"/>
          <w:lang w:val="es-MX" w:eastAsia="en-US"/>
        </w:rPr>
        <w:t xml:space="preserve">‒ </w:t>
      </w:r>
      <w:bookmarkEnd w:id="5"/>
      <w:r w:rsidRPr="008F28A6">
        <w:rPr>
          <w:rFonts w:ascii="Arial" w:eastAsia="Calibri" w:hAnsi="Arial" w:cs="Arial"/>
          <w:b/>
          <w:bCs/>
          <w:sz w:val="22"/>
          <w:szCs w:val="22"/>
          <w:lang w:val="es-MX" w:eastAsia="en-US"/>
        </w:rPr>
        <w:t>Contratación</w:t>
      </w:r>
      <w:bookmarkStart w:id="6" w:name="_Hlk77153098"/>
      <w:r w:rsidRPr="008F28A6">
        <w:rPr>
          <w:rFonts w:ascii="Arial" w:eastAsia="Calibri" w:hAnsi="Arial" w:cs="Arial"/>
          <w:b/>
          <w:bCs/>
          <w:sz w:val="22"/>
          <w:szCs w:val="22"/>
          <w:lang w:val="es-MX" w:eastAsia="en-US"/>
        </w:rPr>
        <w:t xml:space="preserve"> ‒ Tipos de elección</w:t>
      </w:r>
      <w:bookmarkEnd w:id="6"/>
      <w:r w:rsidRPr="008F28A6">
        <w:rPr>
          <w:rFonts w:ascii="Arial" w:eastAsia="Calibri" w:hAnsi="Arial" w:cs="Arial"/>
          <w:b/>
          <w:bCs/>
          <w:sz w:val="22"/>
          <w:szCs w:val="22"/>
          <w:lang w:val="es-MX" w:eastAsia="en-US"/>
        </w:rPr>
        <w:t xml:space="preserve"> </w:t>
      </w:r>
    </w:p>
    <w:p w14:paraId="16CB6979" w14:textId="77777777" w:rsidR="0030575F" w:rsidRPr="008F28A6" w:rsidRDefault="0030575F" w:rsidP="002652C1">
      <w:pPr>
        <w:tabs>
          <w:tab w:val="left" w:pos="426"/>
        </w:tabs>
        <w:jc w:val="both"/>
        <w:rPr>
          <w:rFonts w:ascii="Arial" w:eastAsia="Calibri" w:hAnsi="Arial" w:cs="Arial"/>
          <w:b/>
          <w:bCs/>
          <w:sz w:val="20"/>
          <w:szCs w:val="20"/>
          <w:lang w:val="es-MX" w:eastAsia="en-US"/>
        </w:rPr>
      </w:pPr>
    </w:p>
    <w:p w14:paraId="149A097F" w14:textId="3FB14250" w:rsidR="0030575F" w:rsidRPr="008F28A6" w:rsidRDefault="00861F5C" w:rsidP="002652C1">
      <w:pPr>
        <w:jc w:val="both"/>
        <w:rPr>
          <w:rFonts w:ascii="Arial" w:eastAsia="Arial" w:hAnsi="Arial" w:cs="Arial"/>
          <w:sz w:val="20"/>
          <w:szCs w:val="20"/>
          <w:lang w:val="es-ES" w:eastAsia="es-ES" w:bidi="es-ES"/>
        </w:rPr>
      </w:pPr>
      <w:r w:rsidRPr="008F28A6">
        <w:rPr>
          <w:rFonts w:ascii="Arial" w:hAnsi="Arial" w:cs="Arial"/>
          <w:bCs/>
          <w:sz w:val="20"/>
          <w:szCs w:val="20"/>
          <w:lang w:val="es-MX" w:eastAsia="es-CO"/>
        </w:rPr>
        <w:t xml:space="preserve">La </w:t>
      </w:r>
      <w:r w:rsidRPr="008F28A6">
        <w:rPr>
          <w:rFonts w:ascii="Arial" w:eastAsia="Arial" w:hAnsi="Arial" w:cs="Arial"/>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F28A6">
        <w:rPr>
          <w:rFonts w:ascii="Arial" w:eastAsia="Calibri" w:hAnsi="Arial" w:cs="Arial"/>
          <w:sz w:val="20"/>
          <w:szCs w:val="20"/>
          <w:lang w:eastAsia="en-US"/>
        </w:rPr>
        <w:t xml:space="preserve">Por una parte, el artículo 33 de la Ley 996 de 2005 establece una prohibición que impide </w:t>
      </w:r>
      <w:r w:rsidRPr="008F28A6">
        <w:rPr>
          <w:rFonts w:ascii="Arial" w:eastAsia="Calibri" w:hAnsi="Arial" w:cs="Arial"/>
          <w:bCs/>
          <w:sz w:val="20"/>
          <w:szCs w:val="20"/>
          <w:lang w:eastAsia="en-US"/>
        </w:rPr>
        <w:t xml:space="preserve">«[…] </w:t>
      </w:r>
      <w:r w:rsidRPr="008F28A6">
        <w:rPr>
          <w:rFonts w:ascii="Arial" w:eastAsia="Calibri" w:hAnsi="Arial" w:cs="Arial"/>
          <w:sz w:val="20"/>
          <w:szCs w:val="20"/>
          <w:lang w:eastAsia="en-US"/>
        </w:rPr>
        <w:t>la contratación directa por parte de todos los entes del Estado</w:t>
      </w:r>
      <w:r w:rsidRPr="008F28A6">
        <w:rPr>
          <w:rFonts w:ascii="Arial" w:eastAsia="Calibri" w:hAnsi="Arial" w:cs="Arial"/>
          <w:bCs/>
          <w:sz w:val="20"/>
          <w:szCs w:val="20"/>
          <w:lang w:eastAsia="en-US"/>
        </w:rPr>
        <w:t>»</w:t>
      </w:r>
      <w:r w:rsidRPr="008F28A6">
        <w:rPr>
          <w:rFonts w:ascii="Arial" w:eastAsia="Calibri" w:hAnsi="Arial" w:cs="Arial"/>
          <w:sz w:val="20"/>
          <w:szCs w:val="20"/>
          <w:lang w:eastAsia="en-US"/>
        </w:rPr>
        <w:t xml:space="preserve"> durante los cuatro (4) meses anteriores a las elecciones presidenciales, salvo </w:t>
      </w:r>
      <w:r w:rsidRPr="008F28A6">
        <w:rPr>
          <w:rFonts w:ascii="Arial" w:eastAsia="Calibri" w:hAnsi="Arial" w:cs="Arial"/>
          <w:bCs/>
          <w:sz w:val="20"/>
          <w:szCs w:val="20"/>
          <w:lang w:eastAsia="en-US"/>
        </w:rPr>
        <w:t xml:space="preserve">«[…] </w:t>
      </w:r>
      <w:r w:rsidRPr="008F28A6">
        <w:rPr>
          <w:rFonts w:ascii="Arial" w:eastAsia="Calibri" w:hAnsi="Arial" w:cs="Arial"/>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F28A6">
        <w:rPr>
          <w:rFonts w:ascii="Arial" w:eastAsia="Calibri" w:hAnsi="Arial" w:cs="Arial"/>
          <w:bCs/>
          <w:sz w:val="20"/>
          <w:szCs w:val="20"/>
          <w:lang w:eastAsia="en-US"/>
        </w:rPr>
        <w:t>»</w:t>
      </w:r>
      <w:r w:rsidRPr="008F28A6">
        <w:rPr>
          <w:rFonts w:ascii="Arial" w:eastAsia="Calibri" w:hAnsi="Arial" w:cs="Arial"/>
          <w:sz w:val="20"/>
          <w:szCs w:val="20"/>
          <w:lang w:eastAsia="en-US"/>
        </w:rPr>
        <w:t>.</w:t>
      </w:r>
      <w:r w:rsidR="00E17122" w:rsidRPr="008F28A6">
        <w:rPr>
          <w:rFonts w:ascii="Arial" w:eastAsia="Calibri" w:hAnsi="Arial" w:cs="Arial"/>
          <w:sz w:val="20"/>
          <w:szCs w:val="20"/>
          <w:lang w:eastAsia="en-US"/>
        </w:rPr>
        <w:t xml:space="preserve"> </w:t>
      </w:r>
      <w:r w:rsidRPr="008F28A6">
        <w:rPr>
          <w:rFonts w:ascii="Arial" w:eastAsia="Calibri" w:hAnsi="Arial" w:cs="Arial"/>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F28A6">
        <w:rPr>
          <w:rFonts w:ascii="Arial" w:eastAsia="Calibri" w:hAnsi="Arial" w:cs="Arial"/>
          <w:bCs/>
          <w:sz w:val="20"/>
          <w:szCs w:val="20"/>
          <w:lang w:eastAsia="en-US"/>
        </w:rPr>
        <w:t xml:space="preserve">«[…] </w:t>
      </w:r>
      <w:r w:rsidRPr="008F28A6">
        <w:rPr>
          <w:rFonts w:ascii="Arial" w:eastAsia="Calibri" w:hAnsi="Arial" w:cs="Arial"/>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F28A6">
        <w:rPr>
          <w:rFonts w:ascii="Arial" w:eastAsia="Calibri" w:hAnsi="Arial" w:cs="Arial"/>
          <w:bCs/>
          <w:sz w:val="20"/>
          <w:szCs w:val="20"/>
          <w:lang w:eastAsia="en-US"/>
        </w:rPr>
        <w:t>»</w:t>
      </w:r>
      <w:r w:rsidRPr="008F28A6">
        <w:rPr>
          <w:rFonts w:ascii="Arial" w:eastAsia="Calibri" w:hAnsi="Arial" w:cs="Arial"/>
          <w:sz w:val="20"/>
          <w:szCs w:val="20"/>
          <w:lang w:val="es-MX" w:eastAsia="en-US"/>
        </w:rPr>
        <w:t>.</w:t>
      </w:r>
      <w:r w:rsidR="0030575F" w:rsidRPr="008F28A6">
        <w:rPr>
          <w:rFonts w:ascii="Arial" w:eastAsia="Calibri" w:hAnsi="Arial" w:cs="Arial"/>
          <w:noProof/>
          <w:sz w:val="20"/>
          <w:szCs w:val="20"/>
          <w:lang w:val="es-ES_tradnl" w:eastAsia="en-US"/>
        </w:rPr>
        <w:t>.</w:t>
      </w:r>
    </w:p>
    <w:bookmarkEnd w:id="4"/>
    <w:p w14:paraId="213A2A29" w14:textId="45C5865E" w:rsidR="00AB5DF8" w:rsidRPr="008F28A6" w:rsidRDefault="00AB5DF8" w:rsidP="002652C1">
      <w:pPr>
        <w:jc w:val="both"/>
        <w:rPr>
          <w:rFonts w:ascii="Arial" w:eastAsia="Arial" w:hAnsi="Arial" w:cs="Arial"/>
          <w:sz w:val="20"/>
          <w:szCs w:val="20"/>
          <w:lang w:val="es-ES" w:eastAsia="es-ES" w:bidi="es-ES"/>
        </w:rPr>
      </w:pPr>
    </w:p>
    <w:p w14:paraId="137EF084" w14:textId="77777777" w:rsidR="00AB5DF8" w:rsidRPr="008F28A6" w:rsidRDefault="00AB5DF8" w:rsidP="002652C1">
      <w:pPr>
        <w:tabs>
          <w:tab w:val="left" w:pos="426"/>
        </w:tabs>
        <w:jc w:val="both"/>
        <w:rPr>
          <w:rFonts w:ascii="Arial" w:eastAsia="Calibri" w:hAnsi="Arial" w:cs="Arial"/>
          <w:b/>
          <w:bCs/>
          <w:sz w:val="22"/>
          <w:szCs w:val="22"/>
          <w:lang w:val="es-MX" w:eastAsia="en-US"/>
        </w:rPr>
      </w:pPr>
      <w:bookmarkStart w:id="7" w:name="_Hlk77165666"/>
      <w:r w:rsidRPr="008F28A6">
        <w:rPr>
          <w:rFonts w:ascii="Arial" w:eastAsia="Calibri" w:hAnsi="Arial" w:cs="Arial"/>
          <w:b/>
          <w:bCs/>
          <w:sz w:val="22"/>
          <w:szCs w:val="22"/>
          <w:lang w:val="es-MX" w:eastAsia="en-US"/>
        </w:rPr>
        <w:t xml:space="preserve">LEY DE GARANTÍAS ELECTORALES ─ Prohibición artículo 33 ‒ </w:t>
      </w:r>
      <w:bookmarkEnd w:id="7"/>
      <w:r w:rsidRPr="008F28A6">
        <w:rPr>
          <w:rFonts w:ascii="Arial" w:eastAsia="Calibri" w:hAnsi="Arial" w:cs="Arial"/>
          <w:b/>
          <w:bCs/>
          <w:sz w:val="22"/>
          <w:szCs w:val="22"/>
          <w:lang w:val="es-MX" w:eastAsia="en-US"/>
        </w:rPr>
        <w:t xml:space="preserve">Contratación directa ‒ Alcance </w:t>
      </w:r>
    </w:p>
    <w:p w14:paraId="07DDB2B3" w14:textId="77777777" w:rsidR="00AB5DF8" w:rsidRPr="008F28A6" w:rsidRDefault="00AB5DF8" w:rsidP="002652C1">
      <w:pPr>
        <w:tabs>
          <w:tab w:val="left" w:pos="426"/>
        </w:tabs>
        <w:jc w:val="both"/>
        <w:rPr>
          <w:rFonts w:ascii="Arial" w:eastAsia="Calibri" w:hAnsi="Arial" w:cs="Arial"/>
          <w:noProof/>
          <w:sz w:val="20"/>
          <w:szCs w:val="20"/>
          <w:lang w:val="es-MX" w:eastAsia="en-US"/>
        </w:rPr>
      </w:pPr>
    </w:p>
    <w:p w14:paraId="5F1D4016" w14:textId="77777777" w:rsidR="00AB5DF8" w:rsidRPr="008F28A6" w:rsidRDefault="00AB5DF8" w:rsidP="002652C1">
      <w:pPr>
        <w:jc w:val="both"/>
        <w:rPr>
          <w:rFonts w:ascii="Arial" w:hAnsi="Arial" w:cs="Arial"/>
          <w:bCs/>
          <w:sz w:val="20"/>
          <w:szCs w:val="20"/>
          <w:lang w:val="es-MX" w:eastAsia="x-none"/>
        </w:rPr>
      </w:pPr>
      <w:r w:rsidRPr="008F28A6">
        <w:rPr>
          <w:rFonts w:ascii="Arial" w:eastAsia="Calibri" w:hAnsi="Arial" w:cs="Arial"/>
          <w:noProof/>
          <w:sz w:val="20"/>
          <w:szCs w:val="20"/>
          <w:lang w:val="es-MX" w:eastAsia="en-US"/>
        </w:rPr>
        <w:t xml:space="preserve">[…] </w:t>
      </w:r>
      <w:r w:rsidRPr="008F28A6">
        <w:rPr>
          <w:rFonts w:ascii="Arial" w:hAnsi="Arial" w:cs="Arial"/>
          <w:bCs/>
          <w:sz w:val="20"/>
          <w:szCs w:val="20"/>
          <w:lang w:val="es-MX" w:eastAsia="x-none"/>
        </w:rPr>
        <w:t xml:space="preserve">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w:t>
      </w:r>
      <w:r w:rsidRPr="008F28A6">
        <w:rPr>
          <w:rFonts w:ascii="Arial" w:hAnsi="Arial" w:cs="Arial"/>
          <w:bCs/>
          <w:sz w:val="20"/>
          <w:szCs w:val="20"/>
          <w:lang w:val="es-MX" w:eastAsia="x-none"/>
        </w:rPr>
        <w:lastRenderedPageBreak/>
        <w:t>de sus etapas, ni permita la participación de una pluralidad de oferentes</w:t>
      </w:r>
      <w:r w:rsidRPr="008F28A6">
        <w:rPr>
          <w:rFonts w:ascii="Arial" w:hAnsi="Arial" w:cs="Arial"/>
          <w:sz w:val="20"/>
          <w:szCs w:val="20"/>
          <w:vertAlign w:val="superscript"/>
          <w:lang w:eastAsia="x-none"/>
        </w:rPr>
        <w:t xml:space="preserve">. </w:t>
      </w:r>
      <w:r w:rsidRPr="008F28A6">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8F28A6">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8F28A6" w:rsidRDefault="00AB5DF8" w:rsidP="002652C1">
      <w:pPr>
        <w:jc w:val="both"/>
        <w:rPr>
          <w:rFonts w:ascii="Arial" w:hAnsi="Arial" w:cs="Arial"/>
          <w:b/>
          <w:bCs/>
          <w:sz w:val="20"/>
          <w:szCs w:val="20"/>
          <w:lang w:val="es-MX" w:eastAsia="es-ES"/>
        </w:rPr>
      </w:pPr>
    </w:p>
    <w:p w14:paraId="5F03E86A" w14:textId="77777777" w:rsidR="00AB5DF8" w:rsidRPr="008F28A6" w:rsidRDefault="00AB5DF8" w:rsidP="002652C1">
      <w:pPr>
        <w:shd w:val="clear" w:color="auto" w:fill="FFFFFF"/>
        <w:jc w:val="both"/>
        <w:rPr>
          <w:rFonts w:ascii="Arial" w:hAnsi="Arial" w:cs="Arial"/>
          <w:b/>
          <w:bCs/>
          <w:sz w:val="22"/>
          <w:szCs w:val="22"/>
          <w:lang w:eastAsia="es-CO"/>
        </w:rPr>
      </w:pPr>
      <w:r w:rsidRPr="008F28A6">
        <w:rPr>
          <w:rFonts w:ascii="Arial" w:hAnsi="Arial" w:cs="Arial"/>
          <w:b/>
          <w:bCs/>
          <w:sz w:val="22"/>
          <w:szCs w:val="22"/>
          <w:lang w:eastAsia="es-CO"/>
        </w:rPr>
        <w:t xml:space="preserve">LEY DE GARANTÍAS ELECTORALES </w:t>
      </w:r>
      <w:bookmarkStart w:id="8" w:name="_Hlk77022358"/>
      <w:r w:rsidRPr="008F28A6">
        <w:rPr>
          <w:rFonts w:ascii="Arial" w:hAnsi="Arial" w:cs="Arial"/>
          <w:b/>
          <w:bCs/>
          <w:sz w:val="22"/>
          <w:szCs w:val="22"/>
          <w:lang w:eastAsia="es-CO"/>
        </w:rPr>
        <w:t>‒</w:t>
      </w:r>
      <w:bookmarkEnd w:id="8"/>
      <w:r w:rsidRPr="008F28A6">
        <w:rPr>
          <w:rFonts w:ascii="Arial" w:hAnsi="Arial" w:cs="Arial"/>
          <w:b/>
          <w:bCs/>
          <w:sz w:val="22"/>
          <w:szCs w:val="22"/>
          <w:lang w:eastAsia="es-CO"/>
        </w:rPr>
        <w:t xml:space="preserve"> Excepciones</w:t>
      </w:r>
      <w:r w:rsidRPr="008F28A6">
        <w:rPr>
          <w:rFonts w:ascii="Arial" w:hAnsi="Arial" w:cs="Arial"/>
          <w:b/>
          <w:sz w:val="22"/>
          <w:szCs w:val="22"/>
          <w:lang w:eastAsia="es-CO"/>
        </w:rPr>
        <w:t xml:space="preserve"> </w:t>
      </w:r>
    </w:p>
    <w:p w14:paraId="33F8204C" w14:textId="77777777" w:rsidR="00AB5DF8" w:rsidRPr="008F28A6" w:rsidRDefault="00AB5DF8" w:rsidP="002652C1">
      <w:pPr>
        <w:shd w:val="clear" w:color="auto" w:fill="FFFFFF"/>
        <w:jc w:val="both"/>
        <w:rPr>
          <w:rFonts w:ascii="Arial" w:hAnsi="Arial" w:cs="Arial"/>
          <w:b/>
          <w:sz w:val="22"/>
          <w:szCs w:val="22"/>
          <w:lang w:eastAsia="es-CO"/>
        </w:rPr>
      </w:pPr>
    </w:p>
    <w:p w14:paraId="50FBDA27" w14:textId="77777777" w:rsidR="00AB5DF8" w:rsidRPr="008F28A6" w:rsidRDefault="00AB5DF8" w:rsidP="002652C1">
      <w:pPr>
        <w:tabs>
          <w:tab w:val="left" w:pos="426"/>
        </w:tabs>
        <w:jc w:val="both"/>
        <w:rPr>
          <w:rFonts w:ascii="Arial" w:eastAsia="Calibri" w:hAnsi="Arial" w:cs="Arial"/>
          <w:sz w:val="20"/>
          <w:szCs w:val="20"/>
          <w:lang w:val="es-MX" w:eastAsia="en-US"/>
        </w:rPr>
      </w:pPr>
      <w:r w:rsidRPr="008F28A6">
        <w:rPr>
          <w:rFonts w:ascii="Arial" w:hAnsi="Arial" w:cs="Arial"/>
          <w:sz w:val="20"/>
          <w:szCs w:val="20"/>
          <w:lang w:eastAsia="x-none"/>
        </w:rPr>
        <w:t xml:space="preserve">[…] </w:t>
      </w:r>
      <w:r w:rsidRPr="008F28A6">
        <w:rPr>
          <w:rFonts w:ascii="Arial" w:hAnsi="Arial" w:cs="Arial"/>
          <w:bCs/>
          <w:sz w:val="20"/>
          <w:szCs w:val="20"/>
          <w:lang w:val="es-MX"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F1BADBF" w14:textId="77777777" w:rsidR="0030575F" w:rsidRPr="008F28A6" w:rsidRDefault="0030575F" w:rsidP="002652C1">
      <w:pPr>
        <w:tabs>
          <w:tab w:val="left" w:pos="426"/>
        </w:tabs>
        <w:jc w:val="both"/>
        <w:rPr>
          <w:rFonts w:ascii="Arial" w:eastAsia="Calibri" w:hAnsi="Arial" w:cs="Arial"/>
          <w:sz w:val="20"/>
          <w:szCs w:val="20"/>
          <w:lang w:val="es-ES" w:eastAsia="en-US"/>
        </w:rPr>
      </w:pPr>
    </w:p>
    <w:bookmarkEnd w:id="2"/>
    <w:p w14:paraId="654FDB88" w14:textId="77777777" w:rsidR="00DE104F" w:rsidRPr="008F28A6" w:rsidRDefault="00DE104F" w:rsidP="009A773A">
      <w:pPr>
        <w:tabs>
          <w:tab w:val="left" w:pos="426"/>
        </w:tabs>
        <w:spacing w:line="276" w:lineRule="auto"/>
        <w:jc w:val="both"/>
        <w:rPr>
          <w:rFonts w:ascii="Arial" w:hAnsi="Arial" w:cs="Arial"/>
          <w:sz w:val="22"/>
          <w:lang w:val="es-MX"/>
        </w:rPr>
      </w:pPr>
    </w:p>
    <w:p w14:paraId="5659BB71" w14:textId="77777777" w:rsidR="00A266E6" w:rsidRPr="008F28A6" w:rsidRDefault="00A266E6" w:rsidP="009A773A">
      <w:pPr>
        <w:tabs>
          <w:tab w:val="left" w:pos="426"/>
        </w:tabs>
        <w:spacing w:line="276" w:lineRule="auto"/>
        <w:jc w:val="both"/>
        <w:rPr>
          <w:rFonts w:ascii="Arial" w:hAnsi="Arial" w:cs="Arial"/>
          <w:sz w:val="22"/>
          <w:lang w:val="es-MX"/>
        </w:rPr>
      </w:pPr>
    </w:p>
    <w:p w14:paraId="72E863D7" w14:textId="77777777" w:rsidR="00A266E6" w:rsidRPr="008F28A6" w:rsidRDefault="00A266E6" w:rsidP="009A773A">
      <w:pPr>
        <w:tabs>
          <w:tab w:val="left" w:pos="426"/>
        </w:tabs>
        <w:spacing w:line="276" w:lineRule="auto"/>
        <w:jc w:val="both"/>
        <w:rPr>
          <w:rFonts w:ascii="Arial" w:hAnsi="Arial" w:cs="Arial"/>
          <w:sz w:val="22"/>
          <w:lang w:val="es-MX"/>
        </w:rPr>
      </w:pPr>
    </w:p>
    <w:p w14:paraId="09B8E758" w14:textId="77777777" w:rsidR="00C128B2" w:rsidRPr="008F28A6" w:rsidRDefault="00C128B2" w:rsidP="009A773A">
      <w:pPr>
        <w:rPr>
          <w:rFonts w:ascii="Arial" w:hAnsi="Arial" w:cs="Arial"/>
          <w:sz w:val="20"/>
          <w:szCs w:val="20"/>
        </w:rPr>
      </w:pPr>
    </w:p>
    <w:p w14:paraId="4A290EFD" w14:textId="77777777" w:rsidR="00C128B2" w:rsidRPr="008F28A6" w:rsidRDefault="00C128B2" w:rsidP="009A773A">
      <w:pPr>
        <w:rPr>
          <w:rFonts w:ascii="Arial" w:hAnsi="Arial" w:cs="Arial"/>
          <w:sz w:val="22"/>
        </w:rPr>
      </w:pPr>
    </w:p>
    <w:p w14:paraId="02B979EF" w14:textId="77777777" w:rsidR="00C128B2" w:rsidRPr="008F28A6" w:rsidRDefault="00C128B2" w:rsidP="002F3E4E">
      <w:pPr>
        <w:rPr>
          <w:rFonts w:ascii="Arial" w:hAnsi="Arial" w:cs="Arial"/>
          <w:sz w:val="22"/>
        </w:rPr>
      </w:pPr>
    </w:p>
    <w:p w14:paraId="0620495A" w14:textId="77777777" w:rsidR="00C128B2" w:rsidRPr="008F28A6" w:rsidRDefault="00C128B2" w:rsidP="002F3E4E">
      <w:pPr>
        <w:rPr>
          <w:rFonts w:ascii="Arial" w:hAnsi="Arial" w:cs="Arial"/>
          <w:sz w:val="22"/>
        </w:rPr>
      </w:pPr>
    </w:p>
    <w:p w14:paraId="739063AB" w14:textId="77777777" w:rsidR="00C128B2" w:rsidRPr="008F28A6" w:rsidRDefault="00C128B2" w:rsidP="002F3E4E">
      <w:pPr>
        <w:rPr>
          <w:rFonts w:ascii="Arial" w:hAnsi="Arial" w:cs="Arial"/>
          <w:sz w:val="22"/>
        </w:rPr>
      </w:pPr>
    </w:p>
    <w:p w14:paraId="676A107B" w14:textId="77777777" w:rsidR="00C128B2" w:rsidRPr="008F28A6" w:rsidRDefault="00C128B2" w:rsidP="002F3E4E">
      <w:pPr>
        <w:rPr>
          <w:rFonts w:ascii="Arial" w:hAnsi="Arial" w:cs="Arial"/>
          <w:sz w:val="22"/>
        </w:rPr>
      </w:pPr>
    </w:p>
    <w:p w14:paraId="0F328595" w14:textId="1A23D99E" w:rsidR="00C128B2" w:rsidRPr="008F28A6" w:rsidRDefault="00C128B2" w:rsidP="002F3E4E">
      <w:pPr>
        <w:rPr>
          <w:rFonts w:ascii="Arial" w:hAnsi="Arial" w:cs="Arial"/>
          <w:sz w:val="22"/>
        </w:rPr>
      </w:pPr>
    </w:p>
    <w:p w14:paraId="6C603BA4" w14:textId="42F84003" w:rsidR="002652C1" w:rsidRPr="008F28A6" w:rsidRDefault="002652C1" w:rsidP="002F3E4E">
      <w:pPr>
        <w:rPr>
          <w:rFonts w:ascii="Arial" w:hAnsi="Arial" w:cs="Arial"/>
          <w:sz w:val="22"/>
        </w:rPr>
      </w:pPr>
    </w:p>
    <w:p w14:paraId="48BC87FC" w14:textId="65E7422E" w:rsidR="002652C1" w:rsidRPr="008F28A6" w:rsidRDefault="002652C1" w:rsidP="002F3E4E">
      <w:pPr>
        <w:rPr>
          <w:rFonts w:ascii="Arial" w:hAnsi="Arial" w:cs="Arial"/>
          <w:sz w:val="22"/>
        </w:rPr>
      </w:pPr>
    </w:p>
    <w:p w14:paraId="73E2DC5D" w14:textId="112526A7" w:rsidR="002652C1" w:rsidRPr="008F28A6" w:rsidRDefault="002652C1" w:rsidP="002F3E4E">
      <w:pPr>
        <w:rPr>
          <w:rFonts w:ascii="Arial" w:hAnsi="Arial" w:cs="Arial"/>
          <w:sz w:val="22"/>
        </w:rPr>
      </w:pPr>
    </w:p>
    <w:p w14:paraId="59489721" w14:textId="4388E7BA" w:rsidR="002652C1" w:rsidRPr="008F28A6" w:rsidRDefault="002652C1" w:rsidP="002F3E4E">
      <w:pPr>
        <w:rPr>
          <w:rFonts w:ascii="Arial" w:hAnsi="Arial" w:cs="Arial"/>
          <w:sz w:val="22"/>
        </w:rPr>
      </w:pPr>
    </w:p>
    <w:p w14:paraId="762EA9A7" w14:textId="3B9CD7D0" w:rsidR="002652C1" w:rsidRPr="008F28A6" w:rsidRDefault="002652C1" w:rsidP="002F3E4E">
      <w:pPr>
        <w:rPr>
          <w:rFonts w:ascii="Arial" w:hAnsi="Arial" w:cs="Arial"/>
          <w:sz w:val="22"/>
        </w:rPr>
      </w:pPr>
    </w:p>
    <w:p w14:paraId="0B1011DE" w14:textId="633255A9" w:rsidR="002652C1" w:rsidRPr="008F28A6" w:rsidRDefault="002652C1" w:rsidP="002F3E4E">
      <w:pPr>
        <w:rPr>
          <w:rFonts w:ascii="Arial" w:hAnsi="Arial" w:cs="Arial"/>
          <w:sz w:val="22"/>
        </w:rPr>
      </w:pPr>
    </w:p>
    <w:p w14:paraId="1D0D10EF" w14:textId="20D5491A" w:rsidR="002652C1" w:rsidRPr="008F28A6" w:rsidRDefault="002652C1" w:rsidP="002F3E4E">
      <w:pPr>
        <w:rPr>
          <w:rFonts w:ascii="Arial" w:hAnsi="Arial" w:cs="Arial"/>
          <w:sz w:val="22"/>
        </w:rPr>
      </w:pPr>
    </w:p>
    <w:p w14:paraId="3162373F" w14:textId="4E51BF83" w:rsidR="002652C1" w:rsidRPr="008F28A6" w:rsidRDefault="002652C1" w:rsidP="002F3E4E">
      <w:pPr>
        <w:rPr>
          <w:rFonts w:ascii="Arial" w:hAnsi="Arial" w:cs="Arial"/>
          <w:sz w:val="22"/>
        </w:rPr>
      </w:pPr>
    </w:p>
    <w:p w14:paraId="312CF2F6" w14:textId="0D10CDD7" w:rsidR="00DE104F" w:rsidRPr="008F28A6" w:rsidRDefault="00DE104F" w:rsidP="002F3E4E">
      <w:pPr>
        <w:rPr>
          <w:rFonts w:ascii="Arial" w:hAnsi="Arial" w:cs="Arial"/>
          <w:sz w:val="22"/>
        </w:rPr>
      </w:pPr>
    </w:p>
    <w:p w14:paraId="58B56E3F" w14:textId="50C1EB93" w:rsidR="00DE104F" w:rsidRPr="008F28A6" w:rsidRDefault="00DE104F" w:rsidP="002F3E4E">
      <w:pPr>
        <w:rPr>
          <w:rFonts w:ascii="Arial" w:hAnsi="Arial" w:cs="Arial"/>
          <w:sz w:val="22"/>
        </w:rPr>
      </w:pPr>
    </w:p>
    <w:p w14:paraId="3A7746D6" w14:textId="6F2C6BEC" w:rsidR="00DE104F" w:rsidRPr="008F28A6" w:rsidRDefault="00DE104F" w:rsidP="002F3E4E">
      <w:pPr>
        <w:rPr>
          <w:rFonts w:ascii="Arial" w:hAnsi="Arial" w:cs="Arial"/>
          <w:sz w:val="22"/>
        </w:rPr>
      </w:pPr>
    </w:p>
    <w:p w14:paraId="16352EB4" w14:textId="1FC4267B" w:rsidR="00DE104F" w:rsidRPr="008F28A6" w:rsidRDefault="00DE104F" w:rsidP="002F3E4E">
      <w:pPr>
        <w:rPr>
          <w:rFonts w:ascii="Arial" w:hAnsi="Arial" w:cs="Arial"/>
          <w:sz w:val="22"/>
        </w:rPr>
      </w:pPr>
    </w:p>
    <w:p w14:paraId="4305013E" w14:textId="519B81E6" w:rsidR="00DE104F" w:rsidRPr="008F28A6" w:rsidRDefault="00DE104F" w:rsidP="002F3E4E">
      <w:pPr>
        <w:rPr>
          <w:rFonts w:ascii="Arial" w:hAnsi="Arial" w:cs="Arial"/>
          <w:sz w:val="22"/>
        </w:rPr>
      </w:pPr>
    </w:p>
    <w:p w14:paraId="55D32B2C" w14:textId="0188C703" w:rsidR="00DE104F" w:rsidRPr="008F28A6" w:rsidRDefault="00DE104F" w:rsidP="002F3E4E">
      <w:pPr>
        <w:rPr>
          <w:rFonts w:ascii="Arial" w:hAnsi="Arial" w:cs="Arial"/>
          <w:sz w:val="22"/>
        </w:rPr>
      </w:pPr>
    </w:p>
    <w:p w14:paraId="77477143" w14:textId="393B5593" w:rsidR="00DE104F" w:rsidRPr="008F28A6" w:rsidRDefault="00DE104F" w:rsidP="002F3E4E">
      <w:pPr>
        <w:rPr>
          <w:rFonts w:ascii="Arial" w:hAnsi="Arial" w:cs="Arial"/>
          <w:sz w:val="22"/>
        </w:rPr>
      </w:pPr>
    </w:p>
    <w:p w14:paraId="344EB2A8" w14:textId="13999929" w:rsidR="00DE104F" w:rsidRPr="008F28A6" w:rsidRDefault="00DE104F" w:rsidP="002F3E4E">
      <w:pPr>
        <w:rPr>
          <w:rFonts w:ascii="Arial" w:hAnsi="Arial" w:cs="Arial"/>
          <w:sz w:val="22"/>
        </w:rPr>
      </w:pPr>
    </w:p>
    <w:p w14:paraId="06956ECC" w14:textId="71781C17" w:rsidR="00DE104F" w:rsidRPr="008F28A6" w:rsidRDefault="00DE104F" w:rsidP="002F3E4E">
      <w:pPr>
        <w:rPr>
          <w:rFonts w:ascii="Arial" w:hAnsi="Arial" w:cs="Arial"/>
          <w:sz w:val="22"/>
        </w:rPr>
      </w:pPr>
    </w:p>
    <w:p w14:paraId="5B6814D8" w14:textId="776E14A6" w:rsidR="00493CDA" w:rsidRPr="00537ACD" w:rsidRDefault="00A83E4F" w:rsidP="00300726">
      <w:pPr>
        <w:widowControl w:val="0"/>
        <w:autoSpaceDE w:val="0"/>
        <w:autoSpaceDN w:val="0"/>
        <w:rPr>
          <w:rFonts w:ascii="Arial" w:eastAsia="Arial MT" w:hAnsi="Arial" w:cs="Arial"/>
          <w:sz w:val="20"/>
          <w:szCs w:val="22"/>
          <w:lang w:val="es-ES" w:eastAsia="en-US"/>
        </w:rPr>
      </w:pPr>
      <w:r>
        <w:rPr>
          <w:noProof/>
        </w:rPr>
        <w:lastRenderedPageBreak/>
        <w:object w:dxaOrig="1440" w:dyaOrig="1440" w14:anchorId="546FF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93.45pt;margin-top:.15pt;width:193.8pt;height:53.2pt;z-index:251662336;mso-position-horizontal-relative:text;mso-position-vertical-relative:text;mso-width-relative:page;mso-height-relative:page">
            <v:imagedata r:id="rId11" o:title=""/>
            <w10:wrap type="square"/>
          </v:shape>
          <o:OLEObject Type="Embed" ProgID="PBrush" ShapeID="_x0000_s2050" DrawAspect="Content" ObjectID="_1714898461" r:id="rId12"/>
        </w:object>
      </w:r>
    </w:p>
    <w:p w14:paraId="246A2A59" w14:textId="77777777" w:rsidR="001A3C58" w:rsidRPr="00537ACD" w:rsidRDefault="001A3C58" w:rsidP="00300726">
      <w:pPr>
        <w:widowControl w:val="0"/>
        <w:autoSpaceDE w:val="0"/>
        <w:autoSpaceDN w:val="0"/>
        <w:spacing w:before="94"/>
        <w:ind w:right="533"/>
        <w:jc w:val="right"/>
        <w:rPr>
          <w:rFonts w:ascii="Arial" w:eastAsia="Arial MT" w:hAnsi="Arial" w:cs="Arial"/>
          <w:b/>
          <w:sz w:val="18"/>
          <w:szCs w:val="22"/>
          <w:lang w:val="es-ES" w:eastAsia="en-US"/>
        </w:rPr>
      </w:pPr>
      <w:r w:rsidRPr="00537ACD">
        <w:rPr>
          <w:rFonts w:ascii="Arial" w:eastAsia="Arial MT" w:hAnsi="Arial" w:cs="Arial"/>
          <w:b/>
          <w:sz w:val="18"/>
          <w:szCs w:val="22"/>
          <w:lang w:val="es-ES" w:eastAsia="en-US"/>
        </w:rPr>
        <w:t xml:space="preserve">                   </w:t>
      </w:r>
    </w:p>
    <w:p w14:paraId="09664E3E" w14:textId="77777777" w:rsidR="00537ACD" w:rsidRDefault="00537ACD" w:rsidP="00300726">
      <w:pPr>
        <w:widowControl w:val="0"/>
        <w:autoSpaceDE w:val="0"/>
        <w:autoSpaceDN w:val="0"/>
        <w:spacing w:before="94"/>
        <w:ind w:right="533"/>
        <w:jc w:val="right"/>
        <w:rPr>
          <w:rFonts w:ascii="Arial" w:eastAsia="Arial MT" w:hAnsi="Arial" w:cs="Arial"/>
          <w:b/>
          <w:sz w:val="18"/>
          <w:szCs w:val="22"/>
          <w:lang w:val="es-ES" w:eastAsia="en-US"/>
        </w:rPr>
      </w:pPr>
    </w:p>
    <w:p w14:paraId="4F514510" w14:textId="77777777" w:rsidR="00537ACD" w:rsidRDefault="00537ACD" w:rsidP="00300726">
      <w:pPr>
        <w:widowControl w:val="0"/>
        <w:autoSpaceDE w:val="0"/>
        <w:autoSpaceDN w:val="0"/>
        <w:spacing w:before="94"/>
        <w:ind w:right="533"/>
        <w:jc w:val="right"/>
        <w:rPr>
          <w:rFonts w:ascii="Arial" w:eastAsia="Arial MT" w:hAnsi="Arial" w:cs="Arial"/>
          <w:b/>
          <w:sz w:val="18"/>
          <w:szCs w:val="22"/>
          <w:lang w:val="es-ES" w:eastAsia="en-US"/>
        </w:rPr>
      </w:pPr>
    </w:p>
    <w:p w14:paraId="3CDE9B1F" w14:textId="34D44B15" w:rsidR="00300726" w:rsidRPr="00537ACD" w:rsidRDefault="00300726" w:rsidP="00300726">
      <w:pPr>
        <w:widowControl w:val="0"/>
        <w:autoSpaceDE w:val="0"/>
        <w:autoSpaceDN w:val="0"/>
        <w:spacing w:before="94"/>
        <w:ind w:right="533"/>
        <w:jc w:val="right"/>
        <w:rPr>
          <w:rFonts w:ascii="Arial" w:eastAsia="Arial MT" w:hAnsi="Arial" w:cs="Arial"/>
          <w:b/>
          <w:sz w:val="18"/>
          <w:szCs w:val="22"/>
          <w:lang w:val="es-ES" w:eastAsia="en-US"/>
        </w:rPr>
      </w:pPr>
      <w:r w:rsidRPr="00537ACD">
        <w:rPr>
          <w:rFonts w:ascii="Arial" w:eastAsia="Arial MT" w:hAnsi="Arial" w:cs="Arial"/>
          <w:b/>
          <w:sz w:val="18"/>
          <w:szCs w:val="22"/>
          <w:lang w:val="es-ES" w:eastAsia="en-US"/>
        </w:rPr>
        <w:t>CCE-DES-FM-17</w:t>
      </w:r>
    </w:p>
    <w:p w14:paraId="411E65BD" w14:textId="21B8DA38" w:rsidR="00061FA8" w:rsidRDefault="00061FA8" w:rsidP="00061FA8">
      <w:pPr>
        <w:rPr>
          <w:rFonts w:ascii="Arial" w:eastAsia="Calibri" w:hAnsi="Arial" w:cs="Arial"/>
          <w:sz w:val="20"/>
          <w:szCs w:val="20"/>
          <w:lang w:eastAsia="en-US"/>
        </w:rPr>
      </w:pPr>
      <w:r>
        <w:rPr>
          <w:rFonts w:ascii="Arial" w:hAnsi="Arial" w:cs="Arial"/>
          <w:sz w:val="22"/>
          <w:szCs w:val="20"/>
        </w:rPr>
        <w:t>Bogotá, 1</w:t>
      </w:r>
      <w:r>
        <w:rPr>
          <w:rFonts w:ascii="Arial" w:hAnsi="Arial" w:cs="Arial"/>
          <w:sz w:val="22"/>
          <w:szCs w:val="20"/>
        </w:rPr>
        <w:t>8</w:t>
      </w:r>
      <w:r>
        <w:rPr>
          <w:rFonts w:ascii="Arial" w:hAnsi="Arial" w:cs="Arial"/>
          <w:sz w:val="22"/>
          <w:szCs w:val="20"/>
        </w:rPr>
        <w:t xml:space="preserve"> </w:t>
      </w:r>
      <w:r w:rsidR="00A83E4F">
        <w:rPr>
          <w:rFonts w:ascii="Arial" w:hAnsi="Arial" w:cs="Arial"/>
          <w:sz w:val="22"/>
          <w:szCs w:val="20"/>
        </w:rPr>
        <w:t>marzo</w:t>
      </w:r>
      <w:r>
        <w:rPr>
          <w:rFonts w:ascii="Arial" w:hAnsi="Arial" w:cs="Arial"/>
          <w:sz w:val="22"/>
          <w:szCs w:val="20"/>
        </w:rPr>
        <w:t xml:space="preserve"> 2022</w:t>
      </w:r>
    </w:p>
    <w:p w14:paraId="42F1D0CC" w14:textId="352896AF" w:rsidR="00300726" w:rsidRDefault="00300726" w:rsidP="00300726">
      <w:pPr>
        <w:widowControl w:val="0"/>
        <w:autoSpaceDE w:val="0"/>
        <w:autoSpaceDN w:val="0"/>
        <w:rPr>
          <w:rFonts w:ascii="Arial" w:eastAsia="Arial MT" w:hAnsi="Arial" w:cs="Arial"/>
          <w:b/>
          <w:sz w:val="20"/>
          <w:szCs w:val="22"/>
          <w:lang w:val="es-ES" w:eastAsia="en-US"/>
        </w:rPr>
      </w:pPr>
    </w:p>
    <w:p w14:paraId="71298738" w14:textId="77777777" w:rsidR="00061FA8" w:rsidRPr="00537ACD" w:rsidRDefault="00061FA8" w:rsidP="00300726">
      <w:pPr>
        <w:widowControl w:val="0"/>
        <w:autoSpaceDE w:val="0"/>
        <w:autoSpaceDN w:val="0"/>
        <w:rPr>
          <w:rFonts w:ascii="Arial" w:eastAsia="Arial MT" w:hAnsi="Arial" w:cs="Arial"/>
          <w:b/>
          <w:sz w:val="20"/>
          <w:szCs w:val="22"/>
          <w:lang w:val="es-ES" w:eastAsia="en-US"/>
        </w:rPr>
      </w:pPr>
    </w:p>
    <w:p w14:paraId="5F5AE9EF" w14:textId="1AB4C5DD" w:rsidR="00B95C30" w:rsidRPr="008F28A6" w:rsidRDefault="00BE4FBF" w:rsidP="00B95C30">
      <w:pPr>
        <w:jc w:val="both"/>
        <w:rPr>
          <w:rFonts w:ascii="Arial" w:eastAsia="Calibri" w:hAnsi="Arial" w:cs="Arial"/>
          <w:sz w:val="22"/>
        </w:rPr>
      </w:pPr>
      <w:bookmarkStart w:id="9" w:name="_Hlk80951783"/>
      <w:r w:rsidRPr="008F28A6">
        <w:rPr>
          <w:rFonts w:ascii="Arial" w:eastAsia="Calibri" w:hAnsi="Arial" w:cs="Arial"/>
          <w:sz w:val="22"/>
        </w:rPr>
        <w:t>Señor</w:t>
      </w:r>
    </w:p>
    <w:p w14:paraId="28E72F7F" w14:textId="66BBC6E9" w:rsidR="00C8387D" w:rsidRPr="008F28A6" w:rsidRDefault="00C8387D" w:rsidP="00B95C30">
      <w:pPr>
        <w:jc w:val="both"/>
        <w:rPr>
          <w:rFonts w:ascii="Arial" w:eastAsia="Calibri" w:hAnsi="Arial" w:cs="Arial"/>
          <w:b/>
          <w:sz w:val="22"/>
        </w:rPr>
      </w:pPr>
      <w:r w:rsidRPr="008F28A6">
        <w:rPr>
          <w:rFonts w:ascii="Arial" w:eastAsia="Calibri" w:hAnsi="Arial" w:cs="Arial"/>
          <w:b/>
          <w:sz w:val="22"/>
        </w:rPr>
        <w:t xml:space="preserve">José Rafael </w:t>
      </w:r>
      <w:proofErr w:type="spellStart"/>
      <w:r w:rsidRPr="008F28A6">
        <w:rPr>
          <w:rFonts w:ascii="Arial" w:eastAsia="Calibri" w:hAnsi="Arial" w:cs="Arial"/>
          <w:b/>
          <w:sz w:val="22"/>
        </w:rPr>
        <w:t>Ordosgoitia</w:t>
      </w:r>
      <w:proofErr w:type="spellEnd"/>
      <w:r w:rsidRPr="008F28A6">
        <w:rPr>
          <w:rFonts w:ascii="Arial" w:eastAsia="Calibri" w:hAnsi="Arial" w:cs="Arial"/>
          <w:b/>
          <w:sz w:val="22"/>
        </w:rPr>
        <w:t xml:space="preserve"> Ojeda </w:t>
      </w:r>
    </w:p>
    <w:p w14:paraId="65EE8D17" w14:textId="77777777" w:rsidR="0040489F" w:rsidRPr="00537ACD" w:rsidRDefault="0040489F" w:rsidP="0040489F">
      <w:pPr>
        <w:jc w:val="both"/>
        <w:rPr>
          <w:rFonts w:ascii="Arial" w:hAnsi="Arial" w:cs="Arial"/>
          <w:sz w:val="22"/>
        </w:rPr>
      </w:pPr>
      <w:r w:rsidRPr="00537ACD">
        <w:rPr>
          <w:rFonts w:ascii="Arial" w:hAnsi="Arial" w:cs="Arial"/>
          <w:sz w:val="22"/>
        </w:rPr>
        <w:t>Jefe Oficina Jurídica</w:t>
      </w:r>
    </w:p>
    <w:p w14:paraId="34293C12" w14:textId="0BA7A63E" w:rsidR="008164D9" w:rsidRPr="00537ACD" w:rsidRDefault="0040489F" w:rsidP="0040489F">
      <w:pPr>
        <w:jc w:val="both"/>
        <w:rPr>
          <w:rFonts w:ascii="Arial" w:hAnsi="Arial" w:cs="Arial"/>
          <w:sz w:val="22"/>
        </w:rPr>
      </w:pPr>
      <w:r w:rsidRPr="00537ACD">
        <w:rPr>
          <w:rFonts w:ascii="Arial" w:hAnsi="Arial" w:cs="Arial"/>
          <w:sz w:val="22"/>
        </w:rPr>
        <w:t>Agencia Nacional de Tierras</w:t>
      </w:r>
    </w:p>
    <w:p w14:paraId="75D26D3A" w14:textId="7EBB19E8" w:rsidR="0040489F" w:rsidRPr="008F28A6" w:rsidRDefault="0040489F" w:rsidP="0040489F">
      <w:pPr>
        <w:jc w:val="both"/>
        <w:rPr>
          <w:rFonts w:ascii="Arial" w:eastAsia="Calibri" w:hAnsi="Arial" w:cs="Arial"/>
          <w:sz w:val="22"/>
        </w:rPr>
      </w:pPr>
      <w:r w:rsidRPr="008F28A6">
        <w:rPr>
          <w:rFonts w:ascii="Arial" w:hAnsi="Arial" w:cs="Arial"/>
          <w:sz w:val="22"/>
        </w:rPr>
        <w:t>Bogotá, D.C.</w:t>
      </w:r>
    </w:p>
    <w:p w14:paraId="0942E2A4" w14:textId="77777777" w:rsidR="000254DD" w:rsidRPr="008F28A6" w:rsidRDefault="000254DD" w:rsidP="00B95C30">
      <w:pPr>
        <w:jc w:val="both"/>
        <w:rPr>
          <w:rFonts w:ascii="Arial" w:eastAsia="Calibri" w:hAnsi="Arial" w:cs="Arial"/>
          <w:sz w:val="22"/>
        </w:rPr>
      </w:pPr>
    </w:p>
    <w:p w14:paraId="12E66182" w14:textId="18A55F33" w:rsidR="00B95C30" w:rsidRPr="008F28A6" w:rsidRDefault="00A25F2F" w:rsidP="004004C2">
      <w:pPr>
        <w:rPr>
          <w:rFonts w:ascii="Arial" w:eastAsia="Calibri" w:hAnsi="Arial" w:cs="Arial"/>
          <w:b/>
          <w:bCs/>
          <w:sz w:val="22"/>
          <w:lang w:val="es-ES_tradnl"/>
        </w:rPr>
      </w:pPr>
      <w:r w:rsidRPr="008F28A6">
        <w:rPr>
          <w:rFonts w:ascii="Arial" w:eastAsia="Calibri" w:hAnsi="Arial" w:cs="Arial"/>
          <w:b/>
          <w:bCs/>
          <w:sz w:val="22"/>
        </w:rPr>
        <w:t xml:space="preserve">                                            </w:t>
      </w:r>
      <w:r w:rsidR="00B95C30" w:rsidRPr="008F28A6">
        <w:rPr>
          <w:rFonts w:ascii="Arial" w:eastAsia="Calibri" w:hAnsi="Arial" w:cs="Arial"/>
          <w:b/>
          <w:bCs/>
          <w:sz w:val="22"/>
          <w:lang w:val="es-ES_tradnl"/>
        </w:rPr>
        <w:t>Concepto C ‒</w:t>
      </w:r>
      <w:r w:rsidR="00856F87" w:rsidRPr="008F28A6">
        <w:rPr>
          <w:rFonts w:ascii="Arial" w:eastAsia="Calibri" w:hAnsi="Arial" w:cs="Arial"/>
          <w:b/>
          <w:bCs/>
          <w:sz w:val="22"/>
          <w:lang w:val="es-ES_tradnl"/>
        </w:rPr>
        <w:t xml:space="preserve"> </w:t>
      </w:r>
      <w:r w:rsidR="0037246F" w:rsidRPr="008F28A6">
        <w:rPr>
          <w:rFonts w:ascii="Arial" w:eastAsia="Calibri" w:hAnsi="Arial" w:cs="Arial"/>
          <w:b/>
          <w:bCs/>
          <w:sz w:val="22"/>
          <w:lang w:val="es-ES_tradnl"/>
        </w:rPr>
        <w:t>118</w:t>
      </w:r>
      <w:r w:rsidR="00AC3E49" w:rsidRPr="008F28A6">
        <w:rPr>
          <w:rFonts w:ascii="Arial" w:eastAsia="Calibri" w:hAnsi="Arial" w:cs="Arial"/>
          <w:b/>
          <w:bCs/>
          <w:sz w:val="22"/>
          <w:lang w:val="es-ES_tradnl"/>
        </w:rPr>
        <w:t xml:space="preserve"> </w:t>
      </w:r>
      <w:r w:rsidR="005E3AF3" w:rsidRPr="008F28A6">
        <w:rPr>
          <w:rFonts w:ascii="Arial" w:eastAsia="Calibri" w:hAnsi="Arial" w:cs="Arial"/>
          <w:b/>
          <w:bCs/>
          <w:sz w:val="22"/>
          <w:lang w:val="es-ES_tradnl"/>
        </w:rPr>
        <w:t>de 2022</w:t>
      </w:r>
    </w:p>
    <w:p w14:paraId="20200123" w14:textId="461A4C5D" w:rsidR="0096347F" w:rsidRPr="008F28A6" w:rsidRDefault="0096347F"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B5BB8" w:rsidRPr="008F28A6" w14:paraId="19DFC051" w14:textId="77777777" w:rsidTr="008F4163">
        <w:tc>
          <w:tcPr>
            <w:tcW w:w="2689" w:type="dxa"/>
          </w:tcPr>
          <w:p w14:paraId="6BC0D1AC" w14:textId="77777777" w:rsidR="00B95C30" w:rsidRPr="008F28A6" w:rsidRDefault="00B95C30" w:rsidP="008F4163">
            <w:pPr>
              <w:jc w:val="both"/>
              <w:rPr>
                <w:rFonts w:ascii="Arial" w:eastAsia="Calibri" w:hAnsi="Arial" w:cs="Arial"/>
                <w:b/>
                <w:sz w:val="22"/>
                <w:szCs w:val="22"/>
                <w:lang w:val="es-ES_tradnl"/>
              </w:rPr>
            </w:pPr>
            <w:r w:rsidRPr="008F28A6">
              <w:rPr>
                <w:rFonts w:ascii="Arial" w:eastAsia="Calibri" w:hAnsi="Arial" w:cs="Arial"/>
                <w:b/>
                <w:sz w:val="22"/>
                <w:szCs w:val="22"/>
                <w:lang w:val="es-ES_tradnl"/>
              </w:rPr>
              <w:t xml:space="preserve">Temas:                                      </w:t>
            </w:r>
          </w:p>
        </w:tc>
        <w:tc>
          <w:tcPr>
            <w:tcW w:w="6237" w:type="dxa"/>
          </w:tcPr>
          <w:p w14:paraId="5F389CAF" w14:textId="7FF26A7B" w:rsidR="009A773A" w:rsidRPr="008F28A6" w:rsidRDefault="00D353F8" w:rsidP="00B83DD7">
            <w:pPr>
              <w:jc w:val="both"/>
              <w:rPr>
                <w:rFonts w:ascii="Arial" w:eastAsia="Calibri" w:hAnsi="Arial" w:cs="Arial"/>
                <w:sz w:val="22"/>
                <w:szCs w:val="22"/>
                <w:lang w:val="es-ES"/>
              </w:rPr>
            </w:pPr>
            <w:r w:rsidRPr="008F28A6">
              <w:rPr>
                <w:rFonts w:ascii="Arial" w:eastAsia="Calibri" w:hAnsi="Arial" w:cs="Arial"/>
                <w:bCs/>
                <w:sz w:val="22"/>
                <w:szCs w:val="22"/>
                <w:lang w:val="es-MX" w:eastAsia="en-US"/>
              </w:rPr>
              <w:t xml:space="preserve">LEY DE GARANTÍAS ELECTORALES – Finalidad / LEY DE GARANTÍAS ELECTORALES ‒ Restricciones ‒ Contratación ‒ Tipos de elección / LEY DE GARANTÍAS ELECTORALES ─ Prohibición artículo 33 ‒ Contratación directa ‒ Alcance / </w:t>
            </w:r>
            <w:r w:rsidRPr="008F28A6">
              <w:rPr>
                <w:rFonts w:ascii="Arial" w:hAnsi="Arial" w:cs="Arial"/>
                <w:bCs/>
                <w:sz w:val="22"/>
                <w:szCs w:val="22"/>
                <w:lang w:eastAsia="es-CO"/>
              </w:rPr>
              <w:t>LEY DE GARANTÍAS ELECTORALES ‒ Excepciones</w:t>
            </w:r>
            <w:r w:rsidRPr="008F28A6">
              <w:rPr>
                <w:rFonts w:ascii="Arial" w:hAnsi="Arial" w:cs="Arial"/>
                <w:sz w:val="22"/>
                <w:szCs w:val="22"/>
                <w:lang w:eastAsia="es-CO"/>
              </w:rPr>
              <w:t xml:space="preserve"> / </w:t>
            </w:r>
            <w:r w:rsidRPr="008F28A6">
              <w:rPr>
                <w:rFonts w:ascii="Arial" w:hAnsi="Arial" w:cs="Arial"/>
                <w:bCs/>
                <w:sz w:val="22"/>
                <w:szCs w:val="22"/>
                <w:lang w:eastAsia="es-CO"/>
              </w:rPr>
              <w:t xml:space="preserve">LEY DE GARANTÍAS ELECTORALES ‒ </w:t>
            </w:r>
            <w:r w:rsidRPr="008F28A6">
              <w:rPr>
                <w:rFonts w:ascii="Arial" w:hAnsi="Arial" w:cs="Arial"/>
                <w:sz w:val="22"/>
                <w:szCs w:val="22"/>
                <w:lang w:val="es-ES" w:eastAsia="es-CO"/>
              </w:rPr>
              <w:t xml:space="preserve">Prohibición del artículo 33 </w:t>
            </w:r>
            <w:r w:rsidRPr="008F28A6">
              <w:rPr>
                <w:rFonts w:ascii="Arial" w:hAnsi="Arial" w:cs="Arial"/>
                <w:bCs/>
                <w:sz w:val="22"/>
                <w:szCs w:val="22"/>
                <w:lang w:eastAsia="es-CO"/>
              </w:rPr>
              <w:t>‒ Destinatarios</w:t>
            </w:r>
            <w:r w:rsidR="0096347F" w:rsidRPr="008F28A6">
              <w:rPr>
                <w:rFonts w:ascii="Arial" w:hAnsi="Arial" w:cs="Arial"/>
                <w:bCs/>
                <w:sz w:val="22"/>
                <w:szCs w:val="22"/>
                <w:lang w:eastAsia="es-CO"/>
              </w:rPr>
              <w:t xml:space="preserve"> </w:t>
            </w:r>
          </w:p>
        </w:tc>
      </w:tr>
      <w:tr w:rsidR="00B95C30" w:rsidRPr="008F28A6" w14:paraId="27CD52AB" w14:textId="77777777" w:rsidTr="0096347F">
        <w:trPr>
          <w:trHeight w:val="391"/>
        </w:trPr>
        <w:tc>
          <w:tcPr>
            <w:tcW w:w="2689" w:type="dxa"/>
          </w:tcPr>
          <w:p w14:paraId="37E195A1" w14:textId="5F270816" w:rsidR="00B95C30" w:rsidRPr="008F28A6" w:rsidRDefault="00B95C30" w:rsidP="0037246F">
            <w:pPr>
              <w:jc w:val="both"/>
              <w:rPr>
                <w:rFonts w:ascii="Arial" w:eastAsia="Calibri" w:hAnsi="Arial" w:cs="Arial"/>
                <w:sz w:val="22"/>
                <w:szCs w:val="22"/>
                <w:lang w:val="es-ES_tradnl"/>
              </w:rPr>
            </w:pPr>
            <w:r w:rsidRPr="008F28A6">
              <w:rPr>
                <w:rFonts w:ascii="Arial" w:eastAsia="Calibri" w:hAnsi="Arial" w:cs="Arial"/>
                <w:b/>
                <w:sz w:val="22"/>
                <w:szCs w:val="22"/>
                <w:lang w:val="es-ES_tradnl"/>
              </w:rPr>
              <w:t>Radicación</w:t>
            </w:r>
            <w:r w:rsidRPr="008F28A6">
              <w:rPr>
                <w:rFonts w:ascii="Arial" w:eastAsia="Calibri" w:hAnsi="Arial" w:cs="Arial"/>
                <w:sz w:val="22"/>
                <w:szCs w:val="22"/>
                <w:lang w:val="es-ES_tradnl"/>
              </w:rPr>
              <w:t xml:space="preserve">:                              </w:t>
            </w:r>
          </w:p>
        </w:tc>
        <w:tc>
          <w:tcPr>
            <w:tcW w:w="6237" w:type="dxa"/>
          </w:tcPr>
          <w:p w14:paraId="09088B1B" w14:textId="1E084617" w:rsidR="00B95C30" w:rsidRPr="008F28A6" w:rsidRDefault="00B95C30" w:rsidP="0037246F">
            <w:pPr>
              <w:jc w:val="both"/>
              <w:rPr>
                <w:rFonts w:ascii="Arial" w:eastAsia="Calibri" w:hAnsi="Arial" w:cs="Arial"/>
                <w:sz w:val="22"/>
                <w:szCs w:val="22"/>
                <w:lang w:val="es-ES_tradnl"/>
              </w:rPr>
            </w:pPr>
            <w:r w:rsidRPr="008F28A6">
              <w:rPr>
                <w:rFonts w:ascii="Arial" w:eastAsia="Calibri" w:hAnsi="Arial" w:cs="Arial"/>
                <w:sz w:val="22"/>
                <w:szCs w:val="22"/>
                <w:lang w:val="es-ES_tradnl"/>
              </w:rPr>
              <w:t>Respuesta a consulta</w:t>
            </w:r>
            <w:r w:rsidR="009E6CED" w:rsidRPr="008F28A6">
              <w:rPr>
                <w:rFonts w:ascii="Arial" w:eastAsia="Calibri" w:hAnsi="Arial" w:cs="Arial"/>
                <w:sz w:val="22"/>
                <w:szCs w:val="22"/>
                <w:lang w:val="es-ES_tradnl"/>
              </w:rPr>
              <w:t>s acumuladas</w:t>
            </w:r>
            <w:r w:rsidRPr="008F28A6">
              <w:rPr>
                <w:rFonts w:ascii="Arial" w:eastAsia="Calibri" w:hAnsi="Arial" w:cs="Arial"/>
                <w:sz w:val="22"/>
                <w:szCs w:val="22"/>
                <w:lang w:val="es-ES_tradnl"/>
              </w:rPr>
              <w:t xml:space="preserve"> </w:t>
            </w:r>
            <w:proofErr w:type="gramStart"/>
            <w:r w:rsidR="00700BDE" w:rsidRPr="008F28A6">
              <w:rPr>
                <w:rFonts w:ascii="Arial" w:eastAsia="Calibri" w:hAnsi="Arial" w:cs="Arial"/>
                <w:sz w:val="22"/>
                <w:szCs w:val="22"/>
                <w:lang w:val="es-ES_tradnl"/>
              </w:rPr>
              <w:t xml:space="preserve"># </w:t>
            </w:r>
            <w:r w:rsidR="00537ACD" w:rsidRPr="008F28A6">
              <w:rPr>
                <w:rFonts w:ascii="Arial" w:eastAsia="Calibri" w:hAnsi="Arial" w:cs="Arial"/>
                <w:sz w:val="22"/>
                <w:szCs w:val="22"/>
                <w:lang w:val="es-ES_tradnl"/>
              </w:rPr>
              <w:t xml:space="preserve"> </w:t>
            </w:r>
            <w:r w:rsidR="0059594F" w:rsidRPr="008F28A6">
              <w:rPr>
                <w:rFonts w:ascii="Arial" w:eastAsia="Calibri" w:hAnsi="Arial" w:cs="Arial"/>
                <w:sz w:val="22"/>
                <w:szCs w:val="22"/>
                <w:lang w:val="es-ES_tradnl"/>
              </w:rPr>
              <w:t>y</w:t>
            </w:r>
            <w:proofErr w:type="gramEnd"/>
            <w:r w:rsidR="0059594F" w:rsidRPr="008F28A6">
              <w:rPr>
                <w:rFonts w:ascii="Arial" w:eastAsia="Calibri" w:hAnsi="Arial" w:cs="Arial"/>
                <w:sz w:val="22"/>
                <w:szCs w:val="22"/>
                <w:lang w:val="es-ES_tradnl"/>
              </w:rPr>
              <w:t xml:space="preserve"> </w:t>
            </w:r>
            <w:r w:rsidR="000F4DC1" w:rsidRPr="008F28A6">
              <w:rPr>
                <w:rFonts w:ascii="Arial" w:eastAsia="Calibri" w:hAnsi="Arial" w:cs="Arial"/>
                <w:sz w:val="22"/>
                <w:szCs w:val="22"/>
                <w:lang w:val="es-ES_tradnl"/>
              </w:rPr>
              <w:t>P20220211001381</w:t>
            </w:r>
          </w:p>
        </w:tc>
      </w:tr>
    </w:tbl>
    <w:p w14:paraId="46D083B3" w14:textId="73D9B267" w:rsidR="00700BDE" w:rsidRPr="008F28A6" w:rsidRDefault="00700BDE" w:rsidP="003C3339">
      <w:pPr>
        <w:jc w:val="both"/>
        <w:rPr>
          <w:rFonts w:ascii="Arial" w:eastAsia="Calibri" w:hAnsi="Arial" w:cs="Arial"/>
          <w:sz w:val="22"/>
          <w:lang w:val="es-ES_tradnl"/>
        </w:rPr>
      </w:pPr>
    </w:p>
    <w:p w14:paraId="019E1DF8" w14:textId="77777777" w:rsidR="00493CDA" w:rsidRPr="008F28A6" w:rsidRDefault="00493CDA" w:rsidP="003C3339">
      <w:pPr>
        <w:jc w:val="both"/>
        <w:rPr>
          <w:rFonts w:ascii="Arial" w:eastAsia="Calibri" w:hAnsi="Arial" w:cs="Arial"/>
          <w:sz w:val="22"/>
          <w:lang w:val="es-ES_tradnl"/>
        </w:rPr>
      </w:pPr>
    </w:p>
    <w:p w14:paraId="1CF4AEA0" w14:textId="7E05EE99" w:rsidR="003C3339" w:rsidRPr="008F28A6" w:rsidRDefault="003C3339" w:rsidP="003C3339">
      <w:pPr>
        <w:jc w:val="both"/>
        <w:rPr>
          <w:rFonts w:ascii="Arial" w:eastAsia="Calibri" w:hAnsi="Arial" w:cs="Arial"/>
          <w:sz w:val="22"/>
          <w:lang w:val="es-ES_tradnl"/>
        </w:rPr>
      </w:pPr>
      <w:r w:rsidRPr="008F28A6">
        <w:rPr>
          <w:rFonts w:ascii="Arial" w:eastAsia="Calibri" w:hAnsi="Arial" w:cs="Arial"/>
          <w:sz w:val="22"/>
          <w:lang w:val="es-ES_tradnl"/>
        </w:rPr>
        <w:t>Estima</w:t>
      </w:r>
      <w:r w:rsidR="0059594F" w:rsidRPr="008F28A6">
        <w:rPr>
          <w:rFonts w:ascii="Arial" w:eastAsia="Calibri" w:hAnsi="Arial" w:cs="Arial"/>
          <w:sz w:val="22"/>
          <w:lang w:val="es-ES_tradnl"/>
        </w:rPr>
        <w:t>d</w:t>
      </w:r>
      <w:r w:rsidR="00AF1BB7" w:rsidRPr="008F28A6">
        <w:rPr>
          <w:rFonts w:ascii="Arial" w:eastAsia="Calibri" w:hAnsi="Arial" w:cs="Arial"/>
          <w:sz w:val="22"/>
          <w:lang w:val="es-ES_tradnl"/>
        </w:rPr>
        <w:t>o</w:t>
      </w:r>
      <w:r w:rsidR="0059594F" w:rsidRPr="008F28A6">
        <w:rPr>
          <w:rFonts w:ascii="Arial" w:eastAsia="Calibri" w:hAnsi="Arial" w:cs="Arial"/>
          <w:sz w:val="22"/>
          <w:lang w:val="es-ES_tradnl"/>
        </w:rPr>
        <w:t xml:space="preserve"> </w:t>
      </w:r>
      <w:r w:rsidR="00AF1BB7" w:rsidRPr="008F28A6">
        <w:rPr>
          <w:rFonts w:ascii="Arial" w:eastAsia="Calibri" w:hAnsi="Arial" w:cs="Arial"/>
          <w:sz w:val="22"/>
          <w:lang w:val="es-ES_tradnl"/>
        </w:rPr>
        <w:t>doctor</w:t>
      </w:r>
      <w:r w:rsidR="0059594F" w:rsidRPr="008F28A6">
        <w:rPr>
          <w:rFonts w:ascii="Arial" w:eastAsia="Calibri" w:hAnsi="Arial" w:cs="Arial"/>
          <w:sz w:val="22"/>
          <w:lang w:val="es-ES_tradnl"/>
        </w:rPr>
        <w:t xml:space="preserve"> </w:t>
      </w:r>
      <w:proofErr w:type="spellStart"/>
      <w:r w:rsidR="0040489F" w:rsidRPr="008F28A6">
        <w:rPr>
          <w:rFonts w:ascii="Arial" w:eastAsia="Calibri" w:hAnsi="Arial" w:cs="Arial"/>
          <w:sz w:val="22"/>
          <w:lang w:val="es-ES_tradnl"/>
        </w:rPr>
        <w:t>Ordosgo</w:t>
      </w:r>
      <w:r w:rsidR="00AF1BB7" w:rsidRPr="008F28A6">
        <w:rPr>
          <w:rFonts w:ascii="Arial" w:eastAsia="Calibri" w:hAnsi="Arial" w:cs="Arial"/>
          <w:sz w:val="22"/>
          <w:lang w:val="es-ES_tradnl"/>
        </w:rPr>
        <w:t>itia</w:t>
      </w:r>
      <w:proofErr w:type="spellEnd"/>
      <w:r w:rsidR="00E746A6" w:rsidRPr="008F28A6">
        <w:rPr>
          <w:rFonts w:ascii="Arial" w:eastAsia="Calibri" w:hAnsi="Arial" w:cs="Arial"/>
          <w:sz w:val="22"/>
          <w:lang w:val="es-ES_tradnl"/>
        </w:rPr>
        <w:t xml:space="preserve">: </w:t>
      </w:r>
    </w:p>
    <w:p w14:paraId="1EAE5543" w14:textId="77777777" w:rsidR="00DD5B04" w:rsidRPr="008F28A6" w:rsidRDefault="00DD5B04" w:rsidP="00DF76A2">
      <w:pPr>
        <w:jc w:val="both"/>
        <w:rPr>
          <w:rFonts w:ascii="Arial" w:eastAsia="Calibri" w:hAnsi="Arial" w:cs="Arial"/>
          <w:sz w:val="22"/>
          <w:lang w:val="es-ES_tradnl"/>
        </w:rPr>
      </w:pPr>
    </w:p>
    <w:p w14:paraId="2109B2D3" w14:textId="00052060" w:rsidR="00DD5B04" w:rsidRPr="008F28A6" w:rsidRDefault="00DD5B04" w:rsidP="00EB5BB8">
      <w:pPr>
        <w:spacing w:line="276" w:lineRule="auto"/>
        <w:jc w:val="both"/>
        <w:rPr>
          <w:rFonts w:ascii="Arial" w:eastAsia="Calibri" w:hAnsi="Arial" w:cs="Arial"/>
          <w:sz w:val="22"/>
          <w:lang w:val="es-ES_tradnl"/>
        </w:rPr>
      </w:pPr>
      <w:r w:rsidRPr="008F28A6">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426FB4" w:rsidRPr="008F28A6">
        <w:rPr>
          <w:rFonts w:ascii="Arial" w:eastAsia="Calibri" w:hAnsi="Arial" w:cs="Arial"/>
          <w:sz w:val="22"/>
          <w:lang w:val="es-ES_tradnl"/>
        </w:rPr>
        <w:t>–</w:t>
      </w:r>
      <w:r w:rsidRPr="008F28A6">
        <w:rPr>
          <w:rFonts w:ascii="Arial" w:eastAsia="Calibri" w:hAnsi="Arial" w:cs="Arial"/>
          <w:sz w:val="22"/>
          <w:lang w:val="es-ES_tradnl"/>
        </w:rPr>
        <w:t xml:space="preserve"> Colombia Compra Eficiente</w:t>
      </w:r>
      <w:r w:rsidR="008C3C57" w:rsidRPr="008F28A6">
        <w:rPr>
          <w:rFonts w:ascii="Arial" w:eastAsia="Calibri" w:hAnsi="Arial" w:cs="Arial"/>
          <w:sz w:val="22"/>
          <w:lang w:val="es-ES_tradnl"/>
        </w:rPr>
        <w:t xml:space="preserve"> </w:t>
      </w:r>
      <w:r w:rsidR="00436B3F" w:rsidRPr="008F28A6">
        <w:rPr>
          <w:rFonts w:ascii="Arial" w:eastAsia="Calibri" w:hAnsi="Arial" w:cs="Arial"/>
          <w:sz w:val="22"/>
          <w:lang w:val="es-ES_tradnl"/>
        </w:rPr>
        <w:t>responde a su</w:t>
      </w:r>
      <w:r w:rsidR="00CF79B5" w:rsidRPr="008F28A6">
        <w:rPr>
          <w:rFonts w:ascii="Arial" w:eastAsia="Calibri" w:hAnsi="Arial" w:cs="Arial"/>
          <w:sz w:val="22"/>
          <w:lang w:val="es-ES_tradnl"/>
        </w:rPr>
        <w:t>s</w:t>
      </w:r>
      <w:r w:rsidR="00436B3F" w:rsidRPr="008F28A6">
        <w:rPr>
          <w:rFonts w:ascii="Arial" w:eastAsia="Calibri" w:hAnsi="Arial" w:cs="Arial"/>
          <w:sz w:val="22"/>
          <w:lang w:val="es-ES_tradnl"/>
        </w:rPr>
        <w:t xml:space="preserve"> consulta</w:t>
      </w:r>
      <w:r w:rsidR="00CF79B5" w:rsidRPr="008F28A6">
        <w:rPr>
          <w:rFonts w:ascii="Arial" w:eastAsia="Calibri" w:hAnsi="Arial" w:cs="Arial"/>
          <w:sz w:val="22"/>
          <w:lang w:val="es-ES_tradnl"/>
        </w:rPr>
        <w:t xml:space="preserve">s acumuladas del </w:t>
      </w:r>
      <w:r w:rsidR="00CB579F" w:rsidRPr="008F28A6">
        <w:rPr>
          <w:rFonts w:ascii="Arial" w:eastAsia="Calibri" w:hAnsi="Arial" w:cs="Arial"/>
          <w:sz w:val="22"/>
          <w:lang w:val="es-ES_tradnl"/>
        </w:rPr>
        <w:t>9</w:t>
      </w:r>
      <w:r w:rsidR="00BB3871" w:rsidRPr="008F28A6">
        <w:rPr>
          <w:rFonts w:ascii="Arial" w:eastAsia="Calibri" w:hAnsi="Arial" w:cs="Arial"/>
          <w:sz w:val="22"/>
          <w:lang w:val="es-ES_tradnl"/>
        </w:rPr>
        <w:t xml:space="preserve"> y </w:t>
      </w:r>
      <w:r w:rsidR="00CB579F" w:rsidRPr="008F28A6">
        <w:rPr>
          <w:rFonts w:ascii="Arial" w:eastAsia="Calibri" w:hAnsi="Arial" w:cs="Arial"/>
          <w:sz w:val="22"/>
          <w:lang w:val="es-ES_tradnl"/>
        </w:rPr>
        <w:t>11</w:t>
      </w:r>
      <w:r w:rsidR="00BB3871" w:rsidRPr="008F28A6">
        <w:rPr>
          <w:rFonts w:ascii="Arial" w:eastAsia="Calibri" w:hAnsi="Arial" w:cs="Arial"/>
          <w:sz w:val="22"/>
          <w:lang w:val="es-ES_tradnl"/>
        </w:rPr>
        <w:t xml:space="preserve"> de febrero, respectivamente.</w:t>
      </w:r>
      <w:r w:rsidR="00A807FC" w:rsidRPr="008F28A6">
        <w:rPr>
          <w:rFonts w:ascii="Arial" w:eastAsia="Calibri" w:hAnsi="Arial" w:cs="Arial"/>
          <w:sz w:val="22"/>
          <w:lang w:val="es-ES_tradnl"/>
        </w:rPr>
        <w:t xml:space="preserve"> Esta última consulta –</w:t>
      </w:r>
      <w:r w:rsidR="00BC5A7A" w:rsidRPr="008F28A6">
        <w:rPr>
          <w:rFonts w:ascii="Arial" w:eastAsia="Calibri" w:hAnsi="Arial" w:cs="Arial"/>
          <w:sz w:val="22"/>
          <w:szCs w:val="22"/>
          <w:lang w:val="es-ES_tradnl"/>
        </w:rPr>
        <w:t xml:space="preserve"> P20220211001381</w:t>
      </w:r>
      <w:r w:rsidR="00A807FC" w:rsidRPr="008F28A6">
        <w:rPr>
          <w:rFonts w:ascii="Arial" w:eastAsia="Calibri" w:hAnsi="Arial" w:cs="Arial"/>
          <w:sz w:val="22"/>
          <w:lang w:val="es-ES_tradnl"/>
        </w:rPr>
        <w:t xml:space="preserve">– fue remitida por el Departamento Administrativo de la Función Pública, mediante oficio con radicado No. </w:t>
      </w:r>
      <w:r w:rsidR="003A4AF0" w:rsidRPr="008F28A6">
        <w:rPr>
          <w:rFonts w:ascii="Arial" w:eastAsia="Calibri" w:hAnsi="Arial" w:cs="Arial"/>
          <w:sz w:val="22"/>
          <w:lang w:val="es-ES_tradnl"/>
        </w:rPr>
        <w:t>2022204</w:t>
      </w:r>
      <w:r w:rsidR="00EB6D7F" w:rsidRPr="008F28A6">
        <w:rPr>
          <w:rFonts w:ascii="Arial" w:eastAsia="Calibri" w:hAnsi="Arial" w:cs="Arial"/>
          <w:sz w:val="22"/>
          <w:lang w:val="es-ES_tradnl"/>
        </w:rPr>
        <w:t>0072091</w:t>
      </w:r>
      <w:r w:rsidR="00337221" w:rsidRPr="008F28A6">
        <w:rPr>
          <w:rFonts w:ascii="Arial" w:eastAsia="Calibri" w:hAnsi="Arial" w:cs="Arial"/>
          <w:sz w:val="22"/>
          <w:lang w:val="es-ES_tradnl"/>
        </w:rPr>
        <w:t xml:space="preserve"> de la misma fecha. </w:t>
      </w:r>
    </w:p>
    <w:p w14:paraId="447DD1BE" w14:textId="77777777" w:rsidR="007A6F54" w:rsidRPr="008F28A6" w:rsidRDefault="007A6F54" w:rsidP="00DF76A2">
      <w:pPr>
        <w:spacing w:line="276" w:lineRule="auto"/>
        <w:jc w:val="both"/>
        <w:rPr>
          <w:rFonts w:ascii="Arial" w:eastAsia="Calibri" w:hAnsi="Arial" w:cs="Arial"/>
          <w:b/>
          <w:sz w:val="22"/>
          <w:lang w:val="es-ES_tradnl"/>
        </w:rPr>
      </w:pPr>
    </w:p>
    <w:p w14:paraId="7701FCC7" w14:textId="77777777" w:rsidR="00DD5B04" w:rsidRPr="008F28A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F28A6">
        <w:rPr>
          <w:rFonts w:ascii="Arial" w:eastAsia="Calibri" w:hAnsi="Arial" w:cs="Arial"/>
          <w:b/>
          <w:sz w:val="22"/>
          <w:lang w:val="es-ES_tradnl"/>
        </w:rPr>
        <w:t xml:space="preserve">Problema planteado </w:t>
      </w:r>
    </w:p>
    <w:p w14:paraId="224B43D3" w14:textId="77777777" w:rsidR="00DD5B04" w:rsidRPr="008F28A6" w:rsidRDefault="00DD5B04" w:rsidP="00DF76A2">
      <w:pPr>
        <w:tabs>
          <w:tab w:val="left" w:pos="426"/>
        </w:tabs>
        <w:spacing w:line="276" w:lineRule="auto"/>
        <w:jc w:val="both"/>
        <w:rPr>
          <w:rFonts w:ascii="Arial" w:eastAsia="Calibri" w:hAnsi="Arial" w:cs="Arial"/>
          <w:b/>
          <w:sz w:val="22"/>
          <w:lang w:val="es-ES_tradnl"/>
        </w:rPr>
      </w:pPr>
    </w:p>
    <w:p w14:paraId="4BD1A156" w14:textId="6F52F7B2" w:rsidR="00436B3F" w:rsidRPr="008F28A6" w:rsidRDefault="00700BDE" w:rsidP="00A74A1F">
      <w:pPr>
        <w:autoSpaceDE w:val="0"/>
        <w:autoSpaceDN w:val="0"/>
        <w:adjustRightInd w:val="0"/>
        <w:spacing w:line="276" w:lineRule="auto"/>
        <w:jc w:val="both"/>
        <w:rPr>
          <w:rFonts w:ascii="Arial" w:eastAsiaTheme="minorHAnsi" w:hAnsi="Arial" w:cs="Arial"/>
          <w:sz w:val="22"/>
          <w:szCs w:val="22"/>
          <w:lang w:val="es-ES" w:eastAsia="en-US"/>
        </w:rPr>
      </w:pPr>
      <w:r w:rsidRPr="008F28A6">
        <w:rPr>
          <w:rFonts w:ascii="Arial" w:hAnsi="Arial" w:cs="Arial"/>
          <w:sz w:val="22"/>
          <w:szCs w:val="22"/>
          <w:lang w:val="es-ES_tradnl"/>
        </w:rPr>
        <w:t>Uste</w:t>
      </w:r>
      <w:r w:rsidR="00481870" w:rsidRPr="008F28A6">
        <w:rPr>
          <w:rFonts w:ascii="Arial" w:hAnsi="Arial" w:cs="Arial"/>
          <w:sz w:val="22"/>
          <w:szCs w:val="22"/>
          <w:lang w:val="es-ES_tradnl"/>
        </w:rPr>
        <w:t>d</w:t>
      </w:r>
      <w:r w:rsidRPr="008F28A6">
        <w:rPr>
          <w:rFonts w:ascii="Arial" w:hAnsi="Arial" w:cs="Arial"/>
          <w:sz w:val="22"/>
          <w:szCs w:val="22"/>
          <w:lang w:val="es-ES_tradnl"/>
        </w:rPr>
        <w:t xml:space="preserve"> realiza la</w:t>
      </w:r>
      <w:r w:rsidR="00E746A6" w:rsidRPr="008F28A6">
        <w:rPr>
          <w:rFonts w:ascii="Arial" w:hAnsi="Arial" w:cs="Arial"/>
          <w:sz w:val="22"/>
          <w:szCs w:val="22"/>
          <w:lang w:val="es-ES_tradnl"/>
        </w:rPr>
        <w:t xml:space="preserve"> siguiente</w:t>
      </w:r>
      <w:r w:rsidRPr="008F28A6">
        <w:rPr>
          <w:rFonts w:ascii="Arial" w:hAnsi="Arial" w:cs="Arial"/>
          <w:sz w:val="22"/>
          <w:szCs w:val="22"/>
          <w:lang w:val="es-ES_tradnl"/>
        </w:rPr>
        <w:t xml:space="preserve"> pregunta</w:t>
      </w:r>
      <w:r w:rsidR="00BC407F" w:rsidRPr="008F28A6">
        <w:rPr>
          <w:rFonts w:ascii="Arial" w:hAnsi="Arial" w:cs="Arial"/>
          <w:sz w:val="22"/>
          <w:szCs w:val="22"/>
          <w:lang w:val="es-ES_tradnl"/>
        </w:rPr>
        <w:t xml:space="preserve">: </w:t>
      </w:r>
      <w:r w:rsidR="00A74A1F" w:rsidRPr="008F28A6">
        <w:rPr>
          <w:rFonts w:ascii="Arial" w:hAnsi="Arial" w:cs="Arial"/>
          <w:sz w:val="22"/>
          <w:szCs w:val="22"/>
          <w:lang w:val="es-ES_tradnl"/>
        </w:rPr>
        <w:t>«¿La restricción de que trata el artículo 33 de la Ley 996 de 2005 es o no aplicable a los contratos de arrendamiento de que trata la Ley 160 de 1994 y el Acuerdo 106 de 2019, expedido por el Consejo Directivo de la ANT?».</w:t>
      </w:r>
    </w:p>
    <w:p w14:paraId="037E7D68" w14:textId="78124F54" w:rsidR="007446F6" w:rsidRPr="008F28A6" w:rsidRDefault="007446F6" w:rsidP="006B3EB4">
      <w:pPr>
        <w:spacing w:line="276" w:lineRule="auto"/>
        <w:jc w:val="both"/>
        <w:rPr>
          <w:rFonts w:ascii="Arial" w:hAnsi="Arial" w:cs="Arial"/>
          <w:sz w:val="22"/>
          <w:szCs w:val="22"/>
          <w:lang w:val="es-ES_tradnl"/>
        </w:rPr>
      </w:pPr>
    </w:p>
    <w:p w14:paraId="124D2DCA" w14:textId="77777777" w:rsidR="00DD5B04" w:rsidRPr="008F28A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F28A6">
        <w:rPr>
          <w:rFonts w:ascii="Arial" w:eastAsia="Calibri" w:hAnsi="Arial" w:cs="Arial"/>
          <w:b/>
          <w:sz w:val="22"/>
          <w:lang w:val="es-ES_tradnl"/>
        </w:rPr>
        <w:t>Consideraciones</w:t>
      </w:r>
    </w:p>
    <w:p w14:paraId="3DA5ACAB" w14:textId="77777777" w:rsidR="00EC2BED" w:rsidRPr="008F28A6" w:rsidRDefault="00EC2BED" w:rsidP="00EC2BED">
      <w:pPr>
        <w:pStyle w:val="Prrafodelista"/>
        <w:tabs>
          <w:tab w:val="left" w:pos="0"/>
          <w:tab w:val="left" w:pos="284"/>
        </w:tabs>
        <w:ind w:left="0"/>
        <w:jc w:val="both"/>
        <w:rPr>
          <w:rFonts w:ascii="Arial" w:eastAsia="Calibri" w:hAnsi="Arial" w:cs="Arial"/>
          <w:b/>
          <w:sz w:val="22"/>
          <w:lang w:val="es-ES_tradnl"/>
        </w:rPr>
      </w:pPr>
    </w:p>
    <w:p w14:paraId="471B5114" w14:textId="7659A921" w:rsidR="00EC2BED" w:rsidRPr="008F28A6" w:rsidRDefault="00EC2BED" w:rsidP="00EC2BED">
      <w:pPr>
        <w:spacing w:after="120" w:line="276" w:lineRule="auto"/>
        <w:jc w:val="both"/>
        <w:rPr>
          <w:rFonts w:ascii="Arial" w:eastAsia="Calibri" w:hAnsi="Arial" w:cs="Arial"/>
          <w:sz w:val="22"/>
          <w:szCs w:val="22"/>
          <w:lang w:val="es-ES_tradnl"/>
        </w:rPr>
      </w:pPr>
      <w:r w:rsidRPr="008F28A6">
        <w:rPr>
          <w:rFonts w:ascii="Arial" w:eastAsia="Calibri" w:hAnsi="Arial" w:cs="Arial"/>
          <w:sz w:val="22"/>
          <w:szCs w:val="22"/>
          <w:lang w:val="es-ES_tradnl"/>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r w:rsidR="00EB5BB8" w:rsidRPr="008F28A6">
        <w:rPr>
          <w:rFonts w:ascii="Arial" w:eastAsia="Calibri" w:hAnsi="Arial" w:cs="Arial"/>
          <w:sz w:val="22"/>
          <w:szCs w:val="22"/>
          <w:lang w:val="es-ES_tradnl"/>
        </w:rPr>
        <w:t xml:space="preserve"> </w:t>
      </w:r>
      <w:r w:rsidRPr="008F28A6">
        <w:rPr>
          <w:rFonts w:ascii="Arial" w:eastAsia="Calibri" w:hAnsi="Arial" w:cs="Arial"/>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w:t>
      </w:r>
      <w:proofErr w:type="gramStart"/>
      <w:r w:rsidRPr="008F28A6">
        <w:rPr>
          <w:rFonts w:ascii="Arial" w:eastAsia="Calibri" w:hAnsi="Arial" w:cs="Arial"/>
          <w:sz w:val="22"/>
          <w:szCs w:val="22"/>
          <w:lang w:val="es-ES_tradnl"/>
        </w:rPr>
        <w:t>pública .</w:t>
      </w:r>
      <w:proofErr w:type="gramEnd"/>
      <w:r w:rsidRPr="008F28A6">
        <w:rPr>
          <w:rFonts w:ascii="Arial" w:eastAsia="Calibri" w:hAnsi="Arial" w:cs="Arial"/>
          <w:sz w:val="22"/>
          <w:szCs w:val="22"/>
          <w:lang w:val="es-ES_tradnl"/>
        </w:rPr>
        <w:t xml:space="preserve"> Esta competencia de interpretación de normas generales, por definición, no puede extenderse a la resolución de controversias, ni a brindar asesorías sobre casos puntuales. </w:t>
      </w:r>
    </w:p>
    <w:p w14:paraId="7D050D2E" w14:textId="7E024A26" w:rsidR="00435703" w:rsidRPr="008F28A6" w:rsidRDefault="00EC2BED" w:rsidP="00EC2BED">
      <w:pPr>
        <w:spacing w:line="276" w:lineRule="auto"/>
        <w:ind w:firstLine="708"/>
        <w:jc w:val="both"/>
        <w:rPr>
          <w:rFonts w:ascii="Arial" w:eastAsia="Calibri" w:hAnsi="Arial" w:cs="Arial"/>
          <w:sz w:val="22"/>
          <w:szCs w:val="22"/>
          <w:lang w:val="es-ES_tradnl"/>
        </w:rPr>
      </w:pPr>
      <w:r w:rsidRPr="008F28A6">
        <w:rPr>
          <w:rFonts w:ascii="Arial" w:eastAsia="Calibri" w:hAnsi="Arial" w:cs="Arial"/>
          <w:sz w:val="22"/>
          <w:szCs w:val="22"/>
          <w:lang w:val="es-ES_tradnl"/>
        </w:rPr>
        <w:t>Sin perjuicio de lo anterior, la Subdirección –dentro de los límites de sus atribuciones, esto es, haciendo abstracción del caso particular expuesto por el peticionario– resolverá la consulta conforme a las normas generales en materia de contratación estatal.</w:t>
      </w:r>
    </w:p>
    <w:p w14:paraId="718A48D6" w14:textId="616B45F3" w:rsidR="00F54C37" w:rsidRPr="008F28A6" w:rsidRDefault="007A6F54" w:rsidP="007A6F54">
      <w:pPr>
        <w:spacing w:after="120" w:line="276" w:lineRule="auto"/>
        <w:jc w:val="both"/>
        <w:rPr>
          <w:rFonts w:ascii="Arial" w:eastAsia="Calibri" w:hAnsi="Arial" w:cs="Arial"/>
          <w:sz w:val="22"/>
          <w:szCs w:val="22"/>
          <w:lang w:val="es-ES_tradnl"/>
        </w:rPr>
      </w:pPr>
      <w:r w:rsidRPr="008F28A6">
        <w:rPr>
          <w:rFonts w:ascii="Arial" w:hAnsi="Arial" w:cs="Arial"/>
          <w:sz w:val="22"/>
        </w:rPr>
        <w:t xml:space="preserve">Para resolver su consulta se </w:t>
      </w:r>
      <w:r w:rsidR="00EB5BB8" w:rsidRPr="008F28A6">
        <w:rPr>
          <w:rFonts w:ascii="Arial" w:hAnsi="Arial" w:cs="Arial"/>
          <w:sz w:val="22"/>
        </w:rPr>
        <w:t>estudiarán</w:t>
      </w:r>
      <w:r w:rsidR="00E85CE0" w:rsidRPr="008F28A6">
        <w:rPr>
          <w:rFonts w:ascii="Arial" w:eastAsia="Calibri" w:hAnsi="Arial" w:cs="Arial"/>
          <w:sz w:val="22"/>
          <w:lang w:val="es-ES"/>
        </w:rPr>
        <w:t xml:space="preserve"> los siguientes temas:</w:t>
      </w:r>
      <w:r w:rsidR="00E85CE0" w:rsidRPr="008F28A6">
        <w:rPr>
          <w:rFonts w:ascii="Arial" w:eastAsia="Calibri" w:hAnsi="Arial" w:cs="Arial"/>
          <w:bCs/>
          <w:sz w:val="22"/>
        </w:rPr>
        <w:t xml:space="preserve"> i) definición y finalidad de la Ley de Garantías Electorales, ii) restricciones para elecciones presidenciales, iii) destinatarios de la prohibición del artículo 33 de la Ley 996 de 2005, iv) </w:t>
      </w:r>
      <w:r w:rsidR="00E85CE0" w:rsidRPr="008F28A6">
        <w:rPr>
          <w:rFonts w:ascii="Arial" w:eastAsia="Calibri" w:hAnsi="Arial" w:cs="Arial"/>
          <w:sz w:val="22"/>
        </w:rPr>
        <w:t>restricciones en los comicios para cargos de elección popular</w:t>
      </w:r>
      <w:bookmarkStart w:id="10" w:name="_Hlk76110351"/>
      <w:r w:rsidR="00E76535" w:rsidRPr="008F28A6">
        <w:rPr>
          <w:rFonts w:ascii="Arial" w:eastAsia="Calibri" w:hAnsi="Arial" w:cs="Arial"/>
          <w:sz w:val="22"/>
        </w:rPr>
        <w:t xml:space="preserve">, </w:t>
      </w:r>
      <w:r w:rsidR="00A74A1F" w:rsidRPr="008F28A6">
        <w:rPr>
          <w:rFonts w:ascii="Arial" w:eastAsia="Calibri" w:hAnsi="Arial" w:cs="Arial"/>
          <w:sz w:val="22"/>
        </w:rPr>
        <w:t xml:space="preserve">y </w:t>
      </w:r>
      <w:r w:rsidR="00E85CE0" w:rsidRPr="008F28A6">
        <w:rPr>
          <w:rFonts w:ascii="Arial" w:eastAsia="Calibri" w:hAnsi="Arial" w:cs="Arial"/>
          <w:sz w:val="22"/>
        </w:rPr>
        <w:t>v) modificaciones de la Ley de Garantías Electorales realizadas por la ley anual del presupuesto de la vigencia fiscal 2022</w:t>
      </w:r>
      <w:bookmarkEnd w:id="10"/>
      <w:r w:rsidRPr="008F28A6">
        <w:rPr>
          <w:rStyle w:val="Refdenotaalpie"/>
          <w:rFonts w:ascii="Arial" w:eastAsia="Calibri" w:hAnsi="Arial" w:cs="Arial"/>
          <w:sz w:val="22"/>
          <w:szCs w:val="22"/>
        </w:rPr>
        <w:footnoteReference w:id="2"/>
      </w:r>
      <w:r w:rsidR="001A3E7D" w:rsidRPr="008F28A6">
        <w:rPr>
          <w:rFonts w:ascii="Arial" w:eastAsia="Calibri" w:hAnsi="Arial" w:cs="Arial"/>
          <w:sz w:val="22"/>
          <w:szCs w:val="22"/>
        </w:rPr>
        <w:t>.</w:t>
      </w:r>
    </w:p>
    <w:p w14:paraId="3B82364D" w14:textId="193146C9" w:rsidR="00AC7B4D" w:rsidRPr="008F28A6" w:rsidRDefault="001459D2" w:rsidP="00BC5A7A">
      <w:pPr>
        <w:spacing w:line="276" w:lineRule="auto"/>
        <w:ind w:firstLine="709"/>
        <w:jc w:val="both"/>
        <w:rPr>
          <w:rFonts w:ascii="Arial" w:eastAsia="Calibri" w:hAnsi="Arial" w:cs="Arial"/>
          <w:sz w:val="22"/>
        </w:rPr>
      </w:pPr>
      <w:r w:rsidRPr="008F28A6">
        <w:rPr>
          <w:rFonts w:ascii="Arial" w:eastAsia="Calibri" w:hAnsi="Arial" w:cs="Arial"/>
          <w:sz w:val="22"/>
        </w:rPr>
        <w:t>Esta Agencia</w:t>
      </w:r>
      <w:r w:rsidR="00E670DD" w:rsidRPr="008F28A6">
        <w:rPr>
          <w:rFonts w:ascii="Arial" w:eastAsia="Calibri" w:hAnsi="Arial" w:cs="Arial"/>
          <w:sz w:val="22"/>
        </w:rPr>
        <w:t xml:space="preserve"> se ha pronunciado en diferentes ocasiones sobre la Ley de Garantías</w:t>
      </w:r>
      <w:r w:rsidRPr="008F28A6">
        <w:rPr>
          <w:rFonts w:ascii="Arial" w:eastAsia="Calibri" w:hAnsi="Arial" w:cs="Arial"/>
          <w:sz w:val="22"/>
        </w:rPr>
        <w:t xml:space="preserve"> Electorales</w:t>
      </w:r>
      <w:r w:rsidR="002F1369">
        <w:rPr>
          <w:rFonts w:ascii="Arial" w:eastAsia="Calibri" w:hAnsi="Arial" w:cs="Arial"/>
          <w:sz w:val="22"/>
        </w:rPr>
        <w:t>;</w:t>
      </w:r>
      <w:r w:rsidR="00E670DD" w:rsidRPr="008F28A6">
        <w:rPr>
          <w:rFonts w:ascii="Arial" w:eastAsia="Calibri" w:hAnsi="Arial" w:cs="Arial"/>
          <w:sz w:val="22"/>
        </w:rPr>
        <w:t xml:space="preserve"> entre otr</w:t>
      </w:r>
      <w:r w:rsidR="002F1369">
        <w:rPr>
          <w:rFonts w:ascii="Arial" w:eastAsia="Calibri" w:hAnsi="Arial" w:cs="Arial"/>
          <w:sz w:val="22"/>
        </w:rPr>
        <w:t>a</w:t>
      </w:r>
      <w:r w:rsidR="00E670DD" w:rsidRPr="008F28A6">
        <w:rPr>
          <w:rFonts w:ascii="Arial" w:eastAsia="Calibri" w:hAnsi="Arial" w:cs="Arial"/>
          <w:sz w:val="22"/>
        </w:rPr>
        <w:t>s, en los</w:t>
      </w:r>
      <w:r w:rsidR="00953B3E" w:rsidRPr="00537ACD">
        <w:rPr>
          <w:rFonts w:ascii="Arial" w:hAnsi="Arial" w:cs="Arial"/>
        </w:rPr>
        <w:t xml:space="preserve"> </w:t>
      </w:r>
      <w:r w:rsidR="007A6F54" w:rsidRPr="008F28A6">
        <w:rPr>
          <w:rFonts w:ascii="Arial" w:eastAsia="Calibri" w:hAnsi="Arial" w:cs="Arial"/>
          <w:sz w:val="22"/>
        </w:rPr>
        <w:t>c</w:t>
      </w:r>
      <w:r w:rsidR="00953B3E" w:rsidRPr="008F28A6">
        <w:rPr>
          <w:rFonts w:ascii="Arial" w:eastAsia="Calibri" w:hAnsi="Arial" w:cs="Arial"/>
          <w:sz w:val="22"/>
        </w:rPr>
        <w:t xml:space="preserve">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w:t>
      </w:r>
      <w:r w:rsidR="00953B3E" w:rsidRPr="008F28A6">
        <w:rPr>
          <w:rFonts w:ascii="Arial" w:eastAsia="Calibri" w:hAnsi="Arial" w:cs="Arial"/>
          <w:sz w:val="22"/>
        </w:rPr>
        <w:lastRenderedPageBreak/>
        <w:t>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w:t>
      </w:r>
      <w:r w:rsidR="003D5D33" w:rsidRPr="008F28A6">
        <w:rPr>
          <w:rFonts w:ascii="Arial" w:eastAsia="Calibri" w:hAnsi="Arial" w:cs="Arial"/>
          <w:sz w:val="22"/>
        </w:rPr>
        <w:t xml:space="preserve">, </w:t>
      </w:r>
      <w:r w:rsidR="00953B3E" w:rsidRPr="008F28A6">
        <w:rPr>
          <w:rFonts w:ascii="Arial" w:eastAsia="Calibri" w:hAnsi="Arial" w:cs="Arial"/>
          <w:sz w:val="22"/>
        </w:rPr>
        <w:t>C-037 del 21 de enero de 2022</w:t>
      </w:r>
      <w:r w:rsidR="003D5D33" w:rsidRPr="008F28A6">
        <w:rPr>
          <w:rFonts w:ascii="Arial" w:eastAsia="Calibri" w:hAnsi="Arial" w:cs="Arial"/>
          <w:sz w:val="22"/>
        </w:rPr>
        <w:t xml:space="preserve">, </w:t>
      </w:r>
      <w:r w:rsidR="009A186A" w:rsidRPr="008F28A6">
        <w:rPr>
          <w:rFonts w:ascii="Arial" w:eastAsia="Calibri" w:hAnsi="Arial" w:cs="Arial"/>
          <w:sz w:val="22"/>
        </w:rPr>
        <w:t>C-002 del 15 de febrero de 2022</w:t>
      </w:r>
      <w:r w:rsidR="00A57E94" w:rsidRPr="008F28A6">
        <w:rPr>
          <w:rFonts w:ascii="Arial" w:eastAsia="Calibri" w:hAnsi="Arial" w:cs="Arial"/>
          <w:sz w:val="22"/>
        </w:rPr>
        <w:t xml:space="preserve"> </w:t>
      </w:r>
      <w:r w:rsidR="003D5D33" w:rsidRPr="008F28A6">
        <w:rPr>
          <w:rFonts w:ascii="Arial" w:eastAsia="Calibri" w:hAnsi="Arial" w:cs="Arial"/>
          <w:sz w:val="22"/>
        </w:rPr>
        <w:t>y C-116 del 18 de febrero de 202</w:t>
      </w:r>
      <w:r w:rsidR="005A3F49" w:rsidRPr="008F28A6">
        <w:rPr>
          <w:rFonts w:ascii="Arial" w:eastAsia="Calibri" w:hAnsi="Arial" w:cs="Arial"/>
          <w:sz w:val="22"/>
        </w:rPr>
        <w:t>2. L</w:t>
      </w:r>
      <w:r w:rsidR="00A15343" w:rsidRPr="008F28A6">
        <w:rPr>
          <w:rFonts w:ascii="Arial" w:eastAsia="Calibri" w:hAnsi="Arial" w:cs="Arial"/>
          <w:sz w:val="22"/>
        </w:rPr>
        <w:t>as tesis de estos conceptos se reitera</w:t>
      </w:r>
      <w:r w:rsidR="000D54CC" w:rsidRPr="008F28A6">
        <w:rPr>
          <w:rFonts w:ascii="Arial" w:eastAsia="Calibri" w:hAnsi="Arial" w:cs="Arial"/>
          <w:sz w:val="22"/>
        </w:rPr>
        <w:t>n</w:t>
      </w:r>
      <w:r w:rsidR="00A15343" w:rsidRPr="008F28A6">
        <w:rPr>
          <w:rFonts w:ascii="Arial" w:eastAsia="Calibri" w:hAnsi="Arial" w:cs="Arial"/>
          <w:sz w:val="22"/>
        </w:rPr>
        <w:t xml:space="preserve"> a continuación y se complementa</w:t>
      </w:r>
      <w:r w:rsidR="000D54CC" w:rsidRPr="008F28A6">
        <w:rPr>
          <w:rFonts w:ascii="Arial" w:eastAsia="Calibri" w:hAnsi="Arial" w:cs="Arial"/>
          <w:sz w:val="22"/>
        </w:rPr>
        <w:t>n</w:t>
      </w:r>
      <w:r w:rsidR="00A15343" w:rsidRPr="008F28A6">
        <w:rPr>
          <w:rFonts w:ascii="Arial" w:eastAsia="Calibri" w:hAnsi="Arial" w:cs="Arial"/>
          <w:sz w:val="22"/>
        </w:rPr>
        <w:t xml:space="preserve"> en lo pertinente</w:t>
      </w:r>
      <w:r w:rsidR="00AC1708" w:rsidRPr="008F28A6">
        <w:rPr>
          <w:rFonts w:ascii="Arial" w:eastAsia="Calibri" w:hAnsi="Arial" w:cs="Arial"/>
          <w:sz w:val="22"/>
        </w:rPr>
        <w:t>.</w:t>
      </w:r>
    </w:p>
    <w:p w14:paraId="3E026B0C" w14:textId="77777777" w:rsidR="00BC5A7A" w:rsidRPr="008F28A6" w:rsidRDefault="00BC5A7A" w:rsidP="001459D2">
      <w:pPr>
        <w:spacing w:line="276" w:lineRule="auto"/>
        <w:jc w:val="both"/>
        <w:rPr>
          <w:rFonts w:ascii="Arial" w:eastAsia="Calibri" w:hAnsi="Arial" w:cs="Arial"/>
          <w:sz w:val="22"/>
        </w:rPr>
      </w:pPr>
    </w:p>
    <w:p w14:paraId="100D8D6E" w14:textId="77777777" w:rsidR="00A74046" w:rsidRPr="008F28A6" w:rsidRDefault="00A74046" w:rsidP="00481870">
      <w:pPr>
        <w:tabs>
          <w:tab w:val="left" w:pos="426"/>
        </w:tabs>
        <w:jc w:val="both"/>
        <w:rPr>
          <w:rFonts w:ascii="Arial" w:eastAsia="Calibri" w:hAnsi="Arial" w:cs="Arial"/>
          <w:b/>
          <w:bCs/>
          <w:sz w:val="22"/>
          <w:szCs w:val="22"/>
        </w:rPr>
      </w:pPr>
      <w:r w:rsidRPr="008F28A6">
        <w:rPr>
          <w:rFonts w:ascii="Arial" w:eastAsia="Calibri" w:hAnsi="Arial" w:cs="Arial"/>
          <w:b/>
          <w:bCs/>
          <w:sz w:val="22"/>
          <w:szCs w:val="22"/>
        </w:rPr>
        <w:t>2.1. Definición y finalidad de la Ley de Garantías Electorales: alcance de las restricciones</w:t>
      </w:r>
    </w:p>
    <w:p w14:paraId="72F77206" w14:textId="77777777" w:rsidR="00A74046" w:rsidRPr="008F28A6" w:rsidRDefault="00A74046" w:rsidP="00A74046">
      <w:pPr>
        <w:tabs>
          <w:tab w:val="left" w:pos="426"/>
        </w:tabs>
        <w:ind w:firstLine="709"/>
        <w:rPr>
          <w:rFonts w:ascii="Arial" w:eastAsia="Calibri" w:hAnsi="Arial" w:cs="Arial"/>
          <w:bCs/>
          <w:sz w:val="22"/>
          <w:szCs w:val="22"/>
        </w:rPr>
      </w:pPr>
    </w:p>
    <w:p w14:paraId="7B52C725" w14:textId="55169945" w:rsidR="0013748B" w:rsidRPr="008F28A6" w:rsidRDefault="00A74046" w:rsidP="00481870">
      <w:pPr>
        <w:tabs>
          <w:tab w:val="left" w:pos="426"/>
        </w:tabs>
        <w:spacing w:after="120" w:line="276" w:lineRule="auto"/>
        <w:jc w:val="both"/>
        <w:rPr>
          <w:rFonts w:ascii="Arial" w:hAnsi="Arial" w:cs="Arial"/>
          <w:bCs/>
          <w:sz w:val="22"/>
          <w:szCs w:val="22"/>
          <w:lang w:eastAsia="es-CO"/>
        </w:rPr>
      </w:pPr>
      <w:r w:rsidRPr="008F28A6">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8F28A6">
        <w:rPr>
          <w:rFonts w:ascii="Arial" w:eastAsia="Calibri" w:hAnsi="Arial" w:cs="Arial"/>
          <w:bCs/>
          <w:i/>
          <w:iCs/>
          <w:sz w:val="22"/>
          <w:szCs w:val="22"/>
        </w:rPr>
        <w:t xml:space="preserve">. </w:t>
      </w:r>
      <w:r w:rsidRPr="008F28A6">
        <w:rPr>
          <w:rFonts w:ascii="Arial" w:eastAsia="Calibri" w:hAnsi="Arial" w:cs="Arial"/>
          <w:bCs/>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8F28A6">
        <w:rPr>
          <w:rStyle w:val="Refdenotaalpie"/>
          <w:rFonts w:ascii="Arial" w:eastAsia="Calibri" w:hAnsi="Arial" w:cs="Arial"/>
          <w:bCs/>
          <w:sz w:val="22"/>
          <w:szCs w:val="22"/>
        </w:rPr>
        <w:footnoteReference w:id="3"/>
      </w:r>
      <w:r w:rsidRPr="008F28A6">
        <w:rPr>
          <w:rFonts w:ascii="Arial" w:eastAsia="Calibri" w:hAnsi="Arial" w:cs="Arial"/>
          <w:bCs/>
          <w:sz w:val="22"/>
          <w:szCs w:val="22"/>
        </w:rPr>
        <w:t xml:space="preserve">. </w:t>
      </w:r>
      <w:r w:rsidR="0013748B" w:rsidRPr="008F28A6">
        <w:rPr>
          <w:rFonts w:ascii="Arial" w:eastAsia="Calibri" w:hAnsi="Arial" w:cs="Arial"/>
          <w:bCs/>
          <w:sz w:val="22"/>
          <w:szCs w:val="22"/>
        </w:rPr>
        <w:t>En consona</w:t>
      </w:r>
      <w:r w:rsidR="00756F79" w:rsidRPr="008F28A6">
        <w:rPr>
          <w:rFonts w:ascii="Arial" w:eastAsia="Calibri" w:hAnsi="Arial" w:cs="Arial"/>
          <w:bCs/>
          <w:sz w:val="22"/>
          <w:szCs w:val="22"/>
        </w:rPr>
        <w:t xml:space="preserve">ncia con esto, el artículo 152, </w:t>
      </w:r>
      <w:r w:rsidR="00413704" w:rsidRPr="008F28A6">
        <w:rPr>
          <w:rFonts w:ascii="Arial" w:eastAsia="Calibri" w:hAnsi="Arial" w:cs="Arial"/>
          <w:bCs/>
          <w:sz w:val="22"/>
          <w:szCs w:val="22"/>
        </w:rPr>
        <w:t>literal f) establece el deber d</w:t>
      </w:r>
      <w:r w:rsidR="00492142" w:rsidRPr="008F28A6">
        <w:rPr>
          <w:rFonts w:ascii="Arial" w:eastAsia="Calibri" w:hAnsi="Arial" w:cs="Arial"/>
          <w:bCs/>
          <w:sz w:val="22"/>
          <w:szCs w:val="22"/>
        </w:rPr>
        <w:t xml:space="preserve">el </w:t>
      </w:r>
      <w:r w:rsidR="00F7026C" w:rsidRPr="008F28A6">
        <w:rPr>
          <w:rFonts w:ascii="Arial" w:eastAsia="Calibri" w:hAnsi="Arial" w:cs="Arial"/>
          <w:bCs/>
          <w:sz w:val="22"/>
          <w:szCs w:val="22"/>
        </w:rPr>
        <w:t xml:space="preserve">Legislador de expedir normas estatutarias que </w:t>
      </w:r>
      <w:r w:rsidR="003B296B" w:rsidRPr="008F28A6">
        <w:rPr>
          <w:rFonts w:ascii="Arial" w:eastAsia="Calibri" w:hAnsi="Arial" w:cs="Arial"/>
          <w:bCs/>
          <w:sz w:val="22"/>
          <w:szCs w:val="22"/>
        </w:rPr>
        <w:t xml:space="preserve">garanticen la igualdad entre los candidatos a la </w:t>
      </w:r>
      <w:r w:rsidR="00346BEC" w:rsidRPr="008F28A6">
        <w:rPr>
          <w:rFonts w:ascii="Arial" w:eastAsia="Calibri" w:hAnsi="Arial" w:cs="Arial"/>
          <w:bCs/>
          <w:sz w:val="22"/>
          <w:szCs w:val="22"/>
        </w:rPr>
        <w:t xml:space="preserve">Presidencia </w:t>
      </w:r>
      <w:r w:rsidR="003B296B" w:rsidRPr="008F28A6">
        <w:rPr>
          <w:rFonts w:ascii="Arial" w:eastAsia="Calibri" w:hAnsi="Arial" w:cs="Arial"/>
          <w:bCs/>
          <w:sz w:val="22"/>
          <w:szCs w:val="22"/>
        </w:rPr>
        <w:t>de la República</w:t>
      </w:r>
      <w:r w:rsidR="00C76A73" w:rsidRPr="008F28A6">
        <w:rPr>
          <w:rStyle w:val="Refdenotaalpie"/>
          <w:rFonts w:ascii="Arial" w:eastAsia="Calibri" w:hAnsi="Arial" w:cs="Arial"/>
          <w:bCs/>
          <w:sz w:val="22"/>
          <w:szCs w:val="22"/>
        </w:rPr>
        <w:footnoteReference w:id="4"/>
      </w:r>
      <w:r w:rsidR="00C76A73" w:rsidRPr="008F28A6">
        <w:rPr>
          <w:rFonts w:ascii="Arial" w:eastAsia="Calibri" w:hAnsi="Arial" w:cs="Arial"/>
          <w:bCs/>
          <w:sz w:val="22"/>
          <w:szCs w:val="22"/>
        </w:rPr>
        <w:t>.</w:t>
      </w:r>
    </w:p>
    <w:p w14:paraId="00F52EF8" w14:textId="16D32D7B" w:rsidR="00A74046" w:rsidRPr="008F28A6" w:rsidRDefault="00756F79" w:rsidP="00481870">
      <w:pPr>
        <w:tabs>
          <w:tab w:val="left" w:pos="426"/>
        </w:tabs>
        <w:spacing w:line="276" w:lineRule="auto"/>
        <w:ind w:firstLine="709"/>
        <w:jc w:val="both"/>
        <w:rPr>
          <w:rFonts w:ascii="Arial" w:hAnsi="Arial" w:cs="Arial"/>
          <w:bCs/>
          <w:sz w:val="22"/>
          <w:szCs w:val="22"/>
          <w:lang w:eastAsia="es-CO"/>
        </w:rPr>
      </w:pPr>
      <w:r w:rsidRPr="008F28A6">
        <w:rPr>
          <w:rFonts w:ascii="Arial" w:hAnsi="Arial" w:cs="Arial"/>
          <w:bCs/>
          <w:sz w:val="22"/>
          <w:szCs w:val="22"/>
          <w:lang w:eastAsia="es-CO"/>
        </w:rPr>
        <w:t>L</w:t>
      </w:r>
      <w:r w:rsidR="00A74046" w:rsidRPr="008F28A6">
        <w:rPr>
          <w:rFonts w:ascii="Arial" w:hAnsi="Arial" w:cs="Arial"/>
          <w:bCs/>
          <w:sz w:val="22"/>
          <w:szCs w:val="22"/>
          <w:lang w:eastAsia="es-CO"/>
        </w:rPr>
        <w:t>a Ley 996 de 2005, conocida como «Ley de Garantías Electorales», se suma a</w:t>
      </w:r>
      <w:r w:rsidRPr="008F28A6">
        <w:rPr>
          <w:rFonts w:ascii="Arial" w:hAnsi="Arial" w:cs="Arial"/>
          <w:bCs/>
          <w:sz w:val="22"/>
          <w:szCs w:val="22"/>
          <w:lang w:eastAsia="es-CO"/>
        </w:rPr>
        <w:t xml:space="preserve"> este</w:t>
      </w:r>
      <w:r w:rsidR="00A74046" w:rsidRPr="008F28A6">
        <w:rPr>
          <w:rFonts w:ascii="Arial" w:hAnsi="Arial" w:cs="Arial"/>
          <w:bCs/>
          <w:sz w:val="22"/>
          <w:szCs w:val="22"/>
          <w:lang w:eastAsia="es-CO"/>
        </w:rPr>
        <w:t xml:space="preserve"> andamiaje de orden constitucional y legal que se ha ocupado de evitar la injerencia inadecuada de intereses particulares en el ejercicio de la función pública. Esta ley tiene </w:t>
      </w:r>
      <w:r w:rsidR="00A74046" w:rsidRPr="008F28A6">
        <w:rPr>
          <w:rFonts w:ascii="Arial" w:hAnsi="Arial" w:cs="Arial"/>
          <w:bCs/>
          <w:sz w:val="22"/>
          <w:szCs w:val="22"/>
          <w:lang w:eastAsia="es-CO"/>
        </w:rPr>
        <w:lastRenderedPageBreak/>
        <w:t>como propósito evitar cualquier tipo de arbitrariedad, de ventaja injustificada, de uso irregular de los recursos del Estado en las campañas o falta de garantías en la elección presidencial</w:t>
      </w:r>
      <w:r w:rsidR="00A74046" w:rsidRPr="008F28A6">
        <w:rPr>
          <w:rStyle w:val="Refdenotaalpie"/>
          <w:rFonts w:ascii="Arial" w:hAnsi="Arial" w:cs="Arial"/>
          <w:bCs/>
          <w:sz w:val="22"/>
          <w:szCs w:val="22"/>
          <w:lang w:eastAsia="es-CO"/>
        </w:rPr>
        <w:footnoteReference w:id="5"/>
      </w:r>
      <w:r w:rsidR="00A74046" w:rsidRPr="008F28A6">
        <w:rPr>
          <w:rFonts w:ascii="Arial" w:hAnsi="Arial" w:cs="Arial"/>
          <w:bCs/>
          <w:sz w:val="22"/>
          <w:szCs w:val="22"/>
          <w:lang w:eastAsia="es-CO"/>
        </w:rPr>
        <w:t>. En esta medida, introduce limitaciones para realizar nombramientos, postulaciones, contrataciones o cualquier otro tipo de actividad que implique destinación de recursos públicos bajo el devenir propio de las entidades estatales.</w:t>
      </w:r>
      <w:r w:rsidR="00A74046" w:rsidRPr="008F28A6">
        <w:rPr>
          <w:rFonts w:ascii="Arial" w:eastAsia="Calibri" w:hAnsi="Arial" w:cs="Arial"/>
          <w:noProof/>
          <w:sz w:val="22"/>
          <w:szCs w:val="22"/>
          <w:lang w:val="es-ES_tradnl"/>
        </w:rPr>
        <w:t xml:space="preserve"> </w:t>
      </w:r>
      <w:r w:rsidR="00A74046" w:rsidRPr="008F28A6">
        <w:rPr>
          <w:rFonts w:ascii="Arial" w:hAnsi="Arial" w:cs="Arial"/>
          <w:bCs/>
          <w:sz w:val="22"/>
          <w:szCs w:val="22"/>
          <w:lang w:eastAsia="es-CO"/>
        </w:rPr>
        <w:t>En armonía con lo anterior, la Corte Constitucional ha abordado la definición de la Ley de Garantías Electorales</w:t>
      </w:r>
      <w:r w:rsidR="001745FB" w:rsidRPr="008F28A6">
        <w:rPr>
          <w:rFonts w:ascii="Arial" w:hAnsi="Arial" w:cs="Arial"/>
          <w:bCs/>
          <w:sz w:val="22"/>
          <w:szCs w:val="22"/>
          <w:lang w:eastAsia="es-CO"/>
        </w:rPr>
        <w:t xml:space="preserve">, en los </w:t>
      </w:r>
      <w:r w:rsidR="00DC3B6B" w:rsidRPr="008F28A6">
        <w:rPr>
          <w:rFonts w:ascii="Arial" w:hAnsi="Arial" w:cs="Arial"/>
          <w:bCs/>
          <w:sz w:val="22"/>
          <w:szCs w:val="22"/>
          <w:lang w:eastAsia="es-CO"/>
        </w:rPr>
        <w:t>siguientes términos</w:t>
      </w:r>
      <w:r w:rsidR="00A74046" w:rsidRPr="008F28A6">
        <w:rPr>
          <w:rFonts w:ascii="Arial" w:hAnsi="Arial" w:cs="Arial"/>
          <w:bCs/>
          <w:sz w:val="22"/>
          <w:szCs w:val="22"/>
          <w:lang w:eastAsia="es-CO"/>
        </w:rPr>
        <w:t>:</w:t>
      </w:r>
    </w:p>
    <w:p w14:paraId="59179F7B" w14:textId="77777777" w:rsidR="00A74046" w:rsidRPr="008F28A6" w:rsidRDefault="00A74046" w:rsidP="00A74046">
      <w:pPr>
        <w:ind w:right="709"/>
        <w:rPr>
          <w:rFonts w:ascii="Arial" w:hAnsi="Arial" w:cs="Arial"/>
          <w:sz w:val="22"/>
          <w:szCs w:val="22"/>
          <w:lang w:val="es-ES" w:eastAsia="es-CO"/>
        </w:rPr>
      </w:pPr>
    </w:p>
    <w:p w14:paraId="7A4E2525" w14:textId="77777777" w:rsidR="00A74046" w:rsidRPr="008F28A6" w:rsidRDefault="00A74046" w:rsidP="00481870">
      <w:pPr>
        <w:ind w:left="709" w:right="709"/>
        <w:jc w:val="both"/>
        <w:rPr>
          <w:rFonts w:ascii="Arial" w:hAnsi="Arial" w:cs="Arial"/>
          <w:bCs/>
          <w:sz w:val="22"/>
          <w:szCs w:val="22"/>
          <w:lang w:eastAsia="es-CO"/>
        </w:rPr>
      </w:pPr>
      <w:r w:rsidRPr="008F28A6">
        <w:rPr>
          <w:rFonts w:ascii="Arial" w:hAnsi="Arial" w:cs="Arial"/>
          <w:sz w:val="22"/>
          <w:szCs w:val="22"/>
          <w:lang w:val="es-ES" w:eastAsia="es-CO"/>
        </w:rPr>
        <w:t xml:space="preserve">[…] </w:t>
      </w:r>
      <w:r w:rsidRPr="008F28A6">
        <w:rPr>
          <w:rFonts w:ascii="Arial" w:hAnsi="Arial" w:cs="Arial"/>
          <w:bCs/>
          <w:sz w:val="22"/>
          <w:szCs w:val="22"/>
          <w:lang w:eastAsia="es-CO"/>
        </w:rPr>
        <w:t>la definición de reglas claras que permitan acceder a los canales de expresión democrática de manera efectiva e igualitaria. El objetivo de una ley de garantías es definir esas reglas.</w:t>
      </w:r>
    </w:p>
    <w:p w14:paraId="22F40497" w14:textId="77777777" w:rsidR="00A74046" w:rsidRPr="008F28A6" w:rsidRDefault="00A74046" w:rsidP="00481870">
      <w:pPr>
        <w:spacing w:after="120"/>
        <w:ind w:left="709" w:right="709"/>
        <w:jc w:val="both"/>
        <w:rPr>
          <w:rFonts w:ascii="Arial" w:hAnsi="Arial" w:cs="Arial"/>
          <w:bCs/>
          <w:sz w:val="22"/>
          <w:szCs w:val="22"/>
          <w:lang w:eastAsia="es-CO"/>
        </w:rPr>
      </w:pPr>
      <w:r w:rsidRPr="008F28A6">
        <w:rPr>
          <w:rFonts w:ascii="Arial" w:hAnsi="Arial" w:cs="Arial"/>
          <w:bCs/>
          <w:sz w:val="22"/>
          <w:szCs w:val="22"/>
          <w:lang w:eastAsia="es-CO"/>
        </w:rPr>
        <w:t xml:space="preserve">[…] </w:t>
      </w:r>
    </w:p>
    <w:p w14:paraId="0660C9FC" w14:textId="77777777" w:rsidR="00A74046" w:rsidRPr="008F28A6" w:rsidRDefault="00A74046" w:rsidP="00481870">
      <w:pPr>
        <w:ind w:left="709" w:right="709"/>
        <w:jc w:val="both"/>
        <w:rPr>
          <w:rFonts w:ascii="Arial" w:hAnsi="Arial" w:cs="Arial"/>
          <w:bCs/>
          <w:sz w:val="22"/>
          <w:szCs w:val="22"/>
          <w:lang w:eastAsia="es-CO"/>
        </w:rPr>
      </w:pPr>
      <w:r w:rsidRPr="008F28A6">
        <w:rPr>
          <w:rFonts w:ascii="Arial" w:hAnsi="Arial" w:cs="Arial"/>
          <w:bCs/>
          <w:sz w:val="22"/>
          <w:szCs w:val="22"/>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F28A6">
        <w:rPr>
          <w:rStyle w:val="Refdenotaalpie"/>
          <w:rFonts w:ascii="Arial" w:hAnsi="Arial" w:cs="Arial"/>
          <w:sz w:val="22"/>
          <w:szCs w:val="22"/>
        </w:rPr>
        <w:footnoteReference w:id="6"/>
      </w:r>
    </w:p>
    <w:p w14:paraId="4A3173B5" w14:textId="77777777" w:rsidR="00A74046" w:rsidRPr="008F28A6" w:rsidRDefault="00A74046" w:rsidP="00A74046">
      <w:pPr>
        <w:ind w:left="709" w:right="709"/>
        <w:rPr>
          <w:rFonts w:ascii="Arial" w:hAnsi="Arial" w:cs="Arial"/>
          <w:bCs/>
          <w:sz w:val="22"/>
          <w:szCs w:val="22"/>
          <w:lang w:eastAsia="es-CO"/>
        </w:rPr>
      </w:pPr>
    </w:p>
    <w:p w14:paraId="6630B234" w14:textId="38318D7B" w:rsidR="00A74046" w:rsidRPr="008F28A6" w:rsidRDefault="00A74046" w:rsidP="00481870">
      <w:pPr>
        <w:spacing w:line="276" w:lineRule="auto"/>
        <w:ind w:firstLine="709"/>
        <w:jc w:val="both"/>
        <w:rPr>
          <w:rFonts w:ascii="Arial" w:hAnsi="Arial" w:cs="Arial"/>
          <w:bCs/>
          <w:sz w:val="22"/>
          <w:szCs w:val="22"/>
          <w:lang w:eastAsia="es-CO"/>
        </w:rPr>
      </w:pPr>
      <w:bookmarkStart w:id="11" w:name="_Hlk78818186"/>
      <w:r w:rsidRPr="008F28A6">
        <w:rPr>
          <w:rFonts w:ascii="Arial" w:hAnsi="Arial" w:cs="Arial"/>
          <w:bCs/>
          <w:sz w:val="22"/>
          <w:szCs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8F28A6">
        <w:rPr>
          <w:rFonts w:ascii="Arial" w:hAnsi="Arial" w:cs="Arial"/>
          <w:bCs/>
          <w:sz w:val="22"/>
          <w:szCs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53171B8" w14:textId="77777777" w:rsidR="00A74046" w:rsidRPr="008F28A6" w:rsidRDefault="00A74046" w:rsidP="00A74046">
      <w:pPr>
        <w:ind w:firstLine="709"/>
        <w:rPr>
          <w:rFonts w:ascii="Arial" w:hAnsi="Arial" w:cs="Arial"/>
          <w:bCs/>
          <w:sz w:val="22"/>
          <w:lang w:eastAsia="es-CO"/>
        </w:rPr>
      </w:pPr>
    </w:p>
    <w:p w14:paraId="04E49137" w14:textId="77777777" w:rsidR="00A74046" w:rsidRPr="008F28A6" w:rsidRDefault="00A74046" w:rsidP="00481870">
      <w:pPr>
        <w:spacing w:after="120"/>
        <w:ind w:left="709" w:right="709"/>
        <w:jc w:val="both"/>
        <w:rPr>
          <w:rFonts w:ascii="Arial" w:hAnsi="Arial" w:cs="Arial"/>
          <w:bCs/>
          <w:sz w:val="21"/>
          <w:szCs w:val="21"/>
          <w:lang w:eastAsia="es-CO"/>
        </w:rPr>
      </w:pPr>
      <w:r w:rsidRPr="008F28A6">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F28A6">
        <w:rPr>
          <w:rFonts w:ascii="Arial" w:hAnsi="Arial" w:cs="Arial"/>
          <w:bCs/>
          <w:sz w:val="21"/>
          <w:szCs w:val="21"/>
          <w:lang w:eastAsia="es-CO"/>
        </w:rPr>
        <w:t>legis</w:t>
      </w:r>
      <w:proofErr w:type="spellEnd"/>
      <w:r w:rsidRPr="008F28A6">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w:t>
      </w:r>
      <w:r w:rsidRPr="008F28A6">
        <w:rPr>
          <w:rFonts w:ascii="Arial" w:hAnsi="Arial" w:cs="Arial"/>
          <w:bCs/>
          <w:sz w:val="21"/>
          <w:szCs w:val="21"/>
          <w:lang w:eastAsia="es-CO"/>
        </w:rPr>
        <w:lastRenderedPageBreak/>
        <w:t>público, razón por la cual no son disponibles ni pueden ser derogadas, modificadas, ampliadas o adicionadas por acuerdo o convenio o acto unilateral.</w:t>
      </w:r>
    </w:p>
    <w:p w14:paraId="4FA397B6" w14:textId="77777777" w:rsidR="00A74046" w:rsidRPr="008F28A6" w:rsidRDefault="00A74046" w:rsidP="00481870">
      <w:pPr>
        <w:ind w:left="709" w:right="709"/>
        <w:jc w:val="both"/>
        <w:rPr>
          <w:rFonts w:ascii="Arial" w:hAnsi="Arial" w:cs="Arial"/>
          <w:bCs/>
          <w:sz w:val="21"/>
          <w:szCs w:val="21"/>
          <w:lang w:eastAsia="es-CO"/>
        </w:rPr>
      </w:pPr>
      <w:r w:rsidRPr="008F28A6">
        <w:rPr>
          <w:rFonts w:ascii="Arial" w:hAnsi="Arial" w:cs="Arial"/>
          <w:bCs/>
          <w:sz w:val="21"/>
          <w:szCs w:val="21"/>
          <w:lang w:eastAsia="es-CO"/>
        </w:rPr>
        <w:t>La jurisprudencia de la Corte Constitucional</w:t>
      </w:r>
      <w:r w:rsidRPr="008F28A6">
        <w:rPr>
          <w:rStyle w:val="Refdenotaalpie"/>
          <w:rFonts w:ascii="Arial" w:hAnsi="Arial" w:cs="Arial"/>
          <w:bCs/>
          <w:sz w:val="21"/>
          <w:szCs w:val="21"/>
          <w:lang w:eastAsia="es-CO"/>
        </w:rPr>
        <w:footnoteReference w:id="7"/>
      </w:r>
      <w:r w:rsidRPr="008F28A6">
        <w:rPr>
          <w:rFonts w:ascii="Arial" w:hAnsi="Arial" w:cs="Arial"/>
          <w:bCs/>
          <w:sz w:val="21"/>
          <w:szCs w:val="21"/>
          <w:lang w:eastAsia="es-CO"/>
        </w:rPr>
        <w:t> y del Consejo de Estado</w:t>
      </w:r>
      <w:r w:rsidRPr="008F28A6">
        <w:rPr>
          <w:rStyle w:val="Refdenotaalpie"/>
          <w:rFonts w:ascii="Arial" w:hAnsi="Arial" w:cs="Arial"/>
          <w:bCs/>
          <w:sz w:val="21"/>
          <w:szCs w:val="21"/>
          <w:lang w:eastAsia="es-CO"/>
        </w:rPr>
        <w:footnoteReference w:id="8"/>
      </w:r>
      <w:r w:rsidRPr="008F28A6">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F28A6">
        <w:rPr>
          <w:rStyle w:val="Refdenotaalpie"/>
          <w:rFonts w:ascii="Arial" w:hAnsi="Arial" w:cs="Arial"/>
          <w:bCs/>
          <w:sz w:val="21"/>
          <w:szCs w:val="21"/>
          <w:lang w:eastAsia="es-CO"/>
        </w:rPr>
        <w:footnoteReference w:id="9"/>
      </w:r>
      <w:r w:rsidRPr="008F28A6">
        <w:rPr>
          <w:rFonts w:ascii="Arial" w:hAnsi="Arial" w:cs="Arial"/>
          <w:bCs/>
          <w:sz w:val="21"/>
          <w:szCs w:val="21"/>
          <w:lang w:eastAsia="es-CO"/>
        </w:rPr>
        <w:t>.</w:t>
      </w:r>
    </w:p>
    <w:p w14:paraId="52000BD0" w14:textId="77777777" w:rsidR="00A74046" w:rsidRPr="008F28A6" w:rsidRDefault="00A74046" w:rsidP="00A74046">
      <w:pPr>
        <w:ind w:right="709"/>
        <w:rPr>
          <w:rFonts w:ascii="Arial" w:hAnsi="Arial" w:cs="Arial"/>
          <w:bCs/>
          <w:sz w:val="21"/>
          <w:szCs w:val="21"/>
          <w:lang w:eastAsia="es-CO"/>
        </w:rPr>
      </w:pPr>
    </w:p>
    <w:p w14:paraId="66D21D93" w14:textId="77777777" w:rsidR="00A74046" w:rsidRPr="008F28A6" w:rsidRDefault="00A74046" w:rsidP="00481870">
      <w:pPr>
        <w:spacing w:after="120" w:line="276" w:lineRule="auto"/>
        <w:jc w:val="both"/>
        <w:rPr>
          <w:rFonts w:ascii="Arial" w:eastAsia="Arial" w:hAnsi="Arial" w:cs="Arial"/>
          <w:sz w:val="22"/>
          <w:lang w:val="es-ES" w:eastAsia="es-ES" w:bidi="es-ES"/>
        </w:rPr>
      </w:pPr>
      <w:r w:rsidRPr="008F28A6">
        <w:rPr>
          <w:rFonts w:ascii="Arial" w:hAnsi="Arial" w:cs="Arial"/>
          <w:bCs/>
          <w:sz w:val="22"/>
          <w:lang w:eastAsia="es-CO"/>
        </w:rPr>
        <w:tab/>
        <w:t>De</w:t>
      </w:r>
      <w:r w:rsidRPr="008F28A6">
        <w:rPr>
          <w:rFonts w:ascii="Arial" w:eastAsia="Arial" w:hAnsi="Arial" w:cs="Arial"/>
          <w:sz w:val="22"/>
          <w:lang w:val="es-ES" w:eastAsia="es-ES" w:bidi="es-ES"/>
        </w:rPr>
        <w:t xml:space="preserve"> conformidad con lo anterior, </w:t>
      </w:r>
      <w:bookmarkStart w:id="12" w:name="_Hlk77236098"/>
      <w:r w:rsidRPr="008F28A6">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25C589A3" w14:textId="77777777" w:rsidR="00A74046" w:rsidRPr="008F28A6" w:rsidRDefault="00A74046" w:rsidP="00481870">
      <w:pPr>
        <w:spacing w:after="120" w:line="276" w:lineRule="auto"/>
        <w:ind w:firstLine="708"/>
        <w:jc w:val="both"/>
        <w:rPr>
          <w:rFonts w:ascii="Arial" w:eastAsia="Calibri" w:hAnsi="Arial" w:cs="Arial"/>
          <w:sz w:val="22"/>
        </w:rPr>
      </w:pPr>
      <w:r w:rsidRPr="008F28A6">
        <w:rPr>
          <w:rFonts w:ascii="Arial" w:eastAsia="Calibri" w:hAnsi="Arial" w:cs="Arial"/>
          <w:sz w:val="22"/>
        </w:rPr>
        <w:t xml:space="preserve">Por un lado, el artículo 33 de la Ley 996 de 2005 prohíbe </w:t>
      </w:r>
      <w:r w:rsidRPr="008F28A6">
        <w:rPr>
          <w:rFonts w:ascii="Arial" w:eastAsia="Calibri" w:hAnsi="Arial" w:cs="Arial"/>
          <w:bCs/>
          <w:sz w:val="22"/>
        </w:rPr>
        <w:t xml:space="preserve">«[…] </w:t>
      </w:r>
      <w:r w:rsidRPr="008F28A6">
        <w:rPr>
          <w:rFonts w:ascii="Arial" w:eastAsia="Calibri" w:hAnsi="Arial" w:cs="Arial"/>
          <w:sz w:val="22"/>
        </w:rPr>
        <w:t>la contratación directa por parte de todos los entes del Estado</w:t>
      </w:r>
      <w:r w:rsidRPr="008F28A6">
        <w:rPr>
          <w:rFonts w:ascii="Arial" w:eastAsia="Calibri" w:hAnsi="Arial" w:cs="Arial"/>
          <w:bCs/>
          <w:sz w:val="22"/>
        </w:rPr>
        <w:t>»</w:t>
      </w:r>
      <w:r w:rsidRPr="008F28A6">
        <w:rPr>
          <w:rFonts w:ascii="Arial" w:eastAsia="Calibri" w:hAnsi="Arial" w:cs="Arial"/>
          <w:sz w:val="22"/>
        </w:rPr>
        <w:t xml:space="preserve"> durante los cuatro (4) meses anteriores a las elecciones presidenciales, salvo </w:t>
      </w:r>
      <w:r w:rsidRPr="008F28A6">
        <w:rPr>
          <w:rFonts w:ascii="Arial" w:eastAsia="Calibri" w:hAnsi="Arial" w:cs="Arial"/>
          <w:bCs/>
          <w:sz w:val="22"/>
        </w:rPr>
        <w:t xml:space="preserve">«[…] </w:t>
      </w:r>
      <w:r w:rsidRPr="008F28A6">
        <w:rPr>
          <w:rFonts w:ascii="Arial" w:eastAsia="Calibri" w:hAnsi="Arial" w:cs="Arial"/>
          <w:sz w:val="22"/>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8F28A6">
        <w:rPr>
          <w:rFonts w:ascii="Arial" w:eastAsia="Calibri" w:hAnsi="Arial" w:cs="Arial"/>
          <w:sz w:val="22"/>
        </w:rPr>
        <w:lastRenderedPageBreak/>
        <w:t>sido objeto de atentados, acciones terroristas, desastres naturales o casos de fuerza mayor, y los que deban realizar las entidades sanitarias y hospitalarias</w:t>
      </w:r>
      <w:r w:rsidRPr="008F28A6">
        <w:rPr>
          <w:rFonts w:ascii="Arial" w:eastAsia="Calibri" w:hAnsi="Arial" w:cs="Arial"/>
          <w:bCs/>
          <w:sz w:val="22"/>
        </w:rPr>
        <w:t>»</w:t>
      </w:r>
      <w:r w:rsidRPr="008F28A6">
        <w:rPr>
          <w:rFonts w:ascii="Arial" w:eastAsia="Calibri" w:hAnsi="Arial" w:cs="Arial"/>
          <w:bCs/>
          <w:sz w:val="22"/>
          <w:vertAlign w:val="superscript"/>
        </w:rPr>
        <w:footnoteReference w:id="10"/>
      </w:r>
      <w:r w:rsidRPr="008F28A6">
        <w:rPr>
          <w:rFonts w:ascii="Arial" w:eastAsia="Calibri" w:hAnsi="Arial" w:cs="Arial"/>
          <w:sz w:val="22"/>
        </w:rPr>
        <w:t>.</w:t>
      </w:r>
    </w:p>
    <w:p w14:paraId="263E0802" w14:textId="77777777" w:rsidR="00A74046" w:rsidRPr="008F28A6" w:rsidRDefault="00A74046" w:rsidP="00481870">
      <w:pPr>
        <w:widowControl w:val="0"/>
        <w:autoSpaceDE w:val="0"/>
        <w:autoSpaceDN w:val="0"/>
        <w:spacing w:line="276" w:lineRule="auto"/>
        <w:ind w:right="113" w:firstLine="708"/>
        <w:jc w:val="both"/>
        <w:rPr>
          <w:rFonts w:ascii="Arial" w:eastAsia="Arial" w:hAnsi="Arial" w:cs="Arial"/>
          <w:sz w:val="22"/>
          <w:lang w:val="es-ES" w:eastAsia="es-ES" w:bidi="es-ES"/>
        </w:rPr>
      </w:pPr>
      <w:r w:rsidRPr="008F28A6">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F28A6">
        <w:rPr>
          <w:rFonts w:ascii="Arial" w:eastAsia="Calibri" w:hAnsi="Arial" w:cs="Arial"/>
          <w:bCs/>
          <w:sz w:val="22"/>
        </w:rPr>
        <w:t xml:space="preserve">«[…] </w:t>
      </w:r>
      <w:r w:rsidRPr="008F28A6">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F28A6">
        <w:rPr>
          <w:rFonts w:ascii="Arial" w:eastAsia="Calibri" w:hAnsi="Arial" w:cs="Arial"/>
          <w:bCs/>
          <w:sz w:val="19"/>
          <w:szCs w:val="19"/>
        </w:rPr>
        <w:t>»</w:t>
      </w:r>
      <w:r w:rsidRPr="008F28A6">
        <w:rPr>
          <w:rFonts w:ascii="Arial" w:eastAsia="Calibri" w:hAnsi="Arial" w:cs="Arial"/>
          <w:bCs/>
          <w:sz w:val="19"/>
          <w:szCs w:val="19"/>
          <w:vertAlign w:val="superscript"/>
        </w:rPr>
        <w:footnoteReference w:id="11"/>
      </w:r>
      <w:r w:rsidRPr="008F28A6">
        <w:rPr>
          <w:rFonts w:ascii="Arial" w:eastAsia="Calibri" w:hAnsi="Arial" w:cs="Arial"/>
          <w:sz w:val="22"/>
        </w:rPr>
        <w:t>.</w:t>
      </w:r>
      <w:r w:rsidRPr="008F28A6">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4C60DBE" w14:textId="77777777" w:rsidR="00A74046" w:rsidRPr="008F28A6" w:rsidRDefault="00A74046" w:rsidP="00A74046">
      <w:pPr>
        <w:widowControl w:val="0"/>
        <w:autoSpaceDE w:val="0"/>
        <w:autoSpaceDN w:val="0"/>
        <w:ind w:left="805" w:right="812"/>
        <w:rPr>
          <w:rFonts w:ascii="Arial" w:eastAsia="Arial" w:hAnsi="Arial" w:cs="Arial"/>
          <w:sz w:val="22"/>
          <w:lang w:val="es-ES" w:eastAsia="es-ES" w:bidi="es-ES"/>
        </w:rPr>
      </w:pPr>
    </w:p>
    <w:p w14:paraId="2D0A03C6" w14:textId="77777777" w:rsidR="00A74046" w:rsidRPr="008F28A6" w:rsidRDefault="00A74046" w:rsidP="00481870">
      <w:pPr>
        <w:widowControl w:val="0"/>
        <w:autoSpaceDE w:val="0"/>
        <w:autoSpaceDN w:val="0"/>
        <w:ind w:left="709" w:right="709"/>
        <w:jc w:val="both"/>
        <w:rPr>
          <w:rFonts w:ascii="Arial" w:eastAsia="Arial" w:hAnsi="Arial" w:cs="Arial"/>
          <w:sz w:val="21"/>
          <w:szCs w:val="21"/>
          <w:lang w:val="es-ES" w:eastAsia="es-ES" w:bidi="es-ES"/>
        </w:rPr>
      </w:pPr>
      <w:r w:rsidRPr="008F28A6">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F28A6">
        <w:rPr>
          <w:rFonts w:ascii="Arial" w:eastAsia="Arial" w:hAnsi="Arial" w:cs="Arial"/>
          <w:bCs/>
          <w:sz w:val="21"/>
          <w:szCs w:val="21"/>
          <w:lang w:val="es-ES" w:eastAsia="es-ES" w:bidi="es-ES"/>
        </w:rPr>
        <w:t xml:space="preserve">En cambio, para elecciones en general, excluyendo las correspondientes a </w:t>
      </w:r>
      <w:proofErr w:type="gramStart"/>
      <w:r w:rsidRPr="008F28A6">
        <w:rPr>
          <w:rFonts w:ascii="Arial" w:eastAsia="Arial" w:hAnsi="Arial" w:cs="Arial"/>
          <w:bCs/>
          <w:sz w:val="21"/>
          <w:szCs w:val="21"/>
          <w:lang w:val="es-ES" w:eastAsia="es-ES" w:bidi="es-ES"/>
        </w:rPr>
        <w:t>Presidente</w:t>
      </w:r>
      <w:proofErr w:type="gramEnd"/>
      <w:r w:rsidRPr="008F28A6">
        <w:rPr>
          <w:rFonts w:ascii="Arial" w:eastAsia="Arial" w:hAnsi="Arial" w:cs="Arial"/>
          <w:bCs/>
          <w:sz w:val="21"/>
          <w:szCs w:val="21"/>
          <w:lang w:val="es-ES" w:eastAsia="es-ES" w:bidi="es-ES"/>
        </w:rPr>
        <w:t xml:space="preserve"> de la República, a las autoridades territoriales allí mencionadas sólo se aplican las </w:t>
      </w:r>
      <w:r w:rsidRPr="008F28A6">
        <w:rPr>
          <w:rFonts w:ascii="Arial" w:eastAsia="Arial" w:hAnsi="Arial" w:cs="Arial"/>
          <w:bCs/>
          <w:sz w:val="21"/>
          <w:szCs w:val="21"/>
          <w:lang w:val="es-ES" w:eastAsia="es-ES" w:bidi="es-ES"/>
        </w:rPr>
        <w:lastRenderedPageBreak/>
        <w:t>restricciones contenidas en el parágrafo del artículo 38</w:t>
      </w:r>
      <w:r w:rsidRPr="008F28A6">
        <w:rPr>
          <w:rFonts w:ascii="Arial" w:eastAsia="Arial" w:hAnsi="Arial" w:cs="Arial"/>
          <w:sz w:val="21"/>
          <w:szCs w:val="21"/>
          <w:lang w:val="es-ES" w:eastAsia="es-ES" w:bidi="es-ES"/>
        </w:rPr>
        <w:t>.</w:t>
      </w:r>
      <w:r w:rsidRPr="008F28A6">
        <w:rPr>
          <w:rFonts w:ascii="Arial" w:eastAsia="Arial" w:hAnsi="Arial" w:cs="Arial"/>
          <w:sz w:val="21"/>
          <w:szCs w:val="21"/>
          <w:vertAlign w:val="superscript"/>
          <w:lang w:val="es-ES" w:eastAsia="es-ES" w:bidi="es-ES"/>
        </w:rPr>
        <w:footnoteReference w:id="12"/>
      </w:r>
    </w:p>
    <w:p w14:paraId="743F7CEC" w14:textId="77777777" w:rsidR="00A74046" w:rsidRPr="008F28A6" w:rsidRDefault="00A74046" w:rsidP="00A74046">
      <w:pPr>
        <w:widowControl w:val="0"/>
        <w:autoSpaceDE w:val="0"/>
        <w:autoSpaceDN w:val="0"/>
        <w:spacing w:before="8"/>
        <w:rPr>
          <w:rFonts w:ascii="Arial" w:eastAsia="Arial" w:hAnsi="Arial" w:cs="Arial"/>
          <w:sz w:val="22"/>
          <w:lang w:val="es-ES" w:eastAsia="es-ES" w:bidi="es-ES"/>
        </w:rPr>
      </w:pPr>
    </w:p>
    <w:p w14:paraId="42A85A34" w14:textId="5A445403" w:rsidR="00A74046" w:rsidRPr="008F28A6" w:rsidRDefault="00A74046" w:rsidP="00481870">
      <w:pPr>
        <w:spacing w:after="120" w:line="276" w:lineRule="auto"/>
        <w:ind w:firstLine="709"/>
        <w:jc w:val="both"/>
        <w:rPr>
          <w:rFonts w:ascii="Arial" w:eastAsia="Arial" w:hAnsi="Arial" w:cs="Arial"/>
          <w:sz w:val="22"/>
          <w:lang w:val="es-ES" w:eastAsia="es-ES" w:bidi="es-ES"/>
        </w:rPr>
      </w:pPr>
      <w:r w:rsidRPr="008F28A6">
        <w:rPr>
          <w:rFonts w:ascii="Arial" w:eastAsia="Arial" w:hAnsi="Arial" w:cs="Arial"/>
          <w:sz w:val="22"/>
          <w:lang w:val="es-ES" w:eastAsia="es-ES" w:bidi="es-ES"/>
        </w:rPr>
        <w:t xml:space="preserve">De </w:t>
      </w:r>
      <w:r w:rsidR="00B81D46" w:rsidRPr="008F28A6">
        <w:rPr>
          <w:rFonts w:ascii="Arial" w:eastAsia="Arial" w:hAnsi="Arial" w:cs="Arial"/>
          <w:sz w:val="22"/>
          <w:lang w:val="es-ES" w:eastAsia="es-ES" w:bidi="es-ES"/>
        </w:rPr>
        <w:t>lo anterior se desprende que</w:t>
      </w:r>
      <w:r w:rsidRPr="008F28A6">
        <w:rPr>
          <w:rFonts w:ascii="Arial" w:eastAsia="Arial" w:hAnsi="Arial" w:cs="Arial"/>
          <w:sz w:val="22"/>
          <w:lang w:val="es-ES" w:eastAsia="es-ES" w:bidi="es-ES"/>
        </w:rPr>
        <w:t xml:space="preserve"> </w:t>
      </w:r>
      <w:bookmarkStart w:id="14" w:name="_Hlk77236420"/>
      <w:bookmarkStart w:id="15" w:name="_Hlk78818435"/>
      <w:r w:rsidRPr="008F28A6">
        <w:rPr>
          <w:rFonts w:ascii="Arial" w:eastAsia="Arial" w:hAnsi="Arial" w:cs="Arial"/>
          <w:sz w:val="22"/>
          <w:lang w:val="es-ES" w:eastAsia="es-ES" w:bidi="es-ES"/>
        </w:rPr>
        <w:t xml:space="preserve">la Ley 996 de 2005 establece dos (2) tipos de restricciones en materia de contratación, las cuales coinciden parcialmente. </w:t>
      </w:r>
      <w:r w:rsidRPr="008F28A6">
        <w:rPr>
          <w:rFonts w:ascii="Arial" w:eastAsia="Arial" w:hAnsi="Arial" w:cs="Arial"/>
          <w:i/>
          <w:iCs/>
          <w:sz w:val="22"/>
          <w:lang w:val="es-ES" w:eastAsia="es-ES" w:bidi="es-ES"/>
        </w:rPr>
        <w:t>En primer lugar</w:t>
      </w:r>
      <w:r w:rsidRPr="008F28A6">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F28A6">
        <w:rPr>
          <w:rFonts w:ascii="Arial" w:eastAsia="Arial" w:hAnsi="Arial" w:cs="Arial"/>
          <w:i/>
          <w:iCs/>
          <w:sz w:val="22"/>
          <w:lang w:val="es-ES" w:eastAsia="es-ES" w:bidi="es-ES"/>
        </w:rPr>
        <w:t>En segundo lugar</w:t>
      </w:r>
      <w:r w:rsidRPr="008F28A6">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4F994918" w14:textId="77777777" w:rsidR="00A74046" w:rsidRPr="008F28A6" w:rsidRDefault="00A74046" w:rsidP="00481870">
      <w:pPr>
        <w:spacing w:after="120" w:line="276" w:lineRule="auto"/>
        <w:ind w:firstLine="709"/>
        <w:jc w:val="both"/>
        <w:rPr>
          <w:rFonts w:ascii="Arial" w:eastAsia="Arial" w:hAnsi="Arial" w:cs="Arial"/>
          <w:sz w:val="22"/>
          <w:lang w:val="es-ES" w:eastAsia="es-ES" w:bidi="es-ES"/>
        </w:rPr>
      </w:pPr>
      <w:r w:rsidRPr="008F28A6">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8F28A6">
        <w:rPr>
          <w:rFonts w:ascii="Arial" w:eastAsia="Arial" w:hAnsi="Arial" w:cs="Arial"/>
          <w:sz w:val="22"/>
          <w:lang w:val="es-ES" w:eastAsia="es-ES" w:bidi="es-ES"/>
        </w:rPr>
        <w:t>Presidente</w:t>
      </w:r>
      <w:proofErr w:type="gramEnd"/>
      <w:r w:rsidRPr="008F28A6">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8F28A6">
        <w:rPr>
          <w:rFonts w:ascii="Arial" w:eastAsia="Arial" w:hAnsi="Arial" w:cs="Arial"/>
          <w:sz w:val="22"/>
          <w:lang w:val="es-ES" w:eastAsia="es-ES" w:bidi="es-ES"/>
        </w:rPr>
        <w:t>Presidente</w:t>
      </w:r>
      <w:proofErr w:type="gramEnd"/>
      <w:r w:rsidRPr="008F28A6">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4695ED25" w14:textId="77777777" w:rsidR="00A74046" w:rsidRPr="008F28A6" w:rsidRDefault="00A74046" w:rsidP="00481870">
      <w:pPr>
        <w:spacing w:line="276" w:lineRule="auto"/>
        <w:ind w:firstLine="708"/>
        <w:jc w:val="both"/>
        <w:rPr>
          <w:rFonts w:ascii="Arial" w:eastAsia="Arial" w:hAnsi="Arial" w:cs="Arial"/>
          <w:sz w:val="22"/>
          <w:lang w:val="es-ES" w:eastAsia="es-ES" w:bidi="es-ES"/>
        </w:rPr>
      </w:pPr>
      <w:r w:rsidRPr="008F28A6">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8F28A6">
        <w:rPr>
          <w:rFonts w:ascii="Arial" w:eastAsia="Arial" w:hAnsi="Arial" w:cs="Arial"/>
          <w:sz w:val="22"/>
          <w:lang w:val="es-ES" w:eastAsia="es-ES" w:bidi="es-ES"/>
        </w:rPr>
        <w:t>Presidente</w:t>
      </w:r>
      <w:proofErr w:type="gramEnd"/>
      <w:r w:rsidRPr="008F28A6">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0B76C9A" w14:textId="77777777" w:rsidR="00A74046" w:rsidRPr="008F28A6" w:rsidRDefault="00A74046" w:rsidP="00A74046">
      <w:pPr>
        <w:rPr>
          <w:rFonts w:ascii="Arial" w:hAnsi="Arial" w:cs="Arial"/>
          <w:bCs/>
          <w:sz w:val="22"/>
          <w:lang w:val="es-ES" w:eastAsia="es-CO"/>
        </w:rPr>
      </w:pPr>
    </w:p>
    <w:p w14:paraId="17CE005A" w14:textId="293AD50F" w:rsidR="00A74046" w:rsidRPr="008F28A6" w:rsidRDefault="00A74046" w:rsidP="00A74046">
      <w:pPr>
        <w:rPr>
          <w:rFonts w:ascii="Arial" w:hAnsi="Arial" w:cs="Arial"/>
          <w:b/>
          <w:sz w:val="22"/>
          <w:lang w:val="es-ES" w:eastAsia="es-CO"/>
        </w:rPr>
      </w:pPr>
      <w:r w:rsidRPr="008F28A6">
        <w:rPr>
          <w:rFonts w:ascii="Arial" w:hAnsi="Arial" w:cs="Arial"/>
          <w:b/>
          <w:sz w:val="22"/>
          <w:lang w:val="es-ES" w:eastAsia="es-CO"/>
        </w:rPr>
        <w:t xml:space="preserve">2.2. </w:t>
      </w:r>
      <w:r w:rsidR="0064791B" w:rsidRPr="008F28A6">
        <w:rPr>
          <w:rFonts w:ascii="Arial" w:hAnsi="Arial" w:cs="Arial"/>
          <w:b/>
          <w:bCs/>
          <w:sz w:val="22"/>
          <w:lang w:eastAsia="es-CO"/>
        </w:rPr>
        <w:t>La r</w:t>
      </w:r>
      <w:r w:rsidRPr="008F28A6">
        <w:rPr>
          <w:rFonts w:ascii="Arial" w:hAnsi="Arial" w:cs="Arial"/>
          <w:b/>
          <w:bCs/>
          <w:sz w:val="22"/>
          <w:lang w:eastAsia="es-CO"/>
        </w:rPr>
        <w:t>estricci</w:t>
      </w:r>
      <w:r w:rsidR="00C34274" w:rsidRPr="008F28A6">
        <w:rPr>
          <w:rFonts w:ascii="Arial" w:hAnsi="Arial" w:cs="Arial"/>
          <w:b/>
          <w:bCs/>
          <w:sz w:val="22"/>
          <w:lang w:eastAsia="es-CO"/>
        </w:rPr>
        <w:t>ón a la contratación directa</w:t>
      </w:r>
      <w:r w:rsidRPr="008F28A6">
        <w:rPr>
          <w:rFonts w:ascii="Arial" w:hAnsi="Arial" w:cs="Arial"/>
          <w:b/>
          <w:bCs/>
          <w:sz w:val="22"/>
          <w:lang w:eastAsia="es-CO"/>
        </w:rPr>
        <w:t xml:space="preserve"> </w:t>
      </w:r>
      <w:r w:rsidR="0064791B" w:rsidRPr="008F28A6">
        <w:rPr>
          <w:rFonts w:ascii="Arial" w:hAnsi="Arial" w:cs="Arial"/>
          <w:b/>
          <w:bCs/>
          <w:sz w:val="22"/>
          <w:lang w:eastAsia="es-CO"/>
        </w:rPr>
        <w:t xml:space="preserve">en </w:t>
      </w:r>
      <w:r w:rsidRPr="008F28A6">
        <w:rPr>
          <w:rFonts w:ascii="Arial" w:hAnsi="Arial" w:cs="Arial"/>
          <w:b/>
          <w:bCs/>
          <w:sz w:val="22"/>
          <w:lang w:eastAsia="es-CO"/>
        </w:rPr>
        <w:t xml:space="preserve">elecciones presidenciales </w:t>
      </w:r>
    </w:p>
    <w:p w14:paraId="54F03D35" w14:textId="77777777" w:rsidR="00A74046" w:rsidRPr="008F28A6" w:rsidRDefault="00A74046" w:rsidP="00A74046">
      <w:pPr>
        <w:rPr>
          <w:rFonts w:ascii="Arial" w:hAnsi="Arial" w:cs="Arial"/>
          <w:bCs/>
          <w:sz w:val="22"/>
          <w:lang w:eastAsia="x-none"/>
        </w:rPr>
      </w:pPr>
    </w:p>
    <w:p w14:paraId="1F690EA8" w14:textId="77777777" w:rsidR="00A74046" w:rsidRPr="008F28A6" w:rsidRDefault="00A74046" w:rsidP="00481870">
      <w:pPr>
        <w:spacing w:line="276" w:lineRule="auto"/>
        <w:jc w:val="both"/>
        <w:rPr>
          <w:rFonts w:ascii="Arial" w:hAnsi="Arial" w:cs="Arial"/>
          <w:bCs/>
          <w:sz w:val="22"/>
          <w:lang w:eastAsia="es-CO"/>
        </w:rPr>
      </w:pPr>
      <w:r w:rsidRPr="008F28A6">
        <w:rPr>
          <w:rFonts w:ascii="Arial" w:hAnsi="Arial" w:cs="Arial"/>
          <w:bCs/>
          <w:sz w:val="22"/>
          <w:lang w:eastAsia="x-none"/>
        </w:rPr>
        <w:lastRenderedPageBreak/>
        <w:t xml:space="preserve">El ámbito material de la prohibición contenida en el artículo 33 de la ley 996 de 2005 está delimitado por la expresión </w:t>
      </w:r>
      <w:r w:rsidRPr="008F28A6">
        <w:rPr>
          <w:rFonts w:ascii="Arial" w:eastAsia="Calibri" w:hAnsi="Arial" w:cs="Arial"/>
          <w:bCs/>
          <w:sz w:val="20"/>
          <w:szCs w:val="20"/>
        </w:rPr>
        <w:t>«</w:t>
      </w:r>
      <w:r w:rsidRPr="008F28A6">
        <w:rPr>
          <w:rFonts w:ascii="Arial" w:hAnsi="Arial" w:cs="Arial"/>
          <w:bCs/>
          <w:sz w:val="22"/>
          <w:lang w:eastAsia="x-none"/>
        </w:rPr>
        <w:t>queda prohibida la contratación directa</w:t>
      </w:r>
      <w:r w:rsidRPr="008F28A6">
        <w:rPr>
          <w:rFonts w:ascii="Arial" w:hAnsi="Arial" w:cs="Arial"/>
          <w:sz w:val="20"/>
          <w:szCs w:val="20"/>
        </w:rPr>
        <w:t>»</w:t>
      </w:r>
      <w:r w:rsidRPr="008F28A6">
        <w:rPr>
          <w:rFonts w:ascii="Arial" w:hAnsi="Arial" w:cs="Arial"/>
          <w:bCs/>
          <w:sz w:val="22"/>
          <w:lang w:eastAsia="x-none"/>
        </w:rPr>
        <w:t xml:space="preserve">. </w:t>
      </w:r>
      <w:r w:rsidRPr="008F28A6">
        <w:rPr>
          <w:rFonts w:ascii="Arial" w:hAnsi="Arial" w:cs="Arial"/>
          <w:sz w:val="22"/>
          <w:lang w:eastAsia="es-CO"/>
        </w:rPr>
        <w:t xml:space="preserve"> A propósito de esta restricción de la Ley de Garantías Electorales, la Sala de Consulta y Servicio Civil del Consejo de Estado ha considerado que:</w:t>
      </w:r>
    </w:p>
    <w:p w14:paraId="1C641082" w14:textId="77777777" w:rsidR="00A74046" w:rsidRPr="008F28A6" w:rsidRDefault="00A74046" w:rsidP="00A74046">
      <w:pPr>
        <w:ind w:left="708" w:right="709"/>
        <w:rPr>
          <w:rFonts w:ascii="Arial" w:hAnsi="Arial" w:cs="Arial"/>
          <w:sz w:val="21"/>
          <w:szCs w:val="21"/>
        </w:rPr>
      </w:pPr>
    </w:p>
    <w:p w14:paraId="45DA1E06" w14:textId="77777777" w:rsidR="00A74046" w:rsidRPr="008F28A6" w:rsidRDefault="00A74046" w:rsidP="00481870">
      <w:pPr>
        <w:spacing w:after="120"/>
        <w:ind w:left="709" w:right="709"/>
        <w:jc w:val="both"/>
        <w:rPr>
          <w:rFonts w:ascii="Arial" w:hAnsi="Arial" w:cs="Arial"/>
          <w:sz w:val="21"/>
          <w:szCs w:val="21"/>
        </w:rPr>
      </w:pPr>
      <w:r w:rsidRPr="008F28A6">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F28A6">
        <w:rPr>
          <w:rFonts w:ascii="Arial" w:hAnsi="Arial" w:cs="Arial"/>
          <w:sz w:val="21"/>
          <w:szCs w:val="21"/>
          <w:vertAlign w:val="superscript"/>
          <w:lang w:eastAsia="es-CO"/>
        </w:rPr>
        <w:footnoteReference w:id="13"/>
      </w:r>
      <w:r w:rsidRPr="008F28A6">
        <w:rPr>
          <w:rFonts w:ascii="Arial" w:hAnsi="Arial" w:cs="Arial"/>
          <w:sz w:val="21"/>
          <w:szCs w:val="21"/>
        </w:rPr>
        <w:t>.</w:t>
      </w:r>
    </w:p>
    <w:p w14:paraId="5BBE9B01" w14:textId="77777777" w:rsidR="00A74046" w:rsidRPr="008F28A6" w:rsidRDefault="00A74046" w:rsidP="00481870">
      <w:pPr>
        <w:ind w:left="708" w:right="709"/>
        <w:jc w:val="both"/>
        <w:rPr>
          <w:rFonts w:ascii="Arial" w:hAnsi="Arial" w:cs="Arial"/>
          <w:sz w:val="21"/>
          <w:szCs w:val="21"/>
        </w:rPr>
      </w:pPr>
      <w:r w:rsidRPr="008F28A6">
        <w:rPr>
          <w:rFonts w:ascii="Arial" w:hAnsi="Arial" w:cs="Arial"/>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8F28A6">
        <w:rPr>
          <w:rFonts w:ascii="Arial" w:hAnsi="Arial" w:cs="Arial"/>
          <w:sz w:val="21"/>
          <w:szCs w:val="21"/>
          <w:vertAlign w:val="superscript"/>
        </w:rPr>
        <w:footnoteReference w:id="14"/>
      </w:r>
      <w:r w:rsidRPr="008F28A6">
        <w:rPr>
          <w:rFonts w:ascii="Arial" w:hAnsi="Arial" w:cs="Arial"/>
          <w:sz w:val="21"/>
          <w:szCs w:val="21"/>
          <w:vertAlign w:val="superscript"/>
        </w:rPr>
        <w:t>.</w:t>
      </w:r>
      <w:r w:rsidRPr="008F28A6">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F28A6">
        <w:rPr>
          <w:rFonts w:ascii="Arial" w:hAnsi="Arial" w:cs="Arial"/>
          <w:sz w:val="21"/>
          <w:szCs w:val="21"/>
          <w:vertAlign w:val="superscript"/>
          <w:lang w:eastAsia="es-CO"/>
        </w:rPr>
        <w:footnoteReference w:id="15"/>
      </w:r>
      <w:r w:rsidRPr="008F28A6">
        <w:rPr>
          <w:rFonts w:ascii="Arial" w:hAnsi="Arial" w:cs="Arial"/>
          <w:sz w:val="21"/>
          <w:szCs w:val="21"/>
        </w:rPr>
        <w:t xml:space="preserve"> .</w:t>
      </w:r>
    </w:p>
    <w:p w14:paraId="3A4D5280" w14:textId="77777777" w:rsidR="00A74046" w:rsidRPr="008F28A6" w:rsidRDefault="00A74046" w:rsidP="00A74046">
      <w:pPr>
        <w:shd w:val="clear" w:color="auto" w:fill="FFFFFF"/>
        <w:ind w:firstLine="709"/>
        <w:rPr>
          <w:rFonts w:ascii="Arial" w:hAnsi="Arial" w:cs="Arial"/>
          <w:sz w:val="22"/>
          <w:lang w:eastAsia="x-none"/>
        </w:rPr>
      </w:pPr>
    </w:p>
    <w:p w14:paraId="4362C9DF" w14:textId="1275419F" w:rsidR="00A74046" w:rsidRPr="008F28A6" w:rsidRDefault="00A74046" w:rsidP="00481870">
      <w:pPr>
        <w:spacing w:after="120" w:line="276" w:lineRule="auto"/>
        <w:ind w:firstLine="708"/>
        <w:jc w:val="both"/>
        <w:rPr>
          <w:rFonts w:ascii="Arial" w:hAnsi="Arial" w:cs="Arial"/>
          <w:bCs/>
          <w:sz w:val="22"/>
          <w:lang w:eastAsia="x-none"/>
        </w:rPr>
      </w:pPr>
      <w:r w:rsidRPr="008F28A6">
        <w:rPr>
          <w:rFonts w:ascii="Arial" w:hAnsi="Arial" w:cs="Arial"/>
          <w:sz w:val="22"/>
          <w:lang w:eastAsia="x-none"/>
        </w:rPr>
        <w:t xml:space="preserve">De conformidad con el citado concepto, la prohibición del artículo 33 de la Ley de Garantías Electorales se refiere a </w:t>
      </w:r>
      <w:r w:rsidRPr="008F28A6">
        <w:rPr>
          <w:rFonts w:ascii="Arial" w:hAnsi="Arial" w:cs="Arial"/>
          <w:sz w:val="19"/>
          <w:szCs w:val="19"/>
          <w:lang w:eastAsia="en-GB"/>
        </w:rPr>
        <w:t>«</w:t>
      </w:r>
      <w:r w:rsidRPr="008F28A6">
        <w:rPr>
          <w:rFonts w:ascii="Arial" w:hAnsi="Arial" w:cs="Arial"/>
          <w:sz w:val="22"/>
          <w:lang w:eastAsia="x-none"/>
        </w:rPr>
        <w:t>cualquier sistema que no implique convocatoria pública y posibilidad de pluralidad de oferentes</w:t>
      </w:r>
      <w:r w:rsidRPr="008F28A6">
        <w:rPr>
          <w:rFonts w:ascii="Arial" w:hAnsi="Arial" w:cs="Arial"/>
          <w:sz w:val="22"/>
          <w:lang w:eastAsia="en-GB"/>
        </w:rPr>
        <w:t>»</w:t>
      </w:r>
      <w:r w:rsidRPr="008F28A6">
        <w:rPr>
          <w:rFonts w:ascii="Arial" w:hAnsi="Arial" w:cs="Arial"/>
          <w:sz w:val="22"/>
          <w:lang w:eastAsia="x-none"/>
        </w:rPr>
        <w:t>, por lo que excluye las demás modalidades de contratación previstas en la Ley 1150 de 2007, es decir, la licitación pública, la selección abreviada</w:t>
      </w:r>
      <w:r w:rsidR="009B3216">
        <w:rPr>
          <w:rFonts w:ascii="Arial" w:hAnsi="Arial" w:cs="Arial"/>
          <w:sz w:val="22"/>
          <w:lang w:eastAsia="x-none"/>
        </w:rPr>
        <w:t xml:space="preserve">, </w:t>
      </w:r>
      <w:r w:rsidRPr="008F28A6">
        <w:rPr>
          <w:rFonts w:ascii="Arial" w:hAnsi="Arial" w:cs="Arial"/>
          <w:sz w:val="22"/>
          <w:lang w:eastAsia="x-none"/>
        </w:rPr>
        <w:t>el concurso de méritos</w:t>
      </w:r>
      <w:r w:rsidR="009B3216">
        <w:rPr>
          <w:rFonts w:ascii="Arial" w:hAnsi="Arial" w:cs="Arial"/>
          <w:sz w:val="22"/>
          <w:lang w:eastAsia="x-none"/>
        </w:rPr>
        <w:t>, la mínima cuantía</w:t>
      </w:r>
      <w:r w:rsidRPr="008F28A6">
        <w:rPr>
          <w:rFonts w:ascii="Arial" w:hAnsi="Arial" w:cs="Arial"/>
          <w:sz w:val="22"/>
          <w:lang w:eastAsia="x-none"/>
        </w:rPr>
        <w:t xml:space="preserve"> u otros previstos en normas especiales. Esta posición es congruente con la expedición de la Ley 1150 de 2007 que, entre otras reformas, introdujo la selección abreviada, rediseñó el concurso de méritos</w:t>
      </w:r>
      <w:r w:rsidRPr="008F28A6">
        <w:rPr>
          <w:rFonts w:ascii="Arial" w:hAnsi="Arial" w:cs="Arial"/>
          <w:sz w:val="22"/>
          <w:vertAlign w:val="superscript"/>
          <w:lang w:val="en-GB" w:eastAsia="x-none"/>
        </w:rPr>
        <w:footnoteReference w:id="16"/>
      </w:r>
      <w:r w:rsidRPr="008F28A6">
        <w:rPr>
          <w:rFonts w:ascii="Arial" w:hAnsi="Arial" w:cs="Arial"/>
          <w:sz w:val="22"/>
          <w:lang w:eastAsia="x-none"/>
        </w:rPr>
        <w:t xml:space="preserve"> y sistematizó las causales de contratación directa</w:t>
      </w:r>
      <w:r w:rsidRPr="008F28A6">
        <w:rPr>
          <w:rFonts w:ascii="Arial" w:hAnsi="Arial" w:cs="Arial"/>
          <w:sz w:val="22"/>
          <w:vertAlign w:val="superscript"/>
          <w:lang w:val="en-GB" w:eastAsia="x-none"/>
        </w:rPr>
        <w:footnoteReference w:id="17"/>
      </w:r>
      <w:r w:rsidRPr="008F28A6">
        <w:rPr>
          <w:rFonts w:ascii="Arial" w:hAnsi="Arial" w:cs="Arial"/>
          <w:sz w:val="22"/>
          <w:lang w:eastAsia="x-none"/>
        </w:rPr>
        <w:t>.</w:t>
      </w:r>
    </w:p>
    <w:p w14:paraId="3FE753E4" w14:textId="77777777" w:rsidR="00A74046" w:rsidRPr="008F28A6" w:rsidRDefault="00A74046" w:rsidP="00481870">
      <w:pPr>
        <w:spacing w:after="120" w:line="276" w:lineRule="auto"/>
        <w:ind w:firstLine="708"/>
        <w:jc w:val="both"/>
        <w:rPr>
          <w:rFonts w:ascii="Arial" w:hAnsi="Arial" w:cs="Arial"/>
          <w:sz w:val="22"/>
          <w:lang w:eastAsia="x-none"/>
        </w:rPr>
      </w:pPr>
      <w:r w:rsidRPr="008F28A6">
        <w:rPr>
          <w:rFonts w:ascii="Arial" w:hAnsi="Arial" w:cs="Arial"/>
          <w:sz w:val="22"/>
          <w:lang w:eastAsia="x-none"/>
        </w:rPr>
        <w:t xml:space="preserve">De esta forma, con fundamento en la evolución de la normativa sobre la contratación pública, se ha depurado la noción de </w:t>
      </w:r>
      <w:r w:rsidRPr="008F28A6">
        <w:rPr>
          <w:rFonts w:ascii="Arial" w:hAnsi="Arial" w:cs="Arial"/>
          <w:sz w:val="19"/>
          <w:szCs w:val="19"/>
          <w:lang w:eastAsia="en-GB"/>
        </w:rPr>
        <w:t>«</w:t>
      </w:r>
      <w:r w:rsidRPr="008F28A6">
        <w:rPr>
          <w:rFonts w:ascii="Arial" w:hAnsi="Arial" w:cs="Arial"/>
          <w:sz w:val="22"/>
          <w:lang w:eastAsia="x-none"/>
        </w:rPr>
        <w:t>contratación directa</w:t>
      </w:r>
      <w:r w:rsidRPr="008F28A6">
        <w:rPr>
          <w:rFonts w:ascii="Arial" w:hAnsi="Arial" w:cs="Arial"/>
          <w:sz w:val="22"/>
          <w:lang w:eastAsia="en-GB"/>
        </w:rPr>
        <w:t>»</w:t>
      </w:r>
      <w:r w:rsidRPr="008F28A6">
        <w:rPr>
          <w:rFonts w:ascii="Arial" w:hAnsi="Arial" w:cs="Arial"/>
          <w:sz w:val="22"/>
          <w:lang w:eastAsia="x-none"/>
        </w:rPr>
        <w:t xml:space="preserve">, precisando el Consejo de </w:t>
      </w:r>
      <w:r w:rsidRPr="008F28A6">
        <w:rPr>
          <w:rFonts w:ascii="Arial" w:hAnsi="Arial" w:cs="Arial"/>
          <w:sz w:val="22"/>
          <w:lang w:eastAsia="x-none"/>
        </w:rPr>
        <w:lastRenderedPageBreak/>
        <w:t>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F28A6">
        <w:rPr>
          <w:rFonts w:ascii="Arial" w:hAnsi="Arial" w:cs="Arial"/>
          <w:sz w:val="22"/>
          <w:vertAlign w:val="superscript"/>
          <w:lang w:val="en-GB" w:eastAsia="x-none"/>
        </w:rPr>
        <w:footnoteReference w:id="18"/>
      </w:r>
      <w:r w:rsidRPr="008F28A6">
        <w:rPr>
          <w:rFonts w:ascii="Arial" w:hAnsi="Arial" w:cs="Arial"/>
          <w:sz w:val="22"/>
          <w:lang w:eastAsia="x-none"/>
        </w:rPr>
        <w:t>, han establecido sistemas de contratación que implican convocatoria pública y participación de varios oferentes</w:t>
      </w:r>
      <w:r w:rsidRPr="008F28A6">
        <w:rPr>
          <w:rFonts w:ascii="Arial" w:hAnsi="Arial" w:cs="Arial"/>
          <w:sz w:val="22"/>
          <w:lang w:eastAsia="en-GB"/>
        </w:rPr>
        <w:t>»</w:t>
      </w:r>
      <w:r w:rsidRPr="008F28A6">
        <w:rPr>
          <w:rFonts w:ascii="Arial" w:hAnsi="Arial" w:cs="Arial"/>
          <w:sz w:val="22"/>
          <w:lang w:eastAsia="x-none"/>
        </w:rPr>
        <w:t xml:space="preserve">. </w:t>
      </w:r>
    </w:p>
    <w:p w14:paraId="288A308A" w14:textId="77777777" w:rsidR="00A74046" w:rsidRPr="008F28A6" w:rsidRDefault="00A74046" w:rsidP="00481870">
      <w:pPr>
        <w:spacing w:after="120" w:line="276" w:lineRule="auto"/>
        <w:ind w:firstLine="708"/>
        <w:jc w:val="both"/>
        <w:rPr>
          <w:rFonts w:ascii="Arial" w:hAnsi="Arial" w:cs="Arial"/>
          <w:bCs/>
          <w:sz w:val="22"/>
          <w:lang w:eastAsia="es-CO"/>
        </w:rPr>
      </w:pPr>
      <w:r w:rsidRPr="008F28A6">
        <w:rPr>
          <w:rFonts w:ascii="Arial" w:hAnsi="Arial" w:cs="Arial"/>
          <w:bCs/>
          <w:sz w:val="22"/>
          <w:lang w:eastAsia="x-none"/>
        </w:rPr>
        <w:t>E</w:t>
      </w:r>
      <w:r w:rsidRPr="008F28A6">
        <w:rPr>
          <w:rFonts w:ascii="Arial" w:hAnsi="Arial" w:cs="Arial"/>
          <w:sz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8F28A6">
        <w:rPr>
          <w:rFonts w:ascii="Arial" w:hAnsi="Arial" w:cs="Arial"/>
          <w:sz w:val="22"/>
          <w:vertAlign w:val="superscript"/>
          <w:lang w:eastAsia="x-none"/>
        </w:rPr>
        <w:footnoteReference w:id="19"/>
      </w:r>
      <w:r w:rsidRPr="008F28A6">
        <w:rPr>
          <w:rFonts w:ascii="Arial" w:hAnsi="Arial" w:cs="Arial"/>
          <w:sz w:val="22"/>
          <w:lang w:eastAsia="x-none"/>
        </w:rPr>
        <w:t xml:space="preserve">. </w:t>
      </w:r>
    </w:p>
    <w:p w14:paraId="5874E863" w14:textId="77777777" w:rsidR="00A74046" w:rsidRPr="008F28A6" w:rsidRDefault="00A74046" w:rsidP="00481870">
      <w:pPr>
        <w:spacing w:after="120" w:line="276" w:lineRule="auto"/>
        <w:ind w:firstLine="708"/>
        <w:jc w:val="both"/>
        <w:rPr>
          <w:rFonts w:ascii="Arial" w:hAnsi="Arial" w:cs="Arial"/>
          <w:bCs/>
          <w:sz w:val="22"/>
          <w:lang w:eastAsia="es-CO"/>
        </w:rPr>
      </w:pPr>
      <w:r w:rsidRPr="008F28A6">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803F808" w14:textId="77777777" w:rsidR="00A74046" w:rsidRPr="008F28A6" w:rsidRDefault="00A74046" w:rsidP="00481870">
      <w:pPr>
        <w:spacing w:after="120" w:line="276" w:lineRule="auto"/>
        <w:ind w:firstLine="708"/>
        <w:jc w:val="both"/>
        <w:rPr>
          <w:rFonts w:ascii="Arial" w:hAnsi="Arial" w:cs="Arial"/>
          <w:bCs/>
          <w:sz w:val="22"/>
          <w:lang w:eastAsia="x-none"/>
        </w:rPr>
      </w:pPr>
      <w:r w:rsidRPr="008F28A6">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F28A6">
        <w:rPr>
          <w:rFonts w:ascii="Arial" w:hAnsi="Arial" w:cs="Arial"/>
          <w:sz w:val="22"/>
          <w:vertAlign w:val="superscript"/>
          <w:lang w:eastAsia="x-none"/>
        </w:rPr>
        <w:footnoteReference w:id="20"/>
      </w:r>
      <w:r w:rsidRPr="008F28A6">
        <w:rPr>
          <w:rFonts w:ascii="Arial" w:hAnsi="Arial" w:cs="Arial"/>
          <w:bCs/>
          <w:sz w:val="22"/>
          <w:lang w:eastAsia="x-none"/>
        </w:rPr>
        <w:t>.</w:t>
      </w:r>
      <w:r w:rsidRPr="008F28A6">
        <w:rPr>
          <w:rFonts w:ascii="Arial" w:hAnsi="Arial" w:cs="Arial"/>
          <w:sz w:val="22"/>
          <w:vertAlign w:val="superscript"/>
          <w:lang w:eastAsia="x-none"/>
        </w:rPr>
        <w:t xml:space="preserve"> </w:t>
      </w:r>
    </w:p>
    <w:p w14:paraId="6B4F0B1E" w14:textId="77777777" w:rsidR="00A74046" w:rsidRPr="008F28A6" w:rsidRDefault="00A74046" w:rsidP="00481870">
      <w:pPr>
        <w:spacing w:after="120" w:line="276" w:lineRule="auto"/>
        <w:ind w:firstLine="708"/>
        <w:jc w:val="both"/>
        <w:rPr>
          <w:rFonts w:ascii="Arial" w:hAnsi="Arial" w:cs="Arial"/>
          <w:sz w:val="22"/>
          <w:lang w:eastAsia="x-none"/>
        </w:rPr>
      </w:pPr>
      <w:r w:rsidRPr="008F28A6">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8F28A6">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w:t>
      </w:r>
      <w:r w:rsidRPr="008F28A6">
        <w:rPr>
          <w:rFonts w:ascii="Arial" w:hAnsi="Arial" w:cs="Arial"/>
          <w:sz w:val="22"/>
          <w:lang w:eastAsia="x-none"/>
        </w:rPr>
        <w:lastRenderedPageBreak/>
        <w:t>preelectoral de que trata la disposición pueden las entidades públicas seguir contratando bajo estos sistemas.</w:t>
      </w:r>
    </w:p>
    <w:p w14:paraId="526A714A" w14:textId="77777777" w:rsidR="00A74046" w:rsidRPr="008F28A6" w:rsidRDefault="00A74046" w:rsidP="00481870">
      <w:pPr>
        <w:spacing w:after="120" w:line="276" w:lineRule="auto"/>
        <w:ind w:firstLine="708"/>
        <w:jc w:val="both"/>
        <w:rPr>
          <w:rFonts w:ascii="Arial" w:hAnsi="Arial" w:cs="Arial"/>
          <w:bCs/>
          <w:sz w:val="22"/>
          <w:lang w:eastAsia="x-none"/>
        </w:rPr>
      </w:pPr>
      <w:r w:rsidRPr="008F28A6">
        <w:rPr>
          <w:rFonts w:ascii="Arial"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5888F33B" w14:textId="77777777" w:rsidR="00A74046" w:rsidRPr="008F28A6" w:rsidRDefault="00A74046" w:rsidP="00481870">
      <w:pPr>
        <w:spacing w:after="120" w:line="276" w:lineRule="auto"/>
        <w:ind w:firstLine="708"/>
        <w:jc w:val="both"/>
        <w:rPr>
          <w:rFonts w:ascii="Arial" w:hAnsi="Arial" w:cs="Arial"/>
          <w:bCs/>
          <w:sz w:val="22"/>
          <w:lang w:eastAsia="es-CO"/>
        </w:rPr>
      </w:pPr>
      <w:r w:rsidRPr="008F28A6">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F28A6">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8E805FD" w14:textId="77777777" w:rsidR="00A74046" w:rsidRPr="008F28A6" w:rsidRDefault="00A74046" w:rsidP="00481870">
      <w:pPr>
        <w:spacing w:line="276" w:lineRule="auto"/>
        <w:ind w:firstLine="708"/>
        <w:jc w:val="both"/>
        <w:rPr>
          <w:rFonts w:ascii="Arial" w:hAnsi="Arial" w:cs="Arial"/>
          <w:bCs/>
          <w:sz w:val="22"/>
          <w:lang w:eastAsia="x-none"/>
        </w:rPr>
      </w:pPr>
      <w:r w:rsidRPr="008F28A6">
        <w:rPr>
          <w:rFonts w:ascii="Arial" w:hAnsi="Arial" w:cs="Arial"/>
          <w:bCs/>
          <w:sz w:val="22"/>
          <w:lang w:eastAsia="x-none"/>
        </w:rPr>
        <w:t>En esta labor es importante tener en cuenta, como lo anotó la Corte Constitucional, en Sentencia C-1153 de noviembre 11 de 2005</w:t>
      </w:r>
      <w:r w:rsidRPr="00537ACD">
        <w:rPr>
          <w:rStyle w:val="Refdenotaalpie"/>
          <w:rFonts w:ascii="Arial" w:hAnsi="Arial" w:cs="Arial"/>
        </w:rPr>
        <w:t>,</w:t>
      </w:r>
      <w:r w:rsidRPr="008F28A6">
        <w:rPr>
          <w:rFonts w:ascii="Arial"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8F28A6">
        <w:rPr>
          <w:rStyle w:val="Refdenotaalpie"/>
          <w:rFonts w:ascii="Arial" w:hAnsi="Arial" w:cs="Arial"/>
          <w:sz w:val="22"/>
        </w:rPr>
        <w:footnoteReference w:id="21"/>
      </w:r>
      <w:r w:rsidRPr="008F28A6">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83A6F70" w14:textId="77777777" w:rsidR="00A74046" w:rsidRPr="008F28A6" w:rsidRDefault="00A74046" w:rsidP="00A74046">
      <w:pPr>
        <w:ind w:firstLine="708"/>
        <w:rPr>
          <w:rFonts w:ascii="Arial" w:hAnsi="Arial" w:cs="Arial"/>
          <w:bCs/>
          <w:sz w:val="22"/>
          <w:lang w:eastAsia="x-none"/>
        </w:rPr>
      </w:pPr>
    </w:p>
    <w:p w14:paraId="14D1DBD4" w14:textId="77777777" w:rsidR="00A74046" w:rsidRPr="008F28A6" w:rsidRDefault="00A74046" w:rsidP="00A74046">
      <w:pPr>
        <w:rPr>
          <w:rFonts w:ascii="Arial" w:hAnsi="Arial" w:cs="Arial"/>
          <w:b/>
          <w:sz w:val="22"/>
          <w:lang w:eastAsia="x-none"/>
        </w:rPr>
      </w:pPr>
      <w:r w:rsidRPr="008F28A6">
        <w:rPr>
          <w:rFonts w:ascii="Arial" w:hAnsi="Arial" w:cs="Arial"/>
          <w:b/>
          <w:sz w:val="22"/>
          <w:lang w:eastAsia="x-none"/>
        </w:rPr>
        <w:t>2.3.  Destinatarios de la restricción del artículo 33 de la Ley 996 de 2005</w:t>
      </w:r>
    </w:p>
    <w:p w14:paraId="51EB1A13" w14:textId="77777777" w:rsidR="00A74046" w:rsidRPr="008F28A6" w:rsidRDefault="00A74046" w:rsidP="00A74046">
      <w:pPr>
        <w:rPr>
          <w:rFonts w:ascii="Arial" w:hAnsi="Arial" w:cs="Arial"/>
          <w:bCs/>
          <w:sz w:val="22"/>
          <w:lang w:eastAsia="x-none"/>
        </w:rPr>
      </w:pPr>
    </w:p>
    <w:p w14:paraId="43541E5F" w14:textId="77777777" w:rsidR="00A74046" w:rsidRPr="008F28A6" w:rsidRDefault="00A74046" w:rsidP="00481870">
      <w:pPr>
        <w:spacing w:line="276" w:lineRule="auto"/>
        <w:jc w:val="both"/>
        <w:rPr>
          <w:rFonts w:ascii="Arial" w:hAnsi="Arial" w:cs="Arial"/>
          <w:bCs/>
          <w:sz w:val="22"/>
          <w:lang w:eastAsia="x-none"/>
        </w:rPr>
      </w:pPr>
      <w:r w:rsidRPr="008F28A6">
        <w:rPr>
          <w:rFonts w:ascii="Arial" w:hAnsi="Arial" w:cs="Arial"/>
          <w:bCs/>
          <w:sz w:val="22"/>
          <w:lang w:eastAsia="x-none"/>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37ACD">
        <w:rPr>
          <w:rFonts w:ascii="Arial" w:hAnsi="Arial" w:cs="Arial"/>
        </w:rPr>
        <w:t xml:space="preserve"> </w:t>
      </w:r>
      <w:r w:rsidRPr="008F28A6">
        <w:rPr>
          <w:rFonts w:ascii="Arial" w:hAnsi="Arial" w:cs="Arial"/>
          <w:bCs/>
          <w:sz w:val="22"/>
          <w:lang w:eastAsia="x-none"/>
        </w:rPr>
        <w:t>En efecto, tal como lo ha sostenido el Consejo de Estado, el vocablo «todos» utilizado por el legislador comprende</w:t>
      </w:r>
      <w:r w:rsidRPr="00537ACD">
        <w:rPr>
          <w:rFonts w:ascii="Arial" w:hAnsi="Arial" w:cs="Arial"/>
        </w:rPr>
        <w:t xml:space="preserve"> </w:t>
      </w:r>
      <w:r w:rsidRPr="008F28A6">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D1E09B1" w14:textId="77777777" w:rsidR="00A74046" w:rsidRPr="008F28A6" w:rsidRDefault="00A74046" w:rsidP="00A74046">
      <w:pPr>
        <w:ind w:firstLine="708"/>
        <w:rPr>
          <w:rFonts w:ascii="Arial" w:hAnsi="Arial" w:cs="Arial"/>
          <w:bCs/>
          <w:sz w:val="22"/>
          <w:lang w:eastAsia="x-none"/>
        </w:rPr>
      </w:pPr>
    </w:p>
    <w:p w14:paraId="54668359" w14:textId="77777777" w:rsidR="00A74046" w:rsidRPr="008F28A6" w:rsidRDefault="00A74046" w:rsidP="00481870">
      <w:pPr>
        <w:ind w:left="708" w:right="709"/>
        <w:jc w:val="both"/>
        <w:rPr>
          <w:rFonts w:ascii="Arial" w:hAnsi="Arial" w:cs="Arial"/>
          <w:bCs/>
          <w:sz w:val="21"/>
          <w:szCs w:val="21"/>
          <w:lang w:eastAsia="es-CO"/>
        </w:rPr>
      </w:pPr>
      <w:r w:rsidRPr="008F28A6">
        <w:rPr>
          <w:rFonts w:ascii="Arial" w:hAnsi="Arial" w:cs="Arial"/>
          <w:bCs/>
          <w:sz w:val="21"/>
          <w:szCs w:val="21"/>
          <w:lang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8F28A6">
        <w:rPr>
          <w:rStyle w:val="Refdenotaalpie"/>
          <w:rFonts w:ascii="Arial" w:hAnsi="Arial" w:cs="Arial"/>
          <w:bCs/>
          <w:sz w:val="21"/>
          <w:szCs w:val="21"/>
          <w:lang w:eastAsia="x-none"/>
        </w:rPr>
        <w:footnoteReference w:id="22"/>
      </w:r>
      <w:r w:rsidRPr="008F28A6">
        <w:rPr>
          <w:rFonts w:ascii="Arial" w:hAnsi="Arial" w:cs="Arial"/>
          <w:bCs/>
          <w:sz w:val="21"/>
          <w:szCs w:val="21"/>
          <w:lang w:eastAsia="x-none"/>
        </w:rPr>
        <w:t>.</w:t>
      </w:r>
      <w:r w:rsidRPr="008F28A6">
        <w:rPr>
          <w:rFonts w:ascii="Arial" w:hAnsi="Arial" w:cs="Arial"/>
          <w:bCs/>
          <w:sz w:val="21"/>
          <w:szCs w:val="21"/>
          <w:lang w:eastAsia="es-CO"/>
        </w:rPr>
        <w:t xml:space="preserve"> </w:t>
      </w:r>
    </w:p>
    <w:p w14:paraId="7BC9C213" w14:textId="77777777" w:rsidR="00A74046" w:rsidRPr="008F28A6" w:rsidRDefault="00A74046" w:rsidP="00A74046">
      <w:pPr>
        <w:ind w:firstLine="708"/>
        <w:rPr>
          <w:rFonts w:ascii="Arial" w:hAnsi="Arial" w:cs="Arial"/>
          <w:bCs/>
          <w:sz w:val="22"/>
          <w:lang w:eastAsia="es-CO"/>
        </w:rPr>
      </w:pPr>
    </w:p>
    <w:p w14:paraId="06273D74" w14:textId="77777777" w:rsidR="00A74046" w:rsidRPr="008F28A6" w:rsidRDefault="00A74046" w:rsidP="00481870">
      <w:pPr>
        <w:spacing w:line="276" w:lineRule="auto"/>
        <w:ind w:firstLine="708"/>
        <w:jc w:val="both"/>
        <w:rPr>
          <w:rFonts w:ascii="Arial" w:hAnsi="Arial" w:cs="Arial"/>
          <w:sz w:val="22"/>
        </w:rPr>
      </w:pPr>
      <w:r w:rsidRPr="008F28A6">
        <w:rPr>
          <w:rFonts w:ascii="Arial"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8F28A6">
        <w:rPr>
          <w:rStyle w:val="Refdenotaalpie"/>
          <w:rFonts w:ascii="Arial" w:hAnsi="Arial" w:cs="Arial"/>
        </w:rPr>
        <w:footnoteReference w:id="23"/>
      </w:r>
      <w:r w:rsidRPr="008F28A6">
        <w:rPr>
          <w:rFonts w:ascii="Arial" w:hAnsi="Arial" w:cs="Arial"/>
          <w:bCs/>
          <w:sz w:val="22"/>
          <w:lang w:eastAsia="x-none"/>
        </w:rPr>
        <w:t>.</w:t>
      </w:r>
      <w:r w:rsidRPr="008F28A6">
        <w:rPr>
          <w:rFonts w:ascii="Arial" w:hAnsi="Arial" w:cs="Arial"/>
          <w:sz w:val="22"/>
        </w:rPr>
        <w:t xml:space="preserve"> Sin embargo, debe precisarse el siguiente aspecto que distinguió la Sala de Consulta y Servicio Civil:</w:t>
      </w:r>
    </w:p>
    <w:p w14:paraId="2A6D4A02" w14:textId="77777777" w:rsidR="00A74046" w:rsidRPr="008F28A6" w:rsidRDefault="00A74046" w:rsidP="00A74046">
      <w:pPr>
        <w:rPr>
          <w:rFonts w:ascii="Arial" w:hAnsi="Arial" w:cs="Arial"/>
          <w:sz w:val="22"/>
        </w:rPr>
      </w:pPr>
    </w:p>
    <w:p w14:paraId="3DBCF16A" w14:textId="77777777" w:rsidR="00A74046" w:rsidRPr="008F28A6" w:rsidRDefault="00A74046" w:rsidP="00481870">
      <w:pPr>
        <w:ind w:left="708" w:right="709"/>
        <w:jc w:val="both"/>
        <w:rPr>
          <w:rFonts w:ascii="Arial" w:hAnsi="Arial" w:cs="Arial"/>
          <w:sz w:val="21"/>
          <w:szCs w:val="21"/>
        </w:rPr>
      </w:pPr>
      <w:r w:rsidRPr="008F28A6">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w:t>
      </w:r>
      <w:r w:rsidRPr="008F28A6">
        <w:rPr>
          <w:rFonts w:ascii="Arial" w:hAnsi="Arial" w:cs="Arial"/>
          <w:sz w:val="21"/>
          <w:szCs w:val="21"/>
        </w:rPr>
        <w:lastRenderedPageBreak/>
        <w:t>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8F28A6">
        <w:rPr>
          <w:rStyle w:val="Refdenotaalpie"/>
          <w:rFonts w:ascii="Arial" w:hAnsi="Arial" w:cs="Arial"/>
        </w:rPr>
        <w:footnoteReference w:id="24"/>
      </w:r>
      <w:r w:rsidRPr="008F28A6">
        <w:rPr>
          <w:rFonts w:ascii="Arial" w:hAnsi="Arial" w:cs="Arial"/>
          <w:bCs/>
          <w:sz w:val="22"/>
          <w:lang w:eastAsia="x-none"/>
        </w:rPr>
        <w:t>.</w:t>
      </w:r>
    </w:p>
    <w:p w14:paraId="14863C50" w14:textId="77777777" w:rsidR="00A74046" w:rsidRPr="008F28A6" w:rsidRDefault="00A74046" w:rsidP="00A74046">
      <w:pPr>
        <w:rPr>
          <w:rFonts w:ascii="Arial" w:hAnsi="Arial" w:cs="Arial"/>
          <w:sz w:val="22"/>
        </w:rPr>
      </w:pPr>
    </w:p>
    <w:p w14:paraId="7CC48381" w14:textId="77777777" w:rsidR="00A74046" w:rsidRPr="008F28A6" w:rsidRDefault="00A74046" w:rsidP="00481870">
      <w:pPr>
        <w:spacing w:after="120" w:line="276" w:lineRule="auto"/>
        <w:ind w:firstLine="709"/>
        <w:jc w:val="both"/>
        <w:rPr>
          <w:rFonts w:ascii="Arial" w:hAnsi="Arial" w:cs="Arial"/>
          <w:bCs/>
          <w:sz w:val="22"/>
          <w:lang w:eastAsia="x-none"/>
        </w:rPr>
      </w:pPr>
      <w:r w:rsidRPr="008F28A6">
        <w:rPr>
          <w:rFonts w:ascii="Arial" w:hAnsi="Arial" w:cs="Arial"/>
          <w:sz w:val="22"/>
        </w:rPr>
        <w:t>Aplicando este razonamiento,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8F28A6">
        <w:rPr>
          <w:rStyle w:val="Refdenotaalpie"/>
          <w:rFonts w:ascii="Arial" w:hAnsi="Arial" w:cs="Arial"/>
        </w:rPr>
        <w:t xml:space="preserve"> </w:t>
      </w:r>
      <w:r w:rsidRPr="008F28A6">
        <w:rPr>
          <w:rStyle w:val="Refdenotaalpie"/>
          <w:rFonts w:ascii="Arial" w:hAnsi="Arial" w:cs="Arial"/>
          <w:sz w:val="22"/>
        </w:rPr>
        <w:footnoteReference w:id="25"/>
      </w:r>
      <w:r w:rsidRPr="008F28A6">
        <w:rPr>
          <w:rFonts w:ascii="Arial" w:hAnsi="Arial" w:cs="Arial"/>
          <w:sz w:val="22"/>
        </w:rPr>
        <w:t>.</w:t>
      </w:r>
    </w:p>
    <w:p w14:paraId="19F5DFC8" w14:textId="77777777" w:rsidR="00A74046" w:rsidRPr="008F28A6" w:rsidRDefault="00A74046" w:rsidP="00AB08AD">
      <w:pPr>
        <w:spacing w:after="120" w:line="276" w:lineRule="auto"/>
        <w:ind w:firstLine="709"/>
        <w:jc w:val="both"/>
        <w:rPr>
          <w:rFonts w:ascii="Arial" w:hAnsi="Arial" w:cs="Arial"/>
          <w:bCs/>
          <w:sz w:val="22"/>
          <w:lang w:eastAsia="x-none"/>
        </w:rPr>
      </w:pPr>
      <w:r w:rsidRPr="008F28A6">
        <w:rPr>
          <w:rFonts w:ascii="Arial" w:hAnsi="Arial" w:cs="Arial"/>
          <w:sz w:val="22"/>
        </w:rPr>
        <w:t xml:space="preserve">Por lo tanto, la restricción prevista en la Ley 996 de 2005, </w:t>
      </w:r>
      <w:r w:rsidRPr="008F28A6">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19A6A285" w14:textId="79CDADFD" w:rsidR="00AB08AD" w:rsidRPr="008F28A6" w:rsidRDefault="00AB08AD" w:rsidP="00481870">
      <w:pPr>
        <w:spacing w:line="276" w:lineRule="auto"/>
        <w:ind w:firstLine="708"/>
        <w:jc w:val="both"/>
        <w:rPr>
          <w:rFonts w:ascii="Arial" w:hAnsi="Arial" w:cs="Arial"/>
          <w:bCs/>
          <w:sz w:val="22"/>
          <w:lang w:eastAsia="x-none"/>
        </w:rPr>
      </w:pPr>
      <w:r w:rsidRPr="008F28A6">
        <w:rPr>
          <w:rFonts w:ascii="Arial" w:hAnsi="Arial" w:cs="Arial"/>
          <w:bCs/>
          <w:sz w:val="22"/>
          <w:lang w:eastAsia="x-none"/>
        </w:rPr>
        <w:t xml:space="preserve">Conforme a </w:t>
      </w:r>
      <w:r w:rsidR="00904D2A" w:rsidRPr="008F28A6">
        <w:rPr>
          <w:rFonts w:ascii="Arial" w:hAnsi="Arial" w:cs="Arial"/>
          <w:bCs/>
          <w:sz w:val="22"/>
          <w:lang w:eastAsia="x-none"/>
        </w:rPr>
        <w:t>lo anterior</w:t>
      </w:r>
      <w:r w:rsidRPr="008F28A6">
        <w:rPr>
          <w:rFonts w:ascii="Arial" w:hAnsi="Arial" w:cs="Arial"/>
          <w:bCs/>
          <w:sz w:val="22"/>
          <w:lang w:eastAsia="x-none"/>
        </w:rPr>
        <w:t xml:space="preserve">, </w:t>
      </w:r>
      <w:r w:rsidR="00FE74B7" w:rsidRPr="008F28A6">
        <w:rPr>
          <w:rFonts w:ascii="Arial" w:hAnsi="Arial" w:cs="Arial"/>
          <w:bCs/>
          <w:sz w:val="22"/>
          <w:lang w:eastAsia="x-none"/>
        </w:rPr>
        <w:t xml:space="preserve">considerando que la Agencia Nacional de </w:t>
      </w:r>
      <w:r w:rsidR="00DA1F97" w:rsidRPr="008F28A6">
        <w:rPr>
          <w:rFonts w:ascii="Arial" w:hAnsi="Arial" w:cs="Arial"/>
          <w:bCs/>
          <w:sz w:val="22"/>
          <w:lang w:eastAsia="x-none"/>
        </w:rPr>
        <w:t>Ti</w:t>
      </w:r>
      <w:r w:rsidR="00FE74B7" w:rsidRPr="008F28A6">
        <w:rPr>
          <w:rFonts w:ascii="Arial" w:hAnsi="Arial" w:cs="Arial"/>
          <w:bCs/>
          <w:sz w:val="22"/>
          <w:lang w:eastAsia="x-none"/>
        </w:rPr>
        <w:t>erras</w:t>
      </w:r>
      <w:r w:rsidR="00DA1F97" w:rsidRPr="008F28A6">
        <w:rPr>
          <w:rFonts w:ascii="Arial" w:hAnsi="Arial" w:cs="Arial"/>
          <w:bCs/>
          <w:sz w:val="22"/>
          <w:lang w:eastAsia="x-none"/>
        </w:rPr>
        <w:t xml:space="preserve"> es una entidad </w:t>
      </w:r>
      <w:r w:rsidR="00D633D6" w:rsidRPr="008F28A6">
        <w:rPr>
          <w:rFonts w:ascii="Arial" w:hAnsi="Arial" w:cs="Arial"/>
          <w:bCs/>
          <w:sz w:val="22"/>
          <w:lang w:eastAsia="x-none"/>
        </w:rPr>
        <w:t xml:space="preserve">del </w:t>
      </w:r>
      <w:r w:rsidR="00DA1F97" w:rsidRPr="008F28A6">
        <w:rPr>
          <w:rFonts w:ascii="Arial" w:hAnsi="Arial" w:cs="Arial"/>
          <w:bCs/>
          <w:sz w:val="22"/>
          <w:lang w:eastAsia="x-none"/>
        </w:rPr>
        <w:t xml:space="preserve">sector descentralizado de la </w:t>
      </w:r>
      <w:r w:rsidR="00351D05" w:rsidRPr="008F28A6">
        <w:rPr>
          <w:rFonts w:ascii="Arial" w:hAnsi="Arial" w:cs="Arial"/>
          <w:bCs/>
          <w:sz w:val="22"/>
          <w:lang w:eastAsia="x-none"/>
        </w:rPr>
        <w:t>rama ejecutiva del orden nacional</w:t>
      </w:r>
      <w:r w:rsidR="00DA1F97" w:rsidRPr="008F28A6">
        <w:rPr>
          <w:rFonts w:ascii="Arial" w:hAnsi="Arial" w:cs="Arial"/>
          <w:bCs/>
          <w:sz w:val="22"/>
          <w:lang w:eastAsia="x-none"/>
        </w:rPr>
        <w:t>, con personería jurídica, patrimonio propio y autonomía administrativa, técnica y financiera, adscrita al Ministerio de Agricultura y Desarrollo Rural</w:t>
      </w:r>
      <w:r w:rsidR="00351D05" w:rsidRPr="008F28A6">
        <w:rPr>
          <w:rStyle w:val="Refdenotaalpie"/>
          <w:rFonts w:ascii="Arial" w:hAnsi="Arial" w:cs="Arial"/>
          <w:bCs/>
          <w:sz w:val="22"/>
          <w:lang w:eastAsia="x-none"/>
        </w:rPr>
        <w:footnoteReference w:id="26"/>
      </w:r>
      <w:r w:rsidR="00DA1F97" w:rsidRPr="008F28A6">
        <w:rPr>
          <w:rFonts w:ascii="Arial" w:hAnsi="Arial" w:cs="Arial"/>
          <w:bCs/>
          <w:sz w:val="22"/>
          <w:lang w:eastAsia="x-none"/>
        </w:rPr>
        <w:t>,</w:t>
      </w:r>
      <w:r w:rsidR="00FE74B7" w:rsidRPr="008F28A6">
        <w:rPr>
          <w:rFonts w:ascii="Arial" w:hAnsi="Arial" w:cs="Arial"/>
          <w:bCs/>
          <w:sz w:val="22"/>
          <w:lang w:eastAsia="x-none"/>
        </w:rPr>
        <w:t xml:space="preserve"> </w:t>
      </w:r>
      <w:r w:rsidR="00D633D6" w:rsidRPr="008F28A6">
        <w:rPr>
          <w:rFonts w:ascii="Arial" w:hAnsi="Arial" w:cs="Arial"/>
          <w:bCs/>
          <w:sz w:val="22"/>
          <w:lang w:eastAsia="x-none"/>
        </w:rPr>
        <w:t xml:space="preserve">resulta </w:t>
      </w:r>
      <w:r w:rsidR="00D079B7" w:rsidRPr="008F28A6">
        <w:rPr>
          <w:rFonts w:ascii="Arial" w:hAnsi="Arial" w:cs="Arial"/>
          <w:bCs/>
          <w:sz w:val="22"/>
          <w:lang w:eastAsia="x-none"/>
        </w:rPr>
        <w:t>palmario</w:t>
      </w:r>
      <w:r w:rsidR="00D633D6" w:rsidRPr="008F28A6">
        <w:rPr>
          <w:rFonts w:ascii="Arial" w:hAnsi="Arial" w:cs="Arial"/>
          <w:bCs/>
          <w:sz w:val="22"/>
          <w:lang w:eastAsia="x-none"/>
        </w:rPr>
        <w:t xml:space="preserve"> que constituye un ente del Estado</w:t>
      </w:r>
      <w:r w:rsidR="00DA7468">
        <w:rPr>
          <w:rFonts w:ascii="Arial" w:hAnsi="Arial" w:cs="Arial"/>
          <w:bCs/>
          <w:sz w:val="22"/>
          <w:lang w:eastAsia="x-none"/>
        </w:rPr>
        <w:t>,</w:t>
      </w:r>
      <w:r w:rsidR="00D079B7" w:rsidRPr="008F28A6">
        <w:rPr>
          <w:rFonts w:ascii="Arial" w:hAnsi="Arial" w:cs="Arial"/>
          <w:bCs/>
          <w:sz w:val="22"/>
          <w:lang w:eastAsia="x-none"/>
        </w:rPr>
        <w:t xml:space="preserve"> de conformidad con el artículo 33 de la Ley 966 de 2005</w:t>
      </w:r>
      <w:r w:rsidR="00595BF1" w:rsidRPr="008F28A6">
        <w:rPr>
          <w:rFonts w:ascii="Arial" w:hAnsi="Arial" w:cs="Arial"/>
          <w:bCs/>
          <w:sz w:val="22"/>
          <w:lang w:eastAsia="x-none"/>
        </w:rPr>
        <w:t xml:space="preserve">, lo que </w:t>
      </w:r>
      <w:r w:rsidR="00DA7468">
        <w:rPr>
          <w:rFonts w:ascii="Arial" w:hAnsi="Arial" w:cs="Arial"/>
          <w:bCs/>
          <w:sz w:val="22"/>
          <w:lang w:eastAsia="x-none"/>
        </w:rPr>
        <w:t>supone</w:t>
      </w:r>
      <w:r w:rsidR="00DA7468" w:rsidRPr="008F28A6">
        <w:rPr>
          <w:rFonts w:ascii="Arial" w:hAnsi="Arial" w:cs="Arial"/>
          <w:bCs/>
          <w:sz w:val="22"/>
          <w:lang w:eastAsia="x-none"/>
        </w:rPr>
        <w:t xml:space="preserve"> </w:t>
      </w:r>
      <w:r w:rsidR="00595BF1" w:rsidRPr="008F28A6">
        <w:rPr>
          <w:rFonts w:ascii="Arial" w:hAnsi="Arial" w:cs="Arial"/>
          <w:bCs/>
          <w:sz w:val="22"/>
          <w:lang w:eastAsia="x-none"/>
        </w:rPr>
        <w:t>que se encuentra dentro del ámbito de aplicación de la restricci</w:t>
      </w:r>
      <w:r w:rsidR="00826A22" w:rsidRPr="008F28A6">
        <w:rPr>
          <w:rFonts w:ascii="Arial" w:hAnsi="Arial" w:cs="Arial"/>
          <w:bCs/>
          <w:sz w:val="22"/>
          <w:lang w:eastAsia="x-none"/>
        </w:rPr>
        <w:t>ón</w:t>
      </w:r>
      <w:r w:rsidR="00D079B7" w:rsidRPr="008F28A6">
        <w:rPr>
          <w:rFonts w:ascii="Arial" w:hAnsi="Arial" w:cs="Arial"/>
          <w:bCs/>
          <w:sz w:val="22"/>
          <w:lang w:eastAsia="x-none"/>
        </w:rPr>
        <w:t xml:space="preserve">. </w:t>
      </w:r>
      <w:r w:rsidR="00C002E4" w:rsidRPr="008F28A6">
        <w:rPr>
          <w:rFonts w:ascii="Arial" w:hAnsi="Arial" w:cs="Arial"/>
          <w:bCs/>
          <w:sz w:val="22"/>
          <w:lang w:eastAsia="x-none"/>
        </w:rPr>
        <w:t>Esto significa que</w:t>
      </w:r>
      <w:r w:rsidR="00D079B7" w:rsidRPr="008F28A6">
        <w:rPr>
          <w:rFonts w:ascii="Arial" w:hAnsi="Arial" w:cs="Arial"/>
          <w:bCs/>
          <w:sz w:val="22"/>
          <w:lang w:eastAsia="x-none"/>
        </w:rPr>
        <w:t xml:space="preserve">, </w:t>
      </w:r>
      <w:r w:rsidR="00BB2CC7" w:rsidRPr="008F28A6">
        <w:rPr>
          <w:rFonts w:ascii="Arial" w:hAnsi="Arial" w:cs="Arial"/>
          <w:bCs/>
          <w:sz w:val="22"/>
          <w:lang w:eastAsia="x-none"/>
        </w:rPr>
        <w:t xml:space="preserve">independientemente del régimen </w:t>
      </w:r>
      <w:r w:rsidR="00826A22" w:rsidRPr="008F28A6">
        <w:rPr>
          <w:rFonts w:ascii="Arial" w:hAnsi="Arial" w:cs="Arial"/>
          <w:bCs/>
          <w:sz w:val="22"/>
          <w:lang w:eastAsia="x-none"/>
        </w:rPr>
        <w:t>aplicable a</w:t>
      </w:r>
      <w:r w:rsidR="009F67B9" w:rsidRPr="008F28A6">
        <w:rPr>
          <w:rFonts w:ascii="Arial" w:hAnsi="Arial" w:cs="Arial"/>
          <w:bCs/>
          <w:sz w:val="22"/>
          <w:lang w:eastAsia="x-none"/>
        </w:rPr>
        <w:t xml:space="preserve"> </w:t>
      </w:r>
      <w:r w:rsidR="00BB2CC7" w:rsidRPr="008F28A6">
        <w:rPr>
          <w:rFonts w:ascii="Arial" w:hAnsi="Arial" w:cs="Arial"/>
          <w:bCs/>
          <w:sz w:val="22"/>
          <w:lang w:eastAsia="x-none"/>
        </w:rPr>
        <w:t xml:space="preserve">los contratos </w:t>
      </w:r>
      <w:r w:rsidR="009F67B9" w:rsidRPr="008F28A6">
        <w:rPr>
          <w:rFonts w:ascii="Arial" w:hAnsi="Arial" w:cs="Arial"/>
          <w:bCs/>
          <w:sz w:val="22"/>
          <w:lang w:eastAsia="x-none"/>
        </w:rPr>
        <w:t>que le corresponde</w:t>
      </w:r>
      <w:r w:rsidR="00123372" w:rsidRPr="008F28A6">
        <w:rPr>
          <w:rFonts w:ascii="Arial" w:hAnsi="Arial" w:cs="Arial"/>
          <w:bCs/>
          <w:sz w:val="22"/>
          <w:lang w:eastAsia="x-none"/>
        </w:rPr>
        <w:t xml:space="preserve"> a dicha </w:t>
      </w:r>
      <w:r w:rsidR="00123372" w:rsidRPr="008F28A6">
        <w:rPr>
          <w:rFonts w:ascii="Arial" w:hAnsi="Arial" w:cs="Arial"/>
          <w:bCs/>
          <w:sz w:val="22"/>
          <w:lang w:eastAsia="x-none"/>
        </w:rPr>
        <w:lastRenderedPageBreak/>
        <w:t>entidad</w:t>
      </w:r>
      <w:r w:rsidR="009F67B9" w:rsidRPr="008F28A6">
        <w:rPr>
          <w:rFonts w:ascii="Arial" w:hAnsi="Arial" w:cs="Arial"/>
          <w:bCs/>
          <w:sz w:val="22"/>
          <w:lang w:eastAsia="x-none"/>
        </w:rPr>
        <w:t xml:space="preserve"> celebrar en ejercicio de las competencias que tiene</w:t>
      </w:r>
      <w:r w:rsidR="00123372" w:rsidRPr="008F28A6">
        <w:rPr>
          <w:rFonts w:ascii="Arial" w:hAnsi="Arial" w:cs="Arial"/>
          <w:bCs/>
          <w:sz w:val="22"/>
          <w:lang w:eastAsia="x-none"/>
        </w:rPr>
        <w:t xml:space="preserve"> </w:t>
      </w:r>
      <w:r w:rsidR="009F67B9" w:rsidRPr="008F28A6">
        <w:rPr>
          <w:rFonts w:ascii="Arial" w:hAnsi="Arial" w:cs="Arial"/>
          <w:bCs/>
          <w:sz w:val="22"/>
          <w:lang w:eastAsia="x-none"/>
        </w:rPr>
        <w:t>atribuida</w:t>
      </w:r>
      <w:r w:rsidR="00595BF1" w:rsidRPr="008F28A6">
        <w:rPr>
          <w:rFonts w:ascii="Arial" w:hAnsi="Arial" w:cs="Arial"/>
          <w:bCs/>
          <w:sz w:val="22"/>
          <w:lang w:eastAsia="x-none"/>
        </w:rPr>
        <w:t xml:space="preserve">, al estar cobijada </w:t>
      </w:r>
      <w:r w:rsidR="000B1E44" w:rsidRPr="008F28A6">
        <w:rPr>
          <w:rFonts w:ascii="Arial" w:hAnsi="Arial" w:cs="Arial"/>
          <w:bCs/>
          <w:sz w:val="22"/>
          <w:lang w:eastAsia="x-none"/>
        </w:rPr>
        <w:t xml:space="preserve">por la restricción, durante </w:t>
      </w:r>
      <w:r w:rsidR="00DA7468">
        <w:rPr>
          <w:rFonts w:ascii="Arial" w:hAnsi="Arial" w:cs="Arial"/>
          <w:bCs/>
          <w:sz w:val="22"/>
          <w:lang w:eastAsia="x-none"/>
        </w:rPr>
        <w:t>el</w:t>
      </w:r>
      <w:r w:rsidR="00DA7468" w:rsidRPr="008F28A6">
        <w:rPr>
          <w:rFonts w:ascii="Arial" w:hAnsi="Arial" w:cs="Arial"/>
          <w:bCs/>
          <w:sz w:val="22"/>
          <w:lang w:eastAsia="x-none"/>
        </w:rPr>
        <w:t xml:space="preserve"> </w:t>
      </w:r>
      <w:r w:rsidR="000B1E44" w:rsidRPr="008F28A6">
        <w:rPr>
          <w:rFonts w:ascii="Arial" w:hAnsi="Arial" w:cs="Arial"/>
          <w:bCs/>
          <w:sz w:val="22"/>
          <w:lang w:eastAsia="x-none"/>
        </w:rPr>
        <w:t>per</w:t>
      </w:r>
      <w:r w:rsidR="00DA7468">
        <w:rPr>
          <w:rFonts w:ascii="Arial" w:hAnsi="Arial" w:cs="Arial"/>
          <w:bCs/>
          <w:sz w:val="22"/>
          <w:lang w:eastAsia="x-none"/>
        </w:rPr>
        <w:t>í</w:t>
      </w:r>
      <w:r w:rsidR="000B1E44" w:rsidRPr="008F28A6">
        <w:rPr>
          <w:rFonts w:ascii="Arial" w:hAnsi="Arial" w:cs="Arial"/>
          <w:bCs/>
          <w:sz w:val="22"/>
          <w:lang w:eastAsia="x-none"/>
        </w:rPr>
        <w:t xml:space="preserve">odo </w:t>
      </w:r>
      <w:r w:rsidR="00C50DD7" w:rsidRPr="008F28A6">
        <w:rPr>
          <w:rFonts w:ascii="Arial" w:hAnsi="Arial" w:cs="Arial"/>
          <w:bCs/>
          <w:sz w:val="22"/>
          <w:lang w:eastAsia="x-none"/>
        </w:rPr>
        <w:t>pre</w:t>
      </w:r>
      <w:r w:rsidR="00DA7468">
        <w:rPr>
          <w:rFonts w:ascii="Arial" w:hAnsi="Arial" w:cs="Arial"/>
          <w:bCs/>
          <w:sz w:val="22"/>
          <w:lang w:eastAsia="x-none"/>
        </w:rPr>
        <w:t>e</w:t>
      </w:r>
      <w:r w:rsidR="00C50DD7" w:rsidRPr="008F28A6">
        <w:rPr>
          <w:rFonts w:ascii="Arial" w:hAnsi="Arial" w:cs="Arial"/>
          <w:bCs/>
          <w:sz w:val="22"/>
          <w:lang w:eastAsia="x-none"/>
        </w:rPr>
        <w:t>lectorales de 4 meses anteriores a las elecciones presidenciales</w:t>
      </w:r>
      <w:r w:rsidR="000B1E44" w:rsidRPr="008F28A6">
        <w:rPr>
          <w:rFonts w:ascii="Arial" w:hAnsi="Arial" w:cs="Arial"/>
          <w:bCs/>
          <w:sz w:val="22"/>
          <w:lang w:eastAsia="x-none"/>
        </w:rPr>
        <w:t>,</w:t>
      </w:r>
      <w:r w:rsidR="00DF1DA5" w:rsidRPr="008F28A6">
        <w:rPr>
          <w:rFonts w:ascii="Arial" w:hAnsi="Arial" w:cs="Arial"/>
          <w:bCs/>
          <w:sz w:val="22"/>
          <w:lang w:eastAsia="x-none"/>
        </w:rPr>
        <w:t xml:space="preserve"> </w:t>
      </w:r>
      <w:r w:rsidR="000B1E44" w:rsidRPr="008F28A6">
        <w:rPr>
          <w:rFonts w:ascii="Arial" w:hAnsi="Arial" w:cs="Arial"/>
          <w:bCs/>
          <w:sz w:val="22"/>
          <w:lang w:eastAsia="x-none"/>
        </w:rPr>
        <w:t>solo le resultaría posible</w:t>
      </w:r>
      <w:r w:rsidR="00C50DD7" w:rsidRPr="008F28A6">
        <w:rPr>
          <w:rFonts w:ascii="Arial" w:hAnsi="Arial" w:cs="Arial"/>
          <w:bCs/>
          <w:sz w:val="22"/>
          <w:lang w:eastAsia="x-none"/>
        </w:rPr>
        <w:t xml:space="preserve"> hacerlo en el marco de procesos con pluralidad de oferentes.  </w:t>
      </w:r>
      <w:r w:rsidR="009F67B9" w:rsidRPr="008F28A6">
        <w:rPr>
          <w:rFonts w:ascii="Arial" w:hAnsi="Arial" w:cs="Arial"/>
          <w:bCs/>
          <w:sz w:val="22"/>
          <w:lang w:eastAsia="x-none"/>
        </w:rPr>
        <w:t xml:space="preserve"> </w:t>
      </w:r>
    </w:p>
    <w:p w14:paraId="7252F860" w14:textId="18263102" w:rsidR="00E5180C" w:rsidRPr="008F28A6" w:rsidRDefault="00C9009F" w:rsidP="00537ACD">
      <w:pPr>
        <w:spacing w:before="120" w:line="276" w:lineRule="auto"/>
        <w:ind w:firstLine="709"/>
        <w:jc w:val="both"/>
        <w:rPr>
          <w:rFonts w:ascii="Arial" w:hAnsi="Arial" w:cs="Arial"/>
          <w:sz w:val="22"/>
        </w:rPr>
      </w:pPr>
      <w:r w:rsidRPr="008F28A6">
        <w:rPr>
          <w:rFonts w:ascii="Arial" w:hAnsi="Arial" w:cs="Arial"/>
          <w:bCs/>
          <w:sz w:val="22"/>
          <w:lang w:eastAsia="x-none"/>
        </w:rPr>
        <w:t xml:space="preserve">En ese sentido, </w:t>
      </w:r>
      <w:r w:rsidR="00C41F39" w:rsidRPr="008F28A6">
        <w:rPr>
          <w:rFonts w:ascii="Arial" w:hAnsi="Arial" w:cs="Arial"/>
          <w:bCs/>
          <w:sz w:val="22"/>
          <w:lang w:eastAsia="x-none"/>
        </w:rPr>
        <w:t>sin perjuicio</w:t>
      </w:r>
      <w:r w:rsidRPr="008F28A6">
        <w:rPr>
          <w:rFonts w:ascii="Arial" w:hAnsi="Arial" w:cs="Arial"/>
          <w:bCs/>
          <w:sz w:val="22"/>
          <w:lang w:eastAsia="x-none"/>
        </w:rPr>
        <w:t xml:space="preserve"> de lo manifestado por esta Agencia en </w:t>
      </w:r>
      <w:r w:rsidR="006F55F0" w:rsidRPr="008F28A6">
        <w:rPr>
          <w:rFonts w:ascii="Arial" w:hAnsi="Arial" w:cs="Arial"/>
          <w:bCs/>
          <w:sz w:val="22"/>
          <w:lang w:eastAsia="x-none"/>
        </w:rPr>
        <w:t xml:space="preserve">el concepto </w:t>
      </w:r>
      <w:r w:rsidR="00A266E6" w:rsidRPr="008F28A6">
        <w:rPr>
          <w:rFonts w:ascii="Arial" w:hAnsi="Arial" w:cs="Arial"/>
          <w:bCs/>
          <w:sz w:val="22"/>
          <w:lang w:eastAsia="x-none"/>
        </w:rPr>
        <w:t xml:space="preserve">2201813000004832 </w:t>
      </w:r>
      <w:r w:rsidR="006F55F0" w:rsidRPr="008F28A6">
        <w:rPr>
          <w:rFonts w:ascii="Arial" w:hAnsi="Arial" w:cs="Arial"/>
          <w:bCs/>
          <w:sz w:val="22"/>
          <w:lang w:eastAsia="x-none"/>
        </w:rPr>
        <w:t>de</w:t>
      </w:r>
      <w:r w:rsidR="0007684C" w:rsidRPr="008F28A6">
        <w:rPr>
          <w:rFonts w:ascii="Arial" w:hAnsi="Arial" w:cs="Arial"/>
          <w:bCs/>
          <w:sz w:val="22"/>
          <w:lang w:eastAsia="x-none"/>
        </w:rPr>
        <w:t>l 29 de mayo de 2018 referido en su consulta</w:t>
      </w:r>
      <w:r w:rsidR="002E4CAE" w:rsidRPr="008F28A6">
        <w:rPr>
          <w:rStyle w:val="Refdenotaalpie"/>
          <w:rFonts w:ascii="Arial" w:hAnsi="Arial" w:cs="Arial"/>
          <w:bCs/>
          <w:sz w:val="22"/>
          <w:lang w:eastAsia="x-none"/>
        </w:rPr>
        <w:footnoteReference w:id="27"/>
      </w:r>
      <w:r w:rsidR="0007684C" w:rsidRPr="008F28A6">
        <w:rPr>
          <w:rFonts w:ascii="Arial" w:hAnsi="Arial" w:cs="Arial"/>
          <w:bCs/>
          <w:sz w:val="22"/>
          <w:lang w:eastAsia="x-none"/>
        </w:rPr>
        <w:t>,</w:t>
      </w:r>
      <w:r w:rsidR="00DF1DA5" w:rsidRPr="008F28A6">
        <w:rPr>
          <w:rFonts w:ascii="Arial" w:hAnsi="Arial" w:cs="Arial"/>
          <w:bCs/>
          <w:sz w:val="22"/>
          <w:lang w:eastAsia="x-none"/>
        </w:rPr>
        <w:t xml:space="preserve"> </w:t>
      </w:r>
      <w:r w:rsidR="00C41F39" w:rsidRPr="008F28A6">
        <w:rPr>
          <w:rFonts w:ascii="Arial" w:hAnsi="Arial" w:cs="Arial"/>
          <w:bCs/>
          <w:sz w:val="22"/>
          <w:lang w:eastAsia="x-none"/>
        </w:rPr>
        <w:t xml:space="preserve">es preciso afirmar que, al margen de que la Agencia Nacional de Tierras </w:t>
      </w:r>
      <w:r w:rsidR="00933CB5" w:rsidRPr="008F28A6">
        <w:rPr>
          <w:rFonts w:ascii="Arial" w:hAnsi="Arial" w:cs="Arial"/>
          <w:bCs/>
          <w:sz w:val="22"/>
          <w:lang w:eastAsia="x-none"/>
        </w:rPr>
        <w:t>celebre contratos</w:t>
      </w:r>
      <w:r w:rsidR="008A7642">
        <w:rPr>
          <w:rFonts w:ascii="Arial" w:hAnsi="Arial" w:cs="Arial"/>
          <w:bCs/>
          <w:sz w:val="22"/>
          <w:lang w:eastAsia="x-none"/>
        </w:rPr>
        <w:t>,</w:t>
      </w:r>
      <w:r w:rsidR="00933CB5" w:rsidRPr="008F28A6">
        <w:rPr>
          <w:rFonts w:ascii="Arial" w:hAnsi="Arial" w:cs="Arial"/>
          <w:bCs/>
          <w:sz w:val="22"/>
          <w:lang w:eastAsia="x-none"/>
        </w:rPr>
        <w:t xml:space="preserve"> en atención a unas normas especiales, ello </w:t>
      </w:r>
      <w:r w:rsidR="008A7642">
        <w:rPr>
          <w:rFonts w:ascii="Arial" w:hAnsi="Arial" w:cs="Arial"/>
          <w:bCs/>
          <w:sz w:val="22"/>
          <w:lang w:eastAsia="x-none"/>
        </w:rPr>
        <w:t xml:space="preserve">no </w:t>
      </w:r>
      <w:r w:rsidR="00933CB5" w:rsidRPr="008F28A6">
        <w:rPr>
          <w:rFonts w:ascii="Arial" w:hAnsi="Arial" w:cs="Arial"/>
          <w:bCs/>
          <w:sz w:val="22"/>
          <w:lang w:eastAsia="x-none"/>
        </w:rPr>
        <w:t>la releva de la prohibición del artículo 33 de la Ley 996 de 2005</w:t>
      </w:r>
      <w:r w:rsidR="00F540CC" w:rsidRPr="008F28A6">
        <w:rPr>
          <w:rFonts w:ascii="Arial" w:hAnsi="Arial" w:cs="Arial"/>
          <w:bCs/>
          <w:sz w:val="22"/>
          <w:lang w:eastAsia="x-none"/>
        </w:rPr>
        <w:t>, por lo que</w:t>
      </w:r>
      <w:r w:rsidR="00BB4A61" w:rsidRPr="008F28A6">
        <w:rPr>
          <w:rFonts w:ascii="Arial" w:hAnsi="Arial" w:cs="Arial"/>
          <w:bCs/>
          <w:sz w:val="22"/>
          <w:lang w:eastAsia="x-none"/>
        </w:rPr>
        <w:t xml:space="preserve">, en principio, </w:t>
      </w:r>
      <w:r w:rsidR="00D34508" w:rsidRPr="008F28A6">
        <w:rPr>
          <w:rFonts w:ascii="Arial" w:hAnsi="Arial" w:cs="Arial"/>
          <w:bCs/>
          <w:sz w:val="22"/>
          <w:lang w:eastAsia="x-none"/>
        </w:rPr>
        <w:t xml:space="preserve">para suscribir un contrato </w:t>
      </w:r>
      <w:r w:rsidR="00BB4A61" w:rsidRPr="008F28A6">
        <w:rPr>
          <w:rFonts w:ascii="Arial" w:hAnsi="Arial" w:cs="Arial"/>
          <w:bCs/>
          <w:sz w:val="22"/>
          <w:lang w:eastAsia="x-none"/>
        </w:rPr>
        <w:t xml:space="preserve">durante el </w:t>
      </w:r>
      <w:r w:rsidR="00403F10" w:rsidRPr="008F28A6">
        <w:rPr>
          <w:rFonts w:ascii="Arial" w:hAnsi="Arial" w:cs="Arial"/>
          <w:bCs/>
          <w:sz w:val="22"/>
          <w:lang w:eastAsia="x-none"/>
        </w:rPr>
        <w:t xml:space="preserve">mencionado preelectoral, necesariamente debe acudir a un proceso </w:t>
      </w:r>
      <w:r w:rsidR="00D34508" w:rsidRPr="008F28A6">
        <w:rPr>
          <w:rFonts w:ascii="Arial" w:hAnsi="Arial" w:cs="Arial"/>
          <w:bCs/>
          <w:sz w:val="22"/>
          <w:lang w:eastAsia="x-none"/>
        </w:rPr>
        <w:t xml:space="preserve">competitivo, o </w:t>
      </w:r>
      <w:r w:rsidR="004715D3" w:rsidRPr="008F28A6">
        <w:rPr>
          <w:rFonts w:ascii="Arial" w:hAnsi="Arial" w:cs="Arial"/>
          <w:bCs/>
          <w:sz w:val="22"/>
          <w:lang w:eastAsia="x-none"/>
        </w:rPr>
        <w:t>amparar</w:t>
      </w:r>
      <w:r w:rsidR="00E246CD" w:rsidRPr="008F28A6">
        <w:rPr>
          <w:rFonts w:ascii="Arial" w:hAnsi="Arial" w:cs="Arial"/>
          <w:bCs/>
          <w:sz w:val="22"/>
          <w:lang w:eastAsia="x-none"/>
        </w:rPr>
        <w:t>se</w:t>
      </w:r>
      <w:r w:rsidR="004715D3" w:rsidRPr="008F28A6">
        <w:rPr>
          <w:rFonts w:ascii="Arial" w:hAnsi="Arial" w:cs="Arial"/>
          <w:bCs/>
          <w:sz w:val="22"/>
          <w:lang w:eastAsia="x-none"/>
        </w:rPr>
        <w:t xml:space="preserve"> en alguna de las excepciones </w:t>
      </w:r>
      <w:r w:rsidR="00E246CD" w:rsidRPr="008F28A6">
        <w:rPr>
          <w:rFonts w:ascii="Arial" w:hAnsi="Arial" w:cs="Arial"/>
          <w:bCs/>
          <w:sz w:val="22"/>
          <w:lang w:eastAsia="x-none"/>
        </w:rPr>
        <w:t>consagradas de manera taxativa en el inciso final del citado artículo 33. En to</w:t>
      </w:r>
      <w:r w:rsidR="00E5180C" w:rsidRPr="008F28A6">
        <w:rPr>
          <w:rFonts w:ascii="Arial" w:hAnsi="Arial" w:cs="Arial"/>
          <w:bCs/>
          <w:sz w:val="22"/>
          <w:lang w:eastAsia="x-none"/>
        </w:rPr>
        <w:t xml:space="preserve">do caso, </w:t>
      </w:r>
      <w:r w:rsidR="00A75EFD" w:rsidRPr="008F28A6">
        <w:rPr>
          <w:rFonts w:ascii="Arial" w:hAnsi="Arial" w:cs="Arial"/>
          <w:bCs/>
          <w:sz w:val="22"/>
          <w:lang w:eastAsia="x-none"/>
        </w:rPr>
        <w:t xml:space="preserve">se aclara que la planeación, </w:t>
      </w:r>
      <w:r w:rsidR="0013734E">
        <w:rPr>
          <w:rFonts w:ascii="Arial" w:hAnsi="Arial" w:cs="Arial"/>
          <w:bCs/>
          <w:sz w:val="22"/>
          <w:lang w:eastAsia="x-none"/>
        </w:rPr>
        <w:t xml:space="preserve">y </w:t>
      </w:r>
      <w:r w:rsidR="00A75EFD" w:rsidRPr="008F28A6">
        <w:rPr>
          <w:rFonts w:ascii="Arial" w:hAnsi="Arial" w:cs="Arial"/>
          <w:bCs/>
          <w:sz w:val="22"/>
          <w:lang w:eastAsia="x-none"/>
        </w:rPr>
        <w:t xml:space="preserve">los estudios técnicos, jurídicos y económicos, </w:t>
      </w:r>
      <w:r w:rsidR="0067341D" w:rsidRPr="008F28A6">
        <w:rPr>
          <w:rFonts w:ascii="Arial" w:hAnsi="Arial" w:cs="Arial"/>
          <w:bCs/>
          <w:sz w:val="22"/>
          <w:lang w:eastAsia="x-none"/>
        </w:rPr>
        <w:t>que debe</w:t>
      </w:r>
      <w:r w:rsidR="0013734E">
        <w:rPr>
          <w:rFonts w:ascii="Arial" w:hAnsi="Arial" w:cs="Arial"/>
          <w:bCs/>
          <w:sz w:val="22"/>
          <w:lang w:eastAsia="x-none"/>
        </w:rPr>
        <w:t>n</w:t>
      </w:r>
      <w:r w:rsidR="0067341D" w:rsidRPr="008F28A6">
        <w:rPr>
          <w:rFonts w:ascii="Arial" w:hAnsi="Arial" w:cs="Arial"/>
          <w:bCs/>
          <w:sz w:val="22"/>
          <w:lang w:eastAsia="x-none"/>
        </w:rPr>
        <w:t xml:space="preserve"> </w:t>
      </w:r>
      <w:r w:rsidR="00A75EFD" w:rsidRPr="008F28A6">
        <w:rPr>
          <w:rFonts w:ascii="Arial" w:hAnsi="Arial" w:cs="Arial"/>
          <w:bCs/>
          <w:sz w:val="22"/>
          <w:lang w:eastAsia="x-none"/>
        </w:rPr>
        <w:t xml:space="preserve">preceder la celebración de </w:t>
      </w:r>
      <w:r w:rsidR="0067341D" w:rsidRPr="008F28A6">
        <w:rPr>
          <w:rFonts w:ascii="Arial" w:hAnsi="Arial" w:cs="Arial"/>
          <w:bCs/>
          <w:sz w:val="22"/>
          <w:lang w:eastAsia="x-none"/>
        </w:rPr>
        <w:t>cada contrato</w:t>
      </w:r>
      <w:r w:rsidR="00A75EFD" w:rsidRPr="008F28A6">
        <w:rPr>
          <w:rFonts w:ascii="Arial" w:hAnsi="Arial" w:cs="Arial"/>
          <w:bCs/>
          <w:sz w:val="22"/>
          <w:lang w:eastAsia="x-none"/>
        </w:rPr>
        <w:t xml:space="preserve">, y que determinan su viabilidad desde tales perspectivas, </w:t>
      </w:r>
      <w:r w:rsidR="00A027F7" w:rsidRPr="008F28A6">
        <w:rPr>
          <w:rFonts w:ascii="Arial" w:hAnsi="Arial" w:cs="Arial"/>
          <w:bCs/>
          <w:sz w:val="22"/>
          <w:lang w:eastAsia="x-none"/>
        </w:rPr>
        <w:t>son asuntos que competen a las entidades estatales que adelantan lo procesos de contratación</w:t>
      </w:r>
      <w:r w:rsidR="00D12CAB" w:rsidRPr="008F28A6">
        <w:rPr>
          <w:rFonts w:ascii="Arial" w:hAnsi="Arial" w:cs="Arial"/>
          <w:bCs/>
          <w:sz w:val="22"/>
          <w:lang w:eastAsia="x-none"/>
        </w:rPr>
        <w:t xml:space="preserve"> respectivos, con el apoyo de sus funcionarios y órganos asesores</w:t>
      </w:r>
      <w:r w:rsidR="00AF407F" w:rsidRPr="008F28A6">
        <w:rPr>
          <w:rFonts w:ascii="Arial" w:hAnsi="Arial" w:cs="Arial"/>
          <w:bCs/>
          <w:sz w:val="22"/>
          <w:lang w:eastAsia="x-none"/>
        </w:rPr>
        <w:t>.</w:t>
      </w:r>
      <w:r w:rsidR="00D12CAB" w:rsidRPr="008F28A6">
        <w:rPr>
          <w:rFonts w:ascii="Arial" w:hAnsi="Arial" w:cs="Arial"/>
          <w:bCs/>
          <w:sz w:val="22"/>
          <w:lang w:eastAsia="x-none"/>
        </w:rPr>
        <w:t xml:space="preserve"> </w:t>
      </w:r>
      <w:r w:rsidR="00A027F7" w:rsidRPr="008F28A6">
        <w:rPr>
          <w:rFonts w:ascii="Arial" w:hAnsi="Arial" w:cs="Arial"/>
          <w:bCs/>
          <w:sz w:val="22"/>
          <w:lang w:eastAsia="x-none"/>
        </w:rPr>
        <w:t xml:space="preserve"> </w:t>
      </w:r>
      <w:r w:rsidR="00E5180C" w:rsidRPr="008F28A6">
        <w:rPr>
          <w:rFonts w:ascii="Arial" w:hAnsi="Arial" w:cs="Arial"/>
          <w:bCs/>
          <w:sz w:val="22"/>
          <w:lang w:eastAsia="x-none"/>
        </w:rPr>
        <w:t xml:space="preserve"> </w:t>
      </w:r>
    </w:p>
    <w:p w14:paraId="342C1167" w14:textId="77777777" w:rsidR="00A266E6" w:rsidRPr="008F28A6" w:rsidRDefault="00A266E6" w:rsidP="008A6AA1">
      <w:pPr>
        <w:tabs>
          <w:tab w:val="left" w:pos="0"/>
        </w:tabs>
        <w:jc w:val="both"/>
        <w:rPr>
          <w:rFonts w:ascii="Arial" w:eastAsia="Calibri" w:hAnsi="Arial" w:cs="Arial"/>
          <w:b/>
          <w:sz w:val="18"/>
          <w:szCs w:val="20"/>
          <w:lang w:val="es-ES_tradnl"/>
        </w:rPr>
      </w:pPr>
    </w:p>
    <w:p w14:paraId="5071167E" w14:textId="020C7D35" w:rsidR="008A6AA1" w:rsidRPr="008F28A6" w:rsidRDefault="008A6AA1" w:rsidP="008A6AA1">
      <w:pPr>
        <w:tabs>
          <w:tab w:val="left" w:pos="0"/>
        </w:tabs>
        <w:jc w:val="both"/>
        <w:rPr>
          <w:rFonts w:ascii="Arial" w:eastAsia="Calibri" w:hAnsi="Arial" w:cs="Arial"/>
          <w:b/>
          <w:sz w:val="22"/>
          <w:lang w:val="es-ES_tradnl"/>
        </w:rPr>
      </w:pPr>
      <w:r w:rsidRPr="008F28A6">
        <w:rPr>
          <w:rFonts w:ascii="Arial" w:eastAsia="Calibri" w:hAnsi="Arial" w:cs="Arial"/>
          <w:b/>
          <w:sz w:val="22"/>
          <w:lang w:val="es-ES_tradnl"/>
        </w:rPr>
        <w:t>3. Respuesta</w:t>
      </w:r>
    </w:p>
    <w:p w14:paraId="1D78D111" w14:textId="77777777" w:rsidR="008A6AA1" w:rsidRPr="008F28A6" w:rsidRDefault="008A6AA1" w:rsidP="006618E4">
      <w:pPr>
        <w:tabs>
          <w:tab w:val="left" w:pos="0"/>
        </w:tabs>
        <w:jc w:val="both"/>
        <w:rPr>
          <w:rFonts w:ascii="Arial" w:eastAsia="Calibri" w:hAnsi="Arial" w:cs="Arial"/>
          <w:sz w:val="18"/>
          <w:szCs w:val="18"/>
          <w:lang w:val="es-ES_tradnl"/>
        </w:rPr>
      </w:pPr>
    </w:p>
    <w:p w14:paraId="02BF78E8" w14:textId="3A6BB3B8" w:rsidR="002652C1" w:rsidRPr="008F28A6" w:rsidRDefault="00DD537F" w:rsidP="002652C1">
      <w:pPr>
        <w:autoSpaceDE w:val="0"/>
        <w:autoSpaceDN w:val="0"/>
        <w:adjustRightInd w:val="0"/>
        <w:ind w:left="709" w:right="709"/>
        <w:jc w:val="both"/>
        <w:rPr>
          <w:rFonts w:ascii="Arial" w:hAnsi="Arial" w:cs="Arial"/>
          <w:sz w:val="21"/>
          <w:szCs w:val="21"/>
          <w:lang w:val="es-ES_tradnl"/>
        </w:rPr>
      </w:pPr>
      <w:r w:rsidRPr="008F28A6">
        <w:rPr>
          <w:rFonts w:ascii="Arial" w:hAnsi="Arial" w:cs="Arial"/>
          <w:sz w:val="21"/>
          <w:szCs w:val="21"/>
          <w:lang w:val="es-ES_tradnl"/>
        </w:rPr>
        <w:lastRenderedPageBreak/>
        <w:t>«¿La restricción de que trata el artículo 33 de la Ley 996 de 2005 es o no aplicable a los contratos de arrendamiento de que trata la Ley 160 de 1994 y el Acuerdo 106 de 2019, expedido por el Consejo Directivo de la ANT?».</w:t>
      </w:r>
    </w:p>
    <w:p w14:paraId="37D84FA2" w14:textId="77777777" w:rsidR="00DD537F" w:rsidRPr="008F28A6" w:rsidRDefault="00DD537F" w:rsidP="002652C1">
      <w:pPr>
        <w:autoSpaceDE w:val="0"/>
        <w:autoSpaceDN w:val="0"/>
        <w:adjustRightInd w:val="0"/>
        <w:ind w:left="709" w:right="709"/>
        <w:jc w:val="both"/>
        <w:rPr>
          <w:rFonts w:ascii="Arial" w:hAnsi="Arial" w:cs="Arial"/>
          <w:sz w:val="18"/>
          <w:szCs w:val="18"/>
        </w:rPr>
      </w:pPr>
    </w:p>
    <w:p w14:paraId="3256594D" w14:textId="3F09ADF9" w:rsidR="00164BA2" w:rsidRPr="008F28A6" w:rsidRDefault="00164BA2" w:rsidP="00481870">
      <w:pPr>
        <w:spacing w:after="120" w:line="276" w:lineRule="auto"/>
        <w:jc w:val="both"/>
        <w:rPr>
          <w:rFonts w:ascii="Arial" w:hAnsi="Arial" w:cs="Arial"/>
          <w:bCs/>
          <w:sz w:val="22"/>
          <w:lang w:eastAsia="es-CO"/>
        </w:rPr>
      </w:pPr>
      <w:r w:rsidRPr="008F28A6">
        <w:rPr>
          <w:rFonts w:ascii="Arial" w:eastAsia="Calibri" w:hAnsi="Arial" w:cs="Arial"/>
          <w:sz w:val="22"/>
        </w:rPr>
        <w:t xml:space="preserve">De acuerdo con la explicación precedente, </w:t>
      </w:r>
      <w:r w:rsidR="00DE3A54" w:rsidRPr="008F28A6">
        <w:rPr>
          <w:rFonts w:ascii="Arial" w:eastAsia="Calibri" w:hAnsi="Arial" w:cs="Arial"/>
          <w:sz w:val="22"/>
        </w:rPr>
        <w:t xml:space="preserve">en lo relacionado con </w:t>
      </w:r>
      <w:r w:rsidRPr="008F28A6">
        <w:rPr>
          <w:rFonts w:ascii="Arial" w:eastAsia="Calibri" w:hAnsi="Arial" w:cs="Arial"/>
          <w:sz w:val="22"/>
        </w:rPr>
        <w:t xml:space="preserve">la restricción del artículo 33 de la </w:t>
      </w:r>
      <w:r w:rsidRPr="008F28A6">
        <w:rPr>
          <w:rFonts w:ascii="Arial" w:hAnsi="Arial" w:cs="Arial"/>
          <w:bCs/>
          <w:sz w:val="22"/>
          <w:lang w:eastAsia="es-CO"/>
        </w:rPr>
        <w:t>Ley 996 de 2005</w:t>
      </w:r>
      <w:r w:rsidR="00DE3A54" w:rsidRPr="008F28A6">
        <w:rPr>
          <w:rFonts w:ascii="Arial" w:hAnsi="Arial" w:cs="Arial"/>
          <w:bCs/>
          <w:sz w:val="22"/>
          <w:lang w:eastAsia="es-CO"/>
        </w:rPr>
        <w:t>,</w:t>
      </w:r>
      <w:r w:rsidRPr="008F28A6">
        <w:rPr>
          <w:rFonts w:ascii="Arial" w:hAnsi="Arial" w:cs="Arial"/>
          <w:bCs/>
          <w:sz w:val="22"/>
          <w:lang w:eastAsia="es-CO"/>
        </w:rPr>
        <w:t xml:space="preserve"> es necesario considerar que la </w:t>
      </w:r>
      <w:r w:rsidR="00DE3A54" w:rsidRPr="008F28A6">
        <w:rPr>
          <w:rFonts w:ascii="Arial" w:hAnsi="Arial" w:cs="Arial"/>
          <w:bCs/>
          <w:sz w:val="22"/>
          <w:lang w:eastAsia="es-CO"/>
        </w:rPr>
        <w:t xml:space="preserve">aplicación de la </w:t>
      </w:r>
      <w:r w:rsidRPr="008F28A6">
        <w:rPr>
          <w:rFonts w:ascii="Arial" w:hAnsi="Arial" w:cs="Arial"/>
          <w:bCs/>
          <w:sz w:val="22"/>
          <w:lang w:eastAsia="es-CO"/>
        </w:rPr>
        <w:t>prohibición</w:t>
      </w:r>
      <w:r w:rsidR="00DE3A54" w:rsidRPr="008F28A6">
        <w:rPr>
          <w:rFonts w:ascii="Arial" w:hAnsi="Arial" w:cs="Arial"/>
          <w:bCs/>
          <w:sz w:val="22"/>
          <w:lang w:eastAsia="es-CO"/>
        </w:rPr>
        <w:t xml:space="preserve"> a la</w:t>
      </w:r>
      <w:r w:rsidRPr="008F28A6">
        <w:rPr>
          <w:rFonts w:ascii="Arial" w:hAnsi="Arial" w:cs="Arial"/>
          <w:bCs/>
          <w:sz w:val="22"/>
          <w:lang w:eastAsia="es-CO"/>
        </w:rPr>
        <w:t xml:space="preserve"> contratación directa es</w:t>
      </w:r>
      <w:r w:rsidR="00DE3A54" w:rsidRPr="008F28A6">
        <w:rPr>
          <w:rFonts w:ascii="Arial" w:hAnsi="Arial" w:cs="Arial"/>
          <w:bCs/>
          <w:sz w:val="22"/>
          <w:lang w:eastAsia="es-CO"/>
        </w:rPr>
        <w:t xml:space="preserve">tablecida por esta norma </w:t>
      </w:r>
      <w:r w:rsidR="00E50B7C">
        <w:rPr>
          <w:rFonts w:ascii="Arial" w:hAnsi="Arial" w:cs="Arial"/>
          <w:bCs/>
          <w:sz w:val="22"/>
          <w:lang w:eastAsia="es-CO"/>
        </w:rPr>
        <w:t>opera</w:t>
      </w:r>
      <w:r w:rsidR="00E50B7C" w:rsidRPr="008F28A6">
        <w:rPr>
          <w:rFonts w:ascii="Arial" w:hAnsi="Arial" w:cs="Arial"/>
          <w:bCs/>
          <w:sz w:val="22"/>
          <w:lang w:eastAsia="es-CO"/>
        </w:rPr>
        <w:t xml:space="preserve"> </w:t>
      </w:r>
      <w:r w:rsidR="00E50B7C">
        <w:rPr>
          <w:rFonts w:ascii="Arial" w:hAnsi="Arial" w:cs="Arial"/>
          <w:bCs/>
          <w:sz w:val="22"/>
          <w:lang w:eastAsia="es-CO"/>
        </w:rPr>
        <w:t>independientemente</w:t>
      </w:r>
      <w:r w:rsidR="00E50B7C" w:rsidRPr="008F28A6">
        <w:rPr>
          <w:rFonts w:ascii="Arial" w:hAnsi="Arial" w:cs="Arial"/>
          <w:bCs/>
          <w:sz w:val="22"/>
          <w:lang w:eastAsia="es-CO"/>
        </w:rPr>
        <w:t xml:space="preserve"> </w:t>
      </w:r>
      <w:r w:rsidR="00E50B7C">
        <w:rPr>
          <w:rFonts w:ascii="Arial" w:hAnsi="Arial" w:cs="Arial"/>
          <w:bCs/>
          <w:sz w:val="22"/>
          <w:lang w:eastAsia="es-CO"/>
        </w:rPr>
        <w:t>del</w:t>
      </w:r>
      <w:r w:rsidR="00E50B7C" w:rsidRPr="008F28A6">
        <w:rPr>
          <w:rFonts w:ascii="Arial" w:hAnsi="Arial" w:cs="Arial"/>
          <w:bCs/>
          <w:sz w:val="22"/>
          <w:lang w:eastAsia="es-CO"/>
        </w:rPr>
        <w:t xml:space="preserve"> </w:t>
      </w:r>
      <w:r w:rsidRPr="008F28A6">
        <w:rPr>
          <w:rFonts w:ascii="Arial" w:hAnsi="Arial" w:cs="Arial"/>
          <w:bCs/>
          <w:sz w:val="22"/>
          <w:lang w:eastAsia="es-CO"/>
        </w:rPr>
        <w:t xml:space="preserve">régimen </w:t>
      </w:r>
      <w:proofErr w:type="gramStart"/>
      <w:r w:rsidRPr="008F28A6">
        <w:rPr>
          <w:rFonts w:ascii="Arial" w:hAnsi="Arial" w:cs="Arial"/>
          <w:bCs/>
          <w:sz w:val="22"/>
          <w:lang w:eastAsia="es-CO"/>
        </w:rPr>
        <w:t xml:space="preserve">contractual </w:t>
      </w:r>
      <w:r w:rsidR="00DE3A54" w:rsidRPr="008F28A6">
        <w:rPr>
          <w:rFonts w:ascii="Arial" w:hAnsi="Arial" w:cs="Arial"/>
          <w:bCs/>
          <w:sz w:val="22"/>
          <w:lang w:eastAsia="es-CO"/>
        </w:rPr>
        <w:t xml:space="preserve"> de</w:t>
      </w:r>
      <w:proofErr w:type="gramEnd"/>
      <w:r w:rsidR="00DE3A54" w:rsidRPr="008F28A6">
        <w:rPr>
          <w:rFonts w:ascii="Arial" w:hAnsi="Arial" w:cs="Arial"/>
          <w:bCs/>
          <w:sz w:val="22"/>
          <w:lang w:eastAsia="es-CO"/>
        </w:rPr>
        <w:t xml:space="preserve"> las entidades</w:t>
      </w:r>
      <w:r w:rsidR="00E50B7C">
        <w:rPr>
          <w:rFonts w:ascii="Arial" w:hAnsi="Arial" w:cs="Arial"/>
          <w:bCs/>
          <w:sz w:val="22"/>
          <w:lang w:eastAsia="es-CO"/>
        </w:rPr>
        <w:t xml:space="preserve"> estatales</w:t>
      </w:r>
      <w:r w:rsidRPr="008F28A6">
        <w:rPr>
          <w:rFonts w:ascii="Arial" w:hAnsi="Arial" w:cs="Arial"/>
          <w:bCs/>
          <w:sz w:val="22"/>
          <w:lang w:eastAsia="es-CO"/>
        </w:rPr>
        <w:t xml:space="preserve">. </w:t>
      </w:r>
      <w:r w:rsidR="00DE3A54" w:rsidRPr="008F28A6">
        <w:rPr>
          <w:rFonts w:ascii="Arial" w:hAnsi="Arial" w:cs="Arial"/>
          <w:bCs/>
          <w:sz w:val="22"/>
          <w:lang w:eastAsia="es-CO"/>
        </w:rPr>
        <w:t xml:space="preserve"> Esto comoquiera que, según lo ha establecido </w:t>
      </w:r>
      <w:r w:rsidRPr="008F28A6">
        <w:rPr>
          <w:rFonts w:ascii="Arial" w:hAnsi="Arial" w:cs="Arial"/>
          <w:bCs/>
          <w:sz w:val="22"/>
          <w:lang w:eastAsia="es-CO"/>
        </w:rPr>
        <w:t xml:space="preserve">la Sala de Consulta y Servicio Civil del Consejo de Estado «La prohibición contenida en el artículo 33, desde el punto de vista objetivo o material, comprende la contratación directa, entendida como cualquier mecanismo de escogencia del contratista en el que se prescinde de la licitación o concurso, </w:t>
      </w:r>
      <w:r w:rsidRPr="008F28A6">
        <w:rPr>
          <w:rFonts w:ascii="Arial" w:hAnsi="Arial" w:cs="Arial"/>
          <w:bCs/>
          <w:i/>
          <w:iCs/>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8F28A6">
        <w:rPr>
          <w:rFonts w:ascii="Arial" w:hAnsi="Arial" w:cs="Arial"/>
          <w:bCs/>
          <w:sz w:val="22"/>
          <w:lang w:eastAsia="es-CO"/>
        </w:rPr>
        <w:t>» (Énfasis fuera de texto). Por tanto, durante la vigencia de la prohibición del artículo 33 de la Ley 996 de 2005 está restringida cualquier modalidad de selección que excluya la pluralidad de oferentes</w:t>
      </w:r>
      <w:r w:rsidR="0027629F" w:rsidRPr="008F28A6">
        <w:rPr>
          <w:rFonts w:ascii="Arial" w:hAnsi="Arial" w:cs="Arial"/>
          <w:bCs/>
          <w:sz w:val="22"/>
          <w:lang w:eastAsia="es-CO"/>
        </w:rPr>
        <w:t xml:space="preserve">, sin perjuicio de la posibilidad de que se suscriban </w:t>
      </w:r>
      <w:r w:rsidR="00C9539D" w:rsidRPr="008F28A6">
        <w:rPr>
          <w:rFonts w:ascii="Arial" w:hAnsi="Arial" w:cs="Arial"/>
          <w:bCs/>
          <w:sz w:val="22"/>
          <w:lang w:eastAsia="es-CO"/>
        </w:rPr>
        <w:t xml:space="preserve">contratos </w:t>
      </w:r>
      <w:r w:rsidR="0027629F" w:rsidRPr="008F28A6">
        <w:rPr>
          <w:rFonts w:ascii="Arial" w:hAnsi="Arial" w:cs="Arial"/>
          <w:bCs/>
          <w:sz w:val="22"/>
          <w:lang w:eastAsia="es-CO"/>
        </w:rPr>
        <w:t xml:space="preserve">en el marco de procesos competitivos. </w:t>
      </w:r>
      <w:r w:rsidRPr="008F28A6">
        <w:rPr>
          <w:rFonts w:ascii="Arial" w:hAnsi="Arial" w:cs="Arial"/>
          <w:bCs/>
          <w:sz w:val="22"/>
          <w:lang w:eastAsia="es-CO"/>
        </w:rPr>
        <w:t xml:space="preserve"> </w:t>
      </w:r>
    </w:p>
    <w:p w14:paraId="355B94E1" w14:textId="7163F7E7" w:rsidR="002652C1" w:rsidRPr="008F28A6" w:rsidRDefault="00E538B5" w:rsidP="00B576D3">
      <w:pPr>
        <w:spacing w:line="276" w:lineRule="auto"/>
        <w:jc w:val="both"/>
        <w:rPr>
          <w:rFonts w:ascii="Arial" w:hAnsi="Arial" w:cs="Arial"/>
          <w:sz w:val="22"/>
          <w:szCs w:val="22"/>
          <w:lang w:eastAsia="es-CO"/>
        </w:rPr>
      </w:pPr>
      <w:r w:rsidRPr="008F28A6">
        <w:rPr>
          <w:rFonts w:ascii="Arial" w:hAnsi="Arial" w:cs="Arial"/>
          <w:sz w:val="22"/>
          <w:szCs w:val="22"/>
          <w:lang w:eastAsia="es-CO"/>
        </w:rPr>
        <w:tab/>
        <w:t>Conforme a esto, independientemente de cual fuere el régimen</w:t>
      </w:r>
      <w:r w:rsidR="000468E8" w:rsidRPr="008F28A6">
        <w:rPr>
          <w:rFonts w:ascii="Arial" w:hAnsi="Arial" w:cs="Arial"/>
          <w:sz w:val="22"/>
          <w:szCs w:val="22"/>
          <w:lang w:eastAsia="es-CO"/>
        </w:rPr>
        <w:t xml:space="preserve"> contractual general  </w:t>
      </w:r>
      <w:r w:rsidR="00F55FAF" w:rsidRPr="008F28A6">
        <w:rPr>
          <w:rFonts w:ascii="Arial" w:hAnsi="Arial" w:cs="Arial"/>
          <w:sz w:val="22"/>
          <w:szCs w:val="22"/>
          <w:lang w:eastAsia="es-CO"/>
        </w:rPr>
        <w:t xml:space="preserve">o </w:t>
      </w:r>
      <w:r w:rsidR="000468E8" w:rsidRPr="008F28A6">
        <w:rPr>
          <w:rFonts w:ascii="Arial" w:hAnsi="Arial" w:cs="Arial"/>
          <w:sz w:val="22"/>
          <w:szCs w:val="22"/>
          <w:lang w:eastAsia="es-CO"/>
        </w:rPr>
        <w:t xml:space="preserve">el </w:t>
      </w:r>
      <w:r w:rsidR="00F55FAF" w:rsidRPr="008F28A6">
        <w:rPr>
          <w:rFonts w:ascii="Arial" w:hAnsi="Arial" w:cs="Arial"/>
          <w:sz w:val="22"/>
          <w:szCs w:val="22"/>
          <w:lang w:eastAsia="es-CO"/>
        </w:rPr>
        <w:t>especial</w:t>
      </w:r>
      <w:r w:rsidR="00EF078B" w:rsidRPr="008F28A6">
        <w:rPr>
          <w:rFonts w:ascii="Arial" w:hAnsi="Arial" w:cs="Arial"/>
          <w:sz w:val="22"/>
          <w:szCs w:val="22"/>
          <w:lang w:eastAsia="es-CO"/>
        </w:rPr>
        <w:t xml:space="preserve"> que</w:t>
      </w:r>
      <w:r w:rsidR="00F55FAF" w:rsidRPr="008F28A6">
        <w:rPr>
          <w:rFonts w:ascii="Arial" w:hAnsi="Arial" w:cs="Arial"/>
          <w:sz w:val="22"/>
          <w:szCs w:val="22"/>
          <w:lang w:eastAsia="es-CO"/>
        </w:rPr>
        <w:t xml:space="preserve"> </w:t>
      </w:r>
      <w:r w:rsidR="000468E8" w:rsidRPr="008F28A6">
        <w:rPr>
          <w:rFonts w:ascii="Arial" w:hAnsi="Arial" w:cs="Arial"/>
          <w:sz w:val="22"/>
          <w:szCs w:val="22"/>
          <w:lang w:eastAsia="es-CO"/>
        </w:rPr>
        <w:t>resulte</w:t>
      </w:r>
      <w:r w:rsidRPr="008F28A6">
        <w:rPr>
          <w:rFonts w:ascii="Arial" w:hAnsi="Arial" w:cs="Arial"/>
          <w:sz w:val="22"/>
          <w:szCs w:val="22"/>
          <w:lang w:eastAsia="es-CO"/>
        </w:rPr>
        <w:t xml:space="preserve"> aplicable al correspondiente contrato,</w:t>
      </w:r>
      <w:r w:rsidR="002C092E" w:rsidRPr="008F28A6">
        <w:rPr>
          <w:rFonts w:ascii="Arial" w:hAnsi="Arial" w:cs="Arial"/>
          <w:sz w:val="22"/>
          <w:szCs w:val="22"/>
          <w:lang w:eastAsia="es-CO"/>
        </w:rPr>
        <w:t xml:space="preserve"> entidades que</w:t>
      </w:r>
      <w:r w:rsidR="007A114B" w:rsidRPr="008F28A6">
        <w:rPr>
          <w:rFonts w:ascii="Arial" w:hAnsi="Arial" w:cs="Arial"/>
          <w:sz w:val="22"/>
          <w:szCs w:val="22"/>
          <w:lang w:eastAsia="es-CO"/>
        </w:rPr>
        <w:t xml:space="preserve"> constituyen </w:t>
      </w:r>
      <w:r w:rsidR="002C092E" w:rsidRPr="008F28A6">
        <w:rPr>
          <w:rFonts w:ascii="Arial" w:hAnsi="Arial" w:cs="Arial"/>
          <w:sz w:val="22"/>
          <w:szCs w:val="22"/>
          <w:lang w:eastAsia="es-CO"/>
        </w:rPr>
        <w:t>ente</w:t>
      </w:r>
      <w:r w:rsidR="007A114B" w:rsidRPr="008F28A6">
        <w:rPr>
          <w:rFonts w:ascii="Arial" w:hAnsi="Arial" w:cs="Arial"/>
          <w:sz w:val="22"/>
          <w:szCs w:val="22"/>
          <w:lang w:eastAsia="es-CO"/>
        </w:rPr>
        <w:t>s</w:t>
      </w:r>
      <w:r w:rsidR="002C092E" w:rsidRPr="008F28A6">
        <w:rPr>
          <w:rFonts w:ascii="Arial" w:hAnsi="Arial" w:cs="Arial"/>
          <w:sz w:val="22"/>
          <w:szCs w:val="22"/>
          <w:lang w:eastAsia="es-CO"/>
        </w:rPr>
        <w:t xml:space="preserve"> del Estado </w:t>
      </w:r>
      <w:r w:rsidR="006F19AD" w:rsidRPr="008F28A6">
        <w:rPr>
          <w:rFonts w:ascii="Arial" w:hAnsi="Arial" w:cs="Arial"/>
          <w:sz w:val="22"/>
          <w:szCs w:val="22"/>
          <w:lang w:eastAsia="es-CO"/>
        </w:rPr>
        <w:t xml:space="preserve">como, por ejemplo, la Agencia Nacional de Tierras, </w:t>
      </w:r>
      <w:r w:rsidR="00E24ED4" w:rsidRPr="008F28A6">
        <w:rPr>
          <w:rFonts w:ascii="Arial" w:hAnsi="Arial" w:cs="Arial"/>
          <w:sz w:val="22"/>
          <w:szCs w:val="22"/>
          <w:lang w:eastAsia="es-CO"/>
        </w:rPr>
        <w:t>pa</w:t>
      </w:r>
      <w:r w:rsidR="00E32EA3" w:rsidRPr="008F28A6">
        <w:rPr>
          <w:rFonts w:ascii="Arial" w:hAnsi="Arial" w:cs="Arial"/>
          <w:sz w:val="22"/>
          <w:szCs w:val="22"/>
          <w:lang w:eastAsia="es-CO"/>
        </w:rPr>
        <w:t xml:space="preserve">ra celebrar tales acuerdos </w:t>
      </w:r>
      <w:r w:rsidR="00EF078B" w:rsidRPr="008F28A6">
        <w:rPr>
          <w:rFonts w:ascii="Arial" w:hAnsi="Arial" w:cs="Arial"/>
          <w:sz w:val="22"/>
          <w:szCs w:val="22"/>
          <w:lang w:eastAsia="es-CO"/>
        </w:rPr>
        <w:t xml:space="preserve">en vigencia de la restricción del artículo 33, </w:t>
      </w:r>
      <w:r w:rsidR="00E32EA3" w:rsidRPr="008F28A6">
        <w:rPr>
          <w:rFonts w:ascii="Arial" w:hAnsi="Arial" w:cs="Arial"/>
          <w:sz w:val="22"/>
          <w:szCs w:val="22"/>
          <w:lang w:eastAsia="es-CO"/>
        </w:rPr>
        <w:t xml:space="preserve">necesariamente deberán hacerlo </w:t>
      </w:r>
      <w:r w:rsidR="005C7419" w:rsidRPr="008F28A6">
        <w:rPr>
          <w:rFonts w:ascii="Arial" w:hAnsi="Arial" w:cs="Arial"/>
          <w:sz w:val="22"/>
          <w:szCs w:val="22"/>
          <w:lang w:eastAsia="es-CO"/>
        </w:rPr>
        <w:t>como resultado del adelantamiento de</w:t>
      </w:r>
      <w:r w:rsidR="00E32EA3" w:rsidRPr="008F28A6">
        <w:rPr>
          <w:rFonts w:ascii="Arial" w:hAnsi="Arial" w:cs="Arial"/>
          <w:sz w:val="22"/>
          <w:szCs w:val="22"/>
          <w:lang w:eastAsia="es-CO"/>
        </w:rPr>
        <w:t xml:space="preserve"> </w:t>
      </w:r>
      <w:r w:rsidR="00823967" w:rsidRPr="008F28A6">
        <w:rPr>
          <w:rFonts w:ascii="Arial" w:hAnsi="Arial" w:cs="Arial"/>
          <w:sz w:val="22"/>
          <w:szCs w:val="22"/>
          <w:lang w:eastAsia="es-CO"/>
        </w:rPr>
        <w:t xml:space="preserve">procesos con pluralidad de oferentes, o en su defecto, </w:t>
      </w:r>
      <w:r w:rsidR="005C7419" w:rsidRPr="008F28A6">
        <w:rPr>
          <w:rFonts w:ascii="Arial" w:hAnsi="Arial" w:cs="Arial"/>
          <w:sz w:val="22"/>
          <w:szCs w:val="22"/>
          <w:lang w:eastAsia="es-CO"/>
        </w:rPr>
        <w:t xml:space="preserve">en el marco de alguna de las restricciones taxativamente señaladas en el inciso final de la norma. De cualquier modo, </w:t>
      </w:r>
      <w:r w:rsidR="00F679AA" w:rsidRPr="008F28A6">
        <w:rPr>
          <w:rFonts w:ascii="Arial" w:hAnsi="Arial" w:cs="Arial"/>
          <w:sz w:val="22"/>
          <w:szCs w:val="22"/>
          <w:lang w:eastAsia="es-CO"/>
        </w:rPr>
        <w:t xml:space="preserve">los análisis y estudios tendientes a determinar la viabilidad jurídica de tales negocios </w:t>
      </w:r>
      <w:r w:rsidR="00D25EEE" w:rsidRPr="008F28A6">
        <w:rPr>
          <w:rFonts w:ascii="Arial" w:hAnsi="Arial" w:cs="Arial"/>
          <w:sz w:val="22"/>
          <w:szCs w:val="22"/>
          <w:lang w:eastAsia="es-CO"/>
        </w:rPr>
        <w:t>jurídicos</w:t>
      </w:r>
      <w:r w:rsidR="00F679AA" w:rsidRPr="008F28A6">
        <w:rPr>
          <w:rFonts w:ascii="Arial" w:hAnsi="Arial" w:cs="Arial"/>
          <w:sz w:val="22"/>
          <w:szCs w:val="22"/>
          <w:lang w:eastAsia="es-CO"/>
        </w:rPr>
        <w:t xml:space="preserve"> competen a las entidades</w:t>
      </w:r>
      <w:r w:rsidR="00D25EEE" w:rsidRPr="008F28A6">
        <w:rPr>
          <w:rFonts w:ascii="Arial" w:hAnsi="Arial" w:cs="Arial"/>
          <w:sz w:val="22"/>
          <w:szCs w:val="22"/>
          <w:lang w:eastAsia="es-CO"/>
        </w:rPr>
        <w:t xml:space="preserve"> que adelantan los procesos. </w:t>
      </w:r>
    </w:p>
    <w:p w14:paraId="57699A7D" w14:textId="77777777" w:rsidR="00E538B5" w:rsidRPr="008F28A6" w:rsidRDefault="00E538B5" w:rsidP="00B576D3">
      <w:pPr>
        <w:spacing w:line="276" w:lineRule="auto"/>
        <w:jc w:val="both"/>
        <w:rPr>
          <w:rFonts w:ascii="Arial" w:hAnsi="Arial" w:cs="Arial"/>
          <w:sz w:val="14"/>
          <w:szCs w:val="16"/>
          <w:lang w:val="es-ES_tradnl"/>
        </w:rPr>
      </w:pPr>
    </w:p>
    <w:p w14:paraId="7B2C921D" w14:textId="3C8C0C65" w:rsidR="00DD5B04" w:rsidRPr="008F28A6" w:rsidRDefault="00DD5B04" w:rsidP="00861F5C">
      <w:pPr>
        <w:spacing w:line="276" w:lineRule="auto"/>
        <w:jc w:val="both"/>
        <w:rPr>
          <w:rFonts w:ascii="Arial" w:hAnsi="Arial" w:cs="Arial"/>
          <w:sz w:val="22"/>
          <w:lang w:val="es-ES_tradnl"/>
        </w:rPr>
      </w:pPr>
      <w:r w:rsidRPr="008F28A6">
        <w:rPr>
          <w:rFonts w:ascii="Arial" w:hAnsi="Arial" w:cs="Arial"/>
          <w:sz w:val="22"/>
          <w:lang w:val="es-ES_tradnl"/>
        </w:rPr>
        <w:t>Este concepto tiene el alcance previsto en el artículo 28 del Código de Procedimiento Administrativo y de lo Contencioso Administrativo.</w:t>
      </w:r>
    </w:p>
    <w:p w14:paraId="77EE5912" w14:textId="31AA8219" w:rsidR="00DD5B04" w:rsidRPr="008F28A6" w:rsidRDefault="00DD5B04" w:rsidP="00DF76A2">
      <w:pPr>
        <w:pStyle w:val="NormalWeb"/>
        <w:spacing w:before="0" w:beforeAutospacing="0" w:after="0" w:afterAutospacing="0" w:line="276" w:lineRule="auto"/>
        <w:jc w:val="both"/>
        <w:rPr>
          <w:rFonts w:ascii="Arial" w:hAnsi="Arial" w:cs="Arial"/>
          <w:sz w:val="14"/>
          <w:szCs w:val="14"/>
          <w:lang w:val="es-ES_tradnl"/>
        </w:rPr>
      </w:pPr>
    </w:p>
    <w:p w14:paraId="0DDBEF2B" w14:textId="5D410FF9" w:rsidR="00DD5B04" w:rsidRPr="008F28A6" w:rsidRDefault="00537ACD" w:rsidP="00DF76A2">
      <w:pPr>
        <w:pStyle w:val="NormalWeb"/>
        <w:spacing w:before="0" w:beforeAutospacing="0" w:after="0" w:afterAutospacing="0" w:line="276" w:lineRule="auto"/>
        <w:jc w:val="both"/>
        <w:rPr>
          <w:rFonts w:ascii="Arial" w:hAnsi="Arial" w:cs="Arial"/>
          <w:sz w:val="22"/>
          <w:szCs w:val="22"/>
          <w:lang w:val="es-ES_tradnl"/>
        </w:rPr>
      </w:pPr>
      <w:r>
        <w:rPr>
          <w:noProof/>
        </w:rPr>
        <w:drawing>
          <wp:anchor distT="0" distB="0" distL="114300" distR="114300" simplePos="0" relativeHeight="251660288" behindDoc="0" locked="0" layoutInCell="1" allowOverlap="1" wp14:anchorId="1C082BA6" wp14:editId="56496E85">
            <wp:simplePos x="0" y="0"/>
            <wp:positionH relativeFrom="column">
              <wp:posOffset>1440543</wp:posOffset>
            </wp:positionH>
            <wp:positionV relativeFrom="paragraph">
              <wp:posOffset>14424</wp:posOffset>
            </wp:positionV>
            <wp:extent cx="2517775" cy="1115695"/>
            <wp:effectExtent l="0" t="0" r="0" b="8255"/>
            <wp:wrapSquare wrapText="bothSides"/>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7775" cy="1115695"/>
                    </a:xfrm>
                    <a:prstGeom prst="rect">
                      <a:avLst/>
                    </a:prstGeom>
                  </pic:spPr>
                </pic:pic>
              </a:graphicData>
            </a:graphic>
            <wp14:sizeRelH relativeFrom="page">
              <wp14:pctWidth>0</wp14:pctWidth>
            </wp14:sizeRelH>
            <wp14:sizeRelV relativeFrom="page">
              <wp14:pctHeight>0</wp14:pctHeight>
            </wp14:sizeRelV>
          </wp:anchor>
        </w:drawing>
      </w:r>
      <w:r w:rsidR="00DD5B04" w:rsidRPr="008F28A6">
        <w:rPr>
          <w:rFonts w:ascii="Arial" w:hAnsi="Arial" w:cs="Arial"/>
          <w:sz w:val="22"/>
          <w:szCs w:val="22"/>
          <w:lang w:val="es-ES_tradnl"/>
        </w:rPr>
        <w:t>Atentamente,</w:t>
      </w:r>
    </w:p>
    <w:p w14:paraId="49730030" w14:textId="047EB443" w:rsidR="00DD5B04" w:rsidRDefault="00DD5B04" w:rsidP="009A773A">
      <w:pPr>
        <w:pStyle w:val="NormalWeb"/>
        <w:spacing w:before="0" w:beforeAutospacing="0" w:after="0" w:afterAutospacing="0" w:line="276" w:lineRule="auto"/>
        <w:rPr>
          <w:rFonts w:ascii="Arial" w:hAnsi="Arial" w:cs="Arial"/>
          <w:lang w:val="es-ES_tradnl"/>
        </w:rPr>
      </w:pPr>
    </w:p>
    <w:p w14:paraId="0BD61455" w14:textId="623409DB" w:rsidR="00537ACD" w:rsidRDefault="00537ACD" w:rsidP="009A773A">
      <w:pPr>
        <w:pStyle w:val="NormalWeb"/>
        <w:spacing w:before="0" w:beforeAutospacing="0" w:after="0" w:afterAutospacing="0" w:line="276" w:lineRule="auto"/>
        <w:rPr>
          <w:rFonts w:ascii="Arial" w:hAnsi="Arial" w:cs="Arial"/>
          <w:lang w:val="es-ES_tradnl"/>
        </w:rPr>
      </w:pPr>
    </w:p>
    <w:p w14:paraId="016AF366" w14:textId="42071B18" w:rsidR="00537ACD" w:rsidRDefault="00537ACD" w:rsidP="009A773A">
      <w:pPr>
        <w:pStyle w:val="NormalWeb"/>
        <w:spacing w:before="0" w:beforeAutospacing="0" w:after="0" w:afterAutospacing="0" w:line="276" w:lineRule="auto"/>
        <w:rPr>
          <w:rFonts w:ascii="Arial" w:hAnsi="Arial" w:cs="Arial"/>
          <w:lang w:val="es-ES_tradnl"/>
        </w:rPr>
      </w:pPr>
    </w:p>
    <w:p w14:paraId="25A7465B" w14:textId="24177F16" w:rsidR="00537ACD" w:rsidRDefault="00537ACD" w:rsidP="009A773A">
      <w:pPr>
        <w:pStyle w:val="NormalWeb"/>
        <w:spacing w:before="0" w:beforeAutospacing="0" w:after="0" w:afterAutospacing="0" w:line="276" w:lineRule="auto"/>
        <w:rPr>
          <w:rFonts w:ascii="Arial" w:hAnsi="Arial" w:cs="Arial"/>
          <w:lang w:val="es-ES_tradnl"/>
        </w:rPr>
      </w:pPr>
    </w:p>
    <w:p w14:paraId="347333A1" w14:textId="77777777" w:rsidR="00537ACD" w:rsidRDefault="00537ACD" w:rsidP="009A773A">
      <w:pPr>
        <w:pStyle w:val="NormalWeb"/>
        <w:spacing w:before="0" w:beforeAutospacing="0" w:after="0" w:afterAutospacing="0" w:line="276" w:lineRule="auto"/>
        <w:rPr>
          <w:rFonts w:ascii="Arial" w:hAnsi="Arial" w:cs="Arial"/>
          <w:lang w:val="es-ES_tradnl"/>
        </w:rPr>
      </w:pPr>
    </w:p>
    <w:p w14:paraId="2A0E5DEE" w14:textId="77777777" w:rsidR="00537ACD" w:rsidRPr="00537ACD" w:rsidRDefault="00537ACD" w:rsidP="009A773A">
      <w:pPr>
        <w:pStyle w:val="NormalWeb"/>
        <w:spacing w:before="0" w:beforeAutospacing="0" w:after="0" w:afterAutospacing="0" w:line="276" w:lineRule="auto"/>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B5BB8" w:rsidRPr="008F28A6" w14:paraId="0C7DC5F7" w14:textId="77777777" w:rsidTr="008F4163">
        <w:trPr>
          <w:trHeight w:val="315"/>
        </w:trPr>
        <w:tc>
          <w:tcPr>
            <w:tcW w:w="812" w:type="dxa"/>
            <w:vAlign w:val="center"/>
            <w:hideMark/>
          </w:tcPr>
          <w:p w14:paraId="5BDB1AC9" w14:textId="77777777" w:rsidR="00DD5B04" w:rsidRPr="008F28A6" w:rsidRDefault="00DD5B04" w:rsidP="00DF76A2">
            <w:pPr>
              <w:jc w:val="both"/>
              <w:rPr>
                <w:rFonts w:ascii="Arial" w:hAnsi="Arial" w:cs="Arial"/>
                <w:sz w:val="16"/>
                <w:szCs w:val="16"/>
                <w:lang w:val="es-ES_tradnl" w:eastAsia="es-ES"/>
              </w:rPr>
            </w:pPr>
            <w:r w:rsidRPr="008F28A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ABDB76D" w14:textId="42A6FA17" w:rsidR="00A47D31" w:rsidRPr="008F28A6" w:rsidRDefault="00D25EEE" w:rsidP="0036527D">
            <w:pPr>
              <w:jc w:val="both"/>
              <w:rPr>
                <w:rFonts w:ascii="Arial" w:hAnsi="Arial" w:cs="Arial"/>
                <w:sz w:val="16"/>
                <w:szCs w:val="16"/>
                <w:lang w:val="es-ES_tradnl" w:eastAsia="es-ES"/>
              </w:rPr>
            </w:pPr>
            <w:r w:rsidRPr="008F28A6">
              <w:rPr>
                <w:rFonts w:ascii="Arial" w:hAnsi="Arial" w:cs="Arial"/>
                <w:sz w:val="16"/>
                <w:szCs w:val="16"/>
                <w:lang w:val="es-ES_tradnl" w:eastAsia="es-ES"/>
              </w:rPr>
              <w:t>Alejandro Sarmiento Cantillo</w:t>
            </w:r>
          </w:p>
          <w:p w14:paraId="240C71FD" w14:textId="51995F7D" w:rsidR="00DD5B04" w:rsidRPr="008F28A6" w:rsidRDefault="00D25EEE" w:rsidP="0036527D">
            <w:pPr>
              <w:jc w:val="both"/>
              <w:rPr>
                <w:rFonts w:ascii="Arial" w:hAnsi="Arial" w:cs="Arial"/>
                <w:sz w:val="16"/>
                <w:szCs w:val="16"/>
                <w:lang w:val="es-ES_tradnl" w:eastAsia="es-ES"/>
              </w:rPr>
            </w:pPr>
            <w:r w:rsidRPr="008F28A6">
              <w:rPr>
                <w:rFonts w:ascii="Arial" w:hAnsi="Arial" w:cs="Arial"/>
                <w:sz w:val="16"/>
                <w:szCs w:val="16"/>
                <w:lang w:val="es-ES_tradnl" w:eastAsia="es-ES"/>
              </w:rPr>
              <w:t>Gestor T1</w:t>
            </w:r>
            <w:r w:rsidR="00A47D31" w:rsidRPr="008F28A6">
              <w:rPr>
                <w:rFonts w:ascii="Arial" w:hAnsi="Arial" w:cs="Arial"/>
                <w:sz w:val="16"/>
                <w:szCs w:val="16"/>
                <w:lang w:val="es-ES_tradnl" w:eastAsia="es-ES"/>
              </w:rPr>
              <w:t>-</w:t>
            </w:r>
            <w:r w:rsidRPr="008F28A6">
              <w:rPr>
                <w:rFonts w:ascii="Arial" w:hAnsi="Arial" w:cs="Arial"/>
                <w:sz w:val="16"/>
                <w:szCs w:val="16"/>
                <w:lang w:val="es-ES_tradnl" w:eastAsia="es-ES"/>
              </w:rPr>
              <w:t>15</w:t>
            </w:r>
            <w:r w:rsidR="00FF0050" w:rsidRPr="008F28A6">
              <w:rPr>
                <w:rFonts w:ascii="Arial" w:hAnsi="Arial" w:cs="Arial"/>
                <w:sz w:val="16"/>
                <w:szCs w:val="16"/>
                <w:lang w:val="es-ES_tradnl" w:eastAsia="es-ES"/>
              </w:rPr>
              <w:t xml:space="preserve"> de la </w:t>
            </w:r>
            <w:r w:rsidR="00DD5B04" w:rsidRPr="008F28A6">
              <w:rPr>
                <w:rFonts w:ascii="Arial" w:hAnsi="Arial" w:cs="Arial"/>
                <w:sz w:val="16"/>
                <w:szCs w:val="16"/>
                <w:lang w:val="es-ES_tradnl" w:eastAsia="es-ES"/>
              </w:rPr>
              <w:t>Subdirección de Gestión Contractual</w:t>
            </w:r>
          </w:p>
        </w:tc>
      </w:tr>
      <w:tr w:rsidR="00EB5BB8" w:rsidRPr="008F28A6" w14:paraId="2F8FD650" w14:textId="77777777" w:rsidTr="008F4163">
        <w:trPr>
          <w:trHeight w:val="330"/>
        </w:trPr>
        <w:tc>
          <w:tcPr>
            <w:tcW w:w="812" w:type="dxa"/>
            <w:vAlign w:val="center"/>
            <w:hideMark/>
          </w:tcPr>
          <w:p w14:paraId="50203A0B" w14:textId="77777777" w:rsidR="00DD5B04" w:rsidRPr="008F28A6" w:rsidRDefault="00DD5B04" w:rsidP="00DF76A2">
            <w:pPr>
              <w:jc w:val="both"/>
              <w:rPr>
                <w:rFonts w:ascii="Arial" w:hAnsi="Arial" w:cs="Arial"/>
                <w:sz w:val="16"/>
                <w:szCs w:val="16"/>
                <w:lang w:val="es-ES_tradnl" w:eastAsia="es-ES"/>
              </w:rPr>
            </w:pPr>
            <w:r w:rsidRPr="008F28A6">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A9ABCE" w14:textId="2BAF6051" w:rsidR="009467DC" w:rsidRPr="008F28A6" w:rsidRDefault="00D25EEE" w:rsidP="00C05A61">
            <w:pPr>
              <w:jc w:val="both"/>
              <w:rPr>
                <w:rFonts w:ascii="Arial" w:hAnsi="Arial" w:cs="Arial"/>
                <w:sz w:val="16"/>
                <w:szCs w:val="16"/>
                <w:lang w:val="es-ES_tradnl" w:eastAsia="es-ES"/>
              </w:rPr>
            </w:pPr>
            <w:r w:rsidRPr="008F28A6">
              <w:rPr>
                <w:rFonts w:ascii="Arial" w:hAnsi="Arial" w:cs="Arial"/>
                <w:sz w:val="16"/>
                <w:szCs w:val="16"/>
                <w:lang w:val="es-ES_tradnl" w:eastAsia="es-ES"/>
              </w:rPr>
              <w:t>Cristian Andrés D</w:t>
            </w:r>
            <w:r w:rsidR="00AC3101">
              <w:rPr>
                <w:rFonts w:ascii="Arial" w:hAnsi="Arial" w:cs="Arial"/>
                <w:sz w:val="16"/>
                <w:szCs w:val="16"/>
                <w:lang w:val="es-ES_tradnl" w:eastAsia="es-ES"/>
              </w:rPr>
              <w:t>í</w:t>
            </w:r>
            <w:r w:rsidRPr="008F28A6">
              <w:rPr>
                <w:rFonts w:ascii="Arial" w:hAnsi="Arial" w:cs="Arial"/>
                <w:sz w:val="16"/>
                <w:szCs w:val="16"/>
                <w:lang w:val="es-ES_tradnl" w:eastAsia="es-ES"/>
              </w:rPr>
              <w:t>az D</w:t>
            </w:r>
            <w:r w:rsidR="00AC3101">
              <w:rPr>
                <w:rFonts w:ascii="Arial" w:hAnsi="Arial" w:cs="Arial"/>
                <w:sz w:val="16"/>
                <w:szCs w:val="16"/>
                <w:lang w:val="es-ES_tradnl" w:eastAsia="es-ES"/>
              </w:rPr>
              <w:t>í</w:t>
            </w:r>
            <w:r w:rsidRPr="008F28A6">
              <w:rPr>
                <w:rFonts w:ascii="Arial" w:hAnsi="Arial" w:cs="Arial"/>
                <w:sz w:val="16"/>
                <w:szCs w:val="16"/>
                <w:lang w:val="es-ES_tradnl" w:eastAsia="es-ES"/>
              </w:rPr>
              <w:t>ez</w:t>
            </w:r>
          </w:p>
          <w:p w14:paraId="130B3228" w14:textId="4E0AAE28" w:rsidR="002B08BA" w:rsidRPr="008F28A6" w:rsidRDefault="00D25EEE" w:rsidP="00C05A61">
            <w:pPr>
              <w:jc w:val="both"/>
              <w:rPr>
                <w:rFonts w:ascii="Arial" w:hAnsi="Arial" w:cs="Arial"/>
                <w:sz w:val="16"/>
                <w:szCs w:val="16"/>
                <w:lang w:val="es-ES_tradnl" w:eastAsia="es-ES"/>
              </w:rPr>
            </w:pPr>
            <w:r w:rsidRPr="008F28A6">
              <w:rPr>
                <w:rFonts w:ascii="Arial" w:hAnsi="Arial" w:cs="Arial"/>
                <w:sz w:val="16"/>
                <w:szCs w:val="16"/>
                <w:lang w:val="es-ES_tradnl" w:eastAsia="es-ES"/>
              </w:rPr>
              <w:t>Contratista</w:t>
            </w:r>
            <w:r w:rsidR="003D281F" w:rsidRPr="008F28A6">
              <w:rPr>
                <w:rFonts w:ascii="Arial" w:hAnsi="Arial" w:cs="Arial"/>
                <w:sz w:val="16"/>
                <w:szCs w:val="16"/>
                <w:lang w:val="es-ES_tradnl" w:eastAsia="es-ES"/>
              </w:rPr>
              <w:t xml:space="preserve"> </w:t>
            </w:r>
            <w:r w:rsidR="00015642" w:rsidRPr="008F28A6">
              <w:rPr>
                <w:rFonts w:ascii="Arial" w:hAnsi="Arial" w:cs="Arial"/>
                <w:sz w:val="16"/>
                <w:szCs w:val="16"/>
                <w:lang w:val="es-ES_tradnl" w:eastAsia="es-ES"/>
              </w:rPr>
              <w:t xml:space="preserve">de la </w:t>
            </w:r>
            <w:r w:rsidR="003D281F" w:rsidRPr="008F28A6">
              <w:rPr>
                <w:rFonts w:ascii="Arial" w:hAnsi="Arial" w:cs="Arial"/>
                <w:sz w:val="16"/>
                <w:szCs w:val="16"/>
                <w:lang w:val="es-ES_tradnl" w:eastAsia="es-ES"/>
              </w:rPr>
              <w:t xml:space="preserve">Subdirección de Gestión Contractual </w:t>
            </w:r>
            <w:r w:rsidR="00015642" w:rsidRPr="008F28A6">
              <w:rPr>
                <w:rFonts w:ascii="Arial" w:hAnsi="Arial" w:cs="Arial"/>
                <w:sz w:val="16"/>
                <w:szCs w:val="16"/>
                <w:lang w:val="es-ES_tradnl" w:eastAsia="es-ES"/>
              </w:rPr>
              <w:t xml:space="preserve"> </w:t>
            </w:r>
          </w:p>
        </w:tc>
      </w:tr>
      <w:tr w:rsidR="00EB5BB8" w:rsidRPr="008F28A6" w14:paraId="0FCBCA4A" w14:textId="77777777" w:rsidTr="008F4163">
        <w:trPr>
          <w:trHeight w:val="300"/>
        </w:trPr>
        <w:tc>
          <w:tcPr>
            <w:tcW w:w="812" w:type="dxa"/>
            <w:vAlign w:val="center"/>
            <w:hideMark/>
          </w:tcPr>
          <w:p w14:paraId="3C1D943A" w14:textId="29B4D648" w:rsidR="00DD5B04" w:rsidRPr="008F28A6" w:rsidRDefault="00DD5B04" w:rsidP="00DF76A2">
            <w:pPr>
              <w:jc w:val="both"/>
              <w:rPr>
                <w:rFonts w:ascii="Arial" w:hAnsi="Arial" w:cs="Arial"/>
                <w:sz w:val="16"/>
                <w:szCs w:val="16"/>
                <w:lang w:val="es-ES_tradnl" w:eastAsia="es-ES"/>
              </w:rPr>
            </w:pPr>
            <w:r w:rsidRPr="008F28A6">
              <w:rPr>
                <w:rFonts w:ascii="Arial" w:hAnsi="Arial" w:cs="Arial"/>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F28A6" w:rsidRDefault="00C05A61" w:rsidP="00DF76A2">
            <w:pPr>
              <w:jc w:val="both"/>
              <w:rPr>
                <w:rFonts w:ascii="Arial" w:hAnsi="Arial" w:cs="Arial"/>
                <w:sz w:val="16"/>
                <w:szCs w:val="16"/>
                <w:lang w:val="es-ES_tradnl" w:eastAsia="es-ES"/>
              </w:rPr>
            </w:pPr>
            <w:r w:rsidRPr="008F28A6">
              <w:rPr>
                <w:rFonts w:ascii="Arial" w:hAnsi="Arial" w:cs="Arial"/>
                <w:sz w:val="16"/>
                <w:szCs w:val="16"/>
                <w:lang w:val="es-ES_tradnl" w:eastAsia="es-ES"/>
              </w:rPr>
              <w:t xml:space="preserve">Jorge </w:t>
            </w:r>
            <w:r w:rsidR="00647A36" w:rsidRPr="008F28A6">
              <w:rPr>
                <w:rFonts w:ascii="Arial" w:hAnsi="Arial" w:cs="Arial"/>
                <w:sz w:val="16"/>
                <w:szCs w:val="16"/>
                <w:lang w:val="es-ES_tradnl" w:eastAsia="es-ES"/>
              </w:rPr>
              <w:t xml:space="preserve">Augusto </w:t>
            </w:r>
            <w:r w:rsidRPr="008F28A6">
              <w:rPr>
                <w:rFonts w:ascii="Arial" w:hAnsi="Arial" w:cs="Arial"/>
                <w:sz w:val="16"/>
                <w:szCs w:val="16"/>
                <w:lang w:val="es-ES_tradnl" w:eastAsia="es-ES"/>
              </w:rPr>
              <w:t>Tirado Navarro</w:t>
            </w:r>
          </w:p>
          <w:p w14:paraId="1ADC483B" w14:textId="384FAF72" w:rsidR="00DD5B04" w:rsidRPr="008F28A6" w:rsidRDefault="00DD5B04" w:rsidP="00DF76A2">
            <w:pPr>
              <w:jc w:val="both"/>
              <w:rPr>
                <w:rFonts w:ascii="Arial" w:hAnsi="Arial" w:cs="Arial"/>
                <w:sz w:val="16"/>
                <w:szCs w:val="16"/>
                <w:lang w:val="es-ES_tradnl" w:eastAsia="es-ES"/>
              </w:rPr>
            </w:pPr>
            <w:r w:rsidRPr="008F28A6">
              <w:rPr>
                <w:rFonts w:ascii="Arial" w:hAnsi="Arial" w:cs="Arial"/>
                <w:sz w:val="16"/>
                <w:szCs w:val="16"/>
                <w:lang w:val="es-ES_tradnl" w:eastAsia="es-ES"/>
              </w:rPr>
              <w:t>Subdirector de Gestión Contractual</w:t>
            </w:r>
            <w:r w:rsidR="003D369D" w:rsidRPr="008F28A6">
              <w:rPr>
                <w:rFonts w:ascii="Arial" w:hAnsi="Arial" w:cs="Arial"/>
                <w:sz w:val="16"/>
                <w:szCs w:val="16"/>
                <w:lang w:val="es-ES_tradnl" w:eastAsia="es-ES"/>
              </w:rPr>
              <w:t xml:space="preserve"> ANCP – CCE</w:t>
            </w:r>
          </w:p>
        </w:tc>
      </w:tr>
      <w:bookmarkEnd w:id="9"/>
    </w:tbl>
    <w:p w14:paraId="5E9C37DB" w14:textId="6F1E3EBC" w:rsidR="00746E08" w:rsidRPr="008F28A6" w:rsidRDefault="00746E08" w:rsidP="00EB5BB8">
      <w:pPr>
        <w:tabs>
          <w:tab w:val="left" w:pos="3795"/>
        </w:tabs>
        <w:rPr>
          <w:rFonts w:ascii="Arial" w:hAnsi="Arial" w:cs="Arial"/>
          <w:lang w:val="es-ES_tradnl"/>
        </w:rPr>
      </w:pPr>
    </w:p>
    <w:sectPr w:rsidR="00746E08" w:rsidRPr="008F28A6"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4081" w14:textId="77777777" w:rsidR="00D322EC" w:rsidRDefault="00D322EC">
      <w:r>
        <w:separator/>
      </w:r>
    </w:p>
  </w:endnote>
  <w:endnote w:type="continuationSeparator" w:id="0">
    <w:p w14:paraId="69BC65CA" w14:textId="77777777" w:rsidR="00D322EC" w:rsidRDefault="00D322EC">
      <w:r>
        <w:continuationSeparator/>
      </w:r>
    </w:p>
  </w:endnote>
  <w:endnote w:type="continuationNotice" w:id="1">
    <w:p w14:paraId="59B5CB45" w14:textId="77777777" w:rsidR="00D322EC" w:rsidRDefault="00D32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DE104F" w:rsidRDefault="00DE104F" w:rsidP="00322937">
    <w:pPr>
      <w:pStyle w:val="Sinespaciado"/>
      <w:jc w:val="right"/>
      <w:rPr>
        <w:rFonts w:ascii="Arial" w:hAnsi="Arial" w:cs="Arial"/>
        <w:sz w:val="18"/>
        <w:szCs w:val="18"/>
      </w:rPr>
    </w:pPr>
  </w:p>
  <w:p w14:paraId="7A3785F3" w14:textId="41300FBB" w:rsidR="00DE104F" w:rsidRPr="008217B7" w:rsidRDefault="00DE104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A3C58">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A3C58">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p>
  <w:p w14:paraId="48FC6A04" w14:textId="5FD1A7C9" w:rsidR="00DE104F" w:rsidRDefault="00DE104F"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E104F" w:rsidRDefault="00DE104F" w:rsidP="007B0854">
    <w:pPr>
      <w:pStyle w:val="Piedepgina"/>
      <w:jc w:val="center"/>
      <w:rPr>
        <w:lang w:val="es-ES"/>
      </w:rPr>
    </w:pPr>
  </w:p>
  <w:p w14:paraId="6C0EFC49" w14:textId="77777777" w:rsidR="00DE104F" w:rsidRPr="007B0854" w:rsidRDefault="00DE104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62BB" w14:textId="77777777" w:rsidR="00D322EC" w:rsidRDefault="00D322EC">
      <w:r>
        <w:separator/>
      </w:r>
    </w:p>
  </w:footnote>
  <w:footnote w:type="continuationSeparator" w:id="0">
    <w:p w14:paraId="55BDC4C4" w14:textId="77777777" w:rsidR="00D322EC" w:rsidRDefault="00D322EC">
      <w:r>
        <w:continuationSeparator/>
      </w:r>
    </w:p>
  </w:footnote>
  <w:footnote w:type="continuationNotice" w:id="1">
    <w:p w14:paraId="68DE0A84" w14:textId="77777777" w:rsidR="00D322EC" w:rsidRDefault="00D322EC"/>
  </w:footnote>
  <w:footnote w:id="2">
    <w:p w14:paraId="3F419AEC" w14:textId="0AABC554" w:rsidR="007A6F54" w:rsidRPr="00537ACD" w:rsidRDefault="007A6F54" w:rsidP="00EB5BB8">
      <w:pPr>
        <w:spacing w:after="120"/>
        <w:ind w:firstLine="708"/>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Se advierte que,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 a través del </w:t>
      </w:r>
      <w:r w:rsidRPr="00537ACD">
        <w:rPr>
          <w:rFonts w:ascii="Arial" w:hAnsi="Arial" w:cs="Arial"/>
          <w:bCs/>
          <w:sz w:val="18"/>
          <w:szCs w:val="18"/>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Sin embargo, también es necesario tener en cuenta que </w:t>
      </w:r>
      <w:r w:rsidRPr="00537ACD">
        <w:rPr>
          <w:rFonts w:ascii="Arial" w:hAnsi="Arial" w:cs="Arial"/>
          <w:sz w:val="18"/>
          <w:szCs w:val="18"/>
        </w:rPr>
        <w:t>mediante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Bogotá, en la forma solicitada por el señor Secretario Jurídico de la Presidencia de la República, por las consideraciones expuestas en la parte motiva de esta providencia».</w:t>
      </w:r>
      <w:r w:rsidRPr="00537ACD">
        <w:rPr>
          <w:rFonts w:ascii="Arial" w:hAnsi="Arial" w:cs="Arial"/>
          <w:bCs/>
          <w:sz w:val="18"/>
          <w:szCs w:val="18"/>
        </w:rPr>
        <w:t xml:space="preserve"> </w:t>
      </w:r>
    </w:p>
  </w:footnote>
  <w:footnote w:id="3">
    <w:p w14:paraId="02087CD2" w14:textId="77777777" w:rsidR="00DE104F" w:rsidRPr="00537ACD" w:rsidRDefault="00DE104F" w:rsidP="00DB5F0D">
      <w:pPr>
        <w:pStyle w:val="Textonotapie"/>
        <w:spacing w:after="60"/>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BA7CB7" w14:textId="4FE262E1" w:rsidR="00DE104F" w:rsidRPr="00537ACD" w:rsidRDefault="00DE104F" w:rsidP="00204E04">
      <w:pPr>
        <w:pStyle w:val="Textonotapie"/>
        <w:ind w:firstLine="709"/>
        <w:jc w:val="both"/>
        <w:rPr>
          <w:rFonts w:ascii="Arial" w:hAnsi="Arial" w:cs="Arial"/>
          <w:sz w:val="18"/>
          <w:szCs w:val="18"/>
        </w:rPr>
      </w:pPr>
      <w:proofErr w:type="gramStart"/>
      <w:r w:rsidRPr="00537ACD">
        <w:rPr>
          <w:rFonts w:ascii="Arial" w:hAnsi="Arial" w:cs="Arial"/>
          <w:sz w:val="18"/>
          <w:szCs w:val="18"/>
        </w:rPr>
        <w:t>»A</w:t>
      </w:r>
      <w:proofErr w:type="gramEnd"/>
      <w:r w:rsidRPr="00537ACD">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AF8334C" w14:textId="77777777" w:rsidR="007A6F54" w:rsidRPr="00537ACD" w:rsidRDefault="007A6F54" w:rsidP="00204E04">
      <w:pPr>
        <w:pStyle w:val="Textonotapie"/>
        <w:ind w:firstLine="709"/>
        <w:jc w:val="both"/>
        <w:rPr>
          <w:rFonts w:ascii="Arial" w:hAnsi="Arial" w:cs="Arial"/>
          <w:sz w:val="18"/>
          <w:szCs w:val="18"/>
        </w:rPr>
      </w:pPr>
    </w:p>
  </w:footnote>
  <w:footnote w:id="4">
    <w:p w14:paraId="0C876FF1" w14:textId="76F86913" w:rsidR="00204E04" w:rsidRPr="00537ACD" w:rsidRDefault="00C76A73" w:rsidP="00204E04">
      <w:pPr>
        <w:pStyle w:val="Textonotapie"/>
        <w:ind w:firstLine="708"/>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El </w:t>
      </w:r>
      <w:r w:rsidR="0089456B" w:rsidRPr="00537ACD">
        <w:rPr>
          <w:rFonts w:ascii="Arial" w:hAnsi="Arial" w:cs="Arial"/>
          <w:sz w:val="18"/>
          <w:szCs w:val="18"/>
        </w:rPr>
        <w:t xml:space="preserve">literal f) del artículo 152 de la Carta política, adicionado por el Acto </w:t>
      </w:r>
      <w:r w:rsidR="00204E04" w:rsidRPr="00537ACD">
        <w:rPr>
          <w:rFonts w:ascii="Arial" w:hAnsi="Arial" w:cs="Arial"/>
          <w:sz w:val="18"/>
          <w:szCs w:val="18"/>
        </w:rPr>
        <w:t>Legislativo</w:t>
      </w:r>
      <w:r w:rsidR="0089456B" w:rsidRPr="00537ACD">
        <w:rPr>
          <w:rFonts w:ascii="Arial" w:hAnsi="Arial" w:cs="Arial"/>
          <w:sz w:val="18"/>
          <w:szCs w:val="18"/>
        </w:rPr>
        <w:t xml:space="preserve"> 2</w:t>
      </w:r>
      <w:r w:rsidR="00E26D43" w:rsidRPr="00537ACD">
        <w:rPr>
          <w:rFonts w:ascii="Arial" w:hAnsi="Arial" w:cs="Arial"/>
          <w:sz w:val="18"/>
          <w:szCs w:val="18"/>
        </w:rPr>
        <w:t xml:space="preserve"> de 2004n señala: «</w:t>
      </w:r>
      <w:r w:rsidR="00DC1275" w:rsidRPr="00537ACD">
        <w:rPr>
          <w:rFonts w:ascii="Arial" w:hAnsi="Arial" w:cs="Arial"/>
          <w:sz w:val="18"/>
          <w:szCs w:val="18"/>
        </w:rPr>
        <w:t xml:space="preserve">Mediante las leyes estatutarias, el Congreso de la República regulará las siguientes materias […] </w:t>
      </w:r>
      <w:r w:rsidR="00E26D43" w:rsidRPr="00537ACD">
        <w:rPr>
          <w:rFonts w:ascii="Arial" w:hAnsi="Arial" w:cs="Arial"/>
          <w:sz w:val="18"/>
          <w:szCs w:val="18"/>
        </w:rPr>
        <w:t>La igualdad electoral entre los candidatos a la Presidencia de la República que reúnan los requisitos que determine la ley</w:t>
      </w:r>
      <w:r w:rsidR="00204E04" w:rsidRPr="00537ACD">
        <w:rPr>
          <w:rFonts w:ascii="Arial" w:hAnsi="Arial" w:cs="Arial"/>
          <w:sz w:val="18"/>
          <w:szCs w:val="18"/>
        </w:rPr>
        <w:t>»</w:t>
      </w:r>
      <w:r w:rsidR="00E26D43" w:rsidRPr="00537ACD">
        <w:rPr>
          <w:rFonts w:ascii="Arial" w:hAnsi="Arial" w:cs="Arial"/>
          <w:sz w:val="18"/>
          <w:szCs w:val="18"/>
        </w:rPr>
        <w:t>.</w:t>
      </w:r>
    </w:p>
    <w:p w14:paraId="5F02D856" w14:textId="35976842" w:rsidR="00C76A73" w:rsidRPr="00537ACD" w:rsidRDefault="00C76A73" w:rsidP="00204E04">
      <w:pPr>
        <w:pStyle w:val="Textonotapie"/>
        <w:ind w:firstLine="708"/>
        <w:jc w:val="both"/>
        <w:rPr>
          <w:rFonts w:ascii="Arial" w:hAnsi="Arial" w:cs="Arial"/>
          <w:sz w:val="18"/>
          <w:szCs w:val="18"/>
          <w:lang w:val="es-CO"/>
        </w:rPr>
      </w:pPr>
      <w:r w:rsidRPr="00537ACD">
        <w:rPr>
          <w:rFonts w:ascii="Arial" w:hAnsi="Arial" w:cs="Arial"/>
          <w:sz w:val="18"/>
          <w:szCs w:val="18"/>
        </w:rPr>
        <w:t xml:space="preserve"> </w:t>
      </w:r>
    </w:p>
  </w:footnote>
  <w:footnote w:id="5">
    <w:p w14:paraId="554F707A" w14:textId="03A02515"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Gaceta del Congreso de la República No. 71 del 2005.</w:t>
      </w:r>
    </w:p>
    <w:p w14:paraId="31BB3E0B" w14:textId="77777777" w:rsidR="009E2349" w:rsidRPr="00537ACD" w:rsidRDefault="009E2349" w:rsidP="00B83DD7">
      <w:pPr>
        <w:pStyle w:val="Textonotapie"/>
        <w:ind w:firstLine="709"/>
        <w:jc w:val="both"/>
        <w:rPr>
          <w:rFonts w:ascii="Arial" w:hAnsi="Arial" w:cs="Arial"/>
          <w:sz w:val="18"/>
          <w:szCs w:val="18"/>
        </w:rPr>
      </w:pPr>
    </w:p>
  </w:footnote>
  <w:footnote w:id="6">
    <w:p w14:paraId="639AE15E" w14:textId="6F133DE1"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Corte Constitucional, Sentencia C- 1153 de 2005, M.P. Marco Gerardo Monroy Cabra.</w:t>
      </w:r>
    </w:p>
    <w:p w14:paraId="5039DA59" w14:textId="77777777" w:rsidR="00B83DD7" w:rsidRPr="00537ACD" w:rsidRDefault="00B83DD7" w:rsidP="00B83DD7">
      <w:pPr>
        <w:pStyle w:val="Textonotapie"/>
        <w:ind w:firstLine="709"/>
        <w:jc w:val="both"/>
        <w:rPr>
          <w:rFonts w:ascii="Arial" w:hAnsi="Arial" w:cs="Arial"/>
          <w:sz w:val="18"/>
          <w:szCs w:val="18"/>
        </w:rPr>
      </w:pPr>
    </w:p>
  </w:footnote>
  <w:footnote w:id="7">
    <w:p w14:paraId="47C4C650" w14:textId="77480222"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086C6CB" w14:textId="77777777" w:rsidR="009E2349" w:rsidRPr="00537ACD" w:rsidRDefault="009E2349" w:rsidP="00B83DD7">
      <w:pPr>
        <w:pStyle w:val="Textonotapie"/>
        <w:ind w:firstLine="709"/>
        <w:jc w:val="both"/>
        <w:rPr>
          <w:rFonts w:ascii="Arial" w:hAnsi="Arial" w:cs="Arial"/>
          <w:sz w:val="18"/>
          <w:szCs w:val="18"/>
        </w:rPr>
      </w:pPr>
    </w:p>
  </w:footnote>
  <w:footnote w:id="8">
    <w:p w14:paraId="25EB8346" w14:textId="3E84962D" w:rsidR="009E2349" w:rsidRPr="00537ACD" w:rsidRDefault="00DE104F" w:rsidP="00B83DD7">
      <w:pPr>
        <w:pStyle w:val="Textonotapie"/>
        <w:ind w:firstLine="708"/>
        <w:jc w:val="both"/>
        <w:rPr>
          <w:rFonts w:ascii="Arial" w:hAnsi="Arial" w:cs="Arial"/>
          <w:sz w:val="18"/>
          <w:szCs w:val="18"/>
          <w:lang w:val="es-CO"/>
        </w:rPr>
      </w:pPr>
      <w:r w:rsidRPr="00537ACD">
        <w:rPr>
          <w:rStyle w:val="Refdenotaalpie"/>
          <w:rFonts w:ascii="Arial" w:hAnsi="Arial" w:cs="Arial"/>
          <w:sz w:val="18"/>
          <w:szCs w:val="18"/>
        </w:rPr>
        <w:footnoteRef/>
      </w:r>
      <w:r w:rsidRPr="00537ACD">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4BD7A1D7" w14:textId="3FB0B66A" w:rsidR="009E2349"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de fecha 24 de julio de 2013, radicado 2166, </w:t>
      </w:r>
      <w:proofErr w:type="gramStart"/>
      <w:r w:rsidRPr="00537ACD">
        <w:rPr>
          <w:rFonts w:ascii="Arial" w:hAnsi="Arial" w:cs="Arial"/>
          <w:sz w:val="18"/>
          <w:szCs w:val="18"/>
        </w:rPr>
        <w:t>Consejero</w:t>
      </w:r>
      <w:proofErr w:type="gramEnd"/>
      <w:r w:rsidRPr="00537ACD">
        <w:rPr>
          <w:rFonts w:ascii="Arial" w:hAnsi="Arial" w:cs="Arial"/>
          <w:sz w:val="18"/>
          <w:szCs w:val="18"/>
        </w:rPr>
        <w:t xml:space="preserve"> Ponente: Álvaro Namén Vargas.  </w:t>
      </w:r>
    </w:p>
    <w:p w14:paraId="0A2983CC" w14:textId="77777777" w:rsidR="00B30F4B" w:rsidRPr="00537ACD" w:rsidRDefault="00B30F4B" w:rsidP="00B83DD7">
      <w:pPr>
        <w:pStyle w:val="Textonotapie"/>
        <w:ind w:firstLine="709"/>
        <w:jc w:val="both"/>
        <w:rPr>
          <w:rFonts w:ascii="Arial" w:hAnsi="Arial" w:cs="Arial"/>
          <w:sz w:val="18"/>
          <w:szCs w:val="18"/>
        </w:rPr>
      </w:pPr>
    </w:p>
  </w:footnote>
  <w:footnote w:id="10">
    <w:p w14:paraId="2F732914" w14:textId="77777777" w:rsidR="00DE104F" w:rsidRPr="00537ACD" w:rsidRDefault="00DE104F" w:rsidP="00B83DD7">
      <w:pPr>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w:t>
      </w:r>
      <w:r w:rsidRPr="00537ACD">
        <w:rPr>
          <w:rFonts w:ascii="Arial" w:eastAsia="Calibri" w:hAnsi="Arial" w:cs="Arial"/>
          <w:bCs/>
          <w:color w:val="000000"/>
          <w:sz w:val="18"/>
          <w:szCs w:val="18"/>
        </w:rPr>
        <w:t>«</w:t>
      </w:r>
      <w:r w:rsidRPr="00537ACD">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FFBAF1E" w14:textId="2A68A4AD" w:rsidR="00DE104F" w:rsidRPr="00537ACD" w:rsidRDefault="00DE104F" w:rsidP="00B83DD7">
      <w:pPr>
        <w:ind w:firstLine="709"/>
        <w:jc w:val="both"/>
        <w:rPr>
          <w:rFonts w:ascii="Arial" w:hAnsi="Arial" w:cs="Arial"/>
          <w:sz w:val="18"/>
          <w:szCs w:val="18"/>
        </w:rPr>
      </w:pPr>
      <w:r w:rsidRPr="00537ACD">
        <w:rPr>
          <w:rFonts w:ascii="Arial" w:eastAsia="Calibri" w:hAnsi="Arial" w:cs="Arial"/>
          <w:bCs/>
          <w:color w:val="000000"/>
          <w:sz w:val="18"/>
          <w:szCs w:val="18"/>
        </w:rPr>
        <w:t>»</w:t>
      </w:r>
      <w:r w:rsidRPr="00537ACD">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37ACD">
        <w:rPr>
          <w:rFonts w:ascii="Arial" w:eastAsia="Calibri" w:hAnsi="Arial" w:cs="Arial"/>
          <w:bCs/>
          <w:color w:val="000000"/>
          <w:sz w:val="18"/>
          <w:szCs w:val="18"/>
        </w:rPr>
        <w:t>»</w:t>
      </w:r>
      <w:r w:rsidRPr="00537ACD">
        <w:rPr>
          <w:rFonts w:ascii="Arial" w:hAnsi="Arial" w:cs="Arial"/>
          <w:sz w:val="18"/>
          <w:szCs w:val="18"/>
        </w:rPr>
        <w:t>.</w:t>
      </w:r>
    </w:p>
    <w:p w14:paraId="0B824616" w14:textId="77777777" w:rsidR="009E2349" w:rsidRPr="00537ACD" w:rsidRDefault="009E2349" w:rsidP="00B83DD7">
      <w:pPr>
        <w:ind w:firstLine="709"/>
        <w:jc w:val="both"/>
        <w:rPr>
          <w:rFonts w:ascii="Arial" w:hAnsi="Arial" w:cs="Arial"/>
          <w:sz w:val="18"/>
          <w:szCs w:val="18"/>
        </w:rPr>
      </w:pPr>
    </w:p>
  </w:footnote>
  <w:footnote w:id="11">
    <w:p w14:paraId="2579FD59" w14:textId="77777777" w:rsidR="00DE104F" w:rsidRPr="00537ACD" w:rsidRDefault="00DE104F" w:rsidP="00B83DD7">
      <w:pPr>
        <w:pStyle w:val="NormalWeb"/>
        <w:spacing w:before="0" w:beforeAutospacing="0" w:after="0" w:afterAutospacing="0"/>
        <w:ind w:firstLine="709"/>
        <w:jc w:val="both"/>
        <w:rPr>
          <w:rFonts w:ascii="Arial" w:hAnsi="Arial" w:cs="Arial"/>
          <w:sz w:val="18"/>
          <w:szCs w:val="18"/>
          <w:lang w:val="es-MX"/>
        </w:rPr>
      </w:pPr>
      <w:r w:rsidRPr="00537ACD">
        <w:rPr>
          <w:rStyle w:val="Refdenotaalpie"/>
          <w:rFonts w:ascii="Arial" w:hAnsi="Arial" w:cs="Arial"/>
          <w:sz w:val="18"/>
          <w:szCs w:val="18"/>
        </w:rPr>
        <w:footnoteRef/>
      </w:r>
      <w:r w:rsidRPr="00537ACD">
        <w:rPr>
          <w:rFonts w:ascii="Arial" w:hAnsi="Arial" w:cs="Arial"/>
          <w:sz w:val="18"/>
          <w:szCs w:val="18"/>
        </w:rPr>
        <w:t xml:space="preserve"> </w:t>
      </w:r>
      <w:bookmarkStart w:id="13" w:name="38"/>
      <w:r w:rsidRPr="00537ACD">
        <w:rPr>
          <w:rFonts w:ascii="Arial" w:eastAsia="Calibri" w:hAnsi="Arial" w:cs="Arial"/>
          <w:bCs/>
          <w:color w:val="000000"/>
          <w:sz w:val="18"/>
          <w:szCs w:val="18"/>
        </w:rPr>
        <w:t>«</w:t>
      </w:r>
      <w:r w:rsidRPr="00537ACD">
        <w:rPr>
          <w:rFonts w:ascii="Arial" w:hAnsi="Arial" w:cs="Arial"/>
          <w:sz w:val="18"/>
          <w:szCs w:val="18"/>
          <w:lang w:val="es-MX"/>
        </w:rPr>
        <w:t>Artículo 38. Prohibiciones para los servidores públicos. A los empleados del Estado les está prohibido:</w:t>
      </w:r>
      <w:bookmarkEnd w:id="13"/>
    </w:p>
    <w:p w14:paraId="53F90517" w14:textId="77777777" w:rsidR="00DE104F" w:rsidRPr="00537ACD" w:rsidRDefault="00DE104F" w:rsidP="00B83DD7">
      <w:pPr>
        <w:pStyle w:val="NormalWeb"/>
        <w:spacing w:before="0" w:beforeAutospacing="0" w:after="0" w:afterAutospacing="0"/>
        <w:ind w:firstLine="709"/>
        <w:jc w:val="both"/>
        <w:rPr>
          <w:rFonts w:ascii="Arial" w:hAnsi="Arial" w:cs="Arial"/>
          <w:sz w:val="18"/>
          <w:szCs w:val="18"/>
          <w:lang w:val="es-MX"/>
        </w:rPr>
      </w:pPr>
      <w:r w:rsidRPr="00537ACD">
        <w:rPr>
          <w:rFonts w:ascii="Arial" w:eastAsia="Calibri" w:hAnsi="Arial" w:cs="Arial"/>
          <w:bCs/>
          <w:color w:val="000000"/>
          <w:sz w:val="18"/>
          <w:szCs w:val="18"/>
        </w:rPr>
        <w:t>»</w:t>
      </w:r>
      <w:r w:rsidRPr="00537ACD">
        <w:rPr>
          <w:rFonts w:ascii="Arial" w:hAnsi="Arial" w:cs="Arial"/>
          <w:sz w:val="18"/>
          <w:szCs w:val="18"/>
          <w:lang w:val="es-MX"/>
        </w:rPr>
        <w:t xml:space="preserve"> […]</w:t>
      </w:r>
    </w:p>
    <w:p w14:paraId="13452152" w14:textId="1FC7672D" w:rsidR="00DE104F" w:rsidRPr="00537ACD" w:rsidRDefault="00DE104F" w:rsidP="00B83DD7">
      <w:pPr>
        <w:pStyle w:val="NormalWeb"/>
        <w:spacing w:before="0" w:beforeAutospacing="0" w:after="0" w:afterAutospacing="0"/>
        <w:ind w:firstLine="709"/>
        <w:jc w:val="both"/>
        <w:rPr>
          <w:rFonts w:ascii="Arial" w:hAnsi="Arial" w:cs="Arial"/>
          <w:sz w:val="18"/>
          <w:szCs w:val="18"/>
          <w:lang w:val="es-MX"/>
        </w:rPr>
      </w:pPr>
      <w:r w:rsidRPr="00537ACD">
        <w:rPr>
          <w:rFonts w:ascii="Arial" w:eastAsia="Calibri" w:hAnsi="Arial" w:cs="Arial"/>
          <w:bCs/>
          <w:color w:val="000000"/>
          <w:sz w:val="18"/>
          <w:szCs w:val="18"/>
        </w:rPr>
        <w:t>»</w:t>
      </w:r>
      <w:r w:rsidRPr="00537ACD">
        <w:rPr>
          <w:rStyle w:val="baj"/>
          <w:rFonts w:ascii="Arial" w:hAnsi="Arial" w:cs="Arial"/>
          <w:sz w:val="18"/>
          <w:szCs w:val="18"/>
          <w:lang w:val="es-MX"/>
        </w:rPr>
        <w:t xml:space="preserve"> Parágrafo.</w:t>
      </w:r>
      <w:r w:rsidRPr="00537ACD">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37ACD">
        <w:rPr>
          <w:rFonts w:ascii="Arial" w:eastAsia="Calibri" w:hAnsi="Arial" w:cs="Arial"/>
          <w:bCs/>
          <w:color w:val="000000"/>
          <w:sz w:val="18"/>
          <w:szCs w:val="18"/>
        </w:rPr>
        <w:t>»</w:t>
      </w:r>
      <w:r w:rsidRPr="00537ACD">
        <w:rPr>
          <w:rFonts w:ascii="Arial" w:hAnsi="Arial" w:cs="Arial"/>
          <w:sz w:val="18"/>
          <w:szCs w:val="18"/>
          <w:lang w:val="es-MX"/>
        </w:rPr>
        <w:t>.</w:t>
      </w:r>
    </w:p>
    <w:p w14:paraId="3FCDF121" w14:textId="77777777" w:rsidR="009E2349" w:rsidRPr="00537ACD" w:rsidRDefault="009E2349" w:rsidP="00B83DD7">
      <w:pPr>
        <w:pStyle w:val="NormalWeb"/>
        <w:spacing w:before="0" w:beforeAutospacing="0" w:after="0" w:afterAutospacing="0"/>
        <w:ind w:firstLine="709"/>
        <w:jc w:val="both"/>
        <w:rPr>
          <w:rFonts w:ascii="Arial" w:hAnsi="Arial" w:cs="Arial"/>
          <w:sz w:val="18"/>
          <w:szCs w:val="18"/>
          <w:lang w:val="es-MX"/>
        </w:rPr>
      </w:pPr>
    </w:p>
  </w:footnote>
  <w:footnote w:id="12">
    <w:p w14:paraId="5E1BF1B9" w14:textId="77777777" w:rsidR="00DE104F" w:rsidRPr="00537ACD" w:rsidRDefault="00DE104F" w:rsidP="00B83DD7">
      <w:pPr>
        <w:ind w:left="100" w:right="244" w:firstLine="709"/>
        <w:jc w:val="both"/>
        <w:rPr>
          <w:rFonts w:ascii="Arial" w:hAnsi="Arial" w:cs="Arial"/>
          <w:sz w:val="18"/>
          <w:szCs w:val="18"/>
          <w:lang w:val="es-ES"/>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3">
    <w:p w14:paraId="7115231E" w14:textId="5AA85947" w:rsidR="00DE104F" w:rsidRPr="00537ACD" w:rsidRDefault="00DE104F" w:rsidP="00B83DD7">
      <w:pPr>
        <w:pStyle w:val="Textonotapie"/>
        <w:ind w:right="51"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w:t>
      </w:r>
      <w:r w:rsidRPr="00537ACD">
        <w:rPr>
          <w:rFonts w:ascii="Arial" w:hAnsi="Arial" w:cs="Arial"/>
          <w:sz w:val="18"/>
          <w:szCs w:val="18"/>
          <w:lang w:val="es-ES"/>
        </w:rPr>
        <w:t xml:space="preserve">[25] </w:t>
      </w:r>
      <w:r w:rsidRPr="00537ACD">
        <w:rPr>
          <w:rFonts w:ascii="Arial" w:hAnsi="Arial" w:cs="Arial"/>
          <w:sz w:val="18"/>
          <w:szCs w:val="18"/>
        </w:rPr>
        <w:t>Cfr. Consejo de Estado. Sección Tercera. Sentencia de 3 de diciembre de 2007. Radicados: 24.715, 25.206, 25.409, 24.524, 27.834, 25.410, 26.105, 28.244, 31.447 -acumulados-».</w:t>
      </w:r>
    </w:p>
    <w:p w14:paraId="0775CDEA" w14:textId="77777777" w:rsidR="009E2349" w:rsidRPr="00537ACD" w:rsidRDefault="009E2349" w:rsidP="00B83DD7">
      <w:pPr>
        <w:pStyle w:val="Textonotapie"/>
        <w:ind w:right="51" w:firstLine="709"/>
        <w:jc w:val="both"/>
        <w:rPr>
          <w:rFonts w:ascii="Arial" w:hAnsi="Arial" w:cs="Arial"/>
          <w:sz w:val="18"/>
          <w:szCs w:val="18"/>
        </w:rPr>
      </w:pPr>
    </w:p>
  </w:footnote>
  <w:footnote w:id="14">
    <w:p w14:paraId="5B6278F5" w14:textId="10221BE8" w:rsidR="009E2349" w:rsidRPr="00537ACD" w:rsidRDefault="00DE104F" w:rsidP="00B83DD7">
      <w:pPr>
        <w:pStyle w:val="Textonotapie"/>
        <w:ind w:right="51"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w:t>
      </w:r>
      <w:r w:rsidRPr="00537ACD">
        <w:rPr>
          <w:rFonts w:ascii="Arial" w:hAnsi="Arial" w:cs="Arial"/>
          <w:sz w:val="18"/>
          <w:szCs w:val="18"/>
          <w:lang w:val="es-ES"/>
        </w:rPr>
        <w:t xml:space="preserve">[26] </w:t>
      </w:r>
      <w:r w:rsidRPr="00537ACD">
        <w:rPr>
          <w:rFonts w:ascii="Arial" w:hAnsi="Arial" w:cs="Arial"/>
          <w:sz w:val="18"/>
          <w:szCs w:val="18"/>
        </w:rPr>
        <w:t>Al respecto ver el concepto 1712 de 2 de febrero de 2006. Consejo de Estado Sala de Consulta y Servicio Civil».</w:t>
      </w:r>
    </w:p>
  </w:footnote>
  <w:footnote w:id="15">
    <w:p w14:paraId="064E87E4" w14:textId="6BC72BFD"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p w14:paraId="52EF72B5" w14:textId="77777777" w:rsidR="009E2349" w:rsidRPr="00537ACD" w:rsidRDefault="009E2349" w:rsidP="00B83DD7">
      <w:pPr>
        <w:pStyle w:val="Textonotapie"/>
        <w:ind w:firstLine="709"/>
        <w:jc w:val="both"/>
        <w:rPr>
          <w:rFonts w:ascii="Arial" w:hAnsi="Arial" w:cs="Arial"/>
          <w:sz w:val="18"/>
          <w:szCs w:val="18"/>
        </w:rPr>
      </w:pPr>
    </w:p>
  </w:footnote>
  <w:footnote w:id="16">
    <w:p w14:paraId="0DBFF406" w14:textId="471075E0" w:rsidR="00DE104F" w:rsidRPr="00537ACD" w:rsidRDefault="00DE104F" w:rsidP="00B83DD7">
      <w:pPr>
        <w:pStyle w:val="Textonotapie"/>
        <w:ind w:firstLine="709"/>
        <w:jc w:val="both"/>
        <w:rPr>
          <w:rFonts w:ascii="Arial" w:hAnsi="Arial" w:cs="Arial"/>
          <w:sz w:val="18"/>
          <w:szCs w:val="18"/>
          <w:lang w:val="es-ES"/>
        </w:rPr>
      </w:pPr>
      <w:r w:rsidRPr="00537ACD">
        <w:rPr>
          <w:rStyle w:val="Refdenotaalpie"/>
          <w:rFonts w:ascii="Arial" w:hAnsi="Arial" w:cs="Arial"/>
          <w:sz w:val="18"/>
          <w:szCs w:val="18"/>
        </w:rPr>
        <w:footnoteRef/>
      </w:r>
      <w:r w:rsidRPr="00537ACD">
        <w:rPr>
          <w:rFonts w:ascii="Arial" w:hAnsi="Arial" w:cs="Arial"/>
          <w:sz w:val="18"/>
          <w:szCs w:val="18"/>
        </w:rPr>
        <w:t xml:space="preserve"> </w:t>
      </w:r>
      <w:r w:rsidRPr="00537ACD">
        <w:rPr>
          <w:rFonts w:ascii="Arial" w:hAnsi="Arial" w:cs="Arial"/>
          <w:sz w:val="18"/>
          <w:szCs w:val="18"/>
          <w:lang w:val="es-ES"/>
        </w:rPr>
        <w:t xml:space="preserve">Artículo 2. </w:t>
      </w:r>
    </w:p>
    <w:p w14:paraId="5D86F055" w14:textId="77777777" w:rsidR="009E2349" w:rsidRPr="00537ACD" w:rsidRDefault="009E2349" w:rsidP="00B83DD7">
      <w:pPr>
        <w:pStyle w:val="Textonotapie"/>
        <w:ind w:firstLine="709"/>
        <w:jc w:val="both"/>
        <w:rPr>
          <w:rFonts w:ascii="Arial" w:hAnsi="Arial" w:cs="Arial"/>
          <w:sz w:val="18"/>
          <w:szCs w:val="18"/>
          <w:lang w:val="es-ES"/>
        </w:rPr>
      </w:pPr>
    </w:p>
  </w:footnote>
  <w:footnote w:id="17">
    <w:p w14:paraId="18013484" w14:textId="676FA507" w:rsidR="00DE104F" w:rsidRPr="00537ACD" w:rsidRDefault="00DE104F" w:rsidP="00B83DD7">
      <w:pPr>
        <w:pStyle w:val="Textonotapie"/>
        <w:ind w:firstLine="709"/>
        <w:jc w:val="both"/>
        <w:rPr>
          <w:rFonts w:ascii="Arial" w:hAnsi="Arial" w:cs="Arial"/>
          <w:sz w:val="18"/>
          <w:szCs w:val="18"/>
          <w:lang w:val="es-ES"/>
        </w:rPr>
      </w:pPr>
      <w:r w:rsidRPr="00537ACD">
        <w:rPr>
          <w:rStyle w:val="Refdenotaalpie"/>
          <w:rFonts w:ascii="Arial" w:hAnsi="Arial" w:cs="Arial"/>
          <w:sz w:val="18"/>
          <w:szCs w:val="18"/>
        </w:rPr>
        <w:footnoteRef/>
      </w:r>
      <w:r w:rsidRPr="00537ACD">
        <w:rPr>
          <w:rFonts w:ascii="Arial" w:hAnsi="Arial" w:cs="Arial"/>
          <w:sz w:val="18"/>
          <w:szCs w:val="18"/>
        </w:rPr>
        <w:t xml:space="preserve"> </w:t>
      </w:r>
      <w:r w:rsidRPr="00537ACD">
        <w:rPr>
          <w:rFonts w:ascii="Arial" w:hAnsi="Arial" w:cs="Arial"/>
          <w:i/>
          <w:sz w:val="18"/>
          <w:szCs w:val="18"/>
          <w:lang w:val="es-ES"/>
        </w:rPr>
        <w:t>Ídem</w:t>
      </w:r>
      <w:r w:rsidRPr="00537ACD">
        <w:rPr>
          <w:rFonts w:ascii="Arial" w:hAnsi="Arial" w:cs="Arial"/>
          <w:sz w:val="18"/>
          <w:szCs w:val="18"/>
          <w:lang w:val="es-ES"/>
        </w:rPr>
        <w:t>.</w:t>
      </w:r>
    </w:p>
    <w:p w14:paraId="411AFD12" w14:textId="77777777" w:rsidR="00B83DD7" w:rsidRPr="00537ACD" w:rsidRDefault="00B83DD7" w:rsidP="00B83DD7">
      <w:pPr>
        <w:pStyle w:val="Textonotapie"/>
        <w:ind w:firstLine="709"/>
        <w:jc w:val="both"/>
        <w:rPr>
          <w:rFonts w:ascii="Arial" w:hAnsi="Arial" w:cs="Arial"/>
          <w:sz w:val="18"/>
          <w:szCs w:val="18"/>
          <w:lang w:val="es-ES"/>
        </w:rPr>
      </w:pPr>
    </w:p>
  </w:footnote>
  <w:footnote w:id="18">
    <w:p w14:paraId="0148777C" w14:textId="1CBEE48B" w:rsidR="00DE104F" w:rsidRPr="00537ACD" w:rsidRDefault="00DE104F" w:rsidP="00B83DD7">
      <w:pPr>
        <w:pStyle w:val="Textonotapie"/>
        <w:ind w:firstLine="709"/>
        <w:jc w:val="both"/>
        <w:rPr>
          <w:rFonts w:ascii="Arial" w:hAnsi="Arial" w:cs="Arial"/>
          <w:sz w:val="18"/>
          <w:szCs w:val="18"/>
          <w:lang w:val="es-ES"/>
        </w:rPr>
      </w:pPr>
      <w:r w:rsidRPr="00537ACD">
        <w:rPr>
          <w:rStyle w:val="Refdenotaalpie"/>
          <w:rFonts w:ascii="Arial" w:hAnsi="Arial" w:cs="Arial"/>
          <w:sz w:val="18"/>
          <w:szCs w:val="18"/>
        </w:rPr>
        <w:footnoteRef/>
      </w:r>
      <w:r w:rsidRPr="00537ACD">
        <w:rPr>
          <w:rStyle w:val="Refdenotaalpie"/>
          <w:rFonts w:ascii="Arial" w:hAnsi="Arial" w:cs="Arial"/>
          <w:sz w:val="18"/>
          <w:szCs w:val="18"/>
        </w:rPr>
        <w:t xml:space="preserve"> </w:t>
      </w:r>
      <w:r w:rsidRPr="00537ACD">
        <w:rPr>
          <w:rFonts w:ascii="Arial" w:hAnsi="Arial" w:cs="Arial"/>
          <w:sz w:val="18"/>
          <w:szCs w:val="18"/>
          <w:lang w:val="es-ES"/>
        </w:rPr>
        <w:t xml:space="preserve">«[…] A este respecto, cabe recordar que el artículo 860 del Código de Comercio regula la licitación en el derecho privado». </w:t>
      </w:r>
    </w:p>
    <w:p w14:paraId="62525F0B" w14:textId="77777777" w:rsidR="009E2349" w:rsidRPr="00537ACD" w:rsidRDefault="009E2349" w:rsidP="00B83DD7">
      <w:pPr>
        <w:pStyle w:val="Textonotapie"/>
        <w:ind w:firstLine="709"/>
        <w:jc w:val="both"/>
        <w:rPr>
          <w:rFonts w:ascii="Arial" w:hAnsi="Arial" w:cs="Arial"/>
          <w:sz w:val="18"/>
          <w:szCs w:val="18"/>
          <w:lang w:val="es-ES"/>
        </w:rPr>
      </w:pPr>
    </w:p>
  </w:footnote>
  <w:footnote w:id="19">
    <w:p w14:paraId="541C871E" w14:textId="0D150BD4" w:rsidR="00DE104F" w:rsidRPr="00537ACD" w:rsidRDefault="00DE104F" w:rsidP="00B83DD7">
      <w:pPr>
        <w:shd w:val="clear" w:color="auto" w:fill="FFFFFF"/>
        <w:ind w:firstLine="709"/>
        <w:jc w:val="both"/>
        <w:rPr>
          <w:rFonts w:ascii="Arial" w:hAnsi="Arial" w:cs="Arial"/>
          <w:sz w:val="18"/>
          <w:szCs w:val="18"/>
          <w:lang w:val="es-ES"/>
        </w:rPr>
      </w:pPr>
      <w:r w:rsidRPr="00537ACD">
        <w:rPr>
          <w:rStyle w:val="Refdenotaalpie"/>
          <w:rFonts w:ascii="Arial" w:hAnsi="Arial" w:cs="Arial"/>
          <w:sz w:val="18"/>
          <w:szCs w:val="18"/>
        </w:rPr>
        <w:footnoteRef/>
      </w:r>
      <w:r w:rsidRPr="00537ACD">
        <w:rPr>
          <w:rStyle w:val="Refdenotaalpie"/>
          <w:rFonts w:ascii="Arial" w:hAnsi="Arial" w:cs="Arial"/>
          <w:sz w:val="18"/>
          <w:szCs w:val="18"/>
        </w:rPr>
        <w:t xml:space="preserve"> </w:t>
      </w:r>
      <w:r w:rsidRPr="00537ACD">
        <w:rPr>
          <w:rFonts w:ascii="Arial" w:hAnsi="Arial" w:cs="Arial"/>
          <w:sz w:val="18"/>
          <w:szCs w:val="18"/>
          <w:lang w:val="es-ES"/>
        </w:rPr>
        <w:t>Consejo de Estado. Sala de Consulta y Servicio Civil, Concepto de 8 de mayo de 2018. Radicación Número: 11001-03-06-000-2018-00095-00(2382). Consejero Ponente: Álvaro Namén Vargas.</w:t>
      </w:r>
    </w:p>
    <w:p w14:paraId="7B738DE4" w14:textId="77777777" w:rsidR="009E2349" w:rsidRPr="00537ACD" w:rsidRDefault="009E2349" w:rsidP="00B83DD7">
      <w:pPr>
        <w:shd w:val="clear" w:color="auto" w:fill="FFFFFF"/>
        <w:ind w:firstLine="709"/>
        <w:jc w:val="both"/>
        <w:rPr>
          <w:rFonts w:ascii="Arial" w:hAnsi="Arial" w:cs="Arial"/>
          <w:sz w:val="18"/>
          <w:szCs w:val="18"/>
          <w:lang w:val="es-ES"/>
        </w:rPr>
      </w:pPr>
    </w:p>
  </w:footnote>
  <w:footnote w:id="20">
    <w:p w14:paraId="65787725" w14:textId="77777777"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del 08 de mayo de 2018. Exp. 2.382. C.P. Álvaro Namén Vargas.</w:t>
      </w:r>
    </w:p>
  </w:footnote>
  <w:footnote w:id="21">
    <w:p w14:paraId="597FA54D" w14:textId="77777777" w:rsidR="00DE104F" w:rsidRPr="00537ACD" w:rsidRDefault="00DE104F" w:rsidP="00B83DD7">
      <w:pPr>
        <w:pStyle w:val="Textonotapie"/>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02F0E75D" w14:textId="77777777" w:rsidR="007852B2" w:rsidRPr="00537ACD" w:rsidRDefault="007852B2" w:rsidP="00B83DD7">
      <w:pPr>
        <w:pStyle w:val="Textonotapie"/>
        <w:ind w:firstLine="709"/>
        <w:jc w:val="both"/>
        <w:rPr>
          <w:rFonts w:ascii="Arial" w:hAnsi="Arial" w:cs="Arial"/>
          <w:sz w:val="18"/>
          <w:szCs w:val="18"/>
        </w:rPr>
      </w:pPr>
    </w:p>
  </w:footnote>
  <w:footnote w:id="22">
    <w:p w14:paraId="10F5532B" w14:textId="1B1767C8" w:rsidR="00DE104F" w:rsidRPr="00537ACD" w:rsidRDefault="00DE104F" w:rsidP="00B83DD7">
      <w:pPr>
        <w:ind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BF5122F" w14:textId="77777777" w:rsidR="009E2349" w:rsidRPr="00537ACD" w:rsidRDefault="009E2349" w:rsidP="00B83DD7">
      <w:pPr>
        <w:ind w:firstLine="709"/>
        <w:jc w:val="both"/>
        <w:rPr>
          <w:rFonts w:ascii="Arial" w:hAnsi="Arial" w:cs="Arial"/>
          <w:sz w:val="18"/>
          <w:szCs w:val="18"/>
        </w:rPr>
      </w:pPr>
    </w:p>
  </w:footnote>
  <w:footnote w:id="23">
    <w:p w14:paraId="2E844415" w14:textId="77777777" w:rsidR="00DE104F" w:rsidRPr="00537ACD" w:rsidRDefault="00DE104F" w:rsidP="00B83DD7">
      <w:pPr>
        <w:pStyle w:val="Textonotapie"/>
        <w:ind w:right="51"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Pr="00537ACD">
        <w:rPr>
          <w:rFonts w:ascii="Arial" w:eastAsia="Times New Roman" w:hAnsi="Arial" w:cs="Arial"/>
          <w:bCs/>
          <w:sz w:val="18"/>
          <w:szCs w:val="18"/>
          <w:lang w:eastAsia="x-none"/>
        </w:rPr>
        <w:t xml:space="preserve"> «</w:t>
      </w:r>
      <w:r w:rsidRPr="00537ACD">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37ACD">
        <w:rPr>
          <w:rFonts w:ascii="Arial" w:eastAsia="Times New Roman" w:hAnsi="Arial" w:cs="Arial"/>
          <w:bCs/>
          <w:sz w:val="18"/>
          <w:szCs w:val="18"/>
          <w:lang w:eastAsia="x-none"/>
        </w:rPr>
        <w:t>».</w:t>
      </w:r>
    </w:p>
  </w:footnote>
  <w:footnote w:id="24">
    <w:p w14:paraId="3EC11E72" w14:textId="77777777" w:rsidR="00B83DD7" w:rsidRPr="00537ACD" w:rsidRDefault="00B83DD7" w:rsidP="00B83DD7">
      <w:pPr>
        <w:pStyle w:val="Textonotapie"/>
        <w:ind w:right="51" w:firstLine="709"/>
        <w:jc w:val="both"/>
        <w:rPr>
          <w:rFonts w:ascii="Arial" w:hAnsi="Arial" w:cs="Arial"/>
          <w:sz w:val="18"/>
          <w:szCs w:val="18"/>
        </w:rPr>
      </w:pPr>
    </w:p>
    <w:p w14:paraId="23349A98" w14:textId="4F4C5762" w:rsidR="00DE104F" w:rsidRPr="00537ACD" w:rsidRDefault="00DE104F" w:rsidP="00B83DD7">
      <w:pPr>
        <w:pStyle w:val="Textonotapie"/>
        <w:ind w:right="51"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p w14:paraId="098E83CA" w14:textId="77777777" w:rsidR="009E2349" w:rsidRPr="00537ACD" w:rsidRDefault="009E2349" w:rsidP="00B83DD7">
      <w:pPr>
        <w:pStyle w:val="Textonotapie"/>
        <w:ind w:right="51" w:firstLine="709"/>
        <w:jc w:val="both"/>
        <w:rPr>
          <w:rFonts w:ascii="Arial" w:hAnsi="Arial" w:cs="Arial"/>
          <w:sz w:val="18"/>
          <w:szCs w:val="18"/>
        </w:rPr>
      </w:pPr>
    </w:p>
  </w:footnote>
  <w:footnote w:id="25">
    <w:p w14:paraId="341B7F34" w14:textId="3B6291E2" w:rsidR="00DE104F" w:rsidRPr="00537ACD" w:rsidRDefault="00DE104F" w:rsidP="00B83DD7">
      <w:pPr>
        <w:pStyle w:val="Textonotapie"/>
        <w:ind w:right="51" w:firstLine="709"/>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Consejo de Estado. Sala de Consulta y Servicio Civil, ídem.</w:t>
      </w:r>
    </w:p>
    <w:p w14:paraId="4F83591A" w14:textId="77777777" w:rsidR="009E2349" w:rsidRPr="00537ACD" w:rsidRDefault="009E2349" w:rsidP="00B83DD7">
      <w:pPr>
        <w:pStyle w:val="Textonotapie"/>
        <w:ind w:right="51" w:firstLine="709"/>
        <w:jc w:val="both"/>
        <w:rPr>
          <w:rFonts w:ascii="Arial" w:hAnsi="Arial" w:cs="Arial"/>
          <w:sz w:val="18"/>
          <w:szCs w:val="18"/>
        </w:rPr>
      </w:pPr>
    </w:p>
  </w:footnote>
  <w:footnote w:id="26">
    <w:p w14:paraId="7490E647" w14:textId="34C6D953" w:rsidR="00351D05" w:rsidRPr="00537ACD" w:rsidRDefault="00351D05" w:rsidP="00F90601">
      <w:pPr>
        <w:pStyle w:val="Textonotapie"/>
        <w:ind w:firstLine="708"/>
        <w:rPr>
          <w:rFonts w:ascii="Arial" w:hAnsi="Arial" w:cs="Arial"/>
          <w:sz w:val="18"/>
          <w:szCs w:val="18"/>
          <w:lang w:val="es-CO"/>
        </w:rPr>
      </w:pPr>
      <w:r w:rsidRPr="00537ACD">
        <w:rPr>
          <w:rStyle w:val="Refdenotaalpie"/>
          <w:rFonts w:ascii="Arial" w:hAnsi="Arial" w:cs="Arial"/>
          <w:sz w:val="18"/>
          <w:szCs w:val="18"/>
        </w:rPr>
        <w:footnoteRef/>
      </w:r>
      <w:r w:rsidR="00F90601" w:rsidRPr="00537ACD">
        <w:rPr>
          <w:rFonts w:ascii="Arial" w:hAnsi="Arial" w:cs="Arial"/>
          <w:sz w:val="18"/>
          <w:szCs w:val="18"/>
        </w:rPr>
        <w:t xml:space="preserve"> Decreto 2363 de 2015. Artículo 1.</w:t>
      </w:r>
    </w:p>
  </w:footnote>
  <w:footnote w:id="27">
    <w:p w14:paraId="2AEA87F2" w14:textId="77777777" w:rsidR="002E4CAE" w:rsidRPr="00537ACD" w:rsidRDefault="002E4CAE" w:rsidP="002E4CAE">
      <w:pPr>
        <w:pStyle w:val="Textonotapie"/>
        <w:spacing w:before="60"/>
        <w:ind w:firstLine="708"/>
        <w:jc w:val="both"/>
        <w:rPr>
          <w:rFonts w:ascii="Arial" w:hAnsi="Arial" w:cs="Arial"/>
          <w:sz w:val="18"/>
          <w:szCs w:val="18"/>
        </w:rPr>
      </w:pPr>
      <w:r w:rsidRPr="00537ACD">
        <w:rPr>
          <w:rStyle w:val="Refdenotaalpie"/>
          <w:rFonts w:ascii="Arial" w:hAnsi="Arial" w:cs="Arial"/>
          <w:sz w:val="18"/>
          <w:szCs w:val="18"/>
        </w:rPr>
        <w:footnoteRef/>
      </w:r>
      <w:r w:rsidRPr="00537ACD">
        <w:rPr>
          <w:rFonts w:ascii="Arial" w:hAnsi="Arial" w:cs="Arial"/>
          <w:sz w:val="18"/>
          <w:szCs w:val="18"/>
        </w:rPr>
        <w:t xml:space="preserve"> En dicha oportunidad esta Agencia en respuesta al interrogante: </w:t>
      </w:r>
      <w:proofErr w:type="gramStart"/>
      <w:r w:rsidRPr="00537ACD">
        <w:rPr>
          <w:rFonts w:ascii="Arial" w:hAnsi="Arial" w:cs="Arial"/>
          <w:sz w:val="18"/>
          <w:szCs w:val="18"/>
        </w:rPr>
        <w:t>« ¿</w:t>
      </w:r>
      <w:proofErr w:type="gramEnd"/>
      <w:r w:rsidRPr="00537ACD">
        <w:rPr>
          <w:rFonts w:ascii="Arial" w:hAnsi="Arial" w:cs="Arial"/>
          <w:sz w:val="18"/>
          <w:szCs w:val="18"/>
        </w:rPr>
        <w:t>Le es aplicable el Estatuto General de la Contratación Pública (Ley 80 de 1993) a los contratos de arrendamiento para la administración de los terrenos baldíos del Archipiélago de Nuestra Señora del Rosario y San Bernardo que celebra la Agencia Nacional de Tierras?»,  sostuvo:</w:t>
      </w:r>
    </w:p>
    <w:p w14:paraId="026E1FB1" w14:textId="77777777" w:rsidR="002E4CAE" w:rsidRPr="00537ACD" w:rsidRDefault="002E4CAE" w:rsidP="002E4CAE">
      <w:pPr>
        <w:pStyle w:val="Textonotapie"/>
        <w:spacing w:before="60"/>
        <w:jc w:val="both"/>
        <w:rPr>
          <w:rFonts w:ascii="Arial" w:hAnsi="Arial" w:cs="Arial"/>
          <w:sz w:val="18"/>
          <w:szCs w:val="18"/>
        </w:rPr>
      </w:pPr>
      <w:r w:rsidRPr="00537ACD">
        <w:rPr>
          <w:rFonts w:ascii="Arial" w:hAnsi="Arial" w:cs="Arial"/>
          <w:sz w:val="18"/>
          <w:szCs w:val="18"/>
        </w:rPr>
        <w:t xml:space="preserve"> </w:t>
      </w:r>
      <w:r w:rsidRPr="00537ACD">
        <w:rPr>
          <w:rFonts w:ascii="Arial" w:hAnsi="Arial" w:cs="Arial"/>
          <w:sz w:val="18"/>
          <w:szCs w:val="18"/>
        </w:rPr>
        <w:tab/>
        <w:t>«</w:t>
      </w:r>
      <w:proofErr w:type="gramStart"/>
      <w:r w:rsidRPr="00537ACD">
        <w:rPr>
          <w:rFonts w:ascii="Arial" w:hAnsi="Arial" w:cs="Arial"/>
          <w:sz w:val="18"/>
          <w:szCs w:val="18"/>
        </w:rPr>
        <w:t>1.Que</w:t>
      </w:r>
      <w:proofErr w:type="gramEnd"/>
      <w:r w:rsidRPr="00537ACD">
        <w:rPr>
          <w:rFonts w:ascii="Arial" w:hAnsi="Arial" w:cs="Arial"/>
          <w:sz w:val="18"/>
          <w:szCs w:val="18"/>
        </w:rPr>
        <w:t xml:space="preserve"> de conformidad con lo dispuesto en el artículo 107 de la Ley 119 de 1912 o Código Fiscal vigente, los terrenos que conforman las islas nacionales de uno u otro mar, constituyen reserva territorial del Estado y no son enajenables. </w:t>
      </w:r>
    </w:p>
    <w:p w14:paraId="55C2756F" w14:textId="77777777" w:rsidR="002E4CAE" w:rsidRPr="00537ACD" w:rsidRDefault="002E4CAE" w:rsidP="002E4CAE">
      <w:pPr>
        <w:pStyle w:val="Textonotapie"/>
        <w:spacing w:before="60"/>
        <w:ind w:firstLine="708"/>
        <w:jc w:val="both"/>
        <w:rPr>
          <w:rFonts w:ascii="Arial" w:hAnsi="Arial" w:cs="Arial"/>
          <w:sz w:val="18"/>
          <w:szCs w:val="18"/>
        </w:rPr>
      </w:pPr>
      <w:r w:rsidRPr="00537ACD">
        <w:rPr>
          <w:rFonts w:ascii="Arial" w:hAnsi="Arial" w:cs="Arial"/>
          <w:sz w:val="18"/>
          <w:szCs w:val="18"/>
        </w:rPr>
        <w:t>2. Mediante Resoluciones de Gerencia General del Instituto Colombiano de la Reforma Agraria – INCORA, se culminó un procedimiento de clasificación de propiedad, y quedó legal y formalmente establecido mediante el mencionado proceso administrativo, que los terrenos que conforman el archipiélago de las denominadas Islas del Rosario constituyen una reserva territorial o fiscal del Estado, destinada a fines de utilidad común e interés general.</w:t>
      </w:r>
      <w:r w:rsidRPr="00537ACD">
        <w:rPr>
          <w:rFonts w:ascii="Arial" w:hAnsi="Arial" w:cs="Arial"/>
          <w:sz w:val="18"/>
          <w:szCs w:val="18"/>
        </w:rPr>
        <w:tab/>
      </w:r>
    </w:p>
    <w:p w14:paraId="201FFCA5" w14:textId="77777777" w:rsidR="002E4CAE" w:rsidRPr="00537ACD" w:rsidRDefault="002E4CAE" w:rsidP="002E4CAE">
      <w:pPr>
        <w:pStyle w:val="Textonotapie"/>
        <w:spacing w:before="60"/>
        <w:ind w:firstLine="708"/>
        <w:jc w:val="both"/>
        <w:rPr>
          <w:rFonts w:ascii="Arial" w:hAnsi="Arial" w:cs="Arial"/>
          <w:sz w:val="18"/>
          <w:szCs w:val="18"/>
        </w:rPr>
      </w:pPr>
      <w:r w:rsidRPr="00537ACD">
        <w:rPr>
          <w:rFonts w:ascii="Arial" w:hAnsi="Arial" w:cs="Arial"/>
          <w:sz w:val="18"/>
          <w:szCs w:val="18"/>
        </w:rPr>
        <w:t xml:space="preserve"> 3. Que en acatamiento del fallo de la acción de cumplimiento instaurada con el INCORA por la Procuraduría Delegada para asuntos ambientales y Agrarios, proferido por el Tribunal Administrativo de Cundinamarca, esa Entidad inició procedimientos administrativos de Recuperación de Baldíos indebidamente ocupados, contra las personas que sin contar con autorización o permiso de autoridad competente, vienen ocupando de hecho y han construido instalaciones y mejoras sobre los terrenos reservados que conforman el archipiélago Islas Corales de Nuestra Señora del Rosario y de San Bernardo. </w:t>
      </w:r>
    </w:p>
    <w:p w14:paraId="062BFDD7" w14:textId="77777777" w:rsidR="002E4CAE" w:rsidRPr="00537ACD" w:rsidRDefault="002E4CAE" w:rsidP="002E4CAE">
      <w:pPr>
        <w:pStyle w:val="Textonotapie"/>
        <w:spacing w:before="60" w:after="60"/>
        <w:ind w:firstLine="709"/>
        <w:jc w:val="both"/>
        <w:rPr>
          <w:rFonts w:ascii="Arial" w:hAnsi="Arial" w:cs="Arial"/>
          <w:sz w:val="18"/>
          <w:szCs w:val="18"/>
        </w:rPr>
      </w:pPr>
      <w:r w:rsidRPr="00537ACD">
        <w:rPr>
          <w:rFonts w:ascii="Arial" w:hAnsi="Arial" w:cs="Arial"/>
          <w:sz w:val="18"/>
          <w:szCs w:val="18"/>
        </w:rPr>
        <w:t xml:space="preserve">4. En virtud de la Ley 160 de 1994 se confirió al INCODER la facultad para regular la administración de los bienes baldíos de Reserva de la Nación ubicadas en las islas que conforman el archipiélago de islas del Rosario y San Bernardo, y por medio del Acuerdo 041 de 2006 del Consejo Directivo del INCODER se facultó al Gerente de la Entidad para entregar en arrendamiento los bienes en comento por un término máximo de ocho (8) años, con un canon mensual de arrendamiento del área insular, equivalente al 1% del valor del avalúo catastral del inmueble. </w:t>
      </w:r>
    </w:p>
    <w:p w14:paraId="60B5E7E9" w14:textId="77777777" w:rsidR="002E4CAE" w:rsidRPr="00537ACD" w:rsidRDefault="002E4CAE" w:rsidP="002E4CAE">
      <w:pPr>
        <w:pStyle w:val="Textonotapie"/>
        <w:ind w:firstLine="708"/>
        <w:jc w:val="both"/>
        <w:rPr>
          <w:rFonts w:ascii="Arial" w:hAnsi="Arial" w:cs="Arial"/>
          <w:sz w:val="18"/>
          <w:szCs w:val="18"/>
          <w:lang w:val="es-CO"/>
        </w:rPr>
      </w:pPr>
      <w:r w:rsidRPr="00537ACD">
        <w:rPr>
          <w:rFonts w:ascii="Arial" w:hAnsi="Arial" w:cs="Arial"/>
          <w:sz w:val="18"/>
          <w:szCs w:val="18"/>
        </w:rPr>
        <w:t>5. Por lo anterior, los contratos de arrendamiento de los terrenos baldíos del Archipiélago de Nuestra Señora del Rosario y San Bernardo son celebrados en virtud de una norma especial creada específicamente para la celebración de ese negocio jurídico, y por lo tanto no hay lugar a aplicar los procedimientos establecidos en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DE104F" w:rsidRDefault="00DE104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17207463">
    <w:abstractNumId w:val="10"/>
  </w:num>
  <w:num w:numId="2" w16cid:durableId="1854565324">
    <w:abstractNumId w:val="8"/>
  </w:num>
  <w:num w:numId="3" w16cid:durableId="1328753717">
    <w:abstractNumId w:val="14"/>
  </w:num>
  <w:num w:numId="4" w16cid:durableId="1813407134">
    <w:abstractNumId w:val="18"/>
  </w:num>
  <w:num w:numId="5" w16cid:durableId="146485164">
    <w:abstractNumId w:val="22"/>
  </w:num>
  <w:num w:numId="6" w16cid:durableId="17574804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2331">
    <w:abstractNumId w:val="20"/>
  </w:num>
  <w:num w:numId="8" w16cid:durableId="1234122869">
    <w:abstractNumId w:val="0"/>
  </w:num>
  <w:num w:numId="9" w16cid:durableId="2108502792">
    <w:abstractNumId w:val="4"/>
  </w:num>
  <w:num w:numId="10" w16cid:durableId="361519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3980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5635197">
    <w:abstractNumId w:val="9"/>
  </w:num>
  <w:num w:numId="13" w16cid:durableId="939340902">
    <w:abstractNumId w:val="12"/>
  </w:num>
  <w:num w:numId="14" w16cid:durableId="672268741">
    <w:abstractNumId w:val="7"/>
  </w:num>
  <w:num w:numId="15" w16cid:durableId="13739651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79066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870177">
    <w:abstractNumId w:val="24"/>
  </w:num>
  <w:num w:numId="18" w16cid:durableId="1524242743">
    <w:abstractNumId w:val="15"/>
  </w:num>
  <w:num w:numId="19" w16cid:durableId="869802016">
    <w:abstractNumId w:val="2"/>
  </w:num>
  <w:num w:numId="20" w16cid:durableId="765689227">
    <w:abstractNumId w:val="25"/>
  </w:num>
  <w:num w:numId="21" w16cid:durableId="419067742">
    <w:abstractNumId w:val="17"/>
  </w:num>
  <w:num w:numId="22" w16cid:durableId="1561479634">
    <w:abstractNumId w:val="6"/>
  </w:num>
  <w:num w:numId="23" w16cid:durableId="1761683049">
    <w:abstractNumId w:val="5"/>
  </w:num>
  <w:num w:numId="24" w16cid:durableId="779110440">
    <w:abstractNumId w:val="23"/>
  </w:num>
  <w:num w:numId="25" w16cid:durableId="4719915">
    <w:abstractNumId w:val="19"/>
  </w:num>
  <w:num w:numId="26" w16cid:durableId="1615670877">
    <w:abstractNumId w:val="3"/>
  </w:num>
  <w:num w:numId="27" w16cid:durableId="351540720">
    <w:abstractNumId w:val="16"/>
  </w:num>
  <w:num w:numId="28" w16cid:durableId="790636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2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194"/>
    <w:rsid w:val="00023DAE"/>
    <w:rsid w:val="00024855"/>
    <w:rsid w:val="00024896"/>
    <w:rsid w:val="000254DD"/>
    <w:rsid w:val="00025726"/>
    <w:rsid w:val="00025D0A"/>
    <w:rsid w:val="00026203"/>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8E8"/>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1FA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84C"/>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9C2"/>
    <w:rsid w:val="000A7C27"/>
    <w:rsid w:val="000A7EF4"/>
    <w:rsid w:val="000B081A"/>
    <w:rsid w:val="000B0A15"/>
    <w:rsid w:val="000B103F"/>
    <w:rsid w:val="000B1437"/>
    <w:rsid w:val="000B1470"/>
    <w:rsid w:val="000B17EC"/>
    <w:rsid w:val="000B1E44"/>
    <w:rsid w:val="000B244D"/>
    <w:rsid w:val="000B2B86"/>
    <w:rsid w:val="000B305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6E83"/>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DC1"/>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372"/>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34E"/>
    <w:rsid w:val="0013748B"/>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64DC"/>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77E8F"/>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68AF"/>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936"/>
    <w:rsid w:val="00200D7F"/>
    <w:rsid w:val="00201435"/>
    <w:rsid w:val="00201AC4"/>
    <w:rsid w:val="00201F1E"/>
    <w:rsid w:val="00202761"/>
    <w:rsid w:val="002027CC"/>
    <w:rsid w:val="0020299B"/>
    <w:rsid w:val="00202E44"/>
    <w:rsid w:val="002037AA"/>
    <w:rsid w:val="00203FE3"/>
    <w:rsid w:val="002042D8"/>
    <w:rsid w:val="00204515"/>
    <w:rsid w:val="00204BF5"/>
    <w:rsid w:val="00204E04"/>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62"/>
    <w:rsid w:val="00274DB5"/>
    <w:rsid w:val="00275BB1"/>
    <w:rsid w:val="0027629F"/>
    <w:rsid w:val="00276839"/>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092E"/>
    <w:rsid w:val="002C24B4"/>
    <w:rsid w:val="002C2B3A"/>
    <w:rsid w:val="002C2B87"/>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4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CAE"/>
    <w:rsid w:val="002E4ECB"/>
    <w:rsid w:val="002E4F23"/>
    <w:rsid w:val="002E635A"/>
    <w:rsid w:val="002E6D68"/>
    <w:rsid w:val="002E7847"/>
    <w:rsid w:val="002F0073"/>
    <w:rsid w:val="002F1369"/>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21"/>
    <w:rsid w:val="0033726D"/>
    <w:rsid w:val="00337CA8"/>
    <w:rsid w:val="00340D3F"/>
    <w:rsid w:val="0034174B"/>
    <w:rsid w:val="0034177C"/>
    <w:rsid w:val="003420E9"/>
    <w:rsid w:val="00342345"/>
    <w:rsid w:val="00342609"/>
    <w:rsid w:val="00342C27"/>
    <w:rsid w:val="003430C8"/>
    <w:rsid w:val="003432C8"/>
    <w:rsid w:val="003434B3"/>
    <w:rsid w:val="00343536"/>
    <w:rsid w:val="0034399A"/>
    <w:rsid w:val="00343EFB"/>
    <w:rsid w:val="00344760"/>
    <w:rsid w:val="003454E8"/>
    <w:rsid w:val="00345574"/>
    <w:rsid w:val="0034680A"/>
    <w:rsid w:val="00346BEC"/>
    <w:rsid w:val="00346C62"/>
    <w:rsid w:val="00347202"/>
    <w:rsid w:val="0034778E"/>
    <w:rsid w:val="00347A5A"/>
    <w:rsid w:val="003501E2"/>
    <w:rsid w:val="00351716"/>
    <w:rsid w:val="00351D05"/>
    <w:rsid w:val="00351E10"/>
    <w:rsid w:val="0035213C"/>
    <w:rsid w:val="00353081"/>
    <w:rsid w:val="003533F4"/>
    <w:rsid w:val="003536F6"/>
    <w:rsid w:val="00353DD5"/>
    <w:rsid w:val="0035463F"/>
    <w:rsid w:val="00355131"/>
    <w:rsid w:val="00355F74"/>
    <w:rsid w:val="003560DB"/>
    <w:rsid w:val="003564DB"/>
    <w:rsid w:val="0035691F"/>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27D"/>
    <w:rsid w:val="00365457"/>
    <w:rsid w:val="00365D3A"/>
    <w:rsid w:val="003664FF"/>
    <w:rsid w:val="00366BD2"/>
    <w:rsid w:val="003670B8"/>
    <w:rsid w:val="003704A3"/>
    <w:rsid w:val="0037058F"/>
    <w:rsid w:val="003706F2"/>
    <w:rsid w:val="003707CB"/>
    <w:rsid w:val="0037124F"/>
    <w:rsid w:val="00371CFC"/>
    <w:rsid w:val="0037246F"/>
    <w:rsid w:val="00373827"/>
    <w:rsid w:val="0037401C"/>
    <w:rsid w:val="0037507B"/>
    <w:rsid w:val="003754B0"/>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4AF0"/>
    <w:rsid w:val="003A563C"/>
    <w:rsid w:val="003A581E"/>
    <w:rsid w:val="003A6160"/>
    <w:rsid w:val="003A65A5"/>
    <w:rsid w:val="003A72F5"/>
    <w:rsid w:val="003A78E5"/>
    <w:rsid w:val="003B0341"/>
    <w:rsid w:val="003B1961"/>
    <w:rsid w:val="003B1E57"/>
    <w:rsid w:val="003B296B"/>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5D3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1BB8"/>
    <w:rsid w:val="0040202B"/>
    <w:rsid w:val="00402DE1"/>
    <w:rsid w:val="00402EEB"/>
    <w:rsid w:val="004037C2"/>
    <w:rsid w:val="00403F10"/>
    <w:rsid w:val="00404041"/>
    <w:rsid w:val="0040428E"/>
    <w:rsid w:val="0040489F"/>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704"/>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4D66"/>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582"/>
    <w:rsid w:val="00465677"/>
    <w:rsid w:val="00466616"/>
    <w:rsid w:val="00466A0C"/>
    <w:rsid w:val="00466A53"/>
    <w:rsid w:val="00470A6A"/>
    <w:rsid w:val="00470D73"/>
    <w:rsid w:val="00470D92"/>
    <w:rsid w:val="00470E92"/>
    <w:rsid w:val="004715D3"/>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142"/>
    <w:rsid w:val="0049241A"/>
    <w:rsid w:val="00492AE5"/>
    <w:rsid w:val="00492C1F"/>
    <w:rsid w:val="00492E4C"/>
    <w:rsid w:val="00493664"/>
    <w:rsid w:val="004938FD"/>
    <w:rsid w:val="00493CDA"/>
    <w:rsid w:val="00493E04"/>
    <w:rsid w:val="004940E3"/>
    <w:rsid w:val="00494515"/>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212"/>
    <w:rsid w:val="004C5216"/>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09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ACD"/>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94F"/>
    <w:rsid w:val="00595AF6"/>
    <w:rsid w:val="00595BF1"/>
    <w:rsid w:val="00596AF7"/>
    <w:rsid w:val="00596C58"/>
    <w:rsid w:val="00596CCE"/>
    <w:rsid w:val="005A1976"/>
    <w:rsid w:val="005A2120"/>
    <w:rsid w:val="005A2501"/>
    <w:rsid w:val="005A2C80"/>
    <w:rsid w:val="005A3066"/>
    <w:rsid w:val="005A3B35"/>
    <w:rsid w:val="005A3C4B"/>
    <w:rsid w:val="005A3E5A"/>
    <w:rsid w:val="005A3F49"/>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419"/>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1CB"/>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0B8"/>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80C"/>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0E7"/>
    <w:rsid w:val="0064791B"/>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57D9E"/>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7FB"/>
    <w:rsid w:val="00671BF1"/>
    <w:rsid w:val="00671E42"/>
    <w:rsid w:val="0067271C"/>
    <w:rsid w:val="00672E80"/>
    <w:rsid w:val="0067333F"/>
    <w:rsid w:val="0067341D"/>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4C1"/>
    <w:rsid w:val="006837B2"/>
    <w:rsid w:val="00683800"/>
    <w:rsid w:val="00684462"/>
    <w:rsid w:val="00684C0D"/>
    <w:rsid w:val="00684C8A"/>
    <w:rsid w:val="00684CF5"/>
    <w:rsid w:val="0068553E"/>
    <w:rsid w:val="0068557F"/>
    <w:rsid w:val="00685608"/>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1137"/>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E4E"/>
    <w:rsid w:val="006C003A"/>
    <w:rsid w:val="006C0630"/>
    <w:rsid w:val="006C0AB9"/>
    <w:rsid w:val="006C107C"/>
    <w:rsid w:val="006C189C"/>
    <w:rsid w:val="006C1E1F"/>
    <w:rsid w:val="006C2454"/>
    <w:rsid w:val="006C2551"/>
    <w:rsid w:val="006C37CA"/>
    <w:rsid w:val="006C40D2"/>
    <w:rsid w:val="006C4684"/>
    <w:rsid w:val="006C4B85"/>
    <w:rsid w:val="006C4BBD"/>
    <w:rsid w:val="006C5B15"/>
    <w:rsid w:val="006C5D32"/>
    <w:rsid w:val="006C5DCB"/>
    <w:rsid w:val="006C6475"/>
    <w:rsid w:val="006C6EB8"/>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B5C"/>
    <w:rsid w:val="006D5DCB"/>
    <w:rsid w:val="006D62E0"/>
    <w:rsid w:val="006D658F"/>
    <w:rsid w:val="006D6A12"/>
    <w:rsid w:val="006D712D"/>
    <w:rsid w:val="006D7687"/>
    <w:rsid w:val="006D79A8"/>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19AD"/>
    <w:rsid w:val="006F275F"/>
    <w:rsid w:val="006F2AE6"/>
    <w:rsid w:val="006F36EA"/>
    <w:rsid w:val="006F3D9B"/>
    <w:rsid w:val="006F4147"/>
    <w:rsid w:val="006F4315"/>
    <w:rsid w:val="006F4CB0"/>
    <w:rsid w:val="006F4F78"/>
    <w:rsid w:val="006F547E"/>
    <w:rsid w:val="006F55F0"/>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22F7"/>
    <w:rsid w:val="007341D8"/>
    <w:rsid w:val="00734952"/>
    <w:rsid w:val="00734990"/>
    <w:rsid w:val="00734FF5"/>
    <w:rsid w:val="00735B78"/>
    <w:rsid w:val="00735DA7"/>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767"/>
    <w:rsid w:val="0075094E"/>
    <w:rsid w:val="00750FA8"/>
    <w:rsid w:val="00750FB5"/>
    <w:rsid w:val="0075194F"/>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6F79"/>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0C89"/>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2B2"/>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114B"/>
    <w:rsid w:val="007A233D"/>
    <w:rsid w:val="007A2341"/>
    <w:rsid w:val="007A2754"/>
    <w:rsid w:val="007A38A1"/>
    <w:rsid w:val="007A3BBE"/>
    <w:rsid w:val="007A4766"/>
    <w:rsid w:val="007A5947"/>
    <w:rsid w:val="007A6F54"/>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74F"/>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6BA0"/>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967"/>
    <w:rsid w:val="00823EC5"/>
    <w:rsid w:val="008241CE"/>
    <w:rsid w:val="0082479F"/>
    <w:rsid w:val="00825240"/>
    <w:rsid w:val="00825B43"/>
    <w:rsid w:val="0082633B"/>
    <w:rsid w:val="008268FB"/>
    <w:rsid w:val="00826A22"/>
    <w:rsid w:val="00826BCC"/>
    <w:rsid w:val="00826F71"/>
    <w:rsid w:val="00827CC0"/>
    <w:rsid w:val="008306AB"/>
    <w:rsid w:val="00830704"/>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E5D"/>
    <w:rsid w:val="008935CF"/>
    <w:rsid w:val="00893CD7"/>
    <w:rsid w:val="0089436B"/>
    <w:rsid w:val="00894436"/>
    <w:rsid w:val="0089456B"/>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642"/>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8A6"/>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04D2A"/>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CB5"/>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4F3F"/>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3B3E"/>
    <w:rsid w:val="0095473B"/>
    <w:rsid w:val="00954F3A"/>
    <w:rsid w:val="00955539"/>
    <w:rsid w:val="00956DCA"/>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3F3A"/>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3DF5"/>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0ED"/>
    <w:rsid w:val="0099629E"/>
    <w:rsid w:val="00996992"/>
    <w:rsid w:val="00996E1E"/>
    <w:rsid w:val="00997148"/>
    <w:rsid w:val="00997392"/>
    <w:rsid w:val="0099747C"/>
    <w:rsid w:val="0099771C"/>
    <w:rsid w:val="00997899"/>
    <w:rsid w:val="009A01E4"/>
    <w:rsid w:val="009A022C"/>
    <w:rsid w:val="009A0917"/>
    <w:rsid w:val="009A0A33"/>
    <w:rsid w:val="009A1351"/>
    <w:rsid w:val="009A186A"/>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A773A"/>
    <w:rsid w:val="009B0B1E"/>
    <w:rsid w:val="009B231D"/>
    <w:rsid w:val="009B2374"/>
    <w:rsid w:val="009B2E29"/>
    <w:rsid w:val="009B3163"/>
    <w:rsid w:val="009B3216"/>
    <w:rsid w:val="009B35AE"/>
    <w:rsid w:val="009B422F"/>
    <w:rsid w:val="009B46BC"/>
    <w:rsid w:val="009B4D1A"/>
    <w:rsid w:val="009B519D"/>
    <w:rsid w:val="009B558B"/>
    <w:rsid w:val="009B5981"/>
    <w:rsid w:val="009B5B86"/>
    <w:rsid w:val="009B6D21"/>
    <w:rsid w:val="009B78ED"/>
    <w:rsid w:val="009B7EF5"/>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D06"/>
    <w:rsid w:val="009E020C"/>
    <w:rsid w:val="009E06C3"/>
    <w:rsid w:val="009E0703"/>
    <w:rsid w:val="009E1035"/>
    <w:rsid w:val="009E16C2"/>
    <w:rsid w:val="009E16DA"/>
    <w:rsid w:val="009E1CD4"/>
    <w:rsid w:val="009E2349"/>
    <w:rsid w:val="009E2391"/>
    <w:rsid w:val="009E476A"/>
    <w:rsid w:val="009E4E05"/>
    <w:rsid w:val="009E56FF"/>
    <w:rsid w:val="009E59A3"/>
    <w:rsid w:val="009E5CB1"/>
    <w:rsid w:val="009E5E56"/>
    <w:rsid w:val="009E61EA"/>
    <w:rsid w:val="009E6990"/>
    <w:rsid w:val="009E6CED"/>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67B9"/>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7F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66E6"/>
    <w:rsid w:val="00A27FB6"/>
    <w:rsid w:val="00A30121"/>
    <w:rsid w:val="00A30368"/>
    <w:rsid w:val="00A3043A"/>
    <w:rsid w:val="00A30E02"/>
    <w:rsid w:val="00A30F6A"/>
    <w:rsid w:val="00A31A55"/>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47D31"/>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94"/>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046"/>
    <w:rsid w:val="00A74216"/>
    <w:rsid w:val="00A74360"/>
    <w:rsid w:val="00A744B4"/>
    <w:rsid w:val="00A74A1F"/>
    <w:rsid w:val="00A751E3"/>
    <w:rsid w:val="00A753B9"/>
    <w:rsid w:val="00A7549A"/>
    <w:rsid w:val="00A75504"/>
    <w:rsid w:val="00A75EFD"/>
    <w:rsid w:val="00A75FD7"/>
    <w:rsid w:val="00A769E6"/>
    <w:rsid w:val="00A77168"/>
    <w:rsid w:val="00A7723B"/>
    <w:rsid w:val="00A773C3"/>
    <w:rsid w:val="00A7793C"/>
    <w:rsid w:val="00A779BF"/>
    <w:rsid w:val="00A77B7F"/>
    <w:rsid w:val="00A77D21"/>
    <w:rsid w:val="00A80085"/>
    <w:rsid w:val="00A8043B"/>
    <w:rsid w:val="00A807FC"/>
    <w:rsid w:val="00A80849"/>
    <w:rsid w:val="00A80DA0"/>
    <w:rsid w:val="00A81323"/>
    <w:rsid w:val="00A820CB"/>
    <w:rsid w:val="00A821C2"/>
    <w:rsid w:val="00A82342"/>
    <w:rsid w:val="00A8236F"/>
    <w:rsid w:val="00A82C87"/>
    <w:rsid w:val="00A83BEF"/>
    <w:rsid w:val="00A83E4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8AD"/>
    <w:rsid w:val="00AB0CFD"/>
    <w:rsid w:val="00AB14E8"/>
    <w:rsid w:val="00AB1B1D"/>
    <w:rsid w:val="00AB2216"/>
    <w:rsid w:val="00AB358D"/>
    <w:rsid w:val="00AB37A1"/>
    <w:rsid w:val="00AB3BAD"/>
    <w:rsid w:val="00AB3CFD"/>
    <w:rsid w:val="00AB49BC"/>
    <w:rsid w:val="00AB4DEE"/>
    <w:rsid w:val="00AB4E32"/>
    <w:rsid w:val="00AB5BE7"/>
    <w:rsid w:val="00AB5C19"/>
    <w:rsid w:val="00AB5DF8"/>
    <w:rsid w:val="00AB5E8D"/>
    <w:rsid w:val="00AB724B"/>
    <w:rsid w:val="00AB726C"/>
    <w:rsid w:val="00AB72B4"/>
    <w:rsid w:val="00AB7411"/>
    <w:rsid w:val="00AB7A7A"/>
    <w:rsid w:val="00AC02AA"/>
    <w:rsid w:val="00AC0537"/>
    <w:rsid w:val="00AC0A84"/>
    <w:rsid w:val="00AC1508"/>
    <w:rsid w:val="00AC1600"/>
    <w:rsid w:val="00AC1708"/>
    <w:rsid w:val="00AC2A0B"/>
    <w:rsid w:val="00AC2BEE"/>
    <w:rsid w:val="00AC2E53"/>
    <w:rsid w:val="00AC3101"/>
    <w:rsid w:val="00AC3E49"/>
    <w:rsid w:val="00AC46B0"/>
    <w:rsid w:val="00AC484F"/>
    <w:rsid w:val="00AC4B20"/>
    <w:rsid w:val="00AC5159"/>
    <w:rsid w:val="00AC56F2"/>
    <w:rsid w:val="00AC5897"/>
    <w:rsid w:val="00AC62B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BB7"/>
    <w:rsid w:val="00AF1D41"/>
    <w:rsid w:val="00AF26CF"/>
    <w:rsid w:val="00AF2EE8"/>
    <w:rsid w:val="00AF3124"/>
    <w:rsid w:val="00AF344D"/>
    <w:rsid w:val="00AF39B3"/>
    <w:rsid w:val="00AF407F"/>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1C3"/>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0F4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4C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3DD7"/>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2CC7"/>
    <w:rsid w:val="00BB300F"/>
    <w:rsid w:val="00BB32C9"/>
    <w:rsid w:val="00BB35C5"/>
    <w:rsid w:val="00BB3871"/>
    <w:rsid w:val="00BB4048"/>
    <w:rsid w:val="00BB4A61"/>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07F"/>
    <w:rsid w:val="00BC43CC"/>
    <w:rsid w:val="00BC4834"/>
    <w:rsid w:val="00BC4A97"/>
    <w:rsid w:val="00BC4EC9"/>
    <w:rsid w:val="00BC5A25"/>
    <w:rsid w:val="00BC5A7A"/>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2E4"/>
    <w:rsid w:val="00C00713"/>
    <w:rsid w:val="00C009A0"/>
    <w:rsid w:val="00C01557"/>
    <w:rsid w:val="00C01F74"/>
    <w:rsid w:val="00C02558"/>
    <w:rsid w:val="00C0285F"/>
    <w:rsid w:val="00C028F5"/>
    <w:rsid w:val="00C02F35"/>
    <w:rsid w:val="00C03305"/>
    <w:rsid w:val="00C03515"/>
    <w:rsid w:val="00C03738"/>
    <w:rsid w:val="00C037A6"/>
    <w:rsid w:val="00C04398"/>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52E"/>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274"/>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1F39"/>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A16"/>
    <w:rsid w:val="00C50DD7"/>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60DC"/>
    <w:rsid w:val="00C76A73"/>
    <w:rsid w:val="00C8082B"/>
    <w:rsid w:val="00C81A88"/>
    <w:rsid w:val="00C81BD5"/>
    <w:rsid w:val="00C81D46"/>
    <w:rsid w:val="00C82298"/>
    <w:rsid w:val="00C8331F"/>
    <w:rsid w:val="00C833B4"/>
    <w:rsid w:val="00C8387D"/>
    <w:rsid w:val="00C83C3E"/>
    <w:rsid w:val="00C84284"/>
    <w:rsid w:val="00C84887"/>
    <w:rsid w:val="00C84E33"/>
    <w:rsid w:val="00C856A1"/>
    <w:rsid w:val="00C85E5A"/>
    <w:rsid w:val="00C85FFC"/>
    <w:rsid w:val="00C861FC"/>
    <w:rsid w:val="00C86C87"/>
    <w:rsid w:val="00C9005E"/>
    <w:rsid w:val="00C9009F"/>
    <w:rsid w:val="00C90111"/>
    <w:rsid w:val="00C9038E"/>
    <w:rsid w:val="00C9077B"/>
    <w:rsid w:val="00C90CA9"/>
    <w:rsid w:val="00C90F88"/>
    <w:rsid w:val="00C915F2"/>
    <w:rsid w:val="00C917B1"/>
    <w:rsid w:val="00C9193C"/>
    <w:rsid w:val="00C91B77"/>
    <w:rsid w:val="00C920E2"/>
    <w:rsid w:val="00C9370F"/>
    <w:rsid w:val="00C93765"/>
    <w:rsid w:val="00C937EB"/>
    <w:rsid w:val="00C93877"/>
    <w:rsid w:val="00C93D8C"/>
    <w:rsid w:val="00C93E07"/>
    <w:rsid w:val="00C946CC"/>
    <w:rsid w:val="00C9539D"/>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79F"/>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217"/>
    <w:rsid w:val="00CF497B"/>
    <w:rsid w:val="00CF4AF7"/>
    <w:rsid w:val="00CF4D20"/>
    <w:rsid w:val="00CF5E78"/>
    <w:rsid w:val="00CF729B"/>
    <w:rsid w:val="00CF73F8"/>
    <w:rsid w:val="00CF75FE"/>
    <w:rsid w:val="00CF7928"/>
    <w:rsid w:val="00CF79B5"/>
    <w:rsid w:val="00CF7CA2"/>
    <w:rsid w:val="00D0033E"/>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9B7"/>
    <w:rsid w:val="00D07BF6"/>
    <w:rsid w:val="00D1060D"/>
    <w:rsid w:val="00D10D14"/>
    <w:rsid w:val="00D10E7C"/>
    <w:rsid w:val="00D11182"/>
    <w:rsid w:val="00D1137B"/>
    <w:rsid w:val="00D11807"/>
    <w:rsid w:val="00D11DB3"/>
    <w:rsid w:val="00D126C8"/>
    <w:rsid w:val="00D12CAB"/>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5EEE"/>
    <w:rsid w:val="00D2742F"/>
    <w:rsid w:val="00D2754F"/>
    <w:rsid w:val="00D277C5"/>
    <w:rsid w:val="00D279D9"/>
    <w:rsid w:val="00D27FB6"/>
    <w:rsid w:val="00D31011"/>
    <w:rsid w:val="00D312DC"/>
    <w:rsid w:val="00D31AA2"/>
    <w:rsid w:val="00D31B84"/>
    <w:rsid w:val="00D31C6A"/>
    <w:rsid w:val="00D31EDF"/>
    <w:rsid w:val="00D31FF9"/>
    <w:rsid w:val="00D32149"/>
    <w:rsid w:val="00D32256"/>
    <w:rsid w:val="00D322EC"/>
    <w:rsid w:val="00D325D2"/>
    <w:rsid w:val="00D32A27"/>
    <w:rsid w:val="00D32ABC"/>
    <w:rsid w:val="00D33100"/>
    <w:rsid w:val="00D33178"/>
    <w:rsid w:val="00D33FA4"/>
    <w:rsid w:val="00D34508"/>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DE8"/>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2DD2"/>
    <w:rsid w:val="00D633D6"/>
    <w:rsid w:val="00D63766"/>
    <w:rsid w:val="00D63912"/>
    <w:rsid w:val="00D63923"/>
    <w:rsid w:val="00D6451B"/>
    <w:rsid w:val="00D64776"/>
    <w:rsid w:val="00D64B57"/>
    <w:rsid w:val="00D651A1"/>
    <w:rsid w:val="00D652C0"/>
    <w:rsid w:val="00D65DEA"/>
    <w:rsid w:val="00D6650F"/>
    <w:rsid w:val="00D66579"/>
    <w:rsid w:val="00D66CF1"/>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FB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87C48"/>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1F97"/>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468"/>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5F0D"/>
    <w:rsid w:val="00DB6895"/>
    <w:rsid w:val="00DB6E46"/>
    <w:rsid w:val="00DB7117"/>
    <w:rsid w:val="00DB7760"/>
    <w:rsid w:val="00DB7DD4"/>
    <w:rsid w:val="00DC00B4"/>
    <w:rsid w:val="00DC0585"/>
    <w:rsid w:val="00DC0954"/>
    <w:rsid w:val="00DC0DF8"/>
    <w:rsid w:val="00DC1275"/>
    <w:rsid w:val="00DC15BA"/>
    <w:rsid w:val="00DC18CD"/>
    <w:rsid w:val="00DC1A68"/>
    <w:rsid w:val="00DC30B8"/>
    <w:rsid w:val="00DC3B6B"/>
    <w:rsid w:val="00DC478F"/>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37F"/>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20C6"/>
    <w:rsid w:val="00DE3119"/>
    <w:rsid w:val="00DE3A54"/>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DA5"/>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15"/>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3137"/>
    <w:rsid w:val="00E23980"/>
    <w:rsid w:val="00E241E9"/>
    <w:rsid w:val="00E246CD"/>
    <w:rsid w:val="00E24ED4"/>
    <w:rsid w:val="00E257C3"/>
    <w:rsid w:val="00E25A2C"/>
    <w:rsid w:val="00E25CB3"/>
    <w:rsid w:val="00E25DA4"/>
    <w:rsid w:val="00E25EB2"/>
    <w:rsid w:val="00E26237"/>
    <w:rsid w:val="00E26CB8"/>
    <w:rsid w:val="00E26D16"/>
    <w:rsid w:val="00E26D43"/>
    <w:rsid w:val="00E26FCF"/>
    <w:rsid w:val="00E27165"/>
    <w:rsid w:val="00E2752B"/>
    <w:rsid w:val="00E275D9"/>
    <w:rsid w:val="00E30444"/>
    <w:rsid w:val="00E3044A"/>
    <w:rsid w:val="00E30E49"/>
    <w:rsid w:val="00E31A4A"/>
    <w:rsid w:val="00E32EA3"/>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B7C"/>
    <w:rsid w:val="00E50C57"/>
    <w:rsid w:val="00E510FE"/>
    <w:rsid w:val="00E514BA"/>
    <w:rsid w:val="00E5180C"/>
    <w:rsid w:val="00E51E25"/>
    <w:rsid w:val="00E5205B"/>
    <w:rsid w:val="00E521AE"/>
    <w:rsid w:val="00E529A3"/>
    <w:rsid w:val="00E538B5"/>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5"/>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A5A"/>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B4C"/>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4D92"/>
    <w:rsid w:val="00EB52F4"/>
    <w:rsid w:val="00EB5694"/>
    <w:rsid w:val="00EB5779"/>
    <w:rsid w:val="00EB5BB8"/>
    <w:rsid w:val="00EB5D2F"/>
    <w:rsid w:val="00EB67F1"/>
    <w:rsid w:val="00EB6ADA"/>
    <w:rsid w:val="00EB6D7F"/>
    <w:rsid w:val="00EB72CD"/>
    <w:rsid w:val="00EB749A"/>
    <w:rsid w:val="00EB76B6"/>
    <w:rsid w:val="00EB7D8A"/>
    <w:rsid w:val="00EC04F7"/>
    <w:rsid w:val="00EC05E2"/>
    <w:rsid w:val="00EC0E84"/>
    <w:rsid w:val="00EC16E2"/>
    <w:rsid w:val="00EC1CE7"/>
    <w:rsid w:val="00EC1DAE"/>
    <w:rsid w:val="00EC26F1"/>
    <w:rsid w:val="00EC2BED"/>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36C"/>
    <w:rsid w:val="00EE366D"/>
    <w:rsid w:val="00EE5454"/>
    <w:rsid w:val="00EE54C4"/>
    <w:rsid w:val="00EE59B5"/>
    <w:rsid w:val="00EE5CF1"/>
    <w:rsid w:val="00EE5FB7"/>
    <w:rsid w:val="00EE62AB"/>
    <w:rsid w:val="00EE6783"/>
    <w:rsid w:val="00EE6AC4"/>
    <w:rsid w:val="00EE7B54"/>
    <w:rsid w:val="00EE7C47"/>
    <w:rsid w:val="00EE7C88"/>
    <w:rsid w:val="00EE7C8B"/>
    <w:rsid w:val="00EF0209"/>
    <w:rsid w:val="00EF078B"/>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5E4"/>
    <w:rsid w:val="00F20ECE"/>
    <w:rsid w:val="00F2121A"/>
    <w:rsid w:val="00F213A0"/>
    <w:rsid w:val="00F21D54"/>
    <w:rsid w:val="00F21EF4"/>
    <w:rsid w:val="00F22FED"/>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0CC"/>
    <w:rsid w:val="00F54C37"/>
    <w:rsid w:val="00F55679"/>
    <w:rsid w:val="00F55FAF"/>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2BAE"/>
    <w:rsid w:val="00F65A3C"/>
    <w:rsid w:val="00F66009"/>
    <w:rsid w:val="00F66282"/>
    <w:rsid w:val="00F6639E"/>
    <w:rsid w:val="00F66D0B"/>
    <w:rsid w:val="00F670E9"/>
    <w:rsid w:val="00F679AA"/>
    <w:rsid w:val="00F67AF1"/>
    <w:rsid w:val="00F67D8B"/>
    <w:rsid w:val="00F701C5"/>
    <w:rsid w:val="00F7026C"/>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5B"/>
    <w:rsid w:val="00F80ED3"/>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601"/>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25B"/>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E74B7"/>
    <w:rsid w:val="00FF0050"/>
    <w:rsid w:val="00FF045F"/>
    <w:rsid w:val="00FF0490"/>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6687844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2E0D6AD-FF73-4ADE-9089-F7D97BC8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5839</Words>
  <Characters>32116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3</cp:revision>
  <cp:lastPrinted>2021-08-27T20:19:00Z</cp:lastPrinted>
  <dcterms:created xsi:type="dcterms:W3CDTF">2022-05-24T16:55:00Z</dcterms:created>
  <dcterms:modified xsi:type="dcterms:W3CDTF">2022-05-24T16:55:00Z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