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7680F" w:rsidR="00191318" w:rsidP="00191318" w:rsidRDefault="00191318" w14:paraId="1109B96C" w14:textId="77777777">
      <w:pPr>
        <w:jc w:val="right"/>
        <w:rPr>
          <w:rFonts w:ascii="Arial" w:hAnsi="Arial" w:cs="Arial"/>
          <w:bCs/>
          <w:color w:val="000000" w:themeColor="text1"/>
          <w:sz w:val="16"/>
          <w:szCs w:val="16"/>
          <w:lang w:eastAsia="es-ES"/>
        </w:rPr>
      </w:pPr>
      <w:bookmarkStart w:name="_Hlk69117809" w:id="0"/>
      <w:bookmarkStart w:name="_Hlk28946138" w:id="1"/>
      <w:bookmarkStart w:name="_Hlk29548183" w:id="2"/>
      <w:r w:rsidRPr="009F7826">
        <w:rPr>
          <w:rFonts w:ascii="Arial" w:hAnsi="Arial" w:cs="Arial"/>
          <w:b/>
          <w:color w:val="000000" w:themeColor="text1"/>
          <w:sz w:val="16"/>
          <w:szCs w:val="16"/>
          <w:lang w:eastAsia="es-ES"/>
        </w:rPr>
        <w:tab/>
      </w:r>
      <w:r w:rsidRPr="00E7680F">
        <w:rPr>
          <w:rFonts w:ascii="Arial" w:hAnsi="Arial" w:cs="Arial"/>
          <w:bCs/>
          <w:color w:val="000000" w:themeColor="text1"/>
          <w:sz w:val="16"/>
          <w:szCs w:val="16"/>
          <w:lang w:eastAsia="es-ES"/>
        </w:rPr>
        <w:t>CCE-DES-FM-17</w:t>
      </w:r>
    </w:p>
    <w:p w:rsidRPr="00E7680F" w:rsidR="00191318" w:rsidP="00584F95" w:rsidRDefault="00191318" w14:paraId="6A2A9598" w14:textId="0F05B5AB">
      <w:pPr>
        <w:spacing w:before="240" w:after="240"/>
        <w:jc w:val="both"/>
        <w:rPr>
          <w:rFonts w:ascii="Arial" w:hAnsi="Arial" w:eastAsia="Calibri" w:cs="Arial"/>
          <w:b/>
          <w:bCs/>
          <w:color w:val="000000" w:themeColor="text1"/>
          <w:sz w:val="22"/>
          <w:szCs w:val="22"/>
        </w:rPr>
      </w:pPr>
      <w:bookmarkStart w:name="_Hlk66177743" w:id="3"/>
      <w:bookmarkEnd w:id="0"/>
      <w:r w:rsidRPr="00E7680F">
        <w:rPr>
          <w:rFonts w:ascii="Arial" w:hAnsi="Arial" w:eastAsia="Calibri" w:cs="Arial"/>
          <w:b/>
          <w:bCs/>
          <w:color w:val="000000" w:themeColor="text1"/>
          <w:sz w:val="22"/>
          <w:szCs w:val="22"/>
        </w:rPr>
        <w:t xml:space="preserve">ACUERDOS COMERCIALES – Fuentes – Aplicabilidad – Incorporación </w:t>
      </w:r>
    </w:p>
    <w:p w:rsidRPr="00E7680F" w:rsidR="00191318" w:rsidP="00584F95" w:rsidRDefault="00191318" w14:paraId="7EB9DE14" w14:textId="77777777">
      <w:pPr>
        <w:spacing w:before="240" w:after="240"/>
        <w:jc w:val="both"/>
        <w:rPr>
          <w:rFonts w:ascii="Arial" w:hAnsi="Arial" w:eastAsia="Calibri" w:cs="Arial"/>
          <w:bCs/>
          <w:color w:val="000000" w:themeColor="text1"/>
          <w:sz w:val="20"/>
          <w:szCs w:val="20"/>
        </w:rPr>
      </w:pPr>
      <w:r w:rsidRPr="00E7680F">
        <w:rPr>
          <w:rFonts w:ascii="Arial" w:hAnsi="Arial" w:eastAsia="Calibri" w:cs="Arial"/>
          <w:bCs/>
          <w:color w:val="000000" w:themeColor="text1"/>
          <w:sz w:val="20"/>
          <w:szCs w:val="20"/>
        </w:rPr>
        <w:t xml:space="preserve">Los tratados bilaterales de comercio con capítulos sobre contratación pública son hoy en día una realidad en el ordenamiento jurídico colombiano y las normas de contratación nacionales, como el Estatuto General de Contratación de la Administración Pública, deben ser aplicadas en la práctica con la debida observancia de las obligaciones internacionales del Estado, so pena de causar responsabilidad por incumplimiento de dichas obligaciones. </w:t>
      </w:r>
    </w:p>
    <w:p w:rsidRPr="00E7680F" w:rsidR="00191318" w:rsidP="00584F95" w:rsidRDefault="00191318" w14:paraId="2902B0C3" w14:textId="670B6DEB">
      <w:pPr>
        <w:spacing w:before="240" w:after="240"/>
        <w:jc w:val="both"/>
        <w:rPr>
          <w:rFonts w:ascii="Arial" w:hAnsi="Arial" w:eastAsia="Calibri" w:cs="Arial"/>
          <w:bCs/>
          <w:color w:val="000000" w:themeColor="text1"/>
          <w:sz w:val="20"/>
          <w:szCs w:val="20"/>
        </w:rPr>
      </w:pPr>
      <w:r w:rsidRPr="00E7680F">
        <w:rPr>
          <w:rFonts w:ascii="Arial" w:hAnsi="Arial" w:eastAsia="Calibri" w:cs="Arial"/>
          <w:bCs/>
          <w:color w:val="000000" w:themeColor="text1"/>
          <w:sz w:val="20"/>
          <w:szCs w:val="20"/>
        </w:rPr>
        <w:t xml:space="preserve">De esta forma, los acuerdos comerciales son tratados internacionales celebrados entre Estados e incorporados a los ordenamientos nacionales, cuyo contenido consagra derechos y obligaciones en distintas materias, entre estas las compras públicas. En el caso colombiano, cada acuerdo comercial, por ser un tratado que celebra el gobierno con otros Estados, debe ser aprobado y posteriormente incorporado al ordenamiento jurídico colombiano por una ley de la República. </w:t>
      </w:r>
    </w:p>
    <w:p w:rsidRPr="00E7680F" w:rsidR="00191318" w:rsidP="00584F95" w:rsidRDefault="00191318" w14:paraId="336A69F3" w14:textId="3427BC69">
      <w:pPr>
        <w:spacing w:before="240" w:after="240"/>
        <w:jc w:val="both"/>
        <w:rPr>
          <w:rFonts w:ascii="Arial" w:hAnsi="Arial" w:eastAsia="Calibri" w:cs="Arial"/>
          <w:b/>
          <w:bCs/>
          <w:color w:val="000000" w:themeColor="text1"/>
          <w:sz w:val="22"/>
          <w:szCs w:val="22"/>
          <w:lang w:val="es-ES_tradnl"/>
        </w:rPr>
      </w:pPr>
      <w:r w:rsidRPr="00E7680F">
        <w:rPr>
          <w:rFonts w:ascii="Arial" w:hAnsi="Arial" w:eastAsia="Calibri" w:cs="Arial"/>
          <w:b/>
          <w:bCs/>
          <w:color w:val="000000" w:themeColor="text1"/>
          <w:sz w:val="22"/>
          <w:szCs w:val="22"/>
          <w:lang w:val="es-ES_tradnl"/>
        </w:rPr>
        <w:t xml:space="preserve">ACUERDOS COMERCIALES ― Entidades estatales ― Deber de verificación </w:t>
      </w:r>
    </w:p>
    <w:p w:rsidRPr="00E7680F" w:rsidR="00191318" w:rsidP="00584F95" w:rsidRDefault="00191318" w14:paraId="146F5FE7" w14:textId="4783DB3C">
      <w:pPr>
        <w:spacing w:before="240" w:after="240"/>
        <w:jc w:val="both"/>
        <w:rPr>
          <w:rFonts w:ascii="Arial" w:hAnsi="Arial" w:eastAsia="Calibri" w:cs="Arial"/>
          <w:bCs/>
          <w:color w:val="000000" w:themeColor="text1"/>
          <w:sz w:val="20"/>
          <w:szCs w:val="22"/>
          <w:lang w:val="es-ES_tradnl"/>
        </w:rPr>
      </w:pPr>
      <w:r w:rsidRPr="00E7680F">
        <w:rPr>
          <w:rFonts w:ascii="Arial" w:hAnsi="Arial" w:eastAsia="Calibri" w:cs="Arial"/>
          <w:bCs/>
          <w:color w:val="000000" w:themeColor="text1"/>
          <w:sz w:val="20"/>
          <w:szCs w:val="22"/>
          <w:lang w:val="es-ES_tradnl"/>
        </w:rPr>
        <w:t xml:space="preserve">[…] las entidades estatales tienen la obligación de identificar los Acuerdos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ii) los valores </w:t>
      </w:r>
      <w:r w:rsidRPr="00E7680F" w:rsidR="00491334">
        <w:rPr>
          <w:rFonts w:ascii="Arial" w:hAnsi="Arial" w:eastAsia="Calibri" w:cs="Arial"/>
          <w:bCs/>
          <w:color w:val="000000" w:themeColor="text1"/>
          <w:sz w:val="20"/>
          <w:szCs w:val="22"/>
          <w:lang w:val="es-ES_tradnl"/>
        </w:rPr>
        <w:t xml:space="preserve">(umbrales) </w:t>
      </w:r>
      <w:r w:rsidRPr="00E7680F">
        <w:rPr>
          <w:rFonts w:ascii="Arial" w:hAnsi="Arial" w:eastAsia="Calibri" w:cs="Arial"/>
          <w:bCs/>
          <w:color w:val="000000" w:themeColor="text1"/>
          <w:sz w:val="20"/>
          <w:szCs w:val="22"/>
          <w:lang w:val="es-ES_tradnl"/>
        </w:rPr>
        <w:t>a partir de los cuales el Acuerdo Comercial es aplicable al proceso de contratación; y, iii) las excepciones a la aplicación del acuerdo comercial.</w:t>
      </w:r>
    </w:p>
    <w:p w:rsidRPr="00E7680F" w:rsidR="009C4395" w:rsidP="00584F95" w:rsidRDefault="00A6483D" w14:paraId="287E6C1C" w14:textId="297882EC">
      <w:pPr>
        <w:spacing w:before="240" w:after="240"/>
        <w:jc w:val="both"/>
        <w:rPr>
          <w:rFonts w:ascii="Arial" w:hAnsi="Arial" w:eastAsia="Calibri" w:cs="Arial"/>
          <w:b/>
          <w:bCs/>
          <w:color w:val="000000" w:themeColor="text1"/>
          <w:sz w:val="22"/>
          <w:szCs w:val="22"/>
          <w:lang w:val="es-ES_tradnl"/>
        </w:rPr>
      </w:pPr>
      <w:r w:rsidRPr="00E7680F">
        <w:rPr>
          <w:rFonts w:ascii="Arial" w:hAnsi="Arial" w:eastAsia="Calibri" w:cs="Arial"/>
          <w:b/>
          <w:bCs/>
          <w:color w:val="000000" w:themeColor="text1"/>
          <w:sz w:val="22"/>
          <w:szCs w:val="22"/>
          <w:lang w:val="es-ES_tradnl"/>
        </w:rPr>
        <w:t>UMBRAL –</w:t>
      </w:r>
      <w:r w:rsidRPr="00E7680F" w:rsidR="00BF1F1D">
        <w:rPr>
          <w:rFonts w:ascii="Arial" w:hAnsi="Arial" w:eastAsia="Calibri" w:cs="Arial"/>
          <w:b/>
          <w:bCs/>
          <w:color w:val="000000" w:themeColor="text1"/>
          <w:sz w:val="22"/>
          <w:szCs w:val="22"/>
          <w:lang w:val="es-ES_tradnl"/>
        </w:rPr>
        <w:t xml:space="preserve"> ACUERDO COMERCIAL</w:t>
      </w:r>
      <w:r w:rsidRPr="00E7680F" w:rsidR="00AA5007">
        <w:rPr>
          <w:rFonts w:ascii="Arial" w:hAnsi="Arial" w:eastAsia="Calibri" w:cs="Arial"/>
          <w:b/>
          <w:bCs/>
          <w:color w:val="000000" w:themeColor="text1"/>
          <w:sz w:val="22"/>
          <w:szCs w:val="22"/>
          <w:lang w:val="es-ES_tradnl"/>
        </w:rPr>
        <w:t xml:space="preserve"> </w:t>
      </w:r>
      <w:r w:rsidRPr="00E7680F" w:rsidR="00485B5D">
        <w:rPr>
          <w:rFonts w:ascii="Arial" w:hAnsi="Arial" w:eastAsia="Calibri" w:cs="Arial"/>
          <w:b/>
          <w:bCs/>
          <w:color w:val="000000" w:themeColor="text1"/>
          <w:sz w:val="22"/>
          <w:szCs w:val="22"/>
          <w:lang w:val="es-ES_tradnl"/>
        </w:rPr>
        <w:t xml:space="preserve">– </w:t>
      </w:r>
      <w:r w:rsidRPr="00E7680F" w:rsidR="00BF1F1D">
        <w:rPr>
          <w:rFonts w:ascii="Arial" w:hAnsi="Arial" w:eastAsia="Calibri" w:cs="Arial"/>
          <w:b/>
          <w:bCs/>
          <w:color w:val="000000" w:themeColor="text1"/>
          <w:sz w:val="22"/>
          <w:szCs w:val="22"/>
          <w:lang w:val="es-ES_tradnl"/>
        </w:rPr>
        <w:t xml:space="preserve">DERECHOS ESPECIALES DE GIRO – DEG </w:t>
      </w:r>
      <w:r w:rsidRPr="00E7680F" w:rsidR="00485B5D">
        <w:rPr>
          <w:rFonts w:ascii="Arial" w:hAnsi="Arial" w:eastAsia="Calibri" w:cs="Arial"/>
          <w:b/>
          <w:bCs/>
          <w:color w:val="000000" w:themeColor="text1"/>
          <w:sz w:val="22"/>
          <w:szCs w:val="22"/>
          <w:lang w:val="es-ES_tradnl"/>
        </w:rPr>
        <w:t xml:space="preserve">– </w:t>
      </w:r>
      <w:r w:rsidRPr="00E7680F">
        <w:rPr>
          <w:rFonts w:ascii="Arial" w:hAnsi="Arial" w:eastAsia="Calibri" w:cs="Arial"/>
          <w:b/>
          <w:bCs/>
          <w:color w:val="000000" w:themeColor="text1"/>
          <w:sz w:val="22"/>
          <w:szCs w:val="22"/>
          <w:lang w:val="es-ES_tradnl"/>
        </w:rPr>
        <w:t>V</w:t>
      </w:r>
      <w:r w:rsidRPr="00E7680F" w:rsidR="00BF1F1D">
        <w:rPr>
          <w:rFonts w:ascii="Arial" w:hAnsi="Arial" w:eastAsia="Calibri" w:cs="Arial"/>
          <w:b/>
          <w:bCs/>
          <w:color w:val="000000" w:themeColor="text1"/>
          <w:sz w:val="22"/>
          <w:szCs w:val="22"/>
          <w:lang w:val="es-ES_tradnl"/>
        </w:rPr>
        <w:t>alor a partir del cual es aplicable un acuerdo comercial</w:t>
      </w:r>
    </w:p>
    <w:p w:rsidRPr="00E7680F" w:rsidR="00491334" w:rsidP="00584F95" w:rsidRDefault="00491334" w14:paraId="7E027C6A" w14:textId="0DB4CA02">
      <w:pPr>
        <w:spacing w:before="240" w:after="240"/>
        <w:jc w:val="both"/>
        <w:rPr>
          <w:rFonts w:ascii="Arial" w:hAnsi="Arial" w:eastAsia="Calibri" w:cs="Arial"/>
          <w:bCs/>
          <w:color w:val="000000" w:themeColor="text1"/>
          <w:sz w:val="20"/>
          <w:szCs w:val="20"/>
          <w:lang w:val="es-ES_tradnl"/>
        </w:rPr>
      </w:pPr>
      <w:r w:rsidRPr="00E7680F">
        <w:rPr>
          <w:rFonts w:ascii="Arial" w:hAnsi="Arial" w:eastAsia="Calibri" w:cs="Arial"/>
          <w:bCs/>
          <w:color w:val="000000" w:themeColor="text1"/>
          <w:sz w:val="20"/>
          <w:szCs w:val="20"/>
          <w:lang w:val="es-ES_tradnl"/>
        </w:rPr>
        <w:t>Respecto de los valores</w:t>
      </w:r>
      <w:r w:rsidRPr="00E7680F" w:rsidR="00FF617E">
        <w:rPr>
          <w:rFonts w:ascii="Arial" w:hAnsi="Arial" w:eastAsia="Calibri" w:cs="Arial"/>
          <w:bCs/>
          <w:color w:val="000000" w:themeColor="text1"/>
          <w:sz w:val="20"/>
          <w:szCs w:val="20"/>
          <w:lang w:val="es-ES_tradnl"/>
        </w:rPr>
        <w:t xml:space="preserve"> -umbrales</w:t>
      </w:r>
      <w:r w:rsidRPr="00E7680F" w:rsidR="00E61438">
        <w:rPr>
          <w:rFonts w:ascii="Arial" w:hAnsi="Arial" w:eastAsia="Calibri" w:cs="Arial"/>
          <w:bCs/>
          <w:color w:val="000000" w:themeColor="text1"/>
          <w:sz w:val="20"/>
          <w:szCs w:val="20"/>
          <w:lang w:val="es-ES_tradnl"/>
        </w:rPr>
        <w:t>-</w:t>
      </w:r>
      <w:r w:rsidRPr="00E7680F">
        <w:rPr>
          <w:rFonts w:ascii="Arial" w:hAnsi="Arial" w:eastAsia="Calibri" w:cs="Arial"/>
          <w:bCs/>
          <w:color w:val="000000" w:themeColor="text1"/>
          <w:sz w:val="20"/>
          <w:szCs w:val="20"/>
          <w:lang w:val="es-ES_tradnl"/>
        </w:rPr>
        <w:t xml:space="preserve"> a partir de los cuales el Acuerdo Comercial es aplicable al proceso de contratación, es de anotar que los valores </w:t>
      </w:r>
      <w:r w:rsidRPr="00E7680F" w:rsidR="00E61438">
        <w:rPr>
          <w:rFonts w:ascii="Arial" w:hAnsi="Arial" w:eastAsia="Calibri" w:cs="Arial"/>
          <w:bCs/>
          <w:color w:val="000000" w:themeColor="text1"/>
          <w:sz w:val="20"/>
          <w:szCs w:val="20"/>
          <w:lang w:val="es-ES_tradnl"/>
        </w:rPr>
        <w:t xml:space="preserve">generalmente </w:t>
      </w:r>
      <w:r w:rsidRPr="00E7680F">
        <w:rPr>
          <w:rFonts w:ascii="Arial" w:hAnsi="Arial" w:eastAsia="Calibri" w:cs="Arial"/>
          <w:bCs/>
          <w:color w:val="000000" w:themeColor="text1"/>
          <w:sz w:val="20"/>
          <w:szCs w:val="20"/>
          <w:lang w:val="es-ES_tradnl"/>
        </w:rPr>
        <w:t xml:space="preserve">son negociados en dólares de los Estados Unidos de América o en Derechos Especiales de Giro (DEG)— Special Drawing Rights, SDR por sus siglas en inglés ―. Frente a este último, el Ministerio de Comercio, Industria y Turismo es el encargado de señalar, con la periodicidad definida en cada Acuerdo Comercial, el valor de conversión de estas monedas a pesos colombianos para determinar el umbral aplicable y la Agencia pone dichos valores a disposición de los partícipes del Sistema de Compra Pública en el siguiente enlace: </w:t>
      </w:r>
      <w:hyperlink w:history="1" r:id="rId8">
        <w:r w:rsidRPr="00E7680F" w:rsidR="00E61438">
          <w:rPr>
            <w:rStyle w:val="Hipervnculo"/>
            <w:rFonts w:ascii="Arial" w:hAnsi="Arial" w:eastAsia="Calibri" w:cs="Arial"/>
            <w:bCs/>
            <w:sz w:val="20"/>
            <w:szCs w:val="20"/>
            <w:lang w:val="es-ES_tradnl"/>
          </w:rPr>
          <w:t>https://colombiacompra.gov.co/compradores/acuerdos-comerciales-y-trato-nacional-por-reciprocidad</w:t>
        </w:r>
      </w:hyperlink>
      <w:r w:rsidRPr="00E7680F">
        <w:rPr>
          <w:rFonts w:ascii="Arial" w:hAnsi="Arial" w:eastAsia="Calibri" w:cs="Arial"/>
          <w:bCs/>
          <w:color w:val="000000" w:themeColor="text1"/>
          <w:sz w:val="20"/>
          <w:szCs w:val="20"/>
          <w:lang w:val="es-ES_tradnl"/>
        </w:rPr>
        <w:t xml:space="preserve"> </w:t>
      </w:r>
    </w:p>
    <w:p w:rsidRPr="00E7680F" w:rsidR="00447324" w:rsidP="00584F95" w:rsidRDefault="00447324" w14:paraId="6411F2BC" w14:textId="0F4352C8">
      <w:pPr>
        <w:spacing w:before="240" w:after="240"/>
        <w:jc w:val="both"/>
        <w:rPr>
          <w:rFonts w:ascii="Arial" w:hAnsi="Arial" w:eastAsia="Calibri" w:cs="Arial"/>
          <w:b/>
          <w:bCs/>
          <w:color w:val="000000" w:themeColor="text1"/>
          <w:sz w:val="22"/>
          <w:szCs w:val="22"/>
          <w:lang w:val="es-ES_tradnl"/>
        </w:rPr>
      </w:pPr>
      <w:r w:rsidRPr="00E7680F">
        <w:rPr>
          <w:rFonts w:ascii="Arial" w:hAnsi="Arial" w:eastAsia="Calibri" w:cs="Arial"/>
          <w:b/>
          <w:bCs/>
          <w:color w:val="000000" w:themeColor="text1"/>
          <w:sz w:val="22"/>
          <w:szCs w:val="22"/>
          <w:lang w:val="es-ES_tradnl"/>
        </w:rPr>
        <w:t xml:space="preserve">EXCEPCIONES – ACUERDOS COMERCIALES </w:t>
      </w:r>
      <w:r w:rsidRPr="00E7680F" w:rsidR="00485B5D">
        <w:rPr>
          <w:rFonts w:ascii="Arial" w:hAnsi="Arial" w:eastAsia="Calibri" w:cs="Arial"/>
          <w:b/>
          <w:bCs/>
          <w:color w:val="000000" w:themeColor="text1"/>
          <w:sz w:val="22"/>
          <w:szCs w:val="22"/>
          <w:lang w:val="es-ES_tradnl"/>
        </w:rPr>
        <w:t xml:space="preserve">– </w:t>
      </w:r>
      <w:r w:rsidRPr="00E7680F" w:rsidR="00072E04">
        <w:rPr>
          <w:rFonts w:ascii="Arial" w:hAnsi="Arial" w:eastAsia="Calibri" w:cs="Arial"/>
          <w:b/>
          <w:bCs/>
          <w:color w:val="000000" w:themeColor="text1"/>
          <w:sz w:val="22"/>
          <w:szCs w:val="22"/>
          <w:lang w:val="es-ES_tradnl"/>
        </w:rPr>
        <w:t>Alcance</w:t>
      </w:r>
    </w:p>
    <w:p w:rsidRPr="00E7680F" w:rsidR="00491334" w:rsidP="00E61438" w:rsidRDefault="00491334" w14:paraId="406BEDA9" w14:textId="77777777">
      <w:pPr>
        <w:tabs>
          <w:tab w:val="left" w:pos="0"/>
        </w:tabs>
        <w:spacing w:before="240" w:after="240"/>
        <w:jc w:val="both"/>
        <w:rPr>
          <w:rFonts w:ascii="Arial" w:hAnsi="Arial" w:cs="Arial"/>
          <w:sz w:val="20"/>
          <w:szCs w:val="20"/>
        </w:rPr>
      </w:pPr>
      <w:r w:rsidRPr="00E7680F">
        <w:rPr>
          <w:rFonts w:ascii="Arial" w:hAnsi="Arial" w:cs="Arial"/>
          <w:sz w:val="20"/>
          <w:szCs w:val="20"/>
        </w:rPr>
        <w:t>Por su parte, los Acuerdos Comerciales contemplan excepciones a la aplicación de los compromisos y obligaciones contenidos en estos, por tanto, si un proceso de contratación se encuentra cobijado por una excepción, las obligaciones y compromisos del correspondiente Acuerdo Comercial no regirán el proceso de contratación.</w:t>
      </w:r>
    </w:p>
    <w:p w:rsidRPr="00E7680F" w:rsidR="00491334" w:rsidP="00E61438" w:rsidRDefault="00491334" w14:paraId="07894FAE" w14:textId="77777777">
      <w:pPr>
        <w:tabs>
          <w:tab w:val="left" w:pos="0"/>
        </w:tabs>
        <w:spacing w:before="120"/>
        <w:jc w:val="both"/>
        <w:rPr>
          <w:rFonts w:ascii="Arial" w:hAnsi="Arial" w:cs="Arial"/>
          <w:sz w:val="20"/>
          <w:szCs w:val="20"/>
        </w:rPr>
      </w:pPr>
      <w:r w:rsidRPr="00E7680F">
        <w:rPr>
          <w:rFonts w:ascii="Arial" w:hAnsi="Arial" w:cs="Arial"/>
          <w:sz w:val="20"/>
          <w:szCs w:val="20"/>
        </w:rPr>
        <w:t xml:space="preserve">Las excepciones no aplican de manera uniforme a todas las entidades y a todos los acuerdos comerciales; por tanto, para determinar las excepciones aplicables a cada Acuerdo Comercial y a cada entidad cubierta, durante la etapa de planeación del proceso de selección, las entidades </w:t>
      </w:r>
      <w:r w:rsidRPr="00E7680F">
        <w:rPr>
          <w:rFonts w:ascii="Arial" w:hAnsi="Arial" w:cs="Arial"/>
          <w:sz w:val="20"/>
          <w:szCs w:val="20"/>
        </w:rPr>
        <w:lastRenderedPageBreak/>
        <w:t>deben consultar el cubrimiento del acuerdo comercial y si existen excepciones aplicables a su proceso de contratación particular.</w:t>
      </w:r>
    </w:p>
    <w:p w:rsidRPr="00E7680F" w:rsidR="00191318" w:rsidP="00191318" w:rsidRDefault="00191318" w14:paraId="769DCF91" w14:textId="77777777">
      <w:pPr>
        <w:jc w:val="both"/>
        <w:rPr>
          <w:rFonts w:ascii="Arial" w:hAnsi="Arial" w:cs="Arial"/>
          <w:sz w:val="20"/>
          <w:szCs w:val="20"/>
        </w:rPr>
      </w:pPr>
    </w:p>
    <w:p w:rsidRPr="00E7680F" w:rsidR="00191318" w:rsidP="00191318" w:rsidRDefault="00191318" w14:paraId="4AC6BEC8" w14:textId="77777777">
      <w:pPr>
        <w:jc w:val="both"/>
        <w:rPr>
          <w:rFonts w:ascii="Arial" w:hAnsi="Arial" w:cs="Arial"/>
          <w:b/>
          <w:bCs/>
          <w:sz w:val="22"/>
          <w:szCs w:val="22"/>
        </w:rPr>
      </w:pPr>
      <w:r w:rsidRPr="00E7680F">
        <w:rPr>
          <w:rFonts w:ascii="Arial" w:hAnsi="Arial" w:cs="Arial"/>
          <w:b/>
          <w:bCs/>
          <w:sz w:val="22"/>
          <w:szCs w:val="22"/>
        </w:rPr>
        <w:t>COLOMBIA COMPRA EFICIENTE – Decreto Ley 4170 de 2011 – Naturaleza jurídica – Objeto</w:t>
      </w:r>
    </w:p>
    <w:p w:rsidRPr="00E7680F" w:rsidR="00191318" w:rsidP="00191318" w:rsidRDefault="00191318" w14:paraId="4591E169" w14:textId="77777777">
      <w:pPr>
        <w:jc w:val="both"/>
        <w:rPr>
          <w:rFonts w:ascii="Arial" w:hAnsi="Arial" w:cs="Arial"/>
          <w:sz w:val="20"/>
          <w:szCs w:val="20"/>
        </w:rPr>
      </w:pPr>
    </w:p>
    <w:p w:rsidRPr="00E7680F" w:rsidR="00191318" w:rsidP="00191318" w:rsidRDefault="00191318" w14:paraId="0881626C" w14:textId="77777777">
      <w:pPr>
        <w:jc w:val="both"/>
        <w:rPr>
          <w:rFonts w:ascii="Arial" w:hAnsi="Arial" w:cs="Arial"/>
          <w:sz w:val="20"/>
          <w:szCs w:val="20"/>
        </w:rPr>
      </w:pPr>
      <w:r w:rsidRPr="00E7680F">
        <w:rPr>
          <w:rFonts w:ascii="Arial" w:hAnsi="Arial" w:cs="Arial"/>
          <w:sz w:val="20"/>
          <w:szCs w:val="20"/>
        </w:rPr>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facultando a la Agencia para «difundir las normas, reglas, procedimientos, medios tecnológicos y mejores prácticas para las compras y la contratación pública», de conformidad con el numeral 10 del artículo 3 del Decreto Ley 4170 de 2011. […] 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w:t>
      </w:r>
    </w:p>
    <w:p w:rsidRPr="00E7680F" w:rsidR="00191318" w:rsidP="00191318" w:rsidRDefault="00191318" w14:paraId="66A98493" w14:textId="77777777">
      <w:pPr>
        <w:jc w:val="both"/>
        <w:rPr>
          <w:rFonts w:ascii="Arial" w:hAnsi="Arial" w:cs="Arial"/>
          <w:sz w:val="20"/>
          <w:szCs w:val="20"/>
        </w:rPr>
      </w:pPr>
    </w:p>
    <w:p w:rsidRPr="00E7680F" w:rsidR="00191318" w:rsidP="00191318" w:rsidRDefault="00191318" w14:paraId="104FF637" w14:textId="77777777">
      <w:pPr>
        <w:jc w:val="both"/>
        <w:rPr>
          <w:rFonts w:ascii="Arial" w:hAnsi="Arial" w:cs="Arial"/>
          <w:b/>
          <w:bCs/>
          <w:sz w:val="22"/>
          <w:szCs w:val="22"/>
        </w:rPr>
      </w:pPr>
      <w:r w:rsidRPr="00E7680F">
        <w:rPr>
          <w:rFonts w:ascii="Arial" w:hAnsi="Arial" w:cs="Arial"/>
          <w:b/>
          <w:bCs/>
          <w:sz w:val="22"/>
          <w:szCs w:val="22"/>
        </w:rPr>
        <w:t>COLOMBIA COMPRA EFICIENTE – Funciones – Expedición – Guías – Manuales – Circulares</w:t>
      </w:r>
    </w:p>
    <w:p w:rsidRPr="00E7680F" w:rsidR="00191318" w:rsidP="00191318" w:rsidRDefault="00191318" w14:paraId="66A5444A" w14:textId="77777777">
      <w:pPr>
        <w:jc w:val="both"/>
        <w:rPr>
          <w:rFonts w:ascii="Arial" w:hAnsi="Arial" w:cs="Arial"/>
          <w:sz w:val="20"/>
          <w:szCs w:val="20"/>
        </w:rPr>
      </w:pPr>
    </w:p>
    <w:p w:rsidRPr="00E7680F" w:rsidR="00191318" w:rsidP="00191318" w:rsidRDefault="008A046F" w14:paraId="607222E8" w14:textId="74357B85">
      <w:pPr>
        <w:jc w:val="both"/>
        <w:rPr>
          <w:rFonts w:ascii="Arial" w:hAnsi="Arial" w:cs="Arial" w:eastAsiaTheme="minorEastAsia"/>
          <w:sz w:val="20"/>
          <w:szCs w:val="20"/>
          <w:lang w:eastAsia="es-CO"/>
        </w:rPr>
      </w:pPr>
      <w:r w:rsidRPr="00E7680F">
        <w:rPr>
          <w:rFonts w:ascii="Arial" w:hAnsi="Arial" w:cs="Arial" w:eastAsiaTheme="minorEastAsia"/>
          <w:sz w:val="20"/>
          <w:szCs w:val="20"/>
          <w:lang w:eastAsia="es-CO"/>
        </w:rPr>
        <w:t>En ejercicio de estas competencias conferidas por el Decreto Ley 4170 de 2011, Colombia Compra Eficiente ha expedido Guías, Manuales y Circulares, los cuales pueden ser calificados como herramientas de apoyo a los partícipes de la contratación pública.</w:t>
      </w:r>
    </w:p>
    <w:p w:rsidRPr="00E7680F" w:rsidR="008A046F" w:rsidP="00191318" w:rsidRDefault="008A046F" w14:paraId="42D084A5" w14:textId="77777777">
      <w:pPr>
        <w:jc w:val="both"/>
        <w:rPr>
          <w:rFonts w:ascii="Arial" w:hAnsi="Arial" w:cs="Arial"/>
          <w:sz w:val="20"/>
          <w:szCs w:val="20"/>
        </w:rPr>
      </w:pPr>
    </w:p>
    <w:p w:rsidRPr="00E7680F" w:rsidR="00191318" w:rsidP="00191318" w:rsidRDefault="00191318" w14:paraId="15B219FE" w14:textId="77777777">
      <w:pPr>
        <w:jc w:val="both"/>
        <w:rPr>
          <w:rFonts w:ascii="Arial" w:hAnsi="Arial" w:cs="Arial"/>
          <w:b/>
          <w:bCs/>
          <w:sz w:val="22"/>
          <w:szCs w:val="22"/>
        </w:rPr>
      </w:pPr>
      <w:r w:rsidRPr="00E7680F">
        <w:rPr>
          <w:rFonts w:ascii="Arial" w:hAnsi="Arial" w:cs="Arial"/>
          <w:b/>
          <w:bCs/>
          <w:sz w:val="22"/>
          <w:szCs w:val="22"/>
        </w:rPr>
        <w:t>OBLIGATORIEDAD – Actos – Colombia Compra Eficiente</w:t>
      </w:r>
    </w:p>
    <w:p w:rsidRPr="00E7680F" w:rsidR="00191318" w:rsidP="00191318" w:rsidRDefault="00191318" w14:paraId="6C9BD47A" w14:textId="77777777">
      <w:pPr>
        <w:ind w:firstLine="284"/>
        <w:jc w:val="both"/>
        <w:rPr>
          <w:rFonts w:ascii="Arial" w:hAnsi="Arial" w:cs="Arial"/>
          <w:b/>
          <w:bCs/>
          <w:sz w:val="20"/>
          <w:szCs w:val="20"/>
        </w:rPr>
      </w:pPr>
    </w:p>
    <w:p w:rsidRPr="00E7680F" w:rsidR="00191318" w:rsidP="00191318" w:rsidRDefault="00191318" w14:paraId="313336CB" w14:textId="77777777">
      <w:pPr>
        <w:jc w:val="both"/>
        <w:rPr>
          <w:rFonts w:ascii="Arial" w:hAnsi="Arial" w:cs="Arial"/>
          <w:sz w:val="20"/>
          <w:szCs w:val="20"/>
        </w:rPr>
      </w:pPr>
      <w:r w:rsidRPr="00E7680F">
        <w:rPr>
          <w:rFonts w:ascii="Arial" w:hAnsi="Arial" w:cs="Arial"/>
          <w:sz w:val="20"/>
          <w:szCs w:val="20"/>
        </w:rPr>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uno de los elementos de los actos administrativos: la competencia.</w:t>
      </w:r>
    </w:p>
    <w:p w:rsidRPr="00E7680F" w:rsidR="00191318" w:rsidP="00191318" w:rsidRDefault="00191318" w14:paraId="14C9E7EF" w14:textId="77777777">
      <w:pPr>
        <w:jc w:val="both"/>
        <w:rPr>
          <w:rFonts w:ascii="Arial" w:hAnsi="Arial" w:cs="Arial"/>
          <w:sz w:val="20"/>
          <w:szCs w:val="20"/>
        </w:rPr>
      </w:pPr>
    </w:p>
    <w:p w:rsidRPr="00E7680F" w:rsidR="00191318" w:rsidP="00191318" w:rsidRDefault="00191318" w14:paraId="20D37BAA" w14:textId="77777777">
      <w:pPr>
        <w:jc w:val="both"/>
        <w:rPr>
          <w:rFonts w:ascii="Arial" w:hAnsi="Arial" w:cs="Arial"/>
          <w:sz w:val="20"/>
          <w:szCs w:val="20"/>
        </w:rPr>
      </w:pPr>
      <w:r w:rsidRPr="00E7680F">
        <w:rPr>
          <w:rFonts w:ascii="Arial" w:hAnsi="Arial" w:cs="Arial"/>
          <w:sz w:val="20"/>
          <w:szCs w:val="20"/>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rsidRPr="00E7680F" w:rsidR="00191318" w:rsidP="00191318" w:rsidRDefault="00191318" w14:paraId="6C3BF94E" w14:textId="77777777">
      <w:pPr>
        <w:jc w:val="both"/>
        <w:rPr>
          <w:rFonts w:ascii="Arial" w:hAnsi="Arial" w:cs="Arial"/>
          <w:sz w:val="20"/>
          <w:szCs w:val="20"/>
        </w:rPr>
      </w:pPr>
    </w:p>
    <w:p w:rsidRPr="00E7680F" w:rsidR="00191318" w:rsidP="00191318" w:rsidRDefault="00191318" w14:paraId="53D8094A" w14:textId="77777777">
      <w:pPr>
        <w:jc w:val="both"/>
        <w:rPr>
          <w:rFonts w:ascii="Arial" w:hAnsi="Arial" w:eastAsia="Calibri" w:cs="Arial"/>
          <w:bCs/>
          <w:color w:val="000000" w:themeColor="text1"/>
          <w:sz w:val="20"/>
          <w:szCs w:val="20"/>
        </w:rPr>
      </w:pPr>
      <w:r w:rsidRPr="00E7680F">
        <w:rPr>
          <w:rFonts w:ascii="Arial" w:hAnsi="Arial" w:cs="Arial"/>
          <w:b/>
          <w:sz w:val="22"/>
          <w:szCs w:val="22"/>
        </w:rPr>
        <w:t xml:space="preserve">ACUERDOS COMERCIALES – MANUALES – Alcance </w:t>
      </w:r>
    </w:p>
    <w:p w:rsidRPr="00E7680F" w:rsidR="00191318" w:rsidP="00191318" w:rsidRDefault="00191318" w14:paraId="21E941B6" w14:textId="77777777">
      <w:pPr>
        <w:jc w:val="both"/>
        <w:rPr>
          <w:rFonts w:ascii="Arial" w:hAnsi="Arial" w:eastAsia="Calibri" w:cs="Arial"/>
          <w:b/>
          <w:color w:val="000000" w:themeColor="text1"/>
          <w:sz w:val="18"/>
          <w:szCs w:val="18"/>
        </w:rPr>
      </w:pPr>
    </w:p>
    <w:bookmarkEnd w:id="3"/>
    <w:p w:rsidRPr="00E7680F" w:rsidR="00191318" w:rsidP="00191318" w:rsidRDefault="00191318" w14:paraId="0C8AB731" w14:textId="77777777">
      <w:pPr>
        <w:jc w:val="both"/>
        <w:rPr>
          <w:rFonts w:ascii="Arial" w:hAnsi="Arial" w:eastAsia="Calibri" w:cs="Arial"/>
          <w:bCs/>
          <w:color w:val="000000" w:themeColor="text1"/>
          <w:sz w:val="20"/>
          <w:lang w:val="es-ES_tradnl"/>
        </w:rPr>
      </w:pPr>
      <w:r w:rsidRPr="00E7680F">
        <w:rPr>
          <w:rFonts w:ascii="Arial" w:hAnsi="Arial" w:eastAsia="Calibri" w:cs="Arial"/>
          <w:bCs/>
          <w:color w:val="000000" w:themeColor="text1"/>
          <w:sz w:val="20"/>
          <w:lang w:val="es-ES_tradnl"/>
        </w:rPr>
        <w:t xml:space="preserve">Ahora bien, tratándose del Manual para el manejo de los Acuerdos Comerciales en Procesos de Contratación, como lo indicó esta Subdirección en el Concepto con radicado No. 2201913000008425 del 13 de noviembre de 2019, «Las entidades estatales pueden hacer uso del “Manual para el manejo de los Acuerdos Comerciales en Procesos de Contratación”, expedido por Colombia Compra Eficiente como herramienta orientadora para conocer la cobertura de los Acuerdos Comerciales y los plazos correspondientes, sin embargo, el uso del manual no exime a la entidad del deber de conocer y aplicar cada Acuerdo Comercial». En otras palabras, el Manual es una herramienta de orientación, pero no exime a las entidades estatales de verificar la cobertura y aplicar los acuerdos comerciales que resulten obligatorios en el correspondiente procedimiento </w:t>
      </w:r>
      <w:r w:rsidRPr="00E7680F">
        <w:rPr>
          <w:rFonts w:ascii="Arial" w:hAnsi="Arial" w:eastAsia="Calibri" w:cs="Arial"/>
          <w:bCs/>
          <w:color w:val="000000" w:themeColor="text1"/>
          <w:sz w:val="20"/>
          <w:lang w:val="es-ES_tradnl"/>
        </w:rPr>
        <w:lastRenderedPageBreak/>
        <w:t>de selección. Lo anterior guarda consonancia con los artículos 2.2.1.2.4.1.1. y 2.2.1.2.4.1.2. del Decreto 1082 de 2015, que disponen, respectivamente, que: «Las Entidades Estatales deben adelantar los Procesos de Contratación de acuerdo con lo previsto en los Acuerdos Comerciales, cuando estos les sean aplicables» y que «Si un mismo Proceso de Contratación está sometido a varios Acuerdos Comerciales, la Entidad Estatal debe adoptar las medidas necesarias para el cumplimiento de la totalidad de los compromisos previstos en los Acuerdos Comerciales». De esta manera, las entidades estatales y los procesos contractuales cubiertos por los tratados suscritos entre Colombia y otros Estados son aquellos que aparecen en sus listas. Por ello, la determinación de si tales acuerdos comerciales aplican o no en un determinado procedimiento de selección corresponde realizarlo a cada entidad estatal, consultando el ámbito de cobertura de cada Acuerdo Comercial.</w:t>
      </w:r>
    </w:p>
    <w:p w:rsidRPr="00E7680F" w:rsidR="00191318" w:rsidP="00191318" w:rsidRDefault="00191318" w14:paraId="40A27EA2" w14:textId="77777777">
      <w:pPr>
        <w:jc w:val="both"/>
      </w:pPr>
    </w:p>
    <w:p w:rsidRPr="00E7680F" w:rsidR="00EA536D" w:rsidP="00E7680F" w:rsidRDefault="00E7680F" w14:paraId="0A2641D3" w14:textId="470B0F53">
      <w:pPr>
        <w:spacing w:after="160" w:line="259" w:lineRule="auto"/>
        <w:jc w:val="right"/>
        <w:rPr>
          <w:rFonts w:ascii="Arial" w:hAnsi="Arial" w:cs="Arial"/>
          <w:color w:val="000000" w:themeColor="text1"/>
          <w:sz w:val="22"/>
          <w:szCs w:val="22"/>
        </w:rPr>
      </w:pPr>
      <w:r w:rsidRPr="00E7680F">
        <w:rPr>
          <w:noProof/>
        </w:rPr>
        <w:drawing>
          <wp:inline distT="0" distB="0" distL="0" distR="0" wp14:anchorId="13E93689" wp14:editId="74DDD26D">
            <wp:extent cx="2505075" cy="75247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9"/>
                    <a:stretch>
                      <a:fillRect/>
                    </a:stretch>
                  </pic:blipFill>
                  <pic:spPr>
                    <a:xfrm>
                      <a:off x="0" y="0"/>
                      <a:ext cx="2505075" cy="752475"/>
                    </a:xfrm>
                    <a:prstGeom prst="rect">
                      <a:avLst/>
                    </a:prstGeom>
                  </pic:spPr>
                </pic:pic>
              </a:graphicData>
            </a:graphic>
          </wp:inline>
        </w:drawing>
      </w:r>
    </w:p>
    <w:p w:rsidRPr="00E7680F" w:rsidR="00191318" w:rsidP="13A4F097" w:rsidRDefault="00191318" w14:paraId="34E0F0A8" w14:textId="547BE978">
      <w:pPr>
        <w:rPr>
          <w:rFonts w:ascii="Arial" w:hAnsi="Arial" w:cs="Arial"/>
          <w:b w:val="1"/>
          <w:bCs w:val="1"/>
          <w:color w:val="000000" w:themeColor="text1"/>
          <w:sz w:val="22"/>
          <w:szCs w:val="22"/>
        </w:rPr>
      </w:pPr>
      <w:r w:rsidRPr="13A4F097" w:rsidR="00191318">
        <w:rPr>
          <w:rFonts w:ascii="Arial" w:hAnsi="Arial" w:cs="Arial"/>
          <w:color w:val="000000" w:themeColor="text1" w:themeTint="FF" w:themeShade="FF"/>
          <w:sz w:val="22"/>
          <w:szCs w:val="22"/>
        </w:rPr>
        <w:t>Bogotá D.C., 24 Marzo 2022</w:t>
      </w:r>
    </w:p>
    <w:p w:rsidRPr="00E7680F" w:rsidR="00191318" w:rsidP="00191318" w:rsidRDefault="00191318" w14:paraId="347D34C6" w14:textId="77777777">
      <w:pPr>
        <w:jc w:val="right"/>
        <w:rPr>
          <w:rFonts w:ascii="Arial" w:hAnsi="Arial" w:cs="Arial"/>
          <w:b/>
          <w:color w:val="000000" w:themeColor="text1"/>
          <w:sz w:val="22"/>
          <w:szCs w:val="22"/>
        </w:rPr>
      </w:pPr>
    </w:p>
    <w:p w:rsidRPr="00E7680F" w:rsidR="00191318" w:rsidP="00191318" w:rsidRDefault="00191318" w14:paraId="3954B007" w14:textId="3339FEB9">
      <w:pPr>
        <w:rPr>
          <w:rFonts w:ascii="Arial" w:hAnsi="Arial" w:eastAsia="Calibri" w:cs="Arial"/>
          <w:color w:val="000000" w:themeColor="text1"/>
          <w:sz w:val="22"/>
          <w:szCs w:val="22"/>
        </w:rPr>
      </w:pPr>
      <w:r w:rsidRPr="00E7680F">
        <w:rPr>
          <w:rFonts w:ascii="Arial" w:hAnsi="Arial" w:eastAsia="Calibri" w:cs="Arial"/>
          <w:color w:val="000000" w:themeColor="text1"/>
          <w:sz w:val="22"/>
          <w:szCs w:val="22"/>
        </w:rPr>
        <w:t>Señor</w:t>
      </w:r>
    </w:p>
    <w:p w:rsidRPr="00E7680F" w:rsidR="00191318" w:rsidP="00191318" w:rsidRDefault="00801BDF" w14:paraId="00F1C048" w14:textId="0AD6912E">
      <w:pPr>
        <w:rPr>
          <w:rFonts w:ascii="Arial" w:hAnsi="Arial" w:eastAsia="Calibri" w:cs="Arial"/>
          <w:b/>
          <w:color w:val="000000" w:themeColor="text1"/>
          <w:sz w:val="22"/>
          <w:szCs w:val="22"/>
        </w:rPr>
      </w:pPr>
      <w:r w:rsidRPr="00E7680F">
        <w:rPr>
          <w:rFonts w:ascii="Arial" w:hAnsi="Arial" w:eastAsia="Calibri" w:cs="Arial"/>
          <w:b/>
          <w:color w:val="000000" w:themeColor="text1"/>
          <w:sz w:val="22"/>
          <w:szCs w:val="22"/>
        </w:rPr>
        <w:t>DIANA MARCELA MART</w:t>
      </w:r>
      <w:r w:rsidRPr="00E7680F" w:rsidR="00EA536D">
        <w:rPr>
          <w:rFonts w:ascii="Arial" w:hAnsi="Arial" w:eastAsia="Calibri" w:cs="Arial"/>
          <w:b/>
          <w:color w:val="000000" w:themeColor="text1"/>
          <w:sz w:val="22"/>
          <w:szCs w:val="22"/>
        </w:rPr>
        <w:t>Í</w:t>
      </w:r>
      <w:r w:rsidRPr="00E7680F">
        <w:rPr>
          <w:rFonts w:ascii="Arial" w:hAnsi="Arial" w:eastAsia="Calibri" w:cs="Arial"/>
          <w:b/>
          <w:color w:val="000000" w:themeColor="text1"/>
          <w:sz w:val="22"/>
          <w:szCs w:val="22"/>
        </w:rPr>
        <w:t>NEZ RODR</w:t>
      </w:r>
      <w:r w:rsidRPr="00E7680F" w:rsidR="00EA536D">
        <w:rPr>
          <w:rFonts w:ascii="Arial" w:hAnsi="Arial" w:eastAsia="Calibri" w:cs="Arial"/>
          <w:b/>
          <w:color w:val="000000" w:themeColor="text1"/>
          <w:sz w:val="22"/>
          <w:szCs w:val="22"/>
        </w:rPr>
        <w:t>Í</w:t>
      </w:r>
      <w:r w:rsidRPr="00E7680F">
        <w:rPr>
          <w:rFonts w:ascii="Arial" w:hAnsi="Arial" w:eastAsia="Calibri" w:cs="Arial"/>
          <w:b/>
          <w:color w:val="000000" w:themeColor="text1"/>
          <w:sz w:val="22"/>
          <w:szCs w:val="22"/>
        </w:rPr>
        <w:t>GUEZ</w:t>
      </w:r>
    </w:p>
    <w:p w:rsidRPr="00E7680F" w:rsidR="00191318" w:rsidP="00191318" w:rsidRDefault="00597982" w14:paraId="556A456C" w14:textId="6F7C08B2">
      <w:pPr>
        <w:rPr>
          <w:rFonts w:ascii="Arial" w:hAnsi="Arial" w:eastAsia="Calibri" w:cs="Arial"/>
          <w:bCs/>
          <w:color w:val="000000" w:themeColor="text1"/>
          <w:sz w:val="22"/>
          <w:szCs w:val="22"/>
        </w:rPr>
      </w:pPr>
      <w:r w:rsidRPr="00E7680F">
        <w:rPr>
          <w:rFonts w:ascii="Arial" w:hAnsi="Arial" w:eastAsia="Calibri" w:cs="Arial"/>
          <w:bCs/>
          <w:color w:val="000000" w:themeColor="text1"/>
          <w:sz w:val="22"/>
          <w:szCs w:val="22"/>
        </w:rPr>
        <w:t>Ibagué, Tolima</w:t>
      </w:r>
    </w:p>
    <w:p w:rsidRPr="00E7680F" w:rsidR="00191318" w:rsidP="00191318" w:rsidRDefault="00191318" w14:paraId="48389B29" w14:textId="77777777">
      <w:pPr>
        <w:rPr>
          <w:rFonts w:ascii="Arial" w:hAnsi="Arial" w:eastAsia="Calibri" w:cs="Arial"/>
          <w:color w:val="000000" w:themeColor="text1"/>
          <w:sz w:val="22"/>
          <w:szCs w:val="22"/>
        </w:rPr>
      </w:pPr>
    </w:p>
    <w:p w:rsidRPr="00E7680F" w:rsidR="00191318" w:rsidP="00191318" w:rsidRDefault="00191318" w14:paraId="3EA56111" w14:textId="2E31E912">
      <w:pPr>
        <w:jc w:val="center"/>
        <w:rPr>
          <w:rFonts w:ascii="Arial" w:hAnsi="Arial" w:eastAsia="Calibri" w:cs="Arial"/>
          <w:b/>
          <w:color w:val="000000" w:themeColor="text1"/>
          <w:sz w:val="22"/>
          <w:szCs w:val="22"/>
        </w:rPr>
      </w:pPr>
      <w:r w:rsidRPr="00E7680F">
        <w:rPr>
          <w:rFonts w:ascii="Arial" w:hAnsi="Arial" w:eastAsia="Calibri" w:cs="Arial"/>
          <w:b/>
          <w:color w:val="000000" w:themeColor="text1"/>
          <w:sz w:val="22"/>
          <w:szCs w:val="22"/>
        </w:rPr>
        <w:t xml:space="preserve">Concepto C – </w:t>
      </w:r>
      <w:r w:rsidRPr="00E7680F" w:rsidR="006F3CF0">
        <w:rPr>
          <w:rFonts w:ascii="Arial" w:hAnsi="Arial" w:eastAsia="Calibri" w:cs="Arial"/>
          <w:b/>
          <w:color w:val="000000" w:themeColor="text1"/>
          <w:sz w:val="22"/>
          <w:szCs w:val="22"/>
        </w:rPr>
        <w:t>117</w:t>
      </w:r>
      <w:r w:rsidRPr="00E7680F">
        <w:rPr>
          <w:rFonts w:ascii="Arial" w:hAnsi="Arial" w:eastAsia="Calibri" w:cs="Arial"/>
          <w:b/>
          <w:color w:val="000000" w:themeColor="text1"/>
          <w:sz w:val="22"/>
          <w:szCs w:val="22"/>
        </w:rPr>
        <w:t xml:space="preserve"> de 202</w:t>
      </w:r>
      <w:r w:rsidRPr="00E7680F" w:rsidR="006F3CF0">
        <w:rPr>
          <w:rFonts w:ascii="Arial" w:hAnsi="Arial" w:eastAsia="Calibri" w:cs="Arial"/>
          <w:b/>
          <w:color w:val="000000" w:themeColor="text1"/>
          <w:sz w:val="22"/>
          <w:szCs w:val="22"/>
        </w:rPr>
        <w:t>2</w:t>
      </w:r>
    </w:p>
    <w:p w:rsidRPr="00E7680F" w:rsidR="00191318" w:rsidP="00191318" w:rsidRDefault="00191318" w14:paraId="6989959A" w14:textId="77777777">
      <w:pPr>
        <w:rPr>
          <w:rFonts w:ascii="Arial" w:hAnsi="Arial" w:eastAsia="Calibri" w:cs="Arial"/>
          <w:color w:val="000000" w:themeColor="text1"/>
          <w:sz w:val="22"/>
          <w:szCs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E7680F" w:rsidR="00191318" w:rsidTr="00A53405" w14:paraId="2048D7FE" w14:textId="77777777">
        <w:tc>
          <w:tcPr>
            <w:tcW w:w="2689" w:type="dxa"/>
            <w:hideMark/>
          </w:tcPr>
          <w:p w:rsidRPr="00E7680F" w:rsidR="00191318" w:rsidP="00A53405" w:rsidRDefault="00191318" w14:paraId="5E3D1946" w14:textId="77777777">
            <w:pPr>
              <w:rPr>
                <w:rFonts w:ascii="Arial" w:hAnsi="Arial" w:eastAsia="Calibri" w:cs="Arial"/>
                <w:color w:val="000000" w:themeColor="text1"/>
                <w:sz w:val="22"/>
                <w:szCs w:val="22"/>
              </w:rPr>
            </w:pPr>
            <w:r w:rsidRPr="00E7680F">
              <w:rPr>
                <w:rFonts w:ascii="Arial" w:hAnsi="Arial" w:eastAsia="Calibri" w:cs="Arial"/>
                <w:b/>
                <w:color w:val="000000" w:themeColor="text1"/>
                <w:sz w:val="22"/>
                <w:szCs w:val="22"/>
              </w:rPr>
              <w:t>Temas:</w:t>
            </w:r>
            <w:r w:rsidRPr="00E7680F">
              <w:rPr>
                <w:rFonts w:ascii="Arial" w:hAnsi="Arial" w:eastAsia="Calibri" w:cs="Arial"/>
                <w:color w:val="000000" w:themeColor="text1"/>
                <w:sz w:val="22"/>
                <w:szCs w:val="22"/>
              </w:rPr>
              <w:t xml:space="preserve">           </w:t>
            </w:r>
          </w:p>
          <w:p w:rsidRPr="00E7680F" w:rsidR="00191318" w:rsidP="00A53405" w:rsidRDefault="00191318" w14:paraId="68FF7495" w14:textId="77777777">
            <w:pPr>
              <w:rPr>
                <w:rFonts w:ascii="Arial" w:hAnsi="Arial" w:eastAsia="Calibri" w:cs="Arial"/>
                <w:color w:val="000000" w:themeColor="text1"/>
                <w:sz w:val="22"/>
                <w:szCs w:val="22"/>
              </w:rPr>
            </w:pPr>
            <w:r w:rsidRPr="00E7680F">
              <w:rPr>
                <w:rFonts w:ascii="Arial" w:hAnsi="Arial" w:eastAsia="Calibri" w:cs="Arial"/>
                <w:color w:val="000000" w:themeColor="text1"/>
                <w:sz w:val="22"/>
                <w:szCs w:val="22"/>
              </w:rPr>
              <w:t xml:space="preserve">                           </w:t>
            </w:r>
          </w:p>
        </w:tc>
        <w:tc>
          <w:tcPr>
            <w:tcW w:w="6237" w:type="dxa"/>
            <w:hideMark/>
          </w:tcPr>
          <w:p w:rsidRPr="00E7680F" w:rsidR="00191318" w:rsidP="00A054F6" w:rsidRDefault="008E37B0" w14:paraId="56B60774" w14:textId="7F8703AA">
            <w:pPr>
              <w:spacing w:after="120"/>
              <w:jc w:val="both"/>
              <w:textAlignment w:val="baseline"/>
              <w:rPr>
                <w:rFonts w:ascii="Arial" w:hAnsi="Arial" w:eastAsia="Calibri" w:cs="Arial"/>
                <w:color w:val="000000" w:themeColor="text1"/>
                <w:sz w:val="22"/>
                <w:szCs w:val="22"/>
              </w:rPr>
            </w:pPr>
            <w:r w:rsidRPr="00E7680F">
              <w:rPr>
                <w:rFonts w:ascii="Arial" w:hAnsi="Arial" w:eastAsia="Calibri" w:cs="Arial"/>
                <w:color w:val="000000" w:themeColor="text1"/>
                <w:sz w:val="22"/>
                <w:szCs w:val="22"/>
              </w:rPr>
              <w:t>ACUERDOS COMERCIALES – Fuentes – Aplicabilidad – Incorporación / ACUERDOS COMERCIALES ― Entidades estatales ― Deber de verificación / UMBRAL – ACUERDO COMERCIAL – DERECHOS ESPECIALES DE GIRO – DEG – Valor a partir del cual es aplicable un acuerdo comercial / EXCEPCIONES – ACUERDOS COMERCIALES – Alcance / COLOMBIA COMPRA EFICIENTE – Decreto Ley 4170 de 2011 – Naturaleza jurídica – Objeto / COLOMBIA COMPRA EFICIENTE – Funciones – Expedición – Guías – Manuales – Circulares / OBLIGATORIEDAD – Actos – Colombia Compra Eficiente / ACUERDOS COMERCIALES – MANUALES – Alcance</w:t>
            </w:r>
          </w:p>
        </w:tc>
      </w:tr>
      <w:tr w:rsidRPr="00E7680F" w:rsidR="00191318" w:rsidTr="00A53405" w14:paraId="04995489" w14:textId="77777777">
        <w:tc>
          <w:tcPr>
            <w:tcW w:w="2689" w:type="dxa"/>
          </w:tcPr>
          <w:p w:rsidRPr="00E7680F" w:rsidR="00191318" w:rsidP="00A53405" w:rsidRDefault="00191318" w14:paraId="2592DF80" w14:textId="77777777">
            <w:pPr>
              <w:spacing w:before="120"/>
              <w:rPr>
                <w:rFonts w:ascii="Arial" w:hAnsi="Arial" w:eastAsia="Calibri" w:cs="Arial"/>
                <w:b/>
                <w:color w:val="000000" w:themeColor="text1"/>
                <w:sz w:val="22"/>
                <w:szCs w:val="22"/>
              </w:rPr>
            </w:pPr>
            <w:r w:rsidRPr="00E7680F">
              <w:rPr>
                <w:rFonts w:ascii="Arial" w:hAnsi="Arial" w:eastAsia="Calibri" w:cs="Arial"/>
                <w:b/>
                <w:color w:val="000000" w:themeColor="text1"/>
                <w:sz w:val="22"/>
                <w:szCs w:val="22"/>
              </w:rPr>
              <w:t>Radicación:</w:t>
            </w:r>
            <w:r w:rsidRPr="00E7680F">
              <w:rPr>
                <w:rFonts w:ascii="Arial" w:hAnsi="Arial" w:eastAsia="Calibri" w:cs="Arial"/>
                <w:color w:val="000000" w:themeColor="text1"/>
                <w:sz w:val="22"/>
                <w:szCs w:val="22"/>
              </w:rPr>
              <w:t xml:space="preserve">                              </w:t>
            </w:r>
          </w:p>
        </w:tc>
        <w:tc>
          <w:tcPr>
            <w:tcW w:w="6237" w:type="dxa"/>
          </w:tcPr>
          <w:p w:rsidRPr="00E7680F" w:rsidR="00191318" w:rsidP="00A53405" w:rsidRDefault="00191318" w14:paraId="0E94FC22" w14:textId="6E695450">
            <w:pPr>
              <w:spacing w:before="120"/>
              <w:jc w:val="both"/>
              <w:rPr>
                <w:rFonts w:ascii="Arial" w:hAnsi="Arial" w:eastAsia="Calibri" w:cs="Arial"/>
                <w:color w:val="000000" w:themeColor="text1"/>
                <w:sz w:val="22"/>
                <w:szCs w:val="22"/>
              </w:rPr>
            </w:pPr>
            <w:r w:rsidRPr="00E7680F">
              <w:rPr>
                <w:rFonts w:ascii="Arial" w:hAnsi="Arial" w:eastAsia="Calibri" w:cs="Arial"/>
                <w:color w:val="000000" w:themeColor="text1"/>
                <w:sz w:val="22"/>
                <w:szCs w:val="22"/>
              </w:rPr>
              <w:t xml:space="preserve">Respuesta a consulta </w:t>
            </w:r>
            <w:r w:rsidRPr="00E7680F" w:rsidR="00A054F6">
              <w:rPr>
                <w:rFonts w:ascii="Arial" w:hAnsi="Arial" w:eastAsia="Calibri" w:cs="Arial"/>
                <w:color w:val="000000" w:themeColor="text1"/>
                <w:sz w:val="22"/>
                <w:szCs w:val="22"/>
              </w:rPr>
              <w:t>P20220209001286</w:t>
            </w:r>
          </w:p>
        </w:tc>
      </w:tr>
      <w:tr w:rsidRPr="00E7680F" w:rsidR="00191318" w:rsidTr="00A53405" w14:paraId="7C67C9D1" w14:textId="77777777">
        <w:tc>
          <w:tcPr>
            <w:tcW w:w="2689" w:type="dxa"/>
          </w:tcPr>
          <w:p w:rsidRPr="00E7680F" w:rsidR="00191318" w:rsidP="00A53405" w:rsidRDefault="00191318" w14:paraId="094CB762" w14:textId="77777777">
            <w:pPr>
              <w:spacing w:before="120"/>
              <w:rPr>
                <w:rFonts w:ascii="Arial" w:hAnsi="Arial" w:eastAsia="Calibri" w:cs="Arial"/>
                <w:b/>
                <w:color w:val="000000" w:themeColor="text1"/>
                <w:sz w:val="22"/>
                <w:szCs w:val="22"/>
              </w:rPr>
            </w:pPr>
          </w:p>
        </w:tc>
        <w:tc>
          <w:tcPr>
            <w:tcW w:w="6237" w:type="dxa"/>
          </w:tcPr>
          <w:p w:rsidRPr="00E7680F" w:rsidR="00191318" w:rsidP="00A53405" w:rsidRDefault="00191318" w14:paraId="5F23D323" w14:textId="77777777">
            <w:pPr>
              <w:spacing w:before="120"/>
              <w:jc w:val="both"/>
              <w:rPr>
                <w:rFonts w:ascii="Arial" w:hAnsi="Arial" w:eastAsia="Calibri" w:cs="Arial"/>
                <w:color w:val="000000" w:themeColor="text1"/>
                <w:sz w:val="22"/>
                <w:szCs w:val="22"/>
              </w:rPr>
            </w:pPr>
          </w:p>
        </w:tc>
      </w:tr>
    </w:tbl>
    <w:p w:rsidRPr="00E7680F" w:rsidR="00191318" w:rsidP="00191318" w:rsidRDefault="00191318" w14:paraId="34B64A8B" w14:textId="77777777">
      <w:pPr>
        <w:jc w:val="both"/>
        <w:rPr>
          <w:rFonts w:ascii="Arial" w:hAnsi="Arial" w:eastAsia="Calibri" w:cs="Arial"/>
          <w:color w:val="000000" w:themeColor="text1"/>
          <w:sz w:val="22"/>
          <w:szCs w:val="22"/>
        </w:rPr>
      </w:pPr>
    </w:p>
    <w:p w:rsidRPr="00E7680F" w:rsidR="00191318" w:rsidP="00191318" w:rsidRDefault="00191318" w14:paraId="50567476" w14:textId="648C40FD">
      <w:pPr>
        <w:rPr>
          <w:rFonts w:ascii="Arial" w:hAnsi="Arial" w:eastAsia="Calibri" w:cs="Arial"/>
          <w:color w:val="000000" w:themeColor="text1"/>
          <w:sz w:val="22"/>
          <w:szCs w:val="22"/>
        </w:rPr>
      </w:pPr>
      <w:r w:rsidRPr="00E7680F">
        <w:rPr>
          <w:rFonts w:ascii="Arial" w:hAnsi="Arial" w:eastAsia="Calibri" w:cs="Arial"/>
          <w:color w:val="000000" w:themeColor="text1"/>
          <w:sz w:val="22"/>
          <w:szCs w:val="22"/>
        </w:rPr>
        <w:t xml:space="preserve">Estimada señora </w:t>
      </w:r>
      <w:r w:rsidRPr="00E7680F" w:rsidR="00EA536D">
        <w:rPr>
          <w:rFonts w:ascii="Arial" w:hAnsi="Arial" w:eastAsia="Calibri" w:cs="Arial"/>
          <w:color w:val="000000" w:themeColor="text1"/>
          <w:sz w:val="22"/>
          <w:szCs w:val="22"/>
        </w:rPr>
        <w:t>Martínez</w:t>
      </w:r>
      <w:r w:rsidRPr="00E7680F">
        <w:rPr>
          <w:rFonts w:ascii="Arial" w:hAnsi="Arial" w:eastAsia="Calibri" w:cs="Arial"/>
          <w:color w:val="000000" w:themeColor="text1"/>
          <w:sz w:val="22"/>
          <w:szCs w:val="22"/>
        </w:rPr>
        <w:t>:</w:t>
      </w:r>
    </w:p>
    <w:p w:rsidRPr="00E7680F" w:rsidR="00191318" w:rsidP="00191318" w:rsidRDefault="00191318" w14:paraId="1FBEB507" w14:textId="77777777">
      <w:pPr>
        <w:rPr>
          <w:rFonts w:ascii="Arial" w:hAnsi="Arial" w:eastAsia="Calibri" w:cs="Arial"/>
          <w:color w:val="000000" w:themeColor="text1"/>
          <w:sz w:val="22"/>
          <w:szCs w:val="22"/>
        </w:rPr>
      </w:pPr>
    </w:p>
    <w:p w:rsidRPr="00E7680F" w:rsidR="00191318" w:rsidP="00191318" w:rsidRDefault="00191318" w14:paraId="72337F11" w14:textId="29DBB23D">
      <w:pPr>
        <w:spacing w:line="276" w:lineRule="auto"/>
        <w:jc w:val="both"/>
        <w:rPr>
          <w:rFonts w:ascii="Arial" w:hAnsi="Arial" w:eastAsia="Calibri" w:cs="Arial"/>
          <w:color w:val="000000" w:themeColor="text1"/>
          <w:sz w:val="22"/>
          <w:szCs w:val="22"/>
        </w:rPr>
      </w:pPr>
      <w:r w:rsidRPr="00E7680F">
        <w:rPr>
          <w:rFonts w:ascii="Arial" w:hAnsi="Arial" w:eastAsia="Calibri" w:cs="Arial"/>
          <w:sz w:val="22"/>
          <w:szCs w:val="22"/>
        </w:rPr>
        <w:t xml:space="preserve">En ejercicio de la competencia otorgada por el numeral 8 del artículo 11 y el numeral 5 del artículo 3 del Decreto Ley 4170 de 2011, la Agencia Nacional de Contratación Pública − Colombia Compra Eficiente responde su consulta </w:t>
      </w:r>
      <w:r w:rsidRPr="00E7680F">
        <w:rPr>
          <w:rFonts w:ascii="Arial" w:hAnsi="Arial" w:eastAsia="Calibri" w:cs="Arial"/>
          <w:color w:val="000000" w:themeColor="text1"/>
          <w:sz w:val="22"/>
          <w:szCs w:val="22"/>
        </w:rPr>
        <w:t xml:space="preserve">del </w:t>
      </w:r>
      <w:r w:rsidRPr="00E7680F" w:rsidR="00BE5CF6">
        <w:rPr>
          <w:rFonts w:ascii="Arial" w:hAnsi="Arial" w:eastAsia="Calibri" w:cs="Arial"/>
          <w:color w:val="000000" w:themeColor="text1"/>
          <w:sz w:val="22"/>
          <w:szCs w:val="22"/>
        </w:rPr>
        <w:t>9</w:t>
      </w:r>
      <w:r w:rsidRPr="00E7680F">
        <w:rPr>
          <w:rFonts w:ascii="Arial" w:hAnsi="Arial" w:eastAsia="Calibri" w:cs="Arial"/>
          <w:color w:val="000000" w:themeColor="text1"/>
          <w:sz w:val="22"/>
          <w:szCs w:val="22"/>
        </w:rPr>
        <w:t xml:space="preserve"> de </w:t>
      </w:r>
      <w:r w:rsidRPr="00E7680F" w:rsidR="00EA1A9B">
        <w:rPr>
          <w:rFonts w:ascii="Arial" w:hAnsi="Arial" w:eastAsia="Calibri" w:cs="Arial"/>
          <w:color w:val="000000" w:themeColor="text1"/>
          <w:sz w:val="22"/>
          <w:szCs w:val="22"/>
        </w:rPr>
        <w:t>febrero de 2022</w:t>
      </w:r>
      <w:r w:rsidRPr="00E7680F">
        <w:rPr>
          <w:rFonts w:ascii="Arial" w:hAnsi="Arial" w:eastAsia="Calibri" w:cs="Arial"/>
          <w:color w:val="000000" w:themeColor="text1"/>
          <w:sz w:val="22"/>
          <w:szCs w:val="22"/>
        </w:rPr>
        <w:t xml:space="preserve"> </w:t>
      </w:r>
    </w:p>
    <w:p w:rsidRPr="00E7680F" w:rsidR="00191318" w:rsidP="00191318" w:rsidRDefault="00191318" w14:paraId="3C9EB1DA" w14:textId="77777777">
      <w:pPr>
        <w:spacing w:line="276" w:lineRule="auto"/>
        <w:jc w:val="both"/>
        <w:rPr>
          <w:rFonts w:ascii="Arial" w:hAnsi="Arial" w:eastAsia="Calibri" w:cs="Arial"/>
          <w:color w:val="000000" w:themeColor="text1"/>
          <w:sz w:val="22"/>
          <w:szCs w:val="22"/>
        </w:rPr>
      </w:pPr>
    </w:p>
    <w:p w:rsidRPr="00E7680F" w:rsidR="00191318" w:rsidP="00191318" w:rsidRDefault="00191318" w14:paraId="2F19C9A5" w14:textId="77777777">
      <w:pPr>
        <w:numPr>
          <w:ilvl w:val="0"/>
          <w:numId w:val="1"/>
        </w:numPr>
        <w:tabs>
          <w:tab w:val="left" w:pos="284"/>
        </w:tabs>
        <w:spacing w:line="276" w:lineRule="auto"/>
        <w:ind w:left="0" w:firstLine="0"/>
        <w:contextualSpacing/>
        <w:jc w:val="both"/>
        <w:rPr>
          <w:rFonts w:ascii="Arial" w:hAnsi="Arial" w:eastAsia="Calibri" w:cs="Arial"/>
          <w:b/>
          <w:color w:val="000000" w:themeColor="text1"/>
          <w:sz w:val="22"/>
          <w:szCs w:val="22"/>
        </w:rPr>
      </w:pPr>
      <w:r w:rsidRPr="00E7680F">
        <w:rPr>
          <w:rFonts w:ascii="Arial" w:hAnsi="Arial" w:eastAsia="Calibri" w:cs="Arial"/>
          <w:b/>
          <w:color w:val="000000" w:themeColor="text1"/>
          <w:sz w:val="22"/>
          <w:szCs w:val="22"/>
        </w:rPr>
        <w:t xml:space="preserve">Problemas planteados </w:t>
      </w:r>
    </w:p>
    <w:p w:rsidRPr="00E7680F" w:rsidR="00191318" w:rsidP="008668D1" w:rsidRDefault="00191318" w14:paraId="05CD4712" w14:textId="6E9F655E">
      <w:pPr>
        <w:pStyle w:val="NormalWeb"/>
        <w:shd w:val="clear" w:color="auto" w:fill="FFFFFF"/>
        <w:spacing w:line="276" w:lineRule="auto"/>
        <w:jc w:val="both"/>
        <w:rPr>
          <w:rFonts w:ascii="Arial" w:hAnsi="Arial" w:eastAsia="Calibri" w:cs="Arial"/>
          <w:sz w:val="22"/>
          <w:szCs w:val="22"/>
          <w:lang w:eastAsia="en-US"/>
        </w:rPr>
      </w:pPr>
      <w:r w:rsidRPr="00E7680F">
        <w:rPr>
          <w:rFonts w:ascii="Arial" w:hAnsi="Arial" w:eastAsia="Calibri" w:cs="Arial"/>
          <w:sz w:val="22"/>
          <w:szCs w:val="22"/>
          <w:lang w:eastAsia="en-US"/>
        </w:rPr>
        <w:t xml:space="preserve">Usted realiza la siguiente pregunta: </w:t>
      </w:r>
      <w:bookmarkStart w:name="_Hlk66118560" w:id="4"/>
      <w:r w:rsidRPr="00E7680F">
        <w:rPr>
          <w:rFonts w:ascii="Arial" w:hAnsi="Arial" w:eastAsia="Calibri" w:cs="Arial"/>
          <w:sz w:val="22"/>
          <w:szCs w:val="22"/>
          <w:lang w:eastAsia="en-US"/>
        </w:rPr>
        <w:t>«</w:t>
      </w:r>
      <w:r w:rsidRPr="00E7680F" w:rsidR="008668D1">
        <w:rPr>
          <w:rFonts w:ascii="Arial" w:hAnsi="Arial" w:eastAsia="Calibri" w:cs="Arial"/>
          <w:sz w:val="22"/>
          <w:szCs w:val="22"/>
          <w:lang w:eastAsia="en-US"/>
        </w:rPr>
        <w:t>Necesito aclarar cómo se aplican las excepciones y las cuantías para los DEG derivado de los acuerdos comerciales</w:t>
      </w:r>
      <w:r w:rsidRPr="00E7680F">
        <w:rPr>
          <w:rFonts w:ascii="Arial" w:hAnsi="Arial" w:eastAsia="Calibri" w:cs="Arial"/>
          <w:sz w:val="22"/>
          <w:szCs w:val="22"/>
          <w:lang w:eastAsia="en-US"/>
        </w:rPr>
        <w:t>».</w:t>
      </w:r>
      <w:bookmarkEnd w:id="4"/>
    </w:p>
    <w:p w:rsidRPr="00E7680F" w:rsidR="00191318" w:rsidP="00191318" w:rsidRDefault="00191318" w14:paraId="2F2C2DB8" w14:textId="77777777">
      <w:pPr>
        <w:numPr>
          <w:ilvl w:val="0"/>
          <w:numId w:val="1"/>
        </w:numPr>
        <w:tabs>
          <w:tab w:val="left" w:pos="426"/>
        </w:tabs>
        <w:spacing w:line="276" w:lineRule="auto"/>
        <w:ind w:left="0" w:firstLine="0"/>
        <w:contextualSpacing/>
        <w:jc w:val="both"/>
        <w:rPr>
          <w:rFonts w:ascii="Arial" w:hAnsi="Arial" w:eastAsia="Calibri" w:cs="Arial"/>
          <w:b/>
          <w:color w:val="000000" w:themeColor="text1"/>
          <w:sz w:val="22"/>
          <w:szCs w:val="22"/>
        </w:rPr>
      </w:pPr>
      <w:r w:rsidRPr="00E7680F">
        <w:rPr>
          <w:rFonts w:ascii="Arial" w:hAnsi="Arial" w:eastAsia="Calibri" w:cs="Arial"/>
          <w:b/>
          <w:color w:val="000000" w:themeColor="text1"/>
          <w:sz w:val="22"/>
          <w:szCs w:val="22"/>
        </w:rPr>
        <w:t>Consideraciones</w:t>
      </w:r>
    </w:p>
    <w:p w:rsidRPr="00E7680F" w:rsidR="00191318" w:rsidP="00191318" w:rsidRDefault="00191318" w14:paraId="4CE2BDD1" w14:textId="77777777">
      <w:pPr>
        <w:spacing w:line="276" w:lineRule="auto"/>
        <w:jc w:val="both"/>
        <w:rPr>
          <w:rFonts w:ascii="Arial" w:hAnsi="Arial" w:eastAsia="Calibri" w:cs="Arial"/>
          <w:color w:val="000000" w:themeColor="text1"/>
          <w:sz w:val="22"/>
          <w:szCs w:val="22"/>
        </w:rPr>
      </w:pPr>
    </w:p>
    <w:p w:rsidRPr="00E7680F" w:rsidR="00191318" w:rsidP="00191318" w:rsidRDefault="00191318" w14:paraId="3198C9D4" w14:textId="36ACFEEE">
      <w:pPr>
        <w:spacing w:line="276" w:lineRule="auto"/>
        <w:jc w:val="both"/>
        <w:rPr>
          <w:rFonts w:ascii="Arial" w:hAnsi="Arial" w:cs="Arial"/>
          <w:sz w:val="22"/>
          <w:szCs w:val="22"/>
        </w:rPr>
      </w:pPr>
      <w:r w:rsidRPr="00E7680F">
        <w:rPr>
          <w:rFonts w:ascii="Arial" w:hAnsi="Arial" w:eastAsia="Calibri" w:cs="Arial"/>
          <w:color w:val="000000" w:themeColor="text1"/>
          <w:sz w:val="22"/>
          <w:szCs w:val="22"/>
          <w:lang w:val="es-ES_tradnl"/>
        </w:rPr>
        <w:t xml:space="preserve">Para resolver su consulta, se analizará </w:t>
      </w:r>
      <w:r w:rsidRPr="00E7680F" w:rsidR="00EB055C">
        <w:rPr>
          <w:rFonts w:ascii="Arial" w:hAnsi="Arial" w:eastAsia="Calibri" w:cs="Arial"/>
          <w:color w:val="000000" w:themeColor="text1"/>
          <w:sz w:val="22"/>
          <w:szCs w:val="22"/>
          <w:lang w:val="es-ES_tradnl"/>
        </w:rPr>
        <w:t xml:space="preserve">el </w:t>
      </w:r>
      <w:r w:rsidRPr="00E7680F">
        <w:rPr>
          <w:rFonts w:ascii="Arial" w:hAnsi="Arial" w:eastAsia="Calibri" w:cs="Arial"/>
          <w:color w:val="000000" w:themeColor="text1"/>
          <w:sz w:val="22"/>
          <w:szCs w:val="22"/>
          <w:lang w:val="es-ES_tradnl"/>
        </w:rPr>
        <w:t>tema</w:t>
      </w:r>
      <w:r w:rsidRPr="00E7680F" w:rsidR="00EB055C">
        <w:rPr>
          <w:rFonts w:ascii="Arial" w:hAnsi="Arial" w:eastAsia="Calibri" w:cs="Arial"/>
          <w:color w:val="000000" w:themeColor="text1"/>
          <w:sz w:val="22"/>
          <w:szCs w:val="22"/>
          <w:lang w:val="es-ES_tradnl"/>
        </w:rPr>
        <w:t xml:space="preserve"> de</w:t>
      </w:r>
      <w:r w:rsidRPr="00E7680F">
        <w:rPr>
          <w:rFonts w:ascii="Arial" w:hAnsi="Arial" w:eastAsia="Calibri" w:cs="Arial"/>
          <w:color w:val="000000" w:themeColor="text1"/>
          <w:sz w:val="22"/>
          <w:szCs w:val="22"/>
          <w:lang w:val="es-ES_tradnl"/>
        </w:rPr>
        <w:t xml:space="preserve"> la contratación pública y los tratados internacionales</w:t>
      </w:r>
      <w:r w:rsidRPr="00E7680F" w:rsidR="00EB055C">
        <w:rPr>
          <w:rFonts w:ascii="Arial" w:hAnsi="Arial" w:eastAsia="Calibri" w:cs="Arial"/>
          <w:color w:val="000000" w:themeColor="text1"/>
          <w:sz w:val="22"/>
          <w:szCs w:val="22"/>
          <w:lang w:val="es-ES_tradnl"/>
        </w:rPr>
        <w:t>, particularmente los relativo a las excepciones y</w:t>
      </w:r>
      <w:r w:rsidRPr="00E7680F" w:rsidR="00EB055C">
        <w:rPr>
          <w:rFonts w:ascii="Arial" w:hAnsi="Arial" w:eastAsia="Calibri" w:cs="Arial"/>
          <w:bCs/>
          <w:color w:val="000000" w:themeColor="text1"/>
          <w:sz w:val="22"/>
          <w:lang w:val="es-ES_tradnl"/>
        </w:rPr>
        <w:t xml:space="preserve"> los valores a partir de los cuales el Acuerdo Comercial es aplicable al proceso de contratación. </w:t>
      </w:r>
    </w:p>
    <w:p w:rsidRPr="00E7680F" w:rsidR="00191318" w:rsidP="00191318" w:rsidRDefault="00191318" w14:paraId="4D8387C2" w14:textId="77777777">
      <w:pPr>
        <w:spacing w:line="276" w:lineRule="auto"/>
        <w:jc w:val="both"/>
        <w:rPr>
          <w:rFonts w:ascii="Arial" w:hAnsi="Arial" w:eastAsia="Calibri" w:cs="Arial"/>
          <w:color w:val="000000" w:themeColor="text1"/>
          <w:sz w:val="22"/>
          <w:szCs w:val="22"/>
        </w:rPr>
      </w:pPr>
      <w:r w:rsidRPr="00E7680F">
        <w:rPr>
          <w:rFonts w:ascii="Arial" w:hAnsi="Arial" w:eastAsia="Calibri" w:cs="Arial"/>
          <w:color w:val="000000" w:themeColor="text1"/>
          <w:sz w:val="22"/>
          <w:szCs w:val="22"/>
        </w:rPr>
        <w:t xml:space="preserve"> </w:t>
      </w:r>
    </w:p>
    <w:p w:rsidRPr="00E7680F" w:rsidR="00191318" w:rsidP="00191318" w:rsidRDefault="00191318" w14:paraId="49FBEABA" w14:textId="77777777">
      <w:pPr>
        <w:spacing w:line="276" w:lineRule="auto"/>
        <w:jc w:val="both"/>
        <w:rPr>
          <w:rFonts w:ascii="Arial" w:hAnsi="Arial" w:eastAsia="Calibri" w:cs="Arial"/>
          <w:b/>
          <w:color w:val="000000" w:themeColor="text1"/>
          <w:sz w:val="22"/>
          <w:szCs w:val="22"/>
          <w:lang w:val="es-ES_tradnl"/>
        </w:rPr>
      </w:pPr>
      <w:r w:rsidRPr="00E7680F">
        <w:rPr>
          <w:rFonts w:ascii="Arial" w:hAnsi="Arial" w:eastAsia="Calibri" w:cs="Arial"/>
          <w:b/>
          <w:bCs/>
          <w:color w:val="000000" w:themeColor="text1"/>
          <w:sz w:val="22"/>
          <w:szCs w:val="22"/>
        </w:rPr>
        <w:t xml:space="preserve">2.1. </w:t>
      </w:r>
      <w:r w:rsidRPr="00E7680F">
        <w:rPr>
          <w:rFonts w:ascii="Arial" w:hAnsi="Arial" w:eastAsia="Calibri" w:cs="Arial"/>
          <w:b/>
          <w:color w:val="000000" w:themeColor="text1"/>
          <w:sz w:val="22"/>
          <w:szCs w:val="22"/>
          <w:lang w:val="es-ES_tradnl"/>
        </w:rPr>
        <w:t>Contratación Pública y tratados internacionales</w:t>
      </w:r>
    </w:p>
    <w:p w:rsidRPr="00E7680F" w:rsidR="00191318" w:rsidP="00191318" w:rsidRDefault="00191318" w14:paraId="6068C5D3" w14:textId="77777777">
      <w:pPr>
        <w:tabs>
          <w:tab w:val="left" w:pos="0"/>
        </w:tabs>
        <w:spacing w:line="276" w:lineRule="auto"/>
        <w:jc w:val="both"/>
        <w:rPr>
          <w:rFonts w:ascii="Arial" w:hAnsi="Arial" w:eastAsia="Calibri" w:cs="Arial"/>
          <w:bCs/>
          <w:color w:val="000000" w:themeColor="text1"/>
          <w:sz w:val="22"/>
          <w:szCs w:val="22"/>
          <w:lang w:val="es-ES_tradnl"/>
        </w:rPr>
      </w:pPr>
    </w:p>
    <w:p w:rsidRPr="00E7680F" w:rsidR="00191318" w:rsidP="00191318" w:rsidRDefault="00191318" w14:paraId="2E7A0AD7" w14:textId="77777777">
      <w:pPr>
        <w:tabs>
          <w:tab w:val="left" w:pos="0"/>
        </w:tabs>
        <w:spacing w:after="120" w:line="276" w:lineRule="auto"/>
        <w:jc w:val="both"/>
        <w:rPr>
          <w:rFonts w:ascii="Arial" w:hAnsi="Arial" w:eastAsia="Calibri" w:cs="Arial"/>
          <w:bCs/>
          <w:color w:val="000000" w:themeColor="text1"/>
          <w:sz w:val="22"/>
          <w:szCs w:val="22"/>
          <w:lang w:val="es-ES_tradnl"/>
        </w:rPr>
      </w:pPr>
      <w:r w:rsidRPr="00E7680F">
        <w:rPr>
          <w:rFonts w:ascii="Arial" w:hAnsi="Arial" w:eastAsia="Calibri" w:cs="Arial"/>
          <w:bCs/>
          <w:color w:val="000000" w:themeColor="text1"/>
          <w:sz w:val="22"/>
          <w:szCs w:val="22"/>
          <w:lang w:val="es-ES_tradnl"/>
        </w:rPr>
        <w:t xml:space="preserve">El derecho de la contratación estatal ha dejado de ser un fenómeno estrictamente doméstico. Desde hace varias décadas existen instrumentos normativos, buenas prácticas y </w:t>
      </w:r>
      <w:r w:rsidRPr="00E7680F">
        <w:rPr>
          <w:rFonts w:ascii="Arial" w:hAnsi="Arial" w:eastAsia="Calibri" w:cs="Arial"/>
          <w:bCs/>
          <w:i/>
          <w:iCs/>
          <w:color w:val="000000" w:themeColor="text1"/>
          <w:sz w:val="22"/>
          <w:szCs w:val="22"/>
          <w:lang w:val="es-ES_tradnl"/>
        </w:rPr>
        <w:t>soft law</w:t>
      </w:r>
      <w:r w:rsidRPr="00E7680F">
        <w:rPr>
          <w:rFonts w:ascii="Arial" w:hAnsi="Arial" w:eastAsia="Calibri" w:cs="Arial"/>
          <w:bCs/>
          <w:color w:val="000000" w:themeColor="text1"/>
          <w:sz w:val="22"/>
          <w:szCs w:val="22"/>
          <w:lang w:val="es-ES_tradnl"/>
        </w:rPr>
        <w:t xml:space="preserve"> que hacen parte del «nuevo sistema de fuentes» de la contratación pública en diversos ordenamientos jurídicos en el mundo. La transformación de los sistemas locales ha sido de tal magnitud y tan evidente resulta la existencia de un orden internacional que la doctrina se refirió, hace más de dos décadas, a este cuerpo de normas e ideas sobre contratación estatal como «una reforma global»</w:t>
      </w:r>
      <w:r w:rsidRPr="00E7680F">
        <w:rPr>
          <w:rStyle w:val="Refdenotaalpie"/>
          <w:rFonts w:ascii="Arial" w:hAnsi="Arial" w:eastAsia="Calibri" w:cs="Arial"/>
          <w:bCs/>
          <w:color w:val="000000" w:themeColor="text1"/>
          <w:sz w:val="22"/>
          <w:szCs w:val="22"/>
          <w:lang w:val="es-ES_tradnl"/>
        </w:rPr>
        <w:footnoteReference w:id="1"/>
      </w:r>
      <w:r w:rsidRPr="00E7680F">
        <w:rPr>
          <w:rFonts w:ascii="Arial" w:hAnsi="Arial" w:eastAsia="Calibri" w:cs="Arial"/>
          <w:bCs/>
          <w:color w:val="000000" w:themeColor="text1"/>
          <w:sz w:val="22"/>
          <w:szCs w:val="22"/>
          <w:lang w:val="es-ES_tradnl"/>
        </w:rPr>
        <w:t xml:space="preserve"> o, incluso, una «revolución global»</w:t>
      </w:r>
      <w:r w:rsidRPr="00E7680F">
        <w:rPr>
          <w:rStyle w:val="Refdenotaalpie"/>
          <w:rFonts w:ascii="Arial" w:hAnsi="Arial" w:eastAsia="Calibri" w:cs="Arial"/>
          <w:bCs/>
          <w:color w:val="000000" w:themeColor="text1"/>
          <w:sz w:val="22"/>
          <w:szCs w:val="22"/>
          <w:lang w:val="es-ES_tradnl"/>
        </w:rPr>
        <w:footnoteReference w:id="2"/>
      </w:r>
      <w:r w:rsidRPr="00E7680F">
        <w:rPr>
          <w:rFonts w:ascii="Arial" w:hAnsi="Arial" w:eastAsia="Calibri" w:cs="Arial"/>
          <w:bCs/>
          <w:color w:val="000000" w:themeColor="text1"/>
          <w:sz w:val="22"/>
          <w:szCs w:val="22"/>
          <w:lang w:val="es-ES_tradnl"/>
        </w:rPr>
        <w:t>.</w:t>
      </w:r>
    </w:p>
    <w:p w:rsidRPr="00E7680F" w:rsidR="00191318" w:rsidP="003D6CA6" w:rsidRDefault="00191318" w14:paraId="1AFEB61F" w14:textId="174948EC">
      <w:pPr>
        <w:tabs>
          <w:tab w:val="left" w:pos="0"/>
        </w:tabs>
        <w:spacing w:after="120" w:line="276" w:lineRule="auto"/>
        <w:ind w:firstLine="709"/>
        <w:jc w:val="both"/>
        <w:rPr>
          <w:rFonts w:ascii="Arial" w:hAnsi="Arial" w:eastAsia="Calibri" w:cs="Arial"/>
          <w:bCs/>
          <w:color w:val="000000" w:themeColor="text1"/>
          <w:sz w:val="22"/>
          <w:szCs w:val="22"/>
          <w:lang w:val="es-ES_tradnl"/>
        </w:rPr>
      </w:pPr>
      <w:r w:rsidRPr="00E7680F">
        <w:rPr>
          <w:rFonts w:ascii="Arial" w:hAnsi="Arial" w:eastAsia="Calibri" w:cs="Arial"/>
          <w:bCs/>
          <w:color w:val="000000" w:themeColor="text1"/>
          <w:sz w:val="22"/>
          <w:szCs w:val="22"/>
          <w:lang w:val="es-ES_tradnl"/>
        </w:rPr>
        <w:t>Esta revolución global en materia de contratación estatal es un fenómeno jurídico, en alguna medida imbricado con el fenómeno más amplio de la globalización, en el cual se cuentan actores diversos, como la Comisión de las Naciones Unidas para el Derecho Mercantil, que cuenta con una ley modelo en materia de contratación pública</w:t>
      </w:r>
      <w:r w:rsidRPr="00E7680F">
        <w:rPr>
          <w:rStyle w:val="Refdenotaalpie"/>
          <w:rFonts w:ascii="Arial" w:hAnsi="Arial" w:eastAsia="Calibri" w:cs="Arial"/>
          <w:bCs/>
          <w:color w:val="000000" w:themeColor="text1"/>
          <w:sz w:val="22"/>
          <w:szCs w:val="22"/>
          <w:lang w:val="es-ES_tradnl"/>
        </w:rPr>
        <w:footnoteReference w:id="3"/>
      </w:r>
      <w:r w:rsidRPr="00E7680F">
        <w:rPr>
          <w:rFonts w:ascii="Arial" w:hAnsi="Arial" w:eastAsia="Calibri" w:cs="Arial"/>
          <w:bCs/>
          <w:color w:val="000000" w:themeColor="text1"/>
          <w:sz w:val="22"/>
          <w:szCs w:val="22"/>
          <w:lang w:val="es-ES_tradnl"/>
        </w:rPr>
        <w:t>, los organismos multilaterales de crédito que han actuado como catalizadores de reforma de los sistemas locales</w:t>
      </w:r>
      <w:r w:rsidRPr="00E7680F">
        <w:rPr>
          <w:rStyle w:val="Refdenotaalpie"/>
          <w:rFonts w:ascii="Arial" w:hAnsi="Arial" w:eastAsia="Calibri" w:cs="Arial"/>
          <w:bCs/>
          <w:color w:val="000000" w:themeColor="text1"/>
          <w:sz w:val="22"/>
          <w:szCs w:val="22"/>
          <w:lang w:val="es-ES_tradnl"/>
        </w:rPr>
        <w:footnoteReference w:id="4"/>
      </w:r>
      <w:r w:rsidRPr="00E7680F">
        <w:rPr>
          <w:rFonts w:ascii="Arial" w:hAnsi="Arial" w:eastAsia="Calibri" w:cs="Arial"/>
          <w:bCs/>
          <w:color w:val="000000" w:themeColor="text1"/>
          <w:sz w:val="22"/>
          <w:szCs w:val="22"/>
          <w:lang w:val="es-ES_tradnl"/>
        </w:rPr>
        <w:t xml:space="preserve">. De igual forma, la liberalización de los mercados de contratación mediante acuerdos plurilaterales de comercio como el Acuerdo sobre Contratación Pública de la OMC, acuerdos regionales como la Unión Europea, o acuerdos bilaterales de </w:t>
      </w:r>
      <w:r w:rsidRPr="00E7680F">
        <w:rPr>
          <w:rFonts w:ascii="Arial" w:hAnsi="Arial" w:eastAsia="Calibri" w:cs="Arial"/>
          <w:bCs/>
          <w:color w:val="000000" w:themeColor="text1"/>
          <w:sz w:val="22"/>
          <w:szCs w:val="22"/>
          <w:lang w:val="es-ES_tradnl"/>
        </w:rPr>
        <w:lastRenderedPageBreak/>
        <w:t xml:space="preserve">comercio con capítulos de contratación estatal, lo cual tiene importantes efectos para el asunto analizado en este concepto. </w:t>
      </w:r>
    </w:p>
    <w:p w:rsidRPr="00E7680F" w:rsidR="00191318" w:rsidP="003D6CA6" w:rsidRDefault="00191318" w14:paraId="389D78D6" w14:textId="4605776D">
      <w:pPr>
        <w:tabs>
          <w:tab w:val="left" w:pos="0"/>
        </w:tabs>
        <w:spacing w:after="120" w:line="276" w:lineRule="auto"/>
        <w:ind w:firstLine="709"/>
        <w:jc w:val="both"/>
        <w:rPr>
          <w:rFonts w:ascii="Arial" w:hAnsi="Arial" w:eastAsia="Calibri" w:cs="Arial"/>
          <w:bCs/>
          <w:color w:val="000000" w:themeColor="text1"/>
          <w:sz w:val="22"/>
          <w:szCs w:val="22"/>
          <w:lang w:val="es-ES_tradnl"/>
        </w:rPr>
      </w:pPr>
      <w:bookmarkStart w:name="_Hlk66177778" w:id="5"/>
      <w:r w:rsidRPr="00E7680F">
        <w:rPr>
          <w:rFonts w:ascii="Arial" w:hAnsi="Arial" w:eastAsia="Calibri" w:cs="Arial"/>
          <w:bCs/>
          <w:color w:val="000000" w:themeColor="text1"/>
          <w:sz w:val="22"/>
          <w:szCs w:val="22"/>
          <w:lang w:val="es-ES_tradnl"/>
        </w:rPr>
        <w:t xml:space="preserve">Los tratados bilaterales de comercio con capítulos sobre contratación pública son hoy en día una realidad en el ordenamiento jurídico colombiano y las normas de contratación nacionales, como el Estatuto General de Contratación de la Administración Pública, deben ser aplicadas en la práctica con la debida observancia de las obligaciones internacionales del Estado, so pena de causar responsabilidad por incumplimiento de dichas obligaciones. </w:t>
      </w:r>
    </w:p>
    <w:p w:rsidRPr="00E7680F" w:rsidR="00191318" w:rsidP="003D6CA6" w:rsidRDefault="00191318" w14:paraId="0C317EB7" w14:textId="5AC3754D">
      <w:pPr>
        <w:tabs>
          <w:tab w:val="left" w:pos="0"/>
        </w:tabs>
        <w:spacing w:before="120" w:line="276" w:lineRule="auto"/>
        <w:ind w:firstLine="709"/>
        <w:jc w:val="both"/>
        <w:rPr>
          <w:rFonts w:ascii="Arial" w:hAnsi="Arial" w:eastAsia="Calibri" w:cs="Arial"/>
          <w:bCs/>
          <w:color w:val="000000" w:themeColor="text1"/>
          <w:sz w:val="22"/>
          <w:lang w:val="es-ES_tradnl"/>
        </w:rPr>
      </w:pPr>
      <w:r w:rsidRPr="00E7680F">
        <w:rPr>
          <w:rFonts w:ascii="Arial" w:hAnsi="Arial" w:cs="Arial"/>
          <w:sz w:val="22"/>
          <w:szCs w:val="22"/>
        </w:rPr>
        <w:t xml:space="preserve">De esta forma, los acuerdos comerciales son tratados internacionales celebrados entre Estados e incorporados a los ordenamientos nacionales, cuyo contenido consagra derechos y obligaciones en distintas materias, entre estas las compras públicas. En el caso colombiano, </w:t>
      </w:r>
      <w:r w:rsidRPr="00E7680F">
        <w:rPr>
          <w:rFonts w:ascii="Arial" w:hAnsi="Arial" w:eastAsia="Calibri" w:cs="Arial"/>
          <w:bCs/>
          <w:color w:val="000000" w:themeColor="text1"/>
          <w:sz w:val="22"/>
          <w:lang w:val="es-ES_tradnl"/>
        </w:rPr>
        <w:t>cada acuerdo comercial, por ser un tratado que celebra el Gobierno con otros Estados, debe ser aprobado y posteriormente incorporado al ordenamiento jurídico colombiano por una ley de la República</w:t>
      </w:r>
      <w:bookmarkEnd w:id="5"/>
      <w:r w:rsidRPr="00E7680F">
        <w:rPr>
          <w:rStyle w:val="Refdenotaalpie"/>
          <w:rFonts w:ascii="Arial" w:hAnsi="Arial" w:eastAsia="Calibri" w:cs="Arial"/>
          <w:bCs/>
          <w:color w:val="000000" w:themeColor="text1"/>
          <w:sz w:val="22"/>
          <w:lang w:val="es-ES_tradnl"/>
        </w:rPr>
        <w:footnoteReference w:id="5"/>
      </w:r>
      <w:r w:rsidRPr="00E7680F">
        <w:rPr>
          <w:rFonts w:ascii="Arial" w:hAnsi="Arial" w:eastAsia="Calibri" w:cs="Arial"/>
          <w:bCs/>
          <w:color w:val="000000" w:themeColor="text1"/>
          <w:sz w:val="22"/>
          <w:lang w:val="es-ES_tradnl"/>
        </w:rPr>
        <w:t xml:space="preserve">. </w:t>
      </w:r>
    </w:p>
    <w:p w:rsidRPr="00E7680F" w:rsidR="00191318" w:rsidP="003D6CA6" w:rsidRDefault="00191318" w14:paraId="61D6E535" w14:textId="1777E99C">
      <w:pPr>
        <w:tabs>
          <w:tab w:val="left" w:pos="0"/>
        </w:tabs>
        <w:spacing w:before="120" w:after="120" w:line="276" w:lineRule="auto"/>
        <w:ind w:firstLine="709"/>
        <w:jc w:val="both"/>
        <w:rPr>
          <w:rFonts w:ascii="Arial" w:hAnsi="Arial" w:eastAsia="Calibri" w:cs="Arial"/>
          <w:bCs/>
          <w:color w:val="000000" w:themeColor="text1"/>
          <w:sz w:val="22"/>
          <w:szCs w:val="22"/>
          <w:lang w:val="es-ES_tradnl"/>
        </w:rPr>
      </w:pPr>
      <w:r w:rsidRPr="00E7680F">
        <w:rPr>
          <w:rFonts w:ascii="Arial" w:hAnsi="Arial" w:eastAsia="Calibri" w:cs="Arial"/>
          <w:bCs/>
          <w:color w:val="000000" w:themeColor="text1"/>
          <w:sz w:val="22"/>
          <w:szCs w:val="22"/>
          <w:lang w:val="es-ES_tradnl"/>
        </w:rPr>
        <w:t xml:space="preserve">Uno de los aspectos que presenta mayor complejidad a nivel internacional en materia de contratación pública se refiere al concepto de contratación pública cubierta. Esto es, las transacciones que se entienden comprendidas dentro del acuerdo, y a las cuales deben, en consecuencia, aplicarse los estándares de protección acordados. Para poder determinar qué es </w:t>
      </w:r>
      <w:r w:rsidRPr="00E7680F">
        <w:rPr>
          <w:rFonts w:ascii="Arial" w:hAnsi="Arial" w:eastAsia="Calibri" w:cs="Arial"/>
          <w:bCs/>
          <w:i/>
          <w:iCs/>
          <w:color w:val="000000" w:themeColor="text1"/>
          <w:sz w:val="22"/>
          <w:szCs w:val="22"/>
          <w:lang w:val="es-ES_tradnl"/>
        </w:rPr>
        <w:t>contratación cubierta</w:t>
      </w:r>
      <w:r w:rsidRPr="00E7680F">
        <w:rPr>
          <w:rFonts w:ascii="Arial" w:hAnsi="Arial" w:eastAsia="Calibri" w:cs="Arial"/>
          <w:bCs/>
          <w:color w:val="000000" w:themeColor="text1"/>
          <w:sz w:val="22"/>
          <w:szCs w:val="22"/>
          <w:lang w:val="es-ES_tradnl"/>
        </w:rPr>
        <w:t xml:space="preserve"> es necesario revisar el instrumento normativo preciso cuya protección se invoca –el tratado– y determinar si la transacción que se alega como cubierta lo está o no. </w:t>
      </w:r>
    </w:p>
    <w:p w:rsidRPr="00E7680F" w:rsidR="00191318" w:rsidP="003D6CA6" w:rsidRDefault="00191318" w14:paraId="0C23FAF9" w14:textId="10262749">
      <w:pPr>
        <w:spacing w:before="120" w:line="276" w:lineRule="auto"/>
        <w:ind w:firstLine="709"/>
        <w:jc w:val="both"/>
        <w:rPr>
          <w:rFonts w:ascii="Arial" w:hAnsi="Arial" w:eastAsia="Calibri" w:cs="Arial"/>
          <w:bCs/>
          <w:color w:val="000000" w:themeColor="text1"/>
          <w:sz w:val="22"/>
          <w:lang w:val="es-ES_tradnl"/>
        </w:rPr>
      </w:pPr>
      <w:r w:rsidRPr="00E7680F">
        <w:rPr>
          <w:rFonts w:ascii="Arial" w:hAnsi="Arial" w:eastAsia="Calibri" w:cs="Arial"/>
          <w:bCs/>
          <w:color w:val="000000" w:themeColor="text1"/>
          <w:sz w:val="22"/>
          <w:lang w:val="es-ES_tradnl"/>
        </w:rPr>
        <w:t xml:space="preserve">Por esta razón, </w:t>
      </w:r>
      <w:bookmarkStart w:name="_Hlk66177822" w:id="6"/>
      <w:r w:rsidRPr="00E7680F">
        <w:rPr>
          <w:rFonts w:ascii="Arial" w:hAnsi="Arial" w:eastAsia="Calibri" w:cs="Arial"/>
          <w:bCs/>
          <w:color w:val="000000" w:themeColor="text1"/>
          <w:sz w:val="22"/>
          <w:lang w:val="es-ES_tradnl"/>
        </w:rPr>
        <w:t>las entidades estatales tienen la obligación de identificar los Acuerdos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ii) los valores a partir de los cuales el Acuerdo Comercial es aplicable al proceso de contratación; y, iii) las excepciones a la aplicación del acuerdo comercial.</w:t>
      </w:r>
    </w:p>
    <w:p w:rsidRPr="00E7680F" w:rsidR="00F72C93" w:rsidP="003D6CA6" w:rsidRDefault="00F72C93" w14:paraId="56A73EA1" w14:textId="6E49C8F4">
      <w:pPr>
        <w:tabs>
          <w:tab w:val="left" w:pos="0"/>
        </w:tabs>
        <w:spacing w:before="120" w:line="276" w:lineRule="auto"/>
        <w:ind w:firstLine="709"/>
        <w:jc w:val="both"/>
        <w:rPr>
          <w:rFonts w:ascii="Arial" w:hAnsi="Arial" w:cs="Arial"/>
          <w:sz w:val="22"/>
          <w:szCs w:val="22"/>
        </w:rPr>
      </w:pPr>
      <w:r w:rsidRPr="00E7680F">
        <w:rPr>
          <w:rFonts w:ascii="Arial" w:hAnsi="Arial" w:cs="Arial"/>
          <w:sz w:val="22"/>
          <w:szCs w:val="22"/>
        </w:rPr>
        <w:lastRenderedPageBreak/>
        <w:t xml:space="preserve">En suma, la finalidad de celebrar acuerdos comerciales es el cumplimiento </w:t>
      </w:r>
      <w:r w:rsidRPr="00E7680F">
        <w:rPr>
          <w:rFonts w:ascii="Arial" w:hAnsi="Arial" w:cs="Arial"/>
          <w:sz w:val="22"/>
          <w:szCs w:val="22"/>
          <w:lang w:val="es-ES_tradnl"/>
        </w:rPr>
        <w:t>recíproco</w:t>
      </w:r>
      <w:r w:rsidRPr="00E7680F">
        <w:rPr>
          <w:rFonts w:ascii="Arial" w:hAnsi="Arial" w:cs="Arial"/>
          <w:sz w:val="22"/>
          <w:szCs w:val="22"/>
        </w:rPr>
        <w:t xml:space="preserve"> de las obligaciones que estos contienen. Por ello, dependiendo del tratado y su contenido, se podrá determinar específicamente el tipo de obligaciones que Colombia tendrá que cumplir. </w:t>
      </w:r>
    </w:p>
    <w:p w:rsidRPr="00E7680F" w:rsidR="00191318" w:rsidP="0090373B" w:rsidRDefault="00191318" w14:paraId="0CE0BD72" w14:textId="24EEAD83">
      <w:pPr>
        <w:spacing w:before="120" w:line="276" w:lineRule="auto"/>
        <w:ind w:firstLine="708"/>
        <w:jc w:val="both"/>
        <w:rPr>
          <w:rFonts w:ascii="Arial" w:hAnsi="Arial" w:eastAsia="Calibri" w:cs="Arial"/>
          <w:bCs/>
          <w:color w:val="000000" w:themeColor="text1"/>
          <w:sz w:val="22"/>
          <w:lang w:val="es-ES_tradnl"/>
        </w:rPr>
      </w:pPr>
      <w:r w:rsidRPr="00E7680F">
        <w:rPr>
          <w:rFonts w:ascii="Arial" w:hAnsi="Arial" w:eastAsia="Calibri" w:cs="Arial"/>
          <w:bCs/>
          <w:color w:val="000000" w:themeColor="text1"/>
          <w:sz w:val="22"/>
          <w:lang w:val="es-ES_tradnl"/>
        </w:rPr>
        <w:t xml:space="preserve">Respecto de los valores a partir de los cuales el Acuerdo Comercial es aplicable al proceso de contratación, </w:t>
      </w:r>
      <w:r w:rsidRPr="00E7680F" w:rsidR="00DE6206">
        <w:rPr>
          <w:rFonts w:ascii="Arial" w:hAnsi="Arial" w:eastAsia="Calibri" w:cs="Arial"/>
          <w:bCs/>
          <w:color w:val="000000" w:themeColor="text1"/>
          <w:sz w:val="22"/>
          <w:lang w:val="es-ES_tradnl"/>
        </w:rPr>
        <w:t xml:space="preserve">debe señalarse </w:t>
      </w:r>
      <w:r w:rsidRPr="00E7680F">
        <w:rPr>
          <w:rFonts w:ascii="Arial" w:hAnsi="Arial" w:eastAsia="Calibri" w:cs="Arial"/>
          <w:bCs/>
          <w:color w:val="000000" w:themeColor="text1"/>
          <w:sz w:val="22"/>
          <w:lang w:val="es-ES_tradnl"/>
        </w:rPr>
        <w:t xml:space="preserve">que los valores </w:t>
      </w:r>
      <w:r w:rsidRPr="00E7680F" w:rsidR="00EA536D">
        <w:rPr>
          <w:rFonts w:ascii="Arial" w:hAnsi="Arial" w:eastAsia="Calibri" w:cs="Arial"/>
          <w:bCs/>
          <w:color w:val="000000" w:themeColor="text1"/>
          <w:sz w:val="22"/>
          <w:lang w:val="es-ES_tradnl"/>
        </w:rPr>
        <w:t xml:space="preserve">generalmente </w:t>
      </w:r>
      <w:r w:rsidRPr="00E7680F">
        <w:rPr>
          <w:rFonts w:ascii="Arial" w:hAnsi="Arial" w:eastAsia="Calibri" w:cs="Arial"/>
          <w:bCs/>
          <w:color w:val="000000" w:themeColor="text1"/>
          <w:sz w:val="22"/>
          <w:lang w:val="es-ES_tradnl"/>
        </w:rPr>
        <w:t>son negociados en dólares de los Estados Unidos de América o en Derechos Especiales de Giro (DEG)</w:t>
      </w:r>
      <w:r w:rsidRPr="00E7680F" w:rsidR="00EA536D">
        <w:rPr>
          <w:rFonts w:ascii="Arial" w:hAnsi="Arial" w:eastAsia="Calibri" w:cs="Arial"/>
          <w:bCs/>
          <w:color w:val="000000" w:themeColor="text1"/>
          <w:sz w:val="22"/>
          <w:lang w:val="es-ES_tradnl"/>
        </w:rPr>
        <w:t xml:space="preserve"> –</w:t>
      </w:r>
      <w:r w:rsidRPr="00E7680F">
        <w:rPr>
          <w:rFonts w:ascii="Arial" w:hAnsi="Arial" w:eastAsia="Calibri" w:cs="Arial"/>
          <w:bCs/>
          <w:color w:val="000000" w:themeColor="text1"/>
          <w:sz w:val="22"/>
          <w:lang w:val="es-ES_tradnl"/>
        </w:rPr>
        <w:t>Special Drawing Rights, SDR por sus siglas en inglés</w:t>
      </w:r>
      <w:r w:rsidRPr="00E7680F" w:rsidR="004B7C08">
        <w:rPr>
          <w:rFonts w:ascii="Arial" w:hAnsi="Arial" w:eastAsia="Calibri" w:cs="Arial"/>
          <w:bCs/>
          <w:color w:val="000000" w:themeColor="text1"/>
          <w:sz w:val="22"/>
          <w:lang w:val="es-ES_tradnl"/>
        </w:rPr>
        <w:t>–</w:t>
      </w:r>
      <w:r w:rsidRPr="00E7680F">
        <w:rPr>
          <w:rFonts w:ascii="Arial" w:hAnsi="Arial" w:eastAsia="Calibri" w:cs="Arial"/>
          <w:bCs/>
          <w:color w:val="000000" w:themeColor="text1"/>
          <w:sz w:val="22"/>
          <w:lang w:val="es-ES_tradnl"/>
        </w:rPr>
        <w:t xml:space="preserve">. Frente a este último, el Ministerio de Comercio, Industria y Turismo es el encargado de señalar, con la periodicidad definida en cada Acuerdo Comercial, el valor de conversión de estas monedas a pesos colombianos para determinar el umbral aplicable y la Agencia pone dichos valores a disposición de los partícipes del Sistema de Compra Pública en el siguiente enlace: </w:t>
      </w:r>
      <w:hyperlink w:history="1" r:id="rId10">
        <w:r w:rsidRPr="00E7680F">
          <w:rPr>
            <w:rStyle w:val="Hipervnculo"/>
            <w:rFonts w:ascii="Arial" w:hAnsi="Arial" w:eastAsia="Calibri" w:cs="Arial"/>
            <w:bCs/>
            <w:sz w:val="22"/>
            <w:lang w:val="es-ES_tradnl"/>
          </w:rPr>
          <w:t>https://colombiacompra.gov.co/compradores/acuerdos-comerciales-y-tratonacional-por-reciprocidad</w:t>
        </w:r>
      </w:hyperlink>
      <w:r w:rsidRPr="00E7680F">
        <w:rPr>
          <w:rFonts w:ascii="Arial" w:hAnsi="Arial" w:eastAsia="Calibri" w:cs="Arial"/>
          <w:bCs/>
          <w:color w:val="000000" w:themeColor="text1"/>
          <w:sz w:val="22"/>
          <w:lang w:val="es-ES_tradnl"/>
        </w:rPr>
        <w:t xml:space="preserve"> </w:t>
      </w:r>
    </w:p>
    <w:bookmarkEnd w:id="6"/>
    <w:p w:rsidRPr="00E7680F" w:rsidR="00EE0B88" w:rsidP="00491334" w:rsidRDefault="001239AC" w14:paraId="616273C6" w14:textId="3508E350">
      <w:pPr>
        <w:tabs>
          <w:tab w:val="left" w:pos="0"/>
        </w:tabs>
        <w:spacing w:before="120" w:line="276" w:lineRule="auto"/>
        <w:ind w:firstLine="851"/>
        <w:jc w:val="both"/>
        <w:rPr>
          <w:rFonts w:ascii="Arial" w:hAnsi="Arial" w:cs="Arial"/>
          <w:sz w:val="22"/>
          <w:szCs w:val="22"/>
        </w:rPr>
      </w:pPr>
      <w:r w:rsidRPr="00E7680F">
        <w:rPr>
          <w:rFonts w:ascii="Arial" w:hAnsi="Arial" w:cs="Arial"/>
          <w:sz w:val="22"/>
          <w:szCs w:val="22"/>
        </w:rPr>
        <w:t>Por su parte,</w:t>
      </w:r>
      <w:r w:rsidRPr="00E7680F" w:rsidR="00EB055C">
        <w:rPr>
          <w:rFonts w:ascii="Arial" w:hAnsi="Arial" w:cs="Arial"/>
          <w:sz w:val="22"/>
          <w:szCs w:val="22"/>
        </w:rPr>
        <w:t xml:space="preserve"> los Acuerdos Comerciales contemplan excepciones a la aplicación de los compromisos y obligaciones contenidos en estos</w:t>
      </w:r>
      <w:r w:rsidRPr="00E7680F" w:rsidR="00EE0B88">
        <w:rPr>
          <w:rFonts w:ascii="Arial" w:hAnsi="Arial" w:cs="Arial"/>
          <w:sz w:val="22"/>
          <w:szCs w:val="22"/>
        </w:rPr>
        <w:t>, por tanto, si un proceso de contratación se encuentra cobijado por una excepción,</w:t>
      </w:r>
      <w:r w:rsidRPr="00E7680F">
        <w:rPr>
          <w:rFonts w:ascii="Arial" w:hAnsi="Arial" w:cs="Arial"/>
          <w:sz w:val="22"/>
          <w:szCs w:val="22"/>
        </w:rPr>
        <w:t xml:space="preserve"> las obligaciones y compromisos </w:t>
      </w:r>
      <w:r w:rsidRPr="00E7680F" w:rsidR="00F72C93">
        <w:rPr>
          <w:rFonts w:ascii="Arial" w:hAnsi="Arial" w:cs="Arial"/>
          <w:sz w:val="22"/>
          <w:szCs w:val="22"/>
        </w:rPr>
        <w:t xml:space="preserve">del correspondiente Acuerdo Comercial </w:t>
      </w:r>
      <w:r w:rsidRPr="00E7680F">
        <w:rPr>
          <w:rFonts w:ascii="Arial" w:hAnsi="Arial" w:cs="Arial"/>
          <w:sz w:val="22"/>
          <w:szCs w:val="22"/>
        </w:rPr>
        <w:t>no regirán el proceso de contratación</w:t>
      </w:r>
      <w:r w:rsidRPr="00E7680F" w:rsidR="00F72C93">
        <w:rPr>
          <w:rFonts w:ascii="Arial" w:hAnsi="Arial" w:cs="Arial"/>
          <w:sz w:val="22"/>
          <w:szCs w:val="22"/>
        </w:rPr>
        <w:t>.</w:t>
      </w:r>
    </w:p>
    <w:p w:rsidRPr="00E7680F" w:rsidR="00EB055C" w:rsidP="00491334" w:rsidRDefault="00F72C93" w14:paraId="73C5E7A6" w14:textId="61AD8F67">
      <w:pPr>
        <w:tabs>
          <w:tab w:val="left" w:pos="0"/>
        </w:tabs>
        <w:spacing w:before="120" w:line="276" w:lineRule="auto"/>
        <w:ind w:firstLine="851"/>
        <w:jc w:val="both"/>
        <w:rPr>
          <w:rFonts w:ascii="Arial" w:hAnsi="Arial" w:cs="Arial"/>
          <w:sz w:val="22"/>
          <w:szCs w:val="22"/>
        </w:rPr>
      </w:pPr>
      <w:r w:rsidRPr="00E7680F">
        <w:rPr>
          <w:rFonts w:ascii="Arial" w:hAnsi="Arial" w:cs="Arial"/>
          <w:sz w:val="22"/>
          <w:szCs w:val="22"/>
        </w:rPr>
        <w:t>Las</w:t>
      </w:r>
      <w:r w:rsidRPr="00E7680F" w:rsidR="001239AC">
        <w:rPr>
          <w:rFonts w:ascii="Arial" w:hAnsi="Arial" w:cs="Arial"/>
          <w:sz w:val="22"/>
          <w:szCs w:val="22"/>
        </w:rPr>
        <w:t xml:space="preserve"> </w:t>
      </w:r>
      <w:r w:rsidRPr="00E7680F" w:rsidR="00EB055C">
        <w:rPr>
          <w:rFonts w:ascii="Arial" w:hAnsi="Arial" w:cs="Arial"/>
          <w:sz w:val="22"/>
          <w:szCs w:val="22"/>
        </w:rPr>
        <w:t>excepciones</w:t>
      </w:r>
      <w:r w:rsidRPr="00E7680F" w:rsidR="001239AC">
        <w:rPr>
          <w:rFonts w:ascii="Arial" w:hAnsi="Arial" w:cs="Arial"/>
          <w:sz w:val="22"/>
          <w:szCs w:val="22"/>
        </w:rPr>
        <w:t xml:space="preserve"> no aplican de manera uniforme a todas las entidades</w:t>
      </w:r>
      <w:r w:rsidRPr="00E7680F" w:rsidR="00117F0B">
        <w:rPr>
          <w:rFonts w:ascii="Arial" w:hAnsi="Arial" w:cs="Arial"/>
          <w:sz w:val="22"/>
          <w:szCs w:val="22"/>
        </w:rPr>
        <w:t xml:space="preserve"> y a todos los acuerdos comerciales</w:t>
      </w:r>
      <w:r w:rsidRPr="00E7680F" w:rsidR="00DC6718">
        <w:rPr>
          <w:rFonts w:ascii="Arial" w:hAnsi="Arial" w:cs="Arial"/>
          <w:sz w:val="22"/>
          <w:szCs w:val="22"/>
        </w:rPr>
        <w:t xml:space="preserve">; </w:t>
      </w:r>
      <w:r w:rsidRPr="00E7680F" w:rsidR="001239AC">
        <w:rPr>
          <w:rFonts w:ascii="Arial" w:hAnsi="Arial" w:cs="Arial"/>
          <w:sz w:val="22"/>
          <w:szCs w:val="22"/>
        </w:rPr>
        <w:t xml:space="preserve">por </w:t>
      </w:r>
      <w:r w:rsidRPr="00E7680F" w:rsidR="00EF4F1B">
        <w:rPr>
          <w:rFonts w:ascii="Arial" w:hAnsi="Arial" w:cs="Arial"/>
          <w:sz w:val="22"/>
          <w:szCs w:val="22"/>
        </w:rPr>
        <w:t>tanto,</w:t>
      </w:r>
      <w:r w:rsidRPr="00E7680F" w:rsidR="001239AC">
        <w:rPr>
          <w:rFonts w:ascii="Arial" w:hAnsi="Arial" w:cs="Arial"/>
          <w:sz w:val="22"/>
          <w:szCs w:val="22"/>
        </w:rPr>
        <w:t xml:space="preserve"> para determinar las excepciones aplicables a cada Acuerdo Comercial</w:t>
      </w:r>
      <w:r w:rsidRPr="00E7680F">
        <w:rPr>
          <w:rFonts w:ascii="Arial" w:hAnsi="Arial" w:cs="Arial"/>
          <w:sz w:val="22"/>
          <w:szCs w:val="22"/>
        </w:rPr>
        <w:t xml:space="preserve"> y a cada entidad </w:t>
      </w:r>
      <w:r w:rsidRPr="00E7680F" w:rsidR="00B546CE">
        <w:rPr>
          <w:rFonts w:ascii="Arial" w:hAnsi="Arial" w:cs="Arial"/>
          <w:sz w:val="22"/>
          <w:szCs w:val="22"/>
        </w:rPr>
        <w:t>cubierta</w:t>
      </w:r>
      <w:r w:rsidRPr="00E7680F" w:rsidR="001239AC">
        <w:rPr>
          <w:rFonts w:ascii="Arial" w:hAnsi="Arial" w:cs="Arial"/>
          <w:sz w:val="22"/>
          <w:szCs w:val="22"/>
        </w:rPr>
        <w:t>,</w:t>
      </w:r>
      <w:r w:rsidRPr="00E7680F">
        <w:rPr>
          <w:rFonts w:ascii="Arial" w:hAnsi="Arial" w:cs="Arial"/>
          <w:sz w:val="22"/>
          <w:szCs w:val="22"/>
        </w:rPr>
        <w:t xml:space="preserve"> durante la etapa de planeación</w:t>
      </w:r>
      <w:r w:rsidRPr="00E7680F" w:rsidR="004535F5">
        <w:rPr>
          <w:rFonts w:ascii="Arial" w:hAnsi="Arial" w:cs="Arial"/>
          <w:sz w:val="22"/>
          <w:szCs w:val="22"/>
        </w:rPr>
        <w:t xml:space="preserve"> del proceso de selección, </w:t>
      </w:r>
      <w:r w:rsidRPr="00E7680F">
        <w:rPr>
          <w:rFonts w:ascii="Arial" w:hAnsi="Arial" w:cs="Arial"/>
          <w:sz w:val="22"/>
          <w:szCs w:val="22"/>
        </w:rPr>
        <w:t>las entidades deben consultar</w:t>
      </w:r>
      <w:r w:rsidRPr="00E7680F" w:rsidR="001239AC">
        <w:rPr>
          <w:rFonts w:ascii="Arial" w:hAnsi="Arial" w:cs="Arial"/>
          <w:sz w:val="22"/>
          <w:szCs w:val="22"/>
        </w:rPr>
        <w:t xml:space="preserve"> </w:t>
      </w:r>
      <w:r w:rsidRPr="00E7680F" w:rsidR="004B7C08">
        <w:rPr>
          <w:rFonts w:ascii="Arial" w:hAnsi="Arial" w:cs="Arial"/>
          <w:sz w:val="22"/>
          <w:szCs w:val="22"/>
        </w:rPr>
        <w:t>la cobertura</w:t>
      </w:r>
      <w:r w:rsidRPr="00E7680F">
        <w:rPr>
          <w:rFonts w:ascii="Arial" w:hAnsi="Arial" w:cs="Arial"/>
          <w:sz w:val="22"/>
          <w:szCs w:val="22"/>
        </w:rPr>
        <w:t xml:space="preserve"> del acuerdo comercial y si existen excepciones aplicables a su proceso de contratación particular.</w:t>
      </w:r>
    </w:p>
    <w:p w:rsidRPr="00E7680F" w:rsidR="00AC7EA2" w:rsidP="00491334" w:rsidRDefault="00191318" w14:paraId="2E2A1634" w14:textId="5409249B">
      <w:pPr>
        <w:tabs>
          <w:tab w:val="left" w:pos="426"/>
        </w:tabs>
        <w:spacing w:before="120" w:after="120" w:line="276" w:lineRule="auto"/>
        <w:ind w:firstLine="851"/>
        <w:jc w:val="both"/>
        <w:rPr>
          <w:rFonts w:ascii="Arial" w:hAnsi="Arial" w:eastAsia="Calibri" w:cs="Arial"/>
          <w:bCs/>
          <w:color w:val="000000" w:themeColor="text1"/>
          <w:sz w:val="22"/>
          <w:lang w:val="es-ES_tradnl"/>
        </w:rPr>
      </w:pPr>
      <w:r w:rsidRPr="00E7680F">
        <w:rPr>
          <w:rFonts w:ascii="Arial" w:hAnsi="Arial" w:eastAsia="Calibri" w:cs="Arial"/>
          <w:bCs/>
          <w:color w:val="000000" w:themeColor="text1"/>
          <w:sz w:val="22"/>
          <w:szCs w:val="22"/>
          <w:lang w:val="es-ES_tradnl"/>
        </w:rPr>
        <w:t>En este marco, la Agencia Nacional de Contratación Pública – Colombia Compra Eficiente expidió el Manual para el manejo de los Acuerdos Comerciales en Procesos de Contratación, con el fin de lograr que las entidades estatales cumplan, en la práctica, de manera sencilla las obligaciones internacionales adquiridas por el Estado. Este manual, sin introducir ninguna modificación o restricción a los tratados, condensa y explica los deberes internacionales del Estado colombiano que deben iluminar la actuación de las entidades estatales contratantes</w:t>
      </w:r>
      <w:r w:rsidRPr="00E7680F" w:rsidR="00AC7EA2">
        <w:rPr>
          <w:rFonts w:ascii="Arial" w:hAnsi="Arial" w:eastAsia="Calibri" w:cs="Arial"/>
          <w:bCs/>
          <w:color w:val="000000" w:themeColor="text1"/>
          <w:sz w:val="22"/>
          <w:szCs w:val="22"/>
          <w:lang w:val="es-ES_tradnl"/>
        </w:rPr>
        <w:t xml:space="preserve"> y por tanto, </w:t>
      </w:r>
      <w:r w:rsidRPr="00E7680F" w:rsidR="00AC7EA2">
        <w:rPr>
          <w:rFonts w:ascii="Arial" w:hAnsi="Arial" w:cs="Arial"/>
          <w:sz w:val="22"/>
          <w:szCs w:val="22"/>
        </w:rPr>
        <w:t>el Manual para manejo de los Acuerdos Comerciales en Procesos de Contratación</w:t>
      </w:r>
      <w:r w:rsidRPr="00E7680F" w:rsidR="00505CC6">
        <w:rPr>
          <w:rFonts w:ascii="Arial" w:hAnsi="Arial" w:cs="Arial"/>
          <w:sz w:val="22"/>
          <w:szCs w:val="22"/>
        </w:rPr>
        <w:t xml:space="preserve"> </w:t>
      </w:r>
      <w:r w:rsidRPr="00E7680F" w:rsidR="00AC7EA2">
        <w:rPr>
          <w:rFonts w:ascii="Arial" w:hAnsi="Arial" w:cs="Arial"/>
          <w:sz w:val="22"/>
          <w:szCs w:val="22"/>
        </w:rPr>
        <w:t xml:space="preserve">se constituye como una </w:t>
      </w:r>
      <w:r w:rsidRPr="00E7680F" w:rsidR="00AC7EA2">
        <w:rPr>
          <w:rFonts w:ascii="Arial" w:hAnsi="Arial" w:eastAsia="Calibri" w:cs="Arial"/>
          <w:bCs/>
          <w:color w:val="000000" w:themeColor="text1"/>
          <w:sz w:val="22"/>
          <w:lang w:val="es-ES_tradnl"/>
        </w:rPr>
        <w:t>herramienta orientadora para conocer la cobertura de los Acuerdos Comerciales y los plazos correspondientes</w:t>
      </w:r>
      <w:r w:rsidRPr="00E7680F" w:rsidR="00064376">
        <w:rPr>
          <w:rFonts w:ascii="Arial" w:hAnsi="Arial" w:eastAsia="Calibri" w:cs="Arial"/>
          <w:bCs/>
          <w:color w:val="000000" w:themeColor="text1"/>
          <w:sz w:val="22"/>
          <w:lang w:val="es-ES_tradnl"/>
        </w:rPr>
        <w:t>.</w:t>
      </w:r>
      <w:r w:rsidRPr="00E7680F" w:rsidR="00AC7EA2">
        <w:rPr>
          <w:rFonts w:ascii="Arial" w:hAnsi="Arial" w:eastAsia="Calibri" w:cs="Arial"/>
          <w:bCs/>
          <w:color w:val="000000" w:themeColor="text1"/>
          <w:sz w:val="22"/>
          <w:lang w:val="es-ES_tradnl"/>
        </w:rPr>
        <w:t xml:space="preserve"> </w:t>
      </w:r>
      <w:r w:rsidRPr="00E7680F" w:rsidR="00064376">
        <w:rPr>
          <w:rFonts w:ascii="Arial" w:hAnsi="Arial" w:eastAsia="Calibri" w:cs="Arial"/>
          <w:bCs/>
          <w:color w:val="000000" w:themeColor="text1"/>
          <w:sz w:val="22"/>
          <w:lang w:val="es-ES_tradnl"/>
        </w:rPr>
        <w:t>S</w:t>
      </w:r>
      <w:r w:rsidRPr="00E7680F" w:rsidR="00AC7EA2">
        <w:rPr>
          <w:rFonts w:ascii="Arial" w:hAnsi="Arial" w:eastAsia="Calibri" w:cs="Arial"/>
          <w:bCs/>
          <w:color w:val="000000" w:themeColor="text1"/>
          <w:sz w:val="22"/>
          <w:lang w:val="es-ES_tradnl"/>
        </w:rPr>
        <w:t xml:space="preserve">in embargo, el uso del manual no exime a la entidad del deber de conocer y aplicar cada Acuerdo Comercial. </w:t>
      </w:r>
    </w:p>
    <w:p w:rsidRPr="00E7680F" w:rsidR="00AC7EA2" w:rsidP="003D6CA6" w:rsidRDefault="00AC7EA2" w14:paraId="07DAB8CD" w14:textId="7DCE41D8">
      <w:pPr>
        <w:tabs>
          <w:tab w:val="left" w:pos="0"/>
        </w:tabs>
        <w:spacing w:before="120" w:after="120" w:line="276" w:lineRule="auto"/>
        <w:ind w:firstLine="709"/>
        <w:jc w:val="both"/>
        <w:rPr>
          <w:rFonts w:ascii="Arial" w:hAnsi="Arial" w:eastAsia="Calibri" w:cs="Arial"/>
          <w:bCs/>
          <w:color w:val="000000" w:themeColor="text1"/>
          <w:sz w:val="22"/>
          <w:szCs w:val="22"/>
          <w:lang w:val="es-ES_tradnl"/>
        </w:rPr>
      </w:pPr>
      <w:r w:rsidRPr="00E7680F">
        <w:rPr>
          <w:rFonts w:ascii="Arial" w:hAnsi="Arial" w:eastAsia="Calibri" w:cs="Arial"/>
          <w:bCs/>
          <w:color w:val="000000" w:themeColor="text1"/>
          <w:sz w:val="22"/>
          <w:szCs w:val="22"/>
          <w:lang w:val="es-ES_tradnl"/>
        </w:rPr>
        <w:t xml:space="preserve">Así las cosas, en el Anexo 1 del Manual para el manejo de los Acuerdos Comerciales en Procesos de Contratación se encuentran listadas las excepciones que aplican por acuerdo comercial a las entidades del nivel nacional cubiertas por los Acuerdos. El Anexo 2 contiene las excepciones a la aplicación de los Acuerdos </w:t>
      </w:r>
      <w:r w:rsidRPr="00E7680F">
        <w:rPr>
          <w:rFonts w:ascii="Arial" w:hAnsi="Arial" w:eastAsia="Calibri" w:cs="Arial"/>
          <w:bCs/>
          <w:color w:val="000000" w:themeColor="text1"/>
          <w:sz w:val="22"/>
          <w:szCs w:val="22"/>
          <w:lang w:val="es-ES_tradnl"/>
        </w:rPr>
        <w:lastRenderedPageBreak/>
        <w:t xml:space="preserve">Comerciales para las </w:t>
      </w:r>
      <w:r w:rsidRPr="00E7680F" w:rsidR="00DE704A">
        <w:rPr>
          <w:rFonts w:ascii="Arial" w:hAnsi="Arial" w:eastAsia="Calibri" w:cs="Arial"/>
          <w:bCs/>
          <w:color w:val="000000" w:themeColor="text1"/>
          <w:sz w:val="22"/>
          <w:szCs w:val="22"/>
          <w:lang w:val="es-ES_tradnl"/>
        </w:rPr>
        <w:t>e</w:t>
      </w:r>
      <w:r w:rsidRPr="00E7680F">
        <w:rPr>
          <w:rFonts w:ascii="Arial" w:hAnsi="Arial" w:eastAsia="Calibri" w:cs="Arial"/>
          <w:bCs/>
          <w:color w:val="000000" w:themeColor="text1"/>
          <w:sz w:val="22"/>
          <w:szCs w:val="22"/>
          <w:lang w:val="es-ES_tradnl"/>
        </w:rPr>
        <w:t xml:space="preserve">ntidades del nivel departamental y el Anexo 3 </w:t>
      </w:r>
      <w:r w:rsidRPr="00E7680F" w:rsidR="00CE73AD">
        <w:rPr>
          <w:rFonts w:ascii="Arial" w:hAnsi="Arial" w:eastAsia="Calibri" w:cs="Arial"/>
          <w:bCs/>
          <w:color w:val="000000" w:themeColor="text1"/>
          <w:sz w:val="22"/>
          <w:szCs w:val="22"/>
          <w:lang w:val="es-ES_tradnl"/>
        </w:rPr>
        <w:t>las aplicables a</w:t>
      </w:r>
      <w:r w:rsidRPr="00E7680F">
        <w:rPr>
          <w:rFonts w:ascii="Arial" w:hAnsi="Arial" w:eastAsia="Calibri" w:cs="Arial"/>
          <w:bCs/>
          <w:color w:val="000000" w:themeColor="text1"/>
          <w:sz w:val="22"/>
          <w:szCs w:val="22"/>
          <w:lang w:val="es-ES_tradnl"/>
        </w:rPr>
        <w:t xml:space="preserve"> las </w:t>
      </w:r>
      <w:r w:rsidRPr="00E7680F" w:rsidR="00DE704A">
        <w:rPr>
          <w:rFonts w:ascii="Arial" w:hAnsi="Arial" w:eastAsia="Calibri" w:cs="Arial"/>
          <w:bCs/>
          <w:color w:val="000000" w:themeColor="text1"/>
          <w:sz w:val="22"/>
          <w:szCs w:val="22"/>
          <w:lang w:val="es-ES_tradnl"/>
        </w:rPr>
        <w:t>e</w:t>
      </w:r>
      <w:r w:rsidRPr="00E7680F">
        <w:rPr>
          <w:rFonts w:ascii="Arial" w:hAnsi="Arial" w:eastAsia="Calibri" w:cs="Arial"/>
          <w:bCs/>
          <w:color w:val="000000" w:themeColor="text1"/>
          <w:sz w:val="22"/>
          <w:szCs w:val="22"/>
          <w:lang w:val="es-ES_tradnl"/>
        </w:rPr>
        <w:t>ntidades del nivel municipal.</w:t>
      </w:r>
      <w:r w:rsidRPr="00E7680F" w:rsidR="00CE73AD">
        <w:rPr>
          <w:rFonts w:ascii="Arial" w:hAnsi="Arial" w:eastAsia="Calibri" w:cs="Arial"/>
          <w:bCs/>
          <w:color w:val="000000" w:themeColor="text1"/>
          <w:sz w:val="22"/>
          <w:szCs w:val="22"/>
          <w:lang w:val="es-ES_tradnl"/>
        </w:rPr>
        <w:t xml:space="preserve"> Finalmente, el Anexo 4 establece el listado de excepciones a la aplicación de los compromisos y obligaciones</w:t>
      </w:r>
      <w:r w:rsidRPr="00E7680F" w:rsidR="00E23208">
        <w:rPr>
          <w:rFonts w:ascii="Arial" w:hAnsi="Arial" w:eastAsia="Calibri" w:cs="Arial"/>
          <w:bCs/>
          <w:color w:val="000000" w:themeColor="text1"/>
          <w:sz w:val="22"/>
          <w:szCs w:val="22"/>
          <w:lang w:val="es-ES_tradnl"/>
        </w:rPr>
        <w:t xml:space="preserve"> contenidos en los acuerdos comerciales</w:t>
      </w:r>
      <w:r w:rsidRPr="00E7680F" w:rsidR="00CE73AD">
        <w:rPr>
          <w:rFonts w:ascii="Arial" w:hAnsi="Arial" w:eastAsia="Calibri" w:cs="Arial"/>
          <w:bCs/>
          <w:color w:val="000000" w:themeColor="text1"/>
          <w:sz w:val="22"/>
          <w:szCs w:val="22"/>
          <w:lang w:val="es-ES_tradnl"/>
        </w:rPr>
        <w:t xml:space="preserve"> y se constituye como el anexo al cual pueden remitirse las entidades para conocer a qué hacen referencia los números relacionados en l</w:t>
      </w:r>
      <w:r w:rsidRPr="00E7680F" w:rsidR="004B7C08">
        <w:rPr>
          <w:rFonts w:ascii="Arial" w:hAnsi="Arial" w:eastAsia="Calibri" w:cs="Arial"/>
          <w:bCs/>
          <w:color w:val="000000" w:themeColor="text1"/>
          <w:sz w:val="22"/>
          <w:szCs w:val="22"/>
          <w:lang w:val="es-ES_tradnl"/>
        </w:rPr>
        <w:t>os</w:t>
      </w:r>
      <w:r w:rsidRPr="00E7680F" w:rsidR="00CE73AD">
        <w:rPr>
          <w:rFonts w:ascii="Arial" w:hAnsi="Arial" w:eastAsia="Calibri" w:cs="Arial"/>
          <w:bCs/>
          <w:color w:val="000000" w:themeColor="text1"/>
          <w:sz w:val="22"/>
          <w:szCs w:val="22"/>
          <w:lang w:val="es-ES_tradnl"/>
        </w:rPr>
        <w:t xml:space="preserve"> Anexos 1, 2 y 3. </w:t>
      </w:r>
    </w:p>
    <w:p w:rsidRPr="00E7680F" w:rsidR="00B95C51" w:rsidP="0090373B" w:rsidRDefault="00CE73AD" w14:paraId="2A96632E" w14:textId="2B9BA49B">
      <w:pPr>
        <w:tabs>
          <w:tab w:val="left" w:pos="0"/>
        </w:tabs>
        <w:spacing w:before="120" w:after="120" w:line="276" w:lineRule="auto"/>
        <w:ind w:firstLine="709"/>
        <w:jc w:val="both"/>
        <w:rPr>
          <w:rFonts w:ascii="Arial" w:hAnsi="Arial" w:eastAsia="Calibri" w:cs="Arial"/>
          <w:bCs/>
          <w:color w:val="000000" w:themeColor="text1"/>
          <w:sz w:val="22"/>
          <w:szCs w:val="22"/>
          <w:lang w:val="es-ES_tradnl"/>
        </w:rPr>
      </w:pPr>
      <w:r w:rsidRPr="00E7680F">
        <w:rPr>
          <w:rFonts w:ascii="Arial" w:hAnsi="Arial" w:eastAsia="Calibri" w:cs="Arial"/>
          <w:bCs/>
          <w:color w:val="000000" w:themeColor="text1"/>
          <w:sz w:val="22"/>
          <w:szCs w:val="22"/>
          <w:lang w:val="es-ES_tradnl"/>
        </w:rPr>
        <w:t xml:space="preserve">A modo de ejemplo, tratándose del Acuerdo Comercial con Estados Unidos, </w:t>
      </w:r>
      <w:r w:rsidRPr="00E7680F" w:rsidR="001F2C14">
        <w:rPr>
          <w:rFonts w:ascii="Arial" w:hAnsi="Arial" w:eastAsia="Calibri" w:cs="Arial"/>
          <w:bCs/>
          <w:color w:val="000000" w:themeColor="text1"/>
          <w:sz w:val="22"/>
          <w:szCs w:val="22"/>
          <w:lang w:val="es-ES_tradnl"/>
        </w:rPr>
        <w:t xml:space="preserve">las excepciones que aplican a las </w:t>
      </w:r>
      <w:r w:rsidRPr="00E7680F">
        <w:rPr>
          <w:rFonts w:ascii="Arial" w:hAnsi="Arial" w:eastAsia="Calibri" w:cs="Arial"/>
          <w:bCs/>
          <w:color w:val="000000" w:themeColor="text1"/>
          <w:sz w:val="22"/>
          <w:szCs w:val="22"/>
          <w:lang w:val="es-ES_tradnl"/>
        </w:rPr>
        <w:t>entidades del nivel nacional</w:t>
      </w:r>
      <w:r w:rsidRPr="00E7680F" w:rsidR="00751B39">
        <w:rPr>
          <w:rFonts w:ascii="Arial" w:hAnsi="Arial" w:eastAsia="Calibri" w:cs="Arial"/>
          <w:bCs/>
          <w:color w:val="000000" w:themeColor="text1"/>
          <w:sz w:val="22"/>
          <w:szCs w:val="22"/>
          <w:lang w:val="es-ES_tradnl"/>
        </w:rPr>
        <w:t xml:space="preserve"> </w:t>
      </w:r>
      <w:r w:rsidRPr="00E7680F" w:rsidR="001F2C14">
        <w:rPr>
          <w:rFonts w:ascii="Arial" w:hAnsi="Arial" w:eastAsia="Calibri" w:cs="Arial"/>
          <w:bCs/>
          <w:color w:val="000000" w:themeColor="text1"/>
          <w:sz w:val="22"/>
          <w:szCs w:val="22"/>
          <w:lang w:val="es-ES_tradnl"/>
        </w:rPr>
        <w:t xml:space="preserve">corresponden a </w:t>
      </w:r>
      <w:r w:rsidRPr="00E7680F" w:rsidR="003F588F">
        <w:rPr>
          <w:rFonts w:ascii="Arial" w:hAnsi="Arial" w:eastAsia="Calibri" w:cs="Arial"/>
          <w:bCs/>
          <w:color w:val="000000" w:themeColor="text1"/>
          <w:sz w:val="22"/>
          <w:szCs w:val="22"/>
          <w:lang w:val="es-ES_tradnl"/>
        </w:rPr>
        <w:t xml:space="preserve">las establecidas en el numerales 1, 2, 3, 4, 5, 6, 7, 12, 14, 15, 16, 17, 19, 32, 33, 34, 35, 36, 37, 40, 41, 42, 43, 45, 46 del Anexo </w:t>
      </w:r>
      <w:r w:rsidRPr="00E7680F" w:rsidR="00BE65F3">
        <w:rPr>
          <w:rFonts w:ascii="Arial" w:hAnsi="Arial" w:eastAsia="Calibri" w:cs="Arial"/>
          <w:bCs/>
          <w:color w:val="000000" w:themeColor="text1"/>
          <w:sz w:val="22"/>
          <w:szCs w:val="22"/>
          <w:lang w:val="es-ES_tradnl"/>
        </w:rPr>
        <w:t xml:space="preserve">4. </w:t>
      </w:r>
      <w:r w:rsidRPr="00E7680F" w:rsidR="005B2DA5">
        <w:rPr>
          <w:rFonts w:ascii="Arial" w:hAnsi="Arial" w:eastAsia="Calibri" w:cs="Arial"/>
          <w:bCs/>
          <w:color w:val="000000" w:themeColor="text1"/>
          <w:sz w:val="22"/>
          <w:szCs w:val="22"/>
          <w:lang w:val="es-ES_tradnl"/>
        </w:rPr>
        <w:t xml:space="preserve">Remitiéndose a lo establecido por el Anexo 4, </w:t>
      </w:r>
      <w:r w:rsidRPr="00E7680F" w:rsidR="00F838C0">
        <w:rPr>
          <w:rFonts w:ascii="Arial" w:hAnsi="Arial" w:eastAsia="Calibri" w:cs="Arial"/>
          <w:bCs/>
          <w:color w:val="000000" w:themeColor="text1"/>
          <w:sz w:val="22"/>
          <w:szCs w:val="22"/>
          <w:lang w:val="es-ES_tradnl"/>
        </w:rPr>
        <w:t xml:space="preserve">las excepciones mencionadas corresponden a las siguientes: </w:t>
      </w:r>
    </w:p>
    <w:tbl>
      <w:tblPr>
        <w:tblStyle w:val="TableNormal1"/>
        <w:tblW w:w="9638" w:type="dxa"/>
        <w:jc w:val="center"/>
        <w:tblBorders>
          <w:top w:val="single" w:color="58595B" w:sz="4" w:space="0"/>
          <w:left w:val="single" w:color="58595B" w:sz="4" w:space="0"/>
          <w:bottom w:val="single" w:color="58595B" w:sz="4" w:space="0"/>
          <w:right w:val="single" w:color="58595B" w:sz="4" w:space="0"/>
          <w:insideH w:val="single" w:color="58595B" w:sz="4" w:space="0"/>
          <w:insideV w:val="single" w:color="58595B" w:sz="4" w:space="0"/>
        </w:tblBorders>
        <w:tblLayout w:type="fixed"/>
        <w:tblLook w:val="01E0" w:firstRow="1" w:lastRow="1" w:firstColumn="1" w:lastColumn="1" w:noHBand="0" w:noVBand="0"/>
      </w:tblPr>
      <w:tblGrid>
        <w:gridCol w:w="1304"/>
        <w:gridCol w:w="8334"/>
      </w:tblGrid>
      <w:tr w:rsidRPr="00E7680F" w:rsidR="00B95C51" w:rsidTr="00B06F49" w14:paraId="039D4EB1" w14:textId="77777777">
        <w:trPr>
          <w:trHeight w:val="427"/>
          <w:jc w:val="center"/>
        </w:trPr>
        <w:tc>
          <w:tcPr>
            <w:tcW w:w="1304" w:type="dxa"/>
            <w:tcBorders>
              <w:left w:val="nil"/>
            </w:tcBorders>
            <w:shd w:val="clear" w:color="auto" w:fill="8EAADB" w:themeFill="accent1" w:themeFillTint="99"/>
          </w:tcPr>
          <w:p w:rsidRPr="00E7680F" w:rsidR="00B95C51" w:rsidP="00B06F49" w:rsidRDefault="00B95C51" w14:paraId="6667B0AD" w14:textId="77777777">
            <w:pPr>
              <w:pStyle w:val="TableParagraph"/>
              <w:spacing w:before="78" w:line="276" w:lineRule="auto"/>
              <w:ind w:left="254" w:right="250"/>
              <w:jc w:val="center"/>
              <w:rPr>
                <w:b/>
                <w:sz w:val="19"/>
              </w:rPr>
            </w:pPr>
            <w:r w:rsidRPr="00E7680F">
              <w:rPr>
                <w:b/>
                <w:w w:val="105"/>
                <w:sz w:val="19"/>
              </w:rPr>
              <w:t>Número</w:t>
            </w:r>
          </w:p>
        </w:tc>
        <w:tc>
          <w:tcPr>
            <w:tcW w:w="8334" w:type="dxa"/>
            <w:tcBorders>
              <w:right w:val="nil"/>
            </w:tcBorders>
            <w:shd w:val="clear" w:color="auto" w:fill="8EAADB" w:themeFill="accent1" w:themeFillTint="99"/>
          </w:tcPr>
          <w:p w:rsidRPr="00E7680F" w:rsidR="00B95C51" w:rsidP="00B06F49" w:rsidRDefault="00B95C51" w14:paraId="32F1DC4D" w14:textId="77777777">
            <w:pPr>
              <w:pStyle w:val="TableParagraph"/>
              <w:spacing w:before="78" w:line="276" w:lineRule="auto"/>
              <w:ind w:left="3644" w:right="3647"/>
              <w:jc w:val="center"/>
              <w:rPr>
                <w:b/>
                <w:sz w:val="19"/>
              </w:rPr>
            </w:pPr>
            <w:r w:rsidRPr="00E7680F">
              <w:rPr>
                <w:b/>
                <w:w w:val="105"/>
                <w:sz w:val="19"/>
              </w:rPr>
              <w:t>Excepción</w:t>
            </w:r>
          </w:p>
        </w:tc>
      </w:tr>
      <w:tr w:rsidRPr="00E7680F" w:rsidR="00B95C51" w:rsidTr="00B06F49" w14:paraId="5D72890D" w14:textId="77777777">
        <w:trPr>
          <w:trHeight w:val="992"/>
          <w:jc w:val="center"/>
        </w:trPr>
        <w:tc>
          <w:tcPr>
            <w:tcW w:w="1304" w:type="dxa"/>
            <w:tcBorders>
              <w:left w:val="nil"/>
            </w:tcBorders>
            <w:shd w:val="clear" w:color="auto" w:fill="F1F1F2"/>
          </w:tcPr>
          <w:p w:rsidRPr="00E7680F" w:rsidR="00B95C51" w:rsidP="00B06F49" w:rsidRDefault="00B95C51" w14:paraId="44E0922D" w14:textId="77777777">
            <w:pPr>
              <w:pStyle w:val="TableParagraph"/>
              <w:spacing w:line="276" w:lineRule="auto"/>
            </w:pPr>
          </w:p>
          <w:p w:rsidRPr="00E7680F" w:rsidR="00B95C51" w:rsidP="00B06F49" w:rsidRDefault="00B95C51" w14:paraId="765492D3" w14:textId="77777777">
            <w:pPr>
              <w:pStyle w:val="TableParagraph"/>
              <w:spacing w:before="127" w:line="276" w:lineRule="auto"/>
              <w:ind w:left="61"/>
              <w:jc w:val="center"/>
              <w:rPr>
                <w:sz w:val="20"/>
              </w:rPr>
            </w:pPr>
            <w:r w:rsidRPr="00E7680F">
              <w:rPr>
                <w:w w:val="99"/>
                <w:sz w:val="20"/>
              </w:rPr>
              <w:t>1</w:t>
            </w:r>
          </w:p>
        </w:tc>
        <w:tc>
          <w:tcPr>
            <w:tcW w:w="8334" w:type="dxa"/>
            <w:tcBorders>
              <w:right w:val="nil"/>
            </w:tcBorders>
            <w:shd w:val="clear" w:color="auto" w:fill="F1F1F2"/>
          </w:tcPr>
          <w:p w:rsidRPr="00E7680F" w:rsidR="00B95C51" w:rsidP="00B06F49" w:rsidRDefault="00B95C51" w14:paraId="259197A0" w14:textId="77777777">
            <w:pPr>
              <w:pStyle w:val="TableParagraph"/>
              <w:spacing w:before="140" w:line="276" w:lineRule="auto"/>
              <w:ind w:left="108" w:right="54"/>
              <w:jc w:val="both"/>
              <w:rPr>
                <w:sz w:val="20"/>
              </w:rPr>
            </w:pPr>
            <w:r w:rsidRPr="00E7680F">
              <w:rPr>
                <w:sz w:val="20"/>
              </w:rPr>
              <w:t>Los acuerdos o asistencia incluidos los acuerdos de cooperación, las donaciones, los préstamos, las subvenciones, las aportaciones de capital, las garantías, los avales y los incentivos fiscales.</w:t>
            </w:r>
          </w:p>
        </w:tc>
      </w:tr>
      <w:tr w:rsidRPr="00E7680F" w:rsidR="00B95C51" w:rsidTr="00B06F49" w14:paraId="77D0D6A3" w14:textId="77777777">
        <w:trPr>
          <w:trHeight w:val="655"/>
          <w:jc w:val="center"/>
        </w:trPr>
        <w:tc>
          <w:tcPr>
            <w:tcW w:w="1304" w:type="dxa"/>
            <w:tcBorders>
              <w:left w:val="nil"/>
            </w:tcBorders>
            <w:shd w:val="clear" w:color="auto" w:fill="DCDDDE"/>
          </w:tcPr>
          <w:p w:rsidRPr="00E7680F" w:rsidR="00B95C51" w:rsidP="00B06F49" w:rsidRDefault="00B95C51" w14:paraId="0E008CD8" w14:textId="77777777">
            <w:pPr>
              <w:pStyle w:val="TableParagraph"/>
              <w:spacing w:before="4" w:line="276" w:lineRule="auto"/>
              <w:rPr>
                <w:sz w:val="18"/>
              </w:rPr>
            </w:pPr>
          </w:p>
          <w:p w:rsidRPr="00E7680F" w:rsidR="00B95C51" w:rsidP="00B06F49" w:rsidRDefault="00B95C51" w14:paraId="4627FB22" w14:textId="77777777">
            <w:pPr>
              <w:pStyle w:val="TableParagraph"/>
              <w:spacing w:line="276" w:lineRule="auto"/>
              <w:ind w:left="4"/>
              <w:jc w:val="center"/>
              <w:rPr>
                <w:sz w:val="20"/>
              </w:rPr>
            </w:pPr>
            <w:r w:rsidRPr="00E7680F">
              <w:rPr>
                <w:w w:val="99"/>
                <w:sz w:val="20"/>
              </w:rPr>
              <w:t>2</w:t>
            </w:r>
          </w:p>
        </w:tc>
        <w:tc>
          <w:tcPr>
            <w:tcW w:w="8334" w:type="dxa"/>
            <w:tcBorders>
              <w:right w:val="nil"/>
            </w:tcBorders>
            <w:shd w:val="clear" w:color="auto" w:fill="DCDDDE"/>
          </w:tcPr>
          <w:p w:rsidRPr="00E7680F" w:rsidR="00B95C51" w:rsidP="00B06F49" w:rsidRDefault="00B95C51" w14:paraId="06DA17D4" w14:textId="77777777">
            <w:pPr>
              <w:pStyle w:val="TableParagraph"/>
              <w:spacing w:before="91" w:line="276" w:lineRule="auto"/>
              <w:ind w:left="108" w:right="52"/>
              <w:rPr>
                <w:sz w:val="20"/>
              </w:rPr>
            </w:pPr>
            <w:r w:rsidRPr="00E7680F">
              <w:rPr>
                <w:sz w:val="20"/>
              </w:rPr>
              <w:t>El suministro estatal de mercancías o servicios a personas o a Entidades Estatales del nivel territorial.</w:t>
            </w:r>
          </w:p>
        </w:tc>
      </w:tr>
      <w:tr w:rsidRPr="00E7680F" w:rsidR="00B95C51" w:rsidTr="00B06F49" w14:paraId="43710277" w14:textId="77777777">
        <w:trPr>
          <w:trHeight w:val="638"/>
          <w:jc w:val="center"/>
        </w:trPr>
        <w:tc>
          <w:tcPr>
            <w:tcW w:w="1304" w:type="dxa"/>
            <w:tcBorders>
              <w:left w:val="nil"/>
            </w:tcBorders>
            <w:shd w:val="clear" w:color="auto" w:fill="F1F1F2"/>
          </w:tcPr>
          <w:p w:rsidRPr="00E7680F" w:rsidR="00B95C51" w:rsidP="00B06F49" w:rsidRDefault="00B95C51" w14:paraId="21C71504" w14:textId="77777777">
            <w:pPr>
              <w:pStyle w:val="TableParagraph"/>
              <w:spacing w:before="7" w:line="276" w:lineRule="auto"/>
              <w:rPr>
                <w:sz w:val="17"/>
              </w:rPr>
            </w:pPr>
          </w:p>
          <w:p w:rsidRPr="00E7680F" w:rsidR="00B95C51" w:rsidP="00B06F49" w:rsidRDefault="00B95C51" w14:paraId="6D7E0035" w14:textId="77777777">
            <w:pPr>
              <w:pStyle w:val="TableParagraph"/>
              <w:spacing w:line="276" w:lineRule="auto"/>
              <w:ind w:left="4"/>
              <w:jc w:val="center"/>
              <w:rPr>
                <w:sz w:val="20"/>
              </w:rPr>
            </w:pPr>
            <w:r w:rsidRPr="00E7680F">
              <w:rPr>
                <w:w w:val="99"/>
                <w:sz w:val="20"/>
              </w:rPr>
              <w:t>3</w:t>
            </w:r>
          </w:p>
        </w:tc>
        <w:tc>
          <w:tcPr>
            <w:tcW w:w="8334" w:type="dxa"/>
            <w:tcBorders>
              <w:right w:val="nil"/>
            </w:tcBorders>
            <w:shd w:val="clear" w:color="auto" w:fill="F1F1F2"/>
          </w:tcPr>
          <w:p w:rsidRPr="00E7680F" w:rsidR="00B95C51" w:rsidP="00B06F49" w:rsidRDefault="00B95C51" w14:paraId="15DAF595" w14:textId="77777777">
            <w:pPr>
              <w:pStyle w:val="TableParagraph"/>
              <w:spacing w:before="7" w:line="276" w:lineRule="auto"/>
              <w:rPr>
                <w:sz w:val="17"/>
              </w:rPr>
            </w:pPr>
          </w:p>
          <w:p w:rsidRPr="00E7680F" w:rsidR="00B95C51" w:rsidP="00B06F49" w:rsidRDefault="00B95C51" w14:paraId="0C0C0037" w14:textId="77777777">
            <w:pPr>
              <w:pStyle w:val="TableParagraph"/>
              <w:spacing w:line="276" w:lineRule="auto"/>
              <w:ind w:left="108"/>
              <w:rPr>
                <w:sz w:val="20"/>
              </w:rPr>
            </w:pPr>
            <w:r w:rsidRPr="00E7680F">
              <w:rPr>
                <w:sz w:val="20"/>
              </w:rPr>
              <w:t>Las compras que tengan el propósito directo de proveer asistencia extranjera.</w:t>
            </w:r>
          </w:p>
        </w:tc>
      </w:tr>
      <w:tr w:rsidRPr="00E7680F" w:rsidR="00B95C51" w:rsidTr="00B06F49" w14:paraId="626E7AFA" w14:textId="77777777">
        <w:trPr>
          <w:trHeight w:val="1070"/>
          <w:jc w:val="center"/>
        </w:trPr>
        <w:tc>
          <w:tcPr>
            <w:tcW w:w="1304" w:type="dxa"/>
            <w:tcBorders>
              <w:left w:val="nil"/>
            </w:tcBorders>
            <w:shd w:val="clear" w:color="auto" w:fill="DCDDDE"/>
          </w:tcPr>
          <w:p w:rsidRPr="00E7680F" w:rsidR="00B95C51" w:rsidP="00B06F49" w:rsidRDefault="00B95C51" w14:paraId="617869D1" w14:textId="77777777">
            <w:pPr>
              <w:pStyle w:val="TableParagraph"/>
              <w:spacing w:line="276" w:lineRule="auto"/>
            </w:pPr>
          </w:p>
          <w:p w:rsidRPr="00E7680F" w:rsidR="00B95C51" w:rsidP="00B06F49" w:rsidRDefault="00B95C51" w14:paraId="638067EA" w14:textId="77777777">
            <w:pPr>
              <w:pStyle w:val="TableParagraph"/>
              <w:spacing w:before="166" w:line="276" w:lineRule="auto"/>
              <w:ind w:left="4"/>
              <w:jc w:val="center"/>
              <w:rPr>
                <w:sz w:val="20"/>
              </w:rPr>
            </w:pPr>
            <w:r w:rsidRPr="00E7680F">
              <w:rPr>
                <w:w w:val="99"/>
                <w:sz w:val="20"/>
              </w:rPr>
              <w:t>4</w:t>
            </w:r>
          </w:p>
        </w:tc>
        <w:tc>
          <w:tcPr>
            <w:tcW w:w="8334" w:type="dxa"/>
            <w:tcBorders>
              <w:right w:val="nil"/>
            </w:tcBorders>
            <w:shd w:val="clear" w:color="auto" w:fill="DCDDDE"/>
          </w:tcPr>
          <w:p w:rsidRPr="00E7680F" w:rsidR="00B95C51" w:rsidP="00B06F49" w:rsidRDefault="00B95C51" w14:paraId="501F78EA" w14:textId="77777777">
            <w:pPr>
              <w:pStyle w:val="TableParagraph"/>
              <w:spacing w:before="59" w:line="276" w:lineRule="auto"/>
              <w:ind w:left="108" w:right="54"/>
              <w:jc w:val="both"/>
              <w:rPr>
                <w:sz w:val="20"/>
              </w:rPr>
            </w:pPr>
            <w:r w:rsidRPr="00E7680F">
              <w:rPr>
                <w:sz w:val="20"/>
              </w:rPr>
              <w:t>La contratación realizada de conformidad con un procedimiento o condición particular de una organización internacional o financiada mediante donaciones, préstamos u otras formas de asistencia internacionales, cuando tenga que hacerse de una forma no contemplada en el Acuerdo Comercial.</w:t>
            </w:r>
          </w:p>
        </w:tc>
      </w:tr>
      <w:tr w:rsidRPr="00E7680F" w:rsidR="00B95C51" w:rsidTr="00B06F49" w14:paraId="7C4F02B8" w14:textId="77777777">
        <w:trPr>
          <w:trHeight w:val="672"/>
          <w:jc w:val="center"/>
        </w:trPr>
        <w:tc>
          <w:tcPr>
            <w:tcW w:w="1304" w:type="dxa"/>
            <w:tcBorders>
              <w:left w:val="nil"/>
            </w:tcBorders>
            <w:shd w:val="clear" w:color="auto" w:fill="F1F1F2"/>
          </w:tcPr>
          <w:p w:rsidRPr="00E7680F" w:rsidR="00B95C51" w:rsidP="00B06F49" w:rsidRDefault="00B95C51" w14:paraId="4370BE15" w14:textId="77777777">
            <w:pPr>
              <w:pStyle w:val="TableParagraph"/>
              <w:spacing w:before="1" w:line="276" w:lineRule="auto"/>
              <w:rPr>
                <w:sz w:val="19"/>
              </w:rPr>
            </w:pPr>
          </w:p>
          <w:p w:rsidRPr="00E7680F" w:rsidR="00B95C51" w:rsidP="00B06F49" w:rsidRDefault="00B95C51" w14:paraId="57390FBB" w14:textId="77777777">
            <w:pPr>
              <w:pStyle w:val="TableParagraph"/>
              <w:spacing w:line="276" w:lineRule="auto"/>
              <w:ind w:left="4"/>
              <w:jc w:val="center"/>
              <w:rPr>
                <w:sz w:val="20"/>
              </w:rPr>
            </w:pPr>
            <w:r w:rsidRPr="00E7680F">
              <w:rPr>
                <w:w w:val="99"/>
                <w:sz w:val="20"/>
              </w:rPr>
              <w:t>5</w:t>
            </w:r>
          </w:p>
        </w:tc>
        <w:tc>
          <w:tcPr>
            <w:tcW w:w="8334" w:type="dxa"/>
            <w:tcBorders>
              <w:right w:val="nil"/>
            </w:tcBorders>
            <w:shd w:val="clear" w:color="auto" w:fill="F1F1F2"/>
          </w:tcPr>
          <w:p w:rsidRPr="00E7680F" w:rsidR="00B95C51" w:rsidP="00B06F49" w:rsidRDefault="00B95C51" w14:paraId="431D6C8C" w14:textId="77777777">
            <w:pPr>
              <w:pStyle w:val="TableParagraph"/>
              <w:spacing w:before="1" w:line="276" w:lineRule="auto"/>
              <w:rPr>
                <w:sz w:val="19"/>
              </w:rPr>
            </w:pPr>
          </w:p>
          <w:p w:rsidRPr="00E7680F" w:rsidR="00B95C51" w:rsidP="00B06F49" w:rsidRDefault="00B95C51" w14:paraId="5ADA1B1D" w14:textId="77777777">
            <w:pPr>
              <w:pStyle w:val="TableParagraph"/>
              <w:spacing w:line="276" w:lineRule="auto"/>
              <w:ind w:left="108"/>
              <w:rPr>
                <w:sz w:val="20"/>
              </w:rPr>
            </w:pPr>
            <w:r w:rsidRPr="00E7680F">
              <w:rPr>
                <w:sz w:val="20"/>
              </w:rPr>
              <w:t>Los contratos de empleo público y medidas relacionadas.</w:t>
            </w:r>
          </w:p>
        </w:tc>
      </w:tr>
      <w:tr w:rsidRPr="00E7680F" w:rsidR="00B95C51" w:rsidTr="00B06F49" w14:paraId="39B412A9" w14:textId="77777777">
        <w:trPr>
          <w:trHeight w:val="769"/>
          <w:jc w:val="center"/>
        </w:trPr>
        <w:tc>
          <w:tcPr>
            <w:tcW w:w="1304" w:type="dxa"/>
            <w:tcBorders>
              <w:left w:val="nil"/>
            </w:tcBorders>
            <w:shd w:val="clear" w:color="auto" w:fill="DCDDDE"/>
          </w:tcPr>
          <w:p w:rsidRPr="00E7680F" w:rsidR="00B95C51" w:rsidP="00B06F49" w:rsidRDefault="00B95C51" w14:paraId="7E284F37" w14:textId="77777777">
            <w:pPr>
              <w:pStyle w:val="TableParagraph"/>
              <w:spacing w:before="4" w:line="276" w:lineRule="auto"/>
              <w:rPr>
                <w:sz w:val="23"/>
              </w:rPr>
            </w:pPr>
          </w:p>
          <w:p w:rsidRPr="00E7680F" w:rsidR="00B95C51" w:rsidP="00B06F49" w:rsidRDefault="00B95C51" w14:paraId="6B73F347" w14:textId="77777777">
            <w:pPr>
              <w:pStyle w:val="TableParagraph"/>
              <w:spacing w:line="276" w:lineRule="auto"/>
              <w:ind w:left="4"/>
              <w:jc w:val="center"/>
              <w:rPr>
                <w:sz w:val="20"/>
              </w:rPr>
            </w:pPr>
            <w:r w:rsidRPr="00E7680F">
              <w:rPr>
                <w:w w:val="99"/>
                <w:sz w:val="20"/>
              </w:rPr>
              <w:t>6</w:t>
            </w:r>
          </w:p>
        </w:tc>
        <w:tc>
          <w:tcPr>
            <w:tcW w:w="8334" w:type="dxa"/>
            <w:tcBorders>
              <w:right w:val="nil"/>
            </w:tcBorders>
            <w:shd w:val="clear" w:color="auto" w:fill="DCDDDE"/>
          </w:tcPr>
          <w:p w:rsidRPr="00E7680F" w:rsidR="00B95C51" w:rsidP="00B06F49" w:rsidRDefault="00B95C51" w14:paraId="5A48E633" w14:textId="77777777">
            <w:pPr>
              <w:pStyle w:val="TableParagraph"/>
              <w:spacing w:before="148" w:line="276" w:lineRule="auto"/>
              <w:ind w:left="108" w:right="52"/>
              <w:rPr>
                <w:sz w:val="20"/>
              </w:rPr>
            </w:pPr>
            <w:r w:rsidRPr="00E7680F">
              <w:rPr>
                <w:sz w:val="20"/>
              </w:rPr>
              <w:t>La contratación de servicios de agencias fiscales, servicios de depósito, servicios de liquidación y gestión para instituciones financieras, servicios vinculados a la deuda pública.</w:t>
            </w:r>
          </w:p>
        </w:tc>
      </w:tr>
      <w:tr w:rsidRPr="00E7680F" w:rsidR="00B95C51" w:rsidTr="00B06F49" w14:paraId="64D2E46F" w14:textId="77777777">
        <w:trPr>
          <w:trHeight w:val="804"/>
          <w:jc w:val="center"/>
        </w:trPr>
        <w:tc>
          <w:tcPr>
            <w:tcW w:w="1304" w:type="dxa"/>
            <w:tcBorders>
              <w:left w:val="nil"/>
            </w:tcBorders>
            <w:shd w:val="clear" w:color="auto" w:fill="F1F1F2"/>
          </w:tcPr>
          <w:p w:rsidRPr="00E7680F" w:rsidR="00B95C51" w:rsidP="00B06F49" w:rsidRDefault="00B95C51" w14:paraId="4C3CB8F5" w14:textId="77777777">
            <w:pPr>
              <w:pStyle w:val="TableParagraph"/>
              <w:spacing w:before="9" w:line="276" w:lineRule="auto"/>
              <w:rPr>
                <w:sz w:val="24"/>
              </w:rPr>
            </w:pPr>
          </w:p>
          <w:p w:rsidRPr="00E7680F" w:rsidR="00B95C51" w:rsidP="00B06F49" w:rsidRDefault="00B95C51" w14:paraId="5090677E" w14:textId="77777777">
            <w:pPr>
              <w:pStyle w:val="TableParagraph"/>
              <w:spacing w:before="1" w:line="276" w:lineRule="auto"/>
              <w:ind w:left="4"/>
              <w:jc w:val="center"/>
              <w:rPr>
                <w:sz w:val="20"/>
              </w:rPr>
            </w:pPr>
            <w:r w:rsidRPr="00E7680F">
              <w:rPr>
                <w:w w:val="99"/>
                <w:sz w:val="20"/>
              </w:rPr>
              <w:t>7</w:t>
            </w:r>
          </w:p>
        </w:tc>
        <w:tc>
          <w:tcPr>
            <w:tcW w:w="8334" w:type="dxa"/>
            <w:tcBorders>
              <w:right w:val="nil"/>
            </w:tcBorders>
            <w:shd w:val="clear" w:color="auto" w:fill="F1F1F2"/>
          </w:tcPr>
          <w:p w:rsidRPr="00E7680F" w:rsidR="00B95C51" w:rsidP="00B06F49" w:rsidRDefault="00B95C51" w14:paraId="4EDF3A78" w14:textId="77777777">
            <w:pPr>
              <w:pStyle w:val="TableParagraph"/>
              <w:spacing w:before="166" w:line="276" w:lineRule="auto"/>
              <w:ind w:left="108" w:right="52"/>
              <w:rPr>
                <w:sz w:val="20"/>
              </w:rPr>
            </w:pPr>
            <w:r w:rsidRPr="00E7680F">
              <w:rPr>
                <w:sz w:val="20"/>
              </w:rPr>
              <w:t>La contratación pública de servicios bancarios o financieros referidos al endeudamiento público o a la administración de pasivos.</w:t>
            </w:r>
          </w:p>
        </w:tc>
      </w:tr>
      <w:tr w:rsidRPr="00E7680F" w:rsidR="00B95C51" w:rsidTr="00B06F49" w14:paraId="53A06E87" w14:textId="77777777">
        <w:trPr>
          <w:trHeight w:val="522"/>
          <w:jc w:val="center"/>
        </w:trPr>
        <w:tc>
          <w:tcPr>
            <w:tcW w:w="1304" w:type="dxa"/>
            <w:tcBorders>
              <w:left w:val="nil"/>
            </w:tcBorders>
            <w:shd w:val="clear" w:color="auto" w:fill="DCDDDE"/>
          </w:tcPr>
          <w:p w:rsidRPr="00E7680F" w:rsidR="00B95C51" w:rsidP="00B06F49" w:rsidRDefault="00B95C51" w14:paraId="19E78D5A" w14:textId="77777777">
            <w:pPr>
              <w:pStyle w:val="TableParagraph"/>
              <w:spacing w:before="145" w:line="276" w:lineRule="auto"/>
              <w:ind w:left="254" w:right="250"/>
              <w:jc w:val="center"/>
              <w:rPr>
                <w:sz w:val="20"/>
              </w:rPr>
            </w:pPr>
            <w:r w:rsidRPr="00E7680F">
              <w:rPr>
                <w:sz w:val="20"/>
              </w:rPr>
              <w:t>12</w:t>
            </w:r>
          </w:p>
        </w:tc>
        <w:tc>
          <w:tcPr>
            <w:tcW w:w="8334" w:type="dxa"/>
            <w:tcBorders>
              <w:right w:val="nil"/>
            </w:tcBorders>
            <w:shd w:val="clear" w:color="auto" w:fill="DCDDDE"/>
          </w:tcPr>
          <w:p w:rsidRPr="00E7680F" w:rsidR="00B95C51" w:rsidP="00B06F49" w:rsidRDefault="00B95C51" w14:paraId="6326693F" w14:textId="77777777">
            <w:pPr>
              <w:pStyle w:val="TableParagraph"/>
              <w:spacing w:before="15" w:line="276" w:lineRule="auto"/>
              <w:ind w:left="108" w:right="52"/>
              <w:rPr>
                <w:sz w:val="20"/>
              </w:rPr>
            </w:pPr>
            <w:r w:rsidRPr="00E7680F">
              <w:rPr>
                <w:sz w:val="20"/>
              </w:rPr>
              <w:t>La adquisición o arrendamiento de bienes inmuebles (tierras, edificios, etc.) o los derechos sobre estos.</w:t>
            </w:r>
          </w:p>
        </w:tc>
      </w:tr>
      <w:tr w:rsidRPr="00E7680F" w:rsidR="00B95C51" w:rsidTr="00B06F49" w14:paraId="2E98EEE5" w14:textId="77777777">
        <w:trPr>
          <w:trHeight w:val="598"/>
          <w:jc w:val="center"/>
        </w:trPr>
        <w:tc>
          <w:tcPr>
            <w:tcW w:w="1304" w:type="dxa"/>
            <w:tcBorders>
              <w:left w:val="nil"/>
            </w:tcBorders>
            <w:shd w:val="clear" w:color="auto" w:fill="DCDDDE"/>
          </w:tcPr>
          <w:p w:rsidRPr="00E7680F" w:rsidR="00B95C51" w:rsidP="00B06F49" w:rsidRDefault="00B95C51" w14:paraId="3EF7CDB3" w14:textId="77777777">
            <w:pPr>
              <w:pStyle w:val="TableParagraph"/>
              <w:spacing w:before="183" w:line="276" w:lineRule="auto"/>
              <w:ind w:left="254" w:right="250"/>
              <w:jc w:val="center"/>
              <w:rPr>
                <w:sz w:val="20"/>
              </w:rPr>
            </w:pPr>
            <w:r w:rsidRPr="00E7680F">
              <w:rPr>
                <w:sz w:val="20"/>
              </w:rPr>
              <w:t>14</w:t>
            </w:r>
          </w:p>
        </w:tc>
        <w:tc>
          <w:tcPr>
            <w:tcW w:w="8334" w:type="dxa"/>
            <w:tcBorders>
              <w:right w:val="nil"/>
            </w:tcBorders>
            <w:shd w:val="clear" w:color="auto" w:fill="DCDDDE"/>
          </w:tcPr>
          <w:p w:rsidRPr="00E7680F" w:rsidR="00B95C51" w:rsidP="00B06F49" w:rsidRDefault="00B95C51" w14:paraId="439B0EF0" w14:textId="6CC0FF1E">
            <w:pPr>
              <w:pStyle w:val="TableParagraph"/>
              <w:spacing w:before="183" w:line="276" w:lineRule="auto"/>
              <w:ind w:left="108"/>
              <w:rPr>
                <w:sz w:val="20"/>
              </w:rPr>
            </w:pPr>
            <w:r w:rsidRPr="00E7680F">
              <w:rPr>
                <w:sz w:val="20"/>
              </w:rPr>
              <w:t>Las convocatorias limitadas a Mipyme.</w:t>
            </w:r>
          </w:p>
        </w:tc>
      </w:tr>
      <w:tr w:rsidRPr="00E7680F" w:rsidR="00B95C51" w:rsidTr="00B06F49" w14:paraId="0A9D183A" w14:textId="77777777">
        <w:trPr>
          <w:trHeight w:val="1166"/>
          <w:jc w:val="center"/>
        </w:trPr>
        <w:tc>
          <w:tcPr>
            <w:tcW w:w="1304" w:type="dxa"/>
            <w:tcBorders>
              <w:left w:val="nil"/>
            </w:tcBorders>
            <w:shd w:val="clear" w:color="auto" w:fill="F1F1F2"/>
          </w:tcPr>
          <w:p w:rsidRPr="00E7680F" w:rsidR="00B95C51" w:rsidP="00B06F49" w:rsidRDefault="00B95C51" w14:paraId="3C119BA3" w14:textId="77777777">
            <w:pPr>
              <w:pStyle w:val="TableParagraph"/>
              <w:spacing w:line="276" w:lineRule="auto"/>
            </w:pPr>
          </w:p>
          <w:p w:rsidRPr="00E7680F" w:rsidR="00B95C51" w:rsidP="00B06F49" w:rsidRDefault="00B95C51" w14:paraId="0A8C8AE5" w14:textId="77777777">
            <w:pPr>
              <w:pStyle w:val="TableParagraph"/>
              <w:spacing w:before="6" w:line="276" w:lineRule="auto"/>
              <w:rPr>
                <w:sz w:val="18"/>
              </w:rPr>
            </w:pPr>
          </w:p>
          <w:p w:rsidRPr="00E7680F" w:rsidR="00B95C51" w:rsidP="00B06F49" w:rsidRDefault="00B95C51" w14:paraId="4CB91C07" w14:textId="77777777">
            <w:pPr>
              <w:pStyle w:val="TableParagraph"/>
              <w:spacing w:before="1" w:line="276" w:lineRule="auto"/>
              <w:ind w:left="254" w:right="250"/>
              <w:jc w:val="center"/>
              <w:rPr>
                <w:sz w:val="20"/>
              </w:rPr>
            </w:pPr>
            <w:r w:rsidRPr="00E7680F">
              <w:rPr>
                <w:sz w:val="20"/>
              </w:rPr>
              <w:t>15</w:t>
            </w:r>
          </w:p>
        </w:tc>
        <w:tc>
          <w:tcPr>
            <w:tcW w:w="8334" w:type="dxa"/>
            <w:tcBorders>
              <w:right w:val="nil"/>
            </w:tcBorders>
            <w:shd w:val="clear" w:color="auto" w:fill="F1F1F2"/>
          </w:tcPr>
          <w:p w:rsidRPr="00E7680F" w:rsidR="00B95C51" w:rsidP="00B06F49" w:rsidRDefault="00B95C51" w14:paraId="74751228" w14:textId="77777777">
            <w:pPr>
              <w:pStyle w:val="TableParagraph"/>
              <w:spacing w:before="8" w:line="276" w:lineRule="auto"/>
              <w:rPr>
                <w:sz w:val="19"/>
              </w:rPr>
            </w:pPr>
          </w:p>
          <w:p w:rsidRPr="00E7680F" w:rsidR="00B95C51" w:rsidP="00B06F49" w:rsidRDefault="00B95C51" w14:paraId="4A466BA9" w14:textId="77777777">
            <w:pPr>
              <w:pStyle w:val="TableParagraph"/>
              <w:spacing w:line="276" w:lineRule="auto"/>
              <w:ind w:left="108" w:right="54"/>
              <w:jc w:val="both"/>
              <w:rPr>
                <w:sz w:val="20"/>
              </w:rPr>
            </w:pPr>
            <w:r w:rsidRPr="00E7680F">
              <w:rPr>
                <w:sz w:val="20"/>
              </w:rPr>
              <w:t xml:space="preserve">Las contrataciones relacionadas con los programas de reinserción a la vida civil originados en procesos de paz, ayuda a los desplazados por la violencia, apoyo a los pobladores </w:t>
            </w:r>
            <w:r w:rsidRPr="00E7680F">
              <w:rPr>
                <w:spacing w:val="-6"/>
                <w:sz w:val="20"/>
              </w:rPr>
              <w:t xml:space="preserve">de </w:t>
            </w:r>
            <w:r w:rsidRPr="00E7680F">
              <w:rPr>
                <w:sz w:val="20"/>
              </w:rPr>
              <w:t>zonas</w:t>
            </w:r>
            <w:r w:rsidRPr="00E7680F">
              <w:rPr>
                <w:spacing w:val="-11"/>
                <w:sz w:val="20"/>
              </w:rPr>
              <w:t xml:space="preserve"> </w:t>
            </w:r>
            <w:r w:rsidRPr="00E7680F">
              <w:rPr>
                <w:sz w:val="20"/>
              </w:rPr>
              <w:t>en</w:t>
            </w:r>
            <w:r w:rsidRPr="00E7680F">
              <w:rPr>
                <w:spacing w:val="-10"/>
                <w:sz w:val="20"/>
              </w:rPr>
              <w:t xml:space="preserve"> </w:t>
            </w:r>
            <w:r w:rsidRPr="00E7680F">
              <w:rPr>
                <w:sz w:val="20"/>
              </w:rPr>
              <w:t>conflicto</w:t>
            </w:r>
            <w:r w:rsidRPr="00E7680F">
              <w:rPr>
                <w:spacing w:val="-11"/>
                <w:sz w:val="20"/>
              </w:rPr>
              <w:t xml:space="preserve"> </w:t>
            </w:r>
            <w:r w:rsidRPr="00E7680F">
              <w:rPr>
                <w:sz w:val="20"/>
              </w:rPr>
              <w:t>y</w:t>
            </w:r>
            <w:r w:rsidRPr="00E7680F">
              <w:rPr>
                <w:spacing w:val="-10"/>
                <w:sz w:val="20"/>
              </w:rPr>
              <w:t xml:space="preserve"> </w:t>
            </w:r>
            <w:r w:rsidRPr="00E7680F">
              <w:rPr>
                <w:sz w:val="20"/>
              </w:rPr>
              <w:t>en</w:t>
            </w:r>
            <w:r w:rsidRPr="00E7680F">
              <w:rPr>
                <w:spacing w:val="-10"/>
                <w:sz w:val="20"/>
              </w:rPr>
              <w:t xml:space="preserve"> </w:t>
            </w:r>
            <w:r w:rsidRPr="00E7680F">
              <w:rPr>
                <w:sz w:val="20"/>
              </w:rPr>
              <w:t>general</w:t>
            </w:r>
            <w:r w:rsidRPr="00E7680F">
              <w:rPr>
                <w:spacing w:val="-11"/>
                <w:sz w:val="20"/>
              </w:rPr>
              <w:t xml:space="preserve"> </w:t>
            </w:r>
            <w:r w:rsidRPr="00E7680F">
              <w:rPr>
                <w:sz w:val="20"/>
              </w:rPr>
              <w:t>los</w:t>
            </w:r>
            <w:r w:rsidRPr="00E7680F">
              <w:rPr>
                <w:spacing w:val="-10"/>
                <w:sz w:val="20"/>
              </w:rPr>
              <w:t xml:space="preserve"> </w:t>
            </w:r>
            <w:r w:rsidRPr="00E7680F">
              <w:rPr>
                <w:sz w:val="20"/>
              </w:rPr>
              <w:t>programas</w:t>
            </w:r>
            <w:r w:rsidRPr="00E7680F">
              <w:rPr>
                <w:spacing w:val="-10"/>
                <w:sz w:val="20"/>
              </w:rPr>
              <w:t xml:space="preserve"> </w:t>
            </w:r>
            <w:r w:rsidRPr="00E7680F">
              <w:rPr>
                <w:sz w:val="20"/>
              </w:rPr>
              <w:t>derivados</w:t>
            </w:r>
            <w:r w:rsidRPr="00E7680F">
              <w:rPr>
                <w:spacing w:val="-11"/>
                <w:sz w:val="20"/>
              </w:rPr>
              <w:t xml:space="preserve"> </w:t>
            </w:r>
            <w:r w:rsidRPr="00E7680F">
              <w:rPr>
                <w:sz w:val="20"/>
              </w:rPr>
              <w:t>de</w:t>
            </w:r>
            <w:r w:rsidRPr="00E7680F">
              <w:rPr>
                <w:spacing w:val="-10"/>
                <w:sz w:val="20"/>
              </w:rPr>
              <w:t xml:space="preserve"> </w:t>
            </w:r>
            <w:r w:rsidRPr="00E7680F">
              <w:rPr>
                <w:sz w:val="20"/>
              </w:rPr>
              <w:t>la</w:t>
            </w:r>
            <w:r w:rsidRPr="00E7680F">
              <w:rPr>
                <w:spacing w:val="-10"/>
                <w:sz w:val="20"/>
              </w:rPr>
              <w:t xml:space="preserve"> </w:t>
            </w:r>
            <w:r w:rsidRPr="00E7680F">
              <w:rPr>
                <w:sz w:val="20"/>
              </w:rPr>
              <w:t>solución</w:t>
            </w:r>
            <w:r w:rsidRPr="00E7680F">
              <w:rPr>
                <w:spacing w:val="-11"/>
                <w:sz w:val="20"/>
              </w:rPr>
              <w:t xml:space="preserve"> </w:t>
            </w:r>
            <w:r w:rsidRPr="00E7680F">
              <w:rPr>
                <w:sz w:val="20"/>
              </w:rPr>
              <w:t>del</w:t>
            </w:r>
            <w:r w:rsidRPr="00E7680F">
              <w:rPr>
                <w:spacing w:val="-10"/>
                <w:sz w:val="20"/>
              </w:rPr>
              <w:t xml:space="preserve"> </w:t>
            </w:r>
            <w:r w:rsidRPr="00E7680F">
              <w:rPr>
                <w:sz w:val="20"/>
              </w:rPr>
              <w:t>conflicto</w:t>
            </w:r>
            <w:r w:rsidRPr="00E7680F">
              <w:rPr>
                <w:spacing w:val="-10"/>
                <w:sz w:val="20"/>
              </w:rPr>
              <w:t xml:space="preserve"> </w:t>
            </w:r>
            <w:r w:rsidRPr="00E7680F">
              <w:rPr>
                <w:sz w:val="20"/>
              </w:rPr>
              <w:t>armado.</w:t>
            </w:r>
          </w:p>
        </w:tc>
      </w:tr>
      <w:tr w:rsidRPr="00E7680F" w:rsidR="00B95C51" w:rsidTr="00B06F49" w14:paraId="647E0AB8" w14:textId="77777777">
        <w:trPr>
          <w:trHeight w:val="759"/>
          <w:jc w:val="center"/>
        </w:trPr>
        <w:tc>
          <w:tcPr>
            <w:tcW w:w="1304" w:type="dxa"/>
            <w:tcBorders>
              <w:left w:val="nil"/>
            </w:tcBorders>
            <w:shd w:val="clear" w:color="auto" w:fill="DCDDDE"/>
          </w:tcPr>
          <w:p w:rsidRPr="00E7680F" w:rsidR="00B95C51" w:rsidP="00B06F49" w:rsidRDefault="00B95C51" w14:paraId="47B716C7" w14:textId="77777777">
            <w:pPr>
              <w:pStyle w:val="TableParagraph"/>
              <w:spacing w:before="10" w:line="276" w:lineRule="auto"/>
            </w:pPr>
          </w:p>
          <w:p w:rsidRPr="00E7680F" w:rsidR="00B95C51" w:rsidP="00B06F49" w:rsidRDefault="00B95C51" w14:paraId="55F1A27D" w14:textId="77777777">
            <w:pPr>
              <w:pStyle w:val="TableParagraph"/>
              <w:spacing w:line="276" w:lineRule="auto"/>
              <w:ind w:left="254" w:right="250"/>
              <w:jc w:val="center"/>
              <w:rPr>
                <w:sz w:val="20"/>
              </w:rPr>
            </w:pPr>
            <w:r w:rsidRPr="00E7680F">
              <w:rPr>
                <w:sz w:val="20"/>
              </w:rPr>
              <w:t>16</w:t>
            </w:r>
          </w:p>
        </w:tc>
        <w:tc>
          <w:tcPr>
            <w:tcW w:w="8334" w:type="dxa"/>
            <w:tcBorders>
              <w:right w:val="nil"/>
            </w:tcBorders>
            <w:shd w:val="clear" w:color="auto" w:fill="DCDDDE"/>
          </w:tcPr>
          <w:p w:rsidRPr="00E7680F" w:rsidR="00B95C51" w:rsidP="00B06F49" w:rsidRDefault="00B95C51" w14:paraId="31F37937" w14:textId="77777777">
            <w:pPr>
              <w:pStyle w:val="TableParagraph"/>
              <w:spacing w:before="143" w:line="276" w:lineRule="auto"/>
              <w:ind w:left="108" w:right="52"/>
              <w:rPr>
                <w:sz w:val="20"/>
              </w:rPr>
            </w:pPr>
            <w:r w:rsidRPr="00E7680F">
              <w:rPr>
                <w:sz w:val="20"/>
              </w:rPr>
              <w:t>Las</w:t>
            </w:r>
            <w:r w:rsidRPr="00E7680F">
              <w:rPr>
                <w:spacing w:val="-26"/>
                <w:sz w:val="20"/>
              </w:rPr>
              <w:t xml:space="preserve"> </w:t>
            </w:r>
            <w:r w:rsidRPr="00E7680F">
              <w:rPr>
                <w:sz w:val="20"/>
              </w:rPr>
              <w:t>contrataciones</w:t>
            </w:r>
            <w:r w:rsidRPr="00E7680F">
              <w:rPr>
                <w:spacing w:val="-26"/>
                <w:sz w:val="20"/>
              </w:rPr>
              <w:t xml:space="preserve"> </w:t>
            </w:r>
            <w:r w:rsidRPr="00E7680F">
              <w:rPr>
                <w:sz w:val="20"/>
              </w:rPr>
              <w:t>que</w:t>
            </w:r>
            <w:r w:rsidRPr="00E7680F">
              <w:rPr>
                <w:spacing w:val="-26"/>
                <w:sz w:val="20"/>
              </w:rPr>
              <w:t xml:space="preserve"> </w:t>
            </w:r>
            <w:r w:rsidRPr="00E7680F">
              <w:rPr>
                <w:sz w:val="20"/>
              </w:rPr>
              <w:t>realicen</w:t>
            </w:r>
            <w:r w:rsidRPr="00E7680F">
              <w:rPr>
                <w:spacing w:val="-25"/>
                <w:sz w:val="20"/>
              </w:rPr>
              <w:t xml:space="preserve"> </w:t>
            </w:r>
            <w:r w:rsidRPr="00E7680F">
              <w:rPr>
                <w:sz w:val="20"/>
              </w:rPr>
              <w:t>las</w:t>
            </w:r>
            <w:r w:rsidRPr="00E7680F">
              <w:rPr>
                <w:spacing w:val="-26"/>
                <w:sz w:val="20"/>
              </w:rPr>
              <w:t xml:space="preserve"> </w:t>
            </w:r>
            <w:r w:rsidRPr="00E7680F">
              <w:rPr>
                <w:sz w:val="20"/>
              </w:rPr>
              <w:t>misiones</w:t>
            </w:r>
            <w:r w:rsidRPr="00E7680F">
              <w:rPr>
                <w:spacing w:val="-26"/>
                <w:sz w:val="20"/>
              </w:rPr>
              <w:t xml:space="preserve"> </w:t>
            </w:r>
            <w:r w:rsidRPr="00E7680F">
              <w:rPr>
                <w:sz w:val="20"/>
              </w:rPr>
              <w:t>del</w:t>
            </w:r>
            <w:r w:rsidRPr="00E7680F">
              <w:rPr>
                <w:spacing w:val="-25"/>
                <w:sz w:val="20"/>
              </w:rPr>
              <w:t xml:space="preserve"> </w:t>
            </w:r>
            <w:r w:rsidRPr="00E7680F">
              <w:rPr>
                <w:sz w:val="20"/>
              </w:rPr>
              <w:t>servicio</w:t>
            </w:r>
            <w:r w:rsidRPr="00E7680F">
              <w:rPr>
                <w:spacing w:val="-26"/>
                <w:sz w:val="20"/>
              </w:rPr>
              <w:t xml:space="preserve"> </w:t>
            </w:r>
            <w:r w:rsidRPr="00E7680F">
              <w:rPr>
                <w:sz w:val="20"/>
              </w:rPr>
              <w:t>exterior</w:t>
            </w:r>
            <w:r w:rsidRPr="00E7680F">
              <w:rPr>
                <w:spacing w:val="-26"/>
                <w:sz w:val="20"/>
              </w:rPr>
              <w:t xml:space="preserve"> </w:t>
            </w:r>
            <w:r w:rsidRPr="00E7680F">
              <w:rPr>
                <w:sz w:val="20"/>
              </w:rPr>
              <w:t>de</w:t>
            </w:r>
            <w:r w:rsidRPr="00E7680F">
              <w:rPr>
                <w:spacing w:val="-25"/>
                <w:sz w:val="20"/>
              </w:rPr>
              <w:t xml:space="preserve"> </w:t>
            </w:r>
            <w:r w:rsidRPr="00E7680F">
              <w:rPr>
                <w:sz w:val="20"/>
              </w:rPr>
              <w:t>Colombia</w:t>
            </w:r>
            <w:r w:rsidRPr="00E7680F">
              <w:rPr>
                <w:spacing w:val="-26"/>
                <w:sz w:val="20"/>
              </w:rPr>
              <w:t xml:space="preserve"> </w:t>
            </w:r>
            <w:r w:rsidRPr="00E7680F">
              <w:rPr>
                <w:sz w:val="20"/>
              </w:rPr>
              <w:t>exclusivamente para su funcionamiento y</w:t>
            </w:r>
            <w:r w:rsidRPr="00E7680F">
              <w:rPr>
                <w:spacing w:val="1"/>
                <w:sz w:val="20"/>
              </w:rPr>
              <w:t xml:space="preserve"> </w:t>
            </w:r>
            <w:r w:rsidRPr="00E7680F">
              <w:rPr>
                <w:sz w:val="20"/>
              </w:rPr>
              <w:t>gestión.</w:t>
            </w:r>
          </w:p>
        </w:tc>
      </w:tr>
      <w:tr w:rsidRPr="00E7680F" w:rsidR="00B95C51" w:rsidTr="00B06F49" w14:paraId="1504BA0B" w14:textId="77777777">
        <w:trPr>
          <w:trHeight w:val="650"/>
          <w:jc w:val="center"/>
        </w:trPr>
        <w:tc>
          <w:tcPr>
            <w:tcW w:w="1304" w:type="dxa"/>
            <w:tcBorders>
              <w:left w:val="nil"/>
            </w:tcBorders>
            <w:shd w:val="clear" w:color="auto" w:fill="F1F1F2"/>
          </w:tcPr>
          <w:p w:rsidRPr="00E7680F" w:rsidR="00B95C51" w:rsidP="00B06F49" w:rsidRDefault="00B95C51" w14:paraId="526E2995" w14:textId="77777777">
            <w:pPr>
              <w:pStyle w:val="TableParagraph"/>
              <w:spacing w:before="1" w:line="276" w:lineRule="auto"/>
              <w:rPr>
                <w:sz w:val="18"/>
              </w:rPr>
            </w:pPr>
          </w:p>
          <w:p w:rsidRPr="00E7680F" w:rsidR="00B95C51" w:rsidP="00B06F49" w:rsidRDefault="00B95C51" w14:paraId="673E12D1" w14:textId="77777777">
            <w:pPr>
              <w:pStyle w:val="TableParagraph"/>
              <w:spacing w:before="1" w:line="276" w:lineRule="auto"/>
              <w:ind w:left="254" w:right="250"/>
              <w:jc w:val="center"/>
              <w:rPr>
                <w:sz w:val="20"/>
              </w:rPr>
            </w:pPr>
            <w:r w:rsidRPr="00E7680F">
              <w:rPr>
                <w:sz w:val="20"/>
              </w:rPr>
              <w:t>17</w:t>
            </w:r>
          </w:p>
        </w:tc>
        <w:tc>
          <w:tcPr>
            <w:tcW w:w="8334" w:type="dxa"/>
            <w:tcBorders>
              <w:right w:val="nil"/>
            </w:tcBorders>
            <w:shd w:val="clear" w:color="auto" w:fill="F1F1F2"/>
          </w:tcPr>
          <w:p w:rsidRPr="00E7680F" w:rsidR="00B95C51" w:rsidP="00B06F49" w:rsidRDefault="00B95C51" w14:paraId="5364C606" w14:textId="77777777">
            <w:pPr>
              <w:pStyle w:val="TableParagraph"/>
              <w:spacing w:before="1" w:line="276" w:lineRule="auto"/>
              <w:rPr>
                <w:sz w:val="18"/>
              </w:rPr>
            </w:pPr>
          </w:p>
          <w:p w:rsidRPr="00E7680F" w:rsidR="00B95C51" w:rsidP="00B06F49" w:rsidRDefault="00B95C51" w14:paraId="5C0DB5CF" w14:textId="77777777">
            <w:pPr>
              <w:pStyle w:val="TableParagraph"/>
              <w:spacing w:before="1" w:line="276" w:lineRule="auto"/>
              <w:ind w:left="108"/>
              <w:rPr>
                <w:sz w:val="20"/>
              </w:rPr>
            </w:pPr>
            <w:r w:rsidRPr="00E7680F">
              <w:rPr>
                <w:sz w:val="20"/>
              </w:rPr>
              <w:t>Los contratos interadministrativos.</w:t>
            </w:r>
          </w:p>
        </w:tc>
      </w:tr>
      <w:tr w:rsidRPr="00E7680F" w:rsidR="00B95C51" w:rsidTr="00B06F49" w14:paraId="1C427C1D" w14:textId="77777777">
        <w:trPr>
          <w:trHeight w:val="641"/>
          <w:jc w:val="center"/>
        </w:trPr>
        <w:tc>
          <w:tcPr>
            <w:tcW w:w="1304" w:type="dxa"/>
            <w:tcBorders>
              <w:left w:val="nil"/>
            </w:tcBorders>
            <w:shd w:val="clear" w:color="auto" w:fill="F1F1F2"/>
          </w:tcPr>
          <w:p w:rsidRPr="00E7680F" w:rsidR="00B95C51" w:rsidP="00B06F49" w:rsidRDefault="00B95C51" w14:paraId="6DA13ED1" w14:textId="77777777">
            <w:pPr>
              <w:pStyle w:val="TableParagraph"/>
              <w:spacing w:before="9" w:line="276" w:lineRule="auto"/>
              <w:rPr>
                <w:sz w:val="17"/>
              </w:rPr>
            </w:pPr>
          </w:p>
          <w:p w:rsidRPr="00E7680F" w:rsidR="00B95C51" w:rsidP="00B06F49" w:rsidRDefault="00B95C51" w14:paraId="5DF3C88B" w14:textId="77777777">
            <w:pPr>
              <w:pStyle w:val="TableParagraph"/>
              <w:spacing w:line="276" w:lineRule="auto"/>
              <w:ind w:left="254" w:right="250"/>
              <w:jc w:val="center"/>
              <w:rPr>
                <w:sz w:val="20"/>
              </w:rPr>
            </w:pPr>
            <w:r w:rsidRPr="00E7680F">
              <w:rPr>
                <w:sz w:val="20"/>
              </w:rPr>
              <w:t>19</w:t>
            </w:r>
          </w:p>
        </w:tc>
        <w:tc>
          <w:tcPr>
            <w:tcW w:w="8334" w:type="dxa"/>
            <w:tcBorders>
              <w:right w:val="nil"/>
            </w:tcBorders>
            <w:shd w:val="clear" w:color="auto" w:fill="F1F1F2"/>
          </w:tcPr>
          <w:p w:rsidRPr="00E7680F" w:rsidR="00B95C51" w:rsidP="00B06F49" w:rsidRDefault="00B95C51" w14:paraId="6C6156A2" w14:textId="77777777">
            <w:pPr>
              <w:pStyle w:val="TableParagraph"/>
              <w:spacing w:before="9" w:line="276" w:lineRule="auto"/>
              <w:rPr>
                <w:sz w:val="17"/>
              </w:rPr>
            </w:pPr>
          </w:p>
          <w:p w:rsidRPr="00E7680F" w:rsidR="00B95C51" w:rsidP="00B06F49" w:rsidRDefault="00B95C51" w14:paraId="6D457265" w14:textId="77777777">
            <w:pPr>
              <w:pStyle w:val="TableParagraph"/>
              <w:spacing w:line="276" w:lineRule="auto"/>
              <w:ind w:left="108"/>
              <w:rPr>
                <w:sz w:val="20"/>
              </w:rPr>
            </w:pPr>
            <w:r w:rsidRPr="00E7680F">
              <w:rPr>
                <w:sz w:val="20"/>
              </w:rPr>
              <w:t>La</w:t>
            </w:r>
            <w:r w:rsidRPr="00E7680F">
              <w:rPr>
                <w:spacing w:val="-15"/>
                <w:sz w:val="20"/>
              </w:rPr>
              <w:t xml:space="preserve"> </w:t>
            </w:r>
            <w:r w:rsidRPr="00E7680F">
              <w:rPr>
                <w:sz w:val="20"/>
              </w:rPr>
              <w:t>adquisición</w:t>
            </w:r>
            <w:r w:rsidRPr="00E7680F">
              <w:rPr>
                <w:spacing w:val="-14"/>
                <w:sz w:val="20"/>
              </w:rPr>
              <w:t xml:space="preserve"> </w:t>
            </w:r>
            <w:r w:rsidRPr="00E7680F">
              <w:rPr>
                <w:sz w:val="20"/>
              </w:rPr>
              <w:t>de</w:t>
            </w:r>
            <w:r w:rsidRPr="00E7680F">
              <w:rPr>
                <w:spacing w:val="-14"/>
                <w:sz w:val="20"/>
              </w:rPr>
              <w:t xml:space="preserve"> </w:t>
            </w:r>
            <w:r w:rsidRPr="00E7680F">
              <w:rPr>
                <w:sz w:val="20"/>
              </w:rPr>
              <w:t>bienes</w:t>
            </w:r>
            <w:r w:rsidRPr="00E7680F">
              <w:rPr>
                <w:spacing w:val="-14"/>
                <w:sz w:val="20"/>
              </w:rPr>
              <w:t xml:space="preserve"> </w:t>
            </w:r>
            <w:r w:rsidRPr="00E7680F">
              <w:rPr>
                <w:sz w:val="20"/>
              </w:rPr>
              <w:t>requeridos</w:t>
            </w:r>
            <w:r w:rsidRPr="00E7680F">
              <w:rPr>
                <w:spacing w:val="-15"/>
                <w:sz w:val="20"/>
              </w:rPr>
              <w:t xml:space="preserve"> </w:t>
            </w:r>
            <w:r w:rsidRPr="00E7680F">
              <w:rPr>
                <w:sz w:val="20"/>
              </w:rPr>
              <w:t>en</w:t>
            </w:r>
            <w:r w:rsidRPr="00E7680F">
              <w:rPr>
                <w:spacing w:val="-14"/>
                <w:sz w:val="20"/>
              </w:rPr>
              <w:t xml:space="preserve"> </w:t>
            </w:r>
            <w:r w:rsidRPr="00E7680F">
              <w:rPr>
                <w:sz w:val="20"/>
              </w:rPr>
              <w:t>la</w:t>
            </w:r>
            <w:r w:rsidRPr="00E7680F">
              <w:rPr>
                <w:spacing w:val="-14"/>
                <w:sz w:val="20"/>
              </w:rPr>
              <w:t xml:space="preserve"> </w:t>
            </w:r>
            <w:r w:rsidRPr="00E7680F">
              <w:rPr>
                <w:sz w:val="20"/>
              </w:rPr>
              <w:t>ejecución</w:t>
            </w:r>
            <w:r w:rsidRPr="00E7680F">
              <w:rPr>
                <w:spacing w:val="-14"/>
                <w:sz w:val="20"/>
              </w:rPr>
              <w:t xml:space="preserve"> </w:t>
            </w:r>
            <w:r w:rsidRPr="00E7680F">
              <w:rPr>
                <w:sz w:val="20"/>
              </w:rPr>
              <w:t>de</w:t>
            </w:r>
            <w:r w:rsidRPr="00E7680F">
              <w:rPr>
                <w:spacing w:val="-15"/>
                <w:sz w:val="20"/>
              </w:rPr>
              <w:t xml:space="preserve"> </w:t>
            </w:r>
            <w:r w:rsidRPr="00E7680F">
              <w:rPr>
                <w:sz w:val="20"/>
              </w:rPr>
              <w:t>servicios</w:t>
            </w:r>
            <w:r w:rsidRPr="00E7680F">
              <w:rPr>
                <w:spacing w:val="-14"/>
                <w:sz w:val="20"/>
              </w:rPr>
              <w:t xml:space="preserve"> </w:t>
            </w:r>
            <w:r w:rsidRPr="00E7680F">
              <w:rPr>
                <w:sz w:val="20"/>
              </w:rPr>
              <w:t>de</w:t>
            </w:r>
            <w:r w:rsidRPr="00E7680F">
              <w:rPr>
                <w:spacing w:val="-14"/>
                <w:sz w:val="20"/>
              </w:rPr>
              <w:t xml:space="preserve"> </w:t>
            </w:r>
            <w:r w:rsidRPr="00E7680F">
              <w:rPr>
                <w:sz w:val="20"/>
              </w:rPr>
              <w:t>investigación</w:t>
            </w:r>
            <w:r w:rsidRPr="00E7680F">
              <w:rPr>
                <w:spacing w:val="-14"/>
                <w:sz w:val="20"/>
              </w:rPr>
              <w:t xml:space="preserve"> </w:t>
            </w:r>
            <w:r w:rsidRPr="00E7680F">
              <w:rPr>
                <w:sz w:val="20"/>
              </w:rPr>
              <w:t>y</w:t>
            </w:r>
            <w:r w:rsidRPr="00E7680F">
              <w:rPr>
                <w:spacing w:val="-15"/>
                <w:sz w:val="20"/>
              </w:rPr>
              <w:t xml:space="preserve"> </w:t>
            </w:r>
            <w:r w:rsidRPr="00E7680F">
              <w:rPr>
                <w:sz w:val="20"/>
              </w:rPr>
              <w:t>desarrollo.</w:t>
            </w:r>
          </w:p>
        </w:tc>
      </w:tr>
      <w:tr w:rsidRPr="00E7680F" w:rsidR="00B95C51" w:rsidTr="00B06F49" w14:paraId="227AF376" w14:textId="77777777">
        <w:trPr>
          <w:trHeight w:val="2406"/>
          <w:jc w:val="center"/>
        </w:trPr>
        <w:tc>
          <w:tcPr>
            <w:tcW w:w="1304" w:type="dxa"/>
            <w:tcBorders>
              <w:left w:val="nil"/>
            </w:tcBorders>
            <w:shd w:val="clear" w:color="auto" w:fill="DCDDDE"/>
          </w:tcPr>
          <w:p w:rsidRPr="00E7680F" w:rsidR="00B95C51" w:rsidP="00B06F49" w:rsidRDefault="00B95C51" w14:paraId="6D146FD9" w14:textId="77777777">
            <w:pPr>
              <w:pStyle w:val="TableParagraph"/>
              <w:spacing w:line="276" w:lineRule="auto"/>
            </w:pPr>
          </w:p>
          <w:p w:rsidRPr="00E7680F" w:rsidR="00B95C51" w:rsidP="00B06F49" w:rsidRDefault="00B95C51" w14:paraId="4413D915" w14:textId="77777777">
            <w:pPr>
              <w:pStyle w:val="TableParagraph"/>
              <w:spacing w:line="276" w:lineRule="auto"/>
            </w:pPr>
          </w:p>
          <w:p w:rsidRPr="00E7680F" w:rsidR="00B95C51" w:rsidP="00B06F49" w:rsidRDefault="00B95C51" w14:paraId="487BE135" w14:textId="77777777">
            <w:pPr>
              <w:pStyle w:val="TableParagraph"/>
              <w:spacing w:line="276" w:lineRule="auto"/>
            </w:pPr>
          </w:p>
          <w:p w:rsidRPr="00E7680F" w:rsidR="00B95C51" w:rsidP="00B06F49" w:rsidRDefault="00B95C51" w14:paraId="537B7B48" w14:textId="77777777">
            <w:pPr>
              <w:pStyle w:val="TableParagraph"/>
              <w:spacing w:before="5" w:line="276" w:lineRule="auto"/>
              <w:rPr>
                <w:sz w:val="28"/>
              </w:rPr>
            </w:pPr>
          </w:p>
          <w:p w:rsidRPr="00E7680F" w:rsidR="00B95C51" w:rsidP="00B06F49" w:rsidRDefault="00B95C51" w14:paraId="43354881" w14:textId="77777777">
            <w:pPr>
              <w:pStyle w:val="TableParagraph"/>
              <w:spacing w:before="1" w:line="276" w:lineRule="auto"/>
              <w:ind w:left="540"/>
              <w:rPr>
                <w:sz w:val="20"/>
              </w:rPr>
            </w:pPr>
            <w:r w:rsidRPr="00E7680F">
              <w:rPr>
                <w:sz w:val="20"/>
              </w:rPr>
              <w:t>32</w:t>
            </w:r>
          </w:p>
        </w:tc>
        <w:tc>
          <w:tcPr>
            <w:tcW w:w="8334" w:type="dxa"/>
            <w:tcBorders>
              <w:right w:val="nil"/>
            </w:tcBorders>
            <w:shd w:val="clear" w:color="auto" w:fill="DCDDDE"/>
          </w:tcPr>
          <w:p w:rsidRPr="00E7680F" w:rsidR="00B95C51" w:rsidP="00B06F49" w:rsidRDefault="00B95C51" w14:paraId="6E2B6469" w14:textId="77777777">
            <w:pPr>
              <w:pStyle w:val="TableParagraph"/>
              <w:spacing w:before="7" w:line="276" w:lineRule="auto"/>
              <w:ind w:left="108" w:right="52"/>
              <w:rPr>
                <w:sz w:val="20"/>
              </w:rPr>
            </w:pPr>
            <w:r w:rsidRPr="00E7680F">
              <w:rPr>
                <w:sz w:val="20"/>
              </w:rPr>
              <w:t>Los siguientes servicios de investigación y desarrollo del Clasificador Central de Productos (CPC versión 1.0):</w:t>
            </w:r>
          </w:p>
          <w:p w:rsidRPr="00E7680F" w:rsidR="00B95C51" w:rsidP="00B06F49" w:rsidRDefault="00B95C51" w14:paraId="11B81166" w14:textId="77777777">
            <w:pPr>
              <w:pStyle w:val="TableParagraph"/>
              <w:spacing w:line="276" w:lineRule="auto"/>
              <w:rPr>
                <w:sz w:val="21"/>
              </w:rPr>
            </w:pPr>
          </w:p>
          <w:p w:rsidRPr="00E7680F" w:rsidR="00B95C51" w:rsidP="00B95C51" w:rsidRDefault="00B95C51" w14:paraId="5D803644" w14:textId="77777777">
            <w:pPr>
              <w:pStyle w:val="TableParagraph"/>
              <w:numPr>
                <w:ilvl w:val="0"/>
                <w:numId w:val="7"/>
              </w:numPr>
              <w:tabs>
                <w:tab w:val="left" w:pos="242"/>
              </w:tabs>
              <w:spacing w:line="276" w:lineRule="auto"/>
              <w:ind w:left="241"/>
              <w:rPr>
                <w:sz w:val="20"/>
              </w:rPr>
            </w:pPr>
            <w:r w:rsidRPr="00E7680F">
              <w:rPr>
                <w:sz w:val="20"/>
              </w:rPr>
              <w:t>División 81. Servicios de Investigación y</w:t>
            </w:r>
            <w:r w:rsidRPr="00E7680F">
              <w:rPr>
                <w:spacing w:val="1"/>
                <w:sz w:val="20"/>
              </w:rPr>
              <w:t xml:space="preserve"> </w:t>
            </w:r>
            <w:r w:rsidRPr="00E7680F">
              <w:rPr>
                <w:sz w:val="20"/>
              </w:rPr>
              <w:t>Desarrollo.</w:t>
            </w:r>
          </w:p>
          <w:p w:rsidRPr="00E7680F" w:rsidR="00B95C51" w:rsidP="00B95C51" w:rsidRDefault="00B95C51" w14:paraId="1AAEC218" w14:textId="77777777">
            <w:pPr>
              <w:pStyle w:val="TableParagraph"/>
              <w:numPr>
                <w:ilvl w:val="0"/>
                <w:numId w:val="7"/>
              </w:numPr>
              <w:tabs>
                <w:tab w:val="left" w:pos="242"/>
              </w:tabs>
              <w:spacing w:before="10" w:line="276" w:lineRule="auto"/>
              <w:ind w:left="241"/>
              <w:rPr>
                <w:sz w:val="20"/>
              </w:rPr>
            </w:pPr>
            <w:r w:rsidRPr="00E7680F">
              <w:rPr>
                <w:sz w:val="20"/>
              </w:rPr>
              <w:t>Grupo 835. Servicios Científicos y Otros Servicios</w:t>
            </w:r>
            <w:r w:rsidRPr="00E7680F">
              <w:rPr>
                <w:spacing w:val="4"/>
                <w:sz w:val="20"/>
              </w:rPr>
              <w:t xml:space="preserve"> </w:t>
            </w:r>
            <w:r w:rsidRPr="00E7680F">
              <w:rPr>
                <w:sz w:val="20"/>
              </w:rPr>
              <w:t>Técnicos.</w:t>
            </w:r>
          </w:p>
          <w:p w:rsidRPr="00E7680F" w:rsidR="00B95C51" w:rsidP="00B95C51" w:rsidRDefault="00B95C51" w14:paraId="3D58E211" w14:textId="77777777">
            <w:pPr>
              <w:pStyle w:val="TableParagraph"/>
              <w:numPr>
                <w:ilvl w:val="0"/>
                <w:numId w:val="7"/>
              </w:numPr>
              <w:tabs>
                <w:tab w:val="left" w:pos="229"/>
              </w:tabs>
              <w:spacing w:before="10" w:line="276" w:lineRule="auto"/>
              <w:ind w:right="55" w:firstLine="0"/>
              <w:rPr>
                <w:sz w:val="20"/>
              </w:rPr>
            </w:pPr>
            <w:r w:rsidRPr="00E7680F">
              <w:rPr>
                <w:sz w:val="20"/>
              </w:rPr>
              <w:t>Clase</w:t>
            </w:r>
            <w:r w:rsidRPr="00E7680F">
              <w:rPr>
                <w:spacing w:val="-8"/>
                <w:sz w:val="20"/>
              </w:rPr>
              <w:t xml:space="preserve"> </w:t>
            </w:r>
            <w:r w:rsidRPr="00E7680F">
              <w:rPr>
                <w:sz w:val="20"/>
              </w:rPr>
              <w:t>8596.</w:t>
            </w:r>
            <w:r w:rsidRPr="00E7680F">
              <w:rPr>
                <w:spacing w:val="-8"/>
                <w:sz w:val="20"/>
              </w:rPr>
              <w:t xml:space="preserve"> </w:t>
            </w:r>
            <w:r w:rsidRPr="00E7680F">
              <w:rPr>
                <w:sz w:val="20"/>
              </w:rPr>
              <w:t>Servicios</w:t>
            </w:r>
            <w:r w:rsidRPr="00E7680F">
              <w:rPr>
                <w:spacing w:val="-8"/>
                <w:sz w:val="20"/>
              </w:rPr>
              <w:t xml:space="preserve"> </w:t>
            </w:r>
            <w:r w:rsidRPr="00E7680F">
              <w:rPr>
                <w:sz w:val="20"/>
              </w:rPr>
              <w:t>de</w:t>
            </w:r>
            <w:r w:rsidRPr="00E7680F">
              <w:rPr>
                <w:spacing w:val="-8"/>
                <w:sz w:val="20"/>
              </w:rPr>
              <w:t xml:space="preserve"> </w:t>
            </w:r>
            <w:r w:rsidRPr="00E7680F">
              <w:rPr>
                <w:sz w:val="20"/>
              </w:rPr>
              <w:t>procesamiento</w:t>
            </w:r>
            <w:r w:rsidRPr="00E7680F">
              <w:rPr>
                <w:spacing w:val="-9"/>
                <w:sz w:val="20"/>
              </w:rPr>
              <w:t xml:space="preserve"> </w:t>
            </w:r>
            <w:r w:rsidRPr="00E7680F">
              <w:rPr>
                <w:sz w:val="20"/>
              </w:rPr>
              <w:t>de</w:t>
            </w:r>
            <w:r w:rsidRPr="00E7680F">
              <w:rPr>
                <w:spacing w:val="-8"/>
                <w:sz w:val="20"/>
              </w:rPr>
              <w:t xml:space="preserve"> </w:t>
            </w:r>
            <w:r w:rsidRPr="00E7680F">
              <w:rPr>
                <w:sz w:val="20"/>
              </w:rPr>
              <w:t>datos</w:t>
            </w:r>
            <w:r w:rsidRPr="00E7680F">
              <w:rPr>
                <w:spacing w:val="-8"/>
                <w:sz w:val="20"/>
              </w:rPr>
              <w:t xml:space="preserve"> </w:t>
            </w:r>
            <w:r w:rsidRPr="00E7680F">
              <w:rPr>
                <w:sz w:val="20"/>
              </w:rPr>
              <w:t>requeridos</w:t>
            </w:r>
            <w:r w:rsidRPr="00E7680F">
              <w:rPr>
                <w:spacing w:val="-8"/>
                <w:sz w:val="20"/>
              </w:rPr>
              <w:t xml:space="preserve"> </w:t>
            </w:r>
            <w:r w:rsidRPr="00E7680F">
              <w:rPr>
                <w:sz w:val="20"/>
              </w:rPr>
              <w:t>en</w:t>
            </w:r>
            <w:r w:rsidRPr="00E7680F">
              <w:rPr>
                <w:spacing w:val="-8"/>
                <w:sz w:val="20"/>
              </w:rPr>
              <w:t xml:space="preserve"> </w:t>
            </w:r>
            <w:r w:rsidRPr="00E7680F">
              <w:rPr>
                <w:sz w:val="20"/>
              </w:rPr>
              <w:t>la</w:t>
            </w:r>
            <w:r w:rsidRPr="00E7680F">
              <w:rPr>
                <w:spacing w:val="-8"/>
                <w:sz w:val="20"/>
              </w:rPr>
              <w:t xml:space="preserve"> </w:t>
            </w:r>
            <w:r w:rsidRPr="00E7680F">
              <w:rPr>
                <w:sz w:val="20"/>
              </w:rPr>
              <w:t>ejecución</w:t>
            </w:r>
            <w:r w:rsidRPr="00E7680F">
              <w:rPr>
                <w:spacing w:val="-8"/>
                <w:sz w:val="20"/>
              </w:rPr>
              <w:t xml:space="preserve"> </w:t>
            </w:r>
            <w:r w:rsidRPr="00E7680F">
              <w:rPr>
                <w:sz w:val="20"/>
              </w:rPr>
              <w:t>de</w:t>
            </w:r>
            <w:r w:rsidRPr="00E7680F">
              <w:rPr>
                <w:spacing w:val="-8"/>
                <w:sz w:val="20"/>
              </w:rPr>
              <w:t xml:space="preserve"> </w:t>
            </w:r>
            <w:r w:rsidRPr="00E7680F">
              <w:rPr>
                <w:sz w:val="20"/>
              </w:rPr>
              <w:t>actividades científicas y tecnológicas.</w:t>
            </w:r>
          </w:p>
          <w:p w:rsidRPr="00E7680F" w:rsidR="00B95C51" w:rsidP="00B95C51" w:rsidRDefault="00B95C51" w14:paraId="15E58DBB" w14:textId="77777777">
            <w:pPr>
              <w:pStyle w:val="TableParagraph"/>
              <w:numPr>
                <w:ilvl w:val="0"/>
                <w:numId w:val="7"/>
              </w:numPr>
              <w:tabs>
                <w:tab w:val="left" w:pos="241"/>
              </w:tabs>
              <w:spacing w:before="1" w:line="276" w:lineRule="auto"/>
              <w:ind w:right="54" w:firstLine="0"/>
              <w:rPr>
                <w:sz w:val="20"/>
              </w:rPr>
            </w:pPr>
            <w:r w:rsidRPr="00E7680F">
              <w:rPr>
                <w:sz w:val="20"/>
              </w:rPr>
              <w:t>Clase 8597. Organización de eventos requeridos en la ejecución de actividades científicas y tecnológicas.</w:t>
            </w:r>
          </w:p>
        </w:tc>
      </w:tr>
      <w:tr w:rsidRPr="00E7680F" w:rsidR="00B95C51" w:rsidTr="00B06F49" w14:paraId="29A4AB78" w14:textId="77777777">
        <w:trPr>
          <w:trHeight w:val="1648"/>
          <w:jc w:val="center"/>
        </w:trPr>
        <w:tc>
          <w:tcPr>
            <w:tcW w:w="1304" w:type="dxa"/>
            <w:tcBorders>
              <w:left w:val="nil"/>
            </w:tcBorders>
            <w:shd w:val="clear" w:color="auto" w:fill="F1F1F2"/>
          </w:tcPr>
          <w:p w:rsidRPr="00E7680F" w:rsidR="00B95C51" w:rsidP="00B06F49" w:rsidRDefault="00B95C51" w14:paraId="61DAB601" w14:textId="77777777">
            <w:pPr>
              <w:pStyle w:val="TableParagraph"/>
              <w:spacing w:line="276" w:lineRule="auto"/>
            </w:pPr>
          </w:p>
          <w:p w:rsidRPr="00E7680F" w:rsidR="00B95C51" w:rsidP="00B06F49" w:rsidRDefault="00B95C51" w14:paraId="1E8530C9" w14:textId="77777777">
            <w:pPr>
              <w:pStyle w:val="TableParagraph"/>
              <w:spacing w:line="276" w:lineRule="auto"/>
            </w:pPr>
          </w:p>
          <w:p w:rsidRPr="00E7680F" w:rsidR="00B95C51" w:rsidP="00B06F49" w:rsidRDefault="00B95C51" w14:paraId="76AD627D" w14:textId="77777777">
            <w:pPr>
              <w:pStyle w:val="TableParagraph"/>
              <w:spacing w:before="6" w:line="276" w:lineRule="auto"/>
              <w:rPr>
                <w:sz w:val="17"/>
              </w:rPr>
            </w:pPr>
          </w:p>
          <w:p w:rsidRPr="00E7680F" w:rsidR="00B95C51" w:rsidP="00B06F49" w:rsidRDefault="00B95C51" w14:paraId="74A83C95" w14:textId="77777777">
            <w:pPr>
              <w:pStyle w:val="TableParagraph"/>
              <w:spacing w:line="276" w:lineRule="auto"/>
              <w:ind w:left="540"/>
              <w:rPr>
                <w:sz w:val="20"/>
              </w:rPr>
            </w:pPr>
            <w:r w:rsidRPr="00E7680F">
              <w:rPr>
                <w:sz w:val="20"/>
              </w:rPr>
              <w:t>33</w:t>
            </w:r>
          </w:p>
        </w:tc>
        <w:tc>
          <w:tcPr>
            <w:tcW w:w="8334" w:type="dxa"/>
            <w:tcBorders>
              <w:right w:val="nil"/>
            </w:tcBorders>
            <w:shd w:val="clear" w:color="auto" w:fill="F1F1F2"/>
          </w:tcPr>
          <w:p w:rsidRPr="00E7680F" w:rsidR="00B95C51" w:rsidP="00B06F49" w:rsidRDefault="00B95C51" w14:paraId="752924F9" w14:textId="77777777">
            <w:pPr>
              <w:pStyle w:val="TableParagraph"/>
              <w:spacing w:before="108" w:line="276" w:lineRule="auto"/>
              <w:ind w:left="108" w:right="52"/>
              <w:rPr>
                <w:sz w:val="20"/>
              </w:rPr>
            </w:pPr>
            <w:r w:rsidRPr="00E7680F">
              <w:rPr>
                <w:sz w:val="20"/>
              </w:rPr>
              <w:t>Los siguientes servicios de ingeniería y arquitectura del Clasificador Central de Productos (CPC versión 1.0):</w:t>
            </w:r>
          </w:p>
          <w:p w:rsidRPr="00E7680F" w:rsidR="00B95C51" w:rsidP="00B06F49" w:rsidRDefault="00B95C51" w14:paraId="467C669B" w14:textId="77777777">
            <w:pPr>
              <w:pStyle w:val="TableParagraph"/>
              <w:spacing w:line="276" w:lineRule="auto"/>
              <w:rPr>
                <w:sz w:val="21"/>
              </w:rPr>
            </w:pPr>
          </w:p>
          <w:p w:rsidRPr="00E7680F" w:rsidR="00B95C51" w:rsidP="00B95C51" w:rsidRDefault="00B95C51" w14:paraId="2D7935C8" w14:textId="77777777">
            <w:pPr>
              <w:pStyle w:val="TableParagraph"/>
              <w:numPr>
                <w:ilvl w:val="0"/>
                <w:numId w:val="6"/>
              </w:numPr>
              <w:tabs>
                <w:tab w:val="left" w:pos="242"/>
              </w:tabs>
              <w:spacing w:line="276" w:lineRule="auto"/>
              <w:rPr>
                <w:sz w:val="20"/>
              </w:rPr>
            </w:pPr>
            <w:r w:rsidRPr="00E7680F">
              <w:rPr>
                <w:sz w:val="20"/>
              </w:rPr>
              <w:t>Clase 8321. Servicios de arquitectura.</w:t>
            </w:r>
          </w:p>
          <w:p w:rsidRPr="00E7680F" w:rsidR="00B95C51" w:rsidP="00B95C51" w:rsidRDefault="00B95C51" w14:paraId="1E10FB98" w14:textId="77777777">
            <w:pPr>
              <w:pStyle w:val="TableParagraph"/>
              <w:numPr>
                <w:ilvl w:val="0"/>
                <w:numId w:val="6"/>
              </w:numPr>
              <w:tabs>
                <w:tab w:val="left" w:pos="242"/>
              </w:tabs>
              <w:spacing w:before="10" w:line="276" w:lineRule="auto"/>
              <w:rPr>
                <w:sz w:val="20"/>
              </w:rPr>
            </w:pPr>
            <w:r w:rsidRPr="00E7680F">
              <w:rPr>
                <w:sz w:val="20"/>
              </w:rPr>
              <w:t>Clase 8334. Servicios de diseño de</w:t>
            </w:r>
            <w:r w:rsidRPr="00E7680F">
              <w:rPr>
                <w:spacing w:val="-1"/>
                <w:sz w:val="20"/>
              </w:rPr>
              <w:t xml:space="preserve"> </w:t>
            </w:r>
            <w:r w:rsidRPr="00E7680F">
              <w:rPr>
                <w:sz w:val="20"/>
              </w:rPr>
              <w:t>ingeniería.</w:t>
            </w:r>
          </w:p>
          <w:p w:rsidRPr="00E7680F" w:rsidR="00B95C51" w:rsidP="00B95C51" w:rsidRDefault="00B95C51" w14:paraId="0C90CA11" w14:textId="77777777">
            <w:pPr>
              <w:pStyle w:val="TableParagraph"/>
              <w:numPr>
                <w:ilvl w:val="0"/>
                <w:numId w:val="6"/>
              </w:numPr>
              <w:tabs>
                <w:tab w:val="left" w:pos="242"/>
              </w:tabs>
              <w:spacing w:before="10" w:line="276" w:lineRule="auto"/>
              <w:rPr>
                <w:sz w:val="20"/>
              </w:rPr>
            </w:pPr>
            <w:r w:rsidRPr="00E7680F">
              <w:rPr>
                <w:sz w:val="20"/>
              </w:rPr>
              <w:t>Clase 8335. Servicios de ingeniería durante la fase de construcción y de</w:t>
            </w:r>
            <w:r w:rsidRPr="00E7680F">
              <w:rPr>
                <w:spacing w:val="17"/>
                <w:sz w:val="20"/>
              </w:rPr>
              <w:t xml:space="preserve"> </w:t>
            </w:r>
            <w:r w:rsidRPr="00E7680F">
              <w:rPr>
                <w:sz w:val="20"/>
              </w:rPr>
              <w:t>instalación.</w:t>
            </w:r>
          </w:p>
        </w:tc>
      </w:tr>
      <w:tr w:rsidRPr="00E7680F" w:rsidR="00B95C51" w:rsidTr="00B06F49" w14:paraId="3010C508" w14:textId="77777777">
        <w:trPr>
          <w:trHeight w:val="2150"/>
          <w:jc w:val="center"/>
        </w:trPr>
        <w:tc>
          <w:tcPr>
            <w:tcW w:w="1304" w:type="dxa"/>
            <w:tcBorders>
              <w:left w:val="nil"/>
            </w:tcBorders>
            <w:shd w:val="clear" w:color="auto" w:fill="DCDDDE"/>
          </w:tcPr>
          <w:p w:rsidRPr="00E7680F" w:rsidR="00B95C51" w:rsidP="00B06F49" w:rsidRDefault="00B95C51" w14:paraId="2D52E466" w14:textId="77777777">
            <w:pPr>
              <w:pStyle w:val="TableParagraph"/>
              <w:spacing w:line="276" w:lineRule="auto"/>
            </w:pPr>
          </w:p>
          <w:p w:rsidRPr="00E7680F" w:rsidR="00B95C51" w:rsidP="00B06F49" w:rsidRDefault="00B95C51" w14:paraId="6010F3AC" w14:textId="77777777">
            <w:pPr>
              <w:pStyle w:val="TableParagraph"/>
              <w:spacing w:line="276" w:lineRule="auto"/>
            </w:pPr>
          </w:p>
          <w:p w:rsidRPr="00E7680F" w:rsidR="00B95C51" w:rsidP="00B06F49" w:rsidRDefault="00B95C51" w14:paraId="0560E66E" w14:textId="77777777">
            <w:pPr>
              <w:pStyle w:val="TableParagraph"/>
              <w:spacing w:line="276" w:lineRule="auto"/>
            </w:pPr>
          </w:p>
          <w:p w:rsidRPr="00E7680F" w:rsidR="00B95C51" w:rsidP="00B06F49" w:rsidRDefault="00B95C51" w14:paraId="7174AE60" w14:textId="77777777">
            <w:pPr>
              <w:pStyle w:val="TableParagraph"/>
              <w:spacing w:before="4" w:line="276" w:lineRule="auto"/>
              <w:rPr>
                <w:sz w:val="17"/>
              </w:rPr>
            </w:pPr>
          </w:p>
          <w:p w:rsidRPr="00E7680F" w:rsidR="00B95C51" w:rsidP="00B06F49" w:rsidRDefault="00B95C51" w14:paraId="24527D5B" w14:textId="77777777">
            <w:pPr>
              <w:pStyle w:val="TableParagraph"/>
              <w:spacing w:line="276" w:lineRule="auto"/>
              <w:ind w:left="540"/>
              <w:rPr>
                <w:sz w:val="20"/>
              </w:rPr>
            </w:pPr>
            <w:r w:rsidRPr="00E7680F">
              <w:rPr>
                <w:sz w:val="20"/>
              </w:rPr>
              <w:t>34</w:t>
            </w:r>
          </w:p>
        </w:tc>
        <w:tc>
          <w:tcPr>
            <w:tcW w:w="8334" w:type="dxa"/>
            <w:tcBorders>
              <w:right w:val="nil"/>
            </w:tcBorders>
            <w:shd w:val="clear" w:color="auto" w:fill="DCDDDE"/>
          </w:tcPr>
          <w:p w:rsidRPr="00E7680F" w:rsidR="00B95C51" w:rsidP="00B06F49" w:rsidRDefault="00B95C51" w14:paraId="0B9FD5DE" w14:textId="77777777">
            <w:pPr>
              <w:pStyle w:val="TableParagraph"/>
              <w:spacing w:before="118" w:line="276" w:lineRule="auto"/>
              <w:ind w:left="108"/>
              <w:rPr>
                <w:sz w:val="20"/>
              </w:rPr>
            </w:pPr>
            <w:r w:rsidRPr="00E7680F">
              <w:rPr>
                <w:sz w:val="20"/>
              </w:rPr>
              <w:t>Los siguientes servicios públicos del Clasificador Central de Productos (CPC versión 1.0):</w:t>
            </w:r>
          </w:p>
          <w:p w:rsidRPr="00E7680F" w:rsidR="00B95C51" w:rsidP="00B06F49" w:rsidRDefault="00B95C51" w14:paraId="0DDC55E8" w14:textId="77777777">
            <w:pPr>
              <w:pStyle w:val="TableParagraph"/>
              <w:spacing w:before="9" w:line="276" w:lineRule="auto"/>
              <w:rPr>
                <w:sz w:val="21"/>
              </w:rPr>
            </w:pPr>
          </w:p>
          <w:p w:rsidRPr="00E7680F" w:rsidR="00B95C51" w:rsidP="00B95C51" w:rsidRDefault="00B95C51" w14:paraId="58D857DB" w14:textId="77777777">
            <w:pPr>
              <w:pStyle w:val="TableParagraph"/>
              <w:numPr>
                <w:ilvl w:val="0"/>
                <w:numId w:val="5"/>
              </w:numPr>
              <w:tabs>
                <w:tab w:val="left" w:pos="259"/>
              </w:tabs>
              <w:spacing w:line="276" w:lineRule="auto"/>
              <w:ind w:right="55" w:firstLine="0"/>
              <w:rPr>
                <w:sz w:val="20"/>
              </w:rPr>
            </w:pPr>
            <w:r w:rsidRPr="00E7680F">
              <w:rPr>
                <w:sz w:val="20"/>
              </w:rPr>
              <w:t xml:space="preserve">División: 69. Servicios de distribución de electricidad; servicios de distribución de gas </w:t>
            </w:r>
            <w:r w:rsidRPr="00E7680F">
              <w:rPr>
                <w:spacing w:val="-17"/>
                <w:sz w:val="20"/>
              </w:rPr>
              <w:t xml:space="preserve">y </w:t>
            </w:r>
            <w:r w:rsidRPr="00E7680F">
              <w:rPr>
                <w:sz w:val="20"/>
              </w:rPr>
              <w:t>agua por tubería.</w:t>
            </w:r>
          </w:p>
          <w:p w:rsidRPr="00E7680F" w:rsidR="00B95C51" w:rsidP="00B95C51" w:rsidRDefault="00B95C51" w14:paraId="7EAF5DB2" w14:textId="77777777">
            <w:pPr>
              <w:pStyle w:val="TableParagraph"/>
              <w:numPr>
                <w:ilvl w:val="0"/>
                <w:numId w:val="5"/>
              </w:numPr>
              <w:tabs>
                <w:tab w:val="left" w:pos="302"/>
              </w:tabs>
              <w:spacing w:before="2" w:line="276" w:lineRule="auto"/>
              <w:ind w:right="55" w:firstLine="0"/>
              <w:rPr>
                <w:sz w:val="20"/>
              </w:rPr>
            </w:pPr>
            <w:r w:rsidRPr="00E7680F">
              <w:rPr>
                <w:sz w:val="20"/>
              </w:rPr>
              <w:t>División: 94. Servicios de alcantarillado y eliminación de desperdicios, servicios de saneamiento y otros servicios de protección del medio</w:t>
            </w:r>
            <w:r w:rsidRPr="00E7680F">
              <w:rPr>
                <w:spacing w:val="12"/>
                <w:sz w:val="20"/>
              </w:rPr>
              <w:t xml:space="preserve"> </w:t>
            </w:r>
            <w:r w:rsidRPr="00E7680F">
              <w:rPr>
                <w:sz w:val="20"/>
              </w:rPr>
              <w:t>ambiente.</w:t>
            </w:r>
          </w:p>
          <w:p w:rsidRPr="00E7680F" w:rsidR="00B95C51" w:rsidP="00B95C51" w:rsidRDefault="00B95C51" w14:paraId="28AA8082" w14:textId="77777777">
            <w:pPr>
              <w:pStyle w:val="TableParagraph"/>
              <w:numPr>
                <w:ilvl w:val="0"/>
                <w:numId w:val="5"/>
              </w:numPr>
              <w:tabs>
                <w:tab w:val="left" w:pos="282"/>
              </w:tabs>
              <w:spacing w:before="1" w:line="276" w:lineRule="auto"/>
              <w:ind w:right="55" w:firstLine="0"/>
              <w:rPr>
                <w:sz w:val="20"/>
              </w:rPr>
            </w:pPr>
            <w:r w:rsidRPr="00E7680F">
              <w:rPr>
                <w:sz w:val="20"/>
              </w:rPr>
              <w:t xml:space="preserve">Telecomunicaciones básicas (no incluye los servicios de telecomunicaciones de </w:t>
            </w:r>
            <w:r w:rsidRPr="00E7680F">
              <w:rPr>
                <w:spacing w:val="-4"/>
                <w:sz w:val="20"/>
              </w:rPr>
              <w:t xml:space="preserve">valor </w:t>
            </w:r>
            <w:r w:rsidRPr="00E7680F">
              <w:rPr>
                <w:sz w:val="20"/>
              </w:rPr>
              <w:t>agregado).</w:t>
            </w:r>
          </w:p>
        </w:tc>
      </w:tr>
      <w:tr w:rsidRPr="00E7680F" w:rsidR="00B95C51" w:rsidTr="00B06F49" w14:paraId="71F84A5D" w14:textId="77777777">
        <w:trPr>
          <w:trHeight w:val="1739"/>
          <w:jc w:val="center"/>
        </w:trPr>
        <w:tc>
          <w:tcPr>
            <w:tcW w:w="1304" w:type="dxa"/>
            <w:tcBorders>
              <w:left w:val="nil"/>
            </w:tcBorders>
            <w:shd w:val="clear" w:color="auto" w:fill="F1F1F2"/>
          </w:tcPr>
          <w:p w:rsidRPr="00E7680F" w:rsidR="00B95C51" w:rsidP="00B06F49" w:rsidRDefault="00B95C51" w14:paraId="0E639A87" w14:textId="77777777">
            <w:pPr>
              <w:pStyle w:val="TableParagraph"/>
              <w:spacing w:line="276" w:lineRule="auto"/>
            </w:pPr>
          </w:p>
          <w:p w:rsidRPr="00E7680F" w:rsidR="00B95C51" w:rsidP="00B06F49" w:rsidRDefault="00B95C51" w14:paraId="1E2BDF9F" w14:textId="77777777">
            <w:pPr>
              <w:pStyle w:val="TableParagraph"/>
              <w:spacing w:line="276" w:lineRule="auto"/>
            </w:pPr>
          </w:p>
          <w:p w:rsidRPr="00E7680F" w:rsidR="00B95C51" w:rsidP="00B06F49" w:rsidRDefault="00B95C51" w14:paraId="142EA18B" w14:textId="77777777">
            <w:pPr>
              <w:pStyle w:val="TableParagraph"/>
              <w:spacing w:before="6" w:line="276" w:lineRule="auto"/>
              <w:rPr>
                <w:sz w:val="21"/>
              </w:rPr>
            </w:pPr>
          </w:p>
          <w:p w:rsidRPr="00E7680F" w:rsidR="00B95C51" w:rsidP="00B06F49" w:rsidRDefault="00B95C51" w14:paraId="5BF80F9C" w14:textId="77777777">
            <w:pPr>
              <w:pStyle w:val="TableParagraph"/>
              <w:spacing w:line="276" w:lineRule="auto"/>
              <w:ind w:left="540"/>
              <w:rPr>
                <w:sz w:val="20"/>
              </w:rPr>
            </w:pPr>
            <w:r w:rsidRPr="00E7680F">
              <w:rPr>
                <w:sz w:val="20"/>
              </w:rPr>
              <w:t>35</w:t>
            </w:r>
          </w:p>
        </w:tc>
        <w:tc>
          <w:tcPr>
            <w:tcW w:w="8334" w:type="dxa"/>
            <w:tcBorders>
              <w:right w:val="nil"/>
            </w:tcBorders>
            <w:shd w:val="clear" w:color="auto" w:fill="F1F1F2"/>
          </w:tcPr>
          <w:p w:rsidRPr="00E7680F" w:rsidR="00B95C51" w:rsidP="00B06F49" w:rsidRDefault="00B95C51" w14:paraId="567BC3C3" w14:textId="77777777">
            <w:pPr>
              <w:pStyle w:val="TableParagraph"/>
              <w:spacing w:before="153" w:line="276" w:lineRule="auto"/>
              <w:ind w:left="108"/>
              <w:rPr>
                <w:sz w:val="20"/>
              </w:rPr>
            </w:pPr>
            <w:r w:rsidRPr="00E7680F">
              <w:rPr>
                <w:sz w:val="20"/>
              </w:rPr>
              <w:t>Los siguientes servicios sociales del Clasificador Central de Productos (CPC versión 1.0):</w:t>
            </w:r>
          </w:p>
          <w:p w:rsidRPr="00E7680F" w:rsidR="00B95C51" w:rsidP="00B06F49" w:rsidRDefault="00B95C51" w14:paraId="651205DA" w14:textId="77777777">
            <w:pPr>
              <w:pStyle w:val="TableParagraph"/>
              <w:spacing w:before="9" w:line="276" w:lineRule="auto"/>
              <w:rPr>
                <w:sz w:val="21"/>
              </w:rPr>
            </w:pPr>
          </w:p>
          <w:p w:rsidRPr="00E7680F" w:rsidR="00B95C51" w:rsidP="00B95C51" w:rsidRDefault="00B95C51" w14:paraId="7F775941" w14:textId="77777777">
            <w:pPr>
              <w:pStyle w:val="TableParagraph"/>
              <w:numPr>
                <w:ilvl w:val="0"/>
                <w:numId w:val="4"/>
              </w:numPr>
              <w:tabs>
                <w:tab w:val="left" w:pos="225"/>
              </w:tabs>
              <w:spacing w:line="276" w:lineRule="auto"/>
              <w:ind w:right="54" w:firstLine="0"/>
              <w:rPr>
                <w:sz w:val="20"/>
              </w:rPr>
            </w:pPr>
            <w:r w:rsidRPr="00E7680F">
              <w:rPr>
                <w:sz w:val="20"/>
              </w:rPr>
              <w:t>División</w:t>
            </w:r>
            <w:r w:rsidRPr="00E7680F">
              <w:rPr>
                <w:spacing w:val="-12"/>
                <w:sz w:val="20"/>
              </w:rPr>
              <w:t xml:space="preserve"> </w:t>
            </w:r>
            <w:r w:rsidRPr="00E7680F">
              <w:rPr>
                <w:sz w:val="20"/>
              </w:rPr>
              <w:t>91.</w:t>
            </w:r>
            <w:r w:rsidRPr="00E7680F">
              <w:rPr>
                <w:spacing w:val="-12"/>
                <w:sz w:val="20"/>
              </w:rPr>
              <w:t xml:space="preserve"> </w:t>
            </w:r>
            <w:r w:rsidRPr="00E7680F">
              <w:rPr>
                <w:sz w:val="20"/>
              </w:rPr>
              <w:t>Administración</w:t>
            </w:r>
            <w:r w:rsidRPr="00E7680F">
              <w:rPr>
                <w:spacing w:val="-12"/>
                <w:sz w:val="20"/>
              </w:rPr>
              <w:t xml:space="preserve"> </w:t>
            </w:r>
            <w:r w:rsidRPr="00E7680F">
              <w:rPr>
                <w:sz w:val="20"/>
              </w:rPr>
              <w:t>pública</w:t>
            </w:r>
            <w:r w:rsidRPr="00E7680F">
              <w:rPr>
                <w:spacing w:val="-12"/>
                <w:sz w:val="20"/>
              </w:rPr>
              <w:t xml:space="preserve"> </w:t>
            </w:r>
            <w:r w:rsidRPr="00E7680F">
              <w:rPr>
                <w:sz w:val="20"/>
              </w:rPr>
              <w:t>y</w:t>
            </w:r>
            <w:r w:rsidRPr="00E7680F">
              <w:rPr>
                <w:spacing w:val="-12"/>
                <w:sz w:val="20"/>
              </w:rPr>
              <w:t xml:space="preserve"> </w:t>
            </w:r>
            <w:r w:rsidRPr="00E7680F">
              <w:rPr>
                <w:sz w:val="20"/>
              </w:rPr>
              <w:t>otros</w:t>
            </w:r>
            <w:r w:rsidRPr="00E7680F">
              <w:rPr>
                <w:spacing w:val="-12"/>
                <w:sz w:val="20"/>
              </w:rPr>
              <w:t xml:space="preserve"> </w:t>
            </w:r>
            <w:r w:rsidRPr="00E7680F">
              <w:rPr>
                <w:sz w:val="20"/>
              </w:rPr>
              <w:t>servicios</w:t>
            </w:r>
            <w:r w:rsidRPr="00E7680F">
              <w:rPr>
                <w:spacing w:val="-12"/>
                <w:sz w:val="20"/>
              </w:rPr>
              <w:t xml:space="preserve"> </w:t>
            </w:r>
            <w:r w:rsidRPr="00E7680F">
              <w:rPr>
                <w:sz w:val="20"/>
              </w:rPr>
              <w:t>para</w:t>
            </w:r>
            <w:r w:rsidRPr="00E7680F">
              <w:rPr>
                <w:spacing w:val="-12"/>
                <w:sz w:val="20"/>
              </w:rPr>
              <w:t xml:space="preserve"> </w:t>
            </w:r>
            <w:r w:rsidRPr="00E7680F">
              <w:rPr>
                <w:sz w:val="20"/>
              </w:rPr>
              <w:t>la</w:t>
            </w:r>
            <w:r w:rsidRPr="00E7680F">
              <w:rPr>
                <w:spacing w:val="-11"/>
                <w:sz w:val="20"/>
              </w:rPr>
              <w:t xml:space="preserve"> </w:t>
            </w:r>
            <w:r w:rsidRPr="00E7680F">
              <w:rPr>
                <w:sz w:val="20"/>
              </w:rPr>
              <w:t>comunidad</w:t>
            </w:r>
            <w:r w:rsidRPr="00E7680F">
              <w:rPr>
                <w:spacing w:val="-12"/>
                <w:sz w:val="20"/>
              </w:rPr>
              <w:t xml:space="preserve"> </w:t>
            </w:r>
            <w:r w:rsidRPr="00E7680F">
              <w:rPr>
                <w:sz w:val="20"/>
              </w:rPr>
              <w:t>en</w:t>
            </w:r>
            <w:r w:rsidRPr="00E7680F">
              <w:rPr>
                <w:spacing w:val="-12"/>
                <w:sz w:val="20"/>
              </w:rPr>
              <w:t xml:space="preserve"> </w:t>
            </w:r>
            <w:r w:rsidRPr="00E7680F">
              <w:rPr>
                <w:sz w:val="20"/>
              </w:rPr>
              <w:t>general;</w:t>
            </w:r>
            <w:r w:rsidRPr="00E7680F">
              <w:rPr>
                <w:spacing w:val="-12"/>
                <w:sz w:val="20"/>
              </w:rPr>
              <w:t xml:space="preserve"> </w:t>
            </w:r>
            <w:r w:rsidRPr="00E7680F">
              <w:rPr>
                <w:sz w:val="20"/>
              </w:rPr>
              <w:t>servicios de seguridad social de afiliación</w:t>
            </w:r>
            <w:r w:rsidRPr="00E7680F">
              <w:rPr>
                <w:spacing w:val="3"/>
                <w:sz w:val="20"/>
              </w:rPr>
              <w:t xml:space="preserve"> </w:t>
            </w:r>
            <w:r w:rsidRPr="00E7680F">
              <w:rPr>
                <w:sz w:val="20"/>
              </w:rPr>
              <w:t>obligatoria.</w:t>
            </w:r>
          </w:p>
          <w:p w:rsidRPr="00E7680F" w:rsidR="00B95C51" w:rsidP="00B95C51" w:rsidRDefault="00B95C51" w14:paraId="20A80362" w14:textId="77777777">
            <w:pPr>
              <w:pStyle w:val="TableParagraph"/>
              <w:numPr>
                <w:ilvl w:val="0"/>
                <w:numId w:val="4"/>
              </w:numPr>
              <w:tabs>
                <w:tab w:val="left" w:pos="242"/>
              </w:tabs>
              <w:spacing w:before="2" w:line="276" w:lineRule="auto"/>
              <w:ind w:left="241" w:hanging="134"/>
              <w:rPr>
                <w:sz w:val="20"/>
              </w:rPr>
            </w:pPr>
            <w:r w:rsidRPr="00E7680F">
              <w:rPr>
                <w:sz w:val="20"/>
              </w:rPr>
              <w:t>División 92. Servicios de</w:t>
            </w:r>
            <w:r w:rsidRPr="00E7680F">
              <w:rPr>
                <w:spacing w:val="-1"/>
                <w:sz w:val="20"/>
              </w:rPr>
              <w:t xml:space="preserve"> </w:t>
            </w:r>
            <w:r w:rsidRPr="00E7680F">
              <w:rPr>
                <w:sz w:val="20"/>
              </w:rPr>
              <w:t>enseñanza.</w:t>
            </w:r>
          </w:p>
          <w:p w:rsidRPr="00E7680F" w:rsidR="00B95C51" w:rsidP="00B95C51" w:rsidRDefault="00B95C51" w14:paraId="68968850" w14:textId="77777777">
            <w:pPr>
              <w:pStyle w:val="TableParagraph"/>
              <w:numPr>
                <w:ilvl w:val="0"/>
                <w:numId w:val="4"/>
              </w:numPr>
              <w:tabs>
                <w:tab w:val="left" w:pos="242"/>
              </w:tabs>
              <w:spacing w:before="10" w:line="276" w:lineRule="auto"/>
              <w:ind w:left="241" w:hanging="134"/>
              <w:rPr>
                <w:sz w:val="20"/>
              </w:rPr>
            </w:pPr>
            <w:r w:rsidRPr="00E7680F">
              <w:rPr>
                <w:sz w:val="20"/>
              </w:rPr>
              <w:t>Grupo 931. Servicios de salud humana.</w:t>
            </w:r>
          </w:p>
        </w:tc>
      </w:tr>
      <w:tr w:rsidRPr="00E7680F" w:rsidR="00B95C51" w:rsidTr="00B06F49" w14:paraId="262EBD02" w14:textId="77777777">
        <w:trPr>
          <w:trHeight w:val="567"/>
          <w:jc w:val="center"/>
        </w:trPr>
        <w:tc>
          <w:tcPr>
            <w:tcW w:w="1304" w:type="dxa"/>
            <w:tcBorders>
              <w:left w:val="nil"/>
            </w:tcBorders>
            <w:shd w:val="clear" w:color="auto" w:fill="DCDDDE"/>
          </w:tcPr>
          <w:p w:rsidRPr="00E7680F" w:rsidR="00B95C51" w:rsidP="00B06F49" w:rsidRDefault="00B95C51" w14:paraId="5D49C1CD" w14:textId="77777777">
            <w:pPr>
              <w:pStyle w:val="TableParagraph"/>
              <w:spacing w:before="167" w:line="276" w:lineRule="auto"/>
              <w:ind w:left="540"/>
              <w:rPr>
                <w:sz w:val="20"/>
              </w:rPr>
            </w:pPr>
            <w:r w:rsidRPr="00E7680F">
              <w:rPr>
                <w:sz w:val="20"/>
              </w:rPr>
              <w:t>36</w:t>
            </w:r>
          </w:p>
        </w:tc>
        <w:tc>
          <w:tcPr>
            <w:tcW w:w="8334" w:type="dxa"/>
            <w:tcBorders>
              <w:right w:val="nil"/>
            </w:tcBorders>
            <w:shd w:val="clear" w:color="auto" w:fill="DCDDDE"/>
          </w:tcPr>
          <w:p w:rsidRPr="00E7680F" w:rsidR="00B95C51" w:rsidP="00B06F49" w:rsidRDefault="00B95C51" w14:paraId="719CC497" w14:textId="77777777">
            <w:pPr>
              <w:pStyle w:val="TableParagraph"/>
              <w:spacing w:before="167" w:line="276" w:lineRule="auto"/>
              <w:ind w:left="108"/>
              <w:rPr>
                <w:sz w:val="20"/>
              </w:rPr>
            </w:pPr>
            <w:r w:rsidRPr="00E7680F">
              <w:rPr>
                <w:sz w:val="20"/>
              </w:rPr>
              <w:t>Los servicios de impresión del Clasificador Central de Productos (CPC versión 1.0).</w:t>
            </w:r>
          </w:p>
        </w:tc>
      </w:tr>
      <w:tr w:rsidRPr="00E7680F" w:rsidR="00B95C51" w:rsidTr="00B06F49" w14:paraId="54149B04" w14:textId="77777777">
        <w:trPr>
          <w:trHeight w:val="1182"/>
          <w:jc w:val="center"/>
        </w:trPr>
        <w:tc>
          <w:tcPr>
            <w:tcW w:w="1304" w:type="dxa"/>
            <w:tcBorders>
              <w:left w:val="nil"/>
            </w:tcBorders>
            <w:shd w:val="clear" w:color="auto" w:fill="F1F1F2"/>
          </w:tcPr>
          <w:p w:rsidRPr="00E7680F" w:rsidR="00B95C51" w:rsidP="00B06F49" w:rsidRDefault="00B95C51" w14:paraId="6A15BBC8" w14:textId="77777777">
            <w:pPr>
              <w:pStyle w:val="TableParagraph"/>
              <w:spacing w:line="276" w:lineRule="auto"/>
            </w:pPr>
          </w:p>
          <w:p w:rsidRPr="00E7680F" w:rsidR="00B95C51" w:rsidP="00B06F49" w:rsidRDefault="00B95C51" w14:paraId="5ED1E17D" w14:textId="77777777">
            <w:pPr>
              <w:pStyle w:val="TableParagraph"/>
              <w:spacing w:before="3" w:line="276" w:lineRule="auto"/>
              <w:rPr>
                <w:sz w:val="19"/>
              </w:rPr>
            </w:pPr>
          </w:p>
          <w:p w:rsidRPr="00E7680F" w:rsidR="00B95C51" w:rsidP="00B06F49" w:rsidRDefault="00B95C51" w14:paraId="34C45F96" w14:textId="77777777">
            <w:pPr>
              <w:pStyle w:val="TableParagraph"/>
              <w:spacing w:line="276" w:lineRule="auto"/>
              <w:ind w:left="540"/>
              <w:rPr>
                <w:sz w:val="20"/>
              </w:rPr>
            </w:pPr>
            <w:r w:rsidRPr="00E7680F">
              <w:rPr>
                <w:sz w:val="20"/>
              </w:rPr>
              <w:t>37</w:t>
            </w:r>
          </w:p>
        </w:tc>
        <w:tc>
          <w:tcPr>
            <w:tcW w:w="8334" w:type="dxa"/>
            <w:tcBorders>
              <w:right w:val="nil"/>
            </w:tcBorders>
            <w:shd w:val="clear" w:color="auto" w:fill="F1F1F2"/>
          </w:tcPr>
          <w:p w:rsidRPr="00E7680F" w:rsidR="00B95C51" w:rsidP="00B06F49" w:rsidRDefault="00B95C51" w14:paraId="6C93DBE6" w14:textId="77777777">
            <w:pPr>
              <w:pStyle w:val="TableParagraph"/>
              <w:spacing w:before="115" w:line="276" w:lineRule="auto"/>
              <w:ind w:left="108" w:right="52"/>
              <w:rPr>
                <w:sz w:val="20"/>
              </w:rPr>
            </w:pPr>
            <w:r w:rsidRPr="00E7680F">
              <w:rPr>
                <w:sz w:val="20"/>
              </w:rPr>
              <w:t>La elaboración de programas de televisión del Clasificador Central de Productos (CPC versión 1.0).</w:t>
            </w:r>
          </w:p>
          <w:p w:rsidRPr="00E7680F" w:rsidR="00B95C51" w:rsidP="00B06F49" w:rsidRDefault="00B95C51" w14:paraId="7F6801A9" w14:textId="77777777">
            <w:pPr>
              <w:pStyle w:val="TableParagraph"/>
              <w:spacing w:before="1" w:line="276" w:lineRule="auto"/>
              <w:ind w:left="108" w:right="52"/>
              <w:rPr>
                <w:sz w:val="20"/>
              </w:rPr>
            </w:pPr>
            <w:r w:rsidRPr="00E7680F">
              <w:rPr>
                <w:sz w:val="20"/>
              </w:rPr>
              <w:t>- Subclase 96121. Servicios de producción de películas cinematográficas, cintas de video y programas de televisión.</w:t>
            </w:r>
          </w:p>
        </w:tc>
      </w:tr>
      <w:tr w:rsidRPr="00E7680F" w:rsidR="00B95C51" w:rsidTr="00B06F49" w14:paraId="5FBFE7C3" w14:textId="77777777">
        <w:trPr>
          <w:trHeight w:val="1394"/>
          <w:jc w:val="center"/>
        </w:trPr>
        <w:tc>
          <w:tcPr>
            <w:tcW w:w="1304" w:type="dxa"/>
            <w:tcBorders>
              <w:left w:val="nil"/>
            </w:tcBorders>
            <w:shd w:val="clear" w:color="auto" w:fill="DCDDDE"/>
          </w:tcPr>
          <w:p w:rsidRPr="00E7680F" w:rsidR="00B95C51" w:rsidP="00B06F49" w:rsidRDefault="00B95C51" w14:paraId="607D4443" w14:textId="77777777">
            <w:pPr>
              <w:pStyle w:val="TableParagraph"/>
              <w:spacing w:line="276" w:lineRule="auto"/>
            </w:pPr>
          </w:p>
          <w:p w:rsidRPr="00E7680F" w:rsidR="00B95C51" w:rsidP="00B06F49" w:rsidRDefault="00B95C51" w14:paraId="40B09F4C" w14:textId="77777777">
            <w:pPr>
              <w:pStyle w:val="TableParagraph"/>
              <w:spacing w:before="6" w:line="276" w:lineRule="auto"/>
              <w:rPr>
                <w:sz w:val="28"/>
              </w:rPr>
            </w:pPr>
          </w:p>
          <w:p w:rsidRPr="00E7680F" w:rsidR="00B95C51" w:rsidP="00B06F49" w:rsidRDefault="00B95C51" w14:paraId="52DC0219" w14:textId="77777777">
            <w:pPr>
              <w:pStyle w:val="TableParagraph"/>
              <w:spacing w:line="276" w:lineRule="auto"/>
              <w:ind w:left="540"/>
              <w:rPr>
                <w:sz w:val="20"/>
              </w:rPr>
            </w:pPr>
            <w:r w:rsidRPr="00E7680F">
              <w:rPr>
                <w:sz w:val="20"/>
              </w:rPr>
              <w:t>40</w:t>
            </w:r>
          </w:p>
        </w:tc>
        <w:tc>
          <w:tcPr>
            <w:tcW w:w="8334" w:type="dxa"/>
            <w:tcBorders>
              <w:right w:val="nil"/>
            </w:tcBorders>
            <w:shd w:val="clear" w:color="auto" w:fill="DCDDDE"/>
          </w:tcPr>
          <w:p w:rsidRPr="00E7680F" w:rsidR="00B95C51" w:rsidP="00B06F49" w:rsidRDefault="00B95C51" w14:paraId="5D494A9A" w14:textId="77777777">
            <w:pPr>
              <w:pStyle w:val="TableParagraph"/>
              <w:spacing w:before="101" w:line="276" w:lineRule="auto"/>
              <w:ind w:left="108" w:right="54"/>
              <w:jc w:val="both"/>
              <w:rPr>
                <w:sz w:val="20"/>
              </w:rPr>
            </w:pPr>
            <w:r w:rsidRPr="00E7680F">
              <w:rPr>
                <w:sz w:val="20"/>
              </w:rPr>
              <w:t>Las contrataciones de bienes contenidas en la Sección 2 (Alimentos, Bebidas y Tabaco; Textil y Confección y Productos de Cuero) del Clasificador Central de Productos (CPC versión 1.0) de las Naciones Unidas, para el Comando General de las Fuerzas Militares, Ejército Nacional, Armada Nacional, Fuerza Aérea Nacional, y Policía Nacional, así como la Agencia Logística y del Fondo Rotatorio de la Policía Nacional.</w:t>
            </w:r>
          </w:p>
        </w:tc>
      </w:tr>
      <w:tr w:rsidRPr="00E7680F" w:rsidR="00B95C51" w:rsidTr="00B06F49" w14:paraId="773406DF" w14:textId="77777777">
        <w:trPr>
          <w:trHeight w:val="870"/>
          <w:jc w:val="center"/>
        </w:trPr>
        <w:tc>
          <w:tcPr>
            <w:tcW w:w="1304" w:type="dxa"/>
            <w:tcBorders>
              <w:left w:val="nil"/>
            </w:tcBorders>
            <w:shd w:val="clear" w:color="auto" w:fill="F1F1F2"/>
          </w:tcPr>
          <w:p w:rsidRPr="00E7680F" w:rsidR="00B95C51" w:rsidP="00B06F49" w:rsidRDefault="00B95C51" w14:paraId="602AFA4E" w14:textId="77777777">
            <w:pPr>
              <w:pStyle w:val="TableParagraph"/>
              <w:spacing w:before="8" w:line="276" w:lineRule="auto"/>
              <w:rPr>
                <w:sz w:val="27"/>
              </w:rPr>
            </w:pPr>
          </w:p>
          <w:p w:rsidRPr="00E7680F" w:rsidR="00B95C51" w:rsidP="00B06F49" w:rsidRDefault="00B95C51" w14:paraId="6BD173B3" w14:textId="77777777">
            <w:pPr>
              <w:pStyle w:val="TableParagraph"/>
              <w:spacing w:line="276" w:lineRule="auto"/>
              <w:ind w:left="540"/>
              <w:rPr>
                <w:sz w:val="20"/>
              </w:rPr>
            </w:pPr>
            <w:r w:rsidRPr="00E7680F">
              <w:rPr>
                <w:sz w:val="20"/>
              </w:rPr>
              <w:t>41</w:t>
            </w:r>
          </w:p>
        </w:tc>
        <w:tc>
          <w:tcPr>
            <w:tcW w:w="8334" w:type="dxa"/>
            <w:tcBorders>
              <w:right w:val="nil"/>
            </w:tcBorders>
            <w:shd w:val="clear" w:color="auto" w:fill="F1F1F2"/>
          </w:tcPr>
          <w:p w:rsidRPr="00E7680F" w:rsidR="00B95C51" w:rsidP="00B06F49" w:rsidRDefault="00B95C51" w14:paraId="5D509369" w14:textId="77777777">
            <w:pPr>
              <w:pStyle w:val="TableParagraph"/>
              <w:spacing w:before="79" w:line="276" w:lineRule="auto"/>
              <w:ind w:left="108" w:right="54"/>
              <w:jc w:val="both"/>
              <w:rPr>
                <w:sz w:val="20"/>
              </w:rPr>
            </w:pPr>
            <w:r w:rsidRPr="00E7680F">
              <w:rPr>
                <w:sz w:val="20"/>
              </w:rPr>
              <w:t>Las contrataciones del Ministerio de Agricultura y Desarrollo Rural de alimentos, insumos agropecuarios y animales vivos, relacionadas con los programas de apoyo a la agricultura y asistencia alimentaria.</w:t>
            </w:r>
          </w:p>
        </w:tc>
      </w:tr>
      <w:tr w:rsidRPr="00E7680F" w:rsidR="00B95C51" w:rsidTr="00B06F49" w14:paraId="618B1CEB" w14:textId="77777777">
        <w:trPr>
          <w:trHeight w:val="1052"/>
          <w:jc w:val="center"/>
        </w:trPr>
        <w:tc>
          <w:tcPr>
            <w:tcW w:w="1304" w:type="dxa"/>
            <w:tcBorders>
              <w:left w:val="nil"/>
            </w:tcBorders>
            <w:shd w:val="clear" w:color="auto" w:fill="DCDDDE"/>
          </w:tcPr>
          <w:p w:rsidRPr="00E7680F" w:rsidR="00B95C51" w:rsidP="00B06F49" w:rsidRDefault="00B95C51" w14:paraId="21F89026" w14:textId="77777777">
            <w:pPr>
              <w:pStyle w:val="TableParagraph"/>
              <w:spacing w:line="276" w:lineRule="auto"/>
            </w:pPr>
          </w:p>
          <w:p w:rsidRPr="00E7680F" w:rsidR="00B95C51" w:rsidP="00B06F49" w:rsidRDefault="00B95C51" w14:paraId="57BED473" w14:textId="77777777">
            <w:pPr>
              <w:pStyle w:val="TableParagraph"/>
              <w:spacing w:before="157" w:line="276" w:lineRule="auto"/>
              <w:ind w:left="540"/>
              <w:rPr>
                <w:sz w:val="20"/>
              </w:rPr>
            </w:pPr>
            <w:r w:rsidRPr="00E7680F">
              <w:rPr>
                <w:sz w:val="20"/>
              </w:rPr>
              <w:t>42</w:t>
            </w:r>
          </w:p>
        </w:tc>
        <w:tc>
          <w:tcPr>
            <w:tcW w:w="8334" w:type="dxa"/>
            <w:tcBorders>
              <w:right w:val="nil"/>
            </w:tcBorders>
            <w:shd w:val="clear" w:color="auto" w:fill="DCDDDE"/>
          </w:tcPr>
          <w:p w:rsidRPr="00E7680F" w:rsidR="00B95C51" w:rsidP="00B06F49" w:rsidRDefault="00B95C51" w14:paraId="4EE92707" w14:textId="77777777">
            <w:pPr>
              <w:pStyle w:val="TableParagraph"/>
              <w:spacing w:before="50" w:line="276" w:lineRule="auto"/>
              <w:ind w:left="108" w:right="54"/>
              <w:jc w:val="both"/>
              <w:rPr>
                <w:sz w:val="20"/>
              </w:rPr>
            </w:pPr>
            <w:r w:rsidRPr="00E7680F">
              <w:rPr>
                <w:sz w:val="20"/>
              </w:rPr>
              <w:t>Las contrataciones de bienes contenidas en la Sección 2 (Alimentos, Bebidas y Tabaco; Textil y Confección y Productos de Cuero) del Clasificador Central de Productos (CPC versión 1.0) de las Naciones Unidas, dirigidas a programas de asistencia social realizadas por el Instituto Colombiano de Bienestar Familiar –ICBF–.</w:t>
            </w:r>
          </w:p>
        </w:tc>
      </w:tr>
      <w:tr w:rsidRPr="00E7680F" w:rsidR="00B95C51" w:rsidTr="00B06F49" w14:paraId="40DD7C88" w14:textId="77777777">
        <w:trPr>
          <w:trHeight w:val="771"/>
          <w:jc w:val="center"/>
        </w:trPr>
        <w:tc>
          <w:tcPr>
            <w:tcW w:w="1304" w:type="dxa"/>
            <w:tcBorders>
              <w:left w:val="nil"/>
            </w:tcBorders>
            <w:shd w:val="clear" w:color="auto" w:fill="F1F1F2"/>
          </w:tcPr>
          <w:p w:rsidRPr="00E7680F" w:rsidR="00B95C51" w:rsidP="00B06F49" w:rsidRDefault="00B95C51" w14:paraId="30E15A5C" w14:textId="77777777">
            <w:pPr>
              <w:pStyle w:val="TableParagraph"/>
              <w:spacing w:before="5" w:line="276" w:lineRule="auto"/>
              <w:rPr>
                <w:sz w:val="23"/>
              </w:rPr>
            </w:pPr>
          </w:p>
          <w:p w:rsidRPr="00E7680F" w:rsidR="00B95C51" w:rsidP="00B06F49" w:rsidRDefault="00B95C51" w14:paraId="50543FFB" w14:textId="77777777">
            <w:pPr>
              <w:pStyle w:val="TableParagraph"/>
              <w:spacing w:line="276" w:lineRule="auto"/>
              <w:ind w:left="540"/>
              <w:rPr>
                <w:sz w:val="20"/>
              </w:rPr>
            </w:pPr>
            <w:r w:rsidRPr="00E7680F">
              <w:rPr>
                <w:sz w:val="20"/>
              </w:rPr>
              <w:t>43</w:t>
            </w:r>
          </w:p>
        </w:tc>
        <w:tc>
          <w:tcPr>
            <w:tcW w:w="8334" w:type="dxa"/>
            <w:tcBorders>
              <w:right w:val="nil"/>
            </w:tcBorders>
            <w:shd w:val="clear" w:color="auto" w:fill="F1F1F2"/>
          </w:tcPr>
          <w:p w:rsidRPr="00E7680F" w:rsidR="00B95C51" w:rsidP="00B06F49" w:rsidRDefault="00B95C51" w14:paraId="4B2761BD" w14:textId="77777777">
            <w:pPr>
              <w:pStyle w:val="TableParagraph"/>
              <w:spacing w:before="149" w:line="276" w:lineRule="auto"/>
              <w:ind w:left="108" w:right="52"/>
              <w:rPr>
                <w:sz w:val="20"/>
              </w:rPr>
            </w:pPr>
            <w:r w:rsidRPr="00E7680F">
              <w:rPr>
                <w:sz w:val="20"/>
              </w:rPr>
              <w:t>La contratación de materiales y tecnología nuclear realizada por el Servicio Geológico Colombiano.</w:t>
            </w:r>
          </w:p>
        </w:tc>
      </w:tr>
      <w:tr w:rsidRPr="00E7680F" w:rsidR="00B95C51" w:rsidTr="00B06F49" w14:paraId="2B8A5FE6" w14:textId="77777777">
        <w:trPr>
          <w:trHeight w:val="599"/>
          <w:jc w:val="center"/>
        </w:trPr>
        <w:tc>
          <w:tcPr>
            <w:tcW w:w="1304" w:type="dxa"/>
            <w:tcBorders>
              <w:left w:val="nil"/>
            </w:tcBorders>
            <w:shd w:val="clear" w:color="auto" w:fill="F1F1F2"/>
          </w:tcPr>
          <w:p w:rsidRPr="00E7680F" w:rsidR="00B95C51" w:rsidP="00B06F49" w:rsidRDefault="00B95C51" w14:paraId="63FA1E92" w14:textId="77777777">
            <w:pPr>
              <w:pStyle w:val="TableParagraph"/>
              <w:spacing w:before="183" w:line="276" w:lineRule="auto"/>
              <w:ind w:left="540"/>
              <w:rPr>
                <w:sz w:val="20"/>
              </w:rPr>
            </w:pPr>
            <w:r w:rsidRPr="00E7680F">
              <w:rPr>
                <w:sz w:val="20"/>
              </w:rPr>
              <w:t>45</w:t>
            </w:r>
          </w:p>
        </w:tc>
        <w:tc>
          <w:tcPr>
            <w:tcW w:w="8334" w:type="dxa"/>
            <w:tcBorders>
              <w:right w:val="nil"/>
            </w:tcBorders>
            <w:shd w:val="clear" w:color="auto" w:fill="F1F1F2"/>
          </w:tcPr>
          <w:p w:rsidRPr="00E7680F" w:rsidR="00B95C51" w:rsidP="00B06F49" w:rsidRDefault="00B95C51" w14:paraId="0D73B8EF" w14:textId="77777777">
            <w:pPr>
              <w:pStyle w:val="TableParagraph"/>
              <w:spacing w:before="183" w:line="276" w:lineRule="auto"/>
              <w:ind w:left="108"/>
              <w:rPr>
                <w:sz w:val="20"/>
              </w:rPr>
            </w:pPr>
            <w:r w:rsidRPr="00E7680F">
              <w:rPr>
                <w:sz w:val="20"/>
              </w:rPr>
              <w:t>Las contrataciones de la Unidad Administrativa Especial de Aeronáutica Civil –AEROCIVIL–.</w:t>
            </w:r>
          </w:p>
        </w:tc>
      </w:tr>
      <w:tr w:rsidRPr="00E7680F" w:rsidR="00B95C51" w:rsidTr="00B06F49" w14:paraId="7DB7E624" w14:textId="77777777">
        <w:trPr>
          <w:trHeight w:val="710"/>
          <w:jc w:val="center"/>
        </w:trPr>
        <w:tc>
          <w:tcPr>
            <w:tcW w:w="1304" w:type="dxa"/>
            <w:tcBorders>
              <w:left w:val="nil"/>
            </w:tcBorders>
            <w:shd w:val="clear" w:color="auto" w:fill="DCDDDE"/>
          </w:tcPr>
          <w:p w:rsidRPr="00E7680F" w:rsidR="00B95C51" w:rsidP="00B06F49" w:rsidRDefault="00B95C51" w14:paraId="768DC16F" w14:textId="77777777">
            <w:pPr>
              <w:pStyle w:val="TableParagraph"/>
              <w:spacing w:before="9" w:line="276" w:lineRule="auto"/>
              <w:rPr>
                <w:sz w:val="20"/>
              </w:rPr>
            </w:pPr>
          </w:p>
          <w:p w:rsidRPr="00E7680F" w:rsidR="00B95C51" w:rsidP="00B06F49" w:rsidRDefault="00B95C51" w14:paraId="3742B915" w14:textId="77777777">
            <w:pPr>
              <w:pStyle w:val="TableParagraph"/>
              <w:spacing w:line="276" w:lineRule="auto"/>
              <w:ind w:left="540"/>
              <w:rPr>
                <w:sz w:val="20"/>
              </w:rPr>
            </w:pPr>
            <w:r w:rsidRPr="00E7680F">
              <w:rPr>
                <w:sz w:val="20"/>
              </w:rPr>
              <w:t>46</w:t>
            </w:r>
          </w:p>
        </w:tc>
        <w:tc>
          <w:tcPr>
            <w:tcW w:w="8334" w:type="dxa"/>
            <w:tcBorders>
              <w:right w:val="nil"/>
            </w:tcBorders>
            <w:shd w:val="clear" w:color="auto" w:fill="DCDDDE"/>
          </w:tcPr>
          <w:p w:rsidRPr="00E7680F" w:rsidR="00B95C51" w:rsidP="00B06F49" w:rsidRDefault="00B95C51" w14:paraId="15C33AEA" w14:textId="77777777">
            <w:pPr>
              <w:pStyle w:val="TableParagraph"/>
              <w:spacing w:before="119" w:line="276" w:lineRule="auto"/>
              <w:ind w:left="108" w:right="52"/>
              <w:rPr>
                <w:sz w:val="20"/>
              </w:rPr>
            </w:pPr>
            <w:r w:rsidRPr="00E7680F">
              <w:rPr>
                <w:sz w:val="20"/>
              </w:rPr>
              <w:t>Las contrataciones de la Registraduría Nacional del Estado Civil para la preparación y realización de elecciones.</w:t>
            </w:r>
          </w:p>
        </w:tc>
      </w:tr>
    </w:tbl>
    <w:p w:rsidRPr="00E7680F" w:rsidR="00191318" w:rsidP="0090373B" w:rsidRDefault="003E4C5D" w14:paraId="6FB627C1" w14:textId="43080148">
      <w:pPr>
        <w:pStyle w:val="Textoindependiente"/>
        <w:spacing w:before="240"/>
        <w:jc w:val="both"/>
        <w:rPr>
          <w:rFonts w:ascii="Arial" w:hAnsi="Arial" w:cs="Arial"/>
          <w:szCs w:val="22"/>
        </w:rPr>
      </w:pPr>
      <w:r w:rsidRPr="00E7680F">
        <w:rPr>
          <w:rFonts w:ascii="Arial" w:hAnsi="Arial" w:cs="Arial"/>
          <w:szCs w:val="22"/>
        </w:rPr>
        <w:tab/>
      </w:r>
      <w:r w:rsidRPr="00E7680F" w:rsidR="00E754EC">
        <w:rPr>
          <w:rFonts w:ascii="Arial" w:hAnsi="Arial" w:cs="Arial"/>
          <w:szCs w:val="22"/>
        </w:rPr>
        <w:t xml:space="preserve">En suma, </w:t>
      </w:r>
      <w:r w:rsidRPr="00E7680F" w:rsidR="003F1F34">
        <w:rPr>
          <w:rFonts w:ascii="Arial" w:hAnsi="Arial" w:cs="Arial"/>
          <w:szCs w:val="22"/>
        </w:rPr>
        <w:t xml:space="preserve">dado que el ordenamiento jurídico colombiano, respecto a las compras públicas, en el artículo 2.2.1.2.4.1.1 del Decreto 1082 de 2015, dispuso que: «Las Entidades Estatales deben adelantar los Procesos de Contratación de acuerdo con lo previsto en los Acuerdos Comerciales, cuando estos les sean aplicables», </w:t>
      </w:r>
      <w:r w:rsidRPr="00E7680F" w:rsidR="00906624">
        <w:rPr>
          <w:rFonts w:ascii="Arial" w:hAnsi="Arial" w:cs="Arial"/>
          <w:szCs w:val="22"/>
        </w:rPr>
        <w:t xml:space="preserve">cada entidad estatal </w:t>
      </w:r>
      <w:r w:rsidRPr="00E7680F" w:rsidR="00E754EC">
        <w:rPr>
          <w:rFonts w:ascii="Arial" w:hAnsi="Arial" w:cs="Arial"/>
          <w:szCs w:val="22"/>
        </w:rPr>
        <w:t xml:space="preserve">dependiendo del tratado y su contenido, </w:t>
      </w:r>
      <w:r w:rsidRPr="00E7680F" w:rsidR="00906624">
        <w:rPr>
          <w:rFonts w:ascii="Arial" w:hAnsi="Arial" w:cs="Arial"/>
          <w:szCs w:val="22"/>
        </w:rPr>
        <w:t>deberá</w:t>
      </w:r>
      <w:r w:rsidRPr="00E7680F" w:rsidR="00E754EC">
        <w:rPr>
          <w:rFonts w:ascii="Arial" w:hAnsi="Arial" w:cs="Arial"/>
          <w:szCs w:val="22"/>
        </w:rPr>
        <w:t xml:space="preserve"> determinar específicamente el tipo de obligaciones que</w:t>
      </w:r>
      <w:r w:rsidRPr="00E7680F" w:rsidR="001A2540">
        <w:rPr>
          <w:rFonts w:ascii="Arial" w:hAnsi="Arial" w:cs="Arial"/>
          <w:szCs w:val="22"/>
        </w:rPr>
        <w:t xml:space="preserve"> rigen los procesos de contratación, para lo cual debe determinar si </w:t>
      </w:r>
      <w:r w:rsidRPr="00E7680F" w:rsidR="004B7C08">
        <w:rPr>
          <w:rFonts w:ascii="Arial" w:hAnsi="Arial" w:cs="Arial"/>
          <w:szCs w:val="22"/>
        </w:rPr>
        <w:t xml:space="preserve">es una de las entidades cubiertas por el acuerdo, si </w:t>
      </w:r>
      <w:r w:rsidRPr="00E7680F" w:rsidR="001A2540">
        <w:rPr>
          <w:rFonts w:ascii="Arial" w:hAnsi="Arial" w:cs="Arial"/>
          <w:szCs w:val="22"/>
        </w:rPr>
        <w:t xml:space="preserve">el </w:t>
      </w:r>
      <w:r w:rsidRPr="00E7680F" w:rsidR="00034187">
        <w:rPr>
          <w:rFonts w:ascii="Arial" w:hAnsi="Arial" w:cs="Arial"/>
          <w:szCs w:val="22"/>
        </w:rPr>
        <w:t xml:space="preserve">proceso se encuentra dentro de los </w:t>
      </w:r>
      <w:r w:rsidRPr="00E7680F" w:rsidR="001A2540">
        <w:rPr>
          <w:rFonts w:ascii="Arial" w:hAnsi="Arial" w:cs="Arial"/>
          <w:szCs w:val="22"/>
        </w:rPr>
        <w:t>umbral</w:t>
      </w:r>
      <w:r w:rsidRPr="00E7680F" w:rsidR="00034187">
        <w:rPr>
          <w:rFonts w:ascii="Arial" w:hAnsi="Arial" w:cs="Arial"/>
          <w:szCs w:val="22"/>
        </w:rPr>
        <w:t xml:space="preserve">es </w:t>
      </w:r>
      <w:r w:rsidRPr="00E7680F" w:rsidR="004B7C08">
        <w:rPr>
          <w:rFonts w:ascii="Arial" w:hAnsi="Arial" w:cs="Arial"/>
          <w:szCs w:val="22"/>
        </w:rPr>
        <w:t xml:space="preserve">para su </w:t>
      </w:r>
      <w:r w:rsidRPr="00E7680F" w:rsidR="00034187">
        <w:rPr>
          <w:rFonts w:ascii="Arial" w:hAnsi="Arial" w:cs="Arial"/>
          <w:szCs w:val="22"/>
        </w:rPr>
        <w:t xml:space="preserve">aplicación, así como si existen excepciones </w:t>
      </w:r>
      <w:r w:rsidRPr="00E7680F" w:rsidR="00A06719">
        <w:rPr>
          <w:rFonts w:ascii="Arial" w:hAnsi="Arial" w:cs="Arial"/>
          <w:szCs w:val="22"/>
        </w:rPr>
        <w:t xml:space="preserve">que conlleven que algún acuerdo comercial no </w:t>
      </w:r>
      <w:r w:rsidRPr="00E7680F" w:rsidR="00AB61F4">
        <w:rPr>
          <w:rFonts w:ascii="Arial" w:hAnsi="Arial" w:cs="Arial"/>
          <w:szCs w:val="22"/>
        </w:rPr>
        <w:t>sea</w:t>
      </w:r>
      <w:r w:rsidRPr="00E7680F" w:rsidR="00A06719">
        <w:rPr>
          <w:rFonts w:ascii="Arial" w:hAnsi="Arial" w:cs="Arial"/>
          <w:szCs w:val="22"/>
        </w:rPr>
        <w:t xml:space="preserve"> aplicable.</w:t>
      </w:r>
    </w:p>
    <w:p w:rsidRPr="00E7680F" w:rsidR="00191318" w:rsidP="00191318" w:rsidRDefault="00191318" w14:paraId="1E57D8CD" w14:textId="77777777">
      <w:pPr>
        <w:tabs>
          <w:tab w:val="left" w:pos="0"/>
        </w:tabs>
        <w:spacing w:line="276" w:lineRule="auto"/>
        <w:ind w:right="709"/>
        <w:jc w:val="both"/>
        <w:rPr>
          <w:rFonts w:ascii="Arial" w:hAnsi="Arial" w:cs="Arial"/>
          <w:sz w:val="20"/>
          <w:szCs w:val="20"/>
        </w:rPr>
      </w:pPr>
    </w:p>
    <w:p w:rsidRPr="00E7680F" w:rsidR="00191318" w:rsidP="00191318" w:rsidRDefault="00191318" w14:paraId="2B24FB07" w14:textId="77777777">
      <w:pPr>
        <w:pStyle w:val="Textoindependiente"/>
        <w:spacing w:after="0"/>
        <w:rPr>
          <w:rFonts w:ascii="Arial" w:hAnsi="Arial" w:cs="Arial"/>
          <w:b/>
          <w:bCs/>
          <w:szCs w:val="22"/>
        </w:rPr>
      </w:pPr>
      <w:r w:rsidRPr="00E7680F">
        <w:rPr>
          <w:rFonts w:ascii="Arial" w:hAnsi="Arial" w:cs="Arial"/>
          <w:b/>
          <w:bCs/>
          <w:szCs w:val="22"/>
          <w:lang w:val="es-ES"/>
        </w:rPr>
        <w:t xml:space="preserve">2.4 Vinculatoriedad de las </w:t>
      </w:r>
      <w:r w:rsidRPr="00E7680F">
        <w:rPr>
          <w:rFonts w:ascii="Arial" w:hAnsi="Arial" w:cs="Arial"/>
          <w:b/>
          <w:bCs/>
          <w:szCs w:val="22"/>
        </w:rPr>
        <w:t xml:space="preserve">Guías, Manuales y Circulares </w:t>
      </w:r>
    </w:p>
    <w:p w:rsidRPr="00E7680F" w:rsidR="00191318" w:rsidP="00191318" w:rsidRDefault="00191318" w14:paraId="44BF0B1E" w14:textId="6E4BD04E">
      <w:pPr>
        <w:pStyle w:val="Textoindependiente"/>
        <w:spacing w:before="240"/>
        <w:jc w:val="both"/>
        <w:rPr>
          <w:rFonts w:ascii="Arial" w:hAnsi="Arial" w:cs="Arial"/>
          <w:szCs w:val="22"/>
        </w:rPr>
      </w:pPr>
      <w:r w:rsidRPr="00E7680F">
        <w:rPr>
          <w:rFonts w:ascii="Arial" w:hAnsi="Arial" w:cs="Arial"/>
          <w:szCs w:val="22"/>
        </w:rPr>
        <w:t xml:space="preserve">La Agencia Nacional de Contratación Pública – Colombia Compra Eficiente fue creada por el Decreto Ley 4170 de 2011, como una Unidad Administrativa Especial, descentralizada de la Rama Ejecutiva del orden nacional, adscrita al Departamento Nacional de </w:t>
      </w:r>
      <w:r w:rsidRPr="00E7680F" w:rsidR="00EC6CED">
        <w:rPr>
          <w:rFonts w:ascii="Arial" w:hAnsi="Arial" w:cs="Arial"/>
          <w:szCs w:val="22"/>
        </w:rPr>
        <w:t xml:space="preserve">                                               </w:t>
      </w:r>
      <w:r w:rsidRPr="00E7680F">
        <w:rPr>
          <w:rFonts w:ascii="Arial" w:hAnsi="Arial" w:cs="Arial"/>
          <w:szCs w:val="22"/>
        </w:rPr>
        <w:t xml:space="preserve">Planeación. </w:t>
      </w:r>
    </w:p>
    <w:p w:rsidRPr="00E7680F" w:rsidR="00191318" w:rsidP="00191318" w:rsidRDefault="00191318" w14:paraId="701A53FD" w14:textId="77777777">
      <w:pPr>
        <w:pStyle w:val="Textoindependiente"/>
        <w:spacing w:before="93"/>
        <w:ind w:firstLine="708"/>
        <w:jc w:val="both"/>
        <w:rPr>
          <w:rFonts w:ascii="Arial" w:hAnsi="Arial" w:cs="Arial"/>
          <w:szCs w:val="22"/>
        </w:rPr>
      </w:pPr>
      <w:r w:rsidRPr="00E7680F">
        <w:rPr>
          <w:rFonts w:ascii="Arial" w:hAnsi="Arial" w:cs="Arial"/>
          <w:szCs w:val="22"/>
        </w:rPr>
        <w:lastRenderedPageBreak/>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facultando a la Agencia para «difundir las normas, reglas, procedimientos, medios tecnológicos y mejores prácticas para las compras y la contratación pública», de conformidad con el numeral 10 del artículo 3 del Decreto Ley 4170 de 2011. </w:t>
      </w:r>
    </w:p>
    <w:p w:rsidRPr="00E7680F" w:rsidR="00191318" w:rsidP="00191318" w:rsidRDefault="00191318" w14:paraId="3D1505CC" w14:textId="77777777">
      <w:pPr>
        <w:pStyle w:val="Textoindependiente"/>
        <w:ind w:firstLine="708"/>
        <w:jc w:val="both"/>
        <w:rPr>
          <w:rFonts w:ascii="Arial" w:hAnsi="Arial" w:cs="Arial"/>
          <w:szCs w:val="22"/>
        </w:rPr>
      </w:pPr>
      <w:r w:rsidRPr="00E7680F">
        <w:rPr>
          <w:rFonts w:ascii="Arial" w:hAnsi="Arial" w:cs="Arial"/>
          <w:szCs w:val="22"/>
        </w:rPr>
        <w:t>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Asimismo, el numeral 5 del mismo artículo otorga la facultad para expedir circulares externas en materia de compras y contratación pública.</w:t>
      </w:r>
    </w:p>
    <w:p w:rsidRPr="00E7680F" w:rsidR="00191318" w:rsidP="00191318" w:rsidRDefault="00191318" w14:paraId="6A8C4ABC" w14:textId="77777777">
      <w:pPr>
        <w:pStyle w:val="Textoindependiente"/>
        <w:ind w:firstLine="708"/>
        <w:jc w:val="both"/>
        <w:rPr>
          <w:rFonts w:ascii="Arial" w:hAnsi="Arial" w:cs="Arial"/>
          <w:szCs w:val="22"/>
        </w:rPr>
      </w:pPr>
      <w:bookmarkStart w:name="_Hlk69117524" w:id="7"/>
      <w:r w:rsidRPr="00E7680F">
        <w:rPr>
          <w:rFonts w:ascii="Arial" w:hAnsi="Arial" w:cs="Arial"/>
          <w:szCs w:val="22"/>
        </w:rPr>
        <w:t>En ejercicio de estas competencias conferidas por el Decreto Ley 4170 de 2011, Colombia Compra Eficiente ha expedido Guías, Manuales y Circulares, los cuales pueden ser calificados como herramientas de apoyo a los partícipes de la contratación pública.</w:t>
      </w:r>
    </w:p>
    <w:bookmarkEnd w:id="7"/>
    <w:p w:rsidRPr="00E7680F" w:rsidR="00191318" w:rsidP="00191318" w:rsidRDefault="00191318" w14:paraId="231BF028" w14:textId="77777777">
      <w:pPr>
        <w:pStyle w:val="Textoindependiente"/>
        <w:ind w:firstLine="708"/>
        <w:jc w:val="both"/>
        <w:rPr>
          <w:rFonts w:ascii="Arial" w:hAnsi="Arial" w:cs="Arial"/>
          <w:szCs w:val="22"/>
        </w:rPr>
      </w:pPr>
      <w:r w:rsidRPr="00E7680F">
        <w:rPr>
          <w:rFonts w:ascii="Arial" w:hAnsi="Arial" w:cs="Arial"/>
          <w:szCs w:val="22"/>
        </w:rPr>
        <w:t>A pesar de que el Decreto Ley 4170 de 2011 no contiene de manera expresa los vocablos Guía o Manual, Colombia Compra Eficiente, a partir del 2013, los ha expedido como instrumentos y herramientas que facilitan las compras y la contratación pública y promueven las mejores prácticas, la eficiencia, transparencia y competitividad. El Decreto 1510 de 2013, por el cual se reglamentó el sistema de compras y contratación pública, compilado por el Decreto 1082 de 2015, a pesar de que se refiere de forma expresa a los Manuales y Guías, no distingue o precisa el concepto de cada uno.</w:t>
      </w:r>
    </w:p>
    <w:p w:rsidRPr="00E7680F" w:rsidR="00191318" w:rsidP="00191318" w:rsidRDefault="00191318" w14:paraId="01D8EA8E" w14:textId="77777777">
      <w:pPr>
        <w:pStyle w:val="Textoindependiente"/>
        <w:ind w:right="42" w:firstLine="708"/>
        <w:jc w:val="both"/>
        <w:rPr>
          <w:rFonts w:ascii="Arial" w:hAnsi="Arial" w:cs="Arial"/>
          <w:szCs w:val="22"/>
        </w:rPr>
      </w:pPr>
      <w:r w:rsidRPr="00E7680F">
        <w:rPr>
          <w:rFonts w:ascii="Arial" w:hAnsi="Arial" w:cs="Arial"/>
          <w:szCs w:val="22"/>
        </w:rPr>
        <w:t>Bajo las denominaciones de Guías, Manuales, instructivos y protocolos muchas entidades del Estado han adoptado herramientas e instrumentos para definir criterios técnicos, fijar procedimientos, estandarizar procesos y establecer metodologías, aunque no existe un significado unívoco que defina cada herramienta</w:t>
      </w:r>
      <w:r w:rsidRPr="00E7680F">
        <w:rPr>
          <w:rStyle w:val="Refdenotaalpie"/>
          <w:rFonts w:ascii="Arial" w:hAnsi="Arial" w:cs="Arial"/>
          <w:szCs w:val="22"/>
        </w:rPr>
        <w:footnoteReference w:id="6"/>
      </w:r>
      <w:r w:rsidRPr="00E7680F">
        <w:rPr>
          <w:rFonts w:ascii="Arial" w:hAnsi="Arial" w:cs="Arial"/>
          <w:szCs w:val="22"/>
        </w:rPr>
        <w:t>.</w:t>
      </w:r>
    </w:p>
    <w:p w:rsidRPr="00E7680F" w:rsidR="00191318" w:rsidP="00191318" w:rsidRDefault="00191318" w14:paraId="79AAE9A7" w14:textId="77777777">
      <w:pPr>
        <w:pStyle w:val="Textoindependiente"/>
        <w:ind w:right="42" w:firstLine="708"/>
        <w:jc w:val="both"/>
        <w:rPr>
          <w:rFonts w:ascii="Arial" w:hAnsi="Arial" w:cs="Arial"/>
          <w:szCs w:val="22"/>
        </w:rPr>
      </w:pPr>
      <w:r w:rsidRPr="00E7680F">
        <w:rPr>
          <w:rFonts w:ascii="Arial" w:hAnsi="Arial" w:cs="Arial"/>
          <w:szCs w:val="22"/>
        </w:rPr>
        <w:lastRenderedPageBreak/>
        <w:t>Dentro del funcionamiento interno de esta entidad, 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rsidRPr="00E7680F" w:rsidR="00191318" w:rsidP="00191318" w:rsidRDefault="00191318" w14:paraId="2CD2A1FC" w14:textId="77777777">
      <w:pPr>
        <w:pStyle w:val="Textoindependiente"/>
        <w:spacing w:before="1"/>
        <w:ind w:right="42" w:firstLine="708"/>
        <w:jc w:val="both"/>
        <w:rPr>
          <w:rFonts w:ascii="Arial" w:hAnsi="Arial" w:cs="Arial"/>
          <w:szCs w:val="22"/>
        </w:rPr>
      </w:pPr>
      <w:r w:rsidRPr="00E7680F">
        <w:rPr>
          <w:rFonts w:ascii="Arial" w:hAnsi="Arial" w:cs="Arial"/>
          <w:szCs w:val="22"/>
        </w:rPr>
        <w:t xml:space="preserve">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guía para la liquidación de los contratos estatales, la cual fija un procedimiento para el efecto. </w:t>
      </w:r>
    </w:p>
    <w:p w:rsidRPr="00E7680F" w:rsidR="00191318" w:rsidP="00191318" w:rsidRDefault="00191318" w14:paraId="279D03C2" w14:textId="77777777">
      <w:pPr>
        <w:pStyle w:val="Textoindependiente"/>
        <w:spacing w:before="240" w:after="240"/>
        <w:ind w:right="40"/>
        <w:jc w:val="both"/>
        <w:rPr>
          <w:rFonts w:ascii="Arial" w:hAnsi="Arial" w:cs="Arial"/>
          <w:b/>
          <w:bCs/>
          <w:szCs w:val="22"/>
        </w:rPr>
      </w:pPr>
      <w:r w:rsidRPr="00E7680F">
        <w:rPr>
          <w:rFonts w:ascii="Arial" w:hAnsi="Arial" w:cs="Arial"/>
          <w:b/>
          <w:bCs/>
          <w:szCs w:val="22"/>
        </w:rPr>
        <w:t>2.4.1 Obligatoriedad de los instrumentos y herramientas expedidas por Colombia Compra</w:t>
      </w:r>
      <w:r w:rsidRPr="00E7680F">
        <w:rPr>
          <w:rFonts w:ascii="Arial" w:hAnsi="Arial" w:cs="Arial"/>
          <w:b/>
          <w:bCs/>
          <w:spacing w:val="-2"/>
          <w:szCs w:val="22"/>
        </w:rPr>
        <w:t xml:space="preserve"> </w:t>
      </w:r>
      <w:r w:rsidRPr="00E7680F">
        <w:rPr>
          <w:rFonts w:ascii="Arial" w:hAnsi="Arial" w:cs="Arial"/>
          <w:b/>
          <w:bCs/>
          <w:szCs w:val="22"/>
        </w:rPr>
        <w:t>Eficiente</w:t>
      </w:r>
    </w:p>
    <w:p w:rsidRPr="00E7680F" w:rsidR="00191318" w:rsidP="00191318" w:rsidRDefault="00191318" w14:paraId="4DA600B1" w14:textId="77777777">
      <w:pPr>
        <w:pStyle w:val="Textoindependiente"/>
        <w:ind w:right="42"/>
        <w:jc w:val="both"/>
        <w:rPr>
          <w:rFonts w:ascii="Arial" w:hAnsi="Arial" w:cs="Arial"/>
          <w:szCs w:val="22"/>
        </w:rPr>
      </w:pPr>
      <w:r w:rsidRPr="00E7680F">
        <w:rPr>
          <w:rFonts w:ascii="Arial" w:hAnsi="Arial" w:cs="Arial"/>
          <w:szCs w:val="22"/>
        </w:rPr>
        <w:t>Para el año 2016, frente a los documentos indicados se sostuvo que los Manuales y Guías, como instrumentos o herramientas de buenas prácticas y facilitadores de la comprensión de la normativa del Sistema de Compra Pública, solo eran obligatorios cuando se acogían a través de una circular, de manera que si las entidades estatales se apartaban de esas buenas prácticas tenían una carga de argumentación que debía quedar consignada de manera expresa en los documentos del</w:t>
      </w:r>
      <w:r w:rsidRPr="00E7680F">
        <w:rPr>
          <w:rFonts w:ascii="Arial" w:hAnsi="Arial" w:cs="Arial"/>
          <w:spacing w:val="-8"/>
          <w:szCs w:val="22"/>
        </w:rPr>
        <w:t xml:space="preserve"> </w:t>
      </w:r>
      <w:r w:rsidRPr="00E7680F">
        <w:rPr>
          <w:rFonts w:ascii="Arial" w:hAnsi="Arial" w:cs="Arial"/>
          <w:szCs w:val="22"/>
        </w:rPr>
        <w:t>proceso.</w:t>
      </w:r>
    </w:p>
    <w:p w:rsidRPr="00E7680F" w:rsidR="00191318" w:rsidP="00191318" w:rsidRDefault="00191318" w14:paraId="7475709F" w14:textId="77777777">
      <w:pPr>
        <w:pStyle w:val="Textoindependiente"/>
        <w:ind w:right="42" w:firstLine="708"/>
        <w:jc w:val="both"/>
        <w:rPr>
          <w:rFonts w:ascii="Arial" w:hAnsi="Arial" w:cs="Arial"/>
          <w:szCs w:val="22"/>
        </w:rPr>
      </w:pPr>
      <w:r w:rsidRPr="00E7680F">
        <w:rPr>
          <w:rFonts w:ascii="Arial" w:hAnsi="Arial" w:cs="Arial"/>
          <w:szCs w:val="22"/>
        </w:rPr>
        <w:t>Las circulares externas, al ser actos administrativos generales, eran obligatorias siempre que se hubieran publicado en el Diario Oficial, en este sentido, las directrices, manuales, guías o lineamientos que se adopten por circular o cualquier otro acto administrativo vinculante eran obligatorias para los partícipes del Sistema de Compra Pública</w:t>
      </w:r>
      <w:r w:rsidRPr="00E7680F">
        <w:rPr>
          <w:rStyle w:val="Refdenotaalpie"/>
          <w:rFonts w:ascii="Arial" w:hAnsi="Arial" w:cs="Arial"/>
          <w:szCs w:val="22"/>
        </w:rPr>
        <w:footnoteReference w:id="7"/>
      </w:r>
      <w:r w:rsidRPr="00E7680F">
        <w:rPr>
          <w:rFonts w:ascii="Arial" w:hAnsi="Arial" w:cs="Arial"/>
          <w:szCs w:val="22"/>
        </w:rPr>
        <w:t>.</w:t>
      </w:r>
    </w:p>
    <w:p w:rsidRPr="00E7680F" w:rsidR="00191318" w:rsidP="00191318" w:rsidRDefault="00191318" w14:paraId="586E7A4C" w14:textId="77777777">
      <w:pPr>
        <w:pStyle w:val="Textoindependiente"/>
        <w:ind w:right="42" w:firstLine="708"/>
        <w:jc w:val="both"/>
        <w:rPr>
          <w:rFonts w:ascii="Arial" w:hAnsi="Arial" w:cs="Arial"/>
          <w:szCs w:val="22"/>
        </w:rPr>
      </w:pPr>
      <w:r w:rsidRPr="00E7680F">
        <w:rPr>
          <w:rFonts w:ascii="Arial" w:hAnsi="Arial" w:cs="Arial"/>
          <w:szCs w:val="22"/>
        </w:rPr>
        <w:t xml:space="preserve">Así pues, el enfoque que se tuvo sobre la obligatoriedad o vinculatoriedad de las normas proferidas por la Agencia Nacional de Contratación Pública, en ejercicio de sus funciones, le daba prevalencia a la forma mediante la cual se adoptaba la pauta o directriz, </w:t>
      </w:r>
      <w:r w:rsidRPr="00E7680F">
        <w:rPr>
          <w:rFonts w:ascii="Arial" w:hAnsi="Arial" w:cs="Arial"/>
          <w:szCs w:val="22"/>
        </w:rPr>
        <w:lastRenderedPageBreak/>
        <w:t>esto es, si se trataba de Circulares Externas se estaba en presencia de una norma de obligatorio cumplimiento; mientras que si la directriz se adoptaba bajo la forma de una Guía o Manual su aplicación era facultativa, y por tanto su rango normativo no pasaba de ser una recomendación de buenas prácticas administrativas.</w:t>
      </w:r>
    </w:p>
    <w:p w:rsidRPr="00E7680F" w:rsidR="00191318" w:rsidP="00191318" w:rsidRDefault="00191318" w14:paraId="21569D3D" w14:textId="77777777">
      <w:pPr>
        <w:pStyle w:val="Textoindependiente"/>
        <w:ind w:right="42" w:firstLine="708"/>
        <w:jc w:val="both"/>
        <w:rPr>
          <w:rFonts w:ascii="Arial" w:hAnsi="Arial" w:cs="Arial"/>
          <w:szCs w:val="22"/>
        </w:rPr>
      </w:pPr>
      <w:r w:rsidRPr="00E7680F">
        <w:rPr>
          <w:rFonts w:ascii="Arial" w:hAnsi="Arial" w:cs="Arial"/>
          <w:szCs w:val="22"/>
        </w:rPr>
        <w:t>Ahora bien, en el 2017 la Subdirección de Gestión Contractual acogió un enfoque sustantivo sobre el carácter obligatorio de los actos expedidos por la entidad. Esto quiere decir que con</w:t>
      </w:r>
      <w:r w:rsidRPr="00E7680F">
        <w:rPr>
          <w:rFonts w:ascii="Arial" w:hAnsi="Arial" w:cs="Arial"/>
          <w:spacing w:val="1"/>
          <w:szCs w:val="22"/>
        </w:rPr>
        <w:t xml:space="preserve"> </w:t>
      </w:r>
      <w:r w:rsidRPr="00E7680F">
        <w:rPr>
          <w:rFonts w:ascii="Arial" w:hAnsi="Arial" w:cs="Arial"/>
          <w:szCs w:val="22"/>
        </w:rPr>
        <w:t>independencia de la forma que adopte la directriz, su carácter obligatorio o no está determinado por la existencia de una competencia legal o reglamentaria para regular el asunto en concreto.</w:t>
      </w:r>
    </w:p>
    <w:p w:rsidRPr="00E7680F" w:rsidR="00191318" w:rsidP="00191318" w:rsidRDefault="00191318" w14:paraId="12DAE8A8" w14:textId="77777777">
      <w:pPr>
        <w:pStyle w:val="Textoindependiente"/>
        <w:ind w:right="42" w:firstLine="708"/>
        <w:jc w:val="both"/>
        <w:rPr>
          <w:rFonts w:ascii="Arial" w:hAnsi="Arial" w:cs="Arial"/>
          <w:szCs w:val="22"/>
        </w:rPr>
      </w:pPr>
      <w:r w:rsidRPr="00E7680F">
        <w:rPr>
          <w:rFonts w:ascii="Arial" w:hAnsi="Arial" w:cs="Arial"/>
          <w:szCs w:val="22"/>
        </w:rPr>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la competencia, como uno de los elementos que caracteriza a los actos administrativos.</w:t>
      </w:r>
    </w:p>
    <w:p w:rsidRPr="00E7680F" w:rsidR="00191318" w:rsidP="00191318" w:rsidRDefault="00191318" w14:paraId="731C310C" w14:textId="77777777">
      <w:pPr>
        <w:pStyle w:val="Textoindependiente"/>
        <w:ind w:right="42" w:firstLine="708"/>
        <w:jc w:val="both"/>
        <w:rPr>
          <w:rFonts w:ascii="Arial" w:hAnsi="Arial" w:cs="Arial"/>
          <w:szCs w:val="22"/>
        </w:rPr>
      </w:pPr>
      <w:r w:rsidRPr="00E7680F">
        <w:rPr>
          <w:rFonts w:ascii="Arial" w:hAnsi="Arial" w:cs="Arial"/>
          <w:szCs w:val="22"/>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la potencialidad de producir efectos jurídicos.</w:t>
      </w:r>
    </w:p>
    <w:p w:rsidRPr="00E7680F" w:rsidR="00191318" w:rsidP="00191318" w:rsidRDefault="00191318" w14:paraId="1B928628" w14:textId="252609D7">
      <w:pPr>
        <w:pStyle w:val="Textoindependiente"/>
        <w:spacing w:before="1"/>
        <w:ind w:right="42" w:firstLine="708"/>
        <w:jc w:val="both"/>
        <w:rPr>
          <w:rFonts w:ascii="Arial" w:hAnsi="Arial" w:cs="Arial"/>
          <w:szCs w:val="22"/>
        </w:rPr>
      </w:pPr>
      <w:r w:rsidRPr="00E7680F">
        <w:rPr>
          <w:rFonts w:ascii="Arial" w:hAnsi="Arial" w:cs="Arial"/>
          <w:szCs w:val="22"/>
        </w:rPr>
        <w:t xml:space="preserve">Este enfoque sustantivo o material en relación con la obligatoriedad de las Circulares, Guías, Manuales o Documentos Tipo se corresponde al entendimiento que la jurisprudencia del Consejo de Estado ha tenido </w:t>
      </w:r>
      <w:r w:rsidRPr="00E7680F" w:rsidR="00710050">
        <w:rPr>
          <w:rFonts w:ascii="Arial" w:hAnsi="Arial" w:cs="Arial"/>
          <w:szCs w:val="22"/>
        </w:rPr>
        <w:t>para</w:t>
      </w:r>
      <w:r w:rsidRPr="00E7680F">
        <w:rPr>
          <w:rFonts w:ascii="Arial" w:hAnsi="Arial" w:cs="Arial"/>
          <w:szCs w:val="22"/>
        </w:rPr>
        <w:t xml:space="preserve"> determinar si se está ante un acto de la administración controlable por la jurisdicción contencioso administrativa, esto es, si se está en presencia de un acto administrativo. </w:t>
      </w:r>
    </w:p>
    <w:p w:rsidRPr="00E7680F" w:rsidR="00191318" w:rsidP="00191318" w:rsidRDefault="00191318" w14:paraId="5F317C7A" w14:textId="77777777">
      <w:pPr>
        <w:spacing w:before="240" w:after="240"/>
        <w:ind w:right="51"/>
        <w:jc w:val="both"/>
        <w:rPr>
          <w:rFonts w:ascii="Arial" w:hAnsi="Arial" w:cs="Arial"/>
          <w:sz w:val="22"/>
          <w:szCs w:val="22"/>
        </w:rPr>
      </w:pPr>
      <w:r w:rsidRPr="00E7680F">
        <w:rPr>
          <w:rFonts w:ascii="Arial" w:hAnsi="Arial" w:cs="Arial"/>
          <w:b/>
          <w:bCs/>
          <w:sz w:val="22"/>
          <w:szCs w:val="22"/>
        </w:rPr>
        <w:t>2.4.2. Posición del Consejo de Estado en torno a la obligatoriedad de los instrumentos y herramientas expedidas por Colombia Compra</w:t>
      </w:r>
      <w:r w:rsidRPr="00E7680F">
        <w:rPr>
          <w:rFonts w:ascii="Arial" w:hAnsi="Arial" w:cs="Arial"/>
          <w:b/>
          <w:bCs/>
          <w:spacing w:val="-11"/>
          <w:sz w:val="22"/>
          <w:szCs w:val="22"/>
        </w:rPr>
        <w:t xml:space="preserve"> </w:t>
      </w:r>
      <w:r w:rsidRPr="00E7680F">
        <w:rPr>
          <w:rFonts w:ascii="Arial" w:hAnsi="Arial" w:cs="Arial"/>
          <w:b/>
          <w:bCs/>
          <w:sz w:val="22"/>
          <w:szCs w:val="22"/>
        </w:rPr>
        <w:t xml:space="preserve">Eficiente </w:t>
      </w:r>
    </w:p>
    <w:p w:rsidRPr="00E7680F" w:rsidR="00191318" w:rsidP="00191318" w:rsidRDefault="00191318" w14:paraId="08814D42" w14:textId="77777777">
      <w:pPr>
        <w:pStyle w:val="Textoindependiente"/>
        <w:spacing w:before="93"/>
        <w:ind w:right="49"/>
        <w:jc w:val="both"/>
        <w:rPr>
          <w:rFonts w:ascii="Arial" w:hAnsi="Arial" w:cs="Arial"/>
          <w:szCs w:val="22"/>
        </w:rPr>
      </w:pPr>
      <w:r w:rsidRPr="00E7680F">
        <w:rPr>
          <w:rFonts w:ascii="Arial" w:hAnsi="Arial" w:cs="Arial"/>
          <w:szCs w:val="22"/>
        </w:rPr>
        <w:t>El Consejo de Estado estudió la naturaleza jurídica de los Manuales y Guías expedidos por Colombia Compra Eficiente. Señaló que se trata de normas de carácter general, impersonal y abstracto, cuya finalidad es dar un mayor nivel de detalle a todas las normas a las que están subordinadas, de forma que sea posible su aplicación. Sostuvo que normas como los manuales y las guías son conocidas como «normas reglamentarias de segundo o de tercer grado», entendiendo las de primer grado como las expedidas por el Presidente de la República en ejercicio de la potestad reglamentaria del numeral 11 del artículo 189 de la Constitución</w:t>
      </w:r>
      <w:r w:rsidRPr="00E7680F">
        <w:rPr>
          <w:rFonts w:ascii="Arial" w:hAnsi="Arial" w:cs="Arial"/>
          <w:spacing w:val="-6"/>
          <w:szCs w:val="22"/>
        </w:rPr>
        <w:t xml:space="preserve"> </w:t>
      </w:r>
      <w:r w:rsidRPr="00E7680F">
        <w:rPr>
          <w:rFonts w:ascii="Arial" w:hAnsi="Arial" w:cs="Arial"/>
          <w:szCs w:val="22"/>
        </w:rPr>
        <w:t>Política.</w:t>
      </w:r>
    </w:p>
    <w:p w:rsidRPr="00E7680F" w:rsidR="00191318" w:rsidP="00191318" w:rsidRDefault="00191318" w14:paraId="637D96E5" w14:textId="77777777">
      <w:pPr>
        <w:pStyle w:val="Textoindependiente"/>
        <w:ind w:right="49" w:firstLine="708"/>
        <w:jc w:val="both"/>
        <w:rPr>
          <w:rFonts w:ascii="Arial" w:hAnsi="Arial" w:cs="Arial"/>
          <w:szCs w:val="22"/>
        </w:rPr>
      </w:pPr>
      <w:r w:rsidRPr="00E7680F">
        <w:rPr>
          <w:rFonts w:ascii="Arial" w:hAnsi="Arial" w:cs="Arial"/>
          <w:szCs w:val="22"/>
        </w:rPr>
        <w:t xml:space="preserve">El Consejo de Estado, en consonancia con el criterio sustantivo o material de identificación de los actos administrativos arriba expuesto, reiteró que estos pueden estar revestidos de distintas formas, como decretos, resoluciones, reglamentos, acuerdos, manuales o circulares, en consecuencia, no es el nombre otorgado lo que genera que </w:t>
      </w:r>
      <w:r w:rsidRPr="00E7680F">
        <w:rPr>
          <w:rFonts w:ascii="Arial" w:hAnsi="Arial" w:cs="Arial"/>
          <w:szCs w:val="22"/>
        </w:rPr>
        <w:lastRenderedPageBreak/>
        <w:t>tenga naturaleza de acto administrativo, sino su contenido reglamentario o normativo de obligatoria aplicación, y ello es predicable, incluso, de los manuales expedidos por las distintas</w:t>
      </w:r>
      <w:r w:rsidRPr="00E7680F">
        <w:rPr>
          <w:rFonts w:ascii="Arial" w:hAnsi="Arial" w:cs="Arial"/>
          <w:spacing w:val="-34"/>
          <w:szCs w:val="22"/>
        </w:rPr>
        <w:t xml:space="preserve"> </w:t>
      </w:r>
      <w:r w:rsidRPr="00E7680F">
        <w:rPr>
          <w:rFonts w:ascii="Arial" w:hAnsi="Arial" w:cs="Arial"/>
          <w:szCs w:val="22"/>
        </w:rPr>
        <w:t>autoridades.</w:t>
      </w:r>
    </w:p>
    <w:p w:rsidRPr="00E7680F" w:rsidR="00191318" w:rsidP="00191318" w:rsidRDefault="00191318" w14:paraId="6412B8B0" w14:textId="77777777">
      <w:pPr>
        <w:pStyle w:val="Textoindependiente"/>
        <w:ind w:right="49" w:firstLine="708"/>
        <w:jc w:val="both"/>
        <w:rPr>
          <w:rFonts w:ascii="Arial" w:hAnsi="Arial" w:cs="Arial"/>
          <w:szCs w:val="22"/>
        </w:rPr>
      </w:pPr>
      <w:r w:rsidRPr="00E7680F">
        <w:rPr>
          <w:rFonts w:ascii="Arial" w:hAnsi="Arial" w:cs="Arial"/>
          <w:szCs w:val="22"/>
        </w:rPr>
        <w:t>De esta forma, los Manuales, Guías o Circulares frente a los que existe un fundamento normativo de rango legal o reglamentario que da la competencia a Colombia Compra Eficiente para expedirlos fueron declarados ajustados al ordenamiento jurídico y, además, frente a ellos se puede concluir que se trata de actos administrativos –incluso reglamentos– de obligatorio cumplimiento para los partícipes de la contratación pública, como el manual de uso de los acuerdos marco de precios, los manuales y guías para la elaboración y actualización del plan anual de adquisiciones y el manual o guía para el uso del clasificador de bienes y servicios.</w:t>
      </w:r>
    </w:p>
    <w:p w:rsidRPr="00E7680F" w:rsidR="00191318" w:rsidP="00191318" w:rsidRDefault="00191318" w14:paraId="3D442E8D" w14:textId="77777777">
      <w:pPr>
        <w:pStyle w:val="Textoindependiente"/>
        <w:ind w:right="49" w:firstLine="708"/>
        <w:jc w:val="both"/>
        <w:rPr>
          <w:rFonts w:ascii="Arial" w:hAnsi="Arial" w:cs="Arial"/>
          <w:szCs w:val="22"/>
        </w:rPr>
      </w:pPr>
      <w:r w:rsidRPr="00E7680F">
        <w:rPr>
          <w:rFonts w:ascii="Arial" w:hAnsi="Arial" w:cs="Arial"/>
          <w:szCs w:val="22"/>
        </w:rPr>
        <w:t>Lo contrario ocurre con los Manuales, Guías o Circulares que se expiden sin una competencia legal o reglamentaria, diferente de la genérica contenida en el Decreto Ley 4170 de 2011, que defiera a esta entidad su adopción, como ocurre con los manuales y guías para la identificación y cobertura del riesgo, los manuales y guías para la determinación de la capacidad residual. Estos instrumentos o herramientas quedan en el ámbito de normas de apoyo y de buenas prácticas para los partícipes del Sistema de Compra Pública, de donde no se puede derivar obligatoriedad.</w:t>
      </w:r>
    </w:p>
    <w:p w:rsidRPr="00E7680F" w:rsidR="00191318" w:rsidP="00191318" w:rsidRDefault="00191318" w14:paraId="7BBA9F4D" w14:textId="77777777">
      <w:pPr>
        <w:pStyle w:val="Textoindependiente"/>
        <w:spacing w:before="93"/>
        <w:ind w:right="49" w:firstLine="708"/>
        <w:jc w:val="both"/>
        <w:rPr>
          <w:rFonts w:ascii="Arial" w:hAnsi="Arial" w:cs="Arial"/>
          <w:szCs w:val="22"/>
        </w:rPr>
      </w:pPr>
      <w:r w:rsidRPr="00E7680F">
        <w:rPr>
          <w:rFonts w:ascii="Arial" w:hAnsi="Arial" w:cs="Arial"/>
          <w:szCs w:val="22"/>
        </w:rPr>
        <w:t>Así las cosas, la obligatoriedad de los instrumentos expedidos por Colombia Compra Eficiente no depende de la forma mediante la cual se adopten, pues guías, manuales o circulares podrán ser de obligatoria observancia o de mera pauta para fomentar buenas prácticas administrativas, dependiendo de si existe una norma de rango legal o de reglamentario, diferente de la general del Decreto 4170 de 2011, que confiera la competencia para regular determinado aspecto de la contratación estatal. Si la competencia no proviene de la ley o el reglamento, sin importar que se trate de una guía, un manual o una circular externa, no producirá efectos jurídicos y su función estará limitada a dar orientaciones o a reproducir normas, esto es, no tendrá fuerza obligatoria y, en consecuencia, no será vinculante para sus destinatarios, con independencia del nombre que</w:t>
      </w:r>
      <w:r w:rsidRPr="00E7680F">
        <w:rPr>
          <w:rFonts w:ascii="Arial" w:hAnsi="Arial" w:cs="Arial"/>
          <w:spacing w:val="-2"/>
          <w:szCs w:val="22"/>
        </w:rPr>
        <w:t xml:space="preserve"> </w:t>
      </w:r>
      <w:r w:rsidRPr="00E7680F">
        <w:rPr>
          <w:rFonts w:ascii="Arial" w:hAnsi="Arial" w:cs="Arial"/>
          <w:szCs w:val="22"/>
        </w:rPr>
        <w:t>tenga.</w:t>
      </w:r>
    </w:p>
    <w:p w:rsidRPr="00E7680F" w:rsidR="00191318" w:rsidP="00191318" w:rsidRDefault="00191318" w14:paraId="417E4323" w14:textId="77777777">
      <w:pPr>
        <w:tabs>
          <w:tab w:val="left" w:pos="426"/>
        </w:tabs>
        <w:spacing w:after="120" w:line="276" w:lineRule="auto"/>
        <w:jc w:val="both"/>
        <w:rPr>
          <w:rFonts w:ascii="Arial" w:hAnsi="Arial" w:eastAsia="Calibri" w:cs="Arial"/>
          <w:bCs/>
          <w:color w:val="000000" w:themeColor="text1"/>
          <w:sz w:val="22"/>
          <w:lang w:val="es-ES_tradnl"/>
        </w:rPr>
      </w:pPr>
      <w:r w:rsidRPr="00E7680F">
        <w:rPr>
          <w:rFonts w:ascii="Arial" w:hAnsi="Arial" w:cs="Arial" w:eastAsiaTheme="minorEastAsia"/>
          <w:sz w:val="22"/>
          <w:szCs w:val="22"/>
          <w:lang w:eastAsia="es-CO"/>
        </w:rPr>
        <w:tab/>
      </w:r>
      <w:r w:rsidRPr="00E7680F">
        <w:rPr>
          <w:rFonts w:ascii="Arial" w:hAnsi="Arial" w:cs="Arial" w:eastAsiaTheme="minorEastAsia"/>
          <w:sz w:val="22"/>
          <w:szCs w:val="22"/>
          <w:lang w:eastAsia="es-CO"/>
        </w:rPr>
        <w:tab/>
      </w:r>
      <w:bookmarkStart w:name="_Hlk95118121" w:id="8"/>
      <w:r w:rsidRPr="00E7680F">
        <w:rPr>
          <w:rFonts w:ascii="Arial" w:hAnsi="Arial" w:eastAsia="Calibri" w:cs="Arial"/>
          <w:bCs/>
          <w:color w:val="000000" w:themeColor="text1"/>
          <w:sz w:val="22"/>
          <w:lang w:val="es-ES_tradnl"/>
        </w:rPr>
        <w:t xml:space="preserve">Ahora bien, tratándose del Manual para el manejo de los Acuerdos Comerciales en Procesos de Contratación, como lo indicó esta Subdirección en el Concepto con radicado No. 2201913000008425 del 13 de noviembre de 2019, «Las entidades estatales pueden hacer uso del “Manual para el manejo de los Acuerdos Comerciales en Procesos de Contratación”, expedido por Colombia Compra Eficiente como herramienta orientadora para conocer la cobertura de los Acuerdos Comerciales y los plazos correspondientes, sin embargo, el uso del manual no exime a la entidad del deber de conocer y aplicar cada Acuerdo Comercial». En otras palabras, el Manual es una herramienta de orientación, pero no exime a las entidades estatales de verificar la cobertura y aplicar los acuerdos comerciales que resulten obligatorios en el correspondiente procedimiento de selección. </w:t>
      </w:r>
    </w:p>
    <w:p w:rsidRPr="00E7680F" w:rsidR="00191318" w:rsidP="00191318" w:rsidRDefault="00191318" w14:paraId="23E25A6D" w14:textId="77777777">
      <w:pPr>
        <w:pStyle w:val="NormalWeb"/>
        <w:spacing w:before="120" w:beforeAutospacing="0" w:after="120" w:afterAutospacing="0" w:line="276" w:lineRule="auto"/>
        <w:ind w:firstLine="709"/>
        <w:jc w:val="both"/>
        <w:rPr>
          <w:rFonts w:ascii="Arial" w:hAnsi="Arial" w:eastAsia="Calibri" w:cs="Arial"/>
          <w:bCs/>
          <w:color w:val="000000" w:themeColor="text1"/>
          <w:sz w:val="22"/>
          <w:szCs w:val="22"/>
          <w:lang w:val="es-ES_tradnl"/>
        </w:rPr>
      </w:pPr>
      <w:r w:rsidRPr="00E7680F">
        <w:rPr>
          <w:rFonts w:ascii="Arial" w:hAnsi="Arial" w:eastAsia="Calibri" w:cs="Arial"/>
          <w:bCs/>
          <w:color w:val="000000" w:themeColor="text1"/>
          <w:sz w:val="22"/>
          <w:lang w:val="es-ES_tradnl" w:eastAsia="en-US"/>
        </w:rPr>
        <w:lastRenderedPageBreak/>
        <w:t xml:space="preserve">Lo anterior guarda consonancia con los artículos 2.2.1.2.4.1.1. y 2.2.1.2.4.1.2. del Decreto 1082 de 2015, que disponen, respectivamente, que: «Las Entidades Estatales deben adelantar los Procesos de Contratación de acuerdo con lo previsto en los Acuerdos Comerciales, cuando estos les sean aplicables» y que «Si un mismo Proceso de Contratación está sometido a varios Acuerdos Comerciales, la Entidad Estatal debe adoptar las medidas necesarias para el cumplimiento de la totalidad de los compromisos previstos en los Acuerdos Comerciales».​ </w:t>
      </w:r>
      <w:r w:rsidRPr="00E7680F">
        <w:rPr>
          <w:rFonts w:ascii="Arial" w:hAnsi="Arial" w:cs="Arial" w:eastAsiaTheme="minorEastAsia"/>
          <w:sz w:val="22"/>
          <w:szCs w:val="22"/>
        </w:rPr>
        <w:t xml:space="preserve">De esta manera, las entidades estatales y los procesos contractuales cubiertos por los tratados suscritos entre Colombia y otros Estados son aquellos que aparecen en sus listas. Por ello, la determinación de si tales acuerdos comerciales aplican o no en un determinado procedimiento de selección corresponde realizarlo a cada entidad estatal, </w:t>
      </w:r>
      <w:r w:rsidRPr="00E7680F">
        <w:rPr>
          <w:rFonts w:ascii="Arial" w:hAnsi="Arial" w:eastAsia="Calibri" w:cs="Arial"/>
          <w:bCs/>
          <w:color w:val="000000" w:themeColor="text1"/>
          <w:sz w:val="22"/>
          <w:lang w:val="es-ES_tradnl"/>
        </w:rPr>
        <w:t>consultando el ámbito de cobertura de cada Acuerdo Comercial.</w:t>
      </w:r>
    </w:p>
    <w:bookmarkEnd w:id="8"/>
    <w:p w:rsidRPr="00E7680F" w:rsidR="00191318" w:rsidP="00191318" w:rsidRDefault="00191318" w14:paraId="3DB3D0BA" w14:textId="77777777">
      <w:pPr>
        <w:pStyle w:val="Textoindependiente"/>
        <w:spacing w:after="0"/>
        <w:rPr>
          <w:rFonts w:ascii="Arial" w:hAnsi="Arial" w:cs="Arial"/>
          <w:szCs w:val="22"/>
        </w:rPr>
      </w:pPr>
    </w:p>
    <w:p w:rsidRPr="00E7680F" w:rsidR="00191318" w:rsidP="00191318" w:rsidRDefault="00191318" w14:paraId="365B5433" w14:textId="77777777">
      <w:pPr>
        <w:numPr>
          <w:ilvl w:val="0"/>
          <w:numId w:val="1"/>
        </w:numPr>
        <w:tabs>
          <w:tab w:val="left" w:pos="284"/>
        </w:tabs>
        <w:spacing w:line="276" w:lineRule="auto"/>
        <w:ind w:left="0" w:firstLine="0"/>
        <w:contextualSpacing/>
        <w:rPr>
          <w:rFonts w:ascii="Arial" w:hAnsi="Arial" w:cs="Arial"/>
          <w:b/>
          <w:bCs/>
          <w:color w:val="000000" w:themeColor="text1"/>
          <w:sz w:val="22"/>
          <w:szCs w:val="22"/>
        </w:rPr>
      </w:pPr>
      <w:r w:rsidRPr="00E7680F">
        <w:rPr>
          <w:rFonts w:ascii="Arial" w:hAnsi="Arial" w:cs="Arial"/>
          <w:b/>
          <w:bCs/>
          <w:color w:val="000000" w:themeColor="text1"/>
          <w:sz w:val="22"/>
          <w:szCs w:val="22"/>
        </w:rPr>
        <w:t xml:space="preserve">Respuesta </w:t>
      </w:r>
    </w:p>
    <w:p w:rsidRPr="00E7680F" w:rsidR="00191318" w:rsidP="00191318" w:rsidRDefault="00191318" w14:paraId="68BA0031" w14:textId="77777777">
      <w:pPr>
        <w:spacing w:line="276" w:lineRule="auto"/>
        <w:ind w:right="709"/>
        <w:jc w:val="both"/>
        <w:rPr>
          <w:rFonts w:ascii="Arial" w:hAnsi="Arial" w:cs="Arial"/>
          <w:color w:val="000000" w:themeColor="text1"/>
          <w:sz w:val="21"/>
          <w:szCs w:val="21"/>
        </w:rPr>
      </w:pPr>
    </w:p>
    <w:p w:rsidRPr="00E7680F" w:rsidR="00191318" w:rsidP="003661DE" w:rsidRDefault="003661DE" w14:paraId="7FC7CFD9" w14:textId="3BDEB85C">
      <w:pPr>
        <w:tabs>
          <w:tab w:val="left" w:pos="426"/>
        </w:tabs>
        <w:ind w:left="709" w:right="709"/>
        <w:jc w:val="both"/>
        <w:rPr>
          <w:rFonts w:ascii="Arial" w:hAnsi="Arial" w:eastAsia="Calibri" w:cs="Arial"/>
          <w:color w:val="000000" w:themeColor="text1"/>
          <w:sz w:val="21"/>
          <w:szCs w:val="21"/>
        </w:rPr>
      </w:pPr>
      <w:r w:rsidRPr="00E7680F">
        <w:rPr>
          <w:rFonts w:ascii="Arial" w:hAnsi="Arial" w:eastAsia="Calibri" w:cs="Arial"/>
          <w:color w:val="000000" w:themeColor="text1"/>
          <w:sz w:val="21"/>
          <w:szCs w:val="21"/>
        </w:rPr>
        <w:t>«Necesito aclarar cómo se aplican las excepciones y las cuantías para los DEG derivado de los acuerdos comerciales».</w:t>
      </w:r>
    </w:p>
    <w:p w:rsidRPr="00E7680F" w:rsidR="00710050" w:rsidP="003661DE" w:rsidRDefault="00710050" w14:paraId="6A53684E" w14:textId="77777777">
      <w:pPr>
        <w:tabs>
          <w:tab w:val="left" w:pos="426"/>
        </w:tabs>
        <w:ind w:left="709" w:right="709"/>
        <w:jc w:val="both"/>
        <w:rPr>
          <w:rFonts w:ascii="Arial" w:hAnsi="Arial" w:cs="Arial"/>
          <w:sz w:val="22"/>
          <w:szCs w:val="22"/>
        </w:rPr>
      </w:pPr>
    </w:p>
    <w:p w:rsidRPr="00E7680F" w:rsidR="00817B63" w:rsidP="0090373B" w:rsidRDefault="00191318" w14:paraId="5C890FB0" w14:textId="0C0C7083">
      <w:pPr>
        <w:tabs>
          <w:tab w:val="left" w:pos="426"/>
        </w:tabs>
        <w:spacing w:after="120" w:line="276" w:lineRule="auto"/>
        <w:jc w:val="both"/>
        <w:rPr>
          <w:rFonts w:ascii="Arial" w:hAnsi="Arial" w:eastAsia="Calibri" w:cs="Arial"/>
          <w:bCs/>
          <w:color w:val="000000" w:themeColor="text1"/>
          <w:sz w:val="22"/>
          <w:lang w:val="es-ES_tradnl"/>
        </w:rPr>
      </w:pPr>
      <w:r w:rsidRPr="00E7680F">
        <w:rPr>
          <w:rFonts w:ascii="Arial" w:hAnsi="Arial" w:cs="Arial"/>
          <w:sz w:val="22"/>
          <w:szCs w:val="22"/>
        </w:rPr>
        <w:t xml:space="preserve">Los acuerdos comerciales son tratados internacionales celebrados entre Estados e incorporados a los ordenamientos nacionales, cuyo contenido consagra derechos y obligaciones en distintas materias, entre estas las compras públicas. </w:t>
      </w:r>
      <w:r w:rsidRPr="00E7680F" w:rsidR="00817B63">
        <w:rPr>
          <w:rFonts w:ascii="Arial" w:hAnsi="Arial" w:eastAsia="Calibri" w:cs="Arial"/>
          <w:bCs/>
          <w:color w:val="000000" w:themeColor="text1"/>
          <w:sz w:val="22"/>
          <w:lang w:val="es-ES_tradnl"/>
        </w:rPr>
        <w:t>Por esta razón, las entidades estatales tienen la obligación de identificar los Acuerdos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ii) los valores a partir de los cuales el Acuerdo Comercial es aplicable al proceso de contratación</w:t>
      </w:r>
      <w:r w:rsidRPr="00E7680F" w:rsidR="00F77838">
        <w:rPr>
          <w:rFonts w:ascii="Arial" w:hAnsi="Arial" w:eastAsia="Calibri" w:cs="Arial"/>
          <w:bCs/>
          <w:color w:val="000000" w:themeColor="text1"/>
          <w:sz w:val="22"/>
          <w:lang w:val="es-ES_tradnl"/>
        </w:rPr>
        <w:t xml:space="preserve"> </w:t>
      </w:r>
      <w:r w:rsidRPr="00E7680F" w:rsidR="00710050">
        <w:rPr>
          <w:rFonts w:ascii="Arial" w:hAnsi="Arial" w:eastAsia="Calibri" w:cs="Arial"/>
          <w:bCs/>
          <w:color w:val="000000" w:themeColor="text1"/>
          <w:sz w:val="22"/>
          <w:lang w:val="es-ES_tradnl"/>
        </w:rPr>
        <w:t>–</w:t>
      </w:r>
      <w:r w:rsidRPr="00E7680F" w:rsidR="00F77838">
        <w:rPr>
          <w:rFonts w:ascii="Arial" w:hAnsi="Arial" w:eastAsia="Calibri" w:cs="Arial"/>
          <w:bCs/>
          <w:color w:val="000000" w:themeColor="text1"/>
          <w:sz w:val="22"/>
          <w:lang w:val="es-ES_tradnl"/>
        </w:rPr>
        <w:t>umbrales</w:t>
      </w:r>
      <w:r w:rsidRPr="00E7680F" w:rsidR="00710050">
        <w:rPr>
          <w:rFonts w:ascii="Arial" w:hAnsi="Arial" w:eastAsia="Calibri" w:cs="Arial"/>
          <w:bCs/>
          <w:color w:val="000000" w:themeColor="text1"/>
          <w:sz w:val="22"/>
          <w:lang w:val="es-ES_tradnl"/>
        </w:rPr>
        <w:t>–</w:t>
      </w:r>
      <w:r w:rsidRPr="00E7680F" w:rsidR="00817B63">
        <w:rPr>
          <w:rFonts w:ascii="Arial" w:hAnsi="Arial" w:eastAsia="Calibri" w:cs="Arial"/>
          <w:bCs/>
          <w:color w:val="000000" w:themeColor="text1"/>
          <w:sz w:val="22"/>
          <w:lang w:val="es-ES_tradnl"/>
        </w:rPr>
        <w:t>; y, iii) las excepciones a la aplicación del acuerdo comercial.</w:t>
      </w:r>
    </w:p>
    <w:p w:rsidRPr="00E7680F" w:rsidR="00817B63" w:rsidP="0090373B" w:rsidRDefault="00817B63" w14:paraId="55730A3D" w14:textId="504458CF">
      <w:pPr>
        <w:spacing w:after="120" w:line="276" w:lineRule="auto"/>
        <w:ind w:firstLine="851"/>
        <w:jc w:val="both"/>
        <w:rPr>
          <w:rFonts w:ascii="Arial" w:hAnsi="Arial" w:eastAsia="Calibri" w:cs="Arial"/>
          <w:bCs/>
          <w:color w:val="000000" w:themeColor="text1"/>
          <w:sz w:val="22"/>
          <w:lang w:val="es-ES_tradnl"/>
        </w:rPr>
      </w:pPr>
      <w:r w:rsidRPr="00E7680F">
        <w:rPr>
          <w:rFonts w:ascii="Arial" w:hAnsi="Arial" w:eastAsia="Calibri" w:cs="Arial"/>
          <w:bCs/>
          <w:color w:val="000000" w:themeColor="text1"/>
          <w:sz w:val="22"/>
          <w:lang w:val="es-ES_tradnl"/>
        </w:rPr>
        <w:t xml:space="preserve">Respecto de los valores </w:t>
      </w:r>
      <w:r w:rsidRPr="00E7680F" w:rsidR="00710050">
        <w:rPr>
          <w:rFonts w:ascii="Arial" w:hAnsi="Arial" w:eastAsia="Calibri" w:cs="Arial"/>
          <w:bCs/>
          <w:color w:val="000000" w:themeColor="text1"/>
          <w:sz w:val="22"/>
          <w:lang w:val="es-ES_tradnl"/>
        </w:rPr>
        <w:t>–</w:t>
      </w:r>
      <w:r w:rsidRPr="00E7680F" w:rsidR="00F77838">
        <w:rPr>
          <w:rFonts w:ascii="Arial" w:hAnsi="Arial" w:eastAsia="Calibri" w:cs="Arial"/>
          <w:bCs/>
          <w:color w:val="000000" w:themeColor="text1"/>
          <w:sz w:val="22"/>
          <w:lang w:val="es-ES_tradnl"/>
        </w:rPr>
        <w:t>umbrales</w:t>
      </w:r>
      <w:r w:rsidRPr="00E7680F" w:rsidR="00710050">
        <w:rPr>
          <w:rFonts w:ascii="Arial" w:hAnsi="Arial" w:eastAsia="Calibri" w:cs="Arial"/>
          <w:bCs/>
          <w:color w:val="000000" w:themeColor="text1"/>
          <w:sz w:val="22"/>
          <w:lang w:val="es-ES_tradnl"/>
        </w:rPr>
        <w:t>–</w:t>
      </w:r>
      <w:r w:rsidRPr="00E7680F" w:rsidR="00F77838">
        <w:rPr>
          <w:rFonts w:ascii="Arial" w:hAnsi="Arial" w:eastAsia="Calibri" w:cs="Arial"/>
          <w:bCs/>
          <w:color w:val="000000" w:themeColor="text1"/>
          <w:sz w:val="22"/>
          <w:lang w:val="es-ES_tradnl"/>
        </w:rPr>
        <w:t xml:space="preserve"> </w:t>
      </w:r>
      <w:r w:rsidRPr="00E7680F">
        <w:rPr>
          <w:rFonts w:ascii="Arial" w:hAnsi="Arial" w:eastAsia="Calibri" w:cs="Arial"/>
          <w:bCs/>
          <w:color w:val="000000" w:themeColor="text1"/>
          <w:sz w:val="22"/>
          <w:lang w:val="es-ES_tradnl"/>
        </w:rPr>
        <w:t xml:space="preserve">a partir de los cuales el Acuerdo Comercial es aplicable al proceso de contratación, es de anotar que los valores generalmente </w:t>
      </w:r>
      <w:r w:rsidRPr="00E7680F" w:rsidR="00710050">
        <w:rPr>
          <w:rFonts w:ascii="Arial" w:hAnsi="Arial" w:eastAsia="Calibri" w:cs="Arial"/>
          <w:bCs/>
          <w:color w:val="000000" w:themeColor="text1"/>
          <w:sz w:val="22"/>
          <w:lang w:val="es-ES_tradnl"/>
        </w:rPr>
        <w:t xml:space="preserve"> son </w:t>
      </w:r>
      <w:r w:rsidRPr="00E7680F">
        <w:rPr>
          <w:rFonts w:ascii="Arial" w:hAnsi="Arial" w:eastAsia="Calibri" w:cs="Arial"/>
          <w:bCs/>
          <w:color w:val="000000" w:themeColor="text1"/>
          <w:sz w:val="22"/>
          <w:lang w:val="es-ES_tradnl"/>
        </w:rPr>
        <w:t>negociados en dólares de los Estados Unidos de América o en Derechos Especiales de Giro (DEG)</w:t>
      </w:r>
      <w:r w:rsidRPr="00E7680F" w:rsidR="003D6BE8">
        <w:rPr>
          <w:rFonts w:ascii="Arial" w:hAnsi="Arial" w:eastAsia="Calibri" w:cs="Arial"/>
          <w:bCs/>
          <w:color w:val="000000" w:themeColor="text1"/>
          <w:sz w:val="22"/>
          <w:lang w:val="es-ES_tradnl"/>
        </w:rPr>
        <w:t xml:space="preserve"> –</w:t>
      </w:r>
      <w:r w:rsidRPr="00E7680F">
        <w:rPr>
          <w:rFonts w:ascii="Arial" w:hAnsi="Arial" w:eastAsia="Calibri" w:cs="Arial"/>
          <w:bCs/>
          <w:color w:val="000000" w:themeColor="text1"/>
          <w:sz w:val="22"/>
          <w:lang w:val="es-ES_tradnl"/>
        </w:rPr>
        <w:t>Special Drawing Rights, SDR por sus siglas en inglés</w:t>
      </w:r>
      <w:r w:rsidRPr="00E7680F" w:rsidR="003D6BE8">
        <w:rPr>
          <w:rFonts w:ascii="Arial" w:hAnsi="Arial" w:eastAsia="Calibri" w:cs="Arial"/>
          <w:bCs/>
          <w:color w:val="000000" w:themeColor="text1"/>
          <w:sz w:val="22"/>
          <w:lang w:val="es-ES_tradnl"/>
        </w:rPr>
        <w:t>–</w:t>
      </w:r>
      <w:r w:rsidRPr="00E7680F">
        <w:rPr>
          <w:rFonts w:ascii="Arial" w:hAnsi="Arial" w:eastAsia="Calibri" w:cs="Arial"/>
          <w:bCs/>
          <w:color w:val="000000" w:themeColor="text1"/>
          <w:sz w:val="22"/>
          <w:lang w:val="es-ES_tradnl"/>
        </w:rPr>
        <w:t xml:space="preserve">. Frente a este último, el Ministerio de Comercio, Industria y Turismo es el encargado de señalar, con la periodicidad definida en cada Acuerdo Comercial, el valor de conversión de estas monedas a pesos colombianos para determinar el umbral aplicable y la Agencia pone dichos valores a disposición de los partícipes del Sistema de Compra Pública en el siguiente enlace: </w:t>
      </w:r>
      <w:hyperlink w:history="1" r:id="rId11">
        <w:r w:rsidRPr="00E7680F">
          <w:rPr>
            <w:rStyle w:val="Hipervnculo"/>
            <w:rFonts w:ascii="Arial" w:hAnsi="Arial" w:eastAsia="Calibri" w:cs="Arial"/>
            <w:bCs/>
            <w:sz w:val="22"/>
            <w:lang w:val="es-ES_tradnl"/>
          </w:rPr>
          <w:t>https://colombiacompra.gov.co/compradores/acuerdos-comerciales-y-tratonacional-por-reciprocidad</w:t>
        </w:r>
      </w:hyperlink>
      <w:r w:rsidRPr="00E7680F" w:rsidR="003D6BE8">
        <w:rPr>
          <w:rStyle w:val="Hipervnculo"/>
          <w:rFonts w:ascii="Arial" w:hAnsi="Arial" w:eastAsia="Calibri" w:cs="Arial"/>
          <w:bCs/>
          <w:sz w:val="22"/>
          <w:lang w:val="es-ES_tradnl"/>
        </w:rPr>
        <w:t>.</w:t>
      </w:r>
      <w:r w:rsidRPr="00E7680F">
        <w:rPr>
          <w:rFonts w:ascii="Arial" w:hAnsi="Arial" w:eastAsia="Calibri" w:cs="Arial"/>
          <w:bCs/>
          <w:color w:val="000000" w:themeColor="text1"/>
          <w:sz w:val="22"/>
          <w:lang w:val="es-ES_tradnl"/>
        </w:rPr>
        <w:t xml:space="preserve"> </w:t>
      </w:r>
    </w:p>
    <w:p w:rsidRPr="00E7680F" w:rsidR="00817B63" w:rsidP="00817B63" w:rsidRDefault="00817B63" w14:paraId="395C9DC1" w14:textId="303410A7">
      <w:pPr>
        <w:tabs>
          <w:tab w:val="left" w:pos="0"/>
        </w:tabs>
        <w:spacing w:before="120" w:line="276" w:lineRule="auto"/>
        <w:ind w:firstLine="851"/>
        <w:jc w:val="both"/>
        <w:rPr>
          <w:rFonts w:ascii="Arial" w:hAnsi="Arial" w:cs="Arial"/>
          <w:sz w:val="22"/>
          <w:szCs w:val="22"/>
        </w:rPr>
      </w:pPr>
      <w:r w:rsidRPr="00E7680F">
        <w:rPr>
          <w:rFonts w:ascii="Arial" w:hAnsi="Arial" w:cs="Arial"/>
          <w:sz w:val="22"/>
          <w:szCs w:val="22"/>
        </w:rPr>
        <w:t xml:space="preserve">Por su parte, los </w:t>
      </w:r>
      <w:r w:rsidRPr="00E7680F" w:rsidR="00B905F6">
        <w:rPr>
          <w:rFonts w:ascii="Arial" w:hAnsi="Arial" w:cs="Arial"/>
          <w:sz w:val="22"/>
          <w:szCs w:val="22"/>
        </w:rPr>
        <w:t>a</w:t>
      </w:r>
      <w:r w:rsidRPr="00E7680F">
        <w:rPr>
          <w:rFonts w:ascii="Arial" w:hAnsi="Arial" w:cs="Arial"/>
          <w:sz w:val="22"/>
          <w:szCs w:val="22"/>
        </w:rPr>
        <w:t xml:space="preserve">cuerdos </w:t>
      </w:r>
      <w:r w:rsidRPr="00E7680F" w:rsidR="00B905F6">
        <w:rPr>
          <w:rFonts w:ascii="Arial" w:hAnsi="Arial" w:cs="Arial"/>
          <w:sz w:val="22"/>
          <w:szCs w:val="22"/>
        </w:rPr>
        <w:t>c</w:t>
      </w:r>
      <w:r w:rsidRPr="00E7680F">
        <w:rPr>
          <w:rFonts w:ascii="Arial" w:hAnsi="Arial" w:cs="Arial"/>
          <w:sz w:val="22"/>
          <w:szCs w:val="22"/>
        </w:rPr>
        <w:t xml:space="preserve">omerciales contemplan excepciones a la aplicación de los compromisos y obligaciones contenidos en estos, por tanto, si un proceso de </w:t>
      </w:r>
      <w:r w:rsidRPr="00E7680F">
        <w:rPr>
          <w:rFonts w:ascii="Arial" w:hAnsi="Arial" w:cs="Arial"/>
          <w:sz w:val="22"/>
          <w:szCs w:val="22"/>
        </w:rPr>
        <w:lastRenderedPageBreak/>
        <w:t xml:space="preserve">contratación se encuentra cobijado por una excepción, las obligaciones y compromisos del correspondiente </w:t>
      </w:r>
      <w:r w:rsidRPr="00E7680F" w:rsidR="00B905F6">
        <w:rPr>
          <w:rFonts w:ascii="Arial" w:hAnsi="Arial" w:cs="Arial"/>
          <w:sz w:val="22"/>
          <w:szCs w:val="22"/>
        </w:rPr>
        <w:t>a</w:t>
      </w:r>
      <w:r w:rsidRPr="00E7680F">
        <w:rPr>
          <w:rFonts w:ascii="Arial" w:hAnsi="Arial" w:cs="Arial"/>
          <w:sz w:val="22"/>
          <w:szCs w:val="22"/>
        </w:rPr>
        <w:t xml:space="preserve">cuerdo </w:t>
      </w:r>
      <w:r w:rsidRPr="00E7680F" w:rsidR="00B905F6">
        <w:rPr>
          <w:rFonts w:ascii="Arial" w:hAnsi="Arial" w:cs="Arial"/>
          <w:sz w:val="22"/>
          <w:szCs w:val="22"/>
        </w:rPr>
        <w:t>c</w:t>
      </w:r>
      <w:r w:rsidRPr="00E7680F">
        <w:rPr>
          <w:rFonts w:ascii="Arial" w:hAnsi="Arial" w:cs="Arial"/>
          <w:sz w:val="22"/>
          <w:szCs w:val="22"/>
        </w:rPr>
        <w:t>omercial no regirán el proceso de contratación.</w:t>
      </w:r>
    </w:p>
    <w:p w:rsidRPr="00E7680F" w:rsidR="00817B63" w:rsidP="00817B63" w:rsidRDefault="00817B63" w14:paraId="311CB58E" w14:textId="690FE32D">
      <w:pPr>
        <w:tabs>
          <w:tab w:val="left" w:pos="0"/>
        </w:tabs>
        <w:spacing w:before="120" w:line="276" w:lineRule="auto"/>
        <w:ind w:firstLine="851"/>
        <w:jc w:val="both"/>
        <w:rPr>
          <w:rFonts w:ascii="Arial" w:hAnsi="Arial" w:cs="Arial"/>
          <w:sz w:val="22"/>
          <w:szCs w:val="22"/>
        </w:rPr>
      </w:pPr>
      <w:r w:rsidRPr="00E7680F">
        <w:rPr>
          <w:rFonts w:ascii="Arial" w:hAnsi="Arial" w:cs="Arial"/>
          <w:sz w:val="22"/>
          <w:szCs w:val="22"/>
        </w:rPr>
        <w:t xml:space="preserve">Las excepciones no aplican de manera uniforme a todas las entidades y a todos los acuerdos comerciales; por tanto, para determinar las excepciones aplicables a cada </w:t>
      </w:r>
      <w:r w:rsidRPr="00E7680F" w:rsidR="00B905F6">
        <w:rPr>
          <w:rFonts w:ascii="Arial" w:hAnsi="Arial" w:cs="Arial"/>
          <w:sz w:val="22"/>
          <w:szCs w:val="22"/>
        </w:rPr>
        <w:t>a</w:t>
      </w:r>
      <w:r w:rsidRPr="00E7680F">
        <w:rPr>
          <w:rFonts w:ascii="Arial" w:hAnsi="Arial" w:cs="Arial"/>
          <w:sz w:val="22"/>
          <w:szCs w:val="22"/>
        </w:rPr>
        <w:t xml:space="preserve">cuerdo </w:t>
      </w:r>
      <w:r w:rsidRPr="00E7680F" w:rsidR="00B905F6">
        <w:rPr>
          <w:rFonts w:ascii="Arial" w:hAnsi="Arial" w:cs="Arial"/>
          <w:sz w:val="22"/>
          <w:szCs w:val="22"/>
        </w:rPr>
        <w:t>c</w:t>
      </w:r>
      <w:r w:rsidRPr="00E7680F">
        <w:rPr>
          <w:rFonts w:ascii="Arial" w:hAnsi="Arial" w:cs="Arial"/>
          <w:sz w:val="22"/>
          <w:szCs w:val="22"/>
        </w:rPr>
        <w:t xml:space="preserve">omercial y a cada entidad cubierta, durante la etapa de planeación del proceso de selección, las entidades deben consultar </w:t>
      </w:r>
      <w:r w:rsidRPr="00E7680F" w:rsidR="003D6BE8">
        <w:rPr>
          <w:rFonts w:ascii="Arial" w:hAnsi="Arial" w:cs="Arial"/>
          <w:sz w:val="22"/>
          <w:szCs w:val="22"/>
        </w:rPr>
        <w:t>la cobertura</w:t>
      </w:r>
      <w:r w:rsidRPr="00E7680F">
        <w:rPr>
          <w:rFonts w:ascii="Arial" w:hAnsi="Arial" w:cs="Arial"/>
          <w:sz w:val="22"/>
          <w:szCs w:val="22"/>
        </w:rPr>
        <w:t xml:space="preserve"> del acuerdo comercial y si existen excepciones aplicables a su proceso de contratación particular.</w:t>
      </w:r>
    </w:p>
    <w:p w:rsidRPr="00E7680F" w:rsidR="00191318" w:rsidP="00191318" w:rsidRDefault="00191318" w14:paraId="319E799D" w14:textId="0F04FFA6">
      <w:pPr>
        <w:tabs>
          <w:tab w:val="left" w:pos="426"/>
        </w:tabs>
        <w:spacing w:before="120" w:after="120" w:line="276" w:lineRule="auto"/>
        <w:jc w:val="both"/>
        <w:rPr>
          <w:rFonts w:ascii="Arial" w:hAnsi="Arial" w:eastAsia="Calibri" w:cs="Arial"/>
          <w:bCs/>
          <w:color w:val="000000" w:themeColor="text1"/>
          <w:sz w:val="22"/>
          <w:lang w:val="es-ES_tradnl"/>
        </w:rPr>
      </w:pPr>
      <w:r w:rsidRPr="00E7680F">
        <w:rPr>
          <w:rFonts w:ascii="Arial" w:hAnsi="Arial" w:cs="Arial"/>
          <w:sz w:val="22"/>
          <w:szCs w:val="22"/>
        </w:rPr>
        <w:tab/>
      </w:r>
      <w:r w:rsidRPr="00E7680F">
        <w:rPr>
          <w:rFonts w:ascii="Arial" w:hAnsi="Arial" w:cs="Arial"/>
          <w:sz w:val="22"/>
          <w:szCs w:val="22"/>
        </w:rPr>
        <w:tab/>
      </w:r>
      <w:r w:rsidRPr="00E7680F">
        <w:rPr>
          <w:rFonts w:ascii="Arial" w:hAnsi="Arial" w:cs="Arial"/>
          <w:sz w:val="22"/>
          <w:szCs w:val="22"/>
        </w:rPr>
        <w:t xml:space="preserve">Adicionalmente, le recordamos que el Manual para manejo de los Acuerdos Comerciales en Procesos de Contratación expedido por la Agencia Nacional de Contratación Pública – Colombia Compra Eficiente, constituye una </w:t>
      </w:r>
      <w:r w:rsidRPr="00E7680F">
        <w:rPr>
          <w:rFonts w:ascii="Arial" w:hAnsi="Arial" w:eastAsia="Calibri" w:cs="Arial"/>
          <w:bCs/>
          <w:color w:val="000000" w:themeColor="text1"/>
          <w:sz w:val="22"/>
          <w:lang w:val="es-ES_tradnl"/>
        </w:rPr>
        <w:t>herramienta orientadora para conocer la cobertura</w:t>
      </w:r>
      <w:r w:rsidRPr="00E7680F" w:rsidR="00ED5565">
        <w:rPr>
          <w:rFonts w:ascii="Arial" w:hAnsi="Arial" w:eastAsia="Calibri" w:cs="Arial"/>
          <w:bCs/>
          <w:color w:val="000000" w:themeColor="text1"/>
          <w:sz w:val="22"/>
          <w:lang w:val="es-ES_tradnl"/>
        </w:rPr>
        <w:t xml:space="preserve">, excepciones </w:t>
      </w:r>
      <w:r w:rsidRPr="00E7680F">
        <w:rPr>
          <w:rFonts w:ascii="Arial" w:hAnsi="Arial" w:eastAsia="Calibri" w:cs="Arial"/>
          <w:bCs/>
          <w:color w:val="000000" w:themeColor="text1"/>
          <w:sz w:val="22"/>
          <w:lang w:val="es-ES_tradnl"/>
        </w:rPr>
        <w:t>y los plazos correspondientes</w:t>
      </w:r>
      <w:r w:rsidRPr="00E7680F" w:rsidR="00ED5565">
        <w:rPr>
          <w:rFonts w:ascii="Arial" w:hAnsi="Arial" w:eastAsia="Calibri" w:cs="Arial"/>
          <w:bCs/>
          <w:color w:val="000000" w:themeColor="text1"/>
          <w:sz w:val="22"/>
          <w:lang w:val="es-ES_tradnl"/>
        </w:rPr>
        <w:t xml:space="preserve"> contemplados en los acuerdos comerciales</w:t>
      </w:r>
      <w:r w:rsidRPr="00E7680F" w:rsidR="00595C4E">
        <w:rPr>
          <w:rFonts w:ascii="Arial" w:hAnsi="Arial" w:eastAsia="Calibri" w:cs="Arial"/>
          <w:bCs/>
          <w:color w:val="000000" w:themeColor="text1"/>
          <w:sz w:val="22"/>
          <w:lang w:val="es-ES_tradnl"/>
        </w:rPr>
        <w:t>. S</w:t>
      </w:r>
      <w:r w:rsidRPr="00E7680F">
        <w:rPr>
          <w:rFonts w:ascii="Arial" w:hAnsi="Arial" w:eastAsia="Calibri" w:cs="Arial"/>
          <w:bCs/>
          <w:color w:val="000000" w:themeColor="text1"/>
          <w:sz w:val="22"/>
          <w:lang w:val="es-ES_tradnl"/>
        </w:rPr>
        <w:t xml:space="preserve">in embargo, el uso del manual no exime a la entidad del deber de conocer y aplicar cada </w:t>
      </w:r>
      <w:r w:rsidRPr="00E7680F" w:rsidR="00951917">
        <w:rPr>
          <w:rFonts w:ascii="Arial" w:hAnsi="Arial" w:eastAsia="Calibri" w:cs="Arial"/>
          <w:bCs/>
          <w:color w:val="000000" w:themeColor="text1"/>
          <w:sz w:val="22"/>
          <w:lang w:val="es-ES_tradnl"/>
        </w:rPr>
        <w:t>a</w:t>
      </w:r>
      <w:r w:rsidRPr="00E7680F">
        <w:rPr>
          <w:rFonts w:ascii="Arial" w:hAnsi="Arial" w:eastAsia="Calibri" w:cs="Arial"/>
          <w:bCs/>
          <w:color w:val="000000" w:themeColor="text1"/>
          <w:sz w:val="22"/>
          <w:lang w:val="es-ES_tradnl"/>
        </w:rPr>
        <w:t xml:space="preserve">cuerdo </w:t>
      </w:r>
      <w:r w:rsidRPr="00E7680F" w:rsidR="00951917">
        <w:rPr>
          <w:rFonts w:ascii="Arial" w:hAnsi="Arial" w:eastAsia="Calibri" w:cs="Arial"/>
          <w:bCs/>
          <w:color w:val="000000" w:themeColor="text1"/>
          <w:sz w:val="22"/>
          <w:lang w:val="es-ES_tradnl"/>
        </w:rPr>
        <w:t>c</w:t>
      </w:r>
      <w:r w:rsidRPr="00E7680F">
        <w:rPr>
          <w:rFonts w:ascii="Arial" w:hAnsi="Arial" w:eastAsia="Calibri" w:cs="Arial"/>
          <w:bCs/>
          <w:color w:val="000000" w:themeColor="text1"/>
          <w:sz w:val="22"/>
          <w:lang w:val="es-ES_tradnl"/>
        </w:rPr>
        <w:t xml:space="preserve">omercial. </w:t>
      </w:r>
    </w:p>
    <w:p w:rsidRPr="00E7680F" w:rsidR="00191318" w:rsidP="00191318" w:rsidRDefault="00191318" w14:paraId="27AC48D7" w14:textId="08418486">
      <w:pPr>
        <w:tabs>
          <w:tab w:val="left" w:pos="426"/>
        </w:tabs>
        <w:spacing w:before="120" w:after="120" w:line="276" w:lineRule="auto"/>
        <w:jc w:val="both"/>
        <w:rPr>
          <w:rFonts w:ascii="Arial" w:hAnsi="Arial" w:cs="Arial"/>
          <w:sz w:val="22"/>
          <w:szCs w:val="22"/>
        </w:rPr>
      </w:pPr>
      <w:r w:rsidRPr="00E7680F">
        <w:rPr>
          <w:rFonts w:ascii="Arial" w:hAnsi="Arial" w:eastAsia="Calibri" w:cs="Arial"/>
          <w:bCs/>
          <w:color w:val="000000" w:themeColor="text1"/>
          <w:sz w:val="22"/>
          <w:lang w:val="es-ES_tradnl"/>
        </w:rPr>
        <w:tab/>
      </w:r>
      <w:r w:rsidRPr="00E7680F">
        <w:rPr>
          <w:rFonts w:ascii="Arial" w:hAnsi="Arial" w:eastAsia="Calibri" w:cs="Arial"/>
          <w:bCs/>
          <w:color w:val="000000" w:themeColor="text1"/>
          <w:sz w:val="22"/>
          <w:lang w:val="es-ES_tradnl"/>
        </w:rPr>
        <w:tab/>
      </w:r>
      <w:r w:rsidRPr="00E7680F">
        <w:rPr>
          <w:rFonts w:ascii="Arial" w:hAnsi="Arial" w:eastAsia="Calibri" w:cs="Arial"/>
          <w:bCs/>
          <w:color w:val="000000" w:themeColor="text1"/>
          <w:sz w:val="22"/>
          <w:lang w:val="es-ES_tradnl"/>
        </w:rPr>
        <w:t xml:space="preserve">Finalmente, en caso de que persistan dudas sobre la interpretación o alcance de </w:t>
      </w:r>
      <w:r w:rsidRPr="00E7680F" w:rsidR="00BB1750">
        <w:rPr>
          <w:rFonts w:ascii="Arial" w:hAnsi="Arial" w:eastAsia="Calibri" w:cs="Arial"/>
          <w:bCs/>
          <w:color w:val="000000" w:themeColor="text1"/>
          <w:sz w:val="22"/>
          <w:lang w:val="es-ES_tradnl"/>
        </w:rPr>
        <w:t xml:space="preserve">un </w:t>
      </w:r>
      <w:r w:rsidRPr="00E7680F" w:rsidR="00B905F6">
        <w:rPr>
          <w:rFonts w:ascii="Arial" w:hAnsi="Arial" w:eastAsia="Calibri" w:cs="Arial"/>
          <w:bCs/>
          <w:color w:val="000000" w:themeColor="text1"/>
          <w:sz w:val="22"/>
          <w:lang w:val="es-ES_tradnl"/>
        </w:rPr>
        <w:t>a</w:t>
      </w:r>
      <w:r w:rsidRPr="00E7680F">
        <w:rPr>
          <w:rFonts w:ascii="Arial" w:hAnsi="Arial" w:eastAsia="Calibri" w:cs="Arial"/>
          <w:bCs/>
          <w:color w:val="000000" w:themeColor="text1"/>
          <w:sz w:val="22"/>
          <w:lang w:val="es-ES_tradnl"/>
        </w:rPr>
        <w:t xml:space="preserve">cuerdo </w:t>
      </w:r>
      <w:r w:rsidRPr="00E7680F" w:rsidR="00B905F6">
        <w:rPr>
          <w:rFonts w:ascii="Arial" w:hAnsi="Arial" w:eastAsia="Calibri" w:cs="Arial"/>
          <w:bCs/>
          <w:color w:val="000000" w:themeColor="text1"/>
          <w:sz w:val="22"/>
          <w:lang w:val="es-ES_tradnl"/>
        </w:rPr>
        <w:t>c</w:t>
      </w:r>
      <w:r w:rsidRPr="00E7680F">
        <w:rPr>
          <w:rFonts w:ascii="Arial" w:hAnsi="Arial" w:eastAsia="Calibri" w:cs="Arial"/>
          <w:bCs/>
          <w:color w:val="000000" w:themeColor="text1"/>
          <w:sz w:val="22"/>
          <w:lang w:val="es-ES_tradnl"/>
        </w:rPr>
        <w:t xml:space="preserve">omercial, le sugerimos dirigirse a la </w:t>
      </w:r>
      <w:r w:rsidRPr="00E7680F">
        <w:rPr>
          <w:rFonts w:ascii="Arial" w:hAnsi="Arial" w:cs="Arial"/>
          <w:sz w:val="22"/>
          <w:szCs w:val="22"/>
        </w:rPr>
        <w:t>Oficina de Asuntos Legales Internacionales del Ministerio de Comercio, Industria y Turismo, por ser la competente para resolver dichos asuntos en virtud de la competencia otorgada por el artículo 10 del Decreto Ley 210 de 2003.</w:t>
      </w:r>
    </w:p>
    <w:p w:rsidRPr="00E7680F" w:rsidR="003D6BE8" w:rsidP="00191318" w:rsidRDefault="003D6BE8" w14:paraId="5485B99B" w14:textId="77777777">
      <w:pPr>
        <w:tabs>
          <w:tab w:val="left" w:pos="426"/>
        </w:tabs>
        <w:spacing w:before="120" w:after="120" w:line="276" w:lineRule="auto"/>
        <w:jc w:val="both"/>
        <w:rPr>
          <w:rFonts w:ascii="Arial" w:hAnsi="Arial" w:cs="Arial"/>
          <w:sz w:val="22"/>
          <w:szCs w:val="22"/>
        </w:rPr>
      </w:pPr>
    </w:p>
    <w:p w:rsidRPr="00E7680F" w:rsidR="00191318" w:rsidP="00191318" w:rsidRDefault="00191318" w14:paraId="3940D912" w14:textId="77777777">
      <w:pPr>
        <w:spacing w:before="120" w:line="276" w:lineRule="auto"/>
        <w:jc w:val="both"/>
        <w:rPr>
          <w:rFonts w:ascii="Arial" w:hAnsi="Arial" w:eastAsia="Calibri" w:cs="Arial"/>
          <w:color w:val="000000" w:themeColor="text1"/>
          <w:sz w:val="22"/>
          <w:szCs w:val="22"/>
        </w:rPr>
      </w:pPr>
      <w:r w:rsidRPr="00E7680F">
        <w:rPr>
          <w:rFonts w:ascii="Arial" w:hAnsi="Arial" w:eastAsia="Calibri" w:cs="Arial"/>
          <w:color w:val="000000" w:themeColor="text1"/>
          <w:sz w:val="22"/>
          <w:szCs w:val="22"/>
        </w:rPr>
        <w:t>Este concepto tiene el alcance previsto en el artículo 28 del Código de Procedimiento Administrativo y de lo Contencioso Administrativo.</w:t>
      </w:r>
    </w:p>
    <w:p w:rsidRPr="00E7680F" w:rsidR="00191318" w:rsidP="00191318" w:rsidRDefault="00191318" w14:paraId="07D46222" w14:textId="77777777">
      <w:pPr>
        <w:ind w:firstLine="709"/>
        <w:jc w:val="both"/>
        <w:rPr>
          <w:rFonts w:ascii="Arial" w:hAnsi="Arial" w:eastAsia="Calibri" w:cs="Arial"/>
          <w:color w:val="000000" w:themeColor="text1"/>
        </w:rPr>
      </w:pPr>
    </w:p>
    <w:p w:rsidRPr="00E7680F" w:rsidR="00191318" w:rsidP="00191318" w:rsidRDefault="00191318" w14:paraId="79C5569D" w14:textId="77777777">
      <w:pPr>
        <w:tabs>
          <w:tab w:val="left" w:pos="5529"/>
        </w:tabs>
        <w:jc w:val="both"/>
        <w:rPr>
          <w:rFonts w:ascii="Arial" w:hAnsi="Arial" w:cs="Arial"/>
          <w:color w:val="000000" w:themeColor="text1"/>
          <w:lang w:eastAsia="es-CO"/>
        </w:rPr>
      </w:pPr>
      <w:r w:rsidRPr="00E7680F">
        <w:rPr>
          <w:rFonts w:ascii="Arial" w:hAnsi="Arial" w:cs="Arial"/>
          <w:color w:val="000000" w:themeColor="text1"/>
          <w:lang w:eastAsia="es-CO"/>
        </w:rPr>
        <w:t>Atentamente,</w:t>
      </w:r>
    </w:p>
    <w:p w:rsidRPr="00E7680F" w:rsidR="00191318" w:rsidP="00191318" w:rsidRDefault="00026F45" w14:paraId="59550C99" w14:textId="14812DF7">
      <w:pPr>
        <w:tabs>
          <w:tab w:val="left" w:pos="426"/>
          <w:tab w:val="left" w:pos="5529"/>
        </w:tabs>
        <w:spacing w:after="120" w:line="276" w:lineRule="auto"/>
        <w:ind w:firstLine="709"/>
        <w:jc w:val="center"/>
        <w:rPr>
          <w:rFonts w:ascii="Arial" w:hAnsi="Arial" w:eastAsia="Calibri" w:cs="Arial"/>
          <w:color w:val="000000" w:themeColor="text1"/>
        </w:rPr>
      </w:pPr>
      <w:r>
        <w:rPr>
          <w:noProof/>
        </w:rPr>
        <w:drawing>
          <wp:inline distT="0" distB="0" distL="0" distR="0" wp14:anchorId="3ACD1ED1" wp14:editId="6A2419B4">
            <wp:extent cx="2519680" cy="1116330"/>
            <wp:effectExtent l="0" t="0" r="0" b="762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116330"/>
                    </a:xfrm>
                    <a:prstGeom prst="rect">
                      <a:avLst/>
                    </a:prstGeom>
                    <a:noFill/>
                    <a:ln>
                      <a:noFill/>
                    </a:ln>
                  </pic:spPr>
                </pic:pic>
              </a:graphicData>
            </a:graphic>
          </wp:inline>
        </w:drawing>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6"/>
        <w:gridCol w:w="4819"/>
      </w:tblGrid>
      <w:tr w:rsidRPr="00E7680F" w:rsidR="00191318" w:rsidTr="00A53405" w14:paraId="3726B1F7" w14:textId="77777777">
        <w:trPr>
          <w:trHeight w:val="362"/>
        </w:trPr>
        <w:tc>
          <w:tcPr>
            <w:tcW w:w="886" w:type="dxa"/>
            <w:vAlign w:val="center"/>
            <w:hideMark/>
          </w:tcPr>
          <w:bookmarkEnd w:id="1"/>
          <w:bookmarkEnd w:id="2"/>
          <w:p w:rsidRPr="00E7680F" w:rsidR="00191318" w:rsidP="00A53405" w:rsidRDefault="00191318" w14:paraId="2ED11F74" w14:textId="77777777">
            <w:pPr>
              <w:tabs>
                <w:tab w:val="left" w:pos="5529"/>
              </w:tabs>
              <w:rPr>
                <w:rFonts w:ascii="Arial" w:hAnsi="Arial" w:cs="Arial"/>
                <w:color w:val="000000" w:themeColor="text1"/>
                <w:sz w:val="16"/>
                <w:szCs w:val="16"/>
                <w:lang w:eastAsia="es-ES"/>
              </w:rPr>
            </w:pPr>
            <w:r w:rsidRPr="00E7680F">
              <w:rPr>
                <w:rFonts w:ascii="Arial" w:hAnsi="Arial" w:cs="Arial"/>
                <w:color w:val="000000" w:themeColor="text1"/>
                <w:sz w:val="16"/>
                <w:szCs w:val="16"/>
                <w:lang w:eastAsia="es-ES"/>
              </w:rPr>
              <w:t>Elaboró:</w:t>
            </w:r>
          </w:p>
        </w:tc>
        <w:tc>
          <w:tcPr>
            <w:tcW w:w="4819" w:type="dxa"/>
            <w:tcBorders>
              <w:top w:val="nil"/>
              <w:left w:val="nil"/>
              <w:bottom w:val="dotted" w:color="7F7F7F" w:themeColor="text1" w:themeTint="80" w:sz="4" w:space="0"/>
              <w:right w:val="nil"/>
            </w:tcBorders>
            <w:vAlign w:val="center"/>
            <w:hideMark/>
          </w:tcPr>
          <w:p w:rsidRPr="00E7680F" w:rsidR="00191318" w:rsidP="00A53405" w:rsidRDefault="00191318" w14:paraId="27B05EC3" w14:textId="77777777">
            <w:pPr>
              <w:tabs>
                <w:tab w:val="left" w:pos="5529"/>
              </w:tabs>
              <w:rPr>
                <w:rFonts w:ascii="Arial" w:hAnsi="Arial" w:cs="Arial"/>
                <w:color w:val="000000" w:themeColor="text1"/>
                <w:sz w:val="16"/>
                <w:szCs w:val="16"/>
                <w:lang w:eastAsia="es-ES"/>
              </w:rPr>
            </w:pPr>
            <w:r w:rsidRPr="00E7680F">
              <w:rPr>
                <w:rFonts w:ascii="Arial" w:hAnsi="Arial" w:cs="Arial"/>
                <w:color w:val="000000" w:themeColor="text1"/>
                <w:sz w:val="16"/>
                <w:szCs w:val="16"/>
                <w:lang w:eastAsia="es-ES"/>
              </w:rPr>
              <w:t>Nathalia Urrego Jiménez</w:t>
            </w:r>
          </w:p>
          <w:p w:rsidRPr="00E7680F" w:rsidR="00191318" w:rsidP="00A53405" w:rsidRDefault="00191318" w14:paraId="34302C77" w14:textId="77777777">
            <w:pPr>
              <w:tabs>
                <w:tab w:val="left" w:pos="5529"/>
              </w:tabs>
              <w:rPr>
                <w:rFonts w:ascii="Arial" w:hAnsi="Arial" w:cs="Arial"/>
                <w:color w:val="000000" w:themeColor="text1"/>
                <w:sz w:val="16"/>
                <w:szCs w:val="16"/>
                <w:lang w:eastAsia="es-ES"/>
              </w:rPr>
            </w:pPr>
            <w:r w:rsidRPr="00E7680F">
              <w:rPr>
                <w:rFonts w:ascii="Arial" w:hAnsi="Arial" w:cs="Arial"/>
                <w:color w:val="000000" w:themeColor="text1"/>
                <w:sz w:val="16"/>
                <w:szCs w:val="16"/>
                <w:lang w:eastAsia="es-ES"/>
              </w:rPr>
              <w:t>Contratista de la Subdirección de Gestión Contractual</w:t>
            </w:r>
          </w:p>
        </w:tc>
      </w:tr>
      <w:tr w:rsidRPr="00E7680F" w:rsidR="00191318" w:rsidTr="00A53405" w14:paraId="32C79C58" w14:textId="77777777">
        <w:trPr>
          <w:trHeight w:val="379"/>
        </w:trPr>
        <w:tc>
          <w:tcPr>
            <w:tcW w:w="886" w:type="dxa"/>
            <w:vAlign w:val="center"/>
            <w:hideMark/>
          </w:tcPr>
          <w:p w:rsidRPr="00E7680F" w:rsidR="00191318" w:rsidP="00A53405" w:rsidRDefault="00191318" w14:paraId="62861750" w14:textId="77777777">
            <w:pPr>
              <w:tabs>
                <w:tab w:val="left" w:pos="5529"/>
              </w:tabs>
              <w:rPr>
                <w:rFonts w:ascii="Arial" w:hAnsi="Arial" w:cs="Arial"/>
                <w:color w:val="000000" w:themeColor="text1"/>
                <w:sz w:val="16"/>
                <w:szCs w:val="16"/>
                <w:lang w:eastAsia="es-ES"/>
              </w:rPr>
            </w:pPr>
            <w:r w:rsidRPr="00E7680F">
              <w:rPr>
                <w:rFonts w:ascii="Arial" w:hAnsi="Arial" w:cs="Arial"/>
                <w:color w:val="000000" w:themeColor="text1"/>
                <w:sz w:val="16"/>
                <w:szCs w:val="16"/>
                <w:lang w:eastAsia="es-ES"/>
              </w:rPr>
              <w:t>Revisó:</w:t>
            </w:r>
          </w:p>
        </w:tc>
        <w:tc>
          <w:tcPr>
            <w:tcW w:w="4819" w:type="dxa"/>
            <w:tcBorders>
              <w:top w:val="dotted" w:color="7F7F7F" w:themeColor="text1" w:themeTint="80" w:sz="4" w:space="0"/>
              <w:left w:val="nil"/>
              <w:bottom w:val="dotted" w:color="7F7F7F" w:themeColor="text1" w:themeTint="80" w:sz="4" w:space="0"/>
              <w:right w:val="nil"/>
            </w:tcBorders>
            <w:vAlign w:val="center"/>
            <w:hideMark/>
          </w:tcPr>
          <w:p w:rsidRPr="00E7680F" w:rsidR="00191318" w:rsidP="00A53405" w:rsidRDefault="00191318" w14:paraId="4D3935F2" w14:textId="77777777">
            <w:pPr>
              <w:tabs>
                <w:tab w:val="left" w:pos="5529"/>
              </w:tabs>
              <w:rPr>
                <w:rFonts w:ascii="Arial" w:hAnsi="Arial" w:cs="Arial"/>
                <w:color w:val="000000" w:themeColor="text1"/>
                <w:sz w:val="16"/>
                <w:szCs w:val="16"/>
                <w:lang w:val="es-ES_tradnl" w:eastAsia="es-ES"/>
              </w:rPr>
            </w:pPr>
            <w:r w:rsidRPr="00E7680F">
              <w:rPr>
                <w:rFonts w:ascii="Arial" w:hAnsi="Arial" w:cs="Arial"/>
                <w:color w:val="000000" w:themeColor="text1"/>
                <w:sz w:val="16"/>
                <w:szCs w:val="16"/>
                <w:lang w:val="es-ES_tradnl" w:eastAsia="es-ES"/>
              </w:rPr>
              <w:t>Sebastián Ramírez Grisales</w:t>
            </w:r>
          </w:p>
          <w:p w:rsidRPr="00E7680F" w:rsidR="00191318" w:rsidP="00A53405" w:rsidRDefault="00191318" w14:paraId="26D7759C" w14:textId="77777777">
            <w:pPr>
              <w:tabs>
                <w:tab w:val="left" w:pos="5529"/>
              </w:tabs>
              <w:rPr>
                <w:rFonts w:ascii="Arial" w:hAnsi="Arial" w:cs="Arial"/>
                <w:color w:val="000000" w:themeColor="text1"/>
                <w:sz w:val="16"/>
                <w:szCs w:val="16"/>
                <w:lang w:eastAsia="es-ES"/>
              </w:rPr>
            </w:pPr>
            <w:r w:rsidRPr="00E7680F">
              <w:rPr>
                <w:rFonts w:ascii="Arial" w:hAnsi="Arial" w:cs="Arial"/>
                <w:color w:val="000000" w:themeColor="text1"/>
                <w:sz w:val="16"/>
                <w:szCs w:val="16"/>
                <w:lang w:val="es-ES_tradnl" w:eastAsia="es-ES"/>
              </w:rPr>
              <w:t>Contratista de la Subdirección de Gestión Contractual</w:t>
            </w:r>
          </w:p>
        </w:tc>
      </w:tr>
      <w:tr w:rsidRPr="009F7826" w:rsidR="00191318" w:rsidTr="00A53405" w14:paraId="26582026" w14:textId="77777777">
        <w:trPr>
          <w:trHeight w:val="344"/>
        </w:trPr>
        <w:tc>
          <w:tcPr>
            <w:tcW w:w="886" w:type="dxa"/>
            <w:vAlign w:val="center"/>
            <w:hideMark/>
          </w:tcPr>
          <w:p w:rsidRPr="00E7680F" w:rsidR="00191318" w:rsidP="00A53405" w:rsidRDefault="00191318" w14:paraId="2EC59810" w14:textId="77777777">
            <w:pPr>
              <w:tabs>
                <w:tab w:val="left" w:pos="5529"/>
              </w:tabs>
              <w:rPr>
                <w:rFonts w:ascii="Arial" w:hAnsi="Arial" w:cs="Arial"/>
                <w:color w:val="000000" w:themeColor="text1"/>
                <w:sz w:val="16"/>
                <w:szCs w:val="16"/>
                <w:lang w:eastAsia="es-ES"/>
              </w:rPr>
            </w:pPr>
            <w:r w:rsidRPr="00E7680F">
              <w:rPr>
                <w:rFonts w:ascii="Arial" w:hAnsi="Arial" w:cs="Arial"/>
                <w:color w:val="000000" w:themeColor="text1"/>
                <w:sz w:val="16"/>
                <w:szCs w:val="16"/>
                <w:lang w:eastAsia="es-ES"/>
              </w:rPr>
              <w:t>Aprobó:</w:t>
            </w:r>
          </w:p>
        </w:tc>
        <w:tc>
          <w:tcPr>
            <w:tcW w:w="4819" w:type="dxa"/>
            <w:tcBorders>
              <w:top w:val="dotted" w:color="7F7F7F" w:themeColor="text1" w:themeTint="80" w:sz="4" w:space="0"/>
              <w:left w:val="nil"/>
              <w:bottom w:val="dotted" w:color="7F7F7F" w:themeColor="text1" w:themeTint="80" w:sz="4" w:space="0"/>
              <w:right w:val="nil"/>
            </w:tcBorders>
            <w:vAlign w:val="center"/>
            <w:hideMark/>
          </w:tcPr>
          <w:p w:rsidRPr="00E7680F" w:rsidR="00191318" w:rsidP="00A53405" w:rsidRDefault="00191318" w14:paraId="6D676B36" w14:textId="77777777">
            <w:pPr>
              <w:tabs>
                <w:tab w:val="left" w:pos="5529"/>
              </w:tabs>
              <w:rPr>
                <w:rFonts w:ascii="Arial" w:hAnsi="Arial" w:cs="Arial"/>
                <w:color w:val="000000" w:themeColor="text1"/>
                <w:sz w:val="16"/>
                <w:szCs w:val="16"/>
                <w:lang w:eastAsia="es-ES"/>
              </w:rPr>
            </w:pPr>
            <w:r w:rsidRPr="00E7680F">
              <w:rPr>
                <w:rFonts w:ascii="Arial" w:hAnsi="Arial" w:cs="Arial"/>
                <w:color w:val="000000" w:themeColor="text1"/>
                <w:sz w:val="16"/>
                <w:szCs w:val="16"/>
                <w:lang w:eastAsia="es-ES"/>
              </w:rPr>
              <w:t>Jorge Augusto Tirado Navarro</w:t>
            </w:r>
          </w:p>
          <w:p w:rsidRPr="009F7826" w:rsidR="00191318" w:rsidP="00A53405" w:rsidRDefault="00191318" w14:paraId="3388E8CF" w14:textId="77777777">
            <w:pPr>
              <w:tabs>
                <w:tab w:val="left" w:pos="5529"/>
              </w:tabs>
              <w:rPr>
                <w:rFonts w:ascii="Arial" w:hAnsi="Arial" w:cs="Arial"/>
                <w:color w:val="000000" w:themeColor="text1"/>
                <w:sz w:val="16"/>
                <w:szCs w:val="16"/>
                <w:lang w:eastAsia="es-ES"/>
              </w:rPr>
            </w:pPr>
            <w:r w:rsidRPr="00E7680F">
              <w:rPr>
                <w:rFonts w:ascii="Arial" w:hAnsi="Arial" w:cs="Arial"/>
                <w:color w:val="000000" w:themeColor="text1"/>
                <w:sz w:val="16"/>
                <w:szCs w:val="16"/>
                <w:lang w:eastAsia="es-ES"/>
              </w:rPr>
              <w:t>Subdirector de Gestión Contractual</w:t>
            </w:r>
          </w:p>
        </w:tc>
      </w:tr>
    </w:tbl>
    <w:p w:rsidR="0003554E" w:rsidRDefault="0003554E" w14:paraId="24901D18" w14:textId="77777777"/>
    <w:sectPr w:rsidR="0003554E" w:rsidSect="00400F13">
      <w:headerReference w:type="even" r:id="rId13"/>
      <w:headerReference w:type="default" r:id="rId14"/>
      <w:footerReference w:type="even" r:id="rId15"/>
      <w:footerReference w:type="default" r:id="rId16"/>
      <w:headerReference w:type="first" r:id="rId17"/>
      <w:footerReference w:type="first" r:id="rId18"/>
      <w:pgSz w:w="12240" w:h="15840" w:orient="portrait"/>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5CAB" w:rsidP="00191318" w:rsidRDefault="003E5CAB" w14:paraId="06FEF400" w14:textId="77777777">
      <w:r>
        <w:separator/>
      </w:r>
    </w:p>
  </w:endnote>
  <w:endnote w:type="continuationSeparator" w:id="0">
    <w:p w:rsidR="003E5CAB" w:rsidP="00191318" w:rsidRDefault="003E5CAB" w14:paraId="17ADBD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9E1" w:rsidRDefault="00026F45" w14:paraId="4562B83B"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029E1" w:rsidP="00322937" w:rsidRDefault="00026F45" w14:paraId="5133F619" w14:textId="77777777">
    <w:pPr>
      <w:pStyle w:val="Sinespaciado"/>
      <w:jc w:val="right"/>
      <w:rPr>
        <w:rFonts w:ascii="Arial" w:hAnsi="Arial" w:cs="Arial"/>
        <w:sz w:val="18"/>
        <w:szCs w:val="18"/>
      </w:rPr>
    </w:pPr>
  </w:p>
  <w:p w:rsidRPr="008217B7" w:rsidR="00E029E1" w:rsidP="00FE42ED" w:rsidRDefault="00751B39" w14:paraId="5174F99E"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rsidR="00E029E1" w:rsidP="00322937" w:rsidRDefault="00751B39" w14:paraId="0F9908C1" w14:textId="77777777">
    <w:pPr>
      <w:pStyle w:val="Piedepgina"/>
      <w:jc w:val="center"/>
      <w:rPr>
        <w:lang w:val="es-ES"/>
      </w:rPr>
    </w:pPr>
    <w:r>
      <w:rPr>
        <w:noProof/>
        <w:lang w:eastAsia="es-CO"/>
      </w:rPr>
      <w:drawing>
        <wp:inline distT="0" distB="0" distL="0" distR="0" wp14:anchorId="59CE20C5" wp14:editId="53CC1B5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E029E1" w:rsidP="007B0854" w:rsidRDefault="00026F45" w14:paraId="7CF18C3B" w14:textId="77777777">
    <w:pPr>
      <w:pStyle w:val="Piedepgina"/>
      <w:jc w:val="center"/>
      <w:rPr>
        <w:lang w:val="es-ES"/>
      </w:rPr>
    </w:pPr>
  </w:p>
  <w:p w:rsidRPr="007B0854" w:rsidR="00E029E1" w:rsidP="007B0854" w:rsidRDefault="00026F45" w14:paraId="599DB582" w14:textId="77777777">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9E1" w:rsidRDefault="00026F45" w14:paraId="70EF93FF"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5CAB" w:rsidP="00191318" w:rsidRDefault="003E5CAB" w14:paraId="5BA6F104" w14:textId="77777777">
      <w:r>
        <w:separator/>
      </w:r>
    </w:p>
  </w:footnote>
  <w:footnote w:type="continuationSeparator" w:id="0">
    <w:p w:rsidR="003E5CAB" w:rsidP="00191318" w:rsidRDefault="003E5CAB" w14:paraId="768826D3" w14:textId="77777777">
      <w:r>
        <w:continuationSeparator/>
      </w:r>
    </w:p>
  </w:footnote>
  <w:footnote w:id="1">
    <w:p w:rsidRPr="005C5767" w:rsidR="00191318" w:rsidP="00191318" w:rsidRDefault="00191318" w14:paraId="27AF65DF" w14:textId="77777777">
      <w:pPr>
        <w:pStyle w:val="Textonotapie"/>
        <w:ind w:firstLine="708"/>
        <w:jc w:val="both"/>
        <w:rPr>
          <w:rFonts w:ascii="Arial" w:hAnsi="Arial" w:cs="Arial"/>
          <w:sz w:val="18"/>
          <w:szCs w:val="18"/>
          <w:lang w:val="en-US"/>
        </w:rPr>
      </w:pPr>
      <w:r w:rsidRPr="005C5767">
        <w:rPr>
          <w:rStyle w:val="Refdenotaalpie"/>
          <w:rFonts w:ascii="Arial" w:hAnsi="Arial" w:cs="Arial"/>
          <w:sz w:val="18"/>
          <w:szCs w:val="18"/>
        </w:rPr>
        <w:footnoteRef/>
      </w:r>
      <w:r w:rsidRPr="005C5767">
        <w:rPr>
          <w:rFonts w:ascii="Arial" w:hAnsi="Arial" w:cs="Arial"/>
          <w:sz w:val="18"/>
          <w:szCs w:val="18"/>
          <w:lang w:val="en-US"/>
        </w:rPr>
        <w:t xml:space="preserve"> DON WALLACE. </w:t>
      </w:r>
      <w:r w:rsidRPr="005C5767">
        <w:rPr>
          <w:rFonts w:ascii="Arial" w:hAnsi="Arial" w:cs="Arial"/>
          <w:i/>
          <w:iCs/>
          <w:sz w:val="18"/>
          <w:szCs w:val="18"/>
          <w:lang w:val="en-US"/>
        </w:rPr>
        <w:t>The changing world of national procurement systems: global reformation.</w:t>
      </w:r>
      <w:r w:rsidRPr="005C5767">
        <w:rPr>
          <w:rFonts w:ascii="Arial" w:hAnsi="Arial" w:cs="Arial"/>
          <w:sz w:val="18"/>
          <w:szCs w:val="18"/>
          <w:lang w:val="en-US"/>
        </w:rPr>
        <w:t xml:space="preserve"> Public procurement law review 4.2, 1995: 57-62.</w:t>
      </w:r>
    </w:p>
    <w:p w:rsidRPr="005C5767" w:rsidR="00191318" w:rsidP="00191318" w:rsidRDefault="00191318" w14:paraId="0EE3EA04" w14:textId="77777777">
      <w:pPr>
        <w:pStyle w:val="Textonotapie"/>
        <w:jc w:val="both"/>
        <w:rPr>
          <w:rFonts w:ascii="Arial" w:hAnsi="Arial" w:cs="Arial"/>
          <w:sz w:val="18"/>
          <w:szCs w:val="18"/>
          <w:lang w:val="en-US"/>
        </w:rPr>
      </w:pPr>
    </w:p>
  </w:footnote>
  <w:footnote w:id="2">
    <w:p w:rsidRPr="005C5767" w:rsidR="00191318" w:rsidP="00191318" w:rsidRDefault="00191318" w14:paraId="5895524D" w14:textId="77777777">
      <w:pPr>
        <w:pStyle w:val="Textonotapie"/>
        <w:ind w:firstLine="708"/>
        <w:jc w:val="both"/>
        <w:rPr>
          <w:rFonts w:ascii="Arial" w:hAnsi="Arial" w:cs="Arial"/>
          <w:sz w:val="18"/>
          <w:szCs w:val="18"/>
          <w:lang w:val="en-US"/>
        </w:rPr>
      </w:pPr>
      <w:r w:rsidRPr="005C5767">
        <w:rPr>
          <w:rStyle w:val="Refdenotaalpie"/>
          <w:rFonts w:ascii="Arial" w:hAnsi="Arial" w:cs="Arial"/>
          <w:sz w:val="18"/>
          <w:szCs w:val="18"/>
        </w:rPr>
        <w:footnoteRef/>
      </w:r>
      <w:r w:rsidRPr="005C5767">
        <w:rPr>
          <w:rFonts w:ascii="Arial" w:hAnsi="Arial" w:cs="Arial"/>
          <w:sz w:val="18"/>
          <w:szCs w:val="18"/>
          <w:lang w:val="en-US"/>
        </w:rPr>
        <w:t xml:space="preserve"> SUE ARROWSMITH; LINARELLI, John; WALLACE, Don. Regulation public procurement-national and international perspectives. Kluwer Law International BV, 2000.</w:t>
      </w:r>
    </w:p>
    <w:p w:rsidRPr="005C5767" w:rsidR="00191318" w:rsidP="00191318" w:rsidRDefault="00191318" w14:paraId="73832C4F" w14:textId="77777777">
      <w:pPr>
        <w:pStyle w:val="Textonotapie"/>
        <w:ind w:firstLine="708"/>
        <w:jc w:val="both"/>
        <w:rPr>
          <w:rFonts w:ascii="Arial" w:hAnsi="Arial" w:cs="Arial"/>
          <w:sz w:val="18"/>
          <w:szCs w:val="18"/>
          <w:lang w:val="en-US"/>
        </w:rPr>
      </w:pPr>
    </w:p>
  </w:footnote>
  <w:footnote w:id="3">
    <w:p w:rsidRPr="005C5767" w:rsidR="00191318" w:rsidP="00191318" w:rsidRDefault="00191318" w14:paraId="0A47D8D3" w14:textId="77777777">
      <w:pPr>
        <w:pStyle w:val="Textonotapie"/>
        <w:ind w:firstLine="708"/>
        <w:jc w:val="both"/>
        <w:rPr>
          <w:rFonts w:ascii="Arial" w:hAnsi="Arial" w:cs="Arial"/>
          <w:sz w:val="18"/>
          <w:szCs w:val="18"/>
          <w:lang w:val="en-US"/>
        </w:rPr>
      </w:pPr>
      <w:r w:rsidRPr="005C5767">
        <w:rPr>
          <w:rStyle w:val="Refdenotaalpie"/>
          <w:rFonts w:ascii="Arial" w:hAnsi="Arial" w:cs="Arial"/>
          <w:sz w:val="18"/>
          <w:szCs w:val="18"/>
        </w:rPr>
        <w:footnoteRef/>
      </w:r>
      <w:r w:rsidRPr="005C5767">
        <w:rPr>
          <w:rFonts w:ascii="Arial" w:hAnsi="Arial" w:cs="Arial"/>
          <w:sz w:val="18"/>
          <w:szCs w:val="18"/>
          <w:lang w:val="en-US"/>
        </w:rPr>
        <w:t xml:space="preserve"> SUE ARROWSMITH. Public procurement: An appraisal of the UNCITRAL model law as a global standard. </w:t>
      </w:r>
      <w:r w:rsidRPr="005C5767">
        <w:rPr>
          <w:rFonts w:ascii="Arial" w:hAnsi="Arial" w:cs="Arial"/>
          <w:i/>
          <w:iCs/>
          <w:sz w:val="18"/>
          <w:szCs w:val="18"/>
          <w:lang w:val="en-US"/>
        </w:rPr>
        <w:t>International &amp; Comparative Law Quarterly</w:t>
      </w:r>
      <w:r w:rsidRPr="005C5767">
        <w:rPr>
          <w:rFonts w:ascii="Arial" w:hAnsi="Arial" w:cs="Arial"/>
          <w:sz w:val="18"/>
          <w:szCs w:val="18"/>
          <w:lang w:val="en-US"/>
        </w:rPr>
        <w:t>, 2004, vol. 53, no 1, p. 17-46.</w:t>
      </w:r>
    </w:p>
    <w:p w:rsidRPr="005C5767" w:rsidR="00191318" w:rsidP="00191318" w:rsidRDefault="00191318" w14:paraId="0155CF87" w14:textId="77777777">
      <w:pPr>
        <w:pStyle w:val="Textonotapie"/>
        <w:ind w:firstLine="708"/>
        <w:jc w:val="both"/>
        <w:rPr>
          <w:rFonts w:ascii="Arial" w:hAnsi="Arial" w:cs="Arial"/>
          <w:sz w:val="18"/>
          <w:szCs w:val="18"/>
          <w:lang w:val="en-US"/>
        </w:rPr>
      </w:pPr>
    </w:p>
  </w:footnote>
  <w:footnote w:id="4">
    <w:p w:rsidRPr="005C5767" w:rsidR="00191318" w:rsidP="00191318" w:rsidRDefault="00191318" w14:paraId="54071C59" w14:textId="77777777">
      <w:pPr>
        <w:pStyle w:val="Textonotapie"/>
        <w:ind w:firstLine="708"/>
        <w:jc w:val="both"/>
        <w:rPr>
          <w:rFonts w:ascii="Arial" w:hAnsi="Arial" w:cs="Arial"/>
          <w:sz w:val="18"/>
          <w:szCs w:val="18"/>
          <w:lang w:val="es-ES"/>
        </w:rPr>
      </w:pPr>
      <w:r w:rsidRPr="005C5767">
        <w:rPr>
          <w:rStyle w:val="Refdenotaalpie"/>
          <w:rFonts w:ascii="Arial" w:hAnsi="Arial" w:cs="Arial"/>
          <w:sz w:val="18"/>
          <w:szCs w:val="18"/>
        </w:rPr>
        <w:footnoteRef/>
      </w:r>
      <w:r w:rsidRPr="005C5767">
        <w:rPr>
          <w:rFonts w:ascii="Arial" w:hAnsi="Arial" w:cs="Arial"/>
          <w:sz w:val="18"/>
          <w:szCs w:val="18"/>
          <w:lang w:val="en-US"/>
        </w:rPr>
        <w:t xml:space="preserve"> SOPE WILLIAMS-ELEGBE. The World Bank's influence on procurement reform in Africa. </w:t>
      </w:r>
      <w:r w:rsidRPr="005C5767">
        <w:rPr>
          <w:rFonts w:ascii="Arial" w:hAnsi="Arial" w:cs="Arial"/>
          <w:i/>
          <w:iCs/>
          <w:sz w:val="18"/>
          <w:szCs w:val="18"/>
          <w:lang w:val="en-US"/>
        </w:rPr>
        <w:t>African Journal of International and Comparative Law</w:t>
      </w:r>
      <w:r w:rsidRPr="005C5767">
        <w:rPr>
          <w:rFonts w:ascii="Arial" w:hAnsi="Arial" w:cs="Arial"/>
          <w:sz w:val="18"/>
          <w:szCs w:val="18"/>
          <w:lang w:val="en-US"/>
        </w:rPr>
        <w:t xml:space="preserve">, 2013, vol. 21, no 1, p. 95-119; SOPE WILLIAMS-ELEGBE. Public Procurement and Multilateral Development Banks: Law, Practice and Problems. </w:t>
      </w:r>
      <w:r w:rsidRPr="005C5767">
        <w:rPr>
          <w:rFonts w:ascii="Arial" w:hAnsi="Arial" w:cs="Arial"/>
          <w:sz w:val="18"/>
          <w:szCs w:val="18"/>
          <w:lang w:val="es-ES"/>
        </w:rPr>
        <w:t>Bloomsbury Publishing, 2017.</w:t>
      </w:r>
    </w:p>
    <w:p w:rsidRPr="005C5767" w:rsidR="00191318" w:rsidP="00191318" w:rsidRDefault="00191318" w14:paraId="2FD765EA" w14:textId="77777777">
      <w:pPr>
        <w:pStyle w:val="Textonotapie"/>
        <w:ind w:firstLine="708"/>
        <w:jc w:val="both"/>
        <w:rPr>
          <w:rFonts w:ascii="Arial" w:hAnsi="Arial" w:cs="Arial"/>
          <w:sz w:val="18"/>
          <w:szCs w:val="18"/>
          <w:lang w:val="es-ES"/>
        </w:rPr>
      </w:pPr>
    </w:p>
  </w:footnote>
  <w:footnote w:id="5">
    <w:p w:rsidRPr="005C5767" w:rsidR="00191318" w:rsidP="00191318" w:rsidRDefault="00191318" w14:paraId="756D904E" w14:textId="77777777">
      <w:pPr>
        <w:pStyle w:val="Textonotapie"/>
        <w:ind w:firstLine="709"/>
        <w:jc w:val="both"/>
        <w:rPr>
          <w:rFonts w:ascii="Arial" w:hAnsi="Arial" w:cs="Arial"/>
          <w:color w:val="000000" w:themeColor="text1"/>
          <w:sz w:val="18"/>
          <w:szCs w:val="18"/>
        </w:rPr>
      </w:pPr>
      <w:r w:rsidRPr="005C5767">
        <w:rPr>
          <w:rStyle w:val="Refdenotaalpie"/>
          <w:rFonts w:ascii="Arial" w:hAnsi="Arial" w:cs="Arial"/>
          <w:color w:val="000000" w:themeColor="text1"/>
          <w:sz w:val="18"/>
          <w:szCs w:val="18"/>
        </w:rPr>
        <w:footnoteRef/>
      </w:r>
      <w:r w:rsidRPr="005C5767">
        <w:rPr>
          <w:rFonts w:ascii="Arial" w:hAnsi="Arial" w:cs="Arial"/>
          <w:color w:val="000000" w:themeColor="text1"/>
          <w:sz w:val="18"/>
          <w:szCs w:val="18"/>
        </w:rPr>
        <w:t xml:space="preserve"> La Constitución Política, en el artículo 189, numeral 2, dispone que el Presidente de la República debe: «Dirigir las relaciones internacionales. Nombrar a los agentes diplomáticos y consulares, recibir a los agentes respectivos y celebrar con otros Estados y entidades de derecho internacional tratados o convenios que se someterán a la aprobación del Congreso». Así mismo, en el artículo 150, numeral 16, establece que el Congreso de la República debe: «Aprobar o improbar los tratados que el Gobierno celebre con otros Estados o con entidades de derecho internacional. Por medio de dichos tratados podrá el Estado, sobre bases de equidad, reciprocidad y conveniencia nacional, transferir parcialmente determinadas atribuciones a organismos internacionales, que tengan por objeto promover o consolidar la integración económica con otros Estados».</w:t>
      </w:r>
    </w:p>
    <w:p w:rsidRPr="005C5767" w:rsidR="00191318" w:rsidP="00191318" w:rsidRDefault="00191318" w14:paraId="0745F96D" w14:textId="77777777">
      <w:pPr>
        <w:pStyle w:val="Textonotapie"/>
        <w:ind w:firstLine="709"/>
        <w:jc w:val="both"/>
        <w:rPr>
          <w:rFonts w:ascii="Arial" w:hAnsi="Arial" w:cs="Arial"/>
          <w:color w:val="000000" w:themeColor="text1"/>
          <w:sz w:val="18"/>
          <w:szCs w:val="18"/>
        </w:rPr>
      </w:pPr>
    </w:p>
  </w:footnote>
  <w:footnote w:id="6">
    <w:p w:rsidRPr="005C5767" w:rsidR="00191318" w:rsidP="00191318" w:rsidRDefault="00191318" w14:paraId="247BA6E6" w14:textId="77777777">
      <w:pPr>
        <w:tabs>
          <w:tab w:val="left" w:pos="426"/>
          <w:tab w:val="left" w:pos="2087"/>
          <w:tab w:val="left" w:pos="3424"/>
          <w:tab w:val="left" w:pos="4701"/>
          <w:tab w:val="left" w:pos="5341"/>
          <w:tab w:val="left" w:pos="5920"/>
          <w:tab w:val="left" w:pos="7487"/>
          <w:tab w:val="left" w:pos="8037"/>
          <w:tab w:val="left" w:pos="8524"/>
        </w:tabs>
        <w:ind w:firstLine="709"/>
        <w:jc w:val="both"/>
        <w:rPr>
          <w:rFonts w:ascii="Arial" w:hAnsi="Arial" w:cs="Arial"/>
          <w:sz w:val="18"/>
          <w:szCs w:val="18"/>
        </w:rPr>
      </w:pPr>
      <w:r w:rsidRPr="005C5767">
        <w:rPr>
          <w:rStyle w:val="Refdenotaalpie"/>
          <w:rFonts w:ascii="Arial" w:hAnsi="Arial" w:cs="Arial"/>
          <w:sz w:val="18"/>
          <w:szCs w:val="18"/>
        </w:rPr>
        <w:footnoteRef/>
      </w:r>
      <w:r w:rsidRPr="005C5767">
        <w:rPr>
          <w:rFonts w:ascii="Arial" w:hAnsi="Arial" w:cs="Arial"/>
          <w:sz w:val="18"/>
          <w:szCs w:val="18"/>
        </w:rPr>
        <w:t xml:space="preserve"> Por ejemplo, para Colciencias los manuales «son instrumentos administrativos que se elaboran para determinar en forma explícita, ordenada y sistemática información sobre objetivos, políticas, atribuciones, organización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 una metodología</w:t>
      </w:r>
      <w:r w:rsidRPr="005C5767">
        <w:rPr>
          <w:rFonts w:ascii="Arial" w:hAnsi="Arial" w:cs="Arial"/>
          <w:sz w:val="18"/>
          <w:szCs w:val="18"/>
        </w:rPr>
        <w:tab/>
      </w:r>
      <w:r w:rsidRPr="005C5767">
        <w:rPr>
          <w:rFonts w:ascii="Arial" w:hAnsi="Arial" w:cs="Arial"/>
          <w:sz w:val="18"/>
          <w:szCs w:val="18"/>
        </w:rPr>
        <w:t>relacionada con los procedimientos de la entidad»: https://www.colciencias.gov.co/sites/default/files/ckeditor_files/G102PR01-procedimiento-elaboracion- control.pdf</w:t>
      </w:r>
    </w:p>
    <w:p w:rsidRPr="005C5767" w:rsidR="00191318" w:rsidP="00191318" w:rsidRDefault="00191318" w14:paraId="36BE79EE" w14:textId="77777777">
      <w:pPr>
        <w:ind w:firstLine="408"/>
        <w:jc w:val="both"/>
        <w:rPr>
          <w:rFonts w:ascii="Arial" w:hAnsi="Arial" w:cs="Arial"/>
          <w:sz w:val="18"/>
          <w:szCs w:val="18"/>
        </w:rPr>
      </w:pPr>
      <w:r w:rsidRPr="005C5767">
        <w:rPr>
          <w:rFonts w:ascii="Arial" w:hAnsi="Arial" w:cs="Arial" w:eastAsiaTheme="minorEastAsia"/>
          <w:sz w:val="18"/>
          <w:szCs w:val="18"/>
          <w:lang w:eastAsia="es-CO"/>
        </w:rPr>
        <w:tab/>
      </w:r>
      <w:r w:rsidRPr="005C5767">
        <w:rPr>
          <w:rFonts w:ascii="Arial" w:hAnsi="Arial" w:cs="Arial"/>
          <w:sz w:val="18"/>
          <w:szCs w:val="18"/>
        </w:rPr>
        <w:t xml:space="preserve">Para la Autoridad Nacional de Licencias Ambientales los manuales y guías </w:t>
      </w:r>
      <w:r w:rsidRPr="005C5767">
        <w:rPr>
          <w:rFonts w:ascii="Arial" w:hAnsi="Arial" w:cs="Arial"/>
          <w:sz w:val="18"/>
          <w:szCs w:val="18"/>
          <w:lang w:val="es-MX"/>
        </w:rPr>
        <w:t>«</w:t>
      </w:r>
      <w:r w:rsidRPr="005C5767">
        <w:rPr>
          <w:rFonts w:ascii="Arial" w:hAnsi="Arial" w:cs="Arial"/>
          <w:sz w:val="18"/>
          <w:szCs w:val="18"/>
        </w:rPr>
        <w:t xml:space="preserve">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r:id="rId1">
        <w:r w:rsidRPr="005C5767">
          <w:rPr>
            <w:rFonts w:ascii="Arial" w:hAnsi="Arial" w:cs="Arial"/>
            <w:sz w:val="18"/>
            <w:szCs w:val="18"/>
          </w:rPr>
          <w:t>http://portal.anla.gov.co/manuales-y-guias</w:t>
        </w:r>
      </w:hyperlink>
    </w:p>
    <w:p w:rsidRPr="005C5767" w:rsidR="00191318" w:rsidP="00191318" w:rsidRDefault="00191318" w14:paraId="44587807" w14:textId="77777777">
      <w:pPr>
        <w:pStyle w:val="Textonotapie"/>
        <w:jc w:val="both"/>
        <w:rPr>
          <w:rFonts w:ascii="Arial" w:hAnsi="Arial" w:cs="Arial"/>
          <w:sz w:val="18"/>
          <w:szCs w:val="18"/>
        </w:rPr>
      </w:pPr>
    </w:p>
  </w:footnote>
  <w:footnote w:id="7">
    <w:p w:rsidRPr="005C5767" w:rsidR="00191318" w:rsidP="00191318" w:rsidRDefault="00191318" w14:paraId="110172D9" w14:textId="77777777">
      <w:pPr>
        <w:tabs>
          <w:tab w:val="left" w:pos="4805"/>
          <w:tab w:val="left" w:pos="8980"/>
        </w:tabs>
        <w:ind w:firstLine="707"/>
        <w:jc w:val="both"/>
        <w:rPr>
          <w:rFonts w:ascii="Arial" w:hAnsi="Arial" w:cs="Arial"/>
          <w:sz w:val="18"/>
          <w:szCs w:val="18"/>
        </w:rPr>
      </w:pPr>
      <w:r w:rsidRPr="005C5767">
        <w:rPr>
          <w:rStyle w:val="Refdenotaalpie"/>
          <w:rFonts w:ascii="Arial" w:hAnsi="Arial" w:cs="Arial"/>
          <w:sz w:val="18"/>
          <w:szCs w:val="18"/>
        </w:rPr>
        <w:footnoteRef/>
      </w:r>
      <w:r w:rsidRPr="005C5767">
        <w:rPr>
          <w:rFonts w:ascii="Arial" w:hAnsi="Arial" w:cs="Arial"/>
          <w:sz w:val="18"/>
          <w:szCs w:val="18"/>
        </w:rPr>
        <w:t xml:space="preserve"> La Circular Externa Única de Colombia Compra Eficiente señala: </w:t>
      </w:r>
      <w:r>
        <w:rPr>
          <w:rFonts w:ascii="Arial" w:hAnsi="Arial" w:cs="Arial"/>
          <w:sz w:val="18"/>
          <w:szCs w:val="18"/>
        </w:rPr>
        <w:t>«</w:t>
      </w:r>
      <w:r w:rsidRPr="005C5767">
        <w:rPr>
          <w:rFonts w:ascii="Arial" w:hAnsi="Arial" w:cs="Arial"/>
          <w:sz w:val="18"/>
          <w:szCs w:val="18"/>
        </w:rPr>
        <w:t>Las circulares externas proferidas por Colombia Compra Eficiente son actos administrativos que contienen mandatos, orientaciones e instrucciones que van dirigidas a las Entidades Estatales y al público en general y son de obligatorio cumplimiento</w:t>
      </w:r>
      <w:r>
        <w:rPr>
          <w:rFonts w:ascii="Arial" w:hAnsi="Arial" w:cs="Arial"/>
          <w:sz w:val="18"/>
          <w:szCs w:val="18"/>
        </w:rPr>
        <w:t>»</w:t>
      </w:r>
      <w:r w:rsidRPr="005C5767">
        <w:rPr>
          <w:rFonts w:ascii="Arial" w:hAnsi="Arial" w:cs="Arial"/>
          <w:sz w:val="18"/>
          <w:szCs w:val="18"/>
        </w:rPr>
        <w:t>.</w:t>
      </w:r>
      <w:r w:rsidRPr="005C5767">
        <w:rPr>
          <w:rFonts w:ascii="Arial" w:hAnsi="Arial" w:cs="Arial"/>
          <w:sz w:val="18"/>
          <w:szCs w:val="18"/>
        </w:rPr>
        <w:tab/>
      </w:r>
      <w:r w:rsidRPr="005C5767">
        <w:rPr>
          <w:rFonts w:ascii="Arial" w:hAnsi="Arial" w:cs="Arial"/>
          <w:sz w:val="18"/>
          <w:szCs w:val="18"/>
        </w:rPr>
        <w:t>Disponible</w:t>
      </w:r>
      <w:r w:rsidRPr="005C5767">
        <w:rPr>
          <w:rFonts w:ascii="Arial" w:hAnsi="Arial" w:cs="Arial"/>
          <w:sz w:val="18"/>
          <w:szCs w:val="18"/>
        </w:rPr>
        <w:tab/>
      </w:r>
      <w:r w:rsidRPr="005C5767">
        <w:rPr>
          <w:rFonts w:ascii="Arial" w:hAnsi="Arial" w:cs="Arial"/>
          <w:spacing w:val="-6"/>
          <w:sz w:val="18"/>
          <w:szCs w:val="18"/>
        </w:rPr>
        <w:t xml:space="preserve">en: </w:t>
      </w:r>
      <w:hyperlink r:id="rId2">
        <w:r w:rsidRPr="005C5767">
          <w:rPr>
            <w:rFonts w:ascii="Arial" w:hAnsi="Arial" w:cs="Arial"/>
            <w:sz w:val="18"/>
            <w:szCs w:val="18"/>
          </w:rPr>
          <w:t>https://www.colombiacompra.gov.co/sites/cce_public/files/cce_circulares/cce_circular_unica.pdf</w:t>
        </w:r>
      </w:hyperlink>
    </w:p>
    <w:p w:rsidRPr="005C5767" w:rsidR="00191318" w:rsidP="00191318" w:rsidRDefault="00191318" w14:paraId="7F9F9B30" w14:textId="77777777">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9E1" w:rsidRDefault="00026F45" w14:paraId="29116EA9"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029E1" w:rsidRDefault="00751B39" w14:paraId="4CE73BC0" w14:textId="77777777">
    <w:pPr>
      <w:pStyle w:val="Encabezado"/>
    </w:pPr>
    <w:r>
      <w:rPr>
        <w:noProof/>
        <w:lang w:eastAsia="es-CO"/>
      </w:rPr>
      <w:drawing>
        <wp:anchor distT="0" distB="0" distL="114300" distR="114300" simplePos="0" relativeHeight="251659264" behindDoc="1" locked="0" layoutInCell="1" allowOverlap="1" wp14:anchorId="4AE3C719" wp14:editId="1F59F9BA">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9E1" w:rsidRDefault="00026F45" w14:paraId="1AC34620"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8C3DE7"/>
    <w:multiLevelType w:val="hybridMultilevel"/>
    <w:tmpl w:val="0752585A"/>
    <w:lvl w:ilvl="0" w:tplc="FA3ECBFE">
      <w:numFmt w:val="bullet"/>
      <w:lvlText w:val="-"/>
      <w:lvlJc w:val="left"/>
      <w:pPr>
        <w:ind w:left="241" w:hanging="134"/>
      </w:pPr>
      <w:rPr>
        <w:rFonts w:hint="default" w:ascii="Arial" w:hAnsi="Arial" w:eastAsia="Arial" w:cs="Arial"/>
        <w:color w:val="58595B"/>
        <w:w w:val="116"/>
        <w:sz w:val="20"/>
        <w:szCs w:val="20"/>
        <w:lang w:val="es-ES" w:eastAsia="en-US" w:bidi="ar-SA"/>
      </w:rPr>
    </w:lvl>
    <w:lvl w:ilvl="1" w:tplc="47723FE8">
      <w:numFmt w:val="bullet"/>
      <w:lvlText w:val="•"/>
      <w:lvlJc w:val="left"/>
      <w:pPr>
        <w:ind w:left="1048" w:hanging="134"/>
      </w:pPr>
      <w:rPr>
        <w:rFonts w:hint="default"/>
        <w:lang w:val="es-ES" w:eastAsia="en-US" w:bidi="ar-SA"/>
      </w:rPr>
    </w:lvl>
    <w:lvl w:ilvl="2" w:tplc="389E90D2">
      <w:numFmt w:val="bullet"/>
      <w:lvlText w:val="•"/>
      <w:lvlJc w:val="left"/>
      <w:pPr>
        <w:ind w:left="1857" w:hanging="134"/>
      </w:pPr>
      <w:rPr>
        <w:rFonts w:hint="default"/>
        <w:lang w:val="es-ES" w:eastAsia="en-US" w:bidi="ar-SA"/>
      </w:rPr>
    </w:lvl>
    <w:lvl w:ilvl="3" w:tplc="7302980C">
      <w:numFmt w:val="bullet"/>
      <w:lvlText w:val="•"/>
      <w:lvlJc w:val="left"/>
      <w:pPr>
        <w:ind w:left="2666" w:hanging="134"/>
      </w:pPr>
      <w:rPr>
        <w:rFonts w:hint="default"/>
        <w:lang w:val="es-ES" w:eastAsia="en-US" w:bidi="ar-SA"/>
      </w:rPr>
    </w:lvl>
    <w:lvl w:ilvl="4" w:tplc="6DF26C5A">
      <w:numFmt w:val="bullet"/>
      <w:lvlText w:val="•"/>
      <w:lvlJc w:val="left"/>
      <w:pPr>
        <w:ind w:left="3475" w:hanging="134"/>
      </w:pPr>
      <w:rPr>
        <w:rFonts w:hint="default"/>
        <w:lang w:val="es-ES" w:eastAsia="en-US" w:bidi="ar-SA"/>
      </w:rPr>
    </w:lvl>
    <w:lvl w:ilvl="5" w:tplc="2BB64A18">
      <w:numFmt w:val="bullet"/>
      <w:lvlText w:val="•"/>
      <w:lvlJc w:val="left"/>
      <w:pPr>
        <w:ind w:left="4284" w:hanging="134"/>
      </w:pPr>
      <w:rPr>
        <w:rFonts w:hint="default"/>
        <w:lang w:val="es-ES" w:eastAsia="en-US" w:bidi="ar-SA"/>
      </w:rPr>
    </w:lvl>
    <w:lvl w:ilvl="6" w:tplc="0EA2B210">
      <w:numFmt w:val="bullet"/>
      <w:lvlText w:val="•"/>
      <w:lvlJc w:val="left"/>
      <w:pPr>
        <w:ind w:left="5093" w:hanging="134"/>
      </w:pPr>
      <w:rPr>
        <w:rFonts w:hint="default"/>
        <w:lang w:val="es-ES" w:eastAsia="en-US" w:bidi="ar-SA"/>
      </w:rPr>
    </w:lvl>
    <w:lvl w:ilvl="7" w:tplc="9EFE11B0">
      <w:numFmt w:val="bullet"/>
      <w:lvlText w:val="•"/>
      <w:lvlJc w:val="left"/>
      <w:pPr>
        <w:ind w:left="5902" w:hanging="134"/>
      </w:pPr>
      <w:rPr>
        <w:rFonts w:hint="default"/>
        <w:lang w:val="es-ES" w:eastAsia="en-US" w:bidi="ar-SA"/>
      </w:rPr>
    </w:lvl>
    <w:lvl w:ilvl="8" w:tplc="D8E8FB96">
      <w:numFmt w:val="bullet"/>
      <w:lvlText w:val="•"/>
      <w:lvlJc w:val="left"/>
      <w:pPr>
        <w:ind w:left="6711" w:hanging="134"/>
      </w:pPr>
      <w:rPr>
        <w:rFonts w:hint="default"/>
        <w:lang w:val="es-ES" w:eastAsia="en-US" w:bidi="ar-SA"/>
      </w:rPr>
    </w:lvl>
  </w:abstractNum>
  <w:abstractNum w:abstractNumId="2" w15:restartNumberingAfterBreak="0">
    <w:nsid w:val="17B06F88"/>
    <w:multiLevelType w:val="hybridMultilevel"/>
    <w:tmpl w:val="FDF67E36"/>
    <w:lvl w:ilvl="0" w:tplc="7C1CA6F2">
      <w:numFmt w:val="bullet"/>
      <w:lvlText w:val="-"/>
      <w:lvlJc w:val="left"/>
      <w:pPr>
        <w:ind w:left="108" w:hanging="117"/>
      </w:pPr>
      <w:rPr>
        <w:rFonts w:hint="default" w:ascii="Arial" w:hAnsi="Arial" w:eastAsia="Arial" w:cs="Arial"/>
        <w:color w:val="58595B"/>
        <w:w w:val="116"/>
        <w:sz w:val="20"/>
        <w:szCs w:val="20"/>
        <w:lang w:val="es-ES" w:eastAsia="en-US" w:bidi="ar-SA"/>
      </w:rPr>
    </w:lvl>
    <w:lvl w:ilvl="1" w:tplc="25E07770">
      <w:numFmt w:val="bullet"/>
      <w:lvlText w:val="•"/>
      <w:lvlJc w:val="left"/>
      <w:pPr>
        <w:ind w:left="922" w:hanging="117"/>
      </w:pPr>
      <w:rPr>
        <w:rFonts w:hint="default"/>
        <w:lang w:val="es-ES" w:eastAsia="en-US" w:bidi="ar-SA"/>
      </w:rPr>
    </w:lvl>
    <w:lvl w:ilvl="2" w:tplc="A07C551E">
      <w:numFmt w:val="bullet"/>
      <w:lvlText w:val="•"/>
      <w:lvlJc w:val="left"/>
      <w:pPr>
        <w:ind w:left="1745" w:hanging="117"/>
      </w:pPr>
      <w:rPr>
        <w:rFonts w:hint="default"/>
        <w:lang w:val="es-ES" w:eastAsia="en-US" w:bidi="ar-SA"/>
      </w:rPr>
    </w:lvl>
    <w:lvl w:ilvl="3" w:tplc="E44A738A">
      <w:numFmt w:val="bullet"/>
      <w:lvlText w:val="•"/>
      <w:lvlJc w:val="left"/>
      <w:pPr>
        <w:ind w:left="2568" w:hanging="117"/>
      </w:pPr>
      <w:rPr>
        <w:rFonts w:hint="default"/>
        <w:lang w:val="es-ES" w:eastAsia="en-US" w:bidi="ar-SA"/>
      </w:rPr>
    </w:lvl>
    <w:lvl w:ilvl="4" w:tplc="0F7AFC2E">
      <w:numFmt w:val="bullet"/>
      <w:lvlText w:val="•"/>
      <w:lvlJc w:val="left"/>
      <w:pPr>
        <w:ind w:left="3391" w:hanging="117"/>
      </w:pPr>
      <w:rPr>
        <w:rFonts w:hint="default"/>
        <w:lang w:val="es-ES" w:eastAsia="en-US" w:bidi="ar-SA"/>
      </w:rPr>
    </w:lvl>
    <w:lvl w:ilvl="5" w:tplc="2378FAF4">
      <w:numFmt w:val="bullet"/>
      <w:lvlText w:val="•"/>
      <w:lvlJc w:val="left"/>
      <w:pPr>
        <w:ind w:left="4214" w:hanging="117"/>
      </w:pPr>
      <w:rPr>
        <w:rFonts w:hint="default"/>
        <w:lang w:val="es-ES" w:eastAsia="en-US" w:bidi="ar-SA"/>
      </w:rPr>
    </w:lvl>
    <w:lvl w:ilvl="6" w:tplc="099A9C50">
      <w:numFmt w:val="bullet"/>
      <w:lvlText w:val="•"/>
      <w:lvlJc w:val="left"/>
      <w:pPr>
        <w:ind w:left="5037" w:hanging="117"/>
      </w:pPr>
      <w:rPr>
        <w:rFonts w:hint="default"/>
        <w:lang w:val="es-ES" w:eastAsia="en-US" w:bidi="ar-SA"/>
      </w:rPr>
    </w:lvl>
    <w:lvl w:ilvl="7" w:tplc="28E41FBA">
      <w:numFmt w:val="bullet"/>
      <w:lvlText w:val="•"/>
      <w:lvlJc w:val="left"/>
      <w:pPr>
        <w:ind w:left="5860" w:hanging="117"/>
      </w:pPr>
      <w:rPr>
        <w:rFonts w:hint="default"/>
        <w:lang w:val="es-ES" w:eastAsia="en-US" w:bidi="ar-SA"/>
      </w:rPr>
    </w:lvl>
    <w:lvl w:ilvl="8" w:tplc="6EB6D106">
      <w:numFmt w:val="bullet"/>
      <w:lvlText w:val="•"/>
      <w:lvlJc w:val="left"/>
      <w:pPr>
        <w:ind w:left="6683" w:hanging="117"/>
      </w:pPr>
      <w:rPr>
        <w:rFonts w:hint="default"/>
        <w:lang w:val="es-ES" w:eastAsia="en-US" w:bidi="ar-SA"/>
      </w:rPr>
    </w:lvl>
  </w:abstractNum>
  <w:abstractNum w:abstractNumId="3" w15:restartNumberingAfterBreak="0">
    <w:nsid w:val="2F3D7F76"/>
    <w:multiLevelType w:val="hybridMultilevel"/>
    <w:tmpl w:val="6DE45818"/>
    <w:lvl w:ilvl="0" w:tplc="1FA0A86E">
      <w:numFmt w:val="bullet"/>
      <w:lvlText w:val="-"/>
      <w:lvlJc w:val="left"/>
      <w:pPr>
        <w:ind w:left="108" w:hanging="134"/>
      </w:pPr>
      <w:rPr>
        <w:rFonts w:hint="default" w:ascii="Arial" w:hAnsi="Arial" w:eastAsia="Arial" w:cs="Arial"/>
        <w:color w:val="58595B"/>
        <w:w w:val="116"/>
        <w:sz w:val="20"/>
        <w:szCs w:val="20"/>
        <w:lang w:val="es-ES" w:eastAsia="en-US" w:bidi="ar-SA"/>
      </w:rPr>
    </w:lvl>
    <w:lvl w:ilvl="1" w:tplc="1274632A">
      <w:numFmt w:val="bullet"/>
      <w:lvlText w:val="•"/>
      <w:lvlJc w:val="left"/>
      <w:pPr>
        <w:ind w:left="922" w:hanging="134"/>
      </w:pPr>
      <w:rPr>
        <w:rFonts w:hint="default"/>
        <w:lang w:val="es-ES" w:eastAsia="en-US" w:bidi="ar-SA"/>
      </w:rPr>
    </w:lvl>
    <w:lvl w:ilvl="2" w:tplc="CDFE3F22">
      <w:numFmt w:val="bullet"/>
      <w:lvlText w:val="•"/>
      <w:lvlJc w:val="left"/>
      <w:pPr>
        <w:ind w:left="1745" w:hanging="134"/>
      </w:pPr>
      <w:rPr>
        <w:rFonts w:hint="default"/>
        <w:lang w:val="es-ES" w:eastAsia="en-US" w:bidi="ar-SA"/>
      </w:rPr>
    </w:lvl>
    <w:lvl w:ilvl="3" w:tplc="69649CB4">
      <w:numFmt w:val="bullet"/>
      <w:lvlText w:val="•"/>
      <w:lvlJc w:val="left"/>
      <w:pPr>
        <w:ind w:left="2568" w:hanging="134"/>
      </w:pPr>
      <w:rPr>
        <w:rFonts w:hint="default"/>
        <w:lang w:val="es-ES" w:eastAsia="en-US" w:bidi="ar-SA"/>
      </w:rPr>
    </w:lvl>
    <w:lvl w:ilvl="4" w:tplc="3F749ED0">
      <w:numFmt w:val="bullet"/>
      <w:lvlText w:val="•"/>
      <w:lvlJc w:val="left"/>
      <w:pPr>
        <w:ind w:left="3391" w:hanging="134"/>
      </w:pPr>
      <w:rPr>
        <w:rFonts w:hint="default"/>
        <w:lang w:val="es-ES" w:eastAsia="en-US" w:bidi="ar-SA"/>
      </w:rPr>
    </w:lvl>
    <w:lvl w:ilvl="5" w:tplc="0726BDEE">
      <w:numFmt w:val="bullet"/>
      <w:lvlText w:val="•"/>
      <w:lvlJc w:val="left"/>
      <w:pPr>
        <w:ind w:left="4214" w:hanging="134"/>
      </w:pPr>
      <w:rPr>
        <w:rFonts w:hint="default"/>
        <w:lang w:val="es-ES" w:eastAsia="en-US" w:bidi="ar-SA"/>
      </w:rPr>
    </w:lvl>
    <w:lvl w:ilvl="6" w:tplc="F20EAE7E">
      <w:numFmt w:val="bullet"/>
      <w:lvlText w:val="•"/>
      <w:lvlJc w:val="left"/>
      <w:pPr>
        <w:ind w:left="5037" w:hanging="134"/>
      </w:pPr>
      <w:rPr>
        <w:rFonts w:hint="default"/>
        <w:lang w:val="es-ES" w:eastAsia="en-US" w:bidi="ar-SA"/>
      </w:rPr>
    </w:lvl>
    <w:lvl w:ilvl="7" w:tplc="BA2A6850">
      <w:numFmt w:val="bullet"/>
      <w:lvlText w:val="•"/>
      <w:lvlJc w:val="left"/>
      <w:pPr>
        <w:ind w:left="5860" w:hanging="134"/>
      </w:pPr>
      <w:rPr>
        <w:rFonts w:hint="default"/>
        <w:lang w:val="es-ES" w:eastAsia="en-US" w:bidi="ar-SA"/>
      </w:rPr>
    </w:lvl>
    <w:lvl w:ilvl="8" w:tplc="4290E3C2">
      <w:numFmt w:val="bullet"/>
      <w:lvlText w:val="•"/>
      <w:lvlJc w:val="left"/>
      <w:pPr>
        <w:ind w:left="6683" w:hanging="134"/>
      </w:pPr>
      <w:rPr>
        <w:rFonts w:hint="default"/>
        <w:lang w:val="es-ES" w:eastAsia="en-US" w:bidi="ar-SA"/>
      </w:rPr>
    </w:lvl>
  </w:abstractNum>
  <w:abstractNum w:abstractNumId="4" w15:restartNumberingAfterBreak="0">
    <w:nsid w:val="375C1452"/>
    <w:multiLevelType w:val="hybridMultilevel"/>
    <w:tmpl w:val="7ADE3BA6"/>
    <w:lvl w:ilvl="0" w:tplc="D5A01BAC">
      <w:numFmt w:val="bullet"/>
      <w:lvlText w:val="-"/>
      <w:lvlJc w:val="left"/>
      <w:pPr>
        <w:ind w:left="108" w:hanging="151"/>
      </w:pPr>
      <w:rPr>
        <w:rFonts w:hint="default" w:ascii="Arial" w:hAnsi="Arial" w:eastAsia="Arial" w:cs="Arial"/>
        <w:color w:val="58595B"/>
        <w:w w:val="116"/>
        <w:sz w:val="20"/>
        <w:szCs w:val="20"/>
        <w:lang w:val="es-ES" w:eastAsia="en-US" w:bidi="ar-SA"/>
      </w:rPr>
    </w:lvl>
    <w:lvl w:ilvl="1" w:tplc="203E4E54">
      <w:numFmt w:val="bullet"/>
      <w:lvlText w:val="•"/>
      <w:lvlJc w:val="left"/>
      <w:pPr>
        <w:ind w:left="922" w:hanging="151"/>
      </w:pPr>
      <w:rPr>
        <w:rFonts w:hint="default"/>
        <w:lang w:val="es-ES" w:eastAsia="en-US" w:bidi="ar-SA"/>
      </w:rPr>
    </w:lvl>
    <w:lvl w:ilvl="2" w:tplc="45183740">
      <w:numFmt w:val="bullet"/>
      <w:lvlText w:val="•"/>
      <w:lvlJc w:val="left"/>
      <w:pPr>
        <w:ind w:left="1745" w:hanging="151"/>
      </w:pPr>
      <w:rPr>
        <w:rFonts w:hint="default"/>
        <w:lang w:val="es-ES" w:eastAsia="en-US" w:bidi="ar-SA"/>
      </w:rPr>
    </w:lvl>
    <w:lvl w:ilvl="3" w:tplc="E190FEDC">
      <w:numFmt w:val="bullet"/>
      <w:lvlText w:val="•"/>
      <w:lvlJc w:val="left"/>
      <w:pPr>
        <w:ind w:left="2568" w:hanging="151"/>
      </w:pPr>
      <w:rPr>
        <w:rFonts w:hint="default"/>
        <w:lang w:val="es-ES" w:eastAsia="en-US" w:bidi="ar-SA"/>
      </w:rPr>
    </w:lvl>
    <w:lvl w:ilvl="4" w:tplc="DE92249A">
      <w:numFmt w:val="bullet"/>
      <w:lvlText w:val="•"/>
      <w:lvlJc w:val="left"/>
      <w:pPr>
        <w:ind w:left="3391" w:hanging="151"/>
      </w:pPr>
      <w:rPr>
        <w:rFonts w:hint="default"/>
        <w:lang w:val="es-ES" w:eastAsia="en-US" w:bidi="ar-SA"/>
      </w:rPr>
    </w:lvl>
    <w:lvl w:ilvl="5" w:tplc="6A72F232">
      <w:numFmt w:val="bullet"/>
      <w:lvlText w:val="•"/>
      <w:lvlJc w:val="left"/>
      <w:pPr>
        <w:ind w:left="4214" w:hanging="151"/>
      </w:pPr>
      <w:rPr>
        <w:rFonts w:hint="default"/>
        <w:lang w:val="es-ES" w:eastAsia="en-US" w:bidi="ar-SA"/>
      </w:rPr>
    </w:lvl>
    <w:lvl w:ilvl="6" w:tplc="1B8C42D2">
      <w:numFmt w:val="bullet"/>
      <w:lvlText w:val="•"/>
      <w:lvlJc w:val="left"/>
      <w:pPr>
        <w:ind w:left="5037" w:hanging="151"/>
      </w:pPr>
      <w:rPr>
        <w:rFonts w:hint="default"/>
        <w:lang w:val="es-ES" w:eastAsia="en-US" w:bidi="ar-SA"/>
      </w:rPr>
    </w:lvl>
    <w:lvl w:ilvl="7" w:tplc="E59E813E">
      <w:numFmt w:val="bullet"/>
      <w:lvlText w:val="•"/>
      <w:lvlJc w:val="left"/>
      <w:pPr>
        <w:ind w:left="5860" w:hanging="151"/>
      </w:pPr>
      <w:rPr>
        <w:rFonts w:hint="default"/>
        <w:lang w:val="es-ES" w:eastAsia="en-US" w:bidi="ar-SA"/>
      </w:rPr>
    </w:lvl>
    <w:lvl w:ilvl="8" w:tplc="CA466554">
      <w:numFmt w:val="bullet"/>
      <w:lvlText w:val="•"/>
      <w:lvlJc w:val="left"/>
      <w:pPr>
        <w:ind w:left="6683" w:hanging="151"/>
      </w:pPr>
      <w:rPr>
        <w:rFonts w:hint="default"/>
        <w:lang w:val="es-ES" w:eastAsia="en-US" w:bidi="ar-SA"/>
      </w:rPr>
    </w:lvl>
  </w:abstractNum>
  <w:abstractNum w:abstractNumId="5" w15:restartNumberingAfterBreak="0">
    <w:nsid w:val="41A06351"/>
    <w:multiLevelType w:val="hybridMultilevel"/>
    <w:tmpl w:val="B15A69E6"/>
    <w:lvl w:ilvl="0" w:tplc="0EAAF760">
      <w:start w:val="2"/>
      <w:numFmt w:val="decimal"/>
      <w:lvlText w:val="%1."/>
      <w:lvlJc w:val="left"/>
      <w:pPr>
        <w:ind w:left="1008" w:hanging="250"/>
        <w:jc w:val="right"/>
      </w:pPr>
      <w:rPr>
        <w:rFonts w:hint="default"/>
        <w:w w:val="100"/>
        <w:lang w:val="es-ES" w:eastAsia="en-US" w:bidi="ar-SA"/>
      </w:rPr>
    </w:lvl>
    <w:lvl w:ilvl="1" w:tplc="BDC22B1C">
      <w:numFmt w:val="bullet"/>
      <w:lvlText w:val="•"/>
      <w:lvlJc w:val="left"/>
      <w:pPr>
        <w:ind w:left="1834" w:hanging="250"/>
      </w:pPr>
      <w:rPr>
        <w:rFonts w:hint="default"/>
        <w:lang w:val="es-ES" w:eastAsia="en-US" w:bidi="ar-SA"/>
      </w:rPr>
    </w:lvl>
    <w:lvl w:ilvl="2" w:tplc="218AF7AA">
      <w:numFmt w:val="bullet"/>
      <w:lvlText w:val="•"/>
      <w:lvlJc w:val="left"/>
      <w:pPr>
        <w:ind w:left="2668" w:hanging="250"/>
      </w:pPr>
      <w:rPr>
        <w:rFonts w:hint="default"/>
        <w:lang w:val="es-ES" w:eastAsia="en-US" w:bidi="ar-SA"/>
      </w:rPr>
    </w:lvl>
    <w:lvl w:ilvl="3" w:tplc="D918F466">
      <w:numFmt w:val="bullet"/>
      <w:lvlText w:val="•"/>
      <w:lvlJc w:val="left"/>
      <w:pPr>
        <w:ind w:left="3502" w:hanging="250"/>
      </w:pPr>
      <w:rPr>
        <w:rFonts w:hint="default"/>
        <w:lang w:val="es-ES" w:eastAsia="en-US" w:bidi="ar-SA"/>
      </w:rPr>
    </w:lvl>
    <w:lvl w:ilvl="4" w:tplc="B378A802">
      <w:numFmt w:val="bullet"/>
      <w:lvlText w:val="•"/>
      <w:lvlJc w:val="left"/>
      <w:pPr>
        <w:ind w:left="4336" w:hanging="250"/>
      </w:pPr>
      <w:rPr>
        <w:rFonts w:hint="default"/>
        <w:lang w:val="es-ES" w:eastAsia="en-US" w:bidi="ar-SA"/>
      </w:rPr>
    </w:lvl>
    <w:lvl w:ilvl="5" w:tplc="D95ACA28">
      <w:numFmt w:val="bullet"/>
      <w:lvlText w:val="•"/>
      <w:lvlJc w:val="left"/>
      <w:pPr>
        <w:ind w:left="5170" w:hanging="250"/>
      </w:pPr>
      <w:rPr>
        <w:rFonts w:hint="default"/>
        <w:lang w:val="es-ES" w:eastAsia="en-US" w:bidi="ar-SA"/>
      </w:rPr>
    </w:lvl>
    <w:lvl w:ilvl="6" w:tplc="1E1ED18C">
      <w:numFmt w:val="bullet"/>
      <w:lvlText w:val="•"/>
      <w:lvlJc w:val="left"/>
      <w:pPr>
        <w:ind w:left="6004" w:hanging="250"/>
      </w:pPr>
      <w:rPr>
        <w:rFonts w:hint="default"/>
        <w:lang w:val="es-ES" w:eastAsia="en-US" w:bidi="ar-SA"/>
      </w:rPr>
    </w:lvl>
    <w:lvl w:ilvl="7" w:tplc="8B46892E">
      <w:numFmt w:val="bullet"/>
      <w:lvlText w:val="•"/>
      <w:lvlJc w:val="left"/>
      <w:pPr>
        <w:ind w:left="6838" w:hanging="250"/>
      </w:pPr>
      <w:rPr>
        <w:rFonts w:hint="default"/>
        <w:lang w:val="es-ES" w:eastAsia="en-US" w:bidi="ar-SA"/>
      </w:rPr>
    </w:lvl>
    <w:lvl w:ilvl="8" w:tplc="0906780A">
      <w:numFmt w:val="bullet"/>
      <w:lvlText w:val="•"/>
      <w:lvlJc w:val="left"/>
      <w:pPr>
        <w:ind w:left="7672" w:hanging="250"/>
      </w:pPr>
      <w:rPr>
        <w:rFonts w:hint="default"/>
        <w:lang w:val="es-ES" w:eastAsia="en-US" w:bidi="ar-SA"/>
      </w:rPr>
    </w:lvl>
  </w:abstractNum>
  <w:abstractNum w:abstractNumId="6" w15:restartNumberingAfterBreak="0">
    <w:nsid w:val="615D6917"/>
    <w:multiLevelType w:val="hybridMultilevel"/>
    <w:tmpl w:val="C1CC31C4"/>
    <w:lvl w:ilvl="0" w:tplc="B6429D6C">
      <w:numFmt w:val="bullet"/>
      <w:lvlText w:val="-"/>
      <w:lvlJc w:val="left"/>
      <w:pPr>
        <w:ind w:left="241" w:hanging="134"/>
      </w:pPr>
      <w:rPr>
        <w:rFonts w:hint="default" w:ascii="Arial" w:hAnsi="Arial" w:eastAsia="Arial" w:cs="Arial"/>
        <w:color w:val="58595B"/>
        <w:w w:val="116"/>
        <w:sz w:val="20"/>
        <w:szCs w:val="20"/>
        <w:lang w:val="es-ES" w:eastAsia="en-US" w:bidi="ar-SA"/>
      </w:rPr>
    </w:lvl>
    <w:lvl w:ilvl="1" w:tplc="E444BF08">
      <w:numFmt w:val="bullet"/>
      <w:lvlText w:val="•"/>
      <w:lvlJc w:val="left"/>
      <w:pPr>
        <w:ind w:left="1048" w:hanging="134"/>
      </w:pPr>
      <w:rPr>
        <w:rFonts w:hint="default"/>
        <w:lang w:val="es-ES" w:eastAsia="en-US" w:bidi="ar-SA"/>
      </w:rPr>
    </w:lvl>
    <w:lvl w:ilvl="2" w:tplc="2B0E44D6">
      <w:numFmt w:val="bullet"/>
      <w:lvlText w:val="•"/>
      <w:lvlJc w:val="left"/>
      <w:pPr>
        <w:ind w:left="1857" w:hanging="134"/>
      </w:pPr>
      <w:rPr>
        <w:rFonts w:hint="default"/>
        <w:lang w:val="es-ES" w:eastAsia="en-US" w:bidi="ar-SA"/>
      </w:rPr>
    </w:lvl>
    <w:lvl w:ilvl="3" w:tplc="58401D32">
      <w:numFmt w:val="bullet"/>
      <w:lvlText w:val="•"/>
      <w:lvlJc w:val="left"/>
      <w:pPr>
        <w:ind w:left="2666" w:hanging="134"/>
      </w:pPr>
      <w:rPr>
        <w:rFonts w:hint="default"/>
        <w:lang w:val="es-ES" w:eastAsia="en-US" w:bidi="ar-SA"/>
      </w:rPr>
    </w:lvl>
    <w:lvl w:ilvl="4" w:tplc="555E486E">
      <w:numFmt w:val="bullet"/>
      <w:lvlText w:val="•"/>
      <w:lvlJc w:val="left"/>
      <w:pPr>
        <w:ind w:left="3475" w:hanging="134"/>
      </w:pPr>
      <w:rPr>
        <w:rFonts w:hint="default"/>
        <w:lang w:val="es-ES" w:eastAsia="en-US" w:bidi="ar-SA"/>
      </w:rPr>
    </w:lvl>
    <w:lvl w:ilvl="5" w:tplc="17E29DF4">
      <w:numFmt w:val="bullet"/>
      <w:lvlText w:val="•"/>
      <w:lvlJc w:val="left"/>
      <w:pPr>
        <w:ind w:left="4284" w:hanging="134"/>
      </w:pPr>
      <w:rPr>
        <w:rFonts w:hint="default"/>
        <w:lang w:val="es-ES" w:eastAsia="en-US" w:bidi="ar-SA"/>
      </w:rPr>
    </w:lvl>
    <w:lvl w:ilvl="6" w:tplc="1D3E276C">
      <w:numFmt w:val="bullet"/>
      <w:lvlText w:val="•"/>
      <w:lvlJc w:val="left"/>
      <w:pPr>
        <w:ind w:left="5093" w:hanging="134"/>
      </w:pPr>
      <w:rPr>
        <w:rFonts w:hint="default"/>
        <w:lang w:val="es-ES" w:eastAsia="en-US" w:bidi="ar-SA"/>
      </w:rPr>
    </w:lvl>
    <w:lvl w:ilvl="7" w:tplc="E256A25A">
      <w:numFmt w:val="bullet"/>
      <w:lvlText w:val="•"/>
      <w:lvlJc w:val="left"/>
      <w:pPr>
        <w:ind w:left="5902" w:hanging="134"/>
      </w:pPr>
      <w:rPr>
        <w:rFonts w:hint="default"/>
        <w:lang w:val="es-ES" w:eastAsia="en-US" w:bidi="ar-SA"/>
      </w:rPr>
    </w:lvl>
    <w:lvl w:ilvl="8" w:tplc="CB9C9B60">
      <w:numFmt w:val="bullet"/>
      <w:lvlText w:val="•"/>
      <w:lvlJc w:val="left"/>
      <w:pPr>
        <w:ind w:left="6711" w:hanging="134"/>
      </w:pPr>
      <w:rPr>
        <w:rFonts w:hint="default"/>
        <w:lang w:val="es-ES" w:eastAsia="en-US" w:bidi="ar-SA"/>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18"/>
    <w:rsid w:val="00026F45"/>
    <w:rsid w:val="00034187"/>
    <w:rsid w:val="0003554E"/>
    <w:rsid w:val="00064376"/>
    <w:rsid w:val="00072E04"/>
    <w:rsid w:val="00077DC0"/>
    <w:rsid w:val="0008246E"/>
    <w:rsid w:val="000D757A"/>
    <w:rsid w:val="00117F0B"/>
    <w:rsid w:val="001239AC"/>
    <w:rsid w:val="001566F9"/>
    <w:rsid w:val="00191318"/>
    <w:rsid w:val="001A2540"/>
    <w:rsid w:val="001F2C14"/>
    <w:rsid w:val="0029466B"/>
    <w:rsid w:val="00300554"/>
    <w:rsid w:val="0033012F"/>
    <w:rsid w:val="00360BCE"/>
    <w:rsid w:val="003661DE"/>
    <w:rsid w:val="00375F60"/>
    <w:rsid w:val="003C71D9"/>
    <w:rsid w:val="003D6BE8"/>
    <w:rsid w:val="003D6CA6"/>
    <w:rsid w:val="003E4C5D"/>
    <w:rsid w:val="003E5CAB"/>
    <w:rsid w:val="003F1F34"/>
    <w:rsid w:val="003F588F"/>
    <w:rsid w:val="00410614"/>
    <w:rsid w:val="00411D39"/>
    <w:rsid w:val="004425D2"/>
    <w:rsid w:val="00447324"/>
    <w:rsid w:val="004535F5"/>
    <w:rsid w:val="00485B5D"/>
    <w:rsid w:val="00491334"/>
    <w:rsid w:val="004A02A3"/>
    <w:rsid w:val="004B7C08"/>
    <w:rsid w:val="00505CC6"/>
    <w:rsid w:val="00584F95"/>
    <w:rsid w:val="00595C4E"/>
    <w:rsid w:val="00597982"/>
    <w:rsid w:val="005A2EEC"/>
    <w:rsid w:val="005A4474"/>
    <w:rsid w:val="005B2DA5"/>
    <w:rsid w:val="006F0782"/>
    <w:rsid w:val="006F3CF0"/>
    <w:rsid w:val="00710050"/>
    <w:rsid w:val="00751B39"/>
    <w:rsid w:val="00783696"/>
    <w:rsid w:val="007C3131"/>
    <w:rsid w:val="007F2969"/>
    <w:rsid w:val="00801BDF"/>
    <w:rsid w:val="0080650E"/>
    <w:rsid w:val="00817B63"/>
    <w:rsid w:val="0082362F"/>
    <w:rsid w:val="008668D1"/>
    <w:rsid w:val="008A046F"/>
    <w:rsid w:val="008D594C"/>
    <w:rsid w:val="008E37B0"/>
    <w:rsid w:val="0090373B"/>
    <w:rsid w:val="00906624"/>
    <w:rsid w:val="00915301"/>
    <w:rsid w:val="00951917"/>
    <w:rsid w:val="009810AB"/>
    <w:rsid w:val="009B5C6A"/>
    <w:rsid w:val="009B6761"/>
    <w:rsid w:val="009C4395"/>
    <w:rsid w:val="009D67D9"/>
    <w:rsid w:val="00A054F6"/>
    <w:rsid w:val="00A06719"/>
    <w:rsid w:val="00A135BC"/>
    <w:rsid w:val="00A51653"/>
    <w:rsid w:val="00A6483D"/>
    <w:rsid w:val="00AA5007"/>
    <w:rsid w:val="00AB61F4"/>
    <w:rsid w:val="00AC7EA2"/>
    <w:rsid w:val="00AD62B9"/>
    <w:rsid w:val="00B328FC"/>
    <w:rsid w:val="00B546CE"/>
    <w:rsid w:val="00B87131"/>
    <w:rsid w:val="00B877DF"/>
    <w:rsid w:val="00B905F6"/>
    <w:rsid w:val="00B95C51"/>
    <w:rsid w:val="00BB1750"/>
    <w:rsid w:val="00BB198B"/>
    <w:rsid w:val="00BE5CF6"/>
    <w:rsid w:val="00BE6482"/>
    <w:rsid w:val="00BE65F3"/>
    <w:rsid w:val="00BF1F1D"/>
    <w:rsid w:val="00C26EC3"/>
    <w:rsid w:val="00CE73AD"/>
    <w:rsid w:val="00D20CBA"/>
    <w:rsid w:val="00DC6718"/>
    <w:rsid w:val="00DE6206"/>
    <w:rsid w:val="00DE704A"/>
    <w:rsid w:val="00DF1204"/>
    <w:rsid w:val="00DF3379"/>
    <w:rsid w:val="00E23208"/>
    <w:rsid w:val="00E32071"/>
    <w:rsid w:val="00E61438"/>
    <w:rsid w:val="00E754EC"/>
    <w:rsid w:val="00E7680F"/>
    <w:rsid w:val="00EA1A9B"/>
    <w:rsid w:val="00EA536D"/>
    <w:rsid w:val="00EB055C"/>
    <w:rsid w:val="00EB11A9"/>
    <w:rsid w:val="00EC6CED"/>
    <w:rsid w:val="00ED5565"/>
    <w:rsid w:val="00EE0B88"/>
    <w:rsid w:val="00EF4124"/>
    <w:rsid w:val="00EF4F1B"/>
    <w:rsid w:val="00F72C93"/>
    <w:rsid w:val="00F77838"/>
    <w:rsid w:val="00F838C0"/>
    <w:rsid w:val="00FB5E71"/>
    <w:rsid w:val="00FB759D"/>
    <w:rsid w:val="00FC0D2A"/>
    <w:rsid w:val="00FF617E"/>
    <w:rsid w:val="13A4F097"/>
    <w:rsid w:val="4B1FFD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F127"/>
  <w15:chartTrackingRefBased/>
  <w15:docId w15:val="{92E946D1-8166-48E6-A1FE-A91D58A013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1318"/>
    <w:pPr>
      <w:spacing w:after="0" w:line="240" w:lineRule="auto"/>
    </w:pPr>
    <w:rPr>
      <w:rFonts w:ascii="Times New Roman" w:hAnsi="Times New Roman" w:eastAsia="Times New Roman" w:cs="Times New Roman"/>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191318"/>
    <w:pPr>
      <w:tabs>
        <w:tab w:val="center" w:pos="4419"/>
        <w:tab w:val="right" w:pos="8838"/>
      </w:tabs>
    </w:pPr>
  </w:style>
  <w:style w:type="character" w:styleId="PiedepginaCar" w:customStyle="1">
    <w:name w:val="Pie de página Car"/>
    <w:basedOn w:val="Fuentedeprrafopredeter"/>
    <w:link w:val="Piedepgina"/>
    <w:uiPriority w:val="99"/>
    <w:rsid w:val="00191318"/>
    <w:rPr>
      <w:rFonts w:ascii="Times New Roman" w:hAnsi="Times New Roman" w:eastAsia="Times New Roman" w:cs="Times New Roman"/>
      <w:sz w:val="24"/>
      <w:szCs w:val="24"/>
    </w:rPr>
  </w:style>
  <w:style w:type="paragraph" w:styleId="Encabezado">
    <w:name w:val="header"/>
    <w:basedOn w:val="Normal"/>
    <w:link w:val="EncabezadoCar"/>
    <w:uiPriority w:val="99"/>
    <w:unhideWhenUsed/>
    <w:rsid w:val="00191318"/>
    <w:pPr>
      <w:tabs>
        <w:tab w:val="center" w:pos="4252"/>
        <w:tab w:val="right" w:pos="8504"/>
      </w:tabs>
    </w:pPr>
  </w:style>
  <w:style w:type="character" w:styleId="EncabezadoCar" w:customStyle="1">
    <w:name w:val="Encabezado Car"/>
    <w:basedOn w:val="Fuentedeprrafopredeter"/>
    <w:link w:val="Encabezado"/>
    <w:uiPriority w:val="99"/>
    <w:rsid w:val="00191318"/>
    <w:rPr>
      <w:rFonts w:ascii="Times New Roman" w:hAnsi="Times New Roman" w:eastAsia="Times New Roman" w:cs="Times New Roman"/>
      <w:sz w:val="24"/>
      <w:szCs w:val="24"/>
    </w:rPr>
  </w:style>
  <w:style w:type="table" w:styleId="Tablaconcuadrcula">
    <w:name w:val="Table Grid"/>
    <w:basedOn w:val="Tablanormal"/>
    <w:uiPriority w:val="39"/>
    <w:rsid w:val="0019131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191318"/>
    <w:pPr>
      <w:spacing w:before="100" w:beforeAutospacing="1" w:after="100" w:afterAutospacing="1"/>
    </w:pPr>
    <w:rPr>
      <w:lang w:eastAsia="es-CO"/>
    </w:rPr>
  </w:style>
  <w:style w:type="paragraph" w:styleId="Sinespaciado">
    <w:name w:val="No Spacing"/>
    <w:aliases w:val="No Indent"/>
    <w:uiPriority w:val="3"/>
    <w:qFormat/>
    <w:rsid w:val="00191318"/>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9131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91318"/>
    <w:rPr>
      <w:rFonts w:asciiTheme="minorHAnsi" w:hAnsiTheme="minorHAnsi" w:eastAsiaTheme="minorHAnsi" w:cstheme="minorBidi"/>
      <w:sz w:val="20"/>
      <w:szCs w:val="20"/>
      <w:lang w:val="es-MX"/>
    </w:rPr>
  </w:style>
  <w:style w:type="character" w:styleId="TextonotapieCar1" w:customStyle="1">
    <w:name w:val="Texto nota pie Car1"/>
    <w:basedOn w:val="Fuentedeprrafopredeter"/>
    <w:uiPriority w:val="99"/>
    <w:semiHidden/>
    <w:rsid w:val="00191318"/>
    <w:rPr>
      <w:rFonts w:ascii="Times New Roman" w:hAnsi="Times New Roman" w:eastAsia="Times New Roman" w:cs="Times New Roman"/>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uiPriority w:val="99"/>
    <w:unhideWhenUsed/>
    <w:qFormat/>
    <w:rsid w:val="00191318"/>
    <w:rPr>
      <w:vertAlign w:val="superscript"/>
    </w:rPr>
  </w:style>
  <w:style w:type="paragraph" w:styleId="Textoindependiente">
    <w:name w:val="Body Text"/>
    <w:basedOn w:val="Normal"/>
    <w:link w:val="TextoindependienteCar"/>
    <w:uiPriority w:val="99"/>
    <w:unhideWhenUsed/>
    <w:rsid w:val="00191318"/>
    <w:pPr>
      <w:spacing w:after="120" w:line="276" w:lineRule="auto"/>
    </w:pPr>
    <w:rPr>
      <w:rFonts w:eastAsiaTheme="minorEastAsia"/>
      <w:sz w:val="22"/>
      <w:lang w:eastAsia="es-CO"/>
    </w:rPr>
  </w:style>
  <w:style w:type="character" w:styleId="TextoindependienteCar" w:customStyle="1">
    <w:name w:val="Texto independiente Car"/>
    <w:basedOn w:val="Fuentedeprrafopredeter"/>
    <w:link w:val="Textoindependiente"/>
    <w:uiPriority w:val="99"/>
    <w:rsid w:val="00191318"/>
    <w:rPr>
      <w:rFonts w:ascii="Times New Roman" w:hAnsi="Times New Roman" w:cs="Times New Roman" w:eastAsiaTheme="minorEastAsia"/>
      <w:szCs w:val="24"/>
      <w:lang w:eastAsia="es-CO"/>
    </w:rPr>
  </w:style>
  <w:style w:type="character" w:styleId="Hipervnculo">
    <w:name w:val="Hyperlink"/>
    <w:basedOn w:val="Fuentedeprrafopredeter"/>
    <w:uiPriority w:val="99"/>
    <w:unhideWhenUsed/>
    <w:rsid w:val="00191318"/>
    <w:rPr>
      <w:color w:val="0563C1" w:themeColor="hyperlink"/>
      <w:u w:val="single"/>
    </w:rPr>
  </w:style>
  <w:style w:type="character" w:styleId="Mencinsinresolver">
    <w:name w:val="Unresolved Mention"/>
    <w:basedOn w:val="Fuentedeprrafopredeter"/>
    <w:uiPriority w:val="99"/>
    <w:semiHidden/>
    <w:unhideWhenUsed/>
    <w:rsid w:val="00191318"/>
    <w:rPr>
      <w:color w:val="605E5C"/>
      <w:shd w:val="clear" w:color="auto" w:fill="E1DFDD"/>
    </w:rPr>
  </w:style>
  <w:style w:type="table" w:styleId="TableNormal1" w:customStyle="1">
    <w:name w:val="Table Normal1"/>
    <w:uiPriority w:val="2"/>
    <w:semiHidden/>
    <w:unhideWhenUsed/>
    <w:qFormat/>
    <w:rsid w:val="00B95C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B95C51"/>
    <w:pPr>
      <w:widowControl w:val="0"/>
      <w:autoSpaceDE w:val="0"/>
      <w:autoSpaceDN w:val="0"/>
    </w:pPr>
    <w:rPr>
      <w:rFonts w:ascii="Arial" w:hAnsi="Arial" w:eastAsia="Arial" w:cs="Arial"/>
      <w:sz w:val="22"/>
      <w:szCs w:val="22"/>
      <w:lang w:val="es-ES"/>
    </w:rPr>
  </w:style>
  <w:style w:type="paragraph" w:styleId="Revisin">
    <w:name w:val="Revision"/>
    <w:hidden/>
    <w:uiPriority w:val="99"/>
    <w:semiHidden/>
    <w:rsid w:val="00DE6206"/>
    <w:pPr>
      <w:spacing w:after="0"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lombiacompra.gov.co/compradores/acuerdos-comerciales-y-trato-nacional-por-reciprocidad" TargetMode="Externa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customXml" Target="../customXml/item2.xml" Id="rId21" /><Relationship Type="http://schemas.openxmlformats.org/officeDocument/2006/relationships/endnotes" Target="endnotes.xml" Id="rId7" /><Relationship Type="http://schemas.openxmlformats.org/officeDocument/2006/relationships/image" Target="media/image2.jpeg"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colombiacompra.gov.co/compradores/acuerdos-comerciales-y-tratonacional-por-reciprocidad"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customXml" Target="../customXml/item4.xml" Id="rId23" /><Relationship Type="http://schemas.openxmlformats.org/officeDocument/2006/relationships/hyperlink" Target="https://colombiacompra.gov.co/compradores/acuerdos-comerciales-y-tratonacional-por-reciprocidad"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header" Target="header2.xml" Id="rId14" /><Relationship Type="http://schemas.openxmlformats.org/officeDocument/2006/relationships/customXml" Target="../customXml/item3.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circulares/cce_circular_unica.pdf" TargetMode="External"/><Relationship Id="rId1" Type="http://schemas.openxmlformats.org/officeDocument/2006/relationships/hyperlink" Target="http://portal.anla.gov.co/manuales-y-gui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5B1AC0B-5028-4809-8AB3-08C4A2107188}">
  <ds:schemaRefs>
    <ds:schemaRef ds:uri="http://schemas.openxmlformats.org/officeDocument/2006/bibliography"/>
  </ds:schemaRefs>
</ds:datastoreItem>
</file>

<file path=customXml/itemProps2.xml><?xml version="1.0" encoding="utf-8"?>
<ds:datastoreItem xmlns:ds="http://schemas.openxmlformats.org/officeDocument/2006/customXml" ds:itemID="{CC167B5A-2073-4CCC-A520-887FEBA764CB}"/>
</file>

<file path=customXml/itemProps3.xml><?xml version="1.0" encoding="utf-8"?>
<ds:datastoreItem xmlns:ds="http://schemas.openxmlformats.org/officeDocument/2006/customXml" ds:itemID="{6172C205-4AE9-42E9-A768-9DB1886D6D22}"/>
</file>

<file path=customXml/itemProps4.xml><?xml version="1.0" encoding="utf-8"?>
<ds:datastoreItem xmlns:ds="http://schemas.openxmlformats.org/officeDocument/2006/customXml" ds:itemID="{4654384D-39AE-458C-B4C8-FA4300A207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CCE</dc:creator>
  <keywords/>
  <dc:description/>
  <lastModifiedBy>Jorge Eliecer Moran Buitrón</lastModifiedBy>
  <revision>10</revision>
  <dcterms:created xsi:type="dcterms:W3CDTF">2022-03-28T20:11:00.0000000Z</dcterms:created>
  <dcterms:modified xsi:type="dcterms:W3CDTF">2022-05-24T16:00:51.9092947Z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