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Pr="006617BC" w:rsidRDefault="002411DE" w:rsidP="008B6649">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6617BC">
        <w:rPr>
          <w:rFonts w:ascii="Arial" w:hAnsi="Arial" w:cs="Arial"/>
          <w:b/>
          <w:color w:val="000000" w:themeColor="text1"/>
          <w:sz w:val="16"/>
          <w:szCs w:val="16"/>
          <w:lang w:val="es-ES_tradnl" w:eastAsia="es-ES"/>
        </w:rPr>
        <w:t>CCE-DES-FM-17</w:t>
      </w:r>
      <w:bookmarkStart w:id="2" w:name="_Hlk50481752"/>
      <w:bookmarkEnd w:id="0"/>
      <w:bookmarkEnd w:id="1"/>
    </w:p>
    <w:bookmarkEnd w:id="2"/>
    <w:p w14:paraId="79B0C924" w14:textId="77777777" w:rsidR="00E803A6" w:rsidRPr="006617BC" w:rsidRDefault="00E803A6" w:rsidP="00C118DB">
      <w:pPr>
        <w:spacing w:line="276" w:lineRule="auto"/>
        <w:jc w:val="both"/>
        <w:rPr>
          <w:rFonts w:ascii="Arial" w:eastAsia="Calibri" w:hAnsi="Arial" w:cs="Arial"/>
          <w:b/>
          <w:sz w:val="22"/>
          <w:lang w:val="es-ES_tradnl"/>
        </w:rPr>
      </w:pPr>
    </w:p>
    <w:p w14:paraId="17E3F276" w14:textId="6BDFA531" w:rsidR="00993CD6" w:rsidRPr="006617BC" w:rsidRDefault="00EC2DC3" w:rsidP="00993CD6">
      <w:pPr>
        <w:tabs>
          <w:tab w:val="left" w:pos="6551"/>
        </w:tabs>
        <w:jc w:val="both"/>
        <w:rPr>
          <w:rFonts w:ascii="Arial" w:eastAsia="Calibri" w:hAnsi="Arial" w:cs="Arial"/>
          <w:b/>
          <w:color w:val="000000" w:themeColor="text1"/>
          <w:sz w:val="22"/>
          <w:lang w:val="es-ES_tradnl"/>
        </w:rPr>
      </w:pPr>
      <w:r w:rsidRPr="006617BC">
        <w:rPr>
          <w:rStyle w:val="normaltextrun"/>
          <w:rFonts w:ascii="Arial" w:hAnsi="Arial" w:cs="Arial"/>
          <w:b/>
          <w:bCs/>
          <w:color w:val="000000"/>
          <w:sz w:val="22"/>
          <w:szCs w:val="22"/>
          <w:lang w:val="es-ES"/>
        </w:rPr>
        <w:t>MÍNIMA CUANTÍA</w:t>
      </w:r>
      <w:r w:rsidRPr="006617BC">
        <w:rPr>
          <w:rStyle w:val="normaltextrun"/>
          <w:rFonts w:ascii="Arial" w:hAnsi="Arial" w:cs="Arial"/>
          <w:b/>
          <w:bCs/>
          <w:color w:val="000000"/>
          <w:sz w:val="22"/>
          <w:szCs w:val="22"/>
        </w:rPr>
        <w:t xml:space="preserve"> – Normas reglamentarias – Decreto 1082 de 2015 </w:t>
      </w:r>
    </w:p>
    <w:p w14:paraId="7DD14434" w14:textId="60328563" w:rsidR="00EC2DC3" w:rsidRPr="006617BC" w:rsidRDefault="00EC2DC3" w:rsidP="00993CD6">
      <w:pPr>
        <w:tabs>
          <w:tab w:val="left" w:pos="6551"/>
        </w:tabs>
        <w:jc w:val="both"/>
        <w:rPr>
          <w:rFonts w:ascii="Arial" w:eastAsia="Calibri" w:hAnsi="Arial" w:cs="Arial"/>
          <w:b/>
          <w:color w:val="000000" w:themeColor="text1"/>
          <w:sz w:val="22"/>
          <w:lang w:val="es-ES_tradnl"/>
        </w:rPr>
      </w:pPr>
    </w:p>
    <w:p w14:paraId="5D7EDC0A" w14:textId="77777777" w:rsidR="00E44ACD" w:rsidRPr="00E44ACD" w:rsidRDefault="00E44ACD" w:rsidP="00E44ACD">
      <w:pPr>
        <w:tabs>
          <w:tab w:val="left" w:pos="6551"/>
        </w:tabs>
        <w:jc w:val="both"/>
        <w:rPr>
          <w:rFonts w:ascii="Arial" w:eastAsia="Calibri" w:hAnsi="Arial" w:cs="Arial"/>
          <w:bCs/>
          <w:color w:val="000000" w:themeColor="text1"/>
          <w:sz w:val="20"/>
          <w:szCs w:val="20"/>
          <w:lang w:val="es-ES_tradnl"/>
        </w:rPr>
      </w:pPr>
      <w:r w:rsidRPr="00E44ACD">
        <w:rPr>
          <w:rFonts w:ascii="Arial" w:eastAsia="Calibri" w:hAnsi="Arial" w:cs="Arial"/>
          <w:color w:val="000000" w:themeColor="text1"/>
          <w:sz w:val="20"/>
          <w:szCs w:val="20"/>
          <w:lang w:val="es-ES_tradnl"/>
        </w:rPr>
        <w:t xml:space="preserve">Recientemente se expidió el Decreto 1860 del 24 de diciembre de 2021 </w:t>
      </w:r>
      <w:r w:rsidRPr="00E44ACD">
        <w:rPr>
          <w:rFonts w:ascii="Arial" w:eastAsia="Calibri" w:hAnsi="Arial" w:cs="Arial"/>
          <w:bCs/>
          <w:color w:val="000000" w:themeColor="text1"/>
          <w:sz w:val="20"/>
          <w:szCs w:val="20"/>
          <w:lang w:val="es-ES_tradnl"/>
        </w:rPr>
        <w:t>«por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el mencionado decreto se encuentra el procedimiento de mínima cuantía. De esta manera, el artículo 2 modifica la Subsección 5 de la Sección 1 del Capítulo 2 del Título 1 de la Parte 2 del Libro 2 del Decreto 1082 de 2015, que se titula «mínima cuantía», por lo que reglamenta esta modalidad de selección con fundamento en lo establecido en el artículo 30 de la Ley 2069 de 2020.</w:t>
      </w:r>
    </w:p>
    <w:p w14:paraId="0D34029B" w14:textId="77777777" w:rsidR="00EC2DC3" w:rsidRPr="006617BC" w:rsidRDefault="00EC2DC3" w:rsidP="00993CD6">
      <w:pPr>
        <w:tabs>
          <w:tab w:val="left" w:pos="6551"/>
        </w:tabs>
        <w:jc w:val="both"/>
        <w:rPr>
          <w:rFonts w:ascii="Arial" w:eastAsia="Calibri" w:hAnsi="Arial" w:cs="Arial"/>
          <w:b/>
          <w:color w:val="000000" w:themeColor="text1"/>
          <w:sz w:val="22"/>
          <w:lang w:val="es-ES_tradnl"/>
        </w:rPr>
      </w:pPr>
    </w:p>
    <w:p w14:paraId="7E297F47" w14:textId="1C492AAC" w:rsidR="00993CD6" w:rsidRPr="006617BC" w:rsidRDefault="00EC2DC3" w:rsidP="00993CD6">
      <w:pPr>
        <w:tabs>
          <w:tab w:val="left" w:pos="6551"/>
        </w:tabs>
        <w:jc w:val="both"/>
        <w:rPr>
          <w:rFonts w:ascii="Arial" w:hAnsi="Arial" w:cs="Arial"/>
          <w:b/>
          <w:bCs/>
          <w:color w:val="000000"/>
          <w:sz w:val="22"/>
          <w:szCs w:val="22"/>
          <w:lang w:val="es-ES_tradnl"/>
        </w:rPr>
      </w:pPr>
      <w:r w:rsidRPr="006617BC">
        <w:rPr>
          <w:rStyle w:val="normaltextrun"/>
          <w:rFonts w:ascii="Arial" w:hAnsi="Arial" w:cs="Arial"/>
          <w:b/>
          <w:bCs/>
          <w:color w:val="000000"/>
          <w:sz w:val="22"/>
          <w:szCs w:val="22"/>
          <w:lang w:val="es-ES"/>
        </w:rPr>
        <w:t>MÍNIMA CUANTÍA</w:t>
      </w:r>
      <w:r w:rsidRPr="006617BC">
        <w:rPr>
          <w:rStyle w:val="normaltextrun"/>
          <w:rFonts w:ascii="Arial" w:hAnsi="Arial" w:cs="Arial"/>
          <w:b/>
          <w:bCs/>
          <w:color w:val="000000"/>
          <w:sz w:val="22"/>
          <w:szCs w:val="22"/>
        </w:rPr>
        <w:t xml:space="preserve"> – Grandes almacenes – Procedimiento – Artículo </w:t>
      </w:r>
      <w:r w:rsidRPr="006617BC">
        <w:rPr>
          <w:rFonts w:ascii="Arial" w:hAnsi="Arial" w:cs="Arial"/>
          <w:b/>
          <w:bCs/>
          <w:color w:val="000000"/>
          <w:sz w:val="22"/>
          <w:szCs w:val="22"/>
          <w:lang w:val="es-ES_tradnl"/>
        </w:rPr>
        <w:t>2.2.1.2.1.5.3. del Decreto 1082 de 2015</w:t>
      </w:r>
    </w:p>
    <w:p w14:paraId="3DF6DA02" w14:textId="42164A2E" w:rsidR="00EC2DC3" w:rsidRPr="006617BC" w:rsidRDefault="00EC2DC3" w:rsidP="00993CD6">
      <w:pPr>
        <w:tabs>
          <w:tab w:val="left" w:pos="6551"/>
        </w:tabs>
        <w:jc w:val="both"/>
        <w:rPr>
          <w:rFonts w:ascii="Arial" w:hAnsi="Arial" w:cs="Arial"/>
          <w:b/>
          <w:bCs/>
          <w:color w:val="000000"/>
          <w:sz w:val="22"/>
          <w:szCs w:val="22"/>
          <w:lang w:val="es-ES_tradnl"/>
        </w:rPr>
      </w:pPr>
    </w:p>
    <w:p w14:paraId="6C289D2D" w14:textId="3EF68F07" w:rsidR="00EC2DC3" w:rsidRPr="006617BC" w:rsidRDefault="00EC2DC3" w:rsidP="00EC2DC3">
      <w:pPr>
        <w:tabs>
          <w:tab w:val="left" w:pos="6551"/>
        </w:tabs>
        <w:jc w:val="both"/>
        <w:rPr>
          <w:rFonts w:ascii="Arial" w:eastAsia="Calibri" w:hAnsi="Arial" w:cs="Arial"/>
          <w:color w:val="000000" w:themeColor="text1"/>
          <w:sz w:val="20"/>
          <w:szCs w:val="20"/>
          <w:lang w:val="es-ES_tradnl"/>
        </w:rPr>
      </w:pPr>
      <w:r w:rsidRPr="006617BC">
        <w:rPr>
          <w:rFonts w:ascii="Arial" w:eastAsia="Calibri" w:hAnsi="Arial" w:cs="Arial"/>
          <w:color w:val="000000" w:themeColor="text1"/>
          <w:sz w:val="20"/>
          <w:szCs w:val="20"/>
          <w:lang w:val="es-ES_tradnl"/>
        </w:rPr>
        <w:t xml:space="preserve">[…] las reglas de este procedimiento especial se pueden sintetizar así:  i) Las entidades deberán elaborar la invitación de la mínima cuantía dirigida a los grandes almacenes, la cual debe publicarse en el SECOP y en la página web de la entidad. […]. </w:t>
      </w:r>
      <w:proofErr w:type="spellStart"/>
      <w:r w:rsidRPr="006617BC">
        <w:rPr>
          <w:rFonts w:ascii="Arial" w:eastAsia="Calibri" w:hAnsi="Arial" w:cs="Arial"/>
          <w:color w:val="000000" w:themeColor="text1"/>
          <w:sz w:val="20"/>
          <w:szCs w:val="20"/>
          <w:lang w:val="es-ES_tradnl"/>
        </w:rPr>
        <w:t>ii</w:t>
      </w:r>
      <w:proofErr w:type="spellEnd"/>
      <w:r w:rsidRPr="006617BC">
        <w:rPr>
          <w:rFonts w:ascii="Arial" w:eastAsia="Calibri" w:hAnsi="Arial" w:cs="Arial"/>
          <w:color w:val="000000" w:themeColor="text1"/>
          <w:sz w:val="20"/>
          <w:szCs w:val="20"/>
          <w:lang w:val="es-ES_tradnl"/>
        </w:rPr>
        <w:t xml:space="preserve">) En esta invitación se debe incorporar el conjunto de reglas que definen el proceso de contratación. […]. </w:t>
      </w:r>
      <w:proofErr w:type="spellStart"/>
      <w:r w:rsidRPr="006617BC">
        <w:rPr>
          <w:rFonts w:ascii="Arial" w:eastAsia="Calibri" w:hAnsi="Arial" w:cs="Arial"/>
          <w:color w:val="000000" w:themeColor="text1"/>
          <w:sz w:val="20"/>
          <w:szCs w:val="20"/>
          <w:lang w:val="es-ES_tradnl"/>
        </w:rPr>
        <w:t>iii</w:t>
      </w:r>
      <w:proofErr w:type="spellEnd"/>
      <w:r w:rsidRPr="006617BC">
        <w:rPr>
          <w:rFonts w:ascii="Arial" w:eastAsia="Calibri" w:hAnsi="Arial" w:cs="Arial"/>
          <w:color w:val="000000" w:themeColor="text1"/>
          <w:sz w:val="20"/>
          <w:szCs w:val="20"/>
          <w:lang w:val="es-ES_tradnl"/>
        </w:rPr>
        <w:t xml:space="preserve">) Las cotizaciones presentadas por los grandes almacenes deberán ser evaluadas por la entidad, seleccionando a aquella que ofrezca el menor precio del mercado. En este caso, el criterio para escoger la mejor oferta es el menor precio teniendo en cuenta el cumplimiento de las condiciones requeridas. </w:t>
      </w:r>
      <w:proofErr w:type="spellStart"/>
      <w:r w:rsidRPr="006617BC">
        <w:rPr>
          <w:rFonts w:ascii="Arial" w:eastAsia="Calibri" w:hAnsi="Arial" w:cs="Arial"/>
          <w:color w:val="000000" w:themeColor="text1"/>
          <w:sz w:val="20"/>
          <w:szCs w:val="20"/>
          <w:lang w:val="es-ES_tradnl"/>
        </w:rPr>
        <w:t>iv</w:t>
      </w:r>
      <w:proofErr w:type="spellEnd"/>
      <w:r w:rsidRPr="006617BC">
        <w:rPr>
          <w:rFonts w:ascii="Arial" w:eastAsia="Calibri" w:hAnsi="Arial" w:cs="Arial"/>
          <w:color w:val="000000" w:themeColor="text1"/>
          <w:sz w:val="20"/>
          <w:szCs w:val="20"/>
          <w:lang w:val="es-ES_tradnl"/>
        </w:rPr>
        <w:t>) En caso de empate deberá aplicarse los criterios de desempates establecidos en el artículo 2.2.1.2.4.2.17 del Decreto 1082 de 2015. Esta disposición se ajusta a la nueva regulación de criterios de desempate establecida en el artículo 35 de la Ley 2069 de 2020.</w:t>
      </w:r>
    </w:p>
    <w:p w14:paraId="4DC6A3D7" w14:textId="77777777" w:rsidR="00EC2DC3" w:rsidRPr="006617BC" w:rsidRDefault="00EC2DC3" w:rsidP="00993CD6">
      <w:pPr>
        <w:tabs>
          <w:tab w:val="left" w:pos="6551"/>
        </w:tabs>
        <w:jc w:val="both"/>
        <w:rPr>
          <w:rFonts w:ascii="Arial" w:eastAsia="Calibri" w:hAnsi="Arial" w:cs="Arial"/>
          <w:b/>
          <w:color w:val="000000" w:themeColor="text1"/>
          <w:sz w:val="22"/>
          <w:lang w:val="es-ES_tradnl"/>
        </w:rPr>
      </w:pPr>
    </w:p>
    <w:p w14:paraId="1904B6E3" w14:textId="29B9034B" w:rsidR="00993CD6" w:rsidRPr="006617BC" w:rsidRDefault="00EC2DC3" w:rsidP="00993CD6">
      <w:pPr>
        <w:tabs>
          <w:tab w:val="left" w:pos="6551"/>
        </w:tabs>
        <w:jc w:val="both"/>
        <w:rPr>
          <w:rFonts w:ascii="Arial" w:eastAsia="Calibri" w:hAnsi="Arial" w:cs="Arial"/>
          <w:b/>
          <w:color w:val="000000" w:themeColor="text1"/>
          <w:sz w:val="22"/>
          <w:lang w:val="es-ES_tradnl"/>
        </w:rPr>
      </w:pPr>
      <w:r w:rsidRPr="006617BC">
        <w:rPr>
          <w:rFonts w:ascii="Arial" w:eastAsia="Calibri" w:hAnsi="Arial" w:cs="Arial"/>
          <w:b/>
          <w:color w:val="000000" w:themeColor="text1"/>
          <w:sz w:val="22"/>
          <w:lang w:val="es-ES_tradnl"/>
        </w:rPr>
        <w:t xml:space="preserve">INVITACIÓN PÚBLICA </w:t>
      </w:r>
      <w:r w:rsidRPr="006617BC">
        <w:rPr>
          <w:rStyle w:val="normaltextrun"/>
          <w:rFonts w:ascii="Arial" w:hAnsi="Arial" w:cs="Arial"/>
          <w:b/>
          <w:bCs/>
          <w:color w:val="000000"/>
          <w:sz w:val="22"/>
          <w:szCs w:val="22"/>
        </w:rPr>
        <w:t xml:space="preserve">– Aviso de convocatoria </w:t>
      </w:r>
      <w:r w:rsidR="00993CD6" w:rsidRPr="006617BC">
        <w:rPr>
          <w:rFonts w:ascii="Arial" w:eastAsia="Calibri" w:hAnsi="Arial" w:cs="Arial"/>
          <w:b/>
          <w:color w:val="000000" w:themeColor="text1"/>
          <w:sz w:val="22"/>
          <w:lang w:val="es-ES_tradnl"/>
        </w:rPr>
        <w:t xml:space="preserve">– </w:t>
      </w:r>
      <w:r w:rsidR="008D1519" w:rsidRPr="006617BC">
        <w:rPr>
          <w:rFonts w:ascii="Arial" w:eastAsia="Calibri" w:hAnsi="Arial" w:cs="Arial"/>
          <w:b/>
          <w:color w:val="000000" w:themeColor="text1"/>
          <w:sz w:val="22"/>
          <w:lang w:val="es-ES_tradnl"/>
        </w:rPr>
        <w:t>Diferencias</w:t>
      </w:r>
      <w:r w:rsidR="00993CD6" w:rsidRPr="006617BC">
        <w:rPr>
          <w:rFonts w:ascii="Arial" w:eastAsia="Calibri" w:hAnsi="Arial" w:cs="Arial"/>
          <w:b/>
          <w:color w:val="000000" w:themeColor="text1"/>
          <w:sz w:val="22"/>
          <w:lang w:val="es-ES_tradnl"/>
        </w:rPr>
        <w:t xml:space="preserve"> </w:t>
      </w:r>
    </w:p>
    <w:p w14:paraId="64E8F21D" w14:textId="77777777" w:rsidR="00993CD6" w:rsidRPr="006617BC" w:rsidRDefault="00993CD6" w:rsidP="00993CD6">
      <w:pPr>
        <w:tabs>
          <w:tab w:val="left" w:pos="6551"/>
        </w:tabs>
        <w:spacing w:line="276" w:lineRule="auto"/>
        <w:jc w:val="both"/>
        <w:rPr>
          <w:rFonts w:ascii="Arial" w:hAnsi="Arial" w:cs="Arial"/>
          <w:noProof/>
          <w:color w:val="000000" w:themeColor="text1"/>
          <w:sz w:val="22"/>
          <w:lang w:val="es-ES_tradnl"/>
        </w:rPr>
      </w:pPr>
    </w:p>
    <w:p w14:paraId="49586A02" w14:textId="3FE6D6A5" w:rsidR="008D1519" w:rsidRPr="006617BC" w:rsidRDefault="00E44ACD" w:rsidP="008D1519">
      <w:pPr>
        <w:tabs>
          <w:tab w:val="left" w:pos="6551"/>
        </w:tabs>
        <w:jc w:val="both"/>
        <w:rPr>
          <w:rFonts w:ascii="Arial" w:eastAsia="Calibri" w:hAnsi="Arial" w:cs="Arial"/>
          <w:color w:val="000000" w:themeColor="text1"/>
          <w:sz w:val="20"/>
          <w:szCs w:val="20"/>
        </w:rPr>
      </w:pPr>
      <w:r w:rsidRPr="006617BC">
        <w:rPr>
          <w:rFonts w:ascii="Arial" w:eastAsia="Calibri" w:hAnsi="Arial" w:cs="Arial"/>
          <w:color w:val="000000" w:themeColor="text1"/>
          <w:sz w:val="20"/>
          <w:szCs w:val="20"/>
        </w:rPr>
        <w:t xml:space="preserve">En este sentido, atendiendo a la consulta planteada, no puede equipararse la invitación pública del proceso de mínima cuantía con el aviso de convocatoria, pues se trata de dos figuras distintas. </w:t>
      </w:r>
      <w:r w:rsidRPr="006617BC">
        <w:rPr>
          <w:rFonts w:ascii="Arial" w:eastAsia="Calibri" w:hAnsi="Arial" w:cs="Arial"/>
          <w:i/>
          <w:iCs/>
          <w:color w:val="000000" w:themeColor="text1"/>
          <w:sz w:val="20"/>
          <w:szCs w:val="20"/>
        </w:rPr>
        <w:t>En primer lugar,</w:t>
      </w:r>
      <w:r w:rsidRPr="006617BC">
        <w:rPr>
          <w:rFonts w:ascii="Arial" w:eastAsia="Calibri" w:hAnsi="Arial" w:cs="Arial"/>
          <w:color w:val="000000" w:themeColor="text1"/>
          <w:sz w:val="20"/>
          <w:szCs w:val="20"/>
        </w:rPr>
        <w:t xml:space="preserve"> la invitación pública, como se explicó, es equivalente al pliego de condiciones, mientras que el aviso de convocatoria es un documento que expide la entidad estatal con fundamento en el principio de publicidad, diferente del pliego de condiciones, cuyo propósito es hacer público el proceso de contratación y promover la participación de los interesados.</w:t>
      </w:r>
      <w:r w:rsidR="006617BC" w:rsidRPr="006617BC">
        <w:rPr>
          <w:rFonts w:ascii="Arial" w:eastAsia="Calibri" w:hAnsi="Arial" w:cs="Arial"/>
          <w:color w:val="000000" w:themeColor="text1"/>
          <w:sz w:val="20"/>
          <w:szCs w:val="20"/>
        </w:rPr>
        <w:t xml:space="preserve"> […] </w:t>
      </w:r>
      <w:r w:rsidRPr="006617BC">
        <w:rPr>
          <w:rFonts w:ascii="Arial" w:eastAsia="Calibri" w:hAnsi="Arial" w:cs="Arial"/>
          <w:color w:val="000000" w:themeColor="text1"/>
          <w:sz w:val="20"/>
          <w:szCs w:val="20"/>
        </w:rPr>
        <w:t xml:space="preserve"> </w:t>
      </w:r>
      <w:r w:rsidR="006617BC" w:rsidRPr="006617BC">
        <w:rPr>
          <w:rFonts w:ascii="Arial" w:eastAsia="Calibri" w:hAnsi="Arial" w:cs="Arial"/>
          <w:i/>
          <w:iCs/>
          <w:color w:val="000000" w:themeColor="text1"/>
          <w:sz w:val="20"/>
          <w:szCs w:val="20"/>
        </w:rPr>
        <w:t>En segundo lugar</w:t>
      </w:r>
      <w:r w:rsidR="006617BC" w:rsidRPr="006617BC">
        <w:rPr>
          <w:rFonts w:ascii="Arial" w:eastAsia="Calibri" w:hAnsi="Arial" w:cs="Arial"/>
          <w:color w:val="000000" w:themeColor="text1"/>
          <w:sz w:val="20"/>
          <w:szCs w:val="20"/>
        </w:rPr>
        <w:t xml:space="preserve">, el contenido de la información que debe contemplar la invitación y el aviso de convocatoria tienen sustento en diferentes normas jurídicas. […] </w:t>
      </w:r>
      <w:r w:rsidR="006617BC" w:rsidRPr="006617BC">
        <w:rPr>
          <w:rFonts w:ascii="Arial" w:eastAsia="Calibri" w:hAnsi="Arial" w:cs="Arial"/>
          <w:i/>
          <w:iCs/>
          <w:color w:val="000000" w:themeColor="text1"/>
          <w:sz w:val="20"/>
          <w:szCs w:val="20"/>
        </w:rPr>
        <w:t>Por último,</w:t>
      </w:r>
      <w:r w:rsidR="006617BC" w:rsidRPr="006617BC">
        <w:rPr>
          <w:rFonts w:ascii="Arial" w:eastAsia="Calibri" w:hAnsi="Arial" w:cs="Arial"/>
          <w:color w:val="000000" w:themeColor="text1"/>
          <w:sz w:val="20"/>
          <w:szCs w:val="20"/>
        </w:rPr>
        <w:t xml:space="preserve"> </w:t>
      </w:r>
      <w:r w:rsidR="006617BC" w:rsidRPr="006617BC">
        <w:rPr>
          <w:rFonts w:ascii="Arial" w:eastAsia="Calibri" w:hAnsi="Arial" w:cs="Arial"/>
          <w:bCs/>
          <w:color w:val="000000" w:themeColor="text1"/>
          <w:sz w:val="20"/>
          <w:szCs w:val="20"/>
          <w:lang w:val="es-ES_tradnl"/>
        </w:rPr>
        <w:t xml:space="preserve">el inciso final del </w:t>
      </w:r>
      <w:r w:rsidR="006617BC" w:rsidRPr="006617BC">
        <w:rPr>
          <w:rFonts w:ascii="Arial" w:eastAsia="Calibri" w:hAnsi="Arial" w:cs="Arial"/>
          <w:color w:val="000000" w:themeColor="text1"/>
          <w:sz w:val="20"/>
          <w:szCs w:val="20"/>
        </w:rPr>
        <w:t xml:space="preserve">artículo 2.2.1.1.2.1.2 del Decreto 1082 de 2015 excluye expresamente al proceso de mínima cuantía de la expedición del aviso de convocatoria al señalar que </w:t>
      </w:r>
      <w:r w:rsidR="006617BC" w:rsidRPr="006617BC">
        <w:rPr>
          <w:rFonts w:ascii="Arial" w:eastAsia="Calibri" w:hAnsi="Arial" w:cs="Arial"/>
          <w:bCs/>
          <w:color w:val="000000" w:themeColor="text1"/>
          <w:sz w:val="20"/>
          <w:szCs w:val="20"/>
          <w:lang w:val="es-ES_tradnl"/>
        </w:rPr>
        <w:t>«</w:t>
      </w:r>
      <w:r w:rsidR="006617BC" w:rsidRPr="006617BC">
        <w:rPr>
          <w:rFonts w:ascii="Arial" w:eastAsia="Calibri" w:hAnsi="Arial" w:cs="Arial"/>
          <w:color w:val="000000" w:themeColor="text1"/>
          <w:sz w:val="20"/>
          <w:szCs w:val="20"/>
        </w:rPr>
        <w:t xml:space="preserve">En los Procesos de Contratación adelantados bajo las modalidades de selección de </w:t>
      </w:r>
      <w:r w:rsidR="006617BC" w:rsidRPr="006617BC">
        <w:rPr>
          <w:rFonts w:ascii="Arial" w:eastAsia="Calibri" w:hAnsi="Arial" w:cs="Arial"/>
          <w:i/>
          <w:iCs/>
          <w:color w:val="000000" w:themeColor="text1"/>
          <w:sz w:val="20"/>
          <w:szCs w:val="20"/>
        </w:rPr>
        <w:t>mí</w:t>
      </w:r>
      <w:r w:rsidR="006617BC" w:rsidRPr="006617BC">
        <w:rPr>
          <w:rFonts w:ascii="Arial" w:eastAsia="Calibri" w:hAnsi="Arial" w:cs="Arial"/>
          <w:i/>
          <w:iCs/>
          <w:color w:val="000000" w:themeColor="text1"/>
          <w:sz w:val="20"/>
          <w:szCs w:val="20"/>
        </w:rPr>
        <w:softHyphen/>
        <w:t>nima cuantía</w:t>
      </w:r>
      <w:r w:rsidR="006617BC" w:rsidRPr="006617BC">
        <w:rPr>
          <w:rFonts w:ascii="Arial" w:eastAsia="Calibri" w:hAnsi="Arial" w:cs="Arial"/>
          <w:color w:val="000000" w:themeColor="text1"/>
          <w:sz w:val="20"/>
          <w:szCs w:val="20"/>
        </w:rPr>
        <w:t xml:space="preserve"> y contratación directa, no es necesaria la expedición y publicación del aviso de convocatoria en el SECOP</w:t>
      </w:r>
      <w:r w:rsidR="006617BC" w:rsidRPr="006617BC">
        <w:rPr>
          <w:rFonts w:ascii="Arial" w:eastAsia="Calibri" w:hAnsi="Arial" w:cs="Arial"/>
          <w:bCs/>
          <w:color w:val="000000" w:themeColor="text1"/>
          <w:sz w:val="20"/>
          <w:szCs w:val="20"/>
          <w:lang w:val="es-ES_tradnl"/>
        </w:rPr>
        <w:t>»</w:t>
      </w:r>
      <w:r w:rsidR="006617BC" w:rsidRPr="006617BC">
        <w:rPr>
          <w:rFonts w:ascii="Arial" w:eastAsia="Calibri" w:hAnsi="Arial" w:cs="Arial"/>
          <w:color w:val="000000" w:themeColor="text1"/>
          <w:sz w:val="20"/>
          <w:szCs w:val="20"/>
        </w:rPr>
        <w:t xml:space="preserve"> (Énfasis por fuera de texto). De ahí se deprende claramente que la invitación prevista para la mínima cuantía es distinta del aviso de convocatoria contemplado en la norma señalada</w:t>
      </w:r>
      <w:r w:rsidR="008D1519" w:rsidRPr="006617BC">
        <w:rPr>
          <w:rFonts w:ascii="Arial" w:eastAsia="Calibri" w:hAnsi="Arial" w:cs="Arial"/>
          <w:color w:val="000000" w:themeColor="text1"/>
          <w:sz w:val="20"/>
          <w:szCs w:val="20"/>
        </w:rPr>
        <w:t xml:space="preserve">. </w:t>
      </w:r>
    </w:p>
    <w:p w14:paraId="3B5B4232" w14:textId="77777777" w:rsidR="00993CD6" w:rsidRPr="006617BC" w:rsidRDefault="00993CD6" w:rsidP="00993CD6">
      <w:pPr>
        <w:tabs>
          <w:tab w:val="left" w:pos="6551"/>
        </w:tabs>
        <w:jc w:val="both"/>
        <w:rPr>
          <w:rFonts w:ascii="Arial" w:eastAsia="Calibri" w:hAnsi="Arial" w:cs="Arial"/>
          <w:b/>
          <w:color w:val="000000" w:themeColor="text1"/>
          <w:sz w:val="22"/>
          <w:lang w:val="es-ES_tradnl"/>
        </w:rPr>
      </w:pPr>
    </w:p>
    <w:p w14:paraId="0BF490FA" w14:textId="2412EE31" w:rsidR="008D1519" w:rsidRPr="006617BC" w:rsidRDefault="008D1519" w:rsidP="008D1519">
      <w:pPr>
        <w:jc w:val="both"/>
        <w:rPr>
          <w:rFonts w:ascii="Arial" w:eastAsia="Calibri" w:hAnsi="Arial" w:cs="Arial"/>
          <w:b/>
          <w:sz w:val="22"/>
          <w:szCs w:val="22"/>
          <w:lang w:eastAsia="en-US"/>
        </w:rPr>
      </w:pPr>
      <w:r w:rsidRPr="006617BC">
        <w:rPr>
          <w:rFonts w:ascii="Arial" w:eastAsia="Calibri" w:hAnsi="Arial" w:cs="Arial"/>
          <w:b/>
          <w:sz w:val="22"/>
          <w:szCs w:val="22"/>
          <w:lang w:eastAsia="en-US"/>
        </w:rPr>
        <w:t xml:space="preserve">SECOP – Tienda virtual del Estado colombiano – Plataforma transaccional </w:t>
      </w:r>
    </w:p>
    <w:p w14:paraId="05489E47" w14:textId="4DECC06A" w:rsidR="008D1519" w:rsidRPr="006617BC" w:rsidRDefault="008D1519" w:rsidP="008D1519">
      <w:pPr>
        <w:jc w:val="both"/>
        <w:rPr>
          <w:rFonts w:ascii="Arial" w:eastAsia="Calibri" w:hAnsi="Arial" w:cs="Arial"/>
          <w:b/>
          <w:sz w:val="22"/>
          <w:szCs w:val="22"/>
          <w:lang w:eastAsia="en-US"/>
        </w:rPr>
      </w:pPr>
    </w:p>
    <w:p w14:paraId="0086EE42" w14:textId="50841091" w:rsidR="008D1519" w:rsidRPr="006617BC" w:rsidRDefault="008D1519" w:rsidP="008D1519">
      <w:pPr>
        <w:jc w:val="both"/>
        <w:rPr>
          <w:rFonts w:ascii="Arial" w:eastAsia="Calibri" w:hAnsi="Arial" w:cs="Arial"/>
          <w:sz w:val="20"/>
          <w:szCs w:val="20"/>
          <w:lang w:eastAsia="en-US"/>
        </w:rPr>
      </w:pPr>
      <w:r w:rsidRPr="006617BC">
        <w:rPr>
          <w:rFonts w:ascii="Arial" w:eastAsia="Calibri" w:hAnsi="Arial" w:cs="Arial"/>
          <w:iCs/>
          <w:sz w:val="20"/>
          <w:szCs w:val="20"/>
          <w:lang w:eastAsia="en-US"/>
        </w:rPr>
        <w:t xml:space="preserve">[…] la tienda virtual de Estado Colombiano […] </w:t>
      </w:r>
      <w:r w:rsidR="006617BC" w:rsidRPr="006617BC">
        <w:rPr>
          <w:rFonts w:ascii="Arial" w:eastAsia="Calibri" w:hAnsi="Arial" w:cs="Arial"/>
          <w:bCs/>
          <w:iCs/>
          <w:sz w:val="20"/>
          <w:szCs w:val="20"/>
          <w:lang w:val="es-ES_tradnl" w:eastAsia="en-US"/>
        </w:rPr>
        <w:t xml:space="preserve">una plataforma de comercio electrónico diseñada para </w:t>
      </w:r>
      <w:r w:rsidR="006617BC" w:rsidRPr="006617BC">
        <w:rPr>
          <w:rFonts w:ascii="Arial" w:eastAsia="Calibri" w:hAnsi="Arial" w:cs="Arial"/>
          <w:iCs/>
          <w:sz w:val="20"/>
          <w:szCs w:val="20"/>
          <w:lang w:val="es-MX" w:eastAsia="en-US"/>
        </w:rPr>
        <w:t xml:space="preserve">la adquisición de bienes y servicios a través de los acuerdos marco de precios o al amparo de </w:t>
      </w:r>
      <w:r w:rsidR="006617BC" w:rsidRPr="006617BC">
        <w:rPr>
          <w:rFonts w:ascii="Arial" w:eastAsia="Calibri" w:hAnsi="Arial" w:cs="Arial"/>
          <w:iCs/>
          <w:sz w:val="20"/>
          <w:szCs w:val="20"/>
          <w:lang w:val="es-MX" w:eastAsia="en-US"/>
        </w:rPr>
        <w:lastRenderedPageBreak/>
        <w:t xml:space="preserve">instrumentos de agregación de demanda, así como bienes en la modalidad de mínima cuantía en grandes superficies. De hecho, mientras el primer ítem la convierte en un mecanismo de operación secundaria de los acuerdos marco de precios y demás instrumentos de agregación de demanda diseñados por Colombia Compra Eficiente, el segundo hace que la misma sea un mecanismo expedito para adelantar el procedimiento del artículo 2.2.1.2.1.5.3 del Decreto 1082 de 2015. Al igual que el SECOP II, la tienda virtual </w:t>
      </w:r>
      <w:r w:rsidR="006617BC" w:rsidRPr="006617BC">
        <w:rPr>
          <w:rFonts w:ascii="Arial" w:eastAsia="Calibri" w:hAnsi="Arial" w:cs="Arial"/>
          <w:bCs/>
          <w:iCs/>
          <w:sz w:val="20"/>
          <w:szCs w:val="20"/>
          <w:lang w:val="es-ES_tradnl" w:eastAsia="en-US"/>
        </w:rPr>
        <w:t>genera contratos en línea firmados electrónicamente, lo cual no significa estos no cumplan con el fin de transparencia d</w:t>
      </w:r>
      <w:r w:rsidR="006617BC" w:rsidRPr="006617BC">
        <w:rPr>
          <w:rFonts w:ascii="Arial" w:eastAsia="Calibri" w:hAnsi="Arial" w:cs="Arial"/>
          <w:iCs/>
          <w:sz w:val="20"/>
          <w:szCs w:val="20"/>
          <w:lang w:val="es-ES_tradnl" w:eastAsia="en-US"/>
        </w:rPr>
        <w:t>el artículo 3 de la Ley 1150 de 2007. Todo lo contrario, fortalecen el principio de publicidad, dado que las transacciones se actualizan y realizan permanentemente en el sistema.</w:t>
      </w:r>
    </w:p>
    <w:p w14:paraId="64EAEE68" w14:textId="77777777" w:rsidR="008D1519" w:rsidRPr="006617BC" w:rsidRDefault="008D1519" w:rsidP="008D1519">
      <w:pPr>
        <w:jc w:val="both"/>
        <w:rPr>
          <w:rFonts w:ascii="Arial" w:eastAsia="Calibri" w:hAnsi="Arial" w:cs="Arial"/>
          <w:sz w:val="20"/>
          <w:szCs w:val="20"/>
          <w:lang w:eastAsia="en-US"/>
        </w:rPr>
      </w:pPr>
    </w:p>
    <w:p w14:paraId="3ED1C819" w14:textId="51CF3349" w:rsidR="00434270" w:rsidRDefault="00434270" w:rsidP="00434270">
      <w:pPr>
        <w:jc w:val="both"/>
        <w:rPr>
          <w:rFonts w:ascii="Arial" w:eastAsia="Calibri" w:hAnsi="Arial" w:cs="Arial"/>
          <w:iCs/>
          <w:sz w:val="20"/>
          <w:szCs w:val="20"/>
          <w:lang w:eastAsia="en-US"/>
        </w:rPr>
      </w:pPr>
      <w:r w:rsidRPr="00434270">
        <w:rPr>
          <w:rFonts w:ascii="Arial" w:eastAsia="Calibri" w:hAnsi="Arial" w:cs="Arial"/>
          <w:bCs/>
          <w:iCs/>
          <w:sz w:val="20"/>
          <w:szCs w:val="20"/>
          <w:lang w:val="es-ES_tradnl" w:eastAsia="en-US"/>
        </w:rPr>
        <w:t xml:space="preserve">Lo anterior se explica en la Circular </w:t>
      </w:r>
      <w:r w:rsidRPr="00434270">
        <w:rPr>
          <w:rFonts w:ascii="Arial" w:eastAsia="Calibri" w:hAnsi="Arial" w:cs="Arial"/>
          <w:iCs/>
          <w:sz w:val="20"/>
          <w:szCs w:val="20"/>
          <w:lang w:eastAsia="en-US"/>
        </w:rPr>
        <w:t xml:space="preserve">Externa Única de la Agencia Nacional de Contratación Pública – Colombia Compra Eficiente. Al respecto, el numeral 1.3 señala que en </w:t>
      </w:r>
      <w:r w:rsidRPr="00434270">
        <w:rPr>
          <w:rFonts w:ascii="Arial" w:eastAsia="Calibri" w:hAnsi="Arial" w:cs="Arial"/>
          <w:bCs/>
          <w:iCs/>
          <w:sz w:val="20"/>
          <w:szCs w:val="20"/>
          <w:lang w:val="es-ES_tradnl" w:eastAsia="en-US"/>
        </w:rPr>
        <w:t xml:space="preserve">la tienda virtual de Estado Colombiano </w:t>
      </w:r>
      <w:r w:rsidRPr="00434270">
        <w:rPr>
          <w:rFonts w:ascii="Arial" w:eastAsia="Calibri" w:hAnsi="Arial" w:cs="Arial"/>
          <w:iCs/>
          <w:sz w:val="20"/>
          <w:szCs w:val="20"/>
          <w:lang w:eastAsia="en-US"/>
        </w:rPr>
        <w:t>las entidades compradoras hacen las transacciones de los procesos de contratación para adquirir: (i) bienes y servicios a través de los Acuerdos Marco de Precios; (</w:t>
      </w:r>
      <w:proofErr w:type="spellStart"/>
      <w:r w:rsidRPr="00434270">
        <w:rPr>
          <w:rFonts w:ascii="Arial" w:eastAsia="Calibri" w:hAnsi="Arial" w:cs="Arial"/>
          <w:iCs/>
          <w:sz w:val="20"/>
          <w:szCs w:val="20"/>
          <w:lang w:eastAsia="en-US"/>
        </w:rPr>
        <w:t>ii</w:t>
      </w:r>
      <w:proofErr w:type="spellEnd"/>
      <w:r w:rsidRPr="00434270">
        <w:rPr>
          <w:rFonts w:ascii="Arial" w:eastAsia="Calibri" w:hAnsi="Arial" w:cs="Arial"/>
          <w:iCs/>
          <w:sz w:val="20"/>
          <w:szCs w:val="20"/>
          <w:lang w:eastAsia="en-US"/>
        </w:rPr>
        <w:t>) bienes y servicios al amparo de Contratos de Agregación de Demanda; y (</w:t>
      </w:r>
      <w:proofErr w:type="spellStart"/>
      <w:r w:rsidRPr="00434270">
        <w:rPr>
          <w:rFonts w:ascii="Arial" w:eastAsia="Calibri" w:hAnsi="Arial" w:cs="Arial"/>
          <w:iCs/>
          <w:sz w:val="20"/>
          <w:szCs w:val="20"/>
          <w:lang w:eastAsia="en-US"/>
        </w:rPr>
        <w:t>iii</w:t>
      </w:r>
      <w:proofErr w:type="spellEnd"/>
      <w:r w:rsidRPr="00434270">
        <w:rPr>
          <w:rFonts w:ascii="Arial" w:eastAsia="Calibri" w:hAnsi="Arial" w:cs="Arial"/>
          <w:iCs/>
          <w:sz w:val="20"/>
          <w:szCs w:val="20"/>
          <w:lang w:eastAsia="en-US"/>
        </w:rPr>
        <w:t xml:space="preserve">) bienes en la modalidad de Mínima Cuantía en Grandes Superficies. Asimismo, el numeral 1.4 indica que las entidades deben publicar la información de sus procesos de contratación en una sola de las plataformas electrónicas del SECOP. De esta manera, los procesos de contratación derivados de los acuerdos marco de precios o instrumentos de agregación de demanda deben adelantarse en la Tienda Virtual del Estado Colombiano y no se requiere publicarlos en otras plataformas. Por ello, la publicación que se realice en la Tienda Virtual del Estado Colombiano no debe ser publicado en ninguna otra plataforma del SECOP, pues esto generaría duplicidad de información.  </w:t>
      </w:r>
    </w:p>
    <w:p w14:paraId="2B6BA614" w14:textId="23C8FFC6" w:rsidR="00E803A6" w:rsidRPr="006617BC" w:rsidRDefault="00E803A6" w:rsidP="00C118DB">
      <w:pPr>
        <w:spacing w:line="276" w:lineRule="auto"/>
        <w:jc w:val="both"/>
        <w:rPr>
          <w:rFonts w:ascii="Arial" w:eastAsia="Calibri" w:hAnsi="Arial" w:cs="Arial"/>
          <w:b/>
          <w:color w:val="000000" w:themeColor="text1"/>
          <w:sz w:val="22"/>
          <w:lang w:val="es-ES_tradnl"/>
        </w:rPr>
      </w:pPr>
    </w:p>
    <w:p w14:paraId="7109094C" w14:textId="02B6958F" w:rsidR="008D1519" w:rsidRPr="006617BC" w:rsidRDefault="008D1519" w:rsidP="00C118DB">
      <w:pPr>
        <w:spacing w:line="276" w:lineRule="auto"/>
        <w:jc w:val="both"/>
        <w:rPr>
          <w:rFonts w:ascii="Arial" w:eastAsia="Calibri" w:hAnsi="Arial" w:cs="Arial"/>
          <w:b/>
          <w:color w:val="000000" w:themeColor="text1"/>
          <w:sz w:val="22"/>
          <w:lang w:val="es-ES_tradnl"/>
        </w:rPr>
      </w:pPr>
    </w:p>
    <w:p w14:paraId="3194469F" w14:textId="20661A08" w:rsidR="008D1519" w:rsidRPr="006617BC" w:rsidRDefault="008D1519" w:rsidP="00C118DB">
      <w:pPr>
        <w:spacing w:line="276" w:lineRule="auto"/>
        <w:jc w:val="both"/>
        <w:rPr>
          <w:rFonts w:ascii="Arial" w:eastAsia="Calibri" w:hAnsi="Arial" w:cs="Arial"/>
          <w:b/>
          <w:color w:val="000000" w:themeColor="text1"/>
          <w:sz w:val="22"/>
          <w:lang w:val="es-ES_tradnl"/>
        </w:rPr>
      </w:pPr>
    </w:p>
    <w:p w14:paraId="08016E57" w14:textId="39F2B362" w:rsidR="008D1519" w:rsidRPr="006617BC" w:rsidRDefault="008D1519" w:rsidP="00C118DB">
      <w:pPr>
        <w:spacing w:line="276" w:lineRule="auto"/>
        <w:jc w:val="both"/>
        <w:rPr>
          <w:rFonts w:ascii="Arial" w:eastAsia="Calibri" w:hAnsi="Arial" w:cs="Arial"/>
          <w:b/>
          <w:color w:val="000000" w:themeColor="text1"/>
          <w:sz w:val="22"/>
          <w:lang w:val="es-ES_tradnl"/>
        </w:rPr>
      </w:pPr>
    </w:p>
    <w:p w14:paraId="2ED87DC9" w14:textId="425E50ED" w:rsidR="008D1519" w:rsidRPr="006617BC" w:rsidRDefault="008D1519" w:rsidP="00C118DB">
      <w:pPr>
        <w:spacing w:line="276" w:lineRule="auto"/>
        <w:jc w:val="both"/>
        <w:rPr>
          <w:rFonts w:ascii="Arial" w:eastAsia="Calibri" w:hAnsi="Arial" w:cs="Arial"/>
          <w:b/>
          <w:color w:val="000000" w:themeColor="text1"/>
          <w:sz w:val="22"/>
          <w:lang w:val="es-ES_tradnl"/>
        </w:rPr>
      </w:pPr>
    </w:p>
    <w:p w14:paraId="375363D2" w14:textId="15295352" w:rsidR="008D1519" w:rsidRPr="006617BC" w:rsidRDefault="008D1519" w:rsidP="00C118DB">
      <w:pPr>
        <w:spacing w:line="276" w:lineRule="auto"/>
        <w:jc w:val="both"/>
        <w:rPr>
          <w:rFonts w:ascii="Arial" w:eastAsia="Calibri" w:hAnsi="Arial" w:cs="Arial"/>
          <w:b/>
          <w:color w:val="000000" w:themeColor="text1"/>
          <w:sz w:val="22"/>
          <w:lang w:val="es-ES_tradnl"/>
        </w:rPr>
      </w:pPr>
    </w:p>
    <w:p w14:paraId="6D6E3712" w14:textId="384395EA" w:rsidR="008D1519" w:rsidRPr="006617BC" w:rsidRDefault="008D1519" w:rsidP="00C118DB">
      <w:pPr>
        <w:spacing w:line="276" w:lineRule="auto"/>
        <w:jc w:val="both"/>
        <w:rPr>
          <w:rFonts w:ascii="Arial" w:eastAsia="Calibri" w:hAnsi="Arial" w:cs="Arial"/>
          <w:b/>
          <w:color w:val="000000" w:themeColor="text1"/>
          <w:sz w:val="22"/>
          <w:lang w:val="es-ES_tradnl"/>
        </w:rPr>
      </w:pPr>
    </w:p>
    <w:p w14:paraId="13DB0CE6" w14:textId="558A93B1" w:rsidR="008D1519" w:rsidRPr="006617BC" w:rsidRDefault="008D1519" w:rsidP="00C118DB">
      <w:pPr>
        <w:spacing w:line="276" w:lineRule="auto"/>
        <w:jc w:val="both"/>
        <w:rPr>
          <w:rFonts w:ascii="Arial" w:eastAsia="Calibri" w:hAnsi="Arial" w:cs="Arial"/>
          <w:b/>
          <w:color w:val="000000" w:themeColor="text1"/>
          <w:sz w:val="22"/>
          <w:lang w:val="es-ES_tradnl"/>
        </w:rPr>
      </w:pPr>
    </w:p>
    <w:p w14:paraId="4050D9B9" w14:textId="78BD61AD" w:rsidR="008D1519" w:rsidRPr="006617BC" w:rsidRDefault="008D1519" w:rsidP="00C118DB">
      <w:pPr>
        <w:spacing w:line="276" w:lineRule="auto"/>
        <w:jc w:val="both"/>
        <w:rPr>
          <w:rFonts w:ascii="Arial" w:eastAsia="Calibri" w:hAnsi="Arial" w:cs="Arial"/>
          <w:b/>
          <w:color w:val="000000" w:themeColor="text1"/>
          <w:sz w:val="22"/>
          <w:lang w:val="es-ES_tradnl"/>
        </w:rPr>
      </w:pPr>
    </w:p>
    <w:p w14:paraId="14591107" w14:textId="37EEF1AA" w:rsidR="008D1519" w:rsidRPr="006617BC" w:rsidRDefault="008D1519" w:rsidP="00C118DB">
      <w:pPr>
        <w:spacing w:line="276" w:lineRule="auto"/>
        <w:jc w:val="both"/>
        <w:rPr>
          <w:rFonts w:ascii="Arial" w:eastAsia="Calibri" w:hAnsi="Arial" w:cs="Arial"/>
          <w:b/>
          <w:color w:val="000000" w:themeColor="text1"/>
          <w:sz w:val="22"/>
          <w:lang w:val="es-ES_tradnl"/>
        </w:rPr>
      </w:pPr>
    </w:p>
    <w:p w14:paraId="64B9E278" w14:textId="4A31FC05" w:rsidR="008D1519" w:rsidRPr="006617BC" w:rsidRDefault="008D1519" w:rsidP="00C118DB">
      <w:pPr>
        <w:spacing w:line="276" w:lineRule="auto"/>
        <w:jc w:val="both"/>
        <w:rPr>
          <w:rFonts w:ascii="Arial" w:eastAsia="Calibri" w:hAnsi="Arial" w:cs="Arial"/>
          <w:b/>
          <w:color w:val="000000" w:themeColor="text1"/>
          <w:sz w:val="22"/>
          <w:lang w:val="es-ES_tradnl"/>
        </w:rPr>
      </w:pPr>
    </w:p>
    <w:p w14:paraId="7A9E3144" w14:textId="21D4FBA9" w:rsidR="008D1519" w:rsidRPr="006617BC" w:rsidRDefault="008D1519" w:rsidP="00C118DB">
      <w:pPr>
        <w:spacing w:line="276" w:lineRule="auto"/>
        <w:jc w:val="both"/>
        <w:rPr>
          <w:rFonts w:ascii="Arial" w:eastAsia="Calibri" w:hAnsi="Arial" w:cs="Arial"/>
          <w:b/>
          <w:color w:val="000000" w:themeColor="text1"/>
          <w:sz w:val="22"/>
          <w:lang w:val="es-ES_tradnl"/>
        </w:rPr>
      </w:pPr>
    </w:p>
    <w:p w14:paraId="02C742E9" w14:textId="315EA72F" w:rsidR="008D1519" w:rsidRPr="006617BC" w:rsidRDefault="008D1519" w:rsidP="00C118DB">
      <w:pPr>
        <w:spacing w:line="276" w:lineRule="auto"/>
        <w:jc w:val="both"/>
        <w:rPr>
          <w:rFonts w:ascii="Arial" w:eastAsia="Calibri" w:hAnsi="Arial" w:cs="Arial"/>
          <w:b/>
          <w:color w:val="000000" w:themeColor="text1"/>
          <w:sz w:val="22"/>
          <w:lang w:val="es-ES_tradnl"/>
        </w:rPr>
      </w:pPr>
    </w:p>
    <w:p w14:paraId="174074F2" w14:textId="1ED31B3E" w:rsidR="008D1519" w:rsidRPr="006617BC" w:rsidRDefault="008D1519" w:rsidP="00C118DB">
      <w:pPr>
        <w:spacing w:line="276" w:lineRule="auto"/>
        <w:jc w:val="both"/>
        <w:rPr>
          <w:rFonts w:ascii="Arial" w:eastAsia="Calibri" w:hAnsi="Arial" w:cs="Arial"/>
          <w:b/>
          <w:color w:val="000000" w:themeColor="text1"/>
          <w:sz w:val="22"/>
          <w:lang w:val="es-ES_tradnl"/>
        </w:rPr>
      </w:pPr>
    </w:p>
    <w:p w14:paraId="23C8DD43" w14:textId="6BDD0E9B" w:rsidR="008D1519" w:rsidRPr="006617BC" w:rsidRDefault="008D1519" w:rsidP="00C118DB">
      <w:pPr>
        <w:spacing w:line="276" w:lineRule="auto"/>
        <w:jc w:val="both"/>
        <w:rPr>
          <w:rFonts w:ascii="Arial" w:eastAsia="Calibri" w:hAnsi="Arial" w:cs="Arial"/>
          <w:b/>
          <w:color w:val="000000" w:themeColor="text1"/>
          <w:sz w:val="22"/>
          <w:lang w:val="es-ES_tradnl"/>
        </w:rPr>
      </w:pPr>
    </w:p>
    <w:p w14:paraId="1A864426" w14:textId="2BF138C0" w:rsidR="008D1519" w:rsidRPr="006617BC" w:rsidRDefault="008D1519" w:rsidP="00C118DB">
      <w:pPr>
        <w:spacing w:line="276" w:lineRule="auto"/>
        <w:jc w:val="both"/>
        <w:rPr>
          <w:rFonts w:ascii="Arial" w:eastAsia="Calibri" w:hAnsi="Arial" w:cs="Arial"/>
          <w:b/>
          <w:color w:val="000000" w:themeColor="text1"/>
          <w:sz w:val="22"/>
          <w:lang w:val="es-ES_tradnl"/>
        </w:rPr>
      </w:pPr>
    </w:p>
    <w:p w14:paraId="601AFA82" w14:textId="0609487D" w:rsidR="008D1519" w:rsidRPr="006617BC" w:rsidRDefault="008D1519" w:rsidP="00C118DB">
      <w:pPr>
        <w:spacing w:line="276" w:lineRule="auto"/>
        <w:jc w:val="both"/>
        <w:rPr>
          <w:rFonts w:ascii="Arial" w:eastAsia="Calibri" w:hAnsi="Arial" w:cs="Arial"/>
          <w:b/>
          <w:color w:val="000000" w:themeColor="text1"/>
          <w:sz w:val="22"/>
          <w:lang w:val="es-ES_tradnl"/>
        </w:rPr>
      </w:pPr>
    </w:p>
    <w:p w14:paraId="2D2E8F2B" w14:textId="6E374174" w:rsidR="008D1519" w:rsidRPr="006617BC" w:rsidRDefault="008D1519" w:rsidP="00C118DB">
      <w:pPr>
        <w:spacing w:line="276" w:lineRule="auto"/>
        <w:jc w:val="both"/>
        <w:rPr>
          <w:rFonts w:ascii="Arial" w:eastAsia="Calibri" w:hAnsi="Arial" w:cs="Arial"/>
          <w:b/>
          <w:color w:val="000000" w:themeColor="text1"/>
          <w:sz w:val="22"/>
          <w:lang w:val="es-ES_tradnl"/>
        </w:rPr>
      </w:pPr>
    </w:p>
    <w:p w14:paraId="58D7015D" w14:textId="4B5C414C" w:rsidR="008D1519" w:rsidRPr="006617BC" w:rsidRDefault="008D1519" w:rsidP="00C118DB">
      <w:pPr>
        <w:spacing w:line="276" w:lineRule="auto"/>
        <w:jc w:val="both"/>
        <w:rPr>
          <w:rFonts w:ascii="Arial" w:eastAsia="Calibri" w:hAnsi="Arial" w:cs="Arial"/>
          <w:b/>
          <w:color w:val="000000" w:themeColor="text1"/>
          <w:sz w:val="22"/>
          <w:lang w:val="es-ES_tradnl"/>
        </w:rPr>
      </w:pPr>
    </w:p>
    <w:p w14:paraId="2D41EBC2" w14:textId="54FE4193" w:rsidR="008D1519" w:rsidRPr="006617BC" w:rsidRDefault="008D1519" w:rsidP="00C118DB">
      <w:pPr>
        <w:spacing w:line="276" w:lineRule="auto"/>
        <w:jc w:val="both"/>
        <w:rPr>
          <w:rFonts w:ascii="Arial" w:eastAsia="Calibri" w:hAnsi="Arial" w:cs="Arial"/>
          <w:b/>
          <w:color w:val="000000" w:themeColor="text1"/>
          <w:sz w:val="22"/>
          <w:lang w:val="es-ES_tradnl"/>
        </w:rPr>
      </w:pPr>
    </w:p>
    <w:p w14:paraId="392684E9" w14:textId="15C5B6B0" w:rsidR="008D1519" w:rsidRPr="006617BC" w:rsidRDefault="008D1519" w:rsidP="00C118DB">
      <w:pPr>
        <w:spacing w:line="276" w:lineRule="auto"/>
        <w:jc w:val="both"/>
        <w:rPr>
          <w:rFonts w:ascii="Arial" w:eastAsia="Calibri" w:hAnsi="Arial" w:cs="Arial"/>
          <w:b/>
          <w:color w:val="000000" w:themeColor="text1"/>
          <w:sz w:val="22"/>
          <w:lang w:val="es-ES_tradnl"/>
        </w:rPr>
      </w:pPr>
    </w:p>
    <w:p w14:paraId="5CFE41D2" w14:textId="213004DC" w:rsidR="008D1519" w:rsidRPr="006617BC" w:rsidRDefault="008D1519" w:rsidP="00C118DB">
      <w:pPr>
        <w:spacing w:line="276" w:lineRule="auto"/>
        <w:jc w:val="both"/>
        <w:rPr>
          <w:rFonts w:ascii="Arial" w:eastAsia="Calibri" w:hAnsi="Arial" w:cs="Arial"/>
          <w:b/>
          <w:color w:val="000000" w:themeColor="text1"/>
          <w:sz w:val="22"/>
          <w:lang w:val="es-ES_tradnl"/>
        </w:rPr>
      </w:pPr>
    </w:p>
    <w:p w14:paraId="4A373128" w14:textId="42659F14" w:rsidR="008D1519" w:rsidRPr="006617BC" w:rsidRDefault="008D1519" w:rsidP="00C118DB">
      <w:pPr>
        <w:spacing w:line="276" w:lineRule="auto"/>
        <w:jc w:val="both"/>
        <w:rPr>
          <w:rFonts w:ascii="Arial" w:eastAsia="Calibri" w:hAnsi="Arial" w:cs="Arial"/>
          <w:b/>
          <w:sz w:val="22"/>
          <w:lang w:val="es-ES_tradnl"/>
        </w:rPr>
      </w:pPr>
    </w:p>
    <w:p w14:paraId="4F948A0C" w14:textId="77777777" w:rsidR="008D1519" w:rsidRPr="006617BC" w:rsidRDefault="008D1519" w:rsidP="00C118DB">
      <w:pPr>
        <w:spacing w:line="276" w:lineRule="auto"/>
        <w:jc w:val="both"/>
        <w:rPr>
          <w:rFonts w:ascii="Arial" w:eastAsia="Calibri" w:hAnsi="Arial" w:cs="Arial"/>
          <w:b/>
          <w:sz w:val="22"/>
          <w:lang w:val="es-ES_tradnl"/>
        </w:rPr>
      </w:pPr>
    </w:p>
    <w:p w14:paraId="569DCA7D" w14:textId="37115760" w:rsidR="002E2DEB" w:rsidRDefault="002E2DEB" w:rsidP="002E2DEB">
      <w:pPr>
        <w:spacing w:line="276" w:lineRule="auto"/>
        <w:jc w:val="right"/>
        <w:rPr>
          <w:rFonts w:ascii="Arial" w:hAnsi="Arial" w:cs="Arial"/>
          <w:noProof/>
          <w:color w:val="000000" w:themeColor="text1"/>
          <w:sz w:val="22"/>
        </w:rPr>
      </w:pPr>
      <w:r w:rsidRPr="002E2DEB">
        <w:rPr>
          <w:rFonts w:ascii="Arial" w:hAnsi="Arial" w:cs="Arial"/>
          <w:noProof/>
          <w:color w:val="000000" w:themeColor="text1"/>
          <w:sz w:val="22"/>
        </w:rPr>
        <w:drawing>
          <wp:inline distT="0" distB="0" distL="0" distR="0" wp14:anchorId="2A514C1C" wp14:editId="45858AD2">
            <wp:extent cx="2286000" cy="657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657225"/>
                    </a:xfrm>
                    <a:prstGeom prst="rect">
                      <a:avLst/>
                    </a:prstGeom>
                    <a:noFill/>
                    <a:ln>
                      <a:noFill/>
                    </a:ln>
                  </pic:spPr>
                </pic:pic>
              </a:graphicData>
            </a:graphic>
          </wp:inline>
        </w:drawing>
      </w:r>
    </w:p>
    <w:p w14:paraId="5CD576DC" w14:textId="77777777" w:rsidR="002E2DEB" w:rsidRDefault="002E2DEB" w:rsidP="002E2DEB">
      <w:pPr>
        <w:spacing w:line="276" w:lineRule="auto"/>
        <w:jc w:val="both"/>
        <w:rPr>
          <w:rFonts w:ascii="Arial" w:hAnsi="Arial" w:cs="Arial"/>
          <w:noProof/>
          <w:color w:val="000000" w:themeColor="text1"/>
          <w:sz w:val="22"/>
        </w:rPr>
      </w:pPr>
    </w:p>
    <w:p w14:paraId="6A8A869B" w14:textId="5941C885" w:rsidR="00B95C30" w:rsidRPr="002E2DEB" w:rsidRDefault="00B95C30" w:rsidP="002E2DEB">
      <w:pPr>
        <w:spacing w:line="276" w:lineRule="auto"/>
        <w:jc w:val="both"/>
        <w:rPr>
          <w:rFonts w:ascii="Arial" w:hAnsi="Arial" w:cs="Arial"/>
          <w:b/>
          <w:color w:val="000000" w:themeColor="text1"/>
          <w:sz w:val="22"/>
        </w:rPr>
      </w:pPr>
      <w:r w:rsidRPr="006617BC">
        <w:rPr>
          <w:rFonts w:ascii="Arial" w:hAnsi="Arial" w:cs="Arial"/>
          <w:noProof/>
          <w:color w:val="000000" w:themeColor="text1"/>
          <w:sz w:val="22"/>
        </w:rPr>
        <w:t xml:space="preserve">Bogotá D.C., </w:t>
      </w:r>
      <w:r w:rsidR="002E2DEB">
        <w:rPr>
          <w:rFonts w:ascii="Arial" w:hAnsi="Arial" w:cs="Arial"/>
          <w:b/>
          <w:color w:val="000000" w:themeColor="text1"/>
          <w:sz w:val="22"/>
        </w:rPr>
        <w:t xml:space="preserve">29/04/22 </w:t>
      </w:r>
    </w:p>
    <w:p w14:paraId="5FDF9495" w14:textId="77777777" w:rsidR="00631A31" w:rsidRPr="006617BC" w:rsidRDefault="00631A31" w:rsidP="00B95C30">
      <w:pPr>
        <w:jc w:val="both"/>
        <w:rPr>
          <w:rFonts w:ascii="Arial" w:hAnsi="Arial" w:cs="Arial"/>
          <w:b/>
          <w:color w:val="000000" w:themeColor="text1"/>
          <w:sz w:val="22"/>
          <w:lang w:val="pt-BR"/>
        </w:rPr>
      </w:pPr>
    </w:p>
    <w:p w14:paraId="5F5AE9EF" w14:textId="1506BA31" w:rsidR="00B95C30" w:rsidRPr="006617BC" w:rsidRDefault="00B95C30" w:rsidP="00B95C30">
      <w:pPr>
        <w:jc w:val="both"/>
        <w:rPr>
          <w:rFonts w:ascii="Arial" w:eastAsia="Calibri" w:hAnsi="Arial" w:cs="Arial"/>
          <w:color w:val="000000" w:themeColor="text1"/>
          <w:sz w:val="22"/>
        </w:rPr>
      </w:pPr>
      <w:r w:rsidRPr="006617BC">
        <w:rPr>
          <w:rFonts w:ascii="Arial" w:eastAsia="Calibri" w:hAnsi="Arial" w:cs="Arial"/>
          <w:color w:val="000000" w:themeColor="text1"/>
          <w:sz w:val="22"/>
        </w:rPr>
        <w:t>Señor</w:t>
      </w:r>
    </w:p>
    <w:p w14:paraId="798A20AC" w14:textId="480F7698" w:rsidR="005F5F37" w:rsidRPr="006617BC" w:rsidRDefault="008C5E9A" w:rsidP="00BF4EC5">
      <w:pPr>
        <w:jc w:val="both"/>
        <w:rPr>
          <w:rFonts w:ascii="Arial" w:eastAsia="Calibri" w:hAnsi="Arial" w:cs="Arial"/>
          <w:b/>
          <w:color w:val="000000" w:themeColor="text1"/>
          <w:sz w:val="22"/>
        </w:rPr>
      </w:pPr>
      <w:r w:rsidRPr="006617BC">
        <w:rPr>
          <w:rFonts w:ascii="Arial" w:eastAsia="Calibri" w:hAnsi="Arial" w:cs="Arial"/>
          <w:b/>
          <w:color w:val="000000" w:themeColor="text1"/>
          <w:sz w:val="22"/>
        </w:rPr>
        <w:t xml:space="preserve">Sergio Forero </w:t>
      </w:r>
    </w:p>
    <w:p w14:paraId="411CBCE1" w14:textId="3C5A69C0" w:rsidR="00BF4EC5" w:rsidRPr="006617BC" w:rsidRDefault="00E803A6" w:rsidP="00BF4EC5">
      <w:pPr>
        <w:jc w:val="both"/>
        <w:rPr>
          <w:rFonts w:ascii="Arial" w:eastAsia="Calibri" w:hAnsi="Arial" w:cs="Arial"/>
          <w:bCs/>
          <w:color w:val="000000" w:themeColor="text1"/>
          <w:sz w:val="22"/>
        </w:rPr>
      </w:pPr>
      <w:r w:rsidRPr="006617BC">
        <w:rPr>
          <w:rFonts w:ascii="Arial" w:eastAsia="Calibri" w:hAnsi="Arial" w:cs="Arial"/>
          <w:bCs/>
          <w:color w:val="000000" w:themeColor="text1"/>
          <w:sz w:val="22"/>
        </w:rPr>
        <w:t>Bogotá D.C.</w:t>
      </w:r>
      <w:r w:rsidR="00BF4EC5" w:rsidRPr="006617BC">
        <w:rPr>
          <w:rFonts w:ascii="Arial" w:eastAsia="Calibri" w:hAnsi="Arial" w:cs="Arial"/>
          <w:bCs/>
          <w:color w:val="000000" w:themeColor="text1"/>
          <w:sz w:val="22"/>
        </w:rPr>
        <w:t xml:space="preserve"> </w:t>
      </w:r>
    </w:p>
    <w:p w14:paraId="4A1C8FFE" w14:textId="77777777" w:rsidR="008120C4" w:rsidRPr="006617BC" w:rsidRDefault="008120C4" w:rsidP="003C0791">
      <w:pPr>
        <w:rPr>
          <w:rFonts w:ascii="Arial" w:eastAsia="Calibri" w:hAnsi="Arial" w:cs="Arial"/>
          <w:b/>
          <w:bCs/>
          <w:color w:val="000000" w:themeColor="text1"/>
          <w:sz w:val="22"/>
        </w:rPr>
      </w:pPr>
    </w:p>
    <w:p w14:paraId="1BD594F9" w14:textId="1F821D53" w:rsidR="00B95C30" w:rsidRPr="006617BC" w:rsidRDefault="005B1504" w:rsidP="003C0791">
      <w:pPr>
        <w:rPr>
          <w:rFonts w:ascii="Arial" w:eastAsia="Calibri" w:hAnsi="Arial" w:cs="Arial"/>
          <w:b/>
          <w:bCs/>
          <w:color w:val="000000" w:themeColor="text1"/>
          <w:sz w:val="22"/>
          <w:lang w:val="pt-BR"/>
        </w:rPr>
      </w:pPr>
      <w:r w:rsidRPr="006617BC">
        <w:rPr>
          <w:rFonts w:ascii="Arial" w:eastAsia="Calibri" w:hAnsi="Arial" w:cs="Arial"/>
          <w:b/>
          <w:bCs/>
          <w:color w:val="000000" w:themeColor="text1"/>
          <w:sz w:val="22"/>
        </w:rPr>
        <w:t xml:space="preserve">                     </w:t>
      </w:r>
      <w:r w:rsidR="00923FA6" w:rsidRPr="006617BC">
        <w:rPr>
          <w:rFonts w:ascii="Arial" w:eastAsia="Calibri" w:hAnsi="Arial" w:cs="Arial"/>
          <w:b/>
          <w:bCs/>
          <w:color w:val="000000" w:themeColor="text1"/>
          <w:sz w:val="22"/>
        </w:rPr>
        <w:t xml:space="preserve">                      </w:t>
      </w:r>
      <w:r w:rsidRPr="006617BC">
        <w:rPr>
          <w:rFonts w:ascii="Arial" w:eastAsia="Calibri" w:hAnsi="Arial" w:cs="Arial"/>
          <w:b/>
          <w:bCs/>
          <w:color w:val="000000" w:themeColor="text1"/>
          <w:sz w:val="22"/>
        </w:rPr>
        <w:t xml:space="preserve"> </w:t>
      </w:r>
      <w:r w:rsidR="00023FA5" w:rsidRPr="006617BC">
        <w:rPr>
          <w:rFonts w:ascii="Arial" w:eastAsia="Calibri" w:hAnsi="Arial" w:cs="Arial"/>
          <w:b/>
          <w:bCs/>
          <w:color w:val="000000" w:themeColor="text1"/>
          <w:sz w:val="22"/>
          <w:lang w:val="pt-BR"/>
        </w:rPr>
        <w:t xml:space="preserve">Concepto C ‒ </w:t>
      </w:r>
      <w:r w:rsidR="008C5E9A" w:rsidRPr="006617BC">
        <w:rPr>
          <w:rFonts w:ascii="Arial" w:eastAsia="Calibri" w:hAnsi="Arial" w:cs="Arial"/>
          <w:b/>
          <w:bCs/>
          <w:color w:val="000000" w:themeColor="text1"/>
          <w:sz w:val="22"/>
          <w:lang w:val="pt-BR"/>
        </w:rPr>
        <w:t>225</w:t>
      </w:r>
      <w:r w:rsidR="00275FBF" w:rsidRPr="006617BC">
        <w:rPr>
          <w:rFonts w:ascii="Arial" w:eastAsia="Calibri" w:hAnsi="Arial" w:cs="Arial"/>
          <w:b/>
          <w:bCs/>
          <w:color w:val="000000" w:themeColor="text1"/>
          <w:sz w:val="22"/>
          <w:lang w:val="pt-BR"/>
        </w:rPr>
        <w:t xml:space="preserve"> de 202</w:t>
      </w:r>
      <w:r w:rsidR="00BF4EC5" w:rsidRPr="006617BC">
        <w:rPr>
          <w:rFonts w:ascii="Arial" w:eastAsia="Calibri" w:hAnsi="Arial" w:cs="Arial"/>
          <w:b/>
          <w:bCs/>
          <w:color w:val="000000" w:themeColor="text1"/>
          <w:sz w:val="22"/>
          <w:lang w:val="pt-BR"/>
        </w:rPr>
        <w:t>2</w:t>
      </w:r>
    </w:p>
    <w:p w14:paraId="7063750E" w14:textId="77777777" w:rsidR="005F5F37" w:rsidRPr="006617BC"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6617BC" w14:paraId="19DFC051" w14:textId="77777777" w:rsidTr="00761DC6">
        <w:tc>
          <w:tcPr>
            <w:tcW w:w="2689" w:type="dxa"/>
          </w:tcPr>
          <w:p w14:paraId="6BC0D1AC" w14:textId="569BAEB9" w:rsidR="00B95C30" w:rsidRPr="006617BC" w:rsidRDefault="00B95C30" w:rsidP="00D15356">
            <w:pPr>
              <w:jc w:val="both"/>
              <w:rPr>
                <w:rFonts w:ascii="Arial" w:eastAsia="Calibri" w:hAnsi="Arial" w:cs="Arial"/>
                <w:color w:val="000000" w:themeColor="text1"/>
                <w:sz w:val="22"/>
                <w:lang w:val="es-ES_tradnl"/>
              </w:rPr>
            </w:pPr>
            <w:r w:rsidRPr="006617BC">
              <w:rPr>
                <w:rFonts w:ascii="Arial" w:eastAsia="Calibri" w:hAnsi="Arial" w:cs="Arial"/>
                <w:b/>
                <w:color w:val="000000" w:themeColor="text1"/>
                <w:sz w:val="22"/>
                <w:lang w:val="es-ES_tradnl"/>
              </w:rPr>
              <w:t>Temas:</w:t>
            </w:r>
            <w:r w:rsidR="005B1504" w:rsidRPr="006617BC">
              <w:rPr>
                <w:rFonts w:ascii="Arial" w:eastAsia="Calibri" w:hAnsi="Arial" w:cs="Arial"/>
                <w:color w:val="000000" w:themeColor="text1"/>
                <w:sz w:val="22"/>
                <w:lang w:val="es-ES_tradnl"/>
              </w:rPr>
              <w:t xml:space="preserve">                   </w:t>
            </w:r>
          </w:p>
        </w:tc>
        <w:tc>
          <w:tcPr>
            <w:tcW w:w="6237" w:type="dxa"/>
            <w:shd w:val="clear" w:color="auto" w:fill="auto"/>
          </w:tcPr>
          <w:p w14:paraId="5F389CAF" w14:textId="53B046A4" w:rsidR="00337178" w:rsidRPr="006617BC" w:rsidRDefault="0011268B" w:rsidP="00993CD6">
            <w:pPr>
              <w:tabs>
                <w:tab w:val="left" w:pos="6551"/>
              </w:tabs>
              <w:jc w:val="both"/>
              <w:rPr>
                <w:rFonts w:ascii="Arial" w:eastAsia="Calibri" w:hAnsi="Arial" w:cs="Arial"/>
                <w:color w:val="000000" w:themeColor="text1"/>
                <w:sz w:val="22"/>
                <w:lang w:val="es-ES_tradnl"/>
              </w:rPr>
            </w:pPr>
            <w:r w:rsidRPr="006617BC">
              <w:rPr>
                <w:rStyle w:val="normaltextrun"/>
                <w:rFonts w:ascii="Arial" w:hAnsi="Arial" w:cs="Arial"/>
                <w:color w:val="000000"/>
                <w:sz w:val="22"/>
                <w:szCs w:val="22"/>
                <w:lang w:val="es-ES"/>
              </w:rPr>
              <w:t>MÍNIMA CUANTÍA</w:t>
            </w:r>
            <w:r w:rsidRPr="006617BC">
              <w:rPr>
                <w:rStyle w:val="normaltextrun"/>
                <w:rFonts w:ascii="Arial" w:hAnsi="Arial" w:cs="Arial"/>
                <w:color w:val="000000"/>
                <w:sz w:val="22"/>
                <w:szCs w:val="22"/>
              </w:rPr>
              <w:t> – Normas reglamentarias – Decreto 1082 de 2015</w:t>
            </w:r>
            <w:r w:rsidR="00761DC6" w:rsidRPr="006617BC">
              <w:rPr>
                <w:rStyle w:val="normaltextrun"/>
                <w:rFonts w:ascii="Arial" w:hAnsi="Arial" w:cs="Arial"/>
                <w:color w:val="000000"/>
                <w:sz w:val="22"/>
                <w:szCs w:val="22"/>
              </w:rPr>
              <w:t xml:space="preserve"> </w:t>
            </w:r>
            <w:r w:rsidR="00993CD6" w:rsidRPr="006617BC">
              <w:rPr>
                <w:rFonts w:ascii="Arial" w:eastAsia="Calibri" w:hAnsi="Arial" w:cs="Arial"/>
                <w:color w:val="000000" w:themeColor="text1"/>
                <w:sz w:val="22"/>
                <w:lang w:val="es-ES_tradnl"/>
              </w:rPr>
              <w:t>/</w:t>
            </w:r>
            <w:r w:rsidR="00761DC6" w:rsidRPr="006617BC">
              <w:rPr>
                <w:rFonts w:ascii="Arial" w:eastAsia="Calibri" w:hAnsi="Arial" w:cs="Arial"/>
                <w:color w:val="000000" w:themeColor="text1"/>
                <w:sz w:val="22"/>
                <w:lang w:val="es-ES_tradnl"/>
              </w:rPr>
              <w:t xml:space="preserve"> </w:t>
            </w:r>
            <w:r w:rsidR="00761DC6" w:rsidRPr="006617BC">
              <w:rPr>
                <w:rStyle w:val="normaltextrun"/>
                <w:rFonts w:ascii="Arial" w:hAnsi="Arial" w:cs="Arial"/>
                <w:color w:val="000000"/>
                <w:sz w:val="22"/>
                <w:szCs w:val="22"/>
                <w:lang w:val="es-ES"/>
              </w:rPr>
              <w:t>MÍNIMA CUANTÍA</w:t>
            </w:r>
            <w:r w:rsidR="00761DC6" w:rsidRPr="006617BC">
              <w:rPr>
                <w:rStyle w:val="normaltextrun"/>
                <w:rFonts w:ascii="Arial" w:hAnsi="Arial" w:cs="Arial"/>
                <w:color w:val="000000"/>
                <w:sz w:val="22"/>
                <w:szCs w:val="22"/>
              </w:rPr>
              <w:t xml:space="preserve"> – Grandes almacenes – Procedimiento – Artículo </w:t>
            </w:r>
            <w:r w:rsidR="00761DC6" w:rsidRPr="006617BC">
              <w:rPr>
                <w:rFonts w:ascii="Arial" w:hAnsi="Arial" w:cs="Arial"/>
                <w:color w:val="000000"/>
                <w:sz w:val="22"/>
                <w:szCs w:val="22"/>
                <w:lang w:val="es-ES_tradnl"/>
              </w:rPr>
              <w:t>2.2.1.2.1.5.3. del Decreto 1082 de 2015</w:t>
            </w:r>
            <w:r w:rsidR="00761DC6" w:rsidRPr="006617BC">
              <w:rPr>
                <w:rFonts w:ascii="Arial" w:eastAsia="Calibri" w:hAnsi="Arial" w:cs="Arial"/>
                <w:color w:val="000000" w:themeColor="text1"/>
                <w:sz w:val="22"/>
                <w:lang w:val="es-ES_tradnl"/>
              </w:rPr>
              <w:t xml:space="preserve"> </w:t>
            </w:r>
            <w:r w:rsidR="00993CD6" w:rsidRPr="006617BC">
              <w:rPr>
                <w:rFonts w:ascii="Arial" w:eastAsia="Calibri" w:hAnsi="Arial" w:cs="Arial"/>
                <w:color w:val="000000" w:themeColor="text1"/>
                <w:sz w:val="22"/>
                <w:lang w:val="es-ES_tradnl"/>
              </w:rPr>
              <w:t xml:space="preserve">/ </w:t>
            </w:r>
            <w:r w:rsidR="00761DC6" w:rsidRPr="006617BC">
              <w:rPr>
                <w:rFonts w:ascii="Arial" w:eastAsia="Calibri" w:hAnsi="Arial" w:cs="Arial"/>
                <w:color w:val="000000" w:themeColor="text1"/>
                <w:sz w:val="22"/>
                <w:lang w:val="es-ES_tradnl"/>
              </w:rPr>
              <w:t xml:space="preserve">INVITACIÓN PÚBLICA </w:t>
            </w:r>
            <w:r w:rsidR="00761DC6" w:rsidRPr="006617BC">
              <w:rPr>
                <w:rStyle w:val="normaltextrun"/>
                <w:rFonts w:ascii="Arial" w:hAnsi="Arial" w:cs="Arial"/>
                <w:color w:val="000000"/>
                <w:sz w:val="22"/>
                <w:szCs w:val="22"/>
              </w:rPr>
              <w:t xml:space="preserve">– Aviso de convocatoria </w:t>
            </w:r>
            <w:r w:rsidR="00761DC6" w:rsidRPr="006617BC">
              <w:rPr>
                <w:rFonts w:ascii="Arial" w:eastAsia="Calibri" w:hAnsi="Arial" w:cs="Arial"/>
                <w:color w:val="000000" w:themeColor="text1"/>
                <w:sz w:val="22"/>
                <w:lang w:val="es-ES_tradnl"/>
              </w:rPr>
              <w:t xml:space="preserve">– Diferencias </w:t>
            </w:r>
            <w:r w:rsidR="00993CD6" w:rsidRPr="006617BC">
              <w:rPr>
                <w:rFonts w:ascii="Arial" w:eastAsia="Calibri" w:hAnsi="Arial" w:cs="Arial"/>
                <w:color w:val="000000" w:themeColor="text1"/>
                <w:sz w:val="22"/>
                <w:lang w:val="es-ES_tradnl"/>
              </w:rPr>
              <w:t>/</w:t>
            </w:r>
            <w:r w:rsidR="00337178" w:rsidRPr="006617BC">
              <w:rPr>
                <w:rFonts w:ascii="Arial" w:eastAsia="Calibri" w:hAnsi="Arial" w:cs="Arial"/>
                <w:color w:val="000000" w:themeColor="text1"/>
                <w:sz w:val="22"/>
                <w:lang w:val="es-ES_tradnl"/>
              </w:rPr>
              <w:t xml:space="preserve"> </w:t>
            </w:r>
            <w:r w:rsidR="00761DC6" w:rsidRPr="006617BC">
              <w:rPr>
                <w:rFonts w:ascii="Arial" w:eastAsia="Calibri" w:hAnsi="Arial" w:cs="Arial"/>
                <w:sz w:val="22"/>
                <w:szCs w:val="22"/>
                <w:lang w:eastAsia="en-US"/>
              </w:rPr>
              <w:t xml:space="preserve">SECOP – Tienda virtual del Estado colombiano – Plataforma transaccional </w:t>
            </w:r>
          </w:p>
        </w:tc>
      </w:tr>
      <w:tr w:rsidR="00B95C30" w:rsidRPr="006617BC" w14:paraId="27CD52AB" w14:textId="77777777" w:rsidTr="00D15356">
        <w:tc>
          <w:tcPr>
            <w:tcW w:w="2689" w:type="dxa"/>
          </w:tcPr>
          <w:p w14:paraId="37E195A1" w14:textId="017D9507" w:rsidR="00B95C30" w:rsidRPr="006617BC" w:rsidRDefault="00B95C30" w:rsidP="00D15356">
            <w:pPr>
              <w:spacing w:before="120"/>
              <w:jc w:val="both"/>
              <w:rPr>
                <w:rFonts w:ascii="Arial" w:eastAsia="Calibri" w:hAnsi="Arial" w:cs="Arial"/>
                <w:b/>
                <w:color w:val="000000" w:themeColor="text1"/>
                <w:sz w:val="22"/>
                <w:lang w:val="es-ES_tradnl"/>
              </w:rPr>
            </w:pPr>
            <w:r w:rsidRPr="006617BC">
              <w:rPr>
                <w:rFonts w:ascii="Arial" w:eastAsia="Calibri" w:hAnsi="Arial" w:cs="Arial"/>
                <w:b/>
                <w:color w:val="000000" w:themeColor="text1"/>
                <w:sz w:val="22"/>
                <w:lang w:val="es-ES_tradnl"/>
              </w:rPr>
              <w:t>Radicación:</w:t>
            </w:r>
            <w:r w:rsidR="005B1504" w:rsidRPr="006617BC">
              <w:rPr>
                <w:rFonts w:ascii="Arial" w:eastAsia="Calibri" w:hAnsi="Arial" w:cs="Arial"/>
                <w:color w:val="000000" w:themeColor="text1"/>
                <w:sz w:val="22"/>
                <w:lang w:val="es-ES_tradnl"/>
              </w:rPr>
              <w:t xml:space="preserve">               </w:t>
            </w:r>
          </w:p>
        </w:tc>
        <w:tc>
          <w:tcPr>
            <w:tcW w:w="6237" w:type="dxa"/>
          </w:tcPr>
          <w:p w14:paraId="09088B1B" w14:textId="0CE95E16" w:rsidR="00B95C30" w:rsidRPr="006617BC" w:rsidRDefault="00B95C30" w:rsidP="00FF7134">
            <w:pPr>
              <w:spacing w:before="120"/>
              <w:jc w:val="both"/>
              <w:rPr>
                <w:rFonts w:ascii="Arial" w:eastAsia="Calibri" w:hAnsi="Arial" w:cs="Arial"/>
                <w:color w:val="000000" w:themeColor="text1"/>
                <w:sz w:val="22"/>
                <w:lang w:val="es-ES_tradnl"/>
              </w:rPr>
            </w:pPr>
            <w:r w:rsidRPr="006617BC">
              <w:rPr>
                <w:rFonts w:ascii="Arial" w:eastAsia="Calibri" w:hAnsi="Arial" w:cs="Arial"/>
                <w:color w:val="000000" w:themeColor="text1"/>
                <w:sz w:val="22"/>
                <w:lang w:val="es-ES_tradnl"/>
              </w:rPr>
              <w:t>Respuesta a consulta</w:t>
            </w:r>
            <w:r w:rsidR="00F21D6D" w:rsidRPr="006617BC">
              <w:rPr>
                <w:rFonts w:ascii="Arial" w:eastAsia="Calibri" w:hAnsi="Arial" w:cs="Arial"/>
                <w:color w:val="000000" w:themeColor="text1"/>
                <w:sz w:val="22"/>
                <w:lang w:val="es-ES_tradnl"/>
              </w:rPr>
              <w:t xml:space="preserve"> </w:t>
            </w:r>
            <w:r w:rsidR="008C5E9A" w:rsidRPr="006617BC">
              <w:rPr>
                <w:rFonts w:ascii="Arial" w:eastAsia="Calibri" w:hAnsi="Arial" w:cs="Arial"/>
                <w:color w:val="000000" w:themeColor="text1"/>
                <w:sz w:val="22"/>
                <w:lang w:val="es-ES_tradnl"/>
              </w:rPr>
              <w:t>P20220314002531</w:t>
            </w:r>
          </w:p>
        </w:tc>
      </w:tr>
    </w:tbl>
    <w:p w14:paraId="635FAA34" w14:textId="77777777" w:rsidR="006D69FA" w:rsidRPr="006617BC" w:rsidRDefault="006D69FA" w:rsidP="003C3339">
      <w:pPr>
        <w:jc w:val="both"/>
        <w:rPr>
          <w:rFonts w:ascii="Arial" w:eastAsia="Calibri" w:hAnsi="Arial" w:cs="Arial"/>
          <w:color w:val="000000" w:themeColor="text1"/>
          <w:sz w:val="22"/>
        </w:rPr>
      </w:pPr>
    </w:p>
    <w:p w14:paraId="234C0002" w14:textId="77777777" w:rsidR="005F5F37" w:rsidRPr="006617BC" w:rsidRDefault="005F5F37" w:rsidP="003C3339">
      <w:pPr>
        <w:jc w:val="both"/>
        <w:rPr>
          <w:rFonts w:ascii="Arial" w:eastAsia="Calibri" w:hAnsi="Arial" w:cs="Arial"/>
          <w:color w:val="000000" w:themeColor="text1"/>
          <w:sz w:val="22"/>
          <w:lang w:val="es-ES_tradnl"/>
        </w:rPr>
      </w:pPr>
    </w:p>
    <w:p w14:paraId="1CF4AEA0" w14:textId="7C60C508" w:rsidR="003C3339" w:rsidRPr="006617BC" w:rsidRDefault="003C3339" w:rsidP="003C3339">
      <w:pPr>
        <w:jc w:val="both"/>
        <w:rPr>
          <w:rFonts w:ascii="Arial" w:eastAsia="Calibri" w:hAnsi="Arial" w:cs="Arial"/>
          <w:color w:val="000000" w:themeColor="text1"/>
          <w:sz w:val="22"/>
          <w:lang w:val="es-ES_tradnl"/>
        </w:rPr>
      </w:pPr>
      <w:r w:rsidRPr="006617BC">
        <w:rPr>
          <w:rFonts w:ascii="Arial" w:eastAsia="Calibri" w:hAnsi="Arial" w:cs="Arial"/>
          <w:color w:val="000000" w:themeColor="text1"/>
          <w:sz w:val="22"/>
          <w:lang w:val="es-ES_tradnl"/>
        </w:rPr>
        <w:t>Estimad</w:t>
      </w:r>
      <w:r w:rsidR="00BF4EC5" w:rsidRPr="006617BC">
        <w:rPr>
          <w:rFonts w:ascii="Arial" w:eastAsia="Calibri" w:hAnsi="Arial" w:cs="Arial"/>
          <w:color w:val="000000" w:themeColor="text1"/>
          <w:sz w:val="22"/>
          <w:lang w:val="es-ES_tradnl"/>
        </w:rPr>
        <w:t>o</w:t>
      </w:r>
      <w:r w:rsidRPr="006617BC">
        <w:rPr>
          <w:rFonts w:ascii="Arial" w:eastAsia="Calibri" w:hAnsi="Arial" w:cs="Arial"/>
          <w:color w:val="000000" w:themeColor="text1"/>
          <w:sz w:val="22"/>
          <w:lang w:val="es-ES_tradnl"/>
        </w:rPr>
        <w:t xml:space="preserve"> señor</w:t>
      </w:r>
      <w:r w:rsidR="00BF4EC5" w:rsidRPr="006617BC">
        <w:rPr>
          <w:rFonts w:ascii="Arial" w:eastAsia="Calibri" w:hAnsi="Arial" w:cs="Arial"/>
          <w:color w:val="000000" w:themeColor="text1"/>
          <w:sz w:val="22"/>
          <w:lang w:val="es-ES_tradnl"/>
        </w:rPr>
        <w:t xml:space="preserve"> </w:t>
      </w:r>
      <w:r w:rsidR="008C5E9A" w:rsidRPr="006617BC">
        <w:rPr>
          <w:rFonts w:ascii="Arial" w:eastAsia="Calibri" w:hAnsi="Arial" w:cs="Arial"/>
          <w:color w:val="000000" w:themeColor="text1"/>
          <w:sz w:val="22"/>
          <w:lang w:val="es-ES_tradnl"/>
        </w:rPr>
        <w:t>Forero</w:t>
      </w:r>
      <w:r w:rsidR="008C3FFC" w:rsidRPr="006617BC">
        <w:rPr>
          <w:rFonts w:ascii="Arial" w:eastAsia="Calibri" w:hAnsi="Arial" w:cs="Arial"/>
          <w:color w:val="000000" w:themeColor="text1"/>
          <w:sz w:val="22"/>
          <w:lang w:val="es-ES_tradnl"/>
        </w:rPr>
        <w:t xml:space="preserve">: </w:t>
      </w:r>
    </w:p>
    <w:p w14:paraId="1EAE5543" w14:textId="37990AD8" w:rsidR="00DD5B04" w:rsidRPr="006617BC" w:rsidRDefault="00DD5B04" w:rsidP="00DF76A2">
      <w:pPr>
        <w:jc w:val="both"/>
        <w:rPr>
          <w:rFonts w:ascii="Arial" w:eastAsia="Calibri" w:hAnsi="Arial" w:cs="Arial"/>
          <w:color w:val="000000" w:themeColor="text1"/>
          <w:sz w:val="22"/>
          <w:lang w:val="es-ES_tradnl"/>
        </w:rPr>
      </w:pPr>
    </w:p>
    <w:p w14:paraId="2109B2D3" w14:textId="20D662EF" w:rsidR="00DD5B04" w:rsidRPr="006617BC" w:rsidRDefault="00DD5B04" w:rsidP="00DF76A2">
      <w:pPr>
        <w:spacing w:line="276" w:lineRule="auto"/>
        <w:jc w:val="both"/>
        <w:rPr>
          <w:rFonts w:ascii="Arial" w:eastAsia="Calibri" w:hAnsi="Arial" w:cs="Arial"/>
          <w:color w:val="000000" w:themeColor="text1"/>
          <w:sz w:val="22"/>
          <w:lang w:val="es-ES_tradnl"/>
        </w:rPr>
      </w:pPr>
      <w:r w:rsidRPr="006617BC">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7360BE">
        <w:rPr>
          <w:rFonts w:ascii="Arial" w:eastAsia="Calibri" w:hAnsi="Arial" w:cs="Arial"/>
          <w:color w:val="000000" w:themeColor="text1"/>
          <w:sz w:val="22"/>
          <w:lang w:val="es-ES_tradnl"/>
        </w:rPr>
        <w:t xml:space="preserve"> </w:t>
      </w:r>
      <w:r w:rsidR="00276BC4" w:rsidRPr="00B24D49">
        <w:rPr>
          <w:rFonts w:ascii="Arial" w:eastAsia="Calibri" w:hAnsi="Arial" w:cs="Arial"/>
          <w:color w:val="000000" w:themeColor="text1"/>
          <w:sz w:val="22"/>
          <w:lang w:val="es-ES"/>
        </w:rPr>
        <w:t>modificados por el artículo 5 del Decreto Legislativo 491 del 28 de marzo de 2020</w:t>
      </w:r>
      <w:r w:rsidR="00276BC4">
        <w:rPr>
          <w:rFonts w:ascii="Arial" w:eastAsia="Calibri" w:hAnsi="Arial" w:cs="Arial"/>
          <w:color w:val="000000" w:themeColor="text1"/>
          <w:sz w:val="22"/>
          <w:lang w:val="es-ES"/>
        </w:rPr>
        <w:t>,</w:t>
      </w:r>
      <w:r w:rsidRPr="006617BC">
        <w:rPr>
          <w:rFonts w:ascii="Arial" w:eastAsia="Calibri" w:hAnsi="Arial" w:cs="Arial"/>
          <w:color w:val="000000" w:themeColor="text1"/>
          <w:sz w:val="22"/>
          <w:lang w:val="es-ES_tradnl"/>
        </w:rPr>
        <w:t xml:space="preserve"> la Agencia Nacional de Contratación Pública ― Colombia Compra Eficiente</w:t>
      </w:r>
      <w:r w:rsidR="00CE69CC" w:rsidRPr="006617BC">
        <w:rPr>
          <w:rFonts w:ascii="Arial" w:eastAsia="Calibri" w:hAnsi="Arial" w:cs="Arial"/>
          <w:color w:val="000000" w:themeColor="text1"/>
          <w:sz w:val="22"/>
          <w:lang w:val="es-ES_tradnl"/>
        </w:rPr>
        <w:t xml:space="preserve">, </w:t>
      </w:r>
      <w:r w:rsidRPr="006617BC">
        <w:rPr>
          <w:rFonts w:ascii="Arial" w:eastAsia="Calibri" w:hAnsi="Arial" w:cs="Arial"/>
          <w:color w:val="000000" w:themeColor="text1"/>
          <w:sz w:val="22"/>
          <w:lang w:val="es-ES_tradnl"/>
        </w:rPr>
        <w:t>responde su consulta</w:t>
      </w:r>
      <w:r w:rsidR="00E8414B" w:rsidRPr="006617BC">
        <w:rPr>
          <w:rFonts w:ascii="Arial" w:eastAsia="Calibri" w:hAnsi="Arial" w:cs="Arial"/>
          <w:color w:val="000000" w:themeColor="text1"/>
          <w:sz w:val="22"/>
          <w:lang w:val="es-ES_tradnl"/>
        </w:rPr>
        <w:t xml:space="preserve"> </w:t>
      </w:r>
      <w:r w:rsidRPr="006617BC">
        <w:rPr>
          <w:rFonts w:ascii="Arial" w:eastAsia="Calibri" w:hAnsi="Arial" w:cs="Arial"/>
          <w:color w:val="000000" w:themeColor="text1"/>
          <w:sz w:val="22"/>
          <w:lang w:val="es-ES_tradnl"/>
        </w:rPr>
        <w:t xml:space="preserve">del </w:t>
      </w:r>
      <w:r w:rsidR="00F73317" w:rsidRPr="006617BC">
        <w:rPr>
          <w:rFonts w:ascii="Arial" w:eastAsia="Calibri" w:hAnsi="Arial" w:cs="Arial"/>
          <w:color w:val="000000" w:themeColor="text1"/>
          <w:sz w:val="22"/>
          <w:lang w:val="es-ES_tradnl"/>
        </w:rPr>
        <w:t>1</w:t>
      </w:r>
      <w:r w:rsidR="008C5E9A" w:rsidRPr="006617BC">
        <w:rPr>
          <w:rFonts w:ascii="Arial" w:eastAsia="Calibri" w:hAnsi="Arial" w:cs="Arial"/>
          <w:color w:val="000000" w:themeColor="text1"/>
          <w:sz w:val="22"/>
          <w:lang w:val="es-ES_tradnl"/>
        </w:rPr>
        <w:t>4</w:t>
      </w:r>
      <w:r w:rsidR="008C3FFC" w:rsidRPr="006617BC">
        <w:rPr>
          <w:rFonts w:ascii="Arial" w:eastAsia="Calibri" w:hAnsi="Arial" w:cs="Arial"/>
          <w:color w:val="000000" w:themeColor="text1"/>
          <w:sz w:val="22"/>
          <w:lang w:val="es-ES_tradnl"/>
        </w:rPr>
        <w:t xml:space="preserve"> </w:t>
      </w:r>
      <w:r w:rsidR="00F21D6D" w:rsidRPr="006617BC">
        <w:rPr>
          <w:rFonts w:ascii="Arial" w:eastAsia="Calibri" w:hAnsi="Arial" w:cs="Arial"/>
          <w:color w:val="000000" w:themeColor="text1"/>
          <w:sz w:val="22"/>
          <w:lang w:val="es-ES_tradnl"/>
        </w:rPr>
        <w:t xml:space="preserve">de </w:t>
      </w:r>
      <w:r w:rsidR="00F73317" w:rsidRPr="006617BC">
        <w:rPr>
          <w:rFonts w:ascii="Arial" w:eastAsia="Calibri" w:hAnsi="Arial" w:cs="Arial"/>
          <w:color w:val="000000" w:themeColor="text1"/>
          <w:sz w:val="22"/>
          <w:lang w:val="es-ES_tradnl"/>
        </w:rPr>
        <w:t>marzo</w:t>
      </w:r>
      <w:r w:rsidR="00F21D6D" w:rsidRPr="006617BC">
        <w:rPr>
          <w:rFonts w:ascii="Arial" w:eastAsia="Calibri" w:hAnsi="Arial" w:cs="Arial"/>
          <w:color w:val="000000" w:themeColor="text1"/>
          <w:sz w:val="22"/>
          <w:lang w:val="es-ES_tradnl"/>
        </w:rPr>
        <w:t xml:space="preserve"> </w:t>
      </w:r>
      <w:r w:rsidR="00990BC7" w:rsidRPr="006617BC">
        <w:rPr>
          <w:rFonts w:ascii="Arial" w:eastAsia="Calibri" w:hAnsi="Arial" w:cs="Arial"/>
          <w:color w:val="000000" w:themeColor="text1"/>
          <w:sz w:val="22"/>
          <w:lang w:val="es-ES_tradnl"/>
        </w:rPr>
        <w:t xml:space="preserve">de </w:t>
      </w:r>
      <w:r w:rsidR="00F21D6D" w:rsidRPr="006617BC">
        <w:rPr>
          <w:rFonts w:ascii="Arial" w:eastAsia="Calibri" w:hAnsi="Arial" w:cs="Arial"/>
          <w:color w:val="000000" w:themeColor="text1"/>
          <w:sz w:val="22"/>
          <w:lang w:val="es-ES_tradnl"/>
        </w:rPr>
        <w:t>202</w:t>
      </w:r>
      <w:r w:rsidR="00BF4EC5" w:rsidRPr="006617BC">
        <w:rPr>
          <w:rFonts w:ascii="Arial" w:eastAsia="Calibri" w:hAnsi="Arial" w:cs="Arial"/>
          <w:color w:val="000000" w:themeColor="text1"/>
          <w:sz w:val="22"/>
          <w:lang w:val="es-ES_tradnl"/>
        </w:rPr>
        <w:t>2</w:t>
      </w:r>
      <w:r w:rsidR="00F21D6D" w:rsidRPr="006617BC">
        <w:rPr>
          <w:rFonts w:ascii="Arial" w:eastAsia="Calibri" w:hAnsi="Arial" w:cs="Arial"/>
          <w:color w:val="000000" w:themeColor="text1"/>
          <w:sz w:val="22"/>
          <w:lang w:val="es-ES_tradnl"/>
        </w:rPr>
        <w:t>.</w:t>
      </w:r>
    </w:p>
    <w:p w14:paraId="0C1E0712" w14:textId="77777777" w:rsidR="00DD5B04" w:rsidRPr="006617BC"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6617BC"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6617BC">
        <w:rPr>
          <w:rFonts w:ascii="Arial" w:eastAsia="Calibri" w:hAnsi="Arial" w:cs="Arial"/>
          <w:b/>
          <w:color w:val="000000" w:themeColor="text1"/>
          <w:sz w:val="22"/>
          <w:lang w:val="es-ES_tradnl"/>
        </w:rPr>
        <w:t xml:space="preserve">Problema planteado </w:t>
      </w:r>
    </w:p>
    <w:p w14:paraId="224B43D3" w14:textId="77777777" w:rsidR="00DD5B04" w:rsidRPr="006617BC"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70102F2D" w14:textId="6633DC48" w:rsidR="00BF4EC5" w:rsidRPr="006617BC" w:rsidRDefault="00827203" w:rsidP="00BF4EC5">
      <w:pPr>
        <w:spacing w:line="276" w:lineRule="auto"/>
        <w:jc w:val="both"/>
        <w:rPr>
          <w:rFonts w:ascii="Arial" w:hAnsi="Arial" w:cs="Arial"/>
          <w:color w:val="000000" w:themeColor="text1"/>
          <w:sz w:val="22"/>
          <w:szCs w:val="22"/>
          <w:lang w:val="es-ES"/>
        </w:rPr>
      </w:pPr>
      <w:r w:rsidRPr="006617BC">
        <w:rPr>
          <w:rFonts w:ascii="Arial" w:hAnsi="Arial" w:cs="Arial"/>
          <w:color w:val="000000" w:themeColor="text1"/>
          <w:sz w:val="22"/>
          <w:szCs w:val="22"/>
          <w:lang w:val="es-ES_tradnl"/>
        </w:rPr>
        <w:t xml:space="preserve">Usted formula </w:t>
      </w:r>
      <w:r w:rsidR="00026092" w:rsidRPr="006617BC">
        <w:rPr>
          <w:rFonts w:ascii="Arial" w:hAnsi="Arial" w:cs="Arial"/>
          <w:color w:val="000000" w:themeColor="text1"/>
          <w:sz w:val="22"/>
          <w:szCs w:val="22"/>
          <w:lang w:val="es-ES_tradnl"/>
        </w:rPr>
        <w:t>la</w:t>
      </w:r>
      <w:r w:rsidR="004662C8" w:rsidRPr="006617BC">
        <w:rPr>
          <w:rFonts w:ascii="Arial" w:hAnsi="Arial" w:cs="Arial"/>
          <w:color w:val="000000" w:themeColor="text1"/>
          <w:sz w:val="22"/>
          <w:szCs w:val="22"/>
          <w:lang w:val="es-ES_tradnl"/>
        </w:rPr>
        <w:t>s</w:t>
      </w:r>
      <w:r w:rsidR="00026092" w:rsidRPr="006617BC">
        <w:rPr>
          <w:rFonts w:ascii="Arial" w:hAnsi="Arial" w:cs="Arial"/>
          <w:color w:val="000000" w:themeColor="text1"/>
          <w:sz w:val="22"/>
          <w:szCs w:val="22"/>
          <w:lang w:val="es-ES_tradnl"/>
        </w:rPr>
        <w:t xml:space="preserve"> siguiente</w:t>
      </w:r>
      <w:r w:rsidR="008C5E9A" w:rsidRPr="006617BC">
        <w:rPr>
          <w:rFonts w:ascii="Arial" w:hAnsi="Arial" w:cs="Arial"/>
          <w:color w:val="000000" w:themeColor="text1"/>
          <w:sz w:val="22"/>
          <w:szCs w:val="22"/>
          <w:lang w:val="es-ES_tradnl"/>
        </w:rPr>
        <w:t>s</w:t>
      </w:r>
      <w:r w:rsidR="00AC4D8F" w:rsidRPr="006617BC">
        <w:rPr>
          <w:rFonts w:ascii="Arial" w:hAnsi="Arial" w:cs="Arial"/>
          <w:color w:val="000000" w:themeColor="text1"/>
          <w:sz w:val="22"/>
          <w:szCs w:val="22"/>
          <w:lang w:val="es-ES_tradnl"/>
        </w:rPr>
        <w:t xml:space="preserve"> consulta</w:t>
      </w:r>
      <w:r w:rsidR="008C5E9A" w:rsidRPr="006617BC">
        <w:rPr>
          <w:rFonts w:ascii="Arial" w:hAnsi="Arial" w:cs="Arial"/>
          <w:color w:val="000000" w:themeColor="text1"/>
          <w:sz w:val="22"/>
          <w:szCs w:val="22"/>
          <w:lang w:val="es-ES_tradnl"/>
        </w:rPr>
        <w:t>s</w:t>
      </w:r>
      <w:r w:rsidR="008C5E9A" w:rsidRPr="006617BC">
        <w:rPr>
          <w:rFonts w:ascii="Arial" w:hAnsi="Arial" w:cs="Arial"/>
          <w:sz w:val="22"/>
          <w:lang w:val="es-ES_tradnl"/>
        </w:rPr>
        <w:t xml:space="preserve">: </w:t>
      </w:r>
    </w:p>
    <w:p w14:paraId="0B7FAA28" w14:textId="77777777" w:rsidR="00BF4EC5" w:rsidRPr="006617BC" w:rsidRDefault="00BF4EC5" w:rsidP="00BF4EC5">
      <w:pPr>
        <w:spacing w:line="276" w:lineRule="auto"/>
        <w:jc w:val="both"/>
        <w:rPr>
          <w:rFonts w:ascii="Arial" w:hAnsi="Arial" w:cs="Arial"/>
          <w:color w:val="000000" w:themeColor="text1"/>
          <w:sz w:val="22"/>
          <w:szCs w:val="22"/>
        </w:rPr>
      </w:pPr>
    </w:p>
    <w:p w14:paraId="36841FCE" w14:textId="781A988C" w:rsidR="00135217" w:rsidRPr="006617BC" w:rsidRDefault="00BF4EC5" w:rsidP="00BA79B8">
      <w:pPr>
        <w:ind w:left="709" w:right="618"/>
        <w:jc w:val="both"/>
        <w:rPr>
          <w:rFonts w:ascii="Arial" w:eastAsia="Calibri" w:hAnsi="Arial" w:cs="Arial"/>
          <w:sz w:val="21"/>
          <w:szCs w:val="21"/>
        </w:rPr>
      </w:pPr>
      <w:r w:rsidRPr="006617BC">
        <w:rPr>
          <w:rFonts w:ascii="Arial" w:eastAsia="Calibri" w:hAnsi="Arial" w:cs="Arial"/>
          <w:sz w:val="21"/>
          <w:szCs w:val="21"/>
          <w:lang w:val="es-ES"/>
        </w:rPr>
        <w:t>«</w:t>
      </w:r>
      <w:r w:rsidR="00135217" w:rsidRPr="006617BC">
        <w:rPr>
          <w:rFonts w:ascii="Arial" w:eastAsia="Calibri" w:hAnsi="Arial" w:cs="Arial"/>
          <w:sz w:val="21"/>
          <w:szCs w:val="21"/>
        </w:rPr>
        <w:t>1- ¿</w:t>
      </w:r>
      <w:proofErr w:type="gramStart"/>
      <w:r w:rsidR="00135217" w:rsidRPr="006617BC">
        <w:rPr>
          <w:rFonts w:ascii="Arial" w:eastAsia="Calibri" w:hAnsi="Arial" w:cs="Arial"/>
          <w:sz w:val="21"/>
          <w:szCs w:val="21"/>
        </w:rPr>
        <w:t>Cuando</w:t>
      </w:r>
      <w:proofErr w:type="gramEnd"/>
      <w:r w:rsidR="00135217" w:rsidRPr="006617BC">
        <w:rPr>
          <w:rFonts w:ascii="Arial" w:eastAsia="Calibri" w:hAnsi="Arial" w:cs="Arial"/>
          <w:sz w:val="21"/>
          <w:szCs w:val="21"/>
        </w:rPr>
        <w:t xml:space="preserve"> el Artículo 2.2.1.2.1.5.3. del Decreto 1082 de 2015, modificado por el artículo 2 del Decreto 1860 de 2021 expresa que la Entidad debe publicar el proceso en SECOP, respecto a Gran Almacén, a que aplicativo del SECOP; SECOP I, SECOP II o TVEC se refiere? </w:t>
      </w:r>
    </w:p>
    <w:p w14:paraId="6FD87A73" w14:textId="77777777" w:rsidR="00135217" w:rsidRPr="006617BC" w:rsidRDefault="00135217" w:rsidP="00BA79B8">
      <w:pPr>
        <w:ind w:left="709" w:right="618"/>
        <w:jc w:val="both"/>
        <w:rPr>
          <w:rFonts w:ascii="Arial" w:eastAsia="Calibri" w:hAnsi="Arial" w:cs="Arial"/>
          <w:sz w:val="21"/>
          <w:szCs w:val="21"/>
        </w:rPr>
      </w:pPr>
    </w:p>
    <w:p w14:paraId="02AE525F" w14:textId="3DBF9756" w:rsidR="00F3496F" w:rsidRPr="006617BC" w:rsidRDefault="00135217" w:rsidP="00BA79B8">
      <w:pPr>
        <w:ind w:left="709" w:right="618"/>
        <w:jc w:val="both"/>
        <w:rPr>
          <w:rFonts w:ascii="Arial" w:eastAsia="Calibri" w:hAnsi="Arial" w:cs="Arial"/>
          <w:sz w:val="21"/>
          <w:szCs w:val="21"/>
        </w:rPr>
      </w:pPr>
      <w:r w:rsidRPr="006617BC">
        <w:rPr>
          <w:rFonts w:ascii="Arial" w:eastAsia="Calibri" w:hAnsi="Arial" w:cs="Arial"/>
          <w:sz w:val="21"/>
          <w:szCs w:val="21"/>
        </w:rPr>
        <w:t xml:space="preserve">2- ¿Cómo debe entenderse está publicación? ¿Un proceso paralelo? Quién pondrá los límites a través de esta publicación a los interesados? ¿Facultará esto a los interesados a presentar observaciones, allegar propuestas, entre otros, a través de otros mecanismos que no sean los establecidos por la Agencia </w:t>
      </w:r>
      <w:r w:rsidRPr="006617BC">
        <w:rPr>
          <w:rFonts w:ascii="Arial" w:eastAsia="Calibri" w:hAnsi="Arial" w:cs="Arial"/>
          <w:sz w:val="21"/>
          <w:szCs w:val="21"/>
        </w:rPr>
        <w:lastRenderedPageBreak/>
        <w:t>Nacional de Contratación Pública? ¿Qué tratamiento debe dársele a estas posibles situaciones?</w:t>
      </w:r>
    </w:p>
    <w:p w14:paraId="1899E496" w14:textId="77777777" w:rsidR="00D4274C" w:rsidRPr="006617BC" w:rsidRDefault="00D4274C" w:rsidP="00BA79B8">
      <w:pPr>
        <w:ind w:left="709" w:right="618"/>
        <w:jc w:val="both"/>
        <w:rPr>
          <w:rFonts w:ascii="Arial" w:eastAsia="Calibri" w:hAnsi="Arial" w:cs="Arial"/>
          <w:color w:val="000000" w:themeColor="text1"/>
          <w:sz w:val="21"/>
          <w:szCs w:val="21"/>
        </w:rPr>
      </w:pPr>
      <w:r w:rsidRPr="006617BC">
        <w:rPr>
          <w:rFonts w:ascii="Arial" w:eastAsia="Calibri" w:hAnsi="Arial" w:cs="Arial"/>
          <w:color w:val="000000" w:themeColor="text1"/>
          <w:sz w:val="21"/>
          <w:szCs w:val="21"/>
        </w:rPr>
        <w:t xml:space="preserve">3- En caso de ser uno de los tres aplicativos ¿Cómo es la configuración de este procedimiento en el plataforma? </w:t>
      </w:r>
    </w:p>
    <w:p w14:paraId="3ABB0E29" w14:textId="77777777" w:rsidR="00D4274C" w:rsidRPr="006617BC" w:rsidRDefault="00D4274C" w:rsidP="00BA79B8">
      <w:pPr>
        <w:ind w:left="709" w:right="618"/>
        <w:jc w:val="both"/>
        <w:rPr>
          <w:rFonts w:ascii="Arial" w:eastAsia="Calibri" w:hAnsi="Arial" w:cs="Arial"/>
          <w:color w:val="000000" w:themeColor="text1"/>
          <w:sz w:val="21"/>
          <w:szCs w:val="21"/>
        </w:rPr>
      </w:pPr>
    </w:p>
    <w:p w14:paraId="7A1D8652" w14:textId="62E3081C" w:rsidR="00D4274C" w:rsidRPr="006617BC" w:rsidRDefault="00D4274C" w:rsidP="00BA79B8">
      <w:pPr>
        <w:ind w:left="709" w:right="618"/>
        <w:jc w:val="both"/>
        <w:rPr>
          <w:rFonts w:ascii="Arial" w:eastAsia="Calibri" w:hAnsi="Arial" w:cs="Arial"/>
          <w:color w:val="000000" w:themeColor="text1"/>
          <w:sz w:val="21"/>
          <w:szCs w:val="21"/>
        </w:rPr>
      </w:pPr>
      <w:r w:rsidRPr="006617BC">
        <w:rPr>
          <w:rFonts w:ascii="Arial" w:eastAsia="Calibri" w:hAnsi="Arial" w:cs="Arial"/>
          <w:color w:val="000000" w:themeColor="text1"/>
          <w:sz w:val="21"/>
          <w:szCs w:val="21"/>
        </w:rPr>
        <w:t>4- El procedimiento para la compra por Grandes Superficies que actualmente funciona en la TVEC ¿</w:t>
      </w:r>
      <w:proofErr w:type="gramStart"/>
      <w:r w:rsidRPr="006617BC">
        <w:rPr>
          <w:rFonts w:ascii="Arial" w:eastAsia="Calibri" w:hAnsi="Arial" w:cs="Arial"/>
          <w:color w:val="000000" w:themeColor="text1"/>
          <w:sz w:val="21"/>
          <w:szCs w:val="21"/>
        </w:rPr>
        <w:t>continua</w:t>
      </w:r>
      <w:proofErr w:type="gramEnd"/>
      <w:r w:rsidRPr="006617BC">
        <w:rPr>
          <w:rFonts w:ascii="Arial" w:eastAsia="Calibri" w:hAnsi="Arial" w:cs="Arial"/>
          <w:color w:val="000000" w:themeColor="text1"/>
          <w:sz w:val="21"/>
          <w:szCs w:val="21"/>
        </w:rPr>
        <w:t xml:space="preserve"> funcionando?</w:t>
      </w:r>
    </w:p>
    <w:p w14:paraId="70DD9990" w14:textId="77777777" w:rsidR="00F3496F" w:rsidRPr="006617BC" w:rsidRDefault="00F3496F" w:rsidP="00BA79B8">
      <w:pPr>
        <w:ind w:left="709" w:right="618"/>
        <w:jc w:val="both"/>
        <w:rPr>
          <w:rFonts w:ascii="Arial" w:eastAsia="Calibri" w:hAnsi="Arial" w:cs="Arial"/>
          <w:color w:val="000000" w:themeColor="text1"/>
          <w:sz w:val="21"/>
          <w:szCs w:val="21"/>
        </w:rPr>
      </w:pPr>
    </w:p>
    <w:p w14:paraId="505689E0" w14:textId="77777777" w:rsidR="007C6F35" w:rsidRPr="006617BC" w:rsidRDefault="00D4274C" w:rsidP="00BA79B8">
      <w:pPr>
        <w:ind w:left="709" w:right="618"/>
        <w:jc w:val="both"/>
        <w:rPr>
          <w:rFonts w:ascii="Arial" w:eastAsia="Calibri" w:hAnsi="Arial" w:cs="Arial"/>
          <w:sz w:val="21"/>
          <w:szCs w:val="21"/>
        </w:rPr>
      </w:pPr>
      <w:r w:rsidRPr="006617BC">
        <w:rPr>
          <w:rFonts w:ascii="Arial" w:eastAsia="Calibri" w:hAnsi="Arial" w:cs="Arial"/>
          <w:sz w:val="21"/>
          <w:szCs w:val="21"/>
        </w:rPr>
        <w:t xml:space="preserve">5- En caso de ser positiva la pregunta anterior ¿a </w:t>
      </w:r>
      <w:proofErr w:type="spellStart"/>
      <w:r w:rsidRPr="006617BC">
        <w:rPr>
          <w:rFonts w:ascii="Arial" w:eastAsia="Calibri" w:hAnsi="Arial" w:cs="Arial"/>
          <w:sz w:val="21"/>
          <w:szCs w:val="21"/>
        </w:rPr>
        <w:t>que</w:t>
      </w:r>
      <w:proofErr w:type="spellEnd"/>
      <w:r w:rsidRPr="006617BC">
        <w:rPr>
          <w:rFonts w:ascii="Arial" w:eastAsia="Calibri" w:hAnsi="Arial" w:cs="Arial"/>
          <w:sz w:val="21"/>
          <w:szCs w:val="21"/>
        </w:rPr>
        <w:t xml:space="preserve"> procedimiento se refiere, dado que el nuevo Decreto no lo regula? </w:t>
      </w:r>
    </w:p>
    <w:p w14:paraId="0F6B82D1" w14:textId="77777777" w:rsidR="007C6F35" w:rsidRPr="006617BC" w:rsidRDefault="007C6F35" w:rsidP="00BA79B8">
      <w:pPr>
        <w:ind w:left="709" w:right="618"/>
        <w:jc w:val="both"/>
        <w:rPr>
          <w:rFonts w:ascii="Arial" w:eastAsia="Calibri" w:hAnsi="Arial" w:cs="Arial"/>
          <w:sz w:val="21"/>
          <w:szCs w:val="21"/>
        </w:rPr>
      </w:pPr>
    </w:p>
    <w:p w14:paraId="4A7E3C68" w14:textId="22F440ED" w:rsidR="00BF4EC5" w:rsidRPr="006617BC" w:rsidRDefault="00D4274C" w:rsidP="00BA79B8">
      <w:pPr>
        <w:ind w:left="709" w:right="618"/>
        <w:jc w:val="both"/>
        <w:rPr>
          <w:rFonts w:ascii="Arial" w:eastAsia="Calibri" w:hAnsi="Arial" w:cs="Arial"/>
          <w:sz w:val="21"/>
          <w:szCs w:val="21"/>
          <w:lang w:val="es-ES"/>
        </w:rPr>
      </w:pPr>
      <w:r w:rsidRPr="006617BC">
        <w:rPr>
          <w:rFonts w:ascii="Arial" w:eastAsia="Calibri" w:hAnsi="Arial" w:cs="Arial"/>
          <w:sz w:val="21"/>
          <w:szCs w:val="21"/>
        </w:rPr>
        <w:t>6- ¿Debemos entender como invitación, un aviso de convocatoria?</w:t>
      </w:r>
      <w:r w:rsidR="00BF4EC5" w:rsidRPr="006617BC">
        <w:rPr>
          <w:rFonts w:ascii="Arial" w:eastAsia="Calibri" w:hAnsi="Arial" w:cs="Arial"/>
          <w:sz w:val="21"/>
          <w:szCs w:val="21"/>
          <w:lang w:val="es-ES"/>
        </w:rPr>
        <w:t>»</w:t>
      </w:r>
    </w:p>
    <w:p w14:paraId="5A9E4F83" w14:textId="77777777" w:rsidR="00991805" w:rsidRPr="006617BC" w:rsidRDefault="00991805" w:rsidP="007D7503">
      <w:pPr>
        <w:spacing w:line="276" w:lineRule="auto"/>
        <w:ind w:right="709"/>
        <w:jc w:val="both"/>
        <w:rPr>
          <w:rFonts w:ascii="Arial" w:hAnsi="Arial" w:cs="Arial"/>
          <w:color w:val="000000" w:themeColor="text1"/>
          <w:sz w:val="21"/>
          <w:szCs w:val="21"/>
        </w:rPr>
      </w:pPr>
    </w:p>
    <w:p w14:paraId="124D2DCA" w14:textId="77777777" w:rsidR="00DD5B04" w:rsidRPr="006617BC"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6617BC">
        <w:rPr>
          <w:rFonts w:ascii="Arial" w:eastAsia="Calibri" w:hAnsi="Arial" w:cs="Arial"/>
          <w:b/>
          <w:color w:val="000000" w:themeColor="text1"/>
          <w:sz w:val="22"/>
          <w:lang w:val="es-ES_tradnl"/>
        </w:rPr>
        <w:t>Consideraciones</w:t>
      </w:r>
    </w:p>
    <w:p w14:paraId="7FB25649" w14:textId="77777777" w:rsidR="00E07AAA" w:rsidRPr="006617BC" w:rsidRDefault="00E07AAA" w:rsidP="00D40F8B">
      <w:pPr>
        <w:spacing w:line="276" w:lineRule="auto"/>
        <w:jc w:val="both"/>
        <w:rPr>
          <w:rFonts w:ascii="Arial" w:hAnsi="Arial" w:cs="Arial"/>
          <w:color w:val="000000" w:themeColor="text1"/>
          <w:sz w:val="22"/>
          <w:lang w:val="es-ES_tradnl"/>
        </w:rPr>
      </w:pPr>
    </w:p>
    <w:p w14:paraId="661A9996" w14:textId="2B7D95CC" w:rsidR="00F92E3E" w:rsidRPr="006617BC" w:rsidRDefault="00F3496F" w:rsidP="00BA79B8">
      <w:pPr>
        <w:spacing w:line="276" w:lineRule="auto"/>
        <w:jc w:val="both"/>
        <w:rPr>
          <w:rFonts w:ascii="Arial" w:eastAsia="Calibri" w:hAnsi="Arial" w:cs="Arial"/>
          <w:color w:val="000000" w:themeColor="text1"/>
          <w:sz w:val="22"/>
          <w:szCs w:val="22"/>
        </w:rPr>
      </w:pPr>
      <w:r w:rsidRPr="006617BC">
        <w:rPr>
          <w:rFonts w:ascii="Arial" w:eastAsia="Calibri" w:hAnsi="Arial" w:cs="Arial"/>
          <w:color w:val="000000" w:themeColor="text1"/>
          <w:sz w:val="22"/>
          <w:szCs w:val="22"/>
        </w:rPr>
        <w:t xml:space="preserve">En relación con las consultas planteadas, debe tenerse en cuenta que </w:t>
      </w:r>
      <w:r w:rsidR="00DF098E" w:rsidRPr="006617BC">
        <w:rPr>
          <w:rFonts w:ascii="Arial" w:eastAsia="Calibri" w:hAnsi="Arial" w:cs="Arial"/>
          <w:color w:val="000000" w:themeColor="text1"/>
          <w:sz w:val="22"/>
          <w:szCs w:val="22"/>
        </w:rPr>
        <w:t xml:space="preserve">se </w:t>
      </w:r>
      <w:r w:rsidRPr="006617BC">
        <w:rPr>
          <w:rFonts w:ascii="Arial" w:eastAsia="Calibri" w:hAnsi="Arial" w:cs="Arial"/>
          <w:color w:val="000000" w:themeColor="text1"/>
          <w:sz w:val="22"/>
          <w:szCs w:val="22"/>
        </w:rPr>
        <w:t>estudiará y responderá la primera, segunda y sexta pregunta,</w:t>
      </w:r>
      <w:r w:rsidR="00F92E3E" w:rsidRPr="006617BC">
        <w:rPr>
          <w:rFonts w:ascii="Arial" w:eastAsia="Calibri" w:hAnsi="Arial" w:cs="Arial"/>
          <w:color w:val="000000" w:themeColor="text1"/>
          <w:sz w:val="22"/>
          <w:szCs w:val="22"/>
        </w:rPr>
        <w:t xml:space="preserve"> teniendo en cuenta las competencias</w:t>
      </w:r>
      <w:r w:rsidR="00DF098E" w:rsidRPr="006617BC">
        <w:rPr>
          <w:rFonts w:ascii="Arial" w:eastAsia="Calibri" w:hAnsi="Arial" w:cs="Arial"/>
          <w:color w:val="000000" w:themeColor="text1"/>
          <w:sz w:val="22"/>
          <w:szCs w:val="22"/>
        </w:rPr>
        <w:t xml:space="preserve"> de esta Subdirección</w:t>
      </w:r>
      <w:r w:rsidR="00F92E3E" w:rsidRPr="006617BC">
        <w:rPr>
          <w:rFonts w:ascii="Arial" w:eastAsia="Calibri" w:hAnsi="Arial" w:cs="Arial"/>
          <w:color w:val="000000" w:themeColor="text1"/>
          <w:sz w:val="22"/>
          <w:szCs w:val="22"/>
        </w:rPr>
        <w:t xml:space="preserve"> en relación con</w:t>
      </w:r>
      <w:r w:rsidRPr="006617BC">
        <w:rPr>
          <w:rFonts w:ascii="Arial" w:eastAsia="Calibri" w:hAnsi="Arial" w:cs="Arial"/>
          <w:color w:val="000000" w:themeColor="text1"/>
          <w:sz w:val="22"/>
          <w:szCs w:val="22"/>
        </w:rPr>
        <w:t xml:space="preserve"> </w:t>
      </w:r>
      <w:r w:rsidR="00F92E3E" w:rsidRPr="006617BC">
        <w:rPr>
          <w:rFonts w:ascii="Arial" w:hAnsi="Arial" w:cs="Arial"/>
          <w:sz w:val="22"/>
          <w:lang w:val="es-ES"/>
        </w:rPr>
        <w:t>la aplicación de normas de carácter general en materia de compras y contratación pública.</w:t>
      </w:r>
      <w:r w:rsidR="00F92E3E" w:rsidRPr="006617BC">
        <w:rPr>
          <w:rFonts w:ascii="Arial" w:eastAsia="Calibri" w:hAnsi="Arial" w:cs="Arial"/>
          <w:color w:val="000000" w:themeColor="text1"/>
          <w:sz w:val="22"/>
          <w:szCs w:val="22"/>
        </w:rPr>
        <w:t xml:space="preserve"> Las preguntas tercera, cuarta y quinta </w:t>
      </w:r>
      <w:r w:rsidR="00576876" w:rsidRPr="006617BC">
        <w:rPr>
          <w:rFonts w:ascii="Arial" w:eastAsia="Calibri" w:hAnsi="Arial" w:cs="Arial"/>
          <w:color w:val="000000" w:themeColor="text1"/>
          <w:sz w:val="22"/>
          <w:szCs w:val="22"/>
        </w:rPr>
        <w:t xml:space="preserve">serán atendidas </w:t>
      </w:r>
      <w:r w:rsidR="00DF098E" w:rsidRPr="006617BC">
        <w:rPr>
          <w:rFonts w:ascii="Arial" w:eastAsia="Calibri" w:hAnsi="Arial" w:cs="Arial"/>
          <w:color w:val="000000" w:themeColor="text1"/>
          <w:sz w:val="22"/>
          <w:szCs w:val="22"/>
        </w:rPr>
        <w:t xml:space="preserve">por </w:t>
      </w:r>
      <w:r w:rsidR="00F92E3E" w:rsidRPr="006617BC">
        <w:rPr>
          <w:rFonts w:ascii="Arial" w:eastAsia="Calibri" w:hAnsi="Arial" w:cs="Arial"/>
          <w:color w:val="000000" w:themeColor="text1"/>
          <w:sz w:val="22"/>
          <w:szCs w:val="22"/>
        </w:rPr>
        <w:t>la Subdirección de Negocios</w:t>
      </w:r>
      <w:r w:rsidR="007D233A" w:rsidRPr="006617BC">
        <w:rPr>
          <w:rFonts w:ascii="Arial" w:eastAsia="Calibri" w:hAnsi="Arial" w:cs="Arial"/>
          <w:color w:val="000000" w:themeColor="text1"/>
          <w:sz w:val="22"/>
          <w:szCs w:val="22"/>
        </w:rPr>
        <w:t xml:space="preserve"> de esta Agencia</w:t>
      </w:r>
      <w:r w:rsidRPr="006617BC">
        <w:rPr>
          <w:rFonts w:ascii="Arial" w:eastAsia="Calibri" w:hAnsi="Arial" w:cs="Arial"/>
          <w:color w:val="000000" w:themeColor="text1"/>
          <w:sz w:val="22"/>
          <w:szCs w:val="22"/>
        </w:rPr>
        <w:t xml:space="preserve">. Para tales efectos, </w:t>
      </w:r>
      <w:r w:rsidRPr="006617BC">
        <w:rPr>
          <w:rFonts w:ascii="Arial" w:eastAsia="Calibri" w:hAnsi="Arial" w:cs="Arial"/>
          <w:color w:val="000000" w:themeColor="text1"/>
          <w:sz w:val="22"/>
          <w:szCs w:val="22"/>
          <w:lang w:val="es-ES_tradnl"/>
        </w:rPr>
        <w:t>se analizarán los siguientes temas:</w:t>
      </w:r>
      <w:r w:rsidRPr="006617BC">
        <w:rPr>
          <w:rFonts w:ascii="Arial" w:eastAsia="Calibri" w:hAnsi="Arial" w:cs="Arial"/>
          <w:color w:val="000000" w:themeColor="text1"/>
          <w:sz w:val="22"/>
          <w:szCs w:val="22"/>
          <w:lang w:val="es-ES"/>
        </w:rPr>
        <w:t xml:space="preserve"> </w:t>
      </w:r>
      <w:r w:rsidRPr="006617BC">
        <w:rPr>
          <w:rFonts w:ascii="Arial" w:eastAsia="Calibri" w:hAnsi="Arial" w:cs="Arial"/>
          <w:bCs/>
          <w:color w:val="000000" w:themeColor="text1"/>
          <w:sz w:val="22"/>
          <w:szCs w:val="22"/>
        </w:rPr>
        <w:t>i)</w:t>
      </w:r>
      <w:r w:rsidR="00950A5B" w:rsidRPr="006617BC">
        <w:t xml:space="preserve"> </w:t>
      </w:r>
      <w:r w:rsidR="00DF098E" w:rsidRPr="006617BC">
        <w:rPr>
          <w:rFonts w:ascii="Arial" w:eastAsia="Calibri" w:hAnsi="Arial" w:cs="Arial"/>
          <w:bCs/>
          <w:color w:val="000000" w:themeColor="text1"/>
          <w:sz w:val="22"/>
          <w:szCs w:val="22"/>
        </w:rPr>
        <w:t>a</w:t>
      </w:r>
      <w:r w:rsidR="00950A5B" w:rsidRPr="006617BC">
        <w:rPr>
          <w:rFonts w:ascii="Arial" w:eastAsia="Calibri" w:hAnsi="Arial" w:cs="Arial"/>
          <w:bCs/>
          <w:color w:val="000000" w:themeColor="text1"/>
          <w:sz w:val="22"/>
          <w:szCs w:val="22"/>
        </w:rPr>
        <w:t xml:space="preserve">dquisiciones en grandes almacenes cuando se trate de la mínima cuantía </w:t>
      </w:r>
      <w:r w:rsidR="00DF098E" w:rsidRPr="006617BC">
        <w:rPr>
          <w:rFonts w:ascii="Arial" w:eastAsia="Calibri" w:hAnsi="Arial" w:cs="Arial"/>
          <w:bCs/>
          <w:color w:val="000000" w:themeColor="text1"/>
          <w:sz w:val="22"/>
          <w:szCs w:val="22"/>
        </w:rPr>
        <w:t xml:space="preserve">de conformidad con el Decreto </w:t>
      </w:r>
      <w:r w:rsidR="002129C7" w:rsidRPr="006617BC">
        <w:rPr>
          <w:rFonts w:ascii="Arial" w:eastAsia="Calibri" w:hAnsi="Arial" w:cs="Arial"/>
          <w:bCs/>
          <w:color w:val="000000" w:themeColor="text1"/>
          <w:sz w:val="22"/>
          <w:szCs w:val="22"/>
        </w:rPr>
        <w:t xml:space="preserve">1860 </w:t>
      </w:r>
      <w:r w:rsidR="00DF098E" w:rsidRPr="006617BC">
        <w:rPr>
          <w:rFonts w:ascii="Arial" w:eastAsia="Calibri" w:hAnsi="Arial" w:cs="Arial"/>
          <w:bCs/>
          <w:color w:val="000000" w:themeColor="text1"/>
          <w:sz w:val="22"/>
          <w:szCs w:val="22"/>
        </w:rPr>
        <w:t xml:space="preserve">de 2021 </w:t>
      </w:r>
      <w:r w:rsidR="00950A5B" w:rsidRPr="006617BC">
        <w:rPr>
          <w:rFonts w:ascii="Arial" w:eastAsia="Calibri" w:hAnsi="Arial" w:cs="Arial"/>
          <w:bCs/>
          <w:color w:val="000000" w:themeColor="text1"/>
          <w:sz w:val="22"/>
          <w:szCs w:val="22"/>
        </w:rPr>
        <w:t>y</w:t>
      </w:r>
      <w:r w:rsidRPr="006617BC">
        <w:rPr>
          <w:rFonts w:ascii="Arial" w:hAnsi="Arial" w:cs="Arial"/>
          <w:sz w:val="22"/>
          <w:szCs w:val="22"/>
        </w:rPr>
        <w:t xml:space="preserve"> </w:t>
      </w:r>
      <w:proofErr w:type="spellStart"/>
      <w:r w:rsidRPr="006617BC">
        <w:rPr>
          <w:rFonts w:ascii="Arial" w:hAnsi="Arial" w:cs="Arial"/>
          <w:sz w:val="22"/>
          <w:szCs w:val="22"/>
        </w:rPr>
        <w:t>ii</w:t>
      </w:r>
      <w:proofErr w:type="spellEnd"/>
      <w:r w:rsidRPr="006617BC">
        <w:rPr>
          <w:rFonts w:ascii="Arial" w:hAnsi="Arial" w:cs="Arial"/>
          <w:sz w:val="22"/>
          <w:szCs w:val="22"/>
        </w:rPr>
        <w:t xml:space="preserve">) </w:t>
      </w:r>
      <w:r w:rsidR="00DF098E" w:rsidRPr="006617BC">
        <w:rPr>
          <w:rFonts w:ascii="Arial" w:hAnsi="Arial" w:cs="Arial"/>
          <w:sz w:val="22"/>
          <w:szCs w:val="22"/>
        </w:rPr>
        <w:t>l</w:t>
      </w:r>
      <w:r w:rsidR="00950A5B" w:rsidRPr="006617BC">
        <w:rPr>
          <w:rFonts w:ascii="Arial" w:hAnsi="Arial" w:cs="Arial"/>
          <w:sz w:val="22"/>
          <w:szCs w:val="22"/>
        </w:rPr>
        <w:t xml:space="preserve">a tienda virtual del Estado colombiano como componente del Sistema Electrónico para la Contratación Pública </w:t>
      </w:r>
      <w:r w:rsidR="00576876" w:rsidRPr="006617BC">
        <w:rPr>
          <w:rFonts w:ascii="Arial" w:hAnsi="Arial" w:cs="Arial"/>
          <w:sz w:val="22"/>
          <w:szCs w:val="22"/>
        </w:rPr>
        <w:t>–</w:t>
      </w:r>
      <w:r w:rsidR="00950A5B" w:rsidRPr="006617BC">
        <w:rPr>
          <w:rFonts w:ascii="Arial" w:hAnsi="Arial" w:cs="Arial"/>
          <w:sz w:val="22"/>
          <w:szCs w:val="22"/>
        </w:rPr>
        <w:t xml:space="preserve"> SECOP</w:t>
      </w:r>
      <w:r w:rsidR="00576876" w:rsidRPr="006617BC">
        <w:rPr>
          <w:rFonts w:ascii="Arial" w:hAnsi="Arial" w:cs="Arial"/>
          <w:sz w:val="22"/>
          <w:szCs w:val="22"/>
        </w:rPr>
        <w:t>.</w:t>
      </w:r>
    </w:p>
    <w:p w14:paraId="06D8ED16" w14:textId="301ABAA8" w:rsidR="00BA79B8" w:rsidRPr="006617BC" w:rsidRDefault="00BA79B8" w:rsidP="002D2EF0">
      <w:pPr>
        <w:spacing w:before="120" w:line="276" w:lineRule="auto"/>
        <w:ind w:firstLine="709"/>
        <w:jc w:val="both"/>
        <w:rPr>
          <w:rFonts w:ascii="Arial" w:eastAsia="Calibri" w:hAnsi="Arial" w:cs="Arial"/>
          <w:bCs/>
          <w:color w:val="000000" w:themeColor="text1"/>
          <w:sz w:val="22"/>
          <w:szCs w:val="22"/>
          <w:lang w:val="es-ES_tradnl"/>
        </w:rPr>
      </w:pPr>
      <w:r w:rsidRPr="006617BC">
        <w:rPr>
          <w:rFonts w:ascii="Arial" w:eastAsia="Calibri" w:hAnsi="Arial" w:cs="Arial"/>
          <w:color w:val="000000" w:themeColor="text1"/>
          <w:sz w:val="22"/>
          <w:szCs w:val="22"/>
          <w:lang w:val="es-ES_tradnl"/>
        </w:rPr>
        <w:t xml:space="preserve">Es importante destacar que la Agencia Nacional de Contratación Pública – Colombia Compra Eficiente </w:t>
      </w:r>
      <w:r w:rsidR="002D2EF0" w:rsidRPr="006617BC">
        <w:rPr>
          <w:rFonts w:ascii="Arial" w:eastAsia="Calibri" w:hAnsi="Arial" w:cs="Arial"/>
          <w:bCs/>
          <w:color w:val="000000" w:themeColor="text1"/>
          <w:sz w:val="22"/>
          <w:szCs w:val="22"/>
          <w:lang w:val="es-ES_tradnl"/>
        </w:rPr>
        <w:t>en los conceptos C-005 del 16 de febrero de 2021, C-037 del 26 de febrero de 2021, C-035 del 02 de marzo de 2021, C-126 del 06 de abril de 2021, C-127 del 06 de abril de 2021, C-144 del 07 de abril de 2021, C-141 del 08 de abril de 2021, C-163 y C-164 del 19 de abril de 2021, C-242 del 25 de mayo de 2021, C-496 del 14 de septiembre de 2021 y C-573 de 13 de octubre de 2021, analizó el alcance del artículo 30 de la Ley 2069 de 2020. En el desarrollo del concepto se hará referencia al Decreto 1860 del 24 de diciembre de 2021, en relación con</w:t>
      </w:r>
      <w:r w:rsidR="00F3254A" w:rsidRPr="006617BC">
        <w:rPr>
          <w:rFonts w:ascii="Arial" w:eastAsia="Calibri" w:hAnsi="Arial" w:cs="Arial"/>
          <w:bCs/>
          <w:color w:val="000000" w:themeColor="text1"/>
          <w:sz w:val="22"/>
          <w:szCs w:val="22"/>
          <w:lang w:val="es-ES_tradnl"/>
        </w:rPr>
        <w:t xml:space="preserve"> la </w:t>
      </w:r>
      <w:r w:rsidR="002D2EF0" w:rsidRPr="006617BC">
        <w:rPr>
          <w:rFonts w:ascii="Arial" w:eastAsia="Calibri" w:hAnsi="Arial" w:cs="Arial"/>
          <w:bCs/>
          <w:color w:val="000000" w:themeColor="text1"/>
          <w:sz w:val="22"/>
          <w:szCs w:val="22"/>
          <w:lang w:val="es-ES_tradnl"/>
        </w:rPr>
        <w:t>modalidad de mínima cuantía.</w:t>
      </w:r>
    </w:p>
    <w:p w14:paraId="27DA9246" w14:textId="77777777" w:rsidR="00BA79B8" w:rsidRPr="006617BC" w:rsidRDefault="00BA79B8" w:rsidP="00F57715">
      <w:pPr>
        <w:spacing w:line="276" w:lineRule="auto"/>
        <w:ind w:firstLine="709"/>
        <w:jc w:val="both"/>
        <w:rPr>
          <w:rFonts w:ascii="Arial" w:eastAsia="Calibri" w:hAnsi="Arial" w:cs="Arial"/>
          <w:color w:val="000000" w:themeColor="text1"/>
          <w:sz w:val="22"/>
          <w:szCs w:val="22"/>
          <w:lang w:val="es-ES_tradnl"/>
        </w:rPr>
      </w:pPr>
    </w:p>
    <w:p w14:paraId="1EF9D299" w14:textId="7E085E7D" w:rsidR="008053EF" w:rsidRPr="006617BC" w:rsidRDefault="00CF148D" w:rsidP="00DF098E">
      <w:pPr>
        <w:tabs>
          <w:tab w:val="left" w:pos="709"/>
        </w:tabs>
        <w:spacing w:line="276" w:lineRule="auto"/>
        <w:jc w:val="both"/>
        <w:rPr>
          <w:rFonts w:ascii="Arial" w:eastAsia="Calibri" w:hAnsi="Arial" w:cs="Arial"/>
          <w:b/>
          <w:bCs/>
          <w:color w:val="000000"/>
          <w:sz w:val="22"/>
          <w:szCs w:val="22"/>
          <w:lang w:val="es-ES_tradnl" w:eastAsia="en-US"/>
        </w:rPr>
      </w:pPr>
      <w:r w:rsidRPr="006617BC">
        <w:rPr>
          <w:rFonts w:ascii="Arial" w:eastAsia="Calibri" w:hAnsi="Arial" w:cs="Arial"/>
          <w:b/>
          <w:bCs/>
          <w:color w:val="000000" w:themeColor="text1"/>
          <w:sz w:val="22"/>
          <w:szCs w:val="22"/>
          <w:lang w:val="es-ES_tradnl"/>
        </w:rPr>
        <w:t xml:space="preserve">2.1 </w:t>
      </w:r>
      <w:bookmarkStart w:id="3" w:name="_Hlk94169601"/>
      <w:r w:rsidR="008053EF" w:rsidRPr="006617BC">
        <w:rPr>
          <w:rFonts w:ascii="Arial" w:eastAsia="Calibri" w:hAnsi="Arial" w:cs="Arial"/>
          <w:b/>
          <w:bCs/>
          <w:color w:val="000000"/>
          <w:sz w:val="22"/>
          <w:szCs w:val="22"/>
          <w:lang w:val="es-ES_tradnl" w:eastAsia="en-US"/>
        </w:rPr>
        <w:t xml:space="preserve">Adquisiciones en grandes almacenes cuando se trate de la mínima cuantía </w:t>
      </w:r>
      <w:bookmarkEnd w:id="3"/>
      <w:r w:rsidR="002D2EF0" w:rsidRPr="006617BC">
        <w:rPr>
          <w:rFonts w:ascii="Arial" w:eastAsia="Calibri" w:hAnsi="Arial" w:cs="Arial"/>
          <w:b/>
          <w:bCs/>
          <w:color w:val="000000"/>
          <w:sz w:val="22"/>
          <w:szCs w:val="22"/>
          <w:lang w:val="es-ES_tradnl" w:eastAsia="en-US"/>
        </w:rPr>
        <w:t>de conformidad con el Decreto 1860 de 2021</w:t>
      </w:r>
    </w:p>
    <w:p w14:paraId="7110F4B9" w14:textId="77777777" w:rsidR="008053EF" w:rsidRPr="006617BC" w:rsidRDefault="008053EF" w:rsidP="008053EF">
      <w:pPr>
        <w:tabs>
          <w:tab w:val="left" w:pos="709"/>
        </w:tabs>
        <w:spacing w:line="276" w:lineRule="auto"/>
        <w:jc w:val="both"/>
        <w:rPr>
          <w:rFonts w:ascii="Arial" w:eastAsia="Calibri" w:hAnsi="Arial" w:cs="Arial"/>
          <w:b/>
          <w:bCs/>
          <w:color w:val="000000"/>
          <w:sz w:val="22"/>
          <w:szCs w:val="22"/>
          <w:lang w:val="es-ES_tradnl" w:eastAsia="en-US"/>
        </w:rPr>
      </w:pPr>
    </w:p>
    <w:p w14:paraId="32893F70" w14:textId="0BE870EE" w:rsidR="008053EF" w:rsidRPr="006617BC" w:rsidRDefault="008053EF" w:rsidP="008053EF">
      <w:pPr>
        <w:tabs>
          <w:tab w:val="left" w:pos="709"/>
        </w:tabs>
        <w:spacing w:after="120" w:line="276" w:lineRule="auto"/>
        <w:jc w:val="both"/>
        <w:rPr>
          <w:rFonts w:ascii="Arial" w:eastAsia="Calibri" w:hAnsi="Arial" w:cs="Arial"/>
          <w:bCs/>
          <w:color w:val="000000"/>
          <w:sz w:val="22"/>
          <w:szCs w:val="22"/>
          <w:lang w:val="es-ES_tradnl" w:eastAsia="en-US"/>
        </w:rPr>
      </w:pPr>
      <w:r w:rsidRPr="006617BC">
        <w:rPr>
          <w:rFonts w:ascii="Arial" w:eastAsia="Calibri" w:hAnsi="Arial" w:cs="Arial"/>
          <w:color w:val="000000"/>
          <w:sz w:val="22"/>
          <w:szCs w:val="22"/>
          <w:lang w:val="es-ES_tradnl" w:eastAsia="en-US"/>
        </w:rPr>
        <w:t xml:space="preserve">Recientemente se expidió el Decreto 1860 del 24 de diciembre de 2021 </w:t>
      </w:r>
      <w:r w:rsidRPr="006617BC">
        <w:rPr>
          <w:rFonts w:ascii="Arial" w:eastAsia="Calibri" w:hAnsi="Arial" w:cs="Arial"/>
          <w:bCs/>
          <w:color w:val="000000"/>
          <w:sz w:val="22"/>
          <w:szCs w:val="22"/>
          <w:lang w:val="es-ES_tradnl" w:eastAsia="en-US"/>
        </w:rPr>
        <w:t xml:space="preserve">«por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el </w:t>
      </w:r>
      <w:r w:rsidR="001F17D4" w:rsidRPr="006617BC">
        <w:rPr>
          <w:rFonts w:ascii="Arial" w:eastAsia="Calibri" w:hAnsi="Arial" w:cs="Arial"/>
          <w:bCs/>
          <w:color w:val="000000"/>
          <w:sz w:val="22"/>
          <w:szCs w:val="22"/>
          <w:lang w:val="es-ES_tradnl" w:eastAsia="en-US"/>
        </w:rPr>
        <w:t xml:space="preserve">mencionado </w:t>
      </w:r>
      <w:r w:rsidRPr="006617BC">
        <w:rPr>
          <w:rFonts w:ascii="Arial" w:eastAsia="Calibri" w:hAnsi="Arial" w:cs="Arial"/>
          <w:bCs/>
          <w:color w:val="000000"/>
          <w:sz w:val="22"/>
          <w:szCs w:val="22"/>
          <w:lang w:val="es-ES_tradnl" w:eastAsia="en-US"/>
        </w:rPr>
        <w:t xml:space="preserve">decreto se encuentra el procedimiento de mínima cuantía. De esta manera, el artículo 2 modifica la </w:t>
      </w:r>
      <w:r w:rsidRPr="006617BC">
        <w:rPr>
          <w:rFonts w:ascii="Arial" w:eastAsia="Calibri" w:hAnsi="Arial" w:cs="Arial"/>
          <w:bCs/>
          <w:color w:val="000000"/>
          <w:sz w:val="22"/>
          <w:szCs w:val="22"/>
          <w:lang w:val="es-ES_tradnl" w:eastAsia="en-US"/>
        </w:rPr>
        <w:lastRenderedPageBreak/>
        <w:t xml:space="preserve">Subsección 5 de la Sección 1 del Capítulo 2 del Título 1 de la Parte 2 del Libro 2 del Decreto 1082 de 2015, que se titula </w:t>
      </w:r>
      <w:r w:rsidR="004F7405" w:rsidRPr="006617BC">
        <w:rPr>
          <w:rFonts w:ascii="Arial" w:eastAsia="Calibri" w:hAnsi="Arial" w:cs="Arial"/>
          <w:bCs/>
          <w:color w:val="000000"/>
          <w:sz w:val="22"/>
          <w:szCs w:val="22"/>
          <w:lang w:val="es-ES_tradnl" w:eastAsia="en-US"/>
        </w:rPr>
        <w:t>«</w:t>
      </w:r>
      <w:r w:rsidRPr="006617BC">
        <w:rPr>
          <w:rFonts w:ascii="Arial" w:eastAsia="Calibri" w:hAnsi="Arial" w:cs="Arial"/>
          <w:bCs/>
          <w:color w:val="000000"/>
          <w:sz w:val="22"/>
          <w:szCs w:val="22"/>
          <w:lang w:val="es-ES_tradnl" w:eastAsia="en-US"/>
        </w:rPr>
        <w:t>mínima cuantía</w:t>
      </w:r>
      <w:r w:rsidR="004F7405" w:rsidRPr="006617BC">
        <w:rPr>
          <w:rFonts w:ascii="Arial" w:eastAsia="Calibri" w:hAnsi="Arial" w:cs="Arial"/>
          <w:bCs/>
          <w:color w:val="000000"/>
          <w:sz w:val="22"/>
          <w:szCs w:val="22"/>
          <w:lang w:val="es-ES_tradnl" w:eastAsia="en-US"/>
        </w:rPr>
        <w:t>»</w:t>
      </w:r>
      <w:r w:rsidRPr="006617BC">
        <w:rPr>
          <w:rFonts w:ascii="Arial" w:eastAsia="Calibri" w:hAnsi="Arial" w:cs="Arial"/>
          <w:bCs/>
          <w:color w:val="000000"/>
          <w:sz w:val="22"/>
          <w:szCs w:val="22"/>
          <w:lang w:val="es-ES_tradnl" w:eastAsia="en-US"/>
        </w:rPr>
        <w:t>, por lo que reglamenta esta modalidad de selección con fundamento en lo establecido en el artículo 30 de la Ley 2069 de 2020.</w:t>
      </w:r>
    </w:p>
    <w:p w14:paraId="56538A9F" w14:textId="0B320004" w:rsidR="008053EF" w:rsidRPr="006617BC" w:rsidRDefault="008053EF" w:rsidP="008053EF">
      <w:pPr>
        <w:tabs>
          <w:tab w:val="left" w:pos="709"/>
        </w:tabs>
        <w:spacing w:after="120" w:line="276" w:lineRule="auto"/>
        <w:jc w:val="both"/>
        <w:rPr>
          <w:rFonts w:ascii="Arial" w:eastAsia="Calibri" w:hAnsi="Arial" w:cs="Arial"/>
          <w:bCs/>
          <w:color w:val="000000"/>
          <w:sz w:val="22"/>
          <w:szCs w:val="22"/>
          <w:lang w:val="es-ES_tradnl" w:eastAsia="en-US"/>
        </w:rPr>
      </w:pPr>
      <w:r w:rsidRPr="006617BC">
        <w:rPr>
          <w:rFonts w:ascii="Arial" w:eastAsia="Calibri" w:hAnsi="Arial" w:cs="Arial"/>
          <w:bCs/>
          <w:color w:val="000000"/>
          <w:sz w:val="22"/>
          <w:szCs w:val="22"/>
          <w:lang w:val="es-ES_tradnl" w:eastAsia="en-US"/>
        </w:rPr>
        <w:tab/>
        <w:t xml:space="preserve">Teniendo en cuenta lo anterior, la nueva Subsección 5 a que se hizo referencia contiene los siguientes artículos: i) 2.2.1.2.1.5.1. que se ocupa de desarrollar el contenido de los estudios previos para la contratación de mínima cuantía. </w:t>
      </w:r>
      <w:proofErr w:type="spellStart"/>
      <w:r w:rsidRPr="006617BC">
        <w:rPr>
          <w:rFonts w:ascii="Arial" w:eastAsia="Calibri" w:hAnsi="Arial" w:cs="Arial"/>
          <w:bCs/>
          <w:color w:val="000000"/>
          <w:sz w:val="22"/>
          <w:szCs w:val="22"/>
          <w:lang w:val="es-ES_tradnl" w:eastAsia="en-US"/>
        </w:rPr>
        <w:t>ii</w:t>
      </w:r>
      <w:proofErr w:type="spellEnd"/>
      <w:r w:rsidRPr="006617BC">
        <w:rPr>
          <w:rFonts w:ascii="Arial" w:eastAsia="Calibri" w:hAnsi="Arial" w:cs="Arial"/>
          <w:bCs/>
          <w:color w:val="000000"/>
          <w:sz w:val="22"/>
          <w:szCs w:val="22"/>
          <w:lang w:val="es-ES_tradnl" w:eastAsia="en-US"/>
        </w:rPr>
        <w:t xml:space="preserve">) 2.2.1.2.1.5.2. que contiene el procedimiento general de la mínima cuantía, señalando el contenido mínimo de la «invitación» y las distintas etapas y reglas que estructuran esta modalidad de selección, incluyendo la forma en que procederán las convocatorias limitadas a </w:t>
      </w:r>
      <w:proofErr w:type="spellStart"/>
      <w:r w:rsidR="00F3254A" w:rsidRPr="006617BC">
        <w:rPr>
          <w:rFonts w:ascii="Arial" w:eastAsia="Calibri" w:hAnsi="Arial" w:cs="Arial"/>
          <w:bCs/>
          <w:color w:val="000000"/>
          <w:sz w:val="22"/>
          <w:szCs w:val="22"/>
          <w:lang w:val="es-ES_tradnl" w:eastAsia="en-US"/>
        </w:rPr>
        <w:t>M</w:t>
      </w:r>
      <w:r w:rsidRPr="006617BC">
        <w:rPr>
          <w:rFonts w:ascii="Arial" w:eastAsia="Calibri" w:hAnsi="Arial" w:cs="Arial"/>
          <w:bCs/>
          <w:color w:val="000000"/>
          <w:sz w:val="22"/>
          <w:szCs w:val="22"/>
          <w:lang w:val="es-ES_tradnl" w:eastAsia="en-US"/>
        </w:rPr>
        <w:t>ipyme</w:t>
      </w:r>
      <w:proofErr w:type="spellEnd"/>
      <w:r w:rsidRPr="006617BC">
        <w:rPr>
          <w:rFonts w:ascii="Arial" w:eastAsia="Calibri" w:hAnsi="Arial" w:cs="Arial"/>
          <w:bCs/>
          <w:color w:val="000000"/>
          <w:sz w:val="22"/>
          <w:szCs w:val="22"/>
          <w:lang w:val="es-ES_tradnl" w:eastAsia="en-US"/>
        </w:rPr>
        <w:t>, de acuerdo con el mandato del parágrafo 1 del artículo 30 de la Ley 2069 de 2020</w:t>
      </w:r>
      <w:r w:rsidRPr="006617BC">
        <w:rPr>
          <w:rFonts w:ascii="Arial" w:eastAsia="Calibri" w:hAnsi="Arial" w:cs="Arial"/>
          <w:bCs/>
          <w:color w:val="000000"/>
          <w:sz w:val="22"/>
          <w:szCs w:val="22"/>
          <w:vertAlign w:val="superscript"/>
          <w:lang w:val="es-ES_tradnl" w:eastAsia="en-US"/>
        </w:rPr>
        <w:footnoteReference w:id="2"/>
      </w:r>
      <w:r w:rsidRPr="006617BC">
        <w:rPr>
          <w:rFonts w:ascii="Arial" w:eastAsia="Calibri" w:hAnsi="Arial" w:cs="Arial"/>
          <w:bCs/>
          <w:color w:val="000000"/>
          <w:sz w:val="22"/>
          <w:szCs w:val="22"/>
          <w:lang w:val="es-ES_tradnl" w:eastAsia="en-US"/>
        </w:rPr>
        <w:t xml:space="preserve">. </w:t>
      </w:r>
      <w:proofErr w:type="spellStart"/>
      <w:r w:rsidRPr="006617BC">
        <w:rPr>
          <w:rFonts w:ascii="Arial" w:eastAsia="Calibri" w:hAnsi="Arial" w:cs="Arial"/>
          <w:bCs/>
          <w:color w:val="000000"/>
          <w:sz w:val="22"/>
          <w:szCs w:val="22"/>
          <w:lang w:val="es-ES_tradnl" w:eastAsia="en-US"/>
        </w:rPr>
        <w:t>iii</w:t>
      </w:r>
      <w:proofErr w:type="spellEnd"/>
      <w:r w:rsidRPr="006617BC">
        <w:rPr>
          <w:rFonts w:ascii="Arial" w:eastAsia="Calibri" w:hAnsi="Arial" w:cs="Arial"/>
          <w:bCs/>
          <w:color w:val="000000"/>
          <w:sz w:val="22"/>
          <w:szCs w:val="22"/>
          <w:lang w:val="es-ES_tradnl" w:eastAsia="en-US"/>
        </w:rPr>
        <w:t xml:space="preserve">) 2.2.1.2.1.5.3. que regula un procedimiento especial para las adquisiciones en grandes almacenes cuando se trate de mínima cuantía. </w:t>
      </w:r>
      <w:proofErr w:type="spellStart"/>
      <w:r w:rsidRPr="006617BC">
        <w:rPr>
          <w:rFonts w:ascii="Arial" w:eastAsia="Calibri" w:hAnsi="Arial" w:cs="Arial"/>
          <w:bCs/>
          <w:color w:val="000000"/>
          <w:sz w:val="22"/>
          <w:szCs w:val="22"/>
          <w:lang w:val="es-ES_tradnl" w:eastAsia="en-US"/>
        </w:rPr>
        <w:t>iv</w:t>
      </w:r>
      <w:proofErr w:type="spellEnd"/>
      <w:r w:rsidRPr="006617BC">
        <w:rPr>
          <w:rFonts w:ascii="Arial" w:eastAsia="Calibri" w:hAnsi="Arial" w:cs="Arial"/>
          <w:bCs/>
          <w:color w:val="000000"/>
          <w:sz w:val="22"/>
          <w:szCs w:val="22"/>
          <w:lang w:val="es-ES_tradnl" w:eastAsia="en-US"/>
        </w:rPr>
        <w:t xml:space="preserve">) 2.2.1.2.1.5.4. el cual establece la posibilidad de la Agencia Nacional de Contratación Pública – Colombia Compra Eficiente </w:t>
      </w:r>
      <w:r w:rsidR="00B80C5F" w:rsidRPr="006617BC">
        <w:rPr>
          <w:rFonts w:ascii="Arial" w:eastAsia="Calibri" w:hAnsi="Arial" w:cs="Arial"/>
          <w:bCs/>
          <w:color w:val="000000"/>
          <w:sz w:val="22"/>
          <w:szCs w:val="22"/>
          <w:lang w:val="es-ES_tradnl" w:eastAsia="en-US"/>
        </w:rPr>
        <w:t>defina</w:t>
      </w:r>
      <w:r w:rsidRPr="006617BC">
        <w:rPr>
          <w:rFonts w:ascii="Arial" w:eastAsia="Calibri" w:hAnsi="Arial" w:cs="Arial"/>
          <w:bCs/>
          <w:color w:val="000000"/>
          <w:sz w:val="22"/>
          <w:szCs w:val="22"/>
          <w:lang w:val="es-ES_tradnl" w:eastAsia="en-US"/>
        </w:rPr>
        <w:t xml:space="preserve"> las reglas para la utilización de </w:t>
      </w:r>
      <w:r w:rsidR="00AC229B" w:rsidRPr="006617BC">
        <w:rPr>
          <w:rFonts w:ascii="Arial" w:eastAsia="Calibri" w:hAnsi="Arial" w:cs="Arial"/>
          <w:bCs/>
          <w:color w:val="000000"/>
          <w:sz w:val="22"/>
          <w:szCs w:val="22"/>
          <w:lang w:val="es-ES_tradnl" w:eastAsia="en-US"/>
        </w:rPr>
        <w:t>i</w:t>
      </w:r>
      <w:r w:rsidRPr="006617BC">
        <w:rPr>
          <w:rFonts w:ascii="Arial" w:eastAsia="Calibri" w:hAnsi="Arial" w:cs="Arial"/>
          <w:bCs/>
          <w:color w:val="000000"/>
          <w:sz w:val="22"/>
          <w:szCs w:val="22"/>
          <w:lang w:val="es-ES_tradnl" w:eastAsia="en-US"/>
        </w:rPr>
        <w:t xml:space="preserve">nstrumentos de agregación de demanda en la Tienda Virtual del Estado Colombiano para adquisiciones hasta el monto de la mínima cuantía con </w:t>
      </w:r>
      <w:proofErr w:type="spellStart"/>
      <w:r w:rsidRPr="006617BC">
        <w:rPr>
          <w:rFonts w:ascii="Arial" w:eastAsia="Calibri" w:hAnsi="Arial" w:cs="Arial"/>
          <w:bCs/>
          <w:color w:val="000000"/>
          <w:sz w:val="22"/>
          <w:szCs w:val="22"/>
          <w:lang w:val="es-ES_tradnl" w:eastAsia="en-US"/>
        </w:rPr>
        <w:t>Mipyme</w:t>
      </w:r>
      <w:proofErr w:type="spellEnd"/>
      <w:r w:rsidRPr="006617BC">
        <w:rPr>
          <w:rFonts w:ascii="Arial" w:eastAsia="Calibri" w:hAnsi="Arial" w:cs="Arial"/>
          <w:bCs/>
          <w:color w:val="000000"/>
          <w:sz w:val="22"/>
          <w:szCs w:val="22"/>
          <w:lang w:val="es-ES_tradnl" w:eastAsia="en-US"/>
        </w:rPr>
        <w:t xml:space="preserve"> y con grandes almacenes. Y v) 2.2.1.2.1.5.5. el cual establece que la entidad estatal es libre de exigir o no garantías en el proceso de selección de mínima cuantía y en la adquisición de «grandes almacenes».</w:t>
      </w:r>
    </w:p>
    <w:p w14:paraId="5DF9D4EB" w14:textId="1A9545E4" w:rsidR="008053EF" w:rsidRPr="006617BC" w:rsidRDefault="008053EF" w:rsidP="008053EF">
      <w:pPr>
        <w:tabs>
          <w:tab w:val="left" w:pos="709"/>
        </w:tabs>
        <w:spacing w:after="120" w:line="276" w:lineRule="auto"/>
        <w:jc w:val="both"/>
        <w:rPr>
          <w:rFonts w:ascii="Arial" w:eastAsia="Calibri" w:hAnsi="Arial" w:cs="Arial"/>
          <w:bCs/>
          <w:color w:val="000000"/>
          <w:sz w:val="22"/>
          <w:szCs w:val="22"/>
          <w:lang w:val="es-ES_tradnl" w:eastAsia="en-US"/>
        </w:rPr>
      </w:pPr>
      <w:r w:rsidRPr="006617BC">
        <w:rPr>
          <w:rFonts w:ascii="Arial" w:eastAsia="Calibri" w:hAnsi="Arial" w:cs="Arial"/>
          <w:bCs/>
          <w:color w:val="000000"/>
          <w:sz w:val="22"/>
          <w:szCs w:val="22"/>
          <w:lang w:val="es-ES_tradnl" w:eastAsia="en-US"/>
        </w:rPr>
        <w:tab/>
        <w:t>De esta manera, el artículo 2 del Decreto 1860 de 2021, que modifica los artículos del Decreto 1082 de 2015 expuestos en el párrafo anterior, constituye la reglamentación del artículo 30 de la Ley 2069 de 2020, al desarrollar las reglas aplicables a esta modalidad de selección. En este sentido, el reglamento citado constituye la nueva regulación de la modalidad de mínima cuantía la cual entró a regir</w:t>
      </w:r>
      <w:r w:rsidR="00F3254A" w:rsidRPr="006617BC">
        <w:rPr>
          <w:rFonts w:ascii="Arial" w:eastAsia="Calibri" w:hAnsi="Arial" w:cs="Arial"/>
          <w:bCs/>
          <w:color w:val="000000"/>
          <w:sz w:val="22"/>
          <w:szCs w:val="22"/>
          <w:lang w:val="es-ES_tradnl" w:eastAsia="en-US"/>
        </w:rPr>
        <w:t xml:space="preserve"> </w:t>
      </w:r>
      <w:r w:rsidR="00280267" w:rsidRPr="006617BC">
        <w:rPr>
          <w:rFonts w:ascii="Arial" w:eastAsia="Calibri" w:hAnsi="Arial" w:cs="Arial"/>
          <w:bCs/>
          <w:color w:val="000000"/>
          <w:sz w:val="22"/>
          <w:szCs w:val="22"/>
          <w:lang w:val="es-ES_tradnl" w:eastAsia="en-US"/>
        </w:rPr>
        <w:t xml:space="preserve">para los procedimientos de selección cuya invitación, </w:t>
      </w:r>
      <w:r w:rsidR="00280267" w:rsidRPr="006617BC">
        <w:rPr>
          <w:rFonts w:ascii="Arial" w:eastAsia="Calibri" w:hAnsi="Arial" w:cs="Arial"/>
          <w:color w:val="000000"/>
          <w:sz w:val="22"/>
          <w:szCs w:val="22"/>
          <w:lang w:val="es-ES_tradnl" w:eastAsia="en-US"/>
        </w:rPr>
        <w:t xml:space="preserve">aviso de convocatoria o documento equivalente se publique a partir del 24 de marzo de 2022. </w:t>
      </w:r>
    </w:p>
    <w:p w14:paraId="5608DB7E" w14:textId="7FB713BD" w:rsidR="004F507C" w:rsidRPr="006617BC" w:rsidRDefault="004F507C" w:rsidP="004F507C">
      <w:pPr>
        <w:spacing w:before="120" w:after="120" w:line="276" w:lineRule="auto"/>
        <w:ind w:firstLine="708"/>
        <w:jc w:val="both"/>
        <w:rPr>
          <w:rFonts w:ascii="Arial" w:eastAsia="Calibri" w:hAnsi="Arial" w:cs="Arial"/>
          <w:color w:val="000000" w:themeColor="text1"/>
          <w:sz w:val="22"/>
          <w:lang w:val="es-ES_tradnl"/>
        </w:rPr>
      </w:pPr>
      <w:r w:rsidRPr="006617BC">
        <w:rPr>
          <w:rFonts w:ascii="Arial" w:eastAsia="Calibri" w:hAnsi="Arial" w:cs="Arial"/>
          <w:color w:val="000000" w:themeColor="text1"/>
          <w:sz w:val="22"/>
          <w:lang w:val="es-ES_tradnl"/>
        </w:rPr>
        <w:t>La mínima cuantía es una modalidad de selección en virtud de la cual la entidad estatal realiza una convocatoria pública para recibir ofertas de bienes, obras o servicios cuyo valor no excede el diez por ciento (10%) de la menor cuantía. El factor determinante para llevar a cabo tal procedimiento es la cuantía –calculada como presupuesto oficial a partir del estudio del sector–, independientemente de su objeto</w:t>
      </w:r>
      <w:r w:rsidRPr="006617BC">
        <w:rPr>
          <w:rStyle w:val="Refdenotaalpie"/>
          <w:rFonts w:ascii="Arial" w:eastAsia="Calibri" w:hAnsi="Arial" w:cs="Arial"/>
          <w:color w:val="000000" w:themeColor="text1"/>
          <w:sz w:val="22"/>
          <w:lang w:val="es-ES_tradnl"/>
        </w:rPr>
        <w:footnoteReference w:id="3"/>
      </w:r>
      <w:r w:rsidRPr="006617BC">
        <w:rPr>
          <w:rFonts w:ascii="Arial" w:eastAsia="Calibri" w:hAnsi="Arial" w:cs="Arial"/>
          <w:color w:val="000000" w:themeColor="text1"/>
          <w:sz w:val="22"/>
          <w:lang w:val="es-ES_tradnl"/>
        </w:rPr>
        <w:t xml:space="preserve">. </w:t>
      </w:r>
    </w:p>
    <w:p w14:paraId="546A2F6F" w14:textId="10AE34DD" w:rsidR="008053EF" w:rsidRPr="006617BC" w:rsidRDefault="004F507C" w:rsidP="004F507C">
      <w:pPr>
        <w:tabs>
          <w:tab w:val="left" w:pos="709"/>
        </w:tabs>
        <w:spacing w:line="276" w:lineRule="auto"/>
        <w:ind w:firstLine="709"/>
        <w:jc w:val="both"/>
        <w:rPr>
          <w:rFonts w:ascii="Arial" w:eastAsia="Calibri" w:hAnsi="Arial" w:cs="Arial"/>
          <w:bCs/>
          <w:color w:val="000000"/>
          <w:sz w:val="22"/>
          <w:szCs w:val="22"/>
          <w:lang w:val="es-ES_tradnl" w:eastAsia="en-US"/>
        </w:rPr>
      </w:pPr>
      <w:r w:rsidRPr="006617BC">
        <w:rPr>
          <w:rFonts w:ascii="Arial" w:eastAsia="Calibri" w:hAnsi="Arial" w:cs="Arial"/>
          <w:color w:val="000000" w:themeColor="text1"/>
          <w:sz w:val="22"/>
          <w:lang w:val="es-ES_tradnl"/>
        </w:rPr>
        <w:lastRenderedPageBreak/>
        <w:t>Dicho de otro modo, la mínima cuantía es un procedimiento de selección «exceptivo»</w:t>
      </w:r>
      <w:r w:rsidRPr="006617BC">
        <w:rPr>
          <w:rStyle w:val="Refdenotaalpie"/>
          <w:rFonts w:ascii="Arial" w:eastAsia="Calibri" w:hAnsi="Arial" w:cs="Arial"/>
          <w:color w:val="000000" w:themeColor="text1"/>
          <w:sz w:val="22"/>
          <w:lang w:val="es-ES_tradnl"/>
        </w:rPr>
        <w:footnoteReference w:id="4"/>
      </w:r>
      <w:r w:rsidRPr="006617BC">
        <w:rPr>
          <w:rFonts w:ascii="Arial" w:eastAsia="Calibri" w:hAnsi="Arial" w:cs="Arial"/>
          <w:color w:val="000000" w:themeColor="text1"/>
          <w:sz w:val="22"/>
          <w:lang w:val="es-ES_tradnl"/>
        </w:rPr>
        <w:t>, porque es una excepción adicional a la regla general constituida por la licitación pública</w:t>
      </w:r>
      <w:r w:rsidR="002E3AD2" w:rsidRPr="006617BC">
        <w:rPr>
          <w:rFonts w:ascii="Arial" w:eastAsia="Calibri" w:hAnsi="Arial" w:cs="Arial"/>
          <w:color w:val="000000" w:themeColor="text1"/>
          <w:sz w:val="22"/>
          <w:lang w:val="es-ES_tradnl"/>
        </w:rPr>
        <w:t xml:space="preserve">. Aunque ambas modalidades implican </w:t>
      </w:r>
      <w:r w:rsidRPr="006617BC">
        <w:rPr>
          <w:rFonts w:ascii="Arial" w:eastAsia="Calibri" w:hAnsi="Arial" w:cs="Arial"/>
          <w:color w:val="000000" w:themeColor="text1"/>
          <w:sz w:val="22"/>
          <w:lang w:val="es-ES_tradnl"/>
        </w:rPr>
        <w:t xml:space="preserve">un llamado general a presentar ofertas, efectuado por la entidad estatal interesada en contratar, </w:t>
      </w:r>
      <w:r w:rsidR="00A950F2" w:rsidRPr="006617BC">
        <w:rPr>
          <w:rFonts w:ascii="Arial" w:eastAsia="Calibri" w:hAnsi="Arial" w:cs="Arial"/>
          <w:color w:val="000000" w:themeColor="text1"/>
          <w:sz w:val="22"/>
          <w:lang w:val="es-ES_tradnl"/>
        </w:rPr>
        <w:t xml:space="preserve">la mínima cuantía </w:t>
      </w:r>
      <w:r w:rsidRPr="006617BC">
        <w:rPr>
          <w:rFonts w:ascii="Arial" w:eastAsia="Calibri" w:hAnsi="Arial" w:cs="Arial"/>
          <w:color w:val="000000" w:themeColor="text1"/>
          <w:sz w:val="22"/>
          <w:lang w:val="es-ES_tradnl"/>
        </w:rPr>
        <w:t>es distinta</w:t>
      </w:r>
      <w:r w:rsidR="00A950F2" w:rsidRPr="006617BC">
        <w:rPr>
          <w:rFonts w:ascii="Arial" w:eastAsia="Calibri" w:hAnsi="Arial" w:cs="Arial"/>
          <w:color w:val="000000" w:themeColor="text1"/>
          <w:sz w:val="22"/>
          <w:lang w:val="es-ES_tradnl"/>
        </w:rPr>
        <w:t xml:space="preserve"> de la licitación</w:t>
      </w:r>
      <w:r w:rsidRPr="006617BC">
        <w:rPr>
          <w:rFonts w:ascii="Arial" w:eastAsia="Calibri" w:hAnsi="Arial" w:cs="Arial"/>
          <w:color w:val="000000" w:themeColor="text1"/>
          <w:sz w:val="22"/>
          <w:lang w:val="es-ES_tradnl"/>
        </w:rPr>
        <w:t xml:space="preserve"> en otros aspectos, como su conducencia y su procedimiento</w:t>
      </w:r>
      <w:r w:rsidR="006B0ED2" w:rsidRPr="006617BC">
        <w:rPr>
          <w:rFonts w:ascii="Arial" w:eastAsia="Calibri" w:hAnsi="Arial" w:cs="Arial"/>
          <w:color w:val="000000" w:themeColor="text1"/>
          <w:sz w:val="22"/>
          <w:lang w:val="es-ES_tradnl"/>
        </w:rPr>
        <w:t>:</w:t>
      </w:r>
      <w:r w:rsidRPr="006617BC">
        <w:rPr>
          <w:rFonts w:ascii="Arial" w:eastAsia="Calibri" w:hAnsi="Arial" w:cs="Arial"/>
          <w:color w:val="000000" w:themeColor="text1"/>
          <w:sz w:val="22"/>
          <w:lang w:val="es-ES_tradnl"/>
        </w:rPr>
        <w:t xml:space="preserve"> lo primero, porque solo procede por razón de una cuantía específica</w:t>
      </w:r>
      <w:r w:rsidRPr="006617BC">
        <w:rPr>
          <w:rStyle w:val="Refdenotaalpie"/>
          <w:rFonts w:ascii="Arial" w:eastAsia="Calibri" w:hAnsi="Arial" w:cs="Arial"/>
          <w:color w:val="000000" w:themeColor="text1"/>
          <w:sz w:val="22"/>
          <w:lang w:val="es-ES_tradnl"/>
        </w:rPr>
        <w:footnoteReference w:id="5"/>
      </w:r>
      <w:r w:rsidRPr="006617BC">
        <w:rPr>
          <w:rFonts w:ascii="Arial" w:eastAsia="Calibri" w:hAnsi="Arial" w:cs="Arial"/>
          <w:color w:val="000000" w:themeColor="text1"/>
          <w:sz w:val="22"/>
          <w:lang w:val="es-ES_tradnl"/>
        </w:rPr>
        <w:t xml:space="preserve">, y lo segundo, porque sus requisitos, etapas y términos son </w:t>
      </w:r>
      <w:r w:rsidR="000339D4" w:rsidRPr="006617BC">
        <w:rPr>
          <w:rFonts w:ascii="Arial" w:eastAsia="Calibri" w:hAnsi="Arial" w:cs="Arial"/>
          <w:color w:val="000000" w:themeColor="text1"/>
          <w:sz w:val="22"/>
          <w:lang w:val="es-ES_tradnl"/>
        </w:rPr>
        <w:t>especiales</w:t>
      </w:r>
      <w:r w:rsidRPr="006617BC">
        <w:rPr>
          <w:rFonts w:ascii="Arial" w:eastAsia="Calibri" w:hAnsi="Arial" w:cs="Arial"/>
          <w:color w:val="000000" w:themeColor="text1"/>
          <w:sz w:val="22"/>
          <w:lang w:val="es-ES_tradnl"/>
        </w:rPr>
        <w:t xml:space="preserve">. </w:t>
      </w:r>
      <w:r w:rsidR="00477C33" w:rsidRPr="006617BC">
        <w:rPr>
          <w:rFonts w:ascii="Arial" w:eastAsia="Calibri" w:hAnsi="Arial" w:cs="Arial"/>
          <w:color w:val="000000"/>
          <w:sz w:val="22"/>
          <w:szCs w:val="22"/>
          <w:lang w:val="es-ES_tradnl" w:eastAsia="en-US"/>
        </w:rPr>
        <w:t xml:space="preserve">En relación con el procedimiento </w:t>
      </w:r>
      <w:r w:rsidR="00477C33" w:rsidRPr="006617BC">
        <w:rPr>
          <w:rFonts w:ascii="Arial" w:eastAsia="Calibri" w:hAnsi="Arial" w:cs="Arial"/>
          <w:bCs/>
          <w:color w:val="000000"/>
          <w:sz w:val="22"/>
          <w:szCs w:val="22"/>
          <w:lang w:val="es-ES_tradnl" w:eastAsia="en-US"/>
        </w:rPr>
        <w:t xml:space="preserve">especial para las adquisiciones en grandes almacenes cuando se trate de mínima cuantía, el artículo 2.2.1.2.1.5.3. del Decreto 1082 de 2015 dispone lo siguiente: </w:t>
      </w:r>
    </w:p>
    <w:p w14:paraId="346DB788" w14:textId="77777777" w:rsidR="00477C33" w:rsidRPr="006617BC" w:rsidRDefault="00477C33" w:rsidP="008053EF">
      <w:pPr>
        <w:tabs>
          <w:tab w:val="left" w:pos="709"/>
        </w:tabs>
        <w:spacing w:line="276" w:lineRule="auto"/>
        <w:jc w:val="both"/>
        <w:rPr>
          <w:rFonts w:ascii="Arial" w:eastAsia="Calibri" w:hAnsi="Arial" w:cs="Arial"/>
          <w:bCs/>
          <w:color w:val="000000"/>
          <w:sz w:val="22"/>
          <w:szCs w:val="22"/>
          <w:lang w:val="es-ES_tradnl" w:eastAsia="en-US"/>
        </w:rPr>
      </w:pPr>
    </w:p>
    <w:p w14:paraId="193B7446" w14:textId="7A21A950" w:rsidR="00477C33" w:rsidRPr="006617BC" w:rsidRDefault="00477C33" w:rsidP="00477C33">
      <w:pPr>
        <w:ind w:left="709" w:right="758"/>
        <w:jc w:val="both"/>
        <w:rPr>
          <w:rFonts w:ascii="Arial" w:eastAsiaTheme="minorHAnsi" w:hAnsi="Arial" w:cs="Arial"/>
          <w:color w:val="000000" w:themeColor="text1"/>
          <w:sz w:val="21"/>
          <w:szCs w:val="21"/>
          <w:lang w:val="es-ES_tradnl" w:eastAsia="en-US"/>
        </w:rPr>
      </w:pPr>
      <w:r w:rsidRPr="006617BC">
        <w:rPr>
          <w:rFonts w:ascii="Arial" w:eastAsiaTheme="minorHAnsi" w:hAnsi="Arial" w:cs="Arial"/>
          <w:color w:val="000000" w:themeColor="text1"/>
          <w:sz w:val="21"/>
          <w:szCs w:val="21"/>
          <w:lang w:val="es-ES_tradnl" w:eastAsia="en-US"/>
        </w:rPr>
        <w:t>Artículo 2.2.1.2.1.5.3. Adquisiciones en grandes almacenes cuando se trate de mínima cuantía. Las Entidades Estatales deben aplicar las siguientes reglas cuando decidan adquirir bienes hasta por</w:t>
      </w:r>
      <w:r w:rsidR="002851C6" w:rsidRPr="006617BC">
        <w:rPr>
          <w:rFonts w:ascii="Arial" w:eastAsiaTheme="minorHAnsi" w:hAnsi="Arial" w:cs="Arial"/>
          <w:color w:val="000000" w:themeColor="text1"/>
          <w:sz w:val="21"/>
          <w:szCs w:val="21"/>
          <w:lang w:val="es-ES_tradnl" w:eastAsia="en-US"/>
        </w:rPr>
        <w:t xml:space="preserve"> el</w:t>
      </w:r>
      <w:r w:rsidRPr="006617BC">
        <w:rPr>
          <w:rFonts w:ascii="Arial" w:eastAsiaTheme="minorHAnsi" w:hAnsi="Arial" w:cs="Arial"/>
          <w:color w:val="000000" w:themeColor="text1"/>
          <w:sz w:val="21"/>
          <w:szCs w:val="21"/>
          <w:lang w:val="es-ES_tradnl" w:eastAsia="en-US"/>
        </w:rPr>
        <w:t xml:space="preserve"> monto de su mínima cuantía en establecimientos que correspondan a la definición de "gran almacén" señalada por la Superintendencia de Industria y Comercio: </w:t>
      </w:r>
    </w:p>
    <w:p w14:paraId="2891A5F7" w14:textId="77777777" w:rsidR="00477C33" w:rsidRPr="006617BC" w:rsidRDefault="00477C33" w:rsidP="00477C33">
      <w:pPr>
        <w:ind w:left="709" w:right="758"/>
        <w:jc w:val="both"/>
        <w:rPr>
          <w:rFonts w:ascii="Arial" w:eastAsiaTheme="minorHAnsi" w:hAnsi="Arial" w:cs="Arial"/>
          <w:color w:val="000000" w:themeColor="text1"/>
          <w:sz w:val="21"/>
          <w:szCs w:val="21"/>
          <w:lang w:val="es-ES_tradnl" w:eastAsia="en-US"/>
        </w:rPr>
      </w:pPr>
    </w:p>
    <w:p w14:paraId="65C39F30" w14:textId="4EC66BF1" w:rsidR="002851C6" w:rsidRPr="006617BC" w:rsidRDefault="00477C33" w:rsidP="00477C33">
      <w:pPr>
        <w:ind w:left="709" w:right="758"/>
        <w:jc w:val="both"/>
        <w:rPr>
          <w:rFonts w:ascii="Arial" w:eastAsiaTheme="minorHAnsi" w:hAnsi="Arial" w:cs="Arial"/>
          <w:color w:val="000000" w:themeColor="text1"/>
          <w:sz w:val="21"/>
          <w:szCs w:val="21"/>
          <w:lang w:val="es-ES_tradnl" w:eastAsia="en-US"/>
        </w:rPr>
      </w:pPr>
      <w:r w:rsidRPr="006617BC">
        <w:rPr>
          <w:rFonts w:ascii="Arial" w:eastAsiaTheme="minorHAnsi" w:hAnsi="Arial" w:cs="Arial"/>
          <w:color w:val="000000" w:themeColor="text1"/>
          <w:sz w:val="21"/>
          <w:szCs w:val="21"/>
          <w:lang w:val="es-ES_tradnl" w:eastAsia="en-US"/>
        </w:rPr>
        <w:t xml:space="preserve">1. La invitación debe estar dirigida a los grandes almacenes. Esta invitación deberá publicarse en el SECOP y en la página web de la entidad, y contendrá como mínimo: a) la descripción técnica, detallada y completa del bien, identificado con el cuarto nivel del Clasificador de Bienes y Servicios, de ser posible, o de lo </w:t>
      </w:r>
      <w:r w:rsidR="00BA6602" w:rsidRPr="006617BC">
        <w:rPr>
          <w:rFonts w:ascii="Arial" w:eastAsiaTheme="minorHAnsi" w:hAnsi="Arial" w:cs="Arial"/>
          <w:color w:val="000000" w:themeColor="text1"/>
          <w:sz w:val="21"/>
          <w:szCs w:val="21"/>
          <w:lang w:val="es-ES_tradnl" w:eastAsia="en-US"/>
        </w:rPr>
        <w:t>contrario</w:t>
      </w:r>
      <w:r w:rsidRPr="006617BC">
        <w:rPr>
          <w:rFonts w:ascii="Arial" w:eastAsiaTheme="minorHAnsi" w:hAnsi="Arial" w:cs="Arial"/>
          <w:color w:val="000000" w:themeColor="text1"/>
          <w:sz w:val="21"/>
          <w:szCs w:val="21"/>
          <w:lang w:val="es-ES_tradnl" w:eastAsia="en-US"/>
        </w:rPr>
        <w:t xml:space="preserve"> con el tercer nivel; b) la forma de pago; c) el lugar de entrega; d) el plazo para la entrega de la cotización que debe ser de mínimo un (1) día hábil; e) la forma y el lugar de presentación de la cotización, y f) la disponibilidad presupuesta</w:t>
      </w:r>
      <w:r w:rsidR="002851C6" w:rsidRPr="006617BC">
        <w:rPr>
          <w:rFonts w:ascii="Arial" w:eastAsiaTheme="minorHAnsi" w:hAnsi="Arial" w:cs="Arial"/>
          <w:color w:val="000000" w:themeColor="text1"/>
          <w:sz w:val="21"/>
          <w:szCs w:val="21"/>
          <w:lang w:val="es-ES_tradnl" w:eastAsia="en-US"/>
        </w:rPr>
        <w:t>l.</w:t>
      </w:r>
    </w:p>
    <w:p w14:paraId="4880513D" w14:textId="77777777" w:rsidR="002851C6" w:rsidRPr="006617BC" w:rsidRDefault="002851C6" w:rsidP="00477C33">
      <w:pPr>
        <w:ind w:left="709" w:right="758"/>
        <w:jc w:val="both"/>
        <w:rPr>
          <w:rFonts w:ascii="Arial" w:eastAsiaTheme="minorHAnsi" w:hAnsi="Arial" w:cs="Arial"/>
          <w:color w:val="000000" w:themeColor="text1"/>
          <w:sz w:val="21"/>
          <w:szCs w:val="21"/>
          <w:lang w:val="es-ES_tradnl" w:eastAsia="en-US"/>
        </w:rPr>
      </w:pPr>
    </w:p>
    <w:p w14:paraId="4F055CC1" w14:textId="77777777" w:rsidR="002851C6" w:rsidRPr="006617BC" w:rsidRDefault="00477C33" w:rsidP="00477C33">
      <w:pPr>
        <w:ind w:left="709" w:right="758"/>
        <w:jc w:val="both"/>
        <w:rPr>
          <w:rFonts w:ascii="Arial" w:eastAsiaTheme="minorHAnsi" w:hAnsi="Arial" w:cs="Arial"/>
          <w:color w:val="000000" w:themeColor="text1"/>
          <w:sz w:val="21"/>
          <w:szCs w:val="21"/>
          <w:lang w:val="es-ES_tradnl" w:eastAsia="en-US"/>
        </w:rPr>
      </w:pPr>
      <w:r w:rsidRPr="006617BC">
        <w:rPr>
          <w:rFonts w:ascii="Arial" w:eastAsiaTheme="minorHAnsi" w:hAnsi="Arial" w:cs="Arial"/>
          <w:color w:val="000000" w:themeColor="text1"/>
          <w:sz w:val="21"/>
          <w:szCs w:val="21"/>
          <w:lang w:val="es-ES_tradnl" w:eastAsia="en-US"/>
        </w:rPr>
        <w:lastRenderedPageBreak/>
        <w:t xml:space="preserve">2. La Entidad Estatal debe evaluar las cotizaciones presentadas y seleccionar a quien, con las condiciones requeridas, ofrezca el menor precio del mercado y aceptar la mejor oferta. </w:t>
      </w:r>
    </w:p>
    <w:p w14:paraId="534C91D3" w14:textId="77777777" w:rsidR="002851C6" w:rsidRPr="006617BC" w:rsidRDefault="002851C6" w:rsidP="00477C33">
      <w:pPr>
        <w:ind w:left="709" w:right="758"/>
        <w:jc w:val="both"/>
        <w:rPr>
          <w:rFonts w:ascii="Arial" w:eastAsiaTheme="minorHAnsi" w:hAnsi="Arial" w:cs="Arial"/>
          <w:color w:val="000000" w:themeColor="text1"/>
          <w:sz w:val="21"/>
          <w:szCs w:val="21"/>
          <w:lang w:val="es-ES_tradnl" w:eastAsia="en-US"/>
        </w:rPr>
      </w:pPr>
    </w:p>
    <w:p w14:paraId="341C4399" w14:textId="77777777" w:rsidR="002851C6" w:rsidRPr="006617BC" w:rsidRDefault="00477C33" w:rsidP="00477C33">
      <w:pPr>
        <w:ind w:left="709" w:right="758"/>
        <w:jc w:val="both"/>
        <w:rPr>
          <w:rFonts w:ascii="Arial" w:eastAsiaTheme="minorHAnsi" w:hAnsi="Arial" w:cs="Arial"/>
          <w:color w:val="000000" w:themeColor="text1"/>
          <w:sz w:val="21"/>
          <w:szCs w:val="21"/>
          <w:lang w:val="es-ES_tradnl" w:eastAsia="en-US"/>
        </w:rPr>
      </w:pPr>
      <w:r w:rsidRPr="006617BC">
        <w:rPr>
          <w:rFonts w:ascii="Arial" w:eastAsiaTheme="minorHAnsi" w:hAnsi="Arial" w:cs="Arial"/>
          <w:color w:val="000000" w:themeColor="text1"/>
          <w:sz w:val="21"/>
          <w:szCs w:val="21"/>
          <w:lang w:val="es-ES_tradnl" w:eastAsia="en-US"/>
        </w:rPr>
        <w:t xml:space="preserve">3. En caso de empate, la Entidad Estatal aplicará los criterios de desempate de que trata el artículo 35 de la Ley 2069 de 2020, conforme a los medios de acreditación del artículo </w:t>
      </w:r>
      <w:bookmarkStart w:id="4" w:name="_Hlk99525199"/>
      <w:r w:rsidRPr="006617BC">
        <w:rPr>
          <w:rFonts w:ascii="Arial" w:eastAsiaTheme="minorHAnsi" w:hAnsi="Arial" w:cs="Arial"/>
          <w:color w:val="000000" w:themeColor="text1"/>
          <w:sz w:val="21"/>
          <w:szCs w:val="21"/>
          <w:lang w:val="es-ES_tradnl" w:eastAsia="en-US"/>
        </w:rPr>
        <w:t xml:space="preserve">2.2.1.2.4.2.17 </w:t>
      </w:r>
      <w:bookmarkEnd w:id="4"/>
      <w:r w:rsidRPr="006617BC">
        <w:rPr>
          <w:rFonts w:ascii="Arial" w:eastAsiaTheme="minorHAnsi" w:hAnsi="Arial" w:cs="Arial"/>
          <w:color w:val="000000" w:themeColor="text1"/>
          <w:sz w:val="21"/>
          <w:szCs w:val="21"/>
          <w:lang w:val="es-ES_tradnl" w:eastAsia="en-US"/>
        </w:rPr>
        <w:t xml:space="preserve">del presente Decreto o las normas que los modifiquen, adicionen o sustituyan. </w:t>
      </w:r>
    </w:p>
    <w:p w14:paraId="0998FA91" w14:textId="77777777" w:rsidR="002851C6" w:rsidRPr="006617BC" w:rsidRDefault="002851C6" w:rsidP="00477C33">
      <w:pPr>
        <w:ind w:left="709" w:right="758"/>
        <w:jc w:val="both"/>
        <w:rPr>
          <w:rFonts w:ascii="Arial" w:eastAsiaTheme="minorHAnsi" w:hAnsi="Arial" w:cs="Arial"/>
          <w:color w:val="000000" w:themeColor="text1"/>
          <w:sz w:val="21"/>
          <w:szCs w:val="21"/>
          <w:lang w:val="es-ES_tradnl" w:eastAsia="en-US"/>
        </w:rPr>
      </w:pPr>
    </w:p>
    <w:p w14:paraId="56B95F6B" w14:textId="3B5A1308" w:rsidR="00477C33" w:rsidRPr="006617BC" w:rsidRDefault="00477C33" w:rsidP="00477C33">
      <w:pPr>
        <w:ind w:left="709" w:right="758"/>
        <w:jc w:val="both"/>
        <w:rPr>
          <w:rFonts w:ascii="Arial" w:eastAsiaTheme="minorHAnsi" w:hAnsi="Arial" w:cs="Arial"/>
          <w:color w:val="000000" w:themeColor="text1"/>
          <w:sz w:val="21"/>
          <w:szCs w:val="21"/>
          <w:lang w:val="es-ES_tradnl" w:eastAsia="en-US"/>
        </w:rPr>
      </w:pPr>
      <w:r w:rsidRPr="006617BC">
        <w:rPr>
          <w:rFonts w:ascii="Arial" w:eastAsiaTheme="minorHAnsi" w:hAnsi="Arial" w:cs="Arial"/>
          <w:color w:val="000000" w:themeColor="text1"/>
          <w:sz w:val="21"/>
          <w:szCs w:val="21"/>
          <w:lang w:val="es-ES_tradnl" w:eastAsia="en-US"/>
        </w:rPr>
        <w:t>4. La oferta y su aceptación constituyen el contrato estatal.</w:t>
      </w:r>
    </w:p>
    <w:p w14:paraId="4F14FEFA" w14:textId="786953F3" w:rsidR="00CF148D" w:rsidRPr="006617BC" w:rsidRDefault="00CF148D" w:rsidP="00D4274C">
      <w:pPr>
        <w:spacing w:line="276" w:lineRule="auto"/>
        <w:jc w:val="both"/>
        <w:rPr>
          <w:rFonts w:ascii="Arial" w:eastAsia="Calibri" w:hAnsi="Arial" w:cs="Arial"/>
          <w:b/>
          <w:bCs/>
          <w:color w:val="000000" w:themeColor="text1"/>
          <w:sz w:val="22"/>
          <w:szCs w:val="22"/>
          <w:lang w:val="es-ES_tradnl"/>
        </w:rPr>
      </w:pPr>
    </w:p>
    <w:p w14:paraId="08D7CD04" w14:textId="147A58DC" w:rsidR="00C35E2D" w:rsidRPr="006617BC" w:rsidRDefault="002851C6" w:rsidP="002851C6">
      <w:pPr>
        <w:spacing w:after="120" w:line="276" w:lineRule="auto"/>
        <w:ind w:firstLine="709"/>
        <w:jc w:val="both"/>
        <w:rPr>
          <w:rFonts w:ascii="Arial" w:eastAsia="Calibri" w:hAnsi="Arial" w:cs="Arial"/>
          <w:sz w:val="22"/>
        </w:rPr>
      </w:pPr>
      <w:r w:rsidRPr="006617BC">
        <w:rPr>
          <w:rFonts w:ascii="Arial" w:eastAsia="Calibri" w:hAnsi="Arial" w:cs="Arial"/>
          <w:sz w:val="22"/>
        </w:rPr>
        <w:t xml:space="preserve">De acuerdo con lo anterior, </w:t>
      </w:r>
      <w:r w:rsidR="00C35E2D" w:rsidRPr="006617BC">
        <w:rPr>
          <w:rFonts w:ascii="Arial" w:eastAsia="Calibri" w:hAnsi="Arial" w:cs="Arial"/>
          <w:sz w:val="22"/>
        </w:rPr>
        <w:t xml:space="preserve">las reglas de este procedimiento especial se pueden sintetizar así: </w:t>
      </w:r>
    </w:p>
    <w:p w14:paraId="4C4BEF42" w14:textId="6B20259E" w:rsidR="00C35E2D" w:rsidRPr="006617BC" w:rsidRDefault="00C35E2D" w:rsidP="004F507C">
      <w:pPr>
        <w:spacing w:before="120" w:line="276" w:lineRule="auto"/>
        <w:ind w:firstLine="709"/>
        <w:jc w:val="both"/>
        <w:rPr>
          <w:rFonts w:ascii="Arial" w:eastAsia="Calibri" w:hAnsi="Arial" w:cs="Arial"/>
          <w:sz w:val="22"/>
        </w:rPr>
      </w:pPr>
      <w:r w:rsidRPr="006617BC">
        <w:rPr>
          <w:rFonts w:ascii="Arial" w:eastAsia="Calibri" w:hAnsi="Arial" w:cs="Arial"/>
          <w:sz w:val="22"/>
        </w:rPr>
        <w:t xml:space="preserve">i) </w:t>
      </w:r>
      <w:r w:rsidR="00F456EF" w:rsidRPr="006617BC">
        <w:rPr>
          <w:rFonts w:ascii="Arial" w:eastAsia="Calibri" w:hAnsi="Arial" w:cs="Arial"/>
          <w:sz w:val="22"/>
        </w:rPr>
        <w:t>L</w:t>
      </w:r>
      <w:r w:rsidR="00D52CC8" w:rsidRPr="006617BC">
        <w:rPr>
          <w:rFonts w:ascii="Arial" w:eastAsia="Calibri" w:hAnsi="Arial" w:cs="Arial"/>
          <w:sz w:val="22"/>
        </w:rPr>
        <w:t>as entidades deberán elaborar la invitación de la mínima cuantía dirigida a los grandes almacenes, la cual debe publicarse en el SECOP y en la página web de la entidad</w:t>
      </w:r>
      <w:r w:rsidR="004D6DE9" w:rsidRPr="006617BC">
        <w:rPr>
          <w:rFonts w:ascii="Arial" w:eastAsia="Calibri" w:hAnsi="Arial" w:cs="Arial"/>
          <w:sz w:val="22"/>
        </w:rPr>
        <w:t>.</w:t>
      </w:r>
      <w:r w:rsidRPr="006617BC">
        <w:rPr>
          <w:rFonts w:ascii="Arial" w:eastAsia="Calibri" w:hAnsi="Arial" w:cs="Arial"/>
          <w:sz w:val="22"/>
        </w:rPr>
        <w:t xml:space="preserve"> En contraste con la disposición anterior, esta norma no establece un</w:t>
      </w:r>
      <w:r w:rsidR="00F456EF" w:rsidRPr="006617BC">
        <w:rPr>
          <w:rFonts w:ascii="Arial" w:eastAsia="Calibri" w:hAnsi="Arial" w:cs="Arial"/>
          <w:sz w:val="22"/>
        </w:rPr>
        <w:t xml:space="preserve"> </w:t>
      </w:r>
      <w:r w:rsidR="00BA6602" w:rsidRPr="006617BC">
        <w:rPr>
          <w:rFonts w:ascii="Arial" w:eastAsia="Calibri" w:hAnsi="Arial" w:cs="Arial"/>
          <w:sz w:val="22"/>
        </w:rPr>
        <w:t>límite</w:t>
      </w:r>
      <w:r w:rsidR="00F456EF" w:rsidRPr="006617BC">
        <w:rPr>
          <w:rFonts w:ascii="Arial" w:eastAsia="Calibri" w:hAnsi="Arial" w:cs="Arial"/>
          <w:sz w:val="22"/>
        </w:rPr>
        <w:t xml:space="preserve"> mínimo de grandes almacenes a los cuales debe dirigirse la invitación. Además, dispuso expresamente la publicación de la invitación en el SECOP y en la página web de la entidad</w:t>
      </w:r>
      <w:r w:rsidR="00F65A88" w:rsidRPr="006617BC">
        <w:rPr>
          <w:rFonts w:ascii="Arial" w:eastAsia="Calibri" w:hAnsi="Arial" w:cs="Arial"/>
          <w:sz w:val="22"/>
        </w:rPr>
        <w:t xml:space="preserve">, lo cual será objeto de </w:t>
      </w:r>
      <w:r w:rsidR="00B505B5" w:rsidRPr="006617BC">
        <w:rPr>
          <w:rFonts w:ascii="Arial" w:eastAsia="Calibri" w:hAnsi="Arial" w:cs="Arial"/>
          <w:sz w:val="22"/>
        </w:rPr>
        <w:t>análisis</w:t>
      </w:r>
      <w:r w:rsidR="00F65A88" w:rsidRPr="006617BC">
        <w:rPr>
          <w:rFonts w:ascii="Arial" w:eastAsia="Calibri" w:hAnsi="Arial" w:cs="Arial"/>
          <w:sz w:val="22"/>
        </w:rPr>
        <w:t xml:space="preserve"> en </w:t>
      </w:r>
      <w:r w:rsidR="00B505B5" w:rsidRPr="006617BC">
        <w:rPr>
          <w:rFonts w:ascii="Arial" w:eastAsia="Calibri" w:hAnsi="Arial" w:cs="Arial"/>
          <w:sz w:val="22"/>
        </w:rPr>
        <w:t>el desarrollo de este concepto</w:t>
      </w:r>
      <w:r w:rsidR="00F456EF" w:rsidRPr="006617BC">
        <w:rPr>
          <w:rStyle w:val="Refdenotaalpie"/>
          <w:rFonts w:ascii="Arial" w:eastAsia="Calibri" w:hAnsi="Arial" w:cs="Arial"/>
          <w:sz w:val="22"/>
        </w:rPr>
        <w:footnoteReference w:id="6"/>
      </w:r>
      <w:r w:rsidR="002D09A5" w:rsidRPr="006617BC">
        <w:rPr>
          <w:rFonts w:ascii="Arial" w:eastAsia="Calibri" w:hAnsi="Arial" w:cs="Arial"/>
          <w:sz w:val="22"/>
        </w:rPr>
        <w:t>.</w:t>
      </w:r>
      <w:r w:rsidR="00F456EF" w:rsidRPr="006617BC">
        <w:rPr>
          <w:rFonts w:ascii="Arial" w:eastAsia="Calibri" w:hAnsi="Arial" w:cs="Arial"/>
          <w:sz w:val="22"/>
        </w:rPr>
        <w:t xml:space="preserve"> </w:t>
      </w:r>
    </w:p>
    <w:p w14:paraId="6E233471" w14:textId="592C08DD" w:rsidR="004F507C" w:rsidRPr="006617BC" w:rsidRDefault="00C35E2D" w:rsidP="004F507C">
      <w:pPr>
        <w:spacing w:before="120" w:line="276" w:lineRule="auto"/>
        <w:ind w:firstLine="709"/>
        <w:jc w:val="both"/>
        <w:rPr>
          <w:rFonts w:ascii="Arial" w:eastAsia="Calibri" w:hAnsi="Arial" w:cs="Arial"/>
          <w:sz w:val="22"/>
        </w:rPr>
      </w:pPr>
      <w:proofErr w:type="spellStart"/>
      <w:r w:rsidRPr="006617BC">
        <w:rPr>
          <w:rFonts w:ascii="Arial" w:eastAsia="Calibri" w:hAnsi="Arial" w:cs="Arial"/>
          <w:sz w:val="22"/>
        </w:rPr>
        <w:t>ii</w:t>
      </w:r>
      <w:proofErr w:type="spellEnd"/>
      <w:r w:rsidRPr="006617BC">
        <w:rPr>
          <w:rFonts w:ascii="Arial" w:eastAsia="Calibri" w:hAnsi="Arial" w:cs="Arial"/>
          <w:sz w:val="22"/>
        </w:rPr>
        <w:t xml:space="preserve">) </w:t>
      </w:r>
      <w:r w:rsidR="00033B3F" w:rsidRPr="006617BC">
        <w:rPr>
          <w:rFonts w:ascii="Arial" w:eastAsia="Calibri" w:hAnsi="Arial" w:cs="Arial"/>
          <w:sz w:val="22"/>
        </w:rPr>
        <w:t>E</w:t>
      </w:r>
      <w:r w:rsidR="009B05A1" w:rsidRPr="006617BC">
        <w:rPr>
          <w:rFonts w:ascii="Arial" w:eastAsia="Calibri" w:hAnsi="Arial" w:cs="Arial"/>
          <w:sz w:val="22"/>
        </w:rPr>
        <w:t xml:space="preserve">n </w:t>
      </w:r>
      <w:r w:rsidR="004D6DE9" w:rsidRPr="006617BC">
        <w:rPr>
          <w:rFonts w:ascii="Arial" w:eastAsia="Calibri" w:hAnsi="Arial" w:cs="Arial"/>
          <w:sz w:val="22"/>
        </w:rPr>
        <w:t>esta</w:t>
      </w:r>
      <w:r w:rsidR="009B05A1" w:rsidRPr="006617BC">
        <w:rPr>
          <w:rFonts w:ascii="Arial" w:eastAsia="Calibri" w:hAnsi="Arial" w:cs="Arial"/>
          <w:sz w:val="22"/>
        </w:rPr>
        <w:t xml:space="preserve"> invitación </w:t>
      </w:r>
      <w:r w:rsidR="00033B3F" w:rsidRPr="006617BC">
        <w:rPr>
          <w:rFonts w:ascii="Arial" w:eastAsia="Calibri" w:hAnsi="Arial" w:cs="Arial"/>
          <w:sz w:val="22"/>
        </w:rPr>
        <w:t xml:space="preserve">debe </w:t>
      </w:r>
      <w:r w:rsidR="009B05A1" w:rsidRPr="006617BC">
        <w:rPr>
          <w:rFonts w:ascii="Arial" w:eastAsia="Calibri" w:hAnsi="Arial" w:cs="Arial"/>
          <w:sz w:val="22"/>
        </w:rPr>
        <w:t>incorpora</w:t>
      </w:r>
      <w:r w:rsidR="00033B3F" w:rsidRPr="006617BC">
        <w:rPr>
          <w:rFonts w:ascii="Arial" w:eastAsia="Calibri" w:hAnsi="Arial" w:cs="Arial"/>
          <w:sz w:val="22"/>
        </w:rPr>
        <w:t>r</w:t>
      </w:r>
      <w:r w:rsidR="00044447" w:rsidRPr="006617BC">
        <w:rPr>
          <w:rFonts w:ascii="Arial" w:eastAsia="Calibri" w:hAnsi="Arial" w:cs="Arial"/>
          <w:sz w:val="22"/>
        </w:rPr>
        <w:t>se</w:t>
      </w:r>
      <w:r w:rsidR="009B05A1" w:rsidRPr="006617BC">
        <w:rPr>
          <w:rFonts w:ascii="Arial" w:eastAsia="Calibri" w:hAnsi="Arial" w:cs="Arial"/>
          <w:sz w:val="22"/>
        </w:rPr>
        <w:t xml:space="preserve"> el conjunto de reglas que definen el </w:t>
      </w:r>
      <w:r w:rsidR="004D6DE9" w:rsidRPr="006617BC">
        <w:rPr>
          <w:rFonts w:ascii="Arial" w:eastAsia="Calibri" w:hAnsi="Arial" w:cs="Arial"/>
          <w:sz w:val="22"/>
        </w:rPr>
        <w:t>proceso de contratación</w:t>
      </w:r>
      <w:r w:rsidR="00F65A88" w:rsidRPr="006617BC">
        <w:rPr>
          <w:rFonts w:ascii="Arial" w:eastAsia="Calibri" w:hAnsi="Arial" w:cs="Arial"/>
          <w:sz w:val="22"/>
        </w:rPr>
        <w:t xml:space="preserve">. Por tanto, deberán incluirse aspectos como </w:t>
      </w:r>
      <w:r w:rsidRPr="006617BC">
        <w:rPr>
          <w:rFonts w:ascii="Arial" w:eastAsia="Calibri" w:hAnsi="Arial" w:cs="Arial"/>
          <w:sz w:val="22"/>
        </w:rPr>
        <w:t xml:space="preserve">la </w:t>
      </w:r>
      <w:r w:rsidR="004D6DE9" w:rsidRPr="006617BC">
        <w:rPr>
          <w:rFonts w:ascii="Arial" w:eastAsia="Calibri" w:hAnsi="Arial" w:cs="Arial"/>
          <w:sz w:val="22"/>
        </w:rPr>
        <w:t xml:space="preserve">forma de presentación de la cotización, el plazo para la entrega de </w:t>
      </w:r>
      <w:proofErr w:type="gramStart"/>
      <w:r w:rsidR="004D6DE9" w:rsidRPr="006617BC">
        <w:rPr>
          <w:rFonts w:ascii="Arial" w:eastAsia="Calibri" w:hAnsi="Arial" w:cs="Arial"/>
          <w:sz w:val="22"/>
        </w:rPr>
        <w:t xml:space="preserve">la </w:t>
      </w:r>
      <w:r w:rsidR="003C136E" w:rsidRPr="006617BC">
        <w:rPr>
          <w:rFonts w:ascii="Arial" w:eastAsia="Calibri" w:hAnsi="Arial" w:cs="Arial"/>
          <w:sz w:val="22"/>
        </w:rPr>
        <w:t>misma</w:t>
      </w:r>
      <w:proofErr w:type="gramEnd"/>
      <w:r w:rsidR="004D6DE9" w:rsidRPr="006617BC">
        <w:rPr>
          <w:rFonts w:ascii="Arial" w:eastAsia="Calibri" w:hAnsi="Arial" w:cs="Arial"/>
          <w:sz w:val="22"/>
        </w:rPr>
        <w:t xml:space="preserve"> que debe ser mínimo de un (1) día hábil, </w:t>
      </w:r>
      <w:r w:rsidR="00CF4A21" w:rsidRPr="006617BC">
        <w:rPr>
          <w:rFonts w:ascii="Arial" w:eastAsia="Calibri" w:hAnsi="Arial" w:cs="Arial"/>
          <w:sz w:val="22"/>
        </w:rPr>
        <w:t xml:space="preserve">la forma de pago, el lugar de entrega del bien, la descripción completa del bien a adquirir por parte de la entidad contratante, la disponibilidad presupuestal y la demás información que la entidad considere pertinente incluir. </w:t>
      </w:r>
      <w:r w:rsidR="00B505B5" w:rsidRPr="006617BC">
        <w:rPr>
          <w:rFonts w:ascii="Arial" w:eastAsia="Calibri" w:hAnsi="Arial" w:cs="Arial"/>
          <w:sz w:val="22"/>
        </w:rPr>
        <w:t xml:space="preserve">Vale señalar que la invitación a la que alude esta norma es una figura propia del procedimiento de mínima cuantía </w:t>
      </w:r>
      <w:r w:rsidR="00A7495B" w:rsidRPr="006617BC">
        <w:rPr>
          <w:rFonts w:ascii="Arial" w:eastAsia="Calibri" w:hAnsi="Arial" w:cs="Arial"/>
          <w:sz w:val="22"/>
        </w:rPr>
        <w:t>que</w:t>
      </w:r>
      <w:r w:rsidR="00B505B5" w:rsidRPr="006617BC">
        <w:rPr>
          <w:rFonts w:ascii="Arial" w:eastAsia="Calibri" w:hAnsi="Arial" w:cs="Arial"/>
          <w:sz w:val="22"/>
        </w:rPr>
        <w:t xml:space="preserve"> se encontraba regulada </w:t>
      </w:r>
      <w:r w:rsidR="00A7495B" w:rsidRPr="006617BC">
        <w:rPr>
          <w:rFonts w:ascii="Arial" w:eastAsia="Calibri" w:hAnsi="Arial" w:cs="Arial"/>
          <w:sz w:val="22"/>
        </w:rPr>
        <w:t xml:space="preserve">desde </w:t>
      </w:r>
      <w:r w:rsidR="00B505B5" w:rsidRPr="006617BC">
        <w:rPr>
          <w:rFonts w:ascii="Arial" w:eastAsia="Calibri" w:hAnsi="Arial" w:cs="Arial"/>
          <w:sz w:val="22"/>
        </w:rPr>
        <w:t xml:space="preserve">la disposición anterior. </w:t>
      </w:r>
    </w:p>
    <w:p w14:paraId="4523FA46" w14:textId="18E99A56" w:rsidR="00F65A88" w:rsidRPr="006617BC" w:rsidRDefault="00F65A88" w:rsidP="004F507C">
      <w:pPr>
        <w:spacing w:before="120" w:line="276" w:lineRule="auto"/>
        <w:ind w:firstLine="709"/>
        <w:jc w:val="both"/>
        <w:rPr>
          <w:rFonts w:ascii="Arial" w:eastAsia="Calibri" w:hAnsi="Arial" w:cs="Arial"/>
          <w:sz w:val="22"/>
        </w:rPr>
      </w:pPr>
      <w:proofErr w:type="spellStart"/>
      <w:r w:rsidRPr="006617BC">
        <w:rPr>
          <w:rFonts w:ascii="Arial" w:eastAsia="Calibri" w:hAnsi="Arial" w:cs="Arial"/>
          <w:sz w:val="22"/>
        </w:rPr>
        <w:t>iii</w:t>
      </w:r>
      <w:proofErr w:type="spellEnd"/>
      <w:r w:rsidRPr="006617BC">
        <w:rPr>
          <w:rFonts w:ascii="Arial" w:eastAsia="Calibri" w:hAnsi="Arial" w:cs="Arial"/>
          <w:sz w:val="22"/>
        </w:rPr>
        <w:t xml:space="preserve">) </w:t>
      </w:r>
      <w:r w:rsidR="003D0ADA" w:rsidRPr="006617BC">
        <w:rPr>
          <w:rFonts w:ascii="Arial" w:eastAsia="Calibri" w:hAnsi="Arial" w:cs="Arial"/>
          <w:sz w:val="22"/>
        </w:rPr>
        <w:t xml:space="preserve">Las cotizaciones presentadas </w:t>
      </w:r>
      <w:r w:rsidR="00BA1178" w:rsidRPr="006617BC">
        <w:rPr>
          <w:rFonts w:ascii="Arial" w:eastAsia="Calibri" w:hAnsi="Arial" w:cs="Arial"/>
          <w:sz w:val="22"/>
        </w:rPr>
        <w:t xml:space="preserve">por los grandes almacenes </w:t>
      </w:r>
      <w:r w:rsidR="003D0ADA" w:rsidRPr="006617BC">
        <w:rPr>
          <w:rFonts w:ascii="Arial" w:eastAsia="Calibri" w:hAnsi="Arial" w:cs="Arial"/>
          <w:sz w:val="22"/>
        </w:rPr>
        <w:t xml:space="preserve">deberán ser evaluadas </w:t>
      </w:r>
      <w:r w:rsidR="00A7495B" w:rsidRPr="006617BC">
        <w:rPr>
          <w:rFonts w:ascii="Arial" w:eastAsia="Calibri" w:hAnsi="Arial" w:cs="Arial"/>
          <w:sz w:val="22"/>
        </w:rPr>
        <w:t xml:space="preserve">por la entidad, </w:t>
      </w:r>
      <w:r w:rsidR="003D0ADA" w:rsidRPr="006617BC">
        <w:rPr>
          <w:rFonts w:ascii="Arial" w:eastAsia="Calibri" w:hAnsi="Arial" w:cs="Arial"/>
          <w:sz w:val="22"/>
        </w:rPr>
        <w:t>selecciona</w:t>
      </w:r>
      <w:r w:rsidR="00A7495B" w:rsidRPr="006617BC">
        <w:rPr>
          <w:rFonts w:ascii="Arial" w:eastAsia="Calibri" w:hAnsi="Arial" w:cs="Arial"/>
          <w:sz w:val="22"/>
        </w:rPr>
        <w:t>ndo a</w:t>
      </w:r>
      <w:r w:rsidR="003D0ADA" w:rsidRPr="006617BC">
        <w:rPr>
          <w:rFonts w:ascii="Arial" w:eastAsia="Calibri" w:hAnsi="Arial" w:cs="Arial"/>
          <w:sz w:val="22"/>
        </w:rPr>
        <w:t xml:space="preserve"> aquella que o</w:t>
      </w:r>
      <w:r w:rsidR="00BA1178" w:rsidRPr="006617BC">
        <w:rPr>
          <w:rFonts w:ascii="Arial" w:eastAsia="Calibri" w:hAnsi="Arial" w:cs="Arial"/>
          <w:sz w:val="22"/>
        </w:rPr>
        <w:t xml:space="preserve">frezca </w:t>
      </w:r>
      <w:r w:rsidR="00A7495B" w:rsidRPr="006617BC">
        <w:rPr>
          <w:rFonts w:ascii="Arial" w:eastAsia="Calibri" w:hAnsi="Arial" w:cs="Arial"/>
          <w:sz w:val="22"/>
        </w:rPr>
        <w:t xml:space="preserve">el </w:t>
      </w:r>
      <w:r w:rsidR="00BA1178" w:rsidRPr="006617BC">
        <w:rPr>
          <w:rFonts w:ascii="Arial" w:eastAsia="Calibri" w:hAnsi="Arial" w:cs="Arial"/>
          <w:sz w:val="22"/>
        </w:rPr>
        <w:t>menor precio del mercado</w:t>
      </w:r>
      <w:r w:rsidR="00A7495B" w:rsidRPr="006617BC">
        <w:rPr>
          <w:rFonts w:ascii="Arial" w:eastAsia="Calibri" w:hAnsi="Arial" w:cs="Arial"/>
          <w:sz w:val="22"/>
        </w:rPr>
        <w:t xml:space="preserve">. </w:t>
      </w:r>
      <w:r w:rsidR="00015695" w:rsidRPr="006617BC">
        <w:rPr>
          <w:rFonts w:ascii="Arial" w:eastAsia="Calibri" w:hAnsi="Arial" w:cs="Arial"/>
          <w:sz w:val="22"/>
        </w:rPr>
        <w:t xml:space="preserve">En este </w:t>
      </w:r>
      <w:r w:rsidR="00015695" w:rsidRPr="006617BC">
        <w:rPr>
          <w:rFonts w:ascii="Arial" w:eastAsia="Calibri" w:hAnsi="Arial" w:cs="Arial"/>
          <w:sz w:val="22"/>
        </w:rPr>
        <w:lastRenderedPageBreak/>
        <w:t xml:space="preserve">caso, el criterio para escoger la mejor oferta es el menor precio teniendo en cuenta el cumplimiento de las condiciones requeridas. </w:t>
      </w:r>
    </w:p>
    <w:p w14:paraId="077BE98A" w14:textId="5B43549C" w:rsidR="009B05A1" w:rsidRPr="006617BC" w:rsidRDefault="00F65A88" w:rsidP="004F507C">
      <w:pPr>
        <w:spacing w:before="120" w:line="276" w:lineRule="auto"/>
        <w:ind w:firstLine="709"/>
        <w:jc w:val="both"/>
        <w:rPr>
          <w:rFonts w:ascii="Arial" w:eastAsia="Calibri" w:hAnsi="Arial" w:cs="Arial"/>
          <w:sz w:val="22"/>
        </w:rPr>
      </w:pPr>
      <w:proofErr w:type="spellStart"/>
      <w:r w:rsidRPr="006617BC">
        <w:rPr>
          <w:rFonts w:ascii="Arial" w:eastAsia="Calibri" w:hAnsi="Arial" w:cs="Arial"/>
          <w:sz w:val="22"/>
        </w:rPr>
        <w:t>iv</w:t>
      </w:r>
      <w:proofErr w:type="spellEnd"/>
      <w:r w:rsidRPr="006617BC">
        <w:rPr>
          <w:rFonts w:ascii="Arial" w:eastAsia="Calibri" w:hAnsi="Arial" w:cs="Arial"/>
          <w:sz w:val="22"/>
        </w:rPr>
        <w:t>)</w:t>
      </w:r>
      <w:r w:rsidR="00BA1178" w:rsidRPr="006617BC">
        <w:rPr>
          <w:rFonts w:ascii="Arial" w:eastAsia="Calibri" w:hAnsi="Arial" w:cs="Arial"/>
          <w:sz w:val="22"/>
        </w:rPr>
        <w:t xml:space="preserve"> </w:t>
      </w:r>
      <w:r w:rsidRPr="006617BC">
        <w:rPr>
          <w:rFonts w:ascii="Arial" w:eastAsia="Calibri" w:hAnsi="Arial" w:cs="Arial"/>
          <w:sz w:val="22"/>
        </w:rPr>
        <w:t>E</w:t>
      </w:r>
      <w:r w:rsidR="00BA1178" w:rsidRPr="006617BC">
        <w:rPr>
          <w:rFonts w:ascii="Arial" w:eastAsia="Calibri" w:hAnsi="Arial" w:cs="Arial"/>
          <w:sz w:val="22"/>
        </w:rPr>
        <w:t xml:space="preserve">n caso de empate deberá aplicarse los criterios de desempate establecidos en el artículo </w:t>
      </w:r>
      <w:r w:rsidR="00BA1178" w:rsidRPr="006617BC">
        <w:rPr>
          <w:rFonts w:ascii="Arial" w:eastAsia="Calibri" w:hAnsi="Arial" w:cs="Arial"/>
          <w:sz w:val="22"/>
          <w:lang w:val="es-ES_tradnl"/>
        </w:rPr>
        <w:t>2.2.1.2.4.2.17 del Decreto 1082 de 2015.</w:t>
      </w:r>
      <w:r w:rsidRPr="006617BC">
        <w:rPr>
          <w:rFonts w:ascii="Arial" w:eastAsia="Calibri" w:hAnsi="Arial" w:cs="Arial"/>
          <w:sz w:val="22"/>
          <w:lang w:val="es-ES_tradnl"/>
        </w:rPr>
        <w:t xml:space="preserve"> Esta disposición se ajusta a la nueva regulación de criterios de desempate establecida en el artículo 35 de la Ley 2069 de 2020. </w:t>
      </w:r>
    </w:p>
    <w:p w14:paraId="10EAE619" w14:textId="1C8896CF" w:rsidR="00056EF1" w:rsidRPr="006617BC" w:rsidRDefault="00A7495B" w:rsidP="00056EF1">
      <w:pPr>
        <w:spacing w:before="120" w:line="276" w:lineRule="auto"/>
        <w:ind w:firstLine="709"/>
        <w:jc w:val="both"/>
        <w:rPr>
          <w:rFonts w:ascii="Arial" w:eastAsia="Calibri" w:hAnsi="Arial" w:cs="Arial"/>
          <w:sz w:val="22"/>
        </w:rPr>
      </w:pPr>
      <w:r w:rsidRPr="006617BC">
        <w:rPr>
          <w:rFonts w:ascii="Arial" w:eastAsia="Calibri" w:hAnsi="Arial" w:cs="Arial"/>
          <w:sz w:val="22"/>
        </w:rPr>
        <w:t xml:space="preserve">En esta medida, el procedimiento </w:t>
      </w:r>
      <w:r w:rsidRPr="006617BC">
        <w:rPr>
          <w:rFonts w:ascii="Arial" w:eastAsia="Calibri" w:hAnsi="Arial" w:cs="Arial"/>
          <w:bCs/>
          <w:color w:val="000000"/>
          <w:sz w:val="22"/>
          <w:szCs w:val="22"/>
          <w:lang w:val="es-ES_tradnl" w:eastAsia="en-US"/>
        </w:rPr>
        <w:t>especial para las adquisiciones en grandes almacenes cuando se trate de mínima cuantía</w:t>
      </w:r>
      <w:r w:rsidR="00A8119D" w:rsidRPr="006617BC">
        <w:rPr>
          <w:rFonts w:ascii="Arial" w:eastAsia="Calibri" w:hAnsi="Arial" w:cs="Arial"/>
          <w:sz w:val="22"/>
        </w:rPr>
        <w:t xml:space="preserve"> debe seguir</w:t>
      </w:r>
      <w:r w:rsidR="00F3254A" w:rsidRPr="006617BC">
        <w:rPr>
          <w:rFonts w:ascii="Arial" w:eastAsia="Calibri" w:hAnsi="Arial" w:cs="Arial"/>
          <w:sz w:val="22"/>
        </w:rPr>
        <w:t xml:space="preserve"> exclusivamente</w:t>
      </w:r>
      <w:r w:rsidR="00A8119D" w:rsidRPr="006617BC">
        <w:rPr>
          <w:rFonts w:ascii="Arial" w:eastAsia="Calibri" w:hAnsi="Arial" w:cs="Arial"/>
          <w:sz w:val="22"/>
        </w:rPr>
        <w:t xml:space="preserve"> </w:t>
      </w:r>
      <w:r w:rsidRPr="006617BC">
        <w:rPr>
          <w:rFonts w:ascii="Arial" w:eastAsia="Calibri" w:hAnsi="Arial" w:cs="Arial"/>
          <w:sz w:val="22"/>
        </w:rPr>
        <w:t>las reglas previstas en la norma citada</w:t>
      </w:r>
      <w:r w:rsidR="00A8119D" w:rsidRPr="006617BC">
        <w:rPr>
          <w:rFonts w:ascii="Arial" w:eastAsia="Calibri" w:hAnsi="Arial" w:cs="Arial"/>
          <w:sz w:val="22"/>
        </w:rPr>
        <w:t xml:space="preserve">. </w:t>
      </w:r>
      <w:r w:rsidR="003D0ADA" w:rsidRPr="006617BC">
        <w:rPr>
          <w:rFonts w:ascii="Arial" w:eastAsia="Calibri" w:hAnsi="Arial" w:cs="Arial"/>
          <w:sz w:val="22"/>
        </w:rPr>
        <w:t>A</w:t>
      </w:r>
      <w:r w:rsidR="005F0672" w:rsidRPr="006617BC">
        <w:rPr>
          <w:rFonts w:ascii="Arial" w:eastAsia="Calibri" w:hAnsi="Arial" w:cs="Arial"/>
          <w:sz w:val="22"/>
        </w:rPr>
        <w:t>l</w:t>
      </w:r>
      <w:r w:rsidR="003D0ADA" w:rsidRPr="006617BC">
        <w:rPr>
          <w:rFonts w:ascii="Arial" w:eastAsia="Calibri" w:hAnsi="Arial" w:cs="Arial"/>
          <w:sz w:val="22"/>
        </w:rPr>
        <w:t xml:space="preserve"> respecto,</w:t>
      </w:r>
      <w:r w:rsidR="00D52CC8" w:rsidRPr="006617BC">
        <w:rPr>
          <w:rFonts w:ascii="Arial" w:eastAsia="Calibri" w:hAnsi="Arial" w:cs="Arial"/>
          <w:sz w:val="22"/>
        </w:rPr>
        <w:t xml:space="preserve"> es preciso señalar que </w:t>
      </w:r>
      <w:r w:rsidR="008263EB" w:rsidRPr="006617BC">
        <w:rPr>
          <w:rFonts w:ascii="Arial" w:eastAsia="Calibri" w:hAnsi="Arial" w:cs="Arial"/>
          <w:sz w:val="22"/>
        </w:rPr>
        <w:t>la invitación pública</w:t>
      </w:r>
      <w:r w:rsidR="00BA1178" w:rsidRPr="006617BC">
        <w:rPr>
          <w:rFonts w:ascii="Arial" w:eastAsia="Calibri" w:hAnsi="Arial" w:cs="Arial"/>
          <w:sz w:val="22"/>
        </w:rPr>
        <w:t xml:space="preserve"> </w:t>
      </w:r>
      <w:r w:rsidR="00316BBC" w:rsidRPr="006617BC">
        <w:rPr>
          <w:rFonts w:ascii="Arial" w:eastAsia="Calibri" w:hAnsi="Arial" w:cs="Arial"/>
          <w:sz w:val="22"/>
        </w:rPr>
        <w:t xml:space="preserve">de que trata la norma </w:t>
      </w:r>
      <w:r w:rsidR="008263EB" w:rsidRPr="006617BC">
        <w:rPr>
          <w:rFonts w:ascii="Arial" w:eastAsia="Calibri" w:hAnsi="Arial" w:cs="Arial"/>
          <w:sz w:val="22"/>
        </w:rPr>
        <w:t xml:space="preserve">constituye </w:t>
      </w:r>
      <w:r w:rsidR="00D41DA4" w:rsidRPr="006617BC">
        <w:rPr>
          <w:rFonts w:ascii="Arial" w:eastAsia="Calibri" w:hAnsi="Arial" w:cs="Arial"/>
          <w:sz w:val="22"/>
        </w:rPr>
        <w:t>la «ley del contrato»</w:t>
      </w:r>
      <w:r w:rsidR="008263EB" w:rsidRPr="006617BC">
        <w:rPr>
          <w:rFonts w:ascii="Arial" w:eastAsia="Calibri" w:hAnsi="Arial" w:cs="Arial"/>
          <w:sz w:val="22"/>
        </w:rPr>
        <w:t xml:space="preserve"> del proceso de contratación de mínima cuantía y</w:t>
      </w:r>
      <w:r w:rsidR="00A83AE6" w:rsidRPr="006617BC">
        <w:rPr>
          <w:rFonts w:ascii="Arial" w:eastAsia="Calibri" w:hAnsi="Arial" w:cs="Arial"/>
          <w:sz w:val="22"/>
        </w:rPr>
        <w:t>, en este sentido,</w:t>
      </w:r>
      <w:r w:rsidR="008263EB" w:rsidRPr="006617BC">
        <w:rPr>
          <w:rFonts w:ascii="Arial" w:eastAsia="Calibri" w:hAnsi="Arial" w:cs="Arial"/>
          <w:sz w:val="22"/>
        </w:rPr>
        <w:t xml:space="preserve"> es equivalente al pliego de condiciones</w:t>
      </w:r>
      <w:r w:rsidR="00A83AE6" w:rsidRPr="006617BC">
        <w:rPr>
          <w:rFonts w:ascii="Arial" w:eastAsia="Calibri" w:hAnsi="Arial" w:cs="Arial"/>
          <w:sz w:val="22"/>
        </w:rPr>
        <w:t>. Lo anterior</w:t>
      </w:r>
      <w:r w:rsidR="00A756BC" w:rsidRPr="006617BC">
        <w:rPr>
          <w:rFonts w:ascii="Arial" w:eastAsia="Calibri" w:hAnsi="Arial" w:cs="Arial"/>
          <w:sz w:val="22"/>
        </w:rPr>
        <w:t xml:space="preserve"> en la medida en que busca</w:t>
      </w:r>
      <w:r w:rsidR="00A756BC" w:rsidRPr="006617BC">
        <w:rPr>
          <w:rFonts w:ascii="Arial" w:hAnsi="Arial" w:cs="Arial"/>
        </w:rPr>
        <w:t xml:space="preserve"> </w:t>
      </w:r>
      <w:r w:rsidR="00A756BC" w:rsidRPr="006617BC">
        <w:rPr>
          <w:rFonts w:ascii="Arial" w:eastAsia="Calibri" w:hAnsi="Arial" w:cs="Arial"/>
          <w:sz w:val="22"/>
        </w:rPr>
        <w:t>fijar las especificaciones técnicas de los bienes a adquirir y detallar las condiciones económicas y de ejecución del contrato a celebrar.</w:t>
      </w:r>
      <w:r w:rsidR="007F7B49" w:rsidRPr="006617BC">
        <w:rPr>
          <w:rFonts w:ascii="Arial" w:eastAsia="Calibri" w:hAnsi="Arial" w:cs="Arial"/>
          <w:sz w:val="22"/>
        </w:rPr>
        <w:t xml:space="preserve"> </w:t>
      </w:r>
    </w:p>
    <w:p w14:paraId="53793BED" w14:textId="2114C859" w:rsidR="007F7B49" w:rsidRPr="006617BC" w:rsidRDefault="007F7B49" w:rsidP="00056EF1">
      <w:pPr>
        <w:spacing w:before="120" w:line="276" w:lineRule="auto"/>
        <w:ind w:firstLine="709"/>
        <w:jc w:val="both"/>
        <w:rPr>
          <w:rFonts w:ascii="Arial" w:eastAsia="Calibri" w:hAnsi="Arial" w:cs="Arial"/>
          <w:sz w:val="22"/>
        </w:rPr>
      </w:pPr>
      <w:r w:rsidRPr="006617BC">
        <w:rPr>
          <w:rFonts w:ascii="Arial" w:eastAsia="Calibri" w:hAnsi="Arial" w:cs="Arial"/>
          <w:sz w:val="22"/>
        </w:rPr>
        <w:t xml:space="preserve">Sobre el particular, vale la pena recordar que el pliego de condiciones o la invitación </w:t>
      </w:r>
      <w:r w:rsidR="00CB5BDB" w:rsidRPr="006617BC">
        <w:rPr>
          <w:rFonts w:ascii="Arial" w:eastAsia="Calibri" w:hAnsi="Arial" w:cs="Arial"/>
          <w:sz w:val="22"/>
        </w:rPr>
        <w:t>–</w:t>
      </w:r>
      <w:r w:rsidRPr="006617BC">
        <w:rPr>
          <w:rFonts w:ascii="Arial" w:eastAsia="Calibri" w:hAnsi="Arial" w:cs="Arial"/>
          <w:sz w:val="22"/>
        </w:rPr>
        <w:t>en caso del proceso de mínima cuantía</w:t>
      </w:r>
      <w:r w:rsidR="00CB5BDB" w:rsidRPr="006617BC">
        <w:rPr>
          <w:rFonts w:ascii="Arial" w:eastAsia="Calibri" w:hAnsi="Arial" w:cs="Arial"/>
          <w:sz w:val="22"/>
        </w:rPr>
        <w:t>–</w:t>
      </w:r>
      <w:r w:rsidRPr="006617BC">
        <w:rPr>
          <w:rFonts w:ascii="Arial" w:eastAsia="Calibri" w:hAnsi="Arial" w:cs="Arial"/>
          <w:sz w:val="22"/>
        </w:rPr>
        <w:t xml:space="preserve">, </w:t>
      </w:r>
      <w:r w:rsidRPr="006617BC">
        <w:rPr>
          <w:rFonts w:ascii="Arial" w:eastAsia="Calibri" w:hAnsi="Arial" w:cs="Arial"/>
          <w:bCs/>
          <w:color w:val="000000"/>
          <w:sz w:val="22"/>
          <w:szCs w:val="22"/>
          <w:lang w:val="es-ES_tradnl" w:eastAsia="en-US"/>
        </w:rPr>
        <w:t>«</w:t>
      </w:r>
      <w:r w:rsidRPr="006617BC">
        <w:rPr>
          <w:rFonts w:ascii="Arial" w:eastAsia="Calibri" w:hAnsi="Arial" w:cs="Arial"/>
          <w:sz w:val="22"/>
        </w:rPr>
        <w:t>es el acto jurídico fundamental sobre el cual gira toda la etapa de selección del contratista, es decir, la precontractual, por cuanto en el mismo se fija el objeto del contrato a suscribir, se identifica la causa del negocio jurídico, se determina el procedimiento o cauce a surtirse para la evaluación objetiva y técnica de las ofertas, y se indican los plazos y términos en que se ejecutará todo el proceso que culminará con la adjudicación del contrato o con la declaratoria de desierta</w:t>
      </w:r>
      <w:r w:rsidRPr="006617BC">
        <w:rPr>
          <w:rFonts w:ascii="Arial" w:eastAsia="Calibri" w:hAnsi="Arial" w:cs="Arial"/>
          <w:bCs/>
          <w:color w:val="000000"/>
          <w:sz w:val="22"/>
          <w:szCs w:val="22"/>
          <w:lang w:val="es-ES_tradnl" w:eastAsia="en-US"/>
        </w:rPr>
        <w:t>»</w:t>
      </w:r>
      <w:r w:rsidRPr="006617BC">
        <w:rPr>
          <w:rStyle w:val="Refdenotaalpie"/>
          <w:rFonts w:ascii="Arial" w:eastAsia="Calibri" w:hAnsi="Arial" w:cs="Arial"/>
          <w:sz w:val="22"/>
        </w:rPr>
        <w:footnoteReference w:id="7"/>
      </w:r>
      <w:r w:rsidRPr="006617BC">
        <w:rPr>
          <w:rFonts w:ascii="Arial" w:eastAsia="Calibri" w:hAnsi="Arial" w:cs="Arial"/>
          <w:sz w:val="22"/>
        </w:rPr>
        <w:t>.</w:t>
      </w:r>
      <w:r w:rsidR="00056EF1" w:rsidRPr="006617BC">
        <w:rPr>
          <w:rFonts w:ascii="Arial" w:eastAsia="Calibri" w:hAnsi="Arial" w:cs="Arial"/>
          <w:sz w:val="22"/>
        </w:rPr>
        <w:t xml:space="preserve"> </w:t>
      </w:r>
      <w:r w:rsidRPr="006617BC">
        <w:rPr>
          <w:rFonts w:ascii="Arial" w:eastAsia="Calibri" w:hAnsi="Arial" w:cs="Arial"/>
          <w:sz w:val="22"/>
        </w:rPr>
        <w:t xml:space="preserve">En esa perspectiva, </w:t>
      </w:r>
      <w:r w:rsidR="00056EF1" w:rsidRPr="006617BC">
        <w:rPr>
          <w:rFonts w:ascii="Arial" w:eastAsia="Calibri" w:hAnsi="Arial" w:cs="Arial"/>
          <w:sz w:val="22"/>
        </w:rPr>
        <w:t xml:space="preserve">aunque el proceso de selección </w:t>
      </w:r>
      <w:r w:rsidR="00056EF1" w:rsidRPr="006617BC">
        <w:rPr>
          <w:rFonts w:ascii="Arial" w:eastAsia="Calibri" w:hAnsi="Arial" w:cs="Arial"/>
          <w:bCs/>
          <w:color w:val="000000"/>
          <w:sz w:val="22"/>
          <w:szCs w:val="22"/>
          <w:lang w:val="es-ES_tradnl" w:eastAsia="en-US"/>
        </w:rPr>
        <w:t xml:space="preserve">para las adquisiciones en grandes almacenes </w:t>
      </w:r>
      <w:r w:rsidR="00364E66" w:rsidRPr="006617BC">
        <w:rPr>
          <w:rFonts w:ascii="Arial" w:eastAsia="Calibri" w:hAnsi="Arial" w:cs="Arial"/>
          <w:bCs/>
          <w:color w:val="000000"/>
          <w:sz w:val="22"/>
          <w:szCs w:val="22"/>
          <w:lang w:val="es-ES_tradnl" w:eastAsia="en-US"/>
        </w:rPr>
        <w:t xml:space="preserve">cuando se trate de mínima cuantía </w:t>
      </w:r>
      <w:r w:rsidR="00056EF1" w:rsidRPr="006617BC">
        <w:rPr>
          <w:rFonts w:ascii="Arial" w:eastAsia="Calibri" w:hAnsi="Arial" w:cs="Arial"/>
          <w:bCs/>
          <w:color w:val="000000"/>
          <w:sz w:val="22"/>
          <w:szCs w:val="22"/>
          <w:lang w:val="es-ES_tradnl" w:eastAsia="en-US"/>
        </w:rPr>
        <w:t>contiene unas reglas especiales</w:t>
      </w:r>
      <w:r w:rsidR="00C6360A" w:rsidRPr="006617BC">
        <w:rPr>
          <w:rFonts w:ascii="Arial" w:eastAsia="Calibri" w:hAnsi="Arial" w:cs="Arial"/>
          <w:bCs/>
          <w:color w:val="000000"/>
          <w:sz w:val="22"/>
          <w:szCs w:val="22"/>
          <w:lang w:val="es-ES_tradnl" w:eastAsia="en-US"/>
        </w:rPr>
        <w:t xml:space="preserve"> que permite que sea más expedito</w:t>
      </w:r>
      <w:r w:rsidR="00056EF1" w:rsidRPr="006617BC">
        <w:rPr>
          <w:rFonts w:ascii="Arial" w:eastAsia="Calibri" w:hAnsi="Arial" w:cs="Arial"/>
          <w:bCs/>
          <w:color w:val="000000"/>
          <w:sz w:val="22"/>
          <w:szCs w:val="22"/>
          <w:lang w:val="es-ES_tradnl" w:eastAsia="en-US"/>
        </w:rPr>
        <w:t>, esto no desvirtúa la naturaleza jurídica de la invitación pública</w:t>
      </w:r>
      <w:r w:rsidR="00BE0F49" w:rsidRPr="006617BC">
        <w:rPr>
          <w:rFonts w:ascii="Arial" w:eastAsia="Calibri" w:hAnsi="Arial" w:cs="Arial"/>
          <w:bCs/>
          <w:color w:val="000000"/>
          <w:sz w:val="22"/>
          <w:szCs w:val="22"/>
          <w:lang w:val="es-ES_tradnl" w:eastAsia="en-US"/>
        </w:rPr>
        <w:t xml:space="preserve">. </w:t>
      </w:r>
      <w:r w:rsidR="00166C27" w:rsidRPr="006617BC">
        <w:rPr>
          <w:rFonts w:ascii="Arial" w:eastAsia="Calibri" w:hAnsi="Arial" w:cs="Arial"/>
          <w:sz w:val="22"/>
        </w:rPr>
        <w:t xml:space="preserve">Lo anterior, se reitera en el artículo 2.2.1.1.1.3.1. del Decreto 1082 de 2015 que al definir los Documentos del Proceso en el literal c dispuso que son, entre otros, </w:t>
      </w:r>
      <w:r w:rsidR="00166C27" w:rsidRPr="006617BC">
        <w:rPr>
          <w:rFonts w:ascii="Arial" w:eastAsia="Calibri" w:hAnsi="Arial" w:cs="Arial"/>
          <w:bCs/>
          <w:color w:val="000000"/>
          <w:sz w:val="22"/>
          <w:szCs w:val="22"/>
          <w:lang w:val="es-ES_tradnl" w:eastAsia="en-US"/>
        </w:rPr>
        <w:t>«</w:t>
      </w:r>
      <w:r w:rsidR="00166C27" w:rsidRPr="006617BC">
        <w:rPr>
          <w:rFonts w:ascii="Arial" w:eastAsia="Calibri" w:hAnsi="Arial" w:cs="Arial"/>
          <w:sz w:val="22"/>
        </w:rPr>
        <w:t>los pliegos de condiciones o la invitación</w:t>
      </w:r>
      <w:r w:rsidR="00166C27" w:rsidRPr="006617BC">
        <w:rPr>
          <w:rFonts w:ascii="Arial" w:eastAsia="Calibri" w:hAnsi="Arial" w:cs="Arial"/>
          <w:bCs/>
          <w:color w:val="000000"/>
          <w:sz w:val="22"/>
          <w:szCs w:val="22"/>
          <w:lang w:val="es-ES_tradnl" w:eastAsia="en-US"/>
        </w:rPr>
        <w:t xml:space="preserve">». </w:t>
      </w:r>
    </w:p>
    <w:p w14:paraId="0021BEC8" w14:textId="3556BAA6" w:rsidR="002B48E9" w:rsidRPr="006617BC" w:rsidRDefault="00282F57" w:rsidP="003355D6">
      <w:pPr>
        <w:spacing w:before="120" w:line="276" w:lineRule="auto"/>
        <w:ind w:firstLine="709"/>
        <w:jc w:val="both"/>
        <w:rPr>
          <w:rFonts w:ascii="Arial" w:eastAsia="Calibri" w:hAnsi="Arial" w:cs="Arial"/>
          <w:sz w:val="22"/>
        </w:rPr>
      </w:pPr>
      <w:r w:rsidRPr="006617BC">
        <w:rPr>
          <w:rFonts w:ascii="Arial" w:eastAsia="Calibri" w:hAnsi="Arial" w:cs="Arial"/>
          <w:sz w:val="22"/>
        </w:rPr>
        <w:t>En este sentido</w:t>
      </w:r>
      <w:r w:rsidR="00421A41" w:rsidRPr="006617BC">
        <w:rPr>
          <w:rFonts w:ascii="Arial" w:eastAsia="Calibri" w:hAnsi="Arial" w:cs="Arial"/>
          <w:sz w:val="22"/>
        </w:rPr>
        <w:t>,</w:t>
      </w:r>
      <w:r w:rsidR="00B72608" w:rsidRPr="006617BC">
        <w:rPr>
          <w:rFonts w:ascii="Arial" w:eastAsia="Calibri" w:hAnsi="Arial" w:cs="Arial"/>
          <w:sz w:val="22"/>
        </w:rPr>
        <w:t xml:space="preserve"> atendiendo a la consulta planteada,</w:t>
      </w:r>
      <w:r w:rsidR="00421A41" w:rsidRPr="006617BC">
        <w:rPr>
          <w:rFonts w:ascii="Arial" w:eastAsia="Calibri" w:hAnsi="Arial" w:cs="Arial"/>
          <w:sz w:val="22"/>
        </w:rPr>
        <w:t xml:space="preserve"> no puede equipar</w:t>
      </w:r>
      <w:r w:rsidR="008D0914" w:rsidRPr="006617BC">
        <w:rPr>
          <w:rFonts w:ascii="Arial" w:eastAsia="Calibri" w:hAnsi="Arial" w:cs="Arial"/>
          <w:sz w:val="22"/>
        </w:rPr>
        <w:t>ar</w:t>
      </w:r>
      <w:r w:rsidR="00421A41" w:rsidRPr="006617BC">
        <w:rPr>
          <w:rFonts w:ascii="Arial" w:eastAsia="Calibri" w:hAnsi="Arial" w:cs="Arial"/>
          <w:sz w:val="22"/>
        </w:rPr>
        <w:t>se la invitación p</w:t>
      </w:r>
      <w:r w:rsidR="00F40F71" w:rsidRPr="006617BC">
        <w:rPr>
          <w:rFonts w:ascii="Arial" w:eastAsia="Calibri" w:hAnsi="Arial" w:cs="Arial"/>
          <w:sz w:val="22"/>
        </w:rPr>
        <w:t>ú</w:t>
      </w:r>
      <w:r w:rsidR="00421A41" w:rsidRPr="006617BC">
        <w:rPr>
          <w:rFonts w:ascii="Arial" w:eastAsia="Calibri" w:hAnsi="Arial" w:cs="Arial"/>
          <w:sz w:val="22"/>
        </w:rPr>
        <w:t>blica</w:t>
      </w:r>
      <w:r w:rsidR="000C6E28" w:rsidRPr="006617BC">
        <w:rPr>
          <w:rFonts w:ascii="Arial" w:eastAsia="Calibri" w:hAnsi="Arial" w:cs="Arial"/>
          <w:sz w:val="22"/>
        </w:rPr>
        <w:t xml:space="preserve"> del proceso de mínima cuantía</w:t>
      </w:r>
      <w:r w:rsidR="00421A41" w:rsidRPr="006617BC">
        <w:rPr>
          <w:rFonts w:ascii="Arial" w:eastAsia="Calibri" w:hAnsi="Arial" w:cs="Arial"/>
          <w:sz w:val="22"/>
        </w:rPr>
        <w:t xml:space="preserve"> con el aviso de convocatoria</w:t>
      </w:r>
      <w:r w:rsidR="00F15799" w:rsidRPr="006617BC">
        <w:rPr>
          <w:rFonts w:ascii="Arial" w:eastAsia="Calibri" w:hAnsi="Arial" w:cs="Arial"/>
          <w:sz w:val="22"/>
        </w:rPr>
        <w:t>,</w:t>
      </w:r>
      <w:r w:rsidR="00F40F71" w:rsidRPr="006617BC">
        <w:rPr>
          <w:rFonts w:ascii="Arial" w:eastAsia="Calibri" w:hAnsi="Arial" w:cs="Arial"/>
          <w:sz w:val="22"/>
        </w:rPr>
        <w:t xml:space="preserve"> </w:t>
      </w:r>
      <w:r w:rsidR="00421A41" w:rsidRPr="006617BC">
        <w:rPr>
          <w:rFonts w:ascii="Arial" w:eastAsia="Calibri" w:hAnsi="Arial" w:cs="Arial"/>
          <w:sz w:val="22"/>
        </w:rPr>
        <w:t xml:space="preserve">pues </w:t>
      </w:r>
      <w:r w:rsidR="000C6E28" w:rsidRPr="006617BC">
        <w:rPr>
          <w:rFonts w:ascii="Arial" w:eastAsia="Calibri" w:hAnsi="Arial" w:cs="Arial"/>
          <w:sz w:val="22"/>
        </w:rPr>
        <w:t>se trata de dos figuras distintas</w:t>
      </w:r>
      <w:r w:rsidR="000E739A" w:rsidRPr="006617BC">
        <w:rPr>
          <w:rFonts w:ascii="Arial" w:eastAsia="Calibri" w:hAnsi="Arial" w:cs="Arial"/>
          <w:sz w:val="22"/>
        </w:rPr>
        <w:t>.</w:t>
      </w:r>
      <w:r w:rsidR="000C6E28" w:rsidRPr="006617BC">
        <w:rPr>
          <w:rFonts w:ascii="Arial" w:eastAsia="Calibri" w:hAnsi="Arial" w:cs="Arial"/>
          <w:sz w:val="22"/>
        </w:rPr>
        <w:t xml:space="preserve"> </w:t>
      </w:r>
      <w:r w:rsidR="000C6E28" w:rsidRPr="006617BC">
        <w:rPr>
          <w:rFonts w:ascii="Arial" w:eastAsia="Calibri" w:hAnsi="Arial" w:cs="Arial"/>
          <w:i/>
          <w:iCs/>
          <w:sz w:val="22"/>
        </w:rPr>
        <w:t>En primer lugar,</w:t>
      </w:r>
      <w:r w:rsidR="000C6E28" w:rsidRPr="006617BC">
        <w:rPr>
          <w:rFonts w:ascii="Arial" w:eastAsia="Calibri" w:hAnsi="Arial" w:cs="Arial"/>
          <w:sz w:val="22"/>
        </w:rPr>
        <w:t xml:space="preserve"> la invitación pública</w:t>
      </w:r>
      <w:r w:rsidR="00364E66" w:rsidRPr="006617BC">
        <w:rPr>
          <w:rFonts w:ascii="Arial" w:eastAsia="Calibri" w:hAnsi="Arial" w:cs="Arial"/>
          <w:sz w:val="22"/>
        </w:rPr>
        <w:t>, como se explicó,</w:t>
      </w:r>
      <w:r w:rsidR="000C6E28" w:rsidRPr="006617BC">
        <w:rPr>
          <w:rFonts w:ascii="Arial" w:eastAsia="Calibri" w:hAnsi="Arial" w:cs="Arial"/>
          <w:sz w:val="22"/>
        </w:rPr>
        <w:t xml:space="preserve"> </w:t>
      </w:r>
      <w:r w:rsidR="003355D6" w:rsidRPr="006617BC">
        <w:rPr>
          <w:rFonts w:ascii="Arial" w:eastAsia="Calibri" w:hAnsi="Arial" w:cs="Arial"/>
          <w:sz w:val="22"/>
        </w:rPr>
        <w:t>es equivalente al pliego de condiciones</w:t>
      </w:r>
      <w:r w:rsidR="009965A7" w:rsidRPr="006617BC">
        <w:rPr>
          <w:rFonts w:ascii="Arial" w:eastAsia="Calibri" w:hAnsi="Arial" w:cs="Arial"/>
          <w:sz w:val="22"/>
        </w:rPr>
        <w:t>,</w:t>
      </w:r>
      <w:r w:rsidR="003355D6" w:rsidRPr="006617BC">
        <w:rPr>
          <w:rFonts w:ascii="Arial" w:eastAsia="Calibri" w:hAnsi="Arial" w:cs="Arial"/>
          <w:sz w:val="22"/>
        </w:rPr>
        <w:t xml:space="preserve"> mientras que el aviso de convocatoria es un documento que expide la entidad estatal con fundamento en el principio de publicidad, diferente del pliego de condiciones, cuyo propósito es hacer público el proceso de contratación y promover la participación de los interesados</w:t>
      </w:r>
      <w:r w:rsidR="00990583" w:rsidRPr="006617BC">
        <w:rPr>
          <w:rFonts w:ascii="Arial" w:eastAsia="Calibri" w:hAnsi="Arial" w:cs="Arial"/>
          <w:sz w:val="22"/>
        </w:rPr>
        <w:t>.</w:t>
      </w:r>
      <w:r w:rsidR="00A756BC" w:rsidRPr="006617BC">
        <w:rPr>
          <w:rFonts w:ascii="Arial" w:eastAsia="Calibri" w:hAnsi="Arial" w:cs="Arial"/>
          <w:sz w:val="22"/>
        </w:rPr>
        <w:t xml:space="preserve"> </w:t>
      </w:r>
      <w:r w:rsidR="002B48E9" w:rsidRPr="006617BC">
        <w:rPr>
          <w:rFonts w:ascii="Arial" w:eastAsia="Calibri" w:hAnsi="Arial" w:cs="Arial"/>
          <w:sz w:val="22"/>
        </w:rPr>
        <w:t xml:space="preserve">Respecto de </w:t>
      </w:r>
      <w:r w:rsidR="00A756BC" w:rsidRPr="006617BC">
        <w:rPr>
          <w:rFonts w:ascii="Arial" w:eastAsia="Calibri" w:hAnsi="Arial" w:cs="Arial"/>
          <w:sz w:val="22"/>
        </w:rPr>
        <w:t>la finalidad de</w:t>
      </w:r>
      <w:r w:rsidR="003932B1" w:rsidRPr="006617BC">
        <w:rPr>
          <w:rFonts w:ascii="Arial" w:eastAsia="Calibri" w:hAnsi="Arial" w:cs="Arial"/>
          <w:sz w:val="22"/>
        </w:rPr>
        <w:t>l aviso de convocatoria</w:t>
      </w:r>
      <w:r w:rsidR="00A756BC" w:rsidRPr="006617BC">
        <w:rPr>
          <w:rFonts w:ascii="Arial" w:eastAsia="Calibri" w:hAnsi="Arial" w:cs="Arial"/>
          <w:sz w:val="22"/>
        </w:rPr>
        <w:t xml:space="preserve"> el Consejo de Estado ha</w:t>
      </w:r>
      <w:r w:rsidR="002B48E9" w:rsidRPr="006617BC">
        <w:rPr>
          <w:rFonts w:ascii="Arial" w:eastAsia="Calibri" w:hAnsi="Arial" w:cs="Arial"/>
          <w:sz w:val="22"/>
        </w:rPr>
        <w:t xml:space="preserve"> señalado</w:t>
      </w:r>
      <w:r w:rsidR="00A756BC" w:rsidRPr="006617BC">
        <w:rPr>
          <w:rFonts w:ascii="Arial" w:eastAsia="Calibri" w:hAnsi="Arial" w:cs="Arial"/>
          <w:sz w:val="22"/>
        </w:rPr>
        <w:t xml:space="preserve"> que </w:t>
      </w:r>
      <w:r w:rsidR="002B48E9" w:rsidRPr="006617BC">
        <w:rPr>
          <w:rFonts w:ascii="Arial" w:eastAsia="Calibri" w:hAnsi="Arial" w:cs="Arial"/>
          <w:bCs/>
          <w:color w:val="000000"/>
          <w:sz w:val="22"/>
          <w:szCs w:val="22"/>
          <w:lang w:val="es-ES_tradnl" w:eastAsia="en-US"/>
        </w:rPr>
        <w:t>«</w:t>
      </w:r>
      <w:r w:rsidR="00A756BC" w:rsidRPr="006617BC">
        <w:rPr>
          <w:rFonts w:ascii="Arial" w:eastAsia="Calibri" w:hAnsi="Arial" w:cs="Arial"/>
          <w:sz w:val="22"/>
        </w:rPr>
        <w:t xml:space="preserve">Su propósito real e inmediato –por algo es sólo un aviso- es llamar, convocar, avisar, anunciar, invitar o proclamar de manera amplia que una entidad estatal tiene la intención de abrir, </w:t>
      </w:r>
      <w:r w:rsidR="00A756BC" w:rsidRPr="006617BC">
        <w:rPr>
          <w:rFonts w:ascii="Arial" w:eastAsia="Calibri" w:hAnsi="Arial" w:cs="Arial"/>
          <w:sz w:val="22"/>
        </w:rPr>
        <w:lastRenderedPageBreak/>
        <w:t>prontamente, una licitación, y la ley exige que no lo haga en secreto sino de manera pública, para que la información no quede en manos de pocas personas privilegiadas, sino al acceso de todos</w:t>
      </w:r>
      <w:r w:rsidR="002B48E9" w:rsidRPr="006617BC">
        <w:rPr>
          <w:rFonts w:ascii="Arial" w:eastAsia="Calibri" w:hAnsi="Arial" w:cs="Arial"/>
          <w:bCs/>
          <w:color w:val="000000"/>
          <w:sz w:val="22"/>
          <w:szCs w:val="22"/>
          <w:lang w:val="es-ES_tradnl" w:eastAsia="en-US"/>
        </w:rPr>
        <w:t>»</w:t>
      </w:r>
      <w:r w:rsidR="002B48E9" w:rsidRPr="006617BC">
        <w:rPr>
          <w:rStyle w:val="Refdenotaalpie"/>
          <w:rFonts w:ascii="Arial" w:eastAsia="Calibri" w:hAnsi="Arial" w:cs="Arial"/>
          <w:bCs/>
          <w:color w:val="000000"/>
          <w:sz w:val="22"/>
          <w:szCs w:val="22"/>
          <w:lang w:val="es-ES_tradnl" w:eastAsia="en-US"/>
        </w:rPr>
        <w:footnoteReference w:id="8"/>
      </w:r>
      <w:r w:rsidR="002B48E9" w:rsidRPr="006617BC">
        <w:rPr>
          <w:rFonts w:ascii="Arial" w:eastAsia="Calibri" w:hAnsi="Arial" w:cs="Arial"/>
          <w:bCs/>
          <w:color w:val="000000"/>
          <w:sz w:val="22"/>
          <w:szCs w:val="22"/>
          <w:lang w:val="es-ES_tradnl" w:eastAsia="en-US"/>
        </w:rPr>
        <w:t>.</w:t>
      </w:r>
      <w:r w:rsidR="003C5072" w:rsidRPr="006617BC">
        <w:rPr>
          <w:rFonts w:ascii="Arial" w:eastAsia="Calibri" w:hAnsi="Arial" w:cs="Arial"/>
          <w:bCs/>
          <w:color w:val="000000"/>
          <w:sz w:val="22"/>
          <w:szCs w:val="22"/>
          <w:lang w:val="es-ES_tradnl" w:eastAsia="en-US"/>
        </w:rPr>
        <w:t xml:space="preserve"> De esta manera, su finalidad no</w:t>
      </w:r>
      <w:r w:rsidR="003E53B8" w:rsidRPr="006617BC">
        <w:rPr>
          <w:rFonts w:ascii="Arial" w:eastAsia="Calibri" w:hAnsi="Arial" w:cs="Arial"/>
          <w:bCs/>
          <w:color w:val="000000"/>
          <w:sz w:val="22"/>
          <w:szCs w:val="22"/>
          <w:lang w:val="es-ES_tradnl" w:eastAsia="en-US"/>
        </w:rPr>
        <w:t xml:space="preserve"> es</w:t>
      </w:r>
      <w:r w:rsidR="003C5072" w:rsidRPr="006617BC">
        <w:rPr>
          <w:rFonts w:ascii="Arial" w:eastAsia="Calibri" w:hAnsi="Arial" w:cs="Arial"/>
          <w:bCs/>
          <w:color w:val="000000"/>
          <w:sz w:val="22"/>
          <w:szCs w:val="22"/>
          <w:lang w:val="es-ES_tradnl" w:eastAsia="en-US"/>
        </w:rPr>
        <w:t xml:space="preserve"> establecer las condiciones definitivas del proceso de contratación</w:t>
      </w:r>
      <w:r w:rsidR="003E53B8" w:rsidRPr="006617BC">
        <w:rPr>
          <w:rFonts w:ascii="Arial" w:eastAsia="Calibri" w:hAnsi="Arial" w:cs="Arial"/>
          <w:bCs/>
          <w:color w:val="000000"/>
          <w:sz w:val="22"/>
          <w:szCs w:val="22"/>
          <w:lang w:val="es-ES_tradnl" w:eastAsia="en-US"/>
        </w:rPr>
        <w:t>,</w:t>
      </w:r>
      <w:r w:rsidR="003C5072" w:rsidRPr="006617BC">
        <w:rPr>
          <w:rFonts w:ascii="Arial" w:eastAsia="Calibri" w:hAnsi="Arial" w:cs="Arial"/>
          <w:bCs/>
          <w:color w:val="000000"/>
          <w:sz w:val="22"/>
          <w:szCs w:val="22"/>
          <w:lang w:val="es-ES_tradnl" w:eastAsia="en-US"/>
        </w:rPr>
        <w:t xml:space="preserve"> </w:t>
      </w:r>
      <w:r w:rsidR="00F3254A" w:rsidRPr="006617BC">
        <w:rPr>
          <w:rFonts w:ascii="Arial" w:eastAsia="Calibri" w:hAnsi="Arial" w:cs="Arial"/>
          <w:bCs/>
          <w:color w:val="000000"/>
          <w:sz w:val="22"/>
          <w:szCs w:val="22"/>
          <w:lang w:val="es-ES_tradnl" w:eastAsia="en-US"/>
        </w:rPr>
        <w:t xml:space="preserve">como lo hace la invitación, </w:t>
      </w:r>
      <w:r w:rsidR="003C5072" w:rsidRPr="006617BC">
        <w:rPr>
          <w:rFonts w:ascii="Arial" w:eastAsia="Calibri" w:hAnsi="Arial" w:cs="Arial"/>
          <w:bCs/>
          <w:color w:val="000000"/>
          <w:sz w:val="22"/>
          <w:szCs w:val="22"/>
          <w:lang w:val="es-ES_tradnl" w:eastAsia="en-US"/>
        </w:rPr>
        <w:t xml:space="preserve">sino el de anunciar públicamente dicho proceso. </w:t>
      </w:r>
    </w:p>
    <w:p w14:paraId="703CDDA5" w14:textId="77777777" w:rsidR="009F18A4" w:rsidRPr="006617BC" w:rsidRDefault="000C6E28" w:rsidP="003D43DD">
      <w:pPr>
        <w:spacing w:before="120" w:line="276" w:lineRule="auto"/>
        <w:ind w:firstLine="709"/>
        <w:jc w:val="both"/>
        <w:rPr>
          <w:rFonts w:ascii="Arial" w:eastAsia="Calibri" w:hAnsi="Arial" w:cs="Arial"/>
          <w:sz w:val="22"/>
        </w:rPr>
      </w:pPr>
      <w:r w:rsidRPr="006617BC">
        <w:rPr>
          <w:rFonts w:ascii="Arial" w:eastAsia="Calibri" w:hAnsi="Arial" w:cs="Arial"/>
          <w:i/>
          <w:iCs/>
          <w:sz w:val="22"/>
        </w:rPr>
        <w:t>En segundo lugar</w:t>
      </w:r>
      <w:r w:rsidRPr="006617BC">
        <w:rPr>
          <w:rFonts w:ascii="Arial" w:eastAsia="Calibri" w:hAnsi="Arial" w:cs="Arial"/>
          <w:sz w:val="22"/>
        </w:rPr>
        <w:t xml:space="preserve">, </w:t>
      </w:r>
      <w:r w:rsidR="00215C98" w:rsidRPr="006617BC">
        <w:rPr>
          <w:rFonts w:ascii="Arial" w:eastAsia="Calibri" w:hAnsi="Arial" w:cs="Arial"/>
          <w:sz w:val="22"/>
        </w:rPr>
        <w:t>e</w:t>
      </w:r>
      <w:r w:rsidR="00B72608" w:rsidRPr="006617BC">
        <w:rPr>
          <w:rFonts w:ascii="Arial" w:eastAsia="Calibri" w:hAnsi="Arial" w:cs="Arial"/>
          <w:sz w:val="22"/>
        </w:rPr>
        <w:t>l</w:t>
      </w:r>
      <w:r w:rsidR="00215C98" w:rsidRPr="006617BC">
        <w:rPr>
          <w:rFonts w:ascii="Arial" w:eastAsia="Calibri" w:hAnsi="Arial" w:cs="Arial"/>
          <w:sz w:val="22"/>
        </w:rPr>
        <w:t xml:space="preserve"> contenido de la información que debe contemplar </w:t>
      </w:r>
      <w:r w:rsidR="003E53B8" w:rsidRPr="006617BC">
        <w:rPr>
          <w:rFonts w:ascii="Arial" w:eastAsia="Calibri" w:hAnsi="Arial" w:cs="Arial"/>
          <w:sz w:val="22"/>
        </w:rPr>
        <w:t>la invitación y el aviso de convocatoria</w:t>
      </w:r>
      <w:r w:rsidR="00215C98" w:rsidRPr="006617BC">
        <w:rPr>
          <w:rFonts w:ascii="Arial" w:eastAsia="Calibri" w:hAnsi="Arial" w:cs="Arial"/>
          <w:sz w:val="22"/>
        </w:rPr>
        <w:t xml:space="preserve"> </w:t>
      </w:r>
      <w:r w:rsidR="00B72608" w:rsidRPr="006617BC">
        <w:rPr>
          <w:rFonts w:ascii="Arial" w:eastAsia="Calibri" w:hAnsi="Arial" w:cs="Arial"/>
          <w:sz w:val="22"/>
        </w:rPr>
        <w:t>tienen sustento en diferentes normas jurídicas.</w:t>
      </w:r>
      <w:r w:rsidR="00215C98" w:rsidRPr="006617BC">
        <w:rPr>
          <w:rFonts w:ascii="Arial" w:eastAsia="Calibri" w:hAnsi="Arial" w:cs="Arial"/>
          <w:sz w:val="22"/>
        </w:rPr>
        <w:t xml:space="preserve"> En los artículos </w:t>
      </w:r>
      <w:r w:rsidR="00215C98" w:rsidRPr="006617BC">
        <w:rPr>
          <w:rFonts w:ascii="Arial" w:eastAsia="Calibri" w:hAnsi="Arial" w:cs="Arial"/>
          <w:bCs/>
          <w:color w:val="000000"/>
          <w:sz w:val="22"/>
          <w:szCs w:val="22"/>
          <w:lang w:val="es-ES_tradnl" w:eastAsia="en-US"/>
        </w:rPr>
        <w:t>2.2.1.2.1.5.2. y 2.2.1.2.1.5.3. del Decreto 1082 de 2015 se regula la invitación en la mínima cuantía que prevé los elementos mínimos que debe incluirse en esta modalidad de contratación</w:t>
      </w:r>
      <w:r w:rsidR="003E53B8" w:rsidRPr="006617BC">
        <w:rPr>
          <w:rFonts w:ascii="Arial" w:eastAsia="Calibri" w:hAnsi="Arial" w:cs="Arial"/>
          <w:bCs/>
          <w:color w:val="000000"/>
          <w:sz w:val="22"/>
          <w:szCs w:val="22"/>
          <w:lang w:val="es-ES_tradnl" w:eastAsia="en-US"/>
        </w:rPr>
        <w:t xml:space="preserve">, </w:t>
      </w:r>
      <w:r w:rsidR="003D43DD" w:rsidRPr="006617BC">
        <w:rPr>
          <w:rFonts w:ascii="Arial" w:eastAsia="Calibri" w:hAnsi="Arial" w:cs="Arial"/>
          <w:bCs/>
          <w:color w:val="000000"/>
          <w:sz w:val="22"/>
          <w:szCs w:val="22"/>
          <w:lang w:val="es-ES_tradnl" w:eastAsia="en-US"/>
        </w:rPr>
        <w:t xml:space="preserve">la cual se regirá </w:t>
      </w:r>
      <w:r w:rsidR="003D43DD" w:rsidRPr="006617BC">
        <w:rPr>
          <w:rFonts w:ascii="Arial" w:eastAsia="Calibri" w:hAnsi="Arial" w:cs="Arial"/>
          <w:bCs/>
          <w:color w:val="000000"/>
          <w:sz w:val="22"/>
          <w:szCs w:val="22"/>
          <w:lang w:eastAsia="en-US"/>
        </w:rPr>
        <w:t xml:space="preserve">exclusivamente con las reglas </w:t>
      </w:r>
      <w:r w:rsidR="00F3254A" w:rsidRPr="006617BC">
        <w:rPr>
          <w:rFonts w:ascii="Arial" w:eastAsia="Calibri" w:hAnsi="Arial" w:cs="Arial"/>
          <w:bCs/>
          <w:color w:val="000000"/>
          <w:sz w:val="22"/>
          <w:szCs w:val="22"/>
          <w:lang w:eastAsia="en-US"/>
        </w:rPr>
        <w:t xml:space="preserve">allí contempladas </w:t>
      </w:r>
      <w:r w:rsidR="003D43DD" w:rsidRPr="006617BC">
        <w:rPr>
          <w:rFonts w:ascii="Arial" w:eastAsia="Calibri" w:hAnsi="Arial" w:cs="Arial"/>
          <w:bCs/>
          <w:color w:val="000000"/>
          <w:sz w:val="22"/>
          <w:szCs w:val="22"/>
          <w:lang w:eastAsia="en-US"/>
        </w:rPr>
        <w:t>por disposición expresa del parágrafo del artículo 30 de la Ley 2069 de 2020</w:t>
      </w:r>
      <w:r w:rsidR="00B72608" w:rsidRPr="006617BC">
        <w:rPr>
          <w:rFonts w:ascii="Arial" w:eastAsia="Calibri" w:hAnsi="Arial" w:cs="Arial"/>
          <w:bCs/>
          <w:color w:val="000000"/>
          <w:sz w:val="22"/>
          <w:szCs w:val="22"/>
          <w:lang w:val="es-ES_tradnl" w:eastAsia="en-US"/>
        </w:rPr>
        <w:t xml:space="preserve">. </w:t>
      </w:r>
      <w:r w:rsidR="00215C98" w:rsidRPr="006617BC">
        <w:rPr>
          <w:rFonts w:ascii="Arial" w:eastAsia="Calibri" w:hAnsi="Arial" w:cs="Arial"/>
          <w:bCs/>
          <w:color w:val="000000"/>
          <w:sz w:val="22"/>
          <w:szCs w:val="22"/>
          <w:lang w:val="es-ES_tradnl" w:eastAsia="en-US"/>
        </w:rPr>
        <w:t xml:space="preserve">Por su parte, </w:t>
      </w:r>
      <w:r w:rsidR="00B72608" w:rsidRPr="006617BC">
        <w:rPr>
          <w:rFonts w:ascii="Arial" w:eastAsia="Calibri" w:hAnsi="Arial" w:cs="Arial"/>
          <w:bCs/>
          <w:color w:val="000000"/>
          <w:sz w:val="22"/>
          <w:szCs w:val="22"/>
          <w:lang w:val="es-ES_tradnl" w:eastAsia="en-US"/>
        </w:rPr>
        <w:t xml:space="preserve">el </w:t>
      </w:r>
      <w:r w:rsidR="00215C98" w:rsidRPr="006617BC">
        <w:rPr>
          <w:rFonts w:ascii="Arial" w:eastAsia="Calibri" w:hAnsi="Arial" w:cs="Arial"/>
          <w:sz w:val="22"/>
        </w:rPr>
        <w:t>artículo 2.2.1.1.2.1.2 del Decreto 1082 de 2015</w:t>
      </w:r>
      <w:r w:rsidR="00B72608" w:rsidRPr="006617BC">
        <w:rPr>
          <w:rFonts w:ascii="Arial" w:eastAsia="Calibri" w:hAnsi="Arial" w:cs="Arial"/>
          <w:sz w:val="22"/>
        </w:rPr>
        <w:t xml:space="preserve"> establece la información</w:t>
      </w:r>
      <w:r w:rsidR="003D43DD" w:rsidRPr="006617BC">
        <w:rPr>
          <w:rFonts w:ascii="Arial" w:eastAsia="Calibri" w:hAnsi="Arial" w:cs="Arial"/>
          <w:sz w:val="22"/>
        </w:rPr>
        <w:t xml:space="preserve"> </w:t>
      </w:r>
      <w:r w:rsidR="006646E0" w:rsidRPr="006617BC">
        <w:rPr>
          <w:rFonts w:ascii="Arial" w:eastAsia="Calibri" w:hAnsi="Arial" w:cs="Arial"/>
          <w:sz w:val="22"/>
        </w:rPr>
        <w:t>mínima</w:t>
      </w:r>
      <w:r w:rsidR="00B72608" w:rsidRPr="006617BC">
        <w:rPr>
          <w:rFonts w:ascii="Arial" w:eastAsia="Calibri" w:hAnsi="Arial" w:cs="Arial"/>
          <w:sz w:val="22"/>
        </w:rPr>
        <w:t xml:space="preserve"> que debe contemplar </w:t>
      </w:r>
      <w:r w:rsidR="007F6B3B" w:rsidRPr="006617BC">
        <w:rPr>
          <w:rFonts w:ascii="Arial" w:eastAsia="Calibri" w:hAnsi="Arial" w:cs="Arial"/>
          <w:sz w:val="22"/>
        </w:rPr>
        <w:t>el</w:t>
      </w:r>
      <w:r w:rsidR="00B72608" w:rsidRPr="006617BC">
        <w:rPr>
          <w:rFonts w:ascii="Arial" w:eastAsia="Calibri" w:hAnsi="Arial" w:cs="Arial"/>
          <w:sz w:val="22"/>
        </w:rPr>
        <w:t xml:space="preserve"> aviso de convocatoria </w:t>
      </w:r>
      <w:r w:rsidR="007F6B3B" w:rsidRPr="006617BC">
        <w:rPr>
          <w:rFonts w:ascii="Arial" w:eastAsia="Calibri" w:hAnsi="Arial" w:cs="Arial"/>
          <w:sz w:val="22"/>
        </w:rPr>
        <w:t>de los procesos de selección</w:t>
      </w:r>
      <w:r w:rsidR="003D43DD" w:rsidRPr="006617BC">
        <w:rPr>
          <w:rFonts w:ascii="Arial" w:eastAsia="Calibri" w:hAnsi="Arial" w:cs="Arial"/>
          <w:sz w:val="22"/>
        </w:rPr>
        <w:t>,</w:t>
      </w:r>
      <w:r w:rsidR="007F6B3B" w:rsidRPr="006617BC">
        <w:rPr>
          <w:rFonts w:ascii="Arial" w:eastAsia="Calibri" w:hAnsi="Arial" w:cs="Arial"/>
          <w:sz w:val="22"/>
        </w:rPr>
        <w:t xml:space="preserve"> </w:t>
      </w:r>
      <w:r w:rsidR="009440FA" w:rsidRPr="006617BC">
        <w:rPr>
          <w:rFonts w:ascii="Arial" w:eastAsia="Calibri" w:hAnsi="Arial" w:cs="Arial"/>
          <w:sz w:val="22"/>
        </w:rPr>
        <w:t>además</w:t>
      </w:r>
      <w:r w:rsidR="00990583" w:rsidRPr="006617BC">
        <w:rPr>
          <w:rFonts w:ascii="Arial" w:eastAsia="Calibri" w:hAnsi="Arial" w:cs="Arial"/>
          <w:sz w:val="22"/>
        </w:rPr>
        <w:t xml:space="preserve"> de lo </w:t>
      </w:r>
      <w:r w:rsidR="009440FA" w:rsidRPr="006617BC">
        <w:rPr>
          <w:rFonts w:ascii="Arial" w:eastAsia="Calibri" w:hAnsi="Arial" w:cs="Arial"/>
          <w:sz w:val="22"/>
        </w:rPr>
        <w:t>establecido</w:t>
      </w:r>
      <w:r w:rsidR="00990583" w:rsidRPr="006617BC">
        <w:rPr>
          <w:rFonts w:ascii="Arial" w:eastAsia="Calibri" w:hAnsi="Arial" w:cs="Arial"/>
          <w:sz w:val="22"/>
        </w:rPr>
        <w:t xml:space="preserve"> para cada </w:t>
      </w:r>
      <w:r w:rsidR="009440FA" w:rsidRPr="006617BC">
        <w:rPr>
          <w:rFonts w:ascii="Arial" w:eastAsia="Calibri" w:hAnsi="Arial" w:cs="Arial"/>
          <w:sz w:val="22"/>
        </w:rPr>
        <w:t>modalidad de selección</w:t>
      </w:r>
      <w:r w:rsidR="009440FA" w:rsidRPr="006617BC">
        <w:rPr>
          <w:rStyle w:val="Refdenotaalpie"/>
          <w:rFonts w:ascii="Arial" w:eastAsia="Calibri" w:hAnsi="Arial" w:cs="Arial"/>
          <w:sz w:val="22"/>
        </w:rPr>
        <w:footnoteReference w:id="9"/>
      </w:r>
      <w:r w:rsidR="007C1554" w:rsidRPr="006617BC">
        <w:rPr>
          <w:rFonts w:ascii="Arial" w:eastAsia="Calibri" w:hAnsi="Arial" w:cs="Arial"/>
          <w:sz w:val="22"/>
        </w:rPr>
        <w:t xml:space="preserve">. </w:t>
      </w:r>
    </w:p>
    <w:p w14:paraId="6C1D71C2" w14:textId="72CAFC45" w:rsidR="00383D49" w:rsidRPr="006617BC" w:rsidRDefault="007F6B3B" w:rsidP="003D43DD">
      <w:pPr>
        <w:spacing w:before="120" w:line="276" w:lineRule="auto"/>
        <w:ind w:firstLine="709"/>
        <w:jc w:val="both"/>
        <w:rPr>
          <w:rFonts w:ascii="Arial" w:eastAsia="Calibri" w:hAnsi="Arial" w:cs="Arial"/>
          <w:sz w:val="22"/>
        </w:rPr>
      </w:pPr>
      <w:r w:rsidRPr="006617BC">
        <w:rPr>
          <w:rFonts w:ascii="Arial" w:eastAsia="Calibri" w:hAnsi="Arial" w:cs="Arial"/>
          <w:i/>
          <w:iCs/>
          <w:sz w:val="22"/>
        </w:rPr>
        <w:t>Por último,</w:t>
      </w:r>
      <w:r w:rsidRPr="006617BC">
        <w:rPr>
          <w:rFonts w:ascii="Arial" w:eastAsia="Calibri" w:hAnsi="Arial" w:cs="Arial"/>
          <w:sz w:val="22"/>
        </w:rPr>
        <w:t xml:space="preserve"> </w:t>
      </w:r>
      <w:r w:rsidRPr="006617BC">
        <w:rPr>
          <w:rFonts w:ascii="Arial" w:eastAsia="Calibri" w:hAnsi="Arial" w:cs="Arial"/>
          <w:bCs/>
          <w:color w:val="000000"/>
          <w:sz w:val="22"/>
          <w:szCs w:val="22"/>
          <w:lang w:val="es-ES_tradnl" w:eastAsia="en-US"/>
        </w:rPr>
        <w:t xml:space="preserve">el inciso final del </w:t>
      </w:r>
      <w:r w:rsidRPr="006617BC">
        <w:rPr>
          <w:rFonts w:ascii="Arial" w:eastAsia="Calibri" w:hAnsi="Arial" w:cs="Arial"/>
          <w:sz w:val="22"/>
        </w:rPr>
        <w:t>artículo 2.2.1.1.2.1.2 del Decreto 1082 de 2015</w:t>
      </w:r>
      <w:r w:rsidR="003D43DD" w:rsidRPr="006617BC">
        <w:rPr>
          <w:rFonts w:ascii="Arial" w:eastAsia="Calibri" w:hAnsi="Arial" w:cs="Arial"/>
          <w:sz w:val="22"/>
        </w:rPr>
        <w:t xml:space="preserve"> </w:t>
      </w:r>
      <w:r w:rsidRPr="006617BC">
        <w:rPr>
          <w:rFonts w:ascii="Arial" w:eastAsia="Calibri" w:hAnsi="Arial" w:cs="Arial"/>
          <w:sz w:val="22"/>
        </w:rPr>
        <w:t xml:space="preserve">excluye expresamente </w:t>
      </w:r>
      <w:r w:rsidR="00215B45" w:rsidRPr="006617BC">
        <w:rPr>
          <w:rFonts w:ascii="Arial" w:eastAsia="Calibri" w:hAnsi="Arial" w:cs="Arial"/>
          <w:sz w:val="22"/>
        </w:rPr>
        <w:t xml:space="preserve">al proceso de mínima cuantía </w:t>
      </w:r>
      <w:r w:rsidR="00990583" w:rsidRPr="006617BC">
        <w:rPr>
          <w:rFonts w:ascii="Arial" w:eastAsia="Calibri" w:hAnsi="Arial" w:cs="Arial"/>
          <w:sz w:val="22"/>
        </w:rPr>
        <w:t xml:space="preserve">de la expedición del aviso de convocatoria al señalar que </w:t>
      </w:r>
      <w:r w:rsidR="007C1554" w:rsidRPr="006617BC">
        <w:rPr>
          <w:rFonts w:ascii="Arial" w:eastAsia="Calibri" w:hAnsi="Arial" w:cs="Arial"/>
          <w:bCs/>
          <w:color w:val="000000"/>
          <w:sz w:val="22"/>
          <w:szCs w:val="22"/>
          <w:lang w:val="es-ES_tradnl" w:eastAsia="en-US"/>
        </w:rPr>
        <w:t>«</w:t>
      </w:r>
      <w:r w:rsidR="007C1554" w:rsidRPr="006617BC">
        <w:rPr>
          <w:rFonts w:ascii="Arial" w:eastAsia="Calibri" w:hAnsi="Arial" w:cs="Arial"/>
          <w:sz w:val="22"/>
        </w:rPr>
        <w:t xml:space="preserve">En los Procesos de Contratación adelantados bajo las modalidades de selección de </w:t>
      </w:r>
      <w:r w:rsidR="007C1554" w:rsidRPr="006617BC">
        <w:rPr>
          <w:rFonts w:ascii="Arial" w:eastAsia="Calibri" w:hAnsi="Arial" w:cs="Arial"/>
          <w:i/>
          <w:iCs/>
          <w:sz w:val="22"/>
        </w:rPr>
        <w:t>mí</w:t>
      </w:r>
      <w:r w:rsidR="007C1554" w:rsidRPr="006617BC">
        <w:rPr>
          <w:rFonts w:ascii="Arial" w:eastAsia="Calibri" w:hAnsi="Arial" w:cs="Arial"/>
          <w:i/>
          <w:iCs/>
          <w:sz w:val="22"/>
        </w:rPr>
        <w:softHyphen/>
        <w:t>nima cuantía</w:t>
      </w:r>
      <w:r w:rsidR="007C1554" w:rsidRPr="006617BC">
        <w:rPr>
          <w:rFonts w:ascii="Arial" w:eastAsia="Calibri" w:hAnsi="Arial" w:cs="Arial"/>
          <w:sz w:val="22"/>
        </w:rPr>
        <w:t xml:space="preserve"> y contratación directa, no es necesaria la expedición y </w:t>
      </w:r>
      <w:r w:rsidR="007C1554" w:rsidRPr="006617BC">
        <w:rPr>
          <w:rFonts w:ascii="Arial" w:eastAsia="Calibri" w:hAnsi="Arial" w:cs="Arial"/>
          <w:sz w:val="22"/>
        </w:rPr>
        <w:lastRenderedPageBreak/>
        <w:t>publicación del aviso de convocatoria en el SECOP</w:t>
      </w:r>
      <w:r w:rsidR="007C1554" w:rsidRPr="006617BC">
        <w:rPr>
          <w:rFonts w:ascii="Arial" w:eastAsia="Calibri" w:hAnsi="Arial" w:cs="Arial"/>
          <w:bCs/>
          <w:color w:val="000000"/>
          <w:sz w:val="22"/>
          <w:szCs w:val="22"/>
          <w:lang w:val="es-ES_tradnl" w:eastAsia="en-US"/>
        </w:rPr>
        <w:t>»</w:t>
      </w:r>
      <w:r w:rsidR="00990583" w:rsidRPr="006617BC">
        <w:rPr>
          <w:rFonts w:ascii="Arial" w:eastAsia="Calibri" w:hAnsi="Arial" w:cs="Arial"/>
          <w:sz w:val="22"/>
        </w:rPr>
        <w:t xml:space="preserve"> (Énfasis por fuera de texto).</w:t>
      </w:r>
      <w:r w:rsidR="007C1554" w:rsidRPr="006617BC">
        <w:rPr>
          <w:rFonts w:ascii="Arial" w:eastAsia="Calibri" w:hAnsi="Arial" w:cs="Arial"/>
          <w:sz w:val="22"/>
        </w:rPr>
        <w:t xml:space="preserve"> </w:t>
      </w:r>
      <w:r w:rsidRPr="006617BC">
        <w:rPr>
          <w:rFonts w:ascii="Arial" w:eastAsia="Calibri" w:hAnsi="Arial" w:cs="Arial"/>
          <w:sz w:val="22"/>
        </w:rPr>
        <w:t xml:space="preserve">De ahí se deprende claramente que </w:t>
      </w:r>
      <w:r w:rsidR="003D43DD" w:rsidRPr="006617BC">
        <w:rPr>
          <w:rFonts w:ascii="Arial" w:eastAsia="Calibri" w:hAnsi="Arial" w:cs="Arial"/>
          <w:sz w:val="22"/>
        </w:rPr>
        <w:t>la invitación prevista para la mínima cuantía es distinta del aviso de convocatoria</w:t>
      </w:r>
      <w:r w:rsidR="00166C27" w:rsidRPr="006617BC">
        <w:rPr>
          <w:rFonts w:ascii="Arial" w:eastAsia="Calibri" w:hAnsi="Arial" w:cs="Arial"/>
          <w:sz w:val="22"/>
        </w:rPr>
        <w:t xml:space="preserve"> </w:t>
      </w:r>
      <w:r w:rsidR="00873BDE" w:rsidRPr="006617BC">
        <w:rPr>
          <w:rFonts w:ascii="Arial" w:eastAsia="Calibri" w:hAnsi="Arial" w:cs="Arial"/>
          <w:sz w:val="22"/>
        </w:rPr>
        <w:t>contemplado</w:t>
      </w:r>
      <w:r w:rsidR="00166C27" w:rsidRPr="006617BC">
        <w:rPr>
          <w:rFonts w:ascii="Arial" w:eastAsia="Calibri" w:hAnsi="Arial" w:cs="Arial"/>
          <w:sz w:val="22"/>
        </w:rPr>
        <w:t xml:space="preserve"> en la norma señalada</w:t>
      </w:r>
      <w:r w:rsidR="003D43DD" w:rsidRPr="006617BC">
        <w:rPr>
          <w:rFonts w:ascii="Arial" w:eastAsia="Calibri" w:hAnsi="Arial" w:cs="Arial"/>
          <w:sz w:val="22"/>
        </w:rPr>
        <w:t xml:space="preserve">. </w:t>
      </w:r>
    </w:p>
    <w:p w14:paraId="3A1EFC95" w14:textId="4111CA80" w:rsidR="007F5CDF" w:rsidRPr="006617BC" w:rsidRDefault="00560681" w:rsidP="003D43DD">
      <w:pPr>
        <w:spacing w:before="120" w:line="276" w:lineRule="auto"/>
        <w:ind w:firstLine="709"/>
        <w:jc w:val="both"/>
        <w:rPr>
          <w:rFonts w:ascii="Arial" w:eastAsia="Calibri" w:hAnsi="Arial" w:cs="Arial"/>
          <w:bCs/>
          <w:color w:val="000000"/>
          <w:sz w:val="22"/>
          <w:szCs w:val="22"/>
          <w:lang w:val="es-ES_tradnl" w:eastAsia="en-US"/>
        </w:rPr>
      </w:pPr>
      <w:r w:rsidRPr="006617BC">
        <w:rPr>
          <w:rFonts w:ascii="Arial" w:eastAsia="Calibri" w:hAnsi="Arial" w:cs="Arial"/>
          <w:sz w:val="22"/>
        </w:rPr>
        <w:t>En conclusión</w:t>
      </w:r>
      <w:r w:rsidR="007F5CDF" w:rsidRPr="006617BC">
        <w:rPr>
          <w:rFonts w:ascii="Arial" w:eastAsia="Calibri" w:hAnsi="Arial" w:cs="Arial"/>
          <w:sz w:val="22"/>
        </w:rPr>
        <w:t xml:space="preserve">, para efectos del artículo </w:t>
      </w:r>
      <w:r w:rsidR="007F5CDF" w:rsidRPr="006617BC">
        <w:rPr>
          <w:rFonts w:ascii="Arial" w:eastAsia="Calibri" w:hAnsi="Arial" w:cs="Arial"/>
          <w:bCs/>
          <w:color w:val="000000"/>
          <w:sz w:val="22"/>
          <w:szCs w:val="22"/>
          <w:lang w:val="es-ES_tradnl" w:eastAsia="en-US"/>
        </w:rPr>
        <w:t xml:space="preserve">2.2.1.2.1.5.3. del Decreto 1082 de 2015 en relación con la adquisición de grandes almacenes cuando se trate de mínima cuantía, </w:t>
      </w:r>
      <w:r w:rsidR="0032177C" w:rsidRPr="006617BC">
        <w:rPr>
          <w:rFonts w:ascii="Arial" w:eastAsia="Calibri" w:hAnsi="Arial" w:cs="Arial"/>
          <w:bCs/>
          <w:color w:val="000000"/>
          <w:sz w:val="22"/>
          <w:szCs w:val="22"/>
          <w:lang w:val="es-ES_tradnl" w:eastAsia="en-US"/>
        </w:rPr>
        <w:t xml:space="preserve">no es posible interpretar que la invitación a la que alude el numeral 1 de esta norma es igual a un aviso de convocatoria, puesto que </w:t>
      </w:r>
      <w:r w:rsidR="008D3BB8" w:rsidRPr="006617BC">
        <w:rPr>
          <w:rFonts w:ascii="Arial" w:eastAsia="Calibri" w:hAnsi="Arial" w:cs="Arial"/>
          <w:bCs/>
          <w:color w:val="000000"/>
          <w:sz w:val="22"/>
          <w:szCs w:val="22"/>
          <w:lang w:val="es-ES_tradnl" w:eastAsia="en-US"/>
        </w:rPr>
        <w:t>–</w:t>
      </w:r>
      <w:r w:rsidR="0032177C" w:rsidRPr="006617BC">
        <w:rPr>
          <w:rFonts w:ascii="Arial" w:eastAsia="Calibri" w:hAnsi="Arial" w:cs="Arial"/>
          <w:bCs/>
          <w:color w:val="000000"/>
          <w:sz w:val="22"/>
          <w:szCs w:val="22"/>
          <w:lang w:val="es-ES_tradnl" w:eastAsia="en-US"/>
        </w:rPr>
        <w:t>como se explicó</w:t>
      </w:r>
      <w:r w:rsidR="008D3BB8" w:rsidRPr="006617BC">
        <w:rPr>
          <w:rFonts w:ascii="Arial" w:eastAsia="Calibri" w:hAnsi="Arial" w:cs="Arial"/>
          <w:bCs/>
          <w:color w:val="000000"/>
          <w:sz w:val="22"/>
          <w:szCs w:val="22"/>
          <w:lang w:val="es-ES_tradnl" w:eastAsia="en-US"/>
        </w:rPr>
        <w:t>–</w:t>
      </w:r>
      <w:r w:rsidR="0032177C" w:rsidRPr="006617BC">
        <w:rPr>
          <w:rFonts w:ascii="Arial" w:eastAsia="Calibri" w:hAnsi="Arial" w:cs="Arial"/>
          <w:bCs/>
          <w:color w:val="000000"/>
          <w:sz w:val="22"/>
          <w:szCs w:val="22"/>
          <w:lang w:val="es-ES_tradnl" w:eastAsia="en-US"/>
        </w:rPr>
        <w:t xml:space="preserve"> se trata de dos figuras distintas. </w:t>
      </w:r>
    </w:p>
    <w:p w14:paraId="7AA6E5AD" w14:textId="77777777" w:rsidR="00F547CB" w:rsidRPr="006617BC" w:rsidRDefault="00F547CB" w:rsidP="00873BDE">
      <w:pPr>
        <w:spacing w:line="276" w:lineRule="auto"/>
        <w:jc w:val="both"/>
        <w:rPr>
          <w:rFonts w:ascii="Arial" w:eastAsia="Calibri" w:hAnsi="Arial" w:cs="Arial"/>
          <w:sz w:val="22"/>
        </w:rPr>
      </w:pPr>
    </w:p>
    <w:p w14:paraId="55CF85D0" w14:textId="479E7ECF" w:rsidR="00D4274C" w:rsidRPr="006617BC" w:rsidRDefault="00BA79B8" w:rsidP="00D4274C">
      <w:pPr>
        <w:spacing w:line="276" w:lineRule="auto"/>
        <w:jc w:val="both"/>
        <w:rPr>
          <w:rFonts w:ascii="Arial" w:eastAsia="Calibri" w:hAnsi="Arial" w:cs="Arial"/>
          <w:b/>
          <w:bCs/>
          <w:sz w:val="22"/>
          <w:szCs w:val="22"/>
          <w:lang w:val="es-ES_tradnl" w:eastAsia="en-US"/>
        </w:rPr>
      </w:pPr>
      <w:r w:rsidRPr="006617BC">
        <w:rPr>
          <w:rFonts w:ascii="Arial" w:eastAsia="Calibri" w:hAnsi="Arial" w:cs="Arial"/>
          <w:b/>
          <w:bCs/>
          <w:color w:val="000000" w:themeColor="text1"/>
          <w:sz w:val="22"/>
          <w:szCs w:val="22"/>
          <w:lang w:val="es-ES_tradnl"/>
        </w:rPr>
        <w:t>2.</w:t>
      </w:r>
      <w:r w:rsidR="00CF148D" w:rsidRPr="006617BC">
        <w:rPr>
          <w:rFonts w:ascii="Arial" w:eastAsia="Calibri" w:hAnsi="Arial" w:cs="Arial"/>
          <w:b/>
          <w:bCs/>
          <w:color w:val="000000" w:themeColor="text1"/>
          <w:sz w:val="22"/>
          <w:szCs w:val="22"/>
          <w:lang w:val="es-ES_tradnl"/>
        </w:rPr>
        <w:t>2</w:t>
      </w:r>
      <w:r w:rsidR="00D4274C" w:rsidRPr="006617BC">
        <w:rPr>
          <w:rFonts w:ascii="Arial" w:eastAsia="Calibri" w:hAnsi="Arial" w:cs="Arial"/>
          <w:b/>
          <w:bCs/>
          <w:sz w:val="22"/>
          <w:szCs w:val="22"/>
          <w:lang w:val="es-ES_tradnl" w:eastAsia="en-US"/>
        </w:rPr>
        <w:t xml:space="preserve">. La </w:t>
      </w:r>
      <w:bookmarkStart w:id="5" w:name="_Hlk56150891"/>
      <w:r w:rsidR="00D4274C" w:rsidRPr="006617BC">
        <w:rPr>
          <w:rFonts w:ascii="Arial" w:eastAsia="Calibri" w:hAnsi="Arial" w:cs="Arial"/>
          <w:b/>
          <w:bCs/>
          <w:sz w:val="22"/>
          <w:szCs w:val="22"/>
          <w:lang w:val="es-ES_tradnl" w:eastAsia="en-US"/>
        </w:rPr>
        <w:t xml:space="preserve">tienda virtual del Estado colombiano como componente del </w:t>
      </w:r>
      <w:bookmarkStart w:id="6" w:name="_Hlk55989069"/>
      <w:r w:rsidR="00D4274C" w:rsidRPr="006617BC">
        <w:rPr>
          <w:rFonts w:ascii="Arial" w:eastAsia="Calibri" w:hAnsi="Arial" w:cs="Arial"/>
          <w:b/>
          <w:bCs/>
          <w:sz w:val="22"/>
          <w:szCs w:val="22"/>
          <w:lang w:val="es-ES_tradnl" w:eastAsia="en-US"/>
        </w:rPr>
        <w:t>Sistema Electrónico para la Contratación Pública</w:t>
      </w:r>
      <w:bookmarkStart w:id="7" w:name="_Hlk56073149"/>
      <w:bookmarkEnd w:id="5"/>
      <w:bookmarkEnd w:id="6"/>
      <w:r w:rsidR="005C2BBC" w:rsidRPr="006617BC">
        <w:rPr>
          <w:rFonts w:ascii="Arial" w:eastAsia="Calibri" w:hAnsi="Arial" w:cs="Arial"/>
          <w:b/>
          <w:bCs/>
          <w:sz w:val="22"/>
          <w:szCs w:val="22"/>
          <w:lang w:val="es-ES_tradnl" w:eastAsia="en-US"/>
        </w:rPr>
        <w:t xml:space="preserve"> </w:t>
      </w:r>
      <w:r w:rsidR="00485650" w:rsidRPr="006617BC">
        <w:rPr>
          <w:rFonts w:ascii="Arial" w:eastAsia="Calibri" w:hAnsi="Arial" w:cs="Arial"/>
          <w:b/>
          <w:bCs/>
          <w:sz w:val="22"/>
          <w:szCs w:val="22"/>
          <w:lang w:val="es-ES_tradnl" w:eastAsia="en-US"/>
        </w:rPr>
        <w:t>–</w:t>
      </w:r>
      <w:r w:rsidR="005C2BBC" w:rsidRPr="006617BC">
        <w:rPr>
          <w:rFonts w:ascii="Arial" w:eastAsia="Calibri" w:hAnsi="Arial" w:cs="Arial"/>
          <w:b/>
          <w:bCs/>
          <w:sz w:val="22"/>
          <w:szCs w:val="22"/>
          <w:lang w:val="es-ES_tradnl" w:eastAsia="en-US"/>
        </w:rPr>
        <w:t xml:space="preserve"> SECOP</w:t>
      </w:r>
    </w:p>
    <w:bookmarkEnd w:id="7"/>
    <w:p w14:paraId="154D5714" w14:textId="77777777" w:rsidR="00D4274C" w:rsidRPr="006617BC" w:rsidRDefault="00D4274C" w:rsidP="00D4274C">
      <w:pPr>
        <w:spacing w:line="276" w:lineRule="auto"/>
        <w:jc w:val="both"/>
        <w:rPr>
          <w:rFonts w:ascii="Arial" w:eastAsia="Calibri" w:hAnsi="Arial" w:cs="Arial"/>
          <w:b/>
          <w:bCs/>
          <w:sz w:val="22"/>
          <w:szCs w:val="22"/>
          <w:lang w:val="es-ES_tradnl" w:eastAsia="en-US"/>
        </w:rPr>
      </w:pPr>
    </w:p>
    <w:p w14:paraId="53125DED" w14:textId="2FAE4B5F" w:rsidR="00D4274C" w:rsidRPr="006617BC" w:rsidRDefault="00B82121" w:rsidP="00BA6602">
      <w:pPr>
        <w:spacing w:line="276" w:lineRule="auto"/>
        <w:jc w:val="both"/>
        <w:rPr>
          <w:rFonts w:ascii="Arial" w:eastAsia="Calibri" w:hAnsi="Arial" w:cs="Arial"/>
          <w:sz w:val="22"/>
          <w:szCs w:val="22"/>
          <w:lang w:val="es-ES_tradnl" w:eastAsia="en-US"/>
        </w:rPr>
      </w:pPr>
      <w:r w:rsidRPr="006617BC">
        <w:rPr>
          <w:rFonts w:ascii="Arial" w:eastAsia="Calibri" w:hAnsi="Arial" w:cs="Arial"/>
          <w:sz w:val="22"/>
          <w:szCs w:val="22"/>
          <w:lang w:val="es-ES_tradnl" w:eastAsia="en-US"/>
        </w:rPr>
        <w:t>E</w:t>
      </w:r>
      <w:r w:rsidR="00D4274C" w:rsidRPr="006617BC">
        <w:rPr>
          <w:rFonts w:ascii="Arial" w:eastAsia="Calibri" w:hAnsi="Arial" w:cs="Arial"/>
          <w:sz w:val="22"/>
          <w:szCs w:val="22"/>
          <w:lang w:val="es-ES_tradnl" w:eastAsia="en-US"/>
        </w:rPr>
        <w:t xml:space="preserve">l artículo 3 de la Ley 1150 de 2007 crea </w:t>
      </w:r>
      <w:bookmarkStart w:id="8" w:name="_Hlk56073112"/>
      <w:r w:rsidR="00D4274C" w:rsidRPr="006617BC">
        <w:rPr>
          <w:rFonts w:ascii="Arial" w:eastAsia="Calibri" w:hAnsi="Arial" w:cs="Arial"/>
          <w:sz w:val="22"/>
          <w:szCs w:val="22"/>
          <w:lang w:val="es-ES_tradnl" w:eastAsia="en-US"/>
        </w:rPr>
        <w:t>el Sistema Electrónico para la Contratación Pública</w:t>
      </w:r>
      <w:bookmarkEnd w:id="8"/>
      <w:r w:rsidR="00D4274C" w:rsidRPr="006617BC">
        <w:rPr>
          <w:rFonts w:ascii="Arial" w:eastAsia="Calibri" w:hAnsi="Arial" w:cs="Arial"/>
          <w:sz w:val="22"/>
          <w:szCs w:val="22"/>
          <w:lang w:val="es-ES_tradnl" w:eastAsia="en-US"/>
        </w:rPr>
        <w:t xml:space="preserve">, el cual –de conformidad con el artículo 3.8 del Decreto 4170 de 2011– es administrado por esta Agencia. Esta plataforma no solo es un canal de publicidad de la gestión contractual de las entidades públicas, pues también es un medio transaccional para la suscripción de contratos electrónicos. A estas dos facetas del SECOP se refiere la ley citada cuando dispone, respectivamente, que «De conformidad con lo dispuesto en la Ley 527 de 1999, […] la expedición de los […] contratos y en general los actos derivados de la actividad precontractual y contractual, podrán tener lugar por medios electrónicos» y que «Contará con la información oficial de la contratación realizada con dineros públicos, para lo cual establecerá los patrones a que haya lugar y se encargará de su difusión a través de canales electrónicos». </w:t>
      </w:r>
    </w:p>
    <w:p w14:paraId="02AA27C4" w14:textId="568D4A0D" w:rsidR="00D4274C" w:rsidRPr="006617BC" w:rsidRDefault="00D4274C" w:rsidP="00873BDE">
      <w:pPr>
        <w:spacing w:before="120" w:line="276" w:lineRule="auto"/>
        <w:jc w:val="both"/>
        <w:rPr>
          <w:rFonts w:ascii="Arial" w:eastAsia="Calibri" w:hAnsi="Arial" w:cs="Arial"/>
          <w:bCs/>
          <w:color w:val="000000" w:themeColor="text1"/>
          <w:sz w:val="22"/>
          <w:szCs w:val="22"/>
          <w:lang w:val="es-ES_tradnl" w:eastAsia="en-US"/>
        </w:rPr>
      </w:pPr>
      <w:r w:rsidRPr="006617BC">
        <w:rPr>
          <w:rFonts w:ascii="Arial" w:eastAsia="Calibri" w:hAnsi="Arial" w:cs="Arial"/>
          <w:sz w:val="22"/>
          <w:szCs w:val="22"/>
          <w:lang w:val="es-ES_tradnl" w:eastAsia="en-US"/>
        </w:rPr>
        <w:tab/>
        <w:t xml:space="preserve">El numeral 1.3 </w:t>
      </w:r>
      <w:r w:rsidRPr="006617BC">
        <w:rPr>
          <w:rFonts w:ascii="Arial" w:eastAsia="Calibri" w:hAnsi="Arial" w:cs="Arial"/>
          <w:sz w:val="22"/>
          <w:szCs w:val="22"/>
          <w:lang w:eastAsia="en-US"/>
        </w:rPr>
        <w:t>de la Circular Externa Única de la Agencia Nacional de Contratación Pública – Colombia Compra Eficiente dispone que el Sistema Electrónico para la Contratación Pública</w:t>
      </w:r>
      <w:r w:rsidRPr="006617BC">
        <w:rPr>
          <w:rFonts w:ascii="Arial" w:eastAsia="Calibri" w:hAnsi="Arial" w:cs="Arial"/>
          <w:sz w:val="22"/>
          <w:szCs w:val="22"/>
          <w:lang w:val="es-ES_tradnl" w:eastAsia="en-US"/>
        </w:rPr>
        <w:t xml:space="preserve"> está compuesto por el SECOP I, el SECOP II y la tienda virtual del Estado colombiano. </w:t>
      </w:r>
      <w:r w:rsidR="00CF148D" w:rsidRPr="006617BC">
        <w:rPr>
          <w:rFonts w:ascii="Arial" w:eastAsia="Calibri" w:hAnsi="Arial" w:cs="Arial"/>
          <w:bCs/>
          <w:color w:val="000000" w:themeColor="text1"/>
          <w:sz w:val="22"/>
          <w:szCs w:val="22"/>
          <w:lang w:val="es-ES_tradnl" w:eastAsia="en-US"/>
        </w:rPr>
        <w:t>E</w:t>
      </w:r>
      <w:r w:rsidRPr="006617BC">
        <w:rPr>
          <w:rFonts w:ascii="Arial" w:eastAsia="Calibri" w:hAnsi="Arial" w:cs="Arial"/>
          <w:bCs/>
          <w:color w:val="000000" w:themeColor="text1"/>
          <w:sz w:val="22"/>
          <w:szCs w:val="22"/>
          <w:lang w:val="es-ES_tradnl" w:eastAsia="en-US"/>
        </w:rPr>
        <w:t>l SECOP I solo funciona como medio de publicidad, es decir, no tiene carácter transaccional</w:t>
      </w:r>
      <w:r w:rsidRPr="006617BC">
        <w:rPr>
          <w:rFonts w:ascii="Arial" w:eastAsia="Calibri" w:hAnsi="Arial" w:cs="Arial"/>
          <w:bCs/>
          <w:color w:val="000000" w:themeColor="text1"/>
          <w:sz w:val="22"/>
          <w:szCs w:val="22"/>
          <w:vertAlign w:val="superscript"/>
          <w:lang w:val="es-ES_tradnl" w:eastAsia="en-US"/>
        </w:rPr>
        <w:footnoteReference w:id="10"/>
      </w:r>
      <w:r w:rsidRPr="006617BC">
        <w:rPr>
          <w:rFonts w:ascii="Arial" w:eastAsia="Calibri" w:hAnsi="Arial" w:cs="Arial"/>
          <w:bCs/>
          <w:color w:val="000000" w:themeColor="text1"/>
          <w:sz w:val="22"/>
          <w:szCs w:val="22"/>
          <w:lang w:val="es-ES_tradnl" w:eastAsia="en-US"/>
        </w:rPr>
        <w:t xml:space="preserve">. Esto significa que el procedimiento contractual se adelanta fuera de la plataforma a través de un expediente físico. No obstante, las actuaciones y los documentos se convierten en electrónicos para cargarse posteriormente a la plataforma por quien tenga la función dentro de la entidad. </w:t>
      </w:r>
    </w:p>
    <w:p w14:paraId="54C43570" w14:textId="33B4BC1E" w:rsidR="00D4274C" w:rsidRPr="006617BC" w:rsidRDefault="00D4274C" w:rsidP="00873BDE">
      <w:pPr>
        <w:spacing w:before="120" w:line="276" w:lineRule="auto"/>
        <w:ind w:firstLine="708"/>
        <w:jc w:val="both"/>
        <w:rPr>
          <w:rFonts w:ascii="Arial" w:eastAsia="Calibri" w:hAnsi="Arial" w:cs="Arial"/>
          <w:bCs/>
          <w:color w:val="000000" w:themeColor="text1"/>
          <w:sz w:val="22"/>
          <w:szCs w:val="22"/>
          <w:lang w:val="es-ES_tradnl" w:eastAsia="en-US"/>
        </w:rPr>
      </w:pPr>
      <w:r w:rsidRPr="006617BC">
        <w:rPr>
          <w:rFonts w:ascii="Arial" w:eastAsia="Calibri" w:hAnsi="Arial" w:cs="Arial"/>
          <w:bCs/>
          <w:color w:val="000000" w:themeColor="text1"/>
          <w:sz w:val="22"/>
          <w:szCs w:val="22"/>
          <w:lang w:val="es-ES_tradnl" w:eastAsia="en-US"/>
        </w:rPr>
        <w:t xml:space="preserve">En contraste, el SECOP II permite generar contratos en línea y realizar la firma electrónica de los mismos. Tiene funciones que permiten al proveedor presentar garantías y facturas; y a la entidad estatal, realizar la revisión y aprobación de ambos tipos de documentos en línea. Además, el módulo permite hacer modificaciones contractuales, tanto unilaterales como bilaterales –estas últimas son enviadas para aprobación del </w:t>
      </w:r>
      <w:r w:rsidRPr="006617BC">
        <w:rPr>
          <w:rFonts w:ascii="Arial" w:eastAsia="Calibri" w:hAnsi="Arial" w:cs="Arial"/>
          <w:bCs/>
          <w:color w:val="000000" w:themeColor="text1"/>
          <w:sz w:val="22"/>
          <w:szCs w:val="22"/>
          <w:lang w:val="es-ES_tradnl" w:eastAsia="en-US"/>
        </w:rPr>
        <w:lastRenderedPageBreak/>
        <w:t>proveedor antes de la publicación por parte de la entidad estatal–. Para registrar el seguimiento al avance de la ejecución, el módulo de gestión contractual habilita el registro de planes de ejecución por porcentaje de avance y el cargue de documentos tanto a proveedor como a la entidad estatal, la cual puede crear usuarios para que los supervisores de los contratos carguen la información pertinente. Finalmente, la liquidación y el cierre de los expedientes contractuales también puede realizar</w:t>
      </w:r>
      <w:r w:rsidR="00B15386" w:rsidRPr="006617BC">
        <w:rPr>
          <w:rFonts w:ascii="Arial" w:eastAsia="Calibri" w:hAnsi="Arial" w:cs="Arial"/>
          <w:bCs/>
          <w:color w:val="000000" w:themeColor="text1"/>
          <w:sz w:val="22"/>
          <w:szCs w:val="22"/>
          <w:lang w:val="es-ES_tradnl" w:eastAsia="en-US"/>
        </w:rPr>
        <w:t>se</w:t>
      </w:r>
      <w:r w:rsidRPr="006617BC">
        <w:rPr>
          <w:rFonts w:ascii="Arial" w:eastAsia="Calibri" w:hAnsi="Arial" w:cs="Arial"/>
          <w:bCs/>
          <w:color w:val="000000" w:themeColor="text1"/>
          <w:sz w:val="22"/>
          <w:szCs w:val="22"/>
          <w:lang w:val="es-ES_tradnl" w:eastAsia="en-US"/>
        </w:rPr>
        <w:t xml:space="preserve"> a través del SECOP II. Es de destacar que la plataforma tiene un módulo de búsqueda pública que permite a los ciudadanos y entes de control revisar el avance en tiempo real de cualquier contrato realizado a través del SECOP II, sin necesidad de tener usuarios creados en la plataforma</w:t>
      </w:r>
      <w:r w:rsidRPr="006617BC">
        <w:rPr>
          <w:rFonts w:ascii="Arial" w:eastAsia="Calibri" w:hAnsi="Arial" w:cs="Arial"/>
          <w:bCs/>
          <w:color w:val="000000" w:themeColor="text1"/>
          <w:sz w:val="22"/>
          <w:szCs w:val="22"/>
          <w:vertAlign w:val="superscript"/>
          <w:lang w:val="es-ES_tradnl" w:eastAsia="en-US"/>
        </w:rPr>
        <w:footnoteReference w:id="11"/>
      </w:r>
      <w:r w:rsidRPr="006617BC">
        <w:rPr>
          <w:rFonts w:ascii="Arial" w:eastAsia="Calibri" w:hAnsi="Arial" w:cs="Arial"/>
          <w:bCs/>
          <w:color w:val="000000" w:themeColor="text1"/>
          <w:sz w:val="22"/>
          <w:szCs w:val="22"/>
          <w:lang w:val="es-ES_tradnl" w:eastAsia="en-US"/>
        </w:rPr>
        <w:t xml:space="preserve">.  </w:t>
      </w:r>
    </w:p>
    <w:p w14:paraId="0642DC1D" w14:textId="18D64AC6" w:rsidR="00D4274C" w:rsidRPr="006617BC" w:rsidRDefault="00D4274C" w:rsidP="00873BDE">
      <w:pPr>
        <w:spacing w:before="120" w:line="276" w:lineRule="auto"/>
        <w:ind w:firstLine="708"/>
        <w:jc w:val="both"/>
        <w:rPr>
          <w:rFonts w:ascii="Arial" w:eastAsia="Calibri" w:hAnsi="Arial" w:cs="Arial"/>
          <w:bCs/>
          <w:color w:val="000000" w:themeColor="text1"/>
          <w:sz w:val="22"/>
          <w:szCs w:val="22"/>
          <w:lang w:val="es-ES_tradnl" w:eastAsia="en-US"/>
        </w:rPr>
      </w:pPr>
      <w:r w:rsidRPr="006617BC">
        <w:rPr>
          <w:rFonts w:ascii="Arial" w:eastAsia="Calibri" w:hAnsi="Arial" w:cs="Arial"/>
          <w:bCs/>
          <w:color w:val="000000" w:themeColor="text1"/>
          <w:sz w:val="22"/>
          <w:szCs w:val="22"/>
          <w:lang w:val="es-ES_tradnl" w:eastAsia="en-US"/>
        </w:rPr>
        <w:t xml:space="preserve">Este carácter transaccional también se extiende a </w:t>
      </w:r>
      <w:bookmarkStart w:id="9" w:name="_Hlk56157794"/>
      <w:r w:rsidRPr="006617BC">
        <w:rPr>
          <w:rFonts w:ascii="Arial" w:eastAsia="Calibri" w:hAnsi="Arial" w:cs="Arial"/>
          <w:bCs/>
          <w:color w:val="000000" w:themeColor="text1"/>
          <w:sz w:val="22"/>
          <w:szCs w:val="22"/>
          <w:lang w:val="es-ES_tradnl" w:eastAsia="en-US"/>
        </w:rPr>
        <w:t xml:space="preserve">la </w:t>
      </w:r>
      <w:bookmarkStart w:id="10" w:name="_Hlk99478717"/>
      <w:r w:rsidRPr="006617BC">
        <w:rPr>
          <w:rFonts w:ascii="Arial" w:eastAsia="Calibri" w:hAnsi="Arial" w:cs="Arial"/>
          <w:bCs/>
          <w:color w:val="000000" w:themeColor="text1"/>
          <w:sz w:val="22"/>
          <w:szCs w:val="22"/>
          <w:lang w:val="es-ES_tradnl" w:eastAsia="en-US"/>
        </w:rPr>
        <w:t>tienda virtual de Estado Colombiano</w:t>
      </w:r>
      <w:bookmarkEnd w:id="10"/>
      <w:r w:rsidRPr="006617BC">
        <w:rPr>
          <w:rFonts w:ascii="Arial" w:eastAsia="Calibri" w:hAnsi="Arial" w:cs="Arial"/>
          <w:bCs/>
          <w:color w:val="000000" w:themeColor="text1"/>
          <w:sz w:val="22"/>
          <w:szCs w:val="22"/>
          <w:lang w:val="es-ES_tradnl" w:eastAsia="en-US"/>
        </w:rPr>
        <w:t xml:space="preserve">, pues </w:t>
      </w:r>
      <w:bookmarkStart w:id="11" w:name="_Hlk57275209"/>
      <w:r w:rsidRPr="006617BC">
        <w:rPr>
          <w:rFonts w:ascii="Arial" w:eastAsia="Calibri" w:hAnsi="Arial" w:cs="Arial"/>
          <w:bCs/>
          <w:color w:val="000000" w:themeColor="text1"/>
          <w:sz w:val="22"/>
          <w:szCs w:val="22"/>
          <w:lang w:val="es-ES_tradnl" w:eastAsia="en-US"/>
        </w:rPr>
        <w:t xml:space="preserve">es una plataforma de comercio electrónico diseñada para </w:t>
      </w:r>
      <w:r w:rsidRPr="006617BC">
        <w:rPr>
          <w:rFonts w:ascii="Arial" w:eastAsiaTheme="minorHAnsi" w:hAnsi="Arial" w:cs="Arial"/>
          <w:sz w:val="22"/>
          <w:szCs w:val="22"/>
          <w:lang w:val="es-MX" w:eastAsia="en-US"/>
        </w:rPr>
        <w:t xml:space="preserve">la adquisición de bienes y servicios a través de los acuerdos marco de precios o al amparo de instrumentos de agregación de demanda, así como bienes en la modalidad de mínima cuantía en grandes superficies. De hecho, mientras el primer ítem la convierte en un mecanismo de operación secundaria de los acuerdos marco de precios y demás instrumentos de agregación de demanda diseñados por Colombia Compra Eficiente, el segundo hace que la misma sea un mecanismo expedito para adelantar el procedimiento del artículo 2.2.1.2.1.5.3 del Decreto 1082 de 2015. Al igual que el SECOP II, la tienda virtual </w:t>
      </w:r>
      <w:r w:rsidRPr="006617BC">
        <w:rPr>
          <w:rFonts w:ascii="Arial" w:eastAsia="Calibri" w:hAnsi="Arial" w:cs="Arial"/>
          <w:bCs/>
          <w:color w:val="000000" w:themeColor="text1"/>
          <w:sz w:val="22"/>
          <w:szCs w:val="22"/>
          <w:lang w:val="es-ES_tradnl" w:eastAsia="en-US"/>
        </w:rPr>
        <w:t>genera contratos en línea firmados electrónicamente, lo cual no significa estos no cumplan con el fin de transparencia d</w:t>
      </w:r>
      <w:r w:rsidRPr="006617BC">
        <w:rPr>
          <w:rFonts w:ascii="Arial" w:eastAsia="Calibri" w:hAnsi="Arial" w:cs="Arial"/>
          <w:sz w:val="22"/>
          <w:szCs w:val="22"/>
          <w:lang w:val="es-ES_tradnl" w:eastAsia="en-US"/>
        </w:rPr>
        <w:t>el artículo 3 de la Ley 1150 de 2007. Todo lo contrario, fortalecen el principio de publicidad, dado que las transacciones se actualizan y realizan perm</w:t>
      </w:r>
      <w:r w:rsidR="00950A5B" w:rsidRPr="006617BC">
        <w:rPr>
          <w:rFonts w:ascii="Arial" w:eastAsia="Calibri" w:hAnsi="Arial" w:cs="Arial"/>
          <w:sz w:val="22"/>
          <w:szCs w:val="22"/>
          <w:lang w:val="es-ES_tradnl" w:eastAsia="en-US"/>
        </w:rPr>
        <w:t>a</w:t>
      </w:r>
      <w:r w:rsidRPr="006617BC">
        <w:rPr>
          <w:rFonts w:ascii="Arial" w:eastAsia="Calibri" w:hAnsi="Arial" w:cs="Arial"/>
          <w:sz w:val="22"/>
          <w:szCs w:val="22"/>
          <w:lang w:val="es-ES_tradnl" w:eastAsia="en-US"/>
        </w:rPr>
        <w:t>nentemente en el sistema</w:t>
      </w:r>
      <w:bookmarkEnd w:id="9"/>
      <w:bookmarkEnd w:id="11"/>
      <w:r w:rsidRPr="006617BC">
        <w:rPr>
          <w:rFonts w:ascii="Arial" w:eastAsia="Calibri" w:hAnsi="Arial" w:cs="Arial"/>
          <w:sz w:val="22"/>
          <w:szCs w:val="22"/>
          <w:lang w:val="es-ES_tradnl" w:eastAsia="en-US"/>
        </w:rPr>
        <w:t xml:space="preserve">.    </w:t>
      </w:r>
      <w:r w:rsidRPr="006617BC">
        <w:rPr>
          <w:rFonts w:ascii="Arial" w:eastAsia="Calibri" w:hAnsi="Arial" w:cs="Arial"/>
          <w:bCs/>
          <w:color w:val="000000" w:themeColor="text1"/>
          <w:sz w:val="22"/>
          <w:szCs w:val="22"/>
          <w:lang w:val="es-ES_tradnl" w:eastAsia="en-US"/>
        </w:rPr>
        <w:t xml:space="preserve"> </w:t>
      </w:r>
    </w:p>
    <w:p w14:paraId="3CFE72EA" w14:textId="29609218" w:rsidR="00B82121" w:rsidRPr="006617BC" w:rsidRDefault="000A39AF" w:rsidP="00873BDE">
      <w:pPr>
        <w:spacing w:before="120" w:line="276" w:lineRule="auto"/>
        <w:ind w:firstLine="708"/>
        <w:jc w:val="both"/>
        <w:rPr>
          <w:rFonts w:ascii="Arial" w:eastAsia="Calibri" w:hAnsi="Arial" w:cs="Arial"/>
          <w:sz w:val="22"/>
          <w:szCs w:val="22"/>
          <w:lang w:eastAsia="en-US"/>
        </w:rPr>
      </w:pPr>
      <w:r w:rsidRPr="006617BC">
        <w:rPr>
          <w:rFonts w:ascii="Arial" w:eastAsia="Calibri" w:hAnsi="Arial" w:cs="Arial"/>
          <w:bCs/>
          <w:color w:val="000000" w:themeColor="text1"/>
          <w:sz w:val="22"/>
          <w:szCs w:val="22"/>
          <w:lang w:val="es-ES_tradnl" w:eastAsia="en-US"/>
        </w:rPr>
        <w:t xml:space="preserve">Lo anterior se </w:t>
      </w:r>
      <w:r w:rsidR="00CF148D" w:rsidRPr="006617BC">
        <w:rPr>
          <w:rFonts w:ascii="Arial" w:eastAsia="Calibri" w:hAnsi="Arial" w:cs="Arial"/>
          <w:bCs/>
          <w:color w:val="000000" w:themeColor="text1"/>
          <w:sz w:val="22"/>
          <w:szCs w:val="22"/>
          <w:lang w:val="es-ES_tradnl" w:eastAsia="en-US"/>
        </w:rPr>
        <w:t>explica</w:t>
      </w:r>
      <w:r w:rsidRPr="006617BC">
        <w:rPr>
          <w:rFonts w:ascii="Arial" w:eastAsia="Calibri" w:hAnsi="Arial" w:cs="Arial"/>
          <w:bCs/>
          <w:color w:val="000000" w:themeColor="text1"/>
          <w:sz w:val="22"/>
          <w:szCs w:val="22"/>
          <w:lang w:val="es-ES_tradnl" w:eastAsia="en-US"/>
        </w:rPr>
        <w:t xml:space="preserve"> en </w:t>
      </w:r>
      <w:r w:rsidR="00C442EE" w:rsidRPr="006617BC">
        <w:rPr>
          <w:rFonts w:ascii="Arial" w:eastAsia="Calibri" w:hAnsi="Arial" w:cs="Arial"/>
          <w:bCs/>
          <w:color w:val="000000" w:themeColor="text1"/>
          <w:sz w:val="22"/>
          <w:szCs w:val="22"/>
          <w:lang w:val="es-ES_tradnl" w:eastAsia="en-US"/>
        </w:rPr>
        <w:t xml:space="preserve">la Circular </w:t>
      </w:r>
      <w:r w:rsidR="00C442EE" w:rsidRPr="006617BC">
        <w:rPr>
          <w:rFonts w:ascii="Arial" w:eastAsia="Calibri" w:hAnsi="Arial" w:cs="Arial"/>
          <w:sz w:val="22"/>
          <w:szCs w:val="22"/>
          <w:lang w:eastAsia="en-US"/>
        </w:rPr>
        <w:t>Externa Única de la Agencia Nacional de Contratación Pública – Colombia Compra Eficiente</w:t>
      </w:r>
      <w:r w:rsidR="001049B3" w:rsidRPr="006617BC">
        <w:rPr>
          <w:rFonts w:ascii="Arial" w:eastAsia="Calibri" w:hAnsi="Arial" w:cs="Arial"/>
          <w:sz w:val="22"/>
          <w:szCs w:val="22"/>
          <w:lang w:eastAsia="en-US"/>
        </w:rPr>
        <w:t xml:space="preserve">. Al respecto, el </w:t>
      </w:r>
      <w:r w:rsidRPr="006617BC">
        <w:rPr>
          <w:rFonts w:ascii="Arial" w:eastAsia="Calibri" w:hAnsi="Arial" w:cs="Arial"/>
          <w:sz w:val="22"/>
          <w:szCs w:val="22"/>
          <w:lang w:eastAsia="en-US"/>
        </w:rPr>
        <w:t xml:space="preserve">numeral </w:t>
      </w:r>
      <w:r w:rsidR="00C442EE" w:rsidRPr="006617BC">
        <w:rPr>
          <w:rFonts w:ascii="Arial" w:eastAsia="Calibri" w:hAnsi="Arial" w:cs="Arial"/>
          <w:sz w:val="22"/>
          <w:szCs w:val="22"/>
          <w:lang w:eastAsia="en-US"/>
        </w:rPr>
        <w:t xml:space="preserve">1.3 señala que en </w:t>
      </w:r>
      <w:r w:rsidR="00E673E3" w:rsidRPr="006617BC">
        <w:rPr>
          <w:rFonts w:ascii="Arial" w:eastAsia="Calibri" w:hAnsi="Arial" w:cs="Arial"/>
          <w:bCs/>
          <w:color w:val="000000" w:themeColor="text1"/>
          <w:sz w:val="22"/>
          <w:szCs w:val="22"/>
          <w:lang w:val="es-ES_tradnl" w:eastAsia="en-US"/>
        </w:rPr>
        <w:t xml:space="preserve">la tienda virtual de Estado Colombiano </w:t>
      </w:r>
      <w:r w:rsidR="00C442EE" w:rsidRPr="006617BC">
        <w:rPr>
          <w:rFonts w:ascii="Arial" w:eastAsia="Calibri" w:hAnsi="Arial" w:cs="Arial"/>
          <w:sz w:val="22"/>
          <w:szCs w:val="22"/>
          <w:lang w:eastAsia="en-US"/>
        </w:rPr>
        <w:t xml:space="preserve">las entidades compradoras hacen las transacciones de los </w:t>
      </w:r>
      <w:r w:rsidRPr="006617BC">
        <w:rPr>
          <w:rFonts w:ascii="Arial" w:eastAsia="Calibri" w:hAnsi="Arial" w:cs="Arial"/>
          <w:sz w:val="22"/>
          <w:szCs w:val="22"/>
          <w:lang w:eastAsia="en-US"/>
        </w:rPr>
        <w:t>p</w:t>
      </w:r>
      <w:r w:rsidR="00C442EE" w:rsidRPr="006617BC">
        <w:rPr>
          <w:rFonts w:ascii="Arial" w:eastAsia="Calibri" w:hAnsi="Arial" w:cs="Arial"/>
          <w:sz w:val="22"/>
          <w:szCs w:val="22"/>
          <w:lang w:eastAsia="en-US"/>
        </w:rPr>
        <w:t xml:space="preserve">rocesos de </w:t>
      </w:r>
      <w:r w:rsidRPr="006617BC">
        <w:rPr>
          <w:rFonts w:ascii="Arial" w:eastAsia="Calibri" w:hAnsi="Arial" w:cs="Arial"/>
          <w:sz w:val="22"/>
          <w:szCs w:val="22"/>
          <w:lang w:eastAsia="en-US"/>
        </w:rPr>
        <w:t>c</w:t>
      </w:r>
      <w:r w:rsidR="00C442EE" w:rsidRPr="006617BC">
        <w:rPr>
          <w:rFonts w:ascii="Arial" w:eastAsia="Calibri" w:hAnsi="Arial" w:cs="Arial"/>
          <w:sz w:val="22"/>
          <w:szCs w:val="22"/>
          <w:lang w:eastAsia="en-US"/>
        </w:rPr>
        <w:t>ontratación para adquirir: (i) bienes y servicios a través de los Acuerdos Marco de Precios; (</w:t>
      </w:r>
      <w:proofErr w:type="spellStart"/>
      <w:r w:rsidR="00C442EE" w:rsidRPr="006617BC">
        <w:rPr>
          <w:rFonts w:ascii="Arial" w:eastAsia="Calibri" w:hAnsi="Arial" w:cs="Arial"/>
          <w:sz w:val="22"/>
          <w:szCs w:val="22"/>
          <w:lang w:eastAsia="en-US"/>
        </w:rPr>
        <w:t>ii</w:t>
      </w:r>
      <w:proofErr w:type="spellEnd"/>
      <w:r w:rsidR="00C442EE" w:rsidRPr="006617BC">
        <w:rPr>
          <w:rFonts w:ascii="Arial" w:eastAsia="Calibri" w:hAnsi="Arial" w:cs="Arial"/>
          <w:sz w:val="22"/>
          <w:szCs w:val="22"/>
          <w:lang w:eastAsia="en-US"/>
        </w:rPr>
        <w:t>) bienes y servicios al amparo de Contratos de Agregación de Demanda; y (</w:t>
      </w:r>
      <w:proofErr w:type="spellStart"/>
      <w:r w:rsidR="00C442EE" w:rsidRPr="006617BC">
        <w:rPr>
          <w:rFonts w:ascii="Arial" w:eastAsia="Calibri" w:hAnsi="Arial" w:cs="Arial"/>
          <w:sz w:val="22"/>
          <w:szCs w:val="22"/>
          <w:lang w:eastAsia="en-US"/>
        </w:rPr>
        <w:t>iii</w:t>
      </w:r>
      <w:proofErr w:type="spellEnd"/>
      <w:r w:rsidR="00C442EE" w:rsidRPr="006617BC">
        <w:rPr>
          <w:rFonts w:ascii="Arial" w:eastAsia="Calibri" w:hAnsi="Arial" w:cs="Arial"/>
          <w:sz w:val="22"/>
          <w:szCs w:val="22"/>
          <w:lang w:eastAsia="en-US"/>
        </w:rPr>
        <w:t xml:space="preserve">) bienes en la modalidad de </w:t>
      </w:r>
      <w:r w:rsidRPr="006617BC">
        <w:rPr>
          <w:rFonts w:ascii="Arial" w:eastAsia="Calibri" w:hAnsi="Arial" w:cs="Arial"/>
          <w:sz w:val="22"/>
          <w:szCs w:val="22"/>
          <w:lang w:eastAsia="en-US"/>
        </w:rPr>
        <w:t>M</w:t>
      </w:r>
      <w:r w:rsidR="00C442EE" w:rsidRPr="006617BC">
        <w:rPr>
          <w:rFonts w:ascii="Arial" w:eastAsia="Calibri" w:hAnsi="Arial" w:cs="Arial"/>
          <w:sz w:val="22"/>
          <w:szCs w:val="22"/>
          <w:lang w:eastAsia="en-US"/>
        </w:rPr>
        <w:t xml:space="preserve">ínima </w:t>
      </w:r>
      <w:r w:rsidRPr="006617BC">
        <w:rPr>
          <w:rFonts w:ascii="Arial" w:eastAsia="Calibri" w:hAnsi="Arial" w:cs="Arial"/>
          <w:sz w:val="22"/>
          <w:szCs w:val="22"/>
          <w:lang w:eastAsia="en-US"/>
        </w:rPr>
        <w:t>C</w:t>
      </w:r>
      <w:r w:rsidR="00C442EE" w:rsidRPr="006617BC">
        <w:rPr>
          <w:rFonts w:ascii="Arial" w:eastAsia="Calibri" w:hAnsi="Arial" w:cs="Arial"/>
          <w:sz w:val="22"/>
          <w:szCs w:val="22"/>
          <w:lang w:eastAsia="en-US"/>
        </w:rPr>
        <w:t xml:space="preserve">uantía en Grandes Superficies. </w:t>
      </w:r>
      <w:r w:rsidR="007459BD" w:rsidRPr="006617BC">
        <w:rPr>
          <w:rFonts w:ascii="Arial" w:eastAsia="Calibri" w:hAnsi="Arial" w:cs="Arial"/>
          <w:sz w:val="22"/>
          <w:szCs w:val="22"/>
          <w:lang w:eastAsia="en-US"/>
        </w:rPr>
        <w:t xml:space="preserve">Asimismo, </w:t>
      </w:r>
      <w:r w:rsidR="00C442EE" w:rsidRPr="006617BC">
        <w:rPr>
          <w:rFonts w:ascii="Arial" w:eastAsia="Calibri" w:hAnsi="Arial" w:cs="Arial"/>
          <w:sz w:val="22"/>
          <w:szCs w:val="22"/>
          <w:lang w:eastAsia="en-US"/>
        </w:rPr>
        <w:t xml:space="preserve">el numeral 1.4 indica que las entidades deben publicar la información de sus </w:t>
      </w:r>
      <w:r w:rsidRPr="006617BC">
        <w:rPr>
          <w:rFonts w:ascii="Arial" w:eastAsia="Calibri" w:hAnsi="Arial" w:cs="Arial"/>
          <w:sz w:val="22"/>
          <w:szCs w:val="22"/>
          <w:lang w:eastAsia="en-US"/>
        </w:rPr>
        <w:t>p</w:t>
      </w:r>
      <w:r w:rsidR="00C442EE" w:rsidRPr="006617BC">
        <w:rPr>
          <w:rFonts w:ascii="Arial" w:eastAsia="Calibri" w:hAnsi="Arial" w:cs="Arial"/>
          <w:sz w:val="22"/>
          <w:szCs w:val="22"/>
          <w:lang w:eastAsia="en-US"/>
        </w:rPr>
        <w:t xml:space="preserve">rocesos de </w:t>
      </w:r>
      <w:r w:rsidRPr="006617BC">
        <w:rPr>
          <w:rFonts w:ascii="Arial" w:eastAsia="Calibri" w:hAnsi="Arial" w:cs="Arial"/>
          <w:sz w:val="22"/>
          <w:szCs w:val="22"/>
          <w:lang w:eastAsia="en-US"/>
        </w:rPr>
        <w:t>c</w:t>
      </w:r>
      <w:r w:rsidR="00C442EE" w:rsidRPr="006617BC">
        <w:rPr>
          <w:rFonts w:ascii="Arial" w:eastAsia="Calibri" w:hAnsi="Arial" w:cs="Arial"/>
          <w:sz w:val="22"/>
          <w:szCs w:val="22"/>
          <w:lang w:eastAsia="en-US"/>
        </w:rPr>
        <w:t xml:space="preserve">ontratación en una sola de las plataformas electrónicas del SECOP. </w:t>
      </w:r>
      <w:r w:rsidRPr="006617BC">
        <w:rPr>
          <w:rFonts w:ascii="Arial" w:eastAsia="Calibri" w:hAnsi="Arial" w:cs="Arial"/>
          <w:sz w:val="22"/>
          <w:szCs w:val="22"/>
          <w:lang w:eastAsia="en-US"/>
        </w:rPr>
        <w:t>De esta manera, l</w:t>
      </w:r>
      <w:r w:rsidR="00C442EE" w:rsidRPr="006617BC">
        <w:rPr>
          <w:rFonts w:ascii="Arial" w:eastAsia="Calibri" w:hAnsi="Arial" w:cs="Arial"/>
          <w:sz w:val="22"/>
          <w:szCs w:val="22"/>
          <w:lang w:eastAsia="en-US"/>
        </w:rPr>
        <w:t xml:space="preserve">os </w:t>
      </w:r>
      <w:r w:rsidRPr="006617BC">
        <w:rPr>
          <w:rFonts w:ascii="Arial" w:eastAsia="Calibri" w:hAnsi="Arial" w:cs="Arial"/>
          <w:sz w:val="22"/>
          <w:szCs w:val="22"/>
          <w:lang w:eastAsia="en-US"/>
        </w:rPr>
        <w:t>p</w:t>
      </w:r>
      <w:r w:rsidR="00C442EE" w:rsidRPr="006617BC">
        <w:rPr>
          <w:rFonts w:ascii="Arial" w:eastAsia="Calibri" w:hAnsi="Arial" w:cs="Arial"/>
          <w:sz w:val="22"/>
          <w:szCs w:val="22"/>
          <w:lang w:eastAsia="en-US"/>
        </w:rPr>
        <w:t xml:space="preserve">rocesos de </w:t>
      </w:r>
      <w:r w:rsidRPr="006617BC">
        <w:rPr>
          <w:rFonts w:ascii="Arial" w:eastAsia="Calibri" w:hAnsi="Arial" w:cs="Arial"/>
          <w:sz w:val="22"/>
          <w:szCs w:val="22"/>
          <w:lang w:eastAsia="en-US"/>
        </w:rPr>
        <w:t>c</w:t>
      </w:r>
      <w:r w:rsidR="00C442EE" w:rsidRPr="006617BC">
        <w:rPr>
          <w:rFonts w:ascii="Arial" w:eastAsia="Calibri" w:hAnsi="Arial" w:cs="Arial"/>
          <w:sz w:val="22"/>
          <w:szCs w:val="22"/>
          <w:lang w:eastAsia="en-US"/>
        </w:rPr>
        <w:t xml:space="preserve">ontratación derivados de los </w:t>
      </w:r>
      <w:r w:rsidRPr="006617BC">
        <w:rPr>
          <w:rFonts w:ascii="Arial" w:eastAsia="Calibri" w:hAnsi="Arial" w:cs="Arial"/>
          <w:sz w:val="22"/>
          <w:szCs w:val="22"/>
          <w:lang w:eastAsia="en-US"/>
        </w:rPr>
        <w:t>a</w:t>
      </w:r>
      <w:r w:rsidR="00C442EE" w:rsidRPr="006617BC">
        <w:rPr>
          <w:rFonts w:ascii="Arial" w:eastAsia="Calibri" w:hAnsi="Arial" w:cs="Arial"/>
          <w:sz w:val="22"/>
          <w:szCs w:val="22"/>
          <w:lang w:eastAsia="en-US"/>
        </w:rPr>
        <w:t xml:space="preserve">cuerdos </w:t>
      </w:r>
      <w:r w:rsidRPr="006617BC">
        <w:rPr>
          <w:rFonts w:ascii="Arial" w:eastAsia="Calibri" w:hAnsi="Arial" w:cs="Arial"/>
          <w:sz w:val="22"/>
          <w:szCs w:val="22"/>
          <w:lang w:eastAsia="en-US"/>
        </w:rPr>
        <w:t>m</w:t>
      </w:r>
      <w:r w:rsidR="00C442EE" w:rsidRPr="006617BC">
        <w:rPr>
          <w:rFonts w:ascii="Arial" w:eastAsia="Calibri" w:hAnsi="Arial" w:cs="Arial"/>
          <w:sz w:val="22"/>
          <w:szCs w:val="22"/>
          <w:lang w:eastAsia="en-US"/>
        </w:rPr>
        <w:t xml:space="preserve">arco de </w:t>
      </w:r>
      <w:r w:rsidRPr="006617BC">
        <w:rPr>
          <w:rFonts w:ascii="Arial" w:eastAsia="Calibri" w:hAnsi="Arial" w:cs="Arial"/>
          <w:sz w:val="22"/>
          <w:szCs w:val="22"/>
          <w:lang w:eastAsia="en-US"/>
        </w:rPr>
        <w:t>p</w:t>
      </w:r>
      <w:r w:rsidR="00C442EE" w:rsidRPr="006617BC">
        <w:rPr>
          <w:rFonts w:ascii="Arial" w:eastAsia="Calibri" w:hAnsi="Arial" w:cs="Arial"/>
          <w:sz w:val="22"/>
          <w:szCs w:val="22"/>
          <w:lang w:eastAsia="en-US"/>
        </w:rPr>
        <w:t>recios o instrumentos de agregación de demanda deben adelanta</w:t>
      </w:r>
      <w:r w:rsidR="00E62C7D" w:rsidRPr="006617BC">
        <w:rPr>
          <w:rFonts w:ascii="Arial" w:eastAsia="Calibri" w:hAnsi="Arial" w:cs="Arial"/>
          <w:sz w:val="22"/>
          <w:szCs w:val="22"/>
          <w:lang w:eastAsia="en-US"/>
        </w:rPr>
        <w:t>r</w:t>
      </w:r>
      <w:r w:rsidR="00C442EE" w:rsidRPr="006617BC">
        <w:rPr>
          <w:rFonts w:ascii="Arial" w:eastAsia="Calibri" w:hAnsi="Arial" w:cs="Arial"/>
          <w:sz w:val="22"/>
          <w:szCs w:val="22"/>
          <w:lang w:eastAsia="en-US"/>
        </w:rPr>
        <w:t>s</w:t>
      </w:r>
      <w:r w:rsidR="00E62C7D" w:rsidRPr="006617BC">
        <w:rPr>
          <w:rFonts w:ascii="Arial" w:eastAsia="Calibri" w:hAnsi="Arial" w:cs="Arial"/>
          <w:sz w:val="22"/>
          <w:szCs w:val="22"/>
          <w:lang w:eastAsia="en-US"/>
        </w:rPr>
        <w:t>e</w:t>
      </w:r>
      <w:r w:rsidR="00C442EE" w:rsidRPr="006617BC">
        <w:rPr>
          <w:rFonts w:ascii="Arial" w:eastAsia="Calibri" w:hAnsi="Arial" w:cs="Arial"/>
          <w:sz w:val="22"/>
          <w:szCs w:val="22"/>
          <w:lang w:eastAsia="en-US"/>
        </w:rPr>
        <w:t xml:space="preserve"> en la Tienda Virtual del Estado Colombiano y no se requiere publicarlos en otras plataformas. </w:t>
      </w:r>
      <w:r w:rsidRPr="006617BC">
        <w:rPr>
          <w:rFonts w:ascii="Arial" w:eastAsia="Calibri" w:hAnsi="Arial" w:cs="Arial"/>
          <w:sz w:val="22"/>
          <w:szCs w:val="22"/>
          <w:lang w:eastAsia="en-US"/>
        </w:rPr>
        <w:lastRenderedPageBreak/>
        <w:t>Por ello, la publicación que</w:t>
      </w:r>
      <w:r w:rsidR="008B207A" w:rsidRPr="006617BC">
        <w:rPr>
          <w:rFonts w:ascii="Arial" w:eastAsia="Calibri" w:hAnsi="Arial" w:cs="Arial"/>
          <w:sz w:val="22"/>
          <w:szCs w:val="22"/>
          <w:lang w:eastAsia="en-US"/>
        </w:rPr>
        <w:t xml:space="preserve"> se</w:t>
      </w:r>
      <w:r w:rsidRPr="006617BC">
        <w:rPr>
          <w:rFonts w:ascii="Arial" w:eastAsia="Calibri" w:hAnsi="Arial" w:cs="Arial"/>
          <w:sz w:val="22"/>
          <w:szCs w:val="22"/>
          <w:lang w:eastAsia="en-US"/>
        </w:rPr>
        <w:t xml:space="preserve"> realice en la </w:t>
      </w:r>
      <w:r w:rsidR="008B207A" w:rsidRPr="006617BC">
        <w:rPr>
          <w:rFonts w:ascii="Arial" w:eastAsia="Calibri" w:hAnsi="Arial" w:cs="Arial"/>
          <w:sz w:val="22"/>
          <w:szCs w:val="22"/>
          <w:lang w:eastAsia="en-US"/>
        </w:rPr>
        <w:t>T</w:t>
      </w:r>
      <w:r w:rsidRPr="006617BC">
        <w:rPr>
          <w:rFonts w:ascii="Arial" w:eastAsia="Calibri" w:hAnsi="Arial" w:cs="Arial"/>
          <w:sz w:val="22"/>
          <w:szCs w:val="22"/>
          <w:lang w:eastAsia="en-US"/>
        </w:rPr>
        <w:t xml:space="preserve">ienda </w:t>
      </w:r>
      <w:r w:rsidR="008B207A" w:rsidRPr="006617BC">
        <w:rPr>
          <w:rFonts w:ascii="Arial" w:eastAsia="Calibri" w:hAnsi="Arial" w:cs="Arial"/>
          <w:sz w:val="22"/>
          <w:szCs w:val="22"/>
          <w:lang w:eastAsia="en-US"/>
        </w:rPr>
        <w:t>V</w:t>
      </w:r>
      <w:r w:rsidRPr="006617BC">
        <w:rPr>
          <w:rFonts w:ascii="Arial" w:eastAsia="Calibri" w:hAnsi="Arial" w:cs="Arial"/>
          <w:sz w:val="22"/>
          <w:szCs w:val="22"/>
          <w:lang w:eastAsia="en-US"/>
        </w:rPr>
        <w:t xml:space="preserve">irtual del </w:t>
      </w:r>
      <w:r w:rsidR="008B207A" w:rsidRPr="006617BC">
        <w:rPr>
          <w:rFonts w:ascii="Arial" w:eastAsia="Calibri" w:hAnsi="Arial" w:cs="Arial"/>
          <w:sz w:val="22"/>
          <w:szCs w:val="22"/>
          <w:lang w:eastAsia="en-US"/>
        </w:rPr>
        <w:t>E</w:t>
      </w:r>
      <w:r w:rsidRPr="006617BC">
        <w:rPr>
          <w:rFonts w:ascii="Arial" w:eastAsia="Calibri" w:hAnsi="Arial" w:cs="Arial"/>
          <w:sz w:val="22"/>
          <w:szCs w:val="22"/>
          <w:lang w:eastAsia="en-US"/>
        </w:rPr>
        <w:t xml:space="preserve">stado </w:t>
      </w:r>
      <w:r w:rsidR="008B207A" w:rsidRPr="006617BC">
        <w:rPr>
          <w:rFonts w:ascii="Arial" w:eastAsia="Calibri" w:hAnsi="Arial" w:cs="Arial"/>
          <w:sz w:val="22"/>
          <w:szCs w:val="22"/>
          <w:lang w:eastAsia="en-US"/>
        </w:rPr>
        <w:t>C</w:t>
      </w:r>
      <w:r w:rsidRPr="006617BC">
        <w:rPr>
          <w:rFonts w:ascii="Arial" w:eastAsia="Calibri" w:hAnsi="Arial" w:cs="Arial"/>
          <w:sz w:val="22"/>
          <w:szCs w:val="22"/>
          <w:lang w:eastAsia="en-US"/>
        </w:rPr>
        <w:t xml:space="preserve">olombiano no debe ser publicado en ninguna otra plataforma del SECOP, </w:t>
      </w:r>
      <w:r w:rsidR="00CD436C" w:rsidRPr="006617BC">
        <w:rPr>
          <w:rFonts w:ascii="Arial" w:eastAsia="Calibri" w:hAnsi="Arial" w:cs="Arial"/>
          <w:sz w:val="22"/>
          <w:szCs w:val="22"/>
          <w:lang w:eastAsia="en-US"/>
        </w:rPr>
        <w:t>pues</w:t>
      </w:r>
      <w:r w:rsidRPr="006617BC">
        <w:rPr>
          <w:rFonts w:ascii="Arial" w:eastAsia="Calibri" w:hAnsi="Arial" w:cs="Arial"/>
          <w:sz w:val="22"/>
          <w:szCs w:val="22"/>
          <w:lang w:eastAsia="en-US"/>
        </w:rPr>
        <w:t xml:space="preserve"> esto generaría duplicidad de información.  </w:t>
      </w:r>
    </w:p>
    <w:p w14:paraId="78E507CC" w14:textId="78D16327" w:rsidR="00CF148D" w:rsidRPr="006617BC" w:rsidRDefault="00E21A60" w:rsidP="00873BDE">
      <w:pPr>
        <w:spacing w:before="120" w:line="276" w:lineRule="auto"/>
        <w:ind w:firstLine="708"/>
        <w:jc w:val="both"/>
        <w:rPr>
          <w:rFonts w:ascii="Arial" w:eastAsia="Calibri" w:hAnsi="Arial" w:cs="Arial"/>
          <w:sz w:val="22"/>
          <w:szCs w:val="22"/>
          <w:lang w:eastAsia="en-US"/>
        </w:rPr>
      </w:pPr>
      <w:r w:rsidRPr="006617BC">
        <w:rPr>
          <w:rFonts w:ascii="Arial" w:eastAsia="Calibri" w:hAnsi="Arial" w:cs="Arial"/>
          <w:sz w:val="22"/>
          <w:szCs w:val="22"/>
          <w:lang w:eastAsia="en-US"/>
        </w:rPr>
        <w:t xml:space="preserve">En concordancia, el numeral 12.2 </w:t>
      </w:r>
      <w:r w:rsidR="001931B7" w:rsidRPr="006617BC">
        <w:rPr>
          <w:rFonts w:ascii="Arial" w:eastAsia="Calibri" w:hAnsi="Arial" w:cs="Arial"/>
          <w:sz w:val="22"/>
          <w:szCs w:val="22"/>
          <w:lang w:eastAsia="en-US"/>
        </w:rPr>
        <w:t xml:space="preserve">de la Circular </w:t>
      </w:r>
      <w:r w:rsidRPr="006617BC">
        <w:rPr>
          <w:rFonts w:ascii="Arial" w:eastAsia="Calibri" w:hAnsi="Arial" w:cs="Arial"/>
          <w:sz w:val="22"/>
          <w:szCs w:val="22"/>
          <w:lang w:eastAsia="en-US"/>
        </w:rPr>
        <w:t>explica que s</w:t>
      </w:r>
      <w:r w:rsidR="00102458" w:rsidRPr="006617BC">
        <w:rPr>
          <w:rFonts w:ascii="Arial" w:eastAsia="Calibri" w:hAnsi="Arial" w:cs="Arial"/>
          <w:sz w:val="22"/>
          <w:szCs w:val="22"/>
          <w:lang w:eastAsia="en-US"/>
        </w:rPr>
        <w:t>egún el Decreto Ley 4170 de 2011 y en virtud del parágrafo 5 del artículo 2 de la Ley 1150 de 2007, la</w:t>
      </w:r>
      <w:r w:rsidR="00102458" w:rsidRPr="006617BC">
        <w:rPr>
          <w:rFonts w:ascii="Arial" w:eastAsia="Calibri" w:hAnsi="Arial" w:cs="Arial"/>
          <w:bCs/>
          <w:color w:val="000000" w:themeColor="text1"/>
          <w:sz w:val="22"/>
          <w:szCs w:val="22"/>
          <w:lang w:val="es-ES_tradnl" w:eastAsia="en-US"/>
        </w:rPr>
        <w:t xml:space="preserve"> </w:t>
      </w:r>
      <w:r w:rsidR="00102458" w:rsidRPr="006617BC">
        <w:rPr>
          <w:rFonts w:ascii="Arial" w:eastAsia="Calibri" w:hAnsi="Arial" w:cs="Arial"/>
          <w:sz w:val="22"/>
          <w:szCs w:val="22"/>
          <w:lang w:eastAsia="en-US"/>
        </w:rPr>
        <w:t xml:space="preserve">Agencia Nacional de Contratación Pública – Colombia Compra Eficiente tiene la función de reglamentar el uso de los Instrumentos de Agregación de Demanda, y la adquisición de mínima cuantía en grandes superficies. En virtud de esta misma competencia </w:t>
      </w:r>
      <w:r w:rsidR="00ED070F" w:rsidRPr="006617BC">
        <w:rPr>
          <w:rFonts w:ascii="Arial" w:eastAsia="Calibri" w:hAnsi="Arial" w:cs="Arial"/>
          <w:sz w:val="22"/>
          <w:szCs w:val="22"/>
          <w:lang w:eastAsia="en-US"/>
        </w:rPr>
        <w:t xml:space="preserve">se </w:t>
      </w:r>
      <w:r w:rsidR="00102458" w:rsidRPr="006617BC">
        <w:rPr>
          <w:rFonts w:ascii="Arial" w:eastAsia="Calibri" w:hAnsi="Arial" w:cs="Arial"/>
          <w:sz w:val="22"/>
          <w:szCs w:val="22"/>
          <w:lang w:eastAsia="en-US"/>
        </w:rPr>
        <w:t xml:space="preserve">reglamenta la operación de la Tienda Virtual del Estado Colombiano. </w:t>
      </w:r>
      <w:r w:rsidR="00ED070F" w:rsidRPr="006617BC">
        <w:rPr>
          <w:rFonts w:ascii="Arial" w:eastAsia="Calibri" w:hAnsi="Arial" w:cs="Arial"/>
          <w:sz w:val="22"/>
          <w:szCs w:val="22"/>
          <w:lang w:eastAsia="en-US"/>
        </w:rPr>
        <w:t>Co</w:t>
      </w:r>
      <w:r w:rsidR="00102458" w:rsidRPr="006617BC">
        <w:rPr>
          <w:rFonts w:ascii="Arial" w:eastAsia="Calibri" w:hAnsi="Arial" w:cs="Arial"/>
          <w:sz w:val="22"/>
          <w:szCs w:val="22"/>
          <w:lang w:eastAsia="en-US"/>
        </w:rPr>
        <w:t>n</w:t>
      </w:r>
      <w:r w:rsidR="00ED070F" w:rsidRPr="006617BC">
        <w:rPr>
          <w:rFonts w:ascii="Arial" w:eastAsia="Calibri" w:hAnsi="Arial" w:cs="Arial"/>
          <w:sz w:val="22"/>
          <w:szCs w:val="22"/>
          <w:lang w:eastAsia="en-US"/>
        </w:rPr>
        <w:t>c</w:t>
      </w:r>
      <w:r w:rsidR="00102458" w:rsidRPr="006617BC">
        <w:rPr>
          <w:rFonts w:ascii="Arial" w:eastAsia="Calibri" w:hAnsi="Arial" w:cs="Arial"/>
          <w:sz w:val="22"/>
          <w:szCs w:val="22"/>
          <w:lang w:eastAsia="en-US"/>
        </w:rPr>
        <w:t>retamente</w:t>
      </w:r>
      <w:r w:rsidR="00ED070F" w:rsidRPr="006617BC">
        <w:rPr>
          <w:rFonts w:ascii="Arial" w:eastAsia="Calibri" w:hAnsi="Arial" w:cs="Arial"/>
          <w:sz w:val="22"/>
          <w:szCs w:val="22"/>
          <w:lang w:eastAsia="en-US"/>
        </w:rPr>
        <w:t>, para</w:t>
      </w:r>
      <w:r w:rsidR="00102458" w:rsidRPr="006617BC">
        <w:rPr>
          <w:rFonts w:ascii="Arial" w:eastAsia="Calibri" w:hAnsi="Arial" w:cs="Arial"/>
          <w:sz w:val="22"/>
          <w:szCs w:val="22"/>
          <w:lang w:eastAsia="en-US"/>
        </w:rPr>
        <w:t xml:space="preserve"> la adquisición </w:t>
      </w:r>
      <w:r w:rsidR="00BB074A" w:rsidRPr="006617BC">
        <w:rPr>
          <w:rFonts w:ascii="Arial" w:eastAsia="Calibri" w:hAnsi="Arial" w:cs="Arial"/>
          <w:sz w:val="22"/>
          <w:szCs w:val="22"/>
          <w:lang w:eastAsia="en-US"/>
        </w:rPr>
        <w:t xml:space="preserve">de </w:t>
      </w:r>
      <w:r w:rsidR="00102458" w:rsidRPr="006617BC">
        <w:rPr>
          <w:rFonts w:ascii="Arial" w:eastAsia="Calibri" w:hAnsi="Arial" w:cs="Arial"/>
          <w:sz w:val="22"/>
          <w:szCs w:val="22"/>
          <w:lang w:eastAsia="en-US"/>
        </w:rPr>
        <w:t xml:space="preserve">bienes en la modalidad de </w:t>
      </w:r>
      <w:r w:rsidR="008B207A" w:rsidRPr="006617BC">
        <w:rPr>
          <w:rFonts w:ascii="Arial" w:eastAsia="Calibri" w:hAnsi="Arial" w:cs="Arial"/>
          <w:sz w:val="22"/>
          <w:szCs w:val="22"/>
          <w:lang w:eastAsia="en-US"/>
        </w:rPr>
        <w:t>m</w:t>
      </w:r>
      <w:r w:rsidR="00102458" w:rsidRPr="006617BC">
        <w:rPr>
          <w:rFonts w:ascii="Arial" w:eastAsia="Calibri" w:hAnsi="Arial" w:cs="Arial"/>
          <w:sz w:val="22"/>
          <w:szCs w:val="22"/>
          <w:lang w:eastAsia="en-US"/>
        </w:rPr>
        <w:t>ínima</w:t>
      </w:r>
      <w:r w:rsidR="008B207A" w:rsidRPr="006617BC">
        <w:rPr>
          <w:rFonts w:ascii="Arial" w:eastAsia="Calibri" w:hAnsi="Arial" w:cs="Arial"/>
          <w:sz w:val="22"/>
          <w:szCs w:val="22"/>
          <w:lang w:eastAsia="en-US"/>
        </w:rPr>
        <w:t xml:space="preserve"> cuantía</w:t>
      </w:r>
      <w:r w:rsidRPr="006617BC">
        <w:rPr>
          <w:rFonts w:ascii="Arial" w:eastAsia="Calibri" w:hAnsi="Arial" w:cs="Arial"/>
          <w:sz w:val="22"/>
          <w:szCs w:val="22"/>
          <w:lang w:eastAsia="en-US"/>
        </w:rPr>
        <w:t>, esta</w:t>
      </w:r>
      <w:r w:rsidR="00ED070F" w:rsidRPr="006617BC">
        <w:rPr>
          <w:rFonts w:ascii="Arial" w:eastAsia="Calibri" w:hAnsi="Arial" w:cs="Arial"/>
          <w:sz w:val="22"/>
          <w:szCs w:val="22"/>
          <w:lang w:eastAsia="en-US"/>
        </w:rPr>
        <w:t xml:space="preserve"> </w:t>
      </w:r>
      <w:r w:rsidR="00102458" w:rsidRPr="006617BC">
        <w:rPr>
          <w:rFonts w:ascii="Arial" w:eastAsia="Calibri" w:hAnsi="Arial" w:cs="Arial"/>
          <w:sz w:val="22"/>
          <w:szCs w:val="22"/>
          <w:lang w:eastAsia="en-US"/>
        </w:rPr>
        <w:t xml:space="preserve">Agencia ha dispuesto la </w:t>
      </w:r>
      <w:r w:rsidR="00102458" w:rsidRPr="006617BC">
        <w:rPr>
          <w:rFonts w:ascii="Arial" w:eastAsia="Calibri" w:hAnsi="Arial" w:cs="Arial"/>
          <w:bCs/>
          <w:color w:val="000000" w:themeColor="text1"/>
          <w:sz w:val="22"/>
          <w:szCs w:val="22"/>
          <w:lang w:val="es-ES_tradnl" w:eastAsia="en-US"/>
        </w:rPr>
        <w:t>«</w:t>
      </w:r>
      <w:r w:rsidR="007219CF" w:rsidRPr="006617BC">
        <w:rPr>
          <w:rFonts w:ascii="Arial" w:eastAsia="Calibri" w:hAnsi="Arial" w:cs="Arial"/>
          <w:bCs/>
          <w:color w:val="000000" w:themeColor="text1"/>
          <w:sz w:val="22"/>
          <w:szCs w:val="22"/>
          <w:lang w:eastAsia="en-US"/>
        </w:rPr>
        <w:t>Guía para la Adquisición en Gran Almacén cuando se trata de mínima cuantía por la Tienda Virtual del Estado Colombiano</w:t>
      </w:r>
      <w:r w:rsidR="00102458" w:rsidRPr="006617BC">
        <w:rPr>
          <w:rFonts w:ascii="Arial" w:eastAsia="Calibri" w:hAnsi="Arial" w:cs="Arial"/>
          <w:bCs/>
          <w:color w:val="000000" w:themeColor="text1"/>
          <w:sz w:val="22"/>
          <w:szCs w:val="22"/>
          <w:lang w:val="es-ES_tradnl" w:eastAsia="en-US"/>
        </w:rPr>
        <w:t>»</w:t>
      </w:r>
      <w:r w:rsidR="007219CF" w:rsidRPr="006617BC">
        <w:rPr>
          <w:rFonts w:ascii="Arial" w:eastAsia="Calibri" w:hAnsi="Arial" w:cs="Arial"/>
          <w:bCs/>
          <w:color w:val="000000" w:themeColor="text1"/>
          <w:sz w:val="22"/>
          <w:szCs w:val="22"/>
          <w:lang w:val="es-ES_tradnl" w:eastAsia="en-US"/>
        </w:rPr>
        <w:t xml:space="preserve">. </w:t>
      </w:r>
      <w:r w:rsidR="00CD436C" w:rsidRPr="006617BC">
        <w:rPr>
          <w:rFonts w:ascii="Arial" w:eastAsia="Calibri" w:hAnsi="Arial" w:cs="Arial"/>
          <w:bCs/>
          <w:color w:val="000000" w:themeColor="text1"/>
          <w:sz w:val="22"/>
          <w:szCs w:val="22"/>
          <w:lang w:val="es-ES_tradnl" w:eastAsia="en-US"/>
        </w:rPr>
        <w:t>Cuando se realice por este medio, e</w:t>
      </w:r>
      <w:r w:rsidR="007219CF" w:rsidRPr="006617BC">
        <w:rPr>
          <w:rFonts w:ascii="Arial" w:eastAsia="Calibri" w:hAnsi="Arial" w:cs="Arial"/>
          <w:bCs/>
          <w:color w:val="000000" w:themeColor="text1"/>
          <w:sz w:val="22"/>
          <w:szCs w:val="22"/>
          <w:lang w:val="es-ES_tradnl" w:eastAsia="en-US"/>
        </w:rPr>
        <w:t xml:space="preserve">n esta Guía se encuentra la información referente al registro en </w:t>
      </w:r>
      <w:r w:rsidR="00F71812" w:rsidRPr="006617BC">
        <w:rPr>
          <w:rFonts w:ascii="Arial" w:eastAsia="Calibri" w:hAnsi="Arial" w:cs="Arial"/>
          <w:bCs/>
          <w:color w:val="000000" w:themeColor="text1"/>
          <w:sz w:val="22"/>
          <w:szCs w:val="22"/>
          <w:lang w:val="es-ES_tradnl" w:eastAsia="en-US"/>
        </w:rPr>
        <w:t>la plataforma,</w:t>
      </w:r>
      <w:r w:rsidR="007219CF" w:rsidRPr="006617BC">
        <w:rPr>
          <w:rFonts w:ascii="Arial" w:eastAsia="Calibri" w:hAnsi="Arial" w:cs="Arial"/>
          <w:bCs/>
          <w:color w:val="000000" w:themeColor="text1"/>
          <w:sz w:val="22"/>
          <w:szCs w:val="22"/>
          <w:lang w:val="es-ES_tradnl" w:eastAsia="en-US"/>
        </w:rPr>
        <w:t xml:space="preserve"> la forma en la que la entidad puede realizar la </w:t>
      </w:r>
      <w:r w:rsidR="00F71812" w:rsidRPr="006617BC">
        <w:rPr>
          <w:rFonts w:ascii="Arial" w:eastAsia="Calibri" w:hAnsi="Arial" w:cs="Arial"/>
          <w:bCs/>
          <w:color w:val="000000" w:themeColor="text1"/>
          <w:sz w:val="22"/>
          <w:szCs w:val="22"/>
          <w:lang w:val="es-ES_tradnl" w:eastAsia="en-US"/>
        </w:rPr>
        <w:t>búsqueda de los bienes necesarios, realizar la «solicitud de cotización» de los bienes y servicios incluidos en el catálogo, solicitar la orden de compra y otras actividades asociadas al procedimiento</w:t>
      </w:r>
      <w:r w:rsidR="00E673E3" w:rsidRPr="006617BC">
        <w:rPr>
          <w:rFonts w:ascii="Arial" w:eastAsia="Calibri" w:hAnsi="Arial" w:cs="Arial"/>
          <w:bCs/>
          <w:color w:val="000000" w:themeColor="text1"/>
          <w:sz w:val="22"/>
          <w:szCs w:val="22"/>
          <w:lang w:val="es-ES_tradnl" w:eastAsia="en-US"/>
        </w:rPr>
        <w:t xml:space="preserve"> de compra</w:t>
      </w:r>
      <w:r w:rsidR="00F71812" w:rsidRPr="006617BC">
        <w:rPr>
          <w:rFonts w:ascii="Arial" w:eastAsia="Calibri" w:hAnsi="Arial" w:cs="Arial"/>
          <w:bCs/>
          <w:color w:val="000000" w:themeColor="text1"/>
          <w:sz w:val="22"/>
          <w:szCs w:val="22"/>
          <w:lang w:val="es-ES_tradnl" w:eastAsia="en-US"/>
        </w:rPr>
        <w:t xml:space="preserve"> en esta plataforma transaccional. </w:t>
      </w:r>
    </w:p>
    <w:p w14:paraId="7896A141" w14:textId="5E210448" w:rsidR="00C96807" w:rsidRPr="006617BC" w:rsidRDefault="000A39AF" w:rsidP="00873BDE">
      <w:pPr>
        <w:spacing w:before="120" w:line="276" w:lineRule="auto"/>
        <w:ind w:firstLine="708"/>
        <w:jc w:val="both"/>
        <w:rPr>
          <w:rFonts w:ascii="Arial" w:eastAsia="Calibri" w:hAnsi="Arial" w:cs="Arial"/>
          <w:sz w:val="22"/>
          <w:szCs w:val="22"/>
          <w:lang w:eastAsia="en-US"/>
        </w:rPr>
      </w:pPr>
      <w:r w:rsidRPr="006617BC">
        <w:rPr>
          <w:rFonts w:ascii="Arial" w:eastAsia="Calibri" w:hAnsi="Arial" w:cs="Arial"/>
          <w:sz w:val="22"/>
          <w:szCs w:val="22"/>
          <w:lang w:eastAsia="en-US"/>
        </w:rPr>
        <w:t xml:space="preserve">Bajo estas consideraciones, es preciso </w:t>
      </w:r>
      <w:r w:rsidR="001A7D03" w:rsidRPr="006617BC">
        <w:rPr>
          <w:rFonts w:ascii="Arial" w:eastAsia="Calibri" w:hAnsi="Arial" w:cs="Arial"/>
          <w:sz w:val="22"/>
          <w:szCs w:val="22"/>
          <w:lang w:eastAsia="en-US"/>
        </w:rPr>
        <w:t>señalar</w:t>
      </w:r>
      <w:r w:rsidRPr="006617BC">
        <w:rPr>
          <w:rFonts w:ascii="Arial" w:eastAsia="Calibri" w:hAnsi="Arial" w:cs="Arial"/>
          <w:sz w:val="22"/>
          <w:szCs w:val="22"/>
          <w:lang w:eastAsia="en-US"/>
        </w:rPr>
        <w:t xml:space="preserve"> que </w:t>
      </w:r>
      <w:r w:rsidR="00CF148D" w:rsidRPr="006617BC">
        <w:rPr>
          <w:rFonts w:ascii="Arial" w:eastAsia="Calibri" w:hAnsi="Arial" w:cs="Arial"/>
          <w:sz w:val="22"/>
          <w:szCs w:val="22"/>
        </w:rPr>
        <w:t xml:space="preserve">cuando el artículo 2.2.1.2.1.5.3. del Decreto 1082 de 2015, modificado por el artículo 2 del Decreto 1860 de 2021, </w:t>
      </w:r>
      <w:r w:rsidR="001A7D03" w:rsidRPr="006617BC">
        <w:rPr>
          <w:rFonts w:ascii="Arial" w:eastAsia="Calibri" w:hAnsi="Arial" w:cs="Arial"/>
          <w:sz w:val="22"/>
          <w:szCs w:val="22"/>
        </w:rPr>
        <w:t>establece</w:t>
      </w:r>
      <w:r w:rsidR="00CF148D" w:rsidRPr="006617BC">
        <w:rPr>
          <w:rFonts w:ascii="Arial" w:eastAsia="Calibri" w:hAnsi="Arial" w:cs="Arial"/>
          <w:sz w:val="22"/>
          <w:szCs w:val="22"/>
        </w:rPr>
        <w:t xml:space="preserve"> que la </w:t>
      </w:r>
      <w:r w:rsidR="0090134A" w:rsidRPr="006617BC">
        <w:rPr>
          <w:rFonts w:ascii="Arial" w:eastAsia="Calibri" w:hAnsi="Arial" w:cs="Arial"/>
          <w:sz w:val="22"/>
          <w:szCs w:val="22"/>
        </w:rPr>
        <w:t xml:space="preserve">invitación </w:t>
      </w:r>
      <w:r w:rsidR="00CF148D" w:rsidRPr="006617BC">
        <w:rPr>
          <w:rFonts w:ascii="Arial" w:eastAsia="Calibri" w:hAnsi="Arial" w:cs="Arial"/>
          <w:sz w:val="22"/>
          <w:szCs w:val="22"/>
        </w:rPr>
        <w:t>debe publicar</w:t>
      </w:r>
      <w:r w:rsidR="0090134A" w:rsidRPr="006617BC">
        <w:rPr>
          <w:rFonts w:ascii="Arial" w:eastAsia="Calibri" w:hAnsi="Arial" w:cs="Arial"/>
          <w:sz w:val="22"/>
          <w:szCs w:val="22"/>
        </w:rPr>
        <w:t>se</w:t>
      </w:r>
      <w:r w:rsidR="00CF148D" w:rsidRPr="006617BC">
        <w:rPr>
          <w:rFonts w:ascii="Arial" w:eastAsia="Calibri" w:hAnsi="Arial" w:cs="Arial"/>
          <w:sz w:val="22"/>
          <w:szCs w:val="22"/>
        </w:rPr>
        <w:t xml:space="preserve"> en</w:t>
      </w:r>
      <w:r w:rsidR="001A7D03" w:rsidRPr="006617BC">
        <w:rPr>
          <w:rFonts w:ascii="Arial" w:eastAsia="Calibri" w:hAnsi="Arial" w:cs="Arial"/>
          <w:sz w:val="22"/>
          <w:szCs w:val="22"/>
        </w:rPr>
        <w:t xml:space="preserve"> el</w:t>
      </w:r>
      <w:r w:rsidR="00CF148D" w:rsidRPr="006617BC">
        <w:rPr>
          <w:rFonts w:ascii="Arial" w:eastAsia="Calibri" w:hAnsi="Arial" w:cs="Arial"/>
          <w:sz w:val="22"/>
          <w:szCs w:val="22"/>
        </w:rPr>
        <w:t xml:space="preserve"> SECOP, esto debe interpretarse en consonancia </w:t>
      </w:r>
      <w:r w:rsidR="00E673E3" w:rsidRPr="006617BC">
        <w:rPr>
          <w:rFonts w:ascii="Arial" w:eastAsia="Calibri" w:hAnsi="Arial" w:cs="Arial"/>
          <w:sz w:val="22"/>
          <w:szCs w:val="22"/>
        </w:rPr>
        <w:t>con lo señalado en los numerales 1</w:t>
      </w:r>
      <w:r w:rsidR="00A23295" w:rsidRPr="006617BC">
        <w:rPr>
          <w:rFonts w:ascii="Arial" w:eastAsia="Calibri" w:hAnsi="Arial" w:cs="Arial"/>
          <w:sz w:val="22"/>
          <w:szCs w:val="22"/>
        </w:rPr>
        <w:t>.</w:t>
      </w:r>
      <w:r w:rsidR="00E673E3" w:rsidRPr="006617BC">
        <w:rPr>
          <w:rFonts w:ascii="Arial" w:eastAsia="Calibri" w:hAnsi="Arial" w:cs="Arial"/>
          <w:sz w:val="22"/>
          <w:szCs w:val="22"/>
        </w:rPr>
        <w:t xml:space="preserve">3, 1.4 y 12.2 de la </w:t>
      </w:r>
      <w:r w:rsidR="00E673E3" w:rsidRPr="006617BC">
        <w:rPr>
          <w:rFonts w:ascii="Arial" w:eastAsia="Calibri" w:hAnsi="Arial" w:cs="Arial"/>
          <w:bCs/>
          <w:color w:val="000000" w:themeColor="text1"/>
          <w:sz w:val="22"/>
          <w:szCs w:val="22"/>
          <w:lang w:val="es-ES_tradnl" w:eastAsia="en-US"/>
        </w:rPr>
        <w:t xml:space="preserve">Circular </w:t>
      </w:r>
      <w:r w:rsidR="00E673E3" w:rsidRPr="006617BC">
        <w:rPr>
          <w:rFonts w:ascii="Arial" w:eastAsia="Calibri" w:hAnsi="Arial" w:cs="Arial"/>
          <w:sz w:val="22"/>
          <w:szCs w:val="22"/>
          <w:lang w:eastAsia="en-US"/>
        </w:rPr>
        <w:t xml:space="preserve">Externa Única de la Agencia Nacional de Contratación Pública – Colombia Compra Eficiente. </w:t>
      </w:r>
      <w:bookmarkStart w:id="12" w:name="_Hlk102028012"/>
      <w:r w:rsidR="00E673E3" w:rsidRPr="006617BC">
        <w:rPr>
          <w:rFonts w:ascii="Arial" w:eastAsia="Calibri" w:hAnsi="Arial" w:cs="Arial"/>
          <w:sz w:val="22"/>
          <w:szCs w:val="22"/>
          <w:lang w:eastAsia="en-US"/>
        </w:rPr>
        <w:t xml:space="preserve">De este modo, </w:t>
      </w:r>
      <w:r w:rsidR="00790BC2" w:rsidRPr="006617BC">
        <w:rPr>
          <w:rFonts w:ascii="Arial" w:eastAsia="Calibri" w:hAnsi="Arial" w:cs="Arial"/>
          <w:sz w:val="22"/>
          <w:szCs w:val="22"/>
          <w:lang w:eastAsia="en-US"/>
        </w:rPr>
        <w:t xml:space="preserve">cuando la entidad opte por acudir a </w:t>
      </w:r>
      <w:r w:rsidR="00E673E3" w:rsidRPr="006617BC">
        <w:rPr>
          <w:rFonts w:ascii="Arial" w:eastAsia="Calibri" w:hAnsi="Arial" w:cs="Arial"/>
          <w:sz w:val="22"/>
          <w:szCs w:val="22"/>
          <w:lang w:eastAsia="en-US"/>
        </w:rPr>
        <w:t>la adquisición en grandes almacenes cuando se trate de mínima cuantía</w:t>
      </w:r>
      <w:r w:rsidR="00790BC2" w:rsidRPr="006617BC">
        <w:rPr>
          <w:rFonts w:ascii="Arial" w:eastAsia="Calibri" w:hAnsi="Arial" w:cs="Arial"/>
          <w:sz w:val="22"/>
          <w:szCs w:val="22"/>
          <w:lang w:eastAsia="en-US"/>
        </w:rPr>
        <w:t xml:space="preserve"> a través de</w:t>
      </w:r>
      <w:r w:rsidR="00E673E3" w:rsidRPr="006617BC">
        <w:rPr>
          <w:rFonts w:ascii="Arial" w:eastAsia="Calibri" w:hAnsi="Arial" w:cs="Arial"/>
          <w:sz w:val="22"/>
          <w:szCs w:val="22"/>
          <w:lang w:eastAsia="en-US"/>
        </w:rPr>
        <w:t xml:space="preserve"> Tienda Virtual del Estado Colombiano</w:t>
      </w:r>
      <w:r w:rsidR="00790BC2" w:rsidRPr="006617BC">
        <w:rPr>
          <w:rFonts w:ascii="Arial" w:eastAsia="Calibri" w:hAnsi="Arial" w:cs="Arial"/>
          <w:sz w:val="22"/>
          <w:szCs w:val="22"/>
          <w:lang w:eastAsia="en-US"/>
        </w:rPr>
        <w:t>, este será el componente del SECOP donde realizará la publicidad</w:t>
      </w:r>
      <w:r w:rsidR="008D1461" w:rsidRPr="006617BC">
        <w:rPr>
          <w:rFonts w:ascii="Arial" w:eastAsia="Calibri" w:hAnsi="Arial" w:cs="Arial"/>
          <w:sz w:val="22"/>
          <w:szCs w:val="22"/>
          <w:lang w:eastAsia="en-US"/>
        </w:rPr>
        <w:t>. Lo anterior</w:t>
      </w:r>
      <w:r w:rsidR="0090134A" w:rsidRPr="006617BC">
        <w:rPr>
          <w:rFonts w:ascii="Arial" w:eastAsia="Calibri" w:hAnsi="Arial" w:cs="Arial"/>
          <w:sz w:val="22"/>
          <w:szCs w:val="22"/>
          <w:lang w:eastAsia="en-US"/>
        </w:rPr>
        <w:t xml:space="preserve"> teniendo en cuenta las instrucciones determinadas </w:t>
      </w:r>
      <w:r w:rsidR="00E673E3" w:rsidRPr="006617BC">
        <w:rPr>
          <w:rFonts w:ascii="Arial" w:eastAsia="Calibri" w:hAnsi="Arial" w:cs="Arial"/>
          <w:sz w:val="22"/>
          <w:szCs w:val="22"/>
          <w:lang w:eastAsia="en-US"/>
        </w:rPr>
        <w:t xml:space="preserve">en la </w:t>
      </w:r>
      <w:r w:rsidR="00E673E3" w:rsidRPr="006617BC">
        <w:rPr>
          <w:rFonts w:ascii="Arial" w:eastAsia="Calibri" w:hAnsi="Arial" w:cs="Arial"/>
          <w:bCs/>
          <w:color w:val="000000" w:themeColor="text1"/>
          <w:sz w:val="22"/>
          <w:szCs w:val="22"/>
          <w:lang w:val="es-ES_tradnl" w:eastAsia="en-US"/>
        </w:rPr>
        <w:t>«</w:t>
      </w:r>
      <w:r w:rsidR="00E673E3" w:rsidRPr="006617BC">
        <w:rPr>
          <w:rFonts w:ascii="Arial" w:eastAsia="Calibri" w:hAnsi="Arial" w:cs="Arial"/>
          <w:bCs/>
          <w:color w:val="000000" w:themeColor="text1"/>
          <w:sz w:val="22"/>
          <w:szCs w:val="22"/>
          <w:lang w:eastAsia="en-US"/>
        </w:rPr>
        <w:t>Guía para la Adquisición en Gran Almacén cuando se trata de mínima cuantía por la Tienda Virtual del Estado Colombiano</w:t>
      </w:r>
      <w:r w:rsidR="00E673E3" w:rsidRPr="006617BC">
        <w:rPr>
          <w:rFonts w:ascii="Arial" w:eastAsia="Calibri" w:hAnsi="Arial" w:cs="Arial"/>
          <w:bCs/>
          <w:color w:val="000000" w:themeColor="text1"/>
          <w:sz w:val="22"/>
          <w:szCs w:val="22"/>
          <w:lang w:val="es-ES_tradnl" w:eastAsia="en-US"/>
        </w:rPr>
        <w:t xml:space="preserve">» o </w:t>
      </w:r>
      <w:r w:rsidR="00C96807" w:rsidRPr="006617BC">
        <w:rPr>
          <w:rFonts w:ascii="Arial" w:eastAsia="Calibri" w:hAnsi="Arial" w:cs="Arial"/>
          <w:bCs/>
          <w:color w:val="000000" w:themeColor="text1"/>
          <w:sz w:val="22"/>
          <w:szCs w:val="22"/>
          <w:lang w:val="es-ES_tradnl" w:eastAsia="en-US"/>
        </w:rPr>
        <w:t xml:space="preserve">el documento </w:t>
      </w:r>
      <w:r w:rsidR="00E673E3" w:rsidRPr="006617BC">
        <w:rPr>
          <w:rFonts w:ascii="Arial" w:eastAsia="Calibri" w:hAnsi="Arial" w:cs="Arial"/>
          <w:bCs/>
          <w:color w:val="000000" w:themeColor="text1"/>
          <w:sz w:val="22"/>
          <w:szCs w:val="22"/>
          <w:lang w:val="es-ES_tradnl" w:eastAsia="en-US"/>
        </w:rPr>
        <w:t>que lo remplace</w:t>
      </w:r>
      <w:r w:rsidR="00A23295" w:rsidRPr="006617BC">
        <w:rPr>
          <w:rFonts w:ascii="Arial" w:eastAsia="Calibri" w:hAnsi="Arial" w:cs="Arial"/>
          <w:bCs/>
          <w:color w:val="000000" w:themeColor="text1"/>
          <w:sz w:val="22"/>
          <w:szCs w:val="22"/>
          <w:lang w:val="es-ES_tradnl" w:eastAsia="en-US"/>
        </w:rPr>
        <w:t xml:space="preserve">. </w:t>
      </w:r>
      <w:r w:rsidR="001A7D03" w:rsidRPr="006617BC">
        <w:rPr>
          <w:rFonts w:ascii="Arial" w:eastAsia="Calibri" w:hAnsi="Arial" w:cs="Arial"/>
          <w:bCs/>
          <w:color w:val="000000" w:themeColor="text1"/>
          <w:sz w:val="22"/>
          <w:szCs w:val="22"/>
          <w:lang w:val="es-ES_tradnl" w:eastAsia="en-US"/>
        </w:rPr>
        <w:t xml:space="preserve">Este proceso, conforme </w:t>
      </w:r>
      <w:r w:rsidR="00CE669E" w:rsidRPr="006617BC">
        <w:rPr>
          <w:rFonts w:ascii="Arial" w:eastAsia="Calibri" w:hAnsi="Arial" w:cs="Arial"/>
          <w:bCs/>
          <w:color w:val="000000" w:themeColor="text1"/>
          <w:sz w:val="22"/>
          <w:szCs w:val="22"/>
          <w:lang w:val="es-ES_tradnl" w:eastAsia="en-US"/>
        </w:rPr>
        <w:t>a</w:t>
      </w:r>
      <w:r w:rsidR="001A7D03" w:rsidRPr="006617BC">
        <w:rPr>
          <w:rFonts w:ascii="Arial" w:eastAsia="Calibri" w:hAnsi="Arial" w:cs="Arial"/>
          <w:bCs/>
          <w:color w:val="000000" w:themeColor="text1"/>
          <w:sz w:val="22"/>
          <w:szCs w:val="22"/>
          <w:lang w:val="es-ES_tradnl" w:eastAsia="en-US"/>
        </w:rPr>
        <w:t>l numeral 1.4 de la Circular, no requ</w:t>
      </w:r>
      <w:r w:rsidR="008D1461" w:rsidRPr="006617BC">
        <w:rPr>
          <w:rFonts w:ascii="Arial" w:eastAsia="Calibri" w:hAnsi="Arial" w:cs="Arial"/>
          <w:bCs/>
          <w:color w:val="000000" w:themeColor="text1"/>
          <w:sz w:val="22"/>
          <w:szCs w:val="22"/>
          <w:lang w:val="es-ES_tradnl" w:eastAsia="en-US"/>
        </w:rPr>
        <w:t>eriría</w:t>
      </w:r>
      <w:r w:rsidR="001A7D03" w:rsidRPr="006617BC">
        <w:rPr>
          <w:rFonts w:ascii="Arial" w:eastAsia="Calibri" w:hAnsi="Arial" w:cs="Arial"/>
          <w:bCs/>
          <w:color w:val="000000" w:themeColor="text1"/>
          <w:sz w:val="22"/>
          <w:szCs w:val="22"/>
          <w:lang w:val="es-ES_tradnl" w:eastAsia="en-US"/>
        </w:rPr>
        <w:t xml:space="preserve"> </w:t>
      </w:r>
      <w:r w:rsidR="001D6697" w:rsidRPr="006617BC">
        <w:rPr>
          <w:rFonts w:ascii="Arial" w:eastAsia="Calibri" w:hAnsi="Arial" w:cs="Arial"/>
          <w:bCs/>
          <w:color w:val="000000" w:themeColor="text1"/>
          <w:sz w:val="22"/>
          <w:szCs w:val="22"/>
          <w:lang w:val="es-ES_tradnl" w:eastAsia="en-US"/>
        </w:rPr>
        <w:t>publicación</w:t>
      </w:r>
      <w:r w:rsidR="001A7D03" w:rsidRPr="006617BC">
        <w:rPr>
          <w:rFonts w:ascii="Arial" w:eastAsia="Calibri" w:hAnsi="Arial" w:cs="Arial"/>
          <w:bCs/>
          <w:color w:val="000000" w:themeColor="text1"/>
          <w:sz w:val="22"/>
          <w:szCs w:val="22"/>
          <w:lang w:val="es-ES_tradnl" w:eastAsia="en-US"/>
        </w:rPr>
        <w:t xml:space="preserve"> en otras plataformas del SECOP sino únicamente en la </w:t>
      </w:r>
      <w:r w:rsidR="001A7D03" w:rsidRPr="006617BC">
        <w:rPr>
          <w:rFonts w:ascii="Arial" w:eastAsia="Calibri" w:hAnsi="Arial" w:cs="Arial"/>
          <w:sz w:val="22"/>
          <w:szCs w:val="22"/>
          <w:lang w:eastAsia="en-US"/>
        </w:rPr>
        <w:t>Tienda Virtual del Estado Colombiano.</w:t>
      </w:r>
      <w:bookmarkEnd w:id="12"/>
      <w:r w:rsidR="001A7D03" w:rsidRPr="006617BC">
        <w:rPr>
          <w:rFonts w:ascii="Arial" w:eastAsia="Calibri" w:hAnsi="Arial" w:cs="Arial"/>
          <w:sz w:val="22"/>
          <w:szCs w:val="22"/>
          <w:lang w:eastAsia="en-US"/>
        </w:rPr>
        <w:t xml:space="preserve"> </w:t>
      </w:r>
    </w:p>
    <w:p w14:paraId="5DBF6E9A" w14:textId="73943C80" w:rsidR="008F4B91" w:rsidRPr="006617BC" w:rsidRDefault="00C96807" w:rsidP="00873BDE">
      <w:pPr>
        <w:spacing w:before="120" w:line="276" w:lineRule="auto"/>
        <w:ind w:firstLine="708"/>
        <w:jc w:val="both"/>
        <w:rPr>
          <w:rFonts w:ascii="Arial" w:eastAsia="Calibri" w:hAnsi="Arial" w:cs="Arial"/>
          <w:sz w:val="22"/>
          <w:szCs w:val="22"/>
          <w:lang w:eastAsia="en-US"/>
        </w:rPr>
      </w:pPr>
      <w:r w:rsidRPr="006617BC">
        <w:rPr>
          <w:rFonts w:ascii="Arial" w:eastAsia="Calibri" w:hAnsi="Arial" w:cs="Arial"/>
          <w:sz w:val="22"/>
          <w:szCs w:val="22"/>
          <w:lang w:eastAsia="en-US"/>
        </w:rPr>
        <w:t>Adicionalmente, por disposición expresa d</w:t>
      </w:r>
      <w:r w:rsidR="001A7D03" w:rsidRPr="006617BC">
        <w:rPr>
          <w:rFonts w:ascii="Arial" w:eastAsia="Calibri" w:hAnsi="Arial" w:cs="Arial"/>
          <w:sz w:val="22"/>
          <w:szCs w:val="22"/>
          <w:lang w:eastAsia="en-US"/>
        </w:rPr>
        <w:t xml:space="preserve">el numeral 1 </w:t>
      </w:r>
      <w:r w:rsidRPr="006617BC">
        <w:rPr>
          <w:rFonts w:ascii="Arial" w:eastAsia="Calibri" w:hAnsi="Arial" w:cs="Arial"/>
          <w:sz w:val="22"/>
          <w:szCs w:val="22"/>
          <w:lang w:eastAsia="en-US"/>
        </w:rPr>
        <w:t>d</w:t>
      </w:r>
      <w:r w:rsidR="001A7D03" w:rsidRPr="006617BC">
        <w:rPr>
          <w:rFonts w:ascii="Arial" w:eastAsia="Calibri" w:hAnsi="Arial" w:cs="Arial"/>
          <w:sz w:val="22"/>
          <w:szCs w:val="22"/>
        </w:rPr>
        <w:t>el artículo 2.2.1.2.1.5.3. del Decreto 1082 de 2015</w:t>
      </w:r>
      <w:r w:rsidRPr="006617BC">
        <w:rPr>
          <w:rFonts w:ascii="Arial" w:eastAsia="Calibri" w:hAnsi="Arial" w:cs="Arial"/>
          <w:sz w:val="22"/>
          <w:szCs w:val="22"/>
        </w:rPr>
        <w:t>, la invitación</w:t>
      </w:r>
      <w:r w:rsidR="001A7D03" w:rsidRPr="006617BC">
        <w:rPr>
          <w:rFonts w:ascii="Arial" w:eastAsia="Calibri" w:hAnsi="Arial" w:cs="Arial"/>
          <w:sz w:val="22"/>
          <w:szCs w:val="22"/>
        </w:rPr>
        <w:t xml:space="preserve"> </w:t>
      </w:r>
      <w:r w:rsidR="001A7D03" w:rsidRPr="006617BC">
        <w:rPr>
          <w:rFonts w:ascii="Arial" w:eastAsia="Calibri" w:hAnsi="Arial" w:cs="Arial"/>
          <w:sz w:val="22"/>
          <w:szCs w:val="22"/>
          <w:lang w:eastAsia="en-US"/>
        </w:rPr>
        <w:t>deberá ser publicada en la p</w:t>
      </w:r>
      <w:r w:rsidRPr="006617BC">
        <w:rPr>
          <w:rFonts w:ascii="Arial" w:eastAsia="Calibri" w:hAnsi="Arial" w:cs="Arial"/>
          <w:sz w:val="22"/>
          <w:szCs w:val="22"/>
          <w:lang w:eastAsia="en-US"/>
        </w:rPr>
        <w:t>á</w:t>
      </w:r>
      <w:r w:rsidR="001A7D03" w:rsidRPr="006617BC">
        <w:rPr>
          <w:rFonts w:ascii="Arial" w:eastAsia="Calibri" w:hAnsi="Arial" w:cs="Arial"/>
          <w:sz w:val="22"/>
          <w:szCs w:val="22"/>
          <w:lang w:eastAsia="en-US"/>
        </w:rPr>
        <w:t xml:space="preserve">gina web de la entidad. </w:t>
      </w:r>
      <w:r w:rsidRPr="006617BC">
        <w:rPr>
          <w:rFonts w:ascii="Arial" w:eastAsia="Calibri" w:hAnsi="Arial" w:cs="Arial"/>
          <w:sz w:val="22"/>
          <w:szCs w:val="22"/>
          <w:lang w:eastAsia="en-US"/>
        </w:rPr>
        <w:t xml:space="preserve">Sin embargo, se considera que la finalidad de la norma con este mandato no es establecer un proceso paralelo al de la plataforma del SECOP, sino fortalecer el principio de publicidad, de manera que </w:t>
      </w:r>
      <w:r w:rsidR="00E13F26" w:rsidRPr="006617BC">
        <w:rPr>
          <w:rFonts w:ascii="Arial" w:eastAsia="Calibri" w:hAnsi="Arial" w:cs="Arial"/>
          <w:sz w:val="22"/>
          <w:szCs w:val="22"/>
          <w:lang w:eastAsia="en-US"/>
        </w:rPr>
        <w:t xml:space="preserve">se </w:t>
      </w:r>
      <w:r w:rsidR="000E6DDE" w:rsidRPr="006617BC">
        <w:rPr>
          <w:rFonts w:ascii="Arial" w:eastAsia="Calibri" w:hAnsi="Arial" w:cs="Arial"/>
          <w:sz w:val="22"/>
          <w:szCs w:val="22"/>
          <w:lang w:eastAsia="en-US"/>
        </w:rPr>
        <w:t xml:space="preserve">garantice que el proceso de contratación sea transparente y pueda ser objeto de conocimiento de la ciudadanía en general. </w:t>
      </w:r>
      <w:r w:rsidR="00E13F26" w:rsidRPr="006617BC">
        <w:rPr>
          <w:rFonts w:ascii="Arial" w:eastAsia="Calibri" w:hAnsi="Arial" w:cs="Arial"/>
          <w:sz w:val="22"/>
          <w:szCs w:val="22"/>
          <w:lang w:eastAsia="en-US"/>
        </w:rPr>
        <w:t xml:space="preserve">En tal sentido, en cumplimiento del </w:t>
      </w:r>
      <w:r w:rsidR="00E13F26" w:rsidRPr="006617BC">
        <w:rPr>
          <w:rFonts w:ascii="Arial" w:eastAsia="Calibri" w:hAnsi="Arial" w:cs="Arial"/>
          <w:sz w:val="22"/>
          <w:szCs w:val="22"/>
        </w:rPr>
        <w:t>artículo 2.2.1.2.1.5.3. del Decreto 1082 de 2015, modificado por el artículo 2 del Decreto 1860 de 2021, las entidades estatales adelantarán</w:t>
      </w:r>
      <w:r w:rsidR="00E13F26" w:rsidRPr="006617BC">
        <w:rPr>
          <w:rFonts w:ascii="Arial" w:eastAsia="Calibri" w:hAnsi="Arial" w:cs="Arial"/>
          <w:sz w:val="22"/>
          <w:szCs w:val="22"/>
          <w:lang w:eastAsia="en-US"/>
        </w:rPr>
        <w:t xml:space="preserve"> la adquisición en grandes almacenes cuando se trate de mínima cuantía en la Tienda Virtual del Estado Colombiano</w:t>
      </w:r>
      <w:r w:rsidR="00DB128A" w:rsidRPr="006617BC">
        <w:rPr>
          <w:rFonts w:ascii="Arial" w:eastAsia="Calibri" w:hAnsi="Arial" w:cs="Arial"/>
          <w:sz w:val="22"/>
          <w:szCs w:val="22"/>
          <w:lang w:eastAsia="en-US"/>
        </w:rPr>
        <w:t xml:space="preserve"> cuando utilicen este medio</w:t>
      </w:r>
      <w:r w:rsidR="00E13F26" w:rsidRPr="006617BC">
        <w:rPr>
          <w:rFonts w:ascii="Arial" w:eastAsia="Calibri" w:hAnsi="Arial" w:cs="Arial"/>
          <w:sz w:val="22"/>
          <w:szCs w:val="22"/>
          <w:lang w:eastAsia="en-US"/>
        </w:rPr>
        <w:t xml:space="preserve"> y</w:t>
      </w:r>
      <w:r w:rsidR="00DB128A" w:rsidRPr="006617BC">
        <w:rPr>
          <w:rFonts w:ascii="Arial" w:eastAsia="Calibri" w:hAnsi="Arial" w:cs="Arial"/>
          <w:sz w:val="22"/>
          <w:szCs w:val="22"/>
          <w:lang w:eastAsia="en-US"/>
        </w:rPr>
        <w:t>,</w:t>
      </w:r>
      <w:r w:rsidR="00E13F26" w:rsidRPr="006617BC">
        <w:rPr>
          <w:rFonts w:ascii="Arial" w:eastAsia="Calibri" w:hAnsi="Arial" w:cs="Arial"/>
          <w:sz w:val="22"/>
          <w:szCs w:val="22"/>
          <w:lang w:eastAsia="en-US"/>
        </w:rPr>
        <w:t xml:space="preserve"> para efectos de publicidad, se realizará la publicación de la invitación en la p</w:t>
      </w:r>
      <w:r w:rsidR="009B256C" w:rsidRPr="006617BC">
        <w:rPr>
          <w:rFonts w:ascii="Arial" w:eastAsia="Calibri" w:hAnsi="Arial" w:cs="Arial"/>
          <w:sz w:val="22"/>
          <w:szCs w:val="22"/>
          <w:lang w:eastAsia="en-US"/>
        </w:rPr>
        <w:t>á</w:t>
      </w:r>
      <w:r w:rsidR="00E13F26" w:rsidRPr="006617BC">
        <w:rPr>
          <w:rFonts w:ascii="Arial" w:eastAsia="Calibri" w:hAnsi="Arial" w:cs="Arial"/>
          <w:sz w:val="22"/>
          <w:szCs w:val="22"/>
          <w:lang w:eastAsia="en-US"/>
        </w:rPr>
        <w:t xml:space="preserve">gina web de la entidad. </w:t>
      </w:r>
    </w:p>
    <w:p w14:paraId="10A05DA8" w14:textId="77777777" w:rsidR="00D4274C" w:rsidRPr="006617BC" w:rsidRDefault="00D4274C" w:rsidP="00D4274C">
      <w:pPr>
        <w:spacing w:line="276" w:lineRule="auto"/>
        <w:jc w:val="both"/>
        <w:rPr>
          <w:rFonts w:ascii="Arial" w:hAnsi="Arial" w:cs="Arial"/>
          <w:sz w:val="22"/>
          <w:lang w:eastAsia="es-MX"/>
        </w:rPr>
      </w:pPr>
    </w:p>
    <w:p w14:paraId="37CA9805" w14:textId="7D32B119" w:rsidR="00DD5B04" w:rsidRPr="006617BC" w:rsidRDefault="004177A6" w:rsidP="00510DE9">
      <w:pPr>
        <w:tabs>
          <w:tab w:val="left" w:pos="0"/>
        </w:tabs>
        <w:jc w:val="both"/>
        <w:rPr>
          <w:rFonts w:ascii="Arial" w:eastAsia="Calibri" w:hAnsi="Arial" w:cs="Arial"/>
          <w:b/>
          <w:color w:val="000000" w:themeColor="text1"/>
          <w:sz w:val="22"/>
          <w:lang w:val="es-ES_tradnl"/>
        </w:rPr>
      </w:pPr>
      <w:r w:rsidRPr="006617BC">
        <w:rPr>
          <w:rFonts w:ascii="Arial" w:eastAsia="Calibri" w:hAnsi="Arial" w:cs="Arial"/>
          <w:b/>
          <w:color w:val="000000" w:themeColor="text1"/>
          <w:sz w:val="22"/>
          <w:lang w:val="es-ES_tradnl"/>
        </w:rPr>
        <w:t>3</w:t>
      </w:r>
      <w:r w:rsidR="00B011A9" w:rsidRPr="006617BC">
        <w:rPr>
          <w:rFonts w:ascii="Arial" w:eastAsia="Calibri" w:hAnsi="Arial" w:cs="Arial"/>
          <w:b/>
          <w:color w:val="000000" w:themeColor="text1"/>
          <w:sz w:val="22"/>
          <w:lang w:val="es-ES_tradnl"/>
        </w:rPr>
        <w:t xml:space="preserve">. </w:t>
      </w:r>
      <w:r w:rsidR="00DD5B04" w:rsidRPr="006617BC">
        <w:rPr>
          <w:rFonts w:ascii="Arial" w:eastAsia="Calibri" w:hAnsi="Arial" w:cs="Arial"/>
          <w:b/>
          <w:color w:val="000000" w:themeColor="text1"/>
          <w:sz w:val="22"/>
          <w:lang w:val="es-ES_tradnl"/>
        </w:rPr>
        <w:t>Respuesta</w:t>
      </w:r>
    </w:p>
    <w:p w14:paraId="49375CFA" w14:textId="77777777" w:rsidR="00D633AC" w:rsidRPr="006617BC" w:rsidRDefault="00D633AC" w:rsidP="00B90E5C">
      <w:pPr>
        <w:spacing w:line="276" w:lineRule="auto"/>
        <w:jc w:val="both"/>
        <w:rPr>
          <w:rFonts w:ascii="Arial" w:hAnsi="Arial" w:cs="Arial"/>
          <w:color w:val="000000" w:themeColor="text1"/>
          <w:sz w:val="22"/>
          <w:lang w:val="es-ES_tradnl"/>
        </w:rPr>
      </w:pPr>
    </w:p>
    <w:p w14:paraId="1E184552" w14:textId="77777777" w:rsidR="00950A5B" w:rsidRPr="006617BC" w:rsidRDefault="004166CB" w:rsidP="00950A5B">
      <w:pPr>
        <w:ind w:left="709" w:right="618"/>
        <w:jc w:val="both"/>
        <w:rPr>
          <w:rFonts w:ascii="Arial" w:eastAsia="Calibri" w:hAnsi="Arial" w:cs="Arial"/>
          <w:sz w:val="21"/>
          <w:szCs w:val="21"/>
        </w:rPr>
      </w:pPr>
      <w:r w:rsidRPr="006617BC">
        <w:rPr>
          <w:rFonts w:ascii="Arial" w:eastAsia="Calibri" w:hAnsi="Arial" w:cs="Arial"/>
          <w:sz w:val="21"/>
          <w:szCs w:val="21"/>
          <w:lang w:val="es-ES"/>
        </w:rPr>
        <w:t>«</w:t>
      </w:r>
      <w:r w:rsidR="00950A5B" w:rsidRPr="006617BC">
        <w:rPr>
          <w:rFonts w:ascii="Arial" w:eastAsia="Calibri" w:hAnsi="Arial" w:cs="Arial"/>
          <w:sz w:val="21"/>
          <w:szCs w:val="21"/>
        </w:rPr>
        <w:t>1- ¿</w:t>
      </w:r>
      <w:proofErr w:type="gramStart"/>
      <w:r w:rsidR="00950A5B" w:rsidRPr="006617BC">
        <w:rPr>
          <w:rFonts w:ascii="Arial" w:eastAsia="Calibri" w:hAnsi="Arial" w:cs="Arial"/>
          <w:sz w:val="21"/>
          <w:szCs w:val="21"/>
        </w:rPr>
        <w:t>Cuando</w:t>
      </w:r>
      <w:proofErr w:type="gramEnd"/>
      <w:r w:rsidR="00950A5B" w:rsidRPr="006617BC">
        <w:rPr>
          <w:rFonts w:ascii="Arial" w:eastAsia="Calibri" w:hAnsi="Arial" w:cs="Arial"/>
          <w:sz w:val="21"/>
          <w:szCs w:val="21"/>
        </w:rPr>
        <w:t xml:space="preserve"> el Artículo 2.2.1.2.1.5.3. del Decreto 1082 de 2015, modificado por el artículo 2 del Decreto 1860 de 2021 expresa que la Entidad debe publicar el proceso en SECOP, respecto a Gran Almacén, a que aplicativo del SECOP; SECOP I, SECOP II o TVEC se refiere? </w:t>
      </w:r>
    </w:p>
    <w:p w14:paraId="24281203" w14:textId="77777777" w:rsidR="00950A5B" w:rsidRPr="006617BC" w:rsidRDefault="00950A5B" w:rsidP="00950A5B">
      <w:pPr>
        <w:ind w:left="709" w:right="618"/>
        <w:jc w:val="both"/>
        <w:rPr>
          <w:rFonts w:ascii="Arial" w:eastAsia="Calibri" w:hAnsi="Arial" w:cs="Arial"/>
          <w:sz w:val="21"/>
          <w:szCs w:val="21"/>
        </w:rPr>
      </w:pPr>
    </w:p>
    <w:p w14:paraId="5835DE46" w14:textId="58AF60A9" w:rsidR="003D1E4F" w:rsidRPr="006617BC" w:rsidRDefault="00950A5B" w:rsidP="00950A5B">
      <w:pPr>
        <w:ind w:left="709" w:right="618"/>
        <w:jc w:val="both"/>
        <w:rPr>
          <w:rFonts w:ascii="Arial" w:eastAsia="Calibri" w:hAnsi="Arial" w:cs="Arial"/>
          <w:sz w:val="21"/>
          <w:szCs w:val="21"/>
        </w:rPr>
      </w:pPr>
      <w:r w:rsidRPr="006617BC">
        <w:rPr>
          <w:rFonts w:ascii="Arial" w:eastAsia="Calibri" w:hAnsi="Arial" w:cs="Arial"/>
          <w:sz w:val="21"/>
          <w:szCs w:val="21"/>
        </w:rPr>
        <w:t>2- ¿Cómo debe entenderse está publicación? ¿Un proceso paralelo? Quién pondrá los límites a través de esta publicación a los interesados? ¿Facultará esto a los interesados a presentar observaciones, allegar propuestas, entre otros, a través de otros mecanismos que no sean los establecidos por la Agencia Nacional de Contratación Pública? ¿Qué tratamiento debe dársele a estas posibles situaciones?</w:t>
      </w:r>
      <w:r w:rsidR="003D1E4F" w:rsidRPr="006617BC">
        <w:rPr>
          <w:rFonts w:ascii="Arial" w:eastAsia="Calibri" w:hAnsi="Arial" w:cs="Arial"/>
          <w:sz w:val="21"/>
          <w:szCs w:val="21"/>
          <w:lang w:val="es-ES"/>
        </w:rPr>
        <w:t>»</w:t>
      </w:r>
    </w:p>
    <w:p w14:paraId="28493DB7" w14:textId="77777777" w:rsidR="008D1B94" w:rsidRPr="006617BC" w:rsidRDefault="008D1B94" w:rsidP="008D1B94">
      <w:pPr>
        <w:spacing w:line="276" w:lineRule="auto"/>
        <w:jc w:val="both"/>
        <w:rPr>
          <w:rFonts w:ascii="Arial" w:eastAsia="Calibri" w:hAnsi="Arial" w:cs="Arial"/>
          <w:sz w:val="22"/>
          <w:szCs w:val="22"/>
          <w:lang w:eastAsia="en-US"/>
        </w:rPr>
      </w:pPr>
    </w:p>
    <w:p w14:paraId="05A2E10A" w14:textId="49E30558" w:rsidR="008D1B94" w:rsidRPr="006617BC" w:rsidRDefault="008D1B94" w:rsidP="00873BDE">
      <w:pPr>
        <w:spacing w:line="276" w:lineRule="auto"/>
        <w:jc w:val="both"/>
        <w:rPr>
          <w:rFonts w:ascii="Arial" w:eastAsia="Calibri" w:hAnsi="Arial" w:cs="Arial"/>
          <w:sz w:val="22"/>
          <w:szCs w:val="22"/>
          <w:lang w:eastAsia="en-US"/>
        </w:rPr>
      </w:pPr>
      <w:r w:rsidRPr="006617BC">
        <w:rPr>
          <w:rFonts w:ascii="Arial" w:eastAsia="Calibri" w:hAnsi="Arial" w:cs="Arial"/>
          <w:sz w:val="22"/>
          <w:szCs w:val="22"/>
          <w:lang w:eastAsia="en-US"/>
        </w:rPr>
        <w:t xml:space="preserve">De conformidad con las consideraciones expuestas, es preciso señalar que </w:t>
      </w:r>
      <w:r w:rsidRPr="006617BC">
        <w:rPr>
          <w:rFonts w:ascii="Arial" w:eastAsia="Calibri" w:hAnsi="Arial" w:cs="Arial"/>
          <w:sz w:val="22"/>
          <w:szCs w:val="22"/>
        </w:rPr>
        <w:t xml:space="preserve">cuando el artículo 2.2.1.2.1.5.3. del Decreto 1082 de 2015, modificado por el artículo 2 del Decreto 1860 de 2021, establece que la invitación debe publicarse en el SECOP, esto debe interpretarse en consonancia con lo señalado en los numerales 1.3, 1.4 y 12.2 de la </w:t>
      </w:r>
      <w:r w:rsidRPr="006617BC">
        <w:rPr>
          <w:rFonts w:ascii="Arial" w:eastAsia="Calibri" w:hAnsi="Arial" w:cs="Arial"/>
          <w:bCs/>
          <w:color w:val="000000" w:themeColor="text1"/>
          <w:sz w:val="22"/>
          <w:szCs w:val="22"/>
          <w:lang w:val="es-ES_tradnl" w:eastAsia="en-US"/>
        </w:rPr>
        <w:t xml:space="preserve">Circular </w:t>
      </w:r>
      <w:r w:rsidRPr="006617BC">
        <w:rPr>
          <w:rFonts w:ascii="Arial" w:eastAsia="Calibri" w:hAnsi="Arial" w:cs="Arial"/>
          <w:sz w:val="22"/>
          <w:szCs w:val="22"/>
          <w:lang w:eastAsia="en-US"/>
        </w:rPr>
        <w:t xml:space="preserve">Externa Única de la Agencia Nacional de Contratación Pública – Colombia Compra Eficiente. </w:t>
      </w:r>
      <w:r w:rsidR="009B7538" w:rsidRPr="006617BC">
        <w:rPr>
          <w:rFonts w:ascii="Arial" w:eastAsia="Calibri" w:hAnsi="Arial" w:cs="Arial"/>
          <w:sz w:val="22"/>
          <w:szCs w:val="22"/>
          <w:lang w:eastAsia="en-US"/>
        </w:rPr>
        <w:t xml:space="preserve">De este modo, cuando la entidad opte por acudir a la adquisición en grandes almacenes cuando se trate de mínima cuantía a través de Tienda Virtual del Estado Colombiano, este será el componente del SECOP donde realizará la publicidad. Lo anterior teniendo en cuenta las instrucciones determinadas en la </w:t>
      </w:r>
      <w:r w:rsidR="009B7538" w:rsidRPr="006617BC">
        <w:rPr>
          <w:rFonts w:ascii="Arial" w:eastAsia="Calibri" w:hAnsi="Arial" w:cs="Arial"/>
          <w:bCs/>
          <w:sz w:val="22"/>
          <w:szCs w:val="22"/>
          <w:lang w:val="es-ES_tradnl" w:eastAsia="en-US"/>
        </w:rPr>
        <w:t>«</w:t>
      </w:r>
      <w:r w:rsidR="009B7538" w:rsidRPr="006617BC">
        <w:rPr>
          <w:rFonts w:ascii="Arial" w:eastAsia="Calibri" w:hAnsi="Arial" w:cs="Arial"/>
          <w:bCs/>
          <w:sz w:val="22"/>
          <w:szCs w:val="22"/>
          <w:lang w:eastAsia="en-US"/>
        </w:rPr>
        <w:t>Guía para la Adquisición en Gran Almacén cuando se trata de mínima cuantía por la Tienda Virtual del Estado Colombiano</w:t>
      </w:r>
      <w:r w:rsidR="009B7538" w:rsidRPr="006617BC">
        <w:rPr>
          <w:rFonts w:ascii="Arial" w:eastAsia="Calibri" w:hAnsi="Arial" w:cs="Arial"/>
          <w:bCs/>
          <w:sz w:val="22"/>
          <w:szCs w:val="22"/>
          <w:lang w:val="es-ES_tradnl" w:eastAsia="en-US"/>
        </w:rPr>
        <w:t xml:space="preserve">» o el documento que lo remplace. Este proceso, conforme al numeral 1.4 de la Circular, no requeriría publicación en otras plataformas del SECOP sino únicamente en la </w:t>
      </w:r>
      <w:r w:rsidR="009B7538" w:rsidRPr="006617BC">
        <w:rPr>
          <w:rFonts w:ascii="Arial" w:eastAsia="Calibri" w:hAnsi="Arial" w:cs="Arial"/>
          <w:sz w:val="22"/>
          <w:szCs w:val="22"/>
          <w:lang w:eastAsia="en-US"/>
        </w:rPr>
        <w:t>Tienda Virtual del Estado Colombiano</w:t>
      </w:r>
      <w:r w:rsidRPr="006617BC">
        <w:rPr>
          <w:rFonts w:ascii="Arial" w:eastAsia="Calibri" w:hAnsi="Arial" w:cs="Arial"/>
          <w:sz w:val="22"/>
          <w:szCs w:val="22"/>
          <w:lang w:eastAsia="en-US"/>
        </w:rPr>
        <w:t xml:space="preserve">. </w:t>
      </w:r>
    </w:p>
    <w:p w14:paraId="549FEA0A" w14:textId="0AD70D36" w:rsidR="008D1B94" w:rsidRPr="006617BC" w:rsidRDefault="008D1B94" w:rsidP="00873BDE">
      <w:pPr>
        <w:spacing w:before="120" w:line="276" w:lineRule="auto"/>
        <w:ind w:firstLine="708"/>
        <w:jc w:val="both"/>
        <w:rPr>
          <w:rFonts w:ascii="Arial" w:eastAsia="Calibri" w:hAnsi="Arial" w:cs="Arial"/>
          <w:sz w:val="22"/>
          <w:szCs w:val="22"/>
          <w:lang w:eastAsia="en-US"/>
        </w:rPr>
      </w:pPr>
      <w:r w:rsidRPr="006617BC">
        <w:rPr>
          <w:rFonts w:ascii="Arial" w:eastAsia="Calibri" w:hAnsi="Arial" w:cs="Arial"/>
          <w:sz w:val="22"/>
          <w:szCs w:val="22"/>
          <w:lang w:eastAsia="en-US"/>
        </w:rPr>
        <w:t>Adicionalmente, por disposición expresa del numeral 1 d</w:t>
      </w:r>
      <w:r w:rsidRPr="006617BC">
        <w:rPr>
          <w:rFonts w:ascii="Arial" w:eastAsia="Calibri" w:hAnsi="Arial" w:cs="Arial"/>
          <w:sz w:val="22"/>
          <w:szCs w:val="22"/>
        </w:rPr>
        <w:t xml:space="preserve">el artículo 2.2.1.2.1.5.3. del Decreto 1082 de 2015, la invitación </w:t>
      </w:r>
      <w:r w:rsidRPr="006617BC">
        <w:rPr>
          <w:rFonts w:ascii="Arial" w:eastAsia="Calibri" w:hAnsi="Arial" w:cs="Arial"/>
          <w:sz w:val="22"/>
          <w:szCs w:val="22"/>
          <w:lang w:eastAsia="en-US"/>
        </w:rPr>
        <w:t xml:space="preserve">deberá ser publicada en la página web de la entidad. Sin embargo, se considera que la finalidad de la norma con este mandato no es establecer un proceso paralelo al de la plataforma del SECOP, sino fortalecer el principio de publicidad, de manera que se garantice que el proceso de contratación sea transparente y pueda ser objeto de conocimiento de la ciudadanía en general. En tal sentido, en cumplimiento del </w:t>
      </w:r>
      <w:r w:rsidRPr="006617BC">
        <w:rPr>
          <w:rFonts w:ascii="Arial" w:eastAsia="Calibri" w:hAnsi="Arial" w:cs="Arial"/>
          <w:sz w:val="22"/>
          <w:szCs w:val="22"/>
        </w:rPr>
        <w:t>artículo 2.2.1.2.1.5.3. del Decreto 1082 de 2015, modificado por el artículo 2 del Decreto 1860 de 2021, las entidades estatales adelantarán</w:t>
      </w:r>
      <w:r w:rsidRPr="006617BC">
        <w:rPr>
          <w:rFonts w:ascii="Arial" w:eastAsia="Calibri" w:hAnsi="Arial" w:cs="Arial"/>
          <w:sz w:val="22"/>
          <w:szCs w:val="22"/>
          <w:lang w:eastAsia="en-US"/>
        </w:rPr>
        <w:t xml:space="preserve"> la adquisición en grandes almacenes cuando se trate de mínima cuantía en la Tienda Virtual del Estado Colombiano</w:t>
      </w:r>
      <w:r w:rsidR="00321A6E" w:rsidRPr="006617BC">
        <w:rPr>
          <w:rFonts w:ascii="Arial" w:eastAsia="Calibri" w:hAnsi="Arial" w:cs="Arial"/>
          <w:sz w:val="22"/>
          <w:szCs w:val="22"/>
          <w:lang w:eastAsia="en-US"/>
        </w:rPr>
        <w:t xml:space="preserve"> cuando utilicen este medio</w:t>
      </w:r>
      <w:r w:rsidRPr="006617BC">
        <w:rPr>
          <w:rFonts w:ascii="Arial" w:eastAsia="Calibri" w:hAnsi="Arial" w:cs="Arial"/>
          <w:sz w:val="22"/>
          <w:szCs w:val="22"/>
          <w:lang w:eastAsia="en-US"/>
        </w:rPr>
        <w:t xml:space="preserve"> y</w:t>
      </w:r>
      <w:r w:rsidR="00321A6E" w:rsidRPr="006617BC">
        <w:rPr>
          <w:rFonts w:ascii="Arial" w:eastAsia="Calibri" w:hAnsi="Arial" w:cs="Arial"/>
          <w:sz w:val="22"/>
          <w:szCs w:val="22"/>
          <w:lang w:eastAsia="en-US"/>
        </w:rPr>
        <w:t>,</w:t>
      </w:r>
      <w:r w:rsidRPr="006617BC">
        <w:rPr>
          <w:rFonts w:ascii="Arial" w:eastAsia="Calibri" w:hAnsi="Arial" w:cs="Arial"/>
          <w:sz w:val="22"/>
          <w:szCs w:val="22"/>
          <w:lang w:eastAsia="en-US"/>
        </w:rPr>
        <w:t xml:space="preserve"> para efectos de publicidad, se realizará la publicación de la invitación en la página web de la entidad. </w:t>
      </w:r>
    </w:p>
    <w:p w14:paraId="03085977" w14:textId="483F9BFD" w:rsidR="00950A5B" w:rsidRPr="006617BC" w:rsidRDefault="00950A5B" w:rsidP="00873BDE">
      <w:pPr>
        <w:ind w:right="618"/>
        <w:jc w:val="both"/>
        <w:rPr>
          <w:rFonts w:ascii="Arial" w:eastAsia="Calibri" w:hAnsi="Arial" w:cs="Arial"/>
          <w:sz w:val="21"/>
          <w:szCs w:val="21"/>
        </w:rPr>
      </w:pPr>
    </w:p>
    <w:p w14:paraId="6E5A4F48" w14:textId="7CEAB003" w:rsidR="00950A5B" w:rsidRPr="006617BC" w:rsidRDefault="00950A5B" w:rsidP="00950A5B">
      <w:pPr>
        <w:ind w:left="709" w:right="618"/>
        <w:jc w:val="both"/>
        <w:rPr>
          <w:rFonts w:ascii="Arial" w:eastAsia="Calibri" w:hAnsi="Arial" w:cs="Arial"/>
          <w:sz w:val="21"/>
          <w:szCs w:val="21"/>
          <w:lang w:val="es-ES"/>
        </w:rPr>
      </w:pPr>
      <w:r w:rsidRPr="006617BC">
        <w:rPr>
          <w:rFonts w:ascii="Arial" w:eastAsia="Calibri" w:hAnsi="Arial" w:cs="Arial"/>
          <w:sz w:val="21"/>
          <w:szCs w:val="21"/>
          <w:lang w:val="es-ES"/>
        </w:rPr>
        <w:t>«</w:t>
      </w:r>
      <w:r w:rsidRPr="006617BC">
        <w:rPr>
          <w:rFonts w:ascii="Arial" w:eastAsia="Calibri" w:hAnsi="Arial" w:cs="Arial"/>
          <w:sz w:val="21"/>
          <w:szCs w:val="21"/>
        </w:rPr>
        <w:t>6- ¿Debemos entender como invitación, un aviso de convocatoria?</w:t>
      </w:r>
      <w:r w:rsidRPr="006617BC">
        <w:rPr>
          <w:rFonts w:ascii="Arial" w:eastAsia="Calibri" w:hAnsi="Arial" w:cs="Arial"/>
          <w:sz w:val="21"/>
          <w:szCs w:val="21"/>
          <w:lang w:val="es-ES"/>
        </w:rPr>
        <w:t>»</w:t>
      </w:r>
    </w:p>
    <w:p w14:paraId="526F538E" w14:textId="77777777" w:rsidR="00873BDE" w:rsidRPr="006617BC" w:rsidRDefault="00873BDE" w:rsidP="00950A5B">
      <w:pPr>
        <w:ind w:left="709" w:right="618"/>
        <w:jc w:val="both"/>
        <w:rPr>
          <w:rFonts w:ascii="Arial" w:eastAsia="Calibri" w:hAnsi="Arial" w:cs="Arial"/>
          <w:sz w:val="21"/>
          <w:szCs w:val="21"/>
          <w:lang w:val="es-ES"/>
        </w:rPr>
      </w:pPr>
    </w:p>
    <w:p w14:paraId="35FECEC3" w14:textId="2550CCA6" w:rsidR="00873BDE" w:rsidRPr="006617BC" w:rsidRDefault="00873BDE" w:rsidP="00873BDE">
      <w:pPr>
        <w:spacing w:line="276" w:lineRule="auto"/>
        <w:jc w:val="both"/>
        <w:rPr>
          <w:rFonts w:ascii="Arial" w:eastAsia="Calibri" w:hAnsi="Arial" w:cs="Arial"/>
          <w:sz w:val="22"/>
        </w:rPr>
      </w:pPr>
      <w:r w:rsidRPr="006617BC">
        <w:rPr>
          <w:rFonts w:ascii="Arial" w:eastAsia="Calibri" w:hAnsi="Arial" w:cs="Arial"/>
          <w:sz w:val="22"/>
        </w:rPr>
        <w:lastRenderedPageBreak/>
        <w:t>No puede equipar</w:t>
      </w:r>
      <w:r w:rsidR="00D96D86" w:rsidRPr="006617BC">
        <w:rPr>
          <w:rFonts w:ascii="Arial" w:eastAsia="Calibri" w:hAnsi="Arial" w:cs="Arial"/>
          <w:sz w:val="22"/>
        </w:rPr>
        <w:t>ar</w:t>
      </w:r>
      <w:r w:rsidRPr="006617BC">
        <w:rPr>
          <w:rFonts w:ascii="Arial" w:eastAsia="Calibri" w:hAnsi="Arial" w:cs="Arial"/>
          <w:sz w:val="22"/>
        </w:rPr>
        <w:t>se la invitación pública del proceso de mínima cuantía con el aviso de convocatoria</w:t>
      </w:r>
      <w:r w:rsidR="00F15799" w:rsidRPr="006617BC">
        <w:rPr>
          <w:rFonts w:ascii="Arial" w:eastAsia="Calibri" w:hAnsi="Arial" w:cs="Arial"/>
          <w:sz w:val="22"/>
        </w:rPr>
        <w:t>,</w:t>
      </w:r>
      <w:r w:rsidRPr="006617BC">
        <w:rPr>
          <w:rFonts w:ascii="Arial" w:eastAsia="Calibri" w:hAnsi="Arial" w:cs="Arial"/>
          <w:sz w:val="22"/>
        </w:rPr>
        <w:t xml:space="preserve"> pues se trata de dos figuras distintas. </w:t>
      </w:r>
      <w:r w:rsidRPr="006617BC">
        <w:rPr>
          <w:rFonts w:ascii="Arial" w:eastAsia="Calibri" w:hAnsi="Arial" w:cs="Arial"/>
          <w:i/>
          <w:iCs/>
          <w:sz w:val="22"/>
        </w:rPr>
        <w:t>En primer lugar,</w:t>
      </w:r>
      <w:r w:rsidRPr="006617BC">
        <w:rPr>
          <w:rFonts w:ascii="Arial" w:eastAsia="Calibri" w:hAnsi="Arial" w:cs="Arial"/>
          <w:sz w:val="22"/>
        </w:rPr>
        <w:t xml:space="preserve"> la invitación pública, como se explicó en el desarrollo del concepto, es equivalente al pliego de condiciones</w:t>
      </w:r>
      <w:r w:rsidR="00DE6394" w:rsidRPr="006617BC">
        <w:rPr>
          <w:rFonts w:ascii="Arial" w:eastAsia="Calibri" w:hAnsi="Arial" w:cs="Arial"/>
          <w:sz w:val="22"/>
        </w:rPr>
        <w:t>,</w:t>
      </w:r>
      <w:r w:rsidRPr="006617BC">
        <w:rPr>
          <w:rFonts w:ascii="Arial" w:eastAsia="Calibri" w:hAnsi="Arial" w:cs="Arial"/>
          <w:sz w:val="22"/>
        </w:rPr>
        <w:t xml:space="preserve"> mientras que el aviso de convocatoria es un documento que expide la entidad estatal</w:t>
      </w:r>
      <w:r w:rsidR="003355D6" w:rsidRPr="006617BC">
        <w:rPr>
          <w:rFonts w:ascii="Arial" w:eastAsia="Calibri" w:hAnsi="Arial" w:cs="Arial"/>
          <w:sz w:val="22"/>
        </w:rPr>
        <w:t xml:space="preserve"> </w:t>
      </w:r>
      <w:r w:rsidRPr="006617BC">
        <w:rPr>
          <w:rFonts w:ascii="Arial" w:eastAsia="Calibri" w:hAnsi="Arial" w:cs="Arial"/>
          <w:sz w:val="22"/>
        </w:rPr>
        <w:t>con fundamento en el principio de publicidad,</w:t>
      </w:r>
      <w:r w:rsidR="003355D6" w:rsidRPr="006617BC">
        <w:rPr>
          <w:rFonts w:ascii="Arial" w:eastAsia="Calibri" w:hAnsi="Arial" w:cs="Arial"/>
          <w:sz w:val="22"/>
        </w:rPr>
        <w:t xml:space="preserve"> diferente del pliego de condiciones,</w:t>
      </w:r>
      <w:r w:rsidRPr="006617BC">
        <w:rPr>
          <w:rFonts w:ascii="Arial" w:eastAsia="Calibri" w:hAnsi="Arial" w:cs="Arial"/>
          <w:sz w:val="22"/>
        </w:rPr>
        <w:t xml:space="preserve"> c</w:t>
      </w:r>
      <w:r w:rsidR="003355D6" w:rsidRPr="006617BC">
        <w:rPr>
          <w:rFonts w:ascii="Arial" w:eastAsia="Calibri" w:hAnsi="Arial" w:cs="Arial"/>
          <w:sz w:val="22"/>
        </w:rPr>
        <w:t>uyo</w:t>
      </w:r>
      <w:r w:rsidRPr="006617BC">
        <w:rPr>
          <w:rFonts w:ascii="Arial" w:eastAsia="Calibri" w:hAnsi="Arial" w:cs="Arial"/>
          <w:sz w:val="22"/>
        </w:rPr>
        <w:t xml:space="preserve"> propósito </w:t>
      </w:r>
      <w:r w:rsidR="003355D6" w:rsidRPr="006617BC">
        <w:rPr>
          <w:rFonts w:ascii="Arial" w:eastAsia="Calibri" w:hAnsi="Arial" w:cs="Arial"/>
          <w:sz w:val="22"/>
        </w:rPr>
        <w:t xml:space="preserve">es </w:t>
      </w:r>
      <w:r w:rsidRPr="006617BC">
        <w:rPr>
          <w:rFonts w:ascii="Arial" w:eastAsia="Calibri" w:hAnsi="Arial" w:cs="Arial"/>
          <w:sz w:val="22"/>
        </w:rPr>
        <w:t>hacer público el proceso de contratación y promover la participación de los interesados. Respecto de la finalidad de</w:t>
      </w:r>
      <w:r w:rsidR="003932B1" w:rsidRPr="006617BC">
        <w:rPr>
          <w:rFonts w:ascii="Arial" w:eastAsia="Calibri" w:hAnsi="Arial" w:cs="Arial"/>
          <w:sz w:val="22"/>
        </w:rPr>
        <w:t>l aviso de convocatoria</w:t>
      </w:r>
      <w:r w:rsidRPr="006617BC">
        <w:rPr>
          <w:rFonts w:ascii="Arial" w:eastAsia="Calibri" w:hAnsi="Arial" w:cs="Arial"/>
          <w:sz w:val="22"/>
        </w:rPr>
        <w:t xml:space="preserve"> el Consejo de Estado ha señalado que </w:t>
      </w:r>
      <w:r w:rsidRPr="006617BC">
        <w:rPr>
          <w:rFonts w:ascii="Arial" w:eastAsia="Calibri" w:hAnsi="Arial" w:cs="Arial"/>
          <w:bCs/>
          <w:color w:val="000000"/>
          <w:sz w:val="22"/>
          <w:szCs w:val="22"/>
          <w:lang w:val="es-ES_tradnl" w:eastAsia="en-US"/>
        </w:rPr>
        <w:t>«</w:t>
      </w:r>
      <w:r w:rsidRPr="006617BC">
        <w:rPr>
          <w:rFonts w:ascii="Arial" w:eastAsia="Calibri" w:hAnsi="Arial" w:cs="Arial"/>
          <w:sz w:val="22"/>
        </w:rPr>
        <w:t>Su propósito real e inmediato –por algo es sólo un aviso- es llamar, convocar, avisar, anunciar, invitar o proclamar de manera amplia que una entidad estatal tiene la intención de abrir, prontamente, una licitación, y la ley exige que no lo haga en secreto sino de manera pública, para que la información no quede en manos de pocas personas privilegiadas, sino al acceso de todos</w:t>
      </w:r>
      <w:r w:rsidRPr="006617BC">
        <w:rPr>
          <w:rFonts w:ascii="Arial" w:eastAsia="Calibri" w:hAnsi="Arial" w:cs="Arial"/>
          <w:bCs/>
          <w:color w:val="000000"/>
          <w:sz w:val="22"/>
          <w:szCs w:val="22"/>
          <w:lang w:val="es-ES_tradnl" w:eastAsia="en-US"/>
        </w:rPr>
        <w:t xml:space="preserve">». De esta manera, su finalidad no es establecer las condiciones definitivas del proceso de contratación, como lo hace la invitación, sino el de anunciar públicamente dicho proceso. </w:t>
      </w:r>
    </w:p>
    <w:p w14:paraId="7BE1E046" w14:textId="77777777" w:rsidR="00F46708" w:rsidRPr="006617BC" w:rsidRDefault="00873BDE" w:rsidP="00873BDE">
      <w:pPr>
        <w:spacing w:before="120" w:line="276" w:lineRule="auto"/>
        <w:ind w:firstLine="709"/>
        <w:jc w:val="both"/>
        <w:rPr>
          <w:rFonts w:ascii="Arial" w:eastAsia="Calibri" w:hAnsi="Arial" w:cs="Arial"/>
          <w:sz w:val="22"/>
        </w:rPr>
      </w:pPr>
      <w:r w:rsidRPr="006617BC">
        <w:rPr>
          <w:rFonts w:ascii="Arial" w:eastAsia="Calibri" w:hAnsi="Arial" w:cs="Arial"/>
          <w:i/>
          <w:iCs/>
          <w:sz w:val="22"/>
        </w:rPr>
        <w:t>En segundo lugar</w:t>
      </w:r>
      <w:r w:rsidRPr="006617BC">
        <w:rPr>
          <w:rFonts w:ascii="Arial" w:eastAsia="Calibri" w:hAnsi="Arial" w:cs="Arial"/>
          <w:sz w:val="22"/>
        </w:rPr>
        <w:t xml:space="preserve">, el contenido de la información que debe contemplar la invitación y el aviso de convocatoria tienen sustento en diferentes normas jurídicas. En los artículos </w:t>
      </w:r>
      <w:r w:rsidRPr="006617BC">
        <w:rPr>
          <w:rFonts w:ascii="Arial" w:eastAsia="Calibri" w:hAnsi="Arial" w:cs="Arial"/>
          <w:bCs/>
          <w:color w:val="000000"/>
          <w:sz w:val="22"/>
          <w:szCs w:val="22"/>
          <w:lang w:val="es-ES_tradnl" w:eastAsia="en-US"/>
        </w:rPr>
        <w:t xml:space="preserve">2.2.1.2.1.5.2. y 2.2.1.2.1.5.3. del Decreto 1082 de 2015 se regula la invitación en la mínima cuantía que prevé los elementos mínimos que debe incluirse en esta modalidad de contratación, la cual se regirá </w:t>
      </w:r>
      <w:r w:rsidRPr="006617BC">
        <w:rPr>
          <w:rFonts w:ascii="Arial" w:eastAsia="Calibri" w:hAnsi="Arial" w:cs="Arial"/>
          <w:bCs/>
          <w:color w:val="000000"/>
          <w:sz w:val="22"/>
          <w:szCs w:val="22"/>
          <w:lang w:eastAsia="en-US"/>
        </w:rPr>
        <w:t>exclusivamente con las reglas allí contempladas por disposición expresa del parágrafo del artículo 30 de la Ley 2069 de 2020</w:t>
      </w:r>
      <w:r w:rsidRPr="006617BC">
        <w:rPr>
          <w:rFonts w:ascii="Arial" w:eastAsia="Calibri" w:hAnsi="Arial" w:cs="Arial"/>
          <w:bCs/>
          <w:color w:val="000000"/>
          <w:sz w:val="22"/>
          <w:szCs w:val="22"/>
          <w:lang w:val="es-ES_tradnl" w:eastAsia="en-US"/>
        </w:rPr>
        <w:t xml:space="preserve">. Por su parte, el </w:t>
      </w:r>
      <w:r w:rsidRPr="006617BC">
        <w:rPr>
          <w:rFonts w:ascii="Arial" w:eastAsia="Calibri" w:hAnsi="Arial" w:cs="Arial"/>
          <w:sz w:val="22"/>
        </w:rPr>
        <w:t xml:space="preserve">artículo 2.2.1.1.2.1.2 del Decreto 1082 de 2015 establece la información mínima que debe contemplar el aviso de convocatoria de los procesos de selección, además de lo establecido para cada modalidad de selección. </w:t>
      </w:r>
    </w:p>
    <w:p w14:paraId="340B3E8B" w14:textId="5C7E7F2E" w:rsidR="00873BDE" w:rsidRPr="006617BC" w:rsidRDefault="00873BDE" w:rsidP="00873BDE">
      <w:pPr>
        <w:spacing w:before="120" w:line="276" w:lineRule="auto"/>
        <w:ind w:firstLine="709"/>
        <w:jc w:val="both"/>
        <w:rPr>
          <w:rFonts w:ascii="Arial" w:eastAsia="Calibri" w:hAnsi="Arial" w:cs="Arial"/>
          <w:sz w:val="22"/>
        </w:rPr>
      </w:pPr>
      <w:r w:rsidRPr="006617BC">
        <w:rPr>
          <w:rFonts w:ascii="Arial" w:eastAsia="Calibri" w:hAnsi="Arial" w:cs="Arial"/>
          <w:i/>
          <w:iCs/>
          <w:sz w:val="22"/>
        </w:rPr>
        <w:t>Por último,</w:t>
      </w:r>
      <w:r w:rsidRPr="006617BC">
        <w:rPr>
          <w:rFonts w:ascii="Arial" w:eastAsia="Calibri" w:hAnsi="Arial" w:cs="Arial"/>
          <w:sz w:val="22"/>
        </w:rPr>
        <w:t xml:space="preserve"> </w:t>
      </w:r>
      <w:r w:rsidRPr="006617BC">
        <w:rPr>
          <w:rFonts w:ascii="Arial" w:eastAsia="Calibri" w:hAnsi="Arial" w:cs="Arial"/>
          <w:bCs/>
          <w:color w:val="000000"/>
          <w:sz w:val="22"/>
          <w:szCs w:val="22"/>
          <w:lang w:val="es-ES_tradnl" w:eastAsia="en-US"/>
        </w:rPr>
        <w:t xml:space="preserve">el inciso final del </w:t>
      </w:r>
      <w:r w:rsidRPr="006617BC">
        <w:rPr>
          <w:rFonts w:ascii="Arial" w:eastAsia="Calibri" w:hAnsi="Arial" w:cs="Arial"/>
          <w:sz w:val="22"/>
        </w:rPr>
        <w:t xml:space="preserve">artículo 2.2.1.1.2.1.2 del Decreto 1082 de 2015 excluye expresamente al proceso de mínima cuantía de la expedición del aviso de convocatoria al señalar que </w:t>
      </w:r>
      <w:r w:rsidRPr="006617BC">
        <w:rPr>
          <w:rFonts w:ascii="Arial" w:eastAsia="Calibri" w:hAnsi="Arial" w:cs="Arial"/>
          <w:bCs/>
          <w:color w:val="000000"/>
          <w:sz w:val="22"/>
          <w:szCs w:val="22"/>
          <w:lang w:val="es-ES_tradnl" w:eastAsia="en-US"/>
        </w:rPr>
        <w:t>«</w:t>
      </w:r>
      <w:r w:rsidRPr="006617BC">
        <w:rPr>
          <w:rFonts w:ascii="Arial" w:eastAsia="Calibri" w:hAnsi="Arial" w:cs="Arial"/>
          <w:sz w:val="22"/>
        </w:rPr>
        <w:t xml:space="preserve">En los Procesos de Contratación adelantados bajo las modalidades de selección de </w:t>
      </w:r>
      <w:r w:rsidRPr="006617BC">
        <w:rPr>
          <w:rFonts w:ascii="Arial" w:eastAsia="Calibri" w:hAnsi="Arial" w:cs="Arial"/>
          <w:i/>
          <w:iCs/>
          <w:sz w:val="22"/>
        </w:rPr>
        <w:t>mí</w:t>
      </w:r>
      <w:r w:rsidRPr="006617BC">
        <w:rPr>
          <w:rFonts w:ascii="Arial" w:eastAsia="Calibri" w:hAnsi="Arial" w:cs="Arial"/>
          <w:i/>
          <w:iCs/>
          <w:sz w:val="22"/>
        </w:rPr>
        <w:softHyphen/>
        <w:t>nima cuantía</w:t>
      </w:r>
      <w:r w:rsidRPr="006617BC">
        <w:rPr>
          <w:rFonts w:ascii="Arial" w:eastAsia="Calibri" w:hAnsi="Arial" w:cs="Arial"/>
          <w:sz w:val="22"/>
        </w:rPr>
        <w:t xml:space="preserve"> y contratación directa, no es necesaria la expedición y publicación del aviso de convocatoria en el SECOP</w:t>
      </w:r>
      <w:r w:rsidRPr="006617BC">
        <w:rPr>
          <w:rFonts w:ascii="Arial" w:eastAsia="Calibri" w:hAnsi="Arial" w:cs="Arial"/>
          <w:bCs/>
          <w:color w:val="000000"/>
          <w:sz w:val="22"/>
          <w:szCs w:val="22"/>
          <w:lang w:val="es-ES_tradnl" w:eastAsia="en-US"/>
        </w:rPr>
        <w:t>»</w:t>
      </w:r>
      <w:r w:rsidRPr="006617BC">
        <w:rPr>
          <w:rFonts w:ascii="Arial" w:eastAsia="Calibri" w:hAnsi="Arial" w:cs="Arial"/>
          <w:sz w:val="22"/>
        </w:rPr>
        <w:t xml:space="preserve"> (Énfasis por fuera de texto). De ahí se deprende claramente que la invitación prevista para la mínima cuantía es distinta del aviso de convocatoria contemplado en la norma señalada. </w:t>
      </w:r>
    </w:p>
    <w:p w14:paraId="54FDCC6D" w14:textId="6913A1F6" w:rsidR="00873BDE" w:rsidRPr="006617BC" w:rsidRDefault="006A18D0" w:rsidP="00173650">
      <w:pPr>
        <w:spacing w:before="120" w:line="276" w:lineRule="auto"/>
        <w:ind w:firstLine="709"/>
        <w:jc w:val="both"/>
        <w:rPr>
          <w:rFonts w:ascii="Arial" w:eastAsia="Calibri" w:hAnsi="Arial" w:cs="Arial"/>
          <w:bCs/>
          <w:color w:val="000000"/>
          <w:sz w:val="22"/>
          <w:szCs w:val="22"/>
          <w:lang w:val="es-ES_tradnl" w:eastAsia="en-US"/>
        </w:rPr>
      </w:pPr>
      <w:r w:rsidRPr="006617BC">
        <w:rPr>
          <w:rFonts w:ascii="Arial" w:eastAsia="Calibri" w:hAnsi="Arial" w:cs="Arial"/>
          <w:sz w:val="22"/>
        </w:rPr>
        <w:t>En conclusión</w:t>
      </w:r>
      <w:r w:rsidR="00873BDE" w:rsidRPr="006617BC">
        <w:rPr>
          <w:rFonts w:ascii="Arial" w:eastAsia="Calibri" w:hAnsi="Arial" w:cs="Arial"/>
          <w:sz w:val="22"/>
        </w:rPr>
        <w:t xml:space="preserve">, para efectos del artículo </w:t>
      </w:r>
      <w:r w:rsidR="00873BDE" w:rsidRPr="006617BC">
        <w:rPr>
          <w:rFonts w:ascii="Arial" w:eastAsia="Calibri" w:hAnsi="Arial" w:cs="Arial"/>
          <w:bCs/>
          <w:color w:val="000000"/>
          <w:sz w:val="22"/>
          <w:szCs w:val="22"/>
          <w:lang w:val="es-ES_tradnl" w:eastAsia="en-US"/>
        </w:rPr>
        <w:t xml:space="preserve">2.2.1.2.1.5.3. del Decreto 1082 de 2015 en relación con la adquisición de grandes almacenes cuando se trate de mínima cuantía, no es posible interpretar que la invitación a la que alude el numeral 1 de esta norma es igual a un aviso de convocatoria, puesto que </w:t>
      </w:r>
      <w:r w:rsidR="00001129" w:rsidRPr="006617BC">
        <w:rPr>
          <w:rFonts w:ascii="Arial" w:eastAsia="Calibri" w:hAnsi="Arial" w:cs="Arial"/>
          <w:bCs/>
          <w:color w:val="000000"/>
          <w:sz w:val="22"/>
          <w:szCs w:val="22"/>
          <w:lang w:val="es-ES_tradnl" w:eastAsia="en-US"/>
        </w:rPr>
        <w:t>–</w:t>
      </w:r>
      <w:r w:rsidR="00873BDE" w:rsidRPr="006617BC">
        <w:rPr>
          <w:rFonts w:ascii="Arial" w:eastAsia="Calibri" w:hAnsi="Arial" w:cs="Arial"/>
          <w:bCs/>
          <w:color w:val="000000"/>
          <w:sz w:val="22"/>
          <w:szCs w:val="22"/>
          <w:lang w:val="es-ES_tradnl" w:eastAsia="en-US"/>
        </w:rPr>
        <w:t>como se explicó</w:t>
      </w:r>
      <w:r w:rsidR="00001129" w:rsidRPr="006617BC">
        <w:rPr>
          <w:rFonts w:ascii="Arial" w:eastAsia="Calibri" w:hAnsi="Arial" w:cs="Arial"/>
          <w:bCs/>
          <w:color w:val="000000"/>
          <w:sz w:val="22"/>
          <w:szCs w:val="22"/>
          <w:lang w:val="es-ES_tradnl" w:eastAsia="en-US"/>
        </w:rPr>
        <w:t>–</w:t>
      </w:r>
      <w:r w:rsidR="00873BDE" w:rsidRPr="006617BC">
        <w:rPr>
          <w:rFonts w:ascii="Arial" w:eastAsia="Calibri" w:hAnsi="Arial" w:cs="Arial"/>
          <w:bCs/>
          <w:color w:val="000000"/>
          <w:sz w:val="22"/>
          <w:szCs w:val="22"/>
          <w:lang w:val="es-ES_tradnl" w:eastAsia="en-US"/>
        </w:rPr>
        <w:t xml:space="preserve"> se trata de dos figuras distintas.</w:t>
      </w:r>
    </w:p>
    <w:p w14:paraId="0128BF97" w14:textId="77777777" w:rsidR="00873BDE" w:rsidRPr="006617BC" w:rsidRDefault="00873BDE" w:rsidP="00873BDE">
      <w:pPr>
        <w:spacing w:line="276" w:lineRule="auto"/>
        <w:ind w:firstLine="709"/>
        <w:jc w:val="both"/>
        <w:rPr>
          <w:rFonts w:ascii="Arial" w:eastAsia="Calibri" w:hAnsi="Arial" w:cs="Arial"/>
          <w:sz w:val="22"/>
        </w:rPr>
      </w:pPr>
    </w:p>
    <w:p w14:paraId="056816F7" w14:textId="5C200F74" w:rsidR="00D40F8B" w:rsidRPr="006617BC" w:rsidRDefault="00DD5B04" w:rsidP="00167D66">
      <w:pPr>
        <w:widowControl w:val="0"/>
        <w:autoSpaceDE w:val="0"/>
        <w:autoSpaceDN w:val="0"/>
        <w:spacing w:before="120" w:line="276" w:lineRule="auto"/>
        <w:jc w:val="both"/>
        <w:rPr>
          <w:rFonts w:ascii="Arial" w:hAnsi="Arial" w:cs="Arial"/>
          <w:sz w:val="22"/>
          <w:szCs w:val="22"/>
          <w:lang w:val="es-ES_tradnl" w:bidi="es-ES"/>
        </w:rPr>
      </w:pPr>
      <w:r w:rsidRPr="006617BC">
        <w:rPr>
          <w:rFonts w:ascii="Arial" w:hAnsi="Arial" w:cs="Arial"/>
          <w:color w:val="000000" w:themeColor="text1"/>
          <w:sz w:val="22"/>
          <w:szCs w:val="22"/>
          <w:lang w:val="es-ES_tradnl"/>
        </w:rPr>
        <w:t>Este concepto tiene el alcance previsto en el artículo 28 del</w:t>
      </w:r>
      <w:r w:rsidRPr="006617BC">
        <w:rPr>
          <w:rFonts w:ascii="Arial" w:hAnsi="Arial" w:cs="Arial"/>
          <w:color w:val="000000" w:themeColor="text1"/>
          <w:sz w:val="22"/>
          <w:lang w:val="es-ES_tradnl"/>
        </w:rPr>
        <w:t xml:space="preserve"> Código de Procedimiento Administrativo y de</w:t>
      </w:r>
      <w:r w:rsidR="00D40F8B" w:rsidRPr="006617BC">
        <w:rPr>
          <w:rFonts w:ascii="Arial" w:hAnsi="Arial" w:cs="Arial"/>
          <w:color w:val="000000" w:themeColor="text1"/>
          <w:sz w:val="22"/>
          <w:lang w:val="es-ES_tradnl"/>
        </w:rPr>
        <w:t xml:space="preserve"> lo Contencioso Administrativo.</w:t>
      </w:r>
    </w:p>
    <w:p w14:paraId="6F54E9C9" w14:textId="77777777" w:rsidR="00003233" w:rsidRPr="006617BC"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6617BC"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6617BC">
        <w:rPr>
          <w:rFonts w:ascii="Arial" w:hAnsi="Arial" w:cs="Arial"/>
          <w:color w:val="000000" w:themeColor="text1"/>
          <w:sz w:val="22"/>
          <w:szCs w:val="22"/>
          <w:lang w:val="es-ES_tradnl"/>
        </w:rPr>
        <w:lastRenderedPageBreak/>
        <w:t>Atentamente,</w:t>
      </w:r>
    </w:p>
    <w:p w14:paraId="10A1E411" w14:textId="79AD85F2" w:rsidR="00D40F8B" w:rsidRPr="006617BC" w:rsidRDefault="002E2DEB"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10F87F51" wp14:editId="2838F735">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1ED13883" w14:textId="77777777" w:rsidR="00003233" w:rsidRPr="006617BC"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6617BC" w14:paraId="0C7DC5F7" w14:textId="77777777" w:rsidTr="00D40F8B">
        <w:trPr>
          <w:trHeight w:val="160"/>
        </w:trPr>
        <w:tc>
          <w:tcPr>
            <w:tcW w:w="812" w:type="dxa"/>
            <w:vAlign w:val="center"/>
            <w:hideMark/>
          </w:tcPr>
          <w:p w14:paraId="5BDB1AC9" w14:textId="77777777" w:rsidR="00DD5B04" w:rsidRPr="006617BC" w:rsidRDefault="00DD5B04" w:rsidP="00DF76A2">
            <w:pPr>
              <w:jc w:val="both"/>
              <w:rPr>
                <w:rFonts w:ascii="Arial" w:hAnsi="Arial" w:cs="Arial"/>
                <w:color w:val="000000" w:themeColor="text1"/>
                <w:sz w:val="16"/>
                <w:szCs w:val="16"/>
                <w:lang w:val="es-ES_tradnl" w:eastAsia="es-ES"/>
              </w:rPr>
            </w:pPr>
            <w:r w:rsidRPr="006617BC">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6617BC" w:rsidRDefault="00F412DF" w:rsidP="00DF76A2">
            <w:pPr>
              <w:jc w:val="both"/>
              <w:rPr>
                <w:rFonts w:ascii="Arial" w:hAnsi="Arial" w:cs="Arial"/>
                <w:color w:val="000000" w:themeColor="text1"/>
                <w:sz w:val="16"/>
                <w:szCs w:val="16"/>
                <w:lang w:val="es-ES_tradnl" w:eastAsia="es-ES"/>
              </w:rPr>
            </w:pPr>
            <w:r w:rsidRPr="006617BC">
              <w:rPr>
                <w:rFonts w:ascii="Arial" w:hAnsi="Arial" w:cs="Arial"/>
                <w:color w:val="000000" w:themeColor="text1"/>
                <w:sz w:val="16"/>
                <w:szCs w:val="16"/>
                <w:lang w:val="es-ES_tradnl" w:eastAsia="es-ES"/>
              </w:rPr>
              <w:t>Tatiana Baquero Iguarán</w:t>
            </w:r>
          </w:p>
          <w:p w14:paraId="240C71FD" w14:textId="31312C95" w:rsidR="00DD5B04" w:rsidRPr="006617BC" w:rsidRDefault="00DD5B04" w:rsidP="00DF76A2">
            <w:pPr>
              <w:jc w:val="both"/>
              <w:rPr>
                <w:rFonts w:ascii="Arial" w:hAnsi="Arial" w:cs="Arial"/>
                <w:color w:val="000000" w:themeColor="text1"/>
                <w:sz w:val="16"/>
                <w:szCs w:val="16"/>
                <w:lang w:val="es-ES_tradnl" w:eastAsia="es-ES"/>
              </w:rPr>
            </w:pPr>
            <w:r w:rsidRPr="006617BC">
              <w:rPr>
                <w:rFonts w:ascii="Arial" w:hAnsi="Arial" w:cs="Arial"/>
                <w:color w:val="000000" w:themeColor="text1"/>
                <w:sz w:val="16"/>
                <w:szCs w:val="16"/>
                <w:lang w:val="es-ES_tradnl" w:eastAsia="es-ES"/>
              </w:rPr>
              <w:t>Contratista</w:t>
            </w:r>
            <w:r w:rsidR="00FF0050" w:rsidRPr="006617BC">
              <w:rPr>
                <w:rFonts w:ascii="Arial" w:hAnsi="Arial" w:cs="Arial"/>
                <w:color w:val="000000" w:themeColor="text1"/>
                <w:sz w:val="16"/>
                <w:szCs w:val="16"/>
                <w:lang w:val="es-ES_tradnl" w:eastAsia="es-ES"/>
              </w:rPr>
              <w:t xml:space="preserve"> de la </w:t>
            </w:r>
            <w:r w:rsidRPr="006617BC">
              <w:rPr>
                <w:rFonts w:ascii="Arial" w:hAnsi="Arial" w:cs="Arial"/>
                <w:color w:val="000000" w:themeColor="text1"/>
                <w:sz w:val="16"/>
                <w:szCs w:val="16"/>
                <w:lang w:val="es-ES_tradnl" w:eastAsia="es-ES"/>
              </w:rPr>
              <w:t>Subdirección de Gestión Contractual</w:t>
            </w:r>
          </w:p>
        </w:tc>
      </w:tr>
      <w:tr w:rsidR="00DD5B04" w:rsidRPr="006617BC" w14:paraId="2F8FD650" w14:textId="77777777" w:rsidTr="00D15356">
        <w:trPr>
          <w:trHeight w:val="330"/>
        </w:trPr>
        <w:tc>
          <w:tcPr>
            <w:tcW w:w="812" w:type="dxa"/>
            <w:vAlign w:val="center"/>
            <w:hideMark/>
          </w:tcPr>
          <w:p w14:paraId="50203A0B" w14:textId="77777777" w:rsidR="00DD5B04" w:rsidRPr="006617BC" w:rsidRDefault="00DD5B04" w:rsidP="00DF76A2">
            <w:pPr>
              <w:jc w:val="both"/>
              <w:rPr>
                <w:rFonts w:ascii="Arial" w:hAnsi="Arial" w:cs="Arial"/>
                <w:color w:val="000000" w:themeColor="text1"/>
                <w:sz w:val="16"/>
                <w:szCs w:val="16"/>
                <w:lang w:val="es-ES_tradnl" w:eastAsia="es-ES"/>
              </w:rPr>
            </w:pPr>
            <w:r w:rsidRPr="006617BC">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50438417" w:rsidR="00B17563" w:rsidRPr="006617BC" w:rsidRDefault="003D1E4F" w:rsidP="00F412DF">
            <w:pPr>
              <w:jc w:val="both"/>
              <w:rPr>
                <w:rFonts w:ascii="Arial" w:hAnsi="Arial" w:cs="Arial"/>
                <w:color w:val="000000" w:themeColor="text1"/>
                <w:sz w:val="16"/>
                <w:szCs w:val="16"/>
                <w:lang w:val="es-ES_tradnl" w:eastAsia="es-ES"/>
              </w:rPr>
            </w:pPr>
            <w:r w:rsidRPr="006617BC">
              <w:rPr>
                <w:rFonts w:ascii="Arial" w:hAnsi="Arial" w:cs="Arial"/>
                <w:color w:val="000000" w:themeColor="text1"/>
                <w:sz w:val="16"/>
                <w:szCs w:val="16"/>
                <w:lang w:val="es-ES_tradnl" w:eastAsia="es-ES"/>
              </w:rPr>
              <w:t xml:space="preserve">Juan David Montoya </w:t>
            </w:r>
            <w:r w:rsidR="001B6EBB" w:rsidRPr="006617BC">
              <w:rPr>
                <w:rFonts w:ascii="Arial" w:hAnsi="Arial" w:cs="Arial"/>
                <w:color w:val="000000" w:themeColor="text1"/>
                <w:sz w:val="16"/>
                <w:szCs w:val="16"/>
                <w:lang w:val="es-ES_tradnl" w:eastAsia="es-ES"/>
              </w:rPr>
              <w:t xml:space="preserve">Penagos </w:t>
            </w:r>
          </w:p>
          <w:p w14:paraId="130B3228" w14:textId="56DC9CC4" w:rsidR="00DD5B04" w:rsidRPr="006617BC" w:rsidRDefault="00847744" w:rsidP="00F412DF">
            <w:pPr>
              <w:jc w:val="both"/>
              <w:rPr>
                <w:rFonts w:ascii="Arial" w:hAnsi="Arial" w:cs="Arial"/>
                <w:color w:val="000000" w:themeColor="text1"/>
                <w:sz w:val="16"/>
                <w:szCs w:val="16"/>
                <w:lang w:val="es-ES_tradnl" w:eastAsia="es-ES"/>
              </w:rPr>
            </w:pPr>
            <w:r w:rsidRPr="006617BC">
              <w:rPr>
                <w:rFonts w:ascii="Arial" w:hAnsi="Arial" w:cs="Arial"/>
                <w:color w:val="000000"/>
                <w:sz w:val="16"/>
                <w:szCs w:val="16"/>
                <w:shd w:val="clear" w:color="auto" w:fill="FFFFFF"/>
              </w:rPr>
              <w:t>Contratista</w:t>
            </w:r>
            <w:r w:rsidR="00F412DF" w:rsidRPr="006617BC">
              <w:rPr>
                <w:rFonts w:ascii="Arial" w:hAnsi="Arial" w:cs="Arial"/>
                <w:color w:val="000000"/>
                <w:sz w:val="16"/>
                <w:szCs w:val="16"/>
                <w:shd w:val="clear" w:color="auto" w:fill="FFFFFF"/>
              </w:rPr>
              <w:t xml:space="preserve"> de la </w:t>
            </w:r>
            <w:r w:rsidR="00F412DF" w:rsidRPr="006617BC">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6617BC" w:rsidRDefault="00DD5B04" w:rsidP="00DF76A2">
            <w:pPr>
              <w:jc w:val="both"/>
              <w:rPr>
                <w:rFonts w:ascii="Arial" w:hAnsi="Arial" w:cs="Arial"/>
                <w:color w:val="000000" w:themeColor="text1"/>
                <w:sz w:val="16"/>
                <w:szCs w:val="16"/>
                <w:lang w:val="es-ES_tradnl" w:eastAsia="es-ES"/>
              </w:rPr>
            </w:pPr>
            <w:r w:rsidRPr="006617BC">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6617BC" w:rsidRDefault="00C05A61" w:rsidP="00DF76A2">
            <w:pPr>
              <w:jc w:val="both"/>
              <w:rPr>
                <w:rFonts w:ascii="Arial" w:hAnsi="Arial" w:cs="Arial"/>
                <w:color w:val="000000" w:themeColor="text1"/>
                <w:sz w:val="16"/>
                <w:szCs w:val="16"/>
                <w:lang w:val="es-ES_tradnl" w:eastAsia="es-ES"/>
              </w:rPr>
            </w:pPr>
            <w:r w:rsidRPr="006617BC">
              <w:rPr>
                <w:rFonts w:ascii="Arial" w:hAnsi="Arial" w:cs="Arial"/>
                <w:color w:val="000000" w:themeColor="text1"/>
                <w:sz w:val="16"/>
                <w:szCs w:val="16"/>
                <w:lang w:val="es-ES_tradnl" w:eastAsia="es-ES"/>
              </w:rPr>
              <w:t xml:space="preserve">Jorge </w:t>
            </w:r>
            <w:r w:rsidR="00647A36" w:rsidRPr="006617BC">
              <w:rPr>
                <w:rFonts w:ascii="Arial" w:hAnsi="Arial" w:cs="Arial"/>
                <w:color w:val="000000" w:themeColor="text1"/>
                <w:sz w:val="16"/>
                <w:szCs w:val="16"/>
                <w:lang w:val="es-ES_tradnl" w:eastAsia="es-ES"/>
              </w:rPr>
              <w:t xml:space="preserve">Augusto </w:t>
            </w:r>
            <w:r w:rsidRPr="006617BC">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6617BC">
              <w:rPr>
                <w:rFonts w:ascii="Arial" w:hAnsi="Arial" w:cs="Arial"/>
                <w:color w:val="000000" w:themeColor="text1"/>
                <w:sz w:val="16"/>
                <w:szCs w:val="16"/>
                <w:lang w:val="es-ES_tradnl" w:eastAsia="es-ES"/>
              </w:rPr>
              <w:t>Subdirector de Gestión Contractual</w:t>
            </w:r>
            <w:r w:rsidR="00973AA2" w:rsidRPr="006617BC">
              <w:rPr>
                <w:rFonts w:ascii="Arial" w:hAnsi="Arial" w:cs="Arial"/>
                <w:color w:val="000000" w:themeColor="text1"/>
                <w:sz w:val="16"/>
                <w:szCs w:val="16"/>
                <w:lang w:val="es-ES_tradnl" w:eastAsia="es-ES"/>
              </w:rPr>
              <w:t xml:space="preserve"> </w:t>
            </w:r>
            <w:r w:rsidR="00973AA2" w:rsidRPr="006617BC">
              <w:rPr>
                <w:rFonts w:ascii="Arial" w:hAnsi="Arial" w:cs="Arial"/>
                <w:color w:val="000000" w:themeColor="text1"/>
                <w:sz w:val="16"/>
                <w:szCs w:val="16"/>
                <w:lang w:eastAsia="es-ES"/>
              </w:rPr>
              <w:t>ANCP – CCE</w:t>
            </w:r>
          </w:p>
        </w:tc>
      </w:tr>
    </w:tbl>
    <w:p w14:paraId="62A9C657" w14:textId="77777777" w:rsidR="00453A53" w:rsidRDefault="00453A53" w:rsidP="00215B8E">
      <w:pPr>
        <w:jc w:val="both"/>
        <w:rPr>
          <w:rFonts w:ascii="Arial" w:hAnsi="Arial" w:cs="Arial"/>
          <w:lang w:val="es-ES_tradnl"/>
        </w:rPr>
      </w:pPr>
    </w:p>
    <w:p w14:paraId="3F7284BE" w14:textId="3AD023D9" w:rsidR="008351F8" w:rsidRPr="009D3964" w:rsidRDefault="008351F8" w:rsidP="00215B8E">
      <w:pPr>
        <w:jc w:val="both"/>
        <w:rPr>
          <w:rFonts w:ascii="Arial" w:hAnsi="Arial" w:cs="Arial"/>
          <w:lang w:val="es-ES_tradnl"/>
        </w:rPr>
      </w:pPr>
    </w:p>
    <w:p w14:paraId="4D3D318F" w14:textId="77777777" w:rsidR="00FC710F" w:rsidRPr="009D3964" w:rsidRDefault="00FC710F">
      <w:pPr>
        <w:jc w:val="both"/>
        <w:rPr>
          <w:rFonts w:ascii="Arial" w:hAnsi="Arial" w:cs="Arial"/>
          <w:lang w:val="es-ES_tradnl"/>
        </w:rPr>
      </w:pPr>
    </w:p>
    <w:sectPr w:rsidR="00FC710F" w:rsidRPr="009D3964" w:rsidSect="00026B36">
      <w:headerReference w:type="default" r:id="rId13"/>
      <w:footerReference w:type="default" r:id="rId14"/>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654A5" w14:textId="77777777" w:rsidR="00573A48" w:rsidRDefault="00573A48">
      <w:r>
        <w:separator/>
      </w:r>
    </w:p>
  </w:endnote>
  <w:endnote w:type="continuationSeparator" w:id="0">
    <w:p w14:paraId="1463446D" w14:textId="77777777" w:rsidR="00573A48" w:rsidRDefault="00573A48">
      <w:r>
        <w:continuationSeparator/>
      </w:r>
    </w:p>
  </w:endnote>
  <w:endnote w:type="continuationNotice" w:id="1">
    <w:p w14:paraId="4C7223ED" w14:textId="77777777" w:rsidR="00573A48" w:rsidRDefault="00573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B00B0" w14:textId="77777777" w:rsidR="00573A48" w:rsidRDefault="00573A48">
      <w:r>
        <w:separator/>
      </w:r>
    </w:p>
  </w:footnote>
  <w:footnote w:type="continuationSeparator" w:id="0">
    <w:p w14:paraId="4C7FB1FF" w14:textId="77777777" w:rsidR="00573A48" w:rsidRDefault="00573A48">
      <w:r>
        <w:continuationSeparator/>
      </w:r>
    </w:p>
  </w:footnote>
  <w:footnote w:type="continuationNotice" w:id="1">
    <w:p w14:paraId="780EAB10" w14:textId="77777777" w:rsidR="00573A48" w:rsidRDefault="00573A48"/>
  </w:footnote>
  <w:footnote w:id="2">
    <w:p w14:paraId="1456D802" w14:textId="27BE1220" w:rsidR="008053EF" w:rsidRDefault="008053EF" w:rsidP="00F456EF">
      <w:pPr>
        <w:pStyle w:val="Textonotapie"/>
        <w:ind w:firstLine="708"/>
        <w:jc w:val="both"/>
        <w:rPr>
          <w:rFonts w:ascii="Arial" w:hAnsi="Arial" w:cs="Arial"/>
          <w:sz w:val="19"/>
          <w:szCs w:val="19"/>
        </w:rPr>
      </w:pPr>
      <w:r w:rsidRPr="00DA3080">
        <w:rPr>
          <w:rStyle w:val="Refdenotaalpie"/>
          <w:rFonts w:ascii="Arial" w:hAnsi="Arial" w:cs="Arial"/>
          <w:sz w:val="19"/>
          <w:szCs w:val="19"/>
        </w:rPr>
        <w:footnoteRef/>
      </w:r>
      <w:r w:rsidRPr="00DA3080">
        <w:rPr>
          <w:rFonts w:ascii="Arial" w:hAnsi="Arial" w:cs="Arial"/>
          <w:sz w:val="19"/>
          <w:szCs w:val="19"/>
        </w:rPr>
        <w:t xml:space="preserve"> PARÁGRAFO 1o.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w:t>
      </w:r>
    </w:p>
    <w:p w14:paraId="41CA1F94" w14:textId="77777777" w:rsidR="008B207A" w:rsidRPr="00DA3080" w:rsidRDefault="008B207A" w:rsidP="00F456EF">
      <w:pPr>
        <w:pStyle w:val="Textonotapie"/>
        <w:ind w:firstLine="708"/>
        <w:jc w:val="both"/>
        <w:rPr>
          <w:rFonts w:ascii="Arial" w:hAnsi="Arial" w:cs="Arial"/>
          <w:sz w:val="19"/>
          <w:szCs w:val="19"/>
        </w:rPr>
      </w:pPr>
    </w:p>
  </w:footnote>
  <w:footnote w:id="3">
    <w:p w14:paraId="6B1893A0" w14:textId="77777777" w:rsidR="004F507C" w:rsidRPr="007B2626" w:rsidRDefault="004F507C" w:rsidP="004F507C">
      <w:pPr>
        <w:pStyle w:val="Textonotapie"/>
        <w:ind w:firstLine="709"/>
        <w:jc w:val="both"/>
        <w:rPr>
          <w:rFonts w:ascii="Arial" w:hAnsi="Arial" w:cs="Arial"/>
          <w:color w:val="000000" w:themeColor="text1"/>
          <w:sz w:val="19"/>
          <w:szCs w:val="19"/>
          <w:lang w:val="es-ES_tradnl"/>
        </w:rPr>
      </w:pPr>
      <w:r w:rsidRPr="007B2626">
        <w:rPr>
          <w:rStyle w:val="Refdenotaalpie"/>
          <w:rFonts w:ascii="Arial" w:hAnsi="Arial" w:cs="Arial"/>
          <w:color w:val="000000" w:themeColor="text1"/>
          <w:sz w:val="19"/>
          <w:szCs w:val="19"/>
          <w:lang w:val="es-ES_tradnl"/>
        </w:rPr>
        <w:footnoteRef/>
      </w:r>
      <w:r w:rsidRPr="007B2626">
        <w:rPr>
          <w:rFonts w:ascii="Arial" w:hAnsi="Arial" w:cs="Arial"/>
          <w:color w:val="000000" w:themeColor="text1"/>
          <w:sz w:val="19"/>
          <w:szCs w:val="19"/>
          <w:lang w:val="es-ES_tradnl"/>
        </w:rPr>
        <w:t xml:space="preserve"> Esto lo ratifica el artículo 2.2.1.2.1.5.2. del Decreto 1082 de 2015.</w:t>
      </w:r>
    </w:p>
    <w:p w14:paraId="28E450C5" w14:textId="77777777" w:rsidR="004F507C" w:rsidRPr="007B2626" w:rsidRDefault="004F507C" w:rsidP="004F507C">
      <w:pPr>
        <w:pStyle w:val="Textonotapie"/>
        <w:ind w:firstLine="709"/>
        <w:jc w:val="both"/>
        <w:rPr>
          <w:rFonts w:ascii="Arial" w:hAnsi="Arial" w:cs="Arial"/>
          <w:color w:val="000000" w:themeColor="text1"/>
          <w:sz w:val="19"/>
          <w:szCs w:val="19"/>
          <w:lang w:val="es-ES_tradnl"/>
        </w:rPr>
      </w:pPr>
    </w:p>
  </w:footnote>
  <w:footnote w:id="4">
    <w:p w14:paraId="59FB61EB" w14:textId="77777777" w:rsidR="004F507C" w:rsidRPr="007B2626" w:rsidRDefault="004F507C" w:rsidP="004F507C">
      <w:pPr>
        <w:pStyle w:val="Textonotapie"/>
        <w:ind w:firstLine="709"/>
        <w:jc w:val="both"/>
        <w:rPr>
          <w:rFonts w:ascii="Arial" w:hAnsi="Arial" w:cs="Arial"/>
          <w:color w:val="000000" w:themeColor="text1"/>
          <w:sz w:val="19"/>
          <w:szCs w:val="19"/>
          <w:lang w:val="es-ES_tradnl"/>
        </w:rPr>
      </w:pPr>
      <w:r w:rsidRPr="007B2626">
        <w:rPr>
          <w:rStyle w:val="Refdenotaalpie"/>
          <w:rFonts w:ascii="Arial" w:hAnsi="Arial" w:cs="Arial"/>
          <w:color w:val="000000" w:themeColor="text1"/>
          <w:sz w:val="19"/>
          <w:szCs w:val="19"/>
          <w:lang w:val="es-ES_tradnl"/>
        </w:rPr>
        <w:footnoteRef/>
      </w:r>
      <w:r w:rsidRPr="007B2626">
        <w:rPr>
          <w:rFonts w:ascii="Arial" w:hAnsi="Arial" w:cs="Arial"/>
          <w:color w:val="000000" w:themeColor="text1"/>
          <w:sz w:val="19"/>
          <w:szCs w:val="19"/>
          <w:lang w:val="es-ES_tradnl"/>
        </w:rPr>
        <w:t xml:space="preserve"> DÁVILA VINUEZA, Luis Guillermo. Régimen jurídico de la contratación estatal. 3ª ed. Bogotá: Legis, 2016. p. 463.</w:t>
      </w:r>
    </w:p>
    <w:p w14:paraId="1BE851BC" w14:textId="77777777" w:rsidR="004F507C" w:rsidRPr="007B2626" w:rsidRDefault="004F507C" w:rsidP="004F507C">
      <w:pPr>
        <w:pStyle w:val="Textonotapie"/>
        <w:ind w:firstLine="709"/>
        <w:jc w:val="both"/>
        <w:rPr>
          <w:rFonts w:ascii="Arial" w:hAnsi="Arial" w:cs="Arial"/>
          <w:color w:val="000000" w:themeColor="text1"/>
          <w:sz w:val="19"/>
          <w:szCs w:val="19"/>
          <w:lang w:val="es-ES_tradnl"/>
        </w:rPr>
      </w:pPr>
    </w:p>
  </w:footnote>
  <w:footnote w:id="5">
    <w:p w14:paraId="3A945936" w14:textId="77777777" w:rsidR="004F507C" w:rsidRPr="007B2626" w:rsidRDefault="004F507C" w:rsidP="004F507C">
      <w:pPr>
        <w:pStyle w:val="Textonotapie"/>
        <w:ind w:firstLine="709"/>
        <w:jc w:val="both"/>
        <w:rPr>
          <w:rFonts w:ascii="Arial" w:hAnsi="Arial" w:cs="Arial"/>
          <w:color w:val="000000" w:themeColor="text1"/>
          <w:sz w:val="19"/>
          <w:szCs w:val="19"/>
          <w:lang w:val="es-ES_tradnl"/>
        </w:rPr>
      </w:pPr>
      <w:r w:rsidRPr="007B2626">
        <w:rPr>
          <w:rStyle w:val="Refdenotaalpie"/>
          <w:rFonts w:ascii="Arial" w:hAnsi="Arial" w:cs="Arial"/>
          <w:color w:val="000000" w:themeColor="text1"/>
          <w:sz w:val="19"/>
          <w:szCs w:val="19"/>
          <w:lang w:val="es-ES_tradnl"/>
        </w:rPr>
        <w:footnoteRef/>
      </w:r>
      <w:r w:rsidRPr="007B2626">
        <w:rPr>
          <w:rFonts w:ascii="Arial" w:hAnsi="Arial" w:cs="Arial"/>
          <w:color w:val="000000" w:themeColor="text1"/>
          <w:sz w:val="19"/>
          <w:szCs w:val="19"/>
          <w:lang w:val="es-ES_tradnl"/>
        </w:rPr>
        <w:t xml:space="preserve"> La contratación de mínima cuantía es aquella que no excede el 10% de la menor cuantía, o sea, que no supera el 10% de los topes definidos en el artículo 2, numeral 2, literal b) de la Ley 1150 de 2007, que dispone: «Se entenderá por menor cuantía los valores que a continuación se relacionan, determinados en función de los presupuestos anuales de las entidades públicas expresados en salarios mínimos legales mensuales.</w:t>
      </w:r>
    </w:p>
    <w:p w14:paraId="682F4422" w14:textId="77777777" w:rsidR="004F507C" w:rsidRPr="007B2626" w:rsidRDefault="004F507C" w:rsidP="004F507C">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»Para las entidades que tengan un presupuesto anual superior o igual a 1.200.000 salarios mínimos legales mensuales, la menor cuantía será hasta 1.000 salarios mínimos legales mensuales.</w:t>
      </w:r>
    </w:p>
    <w:p w14:paraId="7855AC2F" w14:textId="77777777" w:rsidR="004F507C" w:rsidRPr="007B2626" w:rsidRDefault="004F507C" w:rsidP="004F507C">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»Las que tengan un presupuesto anual superior o igual a 850.000 salarios mínimos legales mensuales e inferiores a 1.200.000 salarios mínimos legales mensuales, la menor cuantía será hasta 850 salarios mínimos legales mensuales.</w:t>
      </w:r>
    </w:p>
    <w:p w14:paraId="09BB6D21" w14:textId="77777777" w:rsidR="004F507C" w:rsidRPr="007B2626" w:rsidRDefault="004F507C" w:rsidP="004F507C">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»Las que tengan un presupuesto anual superior o igual a 400.000 salarios mínimos legales mensuales e inferior a 850.000 salarios mínimos legales mensuales, la menor cuantía será hasta 650 salarios mínimos legales mensuales.</w:t>
      </w:r>
    </w:p>
    <w:p w14:paraId="76564DBF" w14:textId="77777777" w:rsidR="004F507C" w:rsidRPr="007B2626" w:rsidRDefault="004F507C" w:rsidP="004F507C">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»Las que tengan un presupuesto anual superior o igual a 120.000 salarios mínimos legales mensuales e inferior a 400.000 salarios mínimos legales mensuales, la menor cuantía será hasta 450 salarios mínimos legales mensuales.</w:t>
      </w:r>
    </w:p>
    <w:p w14:paraId="398ED527" w14:textId="5B9E23FE" w:rsidR="004F507C" w:rsidRPr="007B2626" w:rsidRDefault="004F507C" w:rsidP="007360BE">
      <w:pPr>
        <w:pStyle w:val="Textonotapie"/>
        <w:ind w:firstLine="709"/>
        <w:jc w:val="both"/>
        <w:rPr>
          <w:rFonts w:ascii="Arial" w:hAnsi="Arial" w:cs="Arial"/>
          <w:color w:val="000000" w:themeColor="text1"/>
          <w:sz w:val="19"/>
          <w:szCs w:val="19"/>
          <w:lang w:val="es-ES_tradnl"/>
        </w:rPr>
      </w:pPr>
      <w:r w:rsidRPr="007B2626">
        <w:rPr>
          <w:rFonts w:ascii="Arial" w:hAnsi="Arial" w:cs="Arial"/>
          <w:color w:val="000000" w:themeColor="text1"/>
          <w:sz w:val="19"/>
          <w:szCs w:val="19"/>
          <w:lang w:val="es-ES_tradnl"/>
        </w:rPr>
        <w:t>»Las que tengan un presupuesto anual inferior a 120.000 salarios mínimos legales mensuales, la menor cuantía será hasta 280 salarios mínimos legales mensuales».</w:t>
      </w:r>
    </w:p>
  </w:footnote>
  <w:footnote w:id="6">
    <w:p w14:paraId="2D541636" w14:textId="6D0E3783" w:rsidR="00F456EF" w:rsidRPr="009440FA" w:rsidRDefault="00F456EF" w:rsidP="00F456EF">
      <w:pPr>
        <w:pStyle w:val="Textonotapie"/>
        <w:ind w:firstLine="709"/>
        <w:jc w:val="both"/>
        <w:rPr>
          <w:rFonts w:ascii="Arial" w:hAnsi="Arial" w:cs="Arial"/>
          <w:sz w:val="19"/>
          <w:szCs w:val="19"/>
        </w:rPr>
      </w:pPr>
      <w:r>
        <w:rPr>
          <w:rStyle w:val="Refdenotaalpie"/>
        </w:rPr>
        <w:footnoteRef/>
      </w:r>
      <w:r>
        <w:t xml:space="preserve"> </w:t>
      </w:r>
      <w:r w:rsidRPr="009440FA">
        <w:rPr>
          <w:rFonts w:ascii="Arial" w:hAnsi="Arial" w:cs="Arial"/>
          <w:sz w:val="19"/>
          <w:szCs w:val="19"/>
        </w:rPr>
        <w:t xml:space="preserve">El Artículo 2.2.1.2.1.5.3. del Decreto 1082 de 2015 antes de la modificación del Decreto 1860 de 2021 disponía lo siguiente: </w:t>
      </w:r>
      <w:r w:rsidR="00F65A88" w:rsidRPr="008053EF">
        <w:rPr>
          <w:rFonts w:ascii="Arial" w:hAnsi="Arial" w:cs="Arial"/>
          <w:bCs/>
          <w:color w:val="000000"/>
          <w:sz w:val="19"/>
          <w:szCs w:val="19"/>
          <w:lang w:val="es-ES_tradnl"/>
        </w:rPr>
        <w:t>«</w:t>
      </w:r>
      <w:r w:rsidRPr="009440FA">
        <w:rPr>
          <w:rFonts w:ascii="Arial" w:hAnsi="Arial" w:cs="Arial"/>
          <w:sz w:val="19"/>
          <w:szCs w:val="19"/>
        </w:rPr>
        <w:t xml:space="preserve">Adquisición en Grandes Superficies cuando se trate de mínima cuantía. Las Entidades Estatales deben aplicar las siguientes reglas para adquirir bienes hasta por el monto de su mínima cuantía en Grandes Superficies: </w:t>
      </w:r>
    </w:p>
    <w:p w14:paraId="1DC406BA" w14:textId="101B3D62" w:rsidR="00F456EF" w:rsidRPr="009440FA" w:rsidRDefault="00F65A88" w:rsidP="00F456EF">
      <w:pPr>
        <w:pStyle w:val="Textonotapie"/>
        <w:ind w:firstLine="709"/>
        <w:jc w:val="both"/>
        <w:rPr>
          <w:rFonts w:ascii="Arial" w:hAnsi="Arial" w:cs="Arial"/>
          <w:sz w:val="19"/>
          <w:szCs w:val="19"/>
        </w:rPr>
      </w:pPr>
      <w:r w:rsidRPr="008053EF">
        <w:rPr>
          <w:rFonts w:ascii="Arial" w:hAnsi="Arial" w:cs="Arial"/>
          <w:bCs/>
          <w:color w:val="000000"/>
          <w:sz w:val="19"/>
          <w:szCs w:val="19"/>
          <w:lang w:val="es-ES_tradnl"/>
        </w:rPr>
        <w:t>«</w:t>
      </w:r>
      <w:r w:rsidR="00F456EF" w:rsidRPr="009440FA">
        <w:rPr>
          <w:rFonts w:ascii="Arial" w:hAnsi="Arial" w:cs="Arial"/>
          <w:sz w:val="19"/>
          <w:szCs w:val="19"/>
        </w:rPr>
        <w:t xml:space="preserve">1. La invitación debe estar dirigida a por lo menos dos (2) Grandes Superficies y debe contener: a) la descripción técnica, detallada y completa del bien, identificado con el cuarto nivel del Clasificador de Bienes y Servicios; b) la forma de pago; c) el lugar de entrega; d) el plazo para la entrega de la cotización que debe ser de un (1) día hábil; d) la forma y el lugar de presentación de la cotización, y e) la disponibilidad presupuestal. </w:t>
      </w:r>
    </w:p>
    <w:p w14:paraId="1480E6A8" w14:textId="000E8D6E" w:rsidR="00F456EF" w:rsidRPr="009440FA" w:rsidRDefault="00F65A88" w:rsidP="00F456EF">
      <w:pPr>
        <w:pStyle w:val="Textonotapie"/>
        <w:ind w:firstLine="709"/>
        <w:jc w:val="both"/>
        <w:rPr>
          <w:rFonts w:ascii="Arial" w:hAnsi="Arial" w:cs="Arial"/>
          <w:sz w:val="19"/>
          <w:szCs w:val="19"/>
        </w:rPr>
      </w:pPr>
      <w:r w:rsidRPr="008053EF">
        <w:rPr>
          <w:rFonts w:ascii="Arial" w:hAnsi="Arial" w:cs="Arial"/>
          <w:bCs/>
          <w:color w:val="000000"/>
          <w:sz w:val="19"/>
          <w:szCs w:val="19"/>
          <w:lang w:val="es-ES_tradnl"/>
        </w:rPr>
        <w:t>«</w:t>
      </w:r>
      <w:r w:rsidR="00F456EF" w:rsidRPr="009440FA">
        <w:rPr>
          <w:rFonts w:ascii="Arial" w:hAnsi="Arial" w:cs="Arial"/>
          <w:sz w:val="19"/>
          <w:szCs w:val="19"/>
        </w:rPr>
        <w:t xml:space="preserve">2. La Entidad Estatal debe evaluar las cotizaciones presentadas y seleccionar a quien, con las condiciones requeridas, ofrezca el menor precio del mercado y aceptar la mejor oferta. </w:t>
      </w:r>
    </w:p>
    <w:p w14:paraId="20DD563A" w14:textId="49546A9C" w:rsidR="00F456EF" w:rsidRPr="009440FA" w:rsidRDefault="00F65A88" w:rsidP="00F456EF">
      <w:pPr>
        <w:pStyle w:val="Textonotapie"/>
        <w:ind w:firstLine="709"/>
        <w:jc w:val="both"/>
        <w:rPr>
          <w:rFonts w:ascii="Arial" w:hAnsi="Arial" w:cs="Arial"/>
          <w:sz w:val="19"/>
          <w:szCs w:val="19"/>
        </w:rPr>
      </w:pPr>
      <w:r w:rsidRPr="008053EF">
        <w:rPr>
          <w:rFonts w:ascii="Arial" w:hAnsi="Arial" w:cs="Arial"/>
          <w:bCs/>
          <w:color w:val="000000"/>
          <w:sz w:val="19"/>
          <w:szCs w:val="19"/>
          <w:lang w:val="es-ES_tradnl"/>
        </w:rPr>
        <w:t>«</w:t>
      </w:r>
      <w:r w:rsidR="00F456EF" w:rsidRPr="009440FA">
        <w:rPr>
          <w:rFonts w:ascii="Arial" w:hAnsi="Arial" w:cs="Arial"/>
          <w:sz w:val="19"/>
          <w:szCs w:val="19"/>
        </w:rPr>
        <w:t xml:space="preserve">3. En caso de empate, la Entidad Estatal aceptará la oferta que haya sido presentada primero en el tiempo. </w:t>
      </w:r>
    </w:p>
    <w:p w14:paraId="238B87CB" w14:textId="681E4A1D" w:rsidR="00F456EF" w:rsidRPr="00F456EF" w:rsidRDefault="00F65A88" w:rsidP="00F456EF">
      <w:pPr>
        <w:pStyle w:val="Textonotapie"/>
        <w:ind w:firstLine="709"/>
        <w:jc w:val="both"/>
        <w:rPr>
          <w:lang w:val="es-CO"/>
        </w:rPr>
      </w:pPr>
      <w:r w:rsidRPr="008053EF">
        <w:rPr>
          <w:rFonts w:ascii="Arial" w:hAnsi="Arial" w:cs="Arial"/>
          <w:bCs/>
          <w:color w:val="000000"/>
          <w:sz w:val="19"/>
          <w:szCs w:val="19"/>
          <w:lang w:val="es-ES_tradnl"/>
        </w:rPr>
        <w:t>«</w:t>
      </w:r>
      <w:r w:rsidR="00F456EF" w:rsidRPr="009440FA">
        <w:rPr>
          <w:rFonts w:ascii="Arial" w:hAnsi="Arial" w:cs="Arial"/>
          <w:sz w:val="19"/>
          <w:szCs w:val="19"/>
        </w:rPr>
        <w:t>4. La oferta y su aceptación constituyen el contrato. (Decreto 1510 de 2013, artículo 86)</w:t>
      </w:r>
      <w:r w:rsidRPr="008053EF">
        <w:rPr>
          <w:rFonts w:ascii="Arial" w:hAnsi="Arial" w:cs="Arial"/>
          <w:bCs/>
          <w:color w:val="000000"/>
          <w:sz w:val="19"/>
          <w:szCs w:val="19"/>
          <w:lang w:val="es-ES_tradnl"/>
        </w:rPr>
        <w:t>»</w:t>
      </w:r>
      <w:r w:rsidRPr="009440FA">
        <w:rPr>
          <w:rFonts w:ascii="Arial" w:hAnsi="Arial" w:cs="Arial"/>
          <w:bCs/>
          <w:color w:val="000000"/>
          <w:sz w:val="19"/>
          <w:szCs w:val="19"/>
          <w:lang w:val="es-ES_tradnl"/>
        </w:rPr>
        <w:t>.</w:t>
      </w:r>
    </w:p>
  </w:footnote>
  <w:footnote w:id="7">
    <w:p w14:paraId="3713AE7E" w14:textId="01CF1416" w:rsidR="007F7B49" w:rsidRDefault="007F7B49" w:rsidP="007F7B49">
      <w:pPr>
        <w:pStyle w:val="Textonotapie"/>
        <w:ind w:firstLine="851"/>
        <w:jc w:val="both"/>
        <w:rPr>
          <w:rFonts w:ascii="Arial" w:hAnsi="Arial" w:cs="Arial"/>
          <w:sz w:val="19"/>
          <w:szCs w:val="19"/>
          <w:lang w:val="es-CO"/>
        </w:rPr>
      </w:pPr>
      <w:r>
        <w:rPr>
          <w:rStyle w:val="Refdenotaalpie"/>
        </w:rPr>
        <w:footnoteRef/>
      </w:r>
      <w:r>
        <w:t xml:space="preserve"> </w:t>
      </w:r>
      <w:r w:rsidRPr="007F7B49">
        <w:rPr>
          <w:rFonts w:ascii="Arial" w:hAnsi="Arial" w:cs="Arial"/>
          <w:sz w:val="19"/>
          <w:szCs w:val="19"/>
          <w:lang w:val="es-CO"/>
        </w:rPr>
        <w:t>Consejo de Estado. Sala de lo Contencioso Administrativo. Sentencia del 24 de julio de 2013. Radicación número 05001-23-31-000-1998-00833-01(25642). C.P: Enrique Gil Botero</w:t>
      </w:r>
      <w:r w:rsidR="00364E66">
        <w:rPr>
          <w:rFonts w:ascii="Arial" w:hAnsi="Arial" w:cs="Arial"/>
          <w:sz w:val="19"/>
          <w:szCs w:val="19"/>
          <w:lang w:val="es-CO"/>
        </w:rPr>
        <w:t>.</w:t>
      </w:r>
    </w:p>
    <w:p w14:paraId="00423516" w14:textId="77777777" w:rsidR="00364E66" w:rsidRPr="007F7B49" w:rsidRDefault="00364E66" w:rsidP="007F7B49">
      <w:pPr>
        <w:pStyle w:val="Textonotapie"/>
        <w:ind w:firstLine="851"/>
        <w:jc w:val="both"/>
        <w:rPr>
          <w:lang w:val="es-CO"/>
        </w:rPr>
      </w:pPr>
    </w:p>
  </w:footnote>
  <w:footnote w:id="8">
    <w:p w14:paraId="2F767188" w14:textId="06FB3D1A" w:rsidR="002B48E9" w:rsidRPr="00364E66" w:rsidRDefault="002B48E9" w:rsidP="00364E66">
      <w:pPr>
        <w:pStyle w:val="Textonotapie"/>
        <w:ind w:firstLine="709"/>
        <w:jc w:val="both"/>
        <w:rPr>
          <w:rFonts w:ascii="Arial" w:hAnsi="Arial" w:cs="Arial"/>
          <w:b/>
          <w:sz w:val="19"/>
          <w:szCs w:val="19"/>
          <w:lang w:val="es-ES"/>
        </w:rPr>
      </w:pPr>
      <w:r>
        <w:rPr>
          <w:rStyle w:val="Refdenotaalpie"/>
        </w:rPr>
        <w:footnoteRef/>
      </w:r>
      <w:r>
        <w:t xml:space="preserve"> </w:t>
      </w:r>
      <w:r w:rsidRPr="007F7B49">
        <w:rPr>
          <w:rFonts w:ascii="Arial" w:hAnsi="Arial" w:cs="Arial"/>
          <w:sz w:val="19"/>
          <w:szCs w:val="19"/>
          <w:lang w:val="es-CO"/>
        </w:rPr>
        <w:t>Consejo de Estado. S</w:t>
      </w:r>
      <w:r w:rsidR="00364E66">
        <w:rPr>
          <w:rFonts w:ascii="Arial" w:hAnsi="Arial" w:cs="Arial"/>
          <w:sz w:val="19"/>
          <w:szCs w:val="19"/>
          <w:lang w:val="es-CO"/>
        </w:rPr>
        <w:t>ección tercera.</w:t>
      </w:r>
      <w:r w:rsidRPr="007F7B49">
        <w:rPr>
          <w:rFonts w:ascii="Arial" w:hAnsi="Arial" w:cs="Arial"/>
          <w:sz w:val="19"/>
          <w:szCs w:val="19"/>
          <w:lang w:val="es-CO"/>
        </w:rPr>
        <w:t xml:space="preserve"> Sentencia del </w:t>
      </w:r>
      <w:r w:rsidR="00364E66">
        <w:rPr>
          <w:rFonts w:ascii="Arial" w:hAnsi="Arial" w:cs="Arial"/>
          <w:sz w:val="19"/>
          <w:szCs w:val="19"/>
          <w:lang w:val="es-CO"/>
        </w:rPr>
        <w:t>12</w:t>
      </w:r>
      <w:r w:rsidRPr="007F7B49">
        <w:rPr>
          <w:rFonts w:ascii="Arial" w:hAnsi="Arial" w:cs="Arial"/>
          <w:sz w:val="19"/>
          <w:szCs w:val="19"/>
          <w:lang w:val="es-CO"/>
        </w:rPr>
        <w:t xml:space="preserve"> de </w:t>
      </w:r>
      <w:r w:rsidR="00364E66">
        <w:rPr>
          <w:rFonts w:ascii="Arial" w:hAnsi="Arial" w:cs="Arial"/>
          <w:sz w:val="19"/>
          <w:szCs w:val="19"/>
          <w:lang w:val="es-CO"/>
        </w:rPr>
        <w:t>agosto</w:t>
      </w:r>
      <w:r w:rsidRPr="007F7B49">
        <w:rPr>
          <w:rFonts w:ascii="Arial" w:hAnsi="Arial" w:cs="Arial"/>
          <w:sz w:val="19"/>
          <w:szCs w:val="19"/>
          <w:lang w:val="es-CO"/>
        </w:rPr>
        <w:t xml:space="preserve"> de 201</w:t>
      </w:r>
      <w:r w:rsidR="00364E66">
        <w:rPr>
          <w:rFonts w:ascii="Arial" w:hAnsi="Arial" w:cs="Arial"/>
          <w:sz w:val="19"/>
          <w:szCs w:val="19"/>
          <w:lang w:val="es-CO"/>
        </w:rPr>
        <w:t>4</w:t>
      </w:r>
      <w:r w:rsidRPr="007F7B49">
        <w:rPr>
          <w:rFonts w:ascii="Arial" w:hAnsi="Arial" w:cs="Arial"/>
          <w:sz w:val="19"/>
          <w:szCs w:val="19"/>
          <w:lang w:val="es-CO"/>
        </w:rPr>
        <w:t xml:space="preserve">. Radicación número </w:t>
      </w:r>
      <w:r w:rsidR="00364E66" w:rsidRPr="00364E66">
        <w:rPr>
          <w:rFonts w:ascii="Arial" w:hAnsi="Arial" w:cs="Arial"/>
          <w:bCs/>
          <w:sz w:val="19"/>
          <w:szCs w:val="19"/>
          <w:lang w:val="es-ES"/>
        </w:rPr>
        <w:t>25000-23-26-000-1995-10866-01(26332</w:t>
      </w:r>
      <w:r w:rsidRPr="00364E66">
        <w:rPr>
          <w:rFonts w:ascii="Arial" w:hAnsi="Arial" w:cs="Arial"/>
          <w:bCs/>
          <w:sz w:val="19"/>
          <w:szCs w:val="19"/>
          <w:lang w:val="es-CO"/>
        </w:rPr>
        <w:t>).</w:t>
      </w:r>
      <w:r w:rsidRPr="007F7B49">
        <w:rPr>
          <w:rFonts w:ascii="Arial" w:hAnsi="Arial" w:cs="Arial"/>
          <w:sz w:val="19"/>
          <w:szCs w:val="19"/>
          <w:lang w:val="es-CO"/>
        </w:rPr>
        <w:t xml:space="preserve"> C.P: Enrique Gil Botero</w:t>
      </w:r>
      <w:r w:rsidR="00364E66">
        <w:rPr>
          <w:rFonts w:ascii="Arial" w:hAnsi="Arial" w:cs="Arial"/>
          <w:sz w:val="19"/>
          <w:szCs w:val="19"/>
          <w:lang w:val="es-CO"/>
        </w:rPr>
        <w:t>.</w:t>
      </w:r>
    </w:p>
  </w:footnote>
  <w:footnote w:id="9">
    <w:p w14:paraId="769BD359" w14:textId="73A02CCC" w:rsidR="009440FA" w:rsidRPr="009440FA" w:rsidRDefault="009440FA" w:rsidP="009440FA">
      <w:pPr>
        <w:pStyle w:val="Textonotapie"/>
        <w:ind w:firstLine="709"/>
        <w:jc w:val="both"/>
        <w:rPr>
          <w:rFonts w:ascii="Arial" w:hAnsi="Arial" w:cs="Arial"/>
          <w:sz w:val="19"/>
          <w:szCs w:val="19"/>
        </w:rPr>
      </w:pPr>
      <w:r w:rsidRPr="009440FA">
        <w:rPr>
          <w:rStyle w:val="Refdenotaalpie"/>
          <w:rFonts w:ascii="Arial" w:hAnsi="Arial" w:cs="Arial"/>
          <w:sz w:val="19"/>
          <w:szCs w:val="19"/>
        </w:rPr>
        <w:footnoteRef/>
      </w:r>
      <w:r w:rsidRPr="009440FA">
        <w:rPr>
          <w:rFonts w:ascii="Arial" w:hAnsi="Arial" w:cs="Arial"/>
          <w:sz w:val="19"/>
          <w:szCs w:val="19"/>
        </w:rPr>
        <w:t xml:space="preserve"> </w:t>
      </w:r>
      <w:r w:rsidRPr="008053EF">
        <w:rPr>
          <w:rFonts w:ascii="Arial" w:hAnsi="Arial" w:cs="Arial"/>
          <w:bCs/>
          <w:color w:val="000000"/>
          <w:sz w:val="19"/>
          <w:szCs w:val="19"/>
          <w:lang w:val="es-ES_tradnl"/>
        </w:rPr>
        <w:t>«</w:t>
      </w:r>
      <w:r w:rsidRPr="009440FA">
        <w:rPr>
          <w:rFonts w:ascii="Arial" w:hAnsi="Arial" w:cs="Arial"/>
          <w:sz w:val="19"/>
          <w:szCs w:val="19"/>
        </w:rPr>
        <w:t>Artículo 2.2.1.1.2.1.2. Aviso de convocatoria. El aviso de convocatoria para participar en un Proceso de Contratación debe contener la siguiente información, además de lo establecido para cada modalidad de selección:</w:t>
      </w:r>
    </w:p>
    <w:p w14:paraId="73F549C1" w14:textId="615DA8E2" w:rsidR="009440FA" w:rsidRPr="009440FA" w:rsidRDefault="009440FA" w:rsidP="009440FA">
      <w:pPr>
        <w:pStyle w:val="Textonotapie"/>
        <w:ind w:firstLine="709"/>
        <w:jc w:val="both"/>
        <w:rPr>
          <w:rFonts w:ascii="Arial" w:hAnsi="Arial" w:cs="Arial"/>
          <w:sz w:val="19"/>
          <w:szCs w:val="19"/>
        </w:rPr>
      </w:pPr>
      <w:r w:rsidRPr="008053EF">
        <w:rPr>
          <w:rFonts w:ascii="Arial" w:hAnsi="Arial" w:cs="Arial"/>
          <w:bCs/>
          <w:color w:val="000000"/>
          <w:sz w:val="19"/>
          <w:szCs w:val="19"/>
          <w:lang w:val="es-ES_tradnl"/>
        </w:rPr>
        <w:t>«</w:t>
      </w:r>
      <w:r w:rsidRPr="009440FA">
        <w:rPr>
          <w:rFonts w:ascii="Arial" w:hAnsi="Arial" w:cs="Arial"/>
          <w:sz w:val="19"/>
          <w:szCs w:val="19"/>
        </w:rPr>
        <w:t>1.El nombre y dirección de la Entidad Estatal.</w:t>
      </w:r>
    </w:p>
    <w:p w14:paraId="4CE815F6" w14:textId="6124CC01" w:rsidR="009440FA" w:rsidRPr="009440FA" w:rsidRDefault="009440FA" w:rsidP="009440FA">
      <w:pPr>
        <w:pStyle w:val="Textonotapie"/>
        <w:ind w:firstLine="709"/>
        <w:jc w:val="both"/>
        <w:rPr>
          <w:rFonts w:ascii="Arial" w:hAnsi="Arial" w:cs="Arial"/>
          <w:sz w:val="19"/>
          <w:szCs w:val="19"/>
        </w:rPr>
      </w:pPr>
      <w:r w:rsidRPr="008053EF">
        <w:rPr>
          <w:rFonts w:ascii="Arial" w:hAnsi="Arial" w:cs="Arial"/>
          <w:bCs/>
          <w:color w:val="000000"/>
          <w:sz w:val="19"/>
          <w:szCs w:val="19"/>
          <w:lang w:val="es-ES_tradnl"/>
        </w:rPr>
        <w:t>«</w:t>
      </w:r>
      <w:r w:rsidRPr="009440FA">
        <w:rPr>
          <w:rFonts w:ascii="Arial" w:hAnsi="Arial" w:cs="Arial"/>
          <w:sz w:val="19"/>
          <w:szCs w:val="19"/>
        </w:rPr>
        <w:t>2. La dirección, el correo electrónico y el teléfono en donde la Entidad Estatal atenderá a los interesados en el Proceso de Contratación, y la dirección y el correo electrónico en donde los proponentes deben presentar los documentos en desarrollo del Proceso de Contratación.</w:t>
      </w:r>
    </w:p>
    <w:p w14:paraId="42DF513A" w14:textId="5BB31D66" w:rsidR="009440FA" w:rsidRPr="009440FA" w:rsidRDefault="009440FA" w:rsidP="009440FA">
      <w:pPr>
        <w:pStyle w:val="Textonotapie"/>
        <w:ind w:firstLine="709"/>
        <w:jc w:val="both"/>
        <w:rPr>
          <w:rFonts w:ascii="Arial" w:hAnsi="Arial" w:cs="Arial"/>
          <w:sz w:val="19"/>
          <w:szCs w:val="19"/>
        </w:rPr>
      </w:pPr>
      <w:r w:rsidRPr="008053EF">
        <w:rPr>
          <w:rFonts w:ascii="Arial" w:hAnsi="Arial" w:cs="Arial"/>
          <w:bCs/>
          <w:color w:val="000000"/>
          <w:sz w:val="19"/>
          <w:szCs w:val="19"/>
          <w:lang w:val="es-ES_tradnl"/>
        </w:rPr>
        <w:t>«</w:t>
      </w:r>
      <w:r w:rsidRPr="009440FA">
        <w:rPr>
          <w:rFonts w:ascii="Arial" w:hAnsi="Arial" w:cs="Arial"/>
          <w:sz w:val="19"/>
          <w:szCs w:val="19"/>
        </w:rPr>
        <w:t>3. El objeto del contrato a celebrar, identificando las cantidades a adquirir.</w:t>
      </w:r>
    </w:p>
    <w:p w14:paraId="7340BBB6" w14:textId="017BC67F" w:rsidR="009440FA" w:rsidRPr="009440FA" w:rsidRDefault="009440FA" w:rsidP="009440FA">
      <w:pPr>
        <w:pStyle w:val="Textonotapie"/>
        <w:ind w:firstLine="709"/>
        <w:jc w:val="both"/>
        <w:rPr>
          <w:rFonts w:ascii="Arial" w:hAnsi="Arial" w:cs="Arial"/>
          <w:sz w:val="19"/>
          <w:szCs w:val="19"/>
        </w:rPr>
      </w:pPr>
      <w:r w:rsidRPr="008053EF">
        <w:rPr>
          <w:rFonts w:ascii="Arial" w:hAnsi="Arial" w:cs="Arial"/>
          <w:bCs/>
          <w:color w:val="000000"/>
          <w:sz w:val="19"/>
          <w:szCs w:val="19"/>
          <w:lang w:val="es-ES_tradnl"/>
        </w:rPr>
        <w:t>«</w:t>
      </w:r>
      <w:r w:rsidRPr="009440FA">
        <w:rPr>
          <w:rFonts w:ascii="Arial" w:hAnsi="Arial" w:cs="Arial"/>
          <w:sz w:val="19"/>
          <w:szCs w:val="19"/>
        </w:rPr>
        <w:t>4. La modalidad de selección del contratista.</w:t>
      </w:r>
    </w:p>
    <w:p w14:paraId="3DEF7455" w14:textId="047AB3F5" w:rsidR="009440FA" w:rsidRPr="009440FA" w:rsidRDefault="009440FA" w:rsidP="009440FA">
      <w:pPr>
        <w:pStyle w:val="Textonotapie"/>
        <w:ind w:firstLine="709"/>
        <w:jc w:val="both"/>
        <w:rPr>
          <w:rFonts w:ascii="Arial" w:hAnsi="Arial" w:cs="Arial"/>
          <w:sz w:val="19"/>
          <w:szCs w:val="19"/>
        </w:rPr>
      </w:pPr>
      <w:r w:rsidRPr="008053EF">
        <w:rPr>
          <w:rFonts w:ascii="Arial" w:hAnsi="Arial" w:cs="Arial"/>
          <w:bCs/>
          <w:color w:val="000000"/>
          <w:sz w:val="19"/>
          <w:szCs w:val="19"/>
          <w:lang w:val="es-ES_tradnl"/>
        </w:rPr>
        <w:t>«</w:t>
      </w:r>
      <w:r w:rsidRPr="009440FA">
        <w:rPr>
          <w:rFonts w:ascii="Arial" w:hAnsi="Arial" w:cs="Arial"/>
          <w:sz w:val="19"/>
          <w:szCs w:val="19"/>
        </w:rPr>
        <w:t>5. El plazo estimado del contrato.</w:t>
      </w:r>
    </w:p>
    <w:p w14:paraId="34FF1AC9" w14:textId="72566BDC" w:rsidR="009440FA" w:rsidRPr="009440FA" w:rsidRDefault="009440FA" w:rsidP="009440FA">
      <w:pPr>
        <w:pStyle w:val="Textonotapie"/>
        <w:ind w:firstLine="709"/>
        <w:jc w:val="both"/>
        <w:rPr>
          <w:rFonts w:ascii="Arial" w:hAnsi="Arial" w:cs="Arial"/>
          <w:sz w:val="19"/>
          <w:szCs w:val="19"/>
        </w:rPr>
      </w:pPr>
      <w:r w:rsidRPr="008053EF">
        <w:rPr>
          <w:rFonts w:ascii="Arial" w:hAnsi="Arial" w:cs="Arial"/>
          <w:bCs/>
          <w:color w:val="000000"/>
          <w:sz w:val="19"/>
          <w:szCs w:val="19"/>
          <w:lang w:val="es-ES_tradnl"/>
        </w:rPr>
        <w:t>«</w:t>
      </w:r>
      <w:r w:rsidRPr="009440FA">
        <w:rPr>
          <w:rFonts w:ascii="Arial" w:hAnsi="Arial" w:cs="Arial"/>
          <w:sz w:val="19"/>
          <w:szCs w:val="19"/>
        </w:rPr>
        <w:t>6. La fecha límite en la cual los interesados deben presentar su oferta y el lugar y forma de presentación de la misma.</w:t>
      </w:r>
    </w:p>
    <w:p w14:paraId="30684A81" w14:textId="7874C28C" w:rsidR="009440FA" w:rsidRPr="009440FA" w:rsidRDefault="009440FA" w:rsidP="009440FA">
      <w:pPr>
        <w:pStyle w:val="Textonotapie"/>
        <w:ind w:firstLine="709"/>
        <w:jc w:val="both"/>
        <w:rPr>
          <w:rFonts w:ascii="Arial" w:hAnsi="Arial" w:cs="Arial"/>
          <w:sz w:val="19"/>
          <w:szCs w:val="19"/>
        </w:rPr>
      </w:pPr>
      <w:r w:rsidRPr="008053EF">
        <w:rPr>
          <w:rFonts w:ascii="Arial" w:hAnsi="Arial" w:cs="Arial"/>
          <w:bCs/>
          <w:color w:val="000000"/>
          <w:sz w:val="19"/>
          <w:szCs w:val="19"/>
          <w:lang w:val="es-ES_tradnl"/>
        </w:rPr>
        <w:t>«</w:t>
      </w:r>
      <w:r w:rsidRPr="009440FA">
        <w:rPr>
          <w:rFonts w:ascii="Arial" w:hAnsi="Arial" w:cs="Arial"/>
          <w:sz w:val="19"/>
          <w:szCs w:val="19"/>
        </w:rPr>
        <w:t>7.  El valor estimado del contrato y la manifestación expresa de que la Entidad Estatal cuenta con la disponibilidad presupuestal.</w:t>
      </w:r>
    </w:p>
    <w:p w14:paraId="713F516F" w14:textId="32587DE8" w:rsidR="009440FA" w:rsidRPr="009440FA" w:rsidRDefault="009440FA" w:rsidP="009440FA">
      <w:pPr>
        <w:pStyle w:val="Textonotapie"/>
        <w:ind w:firstLine="709"/>
        <w:jc w:val="both"/>
        <w:rPr>
          <w:rFonts w:ascii="Arial" w:hAnsi="Arial" w:cs="Arial"/>
          <w:sz w:val="19"/>
          <w:szCs w:val="19"/>
        </w:rPr>
      </w:pPr>
      <w:r w:rsidRPr="008053EF">
        <w:rPr>
          <w:rFonts w:ascii="Arial" w:hAnsi="Arial" w:cs="Arial"/>
          <w:bCs/>
          <w:color w:val="000000"/>
          <w:sz w:val="19"/>
          <w:szCs w:val="19"/>
          <w:lang w:val="es-ES_tradnl"/>
        </w:rPr>
        <w:t>«</w:t>
      </w:r>
      <w:r w:rsidRPr="009440FA">
        <w:rPr>
          <w:rFonts w:ascii="Arial" w:hAnsi="Arial" w:cs="Arial"/>
          <w:sz w:val="19"/>
          <w:szCs w:val="19"/>
        </w:rPr>
        <w:t>8.  Mención de si la contratación está cobijada por un Acuerdo Comercial.</w:t>
      </w:r>
    </w:p>
    <w:p w14:paraId="70FEFC09" w14:textId="07E2E94D" w:rsidR="009440FA" w:rsidRPr="009440FA" w:rsidRDefault="009440FA" w:rsidP="009440FA">
      <w:pPr>
        <w:pStyle w:val="Textonotapie"/>
        <w:ind w:firstLine="709"/>
        <w:jc w:val="both"/>
        <w:rPr>
          <w:rFonts w:ascii="Arial" w:hAnsi="Arial" w:cs="Arial"/>
          <w:sz w:val="19"/>
          <w:szCs w:val="19"/>
        </w:rPr>
      </w:pPr>
      <w:r w:rsidRPr="008053EF">
        <w:rPr>
          <w:rFonts w:ascii="Arial" w:hAnsi="Arial" w:cs="Arial"/>
          <w:bCs/>
          <w:color w:val="000000"/>
          <w:sz w:val="19"/>
          <w:szCs w:val="19"/>
          <w:lang w:val="es-ES_tradnl"/>
        </w:rPr>
        <w:t>«</w:t>
      </w:r>
      <w:r w:rsidRPr="009440FA">
        <w:rPr>
          <w:rFonts w:ascii="Arial" w:hAnsi="Arial" w:cs="Arial"/>
          <w:sz w:val="19"/>
          <w:szCs w:val="19"/>
        </w:rPr>
        <w:t>9.  Mención de si la convocatoria es susceptible de ser limitada a Mipyme.</w:t>
      </w:r>
    </w:p>
    <w:p w14:paraId="09FF64FC" w14:textId="271CF568" w:rsidR="009440FA" w:rsidRPr="009440FA" w:rsidRDefault="009440FA" w:rsidP="009440FA">
      <w:pPr>
        <w:pStyle w:val="Textonotapie"/>
        <w:ind w:firstLine="709"/>
        <w:jc w:val="both"/>
        <w:rPr>
          <w:rFonts w:ascii="Arial" w:hAnsi="Arial" w:cs="Arial"/>
          <w:sz w:val="19"/>
          <w:szCs w:val="19"/>
        </w:rPr>
      </w:pPr>
      <w:r w:rsidRPr="008053EF">
        <w:rPr>
          <w:rFonts w:ascii="Arial" w:hAnsi="Arial" w:cs="Arial"/>
          <w:bCs/>
          <w:color w:val="000000"/>
          <w:sz w:val="19"/>
          <w:szCs w:val="19"/>
          <w:lang w:val="es-ES_tradnl"/>
        </w:rPr>
        <w:t>«</w:t>
      </w:r>
      <w:r w:rsidRPr="009440FA">
        <w:rPr>
          <w:rFonts w:ascii="Arial" w:hAnsi="Arial" w:cs="Arial"/>
          <w:sz w:val="19"/>
          <w:szCs w:val="19"/>
        </w:rPr>
        <w:t>10. Enumeración y breve descripción de las condiciones para participar en el Proceso de Contratación.</w:t>
      </w:r>
    </w:p>
    <w:p w14:paraId="7CF91BC1" w14:textId="1CFF66BB" w:rsidR="009440FA" w:rsidRPr="009440FA" w:rsidRDefault="009440FA" w:rsidP="009440FA">
      <w:pPr>
        <w:pStyle w:val="Textonotapie"/>
        <w:ind w:firstLine="709"/>
        <w:jc w:val="both"/>
        <w:rPr>
          <w:rFonts w:ascii="Arial" w:hAnsi="Arial" w:cs="Arial"/>
          <w:sz w:val="19"/>
          <w:szCs w:val="19"/>
        </w:rPr>
      </w:pPr>
      <w:r w:rsidRPr="008053EF">
        <w:rPr>
          <w:rFonts w:ascii="Arial" w:hAnsi="Arial" w:cs="Arial"/>
          <w:bCs/>
          <w:color w:val="000000"/>
          <w:sz w:val="19"/>
          <w:szCs w:val="19"/>
          <w:lang w:val="es-ES_tradnl"/>
        </w:rPr>
        <w:t>«</w:t>
      </w:r>
      <w:r w:rsidRPr="009440FA">
        <w:rPr>
          <w:rFonts w:ascii="Arial" w:hAnsi="Arial" w:cs="Arial"/>
          <w:sz w:val="19"/>
          <w:szCs w:val="19"/>
        </w:rPr>
        <w:t>11. Indicar si en el Proceso de Contratación hay lugar a precalificación.</w:t>
      </w:r>
    </w:p>
    <w:p w14:paraId="5F415B50" w14:textId="0D14E682" w:rsidR="009440FA" w:rsidRPr="009440FA" w:rsidRDefault="009440FA" w:rsidP="009440FA">
      <w:pPr>
        <w:pStyle w:val="Textonotapie"/>
        <w:ind w:firstLine="709"/>
        <w:jc w:val="both"/>
        <w:rPr>
          <w:rFonts w:ascii="Arial" w:hAnsi="Arial" w:cs="Arial"/>
          <w:sz w:val="19"/>
          <w:szCs w:val="19"/>
        </w:rPr>
      </w:pPr>
      <w:r w:rsidRPr="008053EF">
        <w:rPr>
          <w:rFonts w:ascii="Arial" w:hAnsi="Arial" w:cs="Arial"/>
          <w:bCs/>
          <w:color w:val="000000"/>
          <w:sz w:val="19"/>
          <w:szCs w:val="19"/>
          <w:lang w:val="es-ES_tradnl"/>
        </w:rPr>
        <w:t>«</w:t>
      </w:r>
      <w:r w:rsidRPr="009440FA">
        <w:rPr>
          <w:rFonts w:ascii="Arial" w:hAnsi="Arial" w:cs="Arial"/>
          <w:sz w:val="19"/>
          <w:szCs w:val="19"/>
        </w:rPr>
        <w:t>12. El Cronograma.</w:t>
      </w:r>
    </w:p>
    <w:p w14:paraId="12B7DDBF" w14:textId="75DBC325" w:rsidR="009440FA" w:rsidRPr="009440FA" w:rsidRDefault="009440FA" w:rsidP="009440FA">
      <w:pPr>
        <w:pStyle w:val="Textonotapie"/>
        <w:ind w:firstLine="709"/>
        <w:jc w:val="both"/>
        <w:rPr>
          <w:rFonts w:ascii="Arial" w:hAnsi="Arial" w:cs="Arial"/>
          <w:sz w:val="19"/>
          <w:szCs w:val="19"/>
        </w:rPr>
      </w:pPr>
      <w:r w:rsidRPr="008053EF">
        <w:rPr>
          <w:rFonts w:ascii="Arial" w:hAnsi="Arial" w:cs="Arial"/>
          <w:bCs/>
          <w:color w:val="000000"/>
          <w:sz w:val="19"/>
          <w:szCs w:val="19"/>
          <w:lang w:val="es-ES_tradnl"/>
        </w:rPr>
        <w:t>«</w:t>
      </w:r>
      <w:r w:rsidRPr="009440FA">
        <w:rPr>
          <w:rFonts w:ascii="Arial" w:hAnsi="Arial" w:cs="Arial"/>
          <w:sz w:val="19"/>
          <w:szCs w:val="19"/>
        </w:rPr>
        <w:t>13. La forma como los interesados pueden consultar los Documentos del Proceso.</w:t>
      </w:r>
    </w:p>
    <w:p w14:paraId="640F5F6A" w14:textId="66A416E3" w:rsidR="009440FA" w:rsidRPr="009440FA" w:rsidRDefault="009440FA" w:rsidP="009440FA">
      <w:pPr>
        <w:pStyle w:val="Textonotapie"/>
        <w:ind w:firstLine="709"/>
        <w:jc w:val="both"/>
        <w:rPr>
          <w:lang w:val="es-CO"/>
        </w:rPr>
      </w:pPr>
      <w:r w:rsidRPr="008053EF">
        <w:rPr>
          <w:rFonts w:ascii="Arial" w:hAnsi="Arial" w:cs="Arial"/>
          <w:bCs/>
          <w:color w:val="000000"/>
          <w:sz w:val="19"/>
          <w:szCs w:val="19"/>
          <w:lang w:val="es-ES_tradnl"/>
        </w:rPr>
        <w:t>«</w:t>
      </w:r>
      <w:r w:rsidRPr="009440FA">
        <w:rPr>
          <w:rFonts w:ascii="Arial" w:hAnsi="Arial" w:cs="Arial"/>
          <w:sz w:val="19"/>
          <w:szCs w:val="19"/>
        </w:rPr>
        <w:t>En los Procesos de Contratación adelantados bajo las modalidades de selección de mí­nima cuantía y contratación directa, no es necesaria la expedición y publicación del aviso de convocatoria en el SECOP</w:t>
      </w:r>
      <w:r w:rsidRPr="008053EF">
        <w:rPr>
          <w:rFonts w:ascii="Arial" w:hAnsi="Arial" w:cs="Arial"/>
          <w:bCs/>
          <w:color w:val="000000"/>
          <w:sz w:val="19"/>
          <w:szCs w:val="19"/>
          <w:lang w:val="es-ES_tradnl"/>
        </w:rPr>
        <w:t>»</w:t>
      </w:r>
      <w:r w:rsidRPr="009440FA">
        <w:rPr>
          <w:rFonts w:ascii="Arial" w:hAnsi="Arial" w:cs="Arial"/>
          <w:sz w:val="19"/>
          <w:szCs w:val="19"/>
        </w:rPr>
        <w:t>.</w:t>
      </w:r>
    </w:p>
  </w:footnote>
  <w:footnote w:id="10">
    <w:p w14:paraId="1F5EB96E" w14:textId="386FCA68" w:rsidR="00D4274C" w:rsidRPr="00E61E09" w:rsidRDefault="00D4274C" w:rsidP="00D4274C">
      <w:pPr>
        <w:pStyle w:val="Textonotapie"/>
        <w:ind w:firstLine="708"/>
        <w:jc w:val="both"/>
        <w:rPr>
          <w:rFonts w:ascii="Arial" w:hAnsi="Arial" w:cs="Arial"/>
          <w:sz w:val="19"/>
          <w:szCs w:val="19"/>
          <w:lang w:val="es-ES"/>
        </w:rPr>
      </w:pPr>
      <w:r w:rsidRPr="00E61E09">
        <w:rPr>
          <w:rStyle w:val="Refdenotaalpie"/>
          <w:rFonts w:ascii="Arial" w:hAnsi="Arial" w:cs="Arial"/>
          <w:sz w:val="19"/>
          <w:szCs w:val="19"/>
        </w:rPr>
        <w:footnoteRef/>
      </w:r>
      <w:r w:rsidRPr="00E61E09">
        <w:rPr>
          <w:rFonts w:ascii="Arial" w:hAnsi="Arial" w:cs="Arial"/>
          <w:sz w:val="19"/>
          <w:szCs w:val="19"/>
        </w:rPr>
        <w:t xml:space="preserve"> </w:t>
      </w:r>
      <w:r>
        <w:rPr>
          <w:rFonts w:ascii="Arial" w:hAnsi="Arial" w:cs="Arial"/>
          <w:sz w:val="19"/>
          <w:szCs w:val="19"/>
        </w:rPr>
        <w:t xml:space="preserve">A esto se </w:t>
      </w:r>
      <w:r w:rsidRPr="00E61E09">
        <w:rPr>
          <w:rFonts w:ascii="Arial" w:hAnsi="Arial" w:cs="Arial"/>
          <w:sz w:val="19"/>
          <w:szCs w:val="19"/>
        </w:rPr>
        <w:t xml:space="preserve">refiere el numeral 1.3 de la </w:t>
      </w:r>
      <w:r w:rsidR="00BA6602" w:rsidRPr="00E61E09">
        <w:rPr>
          <w:rFonts w:ascii="Arial" w:hAnsi="Arial" w:cs="Arial"/>
          <w:sz w:val="19"/>
          <w:szCs w:val="19"/>
        </w:rPr>
        <w:t>Circular</w:t>
      </w:r>
      <w:r w:rsidRPr="00E61E09">
        <w:rPr>
          <w:rFonts w:ascii="Arial" w:hAnsi="Arial" w:cs="Arial"/>
          <w:sz w:val="19"/>
          <w:szCs w:val="19"/>
        </w:rPr>
        <w:t xml:space="preserve"> Externa Única cuando explica que es</w:t>
      </w:r>
      <w:r>
        <w:rPr>
          <w:rFonts w:ascii="Arial" w:hAnsi="Arial" w:cs="Arial"/>
          <w:sz w:val="19"/>
          <w:szCs w:val="19"/>
        </w:rPr>
        <w:t xml:space="preserve"> una</w:t>
      </w:r>
      <w:r w:rsidRPr="00E61E09">
        <w:rPr>
          <w:rFonts w:ascii="Arial" w:hAnsi="Arial" w:cs="Arial"/>
          <w:sz w:val="19"/>
          <w:szCs w:val="19"/>
        </w:rPr>
        <w:t xml:space="preserve"> «Plataforma en la cual las entidades que contratan con cargo a recursos públicos publican los Documentos del Proceso. El SECOP I es una plataforma exclusivamente de publicidad».</w:t>
      </w:r>
    </w:p>
  </w:footnote>
  <w:footnote w:id="11">
    <w:p w14:paraId="0FFC78F8" w14:textId="77777777" w:rsidR="00D4274C" w:rsidRDefault="00D4274C" w:rsidP="00D4274C">
      <w:pPr>
        <w:pStyle w:val="Textonotapie"/>
        <w:ind w:firstLine="708"/>
        <w:jc w:val="both"/>
        <w:rPr>
          <w:rFonts w:ascii="Arial" w:hAnsi="Arial" w:cs="Arial"/>
          <w:sz w:val="19"/>
          <w:szCs w:val="19"/>
        </w:rPr>
      </w:pPr>
      <w:r w:rsidRPr="00693CC2">
        <w:rPr>
          <w:rStyle w:val="Refdenotaalpie"/>
          <w:rFonts w:ascii="Arial" w:hAnsi="Arial" w:cs="Arial"/>
          <w:sz w:val="19"/>
          <w:szCs w:val="19"/>
        </w:rPr>
        <w:footnoteRef/>
      </w:r>
      <w:r w:rsidRPr="00693CC2">
        <w:rPr>
          <w:rFonts w:ascii="Arial" w:hAnsi="Arial" w:cs="Arial"/>
          <w:sz w:val="19"/>
          <w:szCs w:val="19"/>
        </w:rPr>
        <w:t xml:space="preserve"> No en vano, el numeral 1.3 de la Círcular Externa Única cuando explica que el SECOP II es la «Plataforma transaccional para gestionar en línea todos los Procesos de Contratación, con cuentas para entidades y proveedores; y vista pública para cualquier tercero interesado en hacer seguimiento a la contratación pública».</w:t>
      </w:r>
    </w:p>
    <w:p w14:paraId="63B98AEC" w14:textId="77777777" w:rsidR="00D4274C" w:rsidRPr="00693CC2" w:rsidRDefault="00D4274C" w:rsidP="00D4274C">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3F4DC003" w:rsidR="00E2520A" w:rsidRDefault="0089572F">
    <w:r>
      <w:rPr>
        <w:noProof/>
      </w:rPr>
      <w:drawing>
        <wp:anchor distT="0" distB="0" distL="114300" distR="114300" simplePos="0" relativeHeight="251659264" behindDoc="0" locked="0" layoutInCell="1" allowOverlap="1" wp14:anchorId="161214BD" wp14:editId="2F96D3A4">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3CBD2553"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687214159">
    <w:abstractNumId w:val="15"/>
  </w:num>
  <w:num w:numId="2" w16cid:durableId="1809861339">
    <w:abstractNumId w:val="13"/>
  </w:num>
  <w:num w:numId="3" w16cid:durableId="351273241">
    <w:abstractNumId w:val="22"/>
  </w:num>
  <w:num w:numId="4" w16cid:durableId="715202504">
    <w:abstractNumId w:val="27"/>
  </w:num>
  <w:num w:numId="5" w16cid:durableId="767848745">
    <w:abstractNumId w:val="31"/>
  </w:num>
  <w:num w:numId="6" w16cid:durableId="161560083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6381089">
    <w:abstractNumId w:val="28"/>
  </w:num>
  <w:num w:numId="8" w16cid:durableId="499739632">
    <w:abstractNumId w:val="3"/>
  </w:num>
  <w:num w:numId="9" w16cid:durableId="282345947">
    <w:abstractNumId w:val="8"/>
  </w:num>
  <w:num w:numId="10" w16cid:durableId="7058302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55529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745129">
    <w:abstractNumId w:val="14"/>
  </w:num>
  <w:num w:numId="13" w16cid:durableId="162163681">
    <w:abstractNumId w:val="20"/>
  </w:num>
  <w:num w:numId="14" w16cid:durableId="796795973">
    <w:abstractNumId w:val="11"/>
  </w:num>
  <w:num w:numId="15" w16cid:durableId="165710431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607054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9811561">
    <w:abstractNumId w:val="33"/>
  </w:num>
  <w:num w:numId="18" w16cid:durableId="443576653">
    <w:abstractNumId w:val="23"/>
  </w:num>
  <w:num w:numId="19" w16cid:durableId="1009867125">
    <w:abstractNumId w:val="7"/>
  </w:num>
  <w:num w:numId="20" w16cid:durableId="1616280541">
    <w:abstractNumId w:val="34"/>
  </w:num>
  <w:num w:numId="21" w16cid:durableId="919558470">
    <w:abstractNumId w:val="25"/>
  </w:num>
  <w:num w:numId="22" w16cid:durableId="1461218948">
    <w:abstractNumId w:val="10"/>
  </w:num>
  <w:num w:numId="23" w16cid:durableId="1832942891">
    <w:abstractNumId w:val="9"/>
  </w:num>
  <w:num w:numId="24" w16cid:durableId="916786807">
    <w:abstractNumId w:val="29"/>
  </w:num>
  <w:num w:numId="25" w16cid:durableId="1082021048">
    <w:abstractNumId w:val="17"/>
  </w:num>
  <w:num w:numId="26" w16cid:durableId="1691950187">
    <w:abstractNumId w:val="32"/>
  </w:num>
  <w:num w:numId="27" w16cid:durableId="1238395668">
    <w:abstractNumId w:val="36"/>
  </w:num>
  <w:num w:numId="28" w16cid:durableId="798844012">
    <w:abstractNumId w:val="21"/>
  </w:num>
  <w:num w:numId="29" w16cid:durableId="801849831">
    <w:abstractNumId w:val="2"/>
  </w:num>
  <w:num w:numId="30" w16cid:durableId="1445543345">
    <w:abstractNumId w:val="24"/>
  </w:num>
  <w:num w:numId="31" w16cid:durableId="859784767">
    <w:abstractNumId w:val="18"/>
  </w:num>
  <w:num w:numId="32" w16cid:durableId="1029526345">
    <w:abstractNumId w:val="26"/>
  </w:num>
  <w:num w:numId="33" w16cid:durableId="174854216">
    <w:abstractNumId w:val="35"/>
  </w:num>
  <w:num w:numId="34" w16cid:durableId="168646196">
    <w:abstractNumId w:val="16"/>
  </w:num>
  <w:num w:numId="35" w16cid:durableId="2033190600">
    <w:abstractNumId w:val="1"/>
  </w:num>
  <w:num w:numId="36" w16cid:durableId="1743260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86021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87526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271257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12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C40"/>
    <w:rsid w:val="000112B4"/>
    <w:rsid w:val="00011DCC"/>
    <w:rsid w:val="00012532"/>
    <w:rsid w:val="00012B9E"/>
    <w:rsid w:val="00012FBA"/>
    <w:rsid w:val="00013C6B"/>
    <w:rsid w:val="0001406B"/>
    <w:rsid w:val="000143F8"/>
    <w:rsid w:val="00014624"/>
    <w:rsid w:val="000147ED"/>
    <w:rsid w:val="00015695"/>
    <w:rsid w:val="00015B44"/>
    <w:rsid w:val="00016081"/>
    <w:rsid w:val="000165AC"/>
    <w:rsid w:val="00016651"/>
    <w:rsid w:val="00016881"/>
    <w:rsid w:val="000171A2"/>
    <w:rsid w:val="00017B65"/>
    <w:rsid w:val="00020158"/>
    <w:rsid w:val="000207E0"/>
    <w:rsid w:val="00020D87"/>
    <w:rsid w:val="00020F8F"/>
    <w:rsid w:val="00021A95"/>
    <w:rsid w:val="00021C0A"/>
    <w:rsid w:val="00021F62"/>
    <w:rsid w:val="0002256F"/>
    <w:rsid w:val="0002296A"/>
    <w:rsid w:val="00023DAE"/>
    <w:rsid w:val="00023FA5"/>
    <w:rsid w:val="00024592"/>
    <w:rsid w:val="00024896"/>
    <w:rsid w:val="000258A6"/>
    <w:rsid w:val="00026092"/>
    <w:rsid w:val="000263F0"/>
    <w:rsid w:val="00026407"/>
    <w:rsid w:val="000264F6"/>
    <w:rsid w:val="00026608"/>
    <w:rsid w:val="00026B36"/>
    <w:rsid w:val="0002738B"/>
    <w:rsid w:val="00027545"/>
    <w:rsid w:val="00027787"/>
    <w:rsid w:val="000278D2"/>
    <w:rsid w:val="00031384"/>
    <w:rsid w:val="000315E1"/>
    <w:rsid w:val="0003236E"/>
    <w:rsid w:val="00033295"/>
    <w:rsid w:val="0003339A"/>
    <w:rsid w:val="000339D4"/>
    <w:rsid w:val="00033B3F"/>
    <w:rsid w:val="00034134"/>
    <w:rsid w:val="000341F2"/>
    <w:rsid w:val="00034651"/>
    <w:rsid w:val="000351F2"/>
    <w:rsid w:val="00035224"/>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447"/>
    <w:rsid w:val="000449D4"/>
    <w:rsid w:val="000466E8"/>
    <w:rsid w:val="00046717"/>
    <w:rsid w:val="00046A63"/>
    <w:rsid w:val="00046C09"/>
    <w:rsid w:val="0004716A"/>
    <w:rsid w:val="00047316"/>
    <w:rsid w:val="00047385"/>
    <w:rsid w:val="000473E8"/>
    <w:rsid w:val="000504DE"/>
    <w:rsid w:val="00051074"/>
    <w:rsid w:val="0005211A"/>
    <w:rsid w:val="00052B79"/>
    <w:rsid w:val="00052EA0"/>
    <w:rsid w:val="000536E3"/>
    <w:rsid w:val="00054252"/>
    <w:rsid w:val="0005474D"/>
    <w:rsid w:val="00055CB9"/>
    <w:rsid w:val="00056EF1"/>
    <w:rsid w:val="00056F22"/>
    <w:rsid w:val="00056F66"/>
    <w:rsid w:val="0005702F"/>
    <w:rsid w:val="00057661"/>
    <w:rsid w:val="0005779C"/>
    <w:rsid w:val="00061D06"/>
    <w:rsid w:val="0006294B"/>
    <w:rsid w:val="00062CDD"/>
    <w:rsid w:val="00063FA5"/>
    <w:rsid w:val="000640AF"/>
    <w:rsid w:val="00064940"/>
    <w:rsid w:val="00064CAE"/>
    <w:rsid w:val="00064DB7"/>
    <w:rsid w:val="00064FA7"/>
    <w:rsid w:val="00065195"/>
    <w:rsid w:val="00070AF1"/>
    <w:rsid w:val="000714DE"/>
    <w:rsid w:val="0007254F"/>
    <w:rsid w:val="00073C30"/>
    <w:rsid w:val="00074305"/>
    <w:rsid w:val="00074B2A"/>
    <w:rsid w:val="00075108"/>
    <w:rsid w:val="00075B3E"/>
    <w:rsid w:val="00076456"/>
    <w:rsid w:val="00076604"/>
    <w:rsid w:val="0007779B"/>
    <w:rsid w:val="000777E7"/>
    <w:rsid w:val="0007790A"/>
    <w:rsid w:val="0008017B"/>
    <w:rsid w:val="00080287"/>
    <w:rsid w:val="00080ACD"/>
    <w:rsid w:val="000811ED"/>
    <w:rsid w:val="00081284"/>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86B"/>
    <w:rsid w:val="00086B2A"/>
    <w:rsid w:val="00086ED2"/>
    <w:rsid w:val="000914D6"/>
    <w:rsid w:val="00091569"/>
    <w:rsid w:val="00092DCA"/>
    <w:rsid w:val="000935F8"/>
    <w:rsid w:val="00093C51"/>
    <w:rsid w:val="000942EB"/>
    <w:rsid w:val="00095B70"/>
    <w:rsid w:val="00095C0D"/>
    <w:rsid w:val="0009617E"/>
    <w:rsid w:val="00096489"/>
    <w:rsid w:val="000979CF"/>
    <w:rsid w:val="00097A00"/>
    <w:rsid w:val="00097B0C"/>
    <w:rsid w:val="000A03C8"/>
    <w:rsid w:val="000A05F2"/>
    <w:rsid w:val="000A06C4"/>
    <w:rsid w:val="000A0861"/>
    <w:rsid w:val="000A0ED1"/>
    <w:rsid w:val="000A12DB"/>
    <w:rsid w:val="000A17C8"/>
    <w:rsid w:val="000A1AEE"/>
    <w:rsid w:val="000A20D7"/>
    <w:rsid w:val="000A2128"/>
    <w:rsid w:val="000A362F"/>
    <w:rsid w:val="000A39AF"/>
    <w:rsid w:val="000A3B49"/>
    <w:rsid w:val="000A41BA"/>
    <w:rsid w:val="000A446A"/>
    <w:rsid w:val="000A5AAF"/>
    <w:rsid w:val="000A5F97"/>
    <w:rsid w:val="000A648E"/>
    <w:rsid w:val="000A73BB"/>
    <w:rsid w:val="000A7EF4"/>
    <w:rsid w:val="000B09AF"/>
    <w:rsid w:val="000B0A15"/>
    <w:rsid w:val="000B0DF3"/>
    <w:rsid w:val="000B103F"/>
    <w:rsid w:val="000B1437"/>
    <w:rsid w:val="000B1470"/>
    <w:rsid w:val="000B2B86"/>
    <w:rsid w:val="000B3051"/>
    <w:rsid w:val="000B419B"/>
    <w:rsid w:val="000B4716"/>
    <w:rsid w:val="000B5781"/>
    <w:rsid w:val="000B5891"/>
    <w:rsid w:val="000B6E4B"/>
    <w:rsid w:val="000C0185"/>
    <w:rsid w:val="000C0444"/>
    <w:rsid w:val="000C0960"/>
    <w:rsid w:val="000C0F81"/>
    <w:rsid w:val="000C128D"/>
    <w:rsid w:val="000C17A3"/>
    <w:rsid w:val="000C1D4B"/>
    <w:rsid w:val="000C3260"/>
    <w:rsid w:val="000C3616"/>
    <w:rsid w:val="000C3803"/>
    <w:rsid w:val="000C3B77"/>
    <w:rsid w:val="000C4F49"/>
    <w:rsid w:val="000C5861"/>
    <w:rsid w:val="000C5A63"/>
    <w:rsid w:val="000C639D"/>
    <w:rsid w:val="000C67BB"/>
    <w:rsid w:val="000C6C31"/>
    <w:rsid w:val="000C6DBC"/>
    <w:rsid w:val="000C6E28"/>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2109"/>
    <w:rsid w:val="000E22CF"/>
    <w:rsid w:val="000E2977"/>
    <w:rsid w:val="000E2B36"/>
    <w:rsid w:val="000E30AC"/>
    <w:rsid w:val="000E3B46"/>
    <w:rsid w:val="000E3E11"/>
    <w:rsid w:val="000E4596"/>
    <w:rsid w:val="000E5768"/>
    <w:rsid w:val="000E5843"/>
    <w:rsid w:val="000E6139"/>
    <w:rsid w:val="000E6B73"/>
    <w:rsid w:val="000E6BE1"/>
    <w:rsid w:val="000E6DDE"/>
    <w:rsid w:val="000E739A"/>
    <w:rsid w:val="000E7E0B"/>
    <w:rsid w:val="000F078A"/>
    <w:rsid w:val="000F122D"/>
    <w:rsid w:val="000F1450"/>
    <w:rsid w:val="000F14E8"/>
    <w:rsid w:val="000F16F5"/>
    <w:rsid w:val="000F1BBD"/>
    <w:rsid w:val="000F2739"/>
    <w:rsid w:val="000F3138"/>
    <w:rsid w:val="000F3D39"/>
    <w:rsid w:val="000F4403"/>
    <w:rsid w:val="000F4C3F"/>
    <w:rsid w:val="000F4E17"/>
    <w:rsid w:val="000F636A"/>
    <w:rsid w:val="000F6578"/>
    <w:rsid w:val="000F70CD"/>
    <w:rsid w:val="000F79F9"/>
    <w:rsid w:val="000F7ABD"/>
    <w:rsid w:val="000F7E8F"/>
    <w:rsid w:val="000F7FBB"/>
    <w:rsid w:val="001000FB"/>
    <w:rsid w:val="00101134"/>
    <w:rsid w:val="001015D2"/>
    <w:rsid w:val="00102458"/>
    <w:rsid w:val="00102605"/>
    <w:rsid w:val="00102686"/>
    <w:rsid w:val="00102745"/>
    <w:rsid w:val="001032E3"/>
    <w:rsid w:val="00103361"/>
    <w:rsid w:val="00103855"/>
    <w:rsid w:val="00103915"/>
    <w:rsid w:val="00103EA0"/>
    <w:rsid w:val="001046B8"/>
    <w:rsid w:val="001049B3"/>
    <w:rsid w:val="00104F1C"/>
    <w:rsid w:val="001051E5"/>
    <w:rsid w:val="00105A74"/>
    <w:rsid w:val="00105ACB"/>
    <w:rsid w:val="00105AEF"/>
    <w:rsid w:val="00106259"/>
    <w:rsid w:val="001065E4"/>
    <w:rsid w:val="001068EB"/>
    <w:rsid w:val="001078CE"/>
    <w:rsid w:val="00110CEB"/>
    <w:rsid w:val="00110F61"/>
    <w:rsid w:val="001111BD"/>
    <w:rsid w:val="0011165A"/>
    <w:rsid w:val="00111B2B"/>
    <w:rsid w:val="00111DFA"/>
    <w:rsid w:val="00111ED9"/>
    <w:rsid w:val="00112609"/>
    <w:rsid w:val="0011268B"/>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EF6"/>
    <w:rsid w:val="00127F6D"/>
    <w:rsid w:val="00130355"/>
    <w:rsid w:val="00131B5A"/>
    <w:rsid w:val="00132C30"/>
    <w:rsid w:val="00132EFD"/>
    <w:rsid w:val="00133AED"/>
    <w:rsid w:val="00134FF9"/>
    <w:rsid w:val="00135217"/>
    <w:rsid w:val="00135E88"/>
    <w:rsid w:val="0013695C"/>
    <w:rsid w:val="00136BF7"/>
    <w:rsid w:val="001378B9"/>
    <w:rsid w:val="00137FD1"/>
    <w:rsid w:val="00137FFA"/>
    <w:rsid w:val="00140109"/>
    <w:rsid w:val="0014029B"/>
    <w:rsid w:val="00140421"/>
    <w:rsid w:val="00140A4F"/>
    <w:rsid w:val="001413AB"/>
    <w:rsid w:val="001432AF"/>
    <w:rsid w:val="00144335"/>
    <w:rsid w:val="0014502F"/>
    <w:rsid w:val="00145282"/>
    <w:rsid w:val="001453B0"/>
    <w:rsid w:val="001454D9"/>
    <w:rsid w:val="00145D8E"/>
    <w:rsid w:val="00146083"/>
    <w:rsid w:val="001462F7"/>
    <w:rsid w:val="001466F0"/>
    <w:rsid w:val="00146B60"/>
    <w:rsid w:val="00147798"/>
    <w:rsid w:val="00150005"/>
    <w:rsid w:val="00151B99"/>
    <w:rsid w:val="001521B2"/>
    <w:rsid w:val="00152288"/>
    <w:rsid w:val="00152EDD"/>
    <w:rsid w:val="00153491"/>
    <w:rsid w:val="0015361C"/>
    <w:rsid w:val="0015372F"/>
    <w:rsid w:val="00153A05"/>
    <w:rsid w:val="00153A18"/>
    <w:rsid w:val="00153BFB"/>
    <w:rsid w:val="0015407E"/>
    <w:rsid w:val="001542E6"/>
    <w:rsid w:val="0015448E"/>
    <w:rsid w:val="00154A6F"/>
    <w:rsid w:val="00155D08"/>
    <w:rsid w:val="00156BE5"/>
    <w:rsid w:val="00156FDB"/>
    <w:rsid w:val="00157232"/>
    <w:rsid w:val="00160401"/>
    <w:rsid w:val="00160D4E"/>
    <w:rsid w:val="00161E62"/>
    <w:rsid w:val="00161F1C"/>
    <w:rsid w:val="0016200B"/>
    <w:rsid w:val="00163D7A"/>
    <w:rsid w:val="00164281"/>
    <w:rsid w:val="00164AF1"/>
    <w:rsid w:val="001654DF"/>
    <w:rsid w:val="00166476"/>
    <w:rsid w:val="00166C27"/>
    <w:rsid w:val="00167503"/>
    <w:rsid w:val="001676A9"/>
    <w:rsid w:val="00167A15"/>
    <w:rsid w:val="00167A50"/>
    <w:rsid w:val="00167D66"/>
    <w:rsid w:val="00167DF5"/>
    <w:rsid w:val="00170001"/>
    <w:rsid w:val="0017145A"/>
    <w:rsid w:val="00172198"/>
    <w:rsid w:val="00172612"/>
    <w:rsid w:val="00172817"/>
    <w:rsid w:val="001734E3"/>
    <w:rsid w:val="0017350E"/>
    <w:rsid w:val="00173650"/>
    <w:rsid w:val="0017391B"/>
    <w:rsid w:val="001742BF"/>
    <w:rsid w:val="001749DF"/>
    <w:rsid w:val="00175E49"/>
    <w:rsid w:val="00176470"/>
    <w:rsid w:val="0017659F"/>
    <w:rsid w:val="00177076"/>
    <w:rsid w:val="001805C1"/>
    <w:rsid w:val="00180A2E"/>
    <w:rsid w:val="001813AF"/>
    <w:rsid w:val="00182831"/>
    <w:rsid w:val="001829CD"/>
    <w:rsid w:val="00182F01"/>
    <w:rsid w:val="00184F27"/>
    <w:rsid w:val="001850E6"/>
    <w:rsid w:val="0018519B"/>
    <w:rsid w:val="001856BA"/>
    <w:rsid w:val="00185AFE"/>
    <w:rsid w:val="00185E78"/>
    <w:rsid w:val="00187177"/>
    <w:rsid w:val="00187443"/>
    <w:rsid w:val="00187ABD"/>
    <w:rsid w:val="001904E3"/>
    <w:rsid w:val="0019087A"/>
    <w:rsid w:val="00191395"/>
    <w:rsid w:val="00191C5A"/>
    <w:rsid w:val="00191CEB"/>
    <w:rsid w:val="00191E63"/>
    <w:rsid w:val="00192D68"/>
    <w:rsid w:val="001931B7"/>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3FC3"/>
    <w:rsid w:val="001A4A08"/>
    <w:rsid w:val="001A4DAF"/>
    <w:rsid w:val="001A66DF"/>
    <w:rsid w:val="001A67D0"/>
    <w:rsid w:val="001A6BF1"/>
    <w:rsid w:val="001A7591"/>
    <w:rsid w:val="001A75B1"/>
    <w:rsid w:val="001A7D03"/>
    <w:rsid w:val="001B0366"/>
    <w:rsid w:val="001B0444"/>
    <w:rsid w:val="001B080D"/>
    <w:rsid w:val="001B096B"/>
    <w:rsid w:val="001B0F9F"/>
    <w:rsid w:val="001B123C"/>
    <w:rsid w:val="001B1A0D"/>
    <w:rsid w:val="001B1BF1"/>
    <w:rsid w:val="001B2456"/>
    <w:rsid w:val="001B40C7"/>
    <w:rsid w:val="001B449C"/>
    <w:rsid w:val="001B4AA2"/>
    <w:rsid w:val="001B4ADE"/>
    <w:rsid w:val="001B5C86"/>
    <w:rsid w:val="001B5EF8"/>
    <w:rsid w:val="001B6BD3"/>
    <w:rsid w:val="001B6EBB"/>
    <w:rsid w:val="001C037A"/>
    <w:rsid w:val="001C07C6"/>
    <w:rsid w:val="001C0838"/>
    <w:rsid w:val="001C08B2"/>
    <w:rsid w:val="001C19CD"/>
    <w:rsid w:val="001C22D5"/>
    <w:rsid w:val="001C2515"/>
    <w:rsid w:val="001C2550"/>
    <w:rsid w:val="001C26FB"/>
    <w:rsid w:val="001C33C1"/>
    <w:rsid w:val="001C3E30"/>
    <w:rsid w:val="001C3E5C"/>
    <w:rsid w:val="001C5072"/>
    <w:rsid w:val="001C5B2A"/>
    <w:rsid w:val="001C5CEA"/>
    <w:rsid w:val="001C600B"/>
    <w:rsid w:val="001C6407"/>
    <w:rsid w:val="001C6898"/>
    <w:rsid w:val="001C6DD8"/>
    <w:rsid w:val="001C7C7B"/>
    <w:rsid w:val="001D068D"/>
    <w:rsid w:val="001D0A71"/>
    <w:rsid w:val="001D12D1"/>
    <w:rsid w:val="001D15DF"/>
    <w:rsid w:val="001D2970"/>
    <w:rsid w:val="001D30F3"/>
    <w:rsid w:val="001D31A0"/>
    <w:rsid w:val="001D338E"/>
    <w:rsid w:val="001D399D"/>
    <w:rsid w:val="001D3D3F"/>
    <w:rsid w:val="001D408D"/>
    <w:rsid w:val="001D4141"/>
    <w:rsid w:val="001D56E9"/>
    <w:rsid w:val="001D6697"/>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70FB"/>
    <w:rsid w:val="001E780A"/>
    <w:rsid w:val="001F07D6"/>
    <w:rsid w:val="001F0FA0"/>
    <w:rsid w:val="001F1349"/>
    <w:rsid w:val="001F17D4"/>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32A"/>
    <w:rsid w:val="0020697F"/>
    <w:rsid w:val="00210430"/>
    <w:rsid w:val="002110EB"/>
    <w:rsid w:val="00211338"/>
    <w:rsid w:val="00211342"/>
    <w:rsid w:val="00211388"/>
    <w:rsid w:val="0021148C"/>
    <w:rsid w:val="00211694"/>
    <w:rsid w:val="0021201A"/>
    <w:rsid w:val="002129C7"/>
    <w:rsid w:val="00213A1F"/>
    <w:rsid w:val="00213C63"/>
    <w:rsid w:val="00214502"/>
    <w:rsid w:val="00214741"/>
    <w:rsid w:val="0021539A"/>
    <w:rsid w:val="00215793"/>
    <w:rsid w:val="00215852"/>
    <w:rsid w:val="00215B45"/>
    <w:rsid w:val="00215B8E"/>
    <w:rsid w:val="00215C98"/>
    <w:rsid w:val="00216264"/>
    <w:rsid w:val="002168B8"/>
    <w:rsid w:val="002176B6"/>
    <w:rsid w:val="0021792D"/>
    <w:rsid w:val="00217DB8"/>
    <w:rsid w:val="0022032A"/>
    <w:rsid w:val="002221CE"/>
    <w:rsid w:val="00222740"/>
    <w:rsid w:val="00222BE8"/>
    <w:rsid w:val="00223102"/>
    <w:rsid w:val="002232CB"/>
    <w:rsid w:val="00223AA2"/>
    <w:rsid w:val="00224022"/>
    <w:rsid w:val="0022552A"/>
    <w:rsid w:val="00226055"/>
    <w:rsid w:val="0022613F"/>
    <w:rsid w:val="00226236"/>
    <w:rsid w:val="00226DF9"/>
    <w:rsid w:val="002270C9"/>
    <w:rsid w:val="00227710"/>
    <w:rsid w:val="00227A8B"/>
    <w:rsid w:val="0023146B"/>
    <w:rsid w:val="002315A0"/>
    <w:rsid w:val="00231CE0"/>
    <w:rsid w:val="00231DBA"/>
    <w:rsid w:val="00231EC7"/>
    <w:rsid w:val="00232A6C"/>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057"/>
    <w:rsid w:val="002431D7"/>
    <w:rsid w:val="00243257"/>
    <w:rsid w:val="00243434"/>
    <w:rsid w:val="00244058"/>
    <w:rsid w:val="00244F9A"/>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11A4"/>
    <w:rsid w:val="00271F13"/>
    <w:rsid w:val="002721E2"/>
    <w:rsid w:val="00272977"/>
    <w:rsid w:val="00274DB5"/>
    <w:rsid w:val="00275BB1"/>
    <w:rsid w:val="00275FBF"/>
    <w:rsid w:val="00276373"/>
    <w:rsid w:val="00276BC4"/>
    <w:rsid w:val="00277933"/>
    <w:rsid w:val="00277F13"/>
    <w:rsid w:val="00277F8D"/>
    <w:rsid w:val="00277FA7"/>
    <w:rsid w:val="00280267"/>
    <w:rsid w:val="002805E0"/>
    <w:rsid w:val="00280F3D"/>
    <w:rsid w:val="0028106A"/>
    <w:rsid w:val="00281EB4"/>
    <w:rsid w:val="00282C21"/>
    <w:rsid w:val="00282F57"/>
    <w:rsid w:val="0028308E"/>
    <w:rsid w:val="002834E9"/>
    <w:rsid w:val="0028396F"/>
    <w:rsid w:val="00283A52"/>
    <w:rsid w:val="00283C5E"/>
    <w:rsid w:val="00283E26"/>
    <w:rsid w:val="0028428F"/>
    <w:rsid w:val="00284CFC"/>
    <w:rsid w:val="002851C6"/>
    <w:rsid w:val="0028565E"/>
    <w:rsid w:val="00285832"/>
    <w:rsid w:val="00285969"/>
    <w:rsid w:val="0028663B"/>
    <w:rsid w:val="00286CEC"/>
    <w:rsid w:val="002871A9"/>
    <w:rsid w:val="0028750E"/>
    <w:rsid w:val="00287B7E"/>
    <w:rsid w:val="00290781"/>
    <w:rsid w:val="002912D3"/>
    <w:rsid w:val="00291784"/>
    <w:rsid w:val="002929BB"/>
    <w:rsid w:val="00292E64"/>
    <w:rsid w:val="002932BA"/>
    <w:rsid w:val="00293669"/>
    <w:rsid w:val="00294368"/>
    <w:rsid w:val="00294B78"/>
    <w:rsid w:val="00295646"/>
    <w:rsid w:val="00295949"/>
    <w:rsid w:val="0029624A"/>
    <w:rsid w:val="00296922"/>
    <w:rsid w:val="0029697C"/>
    <w:rsid w:val="00297098"/>
    <w:rsid w:val="00297C41"/>
    <w:rsid w:val="002A05D4"/>
    <w:rsid w:val="002A09FF"/>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6AFB"/>
    <w:rsid w:val="002A6E3A"/>
    <w:rsid w:val="002A733D"/>
    <w:rsid w:val="002A774A"/>
    <w:rsid w:val="002A7E5C"/>
    <w:rsid w:val="002A7F6D"/>
    <w:rsid w:val="002B020D"/>
    <w:rsid w:val="002B1342"/>
    <w:rsid w:val="002B27C8"/>
    <w:rsid w:val="002B2A7F"/>
    <w:rsid w:val="002B2E10"/>
    <w:rsid w:val="002B330B"/>
    <w:rsid w:val="002B39BE"/>
    <w:rsid w:val="002B4039"/>
    <w:rsid w:val="002B438C"/>
    <w:rsid w:val="002B48DB"/>
    <w:rsid w:val="002B48E9"/>
    <w:rsid w:val="002B4B34"/>
    <w:rsid w:val="002B5061"/>
    <w:rsid w:val="002B508E"/>
    <w:rsid w:val="002B541A"/>
    <w:rsid w:val="002B6407"/>
    <w:rsid w:val="002B6416"/>
    <w:rsid w:val="002B6459"/>
    <w:rsid w:val="002B64D2"/>
    <w:rsid w:val="002B68FE"/>
    <w:rsid w:val="002B7235"/>
    <w:rsid w:val="002B73B0"/>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F77"/>
    <w:rsid w:val="002C704D"/>
    <w:rsid w:val="002D0845"/>
    <w:rsid w:val="002D0933"/>
    <w:rsid w:val="002D09A5"/>
    <w:rsid w:val="002D0F58"/>
    <w:rsid w:val="002D19BB"/>
    <w:rsid w:val="002D1A9B"/>
    <w:rsid w:val="002D22C5"/>
    <w:rsid w:val="002D2EF0"/>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2DEB"/>
    <w:rsid w:val="002E3AB5"/>
    <w:rsid w:val="002E3AD2"/>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37DD"/>
    <w:rsid w:val="002F45F6"/>
    <w:rsid w:val="002F692F"/>
    <w:rsid w:val="002F69BE"/>
    <w:rsid w:val="002F7B66"/>
    <w:rsid w:val="00300CB4"/>
    <w:rsid w:val="00300DE7"/>
    <w:rsid w:val="00300E24"/>
    <w:rsid w:val="0030101C"/>
    <w:rsid w:val="003033BA"/>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190"/>
    <w:rsid w:val="003125E0"/>
    <w:rsid w:val="00312606"/>
    <w:rsid w:val="0031271D"/>
    <w:rsid w:val="0031314F"/>
    <w:rsid w:val="0031336A"/>
    <w:rsid w:val="00313447"/>
    <w:rsid w:val="00313748"/>
    <w:rsid w:val="00313EA3"/>
    <w:rsid w:val="00315457"/>
    <w:rsid w:val="003161A4"/>
    <w:rsid w:val="00316955"/>
    <w:rsid w:val="00316BBC"/>
    <w:rsid w:val="0031720A"/>
    <w:rsid w:val="0031749B"/>
    <w:rsid w:val="003174E5"/>
    <w:rsid w:val="00317C9D"/>
    <w:rsid w:val="00317CD2"/>
    <w:rsid w:val="00317D99"/>
    <w:rsid w:val="0032078D"/>
    <w:rsid w:val="003208F4"/>
    <w:rsid w:val="00320A6E"/>
    <w:rsid w:val="00320F34"/>
    <w:rsid w:val="0032137B"/>
    <w:rsid w:val="003214F7"/>
    <w:rsid w:val="0032177C"/>
    <w:rsid w:val="00321A6E"/>
    <w:rsid w:val="00321BD6"/>
    <w:rsid w:val="00321FA3"/>
    <w:rsid w:val="003223D7"/>
    <w:rsid w:val="003227D3"/>
    <w:rsid w:val="00322937"/>
    <w:rsid w:val="00322A46"/>
    <w:rsid w:val="00322A84"/>
    <w:rsid w:val="00322EC1"/>
    <w:rsid w:val="00323881"/>
    <w:rsid w:val="00323B73"/>
    <w:rsid w:val="003254F5"/>
    <w:rsid w:val="00325D98"/>
    <w:rsid w:val="0032682A"/>
    <w:rsid w:val="00327A5C"/>
    <w:rsid w:val="0033092C"/>
    <w:rsid w:val="0033122A"/>
    <w:rsid w:val="003315AC"/>
    <w:rsid w:val="00331932"/>
    <w:rsid w:val="00333A88"/>
    <w:rsid w:val="00333FFB"/>
    <w:rsid w:val="003355D6"/>
    <w:rsid w:val="00335B15"/>
    <w:rsid w:val="00335B21"/>
    <w:rsid w:val="00335D3F"/>
    <w:rsid w:val="00336104"/>
    <w:rsid w:val="00336729"/>
    <w:rsid w:val="00336859"/>
    <w:rsid w:val="00336AB1"/>
    <w:rsid w:val="00337178"/>
    <w:rsid w:val="0033726D"/>
    <w:rsid w:val="00337362"/>
    <w:rsid w:val="00337CA8"/>
    <w:rsid w:val="00337EAD"/>
    <w:rsid w:val="0034125B"/>
    <w:rsid w:val="0034177C"/>
    <w:rsid w:val="00342345"/>
    <w:rsid w:val="00342C27"/>
    <w:rsid w:val="003430C8"/>
    <w:rsid w:val="003432C8"/>
    <w:rsid w:val="003434B3"/>
    <w:rsid w:val="00343536"/>
    <w:rsid w:val="00343EFB"/>
    <w:rsid w:val="003443DF"/>
    <w:rsid w:val="00344760"/>
    <w:rsid w:val="00344A64"/>
    <w:rsid w:val="00344BF8"/>
    <w:rsid w:val="0034680A"/>
    <w:rsid w:val="00346C62"/>
    <w:rsid w:val="0034778E"/>
    <w:rsid w:val="003501E2"/>
    <w:rsid w:val="00350A59"/>
    <w:rsid w:val="00351E10"/>
    <w:rsid w:val="0035273A"/>
    <w:rsid w:val="00352D59"/>
    <w:rsid w:val="003533F4"/>
    <w:rsid w:val="003536F6"/>
    <w:rsid w:val="00353DD5"/>
    <w:rsid w:val="00355131"/>
    <w:rsid w:val="00355462"/>
    <w:rsid w:val="00356438"/>
    <w:rsid w:val="00356687"/>
    <w:rsid w:val="003609C4"/>
    <w:rsid w:val="00361345"/>
    <w:rsid w:val="003618D9"/>
    <w:rsid w:val="00361A59"/>
    <w:rsid w:val="003631CC"/>
    <w:rsid w:val="00363348"/>
    <w:rsid w:val="00363857"/>
    <w:rsid w:val="00363D59"/>
    <w:rsid w:val="003640F7"/>
    <w:rsid w:val="00364300"/>
    <w:rsid w:val="00364E66"/>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9D1"/>
    <w:rsid w:val="00375C7C"/>
    <w:rsid w:val="003762F6"/>
    <w:rsid w:val="00377027"/>
    <w:rsid w:val="00377135"/>
    <w:rsid w:val="00380272"/>
    <w:rsid w:val="00380355"/>
    <w:rsid w:val="00380576"/>
    <w:rsid w:val="003805DB"/>
    <w:rsid w:val="003813F4"/>
    <w:rsid w:val="0038152A"/>
    <w:rsid w:val="00382BAD"/>
    <w:rsid w:val="00383A8D"/>
    <w:rsid w:val="00383D49"/>
    <w:rsid w:val="00384CD6"/>
    <w:rsid w:val="00384DF1"/>
    <w:rsid w:val="00384FF3"/>
    <w:rsid w:val="00386456"/>
    <w:rsid w:val="003865A9"/>
    <w:rsid w:val="0038691C"/>
    <w:rsid w:val="00387642"/>
    <w:rsid w:val="003903B6"/>
    <w:rsid w:val="00390F32"/>
    <w:rsid w:val="0039135E"/>
    <w:rsid w:val="0039200F"/>
    <w:rsid w:val="0039319C"/>
    <w:rsid w:val="003932B1"/>
    <w:rsid w:val="003938CD"/>
    <w:rsid w:val="00393CAE"/>
    <w:rsid w:val="003945DC"/>
    <w:rsid w:val="003945F4"/>
    <w:rsid w:val="00394EB5"/>
    <w:rsid w:val="003953B4"/>
    <w:rsid w:val="0039615F"/>
    <w:rsid w:val="00396673"/>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36E"/>
    <w:rsid w:val="003C1AF4"/>
    <w:rsid w:val="003C1B63"/>
    <w:rsid w:val="003C1CB8"/>
    <w:rsid w:val="003C2550"/>
    <w:rsid w:val="003C287F"/>
    <w:rsid w:val="003C3339"/>
    <w:rsid w:val="003C375A"/>
    <w:rsid w:val="003C43F6"/>
    <w:rsid w:val="003C4D9F"/>
    <w:rsid w:val="003C5072"/>
    <w:rsid w:val="003C5118"/>
    <w:rsid w:val="003C622C"/>
    <w:rsid w:val="003C6D53"/>
    <w:rsid w:val="003C73C7"/>
    <w:rsid w:val="003D03F3"/>
    <w:rsid w:val="003D050B"/>
    <w:rsid w:val="003D0ADA"/>
    <w:rsid w:val="003D0B98"/>
    <w:rsid w:val="003D0C3C"/>
    <w:rsid w:val="003D0DE5"/>
    <w:rsid w:val="003D1351"/>
    <w:rsid w:val="003D1E4F"/>
    <w:rsid w:val="003D21C1"/>
    <w:rsid w:val="003D2924"/>
    <w:rsid w:val="003D3707"/>
    <w:rsid w:val="003D3B15"/>
    <w:rsid w:val="003D3B2E"/>
    <w:rsid w:val="003D43DD"/>
    <w:rsid w:val="003D484D"/>
    <w:rsid w:val="003D49CB"/>
    <w:rsid w:val="003D4BD6"/>
    <w:rsid w:val="003D6412"/>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D9"/>
    <w:rsid w:val="003E53B8"/>
    <w:rsid w:val="003E54B3"/>
    <w:rsid w:val="003E5780"/>
    <w:rsid w:val="003E5B9F"/>
    <w:rsid w:val="003E6072"/>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307"/>
    <w:rsid w:val="00402DE1"/>
    <w:rsid w:val="00402EEB"/>
    <w:rsid w:val="004037C2"/>
    <w:rsid w:val="00404041"/>
    <w:rsid w:val="00404B43"/>
    <w:rsid w:val="00404C61"/>
    <w:rsid w:val="00405487"/>
    <w:rsid w:val="004054B1"/>
    <w:rsid w:val="00405792"/>
    <w:rsid w:val="0040602B"/>
    <w:rsid w:val="00407A7A"/>
    <w:rsid w:val="00407ABC"/>
    <w:rsid w:val="00407F1E"/>
    <w:rsid w:val="00410A88"/>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7089"/>
    <w:rsid w:val="004170D7"/>
    <w:rsid w:val="004177A6"/>
    <w:rsid w:val="00417EFD"/>
    <w:rsid w:val="004200EE"/>
    <w:rsid w:val="004209D2"/>
    <w:rsid w:val="00420D6E"/>
    <w:rsid w:val="00421A41"/>
    <w:rsid w:val="00421BD2"/>
    <w:rsid w:val="00421E00"/>
    <w:rsid w:val="00421FCB"/>
    <w:rsid w:val="00421FF6"/>
    <w:rsid w:val="00422DCA"/>
    <w:rsid w:val="00423F9F"/>
    <w:rsid w:val="0042499B"/>
    <w:rsid w:val="00424FEC"/>
    <w:rsid w:val="00425C43"/>
    <w:rsid w:val="00426C69"/>
    <w:rsid w:val="00426D3B"/>
    <w:rsid w:val="004273FA"/>
    <w:rsid w:val="004276C2"/>
    <w:rsid w:val="00430186"/>
    <w:rsid w:val="00430730"/>
    <w:rsid w:val="0043269A"/>
    <w:rsid w:val="00432E14"/>
    <w:rsid w:val="004333C2"/>
    <w:rsid w:val="00433ACB"/>
    <w:rsid w:val="00434270"/>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2AA"/>
    <w:rsid w:val="004507BD"/>
    <w:rsid w:val="00450846"/>
    <w:rsid w:val="004510BD"/>
    <w:rsid w:val="0045159C"/>
    <w:rsid w:val="00451A52"/>
    <w:rsid w:val="00451FC8"/>
    <w:rsid w:val="0045271D"/>
    <w:rsid w:val="00452755"/>
    <w:rsid w:val="00452803"/>
    <w:rsid w:val="004529C6"/>
    <w:rsid w:val="00452EAD"/>
    <w:rsid w:val="004531D5"/>
    <w:rsid w:val="004533D1"/>
    <w:rsid w:val="004534D1"/>
    <w:rsid w:val="00453A53"/>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61D"/>
    <w:rsid w:val="004638E2"/>
    <w:rsid w:val="00464030"/>
    <w:rsid w:val="004647F8"/>
    <w:rsid w:val="004647FB"/>
    <w:rsid w:val="00465456"/>
    <w:rsid w:val="00465677"/>
    <w:rsid w:val="00465AC3"/>
    <w:rsid w:val="004662C8"/>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33"/>
    <w:rsid w:val="00477C5F"/>
    <w:rsid w:val="00480050"/>
    <w:rsid w:val="004808DE"/>
    <w:rsid w:val="00481AC4"/>
    <w:rsid w:val="00481DC1"/>
    <w:rsid w:val="00482507"/>
    <w:rsid w:val="0048268A"/>
    <w:rsid w:val="00482BB3"/>
    <w:rsid w:val="00483356"/>
    <w:rsid w:val="004835CA"/>
    <w:rsid w:val="004836F8"/>
    <w:rsid w:val="004836FE"/>
    <w:rsid w:val="00484074"/>
    <w:rsid w:val="004843F9"/>
    <w:rsid w:val="00484F0F"/>
    <w:rsid w:val="00484F40"/>
    <w:rsid w:val="0048540C"/>
    <w:rsid w:val="00485650"/>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508"/>
    <w:rsid w:val="00492C1F"/>
    <w:rsid w:val="00492E4C"/>
    <w:rsid w:val="00493B2C"/>
    <w:rsid w:val="00493E04"/>
    <w:rsid w:val="004940E3"/>
    <w:rsid w:val="004942DE"/>
    <w:rsid w:val="0049530F"/>
    <w:rsid w:val="00496664"/>
    <w:rsid w:val="00496786"/>
    <w:rsid w:val="0049695B"/>
    <w:rsid w:val="00496D8F"/>
    <w:rsid w:val="00497463"/>
    <w:rsid w:val="00497B15"/>
    <w:rsid w:val="00497BA8"/>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163F"/>
    <w:rsid w:val="004B2197"/>
    <w:rsid w:val="004B298A"/>
    <w:rsid w:val="004B578D"/>
    <w:rsid w:val="004B5BE7"/>
    <w:rsid w:val="004B5E2D"/>
    <w:rsid w:val="004B5ED5"/>
    <w:rsid w:val="004B6793"/>
    <w:rsid w:val="004B6C07"/>
    <w:rsid w:val="004B74D3"/>
    <w:rsid w:val="004B76D3"/>
    <w:rsid w:val="004B788E"/>
    <w:rsid w:val="004B79B3"/>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3E2C"/>
    <w:rsid w:val="004D4BA1"/>
    <w:rsid w:val="004D5451"/>
    <w:rsid w:val="004D584D"/>
    <w:rsid w:val="004D58DE"/>
    <w:rsid w:val="004D61E1"/>
    <w:rsid w:val="004D6826"/>
    <w:rsid w:val="004D6DE9"/>
    <w:rsid w:val="004E023F"/>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0CD9"/>
    <w:rsid w:val="004F163F"/>
    <w:rsid w:val="004F18A0"/>
    <w:rsid w:val="004F1A08"/>
    <w:rsid w:val="004F2B64"/>
    <w:rsid w:val="004F3764"/>
    <w:rsid w:val="004F3EEF"/>
    <w:rsid w:val="004F47D0"/>
    <w:rsid w:val="004F4B65"/>
    <w:rsid w:val="004F507C"/>
    <w:rsid w:val="004F548C"/>
    <w:rsid w:val="004F5930"/>
    <w:rsid w:val="004F5970"/>
    <w:rsid w:val="004F5F0C"/>
    <w:rsid w:val="004F6121"/>
    <w:rsid w:val="004F6161"/>
    <w:rsid w:val="004F66BC"/>
    <w:rsid w:val="004F67B2"/>
    <w:rsid w:val="004F6C26"/>
    <w:rsid w:val="004F7405"/>
    <w:rsid w:val="004F7AC9"/>
    <w:rsid w:val="0050062F"/>
    <w:rsid w:val="005012E2"/>
    <w:rsid w:val="00501481"/>
    <w:rsid w:val="0050160F"/>
    <w:rsid w:val="0050208C"/>
    <w:rsid w:val="0050284E"/>
    <w:rsid w:val="00505DCB"/>
    <w:rsid w:val="005075CA"/>
    <w:rsid w:val="0051074C"/>
    <w:rsid w:val="00510DE9"/>
    <w:rsid w:val="005111E2"/>
    <w:rsid w:val="00511231"/>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D13"/>
    <w:rsid w:val="00520E50"/>
    <w:rsid w:val="005224E5"/>
    <w:rsid w:val="005226BE"/>
    <w:rsid w:val="005235ED"/>
    <w:rsid w:val="00523903"/>
    <w:rsid w:val="005239B6"/>
    <w:rsid w:val="00523C45"/>
    <w:rsid w:val="00524165"/>
    <w:rsid w:val="005242BA"/>
    <w:rsid w:val="005246E7"/>
    <w:rsid w:val="00524FD2"/>
    <w:rsid w:val="00525621"/>
    <w:rsid w:val="00525B2E"/>
    <w:rsid w:val="00526431"/>
    <w:rsid w:val="005265D8"/>
    <w:rsid w:val="00527C6B"/>
    <w:rsid w:val="00527E57"/>
    <w:rsid w:val="00530405"/>
    <w:rsid w:val="00530522"/>
    <w:rsid w:val="005305E5"/>
    <w:rsid w:val="00530F38"/>
    <w:rsid w:val="00531F26"/>
    <w:rsid w:val="0053277C"/>
    <w:rsid w:val="005327C0"/>
    <w:rsid w:val="00532D95"/>
    <w:rsid w:val="00533101"/>
    <w:rsid w:val="00533CA9"/>
    <w:rsid w:val="00533DA7"/>
    <w:rsid w:val="005342A3"/>
    <w:rsid w:val="005346AD"/>
    <w:rsid w:val="00534C25"/>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F3F"/>
    <w:rsid w:val="005551AA"/>
    <w:rsid w:val="005564CA"/>
    <w:rsid w:val="005568EA"/>
    <w:rsid w:val="00557140"/>
    <w:rsid w:val="00557DE4"/>
    <w:rsid w:val="0056058C"/>
    <w:rsid w:val="00560681"/>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67C02"/>
    <w:rsid w:val="0057045E"/>
    <w:rsid w:val="005707F7"/>
    <w:rsid w:val="00570A26"/>
    <w:rsid w:val="0057170B"/>
    <w:rsid w:val="0057221F"/>
    <w:rsid w:val="00572539"/>
    <w:rsid w:val="0057337D"/>
    <w:rsid w:val="00573504"/>
    <w:rsid w:val="00573A48"/>
    <w:rsid w:val="005740AD"/>
    <w:rsid w:val="00574708"/>
    <w:rsid w:val="00574D81"/>
    <w:rsid w:val="005756AA"/>
    <w:rsid w:val="00575FB1"/>
    <w:rsid w:val="00576233"/>
    <w:rsid w:val="00576876"/>
    <w:rsid w:val="0057696F"/>
    <w:rsid w:val="005771B1"/>
    <w:rsid w:val="005774FE"/>
    <w:rsid w:val="0058040C"/>
    <w:rsid w:val="00580918"/>
    <w:rsid w:val="00580D6D"/>
    <w:rsid w:val="005813DE"/>
    <w:rsid w:val="00581796"/>
    <w:rsid w:val="00581B45"/>
    <w:rsid w:val="00582480"/>
    <w:rsid w:val="00582763"/>
    <w:rsid w:val="0058290E"/>
    <w:rsid w:val="00582CAB"/>
    <w:rsid w:val="00583121"/>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A73C2"/>
    <w:rsid w:val="005B09BE"/>
    <w:rsid w:val="005B12B2"/>
    <w:rsid w:val="005B143B"/>
    <w:rsid w:val="005B1504"/>
    <w:rsid w:val="005B1E45"/>
    <w:rsid w:val="005B21C4"/>
    <w:rsid w:val="005B2A28"/>
    <w:rsid w:val="005B3621"/>
    <w:rsid w:val="005B4948"/>
    <w:rsid w:val="005B501D"/>
    <w:rsid w:val="005B54CC"/>
    <w:rsid w:val="005B6AE8"/>
    <w:rsid w:val="005B74AD"/>
    <w:rsid w:val="005B7E96"/>
    <w:rsid w:val="005C0429"/>
    <w:rsid w:val="005C084F"/>
    <w:rsid w:val="005C0EE9"/>
    <w:rsid w:val="005C1716"/>
    <w:rsid w:val="005C1954"/>
    <w:rsid w:val="005C1C0B"/>
    <w:rsid w:val="005C1D53"/>
    <w:rsid w:val="005C2011"/>
    <w:rsid w:val="005C2BBC"/>
    <w:rsid w:val="005C36CF"/>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1FA"/>
    <w:rsid w:val="005D53E8"/>
    <w:rsid w:val="005D5A26"/>
    <w:rsid w:val="005D5A9D"/>
    <w:rsid w:val="005D6651"/>
    <w:rsid w:val="005D691D"/>
    <w:rsid w:val="005D6A72"/>
    <w:rsid w:val="005D7035"/>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F041F"/>
    <w:rsid w:val="005F0672"/>
    <w:rsid w:val="005F1216"/>
    <w:rsid w:val="005F1819"/>
    <w:rsid w:val="005F1D7D"/>
    <w:rsid w:val="005F1D89"/>
    <w:rsid w:val="005F305B"/>
    <w:rsid w:val="005F3361"/>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52D"/>
    <w:rsid w:val="00602B45"/>
    <w:rsid w:val="00603499"/>
    <w:rsid w:val="006035F5"/>
    <w:rsid w:val="00603B08"/>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31AA"/>
    <w:rsid w:val="00623482"/>
    <w:rsid w:val="00623AC2"/>
    <w:rsid w:val="00623FF7"/>
    <w:rsid w:val="0062471F"/>
    <w:rsid w:val="00625A26"/>
    <w:rsid w:val="00625D8A"/>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2D53"/>
    <w:rsid w:val="006433D5"/>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091"/>
    <w:rsid w:val="0065339A"/>
    <w:rsid w:val="00653469"/>
    <w:rsid w:val="00654A38"/>
    <w:rsid w:val="00654B4B"/>
    <w:rsid w:val="00655301"/>
    <w:rsid w:val="00655371"/>
    <w:rsid w:val="00655876"/>
    <w:rsid w:val="00656C4B"/>
    <w:rsid w:val="006573EA"/>
    <w:rsid w:val="00657659"/>
    <w:rsid w:val="00661029"/>
    <w:rsid w:val="00661042"/>
    <w:rsid w:val="0066135A"/>
    <w:rsid w:val="00661639"/>
    <w:rsid w:val="006617BC"/>
    <w:rsid w:val="0066272D"/>
    <w:rsid w:val="00662E58"/>
    <w:rsid w:val="00662F39"/>
    <w:rsid w:val="006635A0"/>
    <w:rsid w:val="00664351"/>
    <w:rsid w:val="006646E0"/>
    <w:rsid w:val="00665968"/>
    <w:rsid w:val="00665BF7"/>
    <w:rsid w:val="00666178"/>
    <w:rsid w:val="0066639E"/>
    <w:rsid w:val="00666473"/>
    <w:rsid w:val="00666C72"/>
    <w:rsid w:val="00666E6C"/>
    <w:rsid w:val="0066707F"/>
    <w:rsid w:val="00667ED8"/>
    <w:rsid w:val="0067064C"/>
    <w:rsid w:val="00670B20"/>
    <w:rsid w:val="00670E12"/>
    <w:rsid w:val="00672DE7"/>
    <w:rsid w:val="00672E80"/>
    <w:rsid w:val="006739E4"/>
    <w:rsid w:val="00673ECF"/>
    <w:rsid w:val="0067426B"/>
    <w:rsid w:val="00674A1B"/>
    <w:rsid w:val="006754F8"/>
    <w:rsid w:val="00675B11"/>
    <w:rsid w:val="00676127"/>
    <w:rsid w:val="00676AED"/>
    <w:rsid w:val="006776AC"/>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A05"/>
    <w:rsid w:val="00697665"/>
    <w:rsid w:val="00697C9A"/>
    <w:rsid w:val="00697E68"/>
    <w:rsid w:val="006A0274"/>
    <w:rsid w:val="006A18D0"/>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B0B"/>
    <w:rsid w:val="006A6BF9"/>
    <w:rsid w:val="006A6F85"/>
    <w:rsid w:val="006A7CB5"/>
    <w:rsid w:val="006A7FD0"/>
    <w:rsid w:val="006B025C"/>
    <w:rsid w:val="006B0ED2"/>
    <w:rsid w:val="006B16D3"/>
    <w:rsid w:val="006B2534"/>
    <w:rsid w:val="006B2CB2"/>
    <w:rsid w:val="006B347D"/>
    <w:rsid w:val="006B3E19"/>
    <w:rsid w:val="006B4488"/>
    <w:rsid w:val="006B671C"/>
    <w:rsid w:val="006B67AC"/>
    <w:rsid w:val="006B6A25"/>
    <w:rsid w:val="006B7285"/>
    <w:rsid w:val="006B786A"/>
    <w:rsid w:val="006B7E4E"/>
    <w:rsid w:val="006C003A"/>
    <w:rsid w:val="006C2454"/>
    <w:rsid w:val="006C2551"/>
    <w:rsid w:val="006C3746"/>
    <w:rsid w:val="006C37CA"/>
    <w:rsid w:val="006C40B7"/>
    <w:rsid w:val="006C40D2"/>
    <w:rsid w:val="006C5B15"/>
    <w:rsid w:val="006C5D32"/>
    <w:rsid w:val="006C5DC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6421"/>
    <w:rsid w:val="006D658F"/>
    <w:rsid w:val="006D69FA"/>
    <w:rsid w:val="006D6A12"/>
    <w:rsid w:val="006D712D"/>
    <w:rsid w:val="006D7687"/>
    <w:rsid w:val="006D7D1F"/>
    <w:rsid w:val="006D7D8A"/>
    <w:rsid w:val="006E0572"/>
    <w:rsid w:val="006E05D8"/>
    <w:rsid w:val="006E08EE"/>
    <w:rsid w:val="006E1130"/>
    <w:rsid w:val="006E155A"/>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0D5F"/>
    <w:rsid w:val="0070138A"/>
    <w:rsid w:val="0070157E"/>
    <w:rsid w:val="007030D4"/>
    <w:rsid w:val="0070317C"/>
    <w:rsid w:val="00703279"/>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219CF"/>
    <w:rsid w:val="00721BFF"/>
    <w:rsid w:val="00722FD8"/>
    <w:rsid w:val="007236C4"/>
    <w:rsid w:val="00723B59"/>
    <w:rsid w:val="00724635"/>
    <w:rsid w:val="0072554B"/>
    <w:rsid w:val="00725AFD"/>
    <w:rsid w:val="00725F81"/>
    <w:rsid w:val="00726603"/>
    <w:rsid w:val="00727DDC"/>
    <w:rsid w:val="00730CD6"/>
    <w:rsid w:val="00730F74"/>
    <w:rsid w:val="0073114B"/>
    <w:rsid w:val="00734414"/>
    <w:rsid w:val="00734952"/>
    <w:rsid w:val="00734990"/>
    <w:rsid w:val="00734FF5"/>
    <w:rsid w:val="00735761"/>
    <w:rsid w:val="00735B78"/>
    <w:rsid w:val="00735DA7"/>
    <w:rsid w:val="007360BE"/>
    <w:rsid w:val="007368B4"/>
    <w:rsid w:val="007378E0"/>
    <w:rsid w:val="00737C5C"/>
    <w:rsid w:val="0074026F"/>
    <w:rsid w:val="00740529"/>
    <w:rsid w:val="00740A6C"/>
    <w:rsid w:val="00741358"/>
    <w:rsid w:val="00741626"/>
    <w:rsid w:val="00742332"/>
    <w:rsid w:val="00742886"/>
    <w:rsid w:val="00742DD2"/>
    <w:rsid w:val="007430A5"/>
    <w:rsid w:val="007437C6"/>
    <w:rsid w:val="007439EE"/>
    <w:rsid w:val="007441A2"/>
    <w:rsid w:val="00744B15"/>
    <w:rsid w:val="00744E80"/>
    <w:rsid w:val="00745035"/>
    <w:rsid w:val="0074531C"/>
    <w:rsid w:val="00745547"/>
    <w:rsid w:val="007459BD"/>
    <w:rsid w:val="007459D0"/>
    <w:rsid w:val="0074623A"/>
    <w:rsid w:val="00746420"/>
    <w:rsid w:val="0074664B"/>
    <w:rsid w:val="00746E04"/>
    <w:rsid w:val="00746E08"/>
    <w:rsid w:val="00746E3D"/>
    <w:rsid w:val="007470A9"/>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B08"/>
    <w:rsid w:val="00755DD0"/>
    <w:rsid w:val="007562EC"/>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1DC6"/>
    <w:rsid w:val="0076228A"/>
    <w:rsid w:val="00762440"/>
    <w:rsid w:val="007629B7"/>
    <w:rsid w:val="00762E60"/>
    <w:rsid w:val="007634AD"/>
    <w:rsid w:val="00766ECC"/>
    <w:rsid w:val="007672F3"/>
    <w:rsid w:val="0076734A"/>
    <w:rsid w:val="007676A9"/>
    <w:rsid w:val="007677B5"/>
    <w:rsid w:val="007678B1"/>
    <w:rsid w:val="00770317"/>
    <w:rsid w:val="007708A8"/>
    <w:rsid w:val="00772275"/>
    <w:rsid w:val="007734E4"/>
    <w:rsid w:val="0077380D"/>
    <w:rsid w:val="0077393F"/>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0BC2"/>
    <w:rsid w:val="0079146D"/>
    <w:rsid w:val="00791C32"/>
    <w:rsid w:val="00791E08"/>
    <w:rsid w:val="00791FF0"/>
    <w:rsid w:val="00792292"/>
    <w:rsid w:val="007923D0"/>
    <w:rsid w:val="0079302C"/>
    <w:rsid w:val="007930D3"/>
    <w:rsid w:val="0079381F"/>
    <w:rsid w:val="00793B2E"/>
    <w:rsid w:val="007943FC"/>
    <w:rsid w:val="007948F5"/>
    <w:rsid w:val="00795647"/>
    <w:rsid w:val="007963F6"/>
    <w:rsid w:val="00796418"/>
    <w:rsid w:val="00796485"/>
    <w:rsid w:val="00796576"/>
    <w:rsid w:val="00796E80"/>
    <w:rsid w:val="007979AD"/>
    <w:rsid w:val="00797A9C"/>
    <w:rsid w:val="007A0EAB"/>
    <w:rsid w:val="007A2341"/>
    <w:rsid w:val="007A3307"/>
    <w:rsid w:val="007A38A1"/>
    <w:rsid w:val="007A3967"/>
    <w:rsid w:val="007A3BBE"/>
    <w:rsid w:val="007A4766"/>
    <w:rsid w:val="007A5816"/>
    <w:rsid w:val="007A5947"/>
    <w:rsid w:val="007B00D8"/>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554"/>
    <w:rsid w:val="007C1672"/>
    <w:rsid w:val="007C312A"/>
    <w:rsid w:val="007C3570"/>
    <w:rsid w:val="007C3F3B"/>
    <w:rsid w:val="007C4241"/>
    <w:rsid w:val="007C55FF"/>
    <w:rsid w:val="007C6339"/>
    <w:rsid w:val="007C6EC5"/>
    <w:rsid w:val="007C6F35"/>
    <w:rsid w:val="007C7C43"/>
    <w:rsid w:val="007C7F0D"/>
    <w:rsid w:val="007D0D03"/>
    <w:rsid w:val="007D1134"/>
    <w:rsid w:val="007D20CF"/>
    <w:rsid w:val="007D233A"/>
    <w:rsid w:val="007D23F7"/>
    <w:rsid w:val="007D2566"/>
    <w:rsid w:val="007D2C18"/>
    <w:rsid w:val="007D2D74"/>
    <w:rsid w:val="007D333D"/>
    <w:rsid w:val="007D3395"/>
    <w:rsid w:val="007D3693"/>
    <w:rsid w:val="007D3C6D"/>
    <w:rsid w:val="007D409B"/>
    <w:rsid w:val="007D481A"/>
    <w:rsid w:val="007D5402"/>
    <w:rsid w:val="007D5648"/>
    <w:rsid w:val="007D58C5"/>
    <w:rsid w:val="007D5DE8"/>
    <w:rsid w:val="007D7503"/>
    <w:rsid w:val="007D7CFC"/>
    <w:rsid w:val="007D7FFC"/>
    <w:rsid w:val="007E0812"/>
    <w:rsid w:val="007E16A4"/>
    <w:rsid w:val="007E18DF"/>
    <w:rsid w:val="007E2A04"/>
    <w:rsid w:val="007E2C36"/>
    <w:rsid w:val="007E342A"/>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5CDF"/>
    <w:rsid w:val="007F5F90"/>
    <w:rsid w:val="007F616E"/>
    <w:rsid w:val="007F665F"/>
    <w:rsid w:val="007F6B3B"/>
    <w:rsid w:val="007F6B46"/>
    <w:rsid w:val="007F72CB"/>
    <w:rsid w:val="007F736A"/>
    <w:rsid w:val="007F7635"/>
    <w:rsid w:val="007F785F"/>
    <w:rsid w:val="007F7AF6"/>
    <w:rsid w:val="007F7B49"/>
    <w:rsid w:val="007F7E36"/>
    <w:rsid w:val="00800681"/>
    <w:rsid w:val="00800E6D"/>
    <w:rsid w:val="008014D9"/>
    <w:rsid w:val="0080150F"/>
    <w:rsid w:val="0080153A"/>
    <w:rsid w:val="00801A2A"/>
    <w:rsid w:val="00802041"/>
    <w:rsid w:val="008022C9"/>
    <w:rsid w:val="00802C0C"/>
    <w:rsid w:val="00802F9E"/>
    <w:rsid w:val="00803700"/>
    <w:rsid w:val="00803D9D"/>
    <w:rsid w:val="008053EF"/>
    <w:rsid w:val="008059C6"/>
    <w:rsid w:val="00805AD7"/>
    <w:rsid w:val="00805BD6"/>
    <w:rsid w:val="00805DE3"/>
    <w:rsid w:val="00807666"/>
    <w:rsid w:val="00807C35"/>
    <w:rsid w:val="00807F69"/>
    <w:rsid w:val="008100EC"/>
    <w:rsid w:val="008100F7"/>
    <w:rsid w:val="00810206"/>
    <w:rsid w:val="00811898"/>
    <w:rsid w:val="008120C4"/>
    <w:rsid w:val="008124D8"/>
    <w:rsid w:val="00812704"/>
    <w:rsid w:val="0081323E"/>
    <w:rsid w:val="00813A7B"/>
    <w:rsid w:val="00813F04"/>
    <w:rsid w:val="00814B72"/>
    <w:rsid w:val="00814D88"/>
    <w:rsid w:val="00815A07"/>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5240"/>
    <w:rsid w:val="00825B43"/>
    <w:rsid w:val="00825EF8"/>
    <w:rsid w:val="0082629D"/>
    <w:rsid w:val="008263EB"/>
    <w:rsid w:val="00827203"/>
    <w:rsid w:val="0082767A"/>
    <w:rsid w:val="00827CC0"/>
    <w:rsid w:val="00831026"/>
    <w:rsid w:val="0083119B"/>
    <w:rsid w:val="00831654"/>
    <w:rsid w:val="00831BAE"/>
    <w:rsid w:val="00832216"/>
    <w:rsid w:val="00832CD0"/>
    <w:rsid w:val="00833430"/>
    <w:rsid w:val="00834128"/>
    <w:rsid w:val="0083417F"/>
    <w:rsid w:val="00835143"/>
    <w:rsid w:val="008351F8"/>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B6D"/>
    <w:rsid w:val="00847FFA"/>
    <w:rsid w:val="0085092D"/>
    <w:rsid w:val="00850D82"/>
    <w:rsid w:val="00850F79"/>
    <w:rsid w:val="0085100B"/>
    <w:rsid w:val="0085304C"/>
    <w:rsid w:val="00853973"/>
    <w:rsid w:val="00853B5D"/>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2E8"/>
    <w:rsid w:val="008715ED"/>
    <w:rsid w:val="008717D8"/>
    <w:rsid w:val="00871E3C"/>
    <w:rsid w:val="0087213A"/>
    <w:rsid w:val="00872F97"/>
    <w:rsid w:val="00873863"/>
    <w:rsid w:val="0087392A"/>
    <w:rsid w:val="00873BDE"/>
    <w:rsid w:val="00874607"/>
    <w:rsid w:val="00874915"/>
    <w:rsid w:val="00874B89"/>
    <w:rsid w:val="008752DA"/>
    <w:rsid w:val="00875403"/>
    <w:rsid w:val="00875434"/>
    <w:rsid w:val="00876215"/>
    <w:rsid w:val="0087646C"/>
    <w:rsid w:val="00876815"/>
    <w:rsid w:val="00877932"/>
    <w:rsid w:val="008808C7"/>
    <w:rsid w:val="0088106B"/>
    <w:rsid w:val="0088107D"/>
    <w:rsid w:val="008812E2"/>
    <w:rsid w:val="0088168A"/>
    <w:rsid w:val="00881E64"/>
    <w:rsid w:val="00882A3F"/>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64C"/>
    <w:rsid w:val="00894BB1"/>
    <w:rsid w:val="008950CB"/>
    <w:rsid w:val="008951D0"/>
    <w:rsid w:val="0089572F"/>
    <w:rsid w:val="0089582D"/>
    <w:rsid w:val="008959C6"/>
    <w:rsid w:val="0089606D"/>
    <w:rsid w:val="00896129"/>
    <w:rsid w:val="008965DF"/>
    <w:rsid w:val="0089774F"/>
    <w:rsid w:val="00897875"/>
    <w:rsid w:val="00897B8F"/>
    <w:rsid w:val="008A00D8"/>
    <w:rsid w:val="008A00D9"/>
    <w:rsid w:val="008A059D"/>
    <w:rsid w:val="008A07D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07A"/>
    <w:rsid w:val="008B2268"/>
    <w:rsid w:val="008B263F"/>
    <w:rsid w:val="008B47A6"/>
    <w:rsid w:val="008B5761"/>
    <w:rsid w:val="008B6649"/>
    <w:rsid w:val="008B672C"/>
    <w:rsid w:val="008B7611"/>
    <w:rsid w:val="008C036D"/>
    <w:rsid w:val="008C0743"/>
    <w:rsid w:val="008C0B4C"/>
    <w:rsid w:val="008C11F0"/>
    <w:rsid w:val="008C1DBA"/>
    <w:rsid w:val="008C20B8"/>
    <w:rsid w:val="008C24E7"/>
    <w:rsid w:val="008C2500"/>
    <w:rsid w:val="008C2792"/>
    <w:rsid w:val="008C2CAC"/>
    <w:rsid w:val="008C3E2A"/>
    <w:rsid w:val="008C3FFC"/>
    <w:rsid w:val="008C45BD"/>
    <w:rsid w:val="008C4B19"/>
    <w:rsid w:val="008C5295"/>
    <w:rsid w:val="008C568F"/>
    <w:rsid w:val="008C5E9A"/>
    <w:rsid w:val="008C62D4"/>
    <w:rsid w:val="008C6B89"/>
    <w:rsid w:val="008D0914"/>
    <w:rsid w:val="008D1461"/>
    <w:rsid w:val="008D1519"/>
    <w:rsid w:val="008D18AA"/>
    <w:rsid w:val="008D1A16"/>
    <w:rsid w:val="008D1A2A"/>
    <w:rsid w:val="008D1B94"/>
    <w:rsid w:val="008D29B1"/>
    <w:rsid w:val="008D2EB5"/>
    <w:rsid w:val="008D35D9"/>
    <w:rsid w:val="008D3B85"/>
    <w:rsid w:val="008D3BB8"/>
    <w:rsid w:val="008D4527"/>
    <w:rsid w:val="008D462D"/>
    <w:rsid w:val="008D51F2"/>
    <w:rsid w:val="008D66CA"/>
    <w:rsid w:val="008D69B1"/>
    <w:rsid w:val="008D7338"/>
    <w:rsid w:val="008E0012"/>
    <w:rsid w:val="008E0DF7"/>
    <w:rsid w:val="008E0FAD"/>
    <w:rsid w:val="008E1347"/>
    <w:rsid w:val="008E16E0"/>
    <w:rsid w:val="008E1C15"/>
    <w:rsid w:val="008E1C9A"/>
    <w:rsid w:val="008E2339"/>
    <w:rsid w:val="008E28BD"/>
    <w:rsid w:val="008E38B4"/>
    <w:rsid w:val="008E3BA4"/>
    <w:rsid w:val="008E41C4"/>
    <w:rsid w:val="008E44AB"/>
    <w:rsid w:val="008E5179"/>
    <w:rsid w:val="008E6598"/>
    <w:rsid w:val="008E6A17"/>
    <w:rsid w:val="008E7214"/>
    <w:rsid w:val="008E7348"/>
    <w:rsid w:val="008E7884"/>
    <w:rsid w:val="008E7D6E"/>
    <w:rsid w:val="008F0737"/>
    <w:rsid w:val="008F1056"/>
    <w:rsid w:val="008F2E8D"/>
    <w:rsid w:val="008F3374"/>
    <w:rsid w:val="008F387B"/>
    <w:rsid w:val="008F3DD9"/>
    <w:rsid w:val="008F4814"/>
    <w:rsid w:val="008F4B91"/>
    <w:rsid w:val="008F4DA6"/>
    <w:rsid w:val="008F538E"/>
    <w:rsid w:val="008F59B4"/>
    <w:rsid w:val="008F5A20"/>
    <w:rsid w:val="008F5ABA"/>
    <w:rsid w:val="008F6CF9"/>
    <w:rsid w:val="008F7905"/>
    <w:rsid w:val="008F7989"/>
    <w:rsid w:val="0090134A"/>
    <w:rsid w:val="009026AF"/>
    <w:rsid w:val="009028E8"/>
    <w:rsid w:val="00902E5C"/>
    <w:rsid w:val="0090350D"/>
    <w:rsid w:val="009039EB"/>
    <w:rsid w:val="009046E5"/>
    <w:rsid w:val="0090475D"/>
    <w:rsid w:val="009047C5"/>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17910"/>
    <w:rsid w:val="00917F0B"/>
    <w:rsid w:val="00920026"/>
    <w:rsid w:val="0092032F"/>
    <w:rsid w:val="009203E2"/>
    <w:rsid w:val="00921304"/>
    <w:rsid w:val="0092177A"/>
    <w:rsid w:val="00921805"/>
    <w:rsid w:val="00921BA7"/>
    <w:rsid w:val="00923396"/>
    <w:rsid w:val="00923F56"/>
    <w:rsid w:val="00923FA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0FA"/>
    <w:rsid w:val="009444B4"/>
    <w:rsid w:val="00944644"/>
    <w:rsid w:val="009449F9"/>
    <w:rsid w:val="009451CE"/>
    <w:rsid w:val="009460F9"/>
    <w:rsid w:val="00946A24"/>
    <w:rsid w:val="009470D4"/>
    <w:rsid w:val="00947337"/>
    <w:rsid w:val="00950A5B"/>
    <w:rsid w:val="009512FA"/>
    <w:rsid w:val="00951E57"/>
    <w:rsid w:val="00953018"/>
    <w:rsid w:val="009533E2"/>
    <w:rsid w:val="00953554"/>
    <w:rsid w:val="0095385A"/>
    <w:rsid w:val="00953928"/>
    <w:rsid w:val="009540F0"/>
    <w:rsid w:val="00955906"/>
    <w:rsid w:val="00955978"/>
    <w:rsid w:val="00956105"/>
    <w:rsid w:val="00957010"/>
    <w:rsid w:val="009574F8"/>
    <w:rsid w:val="0095780A"/>
    <w:rsid w:val="009579E4"/>
    <w:rsid w:val="00957A55"/>
    <w:rsid w:val="00957AA4"/>
    <w:rsid w:val="00957ACB"/>
    <w:rsid w:val="00957E21"/>
    <w:rsid w:val="00957F27"/>
    <w:rsid w:val="009609F0"/>
    <w:rsid w:val="00960BDB"/>
    <w:rsid w:val="0096147D"/>
    <w:rsid w:val="00961E5F"/>
    <w:rsid w:val="009625C6"/>
    <w:rsid w:val="009629B5"/>
    <w:rsid w:val="00962A50"/>
    <w:rsid w:val="00962E25"/>
    <w:rsid w:val="00962E33"/>
    <w:rsid w:val="00962F47"/>
    <w:rsid w:val="009631BD"/>
    <w:rsid w:val="00964138"/>
    <w:rsid w:val="00964B3F"/>
    <w:rsid w:val="00964C98"/>
    <w:rsid w:val="00964E0A"/>
    <w:rsid w:val="00966214"/>
    <w:rsid w:val="00971441"/>
    <w:rsid w:val="009715D4"/>
    <w:rsid w:val="00972470"/>
    <w:rsid w:val="009739A9"/>
    <w:rsid w:val="00973AA2"/>
    <w:rsid w:val="0097494E"/>
    <w:rsid w:val="00974B58"/>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C77"/>
    <w:rsid w:val="00990345"/>
    <w:rsid w:val="00990583"/>
    <w:rsid w:val="00990701"/>
    <w:rsid w:val="0099090B"/>
    <w:rsid w:val="00990BC7"/>
    <w:rsid w:val="0099119C"/>
    <w:rsid w:val="0099137A"/>
    <w:rsid w:val="00991805"/>
    <w:rsid w:val="0099211C"/>
    <w:rsid w:val="00993B78"/>
    <w:rsid w:val="00993CD6"/>
    <w:rsid w:val="0099483A"/>
    <w:rsid w:val="00995119"/>
    <w:rsid w:val="009953AD"/>
    <w:rsid w:val="0099583D"/>
    <w:rsid w:val="00995B7C"/>
    <w:rsid w:val="009965A7"/>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CA7"/>
    <w:rsid w:val="009A6FDF"/>
    <w:rsid w:val="009A76D6"/>
    <w:rsid w:val="009B05A1"/>
    <w:rsid w:val="009B199E"/>
    <w:rsid w:val="009B256C"/>
    <w:rsid w:val="009B2E29"/>
    <w:rsid w:val="009B3163"/>
    <w:rsid w:val="009B422F"/>
    <w:rsid w:val="009B46BC"/>
    <w:rsid w:val="009B4D1A"/>
    <w:rsid w:val="009B558B"/>
    <w:rsid w:val="009B6801"/>
    <w:rsid w:val="009B68DD"/>
    <w:rsid w:val="009B6D21"/>
    <w:rsid w:val="009B7266"/>
    <w:rsid w:val="009B7538"/>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411D"/>
    <w:rsid w:val="009E476A"/>
    <w:rsid w:val="009E4E05"/>
    <w:rsid w:val="009E56FF"/>
    <w:rsid w:val="009E5CB1"/>
    <w:rsid w:val="009E5E56"/>
    <w:rsid w:val="009E61EA"/>
    <w:rsid w:val="009E6990"/>
    <w:rsid w:val="009E6FEE"/>
    <w:rsid w:val="009F060F"/>
    <w:rsid w:val="009F0781"/>
    <w:rsid w:val="009F0850"/>
    <w:rsid w:val="009F11B2"/>
    <w:rsid w:val="009F18A4"/>
    <w:rsid w:val="009F1BDF"/>
    <w:rsid w:val="009F1EAE"/>
    <w:rsid w:val="009F2730"/>
    <w:rsid w:val="009F29A5"/>
    <w:rsid w:val="009F369D"/>
    <w:rsid w:val="009F36FE"/>
    <w:rsid w:val="009F46A9"/>
    <w:rsid w:val="009F4F25"/>
    <w:rsid w:val="009F59C2"/>
    <w:rsid w:val="009F61DE"/>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A3"/>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295"/>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304"/>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3D2"/>
    <w:rsid w:val="00A73855"/>
    <w:rsid w:val="00A73D64"/>
    <w:rsid w:val="00A73FEA"/>
    <w:rsid w:val="00A74216"/>
    <w:rsid w:val="00A744B4"/>
    <w:rsid w:val="00A7495B"/>
    <w:rsid w:val="00A74D61"/>
    <w:rsid w:val="00A74DDF"/>
    <w:rsid w:val="00A751E3"/>
    <w:rsid w:val="00A75504"/>
    <w:rsid w:val="00A756BC"/>
    <w:rsid w:val="00A75CD9"/>
    <w:rsid w:val="00A76438"/>
    <w:rsid w:val="00A77168"/>
    <w:rsid w:val="00A7723B"/>
    <w:rsid w:val="00A77525"/>
    <w:rsid w:val="00A7793C"/>
    <w:rsid w:val="00A77D21"/>
    <w:rsid w:val="00A80085"/>
    <w:rsid w:val="00A8043B"/>
    <w:rsid w:val="00A8119D"/>
    <w:rsid w:val="00A81323"/>
    <w:rsid w:val="00A81AC0"/>
    <w:rsid w:val="00A820CB"/>
    <w:rsid w:val="00A82342"/>
    <w:rsid w:val="00A83AE6"/>
    <w:rsid w:val="00A83BEF"/>
    <w:rsid w:val="00A841E1"/>
    <w:rsid w:val="00A84443"/>
    <w:rsid w:val="00A8487F"/>
    <w:rsid w:val="00A848FC"/>
    <w:rsid w:val="00A849A3"/>
    <w:rsid w:val="00A84A0E"/>
    <w:rsid w:val="00A84D7C"/>
    <w:rsid w:val="00A851FD"/>
    <w:rsid w:val="00A86E0B"/>
    <w:rsid w:val="00A9069B"/>
    <w:rsid w:val="00A90F12"/>
    <w:rsid w:val="00A93101"/>
    <w:rsid w:val="00A94293"/>
    <w:rsid w:val="00A94760"/>
    <w:rsid w:val="00A9496E"/>
    <w:rsid w:val="00A949F0"/>
    <w:rsid w:val="00A94BDE"/>
    <w:rsid w:val="00A94FCA"/>
    <w:rsid w:val="00A950F2"/>
    <w:rsid w:val="00A95E4C"/>
    <w:rsid w:val="00A96C60"/>
    <w:rsid w:val="00A97223"/>
    <w:rsid w:val="00A9740B"/>
    <w:rsid w:val="00A9766C"/>
    <w:rsid w:val="00A977F8"/>
    <w:rsid w:val="00A97C93"/>
    <w:rsid w:val="00AA08E7"/>
    <w:rsid w:val="00AA0A06"/>
    <w:rsid w:val="00AA1351"/>
    <w:rsid w:val="00AA1859"/>
    <w:rsid w:val="00AA1C84"/>
    <w:rsid w:val="00AA3D7B"/>
    <w:rsid w:val="00AA42A0"/>
    <w:rsid w:val="00AA442B"/>
    <w:rsid w:val="00AA46A4"/>
    <w:rsid w:val="00AA5687"/>
    <w:rsid w:val="00AA5779"/>
    <w:rsid w:val="00AA58A1"/>
    <w:rsid w:val="00AA61C7"/>
    <w:rsid w:val="00AA669D"/>
    <w:rsid w:val="00AA66ED"/>
    <w:rsid w:val="00AA6BE1"/>
    <w:rsid w:val="00AA7416"/>
    <w:rsid w:val="00AA7A60"/>
    <w:rsid w:val="00AA7B42"/>
    <w:rsid w:val="00AB041C"/>
    <w:rsid w:val="00AB14E8"/>
    <w:rsid w:val="00AB17EC"/>
    <w:rsid w:val="00AB19AF"/>
    <w:rsid w:val="00AB1B1D"/>
    <w:rsid w:val="00AB2080"/>
    <w:rsid w:val="00AB2216"/>
    <w:rsid w:val="00AB2C0A"/>
    <w:rsid w:val="00AB33A8"/>
    <w:rsid w:val="00AB358D"/>
    <w:rsid w:val="00AB37A1"/>
    <w:rsid w:val="00AB3BAD"/>
    <w:rsid w:val="00AB3CFD"/>
    <w:rsid w:val="00AB40C6"/>
    <w:rsid w:val="00AB49BC"/>
    <w:rsid w:val="00AB4DEE"/>
    <w:rsid w:val="00AB4E32"/>
    <w:rsid w:val="00AB579A"/>
    <w:rsid w:val="00AB5DB2"/>
    <w:rsid w:val="00AB724B"/>
    <w:rsid w:val="00AB726C"/>
    <w:rsid w:val="00AB72B4"/>
    <w:rsid w:val="00AC01FD"/>
    <w:rsid w:val="00AC02AA"/>
    <w:rsid w:val="00AC0537"/>
    <w:rsid w:val="00AC0A84"/>
    <w:rsid w:val="00AC0D2E"/>
    <w:rsid w:val="00AC229B"/>
    <w:rsid w:val="00AC2A0B"/>
    <w:rsid w:val="00AC2BEC"/>
    <w:rsid w:val="00AC2BEE"/>
    <w:rsid w:val="00AC2E53"/>
    <w:rsid w:val="00AC484F"/>
    <w:rsid w:val="00AC4A42"/>
    <w:rsid w:val="00AC4B20"/>
    <w:rsid w:val="00AC4D8F"/>
    <w:rsid w:val="00AC56F2"/>
    <w:rsid w:val="00AC5B83"/>
    <w:rsid w:val="00AC6886"/>
    <w:rsid w:val="00AC71C3"/>
    <w:rsid w:val="00AD067C"/>
    <w:rsid w:val="00AD0DA5"/>
    <w:rsid w:val="00AD1499"/>
    <w:rsid w:val="00AD1C45"/>
    <w:rsid w:val="00AD1EFA"/>
    <w:rsid w:val="00AD2072"/>
    <w:rsid w:val="00AD2165"/>
    <w:rsid w:val="00AD2808"/>
    <w:rsid w:val="00AD2DBD"/>
    <w:rsid w:val="00AD2FBF"/>
    <w:rsid w:val="00AD416B"/>
    <w:rsid w:val="00AD455D"/>
    <w:rsid w:val="00AD463C"/>
    <w:rsid w:val="00AD46A2"/>
    <w:rsid w:val="00AD47E8"/>
    <w:rsid w:val="00AD4F60"/>
    <w:rsid w:val="00AD5044"/>
    <w:rsid w:val="00AD5114"/>
    <w:rsid w:val="00AD6236"/>
    <w:rsid w:val="00AD7619"/>
    <w:rsid w:val="00AD7770"/>
    <w:rsid w:val="00AE0D1C"/>
    <w:rsid w:val="00AE1772"/>
    <w:rsid w:val="00AE1990"/>
    <w:rsid w:val="00AE2523"/>
    <w:rsid w:val="00AE25E8"/>
    <w:rsid w:val="00AE2AD4"/>
    <w:rsid w:val="00AE2CA7"/>
    <w:rsid w:val="00AE2F1D"/>
    <w:rsid w:val="00AE4B2B"/>
    <w:rsid w:val="00AE586F"/>
    <w:rsid w:val="00AE5A78"/>
    <w:rsid w:val="00AE6582"/>
    <w:rsid w:val="00AE6DC5"/>
    <w:rsid w:val="00AE7686"/>
    <w:rsid w:val="00AE799A"/>
    <w:rsid w:val="00AF078E"/>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36E"/>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386"/>
    <w:rsid w:val="00B1557C"/>
    <w:rsid w:val="00B155DC"/>
    <w:rsid w:val="00B15766"/>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B"/>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37F8"/>
    <w:rsid w:val="00B4387A"/>
    <w:rsid w:val="00B44260"/>
    <w:rsid w:val="00B44746"/>
    <w:rsid w:val="00B44854"/>
    <w:rsid w:val="00B458D0"/>
    <w:rsid w:val="00B46120"/>
    <w:rsid w:val="00B4792C"/>
    <w:rsid w:val="00B505B5"/>
    <w:rsid w:val="00B50CAE"/>
    <w:rsid w:val="00B512AD"/>
    <w:rsid w:val="00B5196C"/>
    <w:rsid w:val="00B525CB"/>
    <w:rsid w:val="00B52697"/>
    <w:rsid w:val="00B53E7C"/>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FA7"/>
    <w:rsid w:val="00B72110"/>
    <w:rsid w:val="00B72608"/>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1CE"/>
    <w:rsid w:val="00B80C5F"/>
    <w:rsid w:val="00B80C72"/>
    <w:rsid w:val="00B81964"/>
    <w:rsid w:val="00B81E6F"/>
    <w:rsid w:val="00B82121"/>
    <w:rsid w:val="00B82123"/>
    <w:rsid w:val="00B8225B"/>
    <w:rsid w:val="00B82BB5"/>
    <w:rsid w:val="00B83182"/>
    <w:rsid w:val="00B84684"/>
    <w:rsid w:val="00B848DF"/>
    <w:rsid w:val="00B851E4"/>
    <w:rsid w:val="00B854CE"/>
    <w:rsid w:val="00B85681"/>
    <w:rsid w:val="00B857EB"/>
    <w:rsid w:val="00B86162"/>
    <w:rsid w:val="00B8647B"/>
    <w:rsid w:val="00B86877"/>
    <w:rsid w:val="00B8695D"/>
    <w:rsid w:val="00B86D58"/>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C54"/>
    <w:rsid w:val="00BA1178"/>
    <w:rsid w:val="00BA1382"/>
    <w:rsid w:val="00BA1EFD"/>
    <w:rsid w:val="00BA20D8"/>
    <w:rsid w:val="00BA22FC"/>
    <w:rsid w:val="00BA2F30"/>
    <w:rsid w:val="00BA4771"/>
    <w:rsid w:val="00BA4DA4"/>
    <w:rsid w:val="00BA5027"/>
    <w:rsid w:val="00BA6602"/>
    <w:rsid w:val="00BA665B"/>
    <w:rsid w:val="00BA7370"/>
    <w:rsid w:val="00BA778B"/>
    <w:rsid w:val="00BA79B8"/>
    <w:rsid w:val="00BB074A"/>
    <w:rsid w:val="00BB0888"/>
    <w:rsid w:val="00BB0DF1"/>
    <w:rsid w:val="00BB0E9B"/>
    <w:rsid w:val="00BB2729"/>
    <w:rsid w:val="00BB2841"/>
    <w:rsid w:val="00BB300F"/>
    <w:rsid w:val="00BB32C9"/>
    <w:rsid w:val="00BB35C5"/>
    <w:rsid w:val="00BB43A7"/>
    <w:rsid w:val="00BB47D0"/>
    <w:rsid w:val="00BB4C8E"/>
    <w:rsid w:val="00BB57ED"/>
    <w:rsid w:val="00BB65C3"/>
    <w:rsid w:val="00BB662E"/>
    <w:rsid w:val="00BB67A9"/>
    <w:rsid w:val="00BB6C01"/>
    <w:rsid w:val="00BB7942"/>
    <w:rsid w:val="00BB7CD1"/>
    <w:rsid w:val="00BC0F33"/>
    <w:rsid w:val="00BC14A7"/>
    <w:rsid w:val="00BC1611"/>
    <w:rsid w:val="00BC1632"/>
    <w:rsid w:val="00BC17CC"/>
    <w:rsid w:val="00BC229E"/>
    <w:rsid w:val="00BC2898"/>
    <w:rsid w:val="00BC2928"/>
    <w:rsid w:val="00BC2AA9"/>
    <w:rsid w:val="00BC2BB1"/>
    <w:rsid w:val="00BC34A3"/>
    <w:rsid w:val="00BC3FF9"/>
    <w:rsid w:val="00BC4834"/>
    <w:rsid w:val="00BC4A97"/>
    <w:rsid w:val="00BC5A25"/>
    <w:rsid w:val="00BC5FDD"/>
    <w:rsid w:val="00BC68B4"/>
    <w:rsid w:val="00BC68C8"/>
    <w:rsid w:val="00BC6C2D"/>
    <w:rsid w:val="00BC7B9A"/>
    <w:rsid w:val="00BD00A9"/>
    <w:rsid w:val="00BD0140"/>
    <w:rsid w:val="00BD02CC"/>
    <w:rsid w:val="00BD09A7"/>
    <w:rsid w:val="00BD1675"/>
    <w:rsid w:val="00BD2063"/>
    <w:rsid w:val="00BD33D9"/>
    <w:rsid w:val="00BD38C5"/>
    <w:rsid w:val="00BD3A59"/>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0F49"/>
    <w:rsid w:val="00BE12D7"/>
    <w:rsid w:val="00BE1372"/>
    <w:rsid w:val="00BE1775"/>
    <w:rsid w:val="00BE17A2"/>
    <w:rsid w:val="00BE18DA"/>
    <w:rsid w:val="00BE26C0"/>
    <w:rsid w:val="00BE3442"/>
    <w:rsid w:val="00BE39F5"/>
    <w:rsid w:val="00BE45DF"/>
    <w:rsid w:val="00BE47B2"/>
    <w:rsid w:val="00BE48C7"/>
    <w:rsid w:val="00BE4F66"/>
    <w:rsid w:val="00BE4F8C"/>
    <w:rsid w:val="00BE5238"/>
    <w:rsid w:val="00BE5D35"/>
    <w:rsid w:val="00BE6074"/>
    <w:rsid w:val="00BE67A2"/>
    <w:rsid w:val="00BE7257"/>
    <w:rsid w:val="00BF020D"/>
    <w:rsid w:val="00BF1DD2"/>
    <w:rsid w:val="00BF23A3"/>
    <w:rsid w:val="00BF28DB"/>
    <w:rsid w:val="00BF2A7E"/>
    <w:rsid w:val="00BF3331"/>
    <w:rsid w:val="00BF3A45"/>
    <w:rsid w:val="00BF436F"/>
    <w:rsid w:val="00BF4EC5"/>
    <w:rsid w:val="00BF5723"/>
    <w:rsid w:val="00BF5C05"/>
    <w:rsid w:val="00BF60C8"/>
    <w:rsid w:val="00BF6FC6"/>
    <w:rsid w:val="00BF73E1"/>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173"/>
    <w:rsid w:val="00C14639"/>
    <w:rsid w:val="00C14E82"/>
    <w:rsid w:val="00C14FF6"/>
    <w:rsid w:val="00C150A6"/>
    <w:rsid w:val="00C15A85"/>
    <w:rsid w:val="00C1641B"/>
    <w:rsid w:val="00C165FC"/>
    <w:rsid w:val="00C176D5"/>
    <w:rsid w:val="00C2082C"/>
    <w:rsid w:val="00C20832"/>
    <w:rsid w:val="00C20EB0"/>
    <w:rsid w:val="00C21005"/>
    <w:rsid w:val="00C2183B"/>
    <w:rsid w:val="00C220B6"/>
    <w:rsid w:val="00C22D7C"/>
    <w:rsid w:val="00C22DDE"/>
    <w:rsid w:val="00C2338B"/>
    <w:rsid w:val="00C233CE"/>
    <w:rsid w:val="00C23661"/>
    <w:rsid w:val="00C236AE"/>
    <w:rsid w:val="00C237DD"/>
    <w:rsid w:val="00C238F4"/>
    <w:rsid w:val="00C23A99"/>
    <w:rsid w:val="00C23B96"/>
    <w:rsid w:val="00C245EE"/>
    <w:rsid w:val="00C24AE1"/>
    <w:rsid w:val="00C24B8D"/>
    <w:rsid w:val="00C24BD7"/>
    <w:rsid w:val="00C252CC"/>
    <w:rsid w:val="00C25813"/>
    <w:rsid w:val="00C27143"/>
    <w:rsid w:val="00C27490"/>
    <w:rsid w:val="00C27A55"/>
    <w:rsid w:val="00C27AFC"/>
    <w:rsid w:val="00C27D37"/>
    <w:rsid w:val="00C27FB2"/>
    <w:rsid w:val="00C302E5"/>
    <w:rsid w:val="00C309E8"/>
    <w:rsid w:val="00C30E37"/>
    <w:rsid w:val="00C32017"/>
    <w:rsid w:val="00C325CD"/>
    <w:rsid w:val="00C3322E"/>
    <w:rsid w:val="00C337F5"/>
    <w:rsid w:val="00C33B90"/>
    <w:rsid w:val="00C34350"/>
    <w:rsid w:val="00C34B5F"/>
    <w:rsid w:val="00C3543E"/>
    <w:rsid w:val="00C358D4"/>
    <w:rsid w:val="00C35E2D"/>
    <w:rsid w:val="00C36785"/>
    <w:rsid w:val="00C36845"/>
    <w:rsid w:val="00C3711C"/>
    <w:rsid w:val="00C37256"/>
    <w:rsid w:val="00C37A7B"/>
    <w:rsid w:val="00C37CFF"/>
    <w:rsid w:val="00C37FFE"/>
    <w:rsid w:val="00C40B50"/>
    <w:rsid w:val="00C41457"/>
    <w:rsid w:val="00C41858"/>
    <w:rsid w:val="00C419E3"/>
    <w:rsid w:val="00C419F4"/>
    <w:rsid w:val="00C41E6A"/>
    <w:rsid w:val="00C421A3"/>
    <w:rsid w:val="00C42247"/>
    <w:rsid w:val="00C439BE"/>
    <w:rsid w:val="00C442E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60A"/>
    <w:rsid w:val="00C63E99"/>
    <w:rsid w:val="00C6410E"/>
    <w:rsid w:val="00C64161"/>
    <w:rsid w:val="00C641BD"/>
    <w:rsid w:val="00C649B8"/>
    <w:rsid w:val="00C64A64"/>
    <w:rsid w:val="00C65151"/>
    <w:rsid w:val="00C657F4"/>
    <w:rsid w:val="00C66119"/>
    <w:rsid w:val="00C66292"/>
    <w:rsid w:val="00C672A3"/>
    <w:rsid w:val="00C672F1"/>
    <w:rsid w:val="00C673D0"/>
    <w:rsid w:val="00C6742E"/>
    <w:rsid w:val="00C677BE"/>
    <w:rsid w:val="00C70012"/>
    <w:rsid w:val="00C71CBB"/>
    <w:rsid w:val="00C71E2A"/>
    <w:rsid w:val="00C733BA"/>
    <w:rsid w:val="00C74F3F"/>
    <w:rsid w:val="00C760DC"/>
    <w:rsid w:val="00C8082B"/>
    <w:rsid w:val="00C81A88"/>
    <w:rsid w:val="00C81AEC"/>
    <w:rsid w:val="00C81D46"/>
    <w:rsid w:val="00C820AD"/>
    <w:rsid w:val="00C82298"/>
    <w:rsid w:val="00C82F91"/>
    <w:rsid w:val="00C833B4"/>
    <w:rsid w:val="00C84284"/>
    <w:rsid w:val="00C84E33"/>
    <w:rsid w:val="00C853E0"/>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2B77"/>
    <w:rsid w:val="00C93154"/>
    <w:rsid w:val="00C93765"/>
    <w:rsid w:val="00C937BF"/>
    <w:rsid w:val="00C93877"/>
    <w:rsid w:val="00C93D8C"/>
    <w:rsid w:val="00C946CC"/>
    <w:rsid w:val="00C959BD"/>
    <w:rsid w:val="00C95F44"/>
    <w:rsid w:val="00C96807"/>
    <w:rsid w:val="00C96D1B"/>
    <w:rsid w:val="00C97106"/>
    <w:rsid w:val="00C97684"/>
    <w:rsid w:val="00CA0031"/>
    <w:rsid w:val="00CA0413"/>
    <w:rsid w:val="00CA043A"/>
    <w:rsid w:val="00CA04F8"/>
    <w:rsid w:val="00CA05B7"/>
    <w:rsid w:val="00CA1691"/>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4137"/>
    <w:rsid w:val="00CB52D0"/>
    <w:rsid w:val="00CB5578"/>
    <w:rsid w:val="00CB5671"/>
    <w:rsid w:val="00CB591C"/>
    <w:rsid w:val="00CB5943"/>
    <w:rsid w:val="00CB5BDB"/>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205D"/>
    <w:rsid w:val="00CD2A22"/>
    <w:rsid w:val="00CD2B50"/>
    <w:rsid w:val="00CD3AD3"/>
    <w:rsid w:val="00CD41FE"/>
    <w:rsid w:val="00CD436C"/>
    <w:rsid w:val="00CD4506"/>
    <w:rsid w:val="00CD520B"/>
    <w:rsid w:val="00CD592E"/>
    <w:rsid w:val="00CD5982"/>
    <w:rsid w:val="00CD5A1A"/>
    <w:rsid w:val="00CD6054"/>
    <w:rsid w:val="00CD7EFA"/>
    <w:rsid w:val="00CE020E"/>
    <w:rsid w:val="00CE0566"/>
    <w:rsid w:val="00CE16A9"/>
    <w:rsid w:val="00CE1CD4"/>
    <w:rsid w:val="00CE23FE"/>
    <w:rsid w:val="00CE2761"/>
    <w:rsid w:val="00CE2B49"/>
    <w:rsid w:val="00CE314E"/>
    <w:rsid w:val="00CE3D5C"/>
    <w:rsid w:val="00CE3E14"/>
    <w:rsid w:val="00CE44C7"/>
    <w:rsid w:val="00CE53CC"/>
    <w:rsid w:val="00CE65A7"/>
    <w:rsid w:val="00CE669E"/>
    <w:rsid w:val="00CE68FE"/>
    <w:rsid w:val="00CE69CC"/>
    <w:rsid w:val="00CE6EC4"/>
    <w:rsid w:val="00CE7A77"/>
    <w:rsid w:val="00CE7F26"/>
    <w:rsid w:val="00CE7FBF"/>
    <w:rsid w:val="00CF1226"/>
    <w:rsid w:val="00CF148D"/>
    <w:rsid w:val="00CF16C0"/>
    <w:rsid w:val="00CF1ABB"/>
    <w:rsid w:val="00CF1E1D"/>
    <w:rsid w:val="00CF24FE"/>
    <w:rsid w:val="00CF35D0"/>
    <w:rsid w:val="00CF3DD5"/>
    <w:rsid w:val="00CF41D5"/>
    <w:rsid w:val="00CF4897"/>
    <w:rsid w:val="00CF4A21"/>
    <w:rsid w:val="00CF4AF7"/>
    <w:rsid w:val="00CF4D20"/>
    <w:rsid w:val="00CF55DF"/>
    <w:rsid w:val="00CF6180"/>
    <w:rsid w:val="00CF64F6"/>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8E9"/>
    <w:rsid w:val="00D0612A"/>
    <w:rsid w:val="00D06A0E"/>
    <w:rsid w:val="00D1060D"/>
    <w:rsid w:val="00D10E7C"/>
    <w:rsid w:val="00D11182"/>
    <w:rsid w:val="00D1137B"/>
    <w:rsid w:val="00D11773"/>
    <w:rsid w:val="00D11807"/>
    <w:rsid w:val="00D11DB3"/>
    <w:rsid w:val="00D12D82"/>
    <w:rsid w:val="00D1306E"/>
    <w:rsid w:val="00D134CD"/>
    <w:rsid w:val="00D13CE5"/>
    <w:rsid w:val="00D14B5F"/>
    <w:rsid w:val="00D14E13"/>
    <w:rsid w:val="00D14F23"/>
    <w:rsid w:val="00D15356"/>
    <w:rsid w:val="00D16054"/>
    <w:rsid w:val="00D160AA"/>
    <w:rsid w:val="00D16740"/>
    <w:rsid w:val="00D16A8B"/>
    <w:rsid w:val="00D16E39"/>
    <w:rsid w:val="00D17951"/>
    <w:rsid w:val="00D17AD8"/>
    <w:rsid w:val="00D17B53"/>
    <w:rsid w:val="00D2104A"/>
    <w:rsid w:val="00D21302"/>
    <w:rsid w:val="00D213F1"/>
    <w:rsid w:val="00D21BB5"/>
    <w:rsid w:val="00D21FFC"/>
    <w:rsid w:val="00D223A3"/>
    <w:rsid w:val="00D223B6"/>
    <w:rsid w:val="00D223E8"/>
    <w:rsid w:val="00D22DC8"/>
    <w:rsid w:val="00D24ECD"/>
    <w:rsid w:val="00D2522A"/>
    <w:rsid w:val="00D2531C"/>
    <w:rsid w:val="00D255F3"/>
    <w:rsid w:val="00D26C21"/>
    <w:rsid w:val="00D2742F"/>
    <w:rsid w:val="00D2754F"/>
    <w:rsid w:val="00D27912"/>
    <w:rsid w:val="00D279D9"/>
    <w:rsid w:val="00D27C74"/>
    <w:rsid w:val="00D300FF"/>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BE"/>
    <w:rsid w:val="00D4043A"/>
    <w:rsid w:val="00D40A8E"/>
    <w:rsid w:val="00D40AB0"/>
    <w:rsid w:val="00D40DB0"/>
    <w:rsid w:val="00D40F8B"/>
    <w:rsid w:val="00D41858"/>
    <w:rsid w:val="00D41DA4"/>
    <w:rsid w:val="00D422DB"/>
    <w:rsid w:val="00D4274C"/>
    <w:rsid w:val="00D42A83"/>
    <w:rsid w:val="00D42AC2"/>
    <w:rsid w:val="00D4498E"/>
    <w:rsid w:val="00D4515F"/>
    <w:rsid w:val="00D451E8"/>
    <w:rsid w:val="00D4636B"/>
    <w:rsid w:val="00D466C9"/>
    <w:rsid w:val="00D467D8"/>
    <w:rsid w:val="00D47275"/>
    <w:rsid w:val="00D4767B"/>
    <w:rsid w:val="00D50AEF"/>
    <w:rsid w:val="00D50C39"/>
    <w:rsid w:val="00D51E15"/>
    <w:rsid w:val="00D52B7E"/>
    <w:rsid w:val="00D52CC8"/>
    <w:rsid w:val="00D52E2F"/>
    <w:rsid w:val="00D52F59"/>
    <w:rsid w:val="00D53E3E"/>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6A19"/>
    <w:rsid w:val="00D76CBD"/>
    <w:rsid w:val="00D7734F"/>
    <w:rsid w:val="00D77F55"/>
    <w:rsid w:val="00D8044C"/>
    <w:rsid w:val="00D805D6"/>
    <w:rsid w:val="00D8075E"/>
    <w:rsid w:val="00D80860"/>
    <w:rsid w:val="00D80D4C"/>
    <w:rsid w:val="00D8166D"/>
    <w:rsid w:val="00D8184D"/>
    <w:rsid w:val="00D81A7B"/>
    <w:rsid w:val="00D8223C"/>
    <w:rsid w:val="00D82B57"/>
    <w:rsid w:val="00D82CE5"/>
    <w:rsid w:val="00D8342C"/>
    <w:rsid w:val="00D8391F"/>
    <w:rsid w:val="00D85494"/>
    <w:rsid w:val="00D8582C"/>
    <w:rsid w:val="00D85D61"/>
    <w:rsid w:val="00D8616D"/>
    <w:rsid w:val="00D8711B"/>
    <w:rsid w:val="00D87384"/>
    <w:rsid w:val="00D90683"/>
    <w:rsid w:val="00D915C8"/>
    <w:rsid w:val="00D9261C"/>
    <w:rsid w:val="00D9310B"/>
    <w:rsid w:val="00D93299"/>
    <w:rsid w:val="00D93726"/>
    <w:rsid w:val="00D93DD3"/>
    <w:rsid w:val="00D93F3E"/>
    <w:rsid w:val="00D9405B"/>
    <w:rsid w:val="00D94942"/>
    <w:rsid w:val="00D95145"/>
    <w:rsid w:val="00D967CB"/>
    <w:rsid w:val="00D96D86"/>
    <w:rsid w:val="00D96EE0"/>
    <w:rsid w:val="00D97BD1"/>
    <w:rsid w:val="00DA06B8"/>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8A"/>
    <w:rsid w:val="00DB12D4"/>
    <w:rsid w:val="00DB14F0"/>
    <w:rsid w:val="00DB1745"/>
    <w:rsid w:val="00DB1AFF"/>
    <w:rsid w:val="00DB219A"/>
    <w:rsid w:val="00DB3165"/>
    <w:rsid w:val="00DB4292"/>
    <w:rsid w:val="00DB5196"/>
    <w:rsid w:val="00DB5C03"/>
    <w:rsid w:val="00DB68BB"/>
    <w:rsid w:val="00DB6E46"/>
    <w:rsid w:val="00DB70E2"/>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AB9"/>
    <w:rsid w:val="00DC6F33"/>
    <w:rsid w:val="00DC729E"/>
    <w:rsid w:val="00DC7349"/>
    <w:rsid w:val="00DD005B"/>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64A"/>
    <w:rsid w:val="00DE0755"/>
    <w:rsid w:val="00DE082D"/>
    <w:rsid w:val="00DE1410"/>
    <w:rsid w:val="00DE1ED0"/>
    <w:rsid w:val="00DE3119"/>
    <w:rsid w:val="00DE3FF0"/>
    <w:rsid w:val="00DE4105"/>
    <w:rsid w:val="00DE5189"/>
    <w:rsid w:val="00DE6230"/>
    <w:rsid w:val="00DE6394"/>
    <w:rsid w:val="00DE7108"/>
    <w:rsid w:val="00DE78D1"/>
    <w:rsid w:val="00DF0263"/>
    <w:rsid w:val="00DF098E"/>
    <w:rsid w:val="00DF0EB4"/>
    <w:rsid w:val="00DF1E36"/>
    <w:rsid w:val="00DF1FDB"/>
    <w:rsid w:val="00DF236B"/>
    <w:rsid w:val="00DF2A91"/>
    <w:rsid w:val="00DF2F82"/>
    <w:rsid w:val="00DF3889"/>
    <w:rsid w:val="00DF3CC9"/>
    <w:rsid w:val="00DF4451"/>
    <w:rsid w:val="00DF4750"/>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7BA"/>
    <w:rsid w:val="00E05E70"/>
    <w:rsid w:val="00E0631A"/>
    <w:rsid w:val="00E064BC"/>
    <w:rsid w:val="00E07225"/>
    <w:rsid w:val="00E07AAA"/>
    <w:rsid w:val="00E1079C"/>
    <w:rsid w:val="00E109DD"/>
    <w:rsid w:val="00E11229"/>
    <w:rsid w:val="00E114CA"/>
    <w:rsid w:val="00E11CF0"/>
    <w:rsid w:val="00E12E62"/>
    <w:rsid w:val="00E132D5"/>
    <w:rsid w:val="00E1397F"/>
    <w:rsid w:val="00E13AB8"/>
    <w:rsid w:val="00E13D8F"/>
    <w:rsid w:val="00E13F26"/>
    <w:rsid w:val="00E1482E"/>
    <w:rsid w:val="00E155D3"/>
    <w:rsid w:val="00E16382"/>
    <w:rsid w:val="00E16572"/>
    <w:rsid w:val="00E1699C"/>
    <w:rsid w:val="00E16E75"/>
    <w:rsid w:val="00E1746D"/>
    <w:rsid w:val="00E2012A"/>
    <w:rsid w:val="00E205A2"/>
    <w:rsid w:val="00E20BA4"/>
    <w:rsid w:val="00E20C24"/>
    <w:rsid w:val="00E21A60"/>
    <w:rsid w:val="00E220DE"/>
    <w:rsid w:val="00E23137"/>
    <w:rsid w:val="00E231B0"/>
    <w:rsid w:val="00E23980"/>
    <w:rsid w:val="00E241E9"/>
    <w:rsid w:val="00E2510E"/>
    <w:rsid w:val="00E2520A"/>
    <w:rsid w:val="00E253EB"/>
    <w:rsid w:val="00E257C3"/>
    <w:rsid w:val="00E25CB3"/>
    <w:rsid w:val="00E25DA4"/>
    <w:rsid w:val="00E26CB8"/>
    <w:rsid w:val="00E26FCF"/>
    <w:rsid w:val="00E27165"/>
    <w:rsid w:val="00E27226"/>
    <w:rsid w:val="00E3044A"/>
    <w:rsid w:val="00E31A4A"/>
    <w:rsid w:val="00E31C43"/>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40430"/>
    <w:rsid w:val="00E40690"/>
    <w:rsid w:val="00E40AEB"/>
    <w:rsid w:val="00E4143A"/>
    <w:rsid w:val="00E41A5D"/>
    <w:rsid w:val="00E424C8"/>
    <w:rsid w:val="00E4251D"/>
    <w:rsid w:val="00E42F41"/>
    <w:rsid w:val="00E43D00"/>
    <w:rsid w:val="00E44128"/>
    <w:rsid w:val="00E445E4"/>
    <w:rsid w:val="00E44ACD"/>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028"/>
    <w:rsid w:val="00E5733B"/>
    <w:rsid w:val="00E5756C"/>
    <w:rsid w:val="00E601BE"/>
    <w:rsid w:val="00E60B5F"/>
    <w:rsid w:val="00E613AE"/>
    <w:rsid w:val="00E61429"/>
    <w:rsid w:val="00E61ABB"/>
    <w:rsid w:val="00E61FD7"/>
    <w:rsid w:val="00E623E6"/>
    <w:rsid w:val="00E62C7D"/>
    <w:rsid w:val="00E630C0"/>
    <w:rsid w:val="00E63107"/>
    <w:rsid w:val="00E634E6"/>
    <w:rsid w:val="00E63DCE"/>
    <w:rsid w:val="00E64700"/>
    <w:rsid w:val="00E64E0B"/>
    <w:rsid w:val="00E65074"/>
    <w:rsid w:val="00E65E70"/>
    <w:rsid w:val="00E65EE9"/>
    <w:rsid w:val="00E66087"/>
    <w:rsid w:val="00E66D79"/>
    <w:rsid w:val="00E66FF9"/>
    <w:rsid w:val="00E673E3"/>
    <w:rsid w:val="00E67856"/>
    <w:rsid w:val="00E679C8"/>
    <w:rsid w:val="00E70314"/>
    <w:rsid w:val="00E70FCD"/>
    <w:rsid w:val="00E724E7"/>
    <w:rsid w:val="00E72B41"/>
    <w:rsid w:val="00E7347B"/>
    <w:rsid w:val="00E73D03"/>
    <w:rsid w:val="00E7471C"/>
    <w:rsid w:val="00E7498A"/>
    <w:rsid w:val="00E7514E"/>
    <w:rsid w:val="00E75B34"/>
    <w:rsid w:val="00E77AF5"/>
    <w:rsid w:val="00E8029A"/>
    <w:rsid w:val="00E803A6"/>
    <w:rsid w:val="00E81653"/>
    <w:rsid w:val="00E823F9"/>
    <w:rsid w:val="00E82C1F"/>
    <w:rsid w:val="00E82EEA"/>
    <w:rsid w:val="00E83671"/>
    <w:rsid w:val="00E8414B"/>
    <w:rsid w:val="00E84A71"/>
    <w:rsid w:val="00E8544B"/>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44F"/>
    <w:rsid w:val="00EA6750"/>
    <w:rsid w:val="00EB0A89"/>
    <w:rsid w:val="00EB0B22"/>
    <w:rsid w:val="00EB1573"/>
    <w:rsid w:val="00EB1650"/>
    <w:rsid w:val="00EB1910"/>
    <w:rsid w:val="00EB1D24"/>
    <w:rsid w:val="00EB209B"/>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D6F"/>
    <w:rsid w:val="00EC0E84"/>
    <w:rsid w:val="00EC16E2"/>
    <w:rsid w:val="00EC1CE7"/>
    <w:rsid w:val="00EC26F1"/>
    <w:rsid w:val="00EC2DC3"/>
    <w:rsid w:val="00EC32B4"/>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6FF4"/>
    <w:rsid w:val="00EC71C7"/>
    <w:rsid w:val="00EC73DE"/>
    <w:rsid w:val="00EC7637"/>
    <w:rsid w:val="00EC7B63"/>
    <w:rsid w:val="00EC7CF2"/>
    <w:rsid w:val="00ED046B"/>
    <w:rsid w:val="00ED046C"/>
    <w:rsid w:val="00ED053A"/>
    <w:rsid w:val="00ED070F"/>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3712"/>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4B9"/>
    <w:rsid w:val="00EF55C4"/>
    <w:rsid w:val="00EF57BC"/>
    <w:rsid w:val="00EF5FD2"/>
    <w:rsid w:val="00EF6784"/>
    <w:rsid w:val="00EF688A"/>
    <w:rsid w:val="00EF6A03"/>
    <w:rsid w:val="00EF6DC2"/>
    <w:rsid w:val="00EF7BF4"/>
    <w:rsid w:val="00F0030F"/>
    <w:rsid w:val="00F00674"/>
    <w:rsid w:val="00F00929"/>
    <w:rsid w:val="00F01657"/>
    <w:rsid w:val="00F01E67"/>
    <w:rsid w:val="00F021B7"/>
    <w:rsid w:val="00F02744"/>
    <w:rsid w:val="00F02BFD"/>
    <w:rsid w:val="00F02D25"/>
    <w:rsid w:val="00F0435D"/>
    <w:rsid w:val="00F04580"/>
    <w:rsid w:val="00F04ECA"/>
    <w:rsid w:val="00F05DC2"/>
    <w:rsid w:val="00F06E19"/>
    <w:rsid w:val="00F06F84"/>
    <w:rsid w:val="00F076E7"/>
    <w:rsid w:val="00F07AA1"/>
    <w:rsid w:val="00F105AE"/>
    <w:rsid w:val="00F10618"/>
    <w:rsid w:val="00F107FD"/>
    <w:rsid w:val="00F1108B"/>
    <w:rsid w:val="00F11768"/>
    <w:rsid w:val="00F11951"/>
    <w:rsid w:val="00F11BA8"/>
    <w:rsid w:val="00F12259"/>
    <w:rsid w:val="00F12262"/>
    <w:rsid w:val="00F12AF8"/>
    <w:rsid w:val="00F12C52"/>
    <w:rsid w:val="00F14352"/>
    <w:rsid w:val="00F148B7"/>
    <w:rsid w:val="00F14BE9"/>
    <w:rsid w:val="00F14EA9"/>
    <w:rsid w:val="00F15505"/>
    <w:rsid w:val="00F15799"/>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5A1"/>
    <w:rsid w:val="00F24644"/>
    <w:rsid w:val="00F256FD"/>
    <w:rsid w:val="00F259F1"/>
    <w:rsid w:val="00F26F33"/>
    <w:rsid w:val="00F27E74"/>
    <w:rsid w:val="00F300A8"/>
    <w:rsid w:val="00F30265"/>
    <w:rsid w:val="00F30400"/>
    <w:rsid w:val="00F3079E"/>
    <w:rsid w:val="00F3254A"/>
    <w:rsid w:val="00F32C50"/>
    <w:rsid w:val="00F33980"/>
    <w:rsid w:val="00F3399B"/>
    <w:rsid w:val="00F33C1A"/>
    <w:rsid w:val="00F3461B"/>
    <w:rsid w:val="00F346ED"/>
    <w:rsid w:val="00F34945"/>
    <w:rsid w:val="00F3496F"/>
    <w:rsid w:val="00F34E1E"/>
    <w:rsid w:val="00F351E8"/>
    <w:rsid w:val="00F3570C"/>
    <w:rsid w:val="00F368FF"/>
    <w:rsid w:val="00F37003"/>
    <w:rsid w:val="00F37068"/>
    <w:rsid w:val="00F37F3F"/>
    <w:rsid w:val="00F40201"/>
    <w:rsid w:val="00F404A9"/>
    <w:rsid w:val="00F40992"/>
    <w:rsid w:val="00F40A99"/>
    <w:rsid w:val="00F40AEC"/>
    <w:rsid w:val="00F40F71"/>
    <w:rsid w:val="00F412DF"/>
    <w:rsid w:val="00F41596"/>
    <w:rsid w:val="00F41D8B"/>
    <w:rsid w:val="00F42121"/>
    <w:rsid w:val="00F424B3"/>
    <w:rsid w:val="00F428B1"/>
    <w:rsid w:val="00F428B4"/>
    <w:rsid w:val="00F4345D"/>
    <w:rsid w:val="00F4387B"/>
    <w:rsid w:val="00F4518D"/>
    <w:rsid w:val="00F456EF"/>
    <w:rsid w:val="00F45B91"/>
    <w:rsid w:val="00F46639"/>
    <w:rsid w:val="00F46692"/>
    <w:rsid w:val="00F46708"/>
    <w:rsid w:val="00F47AAA"/>
    <w:rsid w:val="00F47B3B"/>
    <w:rsid w:val="00F50183"/>
    <w:rsid w:val="00F50D92"/>
    <w:rsid w:val="00F51765"/>
    <w:rsid w:val="00F51A51"/>
    <w:rsid w:val="00F51CB4"/>
    <w:rsid w:val="00F52324"/>
    <w:rsid w:val="00F52950"/>
    <w:rsid w:val="00F52C9D"/>
    <w:rsid w:val="00F52E39"/>
    <w:rsid w:val="00F533F1"/>
    <w:rsid w:val="00F547CB"/>
    <w:rsid w:val="00F55679"/>
    <w:rsid w:val="00F561E3"/>
    <w:rsid w:val="00F565E6"/>
    <w:rsid w:val="00F56AFA"/>
    <w:rsid w:val="00F575E2"/>
    <w:rsid w:val="00F57715"/>
    <w:rsid w:val="00F579FF"/>
    <w:rsid w:val="00F600E0"/>
    <w:rsid w:val="00F600FD"/>
    <w:rsid w:val="00F605EC"/>
    <w:rsid w:val="00F60F60"/>
    <w:rsid w:val="00F612CE"/>
    <w:rsid w:val="00F624A7"/>
    <w:rsid w:val="00F62AB6"/>
    <w:rsid w:val="00F63984"/>
    <w:rsid w:val="00F65A3C"/>
    <w:rsid w:val="00F65A88"/>
    <w:rsid w:val="00F66282"/>
    <w:rsid w:val="00F67D8B"/>
    <w:rsid w:val="00F70961"/>
    <w:rsid w:val="00F70A8F"/>
    <w:rsid w:val="00F70F18"/>
    <w:rsid w:val="00F71397"/>
    <w:rsid w:val="00F71812"/>
    <w:rsid w:val="00F72389"/>
    <w:rsid w:val="00F72516"/>
    <w:rsid w:val="00F72FB4"/>
    <w:rsid w:val="00F73317"/>
    <w:rsid w:val="00F735E5"/>
    <w:rsid w:val="00F73DD9"/>
    <w:rsid w:val="00F73E80"/>
    <w:rsid w:val="00F7469C"/>
    <w:rsid w:val="00F747E9"/>
    <w:rsid w:val="00F7492E"/>
    <w:rsid w:val="00F74945"/>
    <w:rsid w:val="00F749A3"/>
    <w:rsid w:val="00F74A04"/>
    <w:rsid w:val="00F74AE8"/>
    <w:rsid w:val="00F75A86"/>
    <w:rsid w:val="00F76C11"/>
    <w:rsid w:val="00F77021"/>
    <w:rsid w:val="00F775CB"/>
    <w:rsid w:val="00F77E61"/>
    <w:rsid w:val="00F814B2"/>
    <w:rsid w:val="00F815AC"/>
    <w:rsid w:val="00F83200"/>
    <w:rsid w:val="00F834EE"/>
    <w:rsid w:val="00F83B33"/>
    <w:rsid w:val="00F83CAE"/>
    <w:rsid w:val="00F840BF"/>
    <w:rsid w:val="00F8415D"/>
    <w:rsid w:val="00F8427A"/>
    <w:rsid w:val="00F843DF"/>
    <w:rsid w:val="00F84899"/>
    <w:rsid w:val="00F848AB"/>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167D"/>
    <w:rsid w:val="00F91CB2"/>
    <w:rsid w:val="00F9289C"/>
    <w:rsid w:val="00F92E3E"/>
    <w:rsid w:val="00F93DBC"/>
    <w:rsid w:val="00F93E41"/>
    <w:rsid w:val="00F94644"/>
    <w:rsid w:val="00F95075"/>
    <w:rsid w:val="00F9537B"/>
    <w:rsid w:val="00F953B8"/>
    <w:rsid w:val="00F95567"/>
    <w:rsid w:val="00F963FC"/>
    <w:rsid w:val="00FA015F"/>
    <w:rsid w:val="00FA0FAC"/>
    <w:rsid w:val="00FA1DA2"/>
    <w:rsid w:val="00FA3414"/>
    <w:rsid w:val="00FA347A"/>
    <w:rsid w:val="00FA39D7"/>
    <w:rsid w:val="00FA3CDE"/>
    <w:rsid w:val="00FA49B7"/>
    <w:rsid w:val="00FA5043"/>
    <w:rsid w:val="00FA6F8B"/>
    <w:rsid w:val="00FA7A30"/>
    <w:rsid w:val="00FB033F"/>
    <w:rsid w:val="00FB0F29"/>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F4"/>
    <w:rsid w:val="00FC6A39"/>
    <w:rsid w:val="00FC6E50"/>
    <w:rsid w:val="00FC710F"/>
    <w:rsid w:val="00FC79AB"/>
    <w:rsid w:val="00FC7BE7"/>
    <w:rsid w:val="00FC7DAC"/>
    <w:rsid w:val="00FD04AE"/>
    <w:rsid w:val="00FD086B"/>
    <w:rsid w:val="00FD1890"/>
    <w:rsid w:val="00FD1994"/>
    <w:rsid w:val="00FD21A9"/>
    <w:rsid w:val="00FD2AC8"/>
    <w:rsid w:val="00FD2CA6"/>
    <w:rsid w:val="00FD3508"/>
    <w:rsid w:val="00FD393C"/>
    <w:rsid w:val="00FD43BB"/>
    <w:rsid w:val="00FD4AF3"/>
    <w:rsid w:val="00FD556A"/>
    <w:rsid w:val="00FD5A69"/>
    <w:rsid w:val="00FD6F3C"/>
    <w:rsid w:val="00FD798D"/>
    <w:rsid w:val="00FD7BD8"/>
    <w:rsid w:val="00FD7FB9"/>
    <w:rsid w:val="00FE100E"/>
    <w:rsid w:val="00FE141E"/>
    <w:rsid w:val="00FE144E"/>
    <w:rsid w:val="00FE1689"/>
    <w:rsid w:val="00FE1768"/>
    <w:rsid w:val="00FE24F4"/>
    <w:rsid w:val="00FE2560"/>
    <w:rsid w:val="00FE35D0"/>
    <w:rsid w:val="00FE41AC"/>
    <w:rsid w:val="00FE42ED"/>
    <w:rsid w:val="00FE4C6D"/>
    <w:rsid w:val="00FE55A7"/>
    <w:rsid w:val="00FE55E6"/>
    <w:rsid w:val="00FE56D5"/>
    <w:rsid w:val="00FE5C5A"/>
    <w:rsid w:val="00FE6432"/>
    <w:rsid w:val="00FE6517"/>
    <w:rsid w:val="00FE72A0"/>
    <w:rsid w:val="00FE789C"/>
    <w:rsid w:val="00FF0050"/>
    <w:rsid w:val="00FF045F"/>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6BDF"/>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4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46808846">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069707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20758248">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9859655">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0829079">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33151986">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4824306">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9364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3948">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0160">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E8945D1E-49B0-4C93-AFE2-D67964C7F3CC}"/>
</file>

<file path=customXml/itemProps4.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8</TotalTime>
  <Pages>15</Pages>
  <Words>5362</Words>
  <Characters>29493</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2022-04-29T14:24:00Z</dcterms:created>
  <dcterms:modified xsi:type="dcterms:W3CDTF">2022-05-03T13:53:00Z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