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24963" w:rsidR="00524963" w:rsidP="00524963" w:rsidRDefault="00D43222" w14:paraId="5807341A" w14:textId="70F603D6">
      <w:pPr>
        <w:spacing w:line="276" w:lineRule="auto"/>
        <w:jc w:val="right"/>
        <w:rPr>
          <w:rFonts w:ascii="Arial" w:hAnsi="Arial" w:eastAsia="Calibri" w:cs="Arial"/>
          <w:b/>
          <w:bCs/>
          <w:sz w:val="16"/>
          <w:szCs w:val="16"/>
          <w:lang w:eastAsia="en-US"/>
        </w:rPr>
      </w:pPr>
      <w:bookmarkStart w:name="_Hlk29890381" w:id="0"/>
      <w:bookmarkEnd w:id="0"/>
      <w:r>
        <w:rPr>
          <w:rFonts w:ascii="Arial" w:hAnsi="Arial" w:cs="Arial"/>
          <w:b/>
          <w:bCs/>
          <w:sz w:val="16"/>
          <w:szCs w:val="16"/>
          <w:lang w:eastAsia="es-ES"/>
        </w:rPr>
        <w:t xml:space="preserve"> </w:t>
      </w:r>
      <w:r w:rsidRPr="00524963" w:rsidR="00524963">
        <w:rPr>
          <w:rFonts w:ascii="Arial" w:hAnsi="Arial" w:cs="Arial"/>
          <w:b/>
          <w:bCs/>
          <w:sz w:val="16"/>
          <w:szCs w:val="16"/>
          <w:lang w:eastAsia="es-ES"/>
        </w:rPr>
        <w:t>CCE-DES-FM-17</w:t>
      </w:r>
    </w:p>
    <w:p w:rsidRPr="001A1CC0" w:rsidR="001A1CC0" w:rsidP="001A1CC0" w:rsidRDefault="001A1CC0" w14:paraId="00AC5863" w14:textId="77777777">
      <w:pPr>
        <w:spacing w:line="276" w:lineRule="auto"/>
        <w:jc w:val="both"/>
        <w:rPr>
          <w:rFonts w:ascii="Arial" w:hAnsi="Arial" w:cs="Arial"/>
          <w:noProof/>
          <w:color w:val="000000" w:themeColor="text1"/>
          <w:sz w:val="22"/>
          <w:lang w:val="es-ES_tradnl"/>
        </w:rPr>
      </w:pPr>
    </w:p>
    <w:p w:rsidRPr="001A1CC0" w:rsidR="001A1CC0" w:rsidP="001A1CC0" w:rsidRDefault="001A1CC0" w14:paraId="6EC7760D" w14:textId="77777777">
      <w:pPr>
        <w:spacing w:after="120"/>
        <w:contextualSpacing/>
        <w:jc w:val="both"/>
        <w:rPr>
          <w:rFonts w:ascii="Arial" w:hAnsi="Arial" w:eastAsia="Calibri" w:cs="Arial"/>
          <w:b/>
          <w:bCs/>
          <w:color w:val="000000" w:themeColor="text1"/>
          <w:sz w:val="22"/>
          <w:szCs w:val="22"/>
          <w:lang w:val="es-ES_tradnl" w:eastAsia="en-US"/>
        </w:rPr>
      </w:pPr>
      <w:r w:rsidRPr="001A1CC0">
        <w:rPr>
          <w:rFonts w:ascii="Arial" w:hAnsi="Arial" w:eastAsia="Calibri" w:cs="Arial"/>
          <w:b/>
          <w:bCs/>
          <w:color w:val="000000" w:themeColor="text1"/>
          <w:sz w:val="22"/>
          <w:szCs w:val="22"/>
          <w:lang w:val="es-ES_tradnl" w:eastAsia="en-US"/>
        </w:rPr>
        <w:t>LEY DE GARANTÍAS ELECTORALES – Finalidad</w:t>
      </w:r>
    </w:p>
    <w:p w:rsidR="002F5B6B" w:rsidP="002F5B6B" w:rsidRDefault="002F5B6B" w14:paraId="37978675" w14:textId="77777777">
      <w:pPr>
        <w:tabs>
          <w:tab w:val="left" w:pos="426"/>
        </w:tabs>
        <w:jc w:val="both"/>
        <w:rPr>
          <w:rFonts w:ascii="Arial" w:hAnsi="Arial" w:eastAsia="Calibri" w:cs="Arial"/>
          <w:color w:val="000000" w:themeColor="text1"/>
          <w:sz w:val="20"/>
          <w:szCs w:val="20"/>
          <w:lang w:val="es-ES_tradnl" w:eastAsia="en-US"/>
        </w:rPr>
      </w:pPr>
    </w:p>
    <w:p w:rsidR="001A1CC0" w:rsidP="002F5B6B" w:rsidRDefault="002F5B6B" w14:paraId="65C11825" w14:textId="497592D4">
      <w:pPr>
        <w:tabs>
          <w:tab w:val="left" w:pos="426"/>
        </w:tabs>
        <w:spacing w:after="120"/>
        <w:jc w:val="both"/>
        <w:rPr>
          <w:rFonts w:ascii="Arial" w:hAnsi="Arial" w:cs="Arial"/>
          <w:bCs/>
          <w:color w:val="000000" w:themeColor="text1"/>
          <w:sz w:val="20"/>
          <w:szCs w:val="20"/>
          <w:lang w:val="es-ES_tradnl" w:eastAsia="es-CO"/>
        </w:rPr>
      </w:pPr>
      <w:r>
        <w:rPr>
          <w:rFonts w:ascii="Arial" w:hAnsi="Arial" w:eastAsia="Calibri" w:cs="Arial"/>
          <w:color w:val="000000" w:themeColor="text1"/>
          <w:sz w:val="20"/>
          <w:szCs w:val="20"/>
          <w:lang w:val="es-ES_tradnl" w:eastAsia="en-US"/>
        </w:rPr>
        <w:t>L</w:t>
      </w:r>
      <w:r>
        <w:rPr>
          <w:rFonts w:ascii="Arial" w:hAnsi="Arial" w:cs="Arial"/>
          <w:bCs/>
          <w:color w:val="000000" w:themeColor="text1"/>
          <w:sz w:val="20"/>
          <w:szCs w:val="20"/>
          <w:lang w:val="es-MX" w:eastAsia="es-CO"/>
        </w:rPr>
        <w:t>a</w:t>
      </w:r>
      <w:r w:rsidRPr="002F5B6B">
        <w:rPr>
          <w:rFonts w:ascii="Arial" w:hAnsi="Arial" w:cs="Arial"/>
          <w:bCs/>
          <w:color w:val="000000" w:themeColor="text1"/>
          <w:sz w:val="20"/>
          <w:szCs w:val="20"/>
          <w:lang w:val="es-MX" w:eastAsia="es-CO"/>
        </w:rPr>
        <w:t xml:space="preserve">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2F5B6B">
        <w:rPr>
          <w:rFonts w:ascii="Arial" w:hAnsi="Arial" w:cs="Arial"/>
          <w:bCs/>
          <w:color w:val="000000" w:themeColor="text1"/>
          <w:sz w:val="20"/>
          <w:szCs w:val="20"/>
          <w:lang w:val="es-ES_tradnl" w:eastAsia="es-CO"/>
        </w:rPr>
        <w:t xml:space="preserve"> </w:t>
      </w:r>
      <w:r w:rsidRPr="002F5B6B">
        <w:rPr>
          <w:rFonts w:ascii="Arial" w:hAnsi="Arial" w:cs="Arial"/>
          <w:bCs/>
          <w:color w:val="000000" w:themeColor="text1"/>
          <w:sz w:val="20"/>
          <w:szCs w:val="20"/>
          <w:lang w:val="es-MX" w:eastAsia="es-CO"/>
        </w:rPr>
        <w:t>En armonía con lo anterior, la Corte Constitucional ha abordado la definición de la Ley de Garantías Electorales</w:t>
      </w:r>
      <w:r w:rsidRPr="002F5B6B">
        <w:rPr>
          <w:rFonts w:ascii="Arial" w:hAnsi="Arial" w:cs="Arial"/>
          <w:bCs/>
          <w:color w:val="000000" w:themeColor="text1"/>
          <w:sz w:val="20"/>
          <w:szCs w:val="20"/>
          <w:lang w:val="es-ES_tradnl" w:eastAsia="es-CO"/>
        </w:rPr>
        <w:t xml:space="preserve"> </w:t>
      </w:r>
    </w:p>
    <w:p w:rsidRPr="002F5B6B" w:rsidR="002F5B6B" w:rsidP="002F5B6B" w:rsidRDefault="002F5B6B" w14:paraId="6FB3F015" w14:textId="77777777">
      <w:pPr>
        <w:tabs>
          <w:tab w:val="left" w:pos="426"/>
        </w:tabs>
        <w:spacing w:after="120"/>
        <w:jc w:val="both"/>
        <w:rPr>
          <w:rFonts w:ascii="Arial" w:hAnsi="Arial" w:cs="Arial"/>
          <w:bCs/>
          <w:color w:val="000000" w:themeColor="text1"/>
          <w:sz w:val="20"/>
          <w:szCs w:val="20"/>
          <w:lang w:val="es-ES_tradnl" w:eastAsia="es-CO"/>
        </w:rPr>
      </w:pPr>
    </w:p>
    <w:p w:rsidRPr="001A1CC0" w:rsidR="001A1CC0" w:rsidP="001A1CC0" w:rsidRDefault="001A1CC0" w14:paraId="3BC825E6" w14:textId="77777777">
      <w:pPr>
        <w:tabs>
          <w:tab w:val="left" w:pos="426"/>
        </w:tabs>
        <w:jc w:val="both"/>
        <w:rPr>
          <w:rFonts w:ascii="Arial" w:hAnsi="Arial" w:eastAsia="Calibri" w:cs="Arial"/>
          <w:b/>
          <w:bCs/>
          <w:color w:val="000000" w:themeColor="text1"/>
          <w:sz w:val="22"/>
          <w:szCs w:val="22"/>
          <w:lang w:val="es-ES_tradnl" w:eastAsia="en-US"/>
        </w:rPr>
      </w:pPr>
      <w:bookmarkStart w:name="_Hlk77152637" w:id="1"/>
      <w:bookmarkStart w:name="_Hlk77157066" w:id="2"/>
      <w:r w:rsidRPr="001A1CC0">
        <w:rPr>
          <w:rFonts w:ascii="Arial" w:hAnsi="Arial" w:eastAsia="Calibri" w:cs="Arial"/>
          <w:b/>
          <w:bCs/>
          <w:color w:val="000000" w:themeColor="text1"/>
          <w:sz w:val="22"/>
          <w:szCs w:val="22"/>
          <w:lang w:val="es-ES_tradnl" w:eastAsia="en-US"/>
        </w:rPr>
        <w:t>LEY DE GARANTÍAS ELECTORALES ‒</w:t>
      </w:r>
      <w:bookmarkEnd w:id="1"/>
      <w:r w:rsidRPr="001A1CC0">
        <w:rPr>
          <w:rFonts w:ascii="Arial" w:hAnsi="Arial" w:eastAsia="Calibri" w:cs="Arial"/>
          <w:b/>
          <w:bCs/>
          <w:color w:val="000000" w:themeColor="text1"/>
          <w:sz w:val="22"/>
          <w:szCs w:val="22"/>
          <w:lang w:val="es-ES_tradnl" w:eastAsia="en-US"/>
        </w:rPr>
        <w:t xml:space="preserve"> Restricciones </w:t>
      </w:r>
      <w:bookmarkStart w:name="_Hlk77157034" w:id="3"/>
      <w:r w:rsidRPr="001A1CC0">
        <w:rPr>
          <w:rFonts w:ascii="Arial" w:hAnsi="Arial" w:eastAsia="Calibri" w:cs="Arial"/>
          <w:b/>
          <w:bCs/>
          <w:color w:val="000000" w:themeColor="text1"/>
          <w:sz w:val="22"/>
          <w:szCs w:val="22"/>
          <w:lang w:val="es-ES_tradnl" w:eastAsia="en-US"/>
        </w:rPr>
        <w:t xml:space="preserve">‒ </w:t>
      </w:r>
      <w:bookmarkEnd w:id="3"/>
      <w:r w:rsidRPr="001A1CC0">
        <w:rPr>
          <w:rFonts w:ascii="Arial" w:hAnsi="Arial" w:eastAsia="Calibri" w:cs="Arial"/>
          <w:b/>
          <w:bCs/>
          <w:color w:val="000000" w:themeColor="text1"/>
          <w:sz w:val="22"/>
          <w:szCs w:val="22"/>
          <w:lang w:val="es-ES_tradnl" w:eastAsia="en-US"/>
        </w:rPr>
        <w:t>Contratación</w:t>
      </w:r>
      <w:bookmarkStart w:name="_Hlk77153098" w:id="4"/>
      <w:r w:rsidRPr="001A1CC0">
        <w:rPr>
          <w:rFonts w:ascii="Arial" w:hAnsi="Arial" w:eastAsia="Calibri" w:cs="Arial"/>
          <w:b/>
          <w:bCs/>
          <w:color w:val="000000" w:themeColor="text1"/>
          <w:sz w:val="22"/>
          <w:szCs w:val="22"/>
          <w:lang w:val="es-ES_tradnl" w:eastAsia="en-US"/>
        </w:rPr>
        <w:t xml:space="preserve"> ‒ Tipos de elección</w:t>
      </w:r>
      <w:bookmarkEnd w:id="4"/>
      <w:r w:rsidRPr="001A1CC0">
        <w:rPr>
          <w:rFonts w:ascii="Arial" w:hAnsi="Arial" w:eastAsia="Calibri" w:cs="Arial"/>
          <w:b/>
          <w:bCs/>
          <w:color w:val="000000" w:themeColor="text1"/>
          <w:sz w:val="22"/>
          <w:szCs w:val="22"/>
          <w:lang w:val="es-ES_tradnl" w:eastAsia="en-US"/>
        </w:rPr>
        <w:t xml:space="preserve"> </w:t>
      </w:r>
    </w:p>
    <w:p w:rsidRPr="001A1CC0" w:rsidR="001A1CC0" w:rsidP="001A1CC0" w:rsidRDefault="001A1CC0" w14:paraId="0862B5F6" w14:textId="77777777">
      <w:pPr>
        <w:tabs>
          <w:tab w:val="left" w:pos="426"/>
        </w:tabs>
        <w:jc w:val="both"/>
        <w:rPr>
          <w:rFonts w:ascii="Arial" w:hAnsi="Arial" w:eastAsia="Calibri" w:cs="Arial"/>
          <w:b/>
          <w:bCs/>
          <w:color w:val="000000" w:themeColor="text1"/>
          <w:sz w:val="20"/>
          <w:szCs w:val="20"/>
          <w:lang w:val="es-ES_tradnl" w:eastAsia="en-US"/>
        </w:rPr>
      </w:pPr>
    </w:p>
    <w:p w:rsidRPr="009D2595" w:rsidR="009D2595" w:rsidP="009D2595" w:rsidRDefault="009D2595" w14:paraId="60A7BE5D" w14:textId="3212B5EF">
      <w:pPr>
        <w:spacing w:after="120"/>
        <w:jc w:val="both"/>
        <w:rPr>
          <w:rFonts w:ascii="Arial" w:hAnsi="Arial" w:cs="Arial"/>
          <w:bCs/>
          <w:color w:val="000000" w:themeColor="text1"/>
          <w:sz w:val="20"/>
          <w:szCs w:val="20"/>
          <w:lang w:val="es-ES_tradnl" w:eastAsia="es-CO" w:bidi="es-ES"/>
        </w:rPr>
      </w:pPr>
      <w:r w:rsidRPr="009D2595">
        <w:rPr>
          <w:rFonts w:ascii="Arial" w:hAnsi="Arial" w:cs="Arial"/>
          <w:bCs/>
          <w:color w:val="000000" w:themeColor="text1"/>
          <w:sz w:val="20"/>
          <w:szCs w:val="20"/>
          <w:lang w:val="es-ES_tradnl" w:eastAsia="es-CO"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r>
        <w:rPr>
          <w:rFonts w:ascii="Arial" w:hAnsi="Arial" w:cs="Arial"/>
          <w:bCs/>
          <w:color w:val="000000" w:themeColor="text1"/>
          <w:sz w:val="20"/>
          <w:szCs w:val="20"/>
          <w:lang w:val="es-ES_tradnl" w:eastAsia="es-CO" w:bidi="es-ES"/>
        </w:rPr>
        <w:t xml:space="preserve"> </w:t>
      </w:r>
      <w:r w:rsidRPr="009D2595">
        <w:rPr>
          <w:rFonts w:ascii="Arial" w:hAnsi="Arial" w:cs="Arial"/>
          <w:bCs/>
          <w:color w:val="000000" w:themeColor="text1"/>
          <w:sz w:val="20"/>
          <w:szCs w:val="20"/>
          <w:lang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hAnsi="Arial" w:cs="Arial"/>
          <w:bCs/>
          <w:color w:val="000000" w:themeColor="text1"/>
          <w:sz w:val="20"/>
          <w:szCs w:val="20"/>
          <w:lang w:val="es-ES_tradnl" w:eastAsia="es-CO" w:bidi="es-ES"/>
        </w:rPr>
        <w:t xml:space="preserve"> </w:t>
      </w:r>
      <w:r w:rsidRPr="009D2595">
        <w:rPr>
          <w:rFonts w:ascii="Arial" w:hAnsi="Arial" w:cs="Arial"/>
          <w:bCs/>
          <w:color w:val="000000" w:themeColor="text1"/>
          <w:sz w:val="20"/>
          <w:szCs w:val="20"/>
          <w:lang w:eastAsia="es-CO"/>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Pr="009D2595">
        <w:rPr>
          <w:rFonts w:ascii="Arial" w:hAnsi="Arial" w:cs="Arial"/>
          <w:bCs/>
          <w:color w:val="000000" w:themeColor="text1"/>
          <w:sz w:val="20"/>
          <w:szCs w:val="20"/>
          <w:lang w:val="es-MX" w:eastAsia="es-CO"/>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D2595">
        <w:rPr>
          <w:rFonts w:ascii="Arial" w:hAnsi="Arial" w:cs="Arial"/>
          <w:bCs/>
          <w:color w:val="000000" w:themeColor="text1"/>
          <w:sz w:val="20"/>
          <w:szCs w:val="20"/>
          <w:lang w:eastAsia="es-CO"/>
        </w:rPr>
        <w:t>»</w:t>
      </w:r>
    </w:p>
    <w:p w:rsidRPr="001A1CC0" w:rsidR="001A1CC0" w:rsidP="001A1CC0" w:rsidRDefault="001A1CC0" w14:paraId="55961553" w14:textId="77777777">
      <w:pPr>
        <w:tabs>
          <w:tab w:val="left" w:pos="426"/>
        </w:tabs>
        <w:jc w:val="both"/>
        <w:rPr>
          <w:rFonts w:ascii="Arial" w:hAnsi="Arial" w:eastAsia="Arial" w:cs="Arial"/>
          <w:color w:val="000000" w:themeColor="text1"/>
          <w:sz w:val="20"/>
          <w:szCs w:val="20"/>
          <w:lang w:val="es-ES_tradnl" w:eastAsia="es-ES" w:bidi="es-ES"/>
        </w:rPr>
      </w:pPr>
      <w:bookmarkStart w:name="_Hlk77165666" w:id="5"/>
      <w:bookmarkEnd w:id="2"/>
    </w:p>
    <w:p w:rsidRPr="001A1CC0" w:rsidR="001A1CC0" w:rsidP="001A1CC0" w:rsidRDefault="001A1CC0" w14:paraId="79BCEDE9" w14:textId="77777777">
      <w:pPr>
        <w:tabs>
          <w:tab w:val="left" w:pos="426"/>
        </w:tabs>
        <w:jc w:val="both"/>
        <w:rPr>
          <w:rFonts w:ascii="Arial" w:hAnsi="Arial" w:eastAsia="Calibri" w:cs="Arial"/>
          <w:b/>
          <w:bCs/>
          <w:sz w:val="22"/>
          <w:szCs w:val="22"/>
          <w:lang w:val="es-ES_tradnl" w:eastAsia="en-US"/>
        </w:rPr>
      </w:pPr>
      <w:r w:rsidRPr="001A1CC0">
        <w:rPr>
          <w:rFonts w:ascii="Arial" w:hAnsi="Arial" w:eastAsia="Calibri" w:cs="Arial"/>
          <w:b/>
          <w:bCs/>
          <w:sz w:val="22"/>
          <w:szCs w:val="22"/>
          <w:lang w:val="es-ES_tradnl" w:eastAsia="en-US"/>
        </w:rPr>
        <w:t xml:space="preserve">LEY DE GARANTÍAS ELECTORALES ─ Prohibición artículo 33 ‒ </w:t>
      </w:r>
      <w:bookmarkEnd w:id="5"/>
      <w:r w:rsidRPr="001A1CC0">
        <w:rPr>
          <w:rFonts w:ascii="Arial" w:hAnsi="Arial" w:eastAsia="Calibri" w:cs="Arial"/>
          <w:b/>
          <w:bCs/>
          <w:sz w:val="22"/>
          <w:szCs w:val="22"/>
          <w:lang w:val="es-ES_tradnl" w:eastAsia="en-US"/>
        </w:rPr>
        <w:t xml:space="preserve">Contratación directa ‒ Alcance </w:t>
      </w:r>
    </w:p>
    <w:p w:rsidRPr="001A1CC0" w:rsidR="001A1CC0" w:rsidP="001A1CC0" w:rsidRDefault="001A1CC0" w14:paraId="5FFFFEE6" w14:textId="77777777">
      <w:pPr>
        <w:tabs>
          <w:tab w:val="left" w:pos="426"/>
        </w:tabs>
        <w:jc w:val="both"/>
        <w:rPr>
          <w:rFonts w:ascii="Arial" w:hAnsi="Arial" w:eastAsia="Calibri" w:cs="Arial"/>
          <w:noProof/>
          <w:sz w:val="20"/>
          <w:szCs w:val="20"/>
          <w:lang w:val="es-ES_tradnl" w:eastAsia="en-US"/>
        </w:rPr>
      </w:pPr>
    </w:p>
    <w:p w:rsidRPr="009D2595" w:rsidR="009D2595" w:rsidP="009D2595" w:rsidRDefault="001A1CC0" w14:paraId="7BDEC3DF" w14:textId="774628E2">
      <w:pPr>
        <w:jc w:val="both"/>
        <w:rPr>
          <w:rFonts w:ascii="Arial" w:hAnsi="Arial" w:eastAsia="Calibri" w:cs="Arial"/>
          <w:bCs/>
          <w:noProof/>
          <w:sz w:val="20"/>
          <w:szCs w:val="20"/>
          <w:lang w:val="es-ES_tradnl" w:eastAsia="en-US"/>
        </w:rPr>
      </w:pPr>
      <w:r w:rsidRPr="001A1CC0">
        <w:rPr>
          <w:rFonts w:ascii="Arial" w:hAnsi="Arial" w:eastAsia="Calibri" w:cs="Arial"/>
          <w:noProof/>
          <w:sz w:val="20"/>
          <w:szCs w:val="20"/>
          <w:lang w:val="es-ES_tradnl" w:eastAsia="en-US"/>
        </w:rPr>
        <w:t xml:space="preserve">[…] </w:t>
      </w:r>
      <w:r w:rsidRPr="009D2595" w:rsidR="009D2595">
        <w:rPr>
          <w:rFonts w:ascii="Arial" w:hAnsi="Arial" w:eastAsia="Calibri" w:cs="Arial"/>
          <w:bCs/>
          <w:noProof/>
          <w:sz w:val="20"/>
          <w:szCs w:val="20"/>
          <w:lang w:val="es-ES_tradnl" w:eastAsia="en-US"/>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D2595" w:rsidR="009D2595">
        <w:rPr>
          <w:rFonts w:ascii="Arial" w:hAnsi="Arial" w:eastAsia="Calibri" w:cs="Arial"/>
          <w:noProof/>
          <w:sz w:val="20"/>
          <w:szCs w:val="20"/>
          <w:vertAlign w:val="superscript"/>
          <w:lang w:val="es-ES_tradnl" w:eastAsia="en-US"/>
        </w:rPr>
        <w:t xml:space="preserve"> </w:t>
      </w:r>
      <w:r w:rsidRPr="009D2595" w:rsidR="009D2595">
        <w:rPr>
          <w:rFonts w:ascii="Arial" w:hAnsi="Arial" w:eastAsia="Calibri" w:cs="Arial"/>
          <w:bCs/>
          <w:noProof/>
          <w:sz w:val="20"/>
          <w:szCs w:val="20"/>
          <w:lang w:val="es-ES_tradnl" w:eastAsia="en-US"/>
        </w:rPr>
        <w:t>De lo anterior se desprende que la restricción aplica, sin perjuicio de las excepciones establecidas en la misma ley, para celebrar cualquier contrato de forma directa, esto es, sin que exista un proceso abierto y competitivo.</w:t>
      </w:r>
      <w:r w:rsidRPr="009D2595" w:rsidR="009D2595">
        <w:rPr>
          <w:rFonts w:ascii="Arial" w:hAnsi="Arial" w:eastAsia="Calibri" w:cs="Arial"/>
          <w:noProof/>
          <w:sz w:val="20"/>
          <w:szCs w:val="20"/>
          <w:lang w:val="es-ES_tradnl" w:eastAsia="en-US"/>
        </w:rPr>
        <w:t xml:space="preserve"> Por tanto, no son materia de la prohibición las demás modalidades de </w:t>
      </w:r>
      <w:r w:rsidRPr="009D2595" w:rsidR="009D2595">
        <w:rPr>
          <w:rFonts w:ascii="Arial" w:hAnsi="Arial" w:eastAsia="Calibri" w:cs="Arial"/>
          <w:noProof/>
          <w:sz w:val="20"/>
          <w:szCs w:val="20"/>
          <w:lang w:val="es-ES_tradnl" w:eastAsia="en-US"/>
        </w:rPr>
        <w:lastRenderedPageBreak/>
        <w:t>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rsidRPr="001A1CC0" w:rsidR="001A1CC0" w:rsidP="001A1CC0" w:rsidRDefault="001A1CC0" w14:paraId="66715A56" w14:textId="77777777">
      <w:pPr>
        <w:jc w:val="both"/>
        <w:rPr>
          <w:rFonts w:ascii="Arial" w:hAnsi="Arial" w:cs="Arial"/>
          <w:b/>
          <w:bCs/>
          <w:sz w:val="20"/>
          <w:szCs w:val="20"/>
          <w:lang w:val="es-ES_tradnl" w:eastAsia="es-ES"/>
        </w:rPr>
      </w:pPr>
    </w:p>
    <w:p w:rsidRPr="001A1CC0" w:rsidR="001A1CC0" w:rsidP="001A1CC0" w:rsidRDefault="001A1CC0" w14:paraId="25A39359" w14:textId="77777777">
      <w:pPr>
        <w:shd w:val="clear" w:color="auto" w:fill="FFFFFF"/>
        <w:jc w:val="both"/>
        <w:rPr>
          <w:rFonts w:ascii="Arial" w:hAnsi="Arial" w:cs="Arial"/>
          <w:b/>
          <w:bCs/>
          <w:sz w:val="22"/>
          <w:szCs w:val="22"/>
          <w:lang w:val="es-ES_tradnl" w:eastAsia="es-CO"/>
        </w:rPr>
      </w:pPr>
      <w:r w:rsidRPr="001A1CC0">
        <w:rPr>
          <w:rFonts w:ascii="Arial" w:hAnsi="Arial" w:cs="Arial"/>
          <w:b/>
          <w:bCs/>
          <w:sz w:val="22"/>
          <w:szCs w:val="22"/>
          <w:lang w:val="es-ES_tradnl" w:eastAsia="es-CO"/>
        </w:rPr>
        <w:t xml:space="preserve">LEY DE GARANTÍAS ELECTORALES </w:t>
      </w:r>
      <w:bookmarkStart w:name="_Hlk77022358" w:id="6"/>
      <w:r w:rsidRPr="001A1CC0">
        <w:rPr>
          <w:rFonts w:ascii="Arial" w:hAnsi="Arial" w:cs="Arial"/>
          <w:b/>
          <w:bCs/>
          <w:sz w:val="22"/>
          <w:szCs w:val="22"/>
          <w:lang w:val="es-ES_tradnl" w:eastAsia="es-CO"/>
        </w:rPr>
        <w:t>‒</w:t>
      </w:r>
      <w:bookmarkEnd w:id="6"/>
      <w:r w:rsidRPr="001A1CC0">
        <w:rPr>
          <w:rFonts w:ascii="Arial" w:hAnsi="Arial" w:cs="Arial"/>
          <w:b/>
          <w:bCs/>
          <w:sz w:val="22"/>
          <w:szCs w:val="22"/>
          <w:lang w:val="es-ES_tradnl" w:eastAsia="es-CO"/>
        </w:rPr>
        <w:t xml:space="preserve"> Excepciones</w:t>
      </w:r>
      <w:r w:rsidRPr="001A1CC0">
        <w:rPr>
          <w:rFonts w:ascii="Arial" w:hAnsi="Arial" w:cs="Arial"/>
          <w:b/>
          <w:sz w:val="22"/>
          <w:szCs w:val="22"/>
          <w:lang w:val="es-ES_tradnl" w:eastAsia="es-CO"/>
        </w:rPr>
        <w:t xml:space="preserve"> </w:t>
      </w:r>
    </w:p>
    <w:p w:rsidRPr="001A1CC0" w:rsidR="001A1CC0" w:rsidP="001A1CC0" w:rsidRDefault="001A1CC0" w14:paraId="0F588BB6" w14:textId="77777777">
      <w:pPr>
        <w:shd w:val="clear" w:color="auto" w:fill="FFFFFF"/>
        <w:jc w:val="both"/>
        <w:rPr>
          <w:rFonts w:ascii="Arial" w:hAnsi="Arial" w:cs="Arial"/>
          <w:b/>
          <w:sz w:val="22"/>
          <w:szCs w:val="22"/>
          <w:lang w:val="es-ES_tradnl" w:eastAsia="es-CO"/>
        </w:rPr>
      </w:pPr>
    </w:p>
    <w:p w:rsidRPr="001A1CC0" w:rsidR="001A1CC0" w:rsidP="001A1CC0" w:rsidRDefault="001A1CC0" w14:paraId="52F47871" w14:textId="77777777">
      <w:pPr>
        <w:tabs>
          <w:tab w:val="left" w:pos="426"/>
        </w:tabs>
        <w:jc w:val="both"/>
        <w:rPr>
          <w:rFonts w:ascii="Arial" w:hAnsi="Arial" w:eastAsia="Calibri" w:cs="Arial"/>
          <w:sz w:val="20"/>
          <w:szCs w:val="20"/>
          <w:lang w:val="es-ES_tradnl" w:eastAsia="en-US"/>
        </w:rPr>
      </w:pPr>
      <w:r w:rsidRPr="001A1CC0">
        <w:rPr>
          <w:rFonts w:ascii="Arial" w:hAnsi="Arial" w:cs="Arial"/>
          <w:sz w:val="20"/>
          <w:szCs w:val="20"/>
          <w:lang w:val="es-ES_tradnl" w:eastAsia="x-none"/>
        </w:rPr>
        <w:t xml:space="preserve">[…] </w:t>
      </w:r>
      <w:r w:rsidRPr="001A1CC0">
        <w:rPr>
          <w:rFonts w:ascii="Arial" w:hAnsi="Arial" w:cs="Arial"/>
          <w:bCs/>
          <w:sz w:val="20"/>
          <w:szCs w:val="20"/>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1A1CC0">
        <w:rPr>
          <w:rFonts w:ascii="Arial" w:hAnsi="Arial" w:cs="Arial"/>
          <w:bCs/>
          <w:sz w:val="20"/>
          <w:szCs w:val="20"/>
          <w:lang w:val="es-ES_tradnl" w:eastAsia="x-none"/>
        </w:rPr>
        <w:t>ii</w:t>
      </w:r>
      <w:proofErr w:type="spellEnd"/>
      <w:r w:rsidRPr="001A1CC0">
        <w:rPr>
          <w:rFonts w:ascii="Arial" w:hAnsi="Arial" w:cs="Arial"/>
          <w:bCs/>
          <w:sz w:val="20"/>
          <w:szCs w:val="20"/>
          <w:lang w:val="es-ES_tradnl" w:eastAsia="x-none"/>
        </w:rPr>
        <w:t xml:space="preserve">) los contratos de crédito público; </w:t>
      </w:r>
      <w:proofErr w:type="spellStart"/>
      <w:r w:rsidRPr="001A1CC0">
        <w:rPr>
          <w:rFonts w:ascii="Arial" w:hAnsi="Arial" w:cs="Arial"/>
          <w:bCs/>
          <w:sz w:val="20"/>
          <w:szCs w:val="20"/>
          <w:lang w:val="es-ES_tradnl" w:eastAsia="x-none"/>
        </w:rPr>
        <w:t>iii</w:t>
      </w:r>
      <w:proofErr w:type="spellEnd"/>
      <w:r w:rsidRPr="001A1CC0">
        <w:rPr>
          <w:rFonts w:ascii="Arial" w:hAnsi="Arial" w:cs="Arial"/>
          <w:bCs/>
          <w:sz w:val="20"/>
          <w:szCs w:val="20"/>
          <w:lang w:val="es-ES_tradnl" w:eastAsia="x-none"/>
        </w:rPr>
        <w:t xml:space="preserve">) los requeridos para cubrir las emergencias educativas, sanitarias y desastres; </w:t>
      </w:r>
      <w:proofErr w:type="spellStart"/>
      <w:r w:rsidRPr="001A1CC0">
        <w:rPr>
          <w:rFonts w:ascii="Arial" w:hAnsi="Arial" w:cs="Arial"/>
          <w:bCs/>
          <w:sz w:val="20"/>
          <w:szCs w:val="20"/>
          <w:lang w:val="es-ES_tradnl" w:eastAsia="x-none"/>
        </w:rPr>
        <w:t>iv</w:t>
      </w:r>
      <w:proofErr w:type="spellEnd"/>
      <w:r w:rsidRPr="001A1CC0">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rsidRPr="001A1CC0" w:rsidR="001A1CC0" w:rsidP="001A1CC0" w:rsidRDefault="001A1CC0" w14:paraId="07BD7127" w14:textId="77777777">
      <w:pPr>
        <w:tabs>
          <w:tab w:val="left" w:pos="426"/>
        </w:tabs>
        <w:jc w:val="both"/>
        <w:rPr>
          <w:rFonts w:ascii="Arial" w:hAnsi="Arial" w:eastAsia="Calibri" w:cs="Arial"/>
          <w:noProof/>
          <w:sz w:val="20"/>
          <w:szCs w:val="20"/>
          <w:lang w:val="es-ES_tradnl" w:eastAsia="en-US"/>
        </w:rPr>
      </w:pPr>
    </w:p>
    <w:p w:rsidRPr="001A1CC0" w:rsidR="001A1CC0" w:rsidP="001A1CC0" w:rsidRDefault="001A1CC0" w14:paraId="09AAA071" w14:textId="77777777">
      <w:pPr>
        <w:jc w:val="both"/>
        <w:rPr>
          <w:rFonts w:ascii="Arial" w:hAnsi="Arial" w:cs="Arial"/>
          <w:b/>
          <w:sz w:val="22"/>
          <w:szCs w:val="22"/>
          <w:lang w:val="es-ES_tradnl" w:eastAsia="es-CO"/>
        </w:rPr>
      </w:pPr>
      <w:r w:rsidRPr="001A1CC0">
        <w:rPr>
          <w:rFonts w:ascii="Arial" w:hAnsi="Arial" w:cs="Arial"/>
          <w:b/>
          <w:bCs/>
          <w:sz w:val="22"/>
          <w:szCs w:val="22"/>
          <w:lang w:val="es-ES_tradnl" w:eastAsia="es-CO"/>
        </w:rPr>
        <w:t xml:space="preserve">LEY DE GARANTÍAS ELECTORALES </w:t>
      </w:r>
      <w:bookmarkStart w:name="_Hlk77166669" w:id="7"/>
      <w:r w:rsidRPr="001A1CC0">
        <w:rPr>
          <w:rFonts w:ascii="Arial" w:hAnsi="Arial" w:cs="Arial"/>
          <w:b/>
          <w:bCs/>
          <w:sz w:val="22"/>
          <w:szCs w:val="22"/>
          <w:lang w:val="es-ES_tradnl" w:eastAsia="es-CO"/>
        </w:rPr>
        <w:t>‒</w:t>
      </w:r>
      <w:bookmarkEnd w:id="7"/>
      <w:r w:rsidRPr="001A1CC0">
        <w:rPr>
          <w:rFonts w:ascii="Arial" w:hAnsi="Arial" w:cs="Arial"/>
          <w:b/>
          <w:bCs/>
          <w:sz w:val="22"/>
          <w:szCs w:val="22"/>
          <w:lang w:val="es-ES_tradnl" w:eastAsia="es-CO"/>
        </w:rPr>
        <w:t xml:space="preserve"> </w:t>
      </w:r>
      <w:r w:rsidRPr="001A1CC0">
        <w:rPr>
          <w:rFonts w:ascii="Arial" w:hAnsi="Arial" w:cs="Arial"/>
          <w:b/>
          <w:sz w:val="22"/>
          <w:szCs w:val="22"/>
          <w:lang w:val="es-ES_tradnl" w:eastAsia="es-CO"/>
        </w:rPr>
        <w:t xml:space="preserve">Prohibición del artículo 33 </w:t>
      </w:r>
      <w:r w:rsidRPr="001A1CC0">
        <w:rPr>
          <w:rFonts w:ascii="Arial" w:hAnsi="Arial" w:cs="Arial"/>
          <w:b/>
          <w:bCs/>
          <w:sz w:val="22"/>
          <w:szCs w:val="22"/>
          <w:lang w:val="es-ES_tradnl" w:eastAsia="es-CO"/>
        </w:rPr>
        <w:t>‒ Destinatarios</w:t>
      </w:r>
    </w:p>
    <w:p w:rsidRPr="001A1CC0" w:rsidR="001A1CC0" w:rsidP="001A1CC0" w:rsidRDefault="001A1CC0" w14:paraId="71D9B629" w14:textId="77777777">
      <w:pPr>
        <w:tabs>
          <w:tab w:val="left" w:pos="426"/>
        </w:tabs>
        <w:jc w:val="both"/>
        <w:rPr>
          <w:rFonts w:ascii="Arial" w:hAnsi="Arial" w:eastAsia="Calibri" w:cs="Arial"/>
          <w:noProof/>
          <w:sz w:val="22"/>
          <w:szCs w:val="22"/>
          <w:lang w:val="es-ES_tradnl" w:eastAsia="en-US"/>
        </w:rPr>
      </w:pPr>
    </w:p>
    <w:p w:rsidRPr="001A1CC0" w:rsidR="001A1CC0" w:rsidP="001A1CC0" w:rsidRDefault="009D2595" w14:paraId="482E3C0E" w14:textId="47A985F8">
      <w:pPr>
        <w:tabs>
          <w:tab w:val="left" w:pos="426"/>
        </w:tabs>
        <w:jc w:val="both"/>
        <w:rPr>
          <w:rFonts w:ascii="Arial" w:hAnsi="Arial" w:cs="Arial"/>
          <w:bCs/>
          <w:sz w:val="20"/>
          <w:szCs w:val="20"/>
          <w:lang w:val="es-ES_tradnl" w:eastAsia="x-none"/>
        </w:rPr>
      </w:pPr>
      <w:r>
        <w:rPr>
          <w:rFonts w:ascii="Arial" w:hAnsi="Arial" w:cs="Arial"/>
          <w:bCs/>
          <w:sz w:val="20"/>
          <w:szCs w:val="20"/>
          <w:lang w:val="es-ES_tradnl" w:eastAsia="x-none"/>
        </w:rPr>
        <w:t>E</w:t>
      </w:r>
      <w:r w:rsidRPr="009D2595">
        <w:rPr>
          <w:rFonts w:ascii="Arial" w:hAnsi="Arial" w:cs="Arial"/>
          <w:bCs/>
          <w:sz w:val="20"/>
          <w:szCs w:val="20"/>
          <w:lang w:val="es-ES_tradnl" w:eastAsia="x-none"/>
        </w:rPr>
        <w:t xml:space="preserve">l artículo 33 de la Ley 996 de 2005 señala expresamente a los destinatarios de la prohibición, en el sentido de que son «todos los entes del Estado», expresión que contempla a los diferentes organismos o entidades autorizadas por la ley para suscribir contratos. En efecto,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p>
    <w:p w:rsidRPr="001A1CC0" w:rsidR="001A1CC0" w:rsidP="001A1CC0" w:rsidRDefault="001A1CC0" w14:paraId="30C2B3FD" w14:textId="77777777">
      <w:pPr>
        <w:widowControl w:val="0"/>
        <w:autoSpaceDE w:val="0"/>
        <w:autoSpaceDN w:val="0"/>
        <w:jc w:val="both"/>
        <w:rPr>
          <w:rFonts w:ascii="Arial" w:hAnsi="Arial" w:eastAsia="Arial" w:cs="Arial"/>
          <w:color w:val="000000" w:themeColor="text1"/>
          <w:sz w:val="20"/>
          <w:szCs w:val="20"/>
          <w:lang w:val="es-ES_tradnl" w:eastAsia="es-ES" w:bidi="es-ES"/>
        </w:rPr>
      </w:pPr>
    </w:p>
    <w:p w:rsidRPr="009F030F" w:rsidR="001A1CC0" w:rsidP="009F030F" w:rsidRDefault="001A1CC0" w14:paraId="387FAEA7" w14:textId="3B4965B1">
      <w:pPr>
        <w:tabs>
          <w:tab w:val="left" w:pos="3374"/>
        </w:tabs>
        <w:jc w:val="both"/>
        <w:rPr>
          <w:rFonts w:ascii="Arial" w:hAnsi="Arial" w:eastAsia="Calibri" w:cs="Arial"/>
          <w:b/>
          <w:bCs/>
          <w:sz w:val="22"/>
          <w:szCs w:val="22"/>
          <w:lang w:val="es-MX" w:eastAsia="en-US"/>
        </w:rPr>
      </w:pPr>
      <w:r w:rsidRPr="001A1CC0">
        <w:rPr>
          <w:rFonts w:ascii="Arial" w:hAnsi="Arial" w:eastAsia="Calibri" w:cs="Arial"/>
          <w:b/>
          <w:color w:val="000000" w:themeColor="text1"/>
          <w:sz w:val="22"/>
          <w:szCs w:val="22"/>
        </w:rPr>
        <w:t xml:space="preserve">ORGANISMOS INTERNACIONALES – </w:t>
      </w:r>
      <w:r w:rsidR="009F030F">
        <w:rPr>
          <w:rFonts w:ascii="Arial" w:hAnsi="Arial" w:eastAsia="Calibri" w:cs="Arial"/>
          <w:b/>
          <w:bCs/>
          <w:sz w:val="22"/>
          <w:szCs w:val="22"/>
          <w:lang w:eastAsia="en-US"/>
        </w:rPr>
        <w:t xml:space="preserve">Régimen de contratación </w:t>
      </w:r>
    </w:p>
    <w:p w:rsidRPr="001A1CC0" w:rsidR="001A1CC0" w:rsidP="001A1CC0" w:rsidRDefault="001A1CC0" w14:paraId="155C09EC" w14:textId="77777777">
      <w:pPr>
        <w:jc w:val="both"/>
        <w:rPr>
          <w:rFonts w:ascii="Arial" w:hAnsi="Arial" w:eastAsia="Calibri" w:cs="Arial"/>
          <w:color w:val="000000" w:themeColor="text1"/>
          <w:sz w:val="20"/>
          <w:szCs w:val="20"/>
        </w:rPr>
      </w:pPr>
    </w:p>
    <w:p w:rsidR="000A70BB" w:rsidP="000A70BB" w:rsidRDefault="000A70BB" w14:paraId="7D55B166" w14:textId="52525A4D">
      <w:pPr>
        <w:jc w:val="both"/>
        <w:rPr>
          <w:rFonts w:ascii="Arial" w:hAnsi="Arial" w:cs="Arial"/>
          <w:bCs/>
          <w:sz w:val="20"/>
          <w:szCs w:val="20"/>
          <w:lang w:val="es-MX" w:eastAsia="x-none"/>
        </w:rPr>
      </w:pPr>
      <w:r w:rsidRPr="000A70BB">
        <w:rPr>
          <w:rFonts w:ascii="Arial" w:hAnsi="Arial" w:cs="Arial"/>
          <w:bCs/>
          <w:sz w:val="20"/>
          <w:szCs w:val="20"/>
          <w:lang w:val="es-MX" w:eastAsia="x-none"/>
        </w:rPr>
        <w:t xml:space="preserve">El artículo 13 de la Ley 80 de 1993 regula de forma general el régimen aplicable a los contratos que celebren las entidades referidas en el artículo segundo del estatuto,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p>
    <w:p w:rsidRPr="000A70BB" w:rsidR="000A70BB" w:rsidP="000A70BB" w:rsidRDefault="000A70BB" w14:paraId="3C5F180F" w14:textId="77777777">
      <w:pPr>
        <w:jc w:val="both"/>
        <w:rPr>
          <w:rFonts w:ascii="Arial" w:hAnsi="Arial" w:cs="Arial"/>
          <w:bCs/>
          <w:sz w:val="20"/>
          <w:szCs w:val="20"/>
          <w:lang w:val="es-MX" w:eastAsia="x-none"/>
        </w:rPr>
      </w:pPr>
    </w:p>
    <w:p w:rsidRPr="009F030F" w:rsidR="009F030F" w:rsidP="009F030F" w:rsidRDefault="009F030F" w14:paraId="5E8BFFE9" w14:textId="2AEB7019">
      <w:pPr>
        <w:tabs>
          <w:tab w:val="left" w:pos="3374"/>
        </w:tabs>
        <w:jc w:val="both"/>
        <w:rPr>
          <w:rFonts w:ascii="Arial" w:hAnsi="Arial" w:eastAsia="Calibri" w:cs="Arial"/>
          <w:b/>
          <w:bCs/>
          <w:sz w:val="22"/>
          <w:szCs w:val="22"/>
          <w:lang w:val="es-MX" w:eastAsia="en-US"/>
        </w:rPr>
      </w:pPr>
      <w:r w:rsidRPr="009F030F">
        <w:rPr>
          <w:rFonts w:ascii="Arial" w:hAnsi="Arial" w:eastAsia="Calibri" w:cs="Arial"/>
          <w:b/>
          <w:bCs/>
          <w:sz w:val="22"/>
          <w:szCs w:val="22"/>
          <w:lang w:eastAsia="en-US"/>
        </w:rPr>
        <w:t>ORGANISMOS INTERNACIONALES –</w:t>
      </w:r>
      <w:r w:rsidR="000807F4">
        <w:rPr>
          <w:rFonts w:ascii="Arial" w:hAnsi="Arial" w:eastAsia="Calibri" w:cs="Arial"/>
          <w:b/>
          <w:bCs/>
          <w:sz w:val="22"/>
          <w:szCs w:val="22"/>
          <w:lang w:eastAsia="en-US"/>
        </w:rPr>
        <w:t xml:space="preserve"> </w:t>
      </w:r>
      <w:r w:rsidRPr="009F030F">
        <w:rPr>
          <w:rFonts w:ascii="Arial" w:hAnsi="Arial" w:eastAsia="Calibri" w:cs="Arial"/>
          <w:b/>
          <w:bCs/>
          <w:sz w:val="22"/>
          <w:szCs w:val="22"/>
          <w:lang w:val="es-MX" w:eastAsia="en-US"/>
        </w:rPr>
        <w:t xml:space="preserve">Ley de Garantías Electorales – Restricción – Contratación Directa – Artículo 33 – Alcance – </w:t>
      </w:r>
      <w:r w:rsidR="00F136CE">
        <w:rPr>
          <w:rFonts w:ascii="Arial" w:hAnsi="Arial" w:eastAsia="Calibri" w:cs="Arial"/>
          <w:b/>
          <w:bCs/>
          <w:sz w:val="22"/>
          <w:szCs w:val="22"/>
          <w:lang w:val="es-MX" w:eastAsia="en-US"/>
        </w:rPr>
        <w:t>Tesis unificada</w:t>
      </w:r>
    </w:p>
    <w:p w:rsidRPr="009F030F" w:rsidR="009F030F" w:rsidP="009F030F" w:rsidRDefault="009F030F" w14:paraId="3BE5690F" w14:textId="77777777">
      <w:pPr>
        <w:tabs>
          <w:tab w:val="left" w:pos="3374"/>
        </w:tabs>
        <w:jc w:val="both"/>
        <w:rPr>
          <w:rFonts w:ascii="Arial" w:hAnsi="Arial" w:eastAsia="Calibri" w:cs="Arial"/>
          <w:b/>
          <w:bCs/>
          <w:sz w:val="22"/>
          <w:szCs w:val="22"/>
          <w:lang w:val="es-MX" w:eastAsia="en-US"/>
        </w:rPr>
      </w:pPr>
    </w:p>
    <w:p w:rsidR="000A70BB" w:rsidP="000A70BB" w:rsidRDefault="00F136CE" w14:paraId="43BBFC1D" w14:textId="41D122A7">
      <w:pPr>
        <w:jc w:val="both"/>
        <w:rPr>
          <w:rFonts w:ascii="Arial" w:hAnsi="Arial" w:cs="Arial"/>
          <w:bCs/>
          <w:sz w:val="20"/>
          <w:szCs w:val="20"/>
          <w:lang w:val="es-ES" w:eastAsia="x-none"/>
        </w:rPr>
      </w:pPr>
      <w:r>
        <w:rPr>
          <w:rFonts w:ascii="Arial" w:hAnsi="Arial" w:cs="Arial"/>
          <w:bCs/>
          <w:sz w:val="20"/>
          <w:szCs w:val="20"/>
          <w:lang w:eastAsia="x-none"/>
        </w:rPr>
        <w:t xml:space="preserve">[…] </w:t>
      </w:r>
      <w:r w:rsidRPr="000A70BB" w:rsidR="000A70BB">
        <w:rPr>
          <w:rFonts w:ascii="Arial" w:hAnsi="Arial" w:cs="Arial"/>
          <w:bCs/>
          <w:sz w:val="20"/>
          <w:szCs w:val="20"/>
          <w:lang w:eastAsia="x-none"/>
        </w:rPr>
        <w:t>d</w:t>
      </w:r>
      <w:proofErr w:type="spellStart"/>
      <w:r w:rsidRPr="000A70BB" w:rsidR="000A70BB">
        <w:rPr>
          <w:rFonts w:ascii="Arial" w:hAnsi="Arial" w:cs="Arial"/>
          <w:bCs/>
          <w:sz w:val="20"/>
          <w:szCs w:val="20"/>
          <w:lang w:val="es-MX" w:eastAsia="x-none"/>
        </w:rPr>
        <w:t>e</w:t>
      </w:r>
      <w:proofErr w:type="spellEnd"/>
      <w:r w:rsidRPr="000A70BB" w:rsidR="000A70BB">
        <w:rPr>
          <w:rFonts w:ascii="Arial" w:hAnsi="Arial" w:cs="Arial"/>
          <w:bCs/>
          <w:sz w:val="20"/>
          <w:szCs w:val="20"/>
          <w:lang w:val="es-MX" w:eastAsia="x-none"/>
        </w:rPr>
        <w:t xml:space="preserve"> acuerdo con el </w:t>
      </w:r>
      <w:r w:rsidRPr="000A70BB" w:rsidR="000A70BB">
        <w:rPr>
          <w:rFonts w:ascii="Arial" w:hAnsi="Arial" w:cs="Arial"/>
          <w:bCs/>
          <w:sz w:val="20"/>
          <w:szCs w:val="20"/>
          <w:lang w:val="es-ES" w:eastAsia="x-none"/>
        </w:rPr>
        <w:t>Concepto CU-180 del 8 de abril de 2022 de esta Agencia, el artículo 20 de la Ley 1150 de 2007 dispone una excepción a la regla general del artículo 13 de la Ley 80 de 1993, según la cual las normas aplicables tanto a la celebración como ejecución del contrato estatal serán las nacionales, siempre y cuando el respectivo acuerdo sea celebrado o ejecutado en el territorio nacional. Por tanto, sobre el artículo 33 de la Ley de Garantías</w:t>
      </w:r>
      <w:r w:rsidRPr="000A70BB" w:rsidR="000A70BB">
        <w:rPr>
          <w:rFonts w:ascii="Arial" w:hAnsi="Arial" w:cs="Arial"/>
          <w:bCs/>
          <w:sz w:val="20"/>
          <w:szCs w:val="20"/>
          <w:lang w:val="es-MX" w:eastAsia="x-none"/>
        </w:rPr>
        <w:t xml:space="preserve">, </w:t>
      </w:r>
      <w:r w:rsidRPr="000A70BB" w:rsidR="000A70BB">
        <w:rPr>
          <w:rFonts w:ascii="Arial" w:hAnsi="Arial" w:cs="Arial"/>
          <w:bCs/>
          <w:sz w:val="20"/>
          <w:szCs w:val="20"/>
          <w:lang w:val="es-ES" w:eastAsia="x-none"/>
        </w:rPr>
        <w:t xml:space="preserve">la Agencia –al retomar la tesis del Concepto C-559 del 31 de agosto de 2021– consideró lo siguiente: «[…] </w:t>
      </w:r>
      <w:r w:rsidRPr="000A70BB" w:rsidR="000A70BB">
        <w:rPr>
          <w:rFonts w:ascii="Arial" w:hAnsi="Arial" w:cs="Arial"/>
          <w:bCs/>
          <w:i/>
          <w:iCs/>
          <w:sz w:val="20"/>
          <w:szCs w:val="20"/>
          <w:lang w:val="es-ES" w:eastAsia="x-none"/>
        </w:rPr>
        <w:t>dado que</w:t>
      </w:r>
      <w:r w:rsidRPr="000A70BB" w:rsidR="000A70BB">
        <w:rPr>
          <w:rFonts w:ascii="Arial" w:hAnsi="Arial" w:cs="Arial"/>
          <w:bCs/>
          <w:sz w:val="20"/>
          <w:szCs w:val="20"/>
          <w:lang w:val="es-ES" w:eastAsia="x-none"/>
        </w:rPr>
        <w:t xml:space="preserve"> […] </w:t>
      </w:r>
      <w:r w:rsidRPr="000A70BB" w:rsidR="000A70BB">
        <w:rPr>
          <w:rFonts w:ascii="Arial" w:hAnsi="Arial" w:cs="Arial"/>
          <w:bCs/>
          <w:i/>
          <w:iCs/>
          <w:sz w:val="20"/>
          <w:szCs w:val="20"/>
          <w:lang w:val="es-ES" w:eastAsia="x-none"/>
        </w:rPr>
        <w:t xml:space="preserve">existen algunos casos en los cuales el legislador habilitó a las entidades públicas para que suscribieran </w:t>
      </w:r>
      <w:r w:rsidRPr="000A70BB" w:rsidR="000A70BB">
        <w:rPr>
          <w:rFonts w:ascii="Arial" w:hAnsi="Arial" w:cs="Arial"/>
          <w:bCs/>
          <w:i/>
          <w:iCs/>
          <w:sz w:val="20"/>
          <w:szCs w:val="20"/>
          <w:lang w:val="es-ES" w:eastAsia="x-none"/>
        </w:rPr>
        <w:lastRenderedPageBreak/>
        <w:t>contratos cuyo régimen es distinto al derecho nacional,</w:t>
      </w:r>
      <w:r w:rsidRPr="000A70BB" w:rsidR="000A70BB">
        <w:rPr>
          <w:rFonts w:ascii="Arial" w:hAnsi="Arial" w:cs="Arial"/>
          <w:bCs/>
          <w:sz w:val="20"/>
          <w:szCs w:val="20"/>
          <w:lang w:val="es-ES" w:eastAsia="x-none"/>
        </w:rPr>
        <w:t xml:space="preserve"> […] </w:t>
      </w:r>
      <w:r w:rsidRPr="000A70BB" w:rsidR="000A70BB">
        <w:rPr>
          <w:rFonts w:ascii="Arial" w:hAnsi="Arial" w:cs="Arial"/>
          <w:bCs/>
          <w:i/>
          <w:iCs/>
          <w:sz w:val="20"/>
          <w:szCs w:val="20"/>
          <w:lang w:val="es-ES" w:eastAsia="x-none"/>
        </w:rPr>
        <w:t>en estos eventos dicha restricción no sería aplicable</w:t>
      </w:r>
      <w:r w:rsidRPr="000A70BB" w:rsidR="000A70BB">
        <w:rPr>
          <w:rFonts w:ascii="Arial" w:hAnsi="Arial" w:cs="Arial"/>
          <w:bCs/>
          <w:sz w:val="20"/>
          <w:szCs w:val="20"/>
          <w:lang w:val="es-ES" w:eastAsia="x-none"/>
        </w:rPr>
        <w:t xml:space="preserve">» (Énfasis fuera de texto). </w:t>
      </w:r>
    </w:p>
    <w:p w:rsidRPr="000A70BB" w:rsidR="000A70BB" w:rsidP="000A70BB" w:rsidRDefault="000A70BB" w14:paraId="0D404AC3" w14:textId="77777777">
      <w:pPr>
        <w:jc w:val="both"/>
        <w:rPr>
          <w:rFonts w:ascii="Arial" w:hAnsi="Arial" w:cs="Arial"/>
          <w:bCs/>
          <w:sz w:val="20"/>
          <w:szCs w:val="20"/>
          <w:lang w:val="es-ES" w:eastAsia="x-none"/>
        </w:rPr>
      </w:pPr>
    </w:p>
    <w:p w:rsidRPr="00F136CE" w:rsidR="001A1CC0" w:rsidP="000807F4" w:rsidRDefault="000A70BB" w14:paraId="242DCE26" w14:textId="24870F9D">
      <w:pPr>
        <w:jc w:val="both"/>
        <w:rPr>
          <w:rFonts w:ascii="Arial" w:hAnsi="Arial" w:cs="Arial"/>
          <w:bCs/>
          <w:sz w:val="20"/>
          <w:szCs w:val="20"/>
          <w:lang w:val="es-ES" w:eastAsia="x-none"/>
        </w:rPr>
      </w:pPr>
      <w:r w:rsidRPr="000A70BB">
        <w:rPr>
          <w:rFonts w:ascii="Arial" w:hAnsi="Arial" w:cs="Arial"/>
          <w:bCs/>
          <w:sz w:val="20"/>
          <w:szCs w:val="20"/>
          <w:lang w:val="es-ES" w:eastAsia="x-none"/>
        </w:rPr>
        <w:t xml:space="preserve">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w:t>
      </w:r>
      <w:r w:rsidR="00F136CE">
        <w:rPr>
          <w:rFonts w:ascii="Arial" w:hAnsi="Arial" w:cs="Arial"/>
          <w:bCs/>
          <w:sz w:val="20"/>
          <w:szCs w:val="20"/>
          <w:lang w:val="es-ES" w:eastAsia="x-none"/>
        </w:rPr>
        <w:t xml:space="preserve">[…] </w:t>
      </w:r>
      <w:r w:rsidRPr="00F136CE" w:rsidR="00F136CE">
        <w:rPr>
          <w:rFonts w:ascii="Arial" w:hAnsi="Arial" w:cs="Arial"/>
          <w:bCs/>
          <w:sz w:val="20"/>
          <w:szCs w:val="20"/>
          <w:lang w:val="es-ES" w:eastAsia="x-none"/>
        </w:rPr>
        <w:t xml:space="preserve">De acuerdo con la fundamentación del concepto citado, lo anterior no implica una violación de las normas nacionales, puesto que la contratación con los sujetos previstos en el artículo 20 de la Ley 1150 de 2007 se encuentra amparada por tratados, convenios o convenciones ratificados por el Estado e incorporados debidamente al ordenamiento jurídico interno. De esta manera, en dicho concepto también estimó que este régimen de excepcionalidad obedece a </w:t>
      </w:r>
      <w:r w:rsidRPr="00F136CE" w:rsidR="00F136CE">
        <w:rPr>
          <w:rFonts w:ascii="Arial" w:hAnsi="Arial" w:cs="Arial"/>
          <w:bCs/>
          <w:sz w:val="20"/>
          <w:szCs w:val="20"/>
          <w:lang w:val="es-ES_tradnl" w:eastAsia="x-none"/>
        </w:rPr>
        <w:t>razones de política económica exterior y de apertura para obtener la colaboración efectiva de los organismos multilaterales de crédito</w:t>
      </w:r>
    </w:p>
    <w:p w:rsidRPr="000807F4" w:rsidR="001A1CC0" w:rsidP="000807F4" w:rsidRDefault="001A1CC0" w14:paraId="1A438321" w14:textId="2B0A3CD7">
      <w:pPr>
        <w:jc w:val="both"/>
        <w:rPr>
          <w:rFonts w:ascii="Arial" w:hAnsi="Arial" w:cs="Arial"/>
          <w:bCs/>
          <w:sz w:val="20"/>
          <w:szCs w:val="20"/>
          <w:lang w:val="es-MX" w:eastAsia="x-none"/>
        </w:rPr>
      </w:pPr>
    </w:p>
    <w:p w:rsidRPr="000807F4" w:rsidR="001A1CC0" w:rsidP="000807F4" w:rsidRDefault="001A1CC0" w14:paraId="42CCD241" w14:textId="46AAF2C3">
      <w:pPr>
        <w:jc w:val="both"/>
        <w:rPr>
          <w:rFonts w:ascii="Arial" w:hAnsi="Arial" w:cs="Arial"/>
          <w:bCs/>
          <w:sz w:val="20"/>
          <w:szCs w:val="20"/>
          <w:lang w:val="es-MX" w:eastAsia="x-none"/>
        </w:rPr>
      </w:pPr>
    </w:p>
    <w:p w:rsidR="001A1CC0" w:rsidP="00524963" w:rsidRDefault="001A1CC0" w14:paraId="272FF2F1" w14:textId="7587C1B1">
      <w:pPr>
        <w:tabs>
          <w:tab w:val="left" w:pos="3374"/>
        </w:tabs>
        <w:jc w:val="both"/>
        <w:rPr>
          <w:rFonts w:ascii="Arial" w:hAnsi="Arial" w:eastAsia="Calibri" w:cs="Arial"/>
          <w:sz w:val="22"/>
          <w:szCs w:val="22"/>
          <w:lang w:val="es-MX" w:eastAsia="en-US"/>
        </w:rPr>
      </w:pPr>
    </w:p>
    <w:p w:rsidR="001A1CC0" w:rsidP="00524963" w:rsidRDefault="001A1CC0" w14:paraId="741EA1B4" w14:textId="562E60B6">
      <w:pPr>
        <w:tabs>
          <w:tab w:val="left" w:pos="3374"/>
        </w:tabs>
        <w:jc w:val="both"/>
        <w:rPr>
          <w:rFonts w:ascii="Arial" w:hAnsi="Arial" w:eastAsia="Calibri" w:cs="Arial"/>
          <w:sz w:val="22"/>
          <w:szCs w:val="22"/>
          <w:lang w:val="es-MX" w:eastAsia="en-US"/>
        </w:rPr>
      </w:pPr>
    </w:p>
    <w:p w:rsidR="001A1CC0" w:rsidP="00524963" w:rsidRDefault="001A1CC0" w14:paraId="4C411CBA" w14:textId="78F7FA03">
      <w:pPr>
        <w:tabs>
          <w:tab w:val="left" w:pos="3374"/>
        </w:tabs>
        <w:jc w:val="both"/>
        <w:rPr>
          <w:rFonts w:ascii="Arial" w:hAnsi="Arial" w:eastAsia="Calibri" w:cs="Arial"/>
          <w:sz w:val="22"/>
          <w:szCs w:val="22"/>
          <w:lang w:val="es-MX" w:eastAsia="en-US"/>
        </w:rPr>
      </w:pPr>
    </w:p>
    <w:p w:rsidR="001A1CC0" w:rsidP="00524963" w:rsidRDefault="001A1CC0" w14:paraId="5C3F3B40" w14:textId="00D0F154">
      <w:pPr>
        <w:tabs>
          <w:tab w:val="left" w:pos="3374"/>
        </w:tabs>
        <w:jc w:val="both"/>
        <w:rPr>
          <w:rFonts w:ascii="Arial" w:hAnsi="Arial" w:eastAsia="Calibri" w:cs="Arial"/>
          <w:sz w:val="22"/>
          <w:szCs w:val="22"/>
          <w:lang w:val="es-MX" w:eastAsia="en-US"/>
        </w:rPr>
      </w:pPr>
    </w:p>
    <w:p w:rsidR="001A1CC0" w:rsidP="00524963" w:rsidRDefault="001A1CC0" w14:paraId="6AC6C648" w14:textId="66B19CC9">
      <w:pPr>
        <w:tabs>
          <w:tab w:val="left" w:pos="3374"/>
        </w:tabs>
        <w:jc w:val="both"/>
        <w:rPr>
          <w:rFonts w:ascii="Arial" w:hAnsi="Arial" w:eastAsia="Calibri" w:cs="Arial"/>
          <w:sz w:val="22"/>
          <w:szCs w:val="22"/>
          <w:lang w:val="es-MX" w:eastAsia="en-US"/>
        </w:rPr>
      </w:pPr>
    </w:p>
    <w:p w:rsidR="001A1CC0" w:rsidP="00524963" w:rsidRDefault="001A1CC0" w14:paraId="46D8AE4D" w14:textId="01A38D4E">
      <w:pPr>
        <w:tabs>
          <w:tab w:val="left" w:pos="3374"/>
        </w:tabs>
        <w:jc w:val="both"/>
        <w:rPr>
          <w:rFonts w:ascii="Arial" w:hAnsi="Arial" w:eastAsia="Calibri" w:cs="Arial"/>
          <w:sz w:val="22"/>
          <w:szCs w:val="22"/>
          <w:lang w:val="es-MX" w:eastAsia="en-US"/>
        </w:rPr>
      </w:pPr>
    </w:p>
    <w:p w:rsidR="001A1CC0" w:rsidP="00524963" w:rsidRDefault="001A1CC0" w14:paraId="7A7087D4" w14:textId="4A17CD72">
      <w:pPr>
        <w:tabs>
          <w:tab w:val="left" w:pos="3374"/>
        </w:tabs>
        <w:jc w:val="both"/>
        <w:rPr>
          <w:rFonts w:ascii="Arial" w:hAnsi="Arial" w:eastAsia="Calibri" w:cs="Arial"/>
          <w:sz w:val="22"/>
          <w:szCs w:val="22"/>
          <w:lang w:val="es-MX" w:eastAsia="en-US"/>
        </w:rPr>
      </w:pPr>
    </w:p>
    <w:p w:rsidR="001A1CC0" w:rsidP="00524963" w:rsidRDefault="001A1CC0" w14:paraId="0E317658" w14:textId="1A95BEF9">
      <w:pPr>
        <w:tabs>
          <w:tab w:val="left" w:pos="3374"/>
        </w:tabs>
        <w:jc w:val="both"/>
        <w:rPr>
          <w:rFonts w:ascii="Arial" w:hAnsi="Arial" w:eastAsia="Calibri" w:cs="Arial"/>
          <w:sz w:val="22"/>
          <w:szCs w:val="22"/>
          <w:lang w:val="es-MX" w:eastAsia="en-US"/>
        </w:rPr>
      </w:pPr>
    </w:p>
    <w:p w:rsidR="001A1CC0" w:rsidP="00524963" w:rsidRDefault="001A1CC0" w14:paraId="7DCC285A" w14:textId="1C34F2FE">
      <w:pPr>
        <w:tabs>
          <w:tab w:val="left" w:pos="3374"/>
        </w:tabs>
        <w:jc w:val="both"/>
        <w:rPr>
          <w:rFonts w:ascii="Arial" w:hAnsi="Arial" w:eastAsia="Calibri" w:cs="Arial"/>
          <w:sz w:val="22"/>
          <w:szCs w:val="22"/>
          <w:lang w:val="es-MX" w:eastAsia="en-US"/>
        </w:rPr>
      </w:pPr>
    </w:p>
    <w:p w:rsidR="001A1CC0" w:rsidP="00524963" w:rsidRDefault="001A1CC0" w14:paraId="365ABC23" w14:textId="51F05797">
      <w:pPr>
        <w:tabs>
          <w:tab w:val="left" w:pos="3374"/>
        </w:tabs>
        <w:jc w:val="both"/>
        <w:rPr>
          <w:rFonts w:ascii="Arial" w:hAnsi="Arial" w:eastAsia="Calibri" w:cs="Arial"/>
          <w:sz w:val="22"/>
          <w:szCs w:val="22"/>
          <w:lang w:val="es-MX" w:eastAsia="en-US"/>
        </w:rPr>
      </w:pPr>
    </w:p>
    <w:p w:rsidR="001A1CC0" w:rsidP="00524963" w:rsidRDefault="001A1CC0" w14:paraId="0C5D23A2" w14:textId="6C2CC747">
      <w:pPr>
        <w:tabs>
          <w:tab w:val="left" w:pos="3374"/>
        </w:tabs>
        <w:jc w:val="both"/>
        <w:rPr>
          <w:rFonts w:ascii="Arial" w:hAnsi="Arial" w:eastAsia="Calibri" w:cs="Arial"/>
          <w:sz w:val="22"/>
          <w:szCs w:val="22"/>
          <w:lang w:val="es-MX" w:eastAsia="en-US"/>
        </w:rPr>
      </w:pPr>
    </w:p>
    <w:p w:rsidR="001A1CC0" w:rsidP="00524963" w:rsidRDefault="001A1CC0" w14:paraId="0CE5EF4C" w14:textId="6C19FDDD">
      <w:pPr>
        <w:tabs>
          <w:tab w:val="left" w:pos="3374"/>
        </w:tabs>
        <w:jc w:val="both"/>
        <w:rPr>
          <w:rFonts w:ascii="Arial" w:hAnsi="Arial" w:eastAsia="Calibri" w:cs="Arial"/>
          <w:sz w:val="22"/>
          <w:szCs w:val="22"/>
          <w:lang w:val="es-MX" w:eastAsia="en-US"/>
        </w:rPr>
      </w:pPr>
    </w:p>
    <w:p w:rsidR="001A1CC0" w:rsidP="00524963" w:rsidRDefault="001A1CC0" w14:paraId="3C2CFD86" w14:textId="2506C96F">
      <w:pPr>
        <w:tabs>
          <w:tab w:val="left" w:pos="3374"/>
        </w:tabs>
        <w:jc w:val="both"/>
        <w:rPr>
          <w:rFonts w:ascii="Arial" w:hAnsi="Arial" w:eastAsia="Calibri" w:cs="Arial"/>
          <w:sz w:val="22"/>
          <w:szCs w:val="22"/>
          <w:lang w:val="es-MX" w:eastAsia="en-US"/>
        </w:rPr>
      </w:pPr>
    </w:p>
    <w:p w:rsidR="001A1CC0" w:rsidP="00524963" w:rsidRDefault="001A1CC0" w14:paraId="106A734E" w14:textId="5ED631DA">
      <w:pPr>
        <w:tabs>
          <w:tab w:val="left" w:pos="3374"/>
        </w:tabs>
        <w:jc w:val="both"/>
        <w:rPr>
          <w:rFonts w:ascii="Arial" w:hAnsi="Arial" w:eastAsia="Calibri" w:cs="Arial"/>
          <w:sz w:val="22"/>
          <w:szCs w:val="22"/>
          <w:lang w:val="es-MX" w:eastAsia="en-US"/>
        </w:rPr>
      </w:pPr>
    </w:p>
    <w:p w:rsidR="001A1CC0" w:rsidP="00524963" w:rsidRDefault="001A1CC0" w14:paraId="5A437314" w14:textId="68A29BE8">
      <w:pPr>
        <w:tabs>
          <w:tab w:val="left" w:pos="3374"/>
        </w:tabs>
        <w:jc w:val="both"/>
        <w:rPr>
          <w:rFonts w:ascii="Arial" w:hAnsi="Arial" w:eastAsia="Calibri" w:cs="Arial"/>
          <w:sz w:val="22"/>
          <w:szCs w:val="22"/>
          <w:lang w:val="es-MX" w:eastAsia="en-US"/>
        </w:rPr>
      </w:pPr>
    </w:p>
    <w:p w:rsidR="001A1CC0" w:rsidP="00524963" w:rsidRDefault="001A1CC0" w14:paraId="414404B9" w14:textId="69760732">
      <w:pPr>
        <w:tabs>
          <w:tab w:val="left" w:pos="3374"/>
        </w:tabs>
        <w:jc w:val="both"/>
        <w:rPr>
          <w:rFonts w:ascii="Arial" w:hAnsi="Arial" w:eastAsia="Calibri" w:cs="Arial"/>
          <w:sz w:val="22"/>
          <w:szCs w:val="22"/>
          <w:lang w:val="es-MX" w:eastAsia="en-US"/>
        </w:rPr>
      </w:pPr>
    </w:p>
    <w:p w:rsidR="001A1CC0" w:rsidP="00524963" w:rsidRDefault="001A1CC0" w14:paraId="6FFEE8C5" w14:textId="2134C514">
      <w:pPr>
        <w:tabs>
          <w:tab w:val="left" w:pos="3374"/>
        </w:tabs>
        <w:jc w:val="both"/>
        <w:rPr>
          <w:rFonts w:ascii="Arial" w:hAnsi="Arial" w:eastAsia="Calibri" w:cs="Arial"/>
          <w:sz w:val="22"/>
          <w:szCs w:val="22"/>
          <w:lang w:val="es-MX" w:eastAsia="en-US"/>
        </w:rPr>
      </w:pPr>
    </w:p>
    <w:p w:rsidR="001A1CC0" w:rsidP="00524963" w:rsidRDefault="001A1CC0" w14:paraId="00795F52" w14:textId="4B4A721A">
      <w:pPr>
        <w:tabs>
          <w:tab w:val="left" w:pos="3374"/>
        </w:tabs>
        <w:jc w:val="both"/>
        <w:rPr>
          <w:rFonts w:ascii="Arial" w:hAnsi="Arial" w:eastAsia="Calibri" w:cs="Arial"/>
          <w:sz w:val="22"/>
          <w:szCs w:val="22"/>
          <w:lang w:val="es-MX" w:eastAsia="en-US"/>
        </w:rPr>
      </w:pPr>
    </w:p>
    <w:p w:rsidR="000807F4" w:rsidP="00524963" w:rsidRDefault="000807F4" w14:paraId="6927745C" w14:textId="77777777">
      <w:pPr>
        <w:tabs>
          <w:tab w:val="left" w:pos="3374"/>
        </w:tabs>
        <w:rPr>
          <w:rFonts w:ascii="Arial" w:hAnsi="Arial" w:eastAsia="Calibri" w:cs="Arial"/>
          <w:sz w:val="22"/>
          <w:szCs w:val="22"/>
          <w:lang w:val="es-MX" w:eastAsia="en-US"/>
        </w:rPr>
      </w:pPr>
    </w:p>
    <w:p w:rsidR="001A1CC0" w:rsidP="00524963" w:rsidRDefault="001A1CC0" w14:paraId="1E4D5F42" w14:textId="29A7CF21">
      <w:pPr>
        <w:tabs>
          <w:tab w:val="left" w:pos="3374"/>
        </w:tabs>
        <w:rPr>
          <w:rFonts w:ascii="Arial" w:hAnsi="Arial" w:eastAsia="Calibri" w:cs="Arial"/>
          <w:sz w:val="22"/>
          <w:szCs w:val="22"/>
          <w:lang w:val="es-MX" w:eastAsia="en-US"/>
        </w:rPr>
      </w:pPr>
    </w:p>
    <w:p w:rsidR="000807F4" w:rsidP="00524963" w:rsidRDefault="000807F4" w14:paraId="25C1F96F" w14:textId="4300F9EB">
      <w:pPr>
        <w:tabs>
          <w:tab w:val="left" w:pos="3374"/>
        </w:tabs>
        <w:rPr>
          <w:rFonts w:ascii="Arial" w:hAnsi="Arial" w:eastAsia="Calibri" w:cs="Arial"/>
          <w:sz w:val="22"/>
          <w:szCs w:val="22"/>
          <w:lang w:val="es-MX" w:eastAsia="en-US"/>
        </w:rPr>
      </w:pPr>
    </w:p>
    <w:p w:rsidR="00F136CE" w:rsidP="00524963" w:rsidRDefault="00F136CE" w14:paraId="17808FE1" w14:textId="3A1C669B">
      <w:pPr>
        <w:tabs>
          <w:tab w:val="left" w:pos="3374"/>
        </w:tabs>
        <w:rPr>
          <w:rFonts w:ascii="Arial" w:hAnsi="Arial" w:eastAsia="Calibri" w:cs="Arial"/>
          <w:sz w:val="22"/>
          <w:szCs w:val="22"/>
          <w:lang w:val="es-MX" w:eastAsia="en-US"/>
        </w:rPr>
      </w:pPr>
    </w:p>
    <w:p w:rsidR="00F136CE" w:rsidP="00524963" w:rsidRDefault="00F136CE" w14:paraId="6E99272A" w14:textId="048074D1">
      <w:pPr>
        <w:tabs>
          <w:tab w:val="left" w:pos="3374"/>
        </w:tabs>
        <w:rPr>
          <w:rFonts w:ascii="Arial" w:hAnsi="Arial" w:eastAsia="Calibri" w:cs="Arial"/>
          <w:sz w:val="22"/>
          <w:szCs w:val="22"/>
          <w:lang w:val="es-MX" w:eastAsia="en-US"/>
        </w:rPr>
      </w:pPr>
    </w:p>
    <w:p w:rsidR="00F136CE" w:rsidP="00524963" w:rsidRDefault="00F136CE" w14:paraId="4F0E2175" w14:textId="6C2673CC">
      <w:pPr>
        <w:tabs>
          <w:tab w:val="left" w:pos="3374"/>
        </w:tabs>
        <w:rPr>
          <w:rFonts w:ascii="Arial" w:hAnsi="Arial" w:eastAsia="Calibri" w:cs="Arial"/>
          <w:sz w:val="22"/>
          <w:szCs w:val="22"/>
          <w:lang w:val="es-MX" w:eastAsia="en-US"/>
        </w:rPr>
      </w:pPr>
    </w:p>
    <w:p w:rsidR="00F136CE" w:rsidP="00524963" w:rsidRDefault="00F136CE" w14:paraId="1A354156" w14:textId="08184D33">
      <w:pPr>
        <w:tabs>
          <w:tab w:val="left" w:pos="3374"/>
        </w:tabs>
        <w:rPr>
          <w:rFonts w:ascii="Arial" w:hAnsi="Arial" w:eastAsia="Calibri" w:cs="Arial"/>
          <w:sz w:val="22"/>
          <w:szCs w:val="22"/>
          <w:lang w:val="es-MX" w:eastAsia="en-US"/>
        </w:rPr>
      </w:pPr>
    </w:p>
    <w:p w:rsidR="00F136CE" w:rsidP="00524963" w:rsidRDefault="00F136CE" w14:paraId="27563F8C" w14:textId="32D0A32B">
      <w:pPr>
        <w:tabs>
          <w:tab w:val="left" w:pos="3374"/>
        </w:tabs>
        <w:rPr>
          <w:rFonts w:ascii="Arial" w:hAnsi="Arial" w:eastAsia="Calibri" w:cs="Arial"/>
          <w:sz w:val="22"/>
          <w:szCs w:val="22"/>
          <w:lang w:val="es-MX" w:eastAsia="en-US"/>
        </w:rPr>
      </w:pPr>
    </w:p>
    <w:p w:rsidR="00F136CE" w:rsidP="00524963" w:rsidRDefault="00F136CE" w14:paraId="09108323" w14:textId="77777777">
      <w:pPr>
        <w:tabs>
          <w:tab w:val="left" w:pos="3374"/>
        </w:tabs>
        <w:rPr>
          <w:rFonts w:ascii="Arial" w:hAnsi="Arial" w:eastAsia="Calibri" w:cs="Arial"/>
          <w:sz w:val="22"/>
          <w:szCs w:val="22"/>
          <w:lang w:val="es-MX" w:eastAsia="en-US"/>
        </w:rPr>
      </w:pPr>
    </w:p>
    <w:p w:rsidRPr="00524963" w:rsidR="0041286F" w:rsidP="00524963" w:rsidRDefault="0041286F" w14:paraId="0ED1AC47" w14:textId="77777777">
      <w:pPr>
        <w:tabs>
          <w:tab w:val="left" w:pos="3374"/>
        </w:tabs>
        <w:rPr>
          <w:rFonts w:ascii="Arial" w:hAnsi="Arial" w:eastAsia="Calibri" w:cs="Arial"/>
          <w:sz w:val="22"/>
          <w:szCs w:val="22"/>
          <w:lang w:val="es-MX" w:eastAsia="en-US"/>
        </w:rPr>
      </w:pPr>
    </w:p>
    <w:p w:rsidR="002F5B6B" w:rsidP="002F5B6B" w:rsidRDefault="002F5B6B" w14:paraId="3489FF31" w14:textId="0665E7C3">
      <w:pPr>
        <w:spacing w:line="276" w:lineRule="auto"/>
        <w:jc w:val="right"/>
        <w:rPr>
          <w:rFonts w:ascii="Arial" w:hAnsi="Arial" w:cs="Arial"/>
          <w:noProof/>
          <w:color w:val="000000" w:themeColor="text1"/>
          <w:sz w:val="22"/>
        </w:rPr>
      </w:pPr>
      <w:r w:rsidRPr="002F5B6B">
        <w:rPr>
          <w:rFonts w:ascii="Arial" w:hAnsi="Arial" w:cs="Arial"/>
          <w:noProof/>
          <w:color w:val="000000" w:themeColor="text1"/>
          <w:sz w:val="22"/>
        </w:rPr>
        <w:lastRenderedPageBreak/>
        <w:drawing>
          <wp:inline distT="0" distB="0" distL="0" distR="0" wp14:anchorId="25AC80EF" wp14:editId="02C18063">
            <wp:extent cx="2676525" cy="819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819150"/>
                    </a:xfrm>
                    <a:prstGeom prst="rect">
                      <a:avLst/>
                    </a:prstGeom>
                    <a:noFill/>
                    <a:ln>
                      <a:noFill/>
                    </a:ln>
                  </pic:spPr>
                </pic:pic>
              </a:graphicData>
            </a:graphic>
          </wp:inline>
        </w:drawing>
      </w:r>
    </w:p>
    <w:p w:rsidR="002F5B6B" w:rsidP="002F5B6B" w:rsidRDefault="002F5B6B" w14:paraId="54321FAE" w14:textId="77777777">
      <w:pPr>
        <w:spacing w:line="276" w:lineRule="auto"/>
        <w:jc w:val="both"/>
        <w:rPr>
          <w:rFonts w:ascii="Arial" w:hAnsi="Arial" w:cs="Arial"/>
          <w:noProof/>
          <w:color w:val="000000" w:themeColor="text1"/>
          <w:sz w:val="22"/>
        </w:rPr>
      </w:pPr>
    </w:p>
    <w:p w:rsidR="002F5B6B" w:rsidP="002F5B6B" w:rsidRDefault="002F5B6B" w14:paraId="7CD7B1CE" w14:textId="77777777">
      <w:pPr>
        <w:spacing w:line="276" w:lineRule="auto"/>
        <w:jc w:val="both"/>
        <w:rPr>
          <w:rFonts w:ascii="Arial" w:hAnsi="Arial" w:cs="Arial"/>
          <w:noProof/>
          <w:color w:val="000000" w:themeColor="text1"/>
          <w:sz w:val="22"/>
        </w:rPr>
      </w:pPr>
    </w:p>
    <w:p w:rsidRPr="002F5B6B" w:rsidR="00524963" w:rsidP="002F5B6B" w:rsidRDefault="008810EB" w14:paraId="7CC2EF28" w14:textId="21F6318D">
      <w:pPr>
        <w:spacing w:line="276" w:lineRule="auto"/>
        <w:jc w:val="both"/>
        <w:rPr>
          <w:rFonts w:ascii="Arial" w:hAnsi="Arial" w:cs="Arial"/>
          <w:b/>
          <w:color w:val="000000" w:themeColor="text1"/>
          <w:sz w:val="22"/>
        </w:rPr>
      </w:pPr>
      <w:r w:rsidRPr="008810EB">
        <w:rPr>
          <w:rFonts w:ascii="Arial" w:hAnsi="Arial" w:cs="Arial"/>
          <w:noProof/>
          <w:color w:val="000000" w:themeColor="text1"/>
          <w:sz w:val="22"/>
        </w:rPr>
        <w:t xml:space="preserve">Bogotá D.C., </w:t>
      </w:r>
      <w:r w:rsidR="002F5B6B">
        <w:rPr>
          <w:rFonts w:ascii="Arial" w:hAnsi="Arial" w:cs="Arial"/>
          <w:b/>
          <w:color w:val="000000" w:themeColor="text1"/>
          <w:sz w:val="22"/>
        </w:rPr>
        <w:t>02/05/2022</w:t>
      </w:r>
    </w:p>
    <w:p w:rsidRPr="00524963" w:rsidR="00524963" w:rsidP="00524963" w:rsidRDefault="00524963" w14:paraId="5D5DCB70" w14:textId="77777777">
      <w:pPr>
        <w:rPr>
          <w:rFonts w:ascii="Arial" w:hAnsi="Arial" w:eastAsia="Calibri" w:cs="Arial"/>
          <w:sz w:val="22"/>
          <w:szCs w:val="22"/>
          <w:lang w:eastAsia="en-US"/>
        </w:rPr>
      </w:pPr>
    </w:p>
    <w:p w:rsidRPr="00524963" w:rsidR="00524963" w:rsidP="00524963" w:rsidRDefault="00524963" w14:paraId="725275E7" w14:textId="526CE856">
      <w:pPr>
        <w:jc w:val="both"/>
        <w:rPr>
          <w:rFonts w:ascii="Arial" w:hAnsi="Arial" w:eastAsia="Calibri" w:cs="Arial"/>
          <w:sz w:val="22"/>
          <w:szCs w:val="22"/>
          <w:lang w:eastAsia="en-US"/>
        </w:rPr>
      </w:pPr>
      <w:bookmarkStart w:name="_Hlk96417464" w:id="8"/>
      <w:r w:rsidRPr="00524963">
        <w:rPr>
          <w:rFonts w:ascii="Arial" w:hAnsi="Arial" w:eastAsia="Calibri" w:cs="Arial"/>
          <w:sz w:val="22"/>
          <w:szCs w:val="22"/>
          <w:lang w:eastAsia="en-US"/>
        </w:rPr>
        <w:t>Doctor</w:t>
      </w:r>
    </w:p>
    <w:p w:rsidRPr="00524963" w:rsidR="00524963" w:rsidP="00524963" w:rsidRDefault="00A057E8" w14:paraId="60822689" w14:textId="41348A4A">
      <w:pPr>
        <w:jc w:val="both"/>
        <w:rPr>
          <w:rFonts w:ascii="Arial" w:hAnsi="Arial" w:eastAsia="Calibri" w:cs="Arial"/>
          <w:b/>
          <w:sz w:val="22"/>
          <w:szCs w:val="22"/>
          <w:lang w:eastAsia="en-US"/>
        </w:rPr>
      </w:pPr>
      <w:r>
        <w:rPr>
          <w:rFonts w:ascii="Arial" w:hAnsi="Arial" w:eastAsia="Calibri" w:cs="Arial"/>
          <w:b/>
          <w:sz w:val="22"/>
          <w:szCs w:val="22"/>
          <w:lang w:eastAsia="en-US"/>
        </w:rPr>
        <w:t>Leónidas</w:t>
      </w:r>
      <w:r w:rsidR="008810EB">
        <w:rPr>
          <w:rFonts w:ascii="Arial" w:hAnsi="Arial" w:eastAsia="Calibri" w:cs="Arial"/>
          <w:b/>
          <w:sz w:val="22"/>
          <w:szCs w:val="22"/>
          <w:lang w:eastAsia="en-US"/>
        </w:rPr>
        <w:t xml:space="preserve"> Lara Anaya</w:t>
      </w:r>
    </w:p>
    <w:p w:rsidR="008810EB" w:rsidP="00524963" w:rsidRDefault="008810EB" w14:paraId="01DF287B" w14:textId="39218AF9">
      <w:pPr>
        <w:jc w:val="both"/>
        <w:rPr>
          <w:rFonts w:ascii="Arial" w:hAnsi="Arial" w:eastAsia="Calibri" w:cs="Arial"/>
          <w:bCs/>
          <w:sz w:val="22"/>
          <w:szCs w:val="22"/>
          <w:lang w:eastAsia="en-US"/>
        </w:rPr>
      </w:pPr>
      <w:r>
        <w:rPr>
          <w:rFonts w:ascii="Arial" w:hAnsi="Arial" w:eastAsia="Calibri" w:cs="Arial"/>
          <w:bCs/>
          <w:sz w:val="22"/>
          <w:szCs w:val="22"/>
          <w:lang w:eastAsia="en-US"/>
        </w:rPr>
        <w:t>Secretario General</w:t>
      </w:r>
    </w:p>
    <w:p w:rsidR="008810EB" w:rsidP="00524963" w:rsidRDefault="008810EB" w14:paraId="56DD53CA" w14:textId="1161DE45">
      <w:pPr>
        <w:jc w:val="both"/>
        <w:rPr>
          <w:rFonts w:ascii="Arial" w:hAnsi="Arial" w:eastAsia="Calibri" w:cs="Arial"/>
          <w:bCs/>
          <w:sz w:val="22"/>
          <w:szCs w:val="22"/>
          <w:lang w:eastAsia="en-US"/>
        </w:rPr>
      </w:pPr>
      <w:r>
        <w:rPr>
          <w:rFonts w:ascii="Arial" w:hAnsi="Arial" w:eastAsia="Calibri" w:cs="Arial"/>
          <w:bCs/>
          <w:sz w:val="22"/>
          <w:szCs w:val="22"/>
          <w:lang w:eastAsia="en-US"/>
        </w:rPr>
        <w:t xml:space="preserve">Ministerio de Vivienda, Ciudad y Territorio </w:t>
      </w:r>
    </w:p>
    <w:p w:rsidRPr="00524963" w:rsidR="00524963" w:rsidP="00524963" w:rsidRDefault="00524963" w14:paraId="255A9222" w14:textId="60358FEC">
      <w:pPr>
        <w:jc w:val="both"/>
        <w:rPr>
          <w:rFonts w:ascii="Arial" w:hAnsi="Arial" w:eastAsia="Calibri" w:cs="Arial"/>
          <w:sz w:val="22"/>
          <w:szCs w:val="22"/>
          <w:lang w:eastAsia="en-US"/>
        </w:rPr>
      </w:pPr>
      <w:r w:rsidRPr="00524963">
        <w:rPr>
          <w:rFonts w:ascii="Arial" w:hAnsi="Arial" w:eastAsia="Calibri" w:cs="Arial"/>
          <w:sz w:val="22"/>
          <w:szCs w:val="22"/>
          <w:lang w:eastAsia="en-US"/>
        </w:rPr>
        <w:t xml:space="preserve">Bogotá D.C </w:t>
      </w:r>
    </w:p>
    <w:p w:rsidRPr="00524963" w:rsidR="00524963" w:rsidP="00524963" w:rsidRDefault="00524963" w14:paraId="1EA4E737" w14:textId="77777777">
      <w:pPr>
        <w:jc w:val="both"/>
        <w:rPr>
          <w:rFonts w:ascii="Arial" w:hAnsi="Arial" w:eastAsia="Calibri" w:cs="Arial"/>
          <w:color w:val="FF0000"/>
          <w:sz w:val="22"/>
          <w:szCs w:val="22"/>
          <w:lang w:eastAsia="en-US"/>
        </w:rPr>
      </w:pPr>
    </w:p>
    <w:p w:rsidRPr="00524963" w:rsidR="00524963" w:rsidP="00524963" w:rsidRDefault="00524963" w14:paraId="3746D9AF" w14:textId="77777777">
      <w:pPr>
        <w:jc w:val="both"/>
        <w:rPr>
          <w:rFonts w:ascii="Arial" w:hAnsi="Arial" w:eastAsia="Calibri" w:cs="Arial"/>
          <w:color w:val="FF0000"/>
          <w:sz w:val="22"/>
          <w:szCs w:val="22"/>
          <w:lang w:eastAsia="en-US"/>
        </w:rPr>
      </w:pPr>
    </w:p>
    <w:p w:rsidRPr="00524963" w:rsidR="00524963" w:rsidP="00524963" w:rsidRDefault="00524963" w14:paraId="3419EAF6" w14:textId="2CF0374F">
      <w:pPr>
        <w:jc w:val="both"/>
        <w:rPr>
          <w:rFonts w:ascii="Arial" w:hAnsi="Arial" w:eastAsia="Calibri" w:cs="Arial"/>
          <w:sz w:val="22"/>
          <w:szCs w:val="22"/>
          <w:lang w:eastAsia="en-US"/>
        </w:rPr>
      </w:pPr>
      <w:r w:rsidRPr="00524963">
        <w:rPr>
          <w:rFonts w:ascii="Arial" w:hAnsi="Arial" w:eastAsia="Calibri" w:cs="Arial"/>
          <w:sz w:val="22"/>
          <w:szCs w:val="22"/>
          <w:lang w:eastAsia="en-US"/>
        </w:rPr>
        <w:t xml:space="preserve">                                            </w:t>
      </w:r>
      <w:r w:rsidRPr="00524963">
        <w:rPr>
          <w:rFonts w:ascii="Arial" w:hAnsi="Arial" w:eastAsia="Calibri" w:cs="Arial"/>
          <w:b/>
          <w:sz w:val="22"/>
          <w:szCs w:val="22"/>
          <w:lang w:eastAsia="en-US"/>
        </w:rPr>
        <w:t xml:space="preserve">Concepto C – </w:t>
      </w:r>
      <w:r w:rsidR="008810EB">
        <w:rPr>
          <w:rFonts w:ascii="Arial" w:hAnsi="Arial" w:eastAsia="Calibri" w:cs="Arial"/>
          <w:b/>
          <w:sz w:val="22"/>
          <w:szCs w:val="22"/>
          <w:lang w:eastAsia="en-US"/>
        </w:rPr>
        <w:t>243</w:t>
      </w:r>
      <w:r w:rsidRPr="00524963">
        <w:rPr>
          <w:rFonts w:ascii="Arial" w:hAnsi="Arial" w:eastAsia="Calibri" w:cs="Arial"/>
          <w:b/>
          <w:sz w:val="22"/>
          <w:szCs w:val="22"/>
          <w:lang w:eastAsia="en-US"/>
        </w:rPr>
        <w:t xml:space="preserve"> de 2022</w:t>
      </w:r>
      <w:r w:rsidRPr="00524963">
        <w:rPr>
          <w:rFonts w:ascii="Arial" w:hAnsi="Arial" w:eastAsia="Calibri" w:cs="Arial"/>
          <w:sz w:val="22"/>
          <w:szCs w:val="22"/>
          <w:lang w:eastAsia="en-US"/>
        </w:rPr>
        <w:t xml:space="preserve"> </w:t>
      </w:r>
    </w:p>
    <w:p w:rsidRPr="00524963" w:rsidR="00524963" w:rsidP="00524963" w:rsidRDefault="00524963" w14:paraId="6157B7C8" w14:textId="77777777">
      <w:pPr>
        <w:jc w:val="both"/>
        <w:rPr>
          <w:rFonts w:ascii="Arial" w:hAnsi="Arial" w:eastAsia="Calibri" w:cs="Arial"/>
          <w:b/>
          <w:sz w:val="22"/>
          <w:szCs w:val="22"/>
          <w:lang w:eastAsia="en-US"/>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24963" w:rsidR="00524963" w:rsidTr="00266B9D" w14:paraId="3B9133A1" w14:textId="77777777">
        <w:trPr>
          <w:trHeight w:val="485"/>
        </w:trPr>
        <w:tc>
          <w:tcPr>
            <w:tcW w:w="2689" w:type="dxa"/>
            <w:hideMark/>
          </w:tcPr>
          <w:p w:rsidRPr="00524963" w:rsidR="00524963" w:rsidP="00524963" w:rsidRDefault="00524963" w14:paraId="7D325A61" w14:textId="77777777">
            <w:pPr>
              <w:contextualSpacing/>
              <w:rPr>
                <w:rFonts w:ascii="Arial" w:hAnsi="Arial" w:eastAsia="Calibri" w:cs="Arial"/>
                <w:noProof/>
                <w:sz w:val="22"/>
                <w:szCs w:val="22"/>
                <w:lang w:val="es-ES_tradnl" w:eastAsia="en-US"/>
              </w:rPr>
            </w:pPr>
            <w:r w:rsidRPr="00524963">
              <w:rPr>
                <w:rFonts w:ascii="Arial" w:hAnsi="Arial" w:eastAsia="Calibri" w:cs="Arial"/>
                <w:b/>
                <w:noProof/>
                <w:sz w:val="22"/>
                <w:szCs w:val="22"/>
                <w:lang w:val="es-ES_tradnl" w:eastAsia="en-US"/>
              </w:rPr>
              <w:t>Temas:</w:t>
            </w:r>
            <w:r w:rsidRPr="00524963">
              <w:rPr>
                <w:rFonts w:ascii="Arial" w:hAnsi="Arial" w:eastAsia="Calibri" w:cs="Arial"/>
                <w:noProof/>
                <w:sz w:val="22"/>
                <w:szCs w:val="22"/>
                <w:lang w:val="es-ES_tradnl" w:eastAsia="en-US"/>
              </w:rPr>
              <w:t xml:space="preserve">        </w:t>
            </w:r>
          </w:p>
        </w:tc>
        <w:tc>
          <w:tcPr>
            <w:tcW w:w="6237" w:type="dxa"/>
            <w:hideMark/>
          </w:tcPr>
          <w:p w:rsidR="0041286F" w:rsidP="001A1CC0" w:rsidRDefault="001A1CC0" w14:paraId="7CB6205F" w14:textId="5AE5F551">
            <w:pPr>
              <w:spacing w:after="120"/>
              <w:contextualSpacing/>
              <w:jc w:val="both"/>
              <w:rPr>
                <w:rFonts w:ascii="Arial" w:hAnsi="Arial" w:cs="Arial"/>
                <w:bCs/>
                <w:sz w:val="22"/>
                <w:lang w:val="es-ES_tradnl" w:eastAsia="es-CO"/>
              </w:rPr>
            </w:pPr>
            <w:r w:rsidRPr="00711612">
              <w:rPr>
                <w:rFonts w:ascii="Arial" w:hAnsi="Arial" w:eastAsia="Calibri" w:cs="Arial"/>
                <w:bCs/>
                <w:color w:val="000000" w:themeColor="text1"/>
                <w:sz w:val="22"/>
                <w:lang w:val="es-ES_tradnl"/>
              </w:rPr>
              <w:t xml:space="preserve">LEY DE GARANTÍAS ELECTORALES – Finalidad / LEY DE GARANTÍAS ELECTORALES ‒ Restricciones ‒ Contratación ‒ Tipos de elección / </w:t>
            </w:r>
            <w:r w:rsidRPr="00711612">
              <w:rPr>
                <w:rFonts w:ascii="Arial" w:hAnsi="Arial" w:eastAsia="Calibri" w:cs="Arial"/>
                <w:bCs/>
                <w:sz w:val="22"/>
                <w:lang w:val="es-ES_tradnl"/>
              </w:rPr>
              <w:t xml:space="preserve">LEY DE GARANTÍAS ELECTORALES ─ Prohibición artículo 33 ‒ Contratación directa ‒ Alcance / </w:t>
            </w:r>
            <w:r w:rsidRPr="00711612">
              <w:rPr>
                <w:rFonts w:ascii="Arial" w:hAnsi="Arial" w:cs="Arial"/>
                <w:bCs/>
                <w:sz w:val="22"/>
                <w:lang w:val="es-ES_tradnl" w:eastAsia="es-CO"/>
              </w:rPr>
              <w:t>LEY DE GARANTÍAS ELECTORALES ‒ Excepciones</w:t>
            </w:r>
            <w:r w:rsidRPr="00711612">
              <w:rPr>
                <w:rFonts w:ascii="Arial" w:hAnsi="Arial" w:cs="Arial"/>
                <w:sz w:val="22"/>
                <w:lang w:val="es-ES_tradnl" w:eastAsia="es-CO"/>
              </w:rPr>
              <w:t xml:space="preserve"> / </w:t>
            </w:r>
            <w:r w:rsidRPr="00711612">
              <w:rPr>
                <w:rFonts w:ascii="Arial" w:hAnsi="Arial" w:cs="Arial"/>
                <w:bCs/>
                <w:sz w:val="22"/>
                <w:lang w:val="es-ES_tradnl" w:eastAsia="es-CO"/>
              </w:rPr>
              <w:t xml:space="preserve">LEY DE GARANTÍAS ELECTORALES ‒ </w:t>
            </w:r>
            <w:r w:rsidRPr="00711612">
              <w:rPr>
                <w:rFonts w:ascii="Arial" w:hAnsi="Arial" w:cs="Arial"/>
                <w:sz w:val="22"/>
                <w:lang w:val="es-ES_tradnl" w:eastAsia="es-CO"/>
              </w:rPr>
              <w:t xml:space="preserve">Prohibición del artículo 33 </w:t>
            </w:r>
            <w:r w:rsidRPr="00711612">
              <w:rPr>
                <w:rFonts w:ascii="Arial" w:hAnsi="Arial" w:cs="Arial"/>
                <w:bCs/>
                <w:sz w:val="22"/>
                <w:lang w:val="es-ES_tradnl" w:eastAsia="es-CO"/>
              </w:rPr>
              <w:t xml:space="preserve">‒ Destinatarios / </w:t>
            </w:r>
            <w:r w:rsidRPr="00593C7A" w:rsidR="000807F4">
              <w:rPr>
                <w:rFonts w:ascii="Arial" w:hAnsi="Arial" w:cs="Arial"/>
                <w:bCs/>
                <w:sz w:val="22"/>
                <w:lang w:val="es-ES_tradnl" w:eastAsia="es-CO"/>
              </w:rPr>
              <w:t xml:space="preserve">ORGANISMOS INTERNACIONALES – </w:t>
            </w:r>
            <w:r w:rsidR="000807F4">
              <w:rPr>
                <w:rFonts w:ascii="Arial" w:hAnsi="Arial" w:cs="Arial"/>
                <w:bCs/>
                <w:sz w:val="22"/>
                <w:lang w:val="es-ES_tradnl" w:eastAsia="es-CO"/>
              </w:rPr>
              <w:t>Régimen de contratación</w:t>
            </w:r>
            <w:r w:rsidRPr="00593C7A" w:rsidR="000807F4">
              <w:rPr>
                <w:rFonts w:ascii="Arial" w:hAnsi="Arial" w:cs="Arial"/>
                <w:bCs/>
                <w:sz w:val="22"/>
                <w:lang w:val="es-ES_tradnl" w:eastAsia="es-CO"/>
              </w:rPr>
              <w:t xml:space="preserve"> </w:t>
            </w:r>
            <w:r w:rsidRPr="00711612" w:rsidR="000807F4">
              <w:rPr>
                <w:rFonts w:ascii="Arial" w:hAnsi="Arial" w:cs="Arial"/>
                <w:bCs/>
                <w:sz w:val="22"/>
                <w:lang w:val="es-ES_tradnl" w:eastAsia="es-CO"/>
              </w:rPr>
              <w:t>/</w:t>
            </w:r>
            <w:r w:rsidR="000807F4">
              <w:rPr>
                <w:rFonts w:ascii="Arial" w:hAnsi="Arial" w:cs="Arial"/>
                <w:bCs/>
                <w:sz w:val="22"/>
                <w:lang w:val="es-ES_tradnl" w:eastAsia="es-CO"/>
              </w:rPr>
              <w:t xml:space="preserve"> </w:t>
            </w:r>
            <w:r w:rsidRPr="00593C7A">
              <w:rPr>
                <w:rFonts w:ascii="Arial" w:hAnsi="Arial" w:cs="Arial"/>
                <w:bCs/>
                <w:sz w:val="22"/>
                <w:lang w:val="es-ES_tradnl" w:eastAsia="es-CO"/>
              </w:rPr>
              <w:t>ORGANISMOS INTERNACIONALES – Ley de garantías electorales – Restricción – Contratación Directa – Artículo 33 – Alcance</w:t>
            </w:r>
            <w:r w:rsidR="00D260C6">
              <w:rPr>
                <w:rFonts w:ascii="Arial" w:hAnsi="Arial" w:cs="Arial"/>
                <w:bCs/>
                <w:sz w:val="22"/>
                <w:lang w:val="es-ES_tradnl" w:eastAsia="es-CO"/>
              </w:rPr>
              <w:t xml:space="preserve"> </w:t>
            </w:r>
            <w:r w:rsidRPr="00593C7A" w:rsidR="00D260C6">
              <w:rPr>
                <w:rFonts w:ascii="Arial" w:hAnsi="Arial" w:cs="Arial"/>
                <w:bCs/>
                <w:sz w:val="22"/>
                <w:lang w:val="es-ES_tradnl" w:eastAsia="es-CO"/>
              </w:rPr>
              <w:t>–</w:t>
            </w:r>
            <w:r w:rsidR="00D260C6">
              <w:rPr>
                <w:rFonts w:ascii="Arial" w:hAnsi="Arial" w:cs="Arial"/>
                <w:bCs/>
                <w:sz w:val="22"/>
                <w:lang w:val="es-ES_tradnl" w:eastAsia="es-CO"/>
              </w:rPr>
              <w:t xml:space="preserve"> </w:t>
            </w:r>
            <w:r w:rsidR="00F136CE">
              <w:rPr>
                <w:rFonts w:ascii="Arial" w:hAnsi="Arial" w:cs="Arial"/>
                <w:bCs/>
                <w:sz w:val="22"/>
                <w:lang w:val="es-ES_tradnl" w:eastAsia="es-CO"/>
              </w:rPr>
              <w:t>Tesis unificada</w:t>
            </w:r>
          </w:p>
          <w:p w:rsidRPr="00272414" w:rsidR="001A1CC0" w:rsidP="00272414" w:rsidRDefault="001A1CC0" w14:paraId="616ABA7B" w14:textId="77777777">
            <w:pPr>
              <w:spacing w:after="120"/>
              <w:contextualSpacing/>
              <w:jc w:val="both"/>
              <w:rPr>
                <w:rFonts w:ascii="Arial" w:hAnsi="Arial" w:eastAsia="Calibri" w:cs="Arial"/>
                <w:b/>
                <w:sz w:val="12"/>
                <w:szCs w:val="12"/>
                <w:lang w:val="es-MX" w:eastAsia="es-MX"/>
              </w:rPr>
            </w:pPr>
          </w:p>
          <w:p w:rsidRPr="00524963" w:rsidR="00524963" w:rsidP="00524963" w:rsidRDefault="00524963" w14:paraId="1FAC99B3" w14:textId="77777777">
            <w:pPr>
              <w:spacing w:after="120"/>
              <w:rPr>
                <w:rFonts w:ascii="Arial" w:hAnsi="Arial" w:eastAsia="Calibri" w:cs="Arial"/>
                <w:bCs/>
                <w:sz w:val="22"/>
                <w:szCs w:val="22"/>
                <w:lang w:val="es-MX" w:eastAsia="en-US"/>
              </w:rPr>
            </w:pPr>
          </w:p>
        </w:tc>
      </w:tr>
      <w:tr w:rsidRPr="00524963" w:rsidR="00524963" w:rsidTr="00272414" w14:paraId="3ACF6E69" w14:textId="77777777">
        <w:trPr>
          <w:trHeight w:val="437"/>
        </w:trPr>
        <w:tc>
          <w:tcPr>
            <w:tcW w:w="2689" w:type="dxa"/>
          </w:tcPr>
          <w:p w:rsidRPr="00524963" w:rsidR="00524963" w:rsidP="00524963" w:rsidRDefault="00524963" w14:paraId="4C768BE4" w14:textId="77777777">
            <w:pPr>
              <w:contextualSpacing/>
              <w:rPr>
                <w:rFonts w:ascii="Arial" w:hAnsi="Arial" w:eastAsia="Calibri" w:cs="Arial"/>
                <w:b/>
                <w:noProof/>
                <w:sz w:val="22"/>
                <w:szCs w:val="22"/>
                <w:lang w:val="es-ES_tradnl" w:eastAsia="en-US"/>
              </w:rPr>
            </w:pPr>
            <w:r w:rsidRPr="00524963">
              <w:rPr>
                <w:rFonts w:ascii="Arial" w:hAnsi="Arial" w:eastAsia="Calibri" w:cs="Arial"/>
                <w:b/>
                <w:noProof/>
                <w:sz w:val="22"/>
                <w:szCs w:val="22"/>
                <w:lang w:val="es-ES_tradnl" w:eastAsia="en-US"/>
              </w:rPr>
              <w:t>Radicación:</w:t>
            </w:r>
            <w:r w:rsidRPr="00524963">
              <w:rPr>
                <w:rFonts w:ascii="Arial" w:hAnsi="Arial" w:eastAsia="Calibri" w:cs="Arial"/>
                <w:noProof/>
                <w:sz w:val="22"/>
                <w:szCs w:val="22"/>
                <w:lang w:val="es-ES_tradnl" w:eastAsia="en-US"/>
              </w:rPr>
              <w:t xml:space="preserve">                              </w:t>
            </w:r>
          </w:p>
        </w:tc>
        <w:tc>
          <w:tcPr>
            <w:tcW w:w="6237" w:type="dxa"/>
          </w:tcPr>
          <w:p w:rsidRPr="00524963" w:rsidR="00524963" w:rsidP="00272414" w:rsidRDefault="00524963" w14:paraId="7AE192F3" w14:textId="4C7FFFC9">
            <w:pPr>
              <w:jc w:val="both"/>
              <w:rPr>
                <w:rFonts w:ascii="Arial" w:hAnsi="Arial" w:eastAsia="Calibri" w:cs="Arial"/>
                <w:noProof/>
                <w:sz w:val="22"/>
                <w:szCs w:val="22"/>
                <w:lang w:val="es-ES_tradnl" w:eastAsia="en-US"/>
              </w:rPr>
            </w:pPr>
            <w:r w:rsidRPr="00524963">
              <w:rPr>
                <w:rFonts w:ascii="Arial" w:hAnsi="Arial" w:eastAsia="Calibri" w:cs="Arial"/>
                <w:noProof/>
                <w:sz w:val="22"/>
                <w:szCs w:val="22"/>
                <w:lang w:val="es-ES_tradnl" w:eastAsia="en-US"/>
              </w:rPr>
              <w:t xml:space="preserve">Respuesta a </w:t>
            </w:r>
            <w:r w:rsidR="00A057E8">
              <w:rPr>
                <w:rFonts w:ascii="Arial" w:hAnsi="Arial" w:eastAsia="Calibri" w:cs="Arial"/>
                <w:noProof/>
                <w:sz w:val="22"/>
                <w:szCs w:val="22"/>
                <w:lang w:val="es-ES_tradnl" w:eastAsia="en-US"/>
              </w:rPr>
              <w:t xml:space="preserve">las </w:t>
            </w:r>
            <w:r w:rsidRPr="00524963">
              <w:rPr>
                <w:rFonts w:ascii="Arial" w:hAnsi="Arial" w:eastAsia="Calibri" w:cs="Arial"/>
                <w:noProof/>
                <w:sz w:val="22"/>
                <w:szCs w:val="22"/>
                <w:lang w:val="es-ES_tradnl" w:eastAsia="en-US"/>
              </w:rPr>
              <w:t>consulta</w:t>
            </w:r>
            <w:r w:rsidR="008810EB">
              <w:rPr>
                <w:rFonts w:ascii="Arial" w:hAnsi="Arial" w:eastAsia="Calibri" w:cs="Arial"/>
                <w:noProof/>
                <w:sz w:val="22"/>
                <w:szCs w:val="22"/>
                <w:lang w:val="es-ES_tradnl" w:eastAsia="en-US"/>
              </w:rPr>
              <w:t>s</w:t>
            </w:r>
            <w:r w:rsidR="007E213A">
              <w:rPr>
                <w:rFonts w:ascii="Arial" w:hAnsi="Arial" w:eastAsia="Calibri" w:cs="Arial"/>
                <w:noProof/>
                <w:sz w:val="22"/>
                <w:szCs w:val="22"/>
                <w:lang w:val="es-ES_tradnl" w:eastAsia="en-US"/>
              </w:rPr>
              <w:t xml:space="preserve"> </w:t>
            </w:r>
            <w:r w:rsidRPr="007E213A" w:rsidR="008810EB">
              <w:rPr>
                <w:rFonts w:ascii="Arial" w:hAnsi="Arial" w:eastAsia="Calibri" w:cs="Arial"/>
                <w:noProof/>
                <w:sz w:val="22"/>
                <w:szCs w:val="22"/>
                <w:lang w:eastAsia="en-US"/>
              </w:rPr>
              <w:t>P20220316002631 y</w:t>
            </w:r>
            <w:r w:rsidR="008810EB">
              <w:rPr>
                <w:rFonts w:ascii="Arial" w:hAnsi="Arial" w:eastAsia="Calibri" w:cs="Arial"/>
                <w:b/>
                <w:bCs/>
                <w:noProof/>
                <w:sz w:val="22"/>
                <w:szCs w:val="22"/>
                <w:lang w:eastAsia="en-US"/>
              </w:rPr>
              <w:t xml:space="preserve"> </w:t>
            </w:r>
            <w:r w:rsidRPr="007E213A" w:rsidR="007E213A">
              <w:rPr>
                <w:rFonts w:ascii="Arial" w:hAnsi="Arial" w:eastAsia="Calibri" w:cs="Arial"/>
                <w:noProof/>
                <w:sz w:val="22"/>
                <w:szCs w:val="22"/>
                <w:lang w:eastAsia="en-US"/>
              </w:rPr>
              <w:t>P20220317002688</w:t>
            </w:r>
            <w:r w:rsidR="00A057E8">
              <w:rPr>
                <w:rFonts w:ascii="Arial" w:hAnsi="Arial" w:eastAsia="Calibri" w:cs="Arial"/>
                <w:noProof/>
                <w:sz w:val="22"/>
                <w:szCs w:val="22"/>
                <w:lang w:eastAsia="en-US"/>
              </w:rPr>
              <w:t xml:space="preserve"> </w:t>
            </w:r>
            <w:r w:rsidR="0040152A">
              <w:rPr>
                <w:rFonts w:ascii="Arial" w:hAnsi="Arial" w:eastAsia="Calibri" w:cs="Arial"/>
                <w:sz w:val="22"/>
                <w:szCs w:val="22"/>
                <w:lang w:eastAsia="en-US"/>
              </w:rPr>
              <w:t>–</w:t>
            </w:r>
            <w:r w:rsidRPr="00A057E8" w:rsidR="00A057E8">
              <w:rPr>
                <w:rFonts w:ascii="Arial" w:hAnsi="Arial" w:eastAsia="Calibri" w:cs="Arial"/>
                <w:sz w:val="22"/>
              </w:rPr>
              <w:t>Acumuladas</w:t>
            </w:r>
            <w:r w:rsidR="0040152A">
              <w:rPr>
                <w:rFonts w:ascii="Arial" w:hAnsi="Arial" w:eastAsia="Calibri" w:cs="Arial"/>
                <w:noProof/>
                <w:sz w:val="22"/>
                <w:szCs w:val="22"/>
                <w:lang w:val="es-ES_tradnl" w:eastAsia="en-US"/>
              </w:rPr>
              <w:t>–</w:t>
            </w:r>
          </w:p>
        </w:tc>
      </w:tr>
    </w:tbl>
    <w:p w:rsidR="00524963" w:rsidP="00524963" w:rsidRDefault="00524963" w14:paraId="16390F0C" w14:textId="37125357">
      <w:pPr>
        <w:jc w:val="both"/>
        <w:rPr>
          <w:rFonts w:ascii="Arial" w:hAnsi="Arial" w:eastAsia="Calibri" w:cs="Arial"/>
          <w:sz w:val="22"/>
          <w:szCs w:val="22"/>
          <w:lang w:eastAsia="en-US"/>
        </w:rPr>
      </w:pPr>
    </w:p>
    <w:p w:rsidRPr="00524963" w:rsidR="0041286F" w:rsidP="00524963" w:rsidRDefault="0041286F" w14:paraId="55141216" w14:textId="77777777">
      <w:pPr>
        <w:jc w:val="both"/>
        <w:rPr>
          <w:rFonts w:ascii="Arial" w:hAnsi="Arial" w:eastAsia="Calibri" w:cs="Arial"/>
          <w:sz w:val="22"/>
          <w:szCs w:val="22"/>
          <w:lang w:eastAsia="en-US"/>
        </w:rPr>
      </w:pPr>
    </w:p>
    <w:p w:rsidRPr="00524963" w:rsidR="00524963" w:rsidP="00524963" w:rsidRDefault="00524963" w14:paraId="26030D5D" w14:textId="3F8B9AAE">
      <w:pPr>
        <w:spacing w:line="276" w:lineRule="auto"/>
        <w:jc w:val="both"/>
        <w:rPr>
          <w:rFonts w:ascii="Arial" w:hAnsi="Arial" w:eastAsia="Calibri" w:cs="Arial"/>
          <w:sz w:val="22"/>
          <w:szCs w:val="22"/>
          <w:lang w:eastAsia="en-US"/>
        </w:rPr>
      </w:pPr>
      <w:r w:rsidRPr="00524963">
        <w:rPr>
          <w:rFonts w:ascii="Arial" w:hAnsi="Arial" w:eastAsia="Calibri" w:cs="Arial"/>
          <w:sz w:val="22"/>
          <w:szCs w:val="22"/>
          <w:lang w:eastAsia="en-US"/>
        </w:rPr>
        <w:t>Estimad</w:t>
      </w:r>
      <w:r w:rsidR="007E213A">
        <w:rPr>
          <w:rFonts w:ascii="Arial" w:hAnsi="Arial" w:eastAsia="Calibri" w:cs="Arial"/>
          <w:sz w:val="22"/>
          <w:szCs w:val="22"/>
          <w:lang w:eastAsia="en-US"/>
        </w:rPr>
        <w:t>o</w:t>
      </w:r>
      <w:r w:rsidRPr="00524963">
        <w:rPr>
          <w:rFonts w:ascii="Arial" w:hAnsi="Arial" w:eastAsia="Calibri" w:cs="Arial"/>
          <w:sz w:val="22"/>
          <w:szCs w:val="22"/>
          <w:lang w:eastAsia="en-US"/>
        </w:rPr>
        <w:t xml:space="preserve"> </w:t>
      </w:r>
      <w:r w:rsidR="00D260C6">
        <w:rPr>
          <w:rFonts w:ascii="Arial" w:hAnsi="Arial" w:eastAsia="Calibri" w:cs="Arial"/>
          <w:sz w:val="22"/>
          <w:szCs w:val="22"/>
          <w:lang w:eastAsia="en-US"/>
        </w:rPr>
        <w:t>D</w:t>
      </w:r>
      <w:r w:rsidRPr="00524963">
        <w:rPr>
          <w:rFonts w:ascii="Arial" w:hAnsi="Arial" w:eastAsia="Calibri" w:cs="Arial"/>
          <w:sz w:val="22"/>
          <w:szCs w:val="22"/>
          <w:lang w:eastAsia="en-US"/>
        </w:rPr>
        <w:t xml:space="preserve">octor </w:t>
      </w:r>
      <w:r w:rsidR="007E213A">
        <w:rPr>
          <w:rFonts w:ascii="Arial" w:hAnsi="Arial" w:eastAsia="Calibri" w:cs="Arial"/>
          <w:sz w:val="22"/>
          <w:szCs w:val="22"/>
          <w:lang w:eastAsia="en-US"/>
        </w:rPr>
        <w:t>Lara</w:t>
      </w:r>
      <w:r w:rsidRPr="00524963">
        <w:rPr>
          <w:rFonts w:ascii="Arial" w:hAnsi="Arial" w:eastAsia="Calibri" w:cs="Arial"/>
          <w:sz w:val="22"/>
          <w:szCs w:val="22"/>
          <w:lang w:eastAsia="en-US"/>
        </w:rPr>
        <w:t>:</w:t>
      </w:r>
    </w:p>
    <w:p w:rsidRPr="00524963" w:rsidR="00524963" w:rsidP="00524963" w:rsidRDefault="00524963" w14:paraId="5E245FA2" w14:textId="77777777">
      <w:pPr>
        <w:spacing w:line="276" w:lineRule="auto"/>
        <w:ind w:firstLine="709"/>
        <w:jc w:val="both"/>
        <w:rPr>
          <w:rFonts w:ascii="Arial" w:hAnsi="Arial" w:eastAsia="Calibri" w:cs="Arial"/>
          <w:sz w:val="22"/>
          <w:szCs w:val="22"/>
          <w:lang w:eastAsia="en-US"/>
        </w:rPr>
      </w:pPr>
    </w:p>
    <w:p w:rsidRPr="00524963" w:rsidR="00524963" w:rsidP="00524963" w:rsidRDefault="00524963" w14:paraId="3475A231" w14:textId="787561A4">
      <w:pPr>
        <w:spacing w:line="276" w:lineRule="auto"/>
        <w:ind w:right="51"/>
        <w:jc w:val="both"/>
        <w:rPr>
          <w:rFonts w:ascii="Arial" w:hAnsi="Arial" w:eastAsia="Calibri" w:cs="Arial"/>
          <w:sz w:val="22"/>
          <w:szCs w:val="22"/>
          <w:lang w:eastAsia="en-US"/>
        </w:rPr>
      </w:pPr>
      <w:r w:rsidRPr="00524963">
        <w:rPr>
          <w:rFonts w:ascii="Arial" w:hAnsi="Arial" w:eastAsia="Calibri" w:cs="Arial"/>
          <w:sz w:val="22"/>
          <w:szCs w:val="22"/>
          <w:lang w:eastAsia="en-US"/>
        </w:rPr>
        <w:t>En ejercicio de la competencia otorgada por el numeral 8 del artículo 11 y el numeral 5 del artículo 3 del Decreto Ley 4170 de 2011, la Agencia Nacional de Contratación Pública – Colombia Compra Eficiente responde la</w:t>
      </w:r>
      <w:r w:rsidR="00A057E8">
        <w:rPr>
          <w:rFonts w:ascii="Arial" w:hAnsi="Arial" w:eastAsia="Calibri" w:cs="Arial"/>
          <w:sz w:val="22"/>
          <w:szCs w:val="22"/>
          <w:lang w:eastAsia="en-US"/>
        </w:rPr>
        <w:t>s</w:t>
      </w:r>
      <w:r w:rsidRPr="00524963">
        <w:rPr>
          <w:rFonts w:ascii="Arial" w:hAnsi="Arial" w:eastAsia="Calibri" w:cs="Arial"/>
          <w:sz w:val="22"/>
          <w:szCs w:val="22"/>
          <w:lang w:eastAsia="en-US"/>
        </w:rPr>
        <w:t xml:space="preserve"> consulta</w:t>
      </w:r>
      <w:r w:rsidR="007E213A">
        <w:rPr>
          <w:rFonts w:ascii="Arial" w:hAnsi="Arial" w:eastAsia="Calibri" w:cs="Arial"/>
          <w:sz w:val="22"/>
          <w:szCs w:val="22"/>
          <w:lang w:eastAsia="en-US"/>
        </w:rPr>
        <w:t>s</w:t>
      </w:r>
      <w:r w:rsidR="00B52A3C">
        <w:rPr>
          <w:rFonts w:ascii="Arial" w:hAnsi="Arial" w:eastAsia="Calibri" w:cs="Arial"/>
          <w:sz w:val="22"/>
          <w:szCs w:val="22"/>
          <w:lang w:eastAsia="en-US"/>
        </w:rPr>
        <w:t xml:space="preserve"> </w:t>
      </w:r>
      <w:r w:rsidR="00A057E8">
        <w:rPr>
          <w:rFonts w:ascii="Arial" w:hAnsi="Arial" w:eastAsia="Calibri" w:cs="Arial"/>
          <w:sz w:val="22"/>
          <w:szCs w:val="22"/>
          <w:lang w:eastAsia="en-US"/>
        </w:rPr>
        <w:t xml:space="preserve">radicadas </w:t>
      </w:r>
      <w:r w:rsidRPr="00524963">
        <w:rPr>
          <w:rFonts w:ascii="Arial" w:hAnsi="Arial" w:eastAsia="Calibri" w:cs="Arial"/>
          <w:sz w:val="22"/>
          <w:szCs w:val="22"/>
          <w:lang w:eastAsia="en-US"/>
        </w:rPr>
        <w:t xml:space="preserve">el </w:t>
      </w:r>
      <w:r w:rsidR="007E213A">
        <w:rPr>
          <w:rFonts w:ascii="Arial" w:hAnsi="Arial" w:eastAsia="Calibri" w:cs="Arial"/>
          <w:sz w:val="22"/>
          <w:szCs w:val="22"/>
          <w:lang w:eastAsia="en-US"/>
        </w:rPr>
        <w:t xml:space="preserve">16 y 17 </w:t>
      </w:r>
      <w:r w:rsidRPr="00524963">
        <w:rPr>
          <w:rFonts w:ascii="Arial" w:hAnsi="Arial" w:eastAsia="Calibri" w:cs="Arial"/>
          <w:sz w:val="22"/>
          <w:szCs w:val="22"/>
          <w:lang w:eastAsia="en-US"/>
        </w:rPr>
        <w:t xml:space="preserve">de </w:t>
      </w:r>
      <w:r w:rsidR="007E213A">
        <w:rPr>
          <w:rFonts w:ascii="Arial" w:hAnsi="Arial" w:eastAsia="Calibri" w:cs="Arial"/>
          <w:sz w:val="22"/>
          <w:szCs w:val="22"/>
          <w:lang w:eastAsia="en-US"/>
        </w:rPr>
        <w:t>marzo</w:t>
      </w:r>
      <w:r w:rsidRPr="00524963">
        <w:rPr>
          <w:rFonts w:ascii="Arial" w:hAnsi="Arial" w:eastAsia="Calibri" w:cs="Arial"/>
          <w:sz w:val="22"/>
          <w:szCs w:val="22"/>
          <w:lang w:eastAsia="en-US"/>
        </w:rPr>
        <w:t xml:space="preserve"> de 202</w:t>
      </w:r>
      <w:r w:rsidR="007E213A">
        <w:rPr>
          <w:rFonts w:ascii="Arial" w:hAnsi="Arial" w:eastAsia="Calibri" w:cs="Arial"/>
          <w:sz w:val="22"/>
          <w:szCs w:val="22"/>
          <w:lang w:eastAsia="en-US"/>
        </w:rPr>
        <w:t>2</w:t>
      </w:r>
      <w:r w:rsidR="00A057E8">
        <w:rPr>
          <w:rFonts w:ascii="Arial" w:hAnsi="Arial" w:eastAsia="Calibri" w:cs="Arial"/>
          <w:sz w:val="22"/>
          <w:szCs w:val="22"/>
          <w:lang w:eastAsia="en-US"/>
        </w:rPr>
        <w:t>, respectivamente.</w:t>
      </w:r>
      <w:r w:rsidRPr="00524963">
        <w:rPr>
          <w:rFonts w:ascii="Arial" w:hAnsi="Arial" w:eastAsia="Calibri" w:cs="Arial"/>
          <w:sz w:val="22"/>
          <w:szCs w:val="22"/>
          <w:lang w:eastAsia="en-US"/>
        </w:rPr>
        <w:t xml:space="preserve"> </w:t>
      </w:r>
    </w:p>
    <w:p w:rsidRPr="00524963" w:rsidR="00524963" w:rsidP="00524963" w:rsidRDefault="00524963" w14:paraId="1FDC1190" w14:textId="77777777">
      <w:pPr>
        <w:spacing w:line="276" w:lineRule="auto"/>
        <w:jc w:val="both"/>
        <w:rPr>
          <w:rFonts w:ascii="Arial" w:hAnsi="Arial" w:eastAsia="Calibri" w:cs="Arial"/>
          <w:sz w:val="22"/>
          <w:szCs w:val="22"/>
          <w:lang w:eastAsia="en-US"/>
        </w:rPr>
      </w:pPr>
    </w:p>
    <w:p w:rsidRPr="00524963" w:rsidR="00524963" w:rsidP="00524963" w:rsidRDefault="00524963" w14:paraId="589A7A08" w14:textId="77777777">
      <w:pPr>
        <w:tabs>
          <w:tab w:val="left" w:pos="284"/>
        </w:tabs>
        <w:spacing w:line="276" w:lineRule="auto"/>
        <w:jc w:val="both"/>
        <w:rPr>
          <w:rFonts w:ascii="Arial" w:hAnsi="Arial" w:eastAsia="Calibri" w:cs="Arial"/>
          <w:b/>
          <w:sz w:val="22"/>
          <w:szCs w:val="22"/>
          <w:lang w:eastAsia="en-US"/>
        </w:rPr>
      </w:pPr>
      <w:r w:rsidRPr="00524963">
        <w:rPr>
          <w:rFonts w:ascii="Arial" w:hAnsi="Arial" w:eastAsia="Calibri" w:cs="Arial"/>
          <w:b/>
          <w:sz w:val="22"/>
          <w:szCs w:val="22"/>
          <w:lang w:eastAsia="en-US"/>
        </w:rPr>
        <w:t xml:space="preserve">1. Problema planteado </w:t>
      </w:r>
    </w:p>
    <w:p w:rsidRPr="00524963" w:rsidR="00524963" w:rsidP="00524963" w:rsidRDefault="00524963" w14:paraId="39487201" w14:textId="77777777">
      <w:pPr>
        <w:tabs>
          <w:tab w:val="left" w:pos="284"/>
        </w:tabs>
        <w:spacing w:line="276" w:lineRule="auto"/>
        <w:ind w:firstLine="709"/>
        <w:contextualSpacing/>
        <w:jc w:val="both"/>
        <w:rPr>
          <w:rFonts w:ascii="Arial" w:hAnsi="Arial" w:eastAsia="Calibri" w:cs="Arial"/>
          <w:b/>
          <w:sz w:val="22"/>
          <w:szCs w:val="22"/>
          <w:lang w:eastAsia="en-US"/>
        </w:rPr>
      </w:pPr>
    </w:p>
    <w:p w:rsidR="00383878" w:rsidP="00383878" w:rsidRDefault="0040152A" w14:paraId="6177B11C" w14:textId="3B726B6D">
      <w:pPr>
        <w:spacing w:line="276" w:lineRule="auto"/>
        <w:jc w:val="both"/>
        <w:rPr>
          <w:rFonts w:ascii="Arial" w:hAnsi="Arial" w:cs="Arial"/>
          <w:color w:val="000000"/>
          <w:sz w:val="22"/>
          <w:szCs w:val="22"/>
          <w:lang w:val="es-ES_tradnl"/>
        </w:rPr>
      </w:pPr>
      <w:bookmarkStart w:name="_Hlk58917991" w:id="9"/>
      <w:bookmarkStart w:name="_Hlk56103000" w:id="10"/>
      <w:r>
        <w:rPr>
          <w:rFonts w:ascii="Arial" w:hAnsi="Arial" w:cs="Arial"/>
          <w:color w:val="000000"/>
          <w:sz w:val="22"/>
          <w:szCs w:val="22"/>
          <w:lang w:val="es-ES_tradnl"/>
        </w:rPr>
        <w:t>Respecto a la prohibición del artículo 33 de</w:t>
      </w:r>
      <w:r w:rsidRPr="00524963" w:rsidR="00524963">
        <w:rPr>
          <w:rFonts w:ascii="Arial" w:hAnsi="Arial" w:cs="Arial"/>
          <w:color w:val="000000"/>
          <w:sz w:val="22"/>
          <w:szCs w:val="22"/>
          <w:lang w:val="es-ES_tradnl"/>
        </w:rPr>
        <w:t xml:space="preserve"> la Ley de Garantías Electorales, usted </w:t>
      </w:r>
      <w:r>
        <w:rPr>
          <w:rFonts w:ascii="Arial" w:hAnsi="Arial" w:cs="Arial"/>
          <w:color w:val="000000"/>
          <w:sz w:val="22"/>
          <w:szCs w:val="22"/>
          <w:lang w:val="es-ES_tradnl"/>
        </w:rPr>
        <w:t>realiza la siguiente pregunta</w:t>
      </w:r>
      <w:r w:rsidRPr="00524963" w:rsidR="00524963">
        <w:rPr>
          <w:rFonts w:ascii="Arial" w:hAnsi="Arial" w:cs="Arial"/>
          <w:color w:val="000000"/>
          <w:sz w:val="22"/>
          <w:szCs w:val="22"/>
          <w:lang w:val="es-ES_tradnl"/>
        </w:rPr>
        <w:t xml:space="preserve">: </w:t>
      </w:r>
      <w:bookmarkStart w:name="_Hlk98832248" w:id="11"/>
      <w:bookmarkStart w:name="_Hlk94514883" w:id="12"/>
    </w:p>
    <w:p w:rsidRPr="00383878" w:rsidR="00383878" w:rsidP="00383878" w:rsidRDefault="00383878" w14:paraId="4F67254C" w14:textId="77777777">
      <w:pPr>
        <w:spacing w:line="276" w:lineRule="auto"/>
        <w:jc w:val="both"/>
        <w:rPr>
          <w:rFonts w:ascii="Arial" w:hAnsi="Arial" w:cs="Arial"/>
          <w:color w:val="000000"/>
          <w:sz w:val="22"/>
          <w:szCs w:val="22"/>
          <w:lang w:val="es-ES_tradnl"/>
        </w:rPr>
      </w:pPr>
    </w:p>
    <w:p w:rsidRPr="00524963" w:rsidR="00524963" w:rsidP="00383878" w:rsidRDefault="00524963" w14:paraId="2B4A55D3" w14:textId="0DF81A82">
      <w:pPr>
        <w:ind w:left="709" w:right="709"/>
        <w:jc w:val="both"/>
        <w:rPr>
          <w:rFonts w:ascii="Arial" w:hAnsi="Arial" w:eastAsia="Calibri" w:cs="Arial"/>
          <w:sz w:val="21"/>
          <w:szCs w:val="21"/>
          <w:lang w:val="es-ES_tradnl" w:eastAsia="es-CO"/>
        </w:rPr>
      </w:pPr>
      <w:r w:rsidRPr="00524963">
        <w:rPr>
          <w:rFonts w:ascii="Arial" w:hAnsi="Arial" w:eastAsia="Calibri" w:cs="Arial"/>
          <w:sz w:val="21"/>
          <w:szCs w:val="21"/>
          <w:lang w:val="es-ES_tradnl" w:eastAsia="es-CO"/>
        </w:rPr>
        <w:t>«</w:t>
      </w:r>
      <w:r w:rsidR="00F80371">
        <w:rPr>
          <w:rFonts w:ascii="Arial" w:hAnsi="Arial" w:eastAsia="Calibri" w:cs="Arial"/>
          <w:sz w:val="21"/>
          <w:szCs w:val="21"/>
          <w:lang w:val="es-ES_tradnl" w:eastAsia="es-CO"/>
        </w:rPr>
        <w:t>L</w:t>
      </w:r>
      <w:r w:rsidRPr="00383878" w:rsidR="00B52A3C">
        <w:rPr>
          <w:rFonts w:ascii="Arial" w:hAnsi="Arial" w:eastAsia="Calibri" w:cs="Arial"/>
          <w:sz w:val="21"/>
          <w:szCs w:val="21"/>
          <w:lang w:val="es-ES_tradnl" w:eastAsia="es-CO"/>
        </w:rPr>
        <w:t>a consulta se orienta a establecer si la restricción establecida en la Ley 996 de 2005, referente a la prohibición de las Entidades Estatales de celebrar contratos en la modalidad de contratación directa durante los cuatro (4) meses anteriores a la elección presidencial y hasta la fecha en la cual el Presidente de la República sea elegido, cobijaría la celebración de un convenio de cooperación técnica no reembolsable entre una entidad pública del orden nacional y una institución financiera multilateral de derecho internacional público. Bajo el entendido que: a) La naturaleza del convenio no supone concurso o pluralidad de oferentes. b) Son recursos provenientes de fuente exterior, cuya destinación corresponde a la voluntad del cooperante. c) Son recursos no reembolsables y su finalidad es apoyar proyectos de agua potable y saneamiento básico. d) Sólo una de las partes del convenio es una entidad estatal, y la entidad beneficiaria no ejecutaría directamente el recurso; pues el cooperante sería el encargado de contratar, comprometer y ordenar el gasto. e) Los recursos de cooperación técnica no reembolsable, apoyarían la ejecución de un contrato de préstamo suscrito en años anteriores, entre la Nación y el cooperante</w:t>
      </w:r>
      <w:r w:rsidRPr="00524963">
        <w:rPr>
          <w:rFonts w:ascii="Arial" w:hAnsi="Arial" w:eastAsia="Calibri" w:cs="Arial"/>
          <w:sz w:val="21"/>
          <w:szCs w:val="21"/>
          <w:lang w:val="es-ES_tradnl" w:eastAsia="es-CO"/>
        </w:rPr>
        <w:t>»</w:t>
      </w:r>
      <w:bookmarkEnd w:id="11"/>
      <w:r w:rsidRPr="00524963">
        <w:rPr>
          <w:rFonts w:ascii="Arial" w:hAnsi="Arial" w:eastAsia="Calibri" w:cs="Arial"/>
          <w:sz w:val="21"/>
          <w:szCs w:val="21"/>
          <w:lang w:val="es-ES_tradnl" w:eastAsia="es-CO"/>
        </w:rPr>
        <w:t>.</w:t>
      </w:r>
      <w:bookmarkEnd w:id="12"/>
    </w:p>
    <w:p w:rsidRPr="00524963" w:rsidR="00524963" w:rsidP="00524963" w:rsidRDefault="00524963" w14:paraId="5DCB41BD" w14:textId="77777777">
      <w:pPr>
        <w:tabs>
          <w:tab w:val="left" w:pos="426"/>
        </w:tabs>
        <w:spacing w:line="276" w:lineRule="auto"/>
        <w:jc w:val="both"/>
        <w:rPr>
          <w:rFonts w:ascii="Arial" w:hAnsi="Arial" w:eastAsia="Calibri" w:cs="Arial"/>
          <w:sz w:val="22"/>
          <w:szCs w:val="22"/>
          <w:lang w:eastAsia="en-US"/>
        </w:rPr>
      </w:pPr>
    </w:p>
    <w:bookmarkEnd w:id="9"/>
    <w:bookmarkEnd w:id="10"/>
    <w:p w:rsidRPr="00524963" w:rsidR="00524963" w:rsidP="00524963" w:rsidRDefault="00524963" w14:paraId="59A5D171" w14:textId="77777777">
      <w:pPr>
        <w:tabs>
          <w:tab w:val="left" w:pos="284"/>
        </w:tabs>
        <w:spacing w:line="276" w:lineRule="auto"/>
        <w:jc w:val="both"/>
        <w:rPr>
          <w:rFonts w:ascii="Arial" w:hAnsi="Arial" w:eastAsia="Calibri" w:cs="Arial"/>
          <w:b/>
          <w:sz w:val="22"/>
          <w:szCs w:val="22"/>
          <w:lang w:eastAsia="en-US"/>
        </w:rPr>
      </w:pPr>
      <w:r w:rsidRPr="00524963">
        <w:rPr>
          <w:rFonts w:ascii="Arial" w:hAnsi="Arial" w:eastAsia="Calibri" w:cs="Arial"/>
          <w:b/>
          <w:sz w:val="22"/>
          <w:szCs w:val="22"/>
          <w:lang w:eastAsia="en-US"/>
        </w:rPr>
        <w:t>2. Consideraciones</w:t>
      </w:r>
    </w:p>
    <w:p w:rsidRPr="00524963" w:rsidR="00524963" w:rsidP="00524963" w:rsidRDefault="00524963" w14:paraId="4960B777" w14:textId="77777777">
      <w:pPr>
        <w:tabs>
          <w:tab w:val="left" w:pos="426"/>
        </w:tabs>
        <w:spacing w:line="276" w:lineRule="auto"/>
        <w:ind w:firstLine="709"/>
        <w:jc w:val="both"/>
        <w:rPr>
          <w:rFonts w:ascii="Arial" w:hAnsi="Arial" w:eastAsia="Calibri" w:cs="Arial"/>
          <w:bCs/>
          <w:sz w:val="22"/>
          <w:szCs w:val="22"/>
          <w:lang w:eastAsia="en-US"/>
        </w:rPr>
      </w:pPr>
    </w:p>
    <w:p w:rsidRPr="00524963" w:rsidR="00524963" w:rsidP="0051212F" w:rsidRDefault="00524963" w14:paraId="1E6B1AC9" w14:textId="77777777">
      <w:pPr>
        <w:spacing w:line="276" w:lineRule="auto"/>
        <w:jc w:val="both"/>
        <w:rPr>
          <w:rFonts w:ascii="Arial" w:hAnsi="Arial" w:eastAsia="Calibri" w:cs="Arial"/>
          <w:color w:val="000000"/>
          <w:sz w:val="22"/>
        </w:rPr>
      </w:pPr>
      <w:r w:rsidRPr="00524963">
        <w:rPr>
          <w:rFonts w:ascii="Arial" w:hAnsi="Arial" w:eastAsia="Calibri" w:cs="Arial"/>
          <w:color w:val="000000"/>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524963">
        <w:rPr>
          <w:rFonts w:ascii="Arial" w:hAnsi="Arial" w:eastAsia="Calibri" w:cs="Arial"/>
          <w:color w:val="000000"/>
          <w:sz w:val="22"/>
          <w:vertAlign w:val="superscript"/>
        </w:rPr>
        <w:footnoteReference w:id="2"/>
      </w:r>
      <w:r w:rsidRPr="00524963">
        <w:rPr>
          <w:rFonts w:ascii="Arial" w:hAnsi="Arial" w:eastAsia="Calibri" w:cs="Arial"/>
          <w:color w:val="000000"/>
          <w:sz w:val="22"/>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rsidR="00524963" w:rsidP="0051212F" w:rsidRDefault="00524963" w14:paraId="0DEF6099" w14:textId="7A402169">
      <w:pPr>
        <w:spacing w:before="120" w:line="276" w:lineRule="auto"/>
        <w:ind w:firstLine="708"/>
        <w:jc w:val="both"/>
        <w:rPr>
          <w:rFonts w:ascii="Arial" w:hAnsi="Arial" w:eastAsia="Calibri" w:cs="Arial"/>
          <w:color w:val="000000"/>
          <w:sz w:val="22"/>
        </w:rPr>
      </w:pPr>
      <w:r w:rsidRPr="00524963">
        <w:rPr>
          <w:rFonts w:ascii="Arial" w:hAnsi="Arial" w:eastAsia="Calibri" w:cs="Arial"/>
          <w:color w:val="000000"/>
          <w:sz w:val="22"/>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w:t>
      </w:r>
      <w:r w:rsidRPr="00524963">
        <w:rPr>
          <w:rFonts w:ascii="Arial" w:hAnsi="Arial" w:eastAsia="Calibri" w:cs="Arial"/>
          <w:color w:val="000000"/>
          <w:sz w:val="22"/>
        </w:rPr>
        <w:lastRenderedPageBreak/>
        <w:t>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rsidRPr="00524963" w:rsidR="00975010" w:rsidP="0051212F" w:rsidRDefault="00975010" w14:paraId="094EC3C5" w14:textId="394C9920">
      <w:pPr>
        <w:spacing w:before="120" w:line="276" w:lineRule="auto"/>
        <w:ind w:firstLine="708"/>
        <w:jc w:val="both"/>
        <w:rPr>
          <w:rFonts w:ascii="Arial" w:hAnsi="Arial" w:eastAsia="Calibri" w:cs="Arial"/>
          <w:color w:val="000000"/>
          <w:sz w:val="22"/>
        </w:rPr>
      </w:pPr>
      <w:r>
        <w:rPr>
          <w:rFonts w:ascii="Arial" w:hAnsi="Arial" w:eastAsia="Calibri" w:cs="Arial"/>
          <w:bCs/>
          <w:color w:val="000000"/>
          <w:sz w:val="22"/>
          <w:szCs w:val="22"/>
          <w:lang w:eastAsia="es-CO"/>
        </w:rPr>
        <w:t xml:space="preserve">Bajo estas consideraciones, corresponde a </w:t>
      </w:r>
      <w:r w:rsidRPr="00524963">
        <w:rPr>
          <w:rFonts w:ascii="Arial" w:hAnsi="Arial" w:eastAsia="Calibri" w:cs="Arial"/>
          <w:bCs/>
          <w:color w:val="000000"/>
          <w:sz w:val="22"/>
          <w:szCs w:val="22"/>
          <w:lang w:eastAsia="es-CO"/>
        </w:rPr>
        <w:t>cada entidad pública, en ejercicio de su competencia y previa valoración de los elementos fácticos y jurídicos, determinar si</w:t>
      </w:r>
      <w:r>
        <w:rPr>
          <w:rFonts w:ascii="Arial" w:hAnsi="Arial" w:eastAsia="Calibri" w:cs="Arial"/>
          <w:bCs/>
          <w:color w:val="000000"/>
          <w:sz w:val="22"/>
          <w:szCs w:val="22"/>
          <w:lang w:eastAsia="es-CO"/>
        </w:rPr>
        <w:t xml:space="preserve"> </w:t>
      </w:r>
      <w:r w:rsidR="00091642">
        <w:rPr>
          <w:rFonts w:ascii="Arial" w:hAnsi="Arial" w:eastAsia="Calibri" w:cs="Arial"/>
          <w:bCs/>
          <w:color w:val="000000"/>
          <w:sz w:val="22"/>
          <w:szCs w:val="22"/>
          <w:lang w:eastAsia="es-CO"/>
        </w:rPr>
        <w:t>es procedente o no la celebración de un determinado contrato en específico</w:t>
      </w:r>
      <w:r>
        <w:rPr>
          <w:rFonts w:ascii="Arial" w:hAnsi="Arial" w:eastAsia="Calibri" w:cs="Arial"/>
          <w:bCs/>
          <w:color w:val="000000"/>
          <w:sz w:val="22"/>
          <w:szCs w:val="22"/>
          <w:lang w:eastAsia="es-CO"/>
        </w:rPr>
        <w:t xml:space="preserve">. </w:t>
      </w:r>
      <w:r w:rsidRPr="00524963">
        <w:rPr>
          <w:rFonts w:ascii="Arial" w:hAnsi="Arial" w:eastAsia="Calibri" w:cs="Arial"/>
          <w:bCs/>
          <w:color w:val="000000"/>
          <w:sz w:val="22"/>
          <w:szCs w:val="22"/>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hAnsi="Arial" w:eastAsia="Calibri" w:cs="Arial"/>
          <w:bCs/>
          <w:color w:val="000000"/>
          <w:sz w:val="22"/>
          <w:szCs w:val="22"/>
          <w:lang w:eastAsia="es-CO"/>
        </w:rPr>
        <w:t>.</w:t>
      </w:r>
    </w:p>
    <w:p w:rsidRPr="00524963" w:rsidR="00524963" w:rsidP="00091642" w:rsidRDefault="009B1E40" w14:paraId="33597D50" w14:textId="38F6F053">
      <w:pPr>
        <w:spacing w:before="120" w:line="276" w:lineRule="auto"/>
        <w:ind w:firstLine="708"/>
        <w:jc w:val="both"/>
        <w:rPr>
          <w:rFonts w:ascii="Arial" w:hAnsi="Arial" w:eastAsia="Calibri" w:cs="Arial"/>
          <w:color w:val="000000"/>
          <w:sz w:val="22"/>
        </w:rPr>
      </w:pPr>
      <w:r>
        <w:rPr>
          <w:rFonts w:ascii="Arial" w:hAnsi="Arial" w:eastAsia="Calibri" w:cs="Arial"/>
          <w:color w:val="000000"/>
          <w:sz w:val="22"/>
        </w:rPr>
        <w:t>Sin perjuicio de</w:t>
      </w:r>
      <w:r w:rsidRPr="00524963" w:rsidR="00524963">
        <w:rPr>
          <w:rFonts w:ascii="Arial" w:hAnsi="Arial" w:eastAsia="Calibri" w:cs="Arial"/>
          <w:color w:val="000000"/>
          <w:sz w:val="22"/>
        </w:rPr>
        <w:t xml:space="preserve"> lo anterior, </w:t>
      </w:r>
      <w:r w:rsidRPr="00091642" w:rsidR="00091642">
        <w:rPr>
          <w:rFonts w:ascii="Arial" w:hAnsi="Arial" w:eastAsia="Calibri" w:cs="Arial"/>
          <w:color w:val="000000"/>
          <w:sz w:val="22"/>
          <w:lang w:val="es-ES"/>
        </w:rPr>
        <w:t xml:space="preserve">la </w:t>
      </w:r>
      <w:r w:rsidR="00091642">
        <w:rPr>
          <w:rFonts w:ascii="Arial" w:hAnsi="Arial" w:eastAsia="Calibri" w:cs="Arial"/>
          <w:color w:val="000000"/>
          <w:sz w:val="22"/>
          <w:lang w:val="es-ES"/>
        </w:rPr>
        <w:t>Agencia</w:t>
      </w:r>
      <w:r w:rsidRPr="00091642" w:rsidR="00091642">
        <w:rPr>
          <w:rFonts w:ascii="Arial" w:hAnsi="Arial" w:eastAsia="Calibri" w:cs="Arial"/>
          <w:color w:val="000000"/>
          <w:sz w:val="22"/>
          <w:lang w:val="es-ES"/>
        </w:rPr>
        <w:t xml:space="preserve"> –dentro de los límites de sus atribuciones, esto es, </w:t>
      </w:r>
      <w:bookmarkStart w:name="_Hlk61025408" w:id="13"/>
      <w:r w:rsidRPr="00091642" w:rsidR="00091642">
        <w:rPr>
          <w:rFonts w:ascii="Arial" w:hAnsi="Arial" w:eastAsia="Calibri" w:cs="Arial"/>
          <w:color w:val="000000"/>
          <w:sz w:val="22"/>
          <w:lang w:val="es-ES"/>
        </w:rPr>
        <w:t>haciendo abstracción del caso particular expuesto por el peticionario</w:t>
      </w:r>
      <w:bookmarkEnd w:id="13"/>
      <w:r w:rsidRPr="00091642" w:rsidR="00091642">
        <w:rPr>
          <w:rFonts w:ascii="Arial" w:hAnsi="Arial" w:eastAsia="Calibri" w:cs="Arial"/>
          <w:color w:val="000000"/>
          <w:sz w:val="22"/>
          <w:lang w:val="es-ES"/>
        </w:rPr>
        <w:t>– resolverá la consulta conforme a las normas generales en materia de contratación estatal</w:t>
      </w:r>
      <w:r w:rsidR="00091642">
        <w:rPr>
          <w:rFonts w:ascii="Arial" w:hAnsi="Arial" w:eastAsia="Calibri" w:cs="Arial"/>
          <w:color w:val="000000"/>
          <w:sz w:val="22"/>
          <w:lang w:val="es-ES"/>
        </w:rPr>
        <w:t xml:space="preserve">. </w:t>
      </w:r>
      <w:r w:rsidR="00091642">
        <w:rPr>
          <w:rFonts w:ascii="Arial" w:hAnsi="Arial" w:eastAsia="Calibri" w:cs="Arial"/>
          <w:color w:val="000000" w:themeColor="text1"/>
          <w:sz w:val="22"/>
          <w:lang w:val="es-ES"/>
        </w:rPr>
        <w:t>Con este objetivo se analizarán los siguientes temas</w:t>
      </w:r>
      <w:r w:rsidRPr="00524963" w:rsidR="00524963">
        <w:rPr>
          <w:rFonts w:ascii="Arial" w:hAnsi="Arial" w:eastAsia="Calibri" w:cs="Arial"/>
          <w:color w:val="000000"/>
          <w:sz w:val="22"/>
        </w:rPr>
        <w:t xml:space="preserve">: </w:t>
      </w:r>
      <w:r w:rsidRPr="00524963" w:rsidR="00524963">
        <w:rPr>
          <w:rFonts w:ascii="Arial" w:hAnsi="Arial" w:eastAsia="Calibri" w:cs="Arial"/>
          <w:color w:val="000000"/>
          <w:sz w:val="22"/>
          <w:lang w:val="es-ES_tradnl"/>
        </w:rPr>
        <w:t xml:space="preserve">i) alcance de las restricciones establecidas en la Ley 996 de 2005 –más conocida como «Ley de Garantías Electorales»–, </w:t>
      </w:r>
      <w:proofErr w:type="spellStart"/>
      <w:r w:rsidRPr="00524963" w:rsidR="00524963">
        <w:rPr>
          <w:rFonts w:ascii="Arial" w:hAnsi="Arial" w:eastAsia="Calibri" w:cs="Arial"/>
          <w:color w:val="000000"/>
          <w:sz w:val="22"/>
          <w:lang w:val="es-ES_tradnl"/>
        </w:rPr>
        <w:t>ii</w:t>
      </w:r>
      <w:proofErr w:type="spellEnd"/>
      <w:r w:rsidRPr="00524963" w:rsidR="00524963">
        <w:rPr>
          <w:rFonts w:ascii="Arial" w:hAnsi="Arial" w:eastAsia="Calibri" w:cs="Arial"/>
          <w:color w:val="000000"/>
          <w:sz w:val="22"/>
          <w:lang w:val="es-ES_tradnl"/>
        </w:rPr>
        <w:t xml:space="preserve">) restricciones especiales aplicables de cara a las elecciones presidenciales, </w:t>
      </w:r>
      <w:proofErr w:type="spellStart"/>
      <w:r w:rsidRPr="00524963" w:rsidR="00524963">
        <w:rPr>
          <w:rFonts w:ascii="Arial" w:hAnsi="Arial" w:eastAsia="Calibri" w:cs="Arial"/>
          <w:color w:val="000000"/>
          <w:sz w:val="22"/>
          <w:lang w:val="es-ES_tradnl"/>
        </w:rPr>
        <w:t>iii</w:t>
      </w:r>
      <w:proofErr w:type="spellEnd"/>
      <w:r w:rsidRPr="00524963" w:rsidR="00524963">
        <w:rPr>
          <w:rFonts w:ascii="Arial" w:hAnsi="Arial" w:eastAsia="Calibri" w:cs="Arial"/>
          <w:color w:val="000000"/>
          <w:sz w:val="22"/>
          <w:lang w:val="es-ES_tradnl"/>
        </w:rPr>
        <w:t>) aplicación de la Ley de Garantías Electorales a la contratación directa sometida a los reglamentos de los organismos de cooperación, asistencia o ayuda internacional</w:t>
      </w:r>
      <w:r w:rsidRPr="00524963" w:rsidR="00524963">
        <w:rPr>
          <w:rFonts w:ascii="Arial" w:hAnsi="Arial" w:eastAsia="Calibri" w:cs="Arial"/>
          <w:color w:val="000000"/>
          <w:sz w:val="22"/>
        </w:rPr>
        <w:t>.</w:t>
      </w:r>
    </w:p>
    <w:p w:rsidR="00AA196C" w:rsidP="0051212F" w:rsidRDefault="00524963" w14:paraId="1BECEB7D" w14:textId="4A1A7BAC">
      <w:pPr>
        <w:tabs>
          <w:tab w:val="left" w:pos="426"/>
        </w:tabs>
        <w:spacing w:before="120" w:line="276" w:lineRule="auto"/>
        <w:ind w:firstLine="709"/>
        <w:jc w:val="both"/>
        <w:rPr>
          <w:rFonts w:ascii="Arial" w:hAnsi="Arial" w:cs="Arial"/>
          <w:sz w:val="22"/>
          <w:szCs w:val="22"/>
        </w:rPr>
      </w:pPr>
      <w:r w:rsidRPr="00524963">
        <w:rPr>
          <w:rFonts w:ascii="Arial" w:hAnsi="Arial" w:eastAsia="Calibri" w:cs="Arial"/>
          <w:color w:val="000000"/>
          <w:sz w:val="22"/>
        </w:rPr>
        <w:t xml:space="preserve"> La Agencia Nacional de Contratación Pública – Colombia Compra Eficiente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C-097 del 18 de febrero de 2022, C-116 del 18 de febrero de 2022 y C-077 del 17 de marzo de 2022, entre otros. </w:t>
      </w:r>
    </w:p>
    <w:p w:rsidRPr="00524963" w:rsidR="00524963" w:rsidRDefault="00AA196C" w14:paraId="0B293497" w14:textId="1FD04655">
      <w:pPr>
        <w:tabs>
          <w:tab w:val="left" w:pos="426"/>
        </w:tabs>
        <w:spacing w:before="120" w:line="276" w:lineRule="auto"/>
        <w:ind w:firstLine="709"/>
        <w:jc w:val="both"/>
        <w:rPr>
          <w:rFonts w:ascii="Arial" w:hAnsi="Arial" w:eastAsia="Calibri" w:cs="Arial"/>
          <w:sz w:val="22"/>
          <w:szCs w:val="22"/>
          <w:lang w:val="es-ES" w:eastAsia="en-US"/>
        </w:rPr>
      </w:pPr>
      <w:r>
        <w:rPr>
          <w:rFonts w:ascii="Arial" w:hAnsi="Arial" w:cs="Arial"/>
          <w:sz w:val="22"/>
          <w:szCs w:val="22"/>
        </w:rPr>
        <w:t>Los</w:t>
      </w:r>
      <w:r w:rsidRPr="00EE4D96">
        <w:rPr>
          <w:rFonts w:ascii="Arial" w:hAnsi="Arial" w:cs="Arial"/>
          <w:sz w:val="22"/>
          <w:szCs w:val="22"/>
        </w:rPr>
        <w:t xml:space="preserve"> </w:t>
      </w:r>
      <w:r w:rsidRPr="00EE4D96" w:rsidR="00827B78">
        <w:rPr>
          <w:rFonts w:ascii="Arial" w:hAnsi="Arial" w:cs="Arial"/>
          <w:sz w:val="22"/>
          <w:szCs w:val="22"/>
        </w:rPr>
        <w:t xml:space="preserve">conceptos </w:t>
      </w:r>
      <w:r>
        <w:rPr>
          <w:rFonts w:ascii="Arial" w:hAnsi="Arial" w:cs="Arial"/>
          <w:sz w:val="22"/>
          <w:szCs w:val="22"/>
        </w:rPr>
        <w:t xml:space="preserve">mencionados en el párrafo precedente </w:t>
      </w:r>
      <w:r w:rsidR="00827B78">
        <w:rPr>
          <w:rFonts w:ascii="Arial" w:hAnsi="Arial" w:cs="Arial"/>
          <w:sz w:val="22"/>
          <w:szCs w:val="22"/>
        </w:rPr>
        <w:t>fueron</w:t>
      </w:r>
      <w:r w:rsidRPr="00EE4D96" w:rsidR="00827B78">
        <w:rPr>
          <w:rFonts w:ascii="Arial" w:hAnsi="Arial" w:cs="Arial"/>
          <w:sz w:val="22"/>
          <w:szCs w:val="22"/>
        </w:rPr>
        <w:t xml:space="preserve"> complementados, en lo pertinente,</w:t>
      </w:r>
      <w:r w:rsidR="00827B78">
        <w:rPr>
          <w:rFonts w:ascii="Arial" w:hAnsi="Arial" w:cs="Arial"/>
          <w:sz w:val="22"/>
          <w:szCs w:val="22"/>
        </w:rPr>
        <w:t xml:space="preserve"> </w:t>
      </w:r>
      <w:r w:rsidR="00715BAE">
        <w:rPr>
          <w:rFonts w:ascii="Arial" w:hAnsi="Arial" w:cs="Arial"/>
          <w:sz w:val="22"/>
          <w:szCs w:val="22"/>
        </w:rPr>
        <w:t>por</w:t>
      </w:r>
      <w:r w:rsidR="00827B78">
        <w:rPr>
          <w:rFonts w:ascii="Arial" w:hAnsi="Arial" w:cs="Arial"/>
          <w:sz w:val="22"/>
          <w:szCs w:val="22"/>
        </w:rPr>
        <w:t xml:space="preserve"> el </w:t>
      </w:r>
      <w:r w:rsidR="00715BAE">
        <w:rPr>
          <w:rFonts w:ascii="Arial" w:hAnsi="Arial" w:cs="Arial"/>
          <w:sz w:val="22"/>
          <w:szCs w:val="22"/>
        </w:rPr>
        <w:t>C</w:t>
      </w:r>
      <w:r w:rsidR="00827B78">
        <w:rPr>
          <w:rFonts w:ascii="Arial" w:hAnsi="Arial" w:cs="Arial"/>
          <w:sz w:val="22"/>
          <w:szCs w:val="22"/>
        </w:rPr>
        <w:t>oncepto CU-180 del 8 de abril de 2022</w:t>
      </w:r>
      <w:r w:rsidR="00D260C6">
        <w:rPr>
          <w:rFonts w:ascii="Arial" w:hAnsi="Arial" w:cs="Arial"/>
          <w:sz w:val="22"/>
          <w:szCs w:val="22"/>
        </w:rPr>
        <w:t xml:space="preserve">, en el que se efectuaron </w:t>
      </w:r>
      <w:r w:rsidRPr="00EE4D96" w:rsidR="00827B78">
        <w:rPr>
          <w:rFonts w:ascii="Arial" w:hAnsi="Arial" w:cs="Arial"/>
          <w:sz w:val="22"/>
          <w:szCs w:val="22"/>
        </w:rPr>
        <w:lastRenderedPageBreak/>
        <w:t xml:space="preserve">algunas precisiones sobre los Conceptos </w:t>
      </w:r>
      <w:r w:rsidRPr="00EE4D96" w:rsidR="00827B78">
        <w:rPr>
          <w:rFonts w:ascii="Arial" w:hAnsi="Arial" w:cs="Arial"/>
          <w:bCs/>
          <w:sz w:val="22"/>
          <w:szCs w:val="22"/>
        </w:rPr>
        <w:t>C-296 del 22 de junio</w:t>
      </w:r>
      <w:r w:rsidRPr="00EE4D96" w:rsidR="00827B78">
        <w:rPr>
          <w:rFonts w:ascii="Arial" w:hAnsi="Arial" w:cs="Arial"/>
          <w:sz w:val="22"/>
          <w:szCs w:val="22"/>
        </w:rPr>
        <w:t xml:space="preserve"> de 2021, C-559 del 31 de </w:t>
      </w:r>
      <w:r w:rsidRPr="00344D3C" w:rsidR="00827B78">
        <w:rPr>
          <w:rFonts w:ascii="Arial" w:hAnsi="Arial" w:cs="Arial"/>
          <w:sz w:val="22"/>
          <w:szCs w:val="22"/>
        </w:rPr>
        <w:t xml:space="preserve">agosto de 2021 y C-100 de 29 de marzo de 2022, relacionados con la aplicación de la Ley de Garantías Electorales frente a la contratación con organismos internacionales. </w:t>
      </w:r>
      <w:bookmarkStart w:name="_Hlk102372764" w:id="14"/>
      <w:r w:rsidRPr="00344D3C" w:rsidR="008B634B">
        <w:rPr>
          <w:rFonts w:ascii="Arial" w:hAnsi="Arial" w:eastAsia="Calibri" w:cs="Arial"/>
          <w:sz w:val="22"/>
          <w:szCs w:val="22"/>
          <w:lang w:val="es-ES" w:eastAsia="en-US"/>
        </w:rPr>
        <w:t>De acuerdo con el artículo 10 de la Ley 1437 de 2011, es necesario tener en cuenta que «</w:t>
      </w:r>
      <w:r w:rsidRPr="00344D3C" w:rsidR="008B634B">
        <w:rPr>
          <w:rFonts w:ascii="Arial" w:hAnsi="Arial" w:eastAsia="Calibri" w:cs="Arial"/>
          <w:sz w:val="22"/>
          <w:szCs w:val="22"/>
          <w:lang w:eastAsia="en-US"/>
        </w:rPr>
        <w:t>Al resolver los asuntos de su competencia, las autoridades aplicarán las disposiciones constitucionales, legales y reglamentarias de manera uniforme a situaciones que tengan los mismos supuestos fácticos y jurídicos». Por tanto,</w:t>
      </w:r>
      <w:r w:rsidRPr="00344D3C" w:rsidR="008B634B">
        <w:rPr>
          <w:rFonts w:ascii="Arial" w:hAnsi="Arial" w:eastAsia="Calibri" w:cs="Arial"/>
          <w:sz w:val="22"/>
          <w:szCs w:val="22"/>
          <w:lang w:val="es-ES" w:eastAsia="en-US"/>
        </w:rPr>
        <w:t xml:space="preserve"> la tesis desarrollada en el Concepto de Unificación CU-180 del 8 de abril de 2022 se reitera a continuación</w:t>
      </w:r>
      <w:bookmarkEnd w:id="14"/>
      <w:r w:rsidRPr="00344D3C" w:rsidR="00524963">
        <w:rPr>
          <w:rFonts w:ascii="Arial" w:hAnsi="Arial" w:eastAsia="Calibri" w:cs="Arial"/>
          <w:sz w:val="22"/>
          <w:szCs w:val="22"/>
          <w:lang w:val="es-ES" w:eastAsia="en-US"/>
        </w:rPr>
        <w:t>:</w:t>
      </w:r>
    </w:p>
    <w:p w:rsidRPr="00524963" w:rsidR="00524963" w:rsidP="00524963" w:rsidRDefault="00524963" w14:paraId="46D3461E" w14:textId="77777777">
      <w:pPr>
        <w:spacing w:line="276" w:lineRule="auto"/>
        <w:contextualSpacing/>
        <w:jc w:val="both"/>
        <w:rPr>
          <w:rFonts w:ascii="Arial" w:hAnsi="Arial" w:eastAsia="Calibri" w:cs="Arial"/>
          <w:color w:val="000000"/>
          <w:sz w:val="22"/>
        </w:rPr>
      </w:pPr>
    </w:p>
    <w:p w:rsidRPr="00524963" w:rsidR="00524963" w:rsidP="00524963" w:rsidRDefault="00524963" w14:paraId="3235CEC2" w14:textId="77777777">
      <w:pPr>
        <w:tabs>
          <w:tab w:val="left" w:pos="426"/>
        </w:tabs>
        <w:spacing w:line="276" w:lineRule="auto"/>
        <w:jc w:val="both"/>
        <w:rPr>
          <w:rFonts w:ascii="Arial" w:hAnsi="Arial" w:eastAsia="Calibri" w:cs="Arial"/>
          <w:b/>
          <w:bCs/>
          <w:sz w:val="22"/>
          <w:szCs w:val="22"/>
          <w:lang w:val="es-ES_tradnl" w:eastAsia="en-US"/>
        </w:rPr>
      </w:pPr>
      <w:r w:rsidRPr="00524963">
        <w:rPr>
          <w:rFonts w:ascii="Arial" w:hAnsi="Arial" w:eastAsia="Calibri" w:cs="Arial"/>
          <w:b/>
          <w:bCs/>
          <w:sz w:val="22"/>
          <w:szCs w:val="22"/>
          <w:lang w:val="es-ES_tradnl" w:eastAsia="en-US"/>
        </w:rPr>
        <w:t>2.1. Definición y finalidad de la Ley de Garantías Electorales: alcance de las restricciones</w:t>
      </w:r>
    </w:p>
    <w:p w:rsidRPr="00524963" w:rsidR="00524963" w:rsidP="00524963" w:rsidRDefault="00524963" w14:paraId="5549A47E" w14:textId="77777777">
      <w:pPr>
        <w:tabs>
          <w:tab w:val="left" w:pos="426"/>
        </w:tabs>
        <w:spacing w:line="276" w:lineRule="auto"/>
        <w:ind w:firstLine="709"/>
        <w:jc w:val="both"/>
        <w:rPr>
          <w:rFonts w:ascii="Arial" w:hAnsi="Arial" w:eastAsia="Calibri" w:cs="Arial"/>
          <w:bCs/>
          <w:sz w:val="22"/>
          <w:szCs w:val="22"/>
          <w:lang w:val="es-ES_tradnl" w:eastAsia="en-US"/>
        </w:rPr>
      </w:pPr>
    </w:p>
    <w:p w:rsidRPr="00963B93" w:rsidR="00963B93" w:rsidP="00963B93" w:rsidRDefault="00963B93" w14:paraId="4BD1B5CA" w14:textId="77777777">
      <w:pPr>
        <w:tabs>
          <w:tab w:val="left" w:pos="426"/>
        </w:tabs>
        <w:spacing w:after="120" w:line="276" w:lineRule="auto"/>
        <w:jc w:val="both"/>
        <w:rPr>
          <w:rFonts w:ascii="Arial" w:hAnsi="Arial" w:cs="Arial"/>
          <w:bCs/>
          <w:sz w:val="22"/>
          <w:szCs w:val="22"/>
          <w:lang w:eastAsia="es-CO"/>
        </w:rPr>
      </w:pPr>
      <w:r w:rsidRPr="00963B93">
        <w:rPr>
          <w:rFonts w:ascii="Arial" w:hAnsi="Arial" w:eastAsia="Calibri" w:cs="Arial"/>
          <w:bCs/>
          <w:sz w:val="22"/>
          <w:szCs w:val="22"/>
        </w:rPr>
        <w:t>El ordenamiento jurídico colombiano contempla previsiones claras para evitar la obtención de beneficios personales en asuntos propios de la administración pública</w:t>
      </w:r>
      <w:r w:rsidRPr="00963B93">
        <w:rPr>
          <w:rFonts w:ascii="Arial" w:hAnsi="Arial" w:eastAsia="Calibri" w:cs="Arial"/>
          <w:bCs/>
          <w:i/>
          <w:iCs/>
          <w:sz w:val="22"/>
          <w:szCs w:val="22"/>
        </w:rPr>
        <w:t xml:space="preserve">. </w:t>
      </w:r>
      <w:r w:rsidRPr="00963B93">
        <w:rPr>
          <w:rFonts w:ascii="Arial" w:hAnsi="Arial" w:eastAsia="Calibri" w:cs="Arial"/>
          <w:bCs/>
          <w:sz w:val="22"/>
          <w:szCs w:val="22"/>
        </w:rPr>
        <w:t>Por ejemplo, el artículo 127 de la Constitución Política establece una prohibición contractual a los servidores públicos y en cuanto a aspectos políticos consagra restricciones a ciertos empleados del Estado, incluso en época no electoral</w:t>
      </w:r>
      <w:r w:rsidRPr="00963B93">
        <w:rPr>
          <w:rFonts w:ascii="Arial" w:hAnsi="Arial" w:eastAsia="Calibri" w:cs="Arial"/>
          <w:bCs/>
          <w:sz w:val="22"/>
          <w:szCs w:val="22"/>
          <w:vertAlign w:val="superscript"/>
        </w:rPr>
        <w:footnoteReference w:id="3"/>
      </w:r>
      <w:r w:rsidRPr="00963B93">
        <w:rPr>
          <w:rFonts w:ascii="Arial" w:hAnsi="Arial" w:eastAsia="Calibri" w:cs="Arial"/>
          <w:bCs/>
          <w:sz w:val="22"/>
          <w:szCs w:val="22"/>
        </w:rPr>
        <w:t xml:space="preserve">. </w:t>
      </w:r>
    </w:p>
    <w:p w:rsidRPr="00963B93" w:rsidR="00963B93" w:rsidP="00963B93" w:rsidRDefault="00963B93" w14:paraId="4737EA0A" w14:textId="77777777">
      <w:pPr>
        <w:tabs>
          <w:tab w:val="left" w:pos="426"/>
        </w:tabs>
        <w:spacing w:line="276" w:lineRule="auto"/>
        <w:ind w:firstLine="709"/>
        <w:jc w:val="both"/>
        <w:rPr>
          <w:rFonts w:ascii="Arial" w:hAnsi="Arial" w:cs="Arial"/>
          <w:bCs/>
          <w:sz w:val="22"/>
          <w:szCs w:val="22"/>
          <w:lang w:val="es-MX" w:eastAsia="es-CO"/>
        </w:rPr>
      </w:pPr>
      <w:r w:rsidRPr="00963B93">
        <w:rPr>
          <w:rFonts w:ascii="Arial" w:hAnsi="Arial" w:cs="Arial"/>
          <w:bCs/>
          <w:sz w:val="22"/>
          <w:szCs w:val="22"/>
          <w:lang w:eastAsia="es-CO"/>
        </w:rPr>
        <w:t>En el mismo sentido</w:t>
      </w:r>
      <w:r w:rsidRPr="00963B93">
        <w:rPr>
          <w:rFonts w:ascii="Arial" w:hAnsi="Arial" w:cs="Arial"/>
          <w:bCs/>
          <w:sz w:val="22"/>
          <w:szCs w:val="22"/>
          <w:lang w:val="es-MX" w:eastAsia="es-CO"/>
        </w:rPr>
        <w:t xml:space="preserve">, </w:t>
      </w:r>
      <w:bookmarkStart w:name="_Hlk99576829" w:id="15"/>
      <w:r w:rsidRPr="00963B93">
        <w:rPr>
          <w:rFonts w:ascii="Arial" w:hAnsi="Arial" w:cs="Arial"/>
          <w:bCs/>
          <w:sz w:val="22"/>
          <w:szCs w:val="22"/>
          <w:lang w:val="es-MX" w:eastAsia="es-CO"/>
        </w:rPr>
        <w:t xml:space="preserve">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w:t>
      </w:r>
      <w:r w:rsidRPr="00963B93">
        <w:rPr>
          <w:rFonts w:ascii="Arial" w:hAnsi="Arial" w:cs="Arial"/>
          <w:bCs/>
          <w:sz w:val="22"/>
          <w:szCs w:val="22"/>
          <w:lang w:val="es-MX" w:eastAsia="es-CO"/>
        </w:rPr>
        <w:t>Estado en las campañas o falta de garantías en la elección presidencial</w:t>
      </w:r>
      <w:r w:rsidRPr="00963B93">
        <w:rPr>
          <w:rFonts w:ascii="Arial" w:hAnsi="Arial" w:cs="Arial"/>
          <w:bCs/>
          <w:sz w:val="22"/>
          <w:szCs w:val="22"/>
          <w:vertAlign w:val="superscript"/>
          <w:lang w:val="es-MX" w:eastAsia="es-CO"/>
        </w:rPr>
        <w:footnoteReference w:id="4"/>
      </w:r>
      <w:r w:rsidRPr="00963B93">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963B93">
        <w:rPr>
          <w:rFonts w:ascii="Arial" w:hAnsi="Arial" w:eastAsia="Calibri" w:cs="Arial"/>
          <w:noProof/>
          <w:sz w:val="22"/>
          <w:szCs w:val="22"/>
          <w:lang w:val="es-ES_tradnl"/>
        </w:rPr>
        <w:t xml:space="preserve"> </w:t>
      </w:r>
      <w:bookmarkEnd w:id="15"/>
      <w:r w:rsidRPr="00963B93">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rsidRPr="00963B93" w:rsidR="00963B93" w:rsidP="00963B93" w:rsidRDefault="00963B93" w14:paraId="471A4B70" w14:textId="77777777">
      <w:pPr>
        <w:spacing w:line="276" w:lineRule="auto"/>
        <w:ind w:right="709"/>
        <w:contextualSpacing/>
        <w:jc w:val="both"/>
        <w:rPr>
          <w:rFonts w:ascii="Arial" w:hAnsi="Arial" w:cs="Arial"/>
          <w:sz w:val="22"/>
          <w:szCs w:val="22"/>
          <w:lang w:val="es-ES" w:eastAsia="es-CO"/>
        </w:rPr>
      </w:pPr>
    </w:p>
    <w:p w:rsidRPr="006C314F" w:rsidR="00963B93" w:rsidP="00963B93" w:rsidRDefault="00963B93" w14:paraId="0C792F47" w14:textId="00EFF380">
      <w:pPr>
        <w:ind w:left="709" w:right="709"/>
        <w:contextualSpacing/>
        <w:jc w:val="both"/>
        <w:rPr>
          <w:rFonts w:ascii="Arial" w:hAnsi="Arial" w:cs="Arial"/>
          <w:bCs/>
          <w:sz w:val="21"/>
          <w:szCs w:val="21"/>
          <w:lang w:val="es-MX" w:eastAsia="es-CO"/>
        </w:rPr>
      </w:pPr>
      <w:r w:rsidRPr="006C314F">
        <w:rPr>
          <w:rFonts w:ascii="Arial" w:hAnsi="Arial" w:cs="Arial"/>
          <w:sz w:val="21"/>
          <w:szCs w:val="21"/>
          <w:lang w:val="es-ES" w:eastAsia="es-CO"/>
        </w:rPr>
        <w:t xml:space="preserve">[…] </w:t>
      </w:r>
      <w:r w:rsidRPr="006C314F">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rsidRPr="006C314F" w:rsidR="00963B93" w:rsidP="00963B93" w:rsidRDefault="00963B93" w14:paraId="20178193" w14:textId="7777777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 xml:space="preserve">[…] </w:t>
      </w:r>
    </w:p>
    <w:p w:rsidRPr="006C314F" w:rsidR="00963B93" w:rsidP="00344D3C" w:rsidRDefault="00963B93" w14:paraId="40D2A285" w14:textId="77777777">
      <w:pPr>
        <w:ind w:right="709"/>
        <w:contextualSpacing/>
        <w:jc w:val="both"/>
        <w:rPr>
          <w:rFonts w:ascii="Arial" w:hAnsi="Arial" w:cs="Arial"/>
          <w:bCs/>
          <w:sz w:val="21"/>
          <w:szCs w:val="21"/>
          <w:lang w:val="es-MX" w:eastAsia="es-CO"/>
        </w:rPr>
      </w:pPr>
    </w:p>
    <w:p w:rsidRPr="006C314F" w:rsidR="00963B93" w:rsidP="00963B93" w:rsidRDefault="00963B93" w14:paraId="6BB1920B" w14:textId="7777777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C314F">
        <w:rPr>
          <w:rFonts w:ascii="Arial" w:hAnsi="Arial" w:eastAsia="Calibri" w:cs="Arial"/>
          <w:sz w:val="20"/>
          <w:szCs w:val="20"/>
          <w:vertAlign w:val="superscript"/>
          <w:lang w:val="es-MX"/>
        </w:rPr>
        <w:footnoteReference w:id="5"/>
      </w:r>
    </w:p>
    <w:p w:rsidRPr="00963B93" w:rsidR="00963B93" w:rsidP="00963B93" w:rsidRDefault="00963B93" w14:paraId="163CA603" w14:textId="77777777">
      <w:pPr>
        <w:spacing w:line="276" w:lineRule="auto"/>
        <w:ind w:left="709" w:right="709"/>
        <w:contextualSpacing/>
        <w:jc w:val="both"/>
        <w:rPr>
          <w:rFonts w:ascii="Arial" w:hAnsi="Arial" w:cs="Arial"/>
          <w:bCs/>
          <w:sz w:val="22"/>
          <w:szCs w:val="22"/>
          <w:lang w:val="es-MX" w:eastAsia="es-CO"/>
        </w:rPr>
      </w:pPr>
    </w:p>
    <w:p w:rsidRPr="00963B93" w:rsidR="00963B93" w:rsidP="00963B93" w:rsidRDefault="00963B93" w14:paraId="2FB977DD" w14:textId="62332265">
      <w:pPr>
        <w:spacing w:line="276" w:lineRule="auto"/>
        <w:ind w:firstLine="709"/>
        <w:jc w:val="both"/>
        <w:rPr>
          <w:rFonts w:ascii="Arial" w:hAnsi="Arial" w:cs="Arial"/>
          <w:bCs/>
          <w:sz w:val="22"/>
          <w:szCs w:val="22"/>
          <w:lang w:val="es-MX" w:eastAsia="es-CO"/>
        </w:rPr>
      </w:pPr>
      <w:bookmarkStart w:name="_Hlk78818186" w:id="16"/>
      <w:r w:rsidRPr="00963B93">
        <w:rPr>
          <w:rFonts w:ascii="Arial" w:hAnsi="Arial" w:cs="Arial"/>
          <w:bCs/>
          <w:sz w:val="22"/>
          <w:szCs w:val="22"/>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w:t>
      </w:r>
      <w:r w:rsidRPr="00963B93">
        <w:rPr>
          <w:rFonts w:ascii="Arial" w:hAnsi="Arial" w:cs="Arial"/>
          <w:bCs/>
          <w:sz w:val="22"/>
          <w:szCs w:val="22"/>
          <w:lang w:val="es-MX" w:eastAsia="es-CO"/>
        </w:rPr>
        <w:t xml:space="preserve">contienda electoral, así como la posible desviación de recursos públicos en aspiraciones electorales. </w:t>
      </w:r>
      <w:bookmarkEnd w:id="16"/>
      <w:r w:rsidRPr="00963B93">
        <w:rPr>
          <w:rFonts w:ascii="Arial" w:hAnsi="Arial" w:cs="Arial"/>
          <w:bCs/>
          <w:sz w:val="22"/>
          <w:szCs w:val="22"/>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rsidRPr="00963B93" w:rsidR="00963B93" w:rsidP="00963B93" w:rsidRDefault="00963B93" w14:paraId="79382AA7" w14:textId="77777777">
      <w:pPr>
        <w:spacing w:line="276" w:lineRule="auto"/>
        <w:ind w:firstLine="709"/>
        <w:contextualSpacing/>
        <w:jc w:val="both"/>
        <w:rPr>
          <w:rFonts w:ascii="Arial" w:hAnsi="Arial" w:cs="Arial"/>
          <w:bCs/>
          <w:sz w:val="22"/>
          <w:szCs w:val="22"/>
          <w:lang w:val="es-MX" w:eastAsia="es-CO"/>
        </w:rPr>
      </w:pPr>
    </w:p>
    <w:p w:rsidRPr="006C314F" w:rsidR="00963B93" w:rsidP="00963B93" w:rsidRDefault="00963B93" w14:paraId="7AC952E8" w14:textId="7777777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No está de más recordar que las prohibiciones</w:t>
      </w:r>
      <w:r w:rsidRPr="006C314F">
        <w:rPr>
          <w:rFonts w:ascii="Arial" w:hAnsi="Arial" w:cs="Arial"/>
          <w:bCs/>
          <w:sz w:val="21"/>
          <w:szCs w:val="21"/>
          <w:lang w:val="es-MX" w:eastAsia="es-CO"/>
        </w:rPr>
        <w:t xml:space="preserve">,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C314F">
        <w:rPr>
          <w:rFonts w:ascii="Arial" w:hAnsi="Arial" w:cs="Arial"/>
          <w:bCs/>
          <w:sz w:val="21"/>
          <w:szCs w:val="21"/>
          <w:lang w:val="es-MX" w:eastAsia="es-CO"/>
        </w:rPr>
        <w:t>legis</w:t>
      </w:r>
      <w:proofErr w:type="spellEnd"/>
      <w:r w:rsidRPr="006C314F">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6C314F" w:rsidR="00963B93" w:rsidP="00963B93" w:rsidRDefault="00963B93" w14:paraId="187E936E" w14:textId="77777777">
      <w:pPr>
        <w:ind w:left="709" w:right="709"/>
        <w:contextualSpacing/>
        <w:jc w:val="both"/>
        <w:rPr>
          <w:rFonts w:ascii="Arial" w:hAnsi="Arial" w:cs="Arial"/>
          <w:bCs/>
          <w:sz w:val="21"/>
          <w:szCs w:val="21"/>
          <w:lang w:val="es-MX" w:eastAsia="es-CO"/>
        </w:rPr>
      </w:pPr>
    </w:p>
    <w:p w:rsidRPr="006C314F" w:rsidR="00963B93" w:rsidP="00963B93" w:rsidRDefault="00963B93" w14:paraId="4AEAB442" w14:textId="77777777">
      <w:pPr>
        <w:ind w:left="709" w:right="709"/>
        <w:contextualSpacing/>
        <w:jc w:val="both"/>
        <w:rPr>
          <w:rFonts w:ascii="Arial" w:hAnsi="Arial" w:cs="Arial"/>
          <w:bCs/>
          <w:sz w:val="21"/>
          <w:szCs w:val="21"/>
          <w:lang w:val="es-MX" w:eastAsia="es-CO"/>
        </w:rPr>
      </w:pPr>
      <w:r w:rsidRPr="006C314F">
        <w:rPr>
          <w:rFonts w:ascii="Arial" w:hAnsi="Arial" w:cs="Arial"/>
          <w:bCs/>
          <w:sz w:val="21"/>
          <w:szCs w:val="21"/>
          <w:lang w:val="es-MX" w:eastAsia="es-CO"/>
        </w:rPr>
        <w:t>La jurisprudencia de la Corte Constitucional</w:t>
      </w:r>
      <w:r w:rsidRPr="006C314F">
        <w:rPr>
          <w:rFonts w:ascii="Arial" w:hAnsi="Arial" w:cs="Arial"/>
          <w:bCs/>
          <w:sz w:val="21"/>
          <w:szCs w:val="21"/>
          <w:vertAlign w:val="superscript"/>
          <w:lang w:val="es-MX" w:eastAsia="es-CO"/>
        </w:rPr>
        <w:footnoteReference w:id="6"/>
      </w:r>
      <w:r w:rsidRPr="006C314F">
        <w:rPr>
          <w:rFonts w:ascii="Arial" w:hAnsi="Arial" w:cs="Arial"/>
          <w:bCs/>
          <w:sz w:val="21"/>
          <w:szCs w:val="21"/>
          <w:lang w:val="es-MX" w:eastAsia="es-CO"/>
        </w:rPr>
        <w:t> y del Consejo de Estado</w:t>
      </w:r>
      <w:r w:rsidRPr="006C314F">
        <w:rPr>
          <w:rFonts w:ascii="Arial" w:hAnsi="Arial" w:cs="Arial"/>
          <w:bCs/>
          <w:sz w:val="21"/>
          <w:szCs w:val="21"/>
          <w:vertAlign w:val="superscript"/>
          <w:lang w:val="es-MX" w:eastAsia="es-CO"/>
        </w:rPr>
        <w:footnoteReference w:id="7"/>
      </w:r>
      <w:r w:rsidRPr="006C314F">
        <w:rPr>
          <w:rFonts w:ascii="Arial"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w:t>
      </w:r>
      <w:r w:rsidRPr="006C314F">
        <w:rPr>
          <w:rFonts w:ascii="Arial" w:hAnsi="Arial" w:cs="Arial"/>
          <w:bCs/>
          <w:sz w:val="21"/>
          <w:szCs w:val="21"/>
          <w:lang w:val="es-MX" w:eastAsia="es-CO"/>
        </w:rPr>
        <w:lastRenderedPageBreak/>
        <w:t xml:space="preserve">justificada- a la </w:t>
      </w:r>
      <w:r w:rsidRPr="006C314F">
        <w:rPr>
          <w:rFonts w:ascii="Arial" w:hAnsi="Arial" w:cs="Arial"/>
          <w:bCs/>
          <w:sz w:val="21"/>
          <w:szCs w:val="21"/>
          <w:lang w:val="es-MX" w:eastAsia="es-CO"/>
        </w:rPr>
        <w:t>libertad de actuar o capacidad de obrar, sobrepasar sus precisos términos comporta el desconocimiento de la voluntad del legislador</w:t>
      </w:r>
      <w:r w:rsidRPr="006C314F">
        <w:rPr>
          <w:rFonts w:ascii="Arial" w:hAnsi="Arial" w:cs="Arial"/>
          <w:bCs/>
          <w:vertAlign w:val="superscript"/>
          <w:lang w:val="es-MX" w:eastAsia="es-CO"/>
        </w:rPr>
        <w:footnoteReference w:id="8"/>
      </w:r>
      <w:r w:rsidRPr="006C314F">
        <w:rPr>
          <w:rFonts w:ascii="Arial" w:hAnsi="Arial" w:cs="Arial"/>
          <w:bCs/>
          <w:sz w:val="21"/>
          <w:szCs w:val="21"/>
          <w:lang w:val="es-MX" w:eastAsia="es-CO"/>
        </w:rPr>
        <w:t>.</w:t>
      </w:r>
    </w:p>
    <w:p w:rsidRPr="00963B93" w:rsidR="00963B93" w:rsidP="00963B93" w:rsidRDefault="00963B93" w14:paraId="291224E4" w14:textId="77777777">
      <w:pPr>
        <w:spacing w:line="276" w:lineRule="auto"/>
        <w:ind w:right="709"/>
        <w:contextualSpacing/>
        <w:jc w:val="both"/>
        <w:rPr>
          <w:rFonts w:ascii="Arial" w:hAnsi="Arial" w:cs="Arial"/>
          <w:bCs/>
          <w:sz w:val="22"/>
          <w:szCs w:val="22"/>
          <w:lang w:val="es-MX" w:eastAsia="es-CO"/>
        </w:rPr>
      </w:pPr>
    </w:p>
    <w:p w:rsidRPr="00963B93" w:rsidR="00963B93" w:rsidP="00963B93" w:rsidRDefault="00963B93" w14:paraId="381DFB4C" w14:textId="2F9D78C1">
      <w:pPr>
        <w:spacing w:after="120" w:line="276" w:lineRule="auto"/>
        <w:jc w:val="both"/>
        <w:rPr>
          <w:rFonts w:ascii="Arial" w:hAnsi="Arial" w:eastAsia="Arial" w:cs="Arial"/>
          <w:sz w:val="22"/>
          <w:szCs w:val="22"/>
          <w:lang w:val="es-ES" w:eastAsia="es-ES" w:bidi="es-ES"/>
        </w:rPr>
      </w:pPr>
      <w:r w:rsidRPr="00963B93">
        <w:rPr>
          <w:rFonts w:ascii="Arial" w:hAnsi="Arial" w:cs="Arial"/>
          <w:bCs/>
          <w:sz w:val="22"/>
          <w:szCs w:val="22"/>
          <w:lang w:val="es-MX" w:eastAsia="es-CO"/>
        </w:rPr>
        <w:tab/>
      </w:r>
      <w:r w:rsidRPr="00963B93">
        <w:rPr>
          <w:rFonts w:ascii="Arial" w:hAnsi="Arial" w:cs="Arial"/>
          <w:bCs/>
          <w:sz w:val="22"/>
          <w:szCs w:val="22"/>
          <w:lang w:val="es-MX" w:eastAsia="es-CO"/>
        </w:rPr>
        <w:t>De</w:t>
      </w:r>
      <w:r w:rsidRPr="00963B93">
        <w:rPr>
          <w:rFonts w:ascii="Arial" w:hAnsi="Arial" w:eastAsia="Arial" w:cs="Arial"/>
          <w:sz w:val="22"/>
          <w:szCs w:val="22"/>
          <w:lang w:val="es-ES" w:eastAsia="es-ES" w:bidi="es-ES"/>
        </w:rPr>
        <w:t xml:space="preserve"> conformidad con lo anterior, </w:t>
      </w:r>
      <w:bookmarkStart w:name="_Hlk77236098" w:id="17"/>
      <w:r w:rsidRPr="00963B93">
        <w:rPr>
          <w:rFonts w:ascii="Arial" w:hAnsi="Arial" w:eastAsia="Arial" w:cs="Arial"/>
          <w:sz w:val="22"/>
          <w:szCs w:val="22"/>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7"/>
    </w:p>
    <w:p w:rsidRPr="00963B93" w:rsidR="00963B93" w:rsidP="00963B93" w:rsidRDefault="00963B93" w14:paraId="713E5C7C" w14:textId="77777777">
      <w:pPr>
        <w:spacing w:after="120" w:line="276" w:lineRule="auto"/>
        <w:ind w:firstLine="708"/>
        <w:jc w:val="both"/>
        <w:rPr>
          <w:rFonts w:ascii="Arial" w:hAnsi="Arial" w:eastAsia="Calibri" w:cs="Arial"/>
          <w:sz w:val="22"/>
          <w:szCs w:val="22"/>
        </w:rPr>
      </w:pPr>
      <w:r w:rsidRPr="00963B93">
        <w:rPr>
          <w:rFonts w:ascii="Arial" w:hAnsi="Arial" w:eastAsia="Calibri" w:cs="Arial"/>
          <w:sz w:val="22"/>
          <w:szCs w:val="22"/>
        </w:rPr>
        <w:t xml:space="preserve">Por un lado, el artículo 33 de la Ley 996 de 2005 prohíbe </w:t>
      </w:r>
      <w:r w:rsidRPr="00963B93">
        <w:rPr>
          <w:rFonts w:ascii="Arial" w:hAnsi="Arial" w:eastAsia="Calibri" w:cs="Arial"/>
          <w:bCs/>
          <w:sz w:val="22"/>
          <w:szCs w:val="22"/>
        </w:rPr>
        <w:t xml:space="preserve">«[…] </w:t>
      </w:r>
      <w:r w:rsidRPr="00963B93">
        <w:rPr>
          <w:rFonts w:ascii="Arial" w:hAnsi="Arial" w:eastAsia="Calibri" w:cs="Arial"/>
          <w:sz w:val="22"/>
          <w:szCs w:val="22"/>
        </w:rPr>
        <w:t>la contratación directa por parte de todos los entes del Estado</w:t>
      </w:r>
      <w:r w:rsidRPr="00963B93">
        <w:rPr>
          <w:rFonts w:ascii="Arial" w:hAnsi="Arial" w:eastAsia="Calibri" w:cs="Arial"/>
          <w:bCs/>
          <w:sz w:val="22"/>
          <w:szCs w:val="22"/>
        </w:rPr>
        <w:t>»</w:t>
      </w:r>
      <w:r w:rsidRPr="00963B93">
        <w:rPr>
          <w:rFonts w:ascii="Arial" w:hAnsi="Arial" w:eastAsia="Calibri" w:cs="Arial"/>
          <w:sz w:val="22"/>
          <w:szCs w:val="22"/>
        </w:rPr>
        <w:t xml:space="preserve"> durante los cuatro (4) meses anteriores a las elecciones presidenciales, salvo </w:t>
      </w:r>
      <w:r w:rsidRPr="00963B93">
        <w:rPr>
          <w:rFonts w:ascii="Arial" w:hAnsi="Arial" w:eastAsia="Calibri" w:cs="Arial"/>
          <w:bCs/>
          <w:sz w:val="22"/>
          <w:szCs w:val="22"/>
        </w:rPr>
        <w:t xml:space="preserve">«[…] </w:t>
      </w:r>
      <w:r w:rsidRPr="00963B93">
        <w:rPr>
          <w:rFonts w:ascii="Arial" w:hAnsi="Arial" w:eastAsia="Calibri" w:cs="Arial"/>
          <w:sz w:val="22"/>
          <w:szCs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63B93">
        <w:rPr>
          <w:rFonts w:ascii="Arial" w:hAnsi="Arial" w:eastAsia="Calibri" w:cs="Arial"/>
          <w:bCs/>
          <w:sz w:val="22"/>
          <w:szCs w:val="22"/>
        </w:rPr>
        <w:t>»</w:t>
      </w:r>
      <w:r w:rsidRPr="00963B93">
        <w:rPr>
          <w:rFonts w:ascii="Arial" w:hAnsi="Arial" w:eastAsia="Calibri" w:cs="Arial"/>
          <w:bCs/>
          <w:sz w:val="22"/>
          <w:szCs w:val="22"/>
          <w:vertAlign w:val="superscript"/>
        </w:rPr>
        <w:footnoteReference w:id="9"/>
      </w:r>
      <w:r w:rsidRPr="00963B93">
        <w:rPr>
          <w:rFonts w:ascii="Arial" w:hAnsi="Arial" w:eastAsia="Calibri" w:cs="Arial"/>
          <w:sz w:val="22"/>
          <w:szCs w:val="22"/>
        </w:rPr>
        <w:t>.</w:t>
      </w:r>
    </w:p>
    <w:p w:rsidRPr="00963B93" w:rsidR="00963B93" w:rsidP="00963B93" w:rsidRDefault="00963B93" w14:paraId="006F0500" w14:textId="77777777">
      <w:pPr>
        <w:widowControl w:val="0"/>
        <w:autoSpaceDE w:val="0"/>
        <w:autoSpaceDN w:val="0"/>
        <w:spacing w:line="276" w:lineRule="auto"/>
        <w:ind w:right="113" w:firstLine="708"/>
        <w:contextualSpacing/>
        <w:jc w:val="both"/>
        <w:rPr>
          <w:rFonts w:ascii="Arial" w:hAnsi="Arial" w:eastAsia="Arial" w:cs="Arial"/>
          <w:sz w:val="22"/>
          <w:szCs w:val="22"/>
          <w:lang w:val="es-ES" w:eastAsia="es-ES" w:bidi="es-ES"/>
        </w:rPr>
      </w:pPr>
      <w:r w:rsidRPr="00963B93">
        <w:rPr>
          <w:rFonts w:ascii="Arial" w:hAnsi="Arial" w:eastAsia="Calibri" w:cs="Arial"/>
          <w:sz w:val="22"/>
          <w:szCs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63B93">
        <w:rPr>
          <w:rFonts w:ascii="Arial" w:hAnsi="Arial" w:eastAsia="Calibri" w:cs="Arial"/>
          <w:bCs/>
          <w:sz w:val="22"/>
          <w:szCs w:val="22"/>
        </w:rPr>
        <w:t xml:space="preserve">«[…] </w:t>
      </w:r>
      <w:r w:rsidRPr="00963B93">
        <w:rPr>
          <w:rFonts w:ascii="Arial" w:hAnsi="Arial" w:eastAsia="Calibri" w:cs="Arial"/>
          <w:sz w:val="22"/>
          <w:szCs w:val="22"/>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63B93">
        <w:rPr>
          <w:rFonts w:ascii="Arial" w:hAnsi="Arial" w:eastAsia="Calibri" w:cs="Arial"/>
          <w:bCs/>
          <w:sz w:val="22"/>
          <w:szCs w:val="22"/>
        </w:rPr>
        <w:t>»</w:t>
      </w:r>
      <w:r w:rsidRPr="00963B93">
        <w:rPr>
          <w:rFonts w:ascii="Arial" w:hAnsi="Arial" w:eastAsia="Calibri" w:cs="Arial"/>
          <w:bCs/>
          <w:sz w:val="22"/>
          <w:szCs w:val="22"/>
          <w:vertAlign w:val="superscript"/>
        </w:rPr>
        <w:footnoteReference w:id="10"/>
      </w:r>
      <w:r w:rsidRPr="00963B93">
        <w:rPr>
          <w:rFonts w:ascii="Arial" w:hAnsi="Arial" w:eastAsia="Calibri" w:cs="Arial"/>
          <w:sz w:val="22"/>
          <w:szCs w:val="22"/>
          <w:lang w:val="es-MX"/>
        </w:rPr>
        <w:t>.</w:t>
      </w:r>
      <w:r w:rsidRPr="00963B93">
        <w:rPr>
          <w:rFonts w:ascii="Arial" w:hAnsi="Arial" w:eastAsia="Arial" w:cs="Arial"/>
          <w:sz w:val="22"/>
          <w:szCs w:val="22"/>
          <w:lang w:val="es-ES" w:eastAsia="es-ES" w:bidi="es-ES"/>
        </w:rPr>
        <w:t xml:space="preserve"> La Sala de Consulta y Servicio Civil del Consejo de Estado ha aclarado la </w:t>
      </w:r>
      <w:r w:rsidRPr="00963B93">
        <w:rPr>
          <w:rFonts w:ascii="Arial" w:hAnsi="Arial" w:eastAsia="Arial" w:cs="Arial"/>
          <w:sz w:val="22"/>
          <w:szCs w:val="22"/>
          <w:lang w:val="es-ES" w:eastAsia="es-ES" w:bidi="es-ES"/>
        </w:rPr>
        <w:lastRenderedPageBreak/>
        <w:t>distinción en la aplicación de las prohibiciones de la Ley 996 de 2005, dependiendo del tipo de elección que se trate. Al respecto, considera que:</w:t>
      </w:r>
    </w:p>
    <w:p w:rsidRPr="00963B93" w:rsidR="00963B93" w:rsidP="00963B93" w:rsidRDefault="00963B93" w14:paraId="3E1F7F88" w14:textId="77777777">
      <w:pPr>
        <w:widowControl w:val="0"/>
        <w:autoSpaceDE w:val="0"/>
        <w:autoSpaceDN w:val="0"/>
        <w:spacing w:line="276" w:lineRule="auto"/>
        <w:ind w:left="805" w:right="812"/>
        <w:contextualSpacing/>
        <w:jc w:val="both"/>
        <w:rPr>
          <w:rFonts w:ascii="Arial" w:hAnsi="Arial" w:eastAsia="Arial" w:cs="Arial"/>
          <w:sz w:val="22"/>
          <w:szCs w:val="22"/>
          <w:lang w:val="es-ES" w:eastAsia="es-ES" w:bidi="es-ES"/>
        </w:rPr>
      </w:pPr>
    </w:p>
    <w:p w:rsidRPr="006C314F" w:rsidR="00963B93" w:rsidP="00963B93" w:rsidRDefault="00963B93" w14:paraId="596C5687" w14:textId="77777777">
      <w:pPr>
        <w:widowControl w:val="0"/>
        <w:autoSpaceDE w:val="0"/>
        <w:autoSpaceDN w:val="0"/>
        <w:ind w:left="709" w:right="709"/>
        <w:contextualSpacing/>
        <w:jc w:val="both"/>
        <w:rPr>
          <w:rFonts w:ascii="Arial" w:hAnsi="Arial" w:eastAsia="Arial" w:cs="Arial"/>
          <w:sz w:val="21"/>
          <w:szCs w:val="21"/>
          <w:lang w:val="es-ES" w:eastAsia="es-ES" w:bidi="es-ES"/>
        </w:rPr>
      </w:pPr>
      <w:r w:rsidRPr="006C314F">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20"/>
      <w:r w:rsidRPr="006C314F">
        <w:rPr>
          <w:rFonts w:ascii="Arial" w:hAnsi="Arial" w:eastAsia="Arial" w:cs="Arial"/>
          <w:sz w:val="21"/>
          <w:szCs w:val="21"/>
          <w:lang w:val="es-ES" w:eastAsia="es-ES" w:bidi="es-ES"/>
        </w:rPr>
        <w:t>se integran parcialmente</w:t>
      </w:r>
      <w:bookmarkEnd w:id="20"/>
      <w:r w:rsidRPr="006C314F">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C314F">
        <w:rPr>
          <w:rFonts w:ascii="Arial" w:hAnsi="Arial" w:eastAsia="Arial" w:cs="Arial"/>
          <w:bCs/>
          <w:sz w:val="21"/>
          <w:szCs w:val="21"/>
          <w:lang w:val="es-ES" w:eastAsia="es-ES" w:bidi="es-ES"/>
        </w:rPr>
        <w:t xml:space="preserve">En cambio, para elecciones en general, excluyendo las correspondientes a </w:t>
      </w:r>
      <w:proofErr w:type="gramStart"/>
      <w:r w:rsidRPr="006C314F">
        <w:rPr>
          <w:rFonts w:ascii="Arial" w:hAnsi="Arial" w:eastAsia="Arial" w:cs="Arial"/>
          <w:bCs/>
          <w:sz w:val="21"/>
          <w:szCs w:val="21"/>
          <w:lang w:val="es-ES" w:eastAsia="es-ES" w:bidi="es-ES"/>
        </w:rPr>
        <w:t>Presidente</w:t>
      </w:r>
      <w:proofErr w:type="gramEnd"/>
      <w:r w:rsidRPr="006C314F">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6C314F">
        <w:rPr>
          <w:rFonts w:ascii="Arial" w:hAnsi="Arial" w:eastAsia="Arial" w:cs="Arial"/>
          <w:sz w:val="21"/>
          <w:szCs w:val="21"/>
          <w:lang w:val="es-ES" w:eastAsia="es-ES" w:bidi="es-ES"/>
        </w:rPr>
        <w:t>.</w:t>
      </w:r>
      <w:r w:rsidRPr="006C314F">
        <w:rPr>
          <w:rFonts w:ascii="Arial" w:hAnsi="Arial" w:eastAsia="Arial" w:cs="Arial"/>
          <w:sz w:val="21"/>
          <w:szCs w:val="21"/>
          <w:vertAlign w:val="superscript"/>
          <w:lang w:val="es-ES" w:eastAsia="es-ES" w:bidi="es-ES"/>
        </w:rPr>
        <w:footnoteReference w:id="11"/>
      </w:r>
    </w:p>
    <w:p w:rsidRPr="00963B93" w:rsidR="00963B93" w:rsidP="00963B93" w:rsidRDefault="00963B93" w14:paraId="2C406158" w14:textId="77777777">
      <w:pPr>
        <w:widowControl w:val="0"/>
        <w:autoSpaceDE w:val="0"/>
        <w:autoSpaceDN w:val="0"/>
        <w:spacing w:line="276" w:lineRule="auto"/>
        <w:contextualSpacing/>
        <w:rPr>
          <w:rFonts w:ascii="Arial" w:hAnsi="Arial" w:eastAsia="Arial" w:cs="Arial"/>
          <w:sz w:val="22"/>
          <w:szCs w:val="22"/>
          <w:lang w:val="es-ES" w:eastAsia="es-ES" w:bidi="es-ES"/>
        </w:rPr>
      </w:pPr>
    </w:p>
    <w:p w:rsidRPr="00963B93" w:rsidR="00963B93" w:rsidP="00963B93" w:rsidRDefault="00963B93" w14:paraId="3CE340D0" w14:textId="77777777">
      <w:pPr>
        <w:spacing w:after="120" w:line="276" w:lineRule="auto"/>
        <w:ind w:firstLine="709"/>
        <w:jc w:val="both"/>
        <w:rPr>
          <w:rFonts w:ascii="Arial" w:hAnsi="Arial" w:eastAsia="Arial" w:cs="Arial"/>
          <w:sz w:val="22"/>
          <w:szCs w:val="22"/>
          <w:lang w:val="es-ES" w:eastAsia="es-ES" w:bidi="es-ES"/>
        </w:rPr>
      </w:pPr>
      <w:r w:rsidRPr="00963B93">
        <w:rPr>
          <w:rFonts w:ascii="Arial" w:hAnsi="Arial" w:eastAsia="Arial" w:cs="Arial"/>
          <w:sz w:val="22"/>
          <w:szCs w:val="22"/>
          <w:lang w:val="es-ES" w:eastAsia="es-ES" w:bidi="es-ES"/>
        </w:rPr>
        <w:t xml:space="preserve">De conformidad con lo anterior, </w:t>
      </w:r>
      <w:bookmarkStart w:name="_Hlk77236420" w:id="21"/>
      <w:bookmarkStart w:name="_Hlk78818435" w:id="22"/>
      <w:bookmarkStart w:name="_Hlk75780333" w:id="23"/>
      <w:r w:rsidRPr="00963B93">
        <w:rPr>
          <w:rFonts w:ascii="Arial" w:hAnsi="Arial" w:eastAsia="Arial" w:cs="Arial"/>
          <w:sz w:val="22"/>
          <w:szCs w:val="22"/>
          <w:lang w:val="es-ES" w:eastAsia="es-ES" w:bidi="es-ES"/>
        </w:rPr>
        <w:t xml:space="preserve">la Ley 996 de 2005 establece dos (2) tipos de restricciones en materia de contratación, las cuales coinciden parcialmente. </w:t>
      </w:r>
      <w:r w:rsidRPr="00963B93">
        <w:rPr>
          <w:rFonts w:ascii="Arial" w:hAnsi="Arial" w:eastAsia="Arial" w:cs="Arial"/>
          <w:i/>
          <w:iCs/>
          <w:sz w:val="22"/>
          <w:szCs w:val="22"/>
          <w:lang w:val="es-ES" w:eastAsia="es-ES" w:bidi="es-ES"/>
        </w:rPr>
        <w:t>En primer lugar</w:t>
      </w:r>
      <w:r w:rsidRPr="00963B93">
        <w:rPr>
          <w:rFonts w:ascii="Arial" w:hAnsi="Arial" w:eastAsia="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963B93">
        <w:rPr>
          <w:rFonts w:ascii="Arial" w:hAnsi="Arial" w:eastAsia="Arial" w:cs="Arial"/>
          <w:i/>
          <w:iCs/>
          <w:sz w:val="22"/>
          <w:szCs w:val="22"/>
          <w:lang w:val="es-ES" w:eastAsia="es-ES" w:bidi="es-ES"/>
        </w:rPr>
        <w:t>En segundo lugar</w:t>
      </w:r>
      <w:r w:rsidRPr="00963B93">
        <w:rPr>
          <w:rFonts w:ascii="Arial" w:hAnsi="Arial" w:eastAsia="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1"/>
    </w:p>
    <w:bookmarkEnd w:id="22"/>
    <w:p w:rsidRPr="00963B93" w:rsidR="00963B93" w:rsidP="00963B93" w:rsidRDefault="00963B93" w14:paraId="753A4F37" w14:textId="77777777">
      <w:pPr>
        <w:spacing w:after="120" w:line="276" w:lineRule="auto"/>
        <w:ind w:firstLine="709"/>
        <w:jc w:val="both"/>
        <w:rPr>
          <w:rFonts w:ascii="Arial" w:hAnsi="Arial" w:eastAsia="Arial" w:cs="Arial"/>
          <w:sz w:val="22"/>
          <w:szCs w:val="22"/>
          <w:lang w:val="es-ES" w:eastAsia="es-ES" w:bidi="es-ES"/>
        </w:rPr>
      </w:pPr>
      <w:r w:rsidRPr="00963B93">
        <w:rPr>
          <w:rFonts w:ascii="Arial" w:hAnsi="Arial" w:eastAsia="Arial" w:cs="Arial"/>
          <w:sz w:val="22"/>
          <w:szCs w:val="22"/>
          <w:lang w:val="es-ES" w:eastAsia="es-ES" w:bidi="es-ES"/>
        </w:rPr>
        <w:t xml:space="preserve">Ambas restricciones no son excluyentes, lo que permite concluir que en el período preelectoral para elección de </w:t>
      </w:r>
      <w:proofErr w:type="gramStart"/>
      <w:r w:rsidRPr="00963B93">
        <w:rPr>
          <w:rFonts w:ascii="Arial" w:hAnsi="Arial" w:eastAsia="Arial" w:cs="Arial"/>
          <w:sz w:val="22"/>
          <w:szCs w:val="22"/>
          <w:lang w:val="es-ES" w:eastAsia="es-ES" w:bidi="es-ES"/>
        </w:rPr>
        <w:t>Presidente</w:t>
      </w:r>
      <w:proofErr w:type="gramEnd"/>
      <w:r w:rsidRPr="00963B93">
        <w:rPr>
          <w:rFonts w:ascii="Arial" w:hAnsi="Arial" w:eastAsia="Arial" w:cs="Arial"/>
          <w:sz w:val="22"/>
          <w:szCs w:val="22"/>
          <w:lang w:val="es-ES" w:eastAsia="es-ES" w:bidi="es-ES"/>
        </w:rPr>
        <w:t xml:space="preserve"> de la República, a todos los entes del Estado, </w:t>
      </w:r>
      <w:r w:rsidRPr="00963B93">
        <w:rPr>
          <w:rFonts w:ascii="Arial" w:hAnsi="Arial" w:eastAsia="Arial" w:cs="Arial"/>
          <w:sz w:val="22"/>
          <w:szCs w:val="22"/>
          <w:lang w:val="es-ES" w:eastAsia="es-ES" w:bidi="es-ES"/>
        </w:rPr>
        <w:lastRenderedPageBreak/>
        <w:t xml:space="preserve">incluidos los territoriales, aplican las restricciones del artículo 33 con sus excepciones, así como las del parágrafo del artículo 38. En cambio, tratándose de elecciones en general, excluyendo las correspondientes al </w:t>
      </w:r>
      <w:proofErr w:type="gramStart"/>
      <w:r w:rsidRPr="00963B93">
        <w:rPr>
          <w:rFonts w:ascii="Arial" w:hAnsi="Arial" w:eastAsia="Arial" w:cs="Arial"/>
          <w:sz w:val="22"/>
          <w:szCs w:val="22"/>
          <w:lang w:val="es-ES" w:eastAsia="es-ES" w:bidi="es-ES"/>
        </w:rPr>
        <w:t>Presidente</w:t>
      </w:r>
      <w:proofErr w:type="gramEnd"/>
      <w:r w:rsidRPr="00963B93">
        <w:rPr>
          <w:rFonts w:ascii="Arial" w:hAnsi="Arial" w:eastAsia="Arial" w:cs="Arial"/>
          <w:sz w:val="22"/>
          <w:szCs w:val="22"/>
          <w:lang w:val="es-ES" w:eastAsia="es-ES" w:bidi="es-ES"/>
        </w:rPr>
        <w:t xml:space="preserve"> de la República, las autoridades allí mencionadas sólo deben aplicar las restricciones contenidas en el parágrafo del artículo 38.</w:t>
      </w:r>
    </w:p>
    <w:bookmarkEnd w:id="23"/>
    <w:p w:rsidRPr="00963B93" w:rsidR="00524963" w:rsidP="00963B93" w:rsidRDefault="00963B93" w14:paraId="5121E9E1" w14:textId="58FDE126">
      <w:pPr>
        <w:spacing w:before="120" w:line="276" w:lineRule="auto"/>
        <w:ind w:firstLine="708"/>
        <w:jc w:val="both"/>
        <w:rPr>
          <w:rFonts w:ascii="Arial" w:hAnsi="Arial" w:eastAsia="Arial" w:cs="Arial"/>
          <w:sz w:val="22"/>
          <w:szCs w:val="22"/>
          <w:lang w:val="es-ES_tradnl" w:eastAsia="es-ES" w:bidi="es-ES"/>
        </w:rPr>
      </w:pPr>
      <w:r w:rsidRPr="00963B93">
        <w:rPr>
          <w:rFonts w:ascii="Arial" w:hAnsi="Arial" w:eastAsia="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963B93">
        <w:rPr>
          <w:rFonts w:ascii="Arial" w:hAnsi="Arial" w:eastAsia="Arial" w:cs="Arial"/>
          <w:sz w:val="22"/>
          <w:szCs w:val="22"/>
          <w:lang w:val="es-ES" w:eastAsia="es-ES" w:bidi="es-ES"/>
        </w:rPr>
        <w:t>Presidente</w:t>
      </w:r>
      <w:proofErr w:type="gramEnd"/>
      <w:r w:rsidRPr="00963B93">
        <w:rPr>
          <w:rFonts w:ascii="Arial" w:hAnsi="Arial" w:eastAsia="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963B93" w:rsidR="00524963" w:rsidP="00524963" w:rsidRDefault="00524963" w14:paraId="1D163A2D" w14:textId="77777777">
      <w:pPr>
        <w:spacing w:line="276" w:lineRule="auto"/>
        <w:jc w:val="both"/>
        <w:rPr>
          <w:rFonts w:ascii="Arial" w:hAnsi="Arial" w:eastAsia="Arial" w:cs="Arial"/>
          <w:sz w:val="22"/>
          <w:szCs w:val="22"/>
          <w:lang w:val="es-ES_tradnl" w:eastAsia="es-ES" w:bidi="es-ES"/>
        </w:rPr>
      </w:pPr>
    </w:p>
    <w:p w:rsidRPr="00524963" w:rsidR="00524963" w:rsidP="00524963" w:rsidRDefault="00524963" w14:paraId="78C2973A" w14:textId="77777777">
      <w:pPr>
        <w:spacing w:line="276" w:lineRule="auto"/>
        <w:jc w:val="both"/>
        <w:rPr>
          <w:rFonts w:ascii="Arial" w:hAnsi="Arial" w:eastAsia="Calibri" w:cs="Arial"/>
          <w:b/>
          <w:sz w:val="22"/>
          <w:szCs w:val="22"/>
          <w:lang w:val="es-ES_tradnl" w:eastAsia="es-CO"/>
        </w:rPr>
      </w:pPr>
      <w:r w:rsidRPr="00524963">
        <w:rPr>
          <w:rFonts w:ascii="Arial" w:hAnsi="Arial" w:eastAsia="Calibri" w:cs="Arial"/>
          <w:b/>
          <w:sz w:val="22"/>
          <w:szCs w:val="22"/>
          <w:lang w:val="es-ES_tradnl" w:eastAsia="es-CO"/>
        </w:rPr>
        <w:t xml:space="preserve">2.2. </w:t>
      </w:r>
      <w:r w:rsidRPr="00524963">
        <w:rPr>
          <w:rFonts w:ascii="Arial" w:hAnsi="Arial" w:eastAsia="Calibri" w:cs="Arial"/>
          <w:b/>
          <w:bCs/>
          <w:sz w:val="22"/>
          <w:szCs w:val="22"/>
          <w:lang w:val="es-ES_tradnl" w:eastAsia="es-CO"/>
        </w:rPr>
        <w:t>Restricciones en elecciones presidenciales: prohibición del artículo 33 de la Ley 996 de 2005</w:t>
      </w:r>
    </w:p>
    <w:p w:rsidRPr="00524963" w:rsidR="00524963" w:rsidP="00524963" w:rsidRDefault="00524963" w14:paraId="5C3085D4" w14:textId="77777777">
      <w:pPr>
        <w:spacing w:line="276" w:lineRule="auto"/>
        <w:jc w:val="both"/>
        <w:rPr>
          <w:rFonts w:ascii="Arial" w:hAnsi="Arial" w:eastAsia="Calibri" w:cs="Arial"/>
          <w:bCs/>
          <w:sz w:val="22"/>
          <w:szCs w:val="22"/>
          <w:lang w:val="es-ES_tradnl" w:eastAsia="x-none"/>
        </w:rPr>
      </w:pPr>
    </w:p>
    <w:p w:rsidRPr="00524963" w:rsidR="00524963" w:rsidP="00524963" w:rsidRDefault="00524963" w14:paraId="4C8AF64C" w14:textId="77777777">
      <w:pPr>
        <w:spacing w:line="276" w:lineRule="auto"/>
        <w:jc w:val="both"/>
        <w:rPr>
          <w:rFonts w:ascii="Arial" w:hAnsi="Arial" w:eastAsia="Calibri" w:cs="Arial"/>
          <w:bCs/>
          <w:sz w:val="22"/>
          <w:szCs w:val="22"/>
          <w:lang w:val="es-ES_tradnl" w:eastAsia="es-CO"/>
        </w:rPr>
      </w:pPr>
      <w:r w:rsidRPr="00524963">
        <w:rPr>
          <w:rFonts w:ascii="Arial" w:hAnsi="Arial" w:eastAsia="Calibri" w:cs="Arial"/>
          <w:bCs/>
          <w:sz w:val="22"/>
          <w:szCs w:val="22"/>
          <w:lang w:val="es-ES_tradnl" w:eastAsia="x-none"/>
        </w:rPr>
        <w:t xml:space="preserve">El ámbito material de la prohibición contenida en el artículo 33 de la ley 996 de 2005 está delimitado por la expresión </w:t>
      </w:r>
      <w:r w:rsidRPr="00524963">
        <w:rPr>
          <w:rFonts w:ascii="Arial" w:hAnsi="Arial" w:eastAsia="Calibri" w:cs="Arial"/>
          <w:bCs/>
          <w:sz w:val="20"/>
          <w:szCs w:val="20"/>
          <w:lang w:val="es-ES_tradnl" w:eastAsia="en-US"/>
        </w:rPr>
        <w:t>«</w:t>
      </w:r>
      <w:r w:rsidRPr="00524963">
        <w:rPr>
          <w:rFonts w:ascii="Arial" w:hAnsi="Arial" w:eastAsia="Calibri" w:cs="Arial"/>
          <w:bCs/>
          <w:sz w:val="22"/>
          <w:szCs w:val="22"/>
          <w:lang w:val="es-ES_tradnl" w:eastAsia="x-none"/>
        </w:rPr>
        <w:t>queda prohibida la contratación directa</w:t>
      </w:r>
      <w:r w:rsidRPr="00524963">
        <w:rPr>
          <w:rFonts w:ascii="Arial" w:hAnsi="Arial" w:eastAsia="Calibri" w:cs="Arial"/>
          <w:sz w:val="20"/>
          <w:szCs w:val="20"/>
          <w:lang w:val="es-ES_tradnl" w:eastAsia="en-US"/>
        </w:rPr>
        <w:t>»</w:t>
      </w:r>
      <w:r w:rsidRPr="00524963">
        <w:rPr>
          <w:rFonts w:ascii="Arial" w:hAnsi="Arial" w:eastAsia="Calibri" w:cs="Arial"/>
          <w:bCs/>
          <w:sz w:val="22"/>
          <w:szCs w:val="22"/>
          <w:lang w:val="es-ES_tradnl" w:eastAsia="x-none"/>
        </w:rPr>
        <w:t xml:space="preserve">. </w:t>
      </w:r>
      <w:r w:rsidRPr="00524963">
        <w:rPr>
          <w:rFonts w:ascii="Arial" w:hAnsi="Arial" w:eastAsia="Calibri" w:cs="Arial"/>
          <w:sz w:val="22"/>
          <w:szCs w:val="22"/>
          <w:lang w:val="es-ES_tradnl" w:eastAsia="es-CO"/>
        </w:rPr>
        <w:t xml:space="preserve"> A propósito de esta restricción de la Ley de Garantías Electorales, la Sala de Consulta y Servicio Civil del Consejo de Estado ha considerado que:</w:t>
      </w:r>
    </w:p>
    <w:p w:rsidRPr="00524963" w:rsidR="00524963" w:rsidP="00524963" w:rsidRDefault="00524963" w14:paraId="0A17AB1D" w14:textId="77777777">
      <w:pPr>
        <w:spacing w:line="259" w:lineRule="auto"/>
        <w:ind w:left="708" w:right="709"/>
        <w:jc w:val="both"/>
        <w:rPr>
          <w:rFonts w:ascii="Arial" w:hAnsi="Arial" w:eastAsia="Calibri" w:cs="Arial"/>
          <w:sz w:val="22"/>
          <w:szCs w:val="22"/>
          <w:lang w:val="es-ES_tradnl" w:eastAsia="en-US"/>
        </w:rPr>
      </w:pPr>
    </w:p>
    <w:p w:rsidRPr="00524963" w:rsidR="00524963" w:rsidP="00524963" w:rsidRDefault="00524963" w14:paraId="490C216B" w14:textId="77777777">
      <w:pPr>
        <w:spacing w:after="120"/>
        <w:ind w:left="709" w:right="709"/>
        <w:jc w:val="both"/>
        <w:rPr>
          <w:rFonts w:ascii="Arial" w:hAnsi="Arial" w:eastAsia="Calibri" w:cs="Arial"/>
          <w:sz w:val="21"/>
          <w:szCs w:val="21"/>
          <w:lang w:val="es-ES_tradnl" w:eastAsia="en-US"/>
        </w:rPr>
      </w:pPr>
      <w:r w:rsidRPr="00524963">
        <w:rPr>
          <w:rFonts w:ascii="Arial" w:hAnsi="Arial" w:eastAsia="Calibri"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24963">
        <w:rPr>
          <w:rFonts w:ascii="Arial" w:hAnsi="Arial" w:eastAsia="Calibri" w:cs="Arial"/>
          <w:sz w:val="21"/>
          <w:szCs w:val="21"/>
          <w:vertAlign w:val="superscript"/>
          <w:lang w:eastAsia="en-US"/>
        </w:rPr>
        <w:footnoteReference w:id="12"/>
      </w:r>
      <w:r w:rsidRPr="00524963">
        <w:rPr>
          <w:rFonts w:ascii="Arial" w:hAnsi="Arial" w:eastAsia="Calibri" w:cs="Arial"/>
          <w:sz w:val="21"/>
          <w:szCs w:val="21"/>
          <w:lang w:val="es-ES_tradnl" w:eastAsia="en-US"/>
        </w:rPr>
        <w:t>.</w:t>
      </w:r>
    </w:p>
    <w:p w:rsidRPr="00524963" w:rsidR="00524963" w:rsidP="00524963" w:rsidRDefault="00524963" w14:paraId="716AF450" w14:textId="77777777">
      <w:pPr>
        <w:ind w:left="708" w:right="709"/>
        <w:jc w:val="both"/>
        <w:rPr>
          <w:rFonts w:ascii="Arial" w:hAnsi="Arial" w:eastAsia="Calibri" w:cs="Arial"/>
          <w:sz w:val="21"/>
          <w:szCs w:val="21"/>
          <w:lang w:val="es-ES_tradnl" w:eastAsia="en-US"/>
        </w:rPr>
      </w:pPr>
      <w:r w:rsidRPr="00524963">
        <w:rPr>
          <w:rFonts w:ascii="Arial" w:hAnsi="Arial" w:eastAsia="Calibri" w:cs="Arial"/>
          <w:sz w:val="21"/>
          <w:szCs w:val="21"/>
          <w:lang w:val="es-ES_tradnl" w:eastAsia="en-US"/>
        </w:rPr>
        <w:t xml:space="preserve">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w:t>
      </w:r>
      <w:r w:rsidRPr="00524963">
        <w:rPr>
          <w:rFonts w:ascii="Arial" w:hAnsi="Arial" w:eastAsia="Calibri" w:cs="Arial"/>
          <w:sz w:val="21"/>
          <w:szCs w:val="21"/>
          <w:lang w:val="es-ES_tradnl" w:eastAsia="en-US"/>
        </w:rPr>
        <w:lastRenderedPageBreak/>
        <w:t>de un proceso de licitación pública o concurso</w:t>
      </w:r>
      <w:r w:rsidRPr="00524963">
        <w:rPr>
          <w:rFonts w:ascii="Arial" w:hAnsi="Arial" w:eastAsia="Calibri" w:cs="Arial"/>
          <w:sz w:val="21"/>
          <w:szCs w:val="21"/>
          <w:vertAlign w:val="superscript"/>
          <w:lang w:eastAsia="en-US"/>
        </w:rPr>
        <w:footnoteReference w:id="13"/>
      </w:r>
      <w:r w:rsidRPr="00524963">
        <w:rPr>
          <w:rFonts w:ascii="Arial" w:hAnsi="Arial" w:eastAsia="Calibri" w:cs="Arial"/>
          <w:sz w:val="21"/>
          <w:szCs w:val="21"/>
          <w:vertAlign w:val="superscript"/>
          <w:lang w:val="es-ES_tradnl" w:eastAsia="en-US"/>
        </w:rPr>
        <w:t>.</w:t>
      </w:r>
      <w:r w:rsidRPr="00524963">
        <w:rPr>
          <w:rFonts w:ascii="Arial" w:hAnsi="Arial" w:eastAsia="Calibri"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24963">
        <w:rPr>
          <w:rFonts w:ascii="Arial" w:hAnsi="Arial" w:eastAsia="Calibri" w:cs="Arial"/>
          <w:sz w:val="21"/>
          <w:szCs w:val="21"/>
          <w:vertAlign w:val="superscript"/>
          <w:lang w:eastAsia="en-US"/>
        </w:rPr>
        <w:footnoteReference w:id="14"/>
      </w:r>
      <w:r w:rsidRPr="00524963">
        <w:rPr>
          <w:rFonts w:ascii="Arial" w:hAnsi="Arial" w:eastAsia="Calibri" w:cs="Arial"/>
          <w:sz w:val="21"/>
          <w:szCs w:val="21"/>
          <w:lang w:val="es-ES_tradnl" w:eastAsia="en-US"/>
        </w:rPr>
        <w:t xml:space="preserve"> .</w:t>
      </w:r>
    </w:p>
    <w:p w:rsidRPr="00524963" w:rsidR="00524963" w:rsidP="00524963" w:rsidRDefault="00524963" w14:paraId="2F2B973A" w14:textId="77777777">
      <w:pPr>
        <w:shd w:val="clear" w:color="auto" w:fill="FFFFFF"/>
        <w:spacing w:line="276" w:lineRule="auto"/>
        <w:ind w:firstLine="709"/>
        <w:jc w:val="both"/>
        <w:rPr>
          <w:rFonts w:ascii="Arial" w:hAnsi="Arial" w:eastAsia="Calibri" w:cs="Arial"/>
          <w:sz w:val="22"/>
          <w:szCs w:val="22"/>
          <w:lang w:val="es-ES_tradnl" w:eastAsia="x-none"/>
        </w:rPr>
      </w:pPr>
    </w:p>
    <w:p w:rsidRPr="00524963" w:rsidR="00524963" w:rsidP="0051212F" w:rsidRDefault="00524963" w14:paraId="365550C8" w14:textId="27C20A82">
      <w:pPr>
        <w:spacing w:line="276" w:lineRule="auto"/>
        <w:ind w:firstLine="708"/>
        <w:jc w:val="both"/>
        <w:rPr>
          <w:rFonts w:ascii="Arial" w:hAnsi="Arial" w:eastAsia="Calibri" w:cs="Arial"/>
          <w:bCs/>
          <w:sz w:val="22"/>
          <w:szCs w:val="22"/>
          <w:lang w:val="es-ES_tradnl" w:eastAsia="x-none"/>
        </w:rPr>
      </w:pPr>
      <w:r w:rsidRPr="00524963">
        <w:rPr>
          <w:rFonts w:ascii="Arial" w:hAnsi="Arial" w:eastAsia="Calibri" w:cs="Arial"/>
          <w:sz w:val="22"/>
          <w:szCs w:val="22"/>
          <w:lang w:val="es-ES_tradnl" w:eastAsia="x-none"/>
        </w:rPr>
        <w:t xml:space="preserve">De acuerdo con el citado concepto, la prohibición del artículo 33 de la Ley de Garantías Electorales se refiere a </w:t>
      </w:r>
      <w:r w:rsidRPr="00524963">
        <w:rPr>
          <w:rFonts w:ascii="Arial" w:hAnsi="Arial" w:eastAsia="Calibri" w:cs="Arial"/>
          <w:sz w:val="19"/>
          <w:szCs w:val="19"/>
          <w:lang w:val="es-ES_tradnl" w:eastAsia="en-GB"/>
        </w:rPr>
        <w:t>«</w:t>
      </w:r>
      <w:r w:rsidRPr="00524963">
        <w:rPr>
          <w:rFonts w:ascii="Arial" w:hAnsi="Arial" w:eastAsia="Calibri" w:cs="Arial"/>
          <w:sz w:val="22"/>
          <w:szCs w:val="22"/>
          <w:lang w:val="es-ES_tradnl" w:eastAsia="x-none"/>
        </w:rPr>
        <w:t>cualquier sistema que no implique convocatoria pública y posibilidad de pluralidad de oferentes</w:t>
      </w:r>
      <w:r w:rsidRPr="00524963">
        <w:rPr>
          <w:rFonts w:ascii="Arial" w:hAnsi="Arial" w:eastAsia="Calibri" w:cs="Arial"/>
          <w:sz w:val="22"/>
          <w:szCs w:val="22"/>
          <w:lang w:val="es-ES_tradnl" w:eastAsia="en-GB"/>
        </w:rPr>
        <w:t>»</w:t>
      </w:r>
      <w:r w:rsidRPr="00524963">
        <w:rPr>
          <w:rFonts w:ascii="Arial" w:hAnsi="Arial" w:eastAsia="Calibri" w:cs="Arial"/>
          <w:sz w:val="22"/>
          <w:szCs w:val="22"/>
          <w:lang w:val="es-ES_tradnl" w:eastAsia="x-none"/>
        </w:rPr>
        <w:t xml:space="preserve">, por lo </w:t>
      </w:r>
      <w:r w:rsidRPr="00524963">
        <w:rPr>
          <w:rFonts w:ascii="Arial" w:hAnsi="Arial" w:eastAsia="Calibri" w:cs="Arial"/>
          <w:sz w:val="22"/>
          <w:szCs w:val="22"/>
          <w:lang w:val="es-ES_tradnl" w:eastAsia="x-none"/>
        </w:rPr>
        <w:t>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524963">
        <w:rPr>
          <w:rFonts w:ascii="Arial" w:hAnsi="Arial" w:eastAsia="Calibri" w:cs="Arial"/>
          <w:sz w:val="22"/>
          <w:szCs w:val="22"/>
          <w:vertAlign w:val="superscript"/>
          <w:lang w:eastAsia="en-US"/>
        </w:rPr>
        <w:footnoteReference w:id="15"/>
      </w:r>
      <w:r w:rsidRPr="00524963">
        <w:rPr>
          <w:rFonts w:ascii="Arial" w:hAnsi="Arial" w:eastAsia="Calibri" w:cs="Arial"/>
          <w:sz w:val="22"/>
          <w:szCs w:val="22"/>
          <w:lang w:val="es-ES_tradnl" w:eastAsia="x-none"/>
        </w:rPr>
        <w:t xml:space="preserve"> y sistematizó las causales de contratación directa</w:t>
      </w:r>
      <w:r w:rsidRPr="00524963">
        <w:rPr>
          <w:rFonts w:ascii="Arial" w:hAnsi="Arial" w:eastAsia="Calibri" w:cs="Arial"/>
          <w:sz w:val="22"/>
          <w:szCs w:val="22"/>
          <w:vertAlign w:val="superscript"/>
          <w:lang w:eastAsia="en-US"/>
        </w:rPr>
        <w:footnoteReference w:id="16"/>
      </w:r>
      <w:r w:rsidR="00C54797">
        <w:rPr>
          <w:rFonts w:ascii="Arial" w:hAnsi="Arial" w:eastAsia="Calibri" w:cs="Arial"/>
          <w:sz w:val="22"/>
          <w:szCs w:val="22"/>
          <w:lang w:val="es-ES_tradnl" w:eastAsia="x-none"/>
        </w:rPr>
        <w:t>.</w:t>
      </w:r>
    </w:p>
    <w:p w:rsidRPr="00524963" w:rsidR="00524963" w:rsidP="0051212F" w:rsidRDefault="00524963" w14:paraId="0208D1CA" w14:textId="5A19E2AF">
      <w:pPr>
        <w:spacing w:before="120" w:line="276" w:lineRule="auto"/>
        <w:ind w:firstLine="708"/>
        <w:jc w:val="both"/>
        <w:rPr>
          <w:rFonts w:ascii="Arial" w:hAnsi="Arial" w:eastAsia="Calibri" w:cs="Arial"/>
          <w:sz w:val="22"/>
          <w:szCs w:val="22"/>
          <w:lang w:val="es-ES_tradnl" w:eastAsia="x-none"/>
        </w:rPr>
      </w:pPr>
      <w:r w:rsidRPr="00524963">
        <w:rPr>
          <w:rFonts w:ascii="Arial" w:hAnsi="Arial" w:eastAsia="Calibri" w:cs="Arial"/>
          <w:sz w:val="22"/>
          <w:szCs w:val="22"/>
          <w:lang w:val="es-ES_tradnl" w:eastAsia="x-none"/>
        </w:rPr>
        <w:t xml:space="preserve">De esta forma, se ha depurado la noción de </w:t>
      </w:r>
      <w:r w:rsidRPr="00524963">
        <w:rPr>
          <w:rFonts w:ascii="Arial" w:hAnsi="Arial" w:eastAsia="Calibri" w:cs="Arial"/>
          <w:sz w:val="22"/>
          <w:szCs w:val="22"/>
          <w:lang w:val="es-ES_tradnl" w:eastAsia="en-GB"/>
        </w:rPr>
        <w:t>«</w:t>
      </w:r>
      <w:r w:rsidRPr="00524963">
        <w:rPr>
          <w:rFonts w:ascii="Arial" w:hAnsi="Arial" w:eastAsia="Calibri" w:cs="Arial"/>
          <w:sz w:val="22"/>
          <w:szCs w:val="22"/>
          <w:lang w:val="es-ES_tradnl" w:eastAsia="x-none"/>
        </w:rPr>
        <w:t>contratación directa</w:t>
      </w:r>
      <w:r w:rsidRPr="00524963">
        <w:rPr>
          <w:rFonts w:ascii="Arial" w:hAnsi="Arial" w:eastAsia="Calibri" w:cs="Arial"/>
          <w:sz w:val="22"/>
          <w:szCs w:val="22"/>
          <w:lang w:val="es-ES_tradnl" w:eastAsia="en-GB"/>
        </w:rPr>
        <w:t>»</w:t>
      </w:r>
      <w:r w:rsidRPr="00524963">
        <w:rPr>
          <w:rFonts w:ascii="Arial" w:hAnsi="Arial" w:eastAsia="Calibri" w:cs="Arial"/>
          <w:sz w:val="22"/>
          <w:szCs w:val="22"/>
          <w:lang w:val="es-ES_tradnl" w:eastAsia="x-none"/>
        </w:rPr>
        <w:t xml:space="preserve">, precisando el Consejo de Estado –en el concepto citado– que, «aun cuando no coincide única y exactamente con la regulación que de dicho sistema de selección hace el artículo 2º de la Ley 1150 de 2007, tampoco puede afirmarse </w:t>
      </w:r>
      <w:r w:rsidRPr="00524963">
        <w:rPr>
          <w:rFonts w:ascii="Arial" w:hAnsi="Arial" w:eastAsia="Calibri" w:cs="Arial"/>
          <w:sz w:val="22"/>
          <w:szCs w:val="22"/>
          <w:lang w:val="es-ES_tradnl" w:eastAsia="x-none"/>
        </w:rPr>
        <w:t>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24963">
        <w:rPr>
          <w:rFonts w:ascii="Arial" w:hAnsi="Arial" w:eastAsia="Calibri" w:cs="Arial"/>
          <w:sz w:val="22"/>
          <w:szCs w:val="22"/>
          <w:vertAlign w:val="superscript"/>
          <w:lang w:eastAsia="en-US"/>
        </w:rPr>
        <w:footnoteReference w:id="17"/>
      </w:r>
      <w:r w:rsidRPr="00524963">
        <w:rPr>
          <w:rFonts w:ascii="Arial" w:hAnsi="Arial" w:eastAsia="Calibri" w:cs="Arial"/>
          <w:sz w:val="22"/>
          <w:szCs w:val="22"/>
          <w:lang w:val="es-ES_tradnl" w:eastAsia="x-none"/>
        </w:rPr>
        <w:t>, han establecido sistemas de contratación que implican convocatoria pública y participación de varios oferentes</w:t>
      </w:r>
      <w:r w:rsidRPr="00524963">
        <w:rPr>
          <w:rFonts w:ascii="Arial" w:hAnsi="Arial" w:eastAsia="Calibri" w:cs="Arial"/>
          <w:sz w:val="22"/>
          <w:szCs w:val="22"/>
          <w:lang w:val="es-ES_tradnl" w:eastAsia="en-GB"/>
        </w:rPr>
        <w:t>»</w:t>
      </w:r>
      <w:r w:rsidRPr="00524963">
        <w:rPr>
          <w:rFonts w:ascii="Arial" w:hAnsi="Arial" w:eastAsia="Calibri" w:cs="Arial"/>
          <w:sz w:val="22"/>
          <w:szCs w:val="22"/>
          <w:lang w:val="es-ES_tradnl" w:eastAsia="x-none"/>
        </w:rPr>
        <w:t xml:space="preserve">. </w:t>
      </w:r>
    </w:p>
    <w:p w:rsidRPr="00524963" w:rsidR="00524963" w:rsidP="0051212F" w:rsidRDefault="00524963" w14:paraId="2764F0A6" w14:textId="77777777">
      <w:pPr>
        <w:spacing w:before="120" w:line="276" w:lineRule="auto"/>
        <w:ind w:firstLine="708"/>
        <w:jc w:val="both"/>
        <w:rPr>
          <w:rFonts w:ascii="Arial" w:hAnsi="Arial" w:eastAsia="Calibri" w:cs="Arial"/>
          <w:bCs/>
          <w:sz w:val="22"/>
          <w:szCs w:val="22"/>
          <w:lang w:val="es-ES_tradnl" w:eastAsia="es-CO"/>
        </w:rPr>
      </w:pPr>
      <w:r w:rsidRPr="00524963">
        <w:rPr>
          <w:rFonts w:ascii="Arial" w:hAnsi="Arial" w:eastAsia="Calibri" w:cs="Arial"/>
          <w:bCs/>
          <w:sz w:val="22"/>
          <w:szCs w:val="22"/>
          <w:lang w:val="es-ES_tradnl" w:eastAsia="x-none"/>
        </w:rPr>
        <w:t>E</w:t>
      </w:r>
      <w:r w:rsidRPr="00524963">
        <w:rPr>
          <w:rFonts w:ascii="Arial" w:hAnsi="Arial" w:eastAsia="Calibri" w:cs="Arial"/>
          <w:sz w:val="22"/>
          <w:szCs w:val="22"/>
          <w:lang w:val="es-ES_tradnl"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524963">
        <w:rPr>
          <w:rFonts w:ascii="Arial" w:hAnsi="Arial" w:eastAsia="Calibri" w:cs="Arial"/>
          <w:sz w:val="22"/>
          <w:szCs w:val="22"/>
          <w:lang w:val="es-ES_tradnl" w:eastAsia="x-none"/>
        </w:rPr>
        <w:lastRenderedPageBreak/>
        <w:t>convocatoria para inscribirse en forma previa se haga de manera pública, y que se permita la participación de una pluralidad de oferentes</w:t>
      </w:r>
      <w:r w:rsidRPr="00524963">
        <w:rPr>
          <w:rFonts w:ascii="Arial" w:hAnsi="Arial" w:eastAsia="Calibri" w:cs="Arial"/>
          <w:sz w:val="22"/>
          <w:szCs w:val="22"/>
          <w:vertAlign w:val="superscript"/>
          <w:lang w:eastAsia="en-US"/>
        </w:rPr>
        <w:footnoteReference w:id="18"/>
      </w:r>
      <w:r w:rsidRPr="00524963">
        <w:rPr>
          <w:rFonts w:ascii="Arial" w:hAnsi="Arial" w:eastAsia="Calibri" w:cs="Arial"/>
          <w:sz w:val="22"/>
          <w:szCs w:val="22"/>
          <w:lang w:val="es-ES_tradnl" w:eastAsia="x-none"/>
        </w:rPr>
        <w:t xml:space="preserve">. </w:t>
      </w:r>
    </w:p>
    <w:p w:rsidRPr="00524963" w:rsidR="00524963" w:rsidP="0051212F" w:rsidRDefault="00524963" w14:paraId="6670E7F9" w14:textId="77777777">
      <w:pPr>
        <w:spacing w:before="120" w:line="276" w:lineRule="auto"/>
        <w:ind w:firstLine="708"/>
        <w:jc w:val="both"/>
        <w:rPr>
          <w:rFonts w:ascii="Arial" w:hAnsi="Arial" w:eastAsia="Calibri" w:cs="Arial"/>
          <w:bCs/>
          <w:sz w:val="22"/>
          <w:szCs w:val="22"/>
          <w:lang w:val="es-ES_tradnl" w:eastAsia="es-CO"/>
        </w:rPr>
      </w:pPr>
      <w:r w:rsidRPr="00524963">
        <w:rPr>
          <w:rFonts w:ascii="Arial" w:hAnsi="Arial" w:eastAsia="Calibri" w:cs="Arial"/>
          <w:bCs/>
          <w:sz w:val="22"/>
          <w:szCs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rsidRPr="00524963" w:rsidR="00524963" w:rsidP="0051212F" w:rsidRDefault="00524963" w14:paraId="148019DF" w14:textId="77777777">
      <w:pPr>
        <w:spacing w:before="120" w:line="276" w:lineRule="auto"/>
        <w:ind w:firstLine="708"/>
        <w:jc w:val="both"/>
        <w:rPr>
          <w:rFonts w:ascii="Arial" w:hAnsi="Arial" w:eastAsia="Calibri" w:cs="Arial"/>
          <w:bCs/>
          <w:sz w:val="22"/>
          <w:szCs w:val="22"/>
          <w:lang w:val="es-ES_tradnl" w:eastAsia="x-none"/>
        </w:rPr>
      </w:pPr>
      <w:r w:rsidRPr="00524963">
        <w:rPr>
          <w:rFonts w:ascii="Arial" w:hAnsi="Arial" w:eastAsia="Calibri" w:cs="Arial"/>
          <w:bCs/>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24963">
        <w:rPr>
          <w:rFonts w:ascii="Arial" w:hAnsi="Arial" w:eastAsia="Calibri" w:cs="Arial"/>
          <w:sz w:val="22"/>
          <w:szCs w:val="22"/>
          <w:vertAlign w:val="superscript"/>
          <w:lang w:eastAsia="en-US"/>
        </w:rPr>
        <w:footnoteReference w:id="19"/>
      </w:r>
      <w:r w:rsidRPr="00524963">
        <w:rPr>
          <w:rFonts w:ascii="Arial" w:hAnsi="Arial" w:eastAsia="Calibri" w:cs="Arial"/>
          <w:bCs/>
          <w:sz w:val="22"/>
          <w:szCs w:val="22"/>
          <w:lang w:val="es-ES_tradnl" w:eastAsia="x-none"/>
        </w:rPr>
        <w:t>.</w:t>
      </w:r>
      <w:r w:rsidRPr="00524963">
        <w:rPr>
          <w:rFonts w:ascii="Arial" w:hAnsi="Arial" w:eastAsia="Calibri" w:cs="Arial"/>
          <w:sz w:val="22"/>
          <w:szCs w:val="22"/>
          <w:vertAlign w:val="superscript"/>
          <w:lang w:val="es-ES_tradnl" w:eastAsia="x-none"/>
        </w:rPr>
        <w:t xml:space="preserve"> </w:t>
      </w:r>
    </w:p>
    <w:p w:rsidRPr="00524963" w:rsidR="00524963" w:rsidP="0051212F" w:rsidRDefault="00524963" w14:paraId="116D2E65" w14:textId="77777777">
      <w:pPr>
        <w:spacing w:before="120" w:line="276" w:lineRule="auto"/>
        <w:ind w:firstLine="708"/>
        <w:jc w:val="both"/>
        <w:rPr>
          <w:rFonts w:ascii="Arial" w:hAnsi="Arial" w:eastAsia="Calibri" w:cs="Arial"/>
          <w:sz w:val="22"/>
          <w:szCs w:val="22"/>
          <w:lang w:val="es-ES_tradnl" w:eastAsia="x-none"/>
        </w:rPr>
      </w:pPr>
      <w:r w:rsidRPr="00524963">
        <w:rPr>
          <w:rFonts w:ascii="Arial" w:hAnsi="Arial" w:eastAsia="Calibri"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524963">
        <w:rPr>
          <w:rFonts w:ascii="Arial" w:hAnsi="Arial" w:eastAsia="Calibri" w:cs="Arial"/>
          <w:sz w:val="22"/>
          <w:szCs w:val="22"/>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rsidRPr="00524963" w:rsidR="00524963" w:rsidP="0051212F" w:rsidRDefault="00524963" w14:paraId="24999CE1" w14:textId="77777777">
      <w:pPr>
        <w:spacing w:before="120" w:line="276" w:lineRule="auto"/>
        <w:ind w:firstLine="708"/>
        <w:jc w:val="both"/>
        <w:rPr>
          <w:rFonts w:ascii="Arial" w:hAnsi="Arial" w:eastAsia="Calibri" w:cs="Arial"/>
          <w:bCs/>
          <w:sz w:val="22"/>
          <w:szCs w:val="22"/>
          <w:lang w:val="es-ES_tradnl" w:eastAsia="x-none"/>
        </w:rPr>
      </w:pPr>
      <w:r w:rsidRPr="00524963">
        <w:rPr>
          <w:rFonts w:ascii="Arial" w:hAnsi="Arial" w:eastAsia="Calibri" w:cs="Arial"/>
          <w:bCs/>
          <w:sz w:val="22"/>
          <w:szCs w:val="22"/>
          <w:lang w:val="es-ES_tradnl" w:eastAsia="es-CO"/>
        </w:rPr>
        <w:t xml:space="preserve">Como en otras oportunidades lo ha manifestado esta Agencia, las prórrogas, modificaciones o adiciones de los contratos suscritos antes de la </w:t>
      </w:r>
      <w:proofErr w:type="gramStart"/>
      <w:r w:rsidRPr="00524963">
        <w:rPr>
          <w:rFonts w:ascii="Arial" w:hAnsi="Arial" w:eastAsia="Calibri" w:cs="Arial"/>
          <w:bCs/>
          <w:sz w:val="22"/>
          <w:szCs w:val="22"/>
          <w:lang w:val="es-ES_tradnl" w:eastAsia="es-CO"/>
        </w:rPr>
        <w:t>entrada en vigencia</w:t>
      </w:r>
      <w:proofErr w:type="gramEnd"/>
      <w:r w:rsidRPr="00524963">
        <w:rPr>
          <w:rFonts w:ascii="Arial" w:hAnsi="Arial" w:eastAsia="Calibri" w:cs="Arial"/>
          <w:bCs/>
          <w:sz w:val="22"/>
          <w:szCs w:val="22"/>
          <w:lang w:val="es-ES_tradnl" w:eastAsia="es-CO"/>
        </w:rPr>
        <w:t xml:space="preserve"> de las prohibiciones anotadas, así como la cesión de los mismos, pueden tener lugar en el período de aplicación de la Ley de Garantías</w:t>
      </w:r>
      <w:r w:rsidRPr="00524963">
        <w:rPr>
          <w:rFonts w:ascii="Arial" w:hAnsi="Arial" w:eastAsia="Calibri" w:cs="Arial"/>
          <w:sz w:val="22"/>
          <w:szCs w:val="22"/>
          <w:vertAlign w:val="superscript"/>
          <w:lang w:eastAsia="en-US"/>
        </w:rPr>
        <w:footnoteReference w:id="20"/>
      </w:r>
      <w:r w:rsidRPr="00524963">
        <w:rPr>
          <w:rFonts w:ascii="Arial" w:hAnsi="Arial" w:eastAsia="Calibri" w:cs="Arial"/>
          <w:bCs/>
          <w:sz w:val="22"/>
          <w:szCs w:val="22"/>
          <w:lang w:val="es-ES_tradnl" w:eastAsia="es-CO"/>
        </w:rPr>
        <w:t>. Esto sin que ello haga nugatoria la restricción de la contratación directa y siempre que cumplan los principios de planeación, transparencia y responsabilidad.</w:t>
      </w:r>
    </w:p>
    <w:p w:rsidRPr="00524963" w:rsidR="00524963" w:rsidP="0051212F" w:rsidRDefault="00524963" w14:paraId="34242274" w14:textId="77777777">
      <w:pPr>
        <w:spacing w:before="120" w:line="276" w:lineRule="auto"/>
        <w:ind w:firstLine="708"/>
        <w:jc w:val="both"/>
        <w:rPr>
          <w:rFonts w:ascii="Arial" w:hAnsi="Arial" w:eastAsia="Calibri" w:cs="Arial"/>
          <w:bCs/>
          <w:sz w:val="22"/>
          <w:szCs w:val="22"/>
          <w:lang w:val="es-ES_tradnl" w:eastAsia="es-CO"/>
        </w:rPr>
      </w:pPr>
      <w:r w:rsidRPr="00524963">
        <w:rPr>
          <w:rFonts w:ascii="Arial" w:hAnsi="Arial" w:eastAsia="Calibri" w:cs="Arial"/>
          <w:bCs/>
          <w:sz w:val="22"/>
          <w:szCs w:val="22"/>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524963">
        <w:rPr>
          <w:rFonts w:ascii="Arial" w:hAnsi="Arial" w:eastAsia="Calibri" w:cs="Arial"/>
          <w:bCs/>
          <w:sz w:val="22"/>
          <w:szCs w:val="22"/>
          <w:lang w:val="es-ES_tradnl" w:eastAsia="x-none"/>
        </w:rPr>
        <w:t>ii</w:t>
      </w:r>
      <w:proofErr w:type="spellEnd"/>
      <w:r w:rsidRPr="00524963">
        <w:rPr>
          <w:rFonts w:ascii="Arial" w:hAnsi="Arial" w:eastAsia="Calibri" w:cs="Arial"/>
          <w:bCs/>
          <w:sz w:val="22"/>
          <w:szCs w:val="22"/>
          <w:lang w:val="es-ES_tradnl" w:eastAsia="x-none"/>
        </w:rPr>
        <w:t xml:space="preserve">) los contratos de crédito público; </w:t>
      </w:r>
      <w:proofErr w:type="spellStart"/>
      <w:r w:rsidRPr="00524963">
        <w:rPr>
          <w:rFonts w:ascii="Arial" w:hAnsi="Arial" w:eastAsia="Calibri" w:cs="Arial"/>
          <w:bCs/>
          <w:sz w:val="22"/>
          <w:szCs w:val="22"/>
          <w:lang w:val="es-ES_tradnl" w:eastAsia="x-none"/>
        </w:rPr>
        <w:t>iii</w:t>
      </w:r>
      <w:proofErr w:type="spellEnd"/>
      <w:r w:rsidRPr="00524963">
        <w:rPr>
          <w:rFonts w:ascii="Arial" w:hAnsi="Arial" w:eastAsia="Calibri" w:cs="Arial"/>
          <w:bCs/>
          <w:sz w:val="22"/>
          <w:szCs w:val="22"/>
          <w:lang w:val="es-ES_tradnl" w:eastAsia="x-none"/>
        </w:rPr>
        <w:t xml:space="preserve">) </w:t>
      </w:r>
      <w:r w:rsidRPr="00524963">
        <w:rPr>
          <w:rFonts w:ascii="Arial" w:hAnsi="Arial" w:eastAsia="Calibri" w:cs="Arial"/>
          <w:bCs/>
          <w:sz w:val="22"/>
          <w:szCs w:val="22"/>
          <w:lang w:val="es-ES_tradnl" w:eastAsia="x-none"/>
        </w:rPr>
        <w:lastRenderedPageBreak/>
        <w:t xml:space="preserve">los requeridos para cubrir las emergencias educativas, sanitarias y desastres; </w:t>
      </w:r>
      <w:proofErr w:type="spellStart"/>
      <w:r w:rsidRPr="00524963">
        <w:rPr>
          <w:rFonts w:ascii="Arial" w:hAnsi="Arial" w:eastAsia="Calibri" w:cs="Arial"/>
          <w:bCs/>
          <w:sz w:val="22"/>
          <w:szCs w:val="22"/>
          <w:lang w:val="es-ES_tradnl" w:eastAsia="x-none"/>
        </w:rPr>
        <w:t>iv</w:t>
      </w:r>
      <w:proofErr w:type="spellEnd"/>
      <w:r w:rsidRPr="00524963">
        <w:rPr>
          <w:rFonts w:ascii="Arial" w:hAnsi="Arial" w:eastAsia="Calibri" w:cs="Arial"/>
          <w:bCs/>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24963">
        <w:rPr>
          <w:rFonts w:ascii="Arial" w:hAnsi="Arial" w:eastAsia="Calibri"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524963" w:rsidR="00524963" w:rsidP="0051212F" w:rsidRDefault="00524963" w14:paraId="694A9740" w14:textId="77777777">
      <w:pPr>
        <w:spacing w:before="120" w:line="276" w:lineRule="auto"/>
        <w:ind w:firstLine="708"/>
        <w:jc w:val="both"/>
        <w:rPr>
          <w:rFonts w:ascii="Arial" w:hAnsi="Arial" w:eastAsia="Calibri" w:cs="Arial"/>
          <w:bCs/>
          <w:sz w:val="22"/>
          <w:szCs w:val="22"/>
          <w:lang w:val="es-ES_tradnl" w:eastAsia="x-none"/>
        </w:rPr>
      </w:pPr>
      <w:r w:rsidRPr="00524963">
        <w:rPr>
          <w:rFonts w:ascii="Arial" w:hAnsi="Arial" w:eastAsia="Calibri" w:cs="Arial"/>
          <w:bCs/>
          <w:sz w:val="22"/>
          <w:szCs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24963">
        <w:rPr>
          <w:rFonts w:ascii="Arial" w:hAnsi="Arial" w:eastAsia="Calibri" w:cs="Arial"/>
          <w:sz w:val="22"/>
          <w:szCs w:val="22"/>
          <w:vertAlign w:val="superscript"/>
          <w:lang w:eastAsia="en-US"/>
        </w:rPr>
        <w:footnoteReference w:id="21"/>
      </w:r>
      <w:r w:rsidRPr="00524963">
        <w:rPr>
          <w:rFonts w:ascii="Arial" w:hAnsi="Arial" w:eastAsia="Calibri" w:cs="Arial"/>
          <w:bCs/>
          <w:sz w:val="22"/>
          <w:szCs w:val="22"/>
          <w:lang w:val="es-ES_tradnl" w:eastAsia="x-none"/>
        </w:rPr>
        <w:t xml:space="preserve">. De ahí que la Corte haya </w:t>
      </w:r>
      <w:r w:rsidRPr="00524963">
        <w:rPr>
          <w:rFonts w:ascii="Arial" w:hAnsi="Arial" w:eastAsia="Calibri" w:cs="Arial"/>
          <w:bCs/>
          <w:sz w:val="22"/>
          <w:szCs w:val="22"/>
          <w:lang w:val="es-ES_tradnl" w:eastAsia="x-none"/>
        </w:rPr>
        <w:t>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rsidRPr="00524963" w:rsidR="00524963" w:rsidP="00524963" w:rsidRDefault="00C54797" w14:paraId="6D996DA8" w14:textId="3F7D93F6">
      <w:pPr>
        <w:spacing w:before="120" w:line="276" w:lineRule="auto"/>
        <w:ind w:firstLine="709"/>
        <w:jc w:val="both"/>
        <w:rPr>
          <w:rFonts w:ascii="Arial" w:hAnsi="Arial" w:eastAsia="Calibri" w:cs="Arial"/>
          <w:bCs/>
          <w:sz w:val="22"/>
          <w:szCs w:val="22"/>
          <w:lang w:val="es-ES_tradnl" w:eastAsia="x-none"/>
        </w:rPr>
      </w:pPr>
      <w:r>
        <w:rPr>
          <w:rFonts w:ascii="Arial" w:hAnsi="Arial" w:eastAsia="Calibri" w:cs="Arial"/>
          <w:bCs/>
          <w:sz w:val="22"/>
          <w:szCs w:val="22"/>
          <w:lang w:val="es-ES_tradnl" w:eastAsia="x-none"/>
        </w:rPr>
        <w:t>Por lo demás, e</w:t>
      </w:r>
      <w:r w:rsidRPr="00524963" w:rsidR="00524963">
        <w:rPr>
          <w:rFonts w:ascii="Arial" w:hAnsi="Arial" w:eastAsia="Calibri" w:cs="Arial"/>
          <w:bCs/>
          <w:sz w:val="22"/>
          <w:szCs w:val="22"/>
          <w:lang w:val="es-ES_tradnl" w:eastAsia="x-none"/>
        </w:rPr>
        <w:t>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24963" w:rsidR="00524963">
        <w:rPr>
          <w:rFonts w:ascii="Arial" w:hAnsi="Arial" w:eastAsia="Calibri" w:cs="Arial"/>
          <w:sz w:val="22"/>
          <w:szCs w:val="22"/>
          <w:lang w:val="es-ES_tradnl" w:eastAsia="en-US"/>
        </w:rPr>
        <w:t xml:space="preserve"> </w:t>
      </w:r>
      <w:r w:rsidRPr="00524963" w:rsidR="00524963">
        <w:rPr>
          <w:rFonts w:ascii="Arial" w:hAnsi="Arial" w:eastAsia="Calibri" w:cs="Arial"/>
          <w:bCs/>
          <w:sz w:val="22"/>
          <w:szCs w:val="22"/>
          <w:lang w:val="es-ES_tradnl" w:eastAsia="x-none"/>
        </w:rPr>
        <w:t>En efecto, como lo ha sostenido el Consejo de Estado, el vocablo «todos» utilizado por el legislador comprende</w:t>
      </w:r>
      <w:r w:rsidRPr="00524963" w:rsidR="00524963">
        <w:rPr>
          <w:rFonts w:ascii="Arial" w:hAnsi="Arial" w:eastAsia="Calibri" w:cs="Arial"/>
          <w:sz w:val="22"/>
          <w:szCs w:val="22"/>
          <w:lang w:val="es-ES_tradnl" w:eastAsia="en-US"/>
        </w:rPr>
        <w:t xml:space="preserve"> </w:t>
      </w:r>
      <w:r w:rsidRPr="00524963" w:rsidR="00524963">
        <w:rPr>
          <w:rFonts w:ascii="Arial" w:hAnsi="Arial" w:eastAsia="Calibri" w:cs="Arial"/>
          <w:bCs/>
          <w:sz w:val="22"/>
          <w:szCs w:val="22"/>
          <w:lang w:val="es-ES_tradnl" w:eastAsia="x-none"/>
        </w:rPr>
        <w:t>a la totalidad de los entes del Estado, sin distinción del régimen jurídico</w:t>
      </w:r>
      <w:r w:rsidRPr="00524963" w:rsidR="00524963">
        <w:rPr>
          <w:rFonts w:ascii="Arial" w:hAnsi="Arial" w:eastAsia="Calibri" w:cs="Arial"/>
          <w:bCs/>
          <w:sz w:val="22"/>
          <w:szCs w:val="22"/>
          <w:lang w:val="es-ES_tradnl" w:eastAsia="x-none"/>
        </w:rPr>
        <w:t xml:space="preserve">,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 fecha 20 de febrero de 2006, consideró que: </w:t>
      </w:r>
    </w:p>
    <w:p w:rsidRPr="00524963" w:rsidR="00524963" w:rsidP="00524963" w:rsidRDefault="00524963" w14:paraId="3210A617" w14:textId="77777777">
      <w:pPr>
        <w:spacing w:line="276" w:lineRule="auto"/>
        <w:ind w:firstLine="708"/>
        <w:jc w:val="both"/>
        <w:rPr>
          <w:rFonts w:ascii="Arial" w:hAnsi="Arial" w:eastAsia="Calibri" w:cs="Arial"/>
          <w:bCs/>
          <w:sz w:val="22"/>
          <w:szCs w:val="22"/>
          <w:lang w:val="es-ES_tradnl" w:eastAsia="x-none"/>
        </w:rPr>
      </w:pPr>
    </w:p>
    <w:p w:rsidRPr="00524963" w:rsidR="00524963" w:rsidP="00524963" w:rsidRDefault="00524963" w14:paraId="43C09519" w14:textId="77777777">
      <w:pPr>
        <w:ind w:left="708" w:right="709"/>
        <w:jc w:val="both"/>
        <w:rPr>
          <w:rFonts w:ascii="Arial" w:hAnsi="Arial" w:eastAsia="Calibri" w:cs="Arial"/>
          <w:bCs/>
          <w:sz w:val="21"/>
          <w:szCs w:val="21"/>
          <w:lang w:val="es-ES_tradnl" w:eastAsia="es-CO"/>
        </w:rPr>
      </w:pPr>
      <w:r w:rsidRPr="00524963">
        <w:rPr>
          <w:rFonts w:ascii="Arial" w:hAnsi="Arial" w:eastAsia="Calibri" w:cs="Arial"/>
          <w:bCs/>
          <w:sz w:val="21"/>
          <w:szCs w:val="21"/>
          <w:lang w:val="es-ES_tradnl" w:eastAsia="x-none"/>
        </w:rPr>
        <w:t xml:space="preserve">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w:t>
      </w:r>
      <w:r w:rsidRPr="00524963">
        <w:rPr>
          <w:rFonts w:ascii="Arial" w:hAnsi="Arial" w:eastAsia="Calibri" w:cs="Arial"/>
          <w:bCs/>
          <w:sz w:val="21"/>
          <w:szCs w:val="21"/>
          <w:lang w:val="es-ES_tradnl" w:eastAsia="x-none"/>
        </w:rPr>
        <w:lastRenderedPageBreak/>
        <w:t xml:space="preserve">industriales y comerciales del Estado) y a los municipios prestadores directos, incluyendo las </w:t>
      </w:r>
      <w:r w:rsidRPr="00524963">
        <w:rPr>
          <w:rFonts w:ascii="Arial" w:hAnsi="Arial" w:eastAsia="Calibri" w:cs="Arial"/>
          <w:bCs/>
          <w:sz w:val="21"/>
          <w:szCs w:val="21"/>
          <w:lang w:val="es-ES_tradnl" w:eastAsia="x-none"/>
        </w:rPr>
        <w:t>excepciones contenidas en el segundo inciso de esta norma</w:t>
      </w:r>
      <w:r w:rsidRPr="00524963">
        <w:rPr>
          <w:rFonts w:ascii="Arial" w:hAnsi="Arial" w:eastAsia="Calibri" w:cs="Arial"/>
          <w:sz w:val="21"/>
          <w:szCs w:val="21"/>
          <w:vertAlign w:val="superscript"/>
          <w:lang w:eastAsia="en-US"/>
        </w:rPr>
        <w:footnoteReference w:id="22"/>
      </w:r>
      <w:r w:rsidRPr="00524963">
        <w:rPr>
          <w:rFonts w:ascii="Arial" w:hAnsi="Arial" w:eastAsia="Calibri" w:cs="Arial"/>
          <w:bCs/>
          <w:sz w:val="21"/>
          <w:szCs w:val="21"/>
          <w:lang w:val="es-ES_tradnl" w:eastAsia="x-none"/>
        </w:rPr>
        <w:t>.</w:t>
      </w:r>
      <w:r w:rsidRPr="00524963">
        <w:rPr>
          <w:rFonts w:ascii="Arial" w:hAnsi="Arial" w:eastAsia="Calibri" w:cs="Arial"/>
          <w:bCs/>
          <w:sz w:val="21"/>
          <w:szCs w:val="21"/>
          <w:lang w:val="es-ES_tradnl" w:eastAsia="es-CO"/>
        </w:rPr>
        <w:t xml:space="preserve"> </w:t>
      </w:r>
    </w:p>
    <w:p w:rsidRPr="0040083B" w:rsidR="00524963" w:rsidP="00524963" w:rsidRDefault="00524963" w14:paraId="4E24CAA1" w14:textId="77777777">
      <w:pPr>
        <w:spacing w:line="276" w:lineRule="auto"/>
        <w:ind w:firstLine="708"/>
        <w:jc w:val="both"/>
        <w:rPr>
          <w:rFonts w:ascii="Arial" w:hAnsi="Arial" w:eastAsia="Calibri" w:cs="Arial"/>
          <w:bCs/>
          <w:sz w:val="22"/>
          <w:szCs w:val="22"/>
          <w:lang w:val="es-ES_tradnl" w:eastAsia="es-CO"/>
        </w:rPr>
      </w:pPr>
    </w:p>
    <w:p w:rsidRPr="00344D3C" w:rsidR="0040083B" w:rsidP="0040083B" w:rsidRDefault="0040083B" w14:paraId="2A6D1194" w14:textId="77777777">
      <w:pPr>
        <w:spacing w:line="276" w:lineRule="auto"/>
        <w:ind w:firstLine="708"/>
        <w:contextualSpacing/>
        <w:jc w:val="both"/>
        <w:rPr>
          <w:rFonts w:ascii="Arial" w:hAnsi="Arial" w:eastAsia="Calibri" w:cs="Arial"/>
          <w:sz w:val="22"/>
          <w:szCs w:val="22"/>
          <w:lang w:val="es-MX"/>
        </w:rPr>
      </w:pPr>
      <w:r w:rsidRPr="00344D3C">
        <w:rPr>
          <w:rFonts w:ascii="Arial" w:hAnsi="Arial" w:cs="Arial"/>
          <w:bCs/>
          <w:sz w:val="22"/>
          <w:szCs w:val="22"/>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name="_Hlk75635823" w:id="24"/>
      <w:r w:rsidRPr="00344D3C">
        <w:rPr>
          <w:rFonts w:ascii="Arial" w:hAnsi="Arial" w:cs="Arial"/>
          <w:bCs/>
          <w:sz w:val="22"/>
          <w:szCs w:val="22"/>
          <w:lang w:val="es-MX" w:eastAsia="x-none"/>
        </w:rPr>
        <w:t>»</w:t>
      </w:r>
      <w:bookmarkStart w:name="_Hlk75758868" w:id="25"/>
      <w:bookmarkStart w:name="_Hlk75741220" w:id="26"/>
      <w:bookmarkEnd w:id="24"/>
      <w:r w:rsidRPr="00344D3C">
        <w:rPr>
          <w:rFonts w:ascii="Arial" w:hAnsi="Arial" w:eastAsia="Calibri" w:cs="Arial"/>
          <w:sz w:val="22"/>
          <w:szCs w:val="22"/>
          <w:vertAlign w:val="superscript"/>
          <w:lang w:val="es-MX"/>
        </w:rPr>
        <w:footnoteReference w:id="23"/>
      </w:r>
      <w:bookmarkEnd w:id="25"/>
      <w:bookmarkEnd w:id="26"/>
      <w:r w:rsidRPr="00344D3C">
        <w:rPr>
          <w:rFonts w:ascii="Arial" w:hAnsi="Arial" w:cs="Arial"/>
          <w:bCs/>
          <w:sz w:val="22"/>
          <w:szCs w:val="22"/>
          <w:lang w:val="es-MX" w:eastAsia="x-none"/>
        </w:rPr>
        <w:t>.</w:t>
      </w:r>
      <w:r w:rsidRPr="00344D3C">
        <w:rPr>
          <w:rFonts w:ascii="Arial" w:hAnsi="Arial" w:eastAsia="Calibri" w:cs="Arial"/>
          <w:sz w:val="22"/>
          <w:szCs w:val="22"/>
          <w:lang w:val="es-MX"/>
        </w:rPr>
        <w:t xml:space="preserve"> Sin embargo, debe precisarse el siguiente aspecto que distinguió la Sala de Consulta y Servicio Civil:</w:t>
      </w:r>
    </w:p>
    <w:p w:rsidRPr="00344D3C" w:rsidR="0040083B" w:rsidP="0040083B" w:rsidRDefault="0040083B" w14:paraId="354813F0" w14:textId="77777777">
      <w:pPr>
        <w:spacing w:line="276" w:lineRule="auto"/>
        <w:contextualSpacing/>
        <w:jc w:val="both"/>
        <w:rPr>
          <w:rFonts w:ascii="Arial" w:hAnsi="Arial" w:eastAsia="Calibri" w:cs="Arial"/>
          <w:sz w:val="22"/>
          <w:szCs w:val="22"/>
          <w:lang w:val="es-MX"/>
        </w:rPr>
      </w:pPr>
    </w:p>
    <w:p w:rsidRPr="006C314F" w:rsidR="0040083B" w:rsidP="0040083B" w:rsidRDefault="0040083B" w14:paraId="2931A85E" w14:textId="77777777">
      <w:pPr>
        <w:ind w:left="708" w:right="709"/>
        <w:contextualSpacing/>
        <w:jc w:val="both"/>
        <w:rPr>
          <w:rFonts w:ascii="Arial" w:hAnsi="Arial" w:eastAsia="Calibri" w:cs="Arial"/>
          <w:sz w:val="21"/>
          <w:szCs w:val="21"/>
          <w:lang w:val="es-MX"/>
        </w:rPr>
      </w:pPr>
      <w:bookmarkStart w:name="_Hlk75811446" w:id="28"/>
      <w:r w:rsidRPr="006C314F">
        <w:rPr>
          <w:rFonts w:ascii="Arial" w:hAnsi="Arial" w:eastAsia="Calibri"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28"/>
      <w:r w:rsidRPr="006C314F">
        <w:rPr>
          <w:rFonts w:ascii="Arial" w:hAnsi="Arial" w:eastAsia="Calibri" w:cs="Arial"/>
          <w:vertAlign w:val="superscript"/>
          <w:lang w:val="es-MX"/>
        </w:rPr>
        <w:footnoteReference w:id="24"/>
      </w:r>
      <w:r w:rsidRPr="006C314F">
        <w:rPr>
          <w:rFonts w:ascii="Arial" w:hAnsi="Arial" w:cs="Arial"/>
          <w:bCs/>
          <w:lang w:val="es-MX" w:eastAsia="x-none"/>
        </w:rPr>
        <w:t>.</w:t>
      </w:r>
    </w:p>
    <w:p w:rsidRPr="00344D3C" w:rsidR="0040083B" w:rsidP="0040083B" w:rsidRDefault="0040083B" w14:paraId="7114F13E" w14:textId="77777777">
      <w:pPr>
        <w:spacing w:line="276" w:lineRule="auto"/>
        <w:contextualSpacing/>
        <w:jc w:val="both"/>
        <w:rPr>
          <w:rFonts w:ascii="Arial" w:hAnsi="Arial" w:eastAsia="Calibri" w:cs="Arial"/>
          <w:sz w:val="22"/>
          <w:szCs w:val="22"/>
          <w:lang w:val="es-MX"/>
        </w:rPr>
      </w:pPr>
    </w:p>
    <w:p w:rsidRPr="00344D3C" w:rsidR="0040083B" w:rsidP="00344D3C" w:rsidRDefault="0040083B" w14:paraId="20BDBFA0" w14:textId="32F80199">
      <w:pPr>
        <w:spacing w:after="120" w:line="276" w:lineRule="auto"/>
        <w:ind w:firstLine="709"/>
        <w:jc w:val="both"/>
        <w:rPr>
          <w:rFonts w:ascii="Arial" w:hAnsi="Arial" w:cs="Arial"/>
          <w:bCs/>
          <w:sz w:val="22"/>
          <w:szCs w:val="22"/>
          <w:lang w:val="es-MX" w:eastAsia="x-none"/>
        </w:rPr>
      </w:pPr>
      <w:r w:rsidRPr="00344D3C">
        <w:rPr>
          <w:rFonts w:ascii="Arial" w:hAnsi="Arial" w:eastAsia="Calibri" w:cs="Arial"/>
          <w:sz w:val="22"/>
          <w:szCs w:val="22"/>
          <w:lang w:val="es-MX"/>
        </w:rPr>
        <w:t>Aplicando este razonamiento,</w:t>
      </w:r>
      <w:bookmarkStart w:name="_Hlk75811096" w:id="29"/>
      <w:r w:rsidRPr="00344D3C">
        <w:rPr>
          <w:rFonts w:ascii="Arial" w:hAnsi="Arial" w:eastAsia="Calibri" w:cs="Arial"/>
          <w:sz w:val="22"/>
          <w:szCs w:val="22"/>
          <w:lang w:val="es-MX"/>
        </w:rPr>
        <w:t xml:space="preserve"> se tiene que 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w:t>
      </w:r>
      <w:r w:rsidRPr="00344D3C">
        <w:rPr>
          <w:rFonts w:ascii="Arial" w:hAnsi="Arial" w:eastAsia="Calibri" w:cs="Arial"/>
          <w:sz w:val="22"/>
          <w:szCs w:val="22"/>
          <w:lang w:val="es-MX"/>
        </w:rPr>
        <w:lastRenderedPageBreak/>
        <w:t>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29"/>
      <w:r w:rsidRPr="00344D3C">
        <w:rPr>
          <w:rFonts w:ascii="Arial" w:hAnsi="Arial" w:eastAsia="Calibri" w:cs="Arial"/>
          <w:sz w:val="22"/>
          <w:szCs w:val="22"/>
          <w:lang w:val="es-MX"/>
        </w:rPr>
        <w:t>»</w:t>
      </w:r>
      <w:r w:rsidRPr="00344D3C">
        <w:rPr>
          <w:rFonts w:ascii="Arial" w:hAnsi="Arial" w:eastAsia="Calibri" w:cs="Arial"/>
          <w:sz w:val="22"/>
          <w:szCs w:val="22"/>
          <w:vertAlign w:val="superscript"/>
          <w:lang w:val="es-MX"/>
        </w:rPr>
        <w:t xml:space="preserve"> </w:t>
      </w:r>
      <w:r w:rsidRPr="00344D3C">
        <w:rPr>
          <w:rFonts w:ascii="Arial" w:hAnsi="Arial" w:eastAsia="Calibri" w:cs="Arial"/>
          <w:sz w:val="22"/>
          <w:szCs w:val="22"/>
          <w:vertAlign w:val="superscript"/>
          <w:lang w:val="es-MX"/>
        </w:rPr>
        <w:footnoteReference w:id="25"/>
      </w:r>
      <w:r w:rsidRPr="00344D3C">
        <w:rPr>
          <w:rFonts w:ascii="Arial" w:hAnsi="Arial" w:eastAsia="Calibri" w:cs="Arial"/>
          <w:sz w:val="22"/>
          <w:szCs w:val="22"/>
          <w:lang w:val="es-MX"/>
        </w:rPr>
        <w:t>.</w:t>
      </w:r>
    </w:p>
    <w:p w:rsidRPr="00524963" w:rsidR="00524963" w:rsidP="00524963" w:rsidRDefault="00524963" w14:paraId="747E6790" w14:textId="064B04B9">
      <w:pPr>
        <w:spacing w:line="276" w:lineRule="auto"/>
        <w:ind w:firstLine="708"/>
        <w:jc w:val="both"/>
        <w:rPr>
          <w:rFonts w:ascii="Arial" w:hAnsi="Arial" w:eastAsia="Calibri" w:cs="Arial"/>
          <w:bCs/>
          <w:sz w:val="22"/>
          <w:szCs w:val="22"/>
          <w:lang w:val="es-ES_tradnl" w:eastAsia="x-none"/>
        </w:rPr>
      </w:pPr>
      <w:r w:rsidRPr="00524963">
        <w:rPr>
          <w:rFonts w:ascii="Arial" w:hAnsi="Arial" w:eastAsia="Calibri" w:cs="Arial"/>
          <w:sz w:val="22"/>
          <w:szCs w:val="22"/>
          <w:lang w:val="es-ES_tradnl" w:eastAsia="en-US"/>
        </w:rPr>
        <w:t xml:space="preserve">Por lo tanto, la </w:t>
      </w:r>
      <w:r w:rsidRPr="00524963">
        <w:rPr>
          <w:rFonts w:ascii="Arial" w:hAnsi="Arial" w:eastAsia="Calibri" w:cs="Arial"/>
          <w:sz w:val="22"/>
          <w:szCs w:val="22"/>
          <w:lang w:val="es-ES_tradnl" w:eastAsia="en-US"/>
        </w:rPr>
        <w:t xml:space="preserve">restricción prevista en la Ley 996 de 2005, </w:t>
      </w:r>
      <w:r w:rsidRPr="00524963">
        <w:rPr>
          <w:rFonts w:ascii="Arial" w:hAnsi="Arial" w:eastAsia="Calibri"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w:t>
      </w:r>
      <w:r w:rsidR="00F850C0">
        <w:rPr>
          <w:rFonts w:ascii="Arial" w:hAnsi="Arial" w:eastAsia="Calibri" w:cs="Arial"/>
          <w:bCs/>
          <w:sz w:val="22"/>
          <w:szCs w:val="22"/>
          <w:lang w:val="es-ES_tradnl" w:eastAsia="x-none"/>
        </w:rPr>
        <w:t>el derecho privado</w:t>
      </w:r>
      <w:r w:rsidRPr="00524963">
        <w:rPr>
          <w:rFonts w:ascii="Arial" w:hAnsi="Arial" w:eastAsia="Calibri" w:cs="Arial"/>
          <w:bCs/>
          <w:sz w:val="22"/>
          <w:szCs w:val="22"/>
          <w:lang w:val="es-ES_tradnl" w:eastAsia="x-none"/>
        </w:rPr>
        <w:t>.</w:t>
      </w:r>
    </w:p>
    <w:p w:rsidRPr="007C421D" w:rsidR="00524963" w:rsidP="00524963" w:rsidRDefault="00524963" w14:paraId="305800CA" w14:textId="77777777">
      <w:pPr>
        <w:tabs>
          <w:tab w:val="left" w:pos="426"/>
        </w:tabs>
        <w:spacing w:line="276" w:lineRule="auto"/>
        <w:jc w:val="both"/>
        <w:rPr>
          <w:rFonts w:ascii="Arial" w:hAnsi="Arial" w:eastAsia="Calibri" w:cs="Arial"/>
          <w:bCs/>
          <w:sz w:val="22"/>
          <w:szCs w:val="22"/>
          <w:lang w:val="es-ES" w:eastAsia="es-CO"/>
        </w:rPr>
      </w:pPr>
    </w:p>
    <w:p w:rsidR="001428C2" w:rsidP="00037198" w:rsidRDefault="00524963" w14:paraId="657F10AF" w14:textId="391FA9D4">
      <w:pPr>
        <w:spacing w:line="276" w:lineRule="auto"/>
        <w:jc w:val="both"/>
        <w:rPr>
          <w:rFonts w:ascii="Arial" w:hAnsi="Arial" w:eastAsia="Calibri" w:cs="Arial"/>
          <w:sz w:val="22"/>
          <w:szCs w:val="22"/>
          <w:lang w:val="es-MX"/>
        </w:rPr>
      </w:pPr>
      <w:r w:rsidRPr="00524963">
        <w:rPr>
          <w:rFonts w:ascii="Arial" w:hAnsi="Arial" w:eastAsia="Calibri" w:cs="Arial"/>
          <w:b/>
          <w:bCs/>
          <w:color w:val="000000"/>
          <w:sz w:val="22"/>
          <w:szCs w:val="22"/>
          <w:lang w:eastAsia="en-US"/>
        </w:rPr>
        <w:t xml:space="preserve">2.3. </w:t>
      </w:r>
      <w:r w:rsidRPr="00037198" w:rsidR="00037198">
        <w:rPr>
          <w:rFonts w:ascii="Arial" w:hAnsi="Arial" w:cs="Arial"/>
          <w:b/>
          <w:bCs/>
          <w:color w:val="000000" w:themeColor="text1"/>
          <w:sz w:val="22"/>
          <w:szCs w:val="22"/>
        </w:rPr>
        <w:t>Contratos con organismos internacionales y restricciones de la Ley de Garantías para la contratación directa</w:t>
      </w:r>
    </w:p>
    <w:p w:rsidR="00037198" w:rsidP="001428C2" w:rsidRDefault="00037198" w14:paraId="2FCF9A58" w14:textId="77777777">
      <w:pPr>
        <w:snapToGrid w:val="0"/>
        <w:spacing w:line="276" w:lineRule="auto"/>
        <w:jc w:val="both"/>
        <w:rPr>
          <w:rFonts w:ascii="Arial" w:hAnsi="Arial" w:eastAsia="Calibri" w:cs="Arial"/>
          <w:bCs/>
          <w:sz w:val="22"/>
          <w:szCs w:val="22"/>
          <w:lang w:val="es-MX"/>
        </w:rPr>
      </w:pPr>
    </w:p>
    <w:p w:rsidRPr="00344D3C" w:rsidR="00037198" w:rsidRDefault="00037198" w14:paraId="08BDBB1B" w14:textId="77777777">
      <w:pPr>
        <w:spacing w:after="120" w:line="276" w:lineRule="auto"/>
        <w:jc w:val="both"/>
        <w:rPr>
          <w:rFonts w:ascii="Arial" w:hAnsi="Arial" w:cs="Arial"/>
          <w:sz w:val="22"/>
          <w:szCs w:val="22"/>
          <w:lang w:val="es-ES"/>
        </w:rPr>
      </w:pPr>
      <w:bookmarkStart w:name="_Hlk99449041" w:id="30"/>
      <w:r w:rsidRPr="00344D3C">
        <w:rPr>
          <w:rFonts w:ascii="Arial" w:hAnsi="Arial" w:cs="Arial"/>
          <w:sz w:val="22"/>
          <w:szCs w:val="22"/>
          <w:lang w:val="es-ES"/>
        </w:rPr>
        <w:t>Por organismo internacional se entiende aquella organización, grupo o asociación que se extiende más allá de las fronteras de un Estado y cuenta con órganos gubernamentales permanentes distintos e independientes de los Estados miembros de la organización que garantizan su vigencia y operatividad</w:t>
      </w:r>
      <w:r w:rsidRPr="00344D3C">
        <w:rPr>
          <w:rStyle w:val="Refdenotaalpie"/>
          <w:rFonts w:ascii="Arial" w:hAnsi="Arial" w:cs="Arial"/>
          <w:sz w:val="22"/>
          <w:szCs w:val="22"/>
        </w:rPr>
        <w:footnoteReference w:id="26"/>
      </w:r>
      <w:r w:rsidRPr="00344D3C">
        <w:rPr>
          <w:rFonts w:ascii="Arial" w:hAnsi="Arial" w:cs="Arial"/>
          <w:sz w:val="22"/>
          <w:szCs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rsidR="00037198" w:rsidP="00037198" w:rsidRDefault="00037198" w14:paraId="604646EF" w14:textId="36B9A4EE">
      <w:pPr>
        <w:pStyle w:val="Prrafodelista"/>
        <w:snapToGrid w:val="0"/>
        <w:spacing w:before="120" w:after="120" w:line="276" w:lineRule="auto"/>
        <w:ind w:left="0" w:firstLine="709"/>
        <w:jc w:val="both"/>
        <w:rPr>
          <w:rFonts w:ascii="Arial" w:hAnsi="Arial" w:eastAsia="Calibri" w:cs="Arial"/>
          <w:sz w:val="22"/>
        </w:rPr>
      </w:pPr>
      <w:bookmarkStart w:name="_Hlk99449078" w:id="31"/>
      <w:bookmarkStart w:name="_Hlk102401362" w:id="32"/>
      <w:bookmarkEnd w:id="30"/>
      <w:r w:rsidRPr="00037198">
        <w:rPr>
          <w:rFonts w:ascii="Arial" w:hAnsi="Arial" w:eastAsia="Calibri" w:cs="Arial"/>
          <w:sz w:val="22"/>
        </w:rPr>
        <w:t>El artículo 13 de la Ley 80 de 1993 regula de forma general el régimen aplicable a los contratos que celebren las entidades referidas en el artículo segundo del estatuto</w:t>
      </w:r>
      <w:r w:rsidRPr="00037198">
        <w:rPr>
          <w:rStyle w:val="Refdenotaalpie"/>
          <w:rFonts w:ascii="Arial" w:hAnsi="Arial" w:cs="Arial"/>
          <w:sz w:val="22"/>
        </w:rPr>
        <w:footnoteReference w:id="27"/>
      </w:r>
      <w:r w:rsidRPr="00037198">
        <w:rPr>
          <w:rFonts w:ascii="Arial" w:hAnsi="Arial" w:eastAsia="Calibri" w:cs="Arial"/>
          <w:sz w:val="22"/>
        </w:rPr>
        <w:t xml:space="preserve">, señalando en el inciso primero, como primer criterio, la aplicabilidad de las disposiciones civiles y comerciales nacionales, sin perjuicio de la aplicación prevalente de las contenidas </w:t>
      </w:r>
      <w:r w:rsidRPr="00037198">
        <w:rPr>
          <w:rFonts w:ascii="Arial" w:hAnsi="Arial" w:eastAsia="Calibri" w:cs="Arial"/>
          <w:sz w:val="22"/>
        </w:rPr>
        <w:lastRenderedPageBreak/>
        <w:t xml:space="preserve">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bookmarkEnd w:id="31"/>
    </w:p>
    <w:bookmarkEnd w:id="32"/>
    <w:p w:rsidRPr="00037198" w:rsidR="00037198" w:rsidP="00344D3C" w:rsidRDefault="00037198" w14:paraId="0AF9026D" w14:textId="77777777">
      <w:pPr>
        <w:pStyle w:val="Prrafodelista"/>
        <w:snapToGrid w:val="0"/>
        <w:spacing w:before="120" w:after="120" w:line="276" w:lineRule="auto"/>
        <w:ind w:left="0" w:firstLine="709"/>
        <w:jc w:val="both"/>
        <w:rPr>
          <w:rFonts w:ascii="Arial" w:hAnsi="Arial" w:eastAsia="Calibri" w:cs="Arial"/>
          <w:sz w:val="12"/>
          <w:szCs w:val="12"/>
        </w:rPr>
      </w:pPr>
    </w:p>
    <w:p w:rsidRPr="00037198" w:rsidR="00037198" w:rsidP="00344D3C" w:rsidRDefault="00037198" w14:paraId="031C21A9" w14:textId="77777777">
      <w:pPr>
        <w:pStyle w:val="Prrafodelista"/>
        <w:snapToGrid w:val="0"/>
        <w:spacing w:line="276" w:lineRule="auto"/>
        <w:ind w:left="0" w:firstLine="709"/>
        <w:jc w:val="both"/>
        <w:rPr>
          <w:rFonts w:ascii="Arial" w:hAnsi="Arial" w:eastAsia="Calibri" w:cs="Arial"/>
          <w:sz w:val="22"/>
        </w:rPr>
      </w:pPr>
      <w:r w:rsidRPr="00037198">
        <w:rPr>
          <w:rFonts w:ascii="Arial" w:hAnsi="Arial" w:eastAsia="Calibri"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rsidRPr="00037198" w:rsidR="00037198" w:rsidP="00344D3C" w:rsidRDefault="00037198" w14:paraId="6943F3E9" w14:textId="77777777">
      <w:pPr>
        <w:pStyle w:val="Prrafodelista"/>
        <w:snapToGrid w:val="0"/>
        <w:spacing w:line="276" w:lineRule="auto"/>
        <w:ind w:left="0" w:firstLine="709"/>
        <w:jc w:val="both"/>
        <w:rPr>
          <w:rFonts w:ascii="Arial" w:hAnsi="Arial" w:eastAsia="Calibri" w:cs="Arial"/>
          <w:sz w:val="22"/>
        </w:rPr>
      </w:pPr>
    </w:p>
    <w:p w:rsidRPr="00F807BA" w:rsidR="00037198" w:rsidP="00344D3C" w:rsidRDefault="00037198" w14:paraId="6EF10F3B" w14:textId="77777777">
      <w:pPr>
        <w:pStyle w:val="Prrafodelista"/>
        <w:ind w:left="709" w:right="709"/>
        <w:jc w:val="both"/>
        <w:rPr>
          <w:rFonts w:ascii="Arial" w:hAnsi="Arial" w:eastAsia="MS Mincho" w:cs="Arial"/>
          <w:sz w:val="21"/>
          <w:szCs w:val="21"/>
          <w:lang w:eastAsia="es-ES"/>
        </w:rPr>
      </w:pPr>
      <w:r w:rsidRPr="00F807BA">
        <w:rPr>
          <w:rFonts w:ascii="Arial" w:hAnsi="Arial" w:eastAsia="MS Mincho"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F807BA">
        <w:rPr>
          <w:rFonts w:ascii="Arial" w:hAnsi="Arial" w:eastAsia="MS Mincho" w:cs="Arial"/>
          <w:sz w:val="21"/>
          <w:szCs w:val="21"/>
          <w:lang w:eastAsia="es-ES"/>
        </w:rPr>
        <w:t>ii</w:t>
      </w:r>
      <w:proofErr w:type="spellEnd"/>
      <w:r w:rsidRPr="00F807BA">
        <w:rPr>
          <w:rFonts w:ascii="Arial" w:hAnsi="Arial" w:eastAsia="MS Mincho"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F807BA">
        <w:rPr>
          <w:rFonts w:ascii="Arial" w:hAnsi="Arial" w:eastAsia="MS Mincho" w:cs="Arial"/>
          <w:sz w:val="21"/>
          <w:szCs w:val="21"/>
          <w:lang w:eastAsia="es-ES"/>
        </w:rPr>
        <w:t>iii</w:t>
      </w:r>
      <w:proofErr w:type="spellEnd"/>
      <w:r w:rsidRPr="00F807BA">
        <w:rPr>
          <w:rFonts w:ascii="Arial" w:hAnsi="Arial" w:eastAsia="MS Mincho" w:cs="Arial"/>
          <w:sz w:val="21"/>
          <w:szCs w:val="21"/>
          <w:lang w:eastAsia="es-ES"/>
        </w:rPr>
        <w:t>) a) los contratos financiados con fondos de organismos multilaterales de crédito y b) aquellos celebrados con personas extranjeras de derecho público u organismos de cooperación, asistencia o ayudas internacionales, los cuales «podrán someterse a los reglamentos de tales entidades en todo lo relacionado con procedimientos de formación y adjudicación y cláusulas especiales de ejecución, cumplimiento, pagos y ajustes»</w:t>
      </w:r>
      <w:r w:rsidRPr="00F807BA">
        <w:rPr>
          <w:rStyle w:val="Refdenotaalpie"/>
          <w:rFonts w:ascii="Arial" w:hAnsi="Arial" w:cs="Arial"/>
          <w:sz w:val="21"/>
          <w:szCs w:val="21"/>
        </w:rPr>
        <w:footnoteReference w:id="28"/>
      </w:r>
      <w:r w:rsidRPr="00F807BA">
        <w:rPr>
          <w:rFonts w:ascii="Arial" w:hAnsi="Arial" w:eastAsia="MS Mincho" w:cs="Arial"/>
          <w:sz w:val="21"/>
          <w:szCs w:val="21"/>
          <w:lang w:eastAsia="es-ES"/>
        </w:rPr>
        <w:t xml:space="preserve">. </w:t>
      </w:r>
    </w:p>
    <w:p w:rsidRPr="00B32790" w:rsidR="00037198" w:rsidP="00037198" w:rsidRDefault="00037198" w14:paraId="30E23642" w14:textId="77777777">
      <w:pPr>
        <w:pStyle w:val="Prrafodelista"/>
        <w:spacing w:before="120"/>
        <w:ind w:left="851" w:right="709"/>
        <w:rPr>
          <w:rFonts w:ascii="Arial" w:hAnsi="Arial" w:eastAsia="Calibri" w:cs="Arial"/>
          <w:sz w:val="22"/>
        </w:rPr>
      </w:pPr>
    </w:p>
    <w:p w:rsidRPr="00344D3C" w:rsidR="00037198" w:rsidP="00037198" w:rsidRDefault="00037198" w14:paraId="71484423" w14:textId="77777777">
      <w:pPr>
        <w:spacing w:line="276" w:lineRule="auto"/>
        <w:ind w:firstLine="709"/>
        <w:jc w:val="both"/>
        <w:rPr>
          <w:rFonts w:ascii="Arial" w:hAnsi="Arial" w:eastAsia="Calibri" w:cs="Arial"/>
          <w:sz w:val="22"/>
          <w:szCs w:val="22"/>
          <w:lang w:val="es-ES"/>
        </w:rPr>
      </w:pPr>
      <w:r w:rsidRPr="00344D3C">
        <w:rPr>
          <w:rFonts w:ascii="Arial" w:hAnsi="Arial" w:eastAsia="Calibri" w:cs="Arial"/>
          <w:sz w:val="22"/>
          <w:szCs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344D3C">
        <w:rPr>
          <w:rStyle w:val="Refdenotaalpie"/>
          <w:rFonts w:ascii="Arial" w:hAnsi="Arial" w:eastAsia="Calibri" w:cs="Arial"/>
          <w:sz w:val="22"/>
          <w:szCs w:val="22"/>
        </w:rPr>
        <w:footnoteReference w:id="29"/>
      </w:r>
      <w:r w:rsidRPr="00344D3C">
        <w:rPr>
          <w:rFonts w:ascii="Arial" w:hAnsi="Arial" w:eastAsia="Calibri" w:cs="Arial"/>
          <w:sz w:val="22"/>
          <w:szCs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w:t>
      </w:r>
      <w:r w:rsidRPr="00344D3C">
        <w:rPr>
          <w:rFonts w:ascii="Arial" w:hAnsi="Arial" w:eastAsia="Calibri" w:cs="Arial"/>
          <w:sz w:val="22"/>
          <w:szCs w:val="22"/>
          <w:lang w:val="es-ES"/>
        </w:rPr>
        <w:lastRenderedPageBreak/>
        <w:t xml:space="preserve">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rsidRPr="00344D3C" w:rsidR="00037198" w:rsidP="00037198" w:rsidRDefault="00037198" w14:paraId="7C6ADB76" w14:textId="77777777">
      <w:pPr>
        <w:spacing w:before="120" w:after="120" w:line="276" w:lineRule="auto"/>
        <w:ind w:firstLine="709"/>
        <w:jc w:val="both"/>
        <w:rPr>
          <w:rFonts w:ascii="Arial" w:hAnsi="Arial" w:eastAsia="Calibri" w:cs="Arial"/>
          <w:sz w:val="22"/>
          <w:szCs w:val="22"/>
          <w:lang w:val="es-ES"/>
        </w:rPr>
      </w:pPr>
      <w:r w:rsidRPr="00344D3C">
        <w:rPr>
          <w:rFonts w:ascii="Arial" w:hAnsi="Arial" w:eastAsia="Calibri" w:cs="Arial"/>
          <w:sz w:val="22"/>
          <w:szCs w:val="22"/>
          <w:lang w:val="es-ES"/>
        </w:rPr>
        <w:t>Para comprender el alcance del régimen aplicable a los contratos o convenios que se suscriban con organismos internacionales, de acuerdo con la financiación de estos, resulta necesario analizar el artículo 20 de la Ley 1150 de 2007</w:t>
      </w:r>
      <w:r w:rsidRPr="00344D3C">
        <w:rPr>
          <w:rStyle w:val="Refdenotaalpie"/>
          <w:rFonts w:ascii="Arial" w:hAnsi="Arial" w:eastAsia="Calibri" w:cs="Arial"/>
          <w:sz w:val="22"/>
          <w:szCs w:val="22"/>
        </w:rPr>
        <w:footnoteReference w:id="30"/>
      </w:r>
      <w:r w:rsidRPr="00344D3C">
        <w:rPr>
          <w:rFonts w:ascii="Arial" w:hAnsi="Arial" w:eastAsia="Calibri" w:cs="Arial"/>
          <w:sz w:val="22"/>
          <w:szCs w:val="22"/>
          <w:lang w:val="es-ES"/>
        </w:rPr>
        <w:t xml:space="preserve">. De conformidad con este artículo, en lo que tiene que ver con el </w:t>
      </w:r>
      <w:r w:rsidRPr="00344D3C">
        <w:rPr>
          <w:rFonts w:ascii="Arial" w:hAnsi="Arial" w:eastAsia="Calibri" w:cs="Arial"/>
          <w:i/>
          <w:iCs/>
          <w:sz w:val="22"/>
          <w:szCs w:val="22"/>
          <w:lang w:val="es-ES"/>
        </w:rPr>
        <w:t>inciso primero</w:t>
      </w:r>
      <w:r w:rsidRPr="00344D3C">
        <w:rPr>
          <w:rFonts w:ascii="Arial" w:hAnsi="Arial" w:eastAsia="Calibri" w:cs="Arial"/>
          <w:sz w:val="22"/>
          <w:szCs w:val="22"/>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w:t>
      </w:r>
    </w:p>
    <w:p w:rsidRPr="00344D3C" w:rsidR="00037198" w:rsidP="00037198" w:rsidRDefault="00037198" w14:paraId="2A723BAC" w14:textId="77777777">
      <w:pPr>
        <w:spacing w:before="120" w:line="276" w:lineRule="auto"/>
        <w:ind w:firstLine="709"/>
        <w:jc w:val="both"/>
        <w:rPr>
          <w:rFonts w:ascii="Arial" w:hAnsi="Arial" w:eastAsia="Calibri" w:cs="Arial"/>
          <w:sz w:val="22"/>
          <w:szCs w:val="22"/>
          <w:lang w:val="es-ES"/>
        </w:rPr>
      </w:pPr>
      <w:r w:rsidRPr="00344D3C">
        <w:rPr>
          <w:rFonts w:ascii="Arial" w:hAnsi="Arial" w:eastAsia="Calibri" w:cs="Arial"/>
          <w:sz w:val="22"/>
          <w:szCs w:val="22"/>
          <w:lang w:val="es-ES"/>
        </w:rPr>
        <w:t xml:space="preserve">Por otro lado, la norma establece un segundo criterio, en el </w:t>
      </w:r>
      <w:r w:rsidRPr="00344D3C">
        <w:rPr>
          <w:rFonts w:ascii="Arial" w:hAnsi="Arial" w:eastAsia="Calibri" w:cs="Arial"/>
          <w:i/>
          <w:iCs/>
          <w:sz w:val="22"/>
          <w:szCs w:val="22"/>
          <w:lang w:val="es-ES"/>
        </w:rPr>
        <w:t>inciso segundo,</w:t>
      </w:r>
      <w:r w:rsidRPr="00344D3C">
        <w:rPr>
          <w:rFonts w:ascii="Arial" w:hAnsi="Arial" w:eastAsia="Calibri" w:cs="Arial"/>
          <w:sz w:val="22"/>
          <w:szCs w:val="22"/>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w:t>
      </w:r>
      <w:r w:rsidRPr="00344D3C">
        <w:rPr>
          <w:rFonts w:ascii="Arial" w:hAnsi="Arial" w:eastAsia="Calibri" w:cs="Arial"/>
          <w:sz w:val="22"/>
          <w:szCs w:val="22"/>
          <w:lang w:val="es-ES"/>
        </w:rPr>
        <w:lastRenderedPageBreak/>
        <w:t xml:space="preserve">entidades. En tal sentido, los otros supuestos en que es posible someter el régimen contractual a los reglamentos de los organismos internacionales son los siguientes: </w:t>
      </w:r>
    </w:p>
    <w:p w:rsidRPr="00344D3C" w:rsidR="00037198" w:rsidP="00037198" w:rsidRDefault="00037198" w14:paraId="7B680E6C" w14:textId="77777777">
      <w:pPr>
        <w:spacing w:line="276" w:lineRule="auto"/>
        <w:ind w:firstLine="709"/>
        <w:jc w:val="both"/>
        <w:rPr>
          <w:rFonts w:ascii="Arial" w:hAnsi="Arial" w:eastAsia="Calibri" w:cs="Arial"/>
          <w:sz w:val="22"/>
          <w:szCs w:val="22"/>
          <w:lang w:val="es-ES"/>
        </w:rPr>
      </w:pPr>
    </w:p>
    <w:p w:rsidRPr="00F807BA" w:rsidR="00037198" w:rsidP="00037198" w:rsidRDefault="00037198" w14:paraId="61FE3660" w14:textId="77777777">
      <w:pPr>
        <w:pStyle w:val="Prrafodelista"/>
        <w:numPr>
          <w:ilvl w:val="0"/>
          <w:numId w:val="40"/>
        </w:numPr>
        <w:spacing w:after="200" w:line="276" w:lineRule="auto"/>
        <w:ind w:left="1134" w:right="709" w:hanging="141"/>
        <w:jc w:val="both"/>
        <w:rPr>
          <w:rFonts w:ascii="Arial" w:hAnsi="Arial" w:eastAsia="Calibri" w:cs="Arial"/>
          <w:sz w:val="21"/>
          <w:szCs w:val="21"/>
        </w:rPr>
      </w:pPr>
      <w:r w:rsidRPr="00F807BA">
        <w:rPr>
          <w:rFonts w:ascii="Arial" w:hAnsi="Arial" w:eastAsia="Calibri" w:cs="Arial"/>
          <w:sz w:val="21"/>
          <w:szCs w:val="21"/>
        </w:rPr>
        <w:t xml:space="preserve">Desarrollo de programas de promoción, prevención y atención en salud. </w:t>
      </w:r>
    </w:p>
    <w:p w:rsidRPr="00F807BA" w:rsidR="00037198" w:rsidP="00037198" w:rsidRDefault="00037198" w14:paraId="7078E580" w14:textId="77777777">
      <w:pPr>
        <w:pStyle w:val="Prrafodelista"/>
        <w:numPr>
          <w:ilvl w:val="0"/>
          <w:numId w:val="40"/>
        </w:numPr>
        <w:spacing w:line="276" w:lineRule="auto"/>
        <w:ind w:left="1134" w:right="709" w:hanging="141"/>
        <w:jc w:val="both"/>
        <w:rPr>
          <w:rFonts w:ascii="Arial" w:hAnsi="Arial" w:cs="Arial"/>
          <w:sz w:val="21"/>
          <w:szCs w:val="21"/>
        </w:rPr>
      </w:pPr>
      <w:r w:rsidRPr="00F807BA">
        <w:rPr>
          <w:rFonts w:ascii="Arial" w:hAnsi="Arial" w:cs="Arial"/>
          <w:sz w:val="21"/>
          <w:szCs w:val="21"/>
        </w:rPr>
        <w:t>Contratos y convenios necesarios para la operación de la OIT.</w:t>
      </w:r>
    </w:p>
    <w:p w:rsidRPr="00F807BA" w:rsidR="00037198" w:rsidP="00037198" w:rsidRDefault="00037198" w14:paraId="69095D87" w14:textId="77777777">
      <w:pPr>
        <w:pStyle w:val="Prrafodelista"/>
        <w:numPr>
          <w:ilvl w:val="0"/>
          <w:numId w:val="40"/>
        </w:numPr>
        <w:spacing w:line="276" w:lineRule="auto"/>
        <w:ind w:left="1134" w:right="709" w:hanging="141"/>
        <w:jc w:val="both"/>
        <w:rPr>
          <w:rFonts w:ascii="Arial" w:hAnsi="Arial" w:cs="Arial"/>
          <w:sz w:val="21"/>
          <w:szCs w:val="21"/>
        </w:rPr>
      </w:pPr>
      <w:r w:rsidRPr="00F807BA">
        <w:rPr>
          <w:rFonts w:ascii="Arial" w:hAnsi="Arial" w:cs="Arial"/>
          <w:sz w:val="21"/>
          <w:szCs w:val="21"/>
        </w:rPr>
        <w:t>Contratos y convenios que se ejecuten en desarrollo del sistema integrado de monitoreo de cultivos ilícitos.</w:t>
      </w:r>
    </w:p>
    <w:p w:rsidRPr="00F807BA" w:rsidR="00037198" w:rsidP="00037198" w:rsidRDefault="00037198" w14:paraId="2755F1F7" w14:textId="77777777">
      <w:pPr>
        <w:pStyle w:val="Prrafodelista"/>
        <w:numPr>
          <w:ilvl w:val="0"/>
          <w:numId w:val="40"/>
        </w:numPr>
        <w:spacing w:line="276" w:lineRule="auto"/>
        <w:ind w:left="1134" w:right="709" w:hanging="141"/>
        <w:jc w:val="both"/>
        <w:rPr>
          <w:rFonts w:ascii="Arial" w:hAnsi="Arial" w:cs="Arial"/>
          <w:sz w:val="21"/>
          <w:szCs w:val="21"/>
        </w:rPr>
      </w:pPr>
      <w:r w:rsidRPr="00F807BA">
        <w:rPr>
          <w:rFonts w:ascii="Arial" w:hAnsi="Arial" w:cs="Arial"/>
          <w:sz w:val="21"/>
          <w:szCs w:val="21"/>
        </w:rPr>
        <w:t>Contratos y convenios para la operación del programa mundial de alimentos.</w:t>
      </w:r>
    </w:p>
    <w:p w:rsidRPr="00F807BA" w:rsidR="00037198" w:rsidP="00037198" w:rsidRDefault="00037198" w14:paraId="2730561E" w14:textId="77777777">
      <w:pPr>
        <w:pStyle w:val="Prrafodelista"/>
        <w:numPr>
          <w:ilvl w:val="0"/>
          <w:numId w:val="40"/>
        </w:numPr>
        <w:spacing w:line="276" w:lineRule="auto"/>
        <w:ind w:left="1134" w:right="709" w:hanging="141"/>
        <w:jc w:val="both"/>
        <w:rPr>
          <w:rFonts w:ascii="Arial" w:hAnsi="Arial" w:cs="Arial"/>
          <w:sz w:val="21"/>
          <w:szCs w:val="21"/>
        </w:rPr>
      </w:pPr>
      <w:r w:rsidRPr="00F807BA">
        <w:rPr>
          <w:rFonts w:ascii="Arial" w:hAnsi="Arial" w:cs="Arial"/>
          <w:sz w:val="21"/>
          <w:szCs w:val="21"/>
        </w:rPr>
        <w:t>Contratos y convenios para el desarrollo de programas de apoyo educativo a población desplazada y vulnerable adelantados por la Unesco y la OIM.</w:t>
      </w:r>
    </w:p>
    <w:p w:rsidRPr="00F807BA" w:rsidR="00037198" w:rsidP="00037198" w:rsidRDefault="00037198" w14:paraId="04647805" w14:textId="77777777">
      <w:pPr>
        <w:pStyle w:val="Prrafodelista"/>
        <w:numPr>
          <w:ilvl w:val="0"/>
          <w:numId w:val="40"/>
        </w:numPr>
        <w:spacing w:line="276" w:lineRule="auto"/>
        <w:ind w:left="1134" w:right="709" w:hanging="141"/>
        <w:jc w:val="both"/>
        <w:rPr>
          <w:rFonts w:ascii="Arial" w:hAnsi="Arial" w:cs="Arial"/>
          <w:sz w:val="22"/>
        </w:rPr>
      </w:pPr>
      <w:r w:rsidRPr="00F807BA">
        <w:rPr>
          <w:rFonts w:ascii="Arial" w:hAnsi="Arial" w:cs="Arial"/>
          <w:sz w:val="21"/>
          <w:szCs w:val="21"/>
        </w:rPr>
        <w:t>Los contratos o convenios financiados con fondos de los organismos multilaterales de crédito y entes gubernamentales extranjeros.</w:t>
      </w:r>
      <w:r w:rsidRPr="00F807BA">
        <w:rPr>
          <w:rFonts w:ascii="Arial" w:hAnsi="Arial" w:cs="Arial"/>
          <w:sz w:val="22"/>
        </w:rPr>
        <w:t xml:space="preserve"> </w:t>
      </w:r>
    </w:p>
    <w:p w:rsidRPr="00B32790" w:rsidR="00037198" w:rsidP="00037198" w:rsidRDefault="00037198" w14:paraId="1D5D175C" w14:textId="77777777">
      <w:pPr>
        <w:pStyle w:val="Prrafodelista"/>
        <w:ind w:left="1429"/>
        <w:rPr>
          <w:rFonts w:ascii="Arial" w:hAnsi="Arial" w:cs="Arial"/>
          <w:sz w:val="22"/>
        </w:rPr>
      </w:pPr>
    </w:p>
    <w:p w:rsidRPr="00344D3C" w:rsidR="00037198" w:rsidP="00037198" w:rsidRDefault="00037198" w14:paraId="1755D919" w14:textId="77777777">
      <w:pPr>
        <w:spacing w:line="276" w:lineRule="auto"/>
        <w:ind w:firstLine="709"/>
        <w:jc w:val="both"/>
        <w:rPr>
          <w:rFonts w:ascii="Arial" w:hAnsi="Arial" w:eastAsia="Calibri" w:cs="Arial"/>
          <w:sz w:val="22"/>
          <w:szCs w:val="22"/>
          <w:lang w:val="es-ES"/>
        </w:rPr>
      </w:pPr>
      <w:r w:rsidRPr="00344D3C">
        <w:rPr>
          <w:rFonts w:ascii="Arial" w:hAnsi="Arial" w:eastAsia="Calibri" w:cs="Arial"/>
          <w:sz w:val="22"/>
          <w:szCs w:val="22"/>
          <w:lang w:val="es-ES"/>
        </w:rPr>
        <w:t>En los supuestos anteriores, regulados en el inciso segundo del artículo 20, independientemente del monto de los aportes de cada una de las partes, es posible optar por someter el contrato a los reglamentos de dichos organismos o bien someterlos al EGCAP, es decir, configurado alguno de los presupuestos anteriores es posible elegir cualquiera de los dos (2) regímenes indicados. Al respecto, en el concepto C-374 del 27 de julio de 2020, esta Agencia –después de analizar el artículo 20 de la Ley 1150 de 2007– concluyó que:</w:t>
      </w:r>
    </w:p>
    <w:p w:rsidRPr="00344D3C" w:rsidR="00037198" w:rsidP="00037198" w:rsidRDefault="00037198" w14:paraId="53766228" w14:textId="77777777">
      <w:pPr>
        <w:spacing w:line="276" w:lineRule="auto"/>
        <w:ind w:firstLine="709"/>
        <w:jc w:val="both"/>
        <w:rPr>
          <w:rFonts w:ascii="Arial" w:hAnsi="Arial" w:eastAsia="Calibri" w:cs="Arial"/>
          <w:sz w:val="22"/>
          <w:szCs w:val="22"/>
          <w:lang w:val="es-ES"/>
        </w:rPr>
      </w:pPr>
    </w:p>
    <w:p w:rsidRPr="00F807BA" w:rsidR="00037198" w:rsidP="00037198" w:rsidRDefault="00037198" w14:paraId="7FA07CB5" w14:textId="77777777">
      <w:pPr>
        <w:ind w:left="709" w:right="709"/>
        <w:jc w:val="both"/>
        <w:rPr>
          <w:rFonts w:ascii="Arial" w:hAnsi="Arial" w:eastAsia="Calibri" w:cs="Arial"/>
          <w:sz w:val="21"/>
          <w:szCs w:val="21"/>
          <w:lang w:val="es-ES"/>
        </w:rPr>
      </w:pPr>
      <w:r w:rsidRPr="00F807BA">
        <w:rPr>
          <w:rFonts w:ascii="Arial" w:hAnsi="Arial" w:eastAsia="Calibri" w:cs="Arial"/>
          <w:sz w:val="21"/>
          <w:szCs w:val="21"/>
          <w:lang w:val="es-ES"/>
        </w:rPr>
        <w:t>[…] existen dos grupos de supuestos en el artículo 20 de la Ley 1150 de 2007, bajo los cuales es posible someter el régimen contractual aplicable a los reglamentos de los organismos internacionales: el primer grupo, regulado en el inciso primero, donde dicha posibilidad se condiciona a que los contratos o convenios  se financien en el 50% o más con fondos de dichos organismos de cooperación, asistencia o ayudas internacionales y, el segundo grupo, regulado en el inciso segundo, donde dicha posibilidad se condiciona a que se configure alguno de los 6 supuestos enlistados atrás, sin que resulte exigible algún porcentaje de incorporación de recursos. En todo caso, frente a ambos grupos, la aplicación de los reglamentos de tales entidades internacionales es una posibilidad por la que pueden optar o no las partes; es decir, configurados los requisitos indicados, las partes pueden decidir si someten los contratos a los reglamentos de las entidades internacionales o si se rigen por el Estatuto General de Contratación de la Administración Pública.</w:t>
      </w:r>
    </w:p>
    <w:p w:rsidRPr="00344D3C" w:rsidR="00037198" w:rsidP="00037198" w:rsidRDefault="00037198" w14:paraId="4ADD2656" w14:textId="77777777">
      <w:pPr>
        <w:ind w:left="709" w:right="709"/>
        <w:jc w:val="both"/>
        <w:rPr>
          <w:rFonts w:ascii="Arial" w:hAnsi="Arial" w:eastAsia="Calibri" w:cs="Arial"/>
          <w:sz w:val="22"/>
          <w:szCs w:val="22"/>
          <w:lang w:val="es-ES"/>
        </w:rPr>
      </w:pPr>
    </w:p>
    <w:p w:rsidRPr="00B86110" w:rsidR="00037198" w:rsidP="00344D3C" w:rsidRDefault="00037198" w14:paraId="21149161" w14:textId="6AA8E373">
      <w:pPr>
        <w:spacing w:after="120" w:line="276" w:lineRule="auto"/>
        <w:ind w:firstLine="709"/>
        <w:jc w:val="both"/>
        <w:rPr>
          <w:rFonts w:ascii="Arial" w:hAnsi="Arial" w:cs="Arial"/>
          <w:sz w:val="22"/>
          <w:szCs w:val="22"/>
        </w:rPr>
      </w:pPr>
      <w:r w:rsidRPr="00344D3C">
        <w:rPr>
          <w:rFonts w:ascii="Arial" w:hAnsi="Arial" w:eastAsia="Calibri" w:cs="Arial"/>
          <w:sz w:val="22"/>
          <w:szCs w:val="22"/>
          <w:lang w:val="es-ES"/>
        </w:rPr>
        <w:t xml:space="preserve">De otra parte, en relación con los contratos del inciso primero del artículo 20 de la Ley 1150 de 2007, conviene mencionar que dentro de la ejecución del contrato o convenio pueden presentarse situaciones en las que el porcentaje de los aportes sea modificado, en virtud de su adición o no ejecución en los términos pactados, por lo que, previendo este escenario, el artículo 2.2.1.2.4.4.1. del Decreto 1082 de 2015 dispuso que: «se deben modificar los contratos o convenios para efectos de que estos estén sujetos a las normas </w:t>
      </w:r>
      <w:r w:rsidRPr="00344D3C">
        <w:rPr>
          <w:rFonts w:ascii="Arial" w:hAnsi="Arial" w:eastAsia="Calibri" w:cs="Arial"/>
          <w:sz w:val="22"/>
          <w:szCs w:val="22"/>
          <w:lang w:val="es-ES"/>
        </w:rPr>
        <w:lastRenderedPageBreak/>
        <w:t>del sistema de compras y contratación pública, si el aporte de recursos públicos es superior al cincuenta por ciento (50%) del total o de las normas internas de la entidad de cooperación si el aporte es inferior»</w:t>
      </w:r>
      <w:r w:rsidRPr="00344D3C">
        <w:rPr>
          <w:rStyle w:val="Refdenotaalpie"/>
          <w:rFonts w:ascii="Arial" w:hAnsi="Arial" w:eastAsia="Calibri" w:cs="Arial"/>
          <w:sz w:val="22"/>
          <w:szCs w:val="22"/>
        </w:rPr>
        <w:footnoteReference w:id="31"/>
      </w:r>
      <w:r w:rsidRPr="00344D3C">
        <w:rPr>
          <w:rFonts w:ascii="Arial" w:hAnsi="Arial" w:eastAsia="Calibri" w:cs="Arial"/>
          <w:sz w:val="22"/>
          <w:szCs w:val="22"/>
          <w:lang w:val="es-ES"/>
        </w:rPr>
        <w:t xml:space="preserve">. Así las cosas, la entidad contratante debe realizar un constante monitoreo </w:t>
      </w:r>
      <w:r w:rsidRPr="00B86110">
        <w:rPr>
          <w:rFonts w:ascii="Arial" w:hAnsi="Arial" w:eastAsia="Calibri" w:cs="Arial"/>
          <w:sz w:val="22"/>
          <w:szCs w:val="22"/>
          <w:lang w:val="es-ES"/>
        </w:rPr>
        <w:t>respecto de los aportes de cada una de las partes para determinar si se debe realizar un ajuste frente al régimen aplicable, esto es, en relación con los contratos regulados en el inciso primero del artículo 20 de la Ley 1150 de 2007</w:t>
      </w:r>
      <w:r w:rsidRPr="00B86110">
        <w:rPr>
          <w:rFonts w:ascii="Arial" w:hAnsi="Arial" w:cs="Arial"/>
          <w:sz w:val="22"/>
          <w:szCs w:val="22"/>
        </w:rPr>
        <w:t xml:space="preserve">. </w:t>
      </w:r>
    </w:p>
    <w:p w:rsidRPr="00B86110" w:rsidR="00FC728E" w:rsidP="00344D3C" w:rsidRDefault="007A4952" w14:paraId="34D4BB85" w14:textId="4005F06D">
      <w:pPr>
        <w:snapToGrid w:val="0"/>
        <w:spacing w:after="120" w:line="276" w:lineRule="auto"/>
        <w:ind w:firstLine="709"/>
        <w:jc w:val="both"/>
        <w:rPr>
          <w:rFonts w:ascii="Arial" w:hAnsi="Arial" w:eastAsia="Calibri" w:cs="Arial"/>
          <w:sz w:val="22"/>
          <w:szCs w:val="22"/>
          <w:lang w:val="es-ES" w:eastAsia="en-US"/>
        </w:rPr>
      </w:pPr>
      <w:r w:rsidRPr="00B86110">
        <w:rPr>
          <w:rFonts w:ascii="Arial" w:hAnsi="Arial" w:cs="Arial"/>
          <w:sz w:val="22"/>
          <w:szCs w:val="22"/>
        </w:rPr>
        <w:t xml:space="preserve">Ahora bien, </w:t>
      </w:r>
      <w:bookmarkStart w:name="_Hlk102401457" w:id="33"/>
      <w:r w:rsidRPr="00B86110">
        <w:rPr>
          <w:rFonts w:ascii="Arial" w:hAnsi="Arial" w:cs="Arial"/>
          <w:sz w:val="22"/>
          <w:szCs w:val="22"/>
        </w:rPr>
        <w:t>d</w:t>
      </w:r>
      <w:proofErr w:type="spellStart"/>
      <w:r w:rsidRPr="00B86110" w:rsidR="001056C4">
        <w:rPr>
          <w:rFonts w:ascii="Arial" w:hAnsi="Arial" w:cs="Arial"/>
          <w:sz w:val="22"/>
          <w:szCs w:val="22"/>
          <w:lang w:val="es-MX"/>
        </w:rPr>
        <w:t>e</w:t>
      </w:r>
      <w:proofErr w:type="spellEnd"/>
      <w:r w:rsidRPr="00B86110" w:rsidR="001056C4">
        <w:rPr>
          <w:rFonts w:ascii="Arial" w:hAnsi="Arial" w:cs="Arial"/>
          <w:sz w:val="22"/>
          <w:szCs w:val="22"/>
          <w:lang w:val="es-MX"/>
        </w:rPr>
        <w:t xml:space="preserve"> acuerdo con el </w:t>
      </w:r>
      <w:r w:rsidRPr="00B86110" w:rsidR="001056C4">
        <w:rPr>
          <w:rFonts w:ascii="Arial" w:hAnsi="Arial" w:eastAsia="Calibri" w:cs="Arial"/>
          <w:sz w:val="22"/>
          <w:szCs w:val="22"/>
          <w:lang w:val="es-ES" w:eastAsia="en-US"/>
        </w:rPr>
        <w:t>Concepto CU-180 del 8 de abril de 2022</w:t>
      </w:r>
      <w:r w:rsidRPr="00B86110" w:rsidR="00B76577">
        <w:rPr>
          <w:rFonts w:ascii="Arial" w:hAnsi="Arial" w:eastAsia="Calibri" w:cs="Arial"/>
          <w:sz w:val="22"/>
          <w:szCs w:val="22"/>
          <w:lang w:val="es-ES" w:eastAsia="en-US"/>
        </w:rPr>
        <w:t xml:space="preserve"> de esta Agencia</w:t>
      </w:r>
      <w:r w:rsidRPr="00B86110" w:rsidR="001056C4">
        <w:rPr>
          <w:rFonts w:ascii="Arial" w:hAnsi="Arial" w:eastAsia="Calibri" w:cs="Arial"/>
          <w:sz w:val="22"/>
          <w:szCs w:val="22"/>
          <w:lang w:val="es-ES" w:eastAsia="en-US"/>
        </w:rPr>
        <w:t>,</w:t>
      </w:r>
      <w:r w:rsidRPr="00B86110" w:rsidR="0006040A">
        <w:rPr>
          <w:rFonts w:ascii="Arial" w:hAnsi="Arial" w:eastAsia="Calibri" w:cs="Arial"/>
          <w:sz w:val="22"/>
          <w:szCs w:val="22"/>
          <w:lang w:val="es-ES" w:eastAsia="en-US"/>
        </w:rPr>
        <w:t xml:space="preserve"> el artículo 20 de la Ley 1150</w:t>
      </w:r>
      <w:r w:rsidRPr="00B86110" w:rsidR="00B76577">
        <w:rPr>
          <w:rFonts w:ascii="Arial" w:hAnsi="Arial" w:eastAsia="Calibri" w:cs="Arial"/>
          <w:sz w:val="22"/>
          <w:szCs w:val="22"/>
          <w:lang w:val="es-ES" w:eastAsia="en-US"/>
        </w:rPr>
        <w:t xml:space="preserve"> de 2007</w:t>
      </w:r>
      <w:r w:rsidRPr="00B86110" w:rsidR="0006040A">
        <w:rPr>
          <w:rFonts w:ascii="Arial" w:hAnsi="Arial" w:eastAsia="Calibri" w:cs="Arial"/>
          <w:sz w:val="22"/>
          <w:szCs w:val="22"/>
          <w:lang w:val="es-ES" w:eastAsia="en-US"/>
        </w:rPr>
        <w:t xml:space="preserve"> dispone una excepción a la regla general del artículo 13 de la Ley 80 de 1993, según la cual las normas aplicables tanto a la celebración como ejecución del contrato estatal serán las nacionales, siempre y cuando el respectivo acuerdo sea celebrado o ejecutado en el territorio nacional.</w:t>
      </w:r>
      <w:r w:rsidRPr="00B86110" w:rsidR="00C22305">
        <w:rPr>
          <w:rFonts w:ascii="Arial" w:hAnsi="Arial" w:eastAsia="Calibri" w:cs="Arial"/>
          <w:sz w:val="22"/>
          <w:szCs w:val="22"/>
          <w:lang w:val="es-ES" w:eastAsia="en-US"/>
        </w:rPr>
        <w:t xml:space="preserve"> </w:t>
      </w:r>
      <w:r w:rsidRPr="00B86110" w:rsidR="003E0EAD">
        <w:rPr>
          <w:rFonts w:ascii="Arial" w:hAnsi="Arial" w:eastAsia="Calibri" w:cs="Arial"/>
          <w:sz w:val="22"/>
          <w:szCs w:val="22"/>
          <w:lang w:val="es-ES" w:eastAsia="en-US"/>
        </w:rPr>
        <w:t>Por tanto</w:t>
      </w:r>
      <w:r w:rsidRPr="00B86110" w:rsidR="00C22305">
        <w:rPr>
          <w:rFonts w:ascii="Arial" w:hAnsi="Arial" w:eastAsia="Calibri" w:cs="Arial"/>
          <w:sz w:val="22"/>
          <w:szCs w:val="22"/>
          <w:lang w:val="es-ES" w:eastAsia="en-US"/>
        </w:rPr>
        <w:t xml:space="preserve">, </w:t>
      </w:r>
      <w:r w:rsidRPr="00B86110" w:rsidR="00A3512F">
        <w:rPr>
          <w:rFonts w:ascii="Arial" w:hAnsi="Arial" w:eastAsia="Calibri" w:cs="Arial"/>
          <w:sz w:val="22"/>
          <w:szCs w:val="22"/>
          <w:lang w:val="es-ES" w:eastAsia="en-US"/>
        </w:rPr>
        <w:t>sobre</w:t>
      </w:r>
      <w:r w:rsidRPr="00B86110" w:rsidR="00563680">
        <w:rPr>
          <w:rFonts w:ascii="Arial" w:hAnsi="Arial" w:eastAsia="Calibri" w:cs="Arial"/>
          <w:sz w:val="22"/>
          <w:szCs w:val="22"/>
          <w:lang w:val="es-ES" w:eastAsia="en-US"/>
        </w:rPr>
        <w:t xml:space="preserve"> el artículo 33 de la Ley de Garantías</w:t>
      </w:r>
      <w:r w:rsidRPr="00B86110" w:rsidR="00312780">
        <w:rPr>
          <w:rFonts w:ascii="Arial" w:hAnsi="Arial" w:eastAsia="Calibri" w:cs="Arial"/>
          <w:sz w:val="22"/>
          <w:szCs w:val="22"/>
          <w:lang w:val="es-MX" w:eastAsia="en-US"/>
        </w:rPr>
        <w:t xml:space="preserve">, </w:t>
      </w:r>
      <w:r w:rsidRPr="00B86110" w:rsidR="00312780">
        <w:rPr>
          <w:rFonts w:ascii="Arial" w:hAnsi="Arial" w:eastAsia="Calibri" w:cs="Arial"/>
          <w:sz w:val="22"/>
          <w:szCs w:val="22"/>
          <w:lang w:val="es-ES" w:eastAsia="en-US"/>
        </w:rPr>
        <w:t>la Agencia –al retomar la tesis del Concepto C-559 del 31 de agosto de 2021– consider</w:t>
      </w:r>
      <w:r w:rsidRPr="00B86110" w:rsidR="00B76577">
        <w:rPr>
          <w:rFonts w:ascii="Arial" w:hAnsi="Arial" w:eastAsia="Calibri" w:cs="Arial"/>
          <w:sz w:val="22"/>
          <w:szCs w:val="22"/>
          <w:lang w:val="es-ES" w:eastAsia="en-US"/>
        </w:rPr>
        <w:t>ó</w:t>
      </w:r>
      <w:r w:rsidRPr="00B86110" w:rsidR="00312780">
        <w:rPr>
          <w:rFonts w:ascii="Arial" w:hAnsi="Arial" w:eastAsia="Calibri" w:cs="Arial"/>
          <w:sz w:val="22"/>
          <w:szCs w:val="22"/>
          <w:lang w:val="es-ES" w:eastAsia="en-US"/>
        </w:rPr>
        <w:t xml:space="preserve"> </w:t>
      </w:r>
      <w:r w:rsidRPr="00B86110" w:rsidR="00A3512F">
        <w:rPr>
          <w:rFonts w:ascii="Arial" w:hAnsi="Arial" w:eastAsia="Calibri" w:cs="Arial"/>
          <w:sz w:val="22"/>
          <w:szCs w:val="22"/>
          <w:lang w:val="es-ES" w:eastAsia="en-US"/>
        </w:rPr>
        <w:t>lo siguiente:</w:t>
      </w:r>
      <w:r w:rsidRPr="00B86110" w:rsidR="00312780">
        <w:rPr>
          <w:rFonts w:ascii="Arial" w:hAnsi="Arial" w:eastAsia="Calibri" w:cs="Arial"/>
          <w:sz w:val="22"/>
          <w:szCs w:val="22"/>
          <w:lang w:val="es-ES" w:eastAsia="en-US"/>
        </w:rPr>
        <w:t xml:space="preserve"> «[…] </w:t>
      </w:r>
      <w:r w:rsidRPr="00B86110" w:rsidR="00312780">
        <w:rPr>
          <w:rFonts w:ascii="Arial" w:hAnsi="Arial" w:eastAsia="Calibri" w:cs="Arial"/>
          <w:i/>
          <w:iCs/>
          <w:sz w:val="22"/>
          <w:szCs w:val="22"/>
          <w:lang w:val="es-ES" w:eastAsia="en-US"/>
        </w:rPr>
        <w:t>dado que</w:t>
      </w:r>
      <w:r w:rsidRPr="00B86110" w:rsidR="00312780">
        <w:rPr>
          <w:rFonts w:ascii="Arial" w:hAnsi="Arial" w:eastAsia="Calibri" w:cs="Arial"/>
          <w:sz w:val="22"/>
          <w:szCs w:val="22"/>
          <w:lang w:val="es-ES" w:eastAsia="en-US"/>
        </w:rPr>
        <w:t xml:space="preserve"> […] </w:t>
      </w:r>
      <w:r w:rsidRPr="00B86110" w:rsidR="00312780">
        <w:rPr>
          <w:rFonts w:ascii="Arial" w:hAnsi="Arial" w:eastAsia="Calibri" w:cs="Arial"/>
          <w:i/>
          <w:iCs/>
          <w:sz w:val="22"/>
          <w:szCs w:val="22"/>
          <w:lang w:val="es-ES" w:eastAsia="en-US"/>
        </w:rPr>
        <w:t>existen algunos casos en los cuales el legislador habilitó a las entidades públicas para que suscribieran contratos cuyo régimen es distinto al derecho nacional,</w:t>
      </w:r>
      <w:r w:rsidRPr="00B86110" w:rsidR="00312780">
        <w:rPr>
          <w:rFonts w:ascii="Arial" w:hAnsi="Arial" w:eastAsia="Calibri" w:cs="Arial"/>
          <w:sz w:val="22"/>
          <w:szCs w:val="22"/>
          <w:lang w:val="es-ES" w:eastAsia="en-US"/>
        </w:rPr>
        <w:t xml:space="preserve"> […] </w:t>
      </w:r>
      <w:r w:rsidRPr="00B86110" w:rsidR="00312780">
        <w:rPr>
          <w:rFonts w:ascii="Arial" w:hAnsi="Arial" w:eastAsia="Calibri" w:cs="Arial"/>
          <w:i/>
          <w:iCs/>
          <w:sz w:val="22"/>
          <w:szCs w:val="22"/>
          <w:lang w:val="es-ES" w:eastAsia="en-US"/>
        </w:rPr>
        <w:t>en estos eventos dicha restricción no sería aplicable</w:t>
      </w:r>
      <w:r w:rsidRPr="00B86110" w:rsidR="00312780">
        <w:rPr>
          <w:rFonts w:ascii="Arial" w:hAnsi="Arial" w:eastAsia="Calibri" w:cs="Arial"/>
          <w:sz w:val="22"/>
          <w:szCs w:val="22"/>
          <w:lang w:val="es-ES" w:eastAsia="en-US"/>
        </w:rPr>
        <w:t>» (Énfasis fuera de texto)</w:t>
      </w:r>
      <w:r w:rsidRPr="00B86110" w:rsidR="0083788E">
        <w:rPr>
          <w:rFonts w:ascii="Arial" w:hAnsi="Arial" w:eastAsia="Calibri" w:cs="Arial"/>
          <w:sz w:val="22"/>
          <w:szCs w:val="22"/>
          <w:lang w:val="es-ES" w:eastAsia="en-US"/>
        </w:rPr>
        <w:t xml:space="preserve">. </w:t>
      </w:r>
    </w:p>
    <w:p w:rsidRPr="00B86110" w:rsidR="00CD5D94" w:rsidP="00563680" w:rsidRDefault="007A4952" w14:paraId="6102A70C" w14:textId="6B2BF00F">
      <w:pPr>
        <w:snapToGrid w:val="0"/>
        <w:spacing w:line="276" w:lineRule="auto"/>
        <w:ind w:firstLine="708"/>
        <w:jc w:val="both"/>
        <w:rPr>
          <w:rFonts w:ascii="Arial" w:hAnsi="Arial" w:eastAsia="Calibri" w:cs="Arial"/>
          <w:sz w:val="22"/>
          <w:szCs w:val="22"/>
          <w:lang w:val="es-ES" w:eastAsia="en-US"/>
        </w:rPr>
      </w:pPr>
      <w:r w:rsidRPr="00B86110">
        <w:rPr>
          <w:rFonts w:ascii="Arial" w:hAnsi="Arial" w:eastAsia="Calibri" w:cs="Arial"/>
          <w:sz w:val="22"/>
          <w:szCs w:val="22"/>
          <w:lang w:val="es-ES" w:eastAsia="en-US"/>
        </w:rPr>
        <w:lastRenderedPageBreak/>
        <w:t>Para efectos de la tesis unificada,</w:t>
      </w:r>
      <w:r w:rsidRPr="00B86110" w:rsidR="0083788E">
        <w:rPr>
          <w:rFonts w:ascii="Arial" w:hAnsi="Arial" w:eastAsia="Calibri" w:cs="Arial"/>
          <w:sz w:val="22"/>
          <w:szCs w:val="22"/>
          <w:lang w:val="es-ES" w:eastAsia="en-US"/>
        </w:rPr>
        <w:t xml:space="preserve"> el artículo 20 </w:t>
      </w:r>
      <w:r w:rsidRPr="00B86110" w:rsidR="00176F27">
        <w:rPr>
          <w:rFonts w:ascii="Arial" w:hAnsi="Arial" w:eastAsia="Calibri" w:cs="Arial"/>
          <w:sz w:val="22"/>
          <w:szCs w:val="22"/>
          <w:lang w:val="es-ES" w:eastAsia="en-US"/>
        </w:rPr>
        <w:t>de la Ley 1150 de 2007 implica un régimen exceptuado distinto a los demás, en la medida que el derecho aplicable a estos contratos no es el derecho nacional</w:t>
      </w:r>
      <w:r w:rsidRPr="00B86110">
        <w:rPr>
          <w:rFonts w:ascii="Arial" w:hAnsi="Arial" w:eastAsia="Calibri" w:cs="Arial"/>
          <w:sz w:val="22"/>
          <w:szCs w:val="22"/>
          <w:lang w:val="es-ES" w:eastAsia="en-US"/>
        </w:rPr>
        <w:t>,</w:t>
      </w:r>
      <w:r w:rsidRPr="00B86110" w:rsidR="00176F27">
        <w:rPr>
          <w:rFonts w:ascii="Arial" w:hAnsi="Arial" w:eastAsia="Calibri" w:cs="Arial"/>
          <w:sz w:val="22"/>
          <w:szCs w:val="22"/>
          <w:lang w:val="es-ES" w:eastAsia="en-US"/>
        </w:rPr>
        <w:t xml:space="preserve"> sino </w:t>
      </w:r>
      <w:r w:rsidRPr="00B86110" w:rsidR="00E569FA">
        <w:rPr>
          <w:rFonts w:ascii="Arial" w:hAnsi="Arial" w:eastAsia="Calibri" w:cs="Arial"/>
          <w:sz w:val="22"/>
          <w:szCs w:val="22"/>
          <w:lang w:val="es-ES" w:eastAsia="en-US"/>
        </w:rPr>
        <w:t>disposiciones</w:t>
      </w:r>
      <w:r w:rsidRPr="00B86110" w:rsidR="00176F27">
        <w:rPr>
          <w:rFonts w:ascii="Arial" w:hAnsi="Arial" w:eastAsia="Calibri" w:cs="Arial"/>
          <w:sz w:val="22"/>
          <w:szCs w:val="22"/>
          <w:lang w:val="es-ES" w:eastAsia="en-US"/>
        </w:rPr>
        <w:t xml:space="preserve"> de carácter internacional, </w:t>
      </w:r>
      <w:r w:rsidRPr="00B86110">
        <w:rPr>
          <w:rFonts w:ascii="Arial" w:hAnsi="Arial" w:eastAsia="Calibri" w:cs="Arial"/>
          <w:sz w:val="22"/>
          <w:szCs w:val="22"/>
          <w:lang w:val="es-ES" w:eastAsia="en-US"/>
        </w:rPr>
        <w:t>normas que se</w:t>
      </w:r>
      <w:r w:rsidRPr="00B86110" w:rsidR="00176F27">
        <w:rPr>
          <w:rFonts w:ascii="Arial" w:hAnsi="Arial" w:eastAsia="Calibri" w:cs="Arial"/>
          <w:sz w:val="22"/>
          <w:szCs w:val="22"/>
          <w:lang w:val="es-ES" w:eastAsia="en-US"/>
        </w:rPr>
        <w:t xml:space="preserve"> materializan a través de los reglamentos de</w:t>
      </w:r>
      <w:r w:rsidRPr="00B86110" w:rsidR="00E569FA">
        <w:rPr>
          <w:rFonts w:ascii="Arial" w:hAnsi="Arial" w:eastAsia="Calibri" w:cs="Arial"/>
          <w:sz w:val="22"/>
          <w:szCs w:val="22"/>
          <w:lang w:val="es-ES" w:eastAsia="en-US"/>
        </w:rPr>
        <w:t xml:space="preserve"> los organismos de</w:t>
      </w:r>
      <w:r w:rsidRPr="00B86110" w:rsidR="00176F27">
        <w:rPr>
          <w:rFonts w:ascii="Arial" w:hAnsi="Arial" w:eastAsia="Calibri" w:cs="Arial"/>
          <w:sz w:val="22"/>
          <w:szCs w:val="22"/>
          <w:lang w:val="es-ES" w:eastAsia="en-US"/>
        </w:rPr>
        <w:t xml:space="preserve"> cooperación, asistencia o ayuda</w:t>
      </w:r>
      <w:r w:rsidRPr="00B86110">
        <w:rPr>
          <w:rFonts w:ascii="Arial" w:hAnsi="Arial" w:eastAsia="Calibri" w:cs="Arial"/>
          <w:sz w:val="22"/>
          <w:szCs w:val="22"/>
          <w:lang w:val="es-ES" w:eastAsia="en-US"/>
        </w:rPr>
        <w:t xml:space="preserve">. </w:t>
      </w:r>
      <w:bookmarkEnd w:id="33"/>
      <w:r w:rsidRPr="00B86110">
        <w:rPr>
          <w:rFonts w:ascii="Arial" w:hAnsi="Arial" w:eastAsia="Calibri" w:cs="Arial"/>
          <w:sz w:val="22"/>
          <w:szCs w:val="22"/>
          <w:lang w:val="es-ES" w:eastAsia="en-US"/>
        </w:rPr>
        <w:t xml:space="preserve">Así las cosas, </w:t>
      </w:r>
      <w:r w:rsidRPr="00B86110" w:rsidR="001E7B2B">
        <w:rPr>
          <w:rFonts w:ascii="Arial" w:hAnsi="Arial" w:eastAsia="Calibri" w:cs="Arial"/>
          <w:sz w:val="22"/>
          <w:szCs w:val="22"/>
          <w:lang w:val="es-ES" w:eastAsia="en-US"/>
        </w:rPr>
        <w:t xml:space="preserve">en </w:t>
      </w:r>
      <w:r w:rsidRPr="00B86110">
        <w:rPr>
          <w:rFonts w:ascii="Arial" w:hAnsi="Arial" w:eastAsia="Calibri" w:cs="Arial"/>
          <w:sz w:val="22"/>
          <w:szCs w:val="22"/>
          <w:lang w:val="es-ES" w:eastAsia="en-US"/>
        </w:rPr>
        <w:t>el Concepto CU-180 del 8 de abril de 2022</w:t>
      </w:r>
      <w:r w:rsidRPr="00B86110" w:rsidR="001E7B2B">
        <w:rPr>
          <w:rFonts w:ascii="Arial" w:hAnsi="Arial" w:eastAsia="Calibri" w:cs="Arial"/>
          <w:sz w:val="22"/>
          <w:szCs w:val="22"/>
          <w:lang w:val="es-ES" w:eastAsia="en-US"/>
        </w:rPr>
        <w:t>, la Agencia estimó que</w:t>
      </w:r>
      <w:r w:rsidRPr="00B86110" w:rsidR="00CD5D94">
        <w:rPr>
          <w:rFonts w:ascii="Arial" w:hAnsi="Arial" w:eastAsia="Calibri" w:cs="Arial"/>
          <w:sz w:val="22"/>
          <w:szCs w:val="22"/>
          <w:lang w:val="es-ES" w:eastAsia="en-US"/>
        </w:rPr>
        <w:t>:</w:t>
      </w:r>
    </w:p>
    <w:p w:rsidRPr="00B86110" w:rsidR="00455672" w:rsidP="00344D3C" w:rsidRDefault="00455672" w14:paraId="1B4FE483" w14:textId="77777777">
      <w:pPr>
        <w:snapToGrid w:val="0"/>
        <w:spacing w:line="276" w:lineRule="auto"/>
        <w:jc w:val="both"/>
        <w:rPr>
          <w:rFonts w:ascii="Arial" w:hAnsi="Arial" w:eastAsia="Calibri" w:cs="Arial"/>
          <w:sz w:val="22"/>
          <w:szCs w:val="22"/>
          <w:lang w:val="es-ES" w:eastAsia="en-US"/>
        </w:rPr>
      </w:pPr>
    </w:p>
    <w:p w:rsidRPr="00B86110" w:rsidR="00CD5D94" w:rsidP="00344D3C" w:rsidRDefault="00CD5D94" w14:paraId="017F82F6" w14:textId="0D80A53E">
      <w:pPr>
        <w:snapToGrid w:val="0"/>
        <w:spacing w:after="120"/>
        <w:ind w:left="709" w:right="709"/>
        <w:jc w:val="both"/>
        <w:rPr>
          <w:rFonts w:ascii="Arial" w:hAnsi="Arial" w:eastAsia="Calibri" w:cs="Arial"/>
          <w:sz w:val="21"/>
          <w:szCs w:val="21"/>
          <w:lang w:val="es-ES" w:eastAsia="en-US"/>
        </w:rPr>
      </w:pPr>
      <w:r w:rsidRPr="00B86110">
        <w:rPr>
          <w:rFonts w:ascii="Arial" w:hAnsi="Arial" w:eastAsia="Calibri" w:cs="Arial"/>
          <w:sz w:val="21"/>
          <w:szCs w:val="21"/>
          <w:lang w:val="es-ES" w:eastAsia="en-US"/>
        </w:rPr>
        <w:t xml:space="preserve">[…] siempre y cuando se cumplan con los requisitos que el artículo 20 impone, las partes que deseen contratar podrán incorporar las normas contenidas en los reglamentos de los organismos internacionales, de forma completa y absoluta o de manera sectorizada y parcial. En este último caso, entonces, podrán convenir, por ejemplo, que al contrato se apliquen solo ciertas normas extranjeras de su reglamento relacionadas con el procedimiento de selección o la forma de celebrar el contrato, y estipular que la ejecución de este se regirá por el ordenamiento nacional. </w:t>
      </w:r>
    </w:p>
    <w:p w:rsidRPr="00B86110" w:rsidR="00CD5D94" w:rsidP="00344D3C" w:rsidRDefault="00CD5D94" w14:paraId="13CFC8E6" w14:textId="77777777">
      <w:pPr>
        <w:snapToGrid w:val="0"/>
        <w:spacing w:after="120"/>
        <w:ind w:left="709" w:right="709"/>
        <w:jc w:val="both"/>
        <w:rPr>
          <w:rFonts w:ascii="Arial" w:hAnsi="Arial" w:eastAsia="Calibri" w:cs="Arial"/>
          <w:sz w:val="21"/>
          <w:szCs w:val="21"/>
          <w:lang w:val="es-ES" w:eastAsia="en-US"/>
        </w:rPr>
      </w:pPr>
      <w:r w:rsidRPr="00B86110">
        <w:rPr>
          <w:rFonts w:ascii="Arial" w:hAnsi="Arial" w:eastAsia="Calibri" w:cs="Arial"/>
          <w:sz w:val="21"/>
          <w:szCs w:val="21"/>
          <w:lang w:val="es-ES" w:eastAsia="en-US"/>
        </w:rPr>
        <w:t xml:space="preserve">En todo caso, dada la naturaleza potestativa de la variación de régimen normativo que gobierna el contrato, las partes serán las encargadas de establecer el alcance de tal variación, optando por el régimen nacional o por el internacional, o bien por ambos de manera alternada, consecutiva o paralela. </w:t>
      </w:r>
    </w:p>
    <w:p w:rsidRPr="00B86110" w:rsidR="00CD5D94" w:rsidP="00344D3C" w:rsidRDefault="00CD5D94" w14:paraId="255AD582" w14:textId="77777777">
      <w:pPr>
        <w:snapToGrid w:val="0"/>
        <w:spacing w:after="120"/>
        <w:ind w:left="709" w:right="709"/>
        <w:jc w:val="both"/>
        <w:rPr>
          <w:rFonts w:ascii="Arial" w:hAnsi="Arial" w:eastAsia="Calibri" w:cs="Arial"/>
          <w:sz w:val="21"/>
          <w:szCs w:val="21"/>
          <w:lang w:val="es-ES" w:eastAsia="en-US"/>
        </w:rPr>
      </w:pPr>
      <w:r w:rsidRPr="00B86110">
        <w:rPr>
          <w:rFonts w:ascii="Arial" w:hAnsi="Arial" w:eastAsia="Calibri" w:cs="Arial"/>
          <w:sz w:val="21"/>
          <w:szCs w:val="21"/>
          <w:lang w:val="es-ES" w:eastAsia="en-US"/>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rsidRPr="00B86110" w:rsidR="00CD5D94" w:rsidP="00344D3C" w:rsidRDefault="00CD5D94" w14:paraId="28BD92D0" w14:textId="77777777">
      <w:pPr>
        <w:snapToGrid w:val="0"/>
        <w:spacing w:after="120"/>
        <w:ind w:left="709" w:right="709"/>
        <w:jc w:val="both"/>
        <w:rPr>
          <w:rFonts w:ascii="Arial" w:hAnsi="Arial" w:eastAsia="Calibri" w:cs="Arial"/>
          <w:sz w:val="21"/>
          <w:szCs w:val="21"/>
          <w:lang w:val="es-ES" w:eastAsia="en-US"/>
        </w:rPr>
      </w:pPr>
      <w:r w:rsidRPr="00B86110">
        <w:rPr>
          <w:rFonts w:ascii="Arial" w:hAnsi="Arial" w:eastAsia="Calibri" w:cs="Arial"/>
          <w:sz w:val="21"/>
          <w:szCs w:val="21"/>
          <w:lang w:val="es-ES" w:eastAsia="en-US"/>
        </w:rPr>
        <w:t xml:space="preserve">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derecho extranjero, pero las disposiciones del reglamento del organismo internacional dejan al derecho nacional la regulación del acuerdo o convenio y los procedimientos de selección, será aplicable la prohibición contenida en el artículo 33 citado. </w:t>
      </w:r>
    </w:p>
    <w:p w:rsidRPr="00B86110" w:rsidR="00CD5D94" w:rsidP="00344D3C" w:rsidRDefault="00CD5D94" w14:paraId="0BB608B3" w14:textId="2A6C2F5B">
      <w:pPr>
        <w:snapToGrid w:val="0"/>
        <w:ind w:left="709" w:right="709"/>
        <w:jc w:val="both"/>
        <w:rPr>
          <w:rFonts w:ascii="Arial" w:hAnsi="Arial" w:eastAsia="Calibri" w:cs="Arial"/>
          <w:sz w:val="22"/>
          <w:szCs w:val="22"/>
          <w:lang w:val="es-ES" w:eastAsia="en-US"/>
        </w:rPr>
      </w:pPr>
      <w:r w:rsidRPr="00B86110">
        <w:rPr>
          <w:rFonts w:ascii="Arial" w:hAnsi="Arial" w:eastAsia="Calibri" w:cs="Arial"/>
          <w:sz w:val="21"/>
          <w:szCs w:val="21"/>
          <w:lang w:val="es-ES" w:eastAsia="en-US"/>
        </w:rPr>
        <w:t xml:space="preserve">Así las cosas, con el fin de unificar los criterios expresados en los conceptos emitidos por esta Subdirección en pasadas oportunidades, es menester precisar que, si bien la prohibición para la contratación directa contenida en el artículo 33 de la Ley de Garantías Electorales aplica a todos los entes del Estado cualquiera que sea el régimen jurídico de contratación de carácter nacional, no </w:t>
      </w:r>
      <w:r w:rsidRPr="00B86110">
        <w:rPr>
          <w:rFonts w:ascii="Arial" w:hAnsi="Arial" w:eastAsia="Calibri" w:cs="Arial"/>
          <w:sz w:val="21"/>
          <w:szCs w:val="21"/>
          <w:lang w:val="es-ES" w:eastAsia="en-US"/>
        </w:rPr>
        <w:lastRenderedPageBreak/>
        <w:t>puede obviarse que, de conformidad con el artículo 20 de la Ley 1150 de 2007, el legislador ha permitido que en ciertos casos las partes que pretendan celebrar un contrato regulado por esta última disposición pueden optar por aplicar la normativa nacional o la internacional de manera absoluta o parcial</w:t>
      </w:r>
      <w:r w:rsidRPr="00B86110" w:rsidR="00B76577">
        <w:rPr>
          <w:rStyle w:val="Refdenotaalpie"/>
          <w:rFonts w:ascii="Arial" w:hAnsi="Arial" w:eastAsia="Calibri" w:cs="Arial"/>
          <w:sz w:val="21"/>
          <w:szCs w:val="21"/>
          <w:lang w:val="es-ES" w:eastAsia="en-US"/>
        </w:rPr>
        <w:footnoteReference w:id="32"/>
      </w:r>
      <w:r w:rsidRPr="00B86110">
        <w:rPr>
          <w:rFonts w:ascii="Arial" w:hAnsi="Arial" w:eastAsia="Calibri" w:cs="Arial"/>
          <w:sz w:val="21"/>
          <w:szCs w:val="21"/>
          <w:lang w:val="es-ES" w:eastAsia="en-US"/>
        </w:rPr>
        <w:t>.</w:t>
      </w:r>
      <w:r w:rsidRPr="00B86110">
        <w:rPr>
          <w:rFonts w:ascii="Arial" w:hAnsi="Arial" w:eastAsia="Calibri" w:cs="Arial"/>
          <w:sz w:val="22"/>
          <w:szCs w:val="22"/>
          <w:lang w:val="es-ES" w:eastAsia="en-US"/>
        </w:rPr>
        <w:t xml:space="preserve"> </w:t>
      </w:r>
    </w:p>
    <w:p w:rsidRPr="00B86110" w:rsidR="00455672" w:rsidP="00CD5D94" w:rsidRDefault="00455672" w14:paraId="2DB58DFA" w14:textId="291489E3">
      <w:pPr>
        <w:snapToGrid w:val="0"/>
        <w:spacing w:line="276" w:lineRule="auto"/>
        <w:jc w:val="both"/>
        <w:rPr>
          <w:rFonts w:ascii="Arial" w:hAnsi="Arial" w:eastAsia="Calibri" w:cs="Arial"/>
          <w:sz w:val="22"/>
          <w:szCs w:val="22"/>
          <w:lang w:val="es-ES" w:eastAsia="en-US"/>
        </w:rPr>
      </w:pPr>
    </w:p>
    <w:p w:rsidRPr="00954432" w:rsidR="001056C4" w:rsidRDefault="00455672" w14:paraId="69C799FB" w14:textId="707DCCB1">
      <w:pPr>
        <w:snapToGrid w:val="0"/>
        <w:spacing w:line="276" w:lineRule="auto"/>
        <w:jc w:val="both"/>
        <w:rPr>
          <w:rFonts w:ascii="Arial" w:hAnsi="Arial" w:eastAsia="Calibri" w:cs="Arial"/>
          <w:bCs/>
          <w:sz w:val="22"/>
          <w:szCs w:val="22"/>
          <w:lang w:val="es-ES"/>
        </w:rPr>
      </w:pPr>
      <w:r w:rsidRPr="00B86110">
        <w:rPr>
          <w:rFonts w:ascii="Arial" w:hAnsi="Arial" w:eastAsia="Calibri" w:cs="Arial"/>
          <w:sz w:val="22"/>
          <w:szCs w:val="22"/>
          <w:lang w:val="es-ES" w:eastAsia="en-US"/>
        </w:rPr>
        <w:tab/>
      </w:r>
      <w:r w:rsidRPr="00B86110" w:rsidR="009A61EA">
        <w:rPr>
          <w:rFonts w:ascii="Arial" w:hAnsi="Arial" w:eastAsia="Calibri" w:cs="Arial"/>
          <w:sz w:val="22"/>
          <w:szCs w:val="22"/>
          <w:lang w:val="es-ES" w:eastAsia="en-US"/>
        </w:rPr>
        <w:t xml:space="preserve">De acuerdo con la fundamentación del concepto citado, lo anterior no implica una violación de las normas nacionales, puesto que la contratación </w:t>
      </w:r>
      <w:r w:rsidRPr="00B86110" w:rsidR="00635824">
        <w:rPr>
          <w:rFonts w:ascii="Arial" w:hAnsi="Arial" w:eastAsia="Calibri" w:cs="Arial"/>
          <w:sz w:val="22"/>
          <w:szCs w:val="22"/>
          <w:lang w:val="es-ES" w:eastAsia="en-US"/>
        </w:rPr>
        <w:t>con los sujetos previstos en el artículo 20 de la Ley 1150 de 2007 se encuentra amparada por tratados, convenios o convenciones ratificados por el Estado e incorporados debidamente al ordenamiento jurídico interno. De esta manera,</w:t>
      </w:r>
      <w:r w:rsidRPr="00B86110" w:rsidR="00B76577">
        <w:rPr>
          <w:rFonts w:ascii="Arial" w:hAnsi="Arial" w:eastAsia="Calibri" w:cs="Arial"/>
          <w:sz w:val="22"/>
          <w:szCs w:val="22"/>
          <w:lang w:val="es-ES" w:eastAsia="en-US"/>
        </w:rPr>
        <w:t xml:space="preserve"> en dicho concepto</w:t>
      </w:r>
      <w:r w:rsidRPr="00B86110" w:rsidR="00635824">
        <w:rPr>
          <w:rFonts w:ascii="Arial" w:hAnsi="Arial" w:eastAsia="Calibri" w:cs="Arial"/>
          <w:sz w:val="22"/>
          <w:szCs w:val="22"/>
          <w:lang w:val="es-ES" w:eastAsia="en-US"/>
        </w:rPr>
        <w:t xml:space="preserve"> también </w:t>
      </w:r>
      <w:r w:rsidRPr="00B86110" w:rsidR="00A6049A">
        <w:rPr>
          <w:rFonts w:ascii="Arial" w:hAnsi="Arial" w:eastAsia="Calibri" w:cs="Arial"/>
          <w:sz w:val="22"/>
          <w:szCs w:val="22"/>
          <w:lang w:val="es-ES" w:eastAsia="en-US"/>
        </w:rPr>
        <w:t xml:space="preserve">estimó que este régimen de excepcionalidad obedece a </w:t>
      </w:r>
      <w:r w:rsidRPr="00B86110" w:rsidR="00A6049A">
        <w:rPr>
          <w:rFonts w:ascii="Arial" w:hAnsi="Arial" w:eastAsia="Calibri" w:cs="Arial"/>
          <w:sz w:val="22"/>
          <w:szCs w:val="22"/>
          <w:lang w:val="es-ES_tradnl" w:eastAsia="en-US"/>
        </w:rPr>
        <w:t xml:space="preserve">razones de política económica exterior y de apertura para obtener la colaboración efectiva de los organismos multilaterales de crédito. En este contexto, «[…] </w:t>
      </w:r>
      <w:r w:rsidRPr="00B86110" w:rsidR="00A6049A">
        <w:rPr>
          <w:rFonts w:ascii="Arial" w:hAnsi="Arial" w:eastAsia="Calibri" w:cs="Arial"/>
          <w:sz w:val="22"/>
          <w:szCs w:val="22"/>
          <w:lang w:val="es-ES" w:eastAsia="en-US"/>
        </w:rPr>
        <w:t>la finalidad de la prohibición del artículo 33 de la Ley de Garantías Electorales es evitar la utilización de la contratación directa como mecanismo para que, con recursos públicos, una entidad estatal favorezca o impulse a cierto candidato, partido o movimiento político. Vista así, dicha finalidad no parecería acomodarse a la contratación con los sujetos internacionales catalogados en el artículo 20 de la Ley 1150 de 2007, menos aún, cuando se trata de contratos financiados con recursos provenientes de los organismos internacionales o de entidades gubernamentales extranjeras».</w:t>
      </w:r>
    </w:p>
    <w:p w:rsidRPr="00524963" w:rsidR="00362B12" w:rsidP="00E04A32" w:rsidRDefault="00362B12" w14:paraId="6857DAA8" w14:textId="77777777">
      <w:pPr>
        <w:spacing w:before="120" w:line="276" w:lineRule="auto"/>
        <w:ind w:firstLine="709"/>
        <w:contextualSpacing/>
        <w:jc w:val="both"/>
        <w:rPr>
          <w:rFonts w:ascii="Arial" w:hAnsi="Arial" w:eastAsia="Calibri" w:cs="Arial"/>
          <w:bCs/>
          <w:sz w:val="22"/>
          <w:szCs w:val="22"/>
          <w:lang w:eastAsia="es-CO"/>
        </w:rPr>
      </w:pPr>
    </w:p>
    <w:p w:rsidRPr="00524963" w:rsidR="00524963" w:rsidP="00524963" w:rsidRDefault="00524963" w14:paraId="2354B772" w14:textId="77777777">
      <w:pPr>
        <w:spacing w:line="276" w:lineRule="auto"/>
        <w:contextualSpacing/>
        <w:jc w:val="both"/>
        <w:rPr>
          <w:rFonts w:ascii="Arial" w:hAnsi="Arial" w:eastAsia="Calibri" w:cs="Arial"/>
          <w:b/>
          <w:sz w:val="22"/>
          <w:szCs w:val="22"/>
          <w:lang w:eastAsia="en-US"/>
        </w:rPr>
      </w:pPr>
      <w:r w:rsidRPr="00524963">
        <w:rPr>
          <w:rFonts w:ascii="Arial" w:hAnsi="Arial" w:eastAsia="Calibri" w:cs="Arial"/>
          <w:b/>
          <w:sz w:val="22"/>
          <w:szCs w:val="22"/>
          <w:lang w:eastAsia="en-US"/>
        </w:rPr>
        <w:t>3. Respuesta</w:t>
      </w:r>
    </w:p>
    <w:p w:rsidRPr="00524963" w:rsidR="00524963" w:rsidP="00524963" w:rsidRDefault="00524963" w14:paraId="040E4518" w14:textId="77777777">
      <w:pPr>
        <w:spacing w:line="276" w:lineRule="auto"/>
        <w:contextualSpacing/>
        <w:jc w:val="both"/>
        <w:rPr>
          <w:rFonts w:ascii="Arial" w:hAnsi="Arial" w:eastAsia="Calibri" w:cs="Arial"/>
          <w:bCs/>
          <w:color w:val="FF0000"/>
          <w:sz w:val="22"/>
          <w:szCs w:val="22"/>
          <w:lang w:eastAsia="en-US"/>
        </w:rPr>
      </w:pPr>
    </w:p>
    <w:p w:rsidRPr="00B86110" w:rsidR="008C7399" w:rsidP="008C7399" w:rsidRDefault="008C7399" w14:paraId="2C9AD675" w14:textId="7C720DE3">
      <w:pPr>
        <w:ind w:left="709" w:right="709"/>
        <w:jc w:val="both"/>
        <w:rPr>
          <w:rFonts w:ascii="Arial" w:hAnsi="Arial" w:eastAsia="Calibri" w:cs="Arial"/>
          <w:sz w:val="21"/>
          <w:szCs w:val="21"/>
          <w:lang w:val="es-ES_tradnl" w:eastAsia="es-CO"/>
        </w:rPr>
      </w:pPr>
      <w:bookmarkStart w:name="_Hlk57650395" w:id="34"/>
      <w:r w:rsidRPr="00524963">
        <w:rPr>
          <w:rFonts w:ascii="Arial" w:hAnsi="Arial" w:eastAsia="Calibri" w:cs="Arial"/>
          <w:sz w:val="21"/>
          <w:szCs w:val="21"/>
          <w:lang w:val="es-ES_tradnl" w:eastAsia="es-CO"/>
        </w:rPr>
        <w:t>«</w:t>
      </w:r>
      <w:r w:rsidR="00DA72C8">
        <w:rPr>
          <w:rFonts w:ascii="Arial" w:hAnsi="Arial" w:eastAsia="Calibri" w:cs="Arial"/>
          <w:sz w:val="21"/>
          <w:szCs w:val="21"/>
          <w:lang w:val="es-ES_tradnl" w:eastAsia="es-CO"/>
        </w:rPr>
        <w:t>L</w:t>
      </w:r>
      <w:r w:rsidRPr="00383878">
        <w:rPr>
          <w:rFonts w:ascii="Arial" w:hAnsi="Arial" w:eastAsia="Calibri" w:cs="Arial"/>
          <w:sz w:val="21"/>
          <w:szCs w:val="21"/>
          <w:lang w:val="es-ES_tradnl" w:eastAsia="es-CO"/>
        </w:rPr>
        <w:t xml:space="preserve">a consulta se orienta a establecer si la restricción establecida en la Ley 996 de 2005, referente a la prohibición de las Entidades Estatales de celebrar contratos en la modalidad de contratación directa durante los cuatro (4) meses anteriores a la elección presidencial y hasta la fecha en la cual el Presidente de la República sea elegido, cobijaría la celebración de un convenio de cooperación técnica no reembolsable entre una entidad pública del orden nacional y una institución financiera multilateral de derecho internacional público. Bajo el entendido que: a) La naturaleza del convenio no supone concurso o pluralidad </w:t>
      </w:r>
      <w:r w:rsidRPr="00383878">
        <w:rPr>
          <w:rFonts w:ascii="Arial" w:hAnsi="Arial" w:eastAsia="Calibri" w:cs="Arial"/>
          <w:sz w:val="21"/>
          <w:szCs w:val="21"/>
          <w:lang w:val="es-ES_tradnl" w:eastAsia="es-CO"/>
        </w:rPr>
        <w:lastRenderedPageBreak/>
        <w:t xml:space="preserve">de oferentes. b) Son recursos provenientes de fuente exterior, cuya destinación corresponde a la voluntad del cooperante. c) Son recursos no reembolsables y su finalidad es apoyar proyectos de agua potable y saneamiento básico. d) Sólo una de las partes del convenio es una entidad estatal, y la entidad beneficiaria no ejecutaría </w:t>
      </w:r>
      <w:r w:rsidRPr="00B86110">
        <w:rPr>
          <w:rFonts w:ascii="Arial" w:hAnsi="Arial" w:eastAsia="Calibri" w:cs="Arial"/>
          <w:sz w:val="21"/>
          <w:szCs w:val="21"/>
          <w:lang w:val="es-ES_tradnl" w:eastAsia="es-CO"/>
        </w:rPr>
        <w:t>directamente el recurso; pues el cooperante sería el encargado de contratar, comprometer y ordenar el gasto. e) Los recursos de cooperación técnica no reembolsable, apoyarían la ejecución de un contrato de préstamo suscrito en años anteriores, entre la Nación y el cooperante».</w:t>
      </w:r>
    </w:p>
    <w:p w:rsidRPr="00B86110" w:rsidR="00524963" w:rsidP="00977689" w:rsidRDefault="00524963" w14:paraId="0CA9CD25" w14:textId="77777777">
      <w:pPr>
        <w:spacing w:line="276" w:lineRule="auto"/>
        <w:contextualSpacing/>
        <w:jc w:val="both"/>
        <w:rPr>
          <w:rFonts w:ascii="Arial" w:hAnsi="Arial" w:cs="Arial"/>
          <w:bCs/>
          <w:sz w:val="22"/>
          <w:szCs w:val="22"/>
          <w:lang w:val="es-MX" w:eastAsia="es-CO"/>
        </w:rPr>
      </w:pPr>
    </w:p>
    <w:p w:rsidRPr="00B86110" w:rsidR="00A72945" w:rsidP="008B634B" w:rsidRDefault="008B634B" w14:paraId="3D73870C" w14:textId="284236D0">
      <w:pPr>
        <w:snapToGrid w:val="0"/>
        <w:spacing w:after="120" w:line="276" w:lineRule="auto"/>
        <w:jc w:val="both"/>
        <w:rPr>
          <w:rFonts w:ascii="Arial" w:hAnsi="Arial" w:eastAsia="Calibri" w:cs="Arial"/>
          <w:sz w:val="22"/>
          <w:szCs w:val="22"/>
          <w:lang w:val="es-ES" w:eastAsia="en-US"/>
        </w:rPr>
      </w:pPr>
      <w:r w:rsidRPr="00B86110">
        <w:rPr>
          <w:rFonts w:ascii="Arial" w:hAnsi="Arial" w:cs="Arial"/>
          <w:bCs/>
          <w:sz w:val="22"/>
          <w:szCs w:val="22"/>
          <w:lang w:eastAsia="es-CO"/>
        </w:rPr>
        <w:t xml:space="preserve">De acuerdo con la interpretación de las normas generales del sistema de compras y contratación pública, </w:t>
      </w:r>
      <w:r w:rsidRPr="00B86110">
        <w:rPr>
          <w:rFonts w:ascii="Arial" w:hAnsi="Arial" w:cs="Arial"/>
          <w:bCs/>
          <w:sz w:val="22"/>
          <w:szCs w:val="22"/>
          <w:lang w:val="es-ES" w:eastAsia="es-CO"/>
        </w:rPr>
        <w:t>teniendo en cuenta que el artículo 10 de la Ley 1437 de 2011 dispone que «</w:t>
      </w:r>
      <w:r w:rsidRPr="00B86110">
        <w:rPr>
          <w:rFonts w:ascii="Arial" w:hAnsi="Arial" w:cs="Arial"/>
          <w:bCs/>
          <w:sz w:val="22"/>
          <w:szCs w:val="22"/>
          <w:lang w:eastAsia="es-CO"/>
        </w:rPr>
        <w:t xml:space="preserve">Al resolver los asuntos de su competencia, las autoridades aplicarán las disposiciones constitucionales, legales y reglamentarias de manera uniforme a situaciones que tengan los mismos supuestos fácticos y jurídicos», se reitera la tesis del </w:t>
      </w:r>
      <w:r w:rsidRPr="00B86110">
        <w:rPr>
          <w:rFonts w:ascii="Arial" w:hAnsi="Arial" w:cs="Arial"/>
          <w:bCs/>
          <w:sz w:val="22"/>
          <w:szCs w:val="22"/>
          <w:lang w:val="es-ES" w:eastAsia="es-CO"/>
        </w:rPr>
        <w:t>Concepto de Unificación CU-180 del 8 de abril de 2022</w:t>
      </w:r>
      <w:r w:rsidRPr="00B86110" w:rsidR="00715421">
        <w:rPr>
          <w:rFonts w:ascii="Arial" w:hAnsi="Arial" w:cs="Arial"/>
          <w:bCs/>
          <w:sz w:val="22"/>
          <w:szCs w:val="22"/>
          <w:lang w:val="es-ES" w:eastAsia="es-CO"/>
        </w:rPr>
        <w:t xml:space="preserve">. </w:t>
      </w:r>
      <w:r w:rsidRPr="00B86110" w:rsidR="00C71DD8">
        <w:rPr>
          <w:rFonts w:ascii="Arial" w:hAnsi="Arial" w:eastAsia="Calibri" w:cs="Arial"/>
          <w:sz w:val="22"/>
          <w:szCs w:val="22"/>
          <w:lang w:val="es-ES" w:eastAsia="en-US"/>
        </w:rPr>
        <w:t>Por tanto, sobre el artículo 33 de la Ley de Garantías</w:t>
      </w:r>
      <w:r w:rsidRPr="00B86110" w:rsidR="00C71DD8">
        <w:rPr>
          <w:rFonts w:ascii="Arial" w:hAnsi="Arial" w:eastAsia="Calibri" w:cs="Arial"/>
          <w:sz w:val="22"/>
          <w:szCs w:val="22"/>
          <w:lang w:val="es-MX" w:eastAsia="en-US"/>
        </w:rPr>
        <w:t xml:space="preserve">, </w:t>
      </w:r>
      <w:r w:rsidRPr="00B86110" w:rsidR="00C71DD8">
        <w:rPr>
          <w:rFonts w:ascii="Arial" w:hAnsi="Arial" w:eastAsia="Calibri" w:cs="Arial"/>
          <w:sz w:val="22"/>
          <w:szCs w:val="22"/>
          <w:lang w:val="es-ES" w:eastAsia="en-US"/>
        </w:rPr>
        <w:t>la Agencia –al retomar la tesis del Concepto C-559 del 31 de agosto de 2021– consider</w:t>
      </w:r>
      <w:r w:rsidRPr="00B86110" w:rsidR="00D40AE8">
        <w:rPr>
          <w:rFonts w:ascii="Arial" w:hAnsi="Arial" w:eastAsia="Calibri" w:cs="Arial"/>
          <w:sz w:val="22"/>
          <w:szCs w:val="22"/>
          <w:lang w:val="es-ES" w:eastAsia="en-US"/>
        </w:rPr>
        <w:t>ó</w:t>
      </w:r>
      <w:r w:rsidRPr="00B86110" w:rsidR="00C71DD8">
        <w:rPr>
          <w:rFonts w:ascii="Arial" w:hAnsi="Arial" w:eastAsia="Calibri" w:cs="Arial"/>
          <w:sz w:val="22"/>
          <w:szCs w:val="22"/>
          <w:lang w:val="es-ES" w:eastAsia="en-US"/>
        </w:rPr>
        <w:t xml:space="preserve"> lo siguiente: «[…] </w:t>
      </w:r>
      <w:r w:rsidRPr="00B86110" w:rsidR="00C71DD8">
        <w:rPr>
          <w:rFonts w:ascii="Arial" w:hAnsi="Arial" w:eastAsia="Calibri" w:cs="Arial"/>
          <w:i/>
          <w:iCs/>
          <w:sz w:val="22"/>
          <w:szCs w:val="22"/>
          <w:lang w:val="es-ES" w:eastAsia="en-US"/>
        </w:rPr>
        <w:t>dado que</w:t>
      </w:r>
      <w:r w:rsidRPr="00B86110" w:rsidR="00C71DD8">
        <w:rPr>
          <w:rFonts w:ascii="Arial" w:hAnsi="Arial" w:eastAsia="Calibri" w:cs="Arial"/>
          <w:sz w:val="22"/>
          <w:szCs w:val="22"/>
          <w:lang w:val="es-ES" w:eastAsia="en-US"/>
        </w:rPr>
        <w:t xml:space="preserve"> […] </w:t>
      </w:r>
      <w:r w:rsidRPr="00B86110" w:rsidR="00C71DD8">
        <w:rPr>
          <w:rFonts w:ascii="Arial" w:hAnsi="Arial" w:eastAsia="Calibri" w:cs="Arial"/>
          <w:i/>
          <w:iCs/>
          <w:sz w:val="22"/>
          <w:szCs w:val="22"/>
          <w:lang w:val="es-ES" w:eastAsia="en-US"/>
        </w:rPr>
        <w:t>existen algunos casos en los cuales el legislador habilitó a las entidades públicas para que suscribieran contratos cuyo régimen es distinto al derecho nacional,</w:t>
      </w:r>
      <w:r w:rsidRPr="00B86110" w:rsidR="00C71DD8">
        <w:rPr>
          <w:rFonts w:ascii="Arial" w:hAnsi="Arial" w:eastAsia="Calibri" w:cs="Arial"/>
          <w:sz w:val="22"/>
          <w:szCs w:val="22"/>
          <w:lang w:val="es-ES" w:eastAsia="en-US"/>
        </w:rPr>
        <w:t xml:space="preserve"> […] </w:t>
      </w:r>
      <w:r w:rsidRPr="00B86110" w:rsidR="00C71DD8">
        <w:rPr>
          <w:rFonts w:ascii="Arial" w:hAnsi="Arial" w:eastAsia="Calibri" w:cs="Arial"/>
          <w:i/>
          <w:iCs/>
          <w:sz w:val="22"/>
          <w:szCs w:val="22"/>
          <w:lang w:val="es-ES" w:eastAsia="en-US"/>
        </w:rPr>
        <w:t>en estos eventos dicha restricción no sería aplicable</w:t>
      </w:r>
      <w:r w:rsidRPr="00B86110" w:rsidR="00C71DD8">
        <w:rPr>
          <w:rFonts w:ascii="Arial" w:hAnsi="Arial" w:eastAsia="Calibri" w:cs="Arial"/>
          <w:sz w:val="22"/>
          <w:szCs w:val="22"/>
          <w:lang w:val="es-ES" w:eastAsia="en-US"/>
        </w:rPr>
        <w:t>» (Énfasis fuera de texto)</w:t>
      </w:r>
      <w:r w:rsidRPr="00B86110" w:rsidR="00A72945">
        <w:rPr>
          <w:rFonts w:ascii="Arial" w:hAnsi="Arial" w:eastAsia="Calibri" w:cs="Arial"/>
          <w:sz w:val="22"/>
          <w:szCs w:val="22"/>
          <w:lang w:val="es-ES" w:eastAsia="en-US"/>
        </w:rPr>
        <w:t xml:space="preserve">. </w:t>
      </w:r>
    </w:p>
    <w:p w:rsidRPr="00B86110" w:rsidR="00A72945" w:rsidP="00276320" w:rsidRDefault="00A72945" w14:paraId="558E9E0A" w14:textId="2435F971">
      <w:pPr>
        <w:spacing w:before="120" w:line="276" w:lineRule="auto"/>
        <w:ind w:firstLine="851"/>
        <w:jc w:val="both"/>
        <w:rPr>
          <w:rFonts w:ascii="Arial" w:hAnsi="Arial" w:eastAsia="Calibri" w:cs="Arial"/>
          <w:sz w:val="22"/>
          <w:szCs w:val="22"/>
          <w:lang w:val="es-ES" w:eastAsia="en-US"/>
        </w:rPr>
      </w:pPr>
      <w:r w:rsidRPr="00B86110">
        <w:rPr>
          <w:rFonts w:ascii="Arial" w:hAnsi="Arial" w:eastAsia="Calibri" w:cs="Arial"/>
          <w:sz w:val="22"/>
          <w:szCs w:val="22"/>
          <w:lang w:val="es-ES" w:eastAsia="en-US"/>
        </w:rPr>
        <w:t>Para efectos de la tesis unificada, el artículo 20 de la Ley 1150 de 2007 implica un régimen exceptuado distinto a los demás, en la medida que el derecho aplicable a estos contratos no es el derecho nacional, sino disposiciones de carácter internacional, normas que se materializan a través de los reglamentos de los organismos de cooperación, asistencia o ayuda. Así las cosas:</w:t>
      </w:r>
    </w:p>
    <w:p w:rsidRPr="00B86110" w:rsidR="00235FCA" w:rsidP="00B86110" w:rsidRDefault="00235FCA" w14:paraId="45AF22B1" w14:textId="77777777">
      <w:pPr>
        <w:spacing w:line="276" w:lineRule="auto"/>
        <w:ind w:firstLine="851"/>
        <w:jc w:val="both"/>
        <w:rPr>
          <w:rFonts w:ascii="Arial" w:hAnsi="Arial" w:eastAsia="Calibri" w:cs="Arial"/>
          <w:sz w:val="22"/>
          <w:szCs w:val="22"/>
          <w:lang w:val="es-ES" w:eastAsia="en-US"/>
        </w:rPr>
      </w:pPr>
    </w:p>
    <w:p w:rsidRPr="00B86110" w:rsidR="00A72945" w:rsidP="00B86110" w:rsidRDefault="00A72945" w14:paraId="2B04F686" w14:textId="14D098D0">
      <w:pPr>
        <w:spacing w:line="276" w:lineRule="auto"/>
        <w:jc w:val="both"/>
        <w:rPr>
          <w:rFonts w:ascii="Arial" w:hAnsi="Arial" w:eastAsia="Calibri" w:cs="Arial"/>
          <w:sz w:val="22"/>
          <w:szCs w:val="22"/>
          <w:lang w:val="es-ES" w:eastAsia="en-US"/>
        </w:rPr>
      </w:pPr>
      <w:r w:rsidRPr="00B86110">
        <w:rPr>
          <w:rFonts w:ascii="Arial" w:hAnsi="Arial" w:eastAsia="Calibri" w:cs="Arial"/>
          <w:sz w:val="22"/>
          <w:szCs w:val="22"/>
          <w:lang w:val="es-ES" w:eastAsia="en-US"/>
        </w:rPr>
        <w:tab/>
      </w:r>
      <w:r w:rsidRPr="00B86110">
        <w:rPr>
          <w:rFonts w:ascii="Arial" w:hAnsi="Arial" w:eastAsia="Calibri" w:cs="Arial"/>
          <w:sz w:val="22"/>
          <w:szCs w:val="22"/>
          <w:lang w:val="es-ES" w:eastAsia="en-US"/>
        </w:rPr>
        <w:t>[…]</w:t>
      </w:r>
    </w:p>
    <w:p w:rsidRPr="00B86110" w:rsidR="00A72945" w:rsidP="00A72945" w:rsidRDefault="00A72945" w14:paraId="1D2FBD02" w14:textId="77777777">
      <w:pPr>
        <w:snapToGrid w:val="0"/>
        <w:spacing w:after="120"/>
        <w:ind w:left="709" w:right="709"/>
        <w:jc w:val="both"/>
        <w:rPr>
          <w:rFonts w:ascii="Arial" w:hAnsi="Arial" w:eastAsia="Calibri" w:cs="Arial"/>
          <w:sz w:val="21"/>
          <w:szCs w:val="21"/>
          <w:lang w:val="es-ES" w:eastAsia="en-US"/>
        </w:rPr>
      </w:pPr>
      <w:r w:rsidRPr="00B86110">
        <w:rPr>
          <w:rFonts w:ascii="Arial" w:hAnsi="Arial" w:eastAsia="Calibri" w:cs="Arial"/>
          <w:sz w:val="21"/>
          <w:szCs w:val="21"/>
          <w:lang w:val="es-ES" w:eastAsia="en-US"/>
        </w:rPr>
        <w:t>La definición del alcance en que operará la variación del régimen normativo en relación con la actividad contractual es determinante para establecer si la restricción consagrada en el artículo 33 de la Ley de Garantías Electorales resulta aplicable o no. Si las partes, habilitadas para hacerlo, optan por aplicar de manera completa y absoluta la normativa contenida en los reglamentos del organismo o sujeto internacional, y si esta normativa consagra disposiciones relacionadas con la oportunidad, tiempos, fases, etapas etc. de los procedimientos de selección, entonces, serán dichas previsiones las que regirán el convenio y la contratación respectiva (bien sean contratos, donaciones, asistencias técnicas y sus derivados) y, por ende, la norma del artículo 33 no será derecho aplicable a la misma.</w:t>
      </w:r>
    </w:p>
    <w:p w:rsidRPr="00B86110" w:rsidR="00A72945" w:rsidP="00B86110" w:rsidRDefault="00A72945" w14:paraId="3D907DE0" w14:textId="77777777">
      <w:pPr>
        <w:snapToGrid w:val="0"/>
        <w:ind w:left="709" w:right="709"/>
        <w:jc w:val="both"/>
        <w:rPr>
          <w:rFonts w:ascii="Arial" w:hAnsi="Arial" w:eastAsia="Calibri" w:cs="Arial"/>
          <w:sz w:val="21"/>
          <w:szCs w:val="21"/>
          <w:lang w:val="es-ES" w:eastAsia="en-US"/>
        </w:rPr>
      </w:pPr>
      <w:r w:rsidRPr="00B86110">
        <w:rPr>
          <w:rFonts w:ascii="Arial" w:hAnsi="Arial" w:eastAsia="Calibri" w:cs="Arial"/>
          <w:sz w:val="21"/>
          <w:szCs w:val="21"/>
          <w:lang w:val="es-ES" w:eastAsia="en-US"/>
        </w:rPr>
        <w:t xml:space="preserve">Por el contrario, si las partes no optan por aplicar el reglamento (normativa extranjera) de tales organismos y sujetos internacionales en aspectos que atañen al acuerdo o convenio y el procedimiento para su desarrollo en la selección de contratistas, el artículo 33 de la Ley de Garantías sí será aplicable a la correspondiente contratación. Lo mismo sucederá cuando, por ejemplo, pese a que las partes convengan una variación normativa absoluta hacia el </w:t>
      </w:r>
      <w:r w:rsidRPr="00B86110">
        <w:rPr>
          <w:rFonts w:ascii="Arial" w:hAnsi="Arial" w:eastAsia="Calibri" w:cs="Arial"/>
          <w:sz w:val="21"/>
          <w:szCs w:val="21"/>
          <w:lang w:val="es-ES" w:eastAsia="en-US"/>
        </w:rPr>
        <w:lastRenderedPageBreak/>
        <w:t>derecho extranjero, pero las disposiciones del reglamento del organismo internacional dejan al derecho nacional la regulación del acuerdo o convenio y los procedimientos de selección, será aplicable la prohibición contenida en el artículo 33 citado.</w:t>
      </w:r>
    </w:p>
    <w:p w:rsidRPr="00B86110" w:rsidR="00A72945" w:rsidP="00B86110" w:rsidRDefault="00A72945" w14:paraId="4B72B771" w14:textId="7B7C33F2">
      <w:pPr>
        <w:snapToGrid w:val="0"/>
        <w:ind w:left="709" w:right="709"/>
        <w:jc w:val="both"/>
        <w:rPr>
          <w:rFonts w:ascii="Arial" w:hAnsi="Arial" w:eastAsia="Calibri" w:cs="Arial"/>
          <w:sz w:val="21"/>
          <w:szCs w:val="21"/>
          <w:lang w:val="es-ES" w:eastAsia="en-US"/>
        </w:rPr>
      </w:pPr>
      <w:r w:rsidRPr="00B86110">
        <w:rPr>
          <w:rFonts w:ascii="Arial" w:hAnsi="Arial" w:eastAsia="Calibri" w:cs="Arial"/>
          <w:sz w:val="21"/>
          <w:szCs w:val="21"/>
          <w:lang w:val="es-ES" w:eastAsia="en-US"/>
        </w:rPr>
        <w:t xml:space="preserve">[…] </w:t>
      </w:r>
    </w:p>
    <w:p w:rsidRPr="00B86110" w:rsidR="00977689" w:rsidP="00B86110" w:rsidRDefault="00977689" w14:paraId="6F8972B3" w14:textId="01651052">
      <w:pPr>
        <w:spacing w:line="276" w:lineRule="auto"/>
        <w:jc w:val="both"/>
        <w:rPr>
          <w:rFonts w:ascii="Arial" w:hAnsi="Arial" w:cs="Arial"/>
          <w:bCs/>
          <w:sz w:val="22"/>
          <w:szCs w:val="22"/>
          <w:lang w:val="es-ES" w:eastAsia="es-CO"/>
        </w:rPr>
      </w:pPr>
    </w:p>
    <w:p w:rsidRPr="00EA6BEC" w:rsidR="0051212F" w:rsidP="00B86110" w:rsidRDefault="00EA6BEC" w14:paraId="66E0C229" w14:textId="5544784B">
      <w:pPr>
        <w:spacing w:line="276" w:lineRule="auto"/>
        <w:ind w:firstLine="709"/>
        <w:jc w:val="both"/>
        <w:rPr>
          <w:rFonts w:ascii="Arial" w:hAnsi="Arial" w:eastAsia="Calibri" w:cs="Arial"/>
          <w:color w:val="000000"/>
          <w:sz w:val="22"/>
        </w:rPr>
      </w:pPr>
      <w:r w:rsidRPr="00B86110">
        <w:rPr>
          <w:rFonts w:ascii="Arial" w:hAnsi="Arial" w:eastAsia="Calibri" w:cs="Arial"/>
          <w:bCs/>
          <w:color w:val="000000"/>
          <w:sz w:val="22"/>
          <w:szCs w:val="22"/>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B86110" w:rsidR="00524963">
        <w:rPr>
          <w:rFonts w:ascii="Arial" w:hAnsi="Arial" w:cs="Arial"/>
          <w:sz w:val="22"/>
          <w:szCs w:val="22"/>
          <w:lang w:eastAsia="x-none"/>
        </w:rPr>
        <w:t>.</w:t>
      </w:r>
    </w:p>
    <w:p w:rsidRPr="00524963" w:rsidR="00524963" w:rsidP="00B86110" w:rsidRDefault="00524963" w14:paraId="6F8D21A7" w14:textId="2D890C74">
      <w:pPr>
        <w:spacing w:line="259" w:lineRule="auto"/>
        <w:jc w:val="both"/>
      </w:pPr>
    </w:p>
    <w:p w:rsidRPr="0051212F" w:rsidR="0051212F" w:rsidP="0051212F" w:rsidRDefault="0051212F" w14:paraId="7A2C9C60" w14:textId="77777777">
      <w:pPr>
        <w:spacing w:line="276" w:lineRule="auto"/>
        <w:jc w:val="both"/>
        <w:rPr>
          <w:rFonts w:ascii="Arial" w:hAnsi="Arial" w:cs="Arial"/>
          <w:color w:val="000000" w:themeColor="text1"/>
          <w:sz w:val="22"/>
          <w:lang w:val="es-ES_tradnl"/>
        </w:rPr>
      </w:pPr>
      <w:r w:rsidRPr="0051212F">
        <w:rPr>
          <w:rFonts w:ascii="Arial" w:hAnsi="Arial" w:cs="Arial"/>
          <w:color w:val="000000" w:themeColor="text1"/>
          <w:sz w:val="22"/>
          <w:szCs w:val="22"/>
          <w:lang w:val="es-ES_tradnl"/>
        </w:rPr>
        <w:t>Este concepto tiene el alcance previsto en el artículo 28 del</w:t>
      </w:r>
      <w:r w:rsidRPr="0051212F">
        <w:rPr>
          <w:rFonts w:ascii="Arial" w:hAnsi="Arial" w:cs="Arial"/>
          <w:color w:val="000000" w:themeColor="text1"/>
          <w:sz w:val="22"/>
          <w:lang w:val="es-ES_tradnl"/>
        </w:rPr>
        <w:t xml:space="preserve"> Código de Procedimiento Administrativo y de lo Contencioso Administrativo.</w:t>
      </w:r>
    </w:p>
    <w:bookmarkEnd w:id="8"/>
    <w:bookmarkEnd w:id="34"/>
    <w:p w:rsidRPr="00A51520" w:rsidR="00003233" w:rsidP="00D40F8B" w:rsidRDefault="00003233" w14:paraId="6F54E9C9" w14:textId="77777777">
      <w:pPr>
        <w:spacing w:before="120" w:line="276" w:lineRule="auto"/>
        <w:jc w:val="both"/>
        <w:rPr>
          <w:rFonts w:ascii="Arial" w:hAnsi="Arial" w:cs="Arial"/>
          <w:color w:val="000000" w:themeColor="text1"/>
          <w:sz w:val="22"/>
          <w:lang w:val="es-ES_tradnl"/>
        </w:rPr>
      </w:pPr>
    </w:p>
    <w:p w:rsidRPr="00A51520" w:rsidR="00D40F8B" w:rsidP="00DF76A2" w:rsidRDefault="00861F0F" w14:paraId="349855C9" w14:textId="4E2C915B">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rsidRPr="00A51520" w:rsidR="00D40F8B" w:rsidP="00003233" w:rsidRDefault="002F5B6B" w14:paraId="10A1E411" w14:textId="6AB6B687">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7E853ADC" wp14:editId="58300780">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rsidRPr="00A51520" w:rsidR="00003233" w:rsidP="00003233" w:rsidRDefault="00003233" w14:paraId="1ED13883" w14:textId="77777777">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51520" w:rsidR="00DD5B04" w:rsidTr="05F55887" w14:paraId="0C7DC5F7" w14:textId="77777777">
        <w:trPr>
          <w:trHeight w:val="160"/>
        </w:trPr>
        <w:tc>
          <w:tcPr>
            <w:tcW w:w="812" w:type="dxa"/>
            <w:tcMar/>
            <w:vAlign w:val="center"/>
            <w:hideMark/>
          </w:tcPr>
          <w:p w:rsidRPr="00A51520" w:rsidR="00DD5B04" w:rsidP="00DF76A2" w:rsidRDefault="00DD5B04" w14:paraId="5BDB1AC9" w14:textId="77777777">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tcMar/>
            <w:vAlign w:val="center"/>
            <w:hideMark/>
          </w:tcPr>
          <w:p w:rsidRPr="00A51520" w:rsidR="00DD5B04" w:rsidP="00DF76A2" w:rsidRDefault="00F412DF" w14:paraId="7F9F79B1" w14:textId="6E181913">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rsidRPr="00A51520" w:rsidR="00DD5B04" w:rsidP="00DF76A2" w:rsidRDefault="00DD5B04" w14:paraId="240C71FD" w14:textId="31312C95">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Pr="00A51520" w:rsidR="00FF005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Pr="00A51520" w:rsidR="00DD5B04" w:rsidTr="05F55887" w14:paraId="2F8FD650" w14:textId="77777777">
        <w:trPr>
          <w:trHeight w:val="330"/>
        </w:trPr>
        <w:tc>
          <w:tcPr>
            <w:tcW w:w="812" w:type="dxa"/>
            <w:tcMar/>
            <w:vAlign w:val="center"/>
            <w:hideMark/>
          </w:tcPr>
          <w:p w:rsidRPr="00A51520" w:rsidR="00DD5B04" w:rsidP="00DF76A2" w:rsidRDefault="00DD5B04" w14:paraId="50203A0B" w14:textId="77777777">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tcMar/>
            <w:vAlign w:val="center"/>
            <w:hideMark/>
          </w:tcPr>
          <w:p w:rsidRPr="00A51520" w:rsidR="00B17563" w:rsidP="00F412DF" w:rsidRDefault="003D1E4F" w14:paraId="1D54785F" w14:textId="50438417">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w:t>
            </w:r>
            <w:r w:rsidR="001B6EBB">
              <w:rPr>
                <w:rFonts w:ascii="Arial" w:hAnsi="Arial" w:cs="Arial"/>
                <w:color w:val="000000" w:themeColor="text1"/>
                <w:sz w:val="16"/>
                <w:szCs w:val="16"/>
                <w:lang w:val="es-ES_tradnl" w:eastAsia="es-ES"/>
              </w:rPr>
              <w:t xml:space="preserve">Penagos </w:t>
            </w:r>
          </w:p>
          <w:p w:rsidRPr="00A51520" w:rsidR="00DD5B04" w:rsidP="05F55887" w:rsidRDefault="00847744" w14:paraId="130B3228" w14:textId="56DC9CC4">
            <w:pPr>
              <w:jc w:val="both"/>
              <w:rPr>
                <w:rFonts w:ascii="Arial" w:hAnsi="Arial" w:cs="Arial"/>
                <w:color w:val="000000" w:themeColor="text1"/>
                <w:sz w:val="16"/>
                <w:szCs w:val="16"/>
                <w:lang w:val="es-ES" w:eastAsia="es-ES"/>
              </w:rPr>
            </w:pPr>
            <w:r w:rsidRPr="00A51520" w:rsidR="00F412DF">
              <w:rPr>
                <w:rFonts w:ascii="Arial" w:hAnsi="Arial" w:cs="Arial"/>
                <w:color w:val="000000"/>
                <w:sz w:val="16"/>
                <w:szCs w:val="16"/>
                <w:shd w:val="clear" w:color="auto" w:fill="FFFFFF"/>
              </w:rPr>
              <w:t xml:space="preserve">Gestor T1-15 de la </w:t>
            </w:r>
            <w:r w:rsidRPr="00A51520" w:rsidR="00F412DF">
              <w:rPr>
                <w:rFonts w:ascii="Arial" w:hAnsi="Arial" w:cs="Arial"/>
                <w:color w:val="000000" w:themeColor="text1"/>
                <w:sz w:val="16"/>
                <w:szCs w:val="16"/>
                <w:lang w:val="es-ES" w:eastAsia="es-ES"/>
              </w:rPr>
              <w:t>Subdirección de Gestión Contractual</w:t>
            </w:r>
          </w:p>
        </w:tc>
      </w:tr>
      <w:tr w:rsidRPr="00D40F8B" w:rsidR="00DD5B04" w:rsidTr="05F55887" w14:paraId="0FCBCA4A" w14:textId="77777777">
        <w:trPr>
          <w:trHeight w:val="300"/>
        </w:trPr>
        <w:tc>
          <w:tcPr>
            <w:tcW w:w="812" w:type="dxa"/>
            <w:tcMar/>
            <w:vAlign w:val="center"/>
            <w:hideMark/>
          </w:tcPr>
          <w:p w:rsidRPr="00A51520" w:rsidR="00DD5B04" w:rsidP="00DF76A2" w:rsidRDefault="00DD5B04" w14:paraId="3C1D943A" w14:textId="77777777">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tcMar/>
            <w:vAlign w:val="center"/>
            <w:hideMark/>
          </w:tcPr>
          <w:p w:rsidRPr="00A51520" w:rsidR="006A55EE" w:rsidP="00DF76A2" w:rsidRDefault="00C05A61" w14:paraId="7180A172" w14:textId="7E7E6045">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 xml:space="preserve">Jorge </w:t>
            </w:r>
            <w:r w:rsidRPr="00A51520" w:rsidR="00647A36">
              <w:rPr>
                <w:rFonts w:ascii="Arial" w:hAnsi="Arial" w:cs="Arial"/>
                <w:color w:val="000000" w:themeColor="text1"/>
                <w:sz w:val="16"/>
                <w:szCs w:val="16"/>
                <w:lang w:val="es-ES_tradnl" w:eastAsia="es-ES"/>
              </w:rPr>
              <w:t xml:space="preserve">Augusto </w:t>
            </w:r>
            <w:r w:rsidRPr="00A51520">
              <w:rPr>
                <w:rFonts w:ascii="Arial" w:hAnsi="Arial" w:cs="Arial"/>
                <w:color w:val="000000" w:themeColor="text1"/>
                <w:sz w:val="16"/>
                <w:szCs w:val="16"/>
                <w:lang w:val="es-ES_tradnl" w:eastAsia="es-ES"/>
              </w:rPr>
              <w:t>Tirado Navarro</w:t>
            </w:r>
          </w:p>
          <w:p w:rsidRPr="00D40F8B" w:rsidR="00DD5B04" w:rsidP="00DF76A2" w:rsidRDefault="00DD5B04" w14:paraId="1ADC483B" w14:textId="2EC8CC51">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Subdirector de Gestión Contractual</w:t>
            </w:r>
            <w:r w:rsidRPr="00A51520" w:rsidR="00973AA2">
              <w:rPr>
                <w:rFonts w:ascii="Arial" w:hAnsi="Arial" w:cs="Arial"/>
                <w:color w:val="000000" w:themeColor="text1"/>
                <w:sz w:val="16"/>
                <w:szCs w:val="16"/>
                <w:lang w:val="es-ES_tradnl" w:eastAsia="es-ES"/>
              </w:rPr>
              <w:t xml:space="preserve"> </w:t>
            </w:r>
            <w:r w:rsidRPr="00A51520" w:rsidR="00973AA2">
              <w:rPr>
                <w:rFonts w:ascii="Arial" w:hAnsi="Arial" w:cs="Arial"/>
                <w:color w:val="000000" w:themeColor="text1"/>
                <w:sz w:val="16"/>
                <w:szCs w:val="16"/>
                <w:lang w:eastAsia="es-ES"/>
              </w:rPr>
              <w:t>ANCP – CCE</w:t>
            </w:r>
          </w:p>
        </w:tc>
      </w:tr>
    </w:tbl>
    <w:p w:rsidR="00453A53" w:rsidP="00215B8E" w:rsidRDefault="00453A53" w14:paraId="62A9C657" w14:textId="77777777">
      <w:pPr>
        <w:jc w:val="both"/>
        <w:rPr>
          <w:rFonts w:ascii="Arial" w:hAnsi="Arial" w:cs="Arial"/>
          <w:lang w:val="es-ES_tradnl"/>
        </w:rPr>
      </w:pPr>
    </w:p>
    <w:p w:rsidRPr="009D3964" w:rsidR="00FC710F" w:rsidRDefault="00FC710F" w14:paraId="4D3D318F" w14:textId="77777777">
      <w:pPr>
        <w:jc w:val="both"/>
        <w:rPr>
          <w:rFonts w:ascii="Arial" w:hAnsi="Arial" w:cs="Arial"/>
          <w:lang w:val="es-ES_tradnl"/>
        </w:rPr>
      </w:pPr>
    </w:p>
    <w:sectPr w:rsidRPr="009D3964" w:rsidR="00FC710F" w:rsidSect="00026B36">
      <w:headerReference w:type="default" r:id="rId13"/>
      <w:footerReference w:type="default" r:id="rId14"/>
      <w:pgSz w:w="12240" w:h="15840" w:orient="portrait"/>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7A3" w:rsidRDefault="007F67A3" w14:paraId="2ED3992A" w14:textId="77777777">
      <w:r>
        <w:separator/>
      </w:r>
    </w:p>
  </w:endnote>
  <w:endnote w:type="continuationSeparator" w:id="0">
    <w:p w:rsidR="007F67A3" w:rsidRDefault="007F67A3" w14:paraId="6C5BBA16" w14:textId="77777777">
      <w:r>
        <w:continuationSeparator/>
      </w:r>
    </w:p>
  </w:endnote>
  <w:endnote w:type="continuationNotice" w:id="1">
    <w:p w:rsidR="007F67A3" w:rsidRDefault="007F67A3" w14:paraId="6C6B63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6D8D" w:rsidR="00E2520A" w:rsidP="00FE42ED" w:rsidRDefault="00E2520A" w14:paraId="7A3785F3" w14:textId="2EF28465">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rsidR="00E2520A" w:rsidP="00322937" w:rsidRDefault="00E2520A" w14:paraId="48FC6A04" w14:textId="5FD1A7C9">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E2520A" w:rsidP="007B0854" w:rsidRDefault="00E2520A" w14:paraId="5D0E988C" w14:textId="77777777">
    <w:pPr>
      <w:pStyle w:val="Piedepgina"/>
      <w:jc w:val="center"/>
      <w:rPr>
        <w:lang w:val="es-ES"/>
      </w:rPr>
    </w:pPr>
  </w:p>
  <w:p w:rsidR="00E2520A" w:rsidRDefault="00E2520A" w14:paraId="1963EBF8" w14:textId="77777777"/>
  <w:p w:rsidR="00E2520A" w:rsidRDefault="00E2520A" w14:paraId="2CCD54A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7A3" w:rsidRDefault="007F67A3" w14:paraId="2DCFA8EA" w14:textId="77777777">
      <w:r>
        <w:separator/>
      </w:r>
    </w:p>
  </w:footnote>
  <w:footnote w:type="continuationSeparator" w:id="0">
    <w:p w:rsidR="007F67A3" w:rsidRDefault="007F67A3" w14:paraId="33E368DB" w14:textId="77777777">
      <w:r>
        <w:continuationSeparator/>
      </w:r>
    </w:p>
  </w:footnote>
  <w:footnote w:type="continuationNotice" w:id="1">
    <w:p w:rsidR="007F67A3" w:rsidRDefault="007F67A3" w14:paraId="788FC292" w14:textId="77777777"/>
  </w:footnote>
  <w:footnote w:id="2">
    <w:p w:rsidRPr="00D260C6" w:rsidR="00524963" w:rsidP="00E20A7A" w:rsidRDefault="00524963" w14:paraId="3EAC3DAF" w14:textId="77777777">
      <w:pPr>
        <w:pStyle w:val="Textonotapie"/>
        <w:ind w:firstLine="708"/>
        <w:contextualSpacing/>
        <w:jc w:val="both"/>
        <w:rPr>
          <w:rFonts w:ascii="Arial" w:hAnsi="Arial" w:cs="Arial"/>
          <w:sz w:val="19"/>
          <w:szCs w:val="19"/>
        </w:rPr>
      </w:pPr>
      <w:r w:rsidRPr="00D260C6">
        <w:rPr>
          <w:rStyle w:val="Refdenotaalpie"/>
          <w:rFonts w:ascii="Arial" w:hAnsi="Arial" w:cs="Arial"/>
          <w:sz w:val="19"/>
          <w:szCs w:val="19"/>
        </w:rPr>
        <w:footnoteRef/>
      </w:r>
      <w:r w:rsidRPr="00D260C6">
        <w:rPr>
          <w:rFonts w:ascii="Arial" w:hAnsi="Arial" w:cs="Arial"/>
          <w:sz w:val="19"/>
          <w:szCs w:val="19"/>
        </w:rPr>
        <w:t xml:space="preserve"> «Artículo 3°. Funciones. La Agencia Nacional de Contratación Pública –Colombia Compra Eficiente– ejercerá las siguientes funciones: </w:t>
      </w:r>
    </w:p>
    <w:p w:rsidRPr="00D260C6" w:rsidR="00524963" w:rsidP="00E20A7A" w:rsidRDefault="00524963" w14:paraId="70C73CDC" w14:textId="77777777">
      <w:pPr>
        <w:pStyle w:val="Textonotapie"/>
        <w:ind w:firstLine="709"/>
        <w:contextualSpacing/>
        <w:jc w:val="both"/>
        <w:rPr>
          <w:rFonts w:ascii="Arial" w:hAnsi="Arial" w:cs="Arial"/>
          <w:sz w:val="19"/>
          <w:szCs w:val="19"/>
          <w:lang w:val="es-ES"/>
        </w:rPr>
      </w:pPr>
      <w:r w:rsidRPr="00D260C6">
        <w:rPr>
          <w:rFonts w:ascii="Arial" w:hAnsi="Arial" w:cs="Arial"/>
          <w:sz w:val="19"/>
          <w:szCs w:val="19"/>
          <w:lang w:val="es-ES"/>
        </w:rPr>
        <w:t xml:space="preserve">»[...] </w:t>
      </w:r>
    </w:p>
    <w:p w:rsidRPr="00D260C6" w:rsidR="00524963" w:rsidP="00E20A7A" w:rsidRDefault="00524963" w14:paraId="2676BF68" w14:textId="77777777">
      <w:pPr>
        <w:pStyle w:val="Textonotapie"/>
        <w:ind w:firstLine="709"/>
        <w:contextualSpacing/>
        <w:jc w:val="both"/>
        <w:rPr>
          <w:rFonts w:ascii="Arial" w:hAnsi="Arial" w:cs="Arial"/>
          <w:sz w:val="19"/>
          <w:szCs w:val="19"/>
          <w:lang w:val="es-ES"/>
        </w:rPr>
      </w:pPr>
      <w:r w:rsidRPr="00D260C6">
        <w:rPr>
          <w:rFonts w:ascii="Arial" w:hAnsi="Arial" w:cs="Arial"/>
          <w:sz w:val="19"/>
          <w:szCs w:val="19"/>
          <w:lang w:val="es-ES"/>
        </w:rPr>
        <w:t>»5. Absolver consultas sobre la aplicación de normas de carácter general y expedir circulares externas en materia de compras y contratación pública».</w:t>
      </w:r>
    </w:p>
    <w:p w:rsidRPr="00D260C6" w:rsidR="00524963" w:rsidP="00E20A7A" w:rsidRDefault="00524963" w14:paraId="3499B972" w14:textId="77777777">
      <w:pPr>
        <w:pStyle w:val="Textonotapie"/>
        <w:ind w:firstLine="709"/>
        <w:contextualSpacing/>
        <w:jc w:val="both"/>
        <w:rPr>
          <w:rFonts w:ascii="Arial" w:hAnsi="Arial" w:cs="Arial"/>
          <w:sz w:val="19"/>
          <w:szCs w:val="19"/>
          <w:lang w:val="es-ES"/>
        </w:rPr>
      </w:pPr>
      <w:r w:rsidRPr="00D260C6">
        <w:rPr>
          <w:rFonts w:ascii="Arial" w:hAnsi="Arial" w:eastAsia="Times New Roman" w:cs="Arial"/>
          <w:sz w:val="19"/>
          <w:szCs w:val="19"/>
          <w:lang w:val="es-CO" w:eastAsia="es-ES_tradnl"/>
        </w:rPr>
        <w:t>«</w:t>
      </w:r>
      <w:r w:rsidRPr="00D260C6">
        <w:rPr>
          <w:rFonts w:ascii="Arial" w:hAnsi="Arial" w:cs="Arial"/>
          <w:sz w:val="19"/>
          <w:szCs w:val="19"/>
          <w:lang w:val="es-ES"/>
        </w:rPr>
        <w:t xml:space="preserve">Artículo 11. Subdirección de Gestión Contractual. Son funciones de la Subdirección de Gestión Contractual las siguientes: </w:t>
      </w:r>
    </w:p>
    <w:p w:rsidRPr="00D260C6" w:rsidR="00524963" w:rsidP="00E20A7A" w:rsidRDefault="00524963" w14:paraId="086C1AE4" w14:textId="77777777">
      <w:pPr>
        <w:pStyle w:val="Textonotapie"/>
        <w:ind w:firstLine="709"/>
        <w:contextualSpacing/>
        <w:jc w:val="both"/>
        <w:rPr>
          <w:rFonts w:ascii="Arial" w:hAnsi="Arial" w:cs="Arial"/>
          <w:sz w:val="19"/>
          <w:szCs w:val="19"/>
          <w:lang w:val="es-ES"/>
        </w:rPr>
      </w:pPr>
      <w:r w:rsidRPr="00D260C6">
        <w:rPr>
          <w:rFonts w:ascii="Arial" w:hAnsi="Arial" w:cs="Arial"/>
          <w:sz w:val="19"/>
          <w:szCs w:val="19"/>
          <w:lang w:val="es-ES"/>
        </w:rPr>
        <w:t xml:space="preserve">»[...] </w:t>
      </w:r>
    </w:p>
    <w:p w:rsidRPr="00D260C6" w:rsidR="00524963" w:rsidP="00E20A7A" w:rsidRDefault="00524963" w14:paraId="36505374" w14:textId="77777777">
      <w:pPr>
        <w:pStyle w:val="Textonotapie"/>
        <w:ind w:firstLine="708"/>
        <w:contextualSpacing/>
        <w:jc w:val="both"/>
        <w:rPr>
          <w:rFonts w:ascii="Arial" w:hAnsi="Arial" w:cs="Arial"/>
          <w:sz w:val="19"/>
          <w:szCs w:val="19"/>
        </w:rPr>
      </w:pPr>
      <w:r w:rsidRPr="00D260C6">
        <w:rPr>
          <w:rFonts w:ascii="Arial" w:hAnsi="Arial" w:eastAsia="Times New Roman" w:cs="Arial"/>
          <w:sz w:val="19"/>
          <w:szCs w:val="19"/>
          <w:lang w:val="es-CO" w:eastAsia="es-ES_tradnl"/>
        </w:rPr>
        <w:t>»</w:t>
      </w:r>
      <w:r w:rsidRPr="00D260C6">
        <w:rPr>
          <w:rFonts w:ascii="Arial" w:hAnsi="Arial" w:cs="Arial"/>
          <w:sz w:val="19"/>
          <w:szCs w:val="19"/>
          <w:lang w:val="es-ES"/>
        </w:rPr>
        <w:t>8. Absolver consultas sobre la aplicación de normas de carácter general».</w:t>
      </w:r>
    </w:p>
  </w:footnote>
  <w:footnote w:id="3">
    <w:p w:rsidRPr="00B35679" w:rsidR="00963B93" w:rsidP="00E20A7A" w:rsidRDefault="00963B93" w14:paraId="1EB34580" w14:textId="77777777">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Pr="00B35679" w:rsidR="00963B93" w:rsidP="00E20A7A" w:rsidRDefault="00963B93" w14:paraId="21C80805" w14:textId="105D3125">
      <w:pPr>
        <w:pStyle w:val="Textonotapie"/>
        <w:ind w:firstLine="709"/>
        <w:contextualSpacing/>
        <w:jc w:val="both"/>
        <w:rPr>
          <w:rFonts w:ascii="Arial" w:hAnsi="Arial" w:cs="Arial"/>
          <w:sz w:val="19"/>
          <w:szCs w:val="19"/>
        </w:rPr>
      </w:pPr>
      <w:proofErr w:type="gramStart"/>
      <w:r w:rsidRPr="00B35679">
        <w:rPr>
          <w:rFonts w:ascii="Arial" w:hAnsi="Arial" w:cs="Arial"/>
          <w:sz w:val="19"/>
          <w:szCs w:val="19"/>
        </w:rPr>
        <w:t>»A</w:t>
      </w:r>
      <w:proofErr w:type="gramEnd"/>
      <w:r w:rsidRPr="00B35679">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rsidRPr="00B35679" w:rsidR="00963B93" w:rsidP="00E20A7A" w:rsidRDefault="00963B93" w14:paraId="11E8664F" w14:textId="77777777">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Gaceta del Congreso de la República No. 71 del 2005.</w:t>
      </w:r>
    </w:p>
  </w:footnote>
  <w:footnote w:id="5">
    <w:p w:rsidRPr="00B35679" w:rsidR="00963B93" w:rsidP="00E20A7A" w:rsidRDefault="00963B93" w14:paraId="1BA9AAE9" w14:textId="77777777">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 C- 1153 de 2005, M.P. Marco Gerardo Monroy Cabra.</w:t>
      </w:r>
    </w:p>
  </w:footnote>
  <w:footnote w:id="6">
    <w:p w:rsidRPr="00B35679" w:rsidR="00963B93" w:rsidP="00E20A7A" w:rsidRDefault="00963B93" w14:paraId="570E67B0" w14:textId="77777777">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rsidRPr="00B35679" w:rsidR="00963B93" w:rsidP="00E20A7A" w:rsidRDefault="00963B93" w14:paraId="5EACA9DF" w14:textId="77777777">
      <w:pPr>
        <w:pStyle w:val="Textonotapie"/>
        <w:ind w:firstLine="709"/>
        <w:contextualSpacing/>
        <w:jc w:val="both"/>
        <w:rPr>
          <w:rFonts w:ascii="Arial" w:hAnsi="Arial" w:cs="Arial"/>
          <w:sz w:val="19"/>
          <w:szCs w:val="19"/>
          <w:lang w:val="es-CO"/>
        </w:rPr>
      </w:pPr>
      <w:r w:rsidRPr="00B35679">
        <w:rPr>
          <w:rStyle w:val="Refdenotaalpie"/>
          <w:rFonts w:ascii="Arial" w:hAnsi="Arial" w:cs="Arial"/>
          <w:sz w:val="19"/>
          <w:szCs w:val="19"/>
        </w:rPr>
        <w:footnoteRef/>
      </w:r>
      <w:r w:rsidRPr="00B35679">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rsidRPr="00B35679" w:rsidR="00963B93" w:rsidP="00E20A7A" w:rsidRDefault="00963B93" w14:paraId="20FDAF2C" w14:textId="77777777">
      <w:pPr>
        <w:pStyle w:val="Textonotapie"/>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de fecha 24 de julio de 2013, radicado 2166, </w:t>
      </w:r>
      <w:proofErr w:type="gramStart"/>
      <w:r w:rsidRPr="00B35679">
        <w:rPr>
          <w:rFonts w:ascii="Arial" w:hAnsi="Arial" w:cs="Arial"/>
          <w:sz w:val="19"/>
          <w:szCs w:val="19"/>
        </w:rPr>
        <w:t>Consejero</w:t>
      </w:r>
      <w:proofErr w:type="gramEnd"/>
      <w:r w:rsidRPr="00B35679">
        <w:rPr>
          <w:rFonts w:ascii="Arial" w:hAnsi="Arial" w:cs="Arial"/>
          <w:sz w:val="19"/>
          <w:szCs w:val="19"/>
        </w:rPr>
        <w:t xml:space="preserve"> Ponente: Álvaro </w:t>
      </w:r>
      <w:proofErr w:type="spellStart"/>
      <w:r w:rsidRPr="00B35679">
        <w:rPr>
          <w:rFonts w:ascii="Arial" w:hAnsi="Arial" w:cs="Arial"/>
          <w:sz w:val="19"/>
          <w:szCs w:val="19"/>
        </w:rPr>
        <w:t>Namén</w:t>
      </w:r>
      <w:proofErr w:type="spellEnd"/>
      <w:r w:rsidRPr="00B35679">
        <w:rPr>
          <w:rFonts w:ascii="Arial" w:hAnsi="Arial" w:cs="Arial"/>
          <w:sz w:val="19"/>
          <w:szCs w:val="19"/>
        </w:rPr>
        <w:t xml:space="preserve"> Vargas.  </w:t>
      </w:r>
    </w:p>
  </w:footnote>
  <w:footnote w:id="9">
    <w:p w:rsidRPr="00B35679" w:rsidR="00963B93" w:rsidP="00E20A7A" w:rsidRDefault="00963B93" w14:paraId="3F35F8AF" w14:textId="77777777">
      <w:pPr>
        <w:ind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name="33" w:id="18"/>
      <w:r w:rsidRPr="00B35679">
        <w:rPr>
          <w:rFonts w:ascii="Arial" w:hAnsi="Arial" w:eastAsia="Calibri" w:cs="Arial"/>
          <w:bCs/>
          <w:color w:val="000000"/>
          <w:sz w:val="19"/>
          <w:szCs w:val="19"/>
        </w:rPr>
        <w:t>«</w:t>
      </w:r>
      <w:r w:rsidRPr="00B35679">
        <w:rPr>
          <w:rFonts w:ascii="Arial" w:hAnsi="Arial" w:cs="Arial"/>
          <w:sz w:val="19"/>
          <w:szCs w:val="19"/>
        </w:rPr>
        <w:t>Artículo 33. Restricciones a la contratación pública.</w:t>
      </w:r>
      <w:bookmarkEnd w:id="18"/>
      <w:r w:rsidRPr="00B35679">
        <w:rPr>
          <w:rFonts w:ascii="Arial"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rsidRPr="00B35679" w:rsidR="00963B93" w:rsidP="00E20A7A" w:rsidRDefault="00963B93" w14:paraId="14923947" w14:textId="77777777">
      <w:pPr>
        <w:ind w:firstLine="709"/>
        <w:contextualSpacing/>
        <w:jc w:val="both"/>
        <w:rPr>
          <w:rFonts w:ascii="Arial" w:hAnsi="Arial" w:cs="Arial"/>
          <w:sz w:val="19"/>
          <w:szCs w:val="19"/>
        </w:rPr>
      </w:pPr>
      <w:r w:rsidRPr="00B35679">
        <w:rPr>
          <w:rFonts w:ascii="Arial" w:hAnsi="Arial" w:eastAsia="Calibri" w:cs="Arial"/>
          <w:bCs/>
          <w:color w:val="000000"/>
          <w:sz w:val="19"/>
          <w:szCs w:val="19"/>
        </w:rPr>
        <w:t>»</w:t>
      </w:r>
      <w:r w:rsidRPr="00B35679">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35679">
        <w:rPr>
          <w:rFonts w:ascii="Arial" w:hAnsi="Arial" w:eastAsia="Calibri" w:cs="Arial"/>
          <w:bCs/>
          <w:color w:val="000000"/>
          <w:sz w:val="19"/>
          <w:szCs w:val="19"/>
        </w:rPr>
        <w:t>»</w:t>
      </w:r>
      <w:r w:rsidRPr="00B35679">
        <w:rPr>
          <w:rFonts w:ascii="Arial" w:hAnsi="Arial" w:cs="Arial"/>
          <w:sz w:val="19"/>
          <w:szCs w:val="19"/>
        </w:rPr>
        <w:t>.</w:t>
      </w:r>
    </w:p>
  </w:footnote>
  <w:footnote w:id="10">
    <w:p w:rsidRPr="00B35679" w:rsidR="00963B93" w:rsidP="00E20A7A" w:rsidRDefault="00963B93" w14:paraId="48AC1B41" w14:textId="77777777">
      <w:pPr>
        <w:pStyle w:val="NormalWeb"/>
        <w:spacing w:before="0" w:beforeAutospacing="0" w:after="0" w:afterAutospacing="0"/>
        <w:ind w:firstLine="709"/>
        <w:contextualSpacing/>
        <w:jc w:val="both"/>
        <w:rPr>
          <w:rFonts w:ascii="Arial" w:hAnsi="Arial" w:cs="Arial"/>
          <w:sz w:val="19"/>
          <w:szCs w:val="19"/>
          <w:lang w:val="es-MX"/>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name="38" w:id="19"/>
      <w:r w:rsidRPr="00B35679">
        <w:rPr>
          <w:rFonts w:ascii="Arial" w:hAnsi="Arial" w:eastAsia="Calibri" w:cs="Arial"/>
          <w:bCs/>
          <w:color w:val="000000"/>
          <w:sz w:val="19"/>
          <w:szCs w:val="19"/>
        </w:rPr>
        <w:t>«</w:t>
      </w:r>
      <w:r w:rsidRPr="00B35679">
        <w:rPr>
          <w:rFonts w:ascii="Arial" w:hAnsi="Arial" w:cs="Arial"/>
          <w:sz w:val="19"/>
          <w:szCs w:val="19"/>
          <w:lang w:val="es-MX"/>
        </w:rPr>
        <w:t>Artículo 38. Prohibiciones para los servidores públicos. A los empleados del Estado les está prohibido:</w:t>
      </w:r>
      <w:bookmarkEnd w:id="19"/>
    </w:p>
    <w:p w:rsidRPr="00B35679" w:rsidR="00963B93" w:rsidP="00E20A7A" w:rsidRDefault="00963B93" w14:paraId="0D9E6AE0" w14:textId="77777777">
      <w:pPr>
        <w:pStyle w:val="NormalWeb"/>
        <w:spacing w:before="0" w:beforeAutospacing="0" w:after="0" w:afterAutospacing="0"/>
        <w:ind w:firstLine="709"/>
        <w:contextualSpacing/>
        <w:jc w:val="both"/>
        <w:rPr>
          <w:rFonts w:ascii="Arial" w:hAnsi="Arial" w:cs="Arial"/>
          <w:sz w:val="19"/>
          <w:szCs w:val="19"/>
          <w:lang w:val="es-MX"/>
        </w:rPr>
      </w:pPr>
      <w:r w:rsidRPr="00B35679">
        <w:rPr>
          <w:rFonts w:ascii="Arial" w:hAnsi="Arial" w:eastAsia="Calibri" w:cs="Arial"/>
          <w:bCs/>
          <w:color w:val="000000"/>
          <w:sz w:val="19"/>
          <w:szCs w:val="19"/>
        </w:rPr>
        <w:t>»</w:t>
      </w:r>
      <w:r w:rsidRPr="00B35679">
        <w:rPr>
          <w:rFonts w:ascii="Arial" w:hAnsi="Arial" w:cs="Arial"/>
          <w:sz w:val="19"/>
          <w:szCs w:val="19"/>
          <w:lang w:val="es-MX"/>
        </w:rPr>
        <w:t xml:space="preserve"> […]</w:t>
      </w:r>
    </w:p>
    <w:p w:rsidRPr="00B35679" w:rsidR="00963B93" w:rsidP="00E20A7A" w:rsidRDefault="00963B93" w14:paraId="1176DA2F" w14:textId="77777777">
      <w:pPr>
        <w:pStyle w:val="NormalWeb"/>
        <w:spacing w:before="0" w:beforeAutospacing="0" w:after="0" w:afterAutospacing="0"/>
        <w:ind w:firstLine="709"/>
        <w:contextualSpacing/>
        <w:jc w:val="both"/>
        <w:rPr>
          <w:rFonts w:ascii="Arial" w:hAnsi="Arial" w:cs="Arial"/>
          <w:sz w:val="19"/>
          <w:szCs w:val="19"/>
          <w:lang w:val="es-MX"/>
        </w:rPr>
      </w:pPr>
      <w:r w:rsidRPr="00B35679">
        <w:rPr>
          <w:rFonts w:ascii="Arial" w:hAnsi="Arial" w:eastAsia="Calibri" w:cs="Arial"/>
          <w:bCs/>
          <w:color w:val="000000"/>
          <w:sz w:val="19"/>
          <w:szCs w:val="19"/>
        </w:rPr>
        <w:t>»</w:t>
      </w:r>
      <w:r w:rsidRPr="00B35679">
        <w:rPr>
          <w:rStyle w:val="baj"/>
          <w:rFonts w:ascii="Arial" w:hAnsi="Arial" w:cs="Arial"/>
          <w:sz w:val="19"/>
          <w:szCs w:val="19"/>
          <w:lang w:val="es-MX"/>
        </w:rPr>
        <w:t xml:space="preserve"> Parágrafo.</w:t>
      </w:r>
      <w:r w:rsidRPr="00B35679">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B35679">
        <w:rPr>
          <w:rFonts w:ascii="Arial" w:hAnsi="Arial" w:eastAsia="Calibri" w:cs="Arial"/>
          <w:bCs/>
          <w:color w:val="000000"/>
          <w:sz w:val="19"/>
          <w:szCs w:val="19"/>
        </w:rPr>
        <w:t>»</w:t>
      </w:r>
      <w:r w:rsidRPr="00B35679">
        <w:rPr>
          <w:rFonts w:ascii="Arial" w:hAnsi="Arial" w:cs="Arial"/>
          <w:sz w:val="19"/>
          <w:szCs w:val="19"/>
          <w:lang w:val="es-MX"/>
        </w:rPr>
        <w:t>.</w:t>
      </w:r>
    </w:p>
  </w:footnote>
  <w:footnote w:id="11">
    <w:p w:rsidRPr="00B35679" w:rsidR="00963B93" w:rsidP="00E20A7A" w:rsidRDefault="00963B93" w14:paraId="179D0981" w14:textId="77777777">
      <w:pPr>
        <w:ind w:left="100" w:right="244" w:firstLine="709"/>
        <w:contextualSpacing/>
        <w:jc w:val="both"/>
        <w:rPr>
          <w:rFonts w:ascii="Arial" w:hAnsi="Arial" w:cs="Arial"/>
          <w:sz w:val="19"/>
          <w:szCs w:val="19"/>
          <w:lang w:val="es-ES"/>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rsidRPr="00D260C6" w:rsidR="00524963" w:rsidP="00E20A7A" w:rsidRDefault="00524963" w14:paraId="2E0912E5" w14:textId="77777777">
      <w:pPr>
        <w:pStyle w:val="Textonotapie"/>
        <w:ind w:firstLine="709"/>
        <w:jc w:val="both"/>
        <w:rPr>
          <w:rFonts w:ascii="Arial" w:hAnsi="Arial" w:cs="Arial"/>
          <w:color w:val="000000"/>
          <w:sz w:val="19"/>
          <w:szCs w:val="19"/>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w:t>
      </w:r>
      <w:r w:rsidRPr="00D260C6">
        <w:rPr>
          <w:rFonts w:ascii="Arial" w:hAnsi="Arial" w:cs="Arial"/>
          <w:color w:val="000000"/>
          <w:sz w:val="19"/>
          <w:szCs w:val="19"/>
          <w:lang w:val="es-ES"/>
        </w:rPr>
        <w:t xml:space="preserve">[25] </w:t>
      </w:r>
      <w:r w:rsidRPr="00D260C6">
        <w:rPr>
          <w:rFonts w:ascii="Arial" w:hAnsi="Arial" w:cs="Arial"/>
          <w:color w:val="000000"/>
          <w:sz w:val="19"/>
          <w:szCs w:val="19"/>
        </w:rPr>
        <w:t>Cfr. Consejo de Estado. Sección Tercera. Sentencia de 3 de diciembre de 2007. Radicados: 24.715, 25.206, 25.409, 24.524, 27.834, 25.410, 26.105, 28.244, 31.447 -acumulados-».</w:t>
      </w:r>
    </w:p>
  </w:footnote>
  <w:footnote w:id="13">
    <w:p w:rsidRPr="00D260C6" w:rsidR="00524963" w:rsidP="00E20A7A" w:rsidRDefault="00524963" w14:paraId="2D26AD8A" w14:textId="77777777">
      <w:pPr>
        <w:pStyle w:val="Textonotapie"/>
        <w:ind w:firstLine="709"/>
        <w:jc w:val="both"/>
        <w:rPr>
          <w:rFonts w:ascii="Arial" w:hAnsi="Arial" w:cs="Arial"/>
          <w:color w:val="000000"/>
          <w:sz w:val="19"/>
          <w:szCs w:val="19"/>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w:t>
      </w:r>
      <w:r w:rsidRPr="00D260C6">
        <w:rPr>
          <w:rFonts w:ascii="Arial" w:hAnsi="Arial" w:cs="Arial"/>
          <w:color w:val="000000"/>
          <w:sz w:val="19"/>
          <w:szCs w:val="19"/>
          <w:lang w:val="es-ES"/>
        </w:rPr>
        <w:t xml:space="preserve">[26] </w:t>
      </w:r>
      <w:r w:rsidRPr="00D260C6">
        <w:rPr>
          <w:rFonts w:ascii="Arial" w:hAnsi="Arial" w:cs="Arial"/>
          <w:color w:val="000000"/>
          <w:sz w:val="19"/>
          <w:szCs w:val="19"/>
        </w:rPr>
        <w:t>Al respecto ver el concepto 1712 de 2 de febrero de 2006. Consejo de Estado Sala de Consulta y Servicio Civil».</w:t>
      </w:r>
    </w:p>
  </w:footnote>
  <w:footnote w:id="14">
    <w:p w:rsidRPr="00D260C6" w:rsidR="00524963" w:rsidP="00E20A7A" w:rsidRDefault="00524963" w14:paraId="3FDC5283" w14:textId="77777777">
      <w:pPr>
        <w:pStyle w:val="Textonotapie"/>
        <w:ind w:firstLine="709"/>
        <w:jc w:val="both"/>
        <w:rPr>
          <w:rFonts w:ascii="Arial" w:hAnsi="Arial" w:cs="Arial"/>
          <w:color w:val="000000"/>
          <w:sz w:val="19"/>
          <w:szCs w:val="19"/>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Consejo de Estado. Sala de Consulta y Servicio Civil. Concepto del 2 de septiembre de 2013. Radicación número: 11001-03-06-000-2013-00412-00 (2168). Consejero Ponente: Álvaro </w:t>
      </w:r>
      <w:proofErr w:type="spellStart"/>
      <w:r w:rsidRPr="00D260C6">
        <w:rPr>
          <w:rFonts w:ascii="Arial" w:hAnsi="Arial" w:cs="Arial"/>
          <w:color w:val="000000"/>
          <w:sz w:val="19"/>
          <w:szCs w:val="19"/>
        </w:rPr>
        <w:t>Namén</w:t>
      </w:r>
      <w:proofErr w:type="spellEnd"/>
      <w:r w:rsidRPr="00D260C6">
        <w:rPr>
          <w:rFonts w:ascii="Arial" w:hAnsi="Arial" w:cs="Arial"/>
          <w:color w:val="000000"/>
          <w:sz w:val="19"/>
          <w:szCs w:val="19"/>
        </w:rPr>
        <w:t xml:space="preserve"> Vargas.</w:t>
      </w:r>
    </w:p>
  </w:footnote>
  <w:footnote w:id="15">
    <w:p w:rsidRPr="00D260C6" w:rsidR="00524963" w:rsidP="00E20A7A" w:rsidRDefault="00524963" w14:paraId="02563B18" w14:textId="77777777">
      <w:pPr>
        <w:pStyle w:val="Textonotapie"/>
        <w:ind w:firstLine="709"/>
        <w:jc w:val="both"/>
        <w:rPr>
          <w:rFonts w:ascii="Arial" w:hAnsi="Arial" w:cs="Arial"/>
          <w:color w:val="000000"/>
          <w:sz w:val="19"/>
          <w:szCs w:val="19"/>
          <w:lang w:val="es-ES"/>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w:t>
      </w:r>
      <w:r w:rsidRPr="00D260C6">
        <w:rPr>
          <w:rFonts w:ascii="Arial" w:hAnsi="Arial" w:cs="Arial"/>
          <w:color w:val="000000"/>
          <w:sz w:val="19"/>
          <w:szCs w:val="19"/>
          <w:lang w:val="es-ES"/>
        </w:rPr>
        <w:t xml:space="preserve">Artículo 2. </w:t>
      </w:r>
    </w:p>
  </w:footnote>
  <w:footnote w:id="16">
    <w:p w:rsidRPr="00D260C6" w:rsidR="00524963" w:rsidP="00E20A7A" w:rsidRDefault="00524963" w14:paraId="4125B07B" w14:textId="77777777">
      <w:pPr>
        <w:pStyle w:val="Textonotapie"/>
        <w:ind w:firstLine="709"/>
        <w:jc w:val="both"/>
        <w:rPr>
          <w:rFonts w:ascii="Arial" w:hAnsi="Arial" w:cs="Arial"/>
          <w:color w:val="000000"/>
          <w:sz w:val="19"/>
          <w:szCs w:val="19"/>
          <w:lang w:val="es-ES"/>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w:t>
      </w:r>
      <w:r w:rsidRPr="00D260C6">
        <w:rPr>
          <w:rFonts w:ascii="Arial" w:hAnsi="Arial" w:cs="Arial"/>
          <w:i/>
          <w:color w:val="000000"/>
          <w:sz w:val="19"/>
          <w:szCs w:val="19"/>
          <w:lang w:val="es-ES"/>
        </w:rPr>
        <w:t>Ídem</w:t>
      </w:r>
      <w:r w:rsidRPr="00D260C6">
        <w:rPr>
          <w:rFonts w:ascii="Arial" w:hAnsi="Arial" w:cs="Arial"/>
          <w:color w:val="000000"/>
          <w:sz w:val="19"/>
          <w:szCs w:val="19"/>
          <w:lang w:val="es-ES"/>
        </w:rPr>
        <w:t>.</w:t>
      </w:r>
    </w:p>
  </w:footnote>
  <w:footnote w:id="17">
    <w:p w:rsidRPr="00D260C6" w:rsidR="00524963" w:rsidP="00E20A7A" w:rsidRDefault="00524963" w14:paraId="5DF03155" w14:textId="77777777">
      <w:pPr>
        <w:pStyle w:val="Textonotapie"/>
        <w:ind w:firstLine="709"/>
        <w:jc w:val="both"/>
        <w:rPr>
          <w:rFonts w:ascii="Arial" w:hAnsi="Arial" w:cs="Arial"/>
          <w:color w:val="000000"/>
          <w:sz w:val="19"/>
          <w:szCs w:val="19"/>
          <w:lang w:val="es-ES"/>
        </w:rPr>
      </w:pPr>
      <w:r w:rsidRPr="00D260C6">
        <w:rPr>
          <w:rStyle w:val="Refdenotaalpie"/>
          <w:rFonts w:ascii="Arial" w:hAnsi="Arial" w:cs="Arial"/>
          <w:sz w:val="19"/>
          <w:szCs w:val="19"/>
        </w:rPr>
        <w:footnoteRef/>
      </w:r>
      <w:r w:rsidRPr="00D260C6">
        <w:rPr>
          <w:rStyle w:val="Refdenotaalpie"/>
          <w:rFonts w:ascii="Arial" w:hAnsi="Arial" w:cs="Arial"/>
          <w:color w:val="000000"/>
          <w:sz w:val="19"/>
          <w:szCs w:val="19"/>
        </w:rPr>
        <w:t xml:space="preserve"> </w:t>
      </w:r>
      <w:r w:rsidRPr="00D260C6">
        <w:rPr>
          <w:rFonts w:ascii="Arial" w:hAnsi="Arial" w:cs="Arial"/>
          <w:color w:val="000000"/>
          <w:sz w:val="19"/>
          <w:szCs w:val="19"/>
          <w:lang w:val="es-ES"/>
        </w:rPr>
        <w:t xml:space="preserve">«[…] A este respecto, cabe recordar que el artículo 860 del Código de Comercio regula la licitación en el derecho privado». </w:t>
      </w:r>
    </w:p>
  </w:footnote>
  <w:footnote w:id="18">
    <w:p w:rsidRPr="00D260C6" w:rsidR="00524963" w:rsidP="00E20A7A" w:rsidRDefault="00524963" w14:paraId="62A161C5" w14:textId="77777777">
      <w:pPr>
        <w:shd w:val="clear" w:color="auto" w:fill="FFFFFF"/>
        <w:ind w:firstLine="709"/>
        <w:jc w:val="both"/>
        <w:rPr>
          <w:rFonts w:ascii="Arial" w:hAnsi="Arial" w:cs="Arial"/>
          <w:color w:val="000000"/>
          <w:sz w:val="19"/>
          <w:szCs w:val="19"/>
          <w:lang w:val="es-ES"/>
        </w:rPr>
      </w:pPr>
      <w:r w:rsidRPr="00D260C6">
        <w:rPr>
          <w:rStyle w:val="Refdenotaalpie"/>
          <w:rFonts w:ascii="Arial" w:hAnsi="Arial" w:cs="Arial"/>
          <w:sz w:val="19"/>
          <w:szCs w:val="19"/>
        </w:rPr>
        <w:footnoteRef/>
      </w:r>
      <w:r w:rsidRPr="00D260C6">
        <w:rPr>
          <w:rStyle w:val="Refdenotaalpie"/>
          <w:rFonts w:ascii="Arial" w:hAnsi="Arial" w:cs="Arial"/>
          <w:color w:val="000000"/>
          <w:sz w:val="19"/>
          <w:szCs w:val="19"/>
        </w:rPr>
        <w:t xml:space="preserve"> </w:t>
      </w:r>
      <w:r w:rsidRPr="00D260C6">
        <w:rPr>
          <w:rFonts w:ascii="Arial" w:hAnsi="Arial" w:cs="Arial"/>
          <w:color w:val="000000"/>
          <w:sz w:val="19"/>
          <w:szCs w:val="19"/>
          <w:lang w:val="es-ES"/>
        </w:rPr>
        <w:t xml:space="preserve">Consejo de Estado. Sala de Consulta y Servicio Civil, Concepto de 8 de mayo de 2018. Radicación Número: 11001-03-06-000-2018-00095-00(2382). Consejero Ponente: Álvaro </w:t>
      </w:r>
      <w:proofErr w:type="spellStart"/>
      <w:r w:rsidRPr="00D260C6">
        <w:rPr>
          <w:rFonts w:ascii="Arial" w:hAnsi="Arial" w:cs="Arial"/>
          <w:color w:val="000000"/>
          <w:sz w:val="19"/>
          <w:szCs w:val="19"/>
          <w:lang w:val="es-ES"/>
        </w:rPr>
        <w:t>Namén</w:t>
      </w:r>
      <w:proofErr w:type="spellEnd"/>
      <w:r w:rsidRPr="00D260C6">
        <w:rPr>
          <w:rFonts w:ascii="Arial" w:hAnsi="Arial" w:cs="Arial"/>
          <w:color w:val="000000"/>
          <w:sz w:val="19"/>
          <w:szCs w:val="19"/>
          <w:lang w:val="es-ES"/>
        </w:rPr>
        <w:t xml:space="preserve"> Vargas.</w:t>
      </w:r>
    </w:p>
  </w:footnote>
  <w:footnote w:id="19">
    <w:p w:rsidRPr="00D260C6" w:rsidR="00524963" w:rsidP="00E20A7A" w:rsidRDefault="00524963" w14:paraId="64309EE0" w14:textId="77777777">
      <w:pPr>
        <w:pStyle w:val="Textonotapie"/>
        <w:ind w:firstLine="709"/>
        <w:jc w:val="both"/>
        <w:rPr>
          <w:rFonts w:ascii="Arial" w:hAnsi="Arial" w:cs="Arial"/>
          <w:color w:val="000000"/>
          <w:sz w:val="19"/>
          <w:szCs w:val="19"/>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Consejo de Estado. Sala de Consulta y Servicio Civil. Concepto del 08 de mayo de 2018. </w:t>
      </w:r>
      <w:proofErr w:type="spellStart"/>
      <w:r w:rsidRPr="00D260C6">
        <w:rPr>
          <w:rFonts w:ascii="Arial" w:hAnsi="Arial" w:cs="Arial"/>
          <w:color w:val="000000"/>
          <w:sz w:val="19"/>
          <w:szCs w:val="19"/>
        </w:rPr>
        <w:t>Exp</w:t>
      </w:r>
      <w:proofErr w:type="spellEnd"/>
      <w:r w:rsidRPr="00D260C6">
        <w:rPr>
          <w:rFonts w:ascii="Arial" w:hAnsi="Arial" w:cs="Arial"/>
          <w:color w:val="000000"/>
          <w:sz w:val="19"/>
          <w:szCs w:val="19"/>
        </w:rPr>
        <w:t xml:space="preserve">. 2.382. C.P. Álvaro </w:t>
      </w:r>
      <w:proofErr w:type="spellStart"/>
      <w:r w:rsidRPr="00D260C6">
        <w:rPr>
          <w:rFonts w:ascii="Arial" w:hAnsi="Arial" w:cs="Arial"/>
          <w:color w:val="000000"/>
          <w:sz w:val="19"/>
          <w:szCs w:val="19"/>
        </w:rPr>
        <w:t>Namén</w:t>
      </w:r>
      <w:proofErr w:type="spellEnd"/>
      <w:r w:rsidRPr="00D260C6">
        <w:rPr>
          <w:rFonts w:ascii="Arial" w:hAnsi="Arial" w:cs="Arial"/>
          <w:color w:val="000000"/>
          <w:sz w:val="19"/>
          <w:szCs w:val="19"/>
        </w:rPr>
        <w:t xml:space="preserve"> Vargas.</w:t>
      </w:r>
    </w:p>
  </w:footnote>
  <w:footnote w:id="20">
    <w:p w:rsidRPr="00D260C6" w:rsidR="00524963" w:rsidP="00E20A7A" w:rsidRDefault="00524963" w14:paraId="384BEF30" w14:textId="77777777">
      <w:pPr>
        <w:pStyle w:val="Textonotapie"/>
        <w:ind w:firstLine="709"/>
        <w:jc w:val="both"/>
        <w:rPr>
          <w:rFonts w:ascii="Arial" w:hAnsi="Arial" w:cs="Arial"/>
          <w:color w:val="000000"/>
          <w:sz w:val="19"/>
          <w:szCs w:val="19"/>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Cfr. Concepto C-757 del 30 de diciembre de 2021.</w:t>
      </w:r>
    </w:p>
  </w:footnote>
  <w:footnote w:id="21">
    <w:p w:rsidRPr="00D260C6" w:rsidR="00524963" w:rsidP="00E20A7A" w:rsidRDefault="00524963" w14:paraId="5423C8EC" w14:textId="77777777">
      <w:pPr>
        <w:pStyle w:val="Textonotapie"/>
        <w:ind w:firstLine="709"/>
        <w:jc w:val="both"/>
        <w:rPr>
          <w:rFonts w:ascii="Arial" w:hAnsi="Arial" w:cs="Arial"/>
          <w:color w:val="000000"/>
          <w:sz w:val="19"/>
          <w:szCs w:val="19"/>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D260C6">
        <w:rPr>
          <w:rFonts w:ascii="Arial" w:hAnsi="Arial" w:cs="Arial"/>
          <w:color w:val="000000"/>
          <w:sz w:val="19"/>
          <w:szCs w:val="19"/>
        </w:rPr>
        <w:t>N°</w:t>
      </w:r>
      <w:proofErr w:type="spellEnd"/>
      <w:r w:rsidRPr="00D260C6">
        <w:rPr>
          <w:rFonts w:ascii="Arial" w:hAnsi="Arial" w:cs="Arial"/>
          <w:color w:val="000000"/>
          <w:sz w:val="19"/>
          <w:szCs w:val="19"/>
        </w:rPr>
        <w:t xml:space="preserve"> 216/05 Senado, </w:t>
      </w:r>
      <w:proofErr w:type="spellStart"/>
      <w:r w:rsidRPr="00D260C6">
        <w:rPr>
          <w:rFonts w:ascii="Arial" w:hAnsi="Arial" w:cs="Arial"/>
          <w:color w:val="000000"/>
          <w:sz w:val="19"/>
          <w:szCs w:val="19"/>
        </w:rPr>
        <w:t>N°</w:t>
      </w:r>
      <w:proofErr w:type="spellEnd"/>
      <w:r w:rsidRPr="00D260C6">
        <w:rPr>
          <w:rFonts w:ascii="Arial" w:hAnsi="Arial" w:cs="Arial"/>
          <w:color w:val="000000"/>
          <w:sz w:val="19"/>
          <w:szCs w:val="19"/>
        </w:rPr>
        <w:t xml:space="preserve"> 235-Cámara que dio lugar a la Ley de Garantías Electorales.</w:t>
      </w:r>
    </w:p>
  </w:footnote>
  <w:footnote w:id="22">
    <w:p w:rsidRPr="00D260C6" w:rsidR="00524963" w:rsidP="00E20A7A" w:rsidRDefault="00524963" w14:paraId="7BDFE052" w14:textId="77777777">
      <w:pPr>
        <w:ind w:firstLine="709"/>
        <w:jc w:val="both"/>
        <w:rPr>
          <w:rFonts w:ascii="Arial" w:hAnsi="Arial" w:cs="Arial"/>
          <w:color w:val="000000"/>
          <w:sz w:val="19"/>
          <w:szCs w:val="19"/>
        </w:rPr>
      </w:pPr>
      <w:r w:rsidRPr="00D260C6">
        <w:rPr>
          <w:rStyle w:val="Refdenotaalpie"/>
          <w:rFonts w:ascii="Arial" w:hAnsi="Arial" w:cs="Arial"/>
          <w:sz w:val="19"/>
          <w:szCs w:val="19"/>
        </w:rPr>
        <w:footnoteRef/>
      </w:r>
      <w:r w:rsidRPr="00D260C6">
        <w:rPr>
          <w:rFonts w:ascii="Arial" w:hAnsi="Arial" w:cs="Arial"/>
          <w:color w:val="000000"/>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3">
    <w:p w:rsidRPr="00B35679" w:rsidR="0040083B" w:rsidP="00E20A7A" w:rsidRDefault="0040083B" w14:paraId="4C62D15C" w14:textId="77777777">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w:t>
      </w:r>
      <w:bookmarkStart w:name="_Hlk75633115" w:id="27"/>
      <w:r w:rsidRPr="00B35679">
        <w:rPr>
          <w:rFonts w:ascii="Arial" w:hAnsi="Arial" w:cs="Arial"/>
          <w:sz w:val="19"/>
          <w:szCs w:val="19"/>
        </w:rPr>
        <w:t xml:space="preserve">Consejo de Estado. Sala de Consulta y Servicio Civil. Concepto </w:t>
      </w:r>
      <w:bookmarkEnd w:id="27"/>
      <w:r w:rsidRPr="00B35679">
        <w:rPr>
          <w:rFonts w:ascii="Arial" w:hAnsi="Arial" w:cs="Arial"/>
          <w:sz w:val="19"/>
          <w:szCs w:val="19"/>
        </w:rPr>
        <w:t>de 6 de abril de 2006. Radicación Número: 11001-03-06-000-2006-00038-00(1738). Consejero Ponente: Enrique José Arboleda Perdomo:</w:t>
      </w:r>
      <w:r w:rsidRPr="00B35679">
        <w:rPr>
          <w:rFonts w:ascii="Arial" w:hAnsi="Arial" w:eastAsia="Times New Roman" w:cs="Arial"/>
          <w:bCs/>
          <w:sz w:val="19"/>
          <w:szCs w:val="19"/>
          <w:lang w:eastAsia="x-none"/>
        </w:rPr>
        <w:t xml:space="preserve"> «</w:t>
      </w:r>
      <w:r w:rsidRPr="00B35679">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B35679">
        <w:rPr>
          <w:rFonts w:ascii="Arial" w:hAnsi="Arial" w:eastAsia="Times New Roman" w:cs="Arial"/>
          <w:bCs/>
          <w:sz w:val="19"/>
          <w:szCs w:val="19"/>
          <w:lang w:eastAsia="x-none"/>
        </w:rPr>
        <w:t>».</w:t>
      </w:r>
    </w:p>
  </w:footnote>
  <w:footnote w:id="24">
    <w:p w:rsidRPr="00B35679" w:rsidR="0040083B" w:rsidP="00E20A7A" w:rsidRDefault="0040083B" w14:paraId="0606894C" w14:textId="77777777">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5">
    <w:p w:rsidRPr="00B35679" w:rsidR="0040083B" w:rsidP="00E20A7A" w:rsidRDefault="0040083B" w14:paraId="43CDD80A" w14:textId="77777777">
      <w:pPr>
        <w:pStyle w:val="Textonotapie"/>
        <w:ind w:right="51" w:firstLine="709"/>
        <w:contextualSpacing/>
        <w:jc w:val="both"/>
        <w:rPr>
          <w:rFonts w:ascii="Arial" w:hAnsi="Arial" w:cs="Arial"/>
          <w:sz w:val="19"/>
          <w:szCs w:val="19"/>
        </w:rPr>
      </w:pPr>
      <w:r w:rsidRPr="00B35679">
        <w:rPr>
          <w:rStyle w:val="Refdenotaalpie"/>
          <w:rFonts w:ascii="Arial" w:hAnsi="Arial" w:cs="Arial"/>
          <w:sz w:val="19"/>
          <w:szCs w:val="19"/>
        </w:rPr>
        <w:footnoteRef/>
      </w:r>
      <w:r w:rsidRPr="00B35679">
        <w:rPr>
          <w:rFonts w:ascii="Arial" w:hAnsi="Arial" w:cs="Arial"/>
          <w:sz w:val="19"/>
          <w:szCs w:val="19"/>
        </w:rPr>
        <w:t xml:space="preserve"> Consejo de Estado. Sala de Consulta y Servicio Civil, ídem.</w:t>
      </w:r>
    </w:p>
  </w:footnote>
  <w:footnote w:id="26">
    <w:p w:rsidRPr="00F807BA" w:rsidR="00037198" w:rsidP="00E20A7A" w:rsidRDefault="00037198" w14:paraId="2D19EB70" w14:textId="77777777">
      <w:pPr>
        <w:pStyle w:val="Textonotapie"/>
        <w:ind w:firstLine="709"/>
        <w:jc w:val="both"/>
        <w:rPr>
          <w:rFonts w:ascii="Arial" w:hAnsi="Arial" w:cs="Arial"/>
          <w:color w:val="000000" w:themeColor="text1"/>
          <w:sz w:val="19"/>
          <w:szCs w:val="19"/>
          <w:lang w:val="es-CO"/>
        </w:rPr>
      </w:pPr>
      <w:r w:rsidRPr="00F807BA">
        <w:rPr>
          <w:rStyle w:val="Refdenotaalpie"/>
          <w:rFonts w:ascii="Arial" w:hAnsi="Arial" w:cs="Arial"/>
          <w:sz w:val="19"/>
          <w:szCs w:val="19"/>
        </w:rPr>
        <w:footnoteRef/>
      </w:r>
      <w:r w:rsidRPr="00F807BA">
        <w:rPr>
          <w:rFonts w:ascii="Arial" w:hAnsi="Arial" w:cs="Arial"/>
          <w:color w:val="000000" w:themeColor="text1"/>
          <w:sz w:val="19"/>
          <w:szCs w:val="19"/>
          <w:lang w:val="es-CO"/>
        </w:rPr>
        <w:t xml:space="preserve"> FIGUEROA U. Organismos internacionales. 2ª edición. Santiago de Chile: Editorial RIL editores, 2010.</w:t>
      </w:r>
    </w:p>
  </w:footnote>
  <w:footnote w:id="27">
    <w:p w:rsidRPr="00F807BA" w:rsidR="00037198" w:rsidP="00E20A7A" w:rsidRDefault="00037198" w14:paraId="566A002D" w14:textId="77777777">
      <w:pPr>
        <w:pStyle w:val="NormalWeb"/>
        <w:spacing w:before="0" w:beforeAutospacing="0" w:after="0" w:afterAutospacing="0"/>
        <w:ind w:firstLine="709"/>
        <w:jc w:val="both"/>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w:history="1" w:anchor="2" r:id="rId1">
        <w:r w:rsidRPr="00F807BA">
          <w:rPr>
            <w:rStyle w:val="Hipervnculo"/>
            <w:rFonts w:ascii="Arial" w:hAnsi="Arial" w:cs="Arial"/>
            <w:color w:val="000000" w:themeColor="text1"/>
            <w:sz w:val="19"/>
            <w:szCs w:val="19"/>
          </w:rPr>
          <w:t>2</w:t>
        </w:r>
      </w:hyperlink>
      <w:r w:rsidRPr="00F807BA">
        <w:rPr>
          <w:rFonts w:ascii="Arial" w:hAnsi="Arial" w:cs="Arial"/>
          <w:color w:val="000000" w:themeColor="text1"/>
          <w:sz w:val="19"/>
          <w:szCs w:val="19"/>
        </w:rPr>
        <w:t>o. del presente estatuto se regirán por las disposiciones comerciales y civiles pertinentes, salvo en las materias particularmente reguladas en esta ley.</w:t>
      </w:r>
    </w:p>
    <w:p w:rsidRPr="00F807BA" w:rsidR="00037198" w:rsidP="00E20A7A" w:rsidRDefault="00037198" w14:paraId="3B95AC0B" w14:textId="77777777">
      <w:pPr>
        <w:pStyle w:val="NormalWeb"/>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»Los</w:t>
      </w:r>
      <w:proofErr w:type="gramEnd"/>
      <w:r w:rsidRPr="00F807BA">
        <w:rPr>
          <w:rFonts w:ascii="Arial" w:hAnsi="Arial" w:cs="Arial"/>
          <w:color w:val="000000" w:themeColor="text1"/>
          <w:sz w:val="19"/>
          <w:szCs w:val="19"/>
        </w:rPr>
        <w:t xml:space="preserve"> contratos celebrados en el exterior se podrán regir en su ejecución por las reglas del país en donde se hayan suscrito, a menos que deban cumplirse en Colombia»</w:t>
      </w:r>
    </w:p>
    <w:p w:rsidRPr="00F807BA" w:rsidR="00037198" w:rsidP="00E20A7A" w:rsidRDefault="00037198" w14:paraId="77F5F8D6" w14:textId="77777777">
      <w:pPr>
        <w:pStyle w:val="NormalWeb"/>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»Los</w:t>
      </w:r>
      <w:proofErr w:type="gramEnd"/>
      <w:r w:rsidRPr="00F807BA">
        <w:rPr>
          <w:rFonts w:ascii="Arial" w:hAnsi="Arial" w:cs="Arial"/>
          <w:color w:val="000000" w:themeColor="text1"/>
          <w:sz w:val="19"/>
          <w:szCs w:val="19"/>
        </w:rPr>
        <w:t xml:space="preserve"> contratos que se celebren en Colombia y deban ejecutarse o cumplirse en el extranjero, podrán someterse a la ley extranjera».</w:t>
      </w:r>
    </w:p>
  </w:footnote>
  <w:footnote w:id="28">
    <w:p w:rsidRPr="00F807BA" w:rsidR="00037198" w:rsidP="00E20A7A" w:rsidRDefault="00037198" w14:paraId="32581797" w14:textId="77777777">
      <w:pPr>
        <w:pStyle w:val="Textonotapie"/>
        <w:ind w:firstLine="709"/>
        <w:jc w:val="both"/>
        <w:rPr>
          <w:rFonts w:ascii="Arial" w:hAnsi="Arial" w:cs="Arial"/>
          <w:color w:val="000000" w:themeColor="text1"/>
          <w:sz w:val="19"/>
          <w:szCs w:val="19"/>
          <w:lang w:val="es-ES_tradnl"/>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Consejo de Estado. Sección Tercera, Subsección C. Sentencia del 26 de noviembre de 2015. </w:t>
      </w:r>
      <w:proofErr w:type="spellStart"/>
      <w:r w:rsidRPr="00F807BA">
        <w:rPr>
          <w:rFonts w:ascii="Arial" w:hAnsi="Arial" w:cs="Arial"/>
          <w:color w:val="000000" w:themeColor="text1"/>
          <w:sz w:val="19"/>
          <w:szCs w:val="19"/>
          <w:lang w:val="es-ES_tradnl"/>
        </w:rPr>
        <w:t>Exp</w:t>
      </w:r>
      <w:proofErr w:type="spellEnd"/>
      <w:r w:rsidRPr="00F807BA">
        <w:rPr>
          <w:rFonts w:ascii="Arial" w:hAnsi="Arial" w:cs="Arial"/>
          <w:color w:val="000000" w:themeColor="text1"/>
          <w:sz w:val="19"/>
          <w:szCs w:val="19"/>
          <w:lang w:val="es-ES_tradnl"/>
        </w:rPr>
        <w:t xml:space="preserve">. </w:t>
      </w:r>
      <w:r w:rsidRPr="00F807BA">
        <w:rPr>
          <w:rFonts w:ascii="Arial" w:hAnsi="Arial" w:cs="Arial"/>
          <w:color w:val="000000" w:themeColor="text1"/>
          <w:sz w:val="19"/>
          <w:szCs w:val="19"/>
          <w:lang w:val="es-CO"/>
        </w:rPr>
        <w:t xml:space="preserve">54.069. C.P Jaime Orlando Santofimio Gamboa. </w:t>
      </w:r>
    </w:p>
  </w:footnote>
  <w:footnote w:id="29">
    <w:p w:rsidRPr="00F807BA" w:rsidR="00037198" w:rsidP="00E20A7A" w:rsidRDefault="00037198" w14:paraId="788DBA6B" w14:textId="77777777">
      <w:pPr>
        <w:pStyle w:val="Textonotapie"/>
        <w:ind w:firstLine="709"/>
        <w:jc w:val="both"/>
        <w:rPr>
          <w:rFonts w:ascii="Arial" w:hAnsi="Arial" w:cs="Arial"/>
          <w:color w:val="000000" w:themeColor="text1"/>
          <w:sz w:val="19"/>
          <w:szCs w:val="19"/>
          <w:lang w:eastAsia="es-CO"/>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w:t>
      </w:r>
      <w:r w:rsidRPr="00F807BA">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30">
    <w:p w:rsidRPr="00F807BA" w:rsidR="00037198" w:rsidP="00E20A7A" w:rsidRDefault="00037198" w14:paraId="70358E68" w14:textId="77777777">
      <w:pPr>
        <w:pStyle w:val="NormalWeb"/>
        <w:spacing w:before="0" w:beforeAutospacing="0" w:after="0" w:afterAutospacing="0"/>
        <w:ind w:firstLine="709"/>
        <w:jc w:val="both"/>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rsidRPr="00F807BA" w:rsidR="00037198" w:rsidP="00E20A7A" w:rsidRDefault="00037198" w14:paraId="51A52F94" w14:textId="77777777">
      <w:pPr>
        <w:pStyle w:val="NormalWeb"/>
        <w:spacing w:before="0" w:beforeAutospacing="0" w:after="0" w:afterAutospacing="0"/>
        <w:ind w:firstLine="709"/>
        <w:jc w:val="both"/>
        <w:rPr>
          <w:rFonts w:ascii="Arial" w:hAnsi="Arial" w:cs="Arial"/>
          <w:color w:val="000000" w:themeColor="text1"/>
          <w:sz w:val="19"/>
          <w:szCs w:val="19"/>
        </w:rPr>
      </w:pPr>
      <w:r w:rsidRPr="00F807BA">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rsidRPr="00F807BA" w:rsidR="00037198" w:rsidP="00E20A7A" w:rsidRDefault="00037198" w14:paraId="491F2E16" w14:textId="77777777">
      <w:pPr>
        <w:pStyle w:val="NormalWeb"/>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»Las</w:t>
      </w:r>
      <w:proofErr w:type="gramEnd"/>
      <w:r w:rsidRPr="00F807BA">
        <w:rPr>
          <w:rFonts w:ascii="Arial" w:hAnsi="Arial" w:cs="Arial"/>
          <w:color w:val="000000" w:themeColor="text1"/>
          <w:sz w:val="19"/>
          <w:szCs w:val="19"/>
        </w:rPr>
        <w:t xml:space="preserve"> entidades estatales no podrán celebrar contratos o convenios para la administración o gerencia de sus recursos propios o de aquellos que les asignen los presupuestos públicos, con organismos de cooperación, asistencia o ayuda internacional.</w:t>
      </w:r>
    </w:p>
    <w:p w:rsidRPr="00F807BA" w:rsidR="00037198" w:rsidP="00E20A7A" w:rsidRDefault="00037198" w14:paraId="4C37DC5B" w14:textId="77777777">
      <w:pPr>
        <w:pStyle w:val="NormalWeb"/>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w:t>
      </w:r>
      <w:r w:rsidRPr="00F807BA">
        <w:rPr>
          <w:rStyle w:val="baj"/>
          <w:rFonts w:ascii="Arial" w:hAnsi="Arial" w:cs="Arial"/>
          <w:color w:val="000000" w:themeColor="text1"/>
          <w:sz w:val="19"/>
          <w:szCs w:val="19"/>
        </w:rPr>
        <w:t>PARÁGRAFO</w:t>
      </w:r>
      <w:proofErr w:type="gramEnd"/>
      <w:r w:rsidRPr="00F807BA">
        <w:rPr>
          <w:rStyle w:val="baj"/>
          <w:rFonts w:ascii="Arial" w:hAnsi="Arial" w:cs="Arial"/>
          <w:color w:val="000000" w:themeColor="text1"/>
          <w:sz w:val="19"/>
          <w:szCs w:val="19"/>
        </w:rPr>
        <w:t xml:space="preserve"> 1o.</w:t>
      </w:r>
      <w:r w:rsidRPr="00F807BA">
        <w:rPr>
          <w:rFonts w:ascii="Arial" w:hAnsi="Arial" w:cs="Arial"/>
          <w:color w:val="000000" w:themeColor="text1"/>
          <w:sz w:val="19"/>
          <w:szCs w:val="19"/>
        </w:rPr>
        <w:t xml:space="preserve"> Los contratos o acuerdos celebrados con personas extranjeras de derecho </w:t>
      </w:r>
      <w:proofErr w:type="gramStart"/>
      <w:r w:rsidRPr="00F807BA">
        <w:rPr>
          <w:rFonts w:ascii="Arial" w:hAnsi="Arial" w:cs="Arial"/>
          <w:color w:val="000000" w:themeColor="text1"/>
          <w:sz w:val="19"/>
          <w:szCs w:val="19"/>
        </w:rPr>
        <w:t>público,</w:t>
      </w:r>
      <w:proofErr w:type="gramEnd"/>
      <w:r w:rsidRPr="00F807BA">
        <w:rPr>
          <w:rFonts w:ascii="Arial" w:hAnsi="Arial" w:cs="Arial"/>
          <w:color w:val="000000" w:themeColor="text1"/>
          <w:sz w:val="19"/>
          <w:szCs w:val="19"/>
        </w:rPr>
        <w:t xml:space="preserve"> podrán someterse a las reglas de tales organismos.</w:t>
      </w:r>
    </w:p>
    <w:p w:rsidRPr="00F807BA" w:rsidR="00037198" w:rsidP="00E20A7A" w:rsidRDefault="00037198" w14:paraId="160D6B26" w14:textId="77777777">
      <w:pPr>
        <w:pStyle w:val="NormalWeb"/>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w:t>
      </w:r>
      <w:r w:rsidRPr="00F807BA">
        <w:rPr>
          <w:rStyle w:val="baj"/>
          <w:rFonts w:ascii="Arial" w:hAnsi="Arial" w:cs="Arial"/>
          <w:color w:val="000000" w:themeColor="text1"/>
          <w:sz w:val="19"/>
          <w:szCs w:val="19"/>
        </w:rPr>
        <w:t>PARÁGRAFO</w:t>
      </w:r>
      <w:proofErr w:type="gramEnd"/>
      <w:r w:rsidRPr="00F807BA">
        <w:rPr>
          <w:rStyle w:val="baj"/>
          <w:rFonts w:ascii="Arial" w:hAnsi="Arial" w:cs="Arial"/>
          <w:color w:val="000000" w:themeColor="text1"/>
          <w:sz w:val="19"/>
          <w:szCs w:val="19"/>
        </w:rPr>
        <w:t xml:space="preserve"> 2o.</w:t>
      </w:r>
      <w:r w:rsidRPr="00F807BA">
        <w:rPr>
          <w:rFonts w:ascii="Arial" w:hAnsi="Arial" w:cs="Arial"/>
          <w:color w:val="000000" w:themeColor="text1"/>
          <w:sz w:val="19"/>
          <w:szCs w:val="19"/>
        </w:rPr>
        <w:t xml:space="preserve"> Las entidades estatales tendrán la obligación de reportar la información a los organismos de control y al </w:t>
      </w:r>
      <w:proofErr w:type="spellStart"/>
      <w:r w:rsidRPr="00F807BA">
        <w:rPr>
          <w:rFonts w:ascii="Arial" w:hAnsi="Arial" w:cs="Arial"/>
          <w:color w:val="000000" w:themeColor="text1"/>
          <w:sz w:val="19"/>
          <w:szCs w:val="19"/>
        </w:rPr>
        <w:t>Secop</w:t>
      </w:r>
      <w:proofErr w:type="spellEnd"/>
      <w:r w:rsidRPr="00F807BA">
        <w:rPr>
          <w:rFonts w:ascii="Arial" w:hAnsi="Arial" w:cs="Arial"/>
          <w:color w:val="000000" w:themeColor="text1"/>
          <w:sz w:val="19"/>
          <w:szCs w:val="19"/>
        </w:rPr>
        <w:t xml:space="preserve"> relativa a la ejecución de los contratos a los que se refiere el presente artículo.</w:t>
      </w:r>
    </w:p>
    <w:p w:rsidRPr="00F807BA" w:rsidR="00037198" w:rsidP="00E20A7A" w:rsidRDefault="00037198" w14:paraId="1BD44D59" w14:textId="77777777">
      <w:pPr>
        <w:pStyle w:val="NormalWeb"/>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w:t>
      </w:r>
      <w:r w:rsidRPr="00F807BA">
        <w:rPr>
          <w:rStyle w:val="baj"/>
          <w:rFonts w:ascii="Arial" w:hAnsi="Arial" w:cs="Arial"/>
          <w:color w:val="000000" w:themeColor="text1"/>
          <w:sz w:val="19"/>
          <w:szCs w:val="19"/>
        </w:rPr>
        <w:t>PARÁGRAFO</w:t>
      </w:r>
      <w:proofErr w:type="gramEnd"/>
      <w:r w:rsidRPr="00F807BA">
        <w:rPr>
          <w:rStyle w:val="baj"/>
          <w:rFonts w:ascii="Arial" w:hAnsi="Arial" w:cs="Arial"/>
          <w:color w:val="000000" w:themeColor="text1"/>
          <w:sz w:val="19"/>
          <w:szCs w:val="19"/>
        </w:rPr>
        <w:t xml:space="preserve"> 3o.</w:t>
      </w:r>
      <w:r w:rsidRPr="00F807BA">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31">
    <w:p w:rsidRPr="00F807BA" w:rsidR="00037198" w:rsidP="00E20A7A" w:rsidRDefault="00037198" w14:paraId="3AA8202E"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807BA">
        <w:rPr>
          <w:rStyle w:val="Refdenotaalpie"/>
          <w:rFonts w:ascii="Arial" w:hAnsi="Arial" w:cs="Arial"/>
          <w:sz w:val="19"/>
          <w:szCs w:val="19"/>
        </w:rPr>
        <w:footnoteRef/>
      </w:r>
      <w:r w:rsidRPr="00F807BA">
        <w:rPr>
          <w:rFonts w:ascii="Arial" w:hAnsi="Arial" w:cs="Arial"/>
          <w:color w:val="000000" w:themeColor="text1"/>
          <w:sz w:val="19"/>
          <w:szCs w:val="19"/>
        </w:rPr>
        <w:t xml:space="preserve"> Decreto 1082 de 2015. «Artículo </w:t>
      </w:r>
      <w:r w:rsidRPr="00F807BA">
        <w:rPr>
          <w:rStyle w:val="Textoennegrita"/>
          <w:rFonts w:ascii="Arial" w:hAnsi="Arial" w:cs="Arial"/>
          <w:color w:val="000000" w:themeColor="text1"/>
          <w:sz w:val="19"/>
          <w:szCs w:val="19"/>
        </w:rPr>
        <w:t>2.2.1.2.4.4.1. </w:t>
      </w:r>
      <w:r w:rsidRPr="00F807BA">
        <w:rPr>
          <w:rStyle w:val="nfasis"/>
          <w:rFonts w:ascii="Arial" w:hAnsi="Arial" w:cs="Arial"/>
          <w:color w:val="000000" w:themeColor="text1"/>
          <w:sz w:val="19"/>
          <w:szCs w:val="19"/>
        </w:rPr>
        <w:t>Régimen aplicable a los contratos o convenios de cooperación Internacional. </w:t>
      </w:r>
      <w:r w:rsidRPr="00F807BA">
        <w:rPr>
          <w:rFonts w:ascii="Arial" w:hAnsi="Arial" w:cs="Arial"/>
          <w:color w:val="000000" w:themeColor="text1"/>
          <w:sz w:val="19"/>
          <w:szCs w:val="19"/>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rsidRPr="00F807BA" w:rsidR="00037198" w:rsidP="00E20A7A" w:rsidRDefault="00037198" w14:paraId="5EE75E2C"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807BA">
        <w:rPr>
          <w:rFonts w:ascii="Arial" w:hAnsi="Arial" w:cs="Arial"/>
          <w:color w:val="000000" w:themeColor="text1"/>
          <w:sz w:val="19"/>
          <w:szCs w:val="19"/>
        </w:rPr>
        <w:t>»</w:t>
      </w:r>
      <w:r w:rsidRPr="00F807BA">
        <w:rPr>
          <w:rFonts w:ascii="Arial" w:hAnsi="Arial" w:cs="Arial"/>
          <w:i/>
          <w:iCs/>
          <w:color w:val="000000" w:themeColor="text1"/>
          <w:sz w:val="19"/>
          <w:szCs w:val="19"/>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r w:rsidRPr="00F807BA">
        <w:rPr>
          <w:rFonts w:ascii="Arial" w:hAnsi="Arial" w:cs="Arial"/>
          <w:color w:val="000000" w:themeColor="text1"/>
          <w:sz w:val="19"/>
          <w:szCs w:val="19"/>
        </w:rPr>
        <w:t>.</w:t>
      </w:r>
    </w:p>
    <w:p w:rsidRPr="00F807BA" w:rsidR="00037198" w:rsidP="00E20A7A" w:rsidRDefault="00037198" w14:paraId="6D14B98A"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»Cuando</w:t>
      </w:r>
      <w:proofErr w:type="gramEnd"/>
      <w:r w:rsidRPr="00F807BA">
        <w:rPr>
          <w:rFonts w:ascii="Arial" w:hAnsi="Arial" w:cs="Arial"/>
          <w:color w:val="000000" w:themeColor="text1"/>
          <w:sz w:val="19"/>
          <w:szCs w:val="19"/>
        </w:rPr>
        <w:t xml:space="preserve">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rsidRPr="00F807BA" w:rsidR="00037198" w:rsidP="00E20A7A" w:rsidRDefault="00037198" w14:paraId="4F1ED120"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»Los</w:t>
      </w:r>
      <w:proofErr w:type="gramEnd"/>
      <w:r w:rsidRPr="00F807BA">
        <w:rPr>
          <w:rFonts w:ascii="Arial" w:hAnsi="Arial" w:cs="Arial"/>
          <w:color w:val="000000" w:themeColor="text1"/>
          <w:sz w:val="19"/>
          <w:szCs w:val="19"/>
        </w:rPr>
        <w:t xml:space="preserve"> recursos generados en desarrollo de los contratos o convenios financiados con fondos de los organismos de cooperación, asistencia o ayudas internacionales no deben ser tenidos en cuenta para determinar los porcentajes de los aportes de las partes». (Cursiva fuera del original).</w:t>
      </w:r>
    </w:p>
    <w:p w:rsidRPr="00F807BA" w:rsidR="00037198" w:rsidP="00E20A7A" w:rsidRDefault="00037198" w14:paraId="6C49AB56"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F807BA">
        <w:rPr>
          <w:rFonts w:ascii="Arial" w:hAnsi="Arial" w:cs="Arial"/>
          <w:color w:val="000000" w:themeColor="text1"/>
          <w:sz w:val="19"/>
          <w:szCs w:val="19"/>
        </w:rPr>
        <w:t>»Los contratos o convenios financiados con fondos de los organismos multilaterales de crédito, entes gubernamentales extranjeros o personas extranjeras de derecho público, así como aquellos a los que se refiere el inciso 2 del artículo 20 de la </w:t>
      </w:r>
      <w:hyperlink w:history="1" r:id="rId2">
        <w:r w:rsidRPr="00F807BA">
          <w:rPr>
            <w:rStyle w:val="Hipervnculo"/>
            <w:rFonts w:ascii="Arial" w:hAnsi="Arial" w:cs="Arial"/>
            <w:color w:val="000000" w:themeColor="text1"/>
            <w:sz w:val="19"/>
            <w:szCs w:val="19"/>
          </w:rPr>
          <w:t>Ley 1150 de 2007</w:t>
        </w:r>
      </w:hyperlink>
      <w:r w:rsidRPr="00F807BA">
        <w:rPr>
          <w:rFonts w:ascii="Arial" w:hAnsi="Arial" w:cs="Arial"/>
          <w:color w:val="000000" w:themeColor="text1"/>
          <w:sz w:val="19"/>
          <w:szCs w:val="19"/>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w:history="1" r:id="rId3">
        <w:r w:rsidRPr="00F807BA">
          <w:rPr>
            <w:rStyle w:val="Hipervnculo"/>
            <w:rFonts w:ascii="Arial" w:hAnsi="Arial" w:cs="Arial"/>
            <w:color w:val="000000" w:themeColor="text1"/>
            <w:sz w:val="19"/>
            <w:szCs w:val="19"/>
          </w:rPr>
          <w:t> Ley 1150 de 2007</w:t>
        </w:r>
      </w:hyperlink>
      <w:r w:rsidRPr="00F807BA">
        <w:rPr>
          <w:rFonts w:ascii="Arial" w:hAnsi="Arial" w:cs="Arial"/>
          <w:color w:val="000000" w:themeColor="text1"/>
          <w:sz w:val="19"/>
          <w:szCs w:val="19"/>
        </w:rPr>
        <w:t>.</w:t>
      </w:r>
    </w:p>
    <w:p w:rsidRPr="00F807BA" w:rsidR="00037198" w:rsidP="00E20A7A" w:rsidRDefault="00037198" w14:paraId="613F05F7"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sidRPr="00F807BA">
        <w:rPr>
          <w:rFonts w:ascii="Arial" w:hAnsi="Arial" w:cs="Arial"/>
          <w:color w:val="000000" w:themeColor="text1"/>
          <w:sz w:val="19"/>
          <w:szCs w:val="19"/>
        </w:rPr>
        <w:t>»Los</w:t>
      </w:r>
      <w:proofErr w:type="gramEnd"/>
      <w:r w:rsidRPr="00F807BA">
        <w:rPr>
          <w:rFonts w:ascii="Arial" w:hAnsi="Arial" w:cs="Arial"/>
          <w:color w:val="000000" w:themeColor="text1"/>
          <w:sz w:val="19"/>
          <w:szCs w:val="19"/>
        </w:rPr>
        <w:t xml:space="preserve"> contratos con personas extranjeras de derecho público se deben celebrar y ejecutar según se acuerde entre las partes».</w:t>
      </w:r>
    </w:p>
  </w:footnote>
  <w:footnote w:id="32">
    <w:p w:rsidRPr="00613065" w:rsidR="00B76577" w:rsidP="00B76577" w:rsidRDefault="00B76577" w14:paraId="13617154" w14:textId="103358DB">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344D3C">
        <w:rPr>
          <w:rStyle w:val="Refdenotaalpie"/>
          <w:rFonts w:asciiTheme="minorBidi" w:hAnsiTheme="minorBidi" w:cstheme="minorBidi"/>
          <w:sz w:val="19"/>
          <w:szCs w:val="19"/>
        </w:rPr>
        <w:footnoteRef/>
      </w:r>
      <w:r w:rsidRPr="00344D3C">
        <w:rPr>
          <w:rFonts w:asciiTheme="minorBidi" w:hAnsiTheme="minorBidi" w:cstheme="minorBidi"/>
          <w:sz w:val="19"/>
          <w:szCs w:val="19"/>
        </w:rPr>
        <w:t xml:space="preserve"> </w:t>
      </w:r>
      <w:r w:rsidRPr="00613065">
        <w:rPr>
          <w:rFonts w:ascii="Arial" w:hAnsi="Arial" w:cs="Arial"/>
          <w:color w:val="000000" w:themeColor="text1"/>
          <w:sz w:val="19"/>
          <w:szCs w:val="19"/>
        </w:rPr>
        <w:t>En otros apartes del Concepto C</w:t>
      </w:r>
      <w:r>
        <w:rPr>
          <w:rFonts w:ascii="Arial" w:hAnsi="Arial" w:cs="Arial"/>
          <w:color w:val="000000" w:themeColor="text1"/>
          <w:sz w:val="19"/>
          <w:szCs w:val="19"/>
        </w:rPr>
        <w:t>U</w:t>
      </w:r>
      <w:r w:rsidRPr="00613065">
        <w:rPr>
          <w:rFonts w:ascii="Arial" w:hAnsi="Arial" w:cs="Arial"/>
          <w:color w:val="000000" w:themeColor="text1"/>
          <w:sz w:val="19"/>
          <w:szCs w:val="19"/>
        </w:rPr>
        <w:t xml:space="preserve">-180 del 8 de abril de 2022 se sintetizó la postura de unificación en los siguientes términos: </w:t>
      </w:r>
      <w:r>
        <w:rPr>
          <w:rFonts w:ascii="Arial" w:hAnsi="Arial" w:cs="Arial"/>
          <w:color w:val="000000" w:themeColor="text1"/>
          <w:sz w:val="19"/>
          <w:szCs w:val="19"/>
        </w:rPr>
        <w:t>«</w:t>
      </w:r>
      <w:r w:rsidRPr="00613065">
        <w:rPr>
          <w:rFonts w:ascii="Arial" w:hAnsi="Arial" w:cs="Arial"/>
          <w:color w:val="000000" w:themeColor="text1"/>
          <w:sz w:val="19"/>
          <w:szCs w:val="19"/>
        </w:rPr>
        <w:t xml:space="preserve">En este orden de ideas, esta Subdirección unifica su criterio en torno a la aplicación de la prohibición del artículo 33 de la Ley de Garantías Electorales, en el sentido de que, cuando una entidad pública con fundamento en el artículo 20 de la Ley 1150 de 2007 acuerde la aplicación del reglamento del organismo internacional, de la persona pública extranjera o del organismo de asistencia, ayuda o cooperación internacional, se deberá precisar en el respectivo contrato o convenio el alcance de tal variación de régimen y si ello implica acoger la totalidad de las normas del reglamento extranjero o si, por el contrario, solo se aplicarán ciertos aspectos en él regulados. </w:t>
      </w:r>
    </w:p>
    <w:p w:rsidRPr="00613065" w:rsidR="00B76577" w:rsidP="00B76577" w:rsidRDefault="00B76577" w14:paraId="1C4570FE" w14:textId="77777777">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roofErr w:type="gramStart"/>
      <w:r>
        <w:rPr>
          <w:rFonts w:ascii="Arial" w:hAnsi="Arial" w:cs="Arial"/>
          <w:color w:val="000000" w:themeColor="text1"/>
          <w:sz w:val="19"/>
          <w:szCs w:val="19"/>
        </w:rPr>
        <w:t>»</w:t>
      </w:r>
      <w:r w:rsidRPr="00613065">
        <w:rPr>
          <w:rFonts w:ascii="Arial" w:hAnsi="Arial" w:cs="Arial"/>
          <w:color w:val="000000" w:themeColor="text1"/>
          <w:sz w:val="19"/>
          <w:szCs w:val="19"/>
        </w:rPr>
        <w:t>En</w:t>
      </w:r>
      <w:proofErr w:type="gramEnd"/>
      <w:r w:rsidRPr="00613065">
        <w:rPr>
          <w:rFonts w:ascii="Arial" w:hAnsi="Arial" w:cs="Arial"/>
          <w:color w:val="000000" w:themeColor="text1"/>
          <w:sz w:val="19"/>
          <w:szCs w:val="19"/>
        </w:rPr>
        <w:t xml:space="preserve"> uno y otro caso, si el reglamento del organismo o sujeto internacional que las partes han convenido en aplicar regula todo lo relacionado con el procedimiento de selección de contratistas y las oportunidades para que sea realizado, la prohibición para contratar directamente establecida en el artículo 33 de la Ley de Garantías Electorales no será derecho aplicable al convenio o contrato y sus derivados. Por el contrario, si el convenio en el que se varíe el régimen normativo toca aspectos o etapas distintas al procedimiento para la selección del contratista, la prohibición del artículo 33 de la Ley de Garantías Electorales sí será derecho aplicable a la actividad contractual</w:t>
      </w:r>
      <w:r>
        <w:rPr>
          <w:rFonts w:ascii="Arial" w:hAnsi="Arial" w:cs="Arial"/>
          <w:color w:val="000000" w:themeColor="text1"/>
          <w:sz w:val="19"/>
          <w:szCs w:val="19"/>
        </w:rPr>
        <w:t>»</w:t>
      </w:r>
      <w:r w:rsidRPr="00613065">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520A" w:rsidRDefault="00E2520A" w14:paraId="6520770B" w14:textId="7847B1C0">
    <w:pPr>
      <w:pStyle w:val="Encabezado"/>
    </w:pPr>
  </w:p>
  <w:p w:rsidR="00E2520A" w:rsidRDefault="0089572F" w14:paraId="2A80E31D" w14:textId="3F4DC003">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rsidR="00E2520A" w:rsidRDefault="00E2520A" w14:paraId="5DBE9C96" w14:textId="3CBD25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7C35A2"/>
    <w:multiLevelType w:val="hybridMultilevel"/>
    <w:tmpl w:val="7B68B14E"/>
    <w:lvl w:ilvl="0" w:tplc="7378467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AC2FC8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3C6276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41D630E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020B4C8">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438D32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07EE0A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47C1F5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590EF8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0324192"/>
    <w:multiLevelType w:val="hybridMultilevel"/>
    <w:tmpl w:val="B3FC81D8"/>
    <w:lvl w:ilvl="0" w:tplc="33FA551E">
      <w:start w:val="3"/>
      <w:numFmt w:val="bullet"/>
      <w:lvlText w:val="-"/>
      <w:lvlJc w:val="left"/>
      <w:pPr>
        <w:ind w:left="3054" w:hanging="360"/>
      </w:pPr>
      <w:rPr>
        <w:rFonts w:hint="default" w:ascii="Arial" w:hAnsi="Arial" w:eastAsia="Calibri" w:cs="Arial"/>
      </w:rPr>
    </w:lvl>
    <w:lvl w:ilvl="1" w:tplc="240A0003" w:tentative="1">
      <w:start w:val="1"/>
      <w:numFmt w:val="bullet"/>
      <w:lvlText w:val="o"/>
      <w:lvlJc w:val="left"/>
      <w:pPr>
        <w:ind w:left="3774" w:hanging="360"/>
      </w:pPr>
      <w:rPr>
        <w:rFonts w:hint="default" w:ascii="Courier New" w:hAnsi="Courier New" w:cs="Courier New"/>
      </w:rPr>
    </w:lvl>
    <w:lvl w:ilvl="2" w:tplc="240A0005" w:tentative="1">
      <w:start w:val="1"/>
      <w:numFmt w:val="bullet"/>
      <w:lvlText w:val=""/>
      <w:lvlJc w:val="left"/>
      <w:pPr>
        <w:ind w:left="4494" w:hanging="360"/>
      </w:pPr>
      <w:rPr>
        <w:rFonts w:hint="default" w:ascii="Wingdings" w:hAnsi="Wingdings"/>
      </w:rPr>
    </w:lvl>
    <w:lvl w:ilvl="3" w:tplc="240A0001" w:tentative="1">
      <w:start w:val="1"/>
      <w:numFmt w:val="bullet"/>
      <w:lvlText w:val=""/>
      <w:lvlJc w:val="left"/>
      <w:pPr>
        <w:ind w:left="5214" w:hanging="360"/>
      </w:pPr>
      <w:rPr>
        <w:rFonts w:hint="default" w:ascii="Symbol" w:hAnsi="Symbol"/>
      </w:rPr>
    </w:lvl>
    <w:lvl w:ilvl="4" w:tplc="240A0003" w:tentative="1">
      <w:start w:val="1"/>
      <w:numFmt w:val="bullet"/>
      <w:lvlText w:val="o"/>
      <w:lvlJc w:val="left"/>
      <w:pPr>
        <w:ind w:left="5934" w:hanging="360"/>
      </w:pPr>
      <w:rPr>
        <w:rFonts w:hint="default" w:ascii="Courier New" w:hAnsi="Courier New" w:cs="Courier New"/>
      </w:rPr>
    </w:lvl>
    <w:lvl w:ilvl="5" w:tplc="240A0005" w:tentative="1">
      <w:start w:val="1"/>
      <w:numFmt w:val="bullet"/>
      <w:lvlText w:val=""/>
      <w:lvlJc w:val="left"/>
      <w:pPr>
        <w:ind w:left="6654" w:hanging="360"/>
      </w:pPr>
      <w:rPr>
        <w:rFonts w:hint="default" w:ascii="Wingdings" w:hAnsi="Wingdings"/>
      </w:rPr>
    </w:lvl>
    <w:lvl w:ilvl="6" w:tplc="240A0001" w:tentative="1">
      <w:start w:val="1"/>
      <w:numFmt w:val="bullet"/>
      <w:lvlText w:val=""/>
      <w:lvlJc w:val="left"/>
      <w:pPr>
        <w:ind w:left="7374" w:hanging="360"/>
      </w:pPr>
      <w:rPr>
        <w:rFonts w:hint="default" w:ascii="Symbol" w:hAnsi="Symbol"/>
      </w:rPr>
    </w:lvl>
    <w:lvl w:ilvl="7" w:tplc="240A0003" w:tentative="1">
      <w:start w:val="1"/>
      <w:numFmt w:val="bullet"/>
      <w:lvlText w:val="o"/>
      <w:lvlJc w:val="left"/>
      <w:pPr>
        <w:ind w:left="8094" w:hanging="360"/>
      </w:pPr>
      <w:rPr>
        <w:rFonts w:hint="default" w:ascii="Courier New" w:hAnsi="Courier New" w:cs="Courier New"/>
      </w:rPr>
    </w:lvl>
    <w:lvl w:ilvl="8" w:tplc="240A0005" w:tentative="1">
      <w:start w:val="1"/>
      <w:numFmt w:val="bullet"/>
      <w:lvlText w:val=""/>
      <w:lvlJc w:val="left"/>
      <w:pPr>
        <w:ind w:left="8814" w:hanging="360"/>
      </w:pPr>
      <w:rPr>
        <w:rFonts w:hint="default" w:ascii="Wingdings" w:hAnsi="Wingdings"/>
      </w:r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hint="default" w:ascii="Arial" w:hAnsi="Arial"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6" w15:restartNumberingAfterBreak="0">
    <w:nsid w:val="723B1079"/>
    <w:multiLevelType w:val="hybridMultilevel"/>
    <w:tmpl w:val="2E0CD9C4"/>
    <w:lvl w:ilvl="0" w:tplc="E3DC3302">
      <w:start w:val="2"/>
      <w:numFmt w:val="bullet"/>
      <w:lvlText w:val="-"/>
      <w:lvlJc w:val="left"/>
      <w:pPr>
        <w:ind w:left="720" w:hanging="360"/>
      </w:pPr>
      <w:rPr>
        <w:rFonts w:hint="default" w:ascii="Arial" w:hAnsi="Arial" w:eastAsia="Calibri" w:cs="Aria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7"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8"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0"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41511651">
    <w:abstractNumId w:val="16"/>
  </w:num>
  <w:num w:numId="2" w16cid:durableId="599415786">
    <w:abstractNumId w:val="14"/>
  </w:num>
  <w:num w:numId="3" w16cid:durableId="1298024361">
    <w:abstractNumId w:val="23"/>
  </w:num>
  <w:num w:numId="4" w16cid:durableId="2069567963">
    <w:abstractNumId w:val="29"/>
  </w:num>
  <w:num w:numId="5" w16cid:durableId="2125998958">
    <w:abstractNumId w:val="33"/>
  </w:num>
  <w:num w:numId="6" w16cid:durableId="196715776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5760332">
    <w:abstractNumId w:val="30"/>
  </w:num>
  <w:num w:numId="8" w16cid:durableId="1596134620">
    <w:abstractNumId w:val="3"/>
  </w:num>
  <w:num w:numId="9" w16cid:durableId="860624318">
    <w:abstractNumId w:val="8"/>
  </w:num>
  <w:num w:numId="10" w16cid:durableId="1386181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9169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727127">
    <w:abstractNumId w:val="15"/>
  </w:num>
  <w:num w:numId="13" w16cid:durableId="1382364735">
    <w:abstractNumId w:val="21"/>
  </w:num>
  <w:num w:numId="14" w16cid:durableId="2006784727">
    <w:abstractNumId w:val="12"/>
  </w:num>
  <w:num w:numId="15" w16cid:durableId="206032088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83421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596789">
    <w:abstractNumId w:val="37"/>
  </w:num>
  <w:num w:numId="18" w16cid:durableId="98068813">
    <w:abstractNumId w:val="24"/>
  </w:num>
  <w:num w:numId="19" w16cid:durableId="1206794228">
    <w:abstractNumId w:val="7"/>
  </w:num>
  <w:num w:numId="20" w16cid:durableId="744377293">
    <w:abstractNumId w:val="38"/>
  </w:num>
  <w:num w:numId="21" w16cid:durableId="2027632297">
    <w:abstractNumId w:val="27"/>
  </w:num>
  <w:num w:numId="22" w16cid:durableId="829053337">
    <w:abstractNumId w:val="10"/>
  </w:num>
  <w:num w:numId="23" w16cid:durableId="111361378">
    <w:abstractNumId w:val="9"/>
  </w:num>
  <w:num w:numId="24" w16cid:durableId="508760960">
    <w:abstractNumId w:val="31"/>
  </w:num>
  <w:num w:numId="25" w16cid:durableId="379212600">
    <w:abstractNumId w:val="18"/>
  </w:num>
  <w:num w:numId="26" w16cid:durableId="1676954214">
    <w:abstractNumId w:val="34"/>
  </w:num>
  <w:num w:numId="27" w16cid:durableId="1836215344">
    <w:abstractNumId w:val="40"/>
  </w:num>
  <w:num w:numId="28" w16cid:durableId="143281948">
    <w:abstractNumId w:val="22"/>
  </w:num>
  <w:num w:numId="29" w16cid:durableId="1061713901">
    <w:abstractNumId w:val="2"/>
  </w:num>
  <w:num w:numId="30" w16cid:durableId="155541465">
    <w:abstractNumId w:val="25"/>
  </w:num>
  <w:num w:numId="31" w16cid:durableId="1329748672">
    <w:abstractNumId w:val="19"/>
  </w:num>
  <w:num w:numId="32" w16cid:durableId="1158305571">
    <w:abstractNumId w:val="28"/>
  </w:num>
  <w:num w:numId="33" w16cid:durableId="1243029788">
    <w:abstractNumId w:val="39"/>
  </w:num>
  <w:num w:numId="34" w16cid:durableId="1650789726">
    <w:abstractNumId w:val="17"/>
  </w:num>
  <w:num w:numId="35" w16cid:durableId="1723093840">
    <w:abstractNumId w:val="1"/>
  </w:num>
  <w:num w:numId="36" w16cid:durableId="544408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5998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6487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83813">
    <w:abstractNumId w:val="5"/>
  </w:num>
  <w:num w:numId="40" w16cid:durableId="10199649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9111041">
    <w:abstractNumId w:val="11"/>
  </w:num>
  <w:num w:numId="42" w16cid:durableId="1801804628">
    <w:abstractNumId w:val="36"/>
  </w:num>
  <w:num w:numId="43" w16cid:durableId="1280450805">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pt-BR"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37198"/>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F22"/>
    <w:rsid w:val="00056F66"/>
    <w:rsid w:val="0005702F"/>
    <w:rsid w:val="00057661"/>
    <w:rsid w:val="0005779C"/>
    <w:rsid w:val="0006040A"/>
    <w:rsid w:val="00061D06"/>
    <w:rsid w:val="0006294B"/>
    <w:rsid w:val="00062CDD"/>
    <w:rsid w:val="00063FA5"/>
    <w:rsid w:val="000640AF"/>
    <w:rsid w:val="00064940"/>
    <w:rsid w:val="00064CAE"/>
    <w:rsid w:val="00064DB7"/>
    <w:rsid w:val="00064FA7"/>
    <w:rsid w:val="00065195"/>
    <w:rsid w:val="00070AF1"/>
    <w:rsid w:val="000714DE"/>
    <w:rsid w:val="0007254F"/>
    <w:rsid w:val="00073756"/>
    <w:rsid w:val="00073C30"/>
    <w:rsid w:val="00074305"/>
    <w:rsid w:val="00074B2A"/>
    <w:rsid w:val="00075108"/>
    <w:rsid w:val="00075B3E"/>
    <w:rsid w:val="00076456"/>
    <w:rsid w:val="00076604"/>
    <w:rsid w:val="0007779B"/>
    <w:rsid w:val="000777E7"/>
    <w:rsid w:val="0007790A"/>
    <w:rsid w:val="0008017B"/>
    <w:rsid w:val="00080287"/>
    <w:rsid w:val="000807F4"/>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1642"/>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0BB"/>
    <w:rsid w:val="000A73BB"/>
    <w:rsid w:val="000A7EF4"/>
    <w:rsid w:val="000B09AF"/>
    <w:rsid w:val="000B0A15"/>
    <w:rsid w:val="000B0DF3"/>
    <w:rsid w:val="000B103F"/>
    <w:rsid w:val="000B1437"/>
    <w:rsid w:val="000B1470"/>
    <w:rsid w:val="000B2B86"/>
    <w:rsid w:val="000B3051"/>
    <w:rsid w:val="000B419B"/>
    <w:rsid w:val="000B4364"/>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15D2"/>
    <w:rsid w:val="00102605"/>
    <w:rsid w:val="00102686"/>
    <w:rsid w:val="00102745"/>
    <w:rsid w:val="001032E3"/>
    <w:rsid w:val="00103361"/>
    <w:rsid w:val="00103855"/>
    <w:rsid w:val="00103915"/>
    <w:rsid w:val="00103EA0"/>
    <w:rsid w:val="001046B8"/>
    <w:rsid w:val="00104F1C"/>
    <w:rsid w:val="001051E5"/>
    <w:rsid w:val="001056C4"/>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421"/>
    <w:rsid w:val="00140A4F"/>
    <w:rsid w:val="001413AB"/>
    <w:rsid w:val="001428C2"/>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721"/>
    <w:rsid w:val="00161E62"/>
    <w:rsid w:val="00161F1C"/>
    <w:rsid w:val="0016200B"/>
    <w:rsid w:val="00163D7A"/>
    <w:rsid w:val="00164281"/>
    <w:rsid w:val="00164AF1"/>
    <w:rsid w:val="001654DF"/>
    <w:rsid w:val="00166476"/>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6F27"/>
    <w:rsid w:val="00177076"/>
    <w:rsid w:val="001805C1"/>
    <w:rsid w:val="00180A2E"/>
    <w:rsid w:val="001813AF"/>
    <w:rsid w:val="00182831"/>
    <w:rsid w:val="001829CD"/>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CC0"/>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5765"/>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E7B2B"/>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740"/>
    <w:rsid w:val="00222BE8"/>
    <w:rsid w:val="00223102"/>
    <w:rsid w:val="002232CB"/>
    <w:rsid w:val="00223AA2"/>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5FCA"/>
    <w:rsid w:val="00236016"/>
    <w:rsid w:val="00237065"/>
    <w:rsid w:val="00237589"/>
    <w:rsid w:val="0023758D"/>
    <w:rsid w:val="002375A7"/>
    <w:rsid w:val="0024019A"/>
    <w:rsid w:val="002411DE"/>
    <w:rsid w:val="0024131D"/>
    <w:rsid w:val="002413B5"/>
    <w:rsid w:val="002415B8"/>
    <w:rsid w:val="00241618"/>
    <w:rsid w:val="00241E21"/>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2414"/>
    <w:rsid w:val="00273D71"/>
    <w:rsid w:val="00274DB5"/>
    <w:rsid w:val="00275BB1"/>
    <w:rsid w:val="00275FBF"/>
    <w:rsid w:val="00276320"/>
    <w:rsid w:val="00276373"/>
    <w:rsid w:val="00277933"/>
    <w:rsid w:val="00277F13"/>
    <w:rsid w:val="00277F8D"/>
    <w:rsid w:val="00277FA7"/>
    <w:rsid w:val="002805E0"/>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1F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B62"/>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37DD"/>
    <w:rsid w:val="002F45F6"/>
    <w:rsid w:val="002F5B6B"/>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2780"/>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8F4"/>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4D3C"/>
    <w:rsid w:val="0034680A"/>
    <w:rsid w:val="00346C62"/>
    <w:rsid w:val="0034778E"/>
    <w:rsid w:val="00347FEE"/>
    <w:rsid w:val="003501E2"/>
    <w:rsid w:val="00350A59"/>
    <w:rsid w:val="00351E10"/>
    <w:rsid w:val="0035273A"/>
    <w:rsid w:val="00352D59"/>
    <w:rsid w:val="003533F4"/>
    <w:rsid w:val="003536F6"/>
    <w:rsid w:val="00353DD5"/>
    <w:rsid w:val="00355131"/>
    <w:rsid w:val="00355462"/>
    <w:rsid w:val="00356438"/>
    <w:rsid w:val="00356687"/>
    <w:rsid w:val="003609C4"/>
    <w:rsid w:val="003618D9"/>
    <w:rsid w:val="00361A59"/>
    <w:rsid w:val="00362B12"/>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878"/>
    <w:rsid w:val="00383A8D"/>
    <w:rsid w:val="00384CD6"/>
    <w:rsid w:val="00384DF1"/>
    <w:rsid w:val="00384FF3"/>
    <w:rsid w:val="00386456"/>
    <w:rsid w:val="003865A9"/>
    <w:rsid w:val="003867EE"/>
    <w:rsid w:val="00387642"/>
    <w:rsid w:val="003903B6"/>
    <w:rsid w:val="00390F32"/>
    <w:rsid w:val="0039135E"/>
    <w:rsid w:val="0039200F"/>
    <w:rsid w:val="0039319C"/>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3F3"/>
    <w:rsid w:val="003D050B"/>
    <w:rsid w:val="003D0B98"/>
    <w:rsid w:val="003D0C3C"/>
    <w:rsid w:val="003D0DE5"/>
    <w:rsid w:val="003D1351"/>
    <w:rsid w:val="003D1E4F"/>
    <w:rsid w:val="003D21C1"/>
    <w:rsid w:val="003D2924"/>
    <w:rsid w:val="003D3707"/>
    <w:rsid w:val="003D3B15"/>
    <w:rsid w:val="003D3B2E"/>
    <w:rsid w:val="003D484D"/>
    <w:rsid w:val="003D49CB"/>
    <w:rsid w:val="003D4BD6"/>
    <w:rsid w:val="003D6412"/>
    <w:rsid w:val="003D6B8F"/>
    <w:rsid w:val="003D7566"/>
    <w:rsid w:val="003E08B3"/>
    <w:rsid w:val="003E09BB"/>
    <w:rsid w:val="003E0EAD"/>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083B"/>
    <w:rsid w:val="0040152A"/>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86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6D3B"/>
    <w:rsid w:val="004273FA"/>
    <w:rsid w:val="004276C2"/>
    <w:rsid w:val="00430186"/>
    <w:rsid w:val="00430730"/>
    <w:rsid w:val="0043269A"/>
    <w:rsid w:val="00432E14"/>
    <w:rsid w:val="004333C2"/>
    <w:rsid w:val="00433ACB"/>
    <w:rsid w:val="00434787"/>
    <w:rsid w:val="004347DA"/>
    <w:rsid w:val="004349EF"/>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63D"/>
    <w:rsid w:val="00454717"/>
    <w:rsid w:val="00455047"/>
    <w:rsid w:val="00455354"/>
    <w:rsid w:val="0045558D"/>
    <w:rsid w:val="00455672"/>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2BAD"/>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6E6"/>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12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963"/>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3680"/>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60E"/>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4AC1"/>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322"/>
    <w:rsid w:val="006157A9"/>
    <w:rsid w:val="0061591D"/>
    <w:rsid w:val="00615ED0"/>
    <w:rsid w:val="0061604C"/>
    <w:rsid w:val="0061610B"/>
    <w:rsid w:val="006168BD"/>
    <w:rsid w:val="00616C2B"/>
    <w:rsid w:val="006174FA"/>
    <w:rsid w:val="006178D1"/>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824"/>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9B7"/>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038"/>
    <w:rsid w:val="006E437F"/>
    <w:rsid w:val="006E4D5B"/>
    <w:rsid w:val="006E602F"/>
    <w:rsid w:val="006E6720"/>
    <w:rsid w:val="006E68FA"/>
    <w:rsid w:val="006E7275"/>
    <w:rsid w:val="006E77B8"/>
    <w:rsid w:val="006F15CC"/>
    <w:rsid w:val="006F1EA6"/>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421"/>
    <w:rsid w:val="00715BAE"/>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64B"/>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2FBA"/>
    <w:rsid w:val="007734E4"/>
    <w:rsid w:val="0077380D"/>
    <w:rsid w:val="0077393F"/>
    <w:rsid w:val="00773BC8"/>
    <w:rsid w:val="0077466F"/>
    <w:rsid w:val="007752B7"/>
    <w:rsid w:val="007759A8"/>
    <w:rsid w:val="00775D98"/>
    <w:rsid w:val="00776FE5"/>
    <w:rsid w:val="00777101"/>
    <w:rsid w:val="00777455"/>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5CB6"/>
    <w:rsid w:val="007963F6"/>
    <w:rsid w:val="00796418"/>
    <w:rsid w:val="00796485"/>
    <w:rsid w:val="00796576"/>
    <w:rsid w:val="00796E80"/>
    <w:rsid w:val="007979AD"/>
    <w:rsid w:val="00797A9C"/>
    <w:rsid w:val="007A0EAB"/>
    <w:rsid w:val="007A2341"/>
    <w:rsid w:val="007A38A1"/>
    <w:rsid w:val="007A38C1"/>
    <w:rsid w:val="007A3967"/>
    <w:rsid w:val="007A3BBE"/>
    <w:rsid w:val="007A4766"/>
    <w:rsid w:val="007A4952"/>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1D"/>
    <w:rsid w:val="007C4241"/>
    <w:rsid w:val="007C51E2"/>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13A"/>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7A3"/>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B78"/>
    <w:rsid w:val="00827CC0"/>
    <w:rsid w:val="00831026"/>
    <w:rsid w:val="0083119B"/>
    <w:rsid w:val="00831654"/>
    <w:rsid w:val="00831BAE"/>
    <w:rsid w:val="00832216"/>
    <w:rsid w:val="00832CD0"/>
    <w:rsid w:val="00833430"/>
    <w:rsid w:val="00834128"/>
    <w:rsid w:val="0083417F"/>
    <w:rsid w:val="00835143"/>
    <w:rsid w:val="008351F8"/>
    <w:rsid w:val="00835741"/>
    <w:rsid w:val="00836E74"/>
    <w:rsid w:val="00836EAB"/>
    <w:rsid w:val="00837673"/>
    <w:rsid w:val="0083788E"/>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0"/>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0EB"/>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34B"/>
    <w:rsid w:val="008B6649"/>
    <w:rsid w:val="008B672C"/>
    <w:rsid w:val="008B7611"/>
    <w:rsid w:val="008B7DE4"/>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C7399"/>
    <w:rsid w:val="008D18AA"/>
    <w:rsid w:val="008D1A16"/>
    <w:rsid w:val="008D1A2A"/>
    <w:rsid w:val="008D29B1"/>
    <w:rsid w:val="008D2EB5"/>
    <w:rsid w:val="008D35D9"/>
    <w:rsid w:val="008D3B85"/>
    <w:rsid w:val="008D4527"/>
    <w:rsid w:val="008D462D"/>
    <w:rsid w:val="008D51F2"/>
    <w:rsid w:val="008D577B"/>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5D"/>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77A"/>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AD7"/>
    <w:rsid w:val="00940F3C"/>
    <w:rsid w:val="00940FC1"/>
    <w:rsid w:val="009410E0"/>
    <w:rsid w:val="009444B4"/>
    <w:rsid w:val="00944644"/>
    <w:rsid w:val="009449F9"/>
    <w:rsid w:val="009451CE"/>
    <w:rsid w:val="009460F9"/>
    <w:rsid w:val="00946A24"/>
    <w:rsid w:val="009470D4"/>
    <w:rsid w:val="00947337"/>
    <w:rsid w:val="009512FA"/>
    <w:rsid w:val="00951E57"/>
    <w:rsid w:val="00953018"/>
    <w:rsid w:val="009533E2"/>
    <w:rsid w:val="00953554"/>
    <w:rsid w:val="0095385A"/>
    <w:rsid w:val="00953928"/>
    <w:rsid w:val="009540F0"/>
    <w:rsid w:val="00954432"/>
    <w:rsid w:val="00955906"/>
    <w:rsid w:val="00955978"/>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3B93"/>
    <w:rsid w:val="00964138"/>
    <w:rsid w:val="00964B3F"/>
    <w:rsid w:val="00964C98"/>
    <w:rsid w:val="00964E0A"/>
    <w:rsid w:val="00965C11"/>
    <w:rsid w:val="00966214"/>
    <w:rsid w:val="00971441"/>
    <w:rsid w:val="009715D4"/>
    <w:rsid w:val="00972470"/>
    <w:rsid w:val="009739A9"/>
    <w:rsid w:val="00973AA2"/>
    <w:rsid w:val="0097494E"/>
    <w:rsid w:val="00974B58"/>
    <w:rsid w:val="00975010"/>
    <w:rsid w:val="00975DA3"/>
    <w:rsid w:val="009761ED"/>
    <w:rsid w:val="00977689"/>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3CD6"/>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1EA"/>
    <w:rsid w:val="009A6CA7"/>
    <w:rsid w:val="009A6FDF"/>
    <w:rsid w:val="009A76D6"/>
    <w:rsid w:val="009B199E"/>
    <w:rsid w:val="009B1E40"/>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595"/>
    <w:rsid w:val="009D2BDF"/>
    <w:rsid w:val="009D3736"/>
    <w:rsid w:val="009D3964"/>
    <w:rsid w:val="009D40B8"/>
    <w:rsid w:val="009D4529"/>
    <w:rsid w:val="009D4B03"/>
    <w:rsid w:val="009D604F"/>
    <w:rsid w:val="009D61BB"/>
    <w:rsid w:val="009D6410"/>
    <w:rsid w:val="009D65FF"/>
    <w:rsid w:val="009D66B2"/>
    <w:rsid w:val="009D68BB"/>
    <w:rsid w:val="009D6E3A"/>
    <w:rsid w:val="009D6E67"/>
    <w:rsid w:val="009D70C2"/>
    <w:rsid w:val="009D7278"/>
    <w:rsid w:val="009D773A"/>
    <w:rsid w:val="009D7ADB"/>
    <w:rsid w:val="009D7B33"/>
    <w:rsid w:val="009E0327"/>
    <w:rsid w:val="009E0703"/>
    <w:rsid w:val="009E0E95"/>
    <w:rsid w:val="009E1649"/>
    <w:rsid w:val="009E16DA"/>
    <w:rsid w:val="009E1CD4"/>
    <w:rsid w:val="009E20DC"/>
    <w:rsid w:val="009E2391"/>
    <w:rsid w:val="009E476A"/>
    <w:rsid w:val="009E4E05"/>
    <w:rsid w:val="009E56FF"/>
    <w:rsid w:val="009E5CB1"/>
    <w:rsid w:val="009E5E56"/>
    <w:rsid w:val="009E61EA"/>
    <w:rsid w:val="009E6990"/>
    <w:rsid w:val="009E6FEE"/>
    <w:rsid w:val="009F030F"/>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7E8"/>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12F"/>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E0E"/>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49A"/>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2945"/>
    <w:rsid w:val="00A730AD"/>
    <w:rsid w:val="00A733D2"/>
    <w:rsid w:val="00A73855"/>
    <w:rsid w:val="00A73D64"/>
    <w:rsid w:val="00A73FEA"/>
    <w:rsid w:val="00A74216"/>
    <w:rsid w:val="00A744B4"/>
    <w:rsid w:val="00A749D9"/>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96C"/>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79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6120"/>
    <w:rsid w:val="00B4792C"/>
    <w:rsid w:val="00B50CAE"/>
    <w:rsid w:val="00B512AD"/>
    <w:rsid w:val="00B5196C"/>
    <w:rsid w:val="00B525CB"/>
    <w:rsid w:val="00B52697"/>
    <w:rsid w:val="00B52A3C"/>
    <w:rsid w:val="00B53E7C"/>
    <w:rsid w:val="00B54D8F"/>
    <w:rsid w:val="00B55857"/>
    <w:rsid w:val="00B55C69"/>
    <w:rsid w:val="00B55EC1"/>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6577"/>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10"/>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09A7"/>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DAD"/>
    <w:rsid w:val="00C14E82"/>
    <w:rsid w:val="00C14FF6"/>
    <w:rsid w:val="00C150A6"/>
    <w:rsid w:val="00C15A85"/>
    <w:rsid w:val="00C1641B"/>
    <w:rsid w:val="00C165FC"/>
    <w:rsid w:val="00C176D5"/>
    <w:rsid w:val="00C2082C"/>
    <w:rsid w:val="00C20832"/>
    <w:rsid w:val="00C20EB0"/>
    <w:rsid w:val="00C21005"/>
    <w:rsid w:val="00C2183B"/>
    <w:rsid w:val="00C220B6"/>
    <w:rsid w:val="00C22305"/>
    <w:rsid w:val="00C22D7C"/>
    <w:rsid w:val="00C22DDE"/>
    <w:rsid w:val="00C2338B"/>
    <w:rsid w:val="00C233CE"/>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97"/>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DD8"/>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5B7"/>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5D94"/>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2B73"/>
    <w:rsid w:val="00D0368E"/>
    <w:rsid w:val="00D03D2D"/>
    <w:rsid w:val="00D03E7B"/>
    <w:rsid w:val="00D0401A"/>
    <w:rsid w:val="00D047E0"/>
    <w:rsid w:val="00D04B9F"/>
    <w:rsid w:val="00D04F34"/>
    <w:rsid w:val="00D04FFB"/>
    <w:rsid w:val="00D05153"/>
    <w:rsid w:val="00D058E9"/>
    <w:rsid w:val="00D0612A"/>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123"/>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0C6"/>
    <w:rsid w:val="00D26C21"/>
    <w:rsid w:val="00D2742F"/>
    <w:rsid w:val="00D2754F"/>
    <w:rsid w:val="00D27912"/>
    <w:rsid w:val="00D279D9"/>
    <w:rsid w:val="00D27C74"/>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316"/>
    <w:rsid w:val="00D4043A"/>
    <w:rsid w:val="00D40A8E"/>
    <w:rsid w:val="00D40AB0"/>
    <w:rsid w:val="00D40AE8"/>
    <w:rsid w:val="00D40DB0"/>
    <w:rsid w:val="00D40F8B"/>
    <w:rsid w:val="00D41858"/>
    <w:rsid w:val="00D422DB"/>
    <w:rsid w:val="00D42A83"/>
    <w:rsid w:val="00D42AC2"/>
    <w:rsid w:val="00D4322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2C8"/>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05B"/>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4A32"/>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A7A"/>
    <w:rsid w:val="00E20BA4"/>
    <w:rsid w:val="00E20C24"/>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69FA"/>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B41"/>
    <w:rsid w:val="00E7347B"/>
    <w:rsid w:val="00E73D03"/>
    <w:rsid w:val="00E7471C"/>
    <w:rsid w:val="00E7498A"/>
    <w:rsid w:val="00E7514E"/>
    <w:rsid w:val="00E75B34"/>
    <w:rsid w:val="00E76AC5"/>
    <w:rsid w:val="00E77AF5"/>
    <w:rsid w:val="00E8029A"/>
    <w:rsid w:val="00E803A6"/>
    <w:rsid w:val="00E81653"/>
    <w:rsid w:val="00E818BF"/>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A6BEC"/>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ACA"/>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3A0F"/>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36CE"/>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5FE1"/>
    <w:rsid w:val="00F76C11"/>
    <w:rsid w:val="00F77021"/>
    <w:rsid w:val="00F775CB"/>
    <w:rsid w:val="00F77E61"/>
    <w:rsid w:val="00F80371"/>
    <w:rsid w:val="00F814B2"/>
    <w:rsid w:val="00F815AC"/>
    <w:rsid w:val="00F83200"/>
    <w:rsid w:val="00F83B33"/>
    <w:rsid w:val="00F83CAE"/>
    <w:rsid w:val="00F840BF"/>
    <w:rsid w:val="00F8415D"/>
    <w:rsid w:val="00F8427A"/>
    <w:rsid w:val="00F843DF"/>
    <w:rsid w:val="00F84899"/>
    <w:rsid w:val="00F848AB"/>
    <w:rsid w:val="00F84A0A"/>
    <w:rsid w:val="00F850C0"/>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FAC"/>
    <w:rsid w:val="00FA1DA2"/>
    <w:rsid w:val="00FA2CA4"/>
    <w:rsid w:val="00FA3414"/>
    <w:rsid w:val="00FA347A"/>
    <w:rsid w:val="00FA39D7"/>
    <w:rsid w:val="00FA3CDE"/>
    <w:rsid w:val="00FA49B7"/>
    <w:rsid w:val="00FA5043"/>
    <w:rsid w:val="00FA5E75"/>
    <w:rsid w:val="00FA6F8B"/>
    <w:rsid w:val="00FA7A30"/>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28E"/>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 w:val="05F55887"/>
    <w:rsid w:val="3246DAD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746"/>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paragraph" w:styleId="InviasNormal" w:customStyle="1">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433ACB"/>
    <w:rPr>
      <w:rFonts w:ascii="Arial Narrow" w:hAnsi="Arial Narrow" w:eastAsia="Times New Roman" w:cs="Times New Roman"/>
      <w:color w:val="3C3C3C" w:themeColor="background2" w:themeShade="40"/>
      <w:sz w:val="24"/>
      <w:szCs w:val="24"/>
      <w:lang w:val="x-none" w:eastAsia="es-ES"/>
    </w:rPr>
  </w:style>
  <w:style w:type="table" w:styleId="Tablaconcuadrcula2" w:customStyle="1">
    <w:name w:val="Tabla con cuadrícula2"/>
    <w:basedOn w:val="Tablanormal"/>
    <w:next w:val="Tablaconcuadrcula"/>
    <w:uiPriority w:val="39"/>
    <w:rsid w:val="001E25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spacing" w:customStyle="1">
    <w:name w:val="x_msonospacing"/>
    <w:basedOn w:val="Normal"/>
    <w:rsid w:val="00292E64"/>
    <w:pPr>
      <w:spacing w:before="100" w:beforeAutospacing="1" w:after="100" w:afterAutospacing="1"/>
    </w:pPr>
    <w:rPr>
      <w:lang w:eastAsia="es-MX"/>
    </w:rPr>
  </w:style>
  <w:style w:type="paragraph" w:styleId="Capitulo8" w:customStyle="1">
    <w:name w:val="Capitulo 8"/>
    <w:basedOn w:val="Normal"/>
    <w:qFormat/>
    <w:rsid w:val="00DB5196"/>
    <w:pPr>
      <w:numPr>
        <w:numId w:val="36"/>
      </w:numPr>
      <w:spacing w:after="200" w:line="276" w:lineRule="auto"/>
      <w:ind w:left="1020" w:hanging="680"/>
      <w:contextualSpacing/>
      <w:jc w:val="both"/>
    </w:pPr>
    <w:rPr>
      <w:rFonts w:ascii="Arial" w:hAnsi="Arial" w:eastAsia="Calibri" w:cs="Arial"/>
      <w:b/>
      <w:bCs/>
      <w:color w:val="1C1C1C"/>
      <w:sz w:val="20"/>
      <w:szCs w:val="20"/>
      <w:lang w:eastAsia="en-US"/>
    </w:rPr>
  </w:style>
  <w:style w:type="paragraph" w:styleId="Normal11pt" w:customStyle="1">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hAnsi="Times New Roman" w:eastAsia="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table" w:styleId="Tablaconcuadrcula3" w:customStyle="1">
    <w:name w:val="Tabla con cuadrícula3"/>
    <w:basedOn w:val="Tablanormal"/>
    <w:next w:val="Tablaconcuadrcula"/>
    <w:uiPriority w:val="39"/>
    <w:rsid w:val="00524963"/>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5249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524963"/>
  </w:style>
  <w:style w:type="paragraph" w:styleId="footnotedescription" w:customStyle="1">
    <w:name w:val="footnote description"/>
    <w:next w:val="Normal"/>
    <w:link w:val="footnotedescriptionChar"/>
    <w:hidden/>
    <w:rsid w:val="007A38C1"/>
    <w:pPr>
      <w:spacing w:after="14" w:line="246" w:lineRule="auto"/>
      <w:ind w:right="55" w:firstLine="709"/>
      <w:jc w:val="both"/>
    </w:pPr>
    <w:rPr>
      <w:rFonts w:ascii="Arial" w:hAnsi="Arial" w:eastAsia="Arial" w:cs="Arial"/>
      <w:color w:val="000000"/>
      <w:sz w:val="19"/>
      <w:lang w:eastAsia="es-CO"/>
    </w:rPr>
  </w:style>
  <w:style w:type="character" w:styleId="footnotedescriptionChar" w:customStyle="1">
    <w:name w:val="footnote description Char"/>
    <w:link w:val="footnotedescription"/>
    <w:rsid w:val="007A38C1"/>
    <w:rPr>
      <w:rFonts w:ascii="Arial" w:hAnsi="Arial" w:eastAsia="Arial" w:cs="Arial"/>
      <w:color w:val="000000"/>
      <w:sz w:val="19"/>
      <w:lang w:eastAsia="es-CO"/>
    </w:rPr>
  </w:style>
  <w:style w:type="character" w:styleId="footnotemark" w:customStyle="1">
    <w:name w:val="footnote mark"/>
    <w:hidden/>
    <w:rsid w:val="007A38C1"/>
    <w:rPr>
      <w:rFonts w:ascii="Arial" w:hAnsi="Arial" w:eastAsia="Arial" w:cs="Arial"/>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150_2007.html" TargetMode="External"/><Relationship Id="rId2" Type="http://schemas.openxmlformats.org/officeDocument/2006/relationships/hyperlink" Target="http://www.secretariasenado.gov.co/senado/basedoc/ley_1150_2007.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657DC4DC-E0F9-48D7-B67E-BDA37C780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Tatiana Baquero Iguaran</lastModifiedBy>
  <revision>4</revision>
  <lastPrinted>2020-01-30T15:05:00.0000000Z</lastPrinted>
  <dcterms:created xsi:type="dcterms:W3CDTF">2022-05-03T14:00:00.0000000Z</dcterms:created>
  <dcterms:modified xsi:type="dcterms:W3CDTF">2022-05-03T14:17:13.5940035Z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